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6AA30" w14:textId="77777777" w:rsidR="007D59EF" w:rsidRPr="00705EEC" w:rsidRDefault="007D59EF" w:rsidP="007D59EF">
      <w:pPr>
        <w:widowControl w:val="0"/>
        <w:tabs>
          <w:tab w:val="clear" w:pos="567"/>
        </w:tabs>
        <w:spacing w:line="240" w:lineRule="auto"/>
        <w:rPr>
          <w:color w:val="008000"/>
          <w:lang w:val="lt-LT"/>
        </w:rPr>
      </w:pPr>
    </w:p>
    <w:p w14:paraId="287BD465" w14:textId="77777777" w:rsidR="007D59EF" w:rsidRPr="00705EEC" w:rsidRDefault="007D59EF" w:rsidP="007D59EF">
      <w:pPr>
        <w:widowControl w:val="0"/>
        <w:tabs>
          <w:tab w:val="clear" w:pos="567"/>
        </w:tabs>
        <w:spacing w:line="240" w:lineRule="auto"/>
        <w:rPr>
          <w:color w:val="008000"/>
          <w:lang w:val="lt-LT"/>
        </w:rPr>
      </w:pPr>
    </w:p>
    <w:p w14:paraId="3190022E" w14:textId="77777777" w:rsidR="007D59EF" w:rsidRPr="00705EEC" w:rsidRDefault="007D59EF" w:rsidP="007D59EF">
      <w:pPr>
        <w:outlineLvl w:val="0"/>
        <w:rPr>
          <w:b/>
          <w:lang w:val="lt-LT"/>
        </w:rPr>
      </w:pPr>
    </w:p>
    <w:p w14:paraId="7CB0703B" w14:textId="77777777" w:rsidR="007D59EF" w:rsidRPr="00705EEC" w:rsidRDefault="007D59EF" w:rsidP="007D59EF">
      <w:pPr>
        <w:outlineLvl w:val="0"/>
        <w:rPr>
          <w:b/>
          <w:lang w:val="lt-LT"/>
        </w:rPr>
      </w:pPr>
    </w:p>
    <w:p w14:paraId="17CE7941" w14:textId="77777777" w:rsidR="007D59EF" w:rsidRPr="00705EEC" w:rsidRDefault="007D59EF" w:rsidP="007D59EF">
      <w:pPr>
        <w:outlineLvl w:val="0"/>
        <w:rPr>
          <w:b/>
          <w:lang w:val="lt-LT"/>
        </w:rPr>
      </w:pPr>
    </w:p>
    <w:p w14:paraId="670E62CA" w14:textId="77777777" w:rsidR="007D59EF" w:rsidRPr="00705EEC" w:rsidRDefault="007D59EF" w:rsidP="007D59EF">
      <w:pPr>
        <w:outlineLvl w:val="0"/>
        <w:rPr>
          <w:b/>
          <w:lang w:val="lt-LT"/>
        </w:rPr>
      </w:pPr>
    </w:p>
    <w:p w14:paraId="2DF0D7B8" w14:textId="77777777" w:rsidR="007D59EF" w:rsidRPr="00705EEC" w:rsidRDefault="007D59EF" w:rsidP="007D59EF">
      <w:pPr>
        <w:tabs>
          <w:tab w:val="left" w:pos="-1440"/>
          <w:tab w:val="left" w:pos="-720"/>
        </w:tabs>
        <w:rPr>
          <w:b/>
          <w:lang w:val="lt-LT"/>
        </w:rPr>
      </w:pPr>
    </w:p>
    <w:p w14:paraId="0B907CBF" w14:textId="77777777" w:rsidR="007D59EF" w:rsidRPr="00705EEC" w:rsidRDefault="007D59EF" w:rsidP="007D59EF">
      <w:pPr>
        <w:tabs>
          <w:tab w:val="left" w:pos="-1440"/>
          <w:tab w:val="left" w:pos="-720"/>
        </w:tabs>
        <w:rPr>
          <w:b/>
          <w:lang w:val="lt-LT"/>
        </w:rPr>
      </w:pPr>
    </w:p>
    <w:p w14:paraId="410E6921" w14:textId="77777777" w:rsidR="007D59EF" w:rsidRPr="00705EEC" w:rsidRDefault="007D59EF" w:rsidP="007D59EF">
      <w:pPr>
        <w:tabs>
          <w:tab w:val="left" w:pos="-1440"/>
          <w:tab w:val="left" w:pos="-720"/>
        </w:tabs>
        <w:rPr>
          <w:b/>
          <w:lang w:val="lt-LT"/>
        </w:rPr>
      </w:pPr>
    </w:p>
    <w:p w14:paraId="60E3E43D" w14:textId="77777777" w:rsidR="007D59EF" w:rsidRPr="00705EEC" w:rsidRDefault="007D59EF" w:rsidP="007D59EF">
      <w:pPr>
        <w:tabs>
          <w:tab w:val="left" w:pos="-1440"/>
          <w:tab w:val="left" w:pos="-720"/>
        </w:tabs>
        <w:rPr>
          <w:b/>
          <w:lang w:val="lt-LT"/>
        </w:rPr>
      </w:pPr>
    </w:p>
    <w:p w14:paraId="21B7DC6B" w14:textId="77777777" w:rsidR="007D59EF" w:rsidRPr="00705EEC" w:rsidRDefault="007D59EF" w:rsidP="007D59EF">
      <w:pPr>
        <w:tabs>
          <w:tab w:val="left" w:pos="-1440"/>
          <w:tab w:val="left" w:pos="-720"/>
        </w:tabs>
        <w:rPr>
          <w:b/>
          <w:lang w:val="lt-LT"/>
        </w:rPr>
      </w:pPr>
    </w:p>
    <w:p w14:paraId="258FA9B3" w14:textId="77777777" w:rsidR="007D59EF" w:rsidRPr="00705EEC" w:rsidRDefault="007D59EF" w:rsidP="007D59EF">
      <w:pPr>
        <w:tabs>
          <w:tab w:val="left" w:pos="-1440"/>
          <w:tab w:val="left" w:pos="-720"/>
        </w:tabs>
        <w:rPr>
          <w:b/>
          <w:lang w:val="lt-LT"/>
        </w:rPr>
      </w:pPr>
    </w:p>
    <w:p w14:paraId="136DEDAE" w14:textId="77777777" w:rsidR="007D59EF" w:rsidRPr="00705EEC" w:rsidRDefault="007D59EF" w:rsidP="007D59EF">
      <w:pPr>
        <w:tabs>
          <w:tab w:val="left" w:pos="-1440"/>
          <w:tab w:val="left" w:pos="-720"/>
        </w:tabs>
        <w:rPr>
          <w:b/>
          <w:lang w:val="lt-LT"/>
        </w:rPr>
      </w:pPr>
    </w:p>
    <w:p w14:paraId="7B43E1C8" w14:textId="77777777" w:rsidR="007D59EF" w:rsidRPr="00705EEC" w:rsidRDefault="007D59EF" w:rsidP="007D59EF">
      <w:pPr>
        <w:tabs>
          <w:tab w:val="left" w:pos="-1440"/>
          <w:tab w:val="left" w:pos="-720"/>
        </w:tabs>
        <w:rPr>
          <w:b/>
          <w:lang w:val="lt-LT"/>
        </w:rPr>
      </w:pPr>
    </w:p>
    <w:p w14:paraId="7639B0FC" w14:textId="77777777" w:rsidR="007D59EF" w:rsidRPr="00705EEC" w:rsidRDefault="007D59EF" w:rsidP="007D59EF">
      <w:pPr>
        <w:tabs>
          <w:tab w:val="left" w:pos="-1440"/>
          <w:tab w:val="left" w:pos="-720"/>
        </w:tabs>
        <w:rPr>
          <w:b/>
          <w:lang w:val="lt-LT"/>
        </w:rPr>
      </w:pPr>
    </w:p>
    <w:p w14:paraId="1E47B301" w14:textId="77777777" w:rsidR="007D59EF" w:rsidRPr="00705EEC" w:rsidRDefault="007D59EF" w:rsidP="007D59EF">
      <w:pPr>
        <w:tabs>
          <w:tab w:val="left" w:pos="-1440"/>
          <w:tab w:val="left" w:pos="-720"/>
        </w:tabs>
        <w:rPr>
          <w:b/>
          <w:lang w:val="lt-LT"/>
        </w:rPr>
      </w:pPr>
    </w:p>
    <w:p w14:paraId="3FAADFCA" w14:textId="77777777" w:rsidR="007D59EF" w:rsidRPr="00705EEC" w:rsidRDefault="007D59EF" w:rsidP="007D59EF">
      <w:pPr>
        <w:tabs>
          <w:tab w:val="left" w:pos="-1440"/>
          <w:tab w:val="left" w:pos="-720"/>
        </w:tabs>
        <w:rPr>
          <w:b/>
          <w:lang w:val="lt-LT"/>
        </w:rPr>
      </w:pPr>
    </w:p>
    <w:p w14:paraId="19582B97" w14:textId="77777777" w:rsidR="007D59EF" w:rsidRPr="00705EEC" w:rsidRDefault="007D59EF" w:rsidP="007D59EF">
      <w:pPr>
        <w:tabs>
          <w:tab w:val="left" w:pos="-1440"/>
          <w:tab w:val="left" w:pos="-720"/>
        </w:tabs>
        <w:rPr>
          <w:b/>
          <w:lang w:val="lt-LT"/>
        </w:rPr>
      </w:pPr>
    </w:p>
    <w:p w14:paraId="668D0636" w14:textId="77777777" w:rsidR="007D59EF" w:rsidRPr="00705EEC" w:rsidRDefault="007D59EF" w:rsidP="007D59EF">
      <w:pPr>
        <w:tabs>
          <w:tab w:val="left" w:pos="-1440"/>
          <w:tab w:val="left" w:pos="-720"/>
        </w:tabs>
        <w:rPr>
          <w:b/>
          <w:lang w:val="lt-LT"/>
        </w:rPr>
      </w:pPr>
    </w:p>
    <w:p w14:paraId="4B3434F6" w14:textId="77777777" w:rsidR="007D59EF" w:rsidRPr="00705EEC" w:rsidRDefault="007D59EF" w:rsidP="007D59EF">
      <w:pPr>
        <w:tabs>
          <w:tab w:val="left" w:pos="-1440"/>
          <w:tab w:val="left" w:pos="-720"/>
        </w:tabs>
        <w:rPr>
          <w:b/>
          <w:lang w:val="lt-LT"/>
        </w:rPr>
      </w:pPr>
    </w:p>
    <w:p w14:paraId="2CE09810" w14:textId="77777777" w:rsidR="007D59EF" w:rsidRPr="00705EEC" w:rsidRDefault="007D59EF" w:rsidP="007D59EF">
      <w:pPr>
        <w:tabs>
          <w:tab w:val="left" w:pos="-1440"/>
          <w:tab w:val="left" w:pos="-720"/>
        </w:tabs>
        <w:rPr>
          <w:b/>
          <w:lang w:val="lt-LT"/>
        </w:rPr>
      </w:pPr>
    </w:p>
    <w:p w14:paraId="3F36575C" w14:textId="77777777" w:rsidR="007D59EF" w:rsidRPr="00705EEC" w:rsidRDefault="007D59EF" w:rsidP="007D59EF">
      <w:pPr>
        <w:tabs>
          <w:tab w:val="left" w:pos="-1440"/>
          <w:tab w:val="left" w:pos="-720"/>
        </w:tabs>
        <w:rPr>
          <w:b/>
          <w:lang w:val="lt-LT"/>
        </w:rPr>
      </w:pPr>
    </w:p>
    <w:p w14:paraId="22C22B15" w14:textId="77777777" w:rsidR="007D59EF" w:rsidRPr="00705EEC" w:rsidRDefault="007D59EF" w:rsidP="007D59EF">
      <w:pPr>
        <w:tabs>
          <w:tab w:val="left" w:pos="-1440"/>
          <w:tab w:val="left" w:pos="-720"/>
        </w:tabs>
        <w:rPr>
          <w:b/>
          <w:lang w:val="lt-LT"/>
        </w:rPr>
      </w:pPr>
    </w:p>
    <w:p w14:paraId="0DFB831F" w14:textId="77777777" w:rsidR="007D59EF" w:rsidRPr="00705EEC" w:rsidRDefault="007D59EF" w:rsidP="007D59EF">
      <w:pPr>
        <w:pStyle w:val="Antrat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I PRIEDAS</w:t>
      </w:r>
    </w:p>
    <w:p w14:paraId="04E20279" w14:textId="77777777" w:rsidR="007D59EF" w:rsidRPr="00705EEC" w:rsidRDefault="007D59EF" w:rsidP="007D59EF">
      <w:pPr>
        <w:spacing w:line="240" w:lineRule="auto"/>
        <w:rPr>
          <w:szCs w:val="24"/>
          <w:lang w:val="lt-LT"/>
        </w:rPr>
      </w:pPr>
    </w:p>
    <w:p w14:paraId="6D859700" w14:textId="77777777" w:rsidR="007D59EF" w:rsidRPr="00705EEC" w:rsidRDefault="007D59EF" w:rsidP="007D59EF">
      <w:pPr>
        <w:tabs>
          <w:tab w:val="left" w:pos="-1440"/>
          <w:tab w:val="left" w:pos="-720"/>
        </w:tabs>
        <w:jc w:val="center"/>
        <w:rPr>
          <w:b/>
          <w:lang w:val="lt-LT"/>
        </w:rPr>
      </w:pPr>
      <w:r w:rsidRPr="00705EEC">
        <w:rPr>
          <w:b/>
          <w:lang w:val="lt-LT"/>
        </w:rPr>
        <w:t>PREPARATO CHARAKTERISTIKŲ SANTRAUKA</w:t>
      </w:r>
    </w:p>
    <w:p w14:paraId="38FEB9EF"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lang w:val="lt-LT" w:eastAsia="zh-CN"/>
        </w:rPr>
        <w:br w:type="page"/>
      </w:r>
      <w:r w:rsidRPr="00705EEC">
        <w:rPr>
          <w:rFonts w:ascii="Times New Roman" w:hAnsi="Times New Roman"/>
          <w:sz w:val="22"/>
          <w:lang w:val="lt-LT"/>
        </w:rPr>
        <w:lastRenderedPageBreak/>
        <w:t>1.</w:t>
      </w:r>
      <w:r w:rsidRPr="00705EEC">
        <w:rPr>
          <w:rFonts w:ascii="Times New Roman" w:hAnsi="Times New Roman"/>
          <w:sz w:val="22"/>
          <w:lang w:val="lt-LT"/>
        </w:rPr>
        <w:tab/>
        <w:t>VAISTINIO PREPARATO PAVADINIMAS</w:t>
      </w:r>
    </w:p>
    <w:p w14:paraId="1F2FE50F" w14:textId="77777777" w:rsidR="007D59EF" w:rsidRPr="001C7577" w:rsidRDefault="007D59EF" w:rsidP="007D59EF">
      <w:pPr>
        <w:rPr>
          <w:lang w:val="lt-LT"/>
        </w:rPr>
      </w:pPr>
    </w:p>
    <w:p w14:paraId="0B73451F" w14:textId="77777777" w:rsidR="007D59EF" w:rsidRPr="001C7577" w:rsidRDefault="007D59EF" w:rsidP="007D59EF">
      <w:pPr>
        <w:spacing w:line="240" w:lineRule="auto"/>
        <w:rPr>
          <w:lang w:val="lt-LT"/>
        </w:rPr>
      </w:pPr>
      <w:r w:rsidRPr="001C7577">
        <w:rPr>
          <w:lang w:val="lt-LT"/>
        </w:rPr>
        <w:t>Lopinavir /Ritonavir Ranbaxy 100 mg/25 mg plėvele dengtos tabletės</w:t>
      </w:r>
    </w:p>
    <w:p w14:paraId="602F737A" w14:textId="77777777" w:rsidR="007D59EF" w:rsidRPr="001C7577" w:rsidRDefault="007D59EF" w:rsidP="007D59EF">
      <w:pPr>
        <w:spacing w:line="240" w:lineRule="auto"/>
        <w:rPr>
          <w:lang w:val="lt-LT"/>
        </w:rPr>
      </w:pPr>
      <w:r w:rsidRPr="001C7577">
        <w:rPr>
          <w:highlight w:val="lightGray"/>
          <w:lang w:val="lt-LT"/>
        </w:rPr>
        <w:t>Lopinavir /Ritonavir Ranbaxy 200 mg/50 mg plėvele dengtos tabletės</w:t>
      </w:r>
    </w:p>
    <w:p w14:paraId="176DF886" w14:textId="77777777" w:rsidR="007D59EF" w:rsidRPr="00705EEC" w:rsidRDefault="007D59EF" w:rsidP="007D59EF">
      <w:pPr>
        <w:rPr>
          <w:szCs w:val="24"/>
          <w:lang w:val="lt-LT"/>
        </w:rPr>
      </w:pPr>
    </w:p>
    <w:p w14:paraId="70E3E10D" w14:textId="77777777" w:rsidR="007D59EF" w:rsidRPr="00705EEC" w:rsidRDefault="007D59EF" w:rsidP="007D59EF">
      <w:pPr>
        <w:rPr>
          <w:szCs w:val="24"/>
          <w:lang w:val="lt-LT"/>
        </w:rPr>
      </w:pPr>
    </w:p>
    <w:p w14:paraId="713DAEA6"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2.</w:t>
      </w:r>
      <w:r w:rsidRPr="00705EEC">
        <w:rPr>
          <w:rFonts w:ascii="Times New Roman" w:hAnsi="Times New Roman"/>
          <w:sz w:val="22"/>
          <w:lang w:val="lt-LT"/>
        </w:rPr>
        <w:tab/>
        <w:t>KOKYBINĖ IR KIEKYBINĖ SUDĖTIS</w:t>
      </w:r>
    </w:p>
    <w:p w14:paraId="66620AF7" w14:textId="77777777" w:rsidR="007D59EF" w:rsidRPr="00705EEC" w:rsidRDefault="007D59EF" w:rsidP="007D59EF">
      <w:pPr>
        <w:rPr>
          <w:szCs w:val="24"/>
          <w:lang w:val="lt-LT"/>
        </w:rPr>
      </w:pPr>
    </w:p>
    <w:p w14:paraId="5A4B9EE3" w14:textId="77777777" w:rsidR="007D59EF" w:rsidRPr="00705EEC" w:rsidRDefault="007D59EF" w:rsidP="007D59EF">
      <w:pPr>
        <w:spacing w:line="240" w:lineRule="auto"/>
        <w:rPr>
          <w:lang w:val="lt-LT"/>
        </w:rPr>
      </w:pPr>
      <w:r w:rsidRPr="00705EEC">
        <w:rPr>
          <w:lang w:val="lt-LT"/>
        </w:rPr>
        <w:t>Kiekvienoje plėvele dengtoje tabletėje yra 100 mg lopinaviro kartu su 25 mg ritonaviro farmakokinetikai sustiprinti.</w:t>
      </w:r>
    </w:p>
    <w:p w14:paraId="221B5FA8" w14:textId="77777777" w:rsidR="007D59EF" w:rsidRPr="00705EEC" w:rsidRDefault="007D59EF" w:rsidP="007D59EF">
      <w:pPr>
        <w:spacing w:line="240" w:lineRule="auto"/>
        <w:rPr>
          <w:lang w:val="lt-LT"/>
        </w:rPr>
      </w:pPr>
      <w:r w:rsidRPr="00705EEC">
        <w:rPr>
          <w:u w:val="single"/>
          <w:lang w:val="lt-LT"/>
        </w:rPr>
        <w:t>Pagalbinė medžiaga, kurios poveikis žinomas</w:t>
      </w:r>
      <w:r w:rsidRPr="00705EEC">
        <w:rPr>
          <w:lang w:val="lt-LT"/>
        </w:rPr>
        <w:t>: laktozė (186,50 mg).</w:t>
      </w:r>
    </w:p>
    <w:p w14:paraId="0F3166CF" w14:textId="77777777" w:rsidR="007D59EF" w:rsidRPr="00705EEC" w:rsidRDefault="007D59EF" w:rsidP="007D59EF">
      <w:pPr>
        <w:spacing w:line="240" w:lineRule="auto"/>
        <w:rPr>
          <w:lang w:val="lt-LT"/>
        </w:rPr>
      </w:pPr>
    </w:p>
    <w:p w14:paraId="7541BE35" w14:textId="77777777" w:rsidR="007D59EF" w:rsidRPr="00705EEC" w:rsidRDefault="007D59EF" w:rsidP="007D59EF">
      <w:pPr>
        <w:spacing w:line="240" w:lineRule="auto"/>
        <w:rPr>
          <w:highlight w:val="lightGray"/>
          <w:lang w:val="lt-LT"/>
        </w:rPr>
      </w:pPr>
      <w:r w:rsidRPr="00705EEC">
        <w:rPr>
          <w:highlight w:val="lightGray"/>
          <w:lang w:val="lt-LT"/>
        </w:rPr>
        <w:t>Kiekvienoje plėvele dengtoje tabletėje yra 200 mg lopinaviro kartu su 50 mg ritonaviro farmakokinetikai sustiprinti.</w:t>
      </w:r>
    </w:p>
    <w:p w14:paraId="762ADB21" w14:textId="77777777" w:rsidR="007D59EF" w:rsidRPr="00705EEC" w:rsidRDefault="007D59EF" w:rsidP="007D59EF">
      <w:pPr>
        <w:spacing w:line="240" w:lineRule="auto"/>
        <w:rPr>
          <w:lang w:val="lt-LT"/>
        </w:rPr>
      </w:pPr>
      <w:r w:rsidRPr="00705EEC">
        <w:rPr>
          <w:highlight w:val="lightGray"/>
          <w:u w:val="single"/>
          <w:lang w:val="lt-LT"/>
        </w:rPr>
        <w:t>Pagalbinė medžiaga, kurios poveikis žinomas</w:t>
      </w:r>
      <w:r w:rsidRPr="00705EEC">
        <w:rPr>
          <w:highlight w:val="lightGray"/>
          <w:lang w:val="lt-LT"/>
        </w:rPr>
        <w:t>: laktozė (373,00 mg).</w:t>
      </w:r>
    </w:p>
    <w:p w14:paraId="65258622" w14:textId="77777777" w:rsidR="007D59EF" w:rsidRPr="00705EEC" w:rsidRDefault="007D59EF" w:rsidP="007D59EF">
      <w:pPr>
        <w:spacing w:line="240" w:lineRule="auto"/>
        <w:rPr>
          <w:lang w:val="lt-LT"/>
        </w:rPr>
      </w:pPr>
    </w:p>
    <w:p w14:paraId="6B97BE02" w14:textId="77777777" w:rsidR="007D59EF" w:rsidRPr="00705EEC" w:rsidRDefault="007D59EF" w:rsidP="007D59EF">
      <w:pPr>
        <w:spacing w:line="240" w:lineRule="auto"/>
        <w:rPr>
          <w:szCs w:val="24"/>
          <w:lang w:val="lt-LT"/>
        </w:rPr>
      </w:pPr>
      <w:r w:rsidRPr="00705EEC">
        <w:rPr>
          <w:lang w:val="lt-LT"/>
        </w:rPr>
        <w:t>Visos pagalbinės</w:t>
      </w:r>
      <w:r w:rsidRPr="001C7577">
        <w:rPr>
          <w:szCs w:val="24"/>
          <w:lang w:val="lt-LT"/>
        </w:rPr>
        <w:t xml:space="preserve"> medžiagos išvardytos 6.1 skyriuje.</w:t>
      </w:r>
    </w:p>
    <w:p w14:paraId="37615600" w14:textId="77777777" w:rsidR="007D59EF" w:rsidRPr="00705EEC" w:rsidRDefault="007D59EF" w:rsidP="007D59EF">
      <w:pPr>
        <w:rPr>
          <w:szCs w:val="24"/>
          <w:lang w:val="lt-LT"/>
        </w:rPr>
      </w:pPr>
    </w:p>
    <w:p w14:paraId="2C2D20D5" w14:textId="77777777" w:rsidR="007D59EF" w:rsidRPr="00705EEC" w:rsidRDefault="007D59EF" w:rsidP="007D59EF">
      <w:pPr>
        <w:rPr>
          <w:szCs w:val="24"/>
          <w:lang w:val="lt-LT"/>
        </w:rPr>
      </w:pPr>
    </w:p>
    <w:p w14:paraId="5A515542"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3.</w:t>
      </w:r>
      <w:r w:rsidRPr="00705EEC">
        <w:rPr>
          <w:rFonts w:ascii="Times New Roman" w:hAnsi="Times New Roman"/>
          <w:sz w:val="22"/>
          <w:lang w:val="lt-LT"/>
        </w:rPr>
        <w:tab/>
        <w:t>FARMACINĖ FORMA</w:t>
      </w:r>
    </w:p>
    <w:p w14:paraId="7D40A28F" w14:textId="77777777" w:rsidR="007D59EF" w:rsidRPr="00705EEC" w:rsidRDefault="007D59EF" w:rsidP="007D59EF">
      <w:pPr>
        <w:rPr>
          <w:szCs w:val="24"/>
          <w:lang w:val="lt-LT"/>
        </w:rPr>
      </w:pPr>
    </w:p>
    <w:p w14:paraId="33A94322" w14:textId="77777777" w:rsidR="007D59EF" w:rsidRPr="00705EEC" w:rsidRDefault="007D59EF" w:rsidP="007D59EF">
      <w:pPr>
        <w:tabs>
          <w:tab w:val="left" w:pos="225"/>
          <w:tab w:val="left" w:pos="8876"/>
        </w:tabs>
        <w:spacing w:line="240" w:lineRule="auto"/>
        <w:rPr>
          <w:lang w:val="lt-LT"/>
        </w:rPr>
      </w:pPr>
      <w:r w:rsidRPr="00705EEC">
        <w:rPr>
          <w:lang w:val="lt-LT"/>
        </w:rPr>
        <w:t>Plėvele dengta tabletė</w:t>
      </w:r>
    </w:p>
    <w:p w14:paraId="7F813A80" w14:textId="77777777" w:rsidR="007D59EF" w:rsidRPr="00705EEC" w:rsidRDefault="007D59EF" w:rsidP="007D59EF">
      <w:pPr>
        <w:tabs>
          <w:tab w:val="left" w:pos="225"/>
          <w:tab w:val="left" w:pos="8876"/>
        </w:tabs>
        <w:spacing w:line="240" w:lineRule="auto"/>
        <w:rPr>
          <w:i/>
          <w:highlight w:val="lightGray"/>
          <w:lang w:val="lt-LT"/>
        </w:rPr>
      </w:pPr>
    </w:p>
    <w:p w14:paraId="1BAE47D3" w14:textId="77777777" w:rsidR="007D59EF" w:rsidRPr="00705EEC" w:rsidRDefault="007D59EF" w:rsidP="007D59EF">
      <w:pPr>
        <w:tabs>
          <w:tab w:val="left" w:pos="225"/>
          <w:tab w:val="left" w:pos="8876"/>
        </w:tabs>
        <w:spacing w:line="240" w:lineRule="auto"/>
        <w:rPr>
          <w:lang w:val="lt-LT"/>
        </w:rPr>
      </w:pPr>
      <w:r w:rsidRPr="00705EEC">
        <w:rPr>
          <w:lang w:val="lt-LT"/>
        </w:rPr>
        <w:t>Šviesiai geltonos spalvos, kapsulės formos, plėvele dengtos tabletės su įspaudu “LR 1” vienoje pusėje ir lygios kitoje pusėje. Tabletės yra 16,1 mm ± 0,3 mm ilgio ir  8,3 mm ± 0,3 mm pločio.</w:t>
      </w:r>
    </w:p>
    <w:p w14:paraId="08061EC8" w14:textId="77777777" w:rsidR="007D59EF" w:rsidRPr="00705EEC" w:rsidRDefault="007D59EF" w:rsidP="007D59EF">
      <w:pPr>
        <w:tabs>
          <w:tab w:val="left" w:pos="225"/>
          <w:tab w:val="left" w:pos="8876"/>
        </w:tabs>
        <w:spacing w:line="240" w:lineRule="auto"/>
        <w:rPr>
          <w:lang w:val="lt-LT"/>
        </w:rPr>
      </w:pPr>
    </w:p>
    <w:p w14:paraId="6DD789D0" w14:textId="77777777" w:rsidR="007D59EF" w:rsidRPr="00705EEC" w:rsidRDefault="007D59EF" w:rsidP="007D59EF">
      <w:pPr>
        <w:tabs>
          <w:tab w:val="left" w:pos="225"/>
          <w:tab w:val="left" w:pos="8876"/>
        </w:tabs>
        <w:spacing w:line="240" w:lineRule="auto"/>
        <w:rPr>
          <w:lang w:val="lt-LT"/>
        </w:rPr>
      </w:pPr>
      <w:r w:rsidRPr="00705EEC">
        <w:rPr>
          <w:highlight w:val="lightGray"/>
          <w:lang w:val="lt-LT"/>
        </w:rPr>
        <w:t>Šviesiai geltonos spalvos, kapsulės formos, plėvele dengtos tabletės su įspaudu “LR 2” vienoje pusėje ir lygios kitoje pusėje. Tabletės yra 20,4mm ± 0,3 mm ilgio ir  10,6 mm ± 0,3 mm pločio.</w:t>
      </w:r>
    </w:p>
    <w:p w14:paraId="00CEE262" w14:textId="77777777" w:rsidR="007D59EF" w:rsidRPr="00705EEC" w:rsidRDefault="007D59EF" w:rsidP="007D59EF">
      <w:pPr>
        <w:rPr>
          <w:szCs w:val="24"/>
          <w:lang w:val="lt-LT"/>
        </w:rPr>
      </w:pPr>
    </w:p>
    <w:p w14:paraId="1BCF79C8" w14:textId="77777777" w:rsidR="007D59EF" w:rsidRPr="00705EEC" w:rsidRDefault="007D59EF" w:rsidP="007D59EF">
      <w:pPr>
        <w:rPr>
          <w:szCs w:val="24"/>
          <w:lang w:val="lt-LT"/>
        </w:rPr>
      </w:pPr>
    </w:p>
    <w:p w14:paraId="017FBFA2"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4.</w:t>
      </w:r>
      <w:r w:rsidRPr="00705EEC">
        <w:rPr>
          <w:rFonts w:ascii="Times New Roman" w:hAnsi="Times New Roman"/>
          <w:sz w:val="22"/>
          <w:lang w:val="lt-LT"/>
        </w:rPr>
        <w:tab/>
        <w:t>KLINIKINĖ INFORMACIJA</w:t>
      </w:r>
    </w:p>
    <w:p w14:paraId="1CE75DE4" w14:textId="77777777" w:rsidR="007D59EF" w:rsidRPr="00705EEC" w:rsidRDefault="007D59EF" w:rsidP="007D59EF">
      <w:pPr>
        <w:rPr>
          <w:szCs w:val="24"/>
          <w:lang w:val="lt-LT"/>
        </w:rPr>
      </w:pPr>
    </w:p>
    <w:p w14:paraId="7309C037"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4.1</w:t>
      </w:r>
      <w:r w:rsidRPr="00705EEC">
        <w:rPr>
          <w:rFonts w:ascii="Times New Roman" w:hAnsi="Times New Roman"/>
          <w:sz w:val="22"/>
          <w:lang w:val="lt-LT"/>
        </w:rPr>
        <w:tab/>
        <w:t>Terapinės indikacijos</w:t>
      </w:r>
    </w:p>
    <w:p w14:paraId="581FFD82" w14:textId="77777777" w:rsidR="007D59EF" w:rsidRPr="001C7577" w:rsidRDefault="007D59EF" w:rsidP="007D59EF">
      <w:pPr>
        <w:spacing w:line="240" w:lineRule="auto"/>
        <w:rPr>
          <w:lang w:val="lt-LT"/>
        </w:rPr>
      </w:pPr>
    </w:p>
    <w:p w14:paraId="5E4D43E9" w14:textId="77777777" w:rsidR="007D59EF" w:rsidRPr="001C7577" w:rsidRDefault="007D59EF" w:rsidP="007D59EF">
      <w:pPr>
        <w:spacing w:line="240" w:lineRule="auto"/>
        <w:rPr>
          <w:lang w:val="lt-LT"/>
        </w:rPr>
      </w:pPr>
      <w:r w:rsidRPr="001C7577">
        <w:rPr>
          <w:lang w:val="lt-LT"/>
        </w:rPr>
        <w:t>Lopinavir /Ritonavir Ranbaxy, kartu su kitais antiretrovirusiniais vaistiniais preparatais, skiriamas žmogaus imunodeficito virusu (ŽIV-1) infekuotiems suaugusiesiems, paaugliams ir vyresniems kaip 2 metų vaikams gydyti.</w:t>
      </w:r>
    </w:p>
    <w:p w14:paraId="553319C2" w14:textId="77777777" w:rsidR="007D59EF" w:rsidRPr="001C7577" w:rsidRDefault="007D59EF" w:rsidP="007D59EF">
      <w:pPr>
        <w:spacing w:line="240" w:lineRule="auto"/>
        <w:rPr>
          <w:lang w:val="lt-LT"/>
        </w:rPr>
      </w:pPr>
    </w:p>
    <w:p w14:paraId="247018B2" w14:textId="77777777" w:rsidR="007D59EF" w:rsidRPr="001C7577" w:rsidRDefault="007D59EF" w:rsidP="007D59EF">
      <w:pPr>
        <w:spacing w:line="240" w:lineRule="auto"/>
        <w:rPr>
          <w:lang w:val="lt-LT"/>
        </w:rPr>
      </w:pPr>
      <w:r w:rsidRPr="001C7577">
        <w:rPr>
          <w:lang w:val="lt-LT"/>
        </w:rPr>
        <w:t>Lopinavir /Ritonavir Ranbaxy skyrimas ŽIV-1 infekuotiems ir proteazės inhibitoriais gydytiems pacientams turi būti pagrįstas individualiu viruso atsparumo tyrimu ir paciento gydymo anamneze (žr. 4.4 ir 5.1 skyrius).</w:t>
      </w:r>
    </w:p>
    <w:p w14:paraId="7B7029BF" w14:textId="77777777" w:rsidR="007D59EF" w:rsidRPr="00705EEC" w:rsidRDefault="007D59EF" w:rsidP="007D59EF">
      <w:pPr>
        <w:rPr>
          <w:szCs w:val="24"/>
          <w:lang w:val="lt-LT"/>
        </w:rPr>
      </w:pPr>
    </w:p>
    <w:p w14:paraId="18FE705C"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4.2</w:t>
      </w:r>
      <w:r w:rsidRPr="00705EEC">
        <w:rPr>
          <w:rFonts w:ascii="Times New Roman" w:hAnsi="Times New Roman"/>
          <w:sz w:val="22"/>
          <w:lang w:val="lt-LT"/>
        </w:rPr>
        <w:tab/>
        <w:t>Dozavimas ir vartojimo metodas</w:t>
      </w:r>
    </w:p>
    <w:p w14:paraId="74294984" w14:textId="77777777" w:rsidR="007D59EF" w:rsidRPr="00705EEC" w:rsidRDefault="007D59EF" w:rsidP="007D59EF">
      <w:pPr>
        <w:rPr>
          <w:szCs w:val="24"/>
          <w:lang w:val="lt-LT"/>
        </w:rPr>
      </w:pPr>
    </w:p>
    <w:p w14:paraId="6EF653D2" w14:textId="77777777" w:rsidR="007D59EF" w:rsidRPr="001C7577" w:rsidRDefault="007D59EF" w:rsidP="007D59EF">
      <w:pPr>
        <w:spacing w:line="240" w:lineRule="auto"/>
        <w:rPr>
          <w:lang w:val="lt-LT"/>
        </w:rPr>
      </w:pPr>
      <w:r w:rsidRPr="001C7577">
        <w:rPr>
          <w:lang w:val="lt-LT"/>
        </w:rPr>
        <w:t>Lopinavir /Ritonavir Ranbaxy gali skirti tik gydytojas, turintis ŽIV infekcijos gydymo patirties.</w:t>
      </w:r>
    </w:p>
    <w:p w14:paraId="7AFA9DB1" w14:textId="77777777" w:rsidR="007D59EF" w:rsidRPr="001C7577" w:rsidRDefault="007D59EF" w:rsidP="007D59EF">
      <w:pPr>
        <w:spacing w:line="240" w:lineRule="auto"/>
        <w:rPr>
          <w:lang w:val="lt-LT"/>
        </w:rPr>
      </w:pPr>
    </w:p>
    <w:p w14:paraId="7B80799F" w14:textId="77777777" w:rsidR="007D59EF" w:rsidRPr="001C7577" w:rsidRDefault="007D59EF" w:rsidP="007D59EF">
      <w:pPr>
        <w:spacing w:line="240" w:lineRule="auto"/>
        <w:rPr>
          <w:lang w:val="lt-LT"/>
        </w:rPr>
      </w:pPr>
      <w:r w:rsidRPr="001C7577">
        <w:rPr>
          <w:lang w:val="lt-LT"/>
        </w:rPr>
        <w:t>Lopinavir /Ritonavir Ranbaxy tabletes reikia nuryti sveikas, jų nekramtyti, nelaužyti ir netraiškyti.</w:t>
      </w:r>
    </w:p>
    <w:p w14:paraId="0AC6BF60" w14:textId="77777777" w:rsidR="007D59EF" w:rsidRPr="001C7577" w:rsidRDefault="007D59EF" w:rsidP="007D59EF">
      <w:pPr>
        <w:spacing w:line="240" w:lineRule="auto"/>
        <w:rPr>
          <w:lang w:val="lt-LT"/>
        </w:rPr>
      </w:pPr>
    </w:p>
    <w:p w14:paraId="05A88E09" w14:textId="77777777" w:rsidR="007D59EF" w:rsidRPr="001C7577" w:rsidRDefault="007D59EF" w:rsidP="007D59EF">
      <w:pPr>
        <w:spacing w:line="240" w:lineRule="auto"/>
        <w:rPr>
          <w:u w:val="single"/>
          <w:lang w:val="lt-LT"/>
        </w:rPr>
      </w:pPr>
      <w:r w:rsidRPr="001C7577">
        <w:rPr>
          <w:u w:val="single"/>
          <w:lang w:val="lt-LT"/>
        </w:rPr>
        <w:t>Dozavimas</w:t>
      </w:r>
    </w:p>
    <w:p w14:paraId="2E5D9FAD" w14:textId="77777777" w:rsidR="007D59EF" w:rsidRPr="001C7577" w:rsidRDefault="007D59EF" w:rsidP="007D59EF">
      <w:pPr>
        <w:spacing w:line="240" w:lineRule="auto"/>
        <w:rPr>
          <w:lang w:val="lt-LT"/>
        </w:rPr>
      </w:pPr>
      <w:r w:rsidRPr="001C7577">
        <w:rPr>
          <w:i/>
          <w:lang w:val="lt-LT"/>
        </w:rPr>
        <w:lastRenderedPageBreak/>
        <w:t>Suaugusiesiems ir paaugliams</w:t>
      </w:r>
      <w:r w:rsidRPr="001C7577">
        <w:rPr>
          <w:lang w:val="lt-LT"/>
        </w:rPr>
        <w:t xml:space="preserve">: Rekomenduojama standartinė Lopinavir /Ritonavir Ranbaxy tablečių dozė yra 400/100 mg (dvi 200/50 mg) tabletės du kartus per parą valgant arba ne valgio metu. Suaugusiems pacientams tais atvejais kai reikalinga skirti vienkartinę paros dozę, galima skirti Lopinavir /Ritonavir Ranbaxy 800/200mg Lopinavir /Ritonavir Ranbaxy (keturias 200/50mg tabletes) kartą per parą valgant ar ne valgio metu. Vienkartinė paros dozė turi būti skiriama tik tiems pacientams, kurie turi labai mažai su proteazių inhbitoriais (PI) susijusių mutacijų (t.y. mažiau kaip 3 mutacijos iš eilės klinikinio tyrimo metu, informacija apie populiaciją pilnai pateikiama 5.1 skyriuje). Taip pat, visada reikia atsižvelgti į mažesnio virologinio slopinimo (žr. 5.1 skyrių) ir didesnės viduriavimo tikimybės (žr. 4.8 skyrių) riziką, lyginant su rekomenduojamu standartiniu dozavimu du kartus per parą. </w:t>
      </w:r>
    </w:p>
    <w:p w14:paraId="58C3705C" w14:textId="77777777" w:rsidR="007D59EF" w:rsidRPr="001C7577" w:rsidRDefault="007D59EF" w:rsidP="007D59EF">
      <w:pPr>
        <w:spacing w:line="240" w:lineRule="auto"/>
        <w:rPr>
          <w:u w:val="single"/>
          <w:lang w:val="lt-LT"/>
        </w:rPr>
      </w:pPr>
    </w:p>
    <w:p w14:paraId="5CBA6252" w14:textId="241BF8C3" w:rsidR="007D59EF" w:rsidRPr="001C7577" w:rsidRDefault="003C1B10" w:rsidP="007D59EF">
      <w:pPr>
        <w:spacing w:line="240" w:lineRule="auto"/>
        <w:rPr>
          <w:lang w:val="lt-LT"/>
        </w:rPr>
      </w:pPr>
      <w:r>
        <w:rPr>
          <w:i/>
          <w:lang w:val="lt-LT"/>
        </w:rPr>
        <w:t xml:space="preserve">Vaikų populiacija </w:t>
      </w:r>
      <w:r w:rsidR="007D59EF" w:rsidRPr="001C7577">
        <w:rPr>
          <w:i/>
          <w:lang w:val="lt-LT"/>
        </w:rPr>
        <w:t>(2 metų ir vyresniems):</w:t>
      </w:r>
      <w:r w:rsidR="007D59EF" w:rsidRPr="001C7577">
        <w:rPr>
          <w:lang w:val="lt-LT"/>
        </w:rPr>
        <w:t xml:space="preserve"> suaugusiesiems skirtą lopinaviro/ritonaviro tablečių dozę (400/100 mg du kartus per parą) gali vartoti vaikai, sveriantys 40 kg ir daugiau arba vaikai, kurių kūno paviršiaus plotas (KPP)* yra didesnis už 1,4 m</w:t>
      </w:r>
      <w:r w:rsidR="007D59EF" w:rsidRPr="001C7577">
        <w:rPr>
          <w:vertAlign w:val="superscript"/>
          <w:lang w:val="lt-LT"/>
        </w:rPr>
        <w:t>2</w:t>
      </w:r>
      <w:r w:rsidR="007D59EF" w:rsidRPr="001C7577">
        <w:rPr>
          <w:lang w:val="lt-LT"/>
        </w:rPr>
        <w:t>. Dozavimas vaikams, kurie sveria mažiau, kaip 40 kg arba jų KPP yra 0,5 -1,4 m</w:t>
      </w:r>
      <w:r w:rsidR="007D59EF" w:rsidRPr="001C7577">
        <w:rPr>
          <w:vertAlign w:val="superscript"/>
          <w:lang w:val="lt-LT"/>
        </w:rPr>
        <w:t>2</w:t>
      </w:r>
      <w:r w:rsidR="007D59EF" w:rsidRPr="001C7577">
        <w:rPr>
          <w:lang w:val="lt-LT"/>
        </w:rPr>
        <w:t xml:space="preserve">, bet gali ryti tabletes, pateikiamas lentelėje žemiau. </w:t>
      </w:r>
    </w:p>
    <w:p w14:paraId="755AC904" w14:textId="77777777" w:rsidR="007D59EF" w:rsidRPr="001C7577" w:rsidRDefault="007D59EF" w:rsidP="007D59EF">
      <w:pPr>
        <w:spacing w:line="240" w:lineRule="auto"/>
        <w:rPr>
          <w:lang w:val="lt-LT"/>
        </w:rPr>
      </w:pPr>
    </w:p>
    <w:p w14:paraId="36DE8781" w14:textId="77777777" w:rsidR="007D59EF" w:rsidRPr="001C7577" w:rsidRDefault="007D59EF" w:rsidP="007D59EF">
      <w:pPr>
        <w:autoSpaceDE w:val="0"/>
        <w:autoSpaceDN w:val="0"/>
        <w:adjustRightInd w:val="0"/>
        <w:spacing w:line="240" w:lineRule="auto"/>
        <w:rPr>
          <w:lang w:val="lt-LT"/>
        </w:rPr>
      </w:pPr>
      <w:r w:rsidRPr="001C7577">
        <w:rPr>
          <w:lang w:val="lt-LT"/>
        </w:rPr>
        <w:t>Prieš skiriant lopinaviro/ritonaviro tabletes kūdikiams ir mažiems vaikams, reikia įvertinti jų gebėjimą nuryti visą tabletę. Jei nesate tikri, ar vaikas sugebės nuryti lopinaviro/ritonaviro tabletę, reikia skirti geriamojį lopinaviro/ritonaviro tirpalą. Lopinavir/Ritonavir tablečių skyrimas kartą per parą netirtas vaikams.</w:t>
      </w:r>
    </w:p>
    <w:p w14:paraId="12012CAB" w14:textId="77777777" w:rsidR="007D59EF" w:rsidRPr="001C7577" w:rsidRDefault="007D59EF" w:rsidP="007D59EF">
      <w:pPr>
        <w:autoSpaceDE w:val="0"/>
        <w:autoSpaceDN w:val="0"/>
        <w:adjustRightInd w:val="0"/>
        <w:spacing w:line="240" w:lineRule="auto"/>
        <w:rPr>
          <w:lang w:val="lt-LT"/>
        </w:rPr>
      </w:pPr>
    </w:p>
    <w:p w14:paraId="521B5690" w14:textId="77777777" w:rsidR="007D59EF" w:rsidRPr="001C7577" w:rsidRDefault="007D59EF" w:rsidP="007D59EF">
      <w:pPr>
        <w:spacing w:line="240" w:lineRule="auto"/>
        <w:rPr>
          <w:lang w:val="lt-LT"/>
        </w:rPr>
      </w:pPr>
      <w:r w:rsidRPr="001C7577">
        <w:rPr>
          <w:lang w:val="lt-LT"/>
        </w:rPr>
        <w:t>Žemiau lentelėje pateiktos Lopinavir/Ritonavir 100/25 mg tablečių dozavimo rekomendacijos pagal KPP.</w:t>
      </w:r>
    </w:p>
    <w:p w14:paraId="7DD4C639" w14:textId="77777777" w:rsidR="007D59EF" w:rsidRPr="001C7577" w:rsidRDefault="007D59EF" w:rsidP="007D59EF">
      <w:pPr>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031"/>
      </w:tblGrid>
      <w:tr w:rsidR="007D59EF" w:rsidRPr="00705EEC" w14:paraId="40B97472" w14:textId="77777777" w:rsidTr="007D59EF">
        <w:tc>
          <w:tcPr>
            <w:tcW w:w="9134" w:type="dxa"/>
            <w:gridSpan w:val="2"/>
          </w:tcPr>
          <w:p w14:paraId="66C578D5" w14:textId="77777777" w:rsidR="007D59EF" w:rsidRPr="001C7577" w:rsidRDefault="007D59EF" w:rsidP="007D59EF">
            <w:pPr>
              <w:spacing w:line="240" w:lineRule="auto"/>
              <w:jc w:val="center"/>
              <w:rPr>
                <w:b/>
                <w:lang w:val="lt-LT"/>
              </w:rPr>
            </w:pPr>
            <w:r w:rsidRPr="001C7577">
              <w:rPr>
                <w:b/>
                <w:lang w:val="lt-LT"/>
              </w:rPr>
              <w:t>Dozavimo rekomendacijos vaikams</w:t>
            </w:r>
          </w:p>
        </w:tc>
      </w:tr>
      <w:tr w:rsidR="007D59EF" w:rsidRPr="00705EEC" w14:paraId="5E30EC8D" w14:textId="77777777" w:rsidTr="007D59EF">
        <w:tc>
          <w:tcPr>
            <w:tcW w:w="2977" w:type="dxa"/>
          </w:tcPr>
          <w:p w14:paraId="25B516ED" w14:textId="77777777" w:rsidR="007D59EF" w:rsidRPr="001C7577" w:rsidRDefault="007D59EF" w:rsidP="007D59EF">
            <w:pPr>
              <w:spacing w:line="240" w:lineRule="auto"/>
              <w:jc w:val="center"/>
              <w:rPr>
                <w:lang w:val="lt-LT"/>
              </w:rPr>
            </w:pPr>
            <w:r w:rsidRPr="001C7577">
              <w:rPr>
                <w:lang w:val="lt-LT"/>
              </w:rPr>
              <w:t>Kūno paviršiaus plotas (m</w:t>
            </w:r>
            <w:r w:rsidRPr="001C7577">
              <w:rPr>
                <w:vertAlign w:val="superscript"/>
                <w:lang w:val="lt-LT"/>
              </w:rPr>
              <w:t>2</w:t>
            </w:r>
            <w:r w:rsidRPr="001C7577">
              <w:rPr>
                <w:lang w:val="lt-LT"/>
              </w:rPr>
              <w:t>)</w:t>
            </w:r>
          </w:p>
        </w:tc>
        <w:tc>
          <w:tcPr>
            <w:tcW w:w="6157" w:type="dxa"/>
          </w:tcPr>
          <w:p w14:paraId="2F3D4FF3" w14:textId="77777777" w:rsidR="007D59EF" w:rsidRPr="001C7577" w:rsidRDefault="007D59EF" w:rsidP="007D59EF">
            <w:pPr>
              <w:spacing w:line="240" w:lineRule="auto"/>
              <w:jc w:val="center"/>
              <w:rPr>
                <w:lang w:val="lt-LT"/>
              </w:rPr>
            </w:pPr>
            <w:r w:rsidRPr="001C7577">
              <w:rPr>
                <w:lang w:val="lt-LT"/>
              </w:rPr>
              <w:t>Rekomenduojamas 100/25 mg tablečių kiekis, du kartus per parą</w:t>
            </w:r>
          </w:p>
        </w:tc>
      </w:tr>
      <w:tr w:rsidR="007D59EF" w:rsidRPr="00705EEC" w14:paraId="32E35299" w14:textId="77777777" w:rsidTr="007D59EF">
        <w:tc>
          <w:tcPr>
            <w:tcW w:w="2977" w:type="dxa"/>
          </w:tcPr>
          <w:p w14:paraId="15EFBDCF" w14:textId="77777777" w:rsidR="007D59EF" w:rsidRPr="001C7577" w:rsidRDefault="007D59EF" w:rsidP="007D59EF">
            <w:pPr>
              <w:spacing w:line="240" w:lineRule="auto"/>
              <w:jc w:val="center"/>
              <w:rPr>
                <w:lang w:val="lt-LT"/>
              </w:rPr>
            </w:pPr>
            <w:r w:rsidRPr="001C7577">
              <w:rPr>
                <w:lang w:val="lt-LT"/>
              </w:rPr>
              <w:t xml:space="preserve"> nuo ≥0,5 iki &lt;0,9</w:t>
            </w:r>
          </w:p>
        </w:tc>
        <w:tc>
          <w:tcPr>
            <w:tcW w:w="6157" w:type="dxa"/>
          </w:tcPr>
          <w:p w14:paraId="295166D9" w14:textId="77777777" w:rsidR="007D59EF" w:rsidRPr="001C7577" w:rsidRDefault="007D59EF" w:rsidP="007D59EF">
            <w:pPr>
              <w:spacing w:line="240" w:lineRule="auto"/>
              <w:jc w:val="center"/>
              <w:rPr>
                <w:lang w:val="lt-LT"/>
              </w:rPr>
            </w:pPr>
            <w:r w:rsidRPr="001C7577">
              <w:rPr>
                <w:lang w:val="lt-LT"/>
              </w:rPr>
              <w:t>2 tabletės (200/50 mg)</w:t>
            </w:r>
          </w:p>
        </w:tc>
      </w:tr>
      <w:tr w:rsidR="007D59EF" w:rsidRPr="00705EEC" w14:paraId="278BB466" w14:textId="77777777" w:rsidTr="007D59EF">
        <w:tc>
          <w:tcPr>
            <w:tcW w:w="2977" w:type="dxa"/>
          </w:tcPr>
          <w:p w14:paraId="55E48129" w14:textId="77777777" w:rsidR="007D59EF" w:rsidRPr="001C7577" w:rsidRDefault="007D59EF" w:rsidP="007D59EF">
            <w:pPr>
              <w:spacing w:line="240" w:lineRule="auto"/>
              <w:jc w:val="center"/>
              <w:rPr>
                <w:lang w:val="lt-LT"/>
              </w:rPr>
            </w:pPr>
            <w:r w:rsidRPr="001C7577">
              <w:rPr>
                <w:lang w:val="lt-LT"/>
              </w:rPr>
              <w:t>nuo ≥0,9 iki &lt;1,4</w:t>
            </w:r>
          </w:p>
        </w:tc>
        <w:tc>
          <w:tcPr>
            <w:tcW w:w="6157" w:type="dxa"/>
          </w:tcPr>
          <w:p w14:paraId="3A3BE9F8" w14:textId="77777777" w:rsidR="007D59EF" w:rsidRPr="001C7577" w:rsidRDefault="007D59EF" w:rsidP="007D59EF">
            <w:pPr>
              <w:spacing w:line="240" w:lineRule="auto"/>
              <w:jc w:val="center"/>
              <w:rPr>
                <w:lang w:val="lt-LT"/>
              </w:rPr>
            </w:pPr>
            <w:r w:rsidRPr="001C7577">
              <w:rPr>
                <w:lang w:val="lt-LT"/>
              </w:rPr>
              <w:t>3 tabletės (300/75 mg)</w:t>
            </w:r>
          </w:p>
        </w:tc>
      </w:tr>
      <w:tr w:rsidR="007D59EF" w:rsidRPr="00705EEC" w14:paraId="217B2F4B" w14:textId="77777777" w:rsidTr="007D59EF">
        <w:tc>
          <w:tcPr>
            <w:tcW w:w="2977" w:type="dxa"/>
          </w:tcPr>
          <w:p w14:paraId="359476B6" w14:textId="77777777" w:rsidR="007D59EF" w:rsidRPr="001C7577" w:rsidRDefault="007D59EF" w:rsidP="007D59EF">
            <w:pPr>
              <w:spacing w:line="240" w:lineRule="auto"/>
              <w:jc w:val="center"/>
              <w:rPr>
                <w:lang w:val="lt-LT"/>
              </w:rPr>
            </w:pPr>
            <w:r w:rsidRPr="001C7577">
              <w:rPr>
                <w:lang w:val="lt-LT"/>
              </w:rPr>
              <w:t>nuo ≥1,4</w:t>
            </w:r>
          </w:p>
        </w:tc>
        <w:tc>
          <w:tcPr>
            <w:tcW w:w="6157" w:type="dxa"/>
          </w:tcPr>
          <w:p w14:paraId="1B9AECCD" w14:textId="77777777" w:rsidR="007D59EF" w:rsidRPr="001C7577" w:rsidRDefault="007D59EF" w:rsidP="007D59EF">
            <w:pPr>
              <w:spacing w:line="240" w:lineRule="auto"/>
              <w:jc w:val="center"/>
              <w:rPr>
                <w:lang w:val="lt-LT"/>
              </w:rPr>
            </w:pPr>
            <w:r w:rsidRPr="001C7577">
              <w:rPr>
                <w:lang w:val="lt-LT"/>
              </w:rPr>
              <w:t>4 tabletės (400/100 mg)</w:t>
            </w:r>
          </w:p>
        </w:tc>
      </w:tr>
    </w:tbl>
    <w:p w14:paraId="0DD21A47" w14:textId="77777777" w:rsidR="007D59EF" w:rsidRPr="001C7577" w:rsidRDefault="007D59EF" w:rsidP="007D59EF">
      <w:pPr>
        <w:spacing w:line="240" w:lineRule="auto"/>
        <w:rPr>
          <w:lang w:val="lt-LT"/>
        </w:rPr>
      </w:pPr>
    </w:p>
    <w:p w14:paraId="5046DAF3" w14:textId="77777777" w:rsidR="007D59EF" w:rsidRPr="001C7577" w:rsidRDefault="007D59EF" w:rsidP="007D59EF">
      <w:pPr>
        <w:spacing w:line="240" w:lineRule="auto"/>
        <w:rPr>
          <w:lang w:val="lt-LT"/>
        </w:rPr>
      </w:pPr>
      <w:r w:rsidRPr="001C7577">
        <w:rPr>
          <w:lang w:val="lt-LT"/>
        </w:rPr>
        <w:t xml:space="preserve">Jei pacientui priimtiniau, 200/50 mg tabletės taip pat gali būti naudojamos vienos arba kartu su 100/25 mg tabletėmis tam, kad būtų pasiekta rekomenduojama dozė.  </w:t>
      </w:r>
    </w:p>
    <w:p w14:paraId="494A8F38" w14:textId="77777777" w:rsidR="007D59EF" w:rsidRPr="001C7577" w:rsidRDefault="007D59EF" w:rsidP="007D59EF">
      <w:pPr>
        <w:spacing w:line="240" w:lineRule="auto"/>
        <w:rPr>
          <w:lang w:val="lt-LT"/>
        </w:rPr>
      </w:pPr>
    </w:p>
    <w:tbl>
      <w:tblPr>
        <w:tblW w:w="5000" w:type="pct"/>
        <w:tblCellSpacing w:w="15" w:type="dxa"/>
        <w:tblCellMar>
          <w:left w:w="0" w:type="dxa"/>
          <w:right w:w="0" w:type="dxa"/>
        </w:tblCellMar>
        <w:tblLook w:val="04A0" w:firstRow="1" w:lastRow="0" w:firstColumn="1" w:lastColumn="0" w:noHBand="0" w:noVBand="1"/>
      </w:tblPr>
      <w:tblGrid>
        <w:gridCol w:w="147"/>
        <w:gridCol w:w="8776"/>
        <w:gridCol w:w="147"/>
      </w:tblGrid>
      <w:tr w:rsidR="007D59EF" w:rsidRPr="00705EEC" w14:paraId="2ABE291A" w14:textId="77777777" w:rsidTr="007D59EF">
        <w:trPr>
          <w:tblCellSpacing w:w="15" w:type="dxa"/>
        </w:trPr>
        <w:tc>
          <w:tcPr>
            <w:tcW w:w="97" w:type="pct"/>
            <w:tcMar>
              <w:top w:w="15" w:type="dxa"/>
              <w:left w:w="15" w:type="dxa"/>
              <w:bottom w:w="15" w:type="dxa"/>
              <w:right w:w="15" w:type="dxa"/>
            </w:tcMar>
            <w:vAlign w:val="center"/>
            <w:hideMark/>
          </w:tcPr>
          <w:p w14:paraId="4C65233F" w14:textId="77777777" w:rsidR="007D59EF" w:rsidRPr="001C7577" w:rsidRDefault="007D59EF" w:rsidP="007D59EF">
            <w:pPr>
              <w:spacing w:line="240" w:lineRule="auto"/>
              <w:rPr>
                <w:lang w:val="lt-LT"/>
              </w:rPr>
            </w:pPr>
          </w:p>
          <w:p w14:paraId="5F0601CD" w14:textId="77777777" w:rsidR="007D59EF" w:rsidRPr="001C7577" w:rsidRDefault="007D59EF" w:rsidP="007D59EF">
            <w:pPr>
              <w:spacing w:line="240" w:lineRule="auto"/>
              <w:rPr>
                <w:lang w:val="lt-LT"/>
              </w:rPr>
            </w:pPr>
          </w:p>
        </w:tc>
        <w:tc>
          <w:tcPr>
            <w:tcW w:w="0" w:type="auto"/>
            <w:tcMar>
              <w:top w:w="15" w:type="dxa"/>
              <w:left w:w="15" w:type="dxa"/>
              <w:bottom w:w="15" w:type="dxa"/>
              <w:right w:w="15" w:type="dxa"/>
            </w:tcMar>
            <w:vAlign w:val="center"/>
            <w:hideMark/>
          </w:tcPr>
          <w:p w14:paraId="047FEE1E" w14:textId="77777777" w:rsidR="007D59EF" w:rsidRPr="001C7577" w:rsidRDefault="007D59EF" w:rsidP="007D59EF">
            <w:pPr>
              <w:spacing w:line="240" w:lineRule="auto"/>
              <w:rPr>
                <w:lang w:val="lt-LT"/>
              </w:rPr>
            </w:pPr>
            <w:r w:rsidRPr="001C7577">
              <w:rPr>
                <w:lang w:val="lt-LT"/>
              </w:rPr>
              <w:t>* Kūno paviršiaus plotą galima apskaičiuoti pagal šią formulę:</w:t>
            </w:r>
          </w:p>
          <w:p w14:paraId="3ADEA3CE" w14:textId="77777777" w:rsidR="007D59EF" w:rsidRPr="001C7577" w:rsidRDefault="007D59EF" w:rsidP="007D59EF">
            <w:pPr>
              <w:spacing w:line="240" w:lineRule="auto"/>
              <w:rPr>
                <w:lang w:val="lt-LT"/>
              </w:rPr>
            </w:pPr>
          </w:p>
          <w:p w14:paraId="0A3EE470" w14:textId="77777777" w:rsidR="007D59EF" w:rsidRPr="001C7577" w:rsidRDefault="007D59EF" w:rsidP="007D59EF">
            <w:pPr>
              <w:spacing w:line="240" w:lineRule="auto"/>
              <w:jc w:val="center"/>
              <w:rPr>
                <w:lang w:val="lt-LT"/>
              </w:rPr>
            </w:pPr>
            <w:r w:rsidRPr="001C7577">
              <w:rPr>
                <w:lang w:val="lt-LT"/>
              </w:rPr>
              <w:t>KPP (m</w:t>
            </w:r>
            <w:r w:rsidRPr="001C7577">
              <w:rPr>
                <w:vertAlign w:val="superscript"/>
                <w:lang w:val="lt-LT"/>
              </w:rPr>
              <w:t>2</w:t>
            </w:r>
            <w:r w:rsidRPr="001C7577">
              <w:rPr>
                <w:lang w:val="lt-LT"/>
              </w:rPr>
              <w:t xml:space="preserve">) = √ (Ūgis (cm) </w:t>
            </w:r>
            <w:r w:rsidRPr="001C7577">
              <w:rPr>
                <w:vertAlign w:val="superscript"/>
                <w:lang w:val="lt-LT"/>
              </w:rPr>
              <w:t>x</w:t>
            </w:r>
            <w:r w:rsidRPr="001C7577">
              <w:rPr>
                <w:lang w:val="lt-LT"/>
              </w:rPr>
              <w:t xml:space="preserve"> Svoris (kg) / 3600)</w:t>
            </w:r>
          </w:p>
          <w:p w14:paraId="29CE64EC" w14:textId="77777777" w:rsidR="007D59EF" w:rsidRPr="001C7577" w:rsidRDefault="007D59EF" w:rsidP="007D59EF">
            <w:pPr>
              <w:spacing w:line="240" w:lineRule="auto"/>
              <w:rPr>
                <w:i/>
                <w:lang w:val="lt-LT"/>
              </w:rPr>
            </w:pPr>
          </w:p>
          <w:p w14:paraId="6E02691B" w14:textId="77777777" w:rsidR="007D59EF" w:rsidRPr="001C7577" w:rsidRDefault="007D59EF" w:rsidP="007D59EF">
            <w:pPr>
              <w:spacing w:line="240" w:lineRule="auto"/>
              <w:rPr>
                <w:lang w:val="lt-LT"/>
              </w:rPr>
            </w:pPr>
            <w:r w:rsidRPr="001C7577">
              <w:rPr>
                <w:i/>
                <w:lang w:val="lt-LT"/>
              </w:rPr>
              <w:t>Jaunesniems kaip 2 metų vaikams</w:t>
            </w:r>
            <w:r w:rsidRPr="001C7577">
              <w:rPr>
                <w:lang w:val="lt-LT"/>
              </w:rPr>
              <w:t xml:space="preserve">: lopinaviro/ritonaviro saugumas ir veiksmingumas, skiriant jaunesniems kaip 2 metų vaikams, nėra ištirtas. Šiuo metu turimi duomenys yra pateikti 5.2 skyriuje, tačiau vartojimo rekomendacijų nėra nustatyta. </w:t>
            </w:r>
          </w:p>
          <w:p w14:paraId="6D871390" w14:textId="77777777" w:rsidR="007D59EF" w:rsidRPr="001C7577" w:rsidRDefault="007D59EF" w:rsidP="007D59EF">
            <w:pPr>
              <w:spacing w:line="240" w:lineRule="auto"/>
              <w:rPr>
                <w:i/>
                <w:lang w:val="lt-LT"/>
              </w:rPr>
            </w:pPr>
          </w:p>
          <w:p w14:paraId="72066496" w14:textId="77777777" w:rsidR="007D59EF" w:rsidRPr="001C7577" w:rsidRDefault="007D59EF" w:rsidP="007D59EF">
            <w:pPr>
              <w:spacing w:line="240" w:lineRule="auto"/>
              <w:rPr>
                <w:i/>
                <w:lang w:val="lt-LT"/>
              </w:rPr>
            </w:pPr>
            <w:r w:rsidRPr="001C7577">
              <w:rPr>
                <w:i/>
                <w:lang w:val="lt-LT"/>
              </w:rPr>
              <w:t>Kartu vartojami vaistai: Efavirenzas ar nevirapinas</w:t>
            </w:r>
          </w:p>
          <w:p w14:paraId="7A4DB045" w14:textId="77777777" w:rsidR="007D59EF" w:rsidRPr="001C7577" w:rsidRDefault="007D59EF" w:rsidP="007D59EF">
            <w:pPr>
              <w:spacing w:line="240" w:lineRule="auto"/>
              <w:rPr>
                <w:i/>
                <w:lang w:val="lt-LT"/>
              </w:rPr>
            </w:pPr>
          </w:p>
          <w:p w14:paraId="117048EC" w14:textId="77777777" w:rsidR="007D59EF" w:rsidRPr="001C7577" w:rsidRDefault="007D59EF" w:rsidP="007D59EF">
            <w:pPr>
              <w:spacing w:line="240" w:lineRule="auto"/>
              <w:rPr>
                <w:lang w:val="lt-LT"/>
              </w:rPr>
            </w:pPr>
            <w:r w:rsidRPr="001C7577">
              <w:rPr>
                <w:lang w:val="lt-LT"/>
              </w:rPr>
              <w:t>Žemiau lentelėje pateiktos lopinaviro/ ritonaviro tablečių dozavimo rekomendacijos pagal KPP vaikams, kurie kartu vartoja efavirenzo ar nevirapino.</w:t>
            </w:r>
          </w:p>
          <w:p w14:paraId="1BAA30F8" w14:textId="77777777" w:rsidR="007D59EF" w:rsidRPr="001C7577" w:rsidRDefault="007D59EF" w:rsidP="007D59EF">
            <w:pPr>
              <w:spacing w:line="240" w:lineRule="auto"/>
              <w:ind w:left="1134"/>
              <w:rPr>
                <w:lang w:val="lt-LT"/>
              </w:rPr>
            </w:pPr>
          </w:p>
          <w:tbl>
            <w:tblPr>
              <w:tblW w:w="863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5038"/>
            </w:tblGrid>
            <w:tr w:rsidR="007D59EF" w:rsidRPr="00705EEC" w14:paraId="21EA136D" w14:textId="77777777" w:rsidTr="007D59EF">
              <w:trPr>
                <w:trHeight w:val="374"/>
              </w:trPr>
              <w:tc>
                <w:tcPr>
                  <w:tcW w:w="8635" w:type="dxa"/>
                  <w:gridSpan w:val="2"/>
                </w:tcPr>
                <w:p w14:paraId="6B256C83" w14:textId="77777777" w:rsidR="007D59EF" w:rsidRPr="001C7577" w:rsidRDefault="007D59EF" w:rsidP="007D59EF">
                  <w:pPr>
                    <w:spacing w:line="240" w:lineRule="auto"/>
                    <w:jc w:val="center"/>
                    <w:rPr>
                      <w:b/>
                      <w:lang w:val="lt-LT"/>
                    </w:rPr>
                  </w:pPr>
                  <w:r w:rsidRPr="001C7577">
                    <w:rPr>
                      <w:b/>
                      <w:lang w:val="lt-LT"/>
                    </w:rPr>
                    <w:t>Dozavimo rekomendacijos vaikams,</w:t>
                  </w:r>
                </w:p>
                <w:p w14:paraId="15C0D64D" w14:textId="77777777" w:rsidR="007D59EF" w:rsidRPr="001C7577" w:rsidRDefault="007D59EF" w:rsidP="007D59EF">
                  <w:pPr>
                    <w:spacing w:line="240" w:lineRule="auto"/>
                    <w:jc w:val="center"/>
                    <w:rPr>
                      <w:b/>
                      <w:lang w:val="lt-LT"/>
                    </w:rPr>
                  </w:pPr>
                  <w:r w:rsidRPr="001C7577">
                    <w:rPr>
                      <w:b/>
                      <w:lang w:val="lt-LT"/>
                    </w:rPr>
                    <w:t>kartu vartojantiems efavirenzo ar nevirapino</w:t>
                  </w:r>
                </w:p>
              </w:tc>
            </w:tr>
            <w:tr w:rsidR="007D59EF" w:rsidRPr="00705EEC" w14:paraId="4ED2723B" w14:textId="77777777" w:rsidTr="007D59EF">
              <w:trPr>
                <w:trHeight w:val="1328"/>
              </w:trPr>
              <w:tc>
                <w:tcPr>
                  <w:tcW w:w="3597" w:type="dxa"/>
                </w:tcPr>
                <w:p w14:paraId="2BF81311" w14:textId="77777777" w:rsidR="007D59EF" w:rsidRPr="001C7577" w:rsidRDefault="007D59EF" w:rsidP="007D59EF">
                  <w:pPr>
                    <w:spacing w:line="240" w:lineRule="auto"/>
                    <w:rPr>
                      <w:lang w:val="lt-LT"/>
                    </w:rPr>
                  </w:pPr>
                  <w:r w:rsidRPr="001C7577">
                    <w:rPr>
                      <w:lang w:val="lt-LT"/>
                    </w:rPr>
                    <w:lastRenderedPageBreak/>
                    <w:t>Kūno paviršiaus plotas (m</w:t>
                  </w:r>
                  <w:r w:rsidRPr="001C7577">
                    <w:rPr>
                      <w:vertAlign w:val="superscript"/>
                      <w:lang w:val="lt-LT"/>
                    </w:rPr>
                    <w:t>2</w:t>
                  </w:r>
                  <w:r w:rsidRPr="001C7577">
                    <w:rPr>
                      <w:lang w:val="lt-LT"/>
                    </w:rPr>
                    <w:t>)</w:t>
                  </w:r>
                </w:p>
              </w:tc>
              <w:tc>
                <w:tcPr>
                  <w:tcW w:w="5038" w:type="dxa"/>
                </w:tcPr>
                <w:p w14:paraId="67003E2D" w14:textId="77777777" w:rsidR="007D59EF" w:rsidRPr="001C7577" w:rsidRDefault="007D59EF" w:rsidP="007D59EF">
                  <w:pPr>
                    <w:spacing w:line="240" w:lineRule="auto"/>
                    <w:jc w:val="center"/>
                    <w:rPr>
                      <w:lang w:val="lt-LT"/>
                    </w:rPr>
                  </w:pPr>
                  <w:r w:rsidRPr="001C7577">
                    <w:rPr>
                      <w:lang w:val="lt-LT"/>
                    </w:rPr>
                    <w:t>Rekomenduojama lopinaviro/ritonaviro dozė</w:t>
                  </w:r>
                </w:p>
                <w:p w14:paraId="0F5E3DBC" w14:textId="77777777" w:rsidR="007D59EF" w:rsidRPr="001C7577" w:rsidRDefault="007D59EF" w:rsidP="007D59EF">
                  <w:pPr>
                    <w:spacing w:line="240" w:lineRule="auto"/>
                    <w:jc w:val="center"/>
                    <w:rPr>
                      <w:lang w:val="lt-LT"/>
                    </w:rPr>
                  </w:pPr>
                  <w:r w:rsidRPr="001C7577">
                    <w:rPr>
                      <w:lang w:val="lt-LT"/>
                    </w:rPr>
                    <w:t>(mg) du kartus per parą.</w:t>
                  </w:r>
                </w:p>
                <w:p w14:paraId="2D7312AA" w14:textId="77777777" w:rsidR="007D59EF" w:rsidRPr="001C7577" w:rsidRDefault="007D59EF" w:rsidP="007D59EF">
                  <w:pPr>
                    <w:spacing w:line="240" w:lineRule="auto"/>
                    <w:jc w:val="center"/>
                    <w:rPr>
                      <w:lang w:val="lt-LT"/>
                    </w:rPr>
                  </w:pPr>
                  <w:r w:rsidRPr="001C7577">
                    <w:rPr>
                      <w:lang w:val="lt-LT"/>
                    </w:rPr>
                    <w:t>Reikiamą dozę galima gauti vartojant dviejų</w:t>
                  </w:r>
                </w:p>
                <w:p w14:paraId="329FD488" w14:textId="77777777" w:rsidR="007D59EF" w:rsidRPr="001C7577" w:rsidRDefault="007D59EF" w:rsidP="007D59EF">
                  <w:pPr>
                    <w:spacing w:line="240" w:lineRule="auto"/>
                    <w:jc w:val="center"/>
                    <w:rPr>
                      <w:lang w:val="lt-LT"/>
                    </w:rPr>
                  </w:pPr>
                  <w:r w:rsidRPr="001C7577">
                    <w:rPr>
                      <w:lang w:val="lt-LT"/>
                    </w:rPr>
                    <w:t>dozuočių lopinaviro/ritonaviro tabletes: 100/25 mg ir</w:t>
                  </w:r>
                </w:p>
                <w:p w14:paraId="38A937E7" w14:textId="77777777" w:rsidR="007D59EF" w:rsidRPr="001C7577" w:rsidRDefault="007D59EF" w:rsidP="007D59EF">
                  <w:pPr>
                    <w:spacing w:line="240" w:lineRule="auto"/>
                    <w:jc w:val="center"/>
                    <w:rPr>
                      <w:lang w:val="lt-LT"/>
                    </w:rPr>
                  </w:pPr>
                  <w:r w:rsidRPr="001C7577">
                    <w:rPr>
                      <w:lang w:val="lt-LT"/>
                    </w:rPr>
                    <w:t xml:space="preserve">200/50 mg.* </w:t>
                  </w:r>
                </w:p>
              </w:tc>
            </w:tr>
            <w:tr w:rsidR="007D59EF" w:rsidRPr="00705EEC" w14:paraId="60C0D7F8" w14:textId="77777777" w:rsidTr="007D59EF">
              <w:tc>
                <w:tcPr>
                  <w:tcW w:w="3597" w:type="dxa"/>
                </w:tcPr>
                <w:p w14:paraId="7A752F0D" w14:textId="77777777" w:rsidR="007D59EF" w:rsidRPr="001C7577" w:rsidRDefault="007D59EF" w:rsidP="007D59EF">
                  <w:pPr>
                    <w:spacing w:line="240" w:lineRule="auto"/>
                    <w:jc w:val="center"/>
                    <w:rPr>
                      <w:lang w:val="lt-LT"/>
                    </w:rPr>
                  </w:pPr>
                  <w:r w:rsidRPr="001C7577">
                    <w:rPr>
                      <w:lang w:val="lt-LT"/>
                    </w:rPr>
                    <w:t>≥ 0.5 to &lt; 0.8</w:t>
                  </w:r>
                </w:p>
              </w:tc>
              <w:tc>
                <w:tcPr>
                  <w:tcW w:w="5038" w:type="dxa"/>
                </w:tcPr>
                <w:p w14:paraId="7C9AFBF5" w14:textId="77777777" w:rsidR="007D59EF" w:rsidRPr="001C7577" w:rsidRDefault="007D59EF" w:rsidP="007D59EF">
                  <w:pPr>
                    <w:spacing w:line="240" w:lineRule="auto"/>
                    <w:jc w:val="center"/>
                    <w:rPr>
                      <w:lang w:val="lt-LT"/>
                    </w:rPr>
                  </w:pPr>
                  <w:r w:rsidRPr="001C7577">
                    <w:rPr>
                      <w:lang w:val="lt-LT"/>
                    </w:rPr>
                    <w:t>200/50 mg</w:t>
                  </w:r>
                </w:p>
              </w:tc>
            </w:tr>
            <w:tr w:rsidR="007D59EF" w:rsidRPr="00705EEC" w14:paraId="231D0601" w14:textId="77777777" w:rsidTr="007D59EF">
              <w:tc>
                <w:tcPr>
                  <w:tcW w:w="3597" w:type="dxa"/>
                </w:tcPr>
                <w:p w14:paraId="612A2992" w14:textId="77777777" w:rsidR="007D59EF" w:rsidRPr="001C7577" w:rsidRDefault="007D59EF" w:rsidP="007D59EF">
                  <w:pPr>
                    <w:spacing w:line="240" w:lineRule="auto"/>
                    <w:jc w:val="center"/>
                    <w:rPr>
                      <w:lang w:val="lt-LT"/>
                    </w:rPr>
                  </w:pPr>
                  <w:r w:rsidRPr="001C7577">
                    <w:rPr>
                      <w:lang w:val="lt-LT"/>
                    </w:rPr>
                    <w:t>≥ 0.8 to &lt; 1.2</w:t>
                  </w:r>
                </w:p>
              </w:tc>
              <w:tc>
                <w:tcPr>
                  <w:tcW w:w="5038" w:type="dxa"/>
                </w:tcPr>
                <w:p w14:paraId="2989B622" w14:textId="77777777" w:rsidR="007D59EF" w:rsidRPr="001C7577" w:rsidRDefault="007D59EF" w:rsidP="007D59EF">
                  <w:pPr>
                    <w:spacing w:line="240" w:lineRule="auto"/>
                    <w:jc w:val="center"/>
                    <w:rPr>
                      <w:lang w:val="lt-LT"/>
                    </w:rPr>
                  </w:pPr>
                  <w:r w:rsidRPr="001C7577">
                    <w:rPr>
                      <w:lang w:val="lt-LT"/>
                    </w:rPr>
                    <w:t>300/75 mg</w:t>
                  </w:r>
                </w:p>
              </w:tc>
            </w:tr>
            <w:tr w:rsidR="007D59EF" w:rsidRPr="00705EEC" w14:paraId="1E3D38FC" w14:textId="77777777" w:rsidTr="007D59EF">
              <w:tc>
                <w:tcPr>
                  <w:tcW w:w="3597" w:type="dxa"/>
                </w:tcPr>
                <w:p w14:paraId="2B7C0B10" w14:textId="77777777" w:rsidR="007D59EF" w:rsidRPr="001C7577" w:rsidRDefault="007D59EF" w:rsidP="007D59EF">
                  <w:pPr>
                    <w:spacing w:line="240" w:lineRule="auto"/>
                    <w:jc w:val="center"/>
                    <w:rPr>
                      <w:lang w:val="lt-LT"/>
                    </w:rPr>
                  </w:pPr>
                  <w:r w:rsidRPr="001C7577">
                    <w:rPr>
                      <w:lang w:val="lt-LT"/>
                    </w:rPr>
                    <w:t xml:space="preserve">≥ 1.2 to &lt; </w:t>
                  </w:r>
                  <w:r w:rsidRPr="001C7577">
                    <w:rPr>
                      <w:lang w:val="lt-LT"/>
                    </w:rPr>
                    <w:cr/>
                    <w:t>.4</w:t>
                  </w:r>
                </w:p>
              </w:tc>
              <w:tc>
                <w:tcPr>
                  <w:tcW w:w="5038" w:type="dxa"/>
                </w:tcPr>
                <w:p w14:paraId="50C12F37" w14:textId="77777777" w:rsidR="007D59EF" w:rsidRPr="001C7577" w:rsidRDefault="007D59EF" w:rsidP="007D59EF">
                  <w:pPr>
                    <w:spacing w:line="240" w:lineRule="auto"/>
                    <w:jc w:val="center"/>
                    <w:rPr>
                      <w:lang w:val="lt-LT"/>
                    </w:rPr>
                  </w:pPr>
                  <w:r w:rsidRPr="001C7577">
                    <w:rPr>
                      <w:lang w:val="lt-LT"/>
                    </w:rPr>
                    <w:t>400/100 mg</w:t>
                  </w:r>
                </w:p>
              </w:tc>
            </w:tr>
            <w:tr w:rsidR="007D59EF" w:rsidRPr="00705EEC" w14:paraId="49405806" w14:textId="77777777" w:rsidTr="007D59EF">
              <w:tc>
                <w:tcPr>
                  <w:tcW w:w="3597" w:type="dxa"/>
                </w:tcPr>
                <w:p w14:paraId="2DBFD385" w14:textId="77777777" w:rsidR="007D59EF" w:rsidRPr="001C7577" w:rsidRDefault="007D59EF" w:rsidP="007D59EF">
                  <w:pPr>
                    <w:spacing w:line="240" w:lineRule="auto"/>
                    <w:jc w:val="center"/>
                    <w:rPr>
                      <w:lang w:val="lt-LT"/>
                    </w:rPr>
                  </w:pPr>
                  <w:r w:rsidRPr="001C7577">
                    <w:rPr>
                      <w:lang w:val="lt-LT"/>
                    </w:rPr>
                    <w:t>≥ 1.4</w:t>
                  </w:r>
                </w:p>
              </w:tc>
              <w:tc>
                <w:tcPr>
                  <w:tcW w:w="5038" w:type="dxa"/>
                </w:tcPr>
                <w:p w14:paraId="33226318" w14:textId="77777777" w:rsidR="007D59EF" w:rsidRPr="001C7577" w:rsidRDefault="007D59EF" w:rsidP="007D59EF">
                  <w:pPr>
                    <w:spacing w:line="240" w:lineRule="auto"/>
                    <w:jc w:val="center"/>
                    <w:rPr>
                      <w:lang w:val="lt-LT"/>
                    </w:rPr>
                  </w:pPr>
                  <w:r w:rsidRPr="001C7577">
                    <w:rPr>
                      <w:lang w:val="lt-LT"/>
                    </w:rPr>
                    <w:t>500/125 mg</w:t>
                  </w:r>
                </w:p>
              </w:tc>
            </w:tr>
          </w:tbl>
          <w:p w14:paraId="447DC2E2" w14:textId="77777777" w:rsidR="007D59EF" w:rsidRPr="001C7577" w:rsidRDefault="007D59EF" w:rsidP="007D59EF">
            <w:pPr>
              <w:spacing w:line="240" w:lineRule="auto"/>
              <w:ind w:left="129"/>
              <w:jc w:val="both"/>
              <w:rPr>
                <w:lang w:val="lt-LT"/>
              </w:rPr>
            </w:pPr>
            <w:r w:rsidRPr="001C7577">
              <w:rPr>
                <w:lang w:val="lt-LT"/>
              </w:rPr>
              <w:t>* Lopinaviro/ritonaviro tablečių negalima kramtyti, laužyti ir traiškyti.</w:t>
            </w:r>
          </w:p>
          <w:p w14:paraId="27AA36BD" w14:textId="77777777" w:rsidR="007D59EF" w:rsidRPr="001C7577" w:rsidRDefault="007D59EF" w:rsidP="007D59EF">
            <w:pPr>
              <w:spacing w:line="240" w:lineRule="auto"/>
              <w:rPr>
                <w:lang w:val="lt-LT"/>
              </w:rPr>
            </w:pPr>
          </w:p>
        </w:tc>
        <w:tc>
          <w:tcPr>
            <w:tcW w:w="97" w:type="pct"/>
            <w:tcMar>
              <w:top w:w="15" w:type="dxa"/>
              <w:left w:w="15" w:type="dxa"/>
              <w:bottom w:w="15" w:type="dxa"/>
              <w:right w:w="15" w:type="dxa"/>
            </w:tcMar>
            <w:vAlign w:val="center"/>
            <w:hideMark/>
          </w:tcPr>
          <w:p w14:paraId="4802B3F2" w14:textId="77777777" w:rsidR="007D59EF" w:rsidRPr="001C7577" w:rsidRDefault="007D59EF" w:rsidP="007D59EF">
            <w:pPr>
              <w:spacing w:line="240" w:lineRule="auto"/>
              <w:rPr>
                <w:lang w:val="lt-LT"/>
              </w:rPr>
            </w:pPr>
          </w:p>
        </w:tc>
      </w:tr>
    </w:tbl>
    <w:p w14:paraId="5C3B8A48" w14:textId="77777777" w:rsidR="007D59EF" w:rsidRPr="001C7577" w:rsidRDefault="007D59EF" w:rsidP="007D59EF">
      <w:pPr>
        <w:spacing w:line="240" w:lineRule="auto"/>
        <w:rPr>
          <w:lang w:val="lt-LT"/>
        </w:rPr>
      </w:pPr>
      <w:r w:rsidRPr="001C7577">
        <w:rPr>
          <w:i/>
          <w:lang w:val="lt-LT"/>
        </w:rPr>
        <w:t xml:space="preserve">Kepenų funkcijos sutrikimas: </w:t>
      </w:r>
      <w:r w:rsidRPr="001C7577">
        <w:rPr>
          <w:lang w:val="lt-LT"/>
        </w:rPr>
        <w:t>ŽIV – infekuotiems pacientams, kuriems yra lengvas ar vidutinio sunkumo kepenų funkcijos sutrikimas, buvo stebimas vidutiniškai 30% lopinaviro kiekio padidėjimas, kuris, tikėtina, nėra kliniškai svarbus (žr. 5.2 skyrių). Nėra duomenų apie pacientus, kuriems yra sunkus kepenų funkcijos sutrikimas. Šiems pacientams negalima skirti lopinaviro/ritonaviro (žr. 4.3 skyrių).</w:t>
      </w:r>
    </w:p>
    <w:p w14:paraId="7334E311" w14:textId="77777777" w:rsidR="007D59EF" w:rsidRPr="001C7577" w:rsidRDefault="007D59EF" w:rsidP="007D59EF">
      <w:pPr>
        <w:spacing w:line="240" w:lineRule="auto"/>
        <w:rPr>
          <w:i/>
          <w:lang w:val="lt-LT"/>
        </w:rPr>
      </w:pPr>
    </w:p>
    <w:p w14:paraId="4EF7E721" w14:textId="77777777" w:rsidR="007D59EF" w:rsidRPr="001C7577" w:rsidRDefault="007D59EF" w:rsidP="007D59EF">
      <w:pPr>
        <w:spacing w:line="240" w:lineRule="auto"/>
        <w:rPr>
          <w:lang w:val="lt-LT"/>
        </w:rPr>
      </w:pPr>
      <w:r w:rsidRPr="001C7577">
        <w:rPr>
          <w:i/>
          <w:lang w:val="lt-LT"/>
        </w:rPr>
        <w:t xml:space="preserve">Inkstų funkcijos sutrikimas: </w:t>
      </w:r>
      <w:r w:rsidRPr="001C7577">
        <w:rPr>
          <w:lang w:val="lt-LT"/>
        </w:rPr>
        <w:t>kadangi lopinaviro/ritonaviro inkstų klirensas yra nežymus, todėl jų koncentracijos padidėjimo kraujo plazmoje nesitikima pacientams su sutrikusia inkstų funkcija. Lopinaviras/ritonaviras yra gerai surišantys baltymus, todėl mažai tikėtina, kad jie gali būti pašalinti atliekant peritoninę ar hemodializes.</w:t>
      </w:r>
    </w:p>
    <w:p w14:paraId="176AC2AB" w14:textId="77777777" w:rsidR="007D59EF" w:rsidRPr="001C7577" w:rsidRDefault="007D59EF" w:rsidP="007D59EF">
      <w:pPr>
        <w:spacing w:line="240" w:lineRule="auto"/>
        <w:rPr>
          <w:i/>
          <w:lang w:val="lt-LT"/>
        </w:rPr>
      </w:pPr>
    </w:p>
    <w:p w14:paraId="75BAE040" w14:textId="77777777" w:rsidR="007D59EF" w:rsidRPr="001C7577" w:rsidRDefault="007D59EF" w:rsidP="007D59EF">
      <w:pPr>
        <w:spacing w:line="240" w:lineRule="auto"/>
        <w:rPr>
          <w:u w:val="single"/>
          <w:lang w:val="lt-LT"/>
        </w:rPr>
      </w:pPr>
      <w:r w:rsidRPr="001C7577">
        <w:rPr>
          <w:u w:val="single"/>
          <w:lang w:val="lt-LT"/>
        </w:rPr>
        <w:t>Vartojimo metodas:</w:t>
      </w:r>
    </w:p>
    <w:p w14:paraId="1D39F80E" w14:textId="77777777" w:rsidR="007D59EF" w:rsidRPr="001C7577" w:rsidRDefault="007D59EF" w:rsidP="007D59EF">
      <w:pPr>
        <w:spacing w:line="240" w:lineRule="auto"/>
        <w:rPr>
          <w:u w:val="single"/>
          <w:lang w:val="lt-LT"/>
        </w:rPr>
      </w:pPr>
    </w:p>
    <w:p w14:paraId="69CAA9F2" w14:textId="6023220F" w:rsidR="007D59EF" w:rsidRPr="001C7577" w:rsidRDefault="007D59EF" w:rsidP="007D59EF">
      <w:pPr>
        <w:spacing w:line="240" w:lineRule="auto"/>
        <w:rPr>
          <w:lang w:val="lt-LT"/>
        </w:rPr>
      </w:pPr>
      <w:r w:rsidRPr="001C7577">
        <w:rPr>
          <w:u w:val="single"/>
          <w:lang w:val="lt-LT"/>
        </w:rPr>
        <w:t>Lopinaviro/ritonaviro tabletės yra vartojamos per burną</w:t>
      </w:r>
      <w:r w:rsidRPr="001C7577">
        <w:rPr>
          <w:lang w:val="lt-LT"/>
        </w:rPr>
        <w:t>, tabletę reikia nuryti visą, nekramtant, nelaužant ir</w:t>
      </w:r>
      <w:r w:rsidR="003C1B10">
        <w:rPr>
          <w:lang w:val="lt-LT"/>
        </w:rPr>
        <w:t xml:space="preserve"> </w:t>
      </w:r>
      <w:r w:rsidRPr="001C7577">
        <w:rPr>
          <w:lang w:val="lt-LT"/>
        </w:rPr>
        <w:t>netraiškant. Lopinaviro/ritonaviro tabletės gali būti vartojamos su maistu arba be jo.</w:t>
      </w:r>
    </w:p>
    <w:p w14:paraId="1EE69C62" w14:textId="77777777" w:rsidR="007D59EF" w:rsidRPr="00705EEC" w:rsidRDefault="007D59EF" w:rsidP="007D59EF">
      <w:pPr>
        <w:rPr>
          <w:szCs w:val="24"/>
          <w:lang w:val="lt-LT"/>
        </w:rPr>
      </w:pPr>
      <w:bookmarkStart w:id="0" w:name="CONTRAINDICATIONS"/>
      <w:bookmarkEnd w:id="0"/>
    </w:p>
    <w:p w14:paraId="100A0B8F"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4.3</w:t>
      </w:r>
      <w:r w:rsidRPr="00705EEC">
        <w:rPr>
          <w:rFonts w:ascii="Times New Roman" w:hAnsi="Times New Roman"/>
          <w:sz w:val="22"/>
          <w:lang w:val="lt-LT"/>
        </w:rPr>
        <w:tab/>
        <w:t>Kontraindikacijos</w:t>
      </w:r>
    </w:p>
    <w:p w14:paraId="6C6A2A03" w14:textId="77777777" w:rsidR="007D59EF" w:rsidRPr="00705EEC" w:rsidRDefault="007D59EF" w:rsidP="007D59EF">
      <w:pPr>
        <w:rPr>
          <w:szCs w:val="24"/>
          <w:lang w:val="lt-LT"/>
        </w:rPr>
      </w:pPr>
    </w:p>
    <w:p w14:paraId="3FDAB6B7" w14:textId="77777777" w:rsidR="007D59EF" w:rsidRPr="001C7577" w:rsidRDefault="007D59EF" w:rsidP="007D59EF">
      <w:pPr>
        <w:spacing w:line="240" w:lineRule="auto"/>
        <w:rPr>
          <w:szCs w:val="24"/>
          <w:lang w:val="lt-LT"/>
        </w:rPr>
      </w:pPr>
      <w:r w:rsidRPr="001C7577">
        <w:rPr>
          <w:szCs w:val="24"/>
          <w:lang w:val="lt-LT"/>
        </w:rPr>
        <w:t>Padidėjęs jautrumas veikliajai arba bet kuriai 6.1 skyriuje nurodytai pagalbinei medžiagai.</w:t>
      </w:r>
    </w:p>
    <w:p w14:paraId="44A06D76" w14:textId="77777777" w:rsidR="007D59EF" w:rsidRPr="001C7577" w:rsidRDefault="007D59EF" w:rsidP="007D59EF">
      <w:pPr>
        <w:spacing w:line="240" w:lineRule="auto"/>
        <w:rPr>
          <w:lang w:val="lt-LT"/>
        </w:rPr>
      </w:pPr>
    </w:p>
    <w:p w14:paraId="59941FAF" w14:textId="77777777" w:rsidR="007D59EF" w:rsidRPr="001C7577" w:rsidRDefault="007D59EF" w:rsidP="007D59EF">
      <w:pPr>
        <w:spacing w:line="240" w:lineRule="auto"/>
        <w:rPr>
          <w:lang w:val="lt-LT"/>
        </w:rPr>
      </w:pPr>
      <w:r w:rsidRPr="001C7577">
        <w:rPr>
          <w:lang w:val="lt-LT"/>
        </w:rPr>
        <w:t>Sunkus kepenų nepakankamumas.</w:t>
      </w:r>
    </w:p>
    <w:p w14:paraId="229051EB" w14:textId="77777777" w:rsidR="007D59EF" w:rsidRPr="001C7577" w:rsidRDefault="007D59EF" w:rsidP="007D59EF">
      <w:pPr>
        <w:spacing w:line="240" w:lineRule="auto"/>
        <w:rPr>
          <w:lang w:val="lt-LT"/>
        </w:rPr>
      </w:pPr>
    </w:p>
    <w:p w14:paraId="15A379F1" w14:textId="77777777" w:rsidR="007D59EF" w:rsidRPr="001C7577" w:rsidRDefault="007D59EF" w:rsidP="007D59EF">
      <w:pPr>
        <w:spacing w:line="240" w:lineRule="auto"/>
        <w:rPr>
          <w:lang w:val="lt-LT"/>
        </w:rPr>
      </w:pPr>
      <w:r w:rsidRPr="001C7577">
        <w:rPr>
          <w:lang w:val="lt-LT"/>
        </w:rPr>
        <w:t>Lopinavir /Ritonavir Ranbaxy yra lopinaviro ir ritonaviro, kurie abu yra P450 izoformos CYP3A inhibitoriai. Jo negalima vartoti kartu su vaistais, kurių klirensas labai priklauso nuo CYP3A ir kurių padidėjusi koncentracija plazmoje gali sukelti sunkius ir (ar) gyvybei gresiančius reiškinius. Šie vaistiniai preparatai išvardyti toliau:</w:t>
      </w:r>
    </w:p>
    <w:p w14:paraId="3B89D6A9" w14:textId="77777777" w:rsidR="007D59EF" w:rsidRPr="001C7577" w:rsidRDefault="007D59EF" w:rsidP="007D59EF">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5023"/>
      </w:tblGrid>
      <w:tr w:rsidR="007D59EF" w:rsidRPr="00705EEC" w14:paraId="56568F54" w14:textId="77777777" w:rsidTr="007D59EF">
        <w:tc>
          <w:tcPr>
            <w:tcW w:w="2093" w:type="dxa"/>
          </w:tcPr>
          <w:p w14:paraId="31FCEF81" w14:textId="77777777" w:rsidR="007D59EF" w:rsidRPr="001C7577" w:rsidRDefault="007D59EF" w:rsidP="007D59EF">
            <w:pPr>
              <w:spacing w:line="240" w:lineRule="auto"/>
              <w:jc w:val="center"/>
              <w:rPr>
                <w:b/>
                <w:lang w:val="lt-LT"/>
              </w:rPr>
            </w:pPr>
            <w:r w:rsidRPr="001C7577">
              <w:rPr>
                <w:b/>
                <w:lang w:val="lt-LT"/>
              </w:rPr>
              <w:t>Vaistinio preparato grupė</w:t>
            </w:r>
          </w:p>
        </w:tc>
        <w:tc>
          <w:tcPr>
            <w:tcW w:w="2126" w:type="dxa"/>
          </w:tcPr>
          <w:p w14:paraId="4F7D0719" w14:textId="77777777" w:rsidR="007D59EF" w:rsidRPr="001C7577" w:rsidRDefault="007D59EF" w:rsidP="007D59EF">
            <w:pPr>
              <w:spacing w:line="240" w:lineRule="auto"/>
              <w:jc w:val="center"/>
              <w:rPr>
                <w:b/>
                <w:lang w:val="lt-LT"/>
              </w:rPr>
            </w:pPr>
            <w:r w:rsidRPr="001C7577">
              <w:rPr>
                <w:b/>
                <w:lang w:val="lt-LT"/>
              </w:rPr>
              <w:t>Vaistinio preparato pavadinimas</w:t>
            </w:r>
          </w:p>
        </w:tc>
        <w:tc>
          <w:tcPr>
            <w:tcW w:w="5023" w:type="dxa"/>
          </w:tcPr>
          <w:p w14:paraId="0A861EC1" w14:textId="77777777" w:rsidR="007D59EF" w:rsidRPr="001C7577" w:rsidRDefault="007D59EF" w:rsidP="007D59EF">
            <w:pPr>
              <w:spacing w:line="240" w:lineRule="auto"/>
              <w:jc w:val="center"/>
              <w:rPr>
                <w:b/>
                <w:lang w:val="lt-LT"/>
              </w:rPr>
            </w:pPr>
            <w:r w:rsidRPr="001C7577">
              <w:rPr>
                <w:b/>
                <w:lang w:val="lt-LT"/>
              </w:rPr>
              <w:t>Pagrindimas</w:t>
            </w:r>
          </w:p>
        </w:tc>
      </w:tr>
      <w:tr w:rsidR="007D59EF" w:rsidRPr="00705EEC" w14:paraId="1ECEB139" w14:textId="77777777" w:rsidTr="007D59EF">
        <w:tc>
          <w:tcPr>
            <w:tcW w:w="9242" w:type="dxa"/>
            <w:gridSpan w:val="3"/>
          </w:tcPr>
          <w:p w14:paraId="51C572B7" w14:textId="77777777" w:rsidR="007D59EF" w:rsidRPr="001C7577" w:rsidRDefault="007D59EF" w:rsidP="007D59EF">
            <w:pPr>
              <w:spacing w:line="240" w:lineRule="auto"/>
              <w:rPr>
                <w:lang w:val="lt-LT"/>
              </w:rPr>
            </w:pPr>
            <w:r w:rsidRPr="001C7577">
              <w:rPr>
                <w:lang w:val="lt-LT"/>
              </w:rPr>
              <w:t>Padidėja kartu vartojamo vaistinio preparato kiekis</w:t>
            </w:r>
          </w:p>
        </w:tc>
      </w:tr>
      <w:tr w:rsidR="007D59EF" w:rsidRPr="00705EEC" w14:paraId="2901D58F" w14:textId="77777777" w:rsidTr="007D59EF">
        <w:tc>
          <w:tcPr>
            <w:tcW w:w="2093" w:type="dxa"/>
          </w:tcPr>
          <w:p w14:paraId="7A7189E8" w14:textId="77777777" w:rsidR="007D59EF" w:rsidRPr="001C7577" w:rsidRDefault="007D59EF" w:rsidP="007D59EF">
            <w:pPr>
              <w:spacing w:line="240" w:lineRule="auto"/>
              <w:rPr>
                <w:lang w:val="lt-LT"/>
              </w:rPr>
            </w:pPr>
            <w:r w:rsidRPr="001C7577">
              <w:rPr>
                <w:lang w:val="lt-LT"/>
              </w:rPr>
              <w:t>Alfa</w:t>
            </w:r>
            <w:r w:rsidRPr="001C7577">
              <w:rPr>
                <w:vertAlign w:val="subscript"/>
                <w:lang w:val="lt-LT"/>
              </w:rPr>
              <w:t>1</w:t>
            </w:r>
            <w:r w:rsidRPr="001C7577">
              <w:rPr>
                <w:lang w:val="lt-LT"/>
              </w:rPr>
              <w:t xml:space="preserve"> adrenoreceptorių</w:t>
            </w:r>
          </w:p>
          <w:p w14:paraId="70C47DF1" w14:textId="77777777" w:rsidR="007D59EF" w:rsidRPr="001C7577" w:rsidRDefault="007D59EF" w:rsidP="007D59EF">
            <w:pPr>
              <w:spacing w:line="240" w:lineRule="auto"/>
              <w:rPr>
                <w:lang w:val="lt-LT"/>
              </w:rPr>
            </w:pPr>
            <w:r w:rsidRPr="001C7577">
              <w:rPr>
                <w:lang w:val="lt-LT"/>
              </w:rPr>
              <w:t>antagonistas</w:t>
            </w:r>
          </w:p>
        </w:tc>
        <w:tc>
          <w:tcPr>
            <w:tcW w:w="2126" w:type="dxa"/>
          </w:tcPr>
          <w:p w14:paraId="3D207FB6" w14:textId="77777777" w:rsidR="007D59EF" w:rsidRPr="001C7577" w:rsidRDefault="007D59EF" w:rsidP="007D59EF">
            <w:pPr>
              <w:spacing w:line="240" w:lineRule="auto"/>
              <w:rPr>
                <w:lang w:val="lt-LT"/>
              </w:rPr>
            </w:pPr>
            <w:r w:rsidRPr="001C7577">
              <w:rPr>
                <w:rFonts w:eastAsia="Calibri"/>
                <w:snapToGrid/>
                <w:szCs w:val="22"/>
                <w:lang w:val="lt-LT"/>
              </w:rPr>
              <w:t>Alfuzozinas</w:t>
            </w:r>
          </w:p>
        </w:tc>
        <w:tc>
          <w:tcPr>
            <w:tcW w:w="5023" w:type="dxa"/>
          </w:tcPr>
          <w:p w14:paraId="22D03805" w14:textId="77777777" w:rsidR="007D59EF" w:rsidRPr="001C7577" w:rsidRDefault="007D59EF" w:rsidP="007D59EF">
            <w:pPr>
              <w:spacing w:line="240" w:lineRule="auto"/>
              <w:rPr>
                <w:lang w:val="lt-LT"/>
              </w:rPr>
            </w:pPr>
            <w:r w:rsidRPr="001C7577">
              <w:rPr>
                <w:lang w:val="lt-LT"/>
              </w:rPr>
              <w:t>Padidėjusi alfuzozino koncentracija plazmoje gali sukelti sunkią hipotenziją. Kartu skirti alfuzozino negalima (žr. 4.5 skyrių)</w:t>
            </w:r>
          </w:p>
        </w:tc>
      </w:tr>
      <w:tr w:rsidR="007D59EF" w:rsidRPr="0088318A" w14:paraId="1C0422A0" w14:textId="77777777" w:rsidTr="007D59EF">
        <w:tc>
          <w:tcPr>
            <w:tcW w:w="2093" w:type="dxa"/>
          </w:tcPr>
          <w:p w14:paraId="466A9C33" w14:textId="77777777" w:rsidR="007D59EF" w:rsidRPr="001C7577" w:rsidRDefault="007D59EF" w:rsidP="007D59EF">
            <w:pPr>
              <w:spacing w:line="240" w:lineRule="auto"/>
              <w:rPr>
                <w:lang w:val="lt-LT"/>
              </w:rPr>
            </w:pPr>
            <w:r w:rsidRPr="001C7577">
              <w:rPr>
                <w:lang w:val="lt-LT"/>
              </w:rPr>
              <w:t>Antiaritminiai</w:t>
            </w:r>
          </w:p>
          <w:p w14:paraId="02F734C9" w14:textId="77777777" w:rsidR="007D59EF" w:rsidRPr="001C7577" w:rsidRDefault="007D59EF" w:rsidP="007D59EF">
            <w:pPr>
              <w:spacing w:line="240" w:lineRule="auto"/>
              <w:rPr>
                <w:lang w:val="lt-LT"/>
              </w:rPr>
            </w:pPr>
            <w:r w:rsidRPr="001C7577">
              <w:rPr>
                <w:lang w:val="lt-LT"/>
              </w:rPr>
              <w:t>vaistiniai preparatai</w:t>
            </w:r>
          </w:p>
        </w:tc>
        <w:tc>
          <w:tcPr>
            <w:tcW w:w="2126" w:type="dxa"/>
          </w:tcPr>
          <w:p w14:paraId="60B0B7D8" w14:textId="77777777" w:rsidR="007D59EF" w:rsidRPr="001C7577" w:rsidRDefault="007D59EF" w:rsidP="007D59EF">
            <w:pPr>
              <w:spacing w:line="240" w:lineRule="auto"/>
              <w:rPr>
                <w:lang w:val="lt-LT"/>
              </w:rPr>
            </w:pPr>
            <w:r w:rsidRPr="001C7577">
              <w:rPr>
                <w:lang w:val="lt-LT"/>
              </w:rPr>
              <w:t>Amjodaronas</w:t>
            </w:r>
          </w:p>
        </w:tc>
        <w:tc>
          <w:tcPr>
            <w:tcW w:w="5023" w:type="dxa"/>
          </w:tcPr>
          <w:p w14:paraId="7689B57B" w14:textId="77777777" w:rsidR="007D59EF" w:rsidRPr="001C7577" w:rsidRDefault="007D59EF" w:rsidP="007D59EF">
            <w:pPr>
              <w:spacing w:line="240" w:lineRule="auto"/>
              <w:rPr>
                <w:lang w:val="lt-LT"/>
              </w:rPr>
            </w:pPr>
            <w:r w:rsidRPr="001C7577">
              <w:rPr>
                <w:lang w:val="lt-LT"/>
              </w:rPr>
              <w:t>Plazmoje padidėja amjodarono koncentracija. Tuo būdu padidėja aritmijų ar kitų sunkių nepageidaujamų reakcijų pavojus.</w:t>
            </w:r>
          </w:p>
        </w:tc>
      </w:tr>
      <w:tr w:rsidR="007D59EF" w:rsidRPr="00705EEC" w14:paraId="4FAED3B6" w14:textId="77777777" w:rsidTr="007D59EF">
        <w:tc>
          <w:tcPr>
            <w:tcW w:w="2093" w:type="dxa"/>
          </w:tcPr>
          <w:p w14:paraId="65B12006" w14:textId="77777777" w:rsidR="007D59EF" w:rsidRPr="001C7577" w:rsidRDefault="007D59EF" w:rsidP="007D59EF">
            <w:pPr>
              <w:spacing w:line="240" w:lineRule="auto"/>
              <w:rPr>
                <w:lang w:val="lt-LT"/>
              </w:rPr>
            </w:pPr>
            <w:r w:rsidRPr="001C7577">
              <w:rPr>
                <w:lang w:val="lt-LT"/>
              </w:rPr>
              <w:t>Antibiotikas</w:t>
            </w:r>
          </w:p>
        </w:tc>
        <w:tc>
          <w:tcPr>
            <w:tcW w:w="2126" w:type="dxa"/>
          </w:tcPr>
          <w:p w14:paraId="57268675" w14:textId="77777777" w:rsidR="007D59EF" w:rsidRPr="001C7577" w:rsidRDefault="007D59EF" w:rsidP="007D59EF">
            <w:pPr>
              <w:spacing w:line="240" w:lineRule="auto"/>
              <w:rPr>
                <w:lang w:val="lt-LT"/>
              </w:rPr>
            </w:pPr>
            <w:r w:rsidRPr="001C7577">
              <w:rPr>
                <w:lang w:val="lt-LT"/>
              </w:rPr>
              <w:t>Fuzido rūgštis</w:t>
            </w:r>
          </w:p>
        </w:tc>
        <w:tc>
          <w:tcPr>
            <w:tcW w:w="5023" w:type="dxa"/>
          </w:tcPr>
          <w:p w14:paraId="7C010F24" w14:textId="77777777" w:rsidR="007D59EF" w:rsidRPr="001C7577" w:rsidRDefault="007D59EF" w:rsidP="007D59EF">
            <w:pPr>
              <w:spacing w:line="240" w:lineRule="auto"/>
              <w:rPr>
                <w:lang w:val="lt-LT"/>
              </w:rPr>
            </w:pPr>
            <w:r w:rsidRPr="001C7577">
              <w:rPr>
                <w:lang w:val="lt-LT"/>
              </w:rPr>
              <w:t>Plazmoje padidėja fuzido rūgšties koncentracija. Negalima kartu skirti fuzido rūgšties esant odos infekcijoms (žr. 4.5 skyrių).</w:t>
            </w:r>
          </w:p>
        </w:tc>
      </w:tr>
      <w:tr w:rsidR="007D59EF" w:rsidRPr="0088318A" w14:paraId="552C2720" w14:textId="77777777" w:rsidTr="007D59EF">
        <w:tc>
          <w:tcPr>
            <w:tcW w:w="2093" w:type="dxa"/>
          </w:tcPr>
          <w:p w14:paraId="00FCBBB9" w14:textId="77777777" w:rsidR="007D59EF" w:rsidRPr="001C7577" w:rsidRDefault="007D59EF" w:rsidP="007D59EF">
            <w:pPr>
              <w:spacing w:line="240" w:lineRule="auto"/>
              <w:rPr>
                <w:lang w:val="lt-LT"/>
              </w:rPr>
            </w:pPr>
            <w:r w:rsidRPr="001C7577">
              <w:rPr>
                <w:lang w:val="lt-LT"/>
              </w:rPr>
              <w:t>Antihistamininiai</w:t>
            </w:r>
          </w:p>
          <w:p w14:paraId="7ABA4A12" w14:textId="77777777" w:rsidR="007D59EF" w:rsidRPr="001C7577" w:rsidRDefault="007D59EF" w:rsidP="007D59EF">
            <w:pPr>
              <w:spacing w:line="240" w:lineRule="auto"/>
              <w:rPr>
                <w:lang w:val="lt-LT"/>
              </w:rPr>
            </w:pPr>
            <w:r w:rsidRPr="001C7577">
              <w:rPr>
                <w:lang w:val="lt-LT"/>
              </w:rPr>
              <w:t>vaistiniai preparatai</w:t>
            </w:r>
          </w:p>
        </w:tc>
        <w:tc>
          <w:tcPr>
            <w:tcW w:w="2126" w:type="dxa"/>
          </w:tcPr>
          <w:p w14:paraId="57B898A3" w14:textId="77777777" w:rsidR="007D59EF" w:rsidRPr="001C7577" w:rsidRDefault="007D59EF" w:rsidP="007D59EF">
            <w:pPr>
              <w:spacing w:line="240" w:lineRule="auto"/>
              <w:rPr>
                <w:lang w:val="lt-LT"/>
              </w:rPr>
            </w:pPr>
            <w:r w:rsidRPr="001C7577">
              <w:rPr>
                <w:lang w:val="lt-LT"/>
              </w:rPr>
              <w:t>Astemizolas,</w:t>
            </w:r>
          </w:p>
          <w:p w14:paraId="5FC4936F" w14:textId="77777777" w:rsidR="007D59EF" w:rsidRPr="001C7577" w:rsidRDefault="007D59EF" w:rsidP="007D59EF">
            <w:pPr>
              <w:spacing w:line="240" w:lineRule="auto"/>
              <w:rPr>
                <w:lang w:val="lt-LT"/>
              </w:rPr>
            </w:pPr>
            <w:r w:rsidRPr="001C7577">
              <w:rPr>
                <w:lang w:val="lt-LT"/>
              </w:rPr>
              <w:t>terfenadinas</w:t>
            </w:r>
          </w:p>
        </w:tc>
        <w:tc>
          <w:tcPr>
            <w:tcW w:w="5023" w:type="dxa"/>
          </w:tcPr>
          <w:p w14:paraId="1358EA96" w14:textId="77777777" w:rsidR="007D59EF" w:rsidRPr="001C7577" w:rsidRDefault="007D59EF" w:rsidP="007D59EF">
            <w:pPr>
              <w:spacing w:line="240" w:lineRule="auto"/>
              <w:rPr>
                <w:lang w:val="lt-LT"/>
              </w:rPr>
            </w:pPr>
            <w:r w:rsidRPr="001C7577">
              <w:rPr>
                <w:lang w:val="lt-LT"/>
              </w:rPr>
              <w:t>Plazmoje padidėja astemizolo ir terfenadino koncentracijos. Tuo būdu padidėja sunkių aritmijų pavojus.</w:t>
            </w:r>
          </w:p>
        </w:tc>
      </w:tr>
      <w:tr w:rsidR="007D59EF" w:rsidRPr="0088318A" w14:paraId="3464A53D" w14:textId="77777777" w:rsidTr="007D59EF">
        <w:tc>
          <w:tcPr>
            <w:tcW w:w="2093" w:type="dxa"/>
          </w:tcPr>
          <w:p w14:paraId="19E5DE07" w14:textId="77777777" w:rsidR="007D59EF" w:rsidRPr="001C7577" w:rsidRDefault="007D59EF" w:rsidP="007D59EF">
            <w:pPr>
              <w:spacing w:line="240" w:lineRule="auto"/>
              <w:rPr>
                <w:lang w:val="lt-LT"/>
              </w:rPr>
            </w:pPr>
            <w:r w:rsidRPr="001C7577">
              <w:rPr>
                <w:lang w:val="lt-LT"/>
              </w:rPr>
              <w:lastRenderedPageBreak/>
              <w:t>Antipsichoziniai</w:t>
            </w:r>
          </w:p>
          <w:p w14:paraId="22837F7F" w14:textId="77777777" w:rsidR="007D59EF" w:rsidRPr="001C7577" w:rsidRDefault="007D59EF" w:rsidP="007D59EF">
            <w:pPr>
              <w:spacing w:line="240" w:lineRule="auto"/>
              <w:rPr>
                <w:lang w:val="lt-LT"/>
              </w:rPr>
            </w:pPr>
            <w:r w:rsidRPr="001C7577">
              <w:rPr>
                <w:lang w:val="lt-LT"/>
              </w:rPr>
              <w:t>vaistiniai preparatai /</w:t>
            </w:r>
          </w:p>
          <w:p w14:paraId="29BEF385" w14:textId="77777777" w:rsidR="007D59EF" w:rsidRPr="001C7577" w:rsidRDefault="007D59EF" w:rsidP="007D59EF">
            <w:pPr>
              <w:spacing w:line="240" w:lineRule="auto"/>
              <w:rPr>
                <w:lang w:val="lt-LT"/>
              </w:rPr>
            </w:pPr>
            <w:r w:rsidRPr="001C7577">
              <w:rPr>
                <w:lang w:val="lt-LT"/>
              </w:rPr>
              <w:t>neuroleptikai</w:t>
            </w:r>
          </w:p>
        </w:tc>
        <w:tc>
          <w:tcPr>
            <w:tcW w:w="2126" w:type="dxa"/>
          </w:tcPr>
          <w:p w14:paraId="1D90FAA1" w14:textId="77777777" w:rsidR="007D59EF" w:rsidRPr="001C7577" w:rsidRDefault="007D59EF" w:rsidP="007D59EF">
            <w:pPr>
              <w:spacing w:line="240" w:lineRule="auto"/>
              <w:rPr>
                <w:lang w:val="lt-LT"/>
              </w:rPr>
            </w:pPr>
            <w:r w:rsidRPr="001C7577">
              <w:rPr>
                <w:lang w:val="lt-LT"/>
              </w:rPr>
              <w:t>Pimozidas</w:t>
            </w:r>
          </w:p>
        </w:tc>
        <w:tc>
          <w:tcPr>
            <w:tcW w:w="5023" w:type="dxa"/>
          </w:tcPr>
          <w:p w14:paraId="5DEBA6A3" w14:textId="77777777" w:rsidR="007D59EF" w:rsidRPr="001C7577" w:rsidRDefault="007D59EF" w:rsidP="007D59EF">
            <w:pPr>
              <w:spacing w:line="240" w:lineRule="auto"/>
              <w:rPr>
                <w:lang w:val="lt-LT"/>
              </w:rPr>
            </w:pPr>
            <w:r w:rsidRPr="001C7577">
              <w:rPr>
                <w:lang w:val="lt-LT"/>
              </w:rPr>
              <w:t>Plazmoje padidėja pimozido koncentracija. Tuo būdu padidėja sunkių hematologinių sutrikimų ar kitų sunkių nepageidaujamų reiškinių, susijusių su šia veikliąja medžiaga, pavojus.</w:t>
            </w:r>
          </w:p>
        </w:tc>
      </w:tr>
      <w:tr w:rsidR="007D59EF" w:rsidRPr="0088318A" w14:paraId="748917F9" w14:textId="77777777" w:rsidTr="007D59EF">
        <w:tc>
          <w:tcPr>
            <w:tcW w:w="2093" w:type="dxa"/>
          </w:tcPr>
          <w:p w14:paraId="1423EFD4" w14:textId="77777777" w:rsidR="007D59EF" w:rsidRPr="001C7577" w:rsidRDefault="007D59EF" w:rsidP="007D59EF">
            <w:pPr>
              <w:spacing w:line="240" w:lineRule="auto"/>
              <w:rPr>
                <w:lang w:val="lt-LT"/>
              </w:rPr>
            </w:pPr>
            <w:r w:rsidRPr="001C7577">
              <w:rPr>
                <w:lang w:val="lt-LT"/>
              </w:rPr>
              <w:t>Skalsių alkaloidai</w:t>
            </w:r>
          </w:p>
        </w:tc>
        <w:tc>
          <w:tcPr>
            <w:tcW w:w="2126" w:type="dxa"/>
          </w:tcPr>
          <w:p w14:paraId="41B44340" w14:textId="77777777" w:rsidR="007D59EF" w:rsidRPr="001C7577" w:rsidRDefault="007D59EF" w:rsidP="007D59EF">
            <w:pPr>
              <w:spacing w:line="240" w:lineRule="auto"/>
              <w:rPr>
                <w:lang w:val="lt-LT"/>
              </w:rPr>
            </w:pPr>
            <w:r w:rsidRPr="001C7577">
              <w:rPr>
                <w:lang w:val="lt-LT"/>
              </w:rPr>
              <w:t>Dihidroergotaminas,</w:t>
            </w:r>
          </w:p>
          <w:p w14:paraId="3B84C0AC" w14:textId="77777777" w:rsidR="007D59EF" w:rsidRPr="001C7577" w:rsidRDefault="007D59EF" w:rsidP="007D59EF">
            <w:pPr>
              <w:spacing w:line="240" w:lineRule="auto"/>
              <w:rPr>
                <w:lang w:val="lt-LT"/>
              </w:rPr>
            </w:pPr>
            <w:r w:rsidRPr="001C7577">
              <w:rPr>
                <w:lang w:val="lt-LT"/>
              </w:rPr>
              <w:t>ergonovinas, ergotaminas,</w:t>
            </w:r>
          </w:p>
          <w:p w14:paraId="6EE058D4" w14:textId="77777777" w:rsidR="007D59EF" w:rsidRPr="001C7577" w:rsidRDefault="007D59EF" w:rsidP="007D59EF">
            <w:pPr>
              <w:spacing w:line="240" w:lineRule="auto"/>
              <w:rPr>
                <w:lang w:val="lt-LT"/>
              </w:rPr>
            </w:pPr>
            <w:r w:rsidRPr="001C7577">
              <w:rPr>
                <w:lang w:val="lt-LT"/>
              </w:rPr>
              <w:t>metilergonovinas</w:t>
            </w:r>
          </w:p>
        </w:tc>
        <w:tc>
          <w:tcPr>
            <w:tcW w:w="5023" w:type="dxa"/>
          </w:tcPr>
          <w:p w14:paraId="2FBCAEC2" w14:textId="77777777" w:rsidR="007D59EF" w:rsidRPr="001C7577" w:rsidRDefault="007D59EF" w:rsidP="007D59EF">
            <w:pPr>
              <w:spacing w:line="240" w:lineRule="auto"/>
              <w:rPr>
                <w:lang w:val="lt-LT"/>
              </w:rPr>
            </w:pPr>
            <w:r w:rsidRPr="001C7577">
              <w:rPr>
                <w:lang w:val="lt-LT"/>
              </w:rPr>
              <w:t>Skalsių alkaloidų koncentracijos padidėjimas plazmoje gali sukelti ūmų apsinuodijimą skalsių alkaloidais, įskaitant kraujagyslių spazmą ir išemiją.</w:t>
            </w:r>
          </w:p>
        </w:tc>
      </w:tr>
      <w:tr w:rsidR="007D59EF" w:rsidRPr="0088318A" w14:paraId="527224E7" w14:textId="77777777" w:rsidTr="007D59EF">
        <w:tc>
          <w:tcPr>
            <w:tcW w:w="2093" w:type="dxa"/>
          </w:tcPr>
          <w:p w14:paraId="4A69A0F2" w14:textId="77777777" w:rsidR="007D59EF" w:rsidRPr="001C7577" w:rsidRDefault="007D59EF" w:rsidP="007D59EF">
            <w:pPr>
              <w:spacing w:line="240" w:lineRule="auto"/>
              <w:rPr>
                <w:lang w:val="lt-LT"/>
              </w:rPr>
            </w:pPr>
            <w:r w:rsidRPr="001C7577">
              <w:rPr>
                <w:lang w:val="lt-LT"/>
              </w:rPr>
              <w:t>Medžiaga, veikianti</w:t>
            </w:r>
          </w:p>
          <w:p w14:paraId="5150368F" w14:textId="77777777" w:rsidR="007D59EF" w:rsidRPr="001C7577" w:rsidRDefault="007D59EF" w:rsidP="007D59EF">
            <w:pPr>
              <w:spacing w:line="240" w:lineRule="auto"/>
              <w:rPr>
                <w:lang w:val="lt-LT"/>
              </w:rPr>
            </w:pPr>
            <w:r w:rsidRPr="001C7577">
              <w:rPr>
                <w:lang w:val="lt-LT"/>
              </w:rPr>
              <w:t>virškinimo trakto judrumą</w:t>
            </w:r>
          </w:p>
        </w:tc>
        <w:tc>
          <w:tcPr>
            <w:tcW w:w="2126" w:type="dxa"/>
          </w:tcPr>
          <w:p w14:paraId="0D49F334" w14:textId="77777777" w:rsidR="007D59EF" w:rsidRPr="001C7577" w:rsidRDefault="007D59EF" w:rsidP="007D59EF">
            <w:pPr>
              <w:spacing w:line="240" w:lineRule="auto"/>
              <w:rPr>
                <w:lang w:val="lt-LT"/>
              </w:rPr>
            </w:pPr>
            <w:r w:rsidRPr="001C7577">
              <w:rPr>
                <w:lang w:val="lt-LT"/>
              </w:rPr>
              <w:t>Cisapridas</w:t>
            </w:r>
          </w:p>
        </w:tc>
        <w:tc>
          <w:tcPr>
            <w:tcW w:w="5023" w:type="dxa"/>
          </w:tcPr>
          <w:p w14:paraId="6903D0E7" w14:textId="77777777" w:rsidR="007D59EF" w:rsidRPr="001C7577" w:rsidRDefault="007D59EF" w:rsidP="007D59EF">
            <w:pPr>
              <w:spacing w:line="240" w:lineRule="auto"/>
              <w:rPr>
                <w:lang w:val="lt-LT"/>
              </w:rPr>
            </w:pPr>
            <w:r w:rsidRPr="001C7577">
              <w:rPr>
                <w:lang w:val="lt-LT"/>
              </w:rPr>
              <w:t>Plazmoje padidėja cisaprido koncentracija. Tuo būdu padidėja sunkių aritmijų pavojus.</w:t>
            </w:r>
          </w:p>
        </w:tc>
      </w:tr>
      <w:tr w:rsidR="007D59EF" w:rsidRPr="0088318A" w14:paraId="6C32F49E" w14:textId="77777777" w:rsidTr="007D59EF">
        <w:tc>
          <w:tcPr>
            <w:tcW w:w="2093" w:type="dxa"/>
          </w:tcPr>
          <w:p w14:paraId="7FFE9CD6" w14:textId="77777777" w:rsidR="007D59EF" w:rsidRPr="001C7577" w:rsidRDefault="007D59EF" w:rsidP="007D59EF">
            <w:pPr>
              <w:spacing w:line="240" w:lineRule="auto"/>
              <w:rPr>
                <w:lang w:val="lt-LT"/>
              </w:rPr>
            </w:pPr>
            <w:r w:rsidRPr="001C7577">
              <w:rPr>
                <w:lang w:val="lt-LT"/>
              </w:rPr>
              <w:t>HMG Co-A reduktazės inhibitoriai</w:t>
            </w:r>
          </w:p>
        </w:tc>
        <w:tc>
          <w:tcPr>
            <w:tcW w:w="2126" w:type="dxa"/>
          </w:tcPr>
          <w:p w14:paraId="65D3C5A9" w14:textId="77777777" w:rsidR="007D59EF" w:rsidRPr="001C7577" w:rsidRDefault="007D59EF" w:rsidP="007D59EF">
            <w:pPr>
              <w:spacing w:line="240" w:lineRule="auto"/>
              <w:rPr>
                <w:lang w:val="lt-LT"/>
              </w:rPr>
            </w:pPr>
            <w:r w:rsidRPr="001C7577">
              <w:rPr>
                <w:lang w:val="lt-LT"/>
              </w:rPr>
              <w:t>Lovastatinas, simvastatinas</w:t>
            </w:r>
          </w:p>
        </w:tc>
        <w:tc>
          <w:tcPr>
            <w:tcW w:w="5023" w:type="dxa"/>
          </w:tcPr>
          <w:p w14:paraId="0852D145" w14:textId="77777777" w:rsidR="007D59EF" w:rsidRPr="001C7577" w:rsidRDefault="007D59EF" w:rsidP="007D59EF">
            <w:pPr>
              <w:spacing w:line="240" w:lineRule="auto"/>
              <w:rPr>
                <w:lang w:val="lt-LT"/>
              </w:rPr>
            </w:pPr>
            <w:r w:rsidRPr="001C7577">
              <w:rPr>
                <w:lang w:val="lt-LT"/>
              </w:rPr>
              <w:t>Padidėjus lovastatino ir simvastatino koncentracijai plazmoje; tuo būdu padidėja miopatijos, įskaitant rabdomiolizę, pavojus (žr. 4.5 skyrių).</w:t>
            </w:r>
          </w:p>
        </w:tc>
      </w:tr>
      <w:tr w:rsidR="007D59EF" w:rsidRPr="0088318A" w14:paraId="6BCDBD6E" w14:textId="77777777" w:rsidTr="007D59EF">
        <w:tc>
          <w:tcPr>
            <w:tcW w:w="2093" w:type="dxa"/>
            <w:vMerge w:val="restart"/>
          </w:tcPr>
          <w:p w14:paraId="79DF4635" w14:textId="77777777" w:rsidR="007D59EF" w:rsidRPr="001C7577" w:rsidRDefault="007D59EF" w:rsidP="007D59EF">
            <w:pPr>
              <w:spacing w:line="240" w:lineRule="auto"/>
              <w:rPr>
                <w:lang w:val="lt-LT"/>
              </w:rPr>
            </w:pPr>
            <w:r w:rsidRPr="001C7577">
              <w:rPr>
                <w:lang w:val="lt-LT"/>
              </w:rPr>
              <w:t>Fosfdiesterazės</w:t>
            </w:r>
          </w:p>
          <w:p w14:paraId="0595665A" w14:textId="77777777" w:rsidR="007D59EF" w:rsidRPr="001C7577" w:rsidRDefault="007D59EF" w:rsidP="007D59EF">
            <w:pPr>
              <w:spacing w:line="240" w:lineRule="auto"/>
              <w:rPr>
                <w:lang w:val="lt-LT"/>
              </w:rPr>
            </w:pPr>
            <w:r w:rsidRPr="001C7577">
              <w:rPr>
                <w:lang w:val="lt-LT"/>
              </w:rPr>
              <w:t>(PDE5) inhibitoriai</w:t>
            </w:r>
          </w:p>
        </w:tc>
        <w:tc>
          <w:tcPr>
            <w:tcW w:w="2126" w:type="dxa"/>
          </w:tcPr>
          <w:p w14:paraId="4F84515A" w14:textId="77777777" w:rsidR="007D59EF" w:rsidRPr="001C7577" w:rsidRDefault="007D59EF" w:rsidP="007D59EF">
            <w:pPr>
              <w:spacing w:line="240" w:lineRule="auto"/>
              <w:rPr>
                <w:lang w:val="lt-LT"/>
              </w:rPr>
            </w:pPr>
            <w:r w:rsidRPr="001C7577">
              <w:rPr>
                <w:lang w:val="lt-LT"/>
              </w:rPr>
              <w:t>Sildenafilis</w:t>
            </w:r>
          </w:p>
        </w:tc>
        <w:tc>
          <w:tcPr>
            <w:tcW w:w="5023" w:type="dxa"/>
          </w:tcPr>
          <w:p w14:paraId="2231CE8D" w14:textId="77777777" w:rsidR="007D59EF" w:rsidRPr="001C7577" w:rsidRDefault="007D59EF" w:rsidP="007D59EF">
            <w:pPr>
              <w:spacing w:line="240" w:lineRule="auto"/>
              <w:rPr>
                <w:lang w:val="lt-LT"/>
              </w:rPr>
            </w:pPr>
            <w:r w:rsidRPr="001C7577">
              <w:rPr>
                <w:lang w:val="lt-LT"/>
              </w:rPr>
              <w:t>Negalima kartu skirti tiktai gydant plautinę arterinę hipertenziją (PAH). Padidėja sildenafilio koncentracija plazmoje. Tuo būdu padidėja su juo susijusių nepageidaujamų reiškinių (įskaitant hipotenziją ir apalpimą) galimybė. Žr. 4.4 skyrių ir 4.5 skyrių apie apie sildenafilio vartojimą kartu pacientams, kuriems yra erekcijos sutrikimų</w:t>
            </w:r>
          </w:p>
        </w:tc>
      </w:tr>
      <w:tr w:rsidR="007D59EF" w:rsidRPr="00705EEC" w14:paraId="53DD0215" w14:textId="77777777" w:rsidTr="007D59EF">
        <w:tc>
          <w:tcPr>
            <w:tcW w:w="2093" w:type="dxa"/>
            <w:vMerge/>
          </w:tcPr>
          <w:p w14:paraId="4EE9065E" w14:textId="77777777" w:rsidR="007D59EF" w:rsidRPr="001C7577" w:rsidRDefault="007D59EF" w:rsidP="007D59EF">
            <w:pPr>
              <w:spacing w:line="240" w:lineRule="auto"/>
              <w:rPr>
                <w:lang w:val="lt-LT"/>
              </w:rPr>
            </w:pPr>
          </w:p>
        </w:tc>
        <w:tc>
          <w:tcPr>
            <w:tcW w:w="2126" w:type="dxa"/>
          </w:tcPr>
          <w:p w14:paraId="5CA62315" w14:textId="77777777" w:rsidR="007D59EF" w:rsidRPr="001C7577" w:rsidRDefault="007D59EF" w:rsidP="007D59EF">
            <w:pPr>
              <w:spacing w:line="240" w:lineRule="auto"/>
              <w:rPr>
                <w:lang w:val="lt-LT"/>
              </w:rPr>
            </w:pPr>
            <w:r w:rsidRPr="001C7577">
              <w:rPr>
                <w:lang w:val="lt-LT"/>
              </w:rPr>
              <w:t>Vardenafilis</w:t>
            </w:r>
          </w:p>
        </w:tc>
        <w:tc>
          <w:tcPr>
            <w:tcW w:w="5023" w:type="dxa"/>
          </w:tcPr>
          <w:p w14:paraId="6C9CBBC9" w14:textId="77777777" w:rsidR="007D59EF" w:rsidRPr="001C7577" w:rsidRDefault="007D59EF" w:rsidP="007D59EF">
            <w:pPr>
              <w:spacing w:line="240" w:lineRule="auto"/>
              <w:rPr>
                <w:lang w:val="lt-LT"/>
              </w:rPr>
            </w:pPr>
            <w:r w:rsidRPr="001C7577">
              <w:rPr>
                <w:lang w:val="lt-LT"/>
              </w:rPr>
              <w:t>Padidėja vardenafilio koncentracija plazmoje (žr. 4.4 ir 4.5 skyriuose).</w:t>
            </w:r>
          </w:p>
        </w:tc>
      </w:tr>
      <w:tr w:rsidR="007D59EF" w:rsidRPr="00705EEC" w14:paraId="2CD965B3" w14:textId="77777777" w:rsidTr="007D59EF">
        <w:tc>
          <w:tcPr>
            <w:tcW w:w="2093" w:type="dxa"/>
          </w:tcPr>
          <w:p w14:paraId="60A5C767" w14:textId="77777777" w:rsidR="007D59EF" w:rsidRPr="001C7577" w:rsidRDefault="007D59EF" w:rsidP="007D59EF">
            <w:pPr>
              <w:spacing w:line="240" w:lineRule="auto"/>
              <w:rPr>
                <w:lang w:val="lt-LT"/>
              </w:rPr>
            </w:pPr>
            <w:r w:rsidRPr="001C7577">
              <w:rPr>
                <w:lang w:val="lt-LT"/>
              </w:rPr>
              <w:t>Raminamieji / migdomieji vaistiniai</w:t>
            </w:r>
          </w:p>
          <w:p w14:paraId="52DFAA36" w14:textId="77777777" w:rsidR="007D59EF" w:rsidRPr="001C7577" w:rsidRDefault="007D59EF" w:rsidP="007D59EF">
            <w:pPr>
              <w:spacing w:line="240" w:lineRule="auto"/>
              <w:rPr>
                <w:lang w:val="lt-LT"/>
              </w:rPr>
            </w:pPr>
            <w:r w:rsidRPr="001C7577">
              <w:rPr>
                <w:lang w:val="lt-LT"/>
              </w:rPr>
              <w:t>preparatai</w:t>
            </w:r>
          </w:p>
        </w:tc>
        <w:tc>
          <w:tcPr>
            <w:tcW w:w="2126" w:type="dxa"/>
          </w:tcPr>
          <w:p w14:paraId="6991B3C1" w14:textId="77777777" w:rsidR="007D59EF" w:rsidRPr="001C7577" w:rsidRDefault="007D59EF" w:rsidP="007D59EF">
            <w:pPr>
              <w:spacing w:line="240" w:lineRule="auto"/>
              <w:rPr>
                <w:lang w:val="lt-LT"/>
              </w:rPr>
            </w:pPr>
            <w:r w:rsidRPr="001C7577">
              <w:rPr>
                <w:lang w:val="lt-LT"/>
              </w:rPr>
              <w:t>Per burną vartojami</w:t>
            </w:r>
          </w:p>
          <w:p w14:paraId="15A9E0A9" w14:textId="77777777" w:rsidR="007D59EF" w:rsidRPr="001C7577" w:rsidRDefault="007D59EF" w:rsidP="007D59EF">
            <w:pPr>
              <w:spacing w:line="240" w:lineRule="auto"/>
              <w:rPr>
                <w:lang w:val="lt-LT"/>
              </w:rPr>
            </w:pPr>
            <w:r w:rsidRPr="001C7577">
              <w:rPr>
                <w:lang w:val="lt-LT"/>
              </w:rPr>
              <w:t>midazolamas, triazolamas</w:t>
            </w:r>
          </w:p>
        </w:tc>
        <w:tc>
          <w:tcPr>
            <w:tcW w:w="5023" w:type="dxa"/>
          </w:tcPr>
          <w:p w14:paraId="311C7C4D" w14:textId="77777777" w:rsidR="007D59EF" w:rsidRPr="001C7577" w:rsidRDefault="007D59EF" w:rsidP="007D59EF">
            <w:pPr>
              <w:spacing w:line="240" w:lineRule="auto"/>
              <w:rPr>
                <w:lang w:val="lt-LT"/>
              </w:rPr>
            </w:pPr>
            <w:r w:rsidRPr="001C7577">
              <w:rPr>
                <w:lang w:val="lt-LT"/>
              </w:rPr>
              <w:t>Padidėja per burną vartojamų midazolamo ir triazolamo koncentracijos plazmoje. Tuo būdu padidėja per stipraus raminamojo poveikio ir kvėpavimo slopinimo, susijusių su minėtomis medžiagomis, pavojus. Apie įspėjimus parenteraliai vartojant midazolamą žr. 4.5 skyriuje.</w:t>
            </w:r>
          </w:p>
        </w:tc>
      </w:tr>
      <w:tr w:rsidR="007D59EF" w:rsidRPr="00705EEC" w14:paraId="69280FF2" w14:textId="77777777" w:rsidTr="007D59EF">
        <w:tc>
          <w:tcPr>
            <w:tcW w:w="9242" w:type="dxa"/>
            <w:gridSpan w:val="3"/>
          </w:tcPr>
          <w:p w14:paraId="2B1F41B2" w14:textId="77777777" w:rsidR="007D59EF" w:rsidRPr="001C7577" w:rsidRDefault="007D59EF" w:rsidP="007D59EF">
            <w:pPr>
              <w:spacing w:line="240" w:lineRule="auto"/>
              <w:rPr>
                <w:b/>
                <w:lang w:val="lt-LT"/>
              </w:rPr>
            </w:pPr>
            <w:r w:rsidRPr="001C7577">
              <w:rPr>
                <w:b/>
                <w:lang w:val="lt-LT"/>
              </w:rPr>
              <w:t>Lopinaviro ritonaviro kiekis plazmoje sumažėja</w:t>
            </w:r>
          </w:p>
        </w:tc>
      </w:tr>
      <w:tr w:rsidR="007D59EF" w:rsidRPr="0088318A" w14:paraId="27069EB5" w14:textId="77777777" w:rsidTr="007D59EF">
        <w:tc>
          <w:tcPr>
            <w:tcW w:w="2093" w:type="dxa"/>
          </w:tcPr>
          <w:p w14:paraId="40F89F4A" w14:textId="77777777" w:rsidR="007D59EF" w:rsidRPr="001C7577" w:rsidRDefault="007D59EF" w:rsidP="007D59EF">
            <w:pPr>
              <w:spacing w:line="240" w:lineRule="auto"/>
              <w:rPr>
                <w:lang w:val="lt-LT"/>
              </w:rPr>
            </w:pPr>
            <w:r w:rsidRPr="001C7577">
              <w:rPr>
                <w:lang w:val="lt-LT"/>
              </w:rPr>
              <w:t>Augaliniai preparatai</w:t>
            </w:r>
          </w:p>
        </w:tc>
        <w:tc>
          <w:tcPr>
            <w:tcW w:w="2126" w:type="dxa"/>
          </w:tcPr>
          <w:p w14:paraId="1D03B4B3" w14:textId="77777777" w:rsidR="007D59EF" w:rsidRPr="001C7577" w:rsidRDefault="007D59EF" w:rsidP="007D59EF">
            <w:pPr>
              <w:spacing w:line="240" w:lineRule="auto"/>
              <w:rPr>
                <w:lang w:val="lt-LT"/>
              </w:rPr>
            </w:pPr>
            <w:r w:rsidRPr="001C7577">
              <w:rPr>
                <w:lang w:val="lt-LT"/>
              </w:rPr>
              <w:t>Jonažolė</w:t>
            </w:r>
          </w:p>
        </w:tc>
        <w:tc>
          <w:tcPr>
            <w:tcW w:w="5023" w:type="dxa"/>
          </w:tcPr>
          <w:p w14:paraId="3237F033" w14:textId="77777777" w:rsidR="007D59EF" w:rsidRPr="001C7577" w:rsidRDefault="007D59EF" w:rsidP="007D59EF">
            <w:pPr>
              <w:spacing w:line="240" w:lineRule="auto"/>
              <w:rPr>
                <w:lang w:val="lt-LT"/>
              </w:rPr>
            </w:pPr>
            <w:r w:rsidRPr="001C7577">
              <w:rPr>
                <w:lang w:val="lt-LT"/>
              </w:rPr>
              <w:t>Vartojant augalinius preparatus, kuriuose yra jonažolių (</w:t>
            </w:r>
            <w:r w:rsidRPr="001C7577">
              <w:rPr>
                <w:i/>
                <w:lang w:val="lt-LT"/>
              </w:rPr>
              <w:t>Hypericum perforatum</w:t>
            </w:r>
            <w:r w:rsidRPr="001C7577">
              <w:rPr>
                <w:lang w:val="lt-LT"/>
              </w:rPr>
              <w:t>) yra pavojus, kad sumažės lopinaviro ir ritonaviro koncentracijos plazmoje ir jų poveikis (žr. 4.5 skyrių).</w:t>
            </w:r>
          </w:p>
        </w:tc>
      </w:tr>
    </w:tbl>
    <w:p w14:paraId="440358D9" w14:textId="77777777" w:rsidR="007D59EF" w:rsidRPr="00705EEC" w:rsidRDefault="007D59EF" w:rsidP="007D59EF">
      <w:pPr>
        <w:rPr>
          <w:szCs w:val="24"/>
          <w:lang w:val="lt-LT"/>
        </w:rPr>
      </w:pPr>
    </w:p>
    <w:p w14:paraId="4F746788"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4.4</w:t>
      </w:r>
      <w:r w:rsidRPr="00705EEC">
        <w:rPr>
          <w:rFonts w:ascii="Times New Roman" w:hAnsi="Times New Roman"/>
          <w:sz w:val="22"/>
          <w:lang w:val="lt-LT"/>
        </w:rPr>
        <w:tab/>
        <w:t>Specialūs įspėjimai ir atsargumo priemonės</w:t>
      </w:r>
    </w:p>
    <w:p w14:paraId="3FB4990F" w14:textId="77777777" w:rsidR="007D59EF" w:rsidRPr="00705EEC" w:rsidRDefault="007D59EF" w:rsidP="007D59EF">
      <w:pPr>
        <w:rPr>
          <w:szCs w:val="24"/>
          <w:lang w:val="lt-LT"/>
        </w:rPr>
      </w:pPr>
    </w:p>
    <w:p w14:paraId="0E60A753" w14:textId="77777777" w:rsidR="007D59EF" w:rsidRPr="001C7577" w:rsidRDefault="007D59EF" w:rsidP="007D59EF">
      <w:pPr>
        <w:spacing w:line="240" w:lineRule="auto"/>
        <w:rPr>
          <w:u w:val="single"/>
          <w:lang w:val="lt-LT"/>
        </w:rPr>
      </w:pPr>
      <w:r w:rsidRPr="001C7577">
        <w:rPr>
          <w:u w:val="single"/>
          <w:lang w:val="lt-LT"/>
        </w:rPr>
        <w:t>Pacientai, sergantys kitomis ligomis</w:t>
      </w:r>
    </w:p>
    <w:p w14:paraId="2CFFCA95" w14:textId="77777777" w:rsidR="007D59EF" w:rsidRPr="001C7577" w:rsidRDefault="007D59EF" w:rsidP="007D59EF">
      <w:pPr>
        <w:spacing w:line="240" w:lineRule="auto"/>
        <w:rPr>
          <w:u w:val="single"/>
          <w:lang w:val="lt-LT"/>
        </w:rPr>
      </w:pPr>
    </w:p>
    <w:p w14:paraId="6C0B8F24" w14:textId="77777777" w:rsidR="007D59EF" w:rsidRPr="001C7577" w:rsidRDefault="007D59EF" w:rsidP="007D59EF">
      <w:pPr>
        <w:spacing w:line="240" w:lineRule="auto"/>
        <w:rPr>
          <w:lang w:val="lt-LT"/>
        </w:rPr>
      </w:pPr>
      <w:r w:rsidRPr="001C7577">
        <w:rPr>
          <w:i/>
          <w:lang w:val="lt-LT"/>
        </w:rPr>
        <w:t>Kepenų funkcijos sutrikimas:</w:t>
      </w:r>
      <w:r w:rsidRPr="001C7577">
        <w:rPr>
          <w:lang w:val="lt-LT"/>
        </w:rPr>
        <w:t xml:space="preserve"> lopinaviro/ritonaviro saugumas ir veiksmingumas nenustatytas pacientams, sergantiems sunkia kepenų liga. Jo negalima skirti, kai yra sunkus kepenų funkcijos sutrikimas (žr. 4.3 skyrių). Sergantiems lėtiniu hepatitu B ar C ir gaunantiems sudėtinį antiretrovirusinį gydymą, yra padidėjusi sunkių ir galimai mirtinų nepageidaujamų kepenų reakcijų rizika. Kai kartu skiriamas antivirusinis hepatito B ar C gydymas, žr. atitinkamą informaciją apie šiuos vaistus. </w:t>
      </w:r>
    </w:p>
    <w:p w14:paraId="127F5031" w14:textId="77777777" w:rsidR="007D59EF" w:rsidRPr="001C7577" w:rsidRDefault="007D59EF" w:rsidP="007D59EF">
      <w:pPr>
        <w:spacing w:line="240" w:lineRule="auto"/>
        <w:rPr>
          <w:lang w:val="lt-LT"/>
        </w:rPr>
      </w:pPr>
    </w:p>
    <w:p w14:paraId="393421DF" w14:textId="77777777" w:rsidR="007D59EF" w:rsidRPr="001C7577" w:rsidRDefault="007D59EF" w:rsidP="007D59EF">
      <w:pPr>
        <w:spacing w:line="240" w:lineRule="auto"/>
        <w:rPr>
          <w:lang w:val="lt-LT"/>
        </w:rPr>
      </w:pPr>
      <w:r w:rsidRPr="001C7577">
        <w:rPr>
          <w:lang w:val="lt-LT"/>
        </w:rPr>
        <w:t xml:space="preserve">Pacientams, kurių kepenų funkcija jau buvo sutrikusi, taip pat sergantiems lėtiniu hepatitu, vartojant sudėtinį antiretrovirusinį gydymą, dažniau sutrinka kepenų funkcija, todėl juos reikia stebėti pagal standartinius reikalavimus. Jei jiems pablogėja kepenų liga, gydymą šiuo vaistu reikia nutraukti laikinai ar visam laikui. </w:t>
      </w:r>
    </w:p>
    <w:p w14:paraId="20043916" w14:textId="77777777" w:rsidR="007D59EF" w:rsidRPr="001C7577" w:rsidRDefault="007D59EF" w:rsidP="007D59EF">
      <w:pPr>
        <w:spacing w:line="240" w:lineRule="auto"/>
        <w:rPr>
          <w:lang w:val="lt-LT"/>
        </w:rPr>
      </w:pPr>
    </w:p>
    <w:p w14:paraId="5D0EC8FF" w14:textId="77777777" w:rsidR="007D59EF" w:rsidRPr="001C7577" w:rsidRDefault="007D59EF" w:rsidP="007D59EF">
      <w:pPr>
        <w:spacing w:line="240" w:lineRule="auto"/>
        <w:rPr>
          <w:lang w:val="lt-LT"/>
        </w:rPr>
      </w:pPr>
      <w:r w:rsidRPr="001C7577">
        <w:rPr>
          <w:lang w:val="lt-LT"/>
        </w:rPr>
        <w:t xml:space="preserve">Buvo gauta pranešimų, jog pacientams su ŽIV-1 mono-infekcija ir pacientams, kuriems, po buvusio kontakto, pradedamas profilaktinis gydymas lopinaviru/ritonaviru ir kitais antiretrovirusiniais vaistais, jau per pirmas 7 dienas padidėja transaminazių aktyvumas su ar be bilirubino kiekio padidėjimu. Kai kuriais atvejais kepenų funkcijos sutrikimas buvo sunkus. </w:t>
      </w:r>
    </w:p>
    <w:p w14:paraId="1B41CDD5" w14:textId="77777777" w:rsidR="007D59EF" w:rsidRPr="001C7577" w:rsidRDefault="007D59EF" w:rsidP="007D59EF">
      <w:pPr>
        <w:spacing w:line="240" w:lineRule="auto"/>
        <w:rPr>
          <w:lang w:val="lt-LT"/>
        </w:rPr>
      </w:pPr>
    </w:p>
    <w:p w14:paraId="46822D22" w14:textId="77777777" w:rsidR="007D59EF" w:rsidRPr="001C7577" w:rsidRDefault="007D59EF" w:rsidP="007D59EF">
      <w:pPr>
        <w:spacing w:line="240" w:lineRule="auto"/>
        <w:rPr>
          <w:lang w:val="lt-LT"/>
        </w:rPr>
      </w:pPr>
      <w:r w:rsidRPr="001C7577">
        <w:rPr>
          <w:lang w:val="lt-LT"/>
        </w:rPr>
        <w:t xml:space="preserve">Prieš pradedant gydymą lopinaviru/ritonaviru reikia atlikti visus reikiamus laboratorinius tyrimus, ir viso gydymo metu būtinas atidus stebėjimas. </w:t>
      </w:r>
    </w:p>
    <w:p w14:paraId="0B0A5981" w14:textId="77777777" w:rsidR="007D59EF" w:rsidRPr="001C7577" w:rsidRDefault="007D59EF" w:rsidP="007D59EF">
      <w:pPr>
        <w:spacing w:line="240" w:lineRule="auto"/>
        <w:rPr>
          <w:u w:val="single"/>
          <w:lang w:val="lt-LT"/>
        </w:rPr>
      </w:pPr>
    </w:p>
    <w:p w14:paraId="27186FC6" w14:textId="77777777" w:rsidR="007D59EF" w:rsidRPr="001C7577" w:rsidRDefault="007D59EF" w:rsidP="007D59EF">
      <w:pPr>
        <w:spacing w:line="240" w:lineRule="auto"/>
        <w:rPr>
          <w:lang w:val="lt-LT"/>
        </w:rPr>
      </w:pPr>
      <w:r w:rsidRPr="001C7577">
        <w:rPr>
          <w:i/>
          <w:lang w:val="lt-LT"/>
        </w:rPr>
        <w:t>Inkstų funkcijos sutrikimas</w:t>
      </w:r>
      <w:r w:rsidRPr="001C7577">
        <w:rPr>
          <w:lang w:val="lt-LT"/>
        </w:rPr>
        <w:t>: Kadangi lopinaviro ir ritonaviro inkstų klirensas yra nereikšmingas, todėl nesitikima, kad pacientams, kuriems yra inkstų funkcijos sutrikimas, padidės šių vaistų koncentracija plazmoje. Lopinaviras ir ritonaviras labai gerai jungiasi su baltymais, todėl mažai tikėtina, kad jų reikšmingai pasišalintų hemodializės ar peritoninės dializės metu.</w:t>
      </w:r>
    </w:p>
    <w:p w14:paraId="6F84C476" w14:textId="77777777" w:rsidR="007D59EF" w:rsidRPr="001C7577" w:rsidRDefault="007D59EF" w:rsidP="007D59EF">
      <w:pPr>
        <w:spacing w:line="240" w:lineRule="auto"/>
        <w:rPr>
          <w:lang w:val="lt-LT"/>
        </w:rPr>
      </w:pPr>
    </w:p>
    <w:p w14:paraId="5371D249" w14:textId="77777777" w:rsidR="007D59EF" w:rsidRPr="001C7577" w:rsidRDefault="007D59EF" w:rsidP="007D59EF">
      <w:pPr>
        <w:spacing w:line="240" w:lineRule="auto"/>
        <w:rPr>
          <w:lang w:val="lt-LT"/>
        </w:rPr>
      </w:pPr>
      <w:r w:rsidRPr="001C7577">
        <w:rPr>
          <w:i/>
          <w:lang w:val="lt-LT"/>
        </w:rPr>
        <w:t>Hemofilija:</w:t>
      </w:r>
      <w:r w:rsidRPr="001C7577">
        <w:rPr>
          <w:lang w:val="lt-LT"/>
        </w:rPr>
        <w:t xml:space="preserve"> Yra duomenų apie padidėjusį kraujavimą, taip pat spontanines odos hematomas ir hemartrozes pacientams, sergantiems A bei B tipo hemofilija ir gydytiems proteazės inhibitoriais. Kai kuriems iš jų buvo papildomai skiriamas VIII faktorius. Daugiau kaip pusei šių asmenų buvo tęsiamas ar atnaujintas nutrauktas gydymas proteazės inhibitoriais. Nustatytas priežastinis ryšys, nors veikimo mechanizmas neišaiškintas. Todėl hemofilija sergantys pacientai turi žinoti apie didesnę kraujavimo galimybę.</w:t>
      </w:r>
    </w:p>
    <w:p w14:paraId="509D1841" w14:textId="77777777" w:rsidR="007D59EF" w:rsidRPr="001C7577" w:rsidRDefault="007D59EF" w:rsidP="007D59EF">
      <w:pPr>
        <w:spacing w:line="240" w:lineRule="auto"/>
        <w:rPr>
          <w:lang w:val="lt-LT"/>
        </w:rPr>
      </w:pPr>
    </w:p>
    <w:p w14:paraId="35B8585F" w14:textId="77777777" w:rsidR="007D59EF" w:rsidRPr="001C7577" w:rsidRDefault="007D59EF" w:rsidP="007D59EF">
      <w:pPr>
        <w:spacing w:line="240" w:lineRule="auto"/>
        <w:rPr>
          <w:i/>
          <w:u w:val="single"/>
          <w:lang w:val="lt-LT"/>
        </w:rPr>
      </w:pPr>
      <w:r w:rsidRPr="001C7577">
        <w:rPr>
          <w:i/>
          <w:u w:val="single"/>
          <w:lang w:val="lt-LT"/>
        </w:rPr>
        <w:t>Padidėjęs lipidų kiekis</w:t>
      </w:r>
    </w:p>
    <w:p w14:paraId="7C22F76B" w14:textId="77777777" w:rsidR="007D59EF" w:rsidRPr="001C7577" w:rsidRDefault="007D59EF" w:rsidP="007D59EF">
      <w:pPr>
        <w:spacing w:line="240" w:lineRule="auto"/>
        <w:rPr>
          <w:lang w:val="lt-LT"/>
        </w:rPr>
      </w:pPr>
    </w:p>
    <w:p w14:paraId="647ACBF0" w14:textId="77777777" w:rsidR="007D59EF" w:rsidRPr="001C7577" w:rsidRDefault="007D59EF" w:rsidP="007D59EF">
      <w:pPr>
        <w:spacing w:line="240" w:lineRule="auto"/>
        <w:rPr>
          <w:lang w:val="lt-LT"/>
        </w:rPr>
      </w:pPr>
      <w:r w:rsidRPr="001C7577">
        <w:rPr>
          <w:lang w:val="lt-LT"/>
        </w:rPr>
        <w:t>Vartojant lopinavirą/ritonavirą, padidėja, retkarčiais labai ryškiai, bendrojo cholesterolio ir trigliceridų koncentracija. Prieš skiriant lopinavirą/ritonavirą ir gydant juo reikia reguliariai tirti trigliceridų ir cholesterolio koncentraciją. Ypatingų atsargumo priemonių reikia pacientams, kurių šie rodikliai yra padidėję gydymo pradžioje, taip pat tiems, kuriems buvo lipidų apykaitos sutrikimų. Lipidų apykaitos sutrikimus reikia atitinkamai gydyti (daugiau informacijos apie galimą sąveiką su HMG-KoA reduktazės inhibitoriais žr. 4.5 skyrių).</w:t>
      </w:r>
    </w:p>
    <w:p w14:paraId="55EEB0FE" w14:textId="77777777" w:rsidR="007D59EF" w:rsidRPr="001C7577" w:rsidRDefault="007D59EF" w:rsidP="007D59EF">
      <w:pPr>
        <w:spacing w:line="240" w:lineRule="auto"/>
        <w:rPr>
          <w:lang w:val="lt-LT"/>
        </w:rPr>
      </w:pPr>
    </w:p>
    <w:p w14:paraId="4108F550" w14:textId="77777777" w:rsidR="007D59EF" w:rsidRPr="001C7577" w:rsidRDefault="007D59EF" w:rsidP="007D59EF">
      <w:pPr>
        <w:spacing w:line="240" w:lineRule="auto"/>
        <w:rPr>
          <w:i/>
          <w:u w:val="single"/>
          <w:lang w:val="lt-LT"/>
        </w:rPr>
      </w:pPr>
      <w:r w:rsidRPr="001C7577">
        <w:rPr>
          <w:i/>
          <w:u w:val="single"/>
          <w:lang w:val="lt-LT"/>
        </w:rPr>
        <w:t>Pankreatitas</w:t>
      </w:r>
    </w:p>
    <w:p w14:paraId="0FB7CD44" w14:textId="77777777" w:rsidR="007D59EF" w:rsidRPr="001C7577" w:rsidRDefault="007D59EF" w:rsidP="007D59EF">
      <w:pPr>
        <w:spacing w:line="240" w:lineRule="auto"/>
        <w:rPr>
          <w:u w:val="single"/>
          <w:lang w:val="lt-LT"/>
        </w:rPr>
      </w:pPr>
    </w:p>
    <w:p w14:paraId="194A5CF5" w14:textId="77777777" w:rsidR="007D59EF" w:rsidRPr="001C7577" w:rsidRDefault="007D59EF" w:rsidP="007D59EF">
      <w:pPr>
        <w:spacing w:line="240" w:lineRule="auto"/>
        <w:rPr>
          <w:lang w:val="lt-LT"/>
        </w:rPr>
      </w:pPr>
      <w:r w:rsidRPr="001C7577">
        <w:rPr>
          <w:lang w:val="lt-LT"/>
        </w:rPr>
        <w:t>Lopinavir</w:t>
      </w:r>
      <w:r w:rsidRPr="00705EEC">
        <w:rPr>
          <w:lang w:val="lt-LT"/>
        </w:rPr>
        <w:t>ą/ritonavirą</w:t>
      </w:r>
      <w:r w:rsidRPr="001C7577">
        <w:rPr>
          <w:lang w:val="lt-LT"/>
        </w:rPr>
        <w:t xml:space="preserve"> vartojantiems pacientams, taip pat tiems, kuriems atsirado hipertrigliceridemija, pasitaikė pankreatito atvejų. Dažniausiai tokiems pacientams anksčiau yra buvęs pankreatitas ir(ar) jie kartu buvo gydomi kitais vaistais, susijusiais su pankreatitu. Ryškiai padidėjęs trigliceridų kiekis yra pankreatito rizikos veiksnys. Pacientams, kuriems yra pažengusi ŽIV liga, yra didesnis pavojus, kad gali padidėti trigliceridų kiekis ir išsivystyti pankreatitas.</w:t>
      </w:r>
    </w:p>
    <w:p w14:paraId="54DCDFC5" w14:textId="77777777" w:rsidR="007D59EF" w:rsidRPr="001C7577" w:rsidRDefault="007D59EF" w:rsidP="007D59EF">
      <w:pPr>
        <w:spacing w:line="240" w:lineRule="auto"/>
        <w:rPr>
          <w:lang w:val="lt-LT"/>
        </w:rPr>
      </w:pPr>
    </w:p>
    <w:p w14:paraId="38816E52" w14:textId="77777777" w:rsidR="007D59EF" w:rsidRPr="001C7577" w:rsidRDefault="007D59EF" w:rsidP="007D59EF">
      <w:pPr>
        <w:spacing w:line="240" w:lineRule="auto"/>
        <w:rPr>
          <w:lang w:val="lt-LT"/>
        </w:rPr>
      </w:pPr>
      <w:r w:rsidRPr="001C7577">
        <w:rPr>
          <w:lang w:val="lt-LT"/>
        </w:rPr>
        <w:t>Pankreatitą reikia įtarti atsiradus jam būdingų klinikinių požymių (pykinimui, vėmimui, pilvo skausmui) ar laboratorinių rodiklių pokyčiams (pvz., padidėjus serumo lipazės ar amilazės aktyvumui). Pacientus, kuriems atsiranda šių požymių, reikia ištirti, ir jeigu pankreatito diagnozė patvirtinama, gydymą lopinaviru/ritonaviru reikia nutraukti (žr. 4.8 skyrių).</w:t>
      </w:r>
    </w:p>
    <w:p w14:paraId="58720CE4" w14:textId="77777777" w:rsidR="007D59EF" w:rsidRPr="001C7577" w:rsidRDefault="007D59EF" w:rsidP="007D59EF">
      <w:pPr>
        <w:spacing w:line="240" w:lineRule="auto"/>
        <w:rPr>
          <w:i/>
          <w:u w:val="single"/>
          <w:lang w:val="lt-LT"/>
        </w:rPr>
      </w:pPr>
    </w:p>
    <w:p w14:paraId="2A655D26" w14:textId="77777777" w:rsidR="007D59EF" w:rsidRPr="001C7577" w:rsidRDefault="007D59EF" w:rsidP="007D59EF">
      <w:pPr>
        <w:spacing w:line="240" w:lineRule="auto"/>
        <w:rPr>
          <w:i/>
          <w:u w:val="single"/>
          <w:lang w:val="lt-LT"/>
        </w:rPr>
      </w:pPr>
      <w:r w:rsidRPr="001C7577">
        <w:rPr>
          <w:i/>
          <w:u w:val="single"/>
          <w:lang w:val="lt-LT"/>
        </w:rPr>
        <w:t>Hiperglikemija</w:t>
      </w:r>
    </w:p>
    <w:p w14:paraId="0DB337E0" w14:textId="77777777" w:rsidR="007D59EF" w:rsidRPr="001C7577" w:rsidRDefault="007D59EF" w:rsidP="007D59EF">
      <w:pPr>
        <w:spacing w:line="240" w:lineRule="auto"/>
        <w:rPr>
          <w:lang w:val="lt-LT"/>
        </w:rPr>
      </w:pPr>
    </w:p>
    <w:p w14:paraId="2F734147" w14:textId="77777777" w:rsidR="007D59EF" w:rsidRPr="001C7577" w:rsidRDefault="007D59EF" w:rsidP="007D59EF">
      <w:pPr>
        <w:spacing w:line="240" w:lineRule="auto"/>
        <w:rPr>
          <w:lang w:val="lt-LT"/>
        </w:rPr>
      </w:pPr>
      <w:r w:rsidRPr="001C7577">
        <w:rPr>
          <w:lang w:val="lt-LT"/>
        </w:rPr>
        <w:t>Proteazės inhibitoriais gydomiems pacientams stebėta naujai atsiradęs cukrinis diabetas, hiperglikemija ar esamo cukrinio diabeto paūmėjimas. Kai kuriems iš jų hiperglikemija buvo ryški, o kai kuriems – susijusi su ketoacidoze. Daugelis tokių pacientų sirgo ir kitomis ligomis, kai kurias iš jų reikėjo gydyti vaistais, kurie galėjo sukelti cukrinį diabetą ar hiperglikemiją.</w:t>
      </w:r>
    </w:p>
    <w:p w14:paraId="739BFD68" w14:textId="77777777" w:rsidR="007D59EF" w:rsidRPr="001C7577" w:rsidRDefault="007D59EF" w:rsidP="007D59EF">
      <w:pPr>
        <w:spacing w:line="240" w:lineRule="auto"/>
        <w:rPr>
          <w:lang w:val="lt-LT"/>
        </w:rPr>
      </w:pPr>
    </w:p>
    <w:p w14:paraId="42557CF6" w14:textId="77777777" w:rsidR="007D59EF" w:rsidRPr="001C7577" w:rsidRDefault="007D59EF" w:rsidP="007D59EF">
      <w:pPr>
        <w:spacing w:line="240" w:lineRule="auto"/>
        <w:rPr>
          <w:i/>
          <w:u w:val="single"/>
          <w:lang w:val="lt-LT"/>
        </w:rPr>
      </w:pPr>
      <w:r w:rsidRPr="001C7577">
        <w:rPr>
          <w:i/>
          <w:u w:val="single"/>
          <w:lang w:val="lt-LT"/>
        </w:rPr>
        <w:t>Riebalų persiskirstymas ir metaboliniai sutrikimai</w:t>
      </w:r>
    </w:p>
    <w:p w14:paraId="64A7BEB5" w14:textId="77777777" w:rsidR="007D59EF" w:rsidRPr="001C7577" w:rsidRDefault="007D59EF" w:rsidP="007D59EF">
      <w:pPr>
        <w:spacing w:line="240" w:lineRule="auto"/>
        <w:rPr>
          <w:i/>
          <w:u w:val="single"/>
          <w:lang w:val="lt-LT"/>
        </w:rPr>
      </w:pPr>
    </w:p>
    <w:p w14:paraId="124C21B0" w14:textId="77777777" w:rsidR="007D59EF" w:rsidRPr="001C7577" w:rsidRDefault="007D59EF" w:rsidP="007D59EF">
      <w:pPr>
        <w:spacing w:line="240" w:lineRule="auto"/>
        <w:rPr>
          <w:lang w:val="lt-LT"/>
        </w:rPr>
      </w:pPr>
      <w:r w:rsidRPr="001C7577">
        <w:rPr>
          <w:lang w:val="lt-LT"/>
        </w:rPr>
        <w:lastRenderedPageBreak/>
        <w:t>Su sudėtiniu antiretrovirusiniu gydymu buvo siejamas ŽIV pacientų kūno riebalų persiskirstymas (lipodistrofija). Dar nežinomos ilgalaikės šio reiškinio pasekmės. Nepakanka žinių apie mechanizmą. Iškelta ryšio tarp visceralinės lipomatozės ir proteazės inhibitorių bei lipoatrofijos ir nukleozidinių atvirkštinės transkriptazės inhibitorių (NATI) hipotezė. Didesnė lipodistrofijos rizika siejama su individualiais veiksniais, pvz., vyresniu amžiumi, bei su vaistų sąlygotais veiksniais, pvz., ilgesne antiretrovirusinio gydymo trukme ir esamais metaboliniais sutrikimais. Tiriant kliniškai, reikia įvertinti riebalų persiskirstymo požymius. Taip pat būtina nustatyti lipidų ir gliukozės koncentraciją kraujyje nevalgius. Reikia tinkamai gydyti lipidų sutrikimus (žr. 4.8 skyrių).</w:t>
      </w:r>
    </w:p>
    <w:p w14:paraId="0DB5210D" w14:textId="77777777" w:rsidR="007D59EF" w:rsidRPr="001C7577" w:rsidRDefault="007D59EF" w:rsidP="007D59EF">
      <w:pPr>
        <w:spacing w:line="240" w:lineRule="auto"/>
        <w:rPr>
          <w:i/>
          <w:u w:val="single"/>
          <w:lang w:val="lt-LT"/>
        </w:rPr>
      </w:pPr>
    </w:p>
    <w:p w14:paraId="78C1A777" w14:textId="77777777" w:rsidR="007D59EF" w:rsidRPr="001C7577" w:rsidRDefault="007D59EF" w:rsidP="007D59EF">
      <w:pPr>
        <w:spacing w:line="240" w:lineRule="auto"/>
        <w:rPr>
          <w:i/>
          <w:u w:val="single"/>
          <w:lang w:val="lt-LT"/>
        </w:rPr>
      </w:pPr>
      <w:r w:rsidRPr="001C7577">
        <w:rPr>
          <w:i/>
          <w:u w:val="single"/>
          <w:lang w:val="lt-LT"/>
        </w:rPr>
        <w:t>Imuninės reaktyvacijos sindromas</w:t>
      </w:r>
    </w:p>
    <w:p w14:paraId="384285D4" w14:textId="77777777" w:rsidR="007D59EF" w:rsidRPr="001C7577" w:rsidRDefault="007D59EF" w:rsidP="007D59EF">
      <w:pPr>
        <w:spacing w:line="240" w:lineRule="auto"/>
        <w:rPr>
          <w:lang w:val="lt-LT"/>
        </w:rPr>
      </w:pPr>
    </w:p>
    <w:p w14:paraId="6B14EAC2" w14:textId="77777777" w:rsidR="007D59EF" w:rsidRPr="001C7577" w:rsidRDefault="007D59EF" w:rsidP="007D59EF">
      <w:pPr>
        <w:spacing w:line="240" w:lineRule="auto"/>
        <w:rPr>
          <w:lang w:val="lt-LT"/>
        </w:rPr>
      </w:pPr>
      <w:r w:rsidRPr="001C7577">
        <w:rPr>
          <w:lang w:val="lt-LT"/>
        </w:rPr>
        <w:t xml:space="preserve">ŽIV infekuotiems pacientams, kuriems yra didelis imuninės sistemos deficitas, pradėjus kombinuotą antiretrovirusinį gydymą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sidRPr="001C7577">
        <w:rPr>
          <w:i/>
          <w:lang w:val="lt-LT"/>
        </w:rPr>
        <w:t>Pneumocystis jiroveci</w:t>
      </w:r>
      <w:r w:rsidRPr="001C7577">
        <w:rPr>
          <w:lang w:val="lt-LT"/>
        </w:rPr>
        <w:t xml:space="preserve"> pneumonija. Reikia įvertinti bet kokius uždegimo simptomus ir, kai būtina, pradėti gydyti. Taip pat buvo gauta pranešimų apie autoimuninius sutrikimus (tokius kaip Greivso (Graves) liga), atsirandančius imuninės reaktyvacijos fone, nors autoimuninių sutrikimų pradžios laikas pranešimuose varijuoja, ir jie gali atsirasti po daugelio mėnesių nuo gydymo paskyrimo pradžios.</w:t>
      </w:r>
    </w:p>
    <w:p w14:paraId="1C7EFF07" w14:textId="77777777" w:rsidR="007D59EF" w:rsidRPr="001C7577" w:rsidRDefault="007D59EF" w:rsidP="007D59EF">
      <w:pPr>
        <w:spacing w:line="240" w:lineRule="auto"/>
        <w:rPr>
          <w:lang w:val="lt-LT"/>
        </w:rPr>
      </w:pPr>
    </w:p>
    <w:p w14:paraId="4F0A6E42" w14:textId="77777777" w:rsidR="007D59EF" w:rsidRPr="001C7577" w:rsidRDefault="007D59EF" w:rsidP="007D59EF">
      <w:pPr>
        <w:spacing w:line="240" w:lineRule="auto"/>
        <w:rPr>
          <w:i/>
          <w:u w:val="single"/>
          <w:lang w:val="lt-LT"/>
        </w:rPr>
      </w:pPr>
      <w:r w:rsidRPr="001C7577">
        <w:rPr>
          <w:i/>
          <w:u w:val="single"/>
          <w:lang w:val="lt-LT"/>
        </w:rPr>
        <w:t>Kaulų nekrozė</w:t>
      </w:r>
    </w:p>
    <w:p w14:paraId="5E34B516" w14:textId="77777777" w:rsidR="007D59EF" w:rsidRPr="001C7577" w:rsidRDefault="007D59EF" w:rsidP="007D59EF">
      <w:pPr>
        <w:spacing w:line="240" w:lineRule="auto"/>
        <w:rPr>
          <w:i/>
          <w:u w:val="single"/>
          <w:lang w:val="lt-LT"/>
        </w:rPr>
      </w:pPr>
    </w:p>
    <w:p w14:paraId="27140867" w14:textId="77777777" w:rsidR="007D59EF" w:rsidRPr="001C7577" w:rsidRDefault="007D59EF" w:rsidP="007D59EF">
      <w:pPr>
        <w:spacing w:line="240" w:lineRule="auto"/>
        <w:rPr>
          <w:lang w:val="lt-LT"/>
        </w:rPr>
      </w:pPr>
      <w:r w:rsidRPr="001C7577">
        <w:rPr>
          <w:lang w:val="lt-LT"/>
        </w:rPr>
        <w:t>Nors kaulų nekrozės etiologijoje dalyvauja daug veiksnių (įskaitant kortikosteroidų, alkoholio vartojimą, sunkią imunosupresiją, padidėjusį kūno masės indeksą), jos atvejų aprašyta ypač pacientams, sergantiems progresavusia ŽIV liga, ir (arba) ilgai gydomiems kombinuotais antiretrovirusiniais preparatais (KARG). Pacientams reikia patarti kreiptis į gydytoją, jeigu jie jaučia sąnarių skausmus, sustingimą arba jeigu jiems darosi sunku judėti.</w:t>
      </w:r>
    </w:p>
    <w:p w14:paraId="4693111D" w14:textId="77777777" w:rsidR="007D59EF" w:rsidRPr="001C7577" w:rsidRDefault="007D59EF" w:rsidP="007D59EF">
      <w:pPr>
        <w:spacing w:line="240" w:lineRule="auto"/>
        <w:rPr>
          <w:lang w:val="lt-LT"/>
        </w:rPr>
      </w:pPr>
    </w:p>
    <w:p w14:paraId="13045A22" w14:textId="77777777" w:rsidR="007D59EF" w:rsidRPr="001C7577" w:rsidRDefault="007D59EF" w:rsidP="007D59EF">
      <w:pPr>
        <w:spacing w:line="240" w:lineRule="auto"/>
        <w:rPr>
          <w:i/>
          <w:u w:val="single"/>
          <w:lang w:val="lt-LT"/>
        </w:rPr>
      </w:pPr>
      <w:r w:rsidRPr="001C7577">
        <w:rPr>
          <w:i/>
          <w:u w:val="single"/>
          <w:lang w:val="lt-LT"/>
        </w:rPr>
        <w:t>PR intervalo pailgėjimas</w:t>
      </w:r>
    </w:p>
    <w:p w14:paraId="2902809A" w14:textId="77777777" w:rsidR="007D59EF" w:rsidRPr="001C7577" w:rsidRDefault="007D59EF" w:rsidP="007D59EF">
      <w:pPr>
        <w:spacing w:line="240" w:lineRule="auto"/>
        <w:rPr>
          <w:lang w:val="lt-LT"/>
        </w:rPr>
      </w:pPr>
    </w:p>
    <w:p w14:paraId="600C5AE7" w14:textId="77777777" w:rsidR="007D59EF" w:rsidRPr="001C7577" w:rsidRDefault="007D59EF" w:rsidP="007D59EF">
      <w:pPr>
        <w:spacing w:line="240" w:lineRule="auto"/>
        <w:rPr>
          <w:lang w:val="lt-LT"/>
        </w:rPr>
      </w:pPr>
      <w:r w:rsidRPr="001C7577">
        <w:rPr>
          <w:lang w:val="lt-LT"/>
        </w:rPr>
        <w:t>Nustatyta, kad lopinaviras/ritonaviras kai kuriems suaugusiems sveikiems asmenims sukelia nedidelį besimptomį PR intervalo pailgėjimą. Retai registruota 2-ojo ar 3-ojo laipsnio atroventrikulinės blokados atvejų lopinaviru ir ritonaviru gydytiems pacientams, kurie jau sirgo struktūrine širdies liga, arba, kuriems buvo laidžiosios sistemos sutrikimų, arba, kurie vartojo PR intervalą ilginančių vaistų (pvz., verapamilio ar atazanaviro). Šiems pacientams Lopinavir /Ritonavir Ranbaxy reikia skirti atsargiai (žr. 5.1 skyrių).</w:t>
      </w:r>
    </w:p>
    <w:p w14:paraId="55082A48" w14:textId="77777777" w:rsidR="007D59EF" w:rsidRPr="001C7577" w:rsidRDefault="007D59EF" w:rsidP="007D59EF">
      <w:pPr>
        <w:spacing w:line="240" w:lineRule="auto"/>
        <w:rPr>
          <w:i/>
          <w:u w:val="single"/>
          <w:lang w:val="lt-LT"/>
        </w:rPr>
      </w:pPr>
    </w:p>
    <w:p w14:paraId="354AE83E" w14:textId="77777777" w:rsidR="007D59EF" w:rsidRPr="001C7577" w:rsidRDefault="007D59EF" w:rsidP="007D59EF">
      <w:pPr>
        <w:spacing w:line="240" w:lineRule="auto"/>
        <w:rPr>
          <w:i/>
          <w:u w:val="single"/>
          <w:lang w:val="lt-LT"/>
        </w:rPr>
      </w:pPr>
      <w:r w:rsidRPr="001C7577">
        <w:rPr>
          <w:i/>
          <w:u w:val="single"/>
          <w:lang w:val="lt-LT"/>
        </w:rPr>
        <w:t>Sąveika su kitais vaistais</w:t>
      </w:r>
    </w:p>
    <w:p w14:paraId="15BC756F" w14:textId="77777777" w:rsidR="007D59EF" w:rsidRPr="001C7577" w:rsidRDefault="007D59EF" w:rsidP="007D59EF">
      <w:pPr>
        <w:spacing w:line="240" w:lineRule="auto"/>
        <w:rPr>
          <w:lang w:val="lt-LT"/>
        </w:rPr>
      </w:pPr>
      <w:r w:rsidRPr="001C7577">
        <w:rPr>
          <w:lang w:val="lt-LT"/>
        </w:rPr>
        <w:t xml:space="preserve">Lopinavir /Ritonavir Ranbaxy sudėtyje yra lopinaviro ir ritonaviro, abu jie yra P450 izoformos CYP3A inhibitoriai. Tikėtina, kad lopinaviras/ritonaviras gali padidinti vaistų, kuriuos daugiausia metabolizuoja CYP3A, koncentraciją plazmoje. Padidėjusi kartu vartojamų vaistų koncentracija gali sustiprinti ar pailginti jų gydomajį poveikį bei sukelti daugiau nepageidaujamų reiškinių (žr. 4.3 ir 4.5 skyrius). </w:t>
      </w:r>
    </w:p>
    <w:p w14:paraId="79F1CDCE" w14:textId="77777777" w:rsidR="007D59EF" w:rsidRPr="001C7577" w:rsidRDefault="007D59EF" w:rsidP="007D59EF">
      <w:pPr>
        <w:spacing w:line="240" w:lineRule="auto"/>
        <w:rPr>
          <w:lang w:val="lt-LT"/>
        </w:rPr>
      </w:pPr>
    </w:p>
    <w:p w14:paraId="4C7157AA" w14:textId="77777777" w:rsidR="007D59EF" w:rsidRPr="001C7577" w:rsidRDefault="00EE1B7F" w:rsidP="007D59EF">
      <w:pPr>
        <w:spacing w:line="240" w:lineRule="auto"/>
        <w:rPr>
          <w:lang w:val="lt-LT"/>
        </w:rPr>
      </w:pPr>
      <w:r w:rsidRPr="001C7577">
        <w:rPr>
          <w:lang w:val="lt-LT"/>
        </w:rPr>
        <w:t xml:space="preserve">Stiprūs CYP3A4 inhibitoriai, tokie kaip proteazių inhibitoriai gali padidinti bedakvilino ekspoziciją, kas potencialiai gali padidinti su bedakvilino vartojimu susijusių nepageidaujamų reakcijų riziką. Dėl to turėtų būti vengiama kartu vartoti bedakviliną su </w:t>
      </w:r>
      <w:r w:rsidRPr="001C7577">
        <w:rPr>
          <w:lang w:val="lt-LT"/>
        </w:rPr>
        <w:lastRenderedPageBreak/>
        <w:t xml:space="preserve">lopinaviru/ritonaviru. Visgi jei galima nauda viršija žalą, bedakviliną su lopinaviru/ritonaviru galima vartoti imantis atsargumo priemonių. Rekomenduojamas dažnesnis stebėjimas, atliekant elektrokardiogramas, bei dažnesnis transaminazių kiekio tyrimas (žr. 4.5  skyrių ir bedakvilino PCS). </w:t>
      </w:r>
    </w:p>
    <w:p w14:paraId="333CE9F4" w14:textId="77777777" w:rsidR="006568A7" w:rsidRPr="001C7577" w:rsidRDefault="006568A7" w:rsidP="007D59EF">
      <w:pPr>
        <w:spacing w:line="240" w:lineRule="auto"/>
        <w:rPr>
          <w:lang w:val="lt-LT"/>
        </w:rPr>
      </w:pPr>
    </w:p>
    <w:p w14:paraId="42E7FD46" w14:textId="77777777" w:rsidR="007D59EF" w:rsidRPr="001C7577" w:rsidRDefault="007D59EF" w:rsidP="007D59EF">
      <w:pPr>
        <w:spacing w:line="240" w:lineRule="auto"/>
        <w:rPr>
          <w:lang w:val="lt-LT"/>
        </w:rPr>
      </w:pPr>
      <w:r w:rsidRPr="001C7577">
        <w:rPr>
          <w:lang w:val="lt-LT"/>
        </w:rPr>
        <w:t>Reikia vengti vartoti kartu su kolchicinu, ypač pacientams, kurių inkstų ar kepenų veikla sutrikusi (žr. 4.5 skyrių).</w:t>
      </w:r>
    </w:p>
    <w:p w14:paraId="58EC32C8" w14:textId="77777777" w:rsidR="007D59EF" w:rsidRPr="001C7577" w:rsidRDefault="007D59EF" w:rsidP="007D59EF">
      <w:pPr>
        <w:spacing w:line="240" w:lineRule="auto"/>
        <w:rPr>
          <w:lang w:val="lt-LT"/>
        </w:rPr>
      </w:pPr>
    </w:p>
    <w:p w14:paraId="78650004" w14:textId="77777777" w:rsidR="007D59EF" w:rsidRPr="001C7577" w:rsidRDefault="007D59EF" w:rsidP="007D59EF">
      <w:pPr>
        <w:spacing w:line="240" w:lineRule="auto"/>
        <w:rPr>
          <w:lang w:val="lt-LT"/>
        </w:rPr>
      </w:pPr>
      <w:r w:rsidRPr="001C7577">
        <w:rPr>
          <w:lang w:val="lt-LT"/>
        </w:rPr>
        <w:t xml:space="preserve">lopinaviro/ritonaviro vartojimas su: </w:t>
      </w:r>
    </w:p>
    <w:p w14:paraId="55BE7FBB" w14:textId="77777777" w:rsidR="007D59EF" w:rsidRPr="001C7577" w:rsidRDefault="007D59EF" w:rsidP="007D59EF">
      <w:pPr>
        <w:spacing w:line="240" w:lineRule="auto"/>
        <w:rPr>
          <w:lang w:val="lt-LT"/>
        </w:rPr>
      </w:pPr>
      <w:r w:rsidRPr="001C7577">
        <w:rPr>
          <w:lang w:val="lt-LT"/>
        </w:rPr>
        <w:t>- tadalafiliu, vartojamu gydyti plautinę arterinę hipertenziją, nerekomenduojamas (žr. 4.5 skyrių);</w:t>
      </w:r>
    </w:p>
    <w:p w14:paraId="08370087" w14:textId="77777777" w:rsidR="007D59EF" w:rsidRPr="001C7577" w:rsidRDefault="007D59EF" w:rsidP="007D59EF">
      <w:pPr>
        <w:spacing w:line="240" w:lineRule="auto"/>
        <w:rPr>
          <w:lang w:val="lt-LT"/>
        </w:rPr>
      </w:pPr>
      <w:r w:rsidRPr="001C7577">
        <w:rPr>
          <w:lang w:val="lt-LT"/>
        </w:rPr>
        <w:t>- fuzido rūgštimi, skiriama kaulų – sąnarių infekcijoms gydyti, nerekomenduojamas (žr. 4.5 skyrių);</w:t>
      </w:r>
    </w:p>
    <w:p w14:paraId="411BFB7B" w14:textId="77777777" w:rsidR="007D59EF" w:rsidRPr="001C7577" w:rsidRDefault="007D59EF" w:rsidP="007D59EF">
      <w:pPr>
        <w:spacing w:line="240" w:lineRule="auto"/>
        <w:rPr>
          <w:lang w:val="lt-LT"/>
        </w:rPr>
      </w:pPr>
      <w:r w:rsidRPr="001C7577">
        <w:rPr>
          <w:lang w:val="lt-LT"/>
        </w:rPr>
        <w:t>- salmeteroliu nerekomenduojamas (žr. 4.5 skyrių);</w:t>
      </w:r>
    </w:p>
    <w:p w14:paraId="698B7F9D" w14:textId="77777777" w:rsidR="007D59EF" w:rsidRPr="001C7577" w:rsidRDefault="007D59EF" w:rsidP="007D59EF">
      <w:pPr>
        <w:spacing w:line="240" w:lineRule="auto"/>
        <w:rPr>
          <w:lang w:val="lt-LT"/>
        </w:rPr>
      </w:pPr>
      <w:r w:rsidRPr="001C7577">
        <w:rPr>
          <w:lang w:val="lt-LT"/>
        </w:rPr>
        <w:t>- rivaroksabanu nerekomenduojamas (žr. 4.5 skyrių).</w:t>
      </w:r>
    </w:p>
    <w:p w14:paraId="27AB9363" w14:textId="77777777" w:rsidR="007D59EF" w:rsidRPr="001C7577" w:rsidRDefault="007D59EF" w:rsidP="007D59EF">
      <w:pPr>
        <w:spacing w:line="240" w:lineRule="auto"/>
        <w:rPr>
          <w:i/>
          <w:u w:val="single"/>
          <w:lang w:val="lt-LT"/>
        </w:rPr>
      </w:pPr>
    </w:p>
    <w:p w14:paraId="7C41FF46" w14:textId="77777777" w:rsidR="007D59EF" w:rsidRPr="001C7577" w:rsidRDefault="007D59EF" w:rsidP="007D59EF">
      <w:pPr>
        <w:spacing w:line="240" w:lineRule="auto"/>
        <w:rPr>
          <w:lang w:val="lt-LT"/>
        </w:rPr>
      </w:pPr>
      <w:r w:rsidRPr="001C7577">
        <w:rPr>
          <w:lang w:val="lt-LT"/>
        </w:rPr>
        <w:t>Lopinaviro/ritonaviro ir atorvastatino kombinacija yra nerekomenduojama. Jei manoma, kad atorvastatino vartojimas yra būtinas, reikia skirti mažiausią veiksmingą atorvastatino dozę ir pacientą atidžiai stebėti. Taip pat reikia laikytis atsargumo priemonių ir galbūt mažinti dozes, kai lopinaviras/ritonaviras vartojami kartu su rozuvastatinu. Jei būtina gydyti HMG-KoA reduktazės inhibitoriais, rekomenduojama skirti pravastatiną ar fluvastatiną (žr. 4.5 skyrių).</w:t>
      </w:r>
    </w:p>
    <w:p w14:paraId="0AEB171F" w14:textId="77777777" w:rsidR="007D59EF" w:rsidRPr="001C7577" w:rsidRDefault="007D59EF" w:rsidP="007D59EF">
      <w:pPr>
        <w:spacing w:line="240" w:lineRule="auto"/>
        <w:rPr>
          <w:lang w:val="lt-LT"/>
        </w:rPr>
      </w:pPr>
    </w:p>
    <w:p w14:paraId="77E2A8F2" w14:textId="77777777" w:rsidR="007D59EF" w:rsidRPr="001C7577" w:rsidRDefault="007D59EF" w:rsidP="007D59EF">
      <w:pPr>
        <w:spacing w:line="240" w:lineRule="auto"/>
        <w:rPr>
          <w:lang w:val="lt-LT"/>
        </w:rPr>
      </w:pPr>
      <w:r w:rsidRPr="001C7577">
        <w:rPr>
          <w:i/>
          <w:lang w:val="lt-LT"/>
        </w:rPr>
        <w:t>PDE5 inhibitoriai:</w:t>
      </w:r>
      <w:r w:rsidRPr="001C7577">
        <w:rPr>
          <w:lang w:val="lt-LT"/>
        </w:rPr>
        <w:t xml:space="preserve"> ypatingai atsargiai reikia skirti sildenafilį ar tadalafilį erekcijos sutrikimų gydymui, pacientams, kurie gydomi lopinaviru/ ritonaviru. Tikėtina, kad vartojant kartu lopinavir</w:t>
      </w:r>
      <w:r w:rsidRPr="00705EEC">
        <w:rPr>
          <w:lang w:val="lt-LT"/>
        </w:rPr>
        <w:t xml:space="preserve">ą/ritonavirą </w:t>
      </w:r>
      <w:r w:rsidRPr="001C7577">
        <w:rPr>
          <w:lang w:val="lt-LT"/>
        </w:rPr>
        <w:t>ir šiuos vaistinius preparatus, ryškiai padidėja jų koncentracija ir tai gali būti susiję su pašaliniu poviekiu, tokiu kaip hipotenzija, alpimas, regos sutrikimai ir pailgėjusi erekcija (žr. 4.5 skyrių). Kartu vartoti vardenafilį ir lopinavirą/ritonavirą yra draudžiama (žr. 4.3 skyrių). Kartu vartoti sildenafilį, skirtą plautinės arterijos hipertenzijos gydymui, su lopinaviru/ritonaviru yra draudžiama (žr. 4.3 skyrių).</w:t>
      </w:r>
    </w:p>
    <w:p w14:paraId="4D783DF4" w14:textId="77777777" w:rsidR="007D59EF" w:rsidRPr="001C7577" w:rsidRDefault="007D59EF" w:rsidP="007D59EF">
      <w:pPr>
        <w:spacing w:line="240" w:lineRule="auto"/>
        <w:rPr>
          <w:lang w:val="lt-LT"/>
        </w:rPr>
      </w:pPr>
    </w:p>
    <w:p w14:paraId="18EDA504" w14:textId="77777777" w:rsidR="007D59EF" w:rsidRPr="001C7577" w:rsidRDefault="007D59EF" w:rsidP="007D59EF">
      <w:pPr>
        <w:spacing w:line="240" w:lineRule="auto"/>
        <w:rPr>
          <w:lang w:val="lt-LT"/>
        </w:rPr>
      </w:pPr>
      <w:r w:rsidRPr="001C7577">
        <w:rPr>
          <w:lang w:val="lt-LT"/>
        </w:rPr>
        <w:t>Ypač atsargiai lopinavirą/ritonavirą reikia skirti kartu su vaistais, ilginančiais QT intervalą, t.y. su chlorfeniraminu, chinidinu, eritromicinu, klaritromicinu. Lopinaviras/ritonaviras gali padidinti šių kartu vartojamų vaistų koncentraciją, dėl to gali padažnėti su jais susijusios nepageidaujamos širdies reakcijos. Ikiklinikinių lopinaviro/ritonaviro tyrimų metu stebėta nepageidaujamų širdies reiškinių, todėl dar negalima paneigti galimo šio vaisto poveikio širdžiai (žr. 4.8 ir 5.3 skyrius).</w:t>
      </w:r>
    </w:p>
    <w:p w14:paraId="6FE04917" w14:textId="77777777" w:rsidR="007D59EF" w:rsidRPr="001C7577" w:rsidRDefault="007D59EF" w:rsidP="007D59EF">
      <w:pPr>
        <w:spacing w:line="240" w:lineRule="auto"/>
        <w:rPr>
          <w:lang w:val="lt-LT"/>
        </w:rPr>
      </w:pPr>
    </w:p>
    <w:p w14:paraId="0A60F1DE" w14:textId="77777777" w:rsidR="007D59EF" w:rsidRPr="001C7577" w:rsidRDefault="007D59EF" w:rsidP="007D59EF">
      <w:pPr>
        <w:spacing w:line="240" w:lineRule="auto"/>
        <w:rPr>
          <w:lang w:val="lt-LT"/>
        </w:rPr>
      </w:pPr>
      <w:r w:rsidRPr="001C7577">
        <w:rPr>
          <w:lang w:val="lt-LT"/>
        </w:rPr>
        <w:t>Nerekomenduojama kartu su lopinaviru/ritonaviru vartoti rifampicino. Rifampicino vartojant kartu su lopinaviru/ritonaviru ryškiai sumažėja lopinaviro koncentracija, dėl ko gali reikšmingai sumažėti lopinaviro gydomasis poveikis. Reikiama lopinaviro/ritonaviro koncentracija gali susidaryti didinant dozę, bet tai kelia didesnę toksinio poveikio kepenims ir virškinimo traktui riziką. Todėl kartu šių preparatų neskirti, išskyrus neišvengiamus atvejus (žr. 4.5 skyrių).</w:t>
      </w:r>
    </w:p>
    <w:p w14:paraId="442B8486" w14:textId="77777777" w:rsidR="007D59EF" w:rsidRPr="001C7577" w:rsidRDefault="007D59EF" w:rsidP="007D59EF">
      <w:pPr>
        <w:spacing w:line="240" w:lineRule="auto"/>
        <w:rPr>
          <w:lang w:val="lt-LT"/>
        </w:rPr>
      </w:pPr>
    </w:p>
    <w:p w14:paraId="5487EF55" w14:textId="77777777" w:rsidR="007D59EF" w:rsidRPr="001C7577" w:rsidRDefault="007D59EF" w:rsidP="007D59EF">
      <w:pPr>
        <w:spacing w:line="240" w:lineRule="auto"/>
        <w:rPr>
          <w:lang w:val="lt-LT"/>
        </w:rPr>
      </w:pPr>
      <w:r w:rsidRPr="001C7577">
        <w:rPr>
          <w:lang w:val="lt-LT"/>
        </w:rPr>
        <w:t>Nerekomenduojama lopinaviro/ritonaviro vartoti kartu su flutikazonu ar kitais gliukokortikoidais, kurie metabolizuojami dalyvaujant CYP3A4, pavyzdžiui, budezonidu, nebent galima gydymo nauda yra didesnė nei sisteminio kortikosteroidų poveikio, įskaitant Kušingo (Cushing) sindromą ir antinksčių funkcijos slopinimą, rizika (žr. 4.5 skyrių).</w:t>
      </w:r>
    </w:p>
    <w:p w14:paraId="7DF563DF" w14:textId="77777777" w:rsidR="007D59EF" w:rsidRPr="001C7577" w:rsidRDefault="007D59EF" w:rsidP="007D59EF">
      <w:pPr>
        <w:spacing w:line="240" w:lineRule="auto"/>
        <w:rPr>
          <w:lang w:val="lt-LT"/>
        </w:rPr>
      </w:pPr>
    </w:p>
    <w:p w14:paraId="4A05539A" w14:textId="77777777" w:rsidR="007D59EF" w:rsidRPr="001C7577" w:rsidRDefault="007D59EF" w:rsidP="007D59EF">
      <w:pPr>
        <w:spacing w:line="240" w:lineRule="auto"/>
        <w:rPr>
          <w:lang w:val="lt-LT"/>
        </w:rPr>
      </w:pPr>
      <w:r w:rsidRPr="001C7577">
        <w:rPr>
          <w:i/>
          <w:u w:val="single"/>
          <w:lang w:val="lt-LT"/>
        </w:rPr>
        <w:t>Kita:</w:t>
      </w:r>
    </w:p>
    <w:p w14:paraId="496522DF" w14:textId="77777777" w:rsidR="007D59EF" w:rsidRPr="001C7577" w:rsidRDefault="007D59EF" w:rsidP="007D59EF">
      <w:pPr>
        <w:tabs>
          <w:tab w:val="left" w:pos="225"/>
          <w:tab w:val="left" w:pos="8876"/>
        </w:tabs>
        <w:spacing w:line="240" w:lineRule="auto"/>
        <w:rPr>
          <w:lang w:val="lt-LT"/>
        </w:rPr>
      </w:pPr>
    </w:p>
    <w:p w14:paraId="47F79C61" w14:textId="77777777" w:rsidR="007D59EF" w:rsidRPr="001C7577" w:rsidRDefault="007D59EF" w:rsidP="007D59EF">
      <w:pPr>
        <w:tabs>
          <w:tab w:val="left" w:pos="225"/>
          <w:tab w:val="left" w:pos="8876"/>
        </w:tabs>
        <w:spacing w:line="240" w:lineRule="auto"/>
        <w:rPr>
          <w:lang w:val="lt-LT"/>
        </w:rPr>
      </w:pPr>
      <w:r w:rsidRPr="001C7577">
        <w:rPr>
          <w:lang w:val="lt-LT"/>
        </w:rPr>
        <w:t>Lopinaviras/ritonaviras neišgydo nuo ŽIV infekcijos ar AIDS. Net ir vartojant lopinavirą/ritonavirą, išlieka ŽIV perdavimo kitiems asmenims per lytinį kontaktą ar per kraują rizika. Būtina laikytis atitinkamų atsargumo priemonių. Lopinavirą/ritonavirą vartojantiems pacientams gali prasidėti infekcija ar kita su ŽIV ar AIDS susijusi liga.</w:t>
      </w:r>
    </w:p>
    <w:p w14:paraId="01370724" w14:textId="77777777" w:rsidR="007D59EF" w:rsidRPr="00705EEC" w:rsidRDefault="007D59EF" w:rsidP="007D59EF">
      <w:pPr>
        <w:rPr>
          <w:szCs w:val="24"/>
          <w:lang w:val="lt-LT"/>
        </w:rPr>
      </w:pPr>
    </w:p>
    <w:p w14:paraId="371991A6"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4.5</w:t>
      </w:r>
      <w:r w:rsidRPr="00705EEC">
        <w:rPr>
          <w:rFonts w:ascii="Times New Roman" w:hAnsi="Times New Roman"/>
          <w:sz w:val="22"/>
          <w:lang w:val="lt-LT"/>
        </w:rPr>
        <w:tab/>
        <w:t>Sąveika su kitais vaistiniais preparatais ir kitokia sąveika</w:t>
      </w:r>
    </w:p>
    <w:p w14:paraId="6AF54F2A" w14:textId="77777777" w:rsidR="007D59EF" w:rsidRPr="00705EEC" w:rsidRDefault="007D59EF" w:rsidP="007D59EF">
      <w:pPr>
        <w:rPr>
          <w:szCs w:val="24"/>
          <w:lang w:val="lt-LT"/>
        </w:rPr>
      </w:pPr>
    </w:p>
    <w:p w14:paraId="5FEAFCF6" w14:textId="77777777" w:rsidR="007D59EF" w:rsidRPr="001C7577" w:rsidRDefault="007D59EF" w:rsidP="007D59EF">
      <w:pPr>
        <w:spacing w:line="240" w:lineRule="auto"/>
        <w:rPr>
          <w:szCs w:val="24"/>
          <w:lang w:val="lt-LT"/>
        </w:rPr>
      </w:pPr>
      <w:r w:rsidRPr="001C7577">
        <w:rPr>
          <w:szCs w:val="24"/>
          <w:lang w:val="lt-LT"/>
        </w:rPr>
        <w:t xml:space="preserve">Lopinavir /Ritonavir Ranbaxy sudėtyje yra lopinaviro ir ritonaviro, kurie abu yra P450 izoformos CYP3A inhibitoriai </w:t>
      </w:r>
      <w:r w:rsidRPr="001C7577">
        <w:rPr>
          <w:i/>
          <w:szCs w:val="24"/>
          <w:lang w:val="lt-LT"/>
        </w:rPr>
        <w:t>in vitro</w:t>
      </w:r>
      <w:r w:rsidRPr="001C7577">
        <w:rPr>
          <w:szCs w:val="24"/>
          <w:lang w:val="lt-LT"/>
        </w:rPr>
        <w:t xml:space="preserve">. </w:t>
      </w:r>
      <w:r w:rsidRPr="00705EEC">
        <w:rPr>
          <w:lang w:val="lt-LT"/>
        </w:rPr>
        <w:t xml:space="preserve">Lopinaviras/ritonaviras </w:t>
      </w:r>
      <w:r w:rsidRPr="001C7577">
        <w:rPr>
          <w:szCs w:val="24"/>
          <w:lang w:val="lt-LT"/>
        </w:rPr>
        <w:t xml:space="preserve">gali padidinti kartu vartojamų vaistų, kuriuos daugiausia metabolizuoja CYP3A, koncentraciją plazmoje, dėl to gali sustiprėti ar pailgėti jų gydomasis poveikis bei padaugėti nepageidaujamų reakcijų. Kliniškai reikšminga </w:t>
      </w:r>
      <w:r w:rsidRPr="001C7577">
        <w:rPr>
          <w:lang w:val="lt-LT"/>
        </w:rPr>
        <w:t>lopinaviro/ritonaviro</w:t>
      </w:r>
      <w:r w:rsidRPr="001C7577">
        <w:rPr>
          <w:szCs w:val="24"/>
          <w:lang w:val="lt-LT"/>
        </w:rPr>
        <w:t xml:space="preserve"> koncentracija neslopina CYP2D6, CYP2C9, CYP2C19, CYP2E1, CYP2B6 ar CYP1A2 (žr. 4.3 skyrių).</w:t>
      </w:r>
    </w:p>
    <w:p w14:paraId="54F74933" w14:textId="77777777" w:rsidR="007D59EF" w:rsidRPr="001C7577" w:rsidRDefault="007D59EF" w:rsidP="007D59EF">
      <w:pPr>
        <w:spacing w:line="240" w:lineRule="auto"/>
        <w:rPr>
          <w:szCs w:val="24"/>
          <w:lang w:val="lt-LT"/>
        </w:rPr>
      </w:pPr>
    </w:p>
    <w:p w14:paraId="2DC00F95" w14:textId="77777777" w:rsidR="007D59EF" w:rsidRPr="001C7577" w:rsidRDefault="007D59EF" w:rsidP="007D59EF">
      <w:pPr>
        <w:spacing w:line="240" w:lineRule="auto"/>
        <w:rPr>
          <w:szCs w:val="24"/>
          <w:lang w:val="lt-LT"/>
        </w:rPr>
      </w:pPr>
      <w:r w:rsidRPr="001C7577">
        <w:rPr>
          <w:szCs w:val="24"/>
          <w:lang w:val="lt-LT"/>
        </w:rPr>
        <w:t xml:space="preserve">Nustatyta, kad </w:t>
      </w:r>
      <w:r w:rsidRPr="001C7577">
        <w:rPr>
          <w:lang w:val="lt-LT"/>
        </w:rPr>
        <w:t>lopinaviras/ritonaviras</w:t>
      </w:r>
      <w:r w:rsidRPr="001C7577">
        <w:rPr>
          <w:szCs w:val="24"/>
          <w:lang w:val="lt-LT"/>
        </w:rPr>
        <w:t xml:space="preserve"> </w:t>
      </w:r>
      <w:r w:rsidRPr="001C7577">
        <w:rPr>
          <w:i/>
          <w:szCs w:val="24"/>
          <w:lang w:val="lt-LT"/>
        </w:rPr>
        <w:t>in vivo</w:t>
      </w:r>
      <w:r w:rsidRPr="001C7577">
        <w:rPr>
          <w:szCs w:val="24"/>
          <w:lang w:val="lt-LT"/>
        </w:rPr>
        <w:t xml:space="preserve"> indukuoja savo paties metabolizmą ir didina kai kurių vaistų, metabolizuojamų citochromo P450 fermentų (įskaitant CYP2C9 ir CYP2C19) ir gliukuronizacijos būdu, biotransformaciją. Tai gali sąlygoti mažesnę kartu vartojamų vaistų koncentraciją plazmoje ir mažinti jų efektyvumą.</w:t>
      </w:r>
    </w:p>
    <w:p w14:paraId="3C2289BE" w14:textId="77777777" w:rsidR="007D59EF" w:rsidRPr="001C7577" w:rsidRDefault="007D59EF" w:rsidP="007D59EF">
      <w:pPr>
        <w:spacing w:line="240" w:lineRule="auto"/>
        <w:rPr>
          <w:szCs w:val="24"/>
          <w:lang w:val="lt-LT"/>
        </w:rPr>
      </w:pPr>
    </w:p>
    <w:p w14:paraId="140B03DC" w14:textId="77777777" w:rsidR="007D59EF" w:rsidRPr="00705EEC" w:rsidRDefault="007D59EF" w:rsidP="007D59EF">
      <w:pPr>
        <w:spacing w:line="240" w:lineRule="auto"/>
        <w:rPr>
          <w:lang w:val="lt-LT"/>
        </w:rPr>
      </w:pPr>
      <w:r w:rsidRPr="00705EEC">
        <w:rPr>
          <w:lang w:val="lt-LT"/>
        </w:rPr>
        <w:t>Vaistiniai preparatai, kurių negalima vartoti dėl tikėtinos sąveikos ir galimų sunkių nepageidaujamų reiškinių, išvardyti skyriuje 4.3.</w:t>
      </w:r>
    </w:p>
    <w:p w14:paraId="059FCD7E" w14:textId="77777777" w:rsidR="007D59EF" w:rsidRPr="00705EEC" w:rsidRDefault="007D59EF" w:rsidP="007D59EF">
      <w:pPr>
        <w:spacing w:line="240" w:lineRule="auto"/>
        <w:rPr>
          <w:lang w:val="lt-LT"/>
        </w:rPr>
      </w:pPr>
    </w:p>
    <w:p w14:paraId="5E9B0196" w14:textId="77777777" w:rsidR="007D59EF" w:rsidRPr="00705EEC" w:rsidRDefault="007D59EF" w:rsidP="007D59EF">
      <w:pPr>
        <w:spacing w:line="240" w:lineRule="auto"/>
        <w:rPr>
          <w:lang w:val="lt-LT"/>
        </w:rPr>
      </w:pPr>
      <w:r w:rsidRPr="00705EEC">
        <w:rPr>
          <w:lang w:val="lt-LT"/>
        </w:rPr>
        <w:t xml:space="preserve">Jei nenurodyta kitaip, tyrimai atlikti skiriant lopinaviro/ritonaviro kapsules, kurių lopinaviro ekspozicijos laikas yra apie 20% trumpesnis nei 200/50 mg tablečių. </w:t>
      </w:r>
    </w:p>
    <w:p w14:paraId="7B98B4C6" w14:textId="77777777" w:rsidR="007D59EF" w:rsidRPr="00705EEC" w:rsidRDefault="007D59EF" w:rsidP="007D59EF">
      <w:pPr>
        <w:spacing w:line="240" w:lineRule="auto"/>
        <w:rPr>
          <w:lang w:val="lt-LT"/>
        </w:rPr>
      </w:pPr>
    </w:p>
    <w:p w14:paraId="2C5C159A" w14:textId="77777777" w:rsidR="007D59EF" w:rsidRPr="001C7577" w:rsidRDefault="007D59EF" w:rsidP="007D59EF">
      <w:pPr>
        <w:spacing w:line="240" w:lineRule="auto"/>
        <w:rPr>
          <w:lang w:val="lt-LT"/>
        </w:rPr>
      </w:pPr>
      <w:r w:rsidRPr="001C7577">
        <w:rPr>
          <w:lang w:val="lt-LT"/>
        </w:rPr>
        <w:t>Žinomos ir teorinės sąveikos su antiretrovirusiniais ir neantiretrovirusiniais vaistiniais preparatais išvardintos lentelėje žemiau.</w:t>
      </w:r>
    </w:p>
    <w:p w14:paraId="63B59095" w14:textId="77777777" w:rsidR="007D59EF" w:rsidRPr="001C7577" w:rsidRDefault="007D59EF" w:rsidP="007D59EF">
      <w:pPr>
        <w:spacing w:line="240" w:lineRule="auto"/>
        <w:rPr>
          <w:lang w:val="lt-LT"/>
        </w:rPr>
      </w:pPr>
    </w:p>
    <w:p w14:paraId="47788396" w14:textId="77777777" w:rsidR="007D59EF" w:rsidRPr="001C7577" w:rsidRDefault="007D59EF" w:rsidP="007D59EF">
      <w:pPr>
        <w:spacing w:line="240" w:lineRule="auto"/>
        <w:rPr>
          <w:i/>
          <w:lang w:val="lt-LT"/>
        </w:rPr>
      </w:pPr>
      <w:r w:rsidRPr="001C7577">
        <w:rPr>
          <w:i/>
          <w:lang w:val="lt-LT"/>
        </w:rPr>
        <w:t>Sąveikos lentelė</w:t>
      </w:r>
    </w:p>
    <w:p w14:paraId="755CFB10" w14:textId="77777777" w:rsidR="007D59EF" w:rsidRPr="001C7577" w:rsidRDefault="007D59EF" w:rsidP="007D59EF">
      <w:pPr>
        <w:spacing w:line="240" w:lineRule="auto"/>
        <w:rPr>
          <w:lang w:val="lt-LT"/>
        </w:rPr>
      </w:pPr>
    </w:p>
    <w:p w14:paraId="0B189265" w14:textId="77777777" w:rsidR="007D59EF" w:rsidRPr="001C7577" w:rsidRDefault="007D59EF" w:rsidP="007D59EF">
      <w:pPr>
        <w:spacing w:line="240" w:lineRule="auto"/>
        <w:rPr>
          <w:lang w:val="lt-LT"/>
        </w:rPr>
      </w:pPr>
      <w:r w:rsidRPr="001C7577">
        <w:rPr>
          <w:lang w:val="lt-LT"/>
        </w:rPr>
        <w:t>Lopinaviro/ritonaviro sąveikos su kitais kartu vartojamais vaistiniais preparatais yra išvardintos žemiau lentelėje (padidėjimas yra žymimas “↑”, sumažėjimas “↓”, jokių pokyčių “↔”, kartą per parą “QD”, du kartus per parą “BID”, tris kartus per parą "TID").</w:t>
      </w:r>
    </w:p>
    <w:p w14:paraId="48B4F0A7" w14:textId="77777777" w:rsidR="007D59EF" w:rsidRPr="001C7577" w:rsidRDefault="007D59EF" w:rsidP="007D59EF">
      <w:pPr>
        <w:spacing w:line="240" w:lineRule="auto"/>
        <w:rPr>
          <w:lang w:val="lt-LT"/>
        </w:rPr>
      </w:pPr>
    </w:p>
    <w:p w14:paraId="608106D7" w14:textId="77777777" w:rsidR="007D59EF" w:rsidRPr="001C7577" w:rsidRDefault="007D59EF" w:rsidP="007D59EF">
      <w:pPr>
        <w:spacing w:line="240" w:lineRule="auto"/>
        <w:rPr>
          <w:lang w:val="lt-LT"/>
        </w:rPr>
      </w:pPr>
      <w:r w:rsidRPr="001C7577">
        <w:rPr>
          <w:lang w:val="lt-LT"/>
        </w:rPr>
        <w:t>Jei kitaip nenurodyta, tyrimai atlikti skiriant rekomenduojamą lopinaviro/ritonaviro dozę (t.y. 400/100 mg du kartus per parą).</w:t>
      </w:r>
    </w:p>
    <w:p w14:paraId="50F04D95" w14:textId="77777777" w:rsidR="007D59EF" w:rsidRPr="001C7577" w:rsidRDefault="007D59EF" w:rsidP="007D59EF">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43"/>
        <w:gridCol w:w="2952"/>
        <w:gridCol w:w="3021"/>
      </w:tblGrid>
      <w:tr w:rsidR="007D59EF" w:rsidRPr="00705EEC" w14:paraId="663239AB" w14:textId="77777777" w:rsidTr="001C7577">
        <w:tc>
          <w:tcPr>
            <w:tcW w:w="3143" w:type="dxa"/>
            <w:gridSpan w:val="2"/>
            <w:shd w:val="clear" w:color="auto" w:fill="auto"/>
          </w:tcPr>
          <w:p w14:paraId="2DDD210D" w14:textId="77777777" w:rsidR="007D59EF" w:rsidRPr="001C7577" w:rsidRDefault="007D59EF" w:rsidP="007D59EF">
            <w:pPr>
              <w:spacing w:line="240" w:lineRule="auto"/>
              <w:rPr>
                <w:b/>
                <w:lang w:val="lt-LT"/>
              </w:rPr>
            </w:pPr>
            <w:r w:rsidRPr="001C7577">
              <w:rPr>
                <w:b/>
                <w:lang w:val="lt-LT"/>
              </w:rPr>
              <w:t>Kartu vartojamas vaistas pagal terapinę grupę</w:t>
            </w:r>
          </w:p>
        </w:tc>
        <w:tc>
          <w:tcPr>
            <w:tcW w:w="3047" w:type="dxa"/>
            <w:shd w:val="clear" w:color="auto" w:fill="auto"/>
          </w:tcPr>
          <w:p w14:paraId="1749B3FC" w14:textId="77777777" w:rsidR="007D59EF" w:rsidRPr="001C7577" w:rsidRDefault="007D59EF" w:rsidP="007D59EF">
            <w:pPr>
              <w:spacing w:line="240" w:lineRule="auto"/>
              <w:rPr>
                <w:b/>
                <w:lang w:val="lt-LT"/>
              </w:rPr>
            </w:pPr>
            <w:r w:rsidRPr="001C7577">
              <w:rPr>
                <w:b/>
                <w:lang w:val="lt-LT"/>
              </w:rPr>
              <w:t>Poveikis vaisto kiekiams</w:t>
            </w:r>
          </w:p>
          <w:p w14:paraId="018A903C" w14:textId="77777777" w:rsidR="007D59EF" w:rsidRPr="001C7577" w:rsidRDefault="007D59EF" w:rsidP="007D59EF">
            <w:pPr>
              <w:spacing w:line="240" w:lineRule="auto"/>
              <w:rPr>
                <w:b/>
                <w:lang w:val="lt-LT"/>
              </w:rPr>
            </w:pPr>
          </w:p>
          <w:p w14:paraId="3BCBFE6D" w14:textId="77777777" w:rsidR="007D59EF" w:rsidRPr="001C7577" w:rsidRDefault="007D59EF" w:rsidP="007D59EF">
            <w:pPr>
              <w:spacing w:line="240" w:lineRule="auto"/>
              <w:rPr>
                <w:b/>
                <w:lang w:val="lt-LT"/>
              </w:rPr>
            </w:pPr>
            <w:r w:rsidRPr="001C7577">
              <w:rPr>
                <w:b/>
                <w:lang w:val="lt-LT"/>
              </w:rPr>
              <w:t>Geometrinis pokytis (%) AUC,</w:t>
            </w:r>
          </w:p>
          <w:p w14:paraId="1BEC7105" w14:textId="77777777" w:rsidR="007D59EF" w:rsidRPr="001C7577" w:rsidRDefault="007D59EF" w:rsidP="007D59EF">
            <w:pPr>
              <w:spacing w:line="240" w:lineRule="auto"/>
              <w:rPr>
                <w:b/>
                <w:lang w:val="lt-LT"/>
              </w:rPr>
            </w:pPr>
            <w:r w:rsidRPr="001C7577">
              <w:rPr>
                <w:b/>
                <w:lang w:val="lt-LT"/>
              </w:rPr>
              <w:t>C</w:t>
            </w:r>
            <w:r w:rsidRPr="001C7577">
              <w:rPr>
                <w:b/>
                <w:vertAlign w:val="subscript"/>
                <w:lang w:val="lt-LT"/>
              </w:rPr>
              <w:t>max</w:t>
            </w:r>
            <w:r w:rsidRPr="001C7577">
              <w:rPr>
                <w:b/>
                <w:lang w:val="lt-LT"/>
              </w:rPr>
              <w:t>, C</w:t>
            </w:r>
            <w:r w:rsidRPr="001C7577">
              <w:rPr>
                <w:b/>
                <w:vertAlign w:val="subscript"/>
                <w:lang w:val="lt-LT"/>
              </w:rPr>
              <w:t>min</w:t>
            </w:r>
          </w:p>
          <w:p w14:paraId="58B88E74" w14:textId="77777777" w:rsidR="007D59EF" w:rsidRPr="001C7577" w:rsidRDefault="007D59EF" w:rsidP="007D59EF">
            <w:pPr>
              <w:spacing w:line="240" w:lineRule="auto"/>
              <w:rPr>
                <w:b/>
                <w:lang w:val="lt-LT"/>
              </w:rPr>
            </w:pPr>
          </w:p>
          <w:p w14:paraId="3B3DD67A" w14:textId="77777777" w:rsidR="007D59EF" w:rsidRPr="001C7577" w:rsidRDefault="007D59EF" w:rsidP="007D59EF">
            <w:pPr>
              <w:spacing w:line="240" w:lineRule="auto"/>
              <w:rPr>
                <w:b/>
                <w:lang w:val="lt-LT"/>
              </w:rPr>
            </w:pPr>
            <w:r w:rsidRPr="001C7577">
              <w:rPr>
                <w:b/>
                <w:lang w:val="lt-LT"/>
              </w:rPr>
              <w:t>Sąveikos mechanizmas</w:t>
            </w:r>
          </w:p>
        </w:tc>
        <w:tc>
          <w:tcPr>
            <w:tcW w:w="3096" w:type="dxa"/>
            <w:shd w:val="clear" w:color="auto" w:fill="auto"/>
          </w:tcPr>
          <w:p w14:paraId="4E59D418" w14:textId="77777777" w:rsidR="007D59EF" w:rsidRPr="001C7577" w:rsidRDefault="007D59EF" w:rsidP="007D59EF">
            <w:pPr>
              <w:spacing w:line="240" w:lineRule="auto"/>
              <w:rPr>
                <w:b/>
                <w:lang w:val="lt-LT"/>
              </w:rPr>
            </w:pPr>
            <w:r w:rsidRPr="001C7577">
              <w:rPr>
                <w:b/>
                <w:lang w:val="lt-LT"/>
              </w:rPr>
              <w:t>Klinikinės rekomendacijos</w:t>
            </w:r>
          </w:p>
          <w:p w14:paraId="672A8B63" w14:textId="77777777" w:rsidR="007D59EF" w:rsidRPr="001C7577" w:rsidRDefault="007D59EF" w:rsidP="007D59EF">
            <w:pPr>
              <w:spacing w:line="240" w:lineRule="auto"/>
              <w:rPr>
                <w:b/>
                <w:lang w:val="lt-LT"/>
              </w:rPr>
            </w:pPr>
            <w:r w:rsidRPr="001C7577">
              <w:rPr>
                <w:b/>
                <w:lang w:val="lt-LT"/>
              </w:rPr>
              <w:t>kartu vaistą skiriant su lopinaviru/ritonaviru</w:t>
            </w:r>
          </w:p>
        </w:tc>
      </w:tr>
      <w:tr w:rsidR="007D59EF" w:rsidRPr="00705EEC" w14:paraId="075D5CC4" w14:textId="77777777" w:rsidTr="001C7577">
        <w:tc>
          <w:tcPr>
            <w:tcW w:w="9286" w:type="dxa"/>
            <w:gridSpan w:val="4"/>
            <w:shd w:val="clear" w:color="auto" w:fill="auto"/>
          </w:tcPr>
          <w:p w14:paraId="2FDB33C2" w14:textId="77777777" w:rsidR="007D59EF" w:rsidRPr="001C7577" w:rsidRDefault="007D59EF" w:rsidP="007D59EF">
            <w:pPr>
              <w:spacing w:line="240" w:lineRule="auto"/>
              <w:rPr>
                <w:b/>
                <w:i/>
                <w:lang w:val="lt-LT"/>
              </w:rPr>
            </w:pPr>
            <w:r w:rsidRPr="001C7577">
              <w:rPr>
                <w:b/>
                <w:i/>
                <w:lang w:val="lt-LT"/>
              </w:rPr>
              <w:t>Antiretrovirusiniai vaistai</w:t>
            </w:r>
          </w:p>
        </w:tc>
      </w:tr>
      <w:tr w:rsidR="007D59EF" w:rsidRPr="00705EEC" w14:paraId="11FB6363" w14:textId="77777777" w:rsidTr="001C7577">
        <w:tc>
          <w:tcPr>
            <w:tcW w:w="9286" w:type="dxa"/>
            <w:gridSpan w:val="4"/>
            <w:shd w:val="clear" w:color="auto" w:fill="auto"/>
          </w:tcPr>
          <w:p w14:paraId="23BC8307" w14:textId="77777777" w:rsidR="007D59EF" w:rsidRPr="001C7577" w:rsidRDefault="007D59EF" w:rsidP="007D59EF">
            <w:pPr>
              <w:spacing w:line="240" w:lineRule="auto"/>
              <w:rPr>
                <w:i/>
                <w:lang w:val="lt-LT"/>
              </w:rPr>
            </w:pPr>
            <w:r w:rsidRPr="001C7577">
              <w:rPr>
                <w:i/>
                <w:lang w:val="lt-LT"/>
              </w:rPr>
              <w:t>Nukleozidiniai/Nukleotidiniai atvirkštinės transkriptazės inhibitoriai (NATI)</w:t>
            </w:r>
          </w:p>
        </w:tc>
      </w:tr>
      <w:tr w:rsidR="007D59EF" w:rsidRPr="00705EEC" w14:paraId="0F542CAB" w14:textId="77777777" w:rsidTr="001C7577">
        <w:tc>
          <w:tcPr>
            <w:tcW w:w="3143" w:type="dxa"/>
            <w:gridSpan w:val="2"/>
            <w:shd w:val="clear" w:color="auto" w:fill="auto"/>
          </w:tcPr>
          <w:p w14:paraId="74207726" w14:textId="77777777" w:rsidR="007D59EF" w:rsidRPr="001C7577" w:rsidRDefault="007D59EF" w:rsidP="007D59EF">
            <w:pPr>
              <w:tabs>
                <w:tab w:val="clear" w:pos="567"/>
              </w:tabs>
              <w:autoSpaceDE w:val="0"/>
              <w:autoSpaceDN w:val="0"/>
              <w:adjustRightInd w:val="0"/>
              <w:spacing w:line="240" w:lineRule="auto"/>
              <w:rPr>
                <w:rFonts w:eastAsia="Calibri"/>
                <w:snapToGrid/>
                <w:szCs w:val="22"/>
                <w:lang w:val="lt-LT"/>
              </w:rPr>
            </w:pPr>
            <w:r w:rsidRPr="001C7577">
              <w:rPr>
                <w:rFonts w:eastAsia="Calibri"/>
                <w:snapToGrid/>
                <w:szCs w:val="22"/>
                <w:lang w:val="lt-LT"/>
              </w:rPr>
              <w:t>Stavudinas, Lamivudinas</w:t>
            </w:r>
          </w:p>
        </w:tc>
        <w:tc>
          <w:tcPr>
            <w:tcW w:w="3047" w:type="dxa"/>
            <w:shd w:val="clear" w:color="auto" w:fill="auto"/>
          </w:tcPr>
          <w:p w14:paraId="1C87D0C3" w14:textId="77777777" w:rsidR="007D59EF" w:rsidRPr="001C7577" w:rsidRDefault="007D59EF" w:rsidP="007D59EF">
            <w:pPr>
              <w:spacing w:line="240" w:lineRule="auto"/>
              <w:rPr>
                <w:lang w:val="lt-LT"/>
              </w:rPr>
            </w:pPr>
            <w:r w:rsidRPr="001C7577">
              <w:rPr>
                <w:lang w:val="lt-LT"/>
              </w:rPr>
              <w:t>Lopinaviras: ↔</w:t>
            </w:r>
          </w:p>
        </w:tc>
        <w:tc>
          <w:tcPr>
            <w:tcW w:w="3096" w:type="dxa"/>
            <w:shd w:val="clear" w:color="auto" w:fill="auto"/>
          </w:tcPr>
          <w:p w14:paraId="21608828" w14:textId="77777777" w:rsidR="007D59EF" w:rsidRPr="001C7577" w:rsidRDefault="007D59EF" w:rsidP="007D59EF">
            <w:pPr>
              <w:spacing w:line="240" w:lineRule="auto"/>
              <w:rPr>
                <w:lang w:val="lt-LT"/>
              </w:rPr>
            </w:pPr>
            <w:r w:rsidRPr="001C7577">
              <w:rPr>
                <w:lang w:val="lt-LT"/>
              </w:rPr>
              <w:t>Dozės koregavimas nereikalingas.</w:t>
            </w:r>
          </w:p>
        </w:tc>
      </w:tr>
      <w:tr w:rsidR="007D59EF" w:rsidRPr="00705EEC" w14:paraId="651C1F6C" w14:textId="77777777" w:rsidTr="001C7577">
        <w:tc>
          <w:tcPr>
            <w:tcW w:w="3143" w:type="dxa"/>
            <w:gridSpan w:val="2"/>
            <w:shd w:val="clear" w:color="auto" w:fill="auto"/>
          </w:tcPr>
          <w:p w14:paraId="2B425033" w14:textId="77777777" w:rsidR="007D59EF" w:rsidRPr="001C7577" w:rsidRDefault="007D59EF" w:rsidP="007D59EF">
            <w:pPr>
              <w:spacing w:line="240" w:lineRule="auto"/>
              <w:rPr>
                <w:lang w:val="lt-LT"/>
              </w:rPr>
            </w:pPr>
            <w:r w:rsidRPr="001C7577">
              <w:rPr>
                <w:lang w:val="lt-LT"/>
              </w:rPr>
              <w:t>Abakaviras, Zidovudinas</w:t>
            </w:r>
          </w:p>
        </w:tc>
        <w:tc>
          <w:tcPr>
            <w:tcW w:w="3047" w:type="dxa"/>
            <w:shd w:val="clear" w:color="auto" w:fill="auto"/>
          </w:tcPr>
          <w:p w14:paraId="2A0B7139" w14:textId="77777777" w:rsidR="007D59EF" w:rsidRPr="001C7577" w:rsidRDefault="007D59EF" w:rsidP="007D59EF">
            <w:pPr>
              <w:spacing w:line="240" w:lineRule="auto"/>
              <w:rPr>
                <w:lang w:val="lt-LT"/>
              </w:rPr>
            </w:pPr>
            <w:r w:rsidRPr="001C7577">
              <w:rPr>
                <w:lang w:val="lt-LT"/>
              </w:rPr>
              <w:t>Abakaviras, Zidovudinas:</w:t>
            </w:r>
          </w:p>
          <w:p w14:paraId="14035022" w14:textId="77777777" w:rsidR="007D59EF" w:rsidRPr="001C7577" w:rsidRDefault="007D59EF" w:rsidP="007D59EF">
            <w:pPr>
              <w:spacing w:line="240" w:lineRule="auto"/>
              <w:rPr>
                <w:lang w:val="lt-LT"/>
              </w:rPr>
            </w:pPr>
            <w:r w:rsidRPr="001C7577">
              <w:rPr>
                <w:lang w:val="lt-LT"/>
              </w:rPr>
              <w:t>Dėl lopinaviro/ritonaviro gliukuronizavimo gali sumažėti koncentracija.</w:t>
            </w:r>
          </w:p>
        </w:tc>
        <w:tc>
          <w:tcPr>
            <w:tcW w:w="3096" w:type="dxa"/>
            <w:shd w:val="clear" w:color="auto" w:fill="auto"/>
          </w:tcPr>
          <w:p w14:paraId="5E25D336" w14:textId="77777777" w:rsidR="007D59EF" w:rsidRPr="001C7577" w:rsidRDefault="007D59EF" w:rsidP="007D59EF">
            <w:pPr>
              <w:spacing w:line="240" w:lineRule="auto"/>
              <w:rPr>
                <w:lang w:val="lt-LT"/>
              </w:rPr>
            </w:pPr>
            <w:r w:rsidRPr="001C7577">
              <w:rPr>
                <w:lang w:val="lt-LT"/>
              </w:rPr>
              <w:t>Kliniškai reikšmingas abakaviro</w:t>
            </w:r>
          </w:p>
          <w:p w14:paraId="6C24948F" w14:textId="77777777" w:rsidR="007D59EF" w:rsidRPr="001C7577" w:rsidRDefault="007D59EF" w:rsidP="007D59EF">
            <w:pPr>
              <w:spacing w:line="240" w:lineRule="auto"/>
              <w:rPr>
                <w:lang w:val="lt-LT"/>
              </w:rPr>
            </w:pPr>
            <w:r w:rsidRPr="001C7577">
              <w:rPr>
                <w:lang w:val="lt-LT"/>
              </w:rPr>
              <w:t>ir zidovudino koncentracijų</w:t>
            </w:r>
          </w:p>
          <w:p w14:paraId="526418E6" w14:textId="77777777" w:rsidR="007D59EF" w:rsidRPr="001C7577" w:rsidRDefault="007D59EF" w:rsidP="007D59EF">
            <w:pPr>
              <w:spacing w:line="240" w:lineRule="auto"/>
              <w:rPr>
                <w:lang w:val="lt-LT"/>
              </w:rPr>
            </w:pPr>
            <w:r w:rsidRPr="001C7577">
              <w:rPr>
                <w:lang w:val="lt-LT"/>
              </w:rPr>
              <w:t>sumažėjimas nežinomas.</w:t>
            </w:r>
          </w:p>
        </w:tc>
      </w:tr>
      <w:tr w:rsidR="007D59EF" w:rsidRPr="00705EEC" w14:paraId="7995E2F1" w14:textId="77777777" w:rsidTr="001C7577">
        <w:tc>
          <w:tcPr>
            <w:tcW w:w="3143" w:type="dxa"/>
            <w:gridSpan w:val="2"/>
            <w:shd w:val="clear" w:color="auto" w:fill="auto"/>
          </w:tcPr>
          <w:p w14:paraId="02EE5358" w14:textId="77777777" w:rsidR="007D59EF" w:rsidRPr="001C7577" w:rsidRDefault="007D59EF" w:rsidP="007D59EF">
            <w:pPr>
              <w:tabs>
                <w:tab w:val="clear" w:pos="567"/>
                <w:tab w:val="left" w:pos="989"/>
              </w:tabs>
              <w:spacing w:line="240" w:lineRule="auto"/>
              <w:rPr>
                <w:lang w:val="lt-LT"/>
              </w:rPr>
            </w:pPr>
            <w:r w:rsidRPr="001C7577">
              <w:rPr>
                <w:lang w:val="lt-LT"/>
              </w:rPr>
              <w:lastRenderedPageBreak/>
              <w:t>Tenofoviras, 300 mg QD</w:t>
            </w:r>
          </w:p>
        </w:tc>
        <w:tc>
          <w:tcPr>
            <w:tcW w:w="3047" w:type="dxa"/>
            <w:shd w:val="clear" w:color="auto" w:fill="auto"/>
          </w:tcPr>
          <w:p w14:paraId="0C001A08" w14:textId="77777777" w:rsidR="007D59EF" w:rsidRPr="001C7577" w:rsidRDefault="007D59EF" w:rsidP="007D59EF">
            <w:pPr>
              <w:spacing w:line="240" w:lineRule="auto"/>
              <w:rPr>
                <w:lang w:val="lt-LT"/>
              </w:rPr>
            </w:pPr>
            <w:r w:rsidRPr="001C7577">
              <w:rPr>
                <w:lang w:val="lt-LT"/>
              </w:rPr>
              <w:t>Tenofoviras:</w:t>
            </w:r>
          </w:p>
          <w:p w14:paraId="7AF36E2F" w14:textId="77777777" w:rsidR="007D59EF" w:rsidRPr="001C7577" w:rsidRDefault="007D59EF" w:rsidP="007D59EF">
            <w:pPr>
              <w:spacing w:line="240" w:lineRule="auto"/>
              <w:rPr>
                <w:lang w:val="lt-LT"/>
              </w:rPr>
            </w:pPr>
            <w:r w:rsidRPr="001C7577">
              <w:rPr>
                <w:lang w:val="lt-LT"/>
              </w:rPr>
              <w:t>AUC: ↑ 32%</w:t>
            </w:r>
          </w:p>
          <w:p w14:paraId="67D70AA2" w14:textId="77777777" w:rsidR="007D59EF" w:rsidRPr="001C7577" w:rsidRDefault="007D59EF" w:rsidP="007D59EF">
            <w:pPr>
              <w:spacing w:line="240" w:lineRule="auto"/>
              <w:rPr>
                <w:lang w:val="lt-LT"/>
              </w:rPr>
            </w:pPr>
            <w:r w:rsidRPr="001C7577">
              <w:rPr>
                <w:lang w:val="lt-LT"/>
              </w:rPr>
              <w:t>Cmax : ↔</w:t>
            </w:r>
          </w:p>
          <w:p w14:paraId="3FBFC64A" w14:textId="77777777" w:rsidR="007D59EF" w:rsidRPr="001C7577" w:rsidRDefault="007D59EF" w:rsidP="007D59EF">
            <w:pPr>
              <w:spacing w:line="240" w:lineRule="auto"/>
              <w:rPr>
                <w:lang w:val="lt-LT"/>
              </w:rPr>
            </w:pPr>
            <w:r w:rsidRPr="001C7577">
              <w:rPr>
                <w:lang w:val="lt-LT"/>
              </w:rPr>
              <w:t>Cmin : ↑ 51%</w:t>
            </w:r>
          </w:p>
          <w:p w14:paraId="3B26CBC4" w14:textId="77777777" w:rsidR="007D59EF" w:rsidRPr="001C7577" w:rsidRDefault="007D59EF" w:rsidP="007D59EF">
            <w:pPr>
              <w:spacing w:line="240" w:lineRule="auto"/>
              <w:rPr>
                <w:lang w:val="lt-LT"/>
              </w:rPr>
            </w:pPr>
            <w:r w:rsidRPr="001C7577">
              <w:rPr>
                <w:lang w:val="lt-LT"/>
              </w:rPr>
              <w:t>Lopinaviras: ↔</w:t>
            </w:r>
          </w:p>
        </w:tc>
        <w:tc>
          <w:tcPr>
            <w:tcW w:w="3096" w:type="dxa"/>
            <w:shd w:val="clear" w:color="auto" w:fill="auto"/>
          </w:tcPr>
          <w:p w14:paraId="5A63F199" w14:textId="77777777" w:rsidR="007D59EF" w:rsidRPr="001C7577" w:rsidRDefault="007D59EF" w:rsidP="007D59EF">
            <w:pPr>
              <w:spacing w:line="240" w:lineRule="auto"/>
              <w:rPr>
                <w:lang w:val="lt-LT"/>
              </w:rPr>
            </w:pPr>
            <w:r w:rsidRPr="001C7577">
              <w:rPr>
                <w:lang w:val="lt-LT"/>
              </w:rPr>
              <w:t>Dozės koregavimas nereikalingas.</w:t>
            </w:r>
          </w:p>
          <w:p w14:paraId="47385ACA" w14:textId="77777777" w:rsidR="007D59EF" w:rsidRPr="001C7577" w:rsidRDefault="007D59EF" w:rsidP="007D59EF">
            <w:pPr>
              <w:spacing w:line="240" w:lineRule="auto"/>
              <w:rPr>
                <w:lang w:val="lt-LT"/>
              </w:rPr>
            </w:pPr>
            <w:r w:rsidRPr="001C7577">
              <w:rPr>
                <w:lang w:val="lt-LT"/>
              </w:rPr>
              <w:t>Didesnės tenofoviro koncentracijos gali padidinti</w:t>
            </w:r>
          </w:p>
          <w:p w14:paraId="57FFD9EA" w14:textId="77777777" w:rsidR="007D59EF" w:rsidRPr="001C7577" w:rsidRDefault="007D59EF" w:rsidP="007D59EF">
            <w:pPr>
              <w:spacing w:line="240" w:lineRule="auto"/>
              <w:rPr>
                <w:lang w:val="lt-LT"/>
              </w:rPr>
            </w:pPr>
            <w:r w:rsidRPr="001C7577">
              <w:rPr>
                <w:lang w:val="lt-LT"/>
              </w:rPr>
              <w:t>tenofoviro sukeliamus nepageidaujamus reiškinius,</w:t>
            </w:r>
          </w:p>
          <w:p w14:paraId="0D57BA61" w14:textId="77777777" w:rsidR="007D59EF" w:rsidRPr="001C7577" w:rsidRDefault="007D59EF" w:rsidP="007D59EF">
            <w:pPr>
              <w:spacing w:line="240" w:lineRule="auto"/>
              <w:rPr>
                <w:lang w:val="lt-LT"/>
              </w:rPr>
            </w:pPr>
            <w:r w:rsidRPr="001C7577">
              <w:rPr>
                <w:lang w:val="lt-LT"/>
              </w:rPr>
              <w:t>įskaitant inkstų sutrikimus.</w:t>
            </w:r>
          </w:p>
        </w:tc>
      </w:tr>
      <w:tr w:rsidR="007D59EF" w:rsidRPr="00705EEC" w14:paraId="01DDA40A" w14:textId="77777777" w:rsidTr="001C7577">
        <w:tc>
          <w:tcPr>
            <w:tcW w:w="9286" w:type="dxa"/>
            <w:gridSpan w:val="4"/>
            <w:shd w:val="clear" w:color="auto" w:fill="auto"/>
          </w:tcPr>
          <w:p w14:paraId="0630313D" w14:textId="77777777" w:rsidR="007D59EF" w:rsidRPr="001C7577" w:rsidRDefault="007D59EF" w:rsidP="007D59EF">
            <w:pPr>
              <w:spacing w:line="240" w:lineRule="auto"/>
              <w:rPr>
                <w:i/>
                <w:lang w:val="lt-LT"/>
              </w:rPr>
            </w:pPr>
            <w:r w:rsidRPr="001C7577">
              <w:rPr>
                <w:i/>
                <w:lang w:val="lt-LT"/>
              </w:rPr>
              <w:t>Nenukleozidiniai atvirkštinėss transkriptazės inhibitoriai (NNATI)</w:t>
            </w:r>
          </w:p>
        </w:tc>
      </w:tr>
      <w:tr w:rsidR="007D59EF" w:rsidRPr="00705EEC" w14:paraId="773FD229" w14:textId="77777777" w:rsidTr="001C7577">
        <w:tc>
          <w:tcPr>
            <w:tcW w:w="3143" w:type="dxa"/>
            <w:gridSpan w:val="2"/>
            <w:shd w:val="clear" w:color="auto" w:fill="auto"/>
          </w:tcPr>
          <w:p w14:paraId="2EEAD3EC" w14:textId="77777777" w:rsidR="007D59EF" w:rsidRPr="001C7577" w:rsidRDefault="007D59EF" w:rsidP="007D59EF">
            <w:pPr>
              <w:spacing w:line="240" w:lineRule="auto"/>
              <w:rPr>
                <w:lang w:val="lt-LT"/>
              </w:rPr>
            </w:pPr>
            <w:r w:rsidRPr="001C7577">
              <w:rPr>
                <w:lang w:val="lt-LT"/>
              </w:rPr>
              <w:t>Efavirenzas, 600 mg QD</w:t>
            </w:r>
          </w:p>
          <w:p w14:paraId="01D0D8BC" w14:textId="77777777" w:rsidR="007D59EF" w:rsidRPr="001C7577" w:rsidRDefault="007D59EF" w:rsidP="007D59EF">
            <w:pPr>
              <w:spacing w:line="240" w:lineRule="auto"/>
              <w:rPr>
                <w:lang w:val="lt-LT"/>
              </w:rPr>
            </w:pPr>
          </w:p>
        </w:tc>
        <w:tc>
          <w:tcPr>
            <w:tcW w:w="3047" w:type="dxa"/>
            <w:shd w:val="clear" w:color="auto" w:fill="auto"/>
          </w:tcPr>
          <w:p w14:paraId="4417602A" w14:textId="77777777" w:rsidR="007D59EF" w:rsidRPr="001C7577" w:rsidRDefault="007D59EF" w:rsidP="007D59EF">
            <w:pPr>
              <w:spacing w:line="240" w:lineRule="auto"/>
              <w:rPr>
                <w:lang w:val="lt-LT"/>
              </w:rPr>
            </w:pPr>
            <w:r w:rsidRPr="001C7577">
              <w:rPr>
                <w:lang w:val="lt-LT"/>
              </w:rPr>
              <w:t>Lopinaviras:</w:t>
            </w:r>
          </w:p>
          <w:p w14:paraId="4FD10A1E" w14:textId="77777777" w:rsidR="007D59EF" w:rsidRPr="001C7577" w:rsidRDefault="007D59EF" w:rsidP="007D59EF">
            <w:pPr>
              <w:spacing w:line="240" w:lineRule="auto"/>
              <w:rPr>
                <w:lang w:val="lt-LT"/>
              </w:rPr>
            </w:pPr>
            <w:r w:rsidRPr="001C7577">
              <w:rPr>
                <w:lang w:val="lt-LT"/>
              </w:rPr>
              <w:t>AUC: ↓ 20%</w:t>
            </w:r>
          </w:p>
          <w:p w14:paraId="217E1018"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13%</w:t>
            </w:r>
          </w:p>
          <w:p w14:paraId="7C3C3179"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42%</w:t>
            </w:r>
          </w:p>
        </w:tc>
        <w:tc>
          <w:tcPr>
            <w:tcW w:w="3096" w:type="dxa"/>
            <w:vMerge w:val="restart"/>
            <w:shd w:val="clear" w:color="auto" w:fill="auto"/>
          </w:tcPr>
          <w:p w14:paraId="2C42D71C" w14:textId="77777777" w:rsidR="007D59EF" w:rsidRPr="001C7577" w:rsidRDefault="007D59EF" w:rsidP="007D59EF">
            <w:pPr>
              <w:spacing w:line="240" w:lineRule="auto"/>
              <w:rPr>
                <w:lang w:val="lt-LT"/>
              </w:rPr>
            </w:pPr>
            <w:r w:rsidRPr="001C7577">
              <w:rPr>
                <w:lang w:val="lt-LT"/>
              </w:rPr>
              <w:t>Lopinaviro/ritonaviro tablečių dozė turi būti padidinta iki 500/125 mg du kartus per parą, kai ji skirama kartu su efivarenzu.</w:t>
            </w:r>
          </w:p>
          <w:p w14:paraId="1B431315" w14:textId="77777777" w:rsidR="007D59EF" w:rsidRPr="001C7577" w:rsidRDefault="007D59EF" w:rsidP="007D59EF">
            <w:pPr>
              <w:spacing w:line="240" w:lineRule="auto"/>
              <w:rPr>
                <w:lang w:val="lt-LT"/>
              </w:rPr>
            </w:pPr>
            <w:r w:rsidRPr="001C7577">
              <w:rPr>
                <w:lang w:val="lt-LT"/>
              </w:rPr>
              <w:t>Lopinaviro/ritonaviro tablečių negalima vartoti vieną kartą per parą, kai vaisto skirama kartu su efivarenzu.</w:t>
            </w:r>
          </w:p>
        </w:tc>
      </w:tr>
      <w:tr w:rsidR="007D59EF" w:rsidRPr="00705EEC" w14:paraId="211B51FF" w14:textId="77777777" w:rsidTr="001C7577">
        <w:tc>
          <w:tcPr>
            <w:tcW w:w="3143" w:type="dxa"/>
            <w:gridSpan w:val="2"/>
            <w:shd w:val="clear" w:color="auto" w:fill="auto"/>
          </w:tcPr>
          <w:p w14:paraId="666E5E50" w14:textId="77777777" w:rsidR="007D59EF" w:rsidRPr="001C7577" w:rsidRDefault="007D59EF" w:rsidP="007D59EF">
            <w:pPr>
              <w:spacing w:line="240" w:lineRule="auto"/>
              <w:rPr>
                <w:lang w:val="lt-LT"/>
              </w:rPr>
            </w:pPr>
            <w:r w:rsidRPr="001C7577">
              <w:rPr>
                <w:lang w:val="lt-LT"/>
              </w:rPr>
              <w:t>Efavirenzas, 600 mg QD</w:t>
            </w:r>
          </w:p>
          <w:p w14:paraId="332500CD" w14:textId="77777777" w:rsidR="007D59EF" w:rsidRPr="001C7577" w:rsidRDefault="007D59EF" w:rsidP="007D59EF">
            <w:pPr>
              <w:spacing w:line="240" w:lineRule="auto"/>
              <w:rPr>
                <w:lang w:val="lt-LT"/>
              </w:rPr>
            </w:pPr>
            <w:r w:rsidRPr="001C7577">
              <w:rPr>
                <w:lang w:val="lt-LT"/>
              </w:rPr>
              <w:t>(Lopinaviras/ritonaviras 500/125 mg BID)</w:t>
            </w:r>
          </w:p>
        </w:tc>
        <w:tc>
          <w:tcPr>
            <w:tcW w:w="3047" w:type="dxa"/>
            <w:shd w:val="clear" w:color="auto" w:fill="auto"/>
          </w:tcPr>
          <w:p w14:paraId="2D9C74DE" w14:textId="77777777" w:rsidR="007D59EF" w:rsidRPr="001C7577" w:rsidRDefault="007D59EF" w:rsidP="007D59EF">
            <w:pPr>
              <w:spacing w:line="240" w:lineRule="auto"/>
              <w:rPr>
                <w:lang w:val="lt-LT"/>
              </w:rPr>
            </w:pPr>
            <w:r w:rsidRPr="001C7577">
              <w:rPr>
                <w:lang w:val="lt-LT"/>
              </w:rPr>
              <w:t>Lopinaviras: ↔</w:t>
            </w:r>
          </w:p>
          <w:p w14:paraId="663C2B8F" w14:textId="77777777" w:rsidR="007D59EF" w:rsidRPr="001C7577" w:rsidRDefault="007D59EF" w:rsidP="007D59EF">
            <w:pPr>
              <w:spacing w:line="240" w:lineRule="auto"/>
              <w:rPr>
                <w:lang w:val="lt-LT"/>
              </w:rPr>
            </w:pPr>
            <w:r w:rsidRPr="001C7577">
              <w:rPr>
                <w:lang w:val="lt-LT"/>
              </w:rPr>
              <w:t>(atitinkamai 400/100 mg BID</w:t>
            </w:r>
          </w:p>
          <w:p w14:paraId="2D5FEEA8" w14:textId="77777777" w:rsidR="007D59EF" w:rsidRPr="001C7577" w:rsidRDefault="007D59EF" w:rsidP="007D59EF">
            <w:pPr>
              <w:spacing w:line="240" w:lineRule="auto"/>
              <w:rPr>
                <w:lang w:val="lt-LT"/>
              </w:rPr>
            </w:pPr>
            <w:r w:rsidRPr="001C7577">
              <w:rPr>
                <w:lang w:val="lt-LT"/>
              </w:rPr>
              <w:t>skiriant vieną)</w:t>
            </w:r>
          </w:p>
        </w:tc>
        <w:tc>
          <w:tcPr>
            <w:tcW w:w="3096" w:type="dxa"/>
            <w:vMerge/>
            <w:shd w:val="clear" w:color="auto" w:fill="auto"/>
          </w:tcPr>
          <w:p w14:paraId="54537779" w14:textId="77777777" w:rsidR="007D59EF" w:rsidRPr="001C7577" w:rsidRDefault="007D59EF" w:rsidP="007D59EF">
            <w:pPr>
              <w:spacing w:line="240" w:lineRule="auto"/>
              <w:rPr>
                <w:lang w:val="lt-LT"/>
              </w:rPr>
            </w:pPr>
          </w:p>
        </w:tc>
      </w:tr>
      <w:tr w:rsidR="007D59EF" w:rsidRPr="00705EEC" w14:paraId="030A3356" w14:textId="77777777" w:rsidTr="001C7577">
        <w:tc>
          <w:tcPr>
            <w:tcW w:w="3143" w:type="dxa"/>
            <w:gridSpan w:val="2"/>
            <w:shd w:val="clear" w:color="auto" w:fill="auto"/>
          </w:tcPr>
          <w:p w14:paraId="302572D6" w14:textId="77777777" w:rsidR="007D59EF" w:rsidRPr="001C7577" w:rsidRDefault="007D59EF" w:rsidP="007D59EF">
            <w:pPr>
              <w:spacing w:line="240" w:lineRule="auto"/>
              <w:rPr>
                <w:lang w:val="lt-LT"/>
              </w:rPr>
            </w:pPr>
            <w:r w:rsidRPr="001C7577">
              <w:rPr>
                <w:lang w:val="lt-LT"/>
              </w:rPr>
              <w:t>Nevirapinas, 200 mg BID</w:t>
            </w:r>
          </w:p>
        </w:tc>
        <w:tc>
          <w:tcPr>
            <w:tcW w:w="3047" w:type="dxa"/>
            <w:shd w:val="clear" w:color="auto" w:fill="auto"/>
          </w:tcPr>
          <w:p w14:paraId="27B3555C" w14:textId="77777777" w:rsidR="007D59EF" w:rsidRPr="001C7577" w:rsidRDefault="007D59EF" w:rsidP="007D59EF">
            <w:pPr>
              <w:spacing w:line="240" w:lineRule="auto"/>
              <w:rPr>
                <w:lang w:val="lt-LT"/>
              </w:rPr>
            </w:pPr>
            <w:r w:rsidRPr="001C7577">
              <w:rPr>
                <w:lang w:val="lt-LT"/>
              </w:rPr>
              <w:t>Lopinaviras:</w:t>
            </w:r>
          </w:p>
          <w:p w14:paraId="25DE6731" w14:textId="77777777" w:rsidR="007D59EF" w:rsidRPr="001C7577" w:rsidRDefault="007D59EF" w:rsidP="007D59EF">
            <w:pPr>
              <w:spacing w:line="240" w:lineRule="auto"/>
              <w:rPr>
                <w:lang w:val="lt-LT"/>
              </w:rPr>
            </w:pPr>
            <w:r w:rsidRPr="001C7577">
              <w:rPr>
                <w:lang w:val="lt-LT"/>
              </w:rPr>
              <w:t>AUC: ↓ 27%</w:t>
            </w:r>
          </w:p>
          <w:p w14:paraId="60298230"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19%</w:t>
            </w:r>
          </w:p>
          <w:p w14:paraId="33745EE7"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51%</w:t>
            </w:r>
          </w:p>
        </w:tc>
        <w:tc>
          <w:tcPr>
            <w:tcW w:w="3096" w:type="dxa"/>
            <w:shd w:val="clear" w:color="auto" w:fill="auto"/>
          </w:tcPr>
          <w:p w14:paraId="12699A3D" w14:textId="77777777" w:rsidR="007D59EF" w:rsidRPr="001C7577" w:rsidRDefault="007D59EF" w:rsidP="007D59EF">
            <w:pPr>
              <w:spacing w:line="240" w:lineRule="auto"/>
              <w:rPr>
                <w:lang w:val="lt-LT"/>
              </w:rPr>
            </w:pPr>
            <w:r w:rsidRPr="001C7577">
              <w:rPr>
                <w:lang w:val="lt-LT"/>
              </w:rPr>
              <w:t>Lopinaviro/ritonaviro tablečių dozė turi būti padidinta iki 500/125 mg du kartus per parą, kai ji skirama kartu su nevirapinu.</w:t>
            </w:r>
          </w:p>
          <w:p w14:paraId="784ED339" w14:textId="77777777" w:rsidR="007D59EF" w:rsidRPr="001C7577" w:rsidRDefault="007D59EF" w:rsidP="007D59EF">
            <w:pPr>
              <w:spacing w:line="240" w:lineRule="auto"/>
              <w:rPr>
                <w:lang w:val="lt-LT"/>
              </w:rPr>
            </w:pPr>
            <w:r w:rsidRPr="001C7577">
              <w:rPr>
                <w:lang w:val="lt-LT"/>
              </w:rPr>
              <w:t>Lopinaviro/ritonaviro tablečių negalima vartoti vieną kartą per parą, kai vaisto skirama kartu su nevirapinu.</w:t>
            </w:r>
          </w:p>
        </w:tc>
      </w:tr>
      <w:tr w:rsidR="007D59EF" w:rsidRPr="00705EEC" w14:paraId="38BF9DBE" w14:textId="77777777" w:rsidTr="001C7577">
        <w:tc>
          <w:tcPr>
            <w:tcW w:w="9286" w:type="dxa"/>
            <w:gridSpan w:val="4"/>
            <w:shd w:val="clear" w:color="auto" w:fill="auto"/>
          </w:tcPr>
          <w:p w14:paraId="396026DC" w14:textId="77777777" w:rsidR="007D59EF" w:rsidRPr="001C7577" w:rsidRDefault="007D59EF" w:rsidP="007D59EF">
            <w:pPr>
              <w:spacing w:line="240" w:lineRule="auto"/>
              <w:rPr>
                <w:lang w:val="lt-LT"/>
              </w:rPr>
            </w:pPr>
            <w:r w:rsidRPr="001C7577">
              <w:rPr>
                <w:rFonts w:eastAsia="Calibri"/>
                <w:i/>
                <w:iCs/>
                <w:snapToGrid/>
                <w:szCs w:val="22"/>
                <w:lang w:val="lt-LT"/>
              </w:rPr>
              <w:t>ŽIV CCR5 – antagonistas</w:t>
            </w:r>
          </w:p>
        </w:tc>
      </w:tr>
      <w:tr w:rsidR="007D59EF" w:rsidRPr="00705EEC" w14:paraId="26D89D7A" w14:textId="77777777" w:rsidTr="001C7577">
        <w:tc>
          <w:tcPr>
            <w:tcW w:w="3143" w:type="dxa"/>
            <w:gridSpan w:val="2"/>
            <w:shd w:val="clear" w:color="auto" w:fill="auto"/>
          </w:tcPr>
          <w:p w14:paraId="2A134802" w14:textId="77777777" w:rsidR="007D59EF" w:rsidRPr="001C7577" w:rsidRDefault="007D59EF" w:rsidP="007D59EF">
            <w:pPr>
              <w:spacing w:line="240" w:lineRule="auto"/>
              <w:rPr>
                <w:lang w:val="lt-LT"/>
              </w:rPr>
            </w:pPr>
            <w:r w:rsidRPr="001C7577">
              <w:rPr>
                <w:lang w:val="lt-LT"/>
              </w:rPr>
              <w:t>Maravirokas</w:t>
            </w:r>
          </w:p>
        </w:tc>
        <w:tc>
          <w:tcPr>
            <w:tcW w:w="3047" w:type="dxa"/>
            <w:shd w:val="clear" w:color="auto" w:fill="auto"/>
          </w:tcPr>
          <w:p w14:paraId="40BE413B" w14:textId="77777777" w:rsidR="007D59EF" w:rsidRPr="001C7577" w:rsidRDefault="007D59EF" w:rsidP="007D59EF">
            <w:pPr>
              <w:spacing w:line="240" w:lineRule="auto"/>
              <w:rPr>
                <w:lang w:val="lt-LT"/>
              </w:rPr>
            </w:pPr>
            <w:r w:rsidRPr="001C7577">
              <w:rPr>
                <w:lang w:val="lt-LT"/>
              </w:rPr>
              <w:t>Maravirokas:</w:t>
            </w:r>
          </w:p>
          <w:p w14:paraId="5DD9395E" w14:textId="77777777" w:rsidR="007D59EF" w:rsidRPr="001C7577" w:rsidRDefault="007D59EF" w:rsidP="007D59EF">
            <w:pPr>
              <w:spacing w:line="240" w:lineRule="auto"/>
              <w:rPr>
                <w:lang w:val="lt-LT"/>
              </w:rPr>
            </w:pPr>
            <w:r w:rsidRPr="001C7577">
              <w:rPr>
                <w:lang w:val="lt-LT"/>
              </w:rPr>
              <w:t>AUC: ↑ 295%</w:t>
            </w:r>
          </w:p>
          <w:p w14:paraId="717AA92E"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97%</w:t>
            </w:r>
          </w:p>
          <w:p w14:paraId="09B94858" w14:textId="77777777" w:rsidR="007D59EF" w:rsidRPr="001C7577" w:rsidRDefault="007D59EF" w:rsidP="007D59EF">
            <w:pPr>
              <w:spacing w:line="240" w:lineRule="auto"/>
              <w:rPr>
                <w:lang w:val="lt-LT"/>
              </w:rPr>
            </w:pPr>
            <w:r w:rsidRPr="001C7577">
              <w:rPr>
                <w:lang w:val="lt-LT"/>
              </w:rPr>
              <w:t>Kadangi lopinaviras / ritonaviras slopina CYP3A</w:t>
            </w:r>
          </w:p>
        </w:tc>
        <w:tc>
          <w:tcPr>
            <w:tcW w:w="3096" w:type="dxa"/>
            <w:shd w:val="clear" w:color="auto" w:fill="auto"/>
          </w:tcPr>
          <w:p w14:paraId="24190A66" w14:textId="77777777" w:rsidR="007D59EF" w:rsidRPr="001C7577" w:rsidRDefault="007D59EF" w:rsidP="007D59EF">
            <w:pPr>
              <w:spacing w:line="240" w:lineRule="auto"/>
              <w:rPr>
                <w:lang w:val="lt-LT"/>
              </w:rPr>
            </w:pPr>
            <w:r w:rsidRPr="001C7577">
              <w:rPr>
                <w:lang w:val="lt-LT"/>
              </w:rPr>
              <w:t>Maraviroko dozė turi būti</w:t>
            </w:r>
          </w:p>
          <w:p w14:paraId="6FB0A7E5" w14:textId="77777777" w:rsidR="007D59EF" w:rsidRPr="001C7577" w:rsidRDefault="007D59EF" w:rsidP="007D59EF">
            <w:pPr>
              <w:spacing w:line="240" w:lineRule="auto"/>
              <w:rPr>
                <w:lang w:val="lt-LT"/>
              </w:rPr>
            </w:pPr>
            <w:r w:rsidRPr="001C7577">
              <w:rPr>
                <w:lang w:val="lt-LT"/>
              </w:rPr>
              <w:t>sumažinta iki 150 mg du kartus</w:t>
            </w:r>
          </w:p>
          <w:p w14:paraId="6725E8E9" w14:textId="77777777" w:rsidR="007D59EF" w:rsidRPr="001C7577" w:rsidRDefault="007D59EF" w:rsidP="007D59EF">
            <w:pPr>
              <w:spacing w:line="240" w:lineRule="auto"/>
              <w:rPr>
                <w:lang w:val="lt-LT"/>
              </w:rPr>
            </w:pPr>
            <w:r w:rsidRPr="001C7577">
              <w:rPr>
                <w:lang w:val="lt-LT"/>
              </w:rPr>
              <w:t>per parą, kai kartu vartojamas su</w:t>
            </w:r>
          </w:p>
          <w:p w14:paraId="34652210" w14:textId="77777777" w:rsidR="007D59EF" w:rsidRPr="001C7577" w:rsidRDefault="007D59EF" w:rsidP="007D59EF">
            <w:pPr>
              <w:spacing w:line="240" w:lineRule="auto"/>
              <w:rPr>
                <w:lang w:val="lt-LT"/>
              </w:rPr>
            </w:pPr>
            <w:r w:rsidRPr="001C7577">
              <w:rPr>
                <w:lang w:val="lt-LT"/>
              </w:rPr>
              <w:t>lopinaviru/ritonaviru 400/100 mg du kartus per parą.</w:t>
            </w:r>
          </w:p>
        </w:tc>
      </w:tr>
      <w:tr w:rsidR="007D59EF" w:rsidRPr="00705EEC" w14:paraId="1DF5946C" w14:textId="77777777" w:rsidTr="001C7577">
        <w:tc>
          <w:tcPr>
            <w:tcW w:w="9286" w:type="dxa"/>
            <w:gridSpan w:val="4"/>
            <w:shd w:val="clear" w:color="auto" w:fill="auto"/>
          </w:tcPr>
          <w:p w14:paraId="5F1E06BE" w14:textId="77777777" w:rsidR="007D59EF" w:rsidRPr="001C7577" w:rsidRDefault="007D59EF" w:rsidP="007D59EF">
            <w:pPr>
              <w:spacing w:line="240" w:lineRule="auto"/>
              <w:rPr>
                <w:lang w:val="lt-LT"/>
              </w:rPr>
            </w:pPr>
            <w:r w:rsidRPr="001C7577">
              <w:rPr>
                <w:rFonts w:ascii="TimesNewRomanPS-ItalicMT" w:eastAsia="Calibri" w:hAnsi="TimesNewRomanPS-ItalicMT" w:cs="TimesNewRomanPS-ItalicMT"/>
                <w:i/>
                <w:iCs/>
                <w:snapToGrid/>
                <w:szCs w:val="22"/>
                <w:lang w:val="lt-LT"/>
              </w:rPr>
              <w:t xml:space="preserve">Integrazės </w:t>
            </w:r>
            <w:r w:rsidRPr="001C7577">
              <w:rPr>
                <w:rFonts w:eastAsia="Calibri"/>
                <w:i/>
                <w:iCs/>
                <w:snapToGrid/>
                <w:szCs w:val="22"/>
                <w:lang w:val="lt-LT"/>
              </w:rPr>
              <w:t>inhibitorius</w:t>
            </w:r>
          </w:p>
        </w:tc>
      </w:tr>
      <w:tr w:rsidR="007D59EF" w:rsidRPr="00705EEC" w14:paraId="57576804" w14:textId="77777777" w:rsidTr="001C7577">
        <w:tc>
          <w:tcPr>
            <w:tcW w:w="3143" w:type="dxa"/>
            <w:gridSpan w:val="2"/>
            <w:shd w:val="clear" w:color="auto" w:fill="auto"/>
          </w:tcPr>
          <w:p w14:paraId="714BAE33" w14:textId="77777777" w:rsidR="007D59EF" w:rsidRPr="001C7577" w:rsidRDefault="007D59EF" w:rsidP="007D59EF">
            <w:pPr>
              <w:spacing w:line="240" w:lineRule="auto"/>
              <w:rPr>
                <w:lang w:val="lt-LT"/>
              </w:rPr>
            </w:pPr>
            <w:r w:rsidRPr="001C7577">
              <w:rPr>
                <w:lang w:val="lt-LT"/>
              </w:rPr>
              <w:t xml:space="preserve">Raltegraviras </w:t>
            </w:r>
          </w:p>
        </w:tc>
        <w:tc>
          <w:tcPr>
            <w:tcW w:w="3047" w:type="dxa"/>
            <w:shd w:val="clear" w:color="auto" w:fill="auto"/>
          </w:tcPr>
          <w:p w14:paraId="7F66D8DA" w14:textId="77777777" w:rsidR="007D59EF" w:rsidRPr="001C7577" w:rsidRDefault="007D59EF" w:rsidP="007D59EF">
            <w:pPr>
              <w:spacing w:line="240" w:lineRule="auto"/>
              <w:rPr>
                <w:lang w:val="lt-LT"/>
              </w:rPr>
            </w:pPr>
            <w:r w:rsidRPr="001C7577">
              <w:rPr>
                <w:lang w:val="lt-LT"/>
              </w:rPr>
              <w:t>Raltegraviras:</w:t>
            </w:r>
          </w:p>
          <w:p w14:paraId="279A2CD7" w14:textId="77777777" w:rsidR="007D59EF" w:rsidRPr="001C7577" w:rsidRDefault="007D59EF" w:rsidP="007D59EF">
            <w:pPr>
              <w:spacing w:line="240" w:lineRule="auto"/>
              <w:rPr>
                <w:lang w:val="lt-LT"/>
              </w:rPr>
            </w:pPr>
            <w:r w:rsidRPr="001C7577">
              <w:rPr>
                <w:lang w:val="lt-LT"/>
              </w:rPr>
              <w:t>AUC: ↔</w:t>
            </w:r>
          </w:p>
          <w:p w14:paraId="60B70181"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w:t>
            </w:r>
          </w:p>
          <w:p w14:paraId="67C1A40D"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12</w:t>
            </w:r>
            <w:r w:rsidRPr="001C7577">
              <w:rPr>
                <w:lang w:val="lt-LT"/>
              </w:rPr>
              <w:t>: ↓ 30%</w:t>
            </w:r>
          </w:p>
          <w:p w14:paraId="0ABF8009" w14:textId="77777777" w:rsidR="007D59EF" w:rsidRPr="001C7577" w:rsidRDefault="007D59EF" w:rsidP="007D59EF">
            <w:pPr>
              <w:spacing w:line="240" w:lineRule="auto"/>
              <w:rPr>
                <w:lang w:val="lt-LT"/>
              </w:rPr>
            </w:pPr>
            <w:r w:rsidRPr="001C7577">
              <w:rPr>
                <w:lang w:val="lt-LT"/>
              </w:rPr>
              <w:t>Lopinaviras: ↔</w:t>
            </w:r>
          </w:p>
        </w:tc>
        <w:tc>
          <w:tcPr>
            <w:tcW w:w="3096" w:type="dxa"/>
            <w:shd w:val="clear" w:color="auto" w:fill="auto"/>
          </w:tcPr>
          <w:p w14:paraId="6F9F8FAA" w14:textId="77777777" w:rsidR="007D59EF" w:rsidRPr="001C7577" w:rsidRDefault="007D59EF" w:rsidP="007D59EF">
            <w:pPr>
              <w:spacing w:line="240" w:lineRule="auto"/>
              <w:rPr>
                <w:lang w:val="lt-LT"/>
              </w:rPr>
            </w:pPr>
            <w:r w:rsidRPr="001C7577">
              <w:rPr>
                <w:lang w:val="lt-LT"/>
              </w:rPr>
              <w:t>Dozės koreguoti nereikia.</w:t>
            </w:r>
          </w:p>
        </w:tc>
      </w:tr>
      <w:tr w:rsidR="007D59EF" w:rsidRPr="00705EEC" w14:paraId="435E48EA" w14:textId="77777777" w:rsidTr="001C7577">
        <w:tc>
          <w:tcPr>
            <w:tcW w:w="9286" w:type="dxa"/>
            <w:gridSpan w:val="4"/>
            <w:shd w:val="clear" w:color="auto" w:fill="auto"/>
          </w:tcPr>
          <w:p w14:paraId="4F3E33A6" w14:textId="77777777" w:rsidR="007D59EF" w:rsidRPr="001C7577" w:rsidRDefault="007D59EF" w:rsidP="007D59EF">
            <w:pPr>
              <w:spacing w:line="240" w:lineRule="auto"/>
              <w:rPr>
                <w:i/>
                <w:lang w:val="lt-LT"/>
              </w:rPr>
            </w:pPr>
            <w:r w:rsidRPr="001C7577">
              <w:rPr>
                <w:i/>
                <w:lang w:val="lt-LT"/>
              </w:rPr>
              <w:t>Skyrimas kartu su kitais ŽIV proteazės inhibitoriais (PI)</w:t>
            </w:r>
          </w:p>
          <w:p w14:paraId="20504B1D" w14:textId="77777777" w:rsidR="007D59EF" w:rsidRPr="001C7577" w:rsidRDefault="007D59EF" w:rsidP="007D59EF">
            <w:pPr>
              <w:spacing w:line="240" w:lineRule="auto"/>
              <w:rPr>
                <w:lang w:val="lt-LT"/>
              </w:rPr>
            </w:pPr>
            <w:r w:rsidRPr="001C7577">
              <w:rPr>
                <w:lang w:val="lt-LT"/>
              </w:rPr>
              <w:t>Pagal dabartines gydymo gaires, dviguba proteazių inhibitorių terapija yra nerekomenduojama.</w:t>
            </w:r>
          </w:p>
        </w:tc>
      </w:tr>
      <w:tr w:rsidR="007D59EF" w:rsidRPr="00705EEC" w14:paraId="25B05DD4" w14:textId="77777777" w:rsidTr="001C7577">
        <w:tc>
          <w:tcPr>
            <w:tcW w:w="3143" w:type="dxa"/>
            <w:gridSpan w:val="2"/>
            <w:shd w:val="clear" w:color="auto" w:fill="auto"/>
          </w:tcPr>
          <w:p w14:paraId="13200763" w14:textId="77777777" w:rsidR="007D59EF" w:rsidRPr="001C7577" w:rsidRDefault="007D59EF" w:rsidP="007D59EF">
            <w:pPr>
              <w:spacing w:line="240" w:lineRule="auto"/>
              <w:rPr>
                <w:lang w:val="lt-LT"/>
              </w:rPr>
            </w:pPr>
            <w:r w:rsidRPr="001C7577">
              <w:rPr>
                <w:lang w:val="lt-LT"/>
              </w:rPr>
              <w:t>Fosamprenaviras/ritonaviras (700/100 mg BID)</w:t>
            </w:r>
          </w:p>
          <w:p w14:paraId="4EC8144A" w14:textId="77777777" w:rsidR="007D59EF" w:rsidRPr="001C7577" w:rsidRDefault="007D59EF" w:rsidP="007D59EF">
            <w:pPr>
              <w:spacing w:line="240" w:lineRule="auto"/>
              <w:rPr>
                <w:lang w:val="lt-LT"/>
              </w:rPr>
            </w:pPr>
          </w:p>
          <w:p w14:paraId="6CBF44FB" w14:textId="77777777" w:rsidR="007D59EF" w:rsidRPr="001C7577" w:rsidRDefault="007D59EF" w:rsidP="007D59EF">
            <w:pPr>
              <w:spacing w:line="240" w:lineRule="auto"/>
              <w:rPr>
                <w:lang w:val="lt-LT"/>
              </w:rPr>
            </w:pPr>
            <w:r w:rsidRPr="001C7577">
              <w:rPr>
                <w:lang w:val="lt-LT"/>
              </w:rPr>
              <w:t xml:space="preserve">(Lopinaviras/ritonaviras 400/100 mg BID) </w:t>
            </w:r>
          </w:p>
          <w:p w14:paraId="00C632D2" w14:textId="77777777" w:rsidR="007D59EF" w:rsidRPr="001C7577" w:rsidRDefault="007D59EF" w:rsidP="007D59EF">
            <w:pPr>
              <w:spacing w:line="240" w:lineRule="auto"/>
              <w:rPr>
                <w:lang w:val="lt-LT"/>
              </w:rPr>
            </w:pPr>
          </w:p>
          <w:p w14:paraId="4E98497A" w14:textId="77777777" w:rsidR="007D59EF" w:rsidRPr="001C7577" w:rsidRDefault="007D59EF" w:rsidP="007D59EF">
            <w:pPr>
              <w:spacing w:line="240" w:lineRule="auto"/>
              <w:rPr>
                <w:lang w:val="lt-LT"/>
              </w:rPr>
            </w:pPr>
            <w:r w:rsidRPr="001C7577">
              <w:rPr>
                <w:lang w:val="lt-LT"/>
              </w:rPr>
              <w:t xml:space="preserve">ar </w:t>
            </w:r>
          </w:p>
          <w:p w14:paraId="4347A716" w14:textId="77777777" w:rsidR="007D59EF" w:rsidRPr="001C7577" w:rsidRDefault="007D59EF" w:rsidP="007D59EF">
            <w:pPr>
              <w:spacing w:line="240" w:lineRule="auto"/>
              <w:rPr>
                <w:lang w:val="lt-LT"/>
              </w:rPr>
            </w:pPr>
          </w:p>
          <w:p w14:paraId="2EE1CD29" w14:textId="77777777" w:rsidR="007D59EF" w:rsidRPr="001C7577" w:rsidRDefault="007D59EF" w:rsidP="007D59EF">
            <w:pPr>
              <w:spacing w:line="240" w:lineRule="auto"/>
              <w:rPr>
                <w:lang w:val="lt-LT"/>
              </w:rPr>
            </w:pPr>
            <w:r w:rsidRPr="001C7577">
              <w:rPr>
                <w:lang w:val="lt-LT"/>
              </w:rPr>
              <w:t xml:space="preserve">Fosamprenaviras (1400 mg BID) (Lopinaviras/ritonaviras 533/133 mg BID) </w:t>
            </w:r>
          </w:p>
        </w:tc>
        <w:tc>
          <w:tcPr>
            <w:tcW w:w="3047" w:type="dxa"/>
            <w:shd w:val="clear" w:color="auto" w:fill="auto"/>
          </w:tcPr>
          <w:p w14:paraId="27887364" w14:textId="77777777" w:rsidR="007D59EF" w:rsidRPr="001C7577" w:rsidRDefault="007D59EF" w:rsidP="007D59EF">
            <w:pPr>
              <w:spacing w:line="240" w:lineRule="auto"/>
              <w:rPr>
                <w:lang w:val="lt-LT"/>
              </w:rPr>
            </w:pPr>
            <w:r w:rsidRPr="001C7577">
              <w:rPr>
                <w:lang w:val="lt-LT"/>
              </w:rPr>
              <w:t>Fosamprenaviras: Amprenaviro koncentracija žymiai sumažėja.</w:t>
            </w:r>
          </w:p>
        </w:tc>
        <w:tc>
          <w:tcPr>
            <w:tcW w:w="3096" w:type="dxa"/>
            <w:shd w:val="clear" w:color="auto" w:fill="auto"/>
          </w:tcPr>
          <w:p w14:paraId="38BF8078" w14:textId="77777777" w:rsidR="007D59EF" w:rsidRPr="001C7577" w:rsidRDefault="007D59EF" w:rsidP="007D59EF">
            <w:pPr>
              <w:spacing w:line="240" w:lineRule="auto"/>
              <w:rPr>
                <w:lang w:val="lt-LT"/>
              </w:rPr>
            </w:pPr>
            <w:r w:rsidRPr="001C7577">
              <w:rPr>
                <w:lang w:val="lt-LT"/>
              </w:rPr>
              <w:t>Kartu skiriant didesnes fosamprenaviro dozes (1400 mg BID) su lopinaviru/ritonaviru (533/133 mg BID) pacientams, kurie jau yra gydyti proteazių inhibitoriais, dažniau pasireiškė virškinimo trakto nepageidaujami reiškiniai ir trigliceridų kiekio padidėjimas, be virologinio veiksmingumo padidėjimo, lyginant su standartinėmis fosamprenaviro/ritonaviro dozėmis. Šių vaistinių preparatų skyrimas kartu nerekomenduojamas.</w:t>
            </w:r>
          </w:p>
        </w:tc>
      </w:tr>
      <w:tr w:rsidR="007D59EF" w:rsidRPr="00705EEC" w14:paraId="59EA6C2F" w14:textId="77777777" w:rsidTr="001C7577">
        <w:tc>
          <w:tcPr>
            <w:tcW w:w="3143" w:type="dxa"/>
            <w:gridSpan w:val="2"/>
            <w:shd w:val="clear" w:color="auto" w:fill="auto"/>
          </w:tcPr>
          <w:p w14:paraId="7A0C4682" w14:textId="77777777" w:rsidR="007D59EF" w:rsidRPr="001C7577" w:rsidRDefault="007D59EF" w:rsidP="007D59EF">
            <w:pPr>
              <w:spacing w:line="240" w:lineRule="auto"/>
              <w:rPr>
                <w:lang w:val="lt-LT"/>
              </w:rPr>
            </w:pPr>
            <w:r w:rsidRPr="001C7577">
              <w:rPr>
                <w:lang w:val="lt-LT"/>
              </w:rPr>
              <w:lastRenderedPageBreak/>
              <w:t>Indinaviras, 600 mg BID</w:t>
            </w:r>
          </w:p>
          <w:p w14:paraId="43F9E7C8" w14:textId="77777777" w:rsidR="007D59EF" w:rsidRPr="001C7577" w:rsidRDefault="007D59EF" w:rsidP="007D59EF">
            <w:pPr>
              <w:spacing w:line="240" w:lineRule="auto"/>
              <w:rPr>
                <w:lang w:val="lt-LT"/>
              </w:rPr>
            </w:pPr>
          </w:p>
        </w:tc>
        <w:tc>
          <w:tcPr>
            <w:tcW w:w="3047" w:type="dxa"/>
            <w:shd w:val="clear" w:color="auto" w:fill="auto"/>
          </w:tcPr>
          <w:p w14:paraId="653DB58D" w14:textId="77777777" w:rsidR="007D59EF" w:rsidRPr="001C7577" w:rsidRDefault="007D59EF" w:rsidP="007D59EF">
            <w:pPr>
              <w:spacing w:line="240" w:lineRule="auto"/>
              <w:rPr>
                <w:lang w:val="lt-LT"/>
              </w:rPr>
            </w:pPr>
            <w:r w:rsidRPr="001C7577">
              <w:rPr>
                <w:lang w:val="lt-LT"/>
              </w:rPr>
              <w:t>Indinaviras:</w:t>
            </w:r>
          </w:p>
          <w:p w14:paraId="0B6AD085" w14:textId="77777777" w:rsidR="007D59EF" w:rsidRPr="001C7577" w:rsidRDefault="007D59EF" w:rsidP="007D59EF">
            <w:pPr>
              <w:spacing w:line="240" w:lineRule="auto"/>
              <w:rPr>
                <w:lang w:val="lt-LT"/>
              </w:rPr>
            </w:pPr>
            <w:r w:rsidRPr="001C7577">
              <w:rPr>
                <w:lang w:val="lt-LT"/>
              </w:rPr>
              <w:t>AUC: ↔</w:t>
            </w:r>
          </w:p>
          <w:p w14:paraId="1BCE402E"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3.5-kartų</w:t>
            </w:r>
          </w:p>
          <w:p w14:paraId="5280F196"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xml:space="preserve">: ↓ </w:t>
            </w:r>
          </w:p>
          <w:p w14:paraId="37C0EF45" w14:textId="77777777" w:rsidR="007D59EF" w:rsidRPr="001C7577" w:rsidRDefault="007D59EF" w:rsidP="007D59EF">
            <w:pPr>
              <w:spacing w:line="240" w:lineRule="auto"/>
              <w:rPr>
                <w:lang w:val="lt-LT"/>
              </w:rPr>
            </w:pPr>
            <w:r w:rsidRPr="001C7577">
              <w:rPr>
                <w:lang w:val="lt-LT"/>
              </w:rPr>
              <w:t>(atitinkamai su vien indinaviro</w:t>
            </w:r>
          </w:p>
          <w:p w14:paraId="7FA7F37E" w14:textId="77777777" w:rsidR="007D59EF" w:rsidRPr="001C7577" w:rsidRDefault="007D59EF" w:rsidP="007D59EF">
            <w:pPr>
              <w:spacing w:line="240" w:lineRule="auto"/>
              <w:rPr>
                <w:lang w:val="lt-LT"/>
              </w:rPr>
            </w:pPr>
            <w:r w:rsidRPr="001C7577">
              <w:rPr>
                <w:lang w:val="lt-LT"/>
              </w:rPr>
              <w:t>800 mg TID)</w:t>
            </w:r>
          </w:p>
          <w:p w14:paraId="69352946" w14:textId="77777777" w:rsidR="007D59EF" w:rsidRPr="001C7577" w:rsidRDefault="007D59EF" w:rsidP="007D59EF">
            <w:pPr>
              <w:spacing w:line="240" w:lineRule="auto"/>
              <w:rPr>
                <w:lang w:val="lt-LT"/>
              </w:rPr>
            </w:pPr>
            <w:r w:rsidRPr="001C7577">
              <w:rPr>
                <w:lang w:val="lt-LT"/>
              </w:rPr>
              <w:t>Lopinaviras: ↔</w:t>
            </w:r>
          </w:p>
          <w:p w14:paraId="377D500D" w14:textId="77777777" w:rsidR="007D59EF" w:rsidRPr="001C7577" w:rsidRDefault="007D59EF" w:rsidP="007D59EF">
            <w:pPr>
              <w:spacing w:line="240" w:lineRule="auto"/>
              <w:rPr>
                <w:lang w:val="lt-LT"/>
              </w:rPr>
            </w:pPr>
            <w:r w:rsidRPr="001C7577">
              <w:rPr>
                <w:lang w:val="lt-LT"/>
              </w:rPr>
              <w:t>(atitinkamai su istoriniu palyginimu)</w:t>
            </w:r>
          </w:p>
          <w:p w14:paraId="5D74D298" w14:textId="77777777" w:rsidR="007D59EF" w:rsidRPr="001C7577" w:rsidRDefault="007D59EF" w:rsidP="007D59EF">
            <w:pPr>
              <w:spacing w:line="240" w:lineRule="auto"/>
              <w:rPr>
                <w:lang w:val="lt-LT"/>
              </w:rPr>
            </w:pPr>
          </w:p>
        </w:tc>
        <w:tc>
          <w:tcPr>
            <w:tcW w:w="3096" w:type="dxa"/>
            <w:shd w:val="clear" w:color="auto" w:fill="auto"/>
          </w:tcPr>
          <w:p w14:paraId="65C0032F" w14:textId="77777777" w:rsidR="007D59EF" w:rsidRPr="001C7577" w:rsidRDefault="007D59EF" w:rsidP="007D59EF">
            <w:pPr>
              <w:spacing w:line="240" w:lineRule="auto"/>
              <w:rPr>
                <w:lang w:val="lt-LT"/>
              </w:rPr>
            </w:pPr>
            <w:r w:rsidRPr="001C7577">
              <w:rPr>
                <w:lang w:val="lt-LT"/>
              </w:rPr>
              <w:t>Nebuvo nustatytos tinkamos</w:t>
            </w:r>
          </w:p>
          <w:p w14:paraId="1247067B" w14:textId="77777777" w:rsidR="007D59EF" w:rsidRPr="001C7577" w:rsidRDefault="007D59EF" w:rsidP="007D59EF">
            <w:pPr>
              <w:spacing w:line="240" w:lineRule="auto"/>
              <w:rPr>
                <w:lang w:val="lt-LT"/>
              </w:rPr>
            </w:pPr>
            <w:r w:rsidRPr="001C7577">
              <w:rPr>
                <w:lang w:val="lt-LT"/>
              </w:rPr>
              <w:t>dozės šiam deriniui, atsižvelgiant</w:t>
            </w:r>
          </w:p>
          <w:p w14:paraId="49D05F72" w14:textId="77777777" w:rsidR="007D59EF" w:rsidRPr="001C7577" w:rsidRDefault="007D59EF" w:rsidP="007D59EF">
            <w:pPr>
              <w:spacing w:line="240" w:lineRule="auto"/>
              <w:rPr>
                <w:lang w:val="lt-LT"/>
              </w:rPr>
            </w:pPr>
            <w:r w:rsidRPr="001C7577">
              <w:rPr>
                <w:lang w:val="lt-LT"/>
              </w:rPr>
              <w:t>į veiksmingumą ir saugumą.</w:t>
            </w:r>
          </w:p>
        </w:tc>
      </w:tr>
      <w:tr w:rsidR="007D59EF" w:rsidRPr="0088318A" w14:paraId="2E98B100" w14:textId="77777777" w:rsidTr="001C7577">
        <w:tc>
          <w:tcPr>
            <w:tcW w:w="3143" w:type="dxa"/>
            <w:gridSpan w:val="2"/>
            <w:shd w:val="clear" w:color="auto" w:fill="auto"/>
          </w:tcPr>
          <w:p w14:paraId="114523C4" w14:textId="77777777" w:rsidR="007D59EF" w:rsidRPr="001C7577" w:rsidRDefault="007D59EF" w:rsidP="007D59EF">
            <w:pPr>
              <w:spacing w:line="240" w:lineRule="auto"/>
              <w:rPr>
                <w:lang w:val="lt-LT"/>
              </w:rPr>
            </w:pPr>
            <w:r w:rsidRPr="001C7577">
              <w:rPr>
                <w:lang w:val="lt-LT"/>
              </w:rPr>
              <w:t xml:space="preserve">Nelfinaviras </w:t>
            </w:r>
          </w:p>
          <w:p w14:paraId="2479BDC4" w14:textId="77777777" w:rsidR="007D59EF" w:rsidRPr="001C7577" w:rsidRDefault="007D59EF" w:rsidP="007D59EF">
            <w:pPr>
              <w:spacing w:line="240" w:lineRule="auto"/>
              <w:rPr>
                <w:lang w:val="lt-LT"/>
              </w:rPr>
            </w:pPr>
          </w:p>
        </w:tc>
        <w:tc>
          <w:tcPr>
            <w:tcW w:w="3047" w:type="dxa"/>
            <w:shd w:val="clear" w:color="auto" w:fill="auto"/>
          </w:tcPr>
          <w:p w14:paraId="6D71DE71" w14:textId="77777777" w:rsidR="007D59EF" w:rsidRPr="001C7577" w:rsidRDefault="007D59EF" w:rsidP="007D59EF">
            <w:pPr>
              <w:spacing w:line="240" w:lineRule="auto"/>
              <w:rPr>
                <w:lang w:val="lt-LT"/>
              </w:rPr>
            </w:pPr>
            <w:r w:rsidRPr="001C7577">
              <w:rPr>
                <w:lang w:val="lt-LT"/>
              </w:rPr>
              <w:t>Lopinaviras:</w:t>
            </w:r>
          </w:p>
          <w:p w14:paraId="446F97E0" w14:textId="77777777" w:rsidR="007D59EF" w:rsidRPr="001C7577" w:rsidRDefault="007D59EF" w:rsidP="007D59EF">
            <w:pPr>
              <w:spacing w:line="240" w:lineRule="auto"/>
              <w:rPr>
                <w:lang w:val="lt-LT"/>
              </w:rPr>
            </w:pPr>
            <w:r w:rsidRPr="001C7577">
              <w:rPr>
                <w:lang w:val="lt-LT"/>
              </w:rPr>
              <w:t>Koncentracija ↓</w:t>
            </w:r>
          </w:p>
          <w:p w14:paraId="08224BC3" w14:textId="77777777" w:rsidR="007D59EF" w:rsidRPr="001C7577" w:rsidRDefault="007D59EF" w:rsidP="007D59EF">
            <w:pPr>
              <w:spacing w:line="240" w:lineRule="auto"/>
              <w:rPr>
                <w:lang w:val="lt-LT"/>
              </w:rPr>
            </w:pPr>
          </w:p>
        </w:tc>
        <w:tc>
          <w:tcPr>
            <w:tcW w:w="3096" w:type="dxa"/>
            <w:shd w:val="clear" w:color="auto" w:fill="auto"/>
          </w:tcPr>
          <w:p w14:paraId="26C13416" w14:textId="77777777" w:rsidR="007D59EF" w:rsidRPr="001C7577" w:rsidRDefault="007D59EF" w:rsidP="007D59EF">
            <w:pPr>
              <w:spacing w:line="240" w:lineRule="auto"/>
              <w:rPr>
                <w:lang w:val="lt-LT"/>
              </w:rPr>
            </w:pPr>
            <w:r w:rsidRPr="001C7577">
              <w:rPr>
                <w:lang w:val="lt-LT"/>
              </w:rPr>
              <w:t>Nebuvo nustatytos tinkamos</w:t>
            </w:r>
          </w:p>
          <w:p w14:paraId="5CF7E4F7" w14:textId="77777777" w:rsidR="007D59EF" w:rsidRPr="001C7577" w:rsidRDefault="007D59EF" w:rsidP="007D59EF">
            <w:pPr>
              <w:spacing w:line="240" w:lineRule="auto"/>
              <w:rPr>
                <w:lang w:val="lt-LT"/>
              </w:rPr>
            </w:pPr>
            <w:r w:rsidRPr="001C7577">
              <w:rPr>
                <w:lang w:val="lt-LT"/>
              </w:rPr>
              <w:t>dozės šiam deriniui, atsižvelgiant</w:t>
            </w:r>
          </w:p>
          <w:p w14:paraId="2D17C1AE" w14:textId="77777777" w:rsidR="007D59EF" w:rsidRPr="001C7577" w:rsidRDefault="007D59EF" w:rsidP="007D59EF">
            <w:pPr>
              <w:spacing w:line="240" w:lineRule="auto"/>
              <w:rPr>
                <w:lang w:val="lt-LT"/>
              </w:rPr>
            </w:pPr>
            <w:r w:rsidRPr="001C7577">
              <w:rPr>
                <w:lang w:val="lt-LT"/>
              </w:rPr>
              <w:t>į veiksmingumą ir saugumą.</w:t>
            </w:r>
          </w:p>
          <w:p w14:paraId="036E03E9" w14:textId="77777777" w:rsidR="007D59EF" w:rsidRPr="001C7577" w:rsidRDefault="007D59EF" w:rsidP="007D59EF">
            <w:pPr>
              <w:spacing w:line="240" w:lineRule="auto"/>
              <w:rPr>
                <w:lang w:val="lt-LT"/>
              </w:rPr>
            </w:pPr>
            <w:r w:rsidRPr="001C7577">
              <w:rPr>
                <w:lang w:val="lt-LT"/>
              </w:rPr>
              <w:t>Lopinaviro/ritonaviro tablečių negalima vartoti vieną kartą per parą, kai vaisto skirama kartu su nelfinarinu.</w:t>
            </w:r>
          </w:p>
        </w:tc>
      </w:tr>
      <w:tr w:rsidR="007D59EF" w:rsidRPr="00705EEC" w14:paraId="4AB160B6" w14:textId="77777777" w:rsidTr="001C7577">
        <w:tc>
          <w:tcPr>
            <w:tcW w:w="3143" w:type="dxa"/>
            <w:gridSpan w:val="2"/>
            <w:shd w:val="clear" w:color="auto" w:fill="auto"/>
          </w:tcPr>
          <w:p w14:paraId="32CB1F0C" w14:textId="77777777" w:rsidR="007D59EF" w:rsidRPr="001C7577" w:rsidRDefault="007D59EF" w:rsidP="007D59EF">
            <w:pPr>
              <w:spacing w:line="240" w:lineRule="auto"/>
              <w:rPr>
                <w:lang w:val="lt-LT"/>
              </w:rPr>
            </w:pPr>
            <w:r w:rsidRPr="001C7577">
              <w:rPr>
                <w:lang w:val="lt-LT"/>
              </w:rPr>
              <w:t>Sakvinaviras 1000 mg BID</w:t>
            </w:r>
          </w:p>
        </w:tc>
        <w:tc>
          <w:tcPr>
            <w:tcW w:w="3047" w:type="dxa"/>
            <w:shd w:val="clear" w:color="auto" w:fill="auto"/>
          </w:tcPr>
          <w:p w14:paraId="3572E53A" w14:textId="77777777" w:rsidR="007D59EF" w:rsidRPr="001C7577" w:rsidRDefault="007D59EF" w:rsidP="007D59EF">
            <w:pPr>
              <w:spacing w:line="240" w:lineRule="auto"/>
              <w:rPr>
                <w:lang w:val="lt-LT"/>
              </w:rPr>
            </w:pPr>
            <w:r w:rsidRPr="001C7577">
              <w:rPr>
                <w:lang w:val="lt-LT"/>
              </w:rPr>
              <w:t>Sakvinaviras: ↔</w:t>
            </w:r>
          </w:p>
        </w:tc>
        <w:tc>
          <w:tcPr>
            <w:tcW w:w="3096" w:type="dxa"/>
            <w:shd w:val="clear" w:color="auto" w:fill="auto"/>
          </w:tcPr>
          <w:p w14:paraId="13D0C20E" w14:textId="77777777" w:rsidR="007D59EF" w:rsidRPr="001C7577" w:rsidRDefault="007D59EF" w:rsidP="007D59EF">
            <w:pPr>
              <w:spacing w:line="240" w:lineRule="auto"/>
              <w:rPr>
                <w:lang w:val="lt-LT"/>
              </w:rPr>
            </w:pPr>
            <w:r w:rsidRPr="001C7577">
              <w:rPr>
                <w:lang w:val="lt-LT"/>
              </w:rPr>
              <w:t>Dozės korguoti nereikia</w:t>
            </w:r>
          </w:p>
        </w:tc>
      </w:tr>
      <w:tr w:rsidR="007D59EF" w:rsidRPr="00705EEC" w14:paraId="29C6EC6E" w14:textId="77777777" w:rsidTr="001C7577">
        <w:tc>
          <w:tcPr>
            <w:tcW w:w="3143" w:type="dxa"/>
            <w:gridSpan w:val="2"/>
            <w:shd w:val="clear" w:color="auto" w:fill="auto"/>
          </w:tcPr>
          <w:p w14:paraId="11D806DA" w14:textId="77777777" w:rsidR="007D59EF" w:rsidRPr="001C7577" w:rsidRDefault="007D59EF" w:rsidP="007D59EF">
            <w:pPr>
              <w:spacing w:line="240" w:lineRule="auto"/>
              <w:rPr>
                <w:lang w:val="lt-LT"/>
              </w:rPr>
            </w:pPr>
            <w:r w:rsidRPr="001C7577">
              <w:rPr>
                <w:lang w:val="lt-LT"/>
              </w:rPr>
              <w:t xml:space="preserve">Tipranaviras/ritonaviras </w:t>
            </w:r>
            <w:r w:rsidRPr="001C7577">
              <w:rPr>
                <w:lang w:val="lt-LT"/>
              </w:rPr>
              <w:br/>
              <w:t>(500/100 mg BID)</w:t>
            </w:r>
          </w:p>
          <w:p w14:paraId="278B9FC8" w14:textId="77777777" w:rsidR="007D59EF" w:rsidRPr="001C7577" w:rsidRDefault="007D59EF" w:rsidP="007D59EF">
            <w:pPr>
              <w:spacing w:line="240" w:lineRule="auto"/>
              <w:rPr>
                <w:lang w:val="lt-LT"/>
              </w:rPr>
            </w:pPr>
          </w:p>
        </w:tc>
        <w:tc>
          <w:tcPr>
            <w:tcW w:w="3047" w:type="dxa"/>
            <w:shd w:val="clear" w:color="auto" w:fill="auto"/>
          </w:tcPr>
          <w:p w14:paraId="327D732E" w14:textId="77777777" w:rsidR="007D59EF" w:rsidRPr="001C7577" w:rsidRDefault="007D59EF" w:rsidP="007D59EF">
            <w:pPr>
              <w:spacing w:line="240" w:lineRule="auto"/>
              <w:rPr>
                <w:lang w:val="lt-LT"/>
              </w:rPr>
            </w:pPr>
            <w:r w:rsidRPr="001C7577">
              <w:rPr>
                <w:lang w:val="lt-LT"/>
              </w:rPr>
              <w:t>Lopinaviras:</w:t>
            </w:r>
          </w:p>
          <w:p w14:paraId="11B8760B" w14:textId="77777777" w:rsidR="007D59EF" w:rsidRPr="001C7577" w:rsidRDefault="007D59EF" w:rsidP="007D59EF">
            <w:pPr>
              <w:spacing w:line="240" w:lineRule="auto"/>
              <w:rPr>
                <w:lang w:val="lt-LT"/>
              </w:rPr>
            </w:pPr>
            <w:r w:rsidRPr="001C7577">
              <w:rPr>
                <w:lang w:val="lt-LT"/>
              </w:rPr>
              <w:t>AUC: ↓ 55%</w:t>
            </w:r>
          </w:p>
          <w:p w14:paraId="6C953EAA"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70%</w:t>
            </w:r>
          </w:p>
          <w:p w14:paraId="3491E237"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47%</w:t>
            </w:r>
          </w:p>
        </w:tc>
        <w:tc>
          <w:tcPr>
            <w:tcW w:w="3096" w:type="dxa"/>
            <w:shd w:val="clear" w:color="auto" w:fill="auto"/>
          </w:tcPr>
          <w:p w14:paraId="5BA02561" w14:textId="77777777" w:rsidR="007D59EF" w:rsidRPr="001C7577" w:rsidRDefault="007D59EF" w:rsidP="007D59EF">
            <w:pPr>
              <w:spacing w:line="240" w:lineRule="auto"/>
              <w:rPr>
                <w:lang w:val="lt-LT"/>
              </w:rPr>
            </w:pPr>
            <w:r w:rsidRPr="001C7577">
              <w:rPr>
                <w:lang w:val="lt-LT"/>
              </w:rPr>
              <w:t>Kartu skirti šiuos vaistus nerekomenduojama.</w:t>
            </w:r>
          </w:p>
        </w:tc>
      </w:tr>
      <w:tr w:rsidR="007D59EF" w:rsidRPr="00705EEC" w14:paraId="0BD4430C" w14:textId="77777777" w:rsidTr="001C7577">
        <w:tc>
          <w:tcPr>
            <w:tcW w:w="9286" w:type="dxa"/>
            <w:gridSpan w:val="4"/>
            <w:shd w:val="clear" w:color="auto" w:fill="auto"/>
          </w:tcPr>
          <w:p w14:paraId="4F690AE8" w14:textId="77777777" w:rsidR="007D59EF" w:rsidRPr="001C7577" w:rsidRDefault="007D59EF" w:rsidP="007D59EF">
            <w:pPr>
              <w:spacing w:line="240" w:lineRule="auto"/>
              <w:rPr>
                <w:lang w:val="lt-LT"/>
              </w:rPr>
            </w:pPr>
            <w:r w:rsidRPr="001C7577">
              <w:rPr>
                <w:rFonts w:ascii="TimesNewRomanPS-ItalicMT" w:eastAsia="Calibri" w:hAnsi="TimesNewRomanPS-ItalicMT" w:cs="TimesNewRomanPS-ItalicMT"/>
                <w:i/>
                <w:iCs/>
                <w:snapToGrid/>
                <w:szCs w:val="22"/>
                <w:lang w:val="lt-LT"/>
              </w:rPr>
              <w:t>Rūgštingumą mažinantys vaistai</w:t>
            </w:r>
          </w:p>
        </w:tc>
      </w:tr>
      <w:tr w:rsidR="007D59EF" w:rsidRPr="00705EEC" w14:paraId="480658F3" w14:textId="77777777" w:rsidTr="001C7577">
        <w:tc>
          <w:tcPr>
            <w:tcW w:w="3143" w:type="dxa"/>
            <w:gridSpan w:val="2"/>
            <w:shd w:val="clear" w:color="auto" w:fill="auto"/>
          </w:tcPr>
          <w:p w14:paraId="691CD1E3" w14:textId="77777777" w:rsidR="007D59EF" w:rsidRPr="001C7577" w:rsidRDefault="007D59EF" w:rsidP="007D59EF">
            <w:pPr>
              <w:spacing w:line="240" w:lineRule="auto"/>
              <w:rPr>
                <w:lang w:val="lt-LT"/>
              </w:rPr>
            </w:pPr>
            <w:r w:rsidRPr="001C7577">
              <w:rPr>
                <w:lang w:val="lt-LT"/>
              </w:rPr>
              <w:t>Omeprazolas (40 mg QD)</w:t>
            </w:r>
          </w:p>
          <w:p w14:paraId="11ACE9F4" w14:textId="77777777" w:rsidR="007D59EF" w:rsidRPr="001C7577" w:rsidRDefault="007D59EF" w:rsidP="007D59EF">
            <w:pPr>
              <w:spacing w:line="240" w:lineRule="auto"/>
              <w:rPr>
                <w:lang w:val="lt-LT"/>
              </w:rPr>
            </w:pPr>
          </w:p>
        </w:tc>
        <w:tc>
          <w:tcPr>
            <w:tcW w:w="3047" w:type="dxa"/>
            <w:shd w:val="clear" w:color="auto" w:fill="auto"/>
          </w:tcPr>
          <w:p w14:paraId="3197EC1D" w14:textId="77777777" w:rsidR="007D59EF" w:rsidRPr="001C7577" w:rsidRDefault="007D59EF" w:rsidP="007D59EF">
            <w:pPr>
              <w:spacing w:line="240" w:lineRule="auto"/>
              <w:rPr>
                <w:lang w:val="lt-LT"/>
              </w:rPr>
            </w:pPr>
            <w:r w:rsidRPr="001C7577">
              <w:rPr>
                <w:lang w:val="lt-LT"/>
              </w:rPr>
              <w:t>Omeprazolas: ↔</w:t>
            </w:r>
          </w:p>
          <w:p w14:paraId="2C49F066" w14:textId="77777777" w:rsidR="007D59EF" w:rsidRPr="001C7577" w:rsidRDefault="007D59EF" w:rsidP="007D59EF">
            <w:pPr>
              <w:spacing w:line="240" w:lineRule="auto"/>
              <w:rPr>
                <w:lang w:val="lt-LT"/>
              </w:rPr>
            </w:pPr>
            <w:r w:rsidRPr="001C7577">
              <w:rPr>
                <w:lang w:val="lt-LT"/>
              </w:rPr>
              <w:t>Lopinaviras: ↔</w:t>
            </w:r>
          </w:p>
          <w:p w14:paraId="2B98470E" w14:textId="77777777" w:rsidR="007D59EF" w:rsidRPr="001C7577" w:rsidRDefault="007D59EF" w:rsidP="007D59EF">
            <w:pPr>
              <w:spacing w:line="240" w:lineRule="auto"/>
              <w:rPr>
                <w:lang w:val="lt-LT"/>
              </w:rPr>
            </w:pPr>
          </w:p>
        </w:tc>
        <w:tc>
          <w:tcPr>
            <w:tcW w:w="3096" w:type="dxa"/>
            <w:shd w:val="clear" w:color="auto" w:fill="auto"/>
          </w:tcPr>
          <w:p w14:paraId="0BEAC14D" w14:textId="77777777" w:rsidR="007D59EF" w:rsidRPr="001C7577" w:rsidRDefault="007D59EF" w:rsidP="007D59EF">
            <w:pPr>
              <w:spacing w:line="240" w:lineRule="auto"/>
              <w:rPr>
                <w:lang w:val="lt-LT"/>
              </w:rPr>
            </w:pPr>
            <w:r w:rsidRPr="001C7577">
              <w:rPr>
                <w:lang w:val="lt-LT"/>
              </w:rPr>
              <w:t>Dozės koreguoti nereikia</w:t>
            </w:r>
          </w:p>
        </w:tc>
      </w:tr>
      <w:tr w:rsidR="007D59EF" w:rsidRPr="00705EEC" w14:paraId="47379834" w14:textId="77777777" w:rsidTr="001C7577">
        <w:tc>
          <w:tcPr>
            <w:tcW w:w="3143" w:type="dxa"/>
            <w:gridSpan w:val="2"/>
            <w:shd w:val="clear" w:color="auto" w:fill="auto"/>
          </w:tcPr>
          <w:p w14:paraId="368F4209" w14:textId="77777777" w:rsidR="007D59EF" w:rsidRPr="001C7577" w:rsidRDefault="007D59EF" w:rsidP="007D59EF">
            <w:pPr>
              <w:spacing w:line="240" w:lineRule="auto"/>
              <w:rPr>
                <w:lang w:val="lt-LT"/>
              </w:rPr>
            </w:pPr>
            <w:r w:rsidRPr="001C7577">
              <w:rPr>
                <w:lang w:val="lt-LT"/>
              </w:rPr>
              <w:t>Ranitidinas (150 mg vienkartinė dozė)</w:t>
            </w:r>
          </w:p>
        </w:tc>
        <w:tc>
          <w:tcPr>
            <w:tcW w:w="3047" w:type="dxa"/>
            <w:shd w:val="clear" w:color="auto" w:fill="auto"/>
          </w:tcPr>
          <w:p w14:paraId="30E5325B" w14:textId="77777777" w:rsidR="007D59EF" w:rsidRPr="001C7577" w:rsidRDefault="007D59EF" w:rsidP="007D59EF">
            <w:pPr>
              <w:spacing w:line="240" w:lineRule="auto"/>
              <w:rPr>
                <w:lang w:val="lt-LT"/>
              </w:rPr>
            </w:pPr>
            <w:r w:rsidRPr="001C7577">
              <w:rPr>
                <w:lang w:val="lt-LT"/>
              </w:rPr>
              <w:t>Ranitidinas: ↔</w:t>
            </w:r>
          </w:p>
        </w:tc>
        <w:tc>
          <w:tcPr>
            <w:tcW w:w="3096" w:type="dxa"/>
            <w:shd w:val="clear" w:color="auto" w:fill="auto"/>
          </w:tcPr>
          <w:p w14:paraId="63C993CA" w14:textId="77777777" w:rsidR="007D59EF" w:rsidRPr="001C7577" w:rsidRDefault="007D59EF" w:rsidP="007D59EF">
            <w:pPr>
              <w:spacing w:line="240" w:lineRule="auto"/>
              <w:rPr>
                <w:lang w:val="lt-LT"/>
              </w:rPr>
            </w:pPr>
            <w:r w:rsidRPr="001C7577">
              <w:rPr>
                <w:lang w:val="lt-LT"/>
              </w:rPr>
              <w:t>Dozės koreguoti nereikia</w:t>
            </w:r>
          </w:p>
        </w:tc>
      </w:tr>
      <w:tr w:rsidR="007D59EF" w:rsidRPr="00705EEC" w14:paraId="620F4A63" w14:textId="77777777" w:rsidTr="001C7577">
        <w:tc>
          <w:tcPr>
            <w:tcW w:w="9286" w:type="dxa"/>
            <w:gridSpan w:val="4"/>
            <w:shd w:val="clear" w:color="auto" w:fill="auto"/>
          </w:tcPr>
          <w:p w14:paraId="3AD6EB57" w14:textId="77777777" w:rsidR="007D59EF" w:rsidRPr="001C7577" w:rsidRDefault="007D59EF" w:rsidP="007D59EF">
            <w:pPr>
              <w:spacing w:line="240" w:lineRule="auto"/>
              <w:rPr>
                <w:lang w:val="lt-LT"/>
              </w:rPr>
            </w:pPr>
            <w:r w:rsidRPr="001C7577">
              <w:rPr>
                <w:rFonts w:ascii="TimesNewRomanPS-ItalicMT" w:eastAsia="Calibri" w:hAnsi="TimesNewRomanPS-ItalicMT" w:cs="TimesNewRomanPS-ItalicMT"/>
                <w:i/>
                <w:iCs/>
                <w:snapToGrid/>
                <w:szCs w:val="22"/>
                <w:lang w:val="lt-LT"/>
              </w:rPr>
              <w:t>Alfa</w:t>
            </w:r>
            <w:r w:rsidRPr="001C7577">
              <w:rPr>
                <w:rFonts w:ascii="TimesNewRomanPS-ItalicMT" w:eastAsia="Calibri" w:hAnsi="TimesNewRomanPS-ItalicMT" w:cs="TimesNewRomanPS-ItalicMT"/>
                <w:i/>
                <w:iCs/>
                <w:snapToGrid/>
                <w:szCs w:val="22"/>
                <w:vertAlign w:val="subscript"/>
                <w:lang w:val="lt-LT"/>
              </w:rPr>
              <w:t>1</w:t>
            </w:r>
            <w:r w:rsidRPr="001C7577">
              <w:rPr>
                <w:rFonts w:ascii="TimesNewRomanPS-ItalicMT" w:eastAsia="Calibri" w:hAnsi="TimesNewRomanPS-ItalicMT" w:cs="TimesNewRomanPS-ItalicMT"/>
                <w:i/>
                <w:iCs/>
                <w:snapToGrid/>
                <w:szCs w:val="22"/>
                <w:lang w:val="lt-LT"/>
              </w:rPr>
              <w:t xml:space="preserve"> adrenoreceptorių antagonistai:</w:t>
            </w:r>
          </w:p>
        </w:tc>
      </w:tr>
      <w:tr w:rsidR="007D59EF" w:rsidRPr="00705EEC" w14:paraId="7740B30E" w14:textId="77777777" w:rsidTr="001C7577">
        <w:tc>
          <w:tcPr>
            <w:tcW w:w="3143" w:type="dxa"/>
            <w:gridSpan w:val="2"/>
            <w:shd w:val="clear" w:color="auto" w:fill="auto"/>
          </w:tcPr>
          <w:p w14:paraId="7FA59360" w14:textId="77777777" w:rsidR="007D59EF" w:rsidRPr="001C7577" w:rsidRDefault="007D59EF" w:rsidP="007D59EF">
            <w:pPr>
              <w:spacing w:line="240" w:lineRule="auto"/>
              <w:rPr>
                <w:lang w:val="lt-LT"/>
              </w:rPr>
            </w:pPr>
            <w:r w:rsidRPr="001C7577">
              <w:rPr>
                <w:lang w:val="lt-LT"/>
              </w:rPr>
              <w:t xml:space="preserve">Alfuzozinas </w:t>
            </w:r>
          </w:p>
        </w:tc>
        <w:tc>
          <w:tcPr>
            <w:tcW w:w="3047" w:type="dxa"/>
            <w:shd w:val="clear" w:color="auto" w:fill="auto"/>
          </w:tcPr>
          <w:p w14:paraId="0E13BACC" w14:textId="77777777" w:rsidR="007D59EF" w:rsidRPr="001C7577" w:rsidRDefault="007D59EF" w:rsidP="007D59EF">
            <w:pPr>
              <w:spacing w:line="240" w:lineRule="auto"/>
              <w:rPr>
                <w:lang w:val="lt-LT"/>
              </w:rPr>
            </w:pPr>
            <w:r w:rsidRPr="001C7577">
              <w:rPr>
                <w:lang w:val="lt-LT"/>
              </w:rPr>
              <w:t>Alfuzozsinas:</w:t>
            </w:r>
          </w:p>
          <w:p w14:paraId="25F1CD66" w14:textId="77777777" w:rsidR="007D59EF" w:rsidRPr="001C7577" w:rsidRDefault="007D59EF" w:rsidP="007D59EF">
            <w:pPr>
              <w:spacing w:line="240" w:lineRule="auto"/>
              <w:rPr>
                <w:lang w:val="lt-LT"/>
              </w:rPr>
            </w:pPr>
            <w:r w:rsidRPr="001C7577">
              <w:rPr>
                <w:lang w:val="lt-LT"/>
              </w:rPr>
              <w:t>Kadangi lopinaviras/ritonaviras</w:t>
            </w:r>
          </w:p>
          <w:p w14:paraId="486178C1" w14:textId="77777777" w:rsidR="007D59EF" w:rsidRPr="001C7577" w:rsidRDefault="007D59EF" w:rsidP="007D59EF">
            <w:pPr>
              <w:spacing w:line="240" w:lineRule="auto"/>
              <w:rPr>
                <w:lang w:val="lt-LT"/>
              </w:rPr>
            </w:pPr>
            <w:r w:rsidRPr="001C7577">
              <w:rPr>
                <w:lang w:val="lt-LT"/>
              </w:rPr>
              <w:t>slopina CYP3A, tikėtina, kad</w:t>
            </w:r>
          </w:p>
          <w:p w14:paraId="5E624E84" w14:textId="77777777" w:rsidR="007D59EF" w:rsidRPr="001C7577" w:rsidRDefault="007D59EF" w:rsidP="007D59EF">
            <w:pPr>
              <w:spacing w:line="240" w:lineRule="auto"/>
              <w:rPr>
                <w:lang w:val="lt-LT"/>
              </w:rPr>
            </w:pPr>
            <w:r w:rsidRPr="001C7577">
              <w:rPr>
                <w:lang w:val="lt-LT"/>
              </w:rPr>
              <w:t>padidės alfuzozino koncentracijos.</w:t>
            </w:r>
          </w:p>
        </w:tc>
        <w:tc>
          <w:tcPr>
            <w:tcW w:w="3096" w:type="dxa"/>
            <w:shd w:val="clear" w:color="auto" w:fill="auto"/>
          </w:tcPr>
          <w:p w14:paraId="7C6B05F3" w14:textId="77777777" w:rsidR="007D59EF" w:rsidRPr="001C7577" w:rsidRDefault="007D59EF" w:rsidP="007D59EF">
            <w:pPr>
              <w:spacing w:line="240" w:lineRule="auto"/>
              <w:rPr>
                <w:lang w:val="lt-LT"/>
              </w:rPr>
            </w:pPr>
            <w:r w:rsidRPr="001C7577">
              <w:rPr>
                <w:lang w:val="lt-LT"/>
              </w:rPr>
              <w:t>Negalima kartu skirti lopinaviro/ritonaviro ir</w:t>
            </w:r>
          </w:p>
          <w:p w14:paraId="30D03FFA" w14:textId="77777777" w:rsidR="007D59EF" w:rsidRPr="001C7577" w:rsidRDefault="007D59EF" w:rsidP="007D59EF">
            <w:pPr>
              <w:spacing w:line="240" w:lineRule="auto"/>
              <w:rPr>
                <w:lang w:val="lt-LT"/>
              </w:rPr>
            </w:pPr>
            <w:r w:rsidRPr="001C7577">
              <w:rPr>
                <w:lang w:val="lt-LT"/>
              </w:rPr>
              <w:t>alfuzozino (žr. 4.3 skyrių), nes</w:t>
            </w:r>
          </w:p>
          <w:p w14:paraId="403327AC" w14:textId="77777777" w:rsidR="007D59EF" w:rsidRPr="001C7577" w:rsidRDefault="007D59EF" w:rsidP="007D59EF">
            <w:pPr>
              <w:spacing w:line="240" w:lineRule="auto"/>
              <w:rPr>
                <w:lang w:val="lt-LT"/>
              </w:rPr>
            </w:pPr>
            <w:r w:rsidRPr="001C7577">
              <w:rPr>
                <w:lang w:val="lt-LT"/>
              </w:rPr>
              <w:t>gali padidėti su alfuzozinu susijęs</w:t>
            </w:r>
          </w:p>
          <w:p w14:paraId="0585C0C3" w14:textId="77777777" w:rsidR="007D59EF" w:rsidRPr="001C7577" w:rsidRDefault="007D59EF" w:rsidP="007D59EF">
            <w:pPr>
              <w:spacing w:line="240" w:lineRule="auto"/>
              <w:rPr>
                <w:lang w:val="lt-LT"/>
              </w:rPr>
            </w:pPr>
            <w:r w:rsidRPr="001C7577">
              <w:rPr>
                <w:lang w:val="lt-LT"/>
              </w:rPr>
              <w:t>toksinis poveikis, įskaitant hipotenziją.</w:t>
            </w:r>
          </w:p>
        </w:tc>
      </w:tr>
      <w:tr w:rsidR="007D59EF" w:rsidRPr="00705EEC" w14:paraId="2103DFA2" w14:textId="77777777" w:rsidTr="001C7577">
        <w:tc>
          <w:tcPr>
            <w:tcW w:w="9286" w:type="dxa"/>
            <w:gridSpan w:val="4"/>
            <w:shd w:val="clear" w:color="auto" w:fill="auto"/>
          </w:tcPr>
          <w:p w14:paraId="08222576" w14:textId="77777777" w:rsidR="007D59EF" w:rsidRPr="001C7577" w:rsidRDefault="007D59EF" w:rsidP="007D59EF">
            <w:pPr>
              <w:spacing w:line="240" w:lineRule="auto"/>
              <w:rPr>
                <w:lang w:val="lt-LT"/>
              </w:rPr>
            </w:pPr>
            <w:r w:rsidRPr="001C7577">
              <w:rPr>
                <w:rFonts w:eastAsia="Calibri"/>
                <w:i/>
                <w:iCs/>
                <w:snapToGrid/>
                <w:szCs w:val="22"/>
                <w:lang w:val="lt-LT"/>
              </w:rPr>
              <w:t>Analgetikai</w:t>
            </w:r>
          </w:p>
        </w:tc>
      </w:tr>
      <w:tr w:rsidR="007D59EF" w:rsidRPr="00705EEC" w14:paraId="21EBABDC" w14:textId="77777777" w:rsidTr="001C7577">
        <w:tc>
          <w:tcPr>
            <w:tcW w:w="3143" w:type="dxa"/>
            <w:gridSpan w:val="2"/>
            <w:shd w:val="clear" w:color="auto" w:fill="auto"/>
          </w:tcPr>
          <w:p w14:paraId="2CA7136F" w14:textId="77777777" w:rsidR="007D59EF" w:rsidRPr="001C7577" w:rsidRDefault="007D59EF" w:rsidP="007D59EF">
            <w:pPr>
              <w:spacing w:line="240" w:lineRule="auto"/>
              <w:rPr>
                <w:lang w:val="lt-LT"/>
              </w:rPr>
            </w:pPr>
            <w:r w:rsidRPr="001C7577">
              <w:rPr>
                <w:lang w:val="lt-LT"/>
              </w:rPr>
              <w:t xml:space="preserve">Fentanilis </w:t>
            </w:r>
          </w:p>
        </w:tc>
        <w:tc>
          <w:tcPr>
            <w:tcW w:w="3047" w:type="dxa"/>
            <w:shd w:val="clear" w:color="auto" w:fill="auto"/>
          </w:tcPr>
          <w:p w14:paraId="20A14B0A" w14:textId="77777777" w:rsidR="007D59EF" w:rsidRPr="001C7577" w:rsidRDefault="007D59EF" w:rsidP="007D59EF">
            <w:pPr>
              <w:spacing w:line="240" w:lineRule="auto"/>
              <w:rPr>
                <w:lang w:val="lt-LT"/>
              </w:rPr>
            </w:pPr>
            <w:r w:rsidRPr="001C7577">
              <w:rPr>
                <w:lang w:val="lt-LT"/>
              </w:rPr>
              <w:t>Fentanilis:</w:t>
            </w:r>
          </w:p>
          <w:p w14:paraId="66C87D92" w14:textId="77777777" w:rsidR="007D59EF" w:rsidRPr="001C7577" w:rsidRDefault="007D59EF" w:rsidP="007D59EF">
            <w:pPr>
              <w:spacing w:line="240" w:lineRule="auto"/>
              <w:rPr>
                <w:lang w:val="lt-LT"/>
              </w:rPr>
            </w:pPr>
            <w:r w:rsidRPr="001C7577">
              <w:rPr>
                <w:lang w:val="lt-LT"/>
              </w:rPr>
              <w:t>Padidėjusi nepageidaujamo</w:t>
            </w:r>
          </w:p>
          <w:p w14:paraId="34863A0F" w14:textId="77777777" w:rsidR="007D59EF" w:rsidRPr="001C7577" w:rsidRDefault="007D59EF" w:rsidP="007D59EF">
            <w:pPr>
              <w:spacing w:line="240" w:lineRule="auto"/>
              <w:rPr>
                <w:lang w:val="lt-LT"/>
              </w:rPr>
            </w:pPr>
            <w:r w:rsidRPr="001C7577">
              <w:rPr>
                <w:lang w:val="lt-LT"/>
              </w:rPr>
              <w:t>poveikio rizika (kvėpavimo</w:t>
            </w:r>
          </w:p>
          <w:p w14:paraId="1C6E1A22" w14:textId="77777777" w:rsidR="007D59EF" w:rsidRPr="001C7577" w:rsidRDefault="007D59EF" w:rsidP="007D59EF">
            <w:pPr>
              <w:spacing w:line="240" w:lineRule="auto"/>
              <w:rPr>
                <w:lang w:val="lt-LT"/>
              </w:rPr>
            </w:pPr>
            <w:r w:rsidRPr="001C7577">
              <w:rPr>
                <w:lang w:val="lt-LT"/>
              </w:rPr>
              <w:t>funkcijos slopinimas, sedacija)</w:t>
            </w:r>
          </w:p>
          <w:p w14:paraId="46ED452C" w14:textId="77777777" w:rsidR="007D59EF" w:rsidRPr="001C7577" w:rsidRDefault="007D59EF" w:rsidP="007D59EF">
            <w:pPr>
              <w:spacing w:line="240" w:lineRule="auto"/>
              <w:rPr>
                <w:lang w:val="lt-LT"/>
              </w:rPr>
            </w:pPr>
            <w:r w:rsidRPr="001C7577">
              <w:rPr>
                <w:lang w:val="lt-LT"/>
              </w:rPr>
              <w:t>dėl padidėjusios koncentracijos</w:t>
            </w:r>
          </w:p>
          <w:p w14:paraId="17837304" w14:textId="77777777" w:rsidR="007D59EF" w:rsidRPr="001C7577" w:rsidRDefault="007D59EF" w:rsidP="007D59EF">
            <w:pPr>
              <w:spacing w:line="240" w:lineRule="auto"/>
              <w:rPr>
                <w:lang w:val="lt-LT"/>
              </w:rPr>
            </w:pPr>
            <w:r w:rsidRPr="001C7577">
              <w:rPr>
                <w:lang w:val="lt-LT"/>
              </w:rPr>
              <w:t>plazmoje, nes lopinaviras/ritonaviras slopina</w:t>
            </w:r>
          </w:p>
          <w:p w14:paraId="28E0259D" w14:textId="77777777" w:rsidR="007D59EF" w:rsidRPr="001C7577" w:rsidRDefault="007D59EF" w:rsidP="007D59EF">
            <w:pPr>
              <w:spacing w:line="240" w:lineRule="auto"/>
              <w:rPr>
                <w:lang w:val="lt-LT"/>
              </w:rPr>
            </w:pPr>
            <w:r w:rsidRPr="001C7577">
              <w:rPr>
                <w:lang w:val="lt-LT"/>
              </w:rPr>
              <w:t>CYP3A4.</w:t>
            </w:r>
          </w:p>
        </w:tc>
        <w:tc>
          <w:tcPr>
            <w:tcW w:w="3096" w:type="dxa"/>
            <w:shd w:val="clear" w:color="auto" w:fill="auto"/>
          </w:tcPr>
          <w:p w14:paraId="3A0FC49D" w14:textId="77777777" w:rsidR="007D59EF" w:rsidRPr="001C7577" w:rsidRDefault="007D59EF" w:rsidP="007D59EF">
            <w:pPr>
              <w:spacing w:line="240" w:lineRule="auto"/>
              <w:rPr>
                <w:lang w:val="lt-LT"/>
              </w:rPr>
            </w:pPr>
            <w:r w:rsidRPr="001C7577">
              <w:rPr>
                <w:lang w:val="lt-LT"/>
              </w:rPr>
              <w:t>Rekomenduojama atidžiai stebėti</w:t>
            </w:r>
          </w:p>
          <w:p w14:paraId="09F686F1" w14:textId="77777777" w:rsidR="007D59EF" w:rsidRPr="001C7577" w:rsidRDefault="007D59EF" w:rsidP="007D59EF">
            <w:pPr>
              <w:spacing w:line="240" w:lineRule="auto"/>
              <w:rPr>
                <w:lang w:val="lt-LT"/>
              </w:rPr>
            </w:pPr>
            <w:r w:rsidRPr="001C7577">
              <w:rPr>
                <w:lang w:val="lt-LT"/>
              </w:rPr>
              <w:t>nepageidaujamą poveikį</w:t>
            </w:r>
          </w:p>
          <w:p w14:paraId="51A37F1A" w14:textId="77777777" w:rsidR="007D59EF" w:rsidRPr="001C7577" w:rsidRDefault="007D59EF" w:rsidP="007D59EF">
            <w:pPr>
              <w:spacing w:line="240" w:lineRule="auto"/>
              <w:rPr>
                <w:lang w:val="lt-LT"/>
              </w:rPr>
            </w:pPr>
            <w:r w:rsidRPr="001C7577">
              <w:rPr>
                <w:lang w:val="lt-LT"/>
              </w:rPr>
              <w:t>(ypatingai kvėpavimo funkcijos</w:t>
            </w:r>
          </w:p>
          <w:p w14:paraId="084FE117" w14:textId="77777777" w:rsidR="007D59EF" w:rsidRPr="001C7577" w:rsidRDefault="007D59EF" w:rsidP="007D59EF">
            <w:pPr>
              <w:spacing w:line="240" w:lineRule="auto"/>
              <w:rPr>
                <w:lang w:val="lt-LT"/>
              </w:rPr>
            </w:pPr>
            <w:r w:rsidRPr="001C7577">
              <w:rPr>
                <w:lang w:val="lt-LT"/>
              </w:rPr>
              <w:t>slopinimą, bet taip pat ir</w:t>
            </w:r>
          </w:p>
          <w:p w14:paraId="7B7ADE42" w14:textId="77777777" w:rsidR="007D59EF" w:rsidRPr="001C7577" w:rsidRDefault="007D59EF" w:rsidP="007D59EF">
            <w:pPr>
              <w:spacing w:line="240" w:lineRule="auto"/>
              <w:rPr>
                <w:lang w:val="lt-LT"/>
              </w:rPr>
            </w:pPr>
            <w:r w:rsidRPr="001C7577">
              <w:rPr>
                <w:lang w:val="lt-LT"/>
              </w:rPr>
              <w:t>sedaciją), kuomet fentanilis</w:t>
            </w:r>
          </w:p>
          <w:p w14:paraId="33AD7EF1" w14:textId="77777777" w:rsidR="007D59EF" w:rsidRPr="001C7577" w:rsidRDefault="007D59EF" w:rsidP="007D59EF">
            <w:pPr>
              <w:spacing w:line="240" w:lineRule="auto"/>
              <w:rPr>
                <w:lang w:val="lt-LT"/>
              </w:rPr>
            </w:pPr>
            <w:r w:rsidRPr="001C7577">
              <w:rPr>
                <w:lang w:val="lt-LT"/>
              </w:rPr>
              <w:t>skiriamas kartu su lopinaviru/ritonaviru.</w:t>
            </w:r>
          </w:p>
        </w:tc>
      </w:tr>
      <w:tr w:rsidR="007D59EF" w:rsidRPr="00705EEC" w14:paraId="77FE49F9" w14:textId="77777777" w:rsidTr="001C7577">
        <w:tc>
          <w:tcPr>
            <w:tcW w:w="9286" w:type="dxa"/>
            <w:gridSpan w:val="4"/>
            <w:shd w:val="clear" w:color="auto" w:fill="auto"/>
          </w:tcPr>
          <w:p w14:paraId="692CD543" w14:textId="77777777" w:rsidR="007D59EF" w:rsidRPr="001C7577" w:rsidRDefault="007D59EF" w:rsidP="007D59EF">
            <w:pPr>
              <w:spacing w:line="240" w:lineRule="auto"/>
              <w:rPr>
                <w:i/>
                <w:lang w:val="lt-LT"/>
              </w:rPr>
            </w:pPr>
            <w:r w:rsidRPr="001C7577">
              <w:rPr>
                <w:i/>
                <w:lang w:val="lt-LT"/>
              </w:rPr>
              <w:t>Antiaritmikai</w:t>
            </w:r>
          </w:p>
        </w:tc>
      </w:tr>
      <w:tr w:rsidR="007D59EF" w:rsidRPr="0088318A" w14:paraId="423D9E94" w14:textId="77777777" w:rsidTr="001C7577">
        <w:tc>
          <w:tcPr>
            <w:tcW w:w="3143" w:type="dxa"/>
            <w:gridSpan w:val="2"/>
            <w:shd w:val="clear" w:color="auto" w:fill="auto"/>
          </w:tcPr>
          <w:p w14:paraId="7168BF1A" w14:textId="77777777" w:rsidR="007D59EF" w:rsidRPr="001C7577" w:rsidRDefault="007D59EF" w:rsidP="007D59EF">
            <w:pPr>
              <w:spacing w:line="240" w:lineRule="auto"/>
              <w:rPr>
                <w:lang w:val="lt-LT"/>
              </w:rPr>
            </w:pPr>
            <w:r w:rsidRPr="001C7577">
              <w:rPr>
                <w:lang w:val="lt-LT"/>
              </w:rPr>
              <w:t xml:space="preserve">Digoksinas </w:t>
            </w:r>
          </w:p>
        </w:tc>
        <w:tc>
          <w:tcPr>
            <w:tcW w:w="3047" w:type="dxa"/>
            <w:shd w:val="clear" w:color="auto" w:fill="auto"/>
          </w:tcPr>
          <w:p w14:paraId="5A784CFE" w14:textId="77777777" w:rsidR="007D59EF" w:rsidRPr="001C7577" w:rsidRDefault="007D59EF" w:rsidP="007D59EF">
            <w:pPr>
              <w:spacing w:line="240" w:lineRule="auto"/>
              <w:rPr>
                <w:lang w:val="lt-LT"/>
              </w:rPr>
            </w:pPr>
            <w:r w:rsidRPr="001C7577">
              <w:rPr>
                <w:lang w:val="lt-LT"/>
              </w:rPr>
              <w:t>Digoksinas:</w:t>
            </w:r>
          </w:p>
          <w:p w14:paraId="542E928D" w14:textId="77777777" w:rsidR="007D59EF" w:rsidRPr="001C7577" w:rsidRDefault="007D59EF" w:rsidP="007D59EF">
            <w:pPr>
              <w:spacing w:line="240" w:lineRule="auto"/>
              <w:rPr>
                <w:lang w:val="lt-LT"/>
              </w:rPr>
            </w:pPr>
            <w:r w:rsidRPr="001C7577">
              <w:rPr>
                <w:lang w:val="lt-LT"/>
              </w:rPr>
              <w:t xml:space="preserve">Koncentracija plazmoje gali padidėti, nes lopinaviras/ritonaviras slopina P-glikoproteiną. </w:t>
            </w:r>
          </w:p>
          <w:p w14:paraId="19B902BE" w14:textId="77777777" w:rsidR="007D59EF" w:rsidRPr="001C7577" w:rsidRDefault="007D59EF" w:rsidP="007D59EF">
            <w:pPr>
              <w:spacing w:line="240" w:lineRule="auto"/>
              <w:rPr>
                <w:lang w:val="lt-LT"/>
              </w:rPr>
            </w:pPr>
            <w:r w:rsidRPr="001C7577">
              <w:rPr>
                <w:lang w:val="lt-LT"/>
              </w:rPr>
              <w:t>Digoksino kiekio</w:t>
            </w:r>
          </w:p>
          <w:p w14:paraId="69AAEC7E" w14:textId="77777777" w:rsidR="007D59EF" w:rsidRPr="001C7577" w:rsidRDefault="007D59EF" w:rsidP="007D59EF">
            <w:pPr>
              <w:spacing w:line="240" w:lineRule="auto"/>
              <w:rPr>
                <w:lang w:val="lt-LT"/>
              </w:rPr>
            </w:pPr>
            <w:r w:rsidRPr="001C7577">
              <w:rPr>
                <w:lang w:val="lt-LT"/>
              </w:rPr>
              <w:t>padidėjimas sumažėja bėgant</w:t>
            </w:r>
          </w:p>
          <w:p w14:paraId="5D3F83D3" w14:textId="77777777" w:rsidR="007D59EF" w:rsidRPr="001C7577" w:rsidRDefault="007D59EF" w:rsidP="007D59EF">
            <w:pPr>
              <w:spacing w:line="240" w:lineRule="auto"/>
              <w:rPr>
                <w:lang w:val="lt-LT"/>
              </w:rPr>
            </w:pPr>
            <w:r w:rsidRPr="001C7577">
              <w:rPr>
                <w:lang w:val="lt-LT"/>
              </w:rPr>
              <w:lastRenderedPageBreak/>
              <w:t>laikui, kai Pgp indukcija mažėja.</w:t>
            </w:r>
          </w:p>
          <w:p w14:paraId="68B11EA0" w14:textId="77777777" w:rsidR="007D59EF" w:rsidRPr="001C7577" w:rsidRDefault="007D59EF" w:rsidP="007D59EF">
            <w:pPr>
              <w:spacing w:line="240" w:lineRule="auto"/>
              <w:rPr>
                <w:lang w:val="lt-LT"/>
              </w:rPr>
            </w:pPr>
          </w:p>
        </w:tc>
        <w:tc>
          <w:tcPr>
            <w:tcW w:w="3096" w:type="dxa"/>
            <w:shd w:val="clear" w:color="auto" w:fill="auto"/>
          </w:tcPr>
          <w:p w14:paraId="6DF0CC52" w14:textId="77777777" w:rsidR="007D59EF" w:rsidRPr="001C7577" w:rsidRDefault="007D59EF" w:rsidP="007D59EF">
            <w:pPr>
              <w:spacing w:line="240" w:lineRule="auto"/>
              <w:rPr>
                <w:lang w:val="lt-LT"/>
              </w:rPr>
            </w:pPr>
            <w:r w:rsidRPr="001C7577">
              <w:rPr>
                <w:lang w:val="lt-LT"/>
              </w:rPr>
              <w:lastRenderedPageBreak/>
              <w:t>Kartu skiriant digoksiną ir lopinavirą/ritonavirą</w:t>
            </w:r>
          </w:p>
          <w:p w14:paraId="49DB4AB8" w14:textId="77777777" w:rsidR="007D59EF" w:rsidRPr="001C7577" w:rsidRDefault="007D59EF" w:rsidP="007D59EF">
            <w:pPr>
              <w:spacing w:line="240" w:lineRule="auto"/>
              <w:rPr>
                <w:lang w:val="lt-LT"/>
              </w:rPr>
            </w:pPr>
            <w:r w:rsidRPr="001C7577">
              <w:rPr>
                <w:lang w:val="lt-LT"/>
              </w:rPr>
              <w:t>turi būti užtikrintos atsargumo priemonės ir digoksino koncentracijos stebėjimas.</w:t>
            </w:r>
          </w:p>
          <w:p w14:paraId="7CCE4217" w14:textId="77777777" w:rsidR="007D59EF" w:rsidRPr="001C7577" w:rsidRDefault="007D59EF" w:rsidP="007D59EF">
            <w:pPr>
              <w:spacing w:line="240" w:lineRule="auto"/>
              <w:rPr>
                <w:lang w:val="lt-LT"/>
              </w:rPr>
            </w:pPr>
            <w:r w:rsidRPr="001C7577">
              <w:rPr>
                <w:lang w:val="lt-LT"/>
              </w:rPr>
              <w:t>Ypatingų atsargumo priemonių</w:t>
            </w:r>
          </w:p>
          <w:p w14:paraId="0FCA76FA" w14:textId="77777777" w:rsidR="007D59EF" w:rsidRPr="001C7577" w:rsidRDefault="007D59EF" w:rsidP="007D59EF">
            <w:pPr>
              <w:spacing w:line="240" w:lineRule="auto"/>
              <w:rPr>
                <w:lang w:val="lt-LT"/>
              </w:rPr>
            </w:pPr>
            <w:r w:rsidRPr="001C7577">
              <w:rPr>
                <w:lang w:val="lt-LT"/>
              </w:rPr>
              <w:lastRenderedPageBreak/>
              <w:t>reikia imtis skiriant lopinavirą/ritonavirą pacientams, kurie vartoja digoksiną, nes smarkus ritonaviro</w:t>
            </w:r>
          </w:p>
          <w:p w14:paraId="654309A5" w14:textId="77777777" w:rsidR="007D59EF" w:rsidRPr="001C7577" w:rsidRDefault="007D59EF" w:rsidP="007D59EF">
            <w:pPr>
              <w:spacing w:line="240" w:lineRule="auto"/>
              <w:rPr>
                <w:lang w:val="lt-LT"/>
              </w:rPr>
            </w:pPr>
            <w:r w:rsidRPr="001C7577">
              <w:rPr>
                <w:lang w:val="lt-LT"/>
              </w:rPr>
              <w:t>Pgp slopinimo poveikis labai</w:t>
            </w:r>
          </w:p>
          <w:p w14:paraId="57D5DAF4" w14:textId="77777777" w:rsidR="007D59EF" w:rsidRPr="001C7577" w:rsidRDefault="007D59EF" w:rsidP="007D59EF">
            <w:pPr>
              <w:spacing w:line="240" w:lineRule="auto"/>
              <w:rPr>
                <w:lang w:val="lt-LT"/>
              </w:rPr>
            </w:pPr>
            <w:r w:rsidRPr="001C7577">
              <w:rPr>
                <w:lang w:val="lt-LT"/>
              </w:rPr>
              <w:t>padidina digoksino kiekį. Pradėjus vartoti digoksiną pacientams, kurie jau vartoja lopinavirą/ritonavirą, tikėtina, kad digoksino koncentracija padidės mažiau nei tikimasi.</w:t>
            </w:r>
          </w:p>
        </w:tc>
      </w:tr>
      <w:tr w:rsidR="007D59EF" w:rsidRPr="00705EEC" w14:paraId="14AC906D" w14:textId="77777777" w:rsidTr="001C7577">
        <w:tc>
          <w:tcPr>
            <w:tcW w:w="3143" w:type="dxa"/>
            <w:gridSpan w:val="2"/>
            <w:shd w:val="clear" w:color="auto" w:fill="auto"/>
          </w:tcPr>
          <w:p w14:paraId="50F968BC" w14:textId="77777777" w:rsidR="007D59EF" w:rsidRPr="001C7577" w:rsidRDefault="007D59EF" w:rsidP="007D59EF">
            <w:pPr>
              <w:spacing w:line="240" w:lineRule="auto"/>
              <w:rPr>
                <w:lang w:val="lt-LT"/>
              </w:rPr>
            </w:pPr>
            <w:r w:rsidRPr="001C7577">
              <w:rPr>
                <w:lang w:val="lt-LT"/>
              </w:rPr>
              <w:lastRenderedPageBreak/>
              <w:t>Bepridilis, sisteminis</w:t>
            </w:r>
          </w:p>
          <w:p w14:paraId="0B33CD64" w14:textId="77777777" w:rsidR="007D59EF" w:rsidRPr="001C7577" w:rsidRDefault="007D59EF" w:rsidP="007D59EF">
            <w:pPr>
              <w:spacing w:line="240" w:lineRule="auto"/>
              <w:rPr>
                <w:lang w:val="lt-LT"/>
              </w:rPr>
            </w:pPr>
            <w:r w:rsidRPr="001C7577">
              <w:rPr>
                <w:lang w:val="lt-LT"/>
              </w:rPr>
              <w:t>lidokainas ir chinidinas</w:t>
            </w:r>
          </w:p>
          <w:p w14:paraId="5D5B27AE" w14:textId="77777777" w:rsidR="007D59EF" w:rsidRPr="001C7577" w:rsidRDefault="007D59EF" w:rsidP="007D59EF">
            <w:pPr>
              <w:spacing w:line="240" w:lineRule="auto"/>
              <w:rPr>
                <w:lang w:val="lt-LT"/>
              </w:rPr>
            </w:pPr>
          </w:p>
        </w:tc>
        <w:tc>
          <w:tcPr>
            <w:tcW w:w="3047" w:type="dxa"/>
            <w:shd w:val="clear" w:color="auto" w:fill="auto"/>
          </w:tcPr>
          <w:p w14:paraId="0D0E1A73" w14:textId="77777777" w:rsidR="007D59EF" w:rsidRPr="001C7577" w:rsidRDefault="007D59EF" w:rsidP="007D59EF">
            <w:pPr>
              <w:spacing w:line="240" w:lineRule="auto"/>
              <w:rPr>
                <w:lang w:val="lt-LT"/>
              </w:rPr>
            </w:pPr>
            <w:r w:rsidRPr="001C7577">
              <w:rPr>
                <w:lang w:val="lt-LT"/>
              </w:rPr>
              <w:t>Bepridilis, sisteminis lidokainas,</w:t>
            </w:r>
          </w:p>
          <w:p w14:paraId="71197841" w14:textId="77777777" w:rsidR="007D59EF" w:rsidRPr="001C7577" w:rsidRDefault="007D59EF" w:rsidP="007D59EF">
            <w:pPr>
              <w:spacing w:line="240" w:lineRule="auto"/>
              <w:rPr>
                <w:lang w:val="lt-LT"/>
              </w:rPr>
            </w:pPr>
            <w:r w:rsidRPr="001C7577">
              <w:rPr>
                <w:lang w:val="lt-LT"/>
              </w:rPr>
              <w:t>Chinidinas: koncentracija gali padidėti, skiriant su lopinaviru/ritonaviru.</w:t>
            </w:r>
          </w:p>
          <w:p w14:paraId="79274494" w14:textId="77777777" w:rsidR="007D59EF" w:rsidRPr="001C7577" w:rsidRDefault="007D59EF" w:rsidP="007D59EF">
            <w:pPr>
              <w:spacing w:line="240" w:lineRule="auto"/>
              <w:rPr>
                <w:lang w:val="lt-LT"/>
              </w:rPr>
            </w:pPr>
          </w:p>
        </w:tc>
        <w:tc>
          <w:tcPr>
            <w:tcW w:w="3096" w:type="dxa"/>
            <w:shd w:val="clear" w:color="auto" w:fill="auto"/>
          </w:tcPr>
          <w:p w14:paraId="727EE26A" w14:textId="77777777" w:rsidR="007D59EF" w:rsidRPr="001C7577" w:rsidRDefault="007D59EF" w:rsidP="007D59EF">
            <w:pPr>
              <w:spacing w:line="240" w:lineRule="auto"/>
              <w:rPr>
                <w:lang w:val="lt-LT"/>
              </w:rPr>
            </w:pPr>
            <w:r w:rsidRPr="001C7577">
              <w:rPr>
                <w:lang w:val="lt-LT"/>
              </w:rPr>
              <w:t>Rekomenduojama laikytis</w:t>
            </w:r>
          </w:p>
          <w:p w14:paraId="08C0F811" w14:textId="77777777" w:rsidR="007D59EF" w:rsidRPr="001C7577" w:rsidRDefault="007D59EF" w:rsidP="007D59EF">
            <w:pPr>
              <w:spacing w:line="240" w:lineRule="auto"/>
              <w:rPr>
                <w:lang w:val="lt-LT"/>
              </w:rPr>
            </w:pPr>
            <w:r w:rsidRPr="001C7577">
              <w:rPr>
                <w:lang w:val="lt-LT"/>
              </w:rPr>
              <w:t>atsargumo priemonių ir stebėti</w:t>
            </w:r>
          </w:p>
          <w:p w14:paraId="6DF96BE1" w14:textId="77777777" w:rsidR="007D59EF" w:rsidRPr="001C7577" w:rsidRDefault="007D59EF" w:rsidP="007D59EF">
            <w:pPr>
              <w:spacing w:line="240" w:lineRule="auto"/>
              <w:rPr>
                <w:lang w:val="lt-LT"/>
              </w:rPr>
            </w:pPr>
            <w:r w:rsidRPr="001C7577">
              <w:rPr>
                <w:lang w:val="lt-LT"/>
              </w:rPr>
              <w:t>vaistų koncentraciją.</w:t>
            </w:r>
          </w:p>
        </w:tc>
      </w:tr>
      <w:tr w:rsidR="007D59EF" w:rsidRPr="00705EEC" w14:paraId="55A8009C" w14:textId="77777777" w:rsidTr="001C7577">
        <w:tc>
          <w:tcPr>
            <w:tcW w:w="9286" w:type="dxa"/>
            <w:gridSpan w:val="4"/>
            <w:shd w:val="clear" w:color="auto" w:fill="auto"/>
          </w:tcPr>
          <w:p w14:paraId="3B2D5879" w14:textId="77777777" w:rsidR="007D59EF" w:rsidRPr="001C7577" w:rsidRDefault="007D59EF" w:rsidP="007D59EF">
            <w:pPr>
              <w:tabs>
                <w:tab w:val="clear" w:pos="567"/>
                <w:tab w:val="left" w:pos="1730"/>
              </w:tabs>
              <w:spacing w:line="240" w:lineRule="auto"/>
              <w:rPr>
                <w:i/>
                <w:lang w:val="lt-LT"/>
              </w:rPr>
            </w:pPr>
            <w:r w:rsidRPr="001C7577">
              <w:rPr>
                <w:i/>
                <w:lang w:val="lt-LT"/>
              </w:rPr>
              <w:t>Antibiotikai</w:t>
            </w:r>
          </w:p>
        </w:tc>
      </w:tr>
      <w:tr w:rsidR="007D59EF" w:rsidRPr="0088318A" w14:paraId="37D645D6" w14:textId="77777777" w:rsidTr="001C7577">
        <w:tc>
          <w:tcPr>
            <w:tcW w:w="3143" w:type="dxa"/>
            <w:gridSpan w:val="2"/>
            <w:shd w:val="clear" w:color="auto" w:fill="auto"/>
          </w:tcPr>
          <w:p w14:paraId="292C34AB" w14:textId="77777777" w:rsidR="007D59EF" w:rsidRPr="001C7577" w:rsidRDefault="007D59EF" w:rsidP="007D59EF">
            <w:pPr>
              <w:spacing w:line="240" w:lineRule="auto"/>
              <w:rPr>
                <w:lang w:val="lt-LT"/>
              </w:rPr>
            </w:pPr>
            <w:r w:rsidRPr="001C7577">
              <w:rPr>
                <w:lang w:val="lt-LT"/>
              </w:rPr>
              <w:t xml:space="preserve">Klaritromicinas </w:t>
            </w:r>
          </w:p>
          <w:p w14:paraId="1FED4F5A" w14:textId="77777777" w:rsidR="007D59EF" w:rsidRPr="001C7577" w:rsidRDefault="007D59EF" w:rsidP="007D59EF">
            <w:pPr>
              <w:spacing w:line="240" w:lineRule="auto"/>
              <w:rPr>
                <w:lang w:val="lt-LT"/>
              </w:rPr>
            </w:pPr>
          </w:p>
        </w:tc>
        <w:tc>
          <w:tcPr>
            <w:tcW w:w="3047" w:type="dxa"/>
            <w:shd w:val="clear" w:color="auto" w:fill="auto"/>
          </w:tcPr>
          <w:p w14:paraId="6E09F141" w14:textId="77777777" w:rsidR="007D59EF" w:rsidRPr="001C7577" w:rsidRDefault="007D59EF" w:rsidP="007D59EF">
            <w:pPr>
              <w:spacing w:line="240" w:lineRule="auto"/>
              <w:rPr>
                <w:lang w:val="lt-LT"/>
              </w:rPr>
            </w:pPr>
            <w:r w:rsidRPr="001C7577">
              <w:rPr>
                <w:lang w:val="lt-LT"/>
              </w:rPr>
              <w:t>Klaritromicinas:</w:t>
            </w:r>
          </w:p>
          <w:p w14:paraId="0E794859" w14:textId="77777777" w:rsidR="007D59EF" w:rsidRPr="001C7577" w:rsidRDefault="007D59EF" w:rsidP="007D59EF">
            <w:pPr>
              <w:spacing w:line="240" w:lineRule="auto"/>
              <w:rPr>
                <w:lang w:val="lt-LT"/>
              </w:rPr>
            </w:pPr>
            <w:r w:rsidRPr="001C7577">
              <w:rPr>
                <w:lang w:val="lt-LT"/>
              </w:rPr>
              <w:t>Vidutiniškai padidėjęs</w:t>
            </w:r>
          </w:p>
          <w:p w14:paraId="5DD929DD" w14:textId="77777777" w:rsidR="007D59EF" w:rsidRPr="001C7577" w:rsidRDefault="007D59EF" w:rsidP="007D59EF">
            <w:pPr>
              <w:spacing w:line="240" w:lineRule="auto"/>
              <w:rPr>
                <w:lang w:val="lt-LT"/>
              </w:rPr>
            </w:pPr>
            <w:r w:rsidRPr="001C7577">
              <w:rPr>
                <w:lang w:val="lt-LT"/>
              </w:rPr>
              <w:t>klaritromicino AUC yra tikėtinas, nes lopinaviras/ritonaviras inhibuoja CYP3A.</w:t>
            </w:r>
          </w:p>
          <w:p w14:paraId="6F27F194" w14:textId="77777777" w:rsidR="007D59EF" w:rsidRPr="001C7577" w:rsidRDefault="007D59EF" w:rsidP="007D59EF">
            <w:pPr>
              <w:spacing w:line="240" w:lineRule="auto"/>
              <w:rPr>
                <w:lang w:val="lt-LT"/>
              </w:rPr>
            </w:pPr>
          </w:p>
        </w:tc>
        <w:tc>
          <w:tcPr>
            <w:tcW w:w="3096" w:type="dxa"/>
            <w:shd w:val="clear" w:color="auto" w:fill="auto"/>
          </w:tcPr>
          <w:p w14:paraId="6A6BA2FD" w14:textId="77777777" w:rsidR="007D59EF" w:rsidRPr="001C7577" w:rsidRDefault="007D59EF" w:rsidP="007D59EF">
            <w:pPr>
              <w:spacing w:line="240" w:lineRule="auto"/>
              <w:rPr>
                <w:lang w:val="lt-LT"/>
              </w:rPr>
            </w:pPr>
            <w:r w:rsidRPr="001C7577">
              <w:rPr>
                <w:lang w:val="lt-LT"/>
              </w:rPr>
              <w:t>Pacientam su inkstų pakenkimu</w:t>
            </w:r>
          </w:p>
          <w:p w14:paraId="3E58B73A" w14:textId="77777777" w:rsidR="007D59EF" w:rsidRPr="001C7577" w:rsidRDefault="007D59EF" w:rsidP="007D59EF">
            <w:pPr>
              <w:spacing w:line="240" w:lineRule="auto"/>
              <w:rPr>
                <w:lang w:val="lt-LT"/>
              </w:rPr>
            </w:pPr>
            <w:r w:rsidRPr="001C7577">
              <w:rPr>
                <w:lang w:val="lt-LT"/>
              </w:rPr>
              <w:t>(KrKL &lt;30 ml/min) reikia</w:t>
            </w:r>
          </w:p>
          <w:p w14:paraId="6C79F473" w14:textId="77777777" w:rsidR="007D59EF" w:rsidRPr="001C7577" w:rsidRDefault="007D59EF" w:rsidP="007D59EF">
            <w:pPr>
              <w:spacing w:line="240" w:lineRule="auto"/>
              <w:rPr>
                <w:lang w:val="lt-LT"/>
              </w:rPr>
            </w:pPr>
            <w:r w:rsidRPr="001C7577">
              <w:rPr>
                <w:lang w:val="lt-LT"/>
              </w:rPr>
              <w:t>apsvarstyti klaritromicino dozės</w:t>
            </w:r>
          </w:p>
          <w:p w14:paraId="1DA3CB74" w14:textId="77777777" w:rsidR="007D59EF" w:rsidRPr="001C7577" w:rsidRDefault="007D59EF" w:rsidP="007D59EF">
            <w:pPr>
              <w:spacing w:line="240" w:lineRule="auto"/>
              <w:rPr>
                <w:lang w:val="lt-LT"/>
              </w:rPr>
            </w:pPr>
            <w:r w:rsidRPr="001C7577">
              <w:rPr>
                <w:lang w:val="lt-LT"/>
              </w:rPr>
              <w:t>sumažinimą (žr. 4.4 skyrių).</w:t>
            </w:r>
          </w:p>
          <w:p w14:paraId="2FC0D55E" w14:textId="77777777" w:rsidR="007D59EF" w:rsidRPr="001C7577" w:rsidRDefault="007D59EF" w:rsidP="007D59EF">
            <w:pPr>
              <w:spacing w:line="240" w:lineRule="auto"/>
              <w:rPr>
                <w:lang w:val="lt-LT"/>
              </w:rPr>
            </w:pPr>
            <w:r w:rsidRPr="001C7577">
              <w:rPr>
                <w:lang w:val="lt-LT"/>
              </w:rPr>
              <w:t>Atsargiai skirti klaritromiciną su</w:t>
            </w:r>
          </w:p>
          <w:p w14:paraId="13C641C8" w14:textId="77777777" w:rsidR="007D59EF" w:rsidRPr="001C7577" w:rsidRDefault="007D59EF" w:rsidP="007D59EF">
            <w:pPr>
              <w:spacing w:line="240" w:lineRule="auto"/>
              <w:rPr>
                <w:lang w:val="lt-LT"/>
              </w:rPr>
            </w:pPr>
            <w:r w:rsidRPr="001C7577">
              <w:rPr>
                <w:lang w:val="lt-LT"/>
              </w:rPr>
              <w:t>Lopinaviru/ritonaviru pacientams su inkstų ir kepenų funkcijos sutrikimais.</w:t>
            </w:r>
          </w:p>
        </w:tc>
      </w:tr>
      <w:tr w:rsidR="007D59EF" w:rsidRPr="00705EEC" w14:paraId="2755DF62" w14:textId="77777777" w:rsidTr="001C7577">
        <w:tc>
          <w:tcPr>
            <w:tcW w:w="9286" w:type="dxa"/>
            <w:gridSpan w:val="4"/>
            <w:shd w:val="clear" w:color="auto" w:fill="auto"/>
          </w:tcPr>
          <w:p w14:paraId="3241F4B7" w14:textId="77777777" w:rsidR="007D59EF" w:rsidRPr="001C7577" w:rsidRDefault="007D59EF" w:rsidP="007D59EF">
            <w:pPr>
              <w:tabs>
                <w:tab w:val="clear" w:pos="567"/>
                <w:tab w:val="left" w:pos="999"/>
              </w:tabs>
              <w:spacing w:line="240" w:lineRule="auto"/>
              <w:rPr>
                <w:i/>
                <w:lang w:val="lt-LT"/>
              </w:rPr>
            </w:pPr>
            <w:r w:rsidRPr="001C7577">
              <w:rPr>
                <w:i/>
                <w:lang w:val="lt-LT"/>
              </w:rPr>
              <w:t>Priešvėžiniai vaistai</w:t>
            </w:r>
          </w:p>
        </w:tc>
      </w:tr>
      <w:tr w:rsidR="007D59EF" w:rsidRPr="0088318A" w14:paraId="284F4383" w14:textId="77777777" w:rsidTr="001C7577">
        <w:tc>
          <w:tcPr>
            <w:tcW w:w="3143" w:type="dxa"/>
            <w:gridSpan w:val="2"/>
            <w:shd w:val="clear" w:color="auto" w:fill="auto"/>
          </w:tcPr>
          <w:p w14:paraId="24677058" w14:textId="77777777" w:rsidR="007D59EF" w:rsidRPr="001C7577" w:rsidRDefault="007D59EF" w:rsidP="007D59EF">
            <w:pPr>
              <w:spacing w:line="240" w:lineRule="auto"/>
              <w:rPr>
                <w:lang w:val="lt-LT"/>
              </w:rPr>
            </w:pPr>
            <w:r w:rsidRPr="001C7577">
              <w:rPr>
                <w:lang w:val="lt-LT"/>
              </w:rPr>
              <w:t>Dauguma tirozino kinazės inhibitorių, tokių kaip dazatinibas ir nilotinibas, vinkristinas, vinblastinas</w:t>
            </w:r>
          </w:p>
          <w:p w14:paraId="2F4DAD39" w14:textId="77777777" w:rsidR="007D59EF" w:rsidRPr="001C7577" w:rsidRDefault="007D59EF" w:rsidP="007D59EF">
            <w:pPr>
              <w:spacing w:line="240" w:lineRule="auto"/>
              <w:rPr>
                <w:lang w:val="lt-LT"/>
              </w:rPr>
            </w:pPr>
          </w:p>
        </w:tc>
        <w:tc>
          <w:tcPr>
            <w:tcW w:w="3047" w:type="dxa"/>
            <w:shd w:val="clear" w:color="auto" w:fill="auto"/>
          </w:tcPr>
          <w:p w14:paraId="51FB2199" w14:textId="77777777" w:rsidR="007D59EF" w:rsidRPr="001C7577" w:rsidRDefault="007D59EF" w:rsidP="007D59EF">
            <w:pPr>
              <w:spacing w:line="240" w:lineRule="auto"/>
              <w:rPr>
                <w:lang w:val="lt-LT"/>
              </w:rPr>
            </w:pPr>
            <w:r w:rsidRPr="001C7577">
              <w:rPr>
                <w:lang w:val="lt-LT"/>
              </w:rPr>
              <w:t>Dauguma tirozino kinazės inhibitorių, tokių kaip dazatinibas</w:t>
            </w:r>
          </w:p>
          <w:p w14:paraId="2A44C5C5" w14:textId="77777777" w:rsidR="007D59EF" w:rsidRPr="001C7577" w:rsidRDefault="007D59EF" w:rsidP="007D59EF">
            <w:pPr>
              <w:spacing w:line="240" w:lineRule="auto"/>
              <w:rPr>
                <w:lang w:val="lt-LT"/>
              </w:rPr>
            </w:pPr>
            <w:r w:rsidRPr="001C7577">
              <w:rPr>
                <w:lang w:val="lt-LT"/>
              </w:rPr>
              <w:t>ir nilotinibas, taip pat vinkristinas ir vinblastinas:</w:t>
            </w:r>
          </w:p>
          <w:p w14:paraId="2B63F294" w14:textId="77777777" w:rsidR="007D59EF" w:rsidRPr="001C7577" w:rsidRDefault="007D59EF" w:rsidP="007D59EF">
            <w:pPr>
              <w:spacing w:line="240" w:lineRule="auto"/>
              <w:rPr>
                <w:lang w:val="lt-LT"/>
              </w:rPr>
            </w:pPr>
            <w:r w:rsidRPr="001C7577">
              <w:rPr>
                <w:lang w:val="lt-LT"/>
              </w:rPr>
              <w:t>Didesnė nepageidaujamų reiškinių rizika dėl padidėjusios koncentracijos serume, nes lopinaviras/ritonaviras slopina CYP3A4.</w:t>
            </w:r>
          </w:p>
        </w:tc>
        <w:tc>
          <w:tcPr>
            <w:tcW w:w="3096" w:type="dxa"/>
            <w:shd w:val="clear" w:color="auto" w:fill="auto"/>
          </w:tcPr>
          <w:p w14:paraId="345DF3B4" w14:textId="77777777" w:rsidR="007D59EF" w:rsidRPr="001C7577" w:rsidRDefault="007D59EF" w:rsidP="007D59EF">
            <w:pPr>
              <w:spacing w:line="240" w:lineRule="auto"/>
              <w:rPr>
                <w:lang w:val="lt-LT"/>
              </w:rPr>
            </w:pPr>
            <w:r w:rsidRPr="001C7577">
              <w:rPr>
                <w:lang w:val="lt-LT"/>
              </w:rPr>
              <w:t>Rekomenduojama atidžiai stebėti</w:t>
            </w:r>
          </w:p>
          <w:p w14:paraId="135B155D" w14:textId="77777777" w:rsidR="007D59EF" w:rsidRPr="001C7577" w:rsidRDefault="007D59EF" w:rsidP="007D59EF">
            <w:pPr>
              <w:spacing w:line="240" w:lineRule="auto"/>
              <w:rPr>
                <w:lang w:val="lt-LT"/>
              </w:rPr>
            </w:pPr>
            <w:r w:rsidRPr="001C7577">
              <w:rPr>
                <w:lang w:val="lt-LT"/>
              </w:rPr>
              <w:t>šių priešvėžinių vaistų toleravimą.</w:t>
            </w:r>
          </w:p>
        </w:tc>
      </w:tr>
      <w:tr w:rsidR="007D59EF" w:rsidRPr="00705EEC" w14:paraId="6FB37992" w14:textId="77777777" w:rsidTr="001C7577">
        <w:tc>
          <w:tcPr>
            <w:tcW w:w="9286" w:type="dxa"/>
            <w:gridSpan w:val="4"/>
            <w:shd w:val="clear" w:color="auto" w:fill="auto"/>
          </w:tcPr>
          <w:p w14:paraId="03DDD14F" w14:textId="77777777" w:rsidR="007D59EF" w:rsidRPr="001C7577" w:rsidRDefault="007D59EF" w:rsidP="007D59EF">
            <w:pPr>
              <w:spacing w:line="240" w:lineRule="auto"/>
              <w:rPr>
                <w:lang w:val="lt-LT"/>
              </w:rPr>
            </w:pPr>
            <w:r w:rsidRPr="001C7577">
              <w:rPr>
                <w:rFonts w:eastAsia="Calibri"/>
                <w:i/>
                <w:iCs/>
                <w:snapToGrid/>
                <w:szCs w:val="22"/>
                <w:lang w:val="lt-LT"/>
              </w:rPr>
              <w:t>Antikoaguliantai</w:t>
            </w:r>
          </w:p>
        </w:tc>
      </w:tr>
      <w:tr w:rsidR="007D59EF" w:rsidRPr="00705EEC" w14:paraId="4F4BA43B" w14:textId="77777777" w:rsidTr="001C7577">
        <w:tc>
          <w:tcPr>
            <w:tcW w:w="3143" w:type="dxa"/>
            <w:gridSpan w:val="2"/>
            <w:shd w:val="clear" w:color="auto" w:fill="auto"/>
          </w:tcPr>
          <w:p w14:paraId="534BC6E1" w14:textId="77777777" w:rsidR="007D59EF" w:rsidRPr="001C7577" w:rsidRDefault="007D59EF" w:rsidP="007D59EF">
            <w:pPr>
              <w:spacing w:line="240" w:lineRule="auto"/>
              <w:rPr>
                <w:lang w:val="lt-LT"/>
              </w:rPr>
            </w:pPr>
            <w:r w:rsidRPr="001C7577">
              <w:rPr>
                <w:lang w:val="lt-LT"/>
              </w:rPr>
              <w:t xml:space="preserve">Varfarinas </w:t>
            </w:r>
          </w:p>
          <w:p w14:paraId="1D1994B6" w14:textId="77777777" w:rsidR="007D59EF" w:rsidRPr="001C7577" w:rsidRDefault="007D59EF" w:rsidP="007D59EF">
            <w:pPr>
              <w:spacing w:line="240" w:lineRule="auto"/>
              <w:rPr>
                <w:lang w:val="lt-LT"/>
              </w:rPr>
            </w:pPr>
          </w:p>
        </w:tc>
        <w:tc>
          <w:tcPr>
            <w:tcW w:w="3047" w:type="dxa"/>
            <w:shd w:val="clear" w:color="auto" w:fill="auto"/>
          </w:tcPr>
          <w:p w14:paraId="796ABDF7" w14:textId="77777777" w:rsidR="007D59EF" w:rsidRPr="001C7577" w:rsidRDefault="007D59EF" w:rsidP="007D59EF">
            <w:pPr>
              <w:spacing w:line="240" w:lineRule="auto"/>
              <w:rPr>
                <w:lang w:val="lt-LT"/>
              </w:rPr>
            </w:pPr>
            <w:r w:rsidRPr="001C7577">
              <w:rPr>
                <w:lang w:val="lt-LT"/>
              </w:rPr>
              <w:t>Varfarinas:</w:t>
            </w:r>
          </w:p>
          <w:p w14:paraId="0F06A13F" w14:textId="77777777" w:rsidR="007D59EF" w:rsidRPr="001C7577" w:rsidRDefault="007D59EF" w:rsidP="007D59EF">
            <w:pPr>
              <w:spacing w:line="240" w:lineRule="auto"/>
              <w:rPr>
                <w:lang w:val="lt-LT"/>
              </w:rPr>
            </w:pPr>
            <w:r w:rsidRPr="001C7577">
              <w:rPr>
                <w:lang w:val="lt-LT"/>
              </w:rPr>
              <w:t>Koncentracija serume gali būti</w:t>
            </w:r>
          </w:p>
          <w:p w14:paraId="0C64B2C0" w14:textId="77777777" w:rsidR="007D59EF" w:rsidRPr="001C7577" w:rsidRDefault="007D59EF" w:rsidP="007D59EF">
            <w:pPr>
              <w:spacing w:line="240" w:lineRule="auto"/>
              <w:rPr>
                <w:lang w:val="lt-LT"/>
              </w:rPr>
            </w:pPr>
            <w:r w:rsidRPr="001C7577">
              <w:rPr>
                <w:lang w:val="lt-LT"/>
              </w:rPr>
              <w:t>paveikta, nes lopinaviras/ritonaviras indukuoja</w:t>
            </w:r>
          </w:p>
          <w:p w14:paraId="0E2A2075" w14:textId="77777777" w:rsidR="007D59EF" w:rsidRPr="001C7577" w:rsidRDefault="007D59EF" w:rsidP="007D59EF">
            <w:pPr>
              <w:spacing w:line="240" w:lineRule="auto"/>
              <w:rPr>
                <w:lang w:val="lt-LT"/>
              </w:rPr>
            </w:pPr>
            <w:r w:rsidRPr="001C7577">
              <w:rPr>
                <w:lang w:val="lt-LT"/>
              </w:rPr>
              <w:t>CYP2C9.</w:t>
            </w:r>
          </w:p>
        </w:tc>
        <w:tc>
          <w:tcPr>
            <w:tcW w:w="3096" w:type="dxa"/>
            <w:shd w:val="clear" w:color="auto" w:fill="auto"/>
          </w:tcPr>
          <w:p w14:paraId="012BDE88" w14:textId="77777777" w:rsidR="007D59EF" w:rsidRPr="001C7577" w:rsidRDefault="007D59EF" w:rsidP="007D59EF">
            <w:pPr>
              <w:spacing w:line="240" w:lineRule="auto"/>
              <w:rPr>
                <w:lang w:val="lt-LT"/>
              </w:rPr>
            </w:pPr>
            <w:r w:rsidRPr="001C7577">
              <w:rPr>
                <w:lang w:val="lt-LT"/>
              </w:rPr>
              <w:t>Rekomenduojama stebėti TNS.</w:t>
            </w:r>
          </w:p>
          <w:p w14:paraId="0B04B976" w14:textId="77777777" w:rsidR="007D59EF" w:rsidRPr="001C7577" w:rsidRDefault="007D59EF" w:rsidP="007D59EF">
            <w:pPr>
              <w:spacing w:line="240" w:lineRule="auto"/>
              <w:rPr>
                <w:lang w:val="lt-LT"/>
              </w:rPr>
            </w:pPr>
          </w:p>
        </w:tc>
      </w:tr>
      <w:tr w:rsidR="007D59EF" w:rsidRPr="00705EEC" w14:paraId="29337980" w14:textId="77777777" w:rsidTr="001C7577">
        <w:tc>
          <w:tcPr>
            <w:tcW w:w="3143" w:type="dxa"/>
            <w:gridSpan w:val="2"/>
            <w:shd w:val="clear" w:color="auto" w:fill="auto"/>
          </w:tcPr>
          <w:p w14:paraId="23E851E6" w14:textId="77777777" w:rsidR="007D59EF" w:rsidRPr="001C7577" w:rsidRDefault="007D59EF" w:rsidP="007D59EF">
            <w:pPr>
              <w:spacing w:line="240" w:lineRule="auto"/>
              <w:rPr>
                <w:lang w:val="lt-LT"/>
              </w:rPr>
            </w:pPr>
            <w:r w:rsidRPr="001C7577">
              <w:rPr>
                <w:lang w:val="lt-LT"/>
              </w:rPr>
              <w:t>Rivaroksabanas</w:t>
            </w:r>
          </w:p>
          <w:p w14:paraId="229ABA5A" w14:textId="77777777" w:rsidR="007D59EF" w:rsidRPr="001C7577" w:rsidRDefault="007D59EF" w:rsidP="007D59EF">
            <w:pPr>
              <w:spacing w:line="240" w:lineRule="auto"/>
              <w:rPr>
                <w:lang w:val="lt-LT"/>
              </w:rPr>
            </w:pPr>
            <w:r w:rsidRPr="001C7577">
              <w:rPr>
                <w:lang w:val="lt-LT"/>
              </w:rPr>
              <w:t>(Ritonaviras 600 mg du kartus per parą)</w:t>
            </w:r>
          </w:p>
          <w:p w14:paraId="24EBC159" w14:textId="77777777" w:rsidR="007D59EF" w:rsidRPr="001C7577" w:rsidRDefault="007D59EF" w:rsidP="007D59EF">
            <w:pPr>
              <w:spacing w:line="240" w:lineRule="auto"/>
              <w:rPr>
                <w:lang w:val="lt-LT"/>
              </w:rPr>
            </w:pPr>
          </w:p>
        </w:tc>
        <w:tc>
          <w:tcPr>
            <w:tcW w:w="3047" w:type="dxa"/>
            <w:shd w:val="clear" w:color="auto" w:fill="auto"/>
          </w:tcPr>
          <w:p w14:paraId="03654515" w14:textId="77777777" w:rsidR="007D59EF" w:rsidRPr="001C7577" w:rsidRDefault="007D59EF" w:rsidP="007D59EF">
            <w:pPr>
              <w:spacing w:line="240" w:lineRule="auto"/>
              <w:rPr>
                <w:lang w:val="lt-LT"/>
              </w:rPr>
            </w:pPr>
            <w:r w:rsidRPr="001C7577">
              <w:rPr>
                <w:lang w:val="lt-LT"/>
              </w:rPr>
              <w:t>Rivaroksabanas:</w:t>
            </w:r>
          </w:p>
          <w:p w14:paraId="5F17F09F" w14:textId="77777777" w:rsidR="007D59EF" w:rsidRPr="001C7577" w:rsidRDefault="007D59EF" w:rsidP="007D59EF">
            <w:pPr>
              <w:spacing w:line="240" w:lineRule="auto"/>
              <w:rPr>
                <w:lang w:val="lt-LT"/>
              </w:rPr>
            </w:pPr>
            <w:r w:rsidRPr="001C7577">
              <w:rPr>
                <w:lang w:val="lt-LT"/>
              </w:rPr>
              <w:t>AUC: ↑ 153%</w:t>
            </w:r>
          </w:p>
          <w:p w14:paraId="3476F43B"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55%</w:t>
            </w:r>
          </w:p>
          <w:p w14:paraId="5284478F" w14:textId="77777777" w:rsidR="007D59EF" w:rsidRPr="001C7577" w:rsidRDefault="007D59EF" w:rsidP="007D59EF">
            <w:pPr>
              <w:spacing w:line="240" w:lineRule="auto"/>
              <w:rPr>
                <w:lang w:val="lt-LT"/>
              </w:rPr>
            </w:pPr>
            <w:r w:rsidRPr="001C7577">
              <w:rPr>
                <w:lang w:val="lt-LT"/>
              </w:rPr>
              <w:t>Kadangi lopinaviras/ritonaviras</w:t>
            </w:r>
          </w:p>
          <w:p w14:paraId="37BA27C5" w14:textId="77777777" w:rsidR="007D59EF" w:rsidRPr="001C7577" w:rsidRDefault="007D59EF" w:rsidP="007D59EF">
            <w:pPr>
              <w:spacing w:line="240" w:lineRule="auto"/>
              <w:rPr>
                <w:lang w:val="lt-LT"/>
              </w:rPr>
            </w:pPr>
            <w:r w:rsidRPr="001C7577">
              <w:rPr>
                <w:lang w:val="lt-LT"/>
              </w:rPr>
              <w:t>slopina CYP3A ir P-gp.</w:t>
            </w:r>
          </w:p>
          <w:p w14:paraId="7B947CD7" w14:textId="77777777" w:rsidR="007D59EF" w:rsidRPr="001C7577" w:rsidRDefault="007D59EF" w:rsidP="007D59EF">
            <w:pPr>
              <w:spacing w:line="240" w:lineRule="auto"/>
              <w:rPr>
                <w:lang w:val="lt-LT"/>
              </w:rPr>
            </w:pPr>
          </w:p>
        </w:tc>
        <w:tc>
          <w:tcPr>
            <w:tcW w:w="3096" w:type="dxa"/>
            <w:shd w:val="clear" w:color="auto" w:fill="auto"/>
          </w:tcPr>
          <w:p w14:paraId="0A8640DD" w14:textId="77777777" w:rsidR="007D59EF" w:rsidRPr="001C7577" w:rsidRDefault="007D59EF" w:rsidP="007D59EF">
            <w:pPr>
              <w:spacing w:line="240" w:lineRule="auto"/>
              <w:rPr>
                <w:lang w:val="lt-LT"/>
              </w:rPr>
            </w:pPr>
            <w:r w:rsidRPr="001C7577">
              <w:rPr>
                <w:lang w:val="lt-LT"/>
              </w:rPr>
              <w:t>Kartu vartojant rivaroksabaną ir</w:t>
            </w:r>
          </w:p>
          <w:p w14:paraId="5B732265" w14:textId="77777777" w:rsidR="007D59EF" w:rsidRPr="001C7577" w:rsidRDefault="007D59EF" w:rsidP="007D59EF">
            <w:pPr>
              <w:spacing w:line="240" w:lineRule="auto"/>
              <w:rPr>
                <w:lang w:val="lt-LT"/>
              </w:rPr>
            </w:pPr>
            <w:r w:rsidRPr="001C7577">
              <w:rPr>
                <w:lang w:val="lt-LT"/>
              </w:rPr>
              <w:t>Lopinavirą/ritonavirą gali padidėti rivaroksabano poveikis, kuris gali</w:t>
            </w:r>
          </w:p>
          <w:p w14:paraId="6AFB5ACD" w14:textId="77777777" w:rsidR="007D59EF" w:rsidRPr="001C7577" w:rsidRDefault="007D59EF" w:rsidP="007D59EF">
            <w:pPr>
              <w:spacing w:line="240" w:lineRule="auto"/>
              <w:rPr>
                <w:lang w:val="lt-LT"/>
              </w:rPr>
            </w:pPr>
            <w:r w:rsidRPr="001C7577">
              <w:rPr>
                <w:lang w:val="lt-LT"/>
              </w:rPr>
              <w:t>padidinti kraujavimo riziką. Rivaroksabano vartojimas nerekomenduojamas pacientams,</w:t>
            </w:r>
          </w:p>
          <w:p w14:paraId="47D749B5" w14:textId="77777777" w:rsidR="007D59EF" w:rsidRPr="001C7577" w:rsidRDefault="007D59EF" w:rsidP="007D59EF">
            <w:pPr>
              <w:spacing w:line="240" w:lineRule="auto"/>
              <w:rPr>
                <w:lang w:val="lt-LT"/>
              </w:rPr>
            </w:pPr>
            <w:r w:rsidRPr="001C7577">
              <w:rPr>
                <w:lang w:val="lt-LT"/>
              </w:rPr>
              <w:lastRenderedPageBreak/>
              <w:t>gydomiems lopinaviru/ritonaviru (žr. 4.4 skyrių).</w:t>
            </w:r>
          </w:p>
        </w:tc>
      </w:tr>
      <w:tr w:rsidR="007D59EF" w:rsidRPr="00705EEC" w14:paraId="546D09A7" w14:textId="77777777" w:rsidTr="001C7577">
        <w:tc>
          <w:tcPr>
            <w:tcW w:w="9286" w:type="dxa"/>
            <w:gridSpan w:val="4"/>
            <w:shd w:val="clear" w:color="auto" w:fill="auto"/>
          </w:tcPr>
          <w:p w14:paraId="36C8E7B0" w14:textId="77777777" w:rsidR="007D59EF" w:rsidRPr="001C7577" w:rsidRDefault="007D59EF" w:rsidP="007D59EF">
            <w:pPr>
              <w:spacing w:line="240" w:lineRule="auto"/>
              <w:rPr>
                <w:lang w:val="lt-LT"/>
              </w:rPr>
            </w:pPr>
            <w:r w:rsidRPr="001C7577">
              <w:rPr>
                <w:rFonts w:eastAsia="Calibri"/>
                <w:i/>
                <w:iCs/>
                <w:snapToGrid/>
                <w:szCs w:val="22"/>
                <w:lang w:val="lt-LT"/>
              </w:rPr>
              <w:lastRenderedPageBreak/>
              <w:t>Prieštraukuliniai</w:t>
            </w:r>
          </w:p>
        </w:tc>
      </w:tr>
      <w:tr w:rsidR="007D59EF" w:rsidRPr="00705EEC" w14:paraId="626EC6A1" w14:textId="77777777" w:rsidTr="001C7577">
        <w:tc>
          <w:tcPr>
            <w:tcW w:w="3143" w:type="dxa"/>
            <w:gridSpan w:val="2"/>
            <w:shd w:val="clear" w:color="auto" w:fill="auto"/>
          </w:tcPr>
          <w:p w14:paraId="761826C7" w14:textId="77777777" w:rsidR="007D59EF" w:rsidRPr="001C7577" w:rsidRDefault="007D59EF" w:rsidP="007D59EF">
            <w:pPr>
              <w:spacing w:line="240" w:lineRule="auto"/>
              <w:rPr>
                <w:lang w:val="lt-LT"/>
              </w:rPr>
            </w:pPr>
            <w:r w:rsidRPr="001C7577">
              <w:rPr>
                <w:lang w:val="lt-LT"/>
              </w:rPr>
              <w:t xml:space="preserve">Fenitoinas </w:t>
            </w:r>
          </w:p>
          <w:p w14:paraId="17949BB4" w14:textId="77777777" w:rsidR="007D59EF" w:rsidRPr="001C7577" w:rsidRDefault="007D59EF" w:rsidP="007D59EF">
            <w:pPr>
              <w:spacing w:line="240" w:lineRule="auto"/>
              <w:rPr>
                <w:lang w:val="lt-LT"/>
              </w:rPr>
            </w:pPr>
          </w:p>
        </w:tc>
        <w:tc>
          <w:tcPr>
            <w:tcW w:w="3047" w:type="dxa"/>
            <w:shd w:val="clear" w:color="auto" w:fill="auto"/>
          </w:tcPr>
          <w:p w14:paraId="3B260229" w14:textId="77777777" w:rsidR="007D59EF" w:rsidRPr="001C7577" w:rsidRDefault="007D59EF" w:rsidP="007D59EF">
            <w:pPr>
              <w:spacing w:line="240" w:lineRule="auto"/>
              <w:rPr>
                <w:lang w:val="lt-LT"/>
              </w:rPr>
            </w:pPr>
            <w:r w:rsidRPr="001C7577">
              <w:rPr>
                <w:lang w:val="lt-LT"/>
              </w:rPr>
              <w:t>Fenitoinas:</w:t>
            </w:r>
          </w:p>
          <w:p w14:paraId="3C2DBA75" w14:textId="77777777" w:rsidR="007D59EF" w:rsidRPr="001C7577" w:rsidRDefault="007D59EF" w:rsidP="007D59EF">
            <w:pPr>
              <w:spacing w:line="240" w:lineRule="auto"/>
              <w:rPr>
                <w:lang w:val="lt-LT"/>
              </w:rPr>
            </w:pPr>
            <w:r w:rsidRPr="001C7577">
              <w:rPr>
                <w:lang w:val="lt-LT"/>
              </w:rPr>
              <w:t>Nusistovėjusios koncentracijos</w:t>
            </w:r>
          </w:p>
          <w:p w14:paraId="4156F2FF" w14:textId="77777777" w:rsidR="007D59EF" w:rsidRPr="001C7577" w:rsidRDefault="007D59EF" w:rsidP="007D59EF">
            <w:pPr>
              <w:spacing w:line="240" w:lineRule="auto"/>
              <w:rPr>
                <w:lang w:val="lt-LT"/>
              </w:rPr>
            </w:pPr>
            <w:r w:rsidRPr="001C7577">
              <w:rPr>
                <w:lang w:val="lt-LT"/>
              </w:rPr>
              <w:t>vidutiniškai sumažėjo, nes lopinaviras/ritonaviras indukuoja CYP2C9 ir CYP2C19.</w:t>
            </w:r>
          </w:p>
          <w:p w14:paraId="3FB4E7F8" w14:textId="77777777" w:rsidR="007D59EF" w:rsidRPr="001C7577" w:rsidRDefault="007D59EF" w:rsidP="007D59EF">
            <w:pPr>
              <w:spacing w:line="240" w:lineRule="auto"/>
              <w:rPr>
                <w:lang w:val="lt-LT"/>
              </w:rPr>
            </w:pPr>
          </w:p>
          <w:p w14:paraId="1A33EBF0" w14:textId="77777777" w:rsidR="007D59EF" w:rsidRPr="001C7577" w:rsidRDefault="007D59EF" w:rsidP="007D59EF">
            <w:pPr>
              <w:spacing w:line="240" w:lineRule="auto"/>
              <w:rPr>
                <w:lang w:val="lt-LT"/>
              </w:rPr>
            </w:pPr>
            <w:r w:rsidRPr="001C7577">
              <w:rPr>
                <w:lang w:val="lt-LT"/>
              </w:rPr>
              <w:t>Lopinaviras:</w:t>
            </w:r>
          </w:p>
          <w:p w14:paraId="54EF1DAB" w14:textId="77777777" w:rsidR="007D59EF" w:rsidRPr="001C7577" w:rsidRDefault="007D59EF" w:rsidP="007D59EF">
            <w:pPr>
              <w:spacing w:line="240" w:lineRule="auto"/>
              <w:rPr>
                <w:lang w:val="lt-LT"/>
              </w:rPr>
            </w:pPr>
            <w:r w:rsidRPr="001C7577">
              <w:rPr>
                <w:lang w:val="lt-LT"/>
              </w:rPr>
              <w:t>Koncentracijos sumažėja, nes</w:t>
            </w:r>
          </w:p>
          <w:p w14:paraId="74520DE6" w14:textId="77777777" w:rsidR="007D59EF" w:rsidRPr="001C7577" w:rsidRDefault="007D59EF" w:rsidP="007D59EF">
            <w:pPr>
              <w:spacing w:line="240" w:lineRule="auto"/>
              <w:rPr>
                <w:lang w:val="lt-LT"/>
              </w:rPr>
            </w:pPr>
            <w:r w:rsidRPr="001C7577">
              <w:rPr>
                <w:lang w:val="lt-LT"/>
              </w:rPr>
              <w:t>CYP3A indukuojama fenitoino.</w:t>
            </w:r>
          </w:p>
          <w:p w14:paraId="0AEC1629" w14:textId="77777777" w:rsidR="007D59EF" w:rsidRPr="001C7577" w:rsidRDefault="007D59EF" w:rsidP="007D59EF">
            <w:pPr>
              <w:spacing w:line="240" w:lineRule="auto"/>
              <w:rPr>
                <w:lang w:val="lt-LT"/>
              </w:rPr>
            </w:pPr>
          </w:p>
        </w:tc>
        <w:tc>
          <w:tcPr>
            <w:tcW w:w="3096" w:type="dxa"/>
            <w:shd w:val="clear" w:color="auto" w:fill="auto"/>
          </w:tcPr>
          <w:p w14:paraId="1E1AE210" w14:textId="77777777" w:rsidR="007D59EF" w:rsidRPr="001C7577" w:rsidRDefault="007D59EF" w:rsidP="007D59EF">
            <w:pPr>
              <w:spacing w:line="240" w:lineRule="auto"/>
              <w:rPr>
                <w:lang w:val="lt-LT"/>
              </w:rPr>
            </w:pPr>
            <w:r w:rsidRPr="001C7577">
              <w:rPr>
                <w:lang w:val="lt-LT"/>
              </w:rPr>
              <w:t>Skirti lopinavirą/ritonavirą su fenitoinu reikia labai atsargiai.</w:t>
            </w:r>
          </w:p>
          <w:p w14:paraId="085F3803" w14:textId="77777777" w:rsidR="007D59EF" w:rsidRPr="001C7577" w:rsidRDefault="007D59EF" w:rsidP="007D59EF">
            <w:pPr>
              <w:spacing w:line="240" w:lineRule="auto"/>
              <w:rPr>
                <w:lang w:val="lt-LT"/>
              </w:rPr>
            </w:pPr>
            <w:r w:rsidRPr="001C7577">
              <w:rPr>
                <w:lang w:val="lt-LT"/>
              </w:rPr>
              <w:t>Reikia stebėti fenitoino kiekį, kai</w:t>
            </w:r>
          </w:p>
          <w:p w14:paraId="47F48768" w14:textId="77777777" w:rsidR="007D59EF" w:rsidRPr="001C7577" w:rsidRDefault="007D59EF" w:rsidP="007D59EF">
            <w:pPr>
              <w:spacing w:line="240" w:lineRule="auto"/>
              <w:rPr>
                <w:lang w:val="lt-LT"/>
              </w:rPr>
            </w:pPr>
            <w:r w:rsidRPr="001C7577">
              <w:rPr>
                <w:lang w:val="lt-LT"/>
              </w:rPr>
              <w:t>jis skiriamas kartu su lopinaviru/ritonaviru.</w:t>
            </w:r>
          </w:p>
          <w:p w14:paraId="0AFB8317" w14:textId="77777777" w:rsidR="007D59EF" w:rsidRPr="001C7577" w:rsidRDefault="007D59EF" w:rsidP="007D59EF">
            <w:pPr>
              <w:spacing w:line="240" w:lineRule="auto"/>
              <w:rPr>
                <w:lang w:val="lt-LT"/>
              </w:rPr>
            </w:pPr>
            <w:r w:rsidRPr="001C7577">
              <w:rPr>
                <w:lang w:val="lt-LT"/>
              </w:rPr>
              <w:t>Kartu su fenitoinu skiriant lopinaviro/ritonaviro reikia numatyti galimą lopinaviro/ritonaviro</w:t>
            </w:r>
          </w:p>
          <w:p w14:paraId="6DE0C8D1" w14:textId="77777777" w:rsidR="007D59EF" w:rsidRPr="001C7577" w:rsidRDefault="007D59EF" w:rsidP="007D59EF">
            <w:pPr>
              <w:spacing w:line="240" w:lineRule="auto"/>
              <w:rPr>
                <w:lang w:val="lt-LT"/>
              </w:rPr>
            </w:pPr>
            <w:r w:rsidRPr="001C7577">
              <w:rPr>
                <w:lang w:val="lt-LT"/>
              </w:rPr>
              <w:t>dozės padidinimą. Klinikinėje</w:t>
            </w:r>
          </w:p>
          <w:p w14:paraId="6384F45B" w14:textId="77777777" w:rsidR="007D59EF" w:rsidRPr="001C7577" w:rsidRDefault="007D59EF" w:rsidP="007D59EF">
            <w:pPr>
              <w:spacing w:line="240" w:lineRule="auto"/>
              <w:rPr>
                <w:lang w:val="lt-LT"/>
              </w:rPr>
            </w:pPr>
            <w:r w:rsidRPr="001C7577">
              <w:rPr>
                <w:lang w:val="lt-LT"/>
              </w:rPr>
              <w:t>praktikoje dozės koregavimas</w:t>
            </w:r>
          </w:p>
          <w:p w14:paraId="7E9F3F9D" w14:textId="77777777" w:rsidR="007D59EF" w:rsidRPr="001C7577" w:rsidRDefault="007D59EF" w:rsidP="007D59EF">
            <w:pPr>
              <w:spacing w:line="240" w:lineRule="auto"/>
              <w:rPr>
                <w:lang w:val="lt-LT"/>
              </w:rPr>
            </w:pPr>
            <w:r w:rsidRPr="001C7577">
              <w:rPr>
                <w:lang w:val="lt-LT"/>
              </w:rPr>
              <w:t>nenustatytas.</w:t>
            </w:r>
          </w:p>
          <w:p w14:paraId="3E587434" w14:textId="77777777" w:rsidR="007D59EF" w:rsidRPr="001C7577" w:rsidRDefault="007D59EF" w:rsidP="007D59EF">
            <w:pPr>
              <w:spacing w:line="240" w:lineRule="auto"/>
              <w:rPr>
                <w:lang w:val="lt-LT"/>
              </w:rPr>
            </w:pPr>
            <w:r w:rsidRPr="001C7577">
              <w:rPr>
                <w:lang w:val="lt-LT"/>
              </w:rPr>
              <w:t>Lopinaviro/ritonaviro tablečių negalima vartoti vieną kartą per parą, kai vaisto skirama kartu su fenitoinu.</w:t>
            </w:r>
          </w:p>
        </w:tc>
      </w:tr>
      <w:tr w:rsidR="007D59EF" w:rsidRPr="0088318A" w14:paraId="071B12C6" w14:textId="77777777" w:rsidTr="001C7577">
        <w:tc>
          <w:tcPr>
            <w:tcW w:w="3143" w:type="dxa"/>
            <w:gridSpan w:val="2"/>
            <w:shd w:val="clear" w:color="auto" w:fill="auto"/>
          </w:tcPr>
          <w:p w14:paraId="4EC7033A" w14:textId="77777777" w:rsidR="007D59EF" w:rsidRPr="001C7577" w:rsidRDefault="007D59EF" w:rsidP="007D59EF">
            <w:pPr>
              <w:spacing w:line="240" w:lineRule="auto"/>
              <w:rPr>
                <w:lang w:val="lt-LT"/>
              </w:rPr>
            </w:pPr>
            <w:r w:rsidRPr="001C7577">
              <w:rPr>
                <w:lang w:val="lt-LT"/>
              </w:rPr>
              <w:t>Karbamazepinas ir</w:t>
            </w:r>
          </w:p>
          <w:p w14:paraId="43D3A1C2" w14:textId="77777777" w:rsidR="007D59EF" w:rsidRPr="001C7577" w:rsidRDefault="007D59EF" w:rsidP="007D59EF">
            <w:pPr>
              <w:spacing w:line="240" w:lineRule="auto"/>
              <w:rPr>
                <w:lang w:val="lt-LT"/>
              </w:rPr>
            </w:pPr>
            <w:r w:rsidRPr="001C7577">
              <w:rPr>
                <w:lang w:val="lt-LT"/>
              </w:rPr>
              <w:t>fenobarbitalis</w:t>
            </w:r>
          </w:p>
          <w:p w14:paraId="28F17994" w14:textId="77777777" w:rsidR="007D59EF" w:rsidRPr="001C7577" w:rsidRDefault="007D59EF" w:rsidP="007D59EF">
            <w:pPr>
              <w:spacing w:line="240" w:lineRule="auto"/>
              <w:rPr>
                <w:lang w:val="lt-LT"/>
              </w:rPr>
            </w:pPr>
          </w:p>
        </w:tc>
        <w:tc>
          <w:tcPr>
            <w:tcW w:w="3047" w:type="dxa"/>
            <w:shd w:val="clear" w:color="auto" w:fill="auto"/>
          </w:tcPr>
          <w:p w14:paraId="52D1DE08" w14:textId="77777777" w:rsidR="007D59EF" w:rsidRPr="001C7577" w:rsidRDefault="007D59EF" w:rsidP="007D59EF">
            <w:pPr>
              <w:spacing w:line="240" w:lineRule="auto"/>
              <w:rPr>
                <w:lang w:val="lt-LT"/>
              </w:rPr>
            </w:pPr>
            <w:r w:rsidRPr="001C7577">
              <w:rPr>
                <w:lang w:val="lt-LT"/>
              </w:rPr>
              <w:t>Karbamazepinas:</w:t>
            </w:r>
          </w:p>
          <w:p w14:paraId="583FCCBF" w14:textId="77777777" w:rsidR="007D59EF" w:rsidRPr="001C7577" w:rsidRDefault="007D59EF" w:rsidP="007D59EF">
            <w:pPr>
              <w:spacing w:line="240" w:lineRule="auto"/>
              <w:rPr>
                <w:lang w:val="lt-LT"/>
              </w:rPr>
            </w:pPr>
            <w:r w:rsidRPr="001C7577">
              <w:rPr>
                <w:lang w:val="lt-LT"/>
              </w:rPr>
              <w:t>Koncentracija pazmoje gali</w:t>
            </w:r>
          </w:p>
          <w:p w14:paraId="229E8E2F" w14:textId="77777777" w:rsidR="007D59EF" w:rsidRPr="001C7577" w:rsidRDefault="007D59EF" w:rsidP="007D59EF">
            <w:pPr>
              <w:spacing w:line="240" w:lineRule="auto"/>
              <w:rPr>
                <w:lang w:val="lt-LT"/>
              </w:rPr>
            </w:pPr>
            <w:r w:rsidRPr="001C7577">
              <w:rPr>
                <w:lang w:val="lt-LT"/>
              </w:rPr>
              <w:t>padidėti, nes lopinaviras/ritonaviras inhibuoja</w:t>
            </w:r>
          </w:p>
          <w:p w14:paraId="37C16FE6" w14:textId="77777777" w:rsidR="007D59EF" w:rsidRPr="001C7577" w:rsidRDefault="007D59EF" w:rsidP="007D59EF">
            <w:pPr>
              <w:spacing w:line="240" w:lineRule="auto"/>
              <w:rPr>
                <w:lang w:val="lt-LT"/>
              </w:rPr>
            </w:pPr>
            <w:r w:rsidRPr="001C7577">
              <w:rPr>
                <w:lang w:val="lt-LT"/>
              </w:rPr>
              <w:t>CYP3A.</w:t>
            </w:r>
          </w:p>
          <w:p w14:paraId="12EEA7B2" w14:textId="77777777" w:rsidR="007D59EF" w:rsidRPr="001C7577" w:rsidRDefault="007D59EF" w:rsidP="007D59EF">
            <w:pPr>
              <w:spacing w:line="240" w:lineRule="auto"/>
              <w:rPr>
                <w:lang w:val="lt-LT"/>
              </w:rPr>
            </w:pPr>
          </w:p>
          <w:p w14:paraId="68A402AC" w14:textId="77777777" w:rsidR="007D59EF" w:rsidRPr="001C7577" w:rsidRDefault="007D59EF" w:rsidP="007D59EF">
            <w:pPr>
              <w:spacing w:line="240" w:lineRule="auto"/>
              <w:rPr>
                <w:lang w:val="lt-LT"/>
              </w:rPr>
            </w:pPr>
            <w:r w:rsidRPr="001C7577">
              <w:rPr>
                <w:lang w:val="lt-LT"/>
              </w:rPr>
              <w:t>Lopinaviras:</w:t>
            </w:r>
          </w:p>
          <w:p w14:paraId="7707645C" w14:textId="77777777" w:rsidR="007D59EF" w:rsidRPr="001C7577" w:rsidRDefault="007D59EF" w:rsidP="007D59EF">
            <w:pPr>
              <w:spacing w:line="240" w:lineRule="auto"/>
              <w:rPr>
                <w:lang w:val="lt-LT"/>
              </w:rPr>
            </w:pPr>
            <w:r w:rsidRPr="001C7577">
              <w:rPr>
                <w:lang w:val="lt-LT"/>
              </w:rPr>
              <w:t>Koncentracijos gali sumažėti, nes</w:t>
            </w:r>
          </w:p>
          <w:p w14:paraId="71A2227E" w14:textId="77777777" w:rsidR="007D59EF" w:rsidRPr="001C7577" w:rsidRDefault="007D59EF" w:rsidP="007D59EF">
            <w:pPr>
              <w:spacing w:line="240" w:lineRule="auto"/>
              <w:rPr>
                <w:lang w:val="lt-LT"/>
              </w:rPr>
            </w:pPr>
            <w:r w:rsidRPr="001C7577">
              <w:rPr>
                <w:lang w:val="lt-LT"/>
              </w:rPr>
              <w:t>CYP3A indukuojama</w:t>
            </w:r>
          </w:p>
          <w:p w14:paraId="74122C63" w14:textId="77777777" w:rsidR="007D59EF" w:rsidRPr="001C7577" w:rsidRDefault="007D59EF" w:rsidP="007D59EF">
            <w:pPr>
              <w:spacing w:line="240" w:lineRule="auto"/>
              <w:rPr>
                <w:lang w:val="lt-LT"/>
              </w:rPr>
            </w:pPr>
            <w:r w:rsidRPr="001C7577">
              <w:rPr>
                <w:lang w:val="lt-LT"/>
              </w:rPr>
              <w:t>karbamazepino ir fenobarbitalio.</w:t>
            </w:r>
          </w:p>
          <w:p w14:paraId="783DD277" w14:textId="77777777" w:rsidR="007D59EF" w:rsidRPr="001C7577" w:rsidRDefault="007D59EF" w:rsidP="007D59EF">
            <w:pPr>
              <w:spacing w:line="240" w:lineRule="auto"/>
              <w:rPr>
                <w:lang w:val="lt-LT"/>
              </w:rPr>
            </w:pPr>
          </w:p>
        </w:tc>
        <w:tc>
          <w:tcPr>
            <w:tcW w:w="3096" w:type="dxa"/>
            <w:shd w:val="clear" w:color="auto" w:fill="auto"/>
          </w:tcPr>
          <w:p w14:paraId="76C00CD9" w14:textId="77777777" w:rsidR="007D59EF" w:rsidRPr="001C7577" w:rsidRDefault="007D59EF" w:rsidP="007D59EF">
            <w:pPr>
              <w:spacing w:line="240" w:lineRule="auto"/>
              <w:rPr>
                <w:lang w:val="lt-LT"/>
              </w:rPr>
            </w:pPr>
            <w:r w:rsidRPr="001C7577">
              <w:rPr>
                <w:lang w:val="lt-LT"/>
              </w:rPr>
              <w:t>Reikia atsargiai skirti lopinaviro/ritonaviro</w:t>
            </w:r>
          </w:p>
          <w:p w14:paraId="40B9D725" w14:textId="77777777" w:rsidR="007D59EF" w:rsidRPr="001C7577" w:rsidRDefault="007D59EF" w:rsidP="007D59EF">
            <w:pPr>
              <w:spacing w:line="240" w:lineRule="auto"/>
              <w:rPr>
                <w:lang w:val="lt-LT"/>
              </w:rPr>
            </w:pPr>
            <w:r w:rsidRPr="001C7577">
              <w:rPr>
                <w:lang w:val="lt-LT"/>
              </w:rPr>
              <w:t>kartu su karbamazepinu ir fenobarbitaliu.</w:t>
            </w:r>
          </w:p>
          <w:p w14:paraId="347F7917" w14:textId="77777777" w:rsidR="007D59EF" w:rsidRPr="001C7577" w:rsidRDefault="007D59EF" w:rsidP="007D59EF">
            <w:pPr>
              <w:spacing w:line="240" w:lineRule="auto"/>
              <w:rPr>
                <w:lang w:val="lt-LT"/>
              </w:rPr>
            </w:pPr>
            <w:r w:rsidRPr="001C7577">
              <w:rPr>
                <w:lang w:val="lt-LT"/>
              </w:rPr>
              <w:t>Skiriant karbamazepiną ir</w:t>
            </w:r>
          </w:p>
          <w:p w14:paraId="1955283F" w14:textId="77777777" w:rsidR="007D59EF" w:rsidRPr="001C7577" w:rsidRDefault="007D59EF" w:rsidP="007D59EF">
            <w:pPr>
              <w:spacing w:line="240" w:lineRule="auto"/>
              <w:rPr>
                <w:lang w:val="lt-LT"/>
              </w:rPr>
            </w:pPr>
            <w:r w:rsidRPr="001C7577">
              <w:rPr>
                <w:lang w:val="lt-LT"/>
              </w:rPr>
              <w:t>fenobarbitalį su lopinaviru ir</w:t>
            </w:r>
          </w:p>
          <w:p w14:paraId="72F5B7E6" w14:textId="77777777" w:rsidR="007D59EF" w:rsidRPr="001C7577" w:rsidRDefault="007D59EF" w:rsidP="007D59EF">
            <w:pPr>
              <w:spacing w:line="240" w:lineRule="auto"/>
              <w:rPr>
                <w:lang w:val="lt-LT"/>
              </w:rPr>
            </w:pPr>
            <w:r w:rsidRPr="001C7577">
              <w:rPr>
                <w:lang w:val="lt-LT"/>
              </w:rPr>
              <w:t>ritonaviru, reikia stebėti</w:t>
            </w:r>
          </w:p>
          <w:p w14:paraId="579CE98A" w14:textId="77777777" w:rsidR="007D59EF" w:rsidRPr="001C7577" w:rsidRDefault="007D59EF" w:rsidP="007D59EF">
            <w:pPr>
              <w:spacing w:line="240" w:lineRule="auto"/>
              <w:rPr>
                <w:lang w:val="lt-LT"/>
              </w:rPr>
            </w:pPr>
            <w:r w:rsidRPr="001C7577">
              <w:rPr>
                <w:lang w:val="lt-LT"/>
              </w:rPr>
              <w:t>karbamazepino ir fenobarbitalio</w:t>
            </w:r>
          </w:p>
          <w:p w14:paraId="39B83E0E" w14:textId="77777777" w:rsidR="007D59EF" w:rsidRPr="001C7577" w:rsidRDefault="007D59EF" w:rsidP="007D59EF">
            <w:pPr>
              <w:spacing w:line="240" w:lineRule="auto"/>
              <w:rPr>
                <w:lang w:val="lt-LT"/>
              </w:rPr>
            </w:pPr>
            <w:r w:rsidRPr="001C7577">
              <w:rPr>
                <w:lang w:val="lt-LT"/>
              </w:rPr>
              <w:t>lygį.</w:t>
            </w:r>
          </w:p>
          <w:p w14:paraId="6C3180A4" w14:textId="77777777" w:rsidR="007D59EF" w:rsidRPr="001C7577" w:rsidRDefault="007D59EF" w:rsidP="007D59EF">
            <w:pPr>
              <w:spacing w:line="240" w:lineRule="auto"/>
              <w:rPr>
                <w:lang w:val="lt-LT"/>
              </w:rPr>
            </w:pPr>
            <w:r w:rsidRPr="001C7577">
              <w:rPr>
                <w:lang w:val="lt-LT"/>
              </w:rPr>
              <w:t>Kartu su karbamazepinu ar</w:t>
            </w:r>
          </w:p>
          <w:p w14:paraId="42210073" w14:textId="77777777" w:rsidR="007D59EF" w:rsidRPr="001C7577" w:rsidRDefault="007D59EF" w:rsidP="007D59EF">
            <w:pPr>
              <w:spacing w:line="240" w:lineRule="auto"/>
              <w:rPr>
                <w:lang w:val="lt-LT"/>
              </w:rPr>
            </w:pPr>
            <w:r w:rsidRPr="001C7577">
              <w:rPr>
                <w:lang w:val="lt-LT"/>
              </w:rPr>
              <w:t>fenobarbitaliu skiriant lopinaviro/ritonaviro reikia numatyti, kad gali prireikti didinti lopinaviro/ritonaviro dozę. Klinikinėje praktikoje dozes koregavimas nenustatytas. Lopinaviro/ritonaviro tablečių negalima vartoti vieną kartą per parą, kai vaisto skirama kartu su karbamazepinu ir fenobarbitaliu.</w:t>
            </w:r>
          </w:p>
        </w:tc>
      </w:tr>
      <w:tr w:rsidR="007D59EF" w:rsidRPr="00705EEC" w14:paraId="3AAF0873" w14:textId="77777777" w:rsidTr="001C7577">
        <w:tc>
          <w:tcPr>
            <w:tcW w:w="3143" w:type="dxa"/>
            <w:gridSpan w:val="2"/>
            <w:shd w:val="clear" w:color="auto" w:fill="auto"/>
          </w:tcPr>
          <w:p w14:paraId="34ABE4FC" w14:textId="77777777" w:rsidR="007D59EF" w:rsidRPr="001C7577" w:rsidRDefault="007D59EF" w:rsidP="007D59EF">
            <w:pPr>
              <w:spacing w:line="240" w:lineRule="auto"/>
              <w:rPr>
                <w:lang w:val="lt-LT"/>
              </w:rPr>
            </w:pPr>
            <w:r w:rsidRPr="001C7577">
              <w:rPr>
                <w:lang w:val="lt-LT"/>
              </w:rPr>
              <w:t>Lamotriginas ir Valproatas</w:t>
            </w:r>
          </w:p>
          <w:p w14:paraId="417C7415" w14:textId="77777777" w:rsidR="007D59EF" w:rsidRPr="001C7577" w:rsidRDefault="007D59EF" w:rsidP="007D59EF">
            <w:pPr>
              <w:spacing w:line="240" w:lineRule="auto"/>
              <w:rPr>
                <w:lang w:val="lt-LT"/>
              </w:rPr>
            </w:pPr>
          </w:p>
        </w:tc>
        <w:tc>
          <w:tcPr>
            <w:tcW w:w="3047" w:type="dxa"/>
            <w:shd w:val="clear" w:color="auto" w:fill="auto"/>
          </w:tcPr>
          <w:p w14:paraId="5E7E2FFB" w14:textId="77777777" w:rsidR="007D59EF" w:rsidRPr="001C7577" w:rsidRDefault="007D59EF" w:rsidP="007D59EF">
            <w:pPr>
              <w:spacing w:line="240" w:lineRule="auto"/>
              <w:rPr>
                <w:lang w:val="lt-LT"/>
              </w:rPr>
            </w:pPr>
            <w:r w:rsidRPr="001C7577">
              <w:rPr>
                <w:lang w:val="lt-LT"/>
              </w:rPr>
              <w:t>Lamotriginas:</w:t>
            </w:r>
          </w:p>
          <w:p w14:paraId="2A038EAB" w14:textId="77777777" w:rsidR="007D59EF" w:rsidRPr="001C7577" w:rsidRDefault="007D59EF" w:rsidP="007D59EF">
            <w:pPr>
              <w:spacing w:line="240" w:lineRule="auto"/>
              <w:rPr>
                <w:lang w:val="lt-LT"/>
              </w:rPr>
            </w:pPr>
            <w:r w:rsidRPr="001C7577">
              <w:rPr>
                <w:lang w:val="lt-LT"/>
              </w:rPr>
              <w:t>AUC: ↓ 50%</w:t>
            </w:r>
          </w:p>
          <w:p w14:paraId="658511D5"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46%</w:t>
            </w:r>
          </w:p>
          <w:p w14:paraId="3D09FECE"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56%</w:t>
            </w:r>
          </w:p>
          <w:p w14:paraId="43810A4A" w14:textId="77777777" w:rsidR="007D59EF" w:rsidRPr="001C7577" w:rsidRDefault="007D59EF" w:rsidP="007D59EF">
            <w:pPr>
              <w:spacing w:line="240" w:lineRule="auto"/>
              <w:rPr>
                <w:lang w:val="lt-LT"/>
              </w:rPr>
            </w:pPr>
          </w:p>
          <w:p w14:paraId="48749079" w14:textId="77777777" w:rsidR="007D59EF" w:rsidRPr="001C7577" w:rsidRDefault="007D59EF" w:rsidP="007D59EF">
            <w:pPr>
              <w:spacing w:line="240" w:lineRule="auto"/>
              <w:rPr>
                <w:lang w:val="lt-LT"/>
              </w:rPr>
            </w:pPr>
            <w:r w:rsidRPr="001C7577">
              <w:rPr>
                <w:lang w:val="lt-LT"/>
              </w:rPr>
              <w:t>Dėl lamotrigino gliukuronizacijos</w:t>
            </w:r>
          </w:p>
          <w:p w14:paraId="3AD758C2" w14:textId="77777777" w:rsidR="007D59EF" w:rsidRPr="001C7577" w:rsidRDefault="007D59EF" w:rsidP="007D59EF">
            <w:pPr>
              <w:spacing w:line="240" w:lineRule="auto"/>
              <w:rPr>
                <w:lang w:val="lt-LT"/>
              </w:rPr>
            </w:pPr>
            <w:r w:rsidRPr="001C7577">
              <w:rPr>
                <w:lang w:val="lt-LT"/>
              </w:rPr>
              <w:t>indukcijos.</w:t>
            </w:r>
          </w:p>
          <w:p w14:paraId="7274EC68" w14:textId="77777777" w:rsidR="007D59EF" w:rsidRPr="001C7577" w:rsidRDefault="007D59EF" w:rsidP="007D59EF">
            <w:pPr>
              <w:spacing w:line="240" w:lineRule="auto"/>
              <w:rPr>
                <w:lang w:val="lt-LT"/>
              </w:rPr>
            </w:pPr>
          </w:p>
          <w:p w14:paraId="0A9E3B22" w14:textId="77777777" w:rsidR="007D59EF" w:rsidRPr="001C7577" w:rsidRDefault="007D59EF" w:rsidP="007D59EF">
            <w:pPr>
              <w:spacing w:line="240" w:lineRule="auto"/>
              <w:rPr>
                <w:lang w:val="lt-LT"/>
              </w:rPr>
            </w:pPr>
            <w:r w:rsidRPr="001C7577">
              <w:rPr>
                <w:rFonts w:eastAsia="Calibri"/>
                <w:snapToGrid/>
                <w:szCs w:val="22"/>
                <w:lang w:val="lt-LT"/>
              </w:rPr>
              <w:t>Valproatas:</w:t>
            </w:r>
            <w:r w:rsidRPr="001C7577">
              <w:rPr>
                <w:rFonts w:ascii="TimesNewRomanPSMT" w:eastAsia="TimesNewRomanPSMT" w:cs="TimesNewRomanPSMT" w:hint="eastAsia"/>
                <w:snapToGrid/>
                <w:szCs w:val="22"/>
                <w:lang w:val="lt-LT"/>
              </w:rPr>
              <w:t>↓</w:t>
            </w:r>
          </w:p>
        </w:tc>
        <w:tc>
          <w:tcPr>
            <w:tcW w:w="3096" w:type="dxa"/>
            <w:shd w:val="clear" w:color="auto" w:fill="auto"/>
          </w:tcPr>
          <w:p w14:paraId="734F49A9" w14:textId="77777777" w:rsidR="007D59EF" w:rsidRPr="001C7577" w:rsidRDefault="007D59EF" w:rsidP="007D59EF">
            <w:pPr>
              <w:spacing w:line="240" w:lineRule="auto"/>
              <w:rPr>
                <w:lang w:val="lt-LT"/>
              </w:rPr>
            </w:pPr>
            <w:r w:rsidRPr="001C7577">
              <w:rPr>
                <w:lang w:val="lt-LT"/>
              </w:rPr>
              <w:t>Pacientus reikia atidžiai stebėti,</w:t>
            </w:r>
          </w:p>
          <w:p w14:paraId="43C9CF15" w14:textId="77777777" w:rsidR="007D59EF" w:rsidRPr="001C7577" w:rsidRDefault="007D59EF" w:rsidP="007D59EF">
            <w:pPr>
              <w:spacing w:line="240" w:lineRule="auto"/>
              <w:rPr>
                <w:lang w:val="lt-LT"/>
              </w:rPr>
            </w:pPr>
            <w:r w:rsidRPr="001C7577">
              <w:rPr>
                <w:lang w:val="lt-LT"/>
              </w:rPr>
              <w:t>nes gali sumažėti valproinės</w:t>
            </w:r>
          </w:p>
          <w:p w14:paraId="301A27AE" w14:textId="77777777" w:rsidR="007D59EF" w:rsidRPr="001C7577" w:rsidRDefault="007D59EF" w:rsidP="007D59EF">
            <w:pPr>
              <w:spacing w:line="240" w:lineRule="auto"/>
              <w:rPr>
                <w:lang w:val="lt-LT"/>
              </w:rPr>
            </w:pPr>
            <w:r w:rsidRPr="001C7577">
              <w:rPr>
                <w:lang w:val="lt-LT"/>
              </w:rPr>
              <w:t>rūgšties efektas, kai kartu</w:t>
            </w:r>
          </w:p>
          <w:p w14:paraId="767109E3" w14:textId="77777777" w:rsidR="007D59EF" w:rsidRPr="001C7577" w:rsidRDefault="007D59EF" w:rsidP="007D59EF">
            <w:pPr>
              <w:spacing w:line="240" w:lineRule="auto"/>
              <w:rPr>
                <w:lang w:val="lt-LT"/>
              </w:rPr>
            </w:pPr>
            <w:r w:rsidRPr="001C7577">
              <w:rPr>
                <w:lang w:val="lt-LT"/>
              </w:rPr>
              <w:t>vartojamas lopinaviras/ritonaviras ir valproinė rūgštis arba valproatas.</w:t>
            </w:r>
          </w:p>
          <w:p w14:paraId="699534D6" w14:textId="77777777" w:rsidR="007D59EF" w:rsidRPr="001C7577" w:rsidRDefault="007D59EF" w:rsidP="007D59EF">
            <w:pPr>
              <w:spacing w:line="240" w:lineRule="auto"/>
              <w:rPr>
                <w:lang w:val="lt-LT"/>
              </w:rPr>
            </w:pPr>
          </w:p>
          <w:p w14:paraId="1C18DAD3" w14:textId="77777777" w:rsidR="007D59EF" w:rsidRPr="001C7577" w:rsidRDefault="007D59EF" w:rsidP="007D59EF">
            <w:pPr>
              <w:spacing w:line="240" w:lineRule="auto"/>
              <w:rPr>
                <w:u w:val="single"/>
                <w:lang w:val="lt-LT"/>
              </w:rPr>
            </w:pPr>
            <w:r w:rsidRPr="001C7577">
              <w:rPr>
                <w:u w:val="single"/>
                <w:lang w:val="lt-LT"/>
              </w:rPr>
              <w:t>Pacientams pradedant arba baigiant vartoti lopinavirą/ritonavirą, kai tuo</w:t>
            </w:r>
          </w:p>
          <w:p w14:paraId="008F8568" w14:textId="77777777" w:rsidR="007D59EF" w:rsidRPr="001C7577" w:rsidRDefault="007D59EF" w:rsidP="007D59EF">
            <w:pPr>
              <w:spacing w:line="240" w:lineRule="auto"/>
              <w:rPr>
                <w:u w:val="single"/>
                <w:lang w:val="lt-LT"/>
              </w:rPr>
            </w:pPr>
            <w:r w:rsidRPr="001C7577">
              <w:rPr>
                <w:u w:val="single"/>
                <w:lang w:val="lt-LT"/>
              </w:rPr>
              <w:t>pačiu metu yra vartojama palaikomoji lamotrigino dozė:</w:t>
            </w:r>
          </w:p>
          <w:p w14:paraId="1CFD9577" w14:textId="77777777" w:rsidR="007D59EF" w:rsidRPr="001C7577" w:rsidRDefault="007D59EF" w:rsidP="007D59EF">
            <w:pPr>
              <w:spacing w:line="240" w:lineRule="auto"/>
              <w:rPr>
                <w:lang w:val="lt-LT"/>
              </w:rPr>
            </w:pPr>
            <w:r w:rsidRPr="001C7577">
              <w:rPr>
                <w:lang w:val="lt-LT"/>
              </w:rPr>
              <w:t>gali prireikti padidinti lamotrigino</w:t>
            </w:r>
          </w:p>
          <w:p w14:paraId="475BAFED" w14:textId="77777777" w:rsidR="007D59EF" w:rsidRPr="001C7577" w:rsidRDefault="007D59EF" w:rsidP="007D59EF">
            <w:pPr>
              <w:spacing w:line="240" w:lineRule="auto"/>
              <w:rPr>
                <w:lang w:val="lt-LT"/>
              </w:rPr>
            </w:pPr>
            <w:r w:rsidRPr="001C7577">
              <w:rPr>
                <w:lang w:val="lt-LT"/>
              </w:rPr>
              <w:lastRenderedPageBreak/>
              <w:t>dozę, jei pridedama lopinaviro/ritonaviro, arba</w:t>
            </w:r>
          </w:p>
          <w:p w14:paraId="2378F732" w14:textId="77777777" w:rsidR="007D59EF" w:rsidRPr="001C7577" w:rsidRDefault="007D59EF" w:rsidP="007D59EF">
            <w:pPr>
              <w:spacing w:line="240" w:lineRule="auto"/>
              <w:rPr>
                <w:lang w:val="lt-LT"/>
              </w:rPr>
            </w:pPr>
            <w:r w:rsidRPr="001C7577">
              <w:rPr>
                <w:lang w:val="lt-LT"/>
              </w:rPr>
              <w:t>sumažinti, jei lopinaviro/ritonaviro vartojimas</w:t>
            </w:r>
          </w:p>
          <w:p w14:paraId="72AFFE18" w14:textId="77777777" w:rsidR="007D59EF" w:rsidRPr="001C7577" w:rsidRDefault="007D59EF" w:rsidP="007D59EF">
            <w:pPr>
              <w:spacing w:line="240" w:lineRule="auto"/>
              <w:rPr>
                <w:lang w:val="lt-LT"/>
              </w:rPr>
            </w:pPr>
            <w:r w:rsidRPr="001C7577">
              <w:rPr>
                <w:lang w:val="lt-LT"/>
              </w:rPr>
              <w:t>yra nutraukiamas, ir todėl reikia</w:t>
            </w:r>
          </w:p>
          <w:p w14:paraId="64B3E31D" w14:textId="77777777" w:rsidR="007D59EF" w:rsidRPr="001C7577" w:rsidRDefault="007D59EF" w:rsidP="007D59EF">
            <w:pPr>
              <w:spacing w:line="240" w:lineRule="auto"/>
              <w:rPr>
                <w:lang w:val="lt-LT"/>
              </w:rPr>
            </w:pPr>
            <w:r w:rsidRPr="001C7577">
              <w:rPr>
                <w:lang w:val="lt-LT"/>
              </w:rPr>
              <w:t>sekti lamotrigino koncentraciją</w:t>
            </w:r>
          </w:p>
          <w:p w14:paraId="641CCE3D" w14:textId="77777777" w:rsidR="007D59EF" w:rsidRPr="001C7577" w:rsidRDefault="007D59EF" w:rsidP="007D59EF">
            <w:pPr>
              <w:spacing w:line="240" w:lineRule="auto"/>
              <w:rPr>
                <w:lang w:val="lt-LT"/>
              </w:rPr>
            </w:pPr>
            <w:r w:rsidRPr="001C7577">
              <w:rPr>
                <w:lang w:val="lt-LT"/>
              </w:rPr>
              <w:t>kraujo plazmoje prieš pradedant</w:t>
            </w:r>
          </w:p>
          <w:p w14:paraId="4020D9EB" w14:textId="77777777" w:rsidR="007D59EF" w:rsidRPr="001C7577" w:rsidRDefault="007D59EF" w:rsidP="007D59EF">
            <w:pPr>
              <w:spacing w:line="240" w:lineRule="auto"/>
              <w:rPr>
                <w:lang w:val="lt-LT"/>
              </w:rPr>
            </w:pPr>
            <w:r w:rsidRPr="001C7577">
              <w:rPr>
                <w:lang w:val="lt-LT"/>
              </w:rPr>
              <w:t>vartoti lopinavirą/ritonavirą, 2 savaites nuo</w:t>
            </w:r>
          </w:p>
          <w:p w14:paraId="4754EB74" w14:textId="77777777" w:rsidR="007D59EF" w:rsidRPr="001C7577" w:rsidRDefault="007D59EF" w:rsidP="007D59EF">
            <w:pPr>
              <w:spacing w:line="240" w:lineRule="auto"/>
              <w:rPr>
                <w:lang w:val="lt-LT"/>
              </w:rPr>
            </w:pPr>
            <w:r w:rsidRPr="001C7577">
              <w:rPr>
                <w:lang w:val="lt-LT"/>
              </w:rPr>
              <w:t>vartojimo pradžios arba nutraukus</w:t>
            </w:r>
          </w:p>
          <w:p w14:paraId="1FD9AE3D" w14:textId="77777777" w:rsidR="007D59EF" w:rsidRPr="001C7577" w:rsidRDefault="007D59EF" w:rsidP="007D59EF">
            <w:pPr>
              <w:spacing w:line="240" w:lineRule="auto"/>
              <w:rPr>
                <w:lang w:val="lt-LT"/>
              </w:rPr>
            </w:pPr>
            <w:r w:rsidRPr="001C7577">
              <w:rPr>
                <w:lang w:val="lt-LT"/>
              </w:rPr>
              <w:t>lopinaviro/ritonaviro vartojimą tam, kad būtų nustatyta, ar reikia koreguoti lamotrigino dozę.</w:t>
            </w:r>
          </w:p>
          <w:p w14:paraId="7CFE1F9E" w14:textId="77777777" w:rsidR="007D59EF" w:rsidRPr="001C7577" w:rsidRDefault="007D59EF" w:rsidP="007D59EF">
            <w:pPr>
              <w:spacing w:line="240" w:lineRule="auto"/>
              <w:rPr>
                <w:u w:val="single"/>
                <w:lang w:val="lt-LT"/>
              </w:rPr>
            </w:pPr>
            <w:r w:rsidRPr="001C7577">
              <w:rPr>
                <w:u w:val="single"/>
                <w:lang w:val="lt-LT"/>
              </w:rPr>
              <w:t>Pacientams, kurie šiuo metu</w:t>
            </w:r>
          </w:p>
          <w:p w14:paraId="3C0FD8D9" w14:textId="77777777" w:rsidR="007D59EF" w:rsidRPr="001C7577" w:rsidRDefault="007D59EF" w:rsidP="007D59EF">
            <w:pPr>
              <w:spacing w:line="240" w:lineRule="auto"/>
              <w:rPr>
                <w:lang w:val="lt-LT"/>
              </w:rPr>
            </w:pPr>
            <w:r w:rsidRPr="001C7577">
              <w:rPr>
                <w:u w:val="single"/>
                <w:lang w:val="lt-LT"/>
              </w:rPr>
              <w:t>vartoja lopinavirą/ritonavirą ir pradeda vartoti lamotriginą:</w:t>
            </w:r>
            <w:r w:rsidRPr="001C7577">
              <w:rPr>
                <w:lang w:val="lt-LT"/>
              </w:rPr>
              <w:t xml:space="preserve"> </w:t>
            </w:r>
          </w:p>
          <w:p w14:paraId="46FEDE9D" w14:textId="77777777" w:rsidR="007D59EF" w:rsidRPr="001C7577" w:rsidRDefault="007D59EF" w:rsidP="007D59EF">
            <w:pPr>
              <w:spacing w:line="240" w:lineRule="auto"/>
              <w:rPr>
                <w:lang w:val="lt-LT"/>
              </w:rPr>
            </w:pPr>
            <w:r w:rsidRPr="001C7577">
              <w:rPr>
                <w:lang w:val="lt-LT"/>
              </w:rPr>
              <w:t>dozės priderinimas prie rekomenduojamo lamotrigino dozės išplėtimo nebūtinas.</w:t>
            </w:r>
          </w:p>
        </w:tc>
      </w:tr>
      <w:tr w:rsidR="007D59EF" w:rsidRPr="00705EEC" w14:paraId="2E3B0274" w14:textId="77777777" w:rsidTr="001C7577">
        <w:tc>
          <w:tcPr>
            <w:tcW w:w="9286" w:type="dxa"/>
            <w:gridSpan w:val="4"/>
            <w:shd w:val="clear" w:color="auto" w:fill="auto"/>
          </w:tcPr>
          <w:p w14:paraId="67E3EE54" w14:textId="77777777" w:rsidR="007D59EF" w:rsidRPr="001C7577" w:rsidRDefault="007D59EF" w:rsidP="007D59EF">
            <w:pPr>
              <w:spacing w:line="240" w:lineRule="auto"/>
              <w:rPr>
                <w:lang w:val="lt-LT"/>
              </w:rPr>
            </w:pPr>
            <w:r w:rsidRPr="001C7577">
              <w:rPr>
                <w:rFonts w:eastAsia="Calibri"/>
                <w:i/>
                <w:iCs/>
                <w:snapToGrid/>
                <w:szCs w:val="22"/>
                <w:lang w:val="lt-LT"/>
              </w:rPr>
              <w:lastRenderedPageBreak/>
              <w:t>Antidepresantai ir raminantys</w:t>
            </w:r>
          </w:p>
        </w:tc>
      </w:tr>
      <w:tr w:rsidR="007D59EF" w:rsidRPr="0088318A" w14:paraId="5B8CD4CC" w14:textId="77777777" w:rsidTr="001C7577">
        <w:tc>
          <w:tcPr>
            <w:tcW w:w="3143" w:type="dxa"/>
            <w:gridSpan w:val="2"/>
            <w:shd w:val="clear" w:color="auto" w:fill="auto"/>
          </w:tcPr>
          <w:p w14:paraId="28D9F23C" w14:textId="77777777" w:rsidR="007D59EF" w:rsidRPr="001C7577" w:rsidRDefault="007D59EF" w:rsidP="007D59EF">
            <w:pPr>
              <w:spacing w:line="240" w:lineRule="auto"/>
              <w:rPr>
                <w:lang w:val="lt-LT"/>
              </w:rPr>
            </w:pPr>
            <w:r w:rsidRPr="001C7577">
              <w:rPr>
                <w:lang w:val="lt-LT"/>
              </w:rPr>
              <w:t>Trazodono vienkartinė dozė</w:t>
            </w:r>
          </w:p>
          <w:p w14:paraId="4C2EB652" w14:textId="77777777" w:rsidR="007D59EF" w:rsidRPr="001C7577" w:rsidRDefault="007D59EF" w:rsidP="007D59EF">
            <w:pPr>
              <w:spacing w:line="240" w:lineRule="auto"/>
              <w:rPr>
                <w:lang w:val="lt-LT"/>
              </w:rPr>
            </w:pPr>
            <w:r w:rsidRPr="001C7577">
              <w:rPr>
                <w:lang w:val="lt-LT"/>
              </w:rPr>
              <w:t>(Ritonaviras, 200 mg BID)</w:t>
            </w:r>
          </w:p>
          <w:p w14:paraId="37154F6A" w14:textId="77777777" w:rsidR="007D59EF" w:rsidRPr="001C7577" w:rsidRDefault="007D59EF" w:rsidP="007D59EF">
            <w:pPr>
              <w:spacing w:line="240" w:lineRule="auto"/>
              <w:rPr>
                <w:lang w:val="lt-LT"/>
              </w:rPr>
            </w:pPr>
          </w:p>
        </w:tc>
        <w:tc>
          <w:tcPr>
            <w:tcW w:w="3047" w:type="dxa"/>
            <w:shd w:val="clear" w:color="auto" w:fill="auto"/>
          </w:tcPr>
          <w:p w14:paraId="4794775D" w14:textId="77777777" w:rsidR="007D59EF" w:rsidRPr="001C7577" w:rsidRDefault="007D59EF" w:rsidP="007D59EF">
            <w:pPr>
              <w:spacing w:line="240" w:lineRule="auto"/>
              <w:rPr>
                <w:lang w:val="lt-LT"/>
              </w:rPr>
            </w:pPr>
            <w:r w:rsidRPr="001C7577">
              <w:rPr>
                <w:lang w:val="lt-LT"/>
              </w:rPr>
              <w:t>Trazodonas:</w:t>
            </w:r>
          </w:p>
          <w:p w14:paraId="25B40D2B" w14:textId="77777777" w:rsidR="007D59EF" w:rsidRPr="001C7577" w:rsidRDefault="007D59EF" w:rsidP="007D59EF">
            <w:pPr>
              <w:spacing w:line="240" w:lineRule="auto"/>
              <w:rPr>
                <w:lang w:val="lt-LT"/>
              </w:rPr>
            </w:pPr>
            <w:r w:rsidRPr="001C7577">
              <w:rPr>
                <w:lang w:val="lt-LT"/>
              </w:rPr>
              <w:t>AUC: ↑ 2.4-kartų</w:t>
            </w:r>
          </w:p>
          <w:p w14:paraId="0769F10F" w14:textId="77777777" w:rsidR="007D59EF" w:rsidRPr="001C7577" w:rsidRDefault="007D59EF" w:rsidP="007D59EF">
            <w:pPr>
              <w:spacing w:line="240" w:lineRule="auto"/>
              <w:rPr>
                <w:lang w:val="lt-LT"/>
              </w:rPr>
            </w:pPr>
          </w:p>
          <w:p w14:paraId="0651760A" w14:textId="77777777" w:rsidR="007D59EF" w:rsidRPr="001C7577" w:rsidRDefault="007D59EF" w:rsidP="007D59EF">
            <w:pPr>
              <w:spacing w:line="240" w:lineRule="auto"/>
              <w:rPr>
                <w:lang w:val="lt-LT"/>
              </w:rPr>
            </w:pPr>
            <w:r w:rsidRPr="001C7577">
              <w:rPr>
                <w:lang w:val="lt-LT"/>
              </w:rPr>
              <w:t>Nepageidaujami reiškiniai kaip</w:t>
            </w:r>
          </w:p>
          <w:p w14:paraId="7E2A09D6" w14:textId="77777777" w:rsidR="007D59EF" w:rsidRPr="001C7577" w:rsidRDefault="007D59EF" w:rsidP="007D59EF">
            <w:pPr>
              <w:spacing w:line="240" w:lineRule="auto"/>
              <w:rPr>
                <w:lang w:val="lt-LT"/>
              </w:rPr>
            </w:pPr>
            <w:r w:rsidRPr="001C7577">
              <w:rPr>
                <w:lang w:val="lt-LT"/>
              </w:rPr>
              <w:t>pykinimas, svaigulys, hipotenzija</w:t>
            </w:r>
          </w:p>
          <w:p w14:paraId="2DC85D64" w14:textId="77777777" w:rsidR="007D59EF" w:rsidRPr="001C7577" w:rsidRDefault="007D59EF" w:rsidP="007D59EF">
            <w:pPr>
              <w:spacing w:line="240" w:lineRule="auto"/>
              <w:rPr>
                <w:lang w:val="lt-LT"/>
              </w:rPr>
            </w:pPr>
            <w:r w:rsidRPr="001C7577">
              <w:rPr>
                <w:lang w:val="lt-LT"/>
              </w:rPr>
              <w:t>ir apalpimas buvo stebėti, kartu</w:t>
            </w:r>
          </w:p>
          <w:p w14:paraId="7AB38889" w14:textId="77777777" w:rsidR="007D59EF" w:rsidRPr="001C7577" w:rsidRDefault="007D59EF" w:rsidP="007D59EF">
            <w:pPr>
              <w:spacing w:line="240" w:lineRule="auto"/>
              <w:rPr>
                <w:lang w:val="lt-LT"/>
              </w:rPr>
            </w:pPr>
            <w:r w:rsidRPr="001C7577">
              <w:rPr>
                <w:lang w:val="lt-LT"/>
              </w:rPr>
              <w:t>vartojant trazodoną su ritonaviru.</w:t>
            </w:r>
          </w:p>
        </w:tc>
        <w:tc>
          <w:tcPr>
            <w:tcW w:w="3096" w:type="dxa"/>
            <w:shd w:val="clear" w:color="auto" w:fill="auto"/>
          </w:tcPr>
          <w:p w14:paraId="5489ED59" w14:textId="77777777" w:rsidR="007D59EF" w:rsidRPr="001C7577" w:rsidRDefault="007D59EF" w:rsidP="007D59EF">
            <w:pPr>
              <w:spacing w:line="240" w:lineRule="auto"/>
              <w:rPr>
                <w:lang w:val="lt-LT"/>
              </w:rPr>
            </w:pPr>
            <w:r w:rsidRPr="001C7577">
              <w:rPr>
                <w:lang w:val="lt-LT"/>
              </w:rPr>
              <w:t>Nežinoma ar lopinaviro/ritonaviro</w:t>
            </w:r>
          </w:p>
          <w:p w14:paraId="4A6359A8" w14:textId="77777777" w:rsidR="007D59EF" w:rsidRPr="001C7577" w:rsidRDefault="007D59EF" w:rsidP="007D59EF">
            <w:pPr>
              <w:spacing w:line="240" w:lineRule="auto"/>
              <w:rPr>
                <w:lang w:val="lt-LT"/>
              </w:rPr>
            </w:pPr>
            <w:r w:rsidRPr="001C7577">
              <w:rPr>
                <w:lang w:val="lt-LT"/>
              </w:rPr>
              <w:t>kombinacija su trazodonu</w:t>
            </w:r>
          </w:p>
          <w:p w14:paraId="60735234" w14:textId="77777777" w:rsidR="007D59EF" w:rsidRPr="001C7577" w:rsidRDefault="007D59EF" w:rsidP="007D59EF">
            <w:pPr>
              <w:spacing w:line="240" w:lineRule="auto"/>
              <w:rPr>
                <w:lang w:val="lt-LT"/>
              </w:rPr>
            </w:pPr>
            <w:r w:rsidRPr="001C7577">
              <w:rPr>
                <w:lang w:val="lt-LT"/>
              </w:rPr>
              <w:t>sąlygoja jo poveikio suintensyvėjimą. Tokį derinį</w:t>
            </w:r>
          </w:p>
          <w:p w14:paraId="43257C5E" w14:textId="77777777" w:rsidR="007D59EF" w:rsidRPr="001C7577" w:rsidRDefault="007D59EF" w:rsidP="007D59EF">
            <w:pPr>
              <w:spacing w:line="240" w:lineRule="auto"/>
              <w:rPr>
                <w:lang w:val="lt-LT"/>
              </w:rPr>
            </w:pPr>
            <w:r w:rsidRPr="001C7577">
              <w:rPr>
                <w:lang w:val="lt-LT"/>
              </w:rPr>
              <w:t>reikia skirti atsargiai ir reikia</w:t>
            </w:r>
          </w:p>
          <w:p w14:paraId="1020F612" w14:textId="77777777" w:rsidR="007D59EF" w:rsidRPr="001C7577" w:rsidRDefault="007D59EF" w:rsidP="007D59EF">
            <w:pPr>
              <w:spacing w:line="240" w:lineRule="auto"/>
              <w:rPr>
                <w:lang w:val="lt-LT"/>
              </w:rPr>
            </w:pPr>
            <w:r w:rsidRPr="001C7577">
              <w:rPr>
                <w:lang w:val="lt-LT"/>
              </w:rPr>
              <w:t>pagalvoti apie mažesnės trazodono dozės skyrimą.</w:t>
            </w:r>
          </w:p>
        </w:tc>
      </w:tr>
      <w:tr w:rsidR="007D59EF" w:rsidRPr="00705EEC" w14:paraId="74AA0F85" w14:textId="77777777" w:rsidTr="001C7577">
        <w:tc>
          <w:tcPr>
            <w:tcW w:w="9286" w:type="dxa"/>
            <w:gridSpan w:val="4"/>
            <w:shd w:val="clear" w:color="auto" w:fill="auto"/>
          </w:tcPr>
          <w:p w14:paraId="44CC8228" w14:textId="77777777" w:rsidR="007D59EF" w:rsidRPr="001C7577" w:rsidRDefault="007D59EF" w:rsidP="007D59EF">
            <w:pPr>
              <w:spacing w:line="240" w:lineRule="auto"/>
              <w:rPr>
                <w:lang w:val="lt-LT"/>
              </w:rPr>
            </w:pPr>
            <w:r w:rsidRPr="001C7577">
              <w:rPr>
                <w:rFonts w:eastAsia="Calibri"/>
                <w:i/>
                <w:iCs/>
                <w:snapToGrid/>
                <w:szCs w:val="22"/>
                <w:lang w:val="lt-LT"/>
              </w:rPr>
              <w:t>Priešgrybeliniai</w:t>
            </w:r>
          </w:p>
        </w:tc>
      </w:tr>
      <w:tr w:rsidR="007D59EF" w:rsidRPr="0088318A" w14:paraId="12BD5DDB" w14:textId="77777777" w:rsidTr="001C7577">
        <w:tc>
          <w:tcPr>
            <w:tcW w:w="3143" w:type="dxa"/>
            <w:gridSpan w:val="2"/>
            <w:shd w:val="clear" w:color="auto" w:fill="auto"/>
          </w:tcPr>
          <w:p w14:paraId="3B225D19" w14:textId="77777777" w:rsidR="007D59EF" w:rsidRPr="001C7577" w:rsidRDefault="007D59EF" w:rsidP="007D59EF">
            <w:pPr>
              <w:spacing w:line="240" w:lineRule="auto"/>
              <w:rPr>
                <w:lang w:val="lt-LT"/>
              </w:rPr>
            </w:pPr>
            <w:r w:rsidRPr="001C7577">
              <w:rPr>
                <w:lang w:val="lt-LT"/>
              </w:rPr>
              <w:t>Ketokonazolas ir itrakonazolas</w:t>
            </w:r>
          </w:p>
          <w:p w14:paraId="305A649F" w14:textId="77777777" w:rsidR="007D59EF" w:rsidRPr="001C7577" w:rsidRDefault="007D59EF" w:rsidP="007D59EF">
            <w:pPr>
              <w:spacing w:line="240" w:lineRule="auto"/>
              <w:rPr>
                <w:lang w:val="lt-LT"/>
              </w:rPr>
            </w:pPr>
          </w:p>
        </w:tc>
        <w:tc>
          <w:tcPr>
            <w:tcW w:w="3047" w:type="dxa"/>
            <w:shd w:val="clear" w:color="auto" w:fill="auto"/>
          </w:tcPr>
          <w:p w14:paraId="16D2E7C1" w14:textId="77777777" w:rsidR="007D59EF" w:rsidRPr="001C7577" w:rsidRDefault="007D59EF" w:rsidP="007D59EF">
            <w:pPr>
              <w:spacing w:line="240" w:lineRule="auto"/>
              <w:rPr>
                <w:lang w:val="lt-LT"/>
              </w:rPr>
            </w:pPr>
            <w:r w:rsidRPr="001C7577">
              <w:rPr>
                <w:lang w:val="lt-LT"/>
              </w:rPr>
              <w:t>Ketokonazolas, itrakonazolas:</w:t>
            </w:r>
          </w:p>
          <w:p w14:paraId="34118F3C" w14:textId="77777777" w:rsidR="007D59EF" w:rsidRPr="001C7577" w:rsidRDefault="007D59EF" w:rsidP="007D59EF">
            <w:pPr>
              <w:spacing w:line="240" w:lineRule="auto"/>
              <w:rPr>
                <w:lang w:val="lt-LT"/>
              </w:rPr>
            </w:pPr>
            <w:r w:rsidRPr="001C7577">
              <w:rPr>
                <w:lang w:val="lt-LT"/>
              </w:rPr>
              <w:t>koncentracija serume gali padidėti, nes lopinaviras/ritonaviras inhibuoja</w:t>
            </w:r>
          </w:p>
          <w:p w14:paraId="20B0CC83" w14:textId="77777777" w:rsidR="007D59EF" w:rsidRPr="001C7577" w:rsidRDefault="007D59EF" w:rsidP="007D59EF">
            <w:pPr>
              <w:spacing w:line="240" w:lineRule="auto"/>
              <w:rPr>
                <w:lang w:val="lt-LT"/>
              </w:rPr>
            </w:pPr>
            <w:r w:rsidRPr="001C7577">
              <w:rPr>
                <w:lang w:val="lt-LT"/>
              </w:rPr>
              <w:t>CYP3A.</w:t>
            </w:r>
          </w:p>
        </w:tc>
        <w:tc>
          <w:tcPr>
            <w:tcW w:w="3096" w:type="dxa"/>
            <w:shd w:val="clear" w:color="auto" w:fill="auto"/>
          </w:tcPr>
          <w:p w14:paraId="39A27DA7" w14:textId="77777777" w:rsidR="007D59EF" w:rsidRPr="001C7577" w:rsidRDefault="007D59EF" w:rsidP="007D59EF">
            <w:pPr>
              <w:spacing w:line="240" w:lineRule="auto"/>
              <w:rPr>
                <w:lang w:val="lt-LT"/>
              </w:rPr>
            </w:pPr>
            <w:r w:rsidRPr="001C7577">
              <w:rPr>
                <w:lang w:val="lt-LT"/>
              </w:rPr>
              <w:t>Didelės ketokonazolo ir itrakonazolo (&gt; 200 mg/parą) dozės nerekomenduojamos.</w:t>
            </w:r>
          </w:p>
          <w:p w14:paraId="29BB551F" w14:textId="77777777" w:rsidR="007D59EF" w:rsidRPr="001C7577" w:rsidRDefault="007D59EF" w:rsidP="007D59EF">
            <w:pPr>
              <w:spacing w:line="240" w:lineRule="auto"/>
              <w:rPr>
                <w:lang w:val="lt-LT"/>
              </w:rPr>
            </w:pPr>
          </w:p>
        </w:tc>
      </w:tr>
      <w:tr w:rsidR="007D59EF" w:rsidRPr="00705EEC" w14:paraId="420B698A" w14:textId="77777777" w:rsidTr="001C7577">
        <w:tc>
          <w:tcPr>
            <w:tcW w:w="3143" w:type="dxa"/>
            <w:gridSpan w:val="2"/>
            <w:shd w:val="clear" w:color="auto" w:fill="auto"/>
          </w:tcPr>
          <w:p w14:paraId="05C65B00" w14:textId="77777777" w:rsidR="007D59EF" w:rsidRPr="001C7577" w:rsidRDefault="007D59EF" w:rsidP="007D59EF">
            <w:pPr>
              <w:spacing w:line="240" w:lineRule="auto"/>
              <w:rPr>
                <w:lang w:val="lt-LT"/>
              </w:rPr>
            </w:pPr>
            <w:r w:rsidRPr="001C7577">
              <w:rPr>
                <w:lang w:val="lt-LT"/>
              </w:rPr>
              <w:t xml:space="preserve">Vorikonazolas </w:t>
            </w:r>
          </w:p>
          <w:p w14:paraId="259DCA92" w14:textId="77777777" w:rsidR="007D59EF" w:rsidRPr="001C7577" w:rsidRDefault="007D59EF" w:rsidP="007D59EF">
            <w:pPr>
              <w:spacing w:line="240" w:lineRule="auto"/>
              <w:rPr>
                <w:lang w:val="lt-LT"/>
              </w:rPr>
            </w:pPr>
          </w:p>
        </w:tc>
        <w:tc>
          <w:tcPr>
            <w:tcW w:w="3047" w:type="dxa"/>
            <w:shd w:val="clear" w:color="auto" w:fill="auto"/>
          </w:tcPr>
          <w:p w14:paraId="31710607" w14:textId="77777777" w:rsidR="007D59EF" w:rsidRPr="001C7577" w:rsidRDefault="007D59EF" w:rsidP="007D59EF">
            <w:pPr>
              <w:spacing w:line="240" w:lineRule="auto"/>
              <w:rPr>
                <w:lang w:val="lt-LT"/>
              </w:rPr>
            </w:pPr>
            <w:r w:rsidRPr="001C7577">
              <w:rPr>
                <w:lang w:val="lt-LT"/>
              </w:rPr>
              <w:t>Vorikonazolas:</w:t>
            </w:r>
          </w:p>
          <w:p w14:paraId="5800FCDA" w14:textId="77777777" w:rsidR="007D59EF" w:rsidRPr="001C7577" w:rsidRDefault="007D59EF" w:rsidP="007D59EF">
            <w:pPr>
              <w:spacing w:line="240" w:lineRule="auto"/>
              <w:rPr>
                <w:lang w:val="lt-LT"/>
              </w:rPr>
            </w:pPr>
            <w:r w:rsidRPr="001C7577">
              <w:rPr>
                <w:lang w:val="lt-LT"/>
              </w:rPr>
              <w:t>Koncentracija gali sumažėti.</w:t>
            </w:r>
          </w:p>
          <w:p w14:paraId="38F12DE2" w14:textId="77777777" w:rsidR="007D59EF" w:rsidRPr="001C7577" w:rsidRDefault="007D59EF" w:rsidP="007D59EF">
            <w:pPr>
              <w:spacing w:line="240" w:lineRule="auto"/>
              <w:rPr>
                <w:lang w:val="lt-LT"/>
              </w:rPr>
            </w:pPr>
          </w:p>
        </w:tc>
        <w:tc>
          <w:tcPr>
            <w:tcW w:w="3096" w:type="dxa"/>
            <w:shd w:val="clear" w:color="auto" w:fill="auto"/>
          </w:tcPr>
          <w:p w14:paraId="177A0627" w14:textId="77777777" w:rsidR="007D59EF" w:rsidRPr="001C7577" w:rsidRDefault="007D59EF" w:rsidP="007D59EF">
            <w:pPr>
              <w:spacing w:line="240" w:lineRule="auto"/>
              <w:rPr>
                <w:lang w:val="lt-LT"/>
              </w:rPr>
            </w:pPr>
            <w:r w:rsidRPr="001C7577">
              <w:rPr>
                <w:lang w:val="lt-LT"/>
              </w:rPr>
              <w:t>Reikia vengti kartu skirti</w:t>
            </w:r>
          </w:p>
          <w:p w14:paraId="3F4AD1D9" w14:textId="77777777" w:rsidR="007D59EF" w:rsidRPr="001C7577" w:rsidRDefault="007D59EF" w:rsidP="007D59EF">
            <w:pPr>
              <w:spacing w:line="240" w:lineRule="auto"/>
              <w:rPr>
                <w:lang w:val="lt-LT"/>
              </w:rPr>
            </w:pPr>
            <w:r w:rsidRPr="001C7577">
              <w:rPr>
                <w:lang w:val="lt-LT"/>
              </w:rPr>
              <w:t>vorikonazolą ir mažas ritonaviro</w:t>
            </w:r>
          </w:p>
          <w:p w14:paraId="346136D8" w14:textId="77777777" w:rsidR="007D59EF" w:rsidRPr="001C7577" w:rsidRDefault="007D59EF" w:rsidP="007D59EF">
            <w:pPr>
              <w:spacing w:line="240" w:lineRule="auto"/>
              <w:rPr>
                <w:lang w:val="lt-LT"/>
              </w:rPr>
            </w:pPr>
            <w:r w:rsidRPr="001C7577">
              <w:rPr>
                <w:lang w:val="lt-LT"/>
              </w:rPr>
              <w:t>dozes (100 mg BID), nebent</w:t>
            </w:r>
          </w:p>
          <w:p w14:paraId="1081BB1D" w14:textId="77777777" w:rsidR="007D59EF" w:rsidRPr="001C7577" w:rsidRDefault="007D59EF" w:rsidP="007D59EF">
            <w:pPr>
              <w:spacing w:line="240" w:lineRule="auto"/>
              <w:rPr>
                <w:lang w:val="lt-LT"/>
              </w:rPr>
            </w:pPr>
            <w:r w:rsidRPr="001C7577">
              <w:rPr>
                <w:lang w:val="lt-LT"/>
              </w:rPr>
              <w:t>naudos ir rizikos įvertinimas</w:t>
            </w:r>
          </w:p>
          <w:p w14:paraId="5BF3F551" w14:textId="77777777" w:rsidR="007D59EF" w:rsidRPr="001C7577" w:rsidRDefault="007D59EF" w:rsidP="007D59EF">
            <w:pPr>
              <w:spacing w:line="240" w:lineRule="auto"/>
              <w:rPr>
                <w:lang w:val="lt-LT"/>
              </w:rPr>
            </w:pPr>
            <w:r w:rsidRPr="001C7577">
              <w:rPr>
                <w:lang w:val="lt-LT"/>
              </w:rPr>
              <w:t>vistik nurodytu, kad vorikonazolį</w:t>
            </w:r>
          </w:p>
          <w:p w14:paraId="3916FD97" w14:textId="77777777" w:rsidR="007D59EF" w:rsidRPr="001C7577" w:rsidRDefault="007D59EF" w:rsidP="007D59EF">
            <w:pPr>
              <w:spacing w:line="240" w:lineRule="auto"/>
              <w:rPr>
                <w:lang w:val="lt-LT"/>
              </w:rPr>
            </w:pPr>
            <w:r w:rsidRPr="001C7577">
              <w:rPr>
                <w:lang w:val="lt-LT"/>
              </w:rPr>
              <w:t>skirti būtina.</w:t>
            </w:r>
          </w:p>
        </w:tc>
      </w:tr>
      <w:tr w:rsidR="007D59EF" w:rsidRPr="00705EEC" w14:paraId="0EA2811B" w14:textId="77777777" w:rsidTr="001C7577">
        <w:tc>
          <w:tcPr>
            <w:tcW w:w="9286" w:type="dxa"/>
            <w:gridSpan w:val="4"/>
            <w:shd w:val="clear" w:color="auto" w:fill="auto"/>
          </w:tcPr>
          <w:p w14:paraId="4ADCAB40" w14:textId="77777777" w:rsidR="007D59EF" w:rsidRPr="001C7577" w:rsidRDefault="007D59EF" w:rsidP="007D59EF">
            <w:pPr>
              <w:spacing w:line="240" w:lineRule="auto"/>
              <w:rPr>
                <w:i/>
                <w:lang w:val="lt-LT"/>
              </w:rPr>
            </w:pPr>
            <w:r w:rsidRPr="001C7577">
              <w:rPr>
                <w:i/>
                <w:lang w:val="lt-LT"/>
              </w:rPr>
              <w:t>Vaistai nuo podagros:</w:t>
            </w:r>
          </w:p>
        </w:tc>
      </w:tr>
      <w:tr w:rsidR="007D59EF" w:rsidRPr="00705EEC" w14:paraId="7ACDB227" w14:textId="77777777" w:rsidTr="001C7577">
        <w:tc>
          <w:tcPr>
            <w:tcW w:w="3143" w:type="dxa"/>
            <w:gridSpan w:val="2"/>
            <w:shd w:val="clear" w:color="auto" w:fill="auto"/>
          </w:tcPr>
          <w:p w14:paraId="0B3FADE5" w14:textId="77777777" w:rsidR="007D59EF" w:rsidRPr="001C7577" w:rsidRDefault="007D59EF" w:rsidP="007D59EF">
            <w:pPr>
              <w:spacing w:line="240" w:lineRule="auto"/>
              <w:rPr>
                <w:lang w:val="lt-LT"/>
              </w:rPr>
            </w:pPr>
            <w:r w:rsidRPr="001C7577">
              <w:rPr>
                <w:lang w:val="lt-LT"/>
              </w:rPr>
              <w:t>Vienkartinė kolchicino dozė</w:t>
            </w:r>
          </w:p>
          <w:p w14:paraId="24FEEFCD" w14:textId="77777777" w:rsidR="007D59EF" w:rsidRPr="001C7577" w:rsidRDefault="007D59EF" w:rsidP="007D59EF">
            <w:pPr>
              <w:spacing w:line="240" w:lineRule="auto"/>
              <w:rPr>
                <w:lang w:val="lt-LT"/>
              </w:rPr>
            </w:pPr>
            <w:r w:rsidRPr="001C7577">
              <w:rPr>
                <w:lang w:val="lt-LT"/>
              </w:rPr>
              <w:t>(Ritonaviras 200 mg du kartus per parą)</w:t>
            </w:r>
          </w:p>
          <w:p w14:paraId="63425B7F" w14:textId="77777777" w:rsidR="007D59EF" w:rsidRPr="001C7577" w:rsidRDefault="007D59EF" w:rsidP="007D59EF">
            <w:pPr>
              <w:spacing w:line="240" w:lineRule="auto"/>
              <w:rPr>
                <w:lang w:val="lt-LT"/>
              </w:rPr>
            </w:pPr>
          </w:p>
        </w:tc>
        <w:tc>
          <w:tcPr>
            <w:tcW w:w="3047" w:type="dxa"/>
            <w:shd w:val="clear" w:color="auto" w:fill="auto"/>
          </w:tcPr>
          <w:p w14:paraId="03BCF0AE" w14:textId="77777777" w:rsidR="007D59EF" w:rsidRPr="001C7577" w:rsidRDefault="007D59EF" w:rsidP="007D59EF">
            <w:pPr>
              <w:spacing w:line="240" w:lineRule="auto"/>
              <w:rPr>
                <w:lang w:val="lt-LT"/>
              </w:rPr>
            </w:pPr>
            <w:r w:rsidRPr="001C7577">
              <w:rPr>
                <w:lang w:val="lt-LT"/>
              </w:rPr>
              <w:t>Kolchicinas:</w:t>
            </w:r>
          </w:p>
          <w:p w14:paraId="0269F903" w14:textId="77777777" w:rsidR="007D59EF" w:rsidRPr="001C7577" w:rsidRDefault="007D59EF" w:rsidP="007D59EF">
            <w:pPr>
              <w:spacing w:line="240" w:lineRule="auto"/>
              <w:rPr>
                <w:lang w:val="lt-LT"/>
              </w:rPr>
            </w:pPr>
            <w:r w:rsidRPr="001C7577">
              <w:rPr>
                <w:lang w:val="lt-LT"/>
              </w:rPr>
              <w:t>AUC: ↑ 3-kartus</w:t>
            </w:r>
          </w:p>
          <w:p w14:paraId="3682AB9A"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1.8-kartus</w:t>
            </w:r>
          </w:p>
          <w:p w14:paraId="4DFDFFAC" w14:textId="77777777" w:rsidR="007D59EF" w:rsidRPr="001C7577" w:rsidRDefault="007D59EF" w:rsidP="007D59EF">
            <w:pPr>
              <w:spacing w:line="240" w:lineRule="auto"/>
              <w:rPr>
                <w:lang w:val="lt-LT"/>
              </w:rPr>
            </w:pPr>
            <w:r w:rsidRPr="001C7577">
              <w:rPr>
                <w:lang w:val="lt-LT"/>
              </w:rPr>
              <w:t>Dėl P-gp ir/ar CYP3A4 slopinimo ritonaviru.</w:t>
            </w:r>
          </w:p>
          <w:p w14:paraId="24465A54" w14:textId="77777777" w:rsidR="007D59EF" w:rsidRPr="001C7577" w:rsidRDefault="007D59EF" w:rsidP="007D59EF">
            <w:pPr>
              <w:spacing w:line="240" w:lineRule="auto"/>
              <w:rPr>
                <w:lang w:val="lt-LT"/>
              </w:rPr>
            </w:pPr>
          </w:p>
        </w:tc>
        <w:tc>
          <w:tcPr>
            <w:tcW w:w="3096" w:type="dxa"/>
            <w:shd w:val="clear" w:color="auto" w:fill="auto"/>
          </w:tcPr>
          <w:p w14:paraId="3A04111F" w14:textId="77777777" w:rsidR="007D59EF" w:rsidRPr="001C7577" w:rsidRDefault="007D59EF" w:rsidP="007D59EF">
            <w:pPr>
              <w:spacing w:line="240" w:lineRule="auto"/>
              <w:rPr>
                <w:lang w:val="lt-LT"/>
              </w:rPr>
            </w:pPr>
            <w:r w:rsidRPr="001C7577">
              <w:rPr>
                <w:lang w:val="lt-LT"/>
              </w:rPr>
              <w:t>Nerekomenduojama kartu vartoti</w:t>
            </w:r>
          </w:p>
          <w:p w14:paraId="4911AC7A" w14:textId="77777777" w:rsidR="007D59EF" w:rsidRPr="001C7577" w:rsidRDefault="007D59EF" w:rsidP="007D59EF">
            <w:pPr>
              <w:spacing w:line="240" w:lineRule="auto"/>
              <w:rPr>
                <w:lang w:val="lt-LT"/>
              </w:rPr>
            </w:pPr>
            <w:r w:rsidRPr="001C7577">
              <w:rPr>
                <w:lang w:val="lt-LT"/>
              </w:rPr>
              <w:t>lopinaviro/ritonaviro su kolchicinu, nes gali</w:t>
            </w:r>
          </w:p>
          <w:p w14:paraId="46129278" w14:textId="77777777" w:rsidR="007D59EF" w:rsidRPr="001C7577" w:rsidRDefault="007D59EF" w:rsidP="007D59EF">
            <w:pPr>
              <w:spacing w:line="240" w:lineRule="auto"/>
              <w:rPr>
                <w:lang w:val="lt-LT"/>
              </w:rPr>
            </w:pPr>
            <w:r w:rsidRPr="001C7577">
              <w:rPr>
                <w:lang w:val="lt-LT"/>
              </w:rPr>
              <w:t>padidėti kolchicino toksinis</w:t>
            </w:r>
          </w:p>
          <w:p w14:paraId="5189F0BE" w14:textId="77777777" w:rsidR="007D59EF" w:rsidRPr="001C7577" w:rsidRDefault="007D59EF" w:rsidP="007D59EF">
            <w:pPr>
              <w:spacing w:line="240" w:lineRule="auto"/>
              <w:rPr>
                <w:lang w:val="lt-LT"/>
              </w:rPr>
            </w:pPr>
            <w:r w:rsidRPr="001C7577">
              <w:rPr>
                <w:lang w:val="lt-LT"/>
              </w:rPr>
              <w:lastRenderedPageBreak/>
              <w:t>poveikis nervams ir raumenims</w:t>
            </w:r>
          </w:p>
          <w:p w14:paraId="33E5791F" w14:textId="77777777" w:rsidR="007D59EF" w:rsidRPr="001C7577" w:rsidRDefault="007D59EF" w:rsidP="007D59EF">
            <w:pPr>
              <w:spacing w:line="240" w:lineRule="auto"/>
              <w:rPr>
                <w:lang w:val="lt-LT"/>
              </w:rPr>
            </w:pPr>
            <w:r w:rsidRPr="001C7577">
              <w:rPr>
                <w:lang w:val="lt-LT"/>
              </w:rPr>
              <w:t>(įskaitant rabdomiolizę), ypač</w:t>
            </w:r>
          </w:p>
          <w:p w14:paraId="05647AC6" w14:textId="77777777" w:rsidR="007D59EF" w:rsidRPr="001C7577" w:rsidRDefault="007D59EF" w:rsidP="007D59EF">
            <w:pPr>
              <w:spacing w:line="240" w:lineRule="auto"/>
              <w:rPr>
                <w:lang w:val="lt-LT"/>
              </w:rPr>
            </w:pPr>
            <w:r w:rsidRPr="001C7577">
              <w:rPr>
                <w:lang w:val="lt-LT"/>
              </w:rPr>
              <w:t>pacientams, kuriems yra sutrikusi</w:t>
            </w:r>
          </w:p>
          <w:p w14:paraId="7AC6AF9B" w14:textId="77777777" w:rsidR="007D59EF" w:rsidRPr="001C7577" w:rsidRDefault="007D59EF" w:rsidP="007D59EF">
            <w:pPr>
              <w:spacing w:line="240" w:lineRule="auto"/>
              <w:rPr>
                <w:lang w:val="lt-LT"/>
              </w:rPr>
            </w:pPr>
            <w:r w:rsidRPr="001C7577">
              <w:rPr>
                <w:lang w:val="lt-LT"/>
              </w:rPr>
              <w:t>kepenų ar inkstų veikla (žr. 4.4</w:t>
            </w:r>
          </w:p>
          <w:p w14:paraId="334BB78F" w14:textId="77777777" w:rsidR="007D59EF" w:rsidRPr="001C7577" w:rsidRDefault="007D59EF" w:rsidP="007D59EF">
            <w:pPr>
              <w:spacing w:line="240" w:lineRule="auto"/>
              <w:rPr>
                <w:lang w:val="lt-LT"/>
              </w:rPr>
            </w:pPr>
            <w:r w:rsidRPr="001C7577">
              <w:rPr>
                <w:lang w:val="lt-LT"/>
              </w:rPr>
              <w:t>skyrių).</w:t>
            </w:r>
          </w:p>
        </w:tc>
      </w:tr>
      <w:tr w:rsidR="007D59EF" w:rsidRPr="00705EEC" w14:paraId="4FD7CBBF" w14:textId="77777777" w:rsidTr="001C7577">
        <w:tc>
          <w:tcPr>
            <w:tcW w:w="9286" w:type="dxa"/>
            <w:gridSpan w:val="4"/>
            <w:shd w:val="clear" w:color="auto" w:fill="auto"/>
          </w:tcPr>
          <w:p w14:paraId="40386DC4" w14:textId="77777777" w:rsidR="007D59EF" w:rsidRPr="001C7577" w:rsidRDefault="007D59EF" w:rsidP="007D59EF">
            <w:pPr>
              <w:spacing w:line="240" w:lineRule="auto"/>
              <w:rPr>
                <w:i/>
                <w:lang w:val="lt-LT"/>
              </w:rPr>
            </w:pPr>
            <w:r w:rsidRPr="001C7577">
              <w:rPr>
                <w:i/>
                <w:lang w:val="lt-LT"/>
              </w:rPr>
              <w:lastRenderedPageBreak/>
              <w:t>Antiinfekciniai vaistiniai preparatai</w:t>
            </w:r>
          </w:p>
        </w:tc>
      </w:tr>
      <w:tr w:rsidR="007D59EF" w:rsidRPr="0088318A" w14:paraId="1594808C" w14:textId="77777777" w:rsidTr="001C7577">
        <w:tc>
          <w:tcPr>
            <w:tcW w:w="3143" w:type="dxa"/>
            <w:gridSpan w:val="2"/>
            <w:shd w:val="clear" w:color="auto" w:fill="auto"/>
          </w:tcPr>
          <w:p w14:paraId="24B04C89" w14:textId="77777777" w:rsidR="007D59EF" w:rsidRPr="001C7577" w:rsidRDefault="007D59EF" w:rsidP="007D59EF">
            <w:pPr>
              <w:spacing w:line="240" w:lineRule="auto"/>
              <w:rPr>
                <w:lang w:val="lt-LT"/>
              </w:rPr>
            </w:pPr>
            <w:r w:rsidRPr="001C7577">
              <w:rPr>
                <w:lang w:val="lt-LT"/>
              </w:rPr>
              <w:t xml:space="preserve">Fuzido rūgštis </w:t>
            </w:r>
          </w:p>
          <w:p w14:paraId="1A74D7B3" w14:textId="77777777" w:rsidR="007D59EF" w:rsidRPr="001C7577" w:rsidRDefault="007D59EF" w:rsidP="007D59EF">
            <w:pPr>
              <w:spacing w:line="240" w:lineRule="auto"/>
              <w:rPr>
                <w:lang w:val="lt-LT"/>
              </w:rPr>
            </w:pPr>
          </w:p>
        </w:tc>
        <w:tc>
          <w:tcPr>
            <w:tcW w:w="3047" w:type="dxa"/>
            <w:shd w:val="clear" w:color="auto" w:fill="auto"/>
          </w:tcPr>
          <w:p w14:paraId="0F839CC9" w14:textId="77777777" w:rsidR="007D59EF" w:rsidRPr="001C7577" w:rsidRDefault="007D59EF" w:rsidP="007D59EF">
            <w:pPr>
              <w:spacing w:line="240" w:lineRule="auto"/>
              <w:rPr>
                <w:lang w:val="lt-LT"/>
              </w:rPr>
            </w:pPr>
            <w:r w:rsidRPr="001C7577">
              <w:rPr>
                <w:lang w:val="lt-LT"/>
              </w:rPr>
              <w:t>Fuzido rūgštis:</w:t>
            </w:r>
          </w:p>
          <w:p w14:paraId="47228BAF" w14:textId="77777777" w:rsidR="007D59EF" w:rsidRPr="001C7577" w:rsidRDefault="007D59EF" w:rsidP="007D59EF">
            <w:pPr>
              <w:spacing w:line="240" w:lineRule="auto"/>
              <w:rPr>
                <w:lang w:val="lt-LT"/>
              </w:rPr>
            </w:pPr>
            <w:r w:rsidRPr="001C7577">
              <w:rPr>
                <w:lang w:val="lt-LT"/>
              </w:rPr>
              <w:t>Gali padidėti jos koncentracijos</w:t>
            </w:r>
          </w:p>
          <w:p w14:paraId="1355890D" w14:textId="77777777" w:rsidR="007D59EF" w:rsidRPr="001C7577" w:rsidRDefault="007D59EF" w:rsidP="007D59EF">
            <w:pPr>
              <w:spacing w:line="240" w:lineRule="auto"/>
              <w:rPr>
                <w:lang w:val="lt-LT"/>
              </w:rPr>
            </w:pPr>
            <w:r w:rsidRPr="001C7577">
              <w:rPr>
                <w:lang w:val="lt-LT"/>
              </w:rPr>
              <w:t>dėl CYP3A slopinimo lopinaviru/ritonaviru.</w:t>
            </w:r>
          </w:p>
          <w:p w14:paraId="53776E58" w14:textId="77777777" w:rsidR="007D59EF" w:rsidRPr="001C7577" w:rsidRDefault="007D59EF" w:rsidP="007D59EF">
            <w:pPr>
              <w:spacing w:line="240" w:lineRule="auto"/>
              <w:rPr>
                <w:lang w:val="lt-LT"/>
              </w:rPr>
            </w:pPr>
          </w:p>
        </w:tc>
        <w:tc>
          <w:tcPr>
            <w:tcW w:w="3096" w:type="dxa"/>
            <w:shd w:val="clear" w:color="auto" w:fill="auto"/>
          </w:tcPr>
          <w:p w14:paraId="27D10FC5" w14:textId="77777777" w:rsidR="007D59EF" w:rsidRPr="001C7577" w:rsidRDefault="007D59EF" w:rsidP="007D59EF">
            <w:pPr>
              <w:spacing w:line="240" w:lineRule="auto"/>
              <w:rPr>
                <w:lang w:val="lt-LT"/>
              </w:rPr>
            </w:pPr>
            <w:r w:rsidRPr="001C7577">
              <w:rPr>
                <w:lang w:val="lt-LT"/>
              </w:rPr>
              <w:t>Negalima kartu skirti lopinaviro/ritonaviro su</w:t>
            </w:r>
          </w:p>
          <w:p w14:paraId="1A56BE54" w14:textId="77777777" w:rsidR="007D59EF" w:rsidRPr="001C7577" w:rsidRDefault="007D59EF" w:rsidP="007D59EF">
            <w:pPr>
              <w:spacing w:line="240" w:lineRule="auto"/>
              <w:rPr>
                <w:lang w:val="lt-LT"/>
              </w:rPr>
            </w:pPr>
            <w:r w:rsidRPr="001C7577">
              <w:rPr>
                <w:lang w:val="lt-LT"/>
              </w:rPr>
              <w:t>fuzido rūgštimi esant odos infekcijoms dėl padidėjusio</w:t>
            </w:r>
          </w:p>
          <w:p w14:paraId="0CD0541E" w14:textId="77777777" w:rsidR="007D59EF" w:rsidRPr="001C7577" w:rsidRDefault="007D59EF" w:rsidP="007D59EF">
            <w:pPr>
              <w:spacing w:line="240" w:lineRule="auto"/>
              <w:rPr>
                <w:lang w:val="lt-LT"/>
              </w:rPr>
            </w:pPr>
            <w:r w:rsidRPr="001C7577">
              <w:rPr>
                <w:lang w:val="lt-LT"/>
              </w:rPr>
              <w:t>fuzido rūgšties nepageidaujamų</w:t>
            </w:r>
          </w:p>
          <w:p w14:paraId="2F37ADD5" w14:textId="77777777" w:rsidR="007D59EF" w:rsidRPr="001C7577" w:rsidRDefault="007D59EF" w:rsidP="007D59EF">
            <w:pPr>
              <w:spacing w:line="240" w:lineRule="auto"/>
              <w:rPr>
                <w:lang w:val="lt-LT"/>
              </w:rPr>
            </w:pPr>
            <w:r w:rsidRPr="001C7577">
              <w:rPr>
                <w:lang w:val="lt-LT"/>
              </w:rPr>
              <w:t>reiškinių, ypač rabdomiolizės</w:t>
            </w:r>
          </w:p>
          <w:p w14:paraId="0614A14B" w14:textId="77777777" w:rsidR="007D59EF" w:rsidRPr="001C7577" w:rsidRDefault="007D59EF" w:rsidP="007D59EF">
            <w:pPr>
              <w:spacing w:line="240" w:lineRule="auto"/>
              <w:rPr>
                <w:lang w:val="lt-LT"/>
              </w:rPr>
            </w:pPr>
            <w:r w:rsidRPr="001C7577">
              <w:rPr>
                <w:lang w:val="lt-LT"/>
              </w:rPr>
              <w:t>pavojaus (žr. 4.3 skyrių). Vartojant kaulų ir sąnarių</w:t>
            </w:r>
          </w:p>
          <w:p w14:paraId="607C76B6" w14:textId="77777777" w:rsidR="007D59EF" w:rsidRPr="001C7577" w:rsidRDefault="007D59EF" w:rsidP="007D59EF">
            <w:pPr>
              <w:spacing w:line="240" w:lineRule="auto"/>
              <w:rPr>
                <w:lang w:val="lt-LT"/>
              </w:rPr>
            </w:pPr>
            <w:r w:rsidRPr="001C7577">
              <w:rPr>
                <w:lang w:val="lt-LT"/>
              </w:rPr>
              <w:t>infekcijoms gydyti, kai neišvengiamai reikia skirti kartu,</w:t>
            </w:r>
          </w:p>
          <w:p w14:paraId="21E3145D" w14:textId="77777777" w:rsidR="007D59EF" w:rsidRPr="001C7577" w:rsidRDefault="007D59EF" w:rsidP="007D59EF">
            <w:pPr>
              <w:spacing w:line="240" w:lineRule="auto"/>
              <w:rPr>
                <w:lang w:val="lt-LT"/>
              </w:rPr>
            </w:pPr>
            <w:r w:rsidRPr="001C7577">
              <w:rPr>
                <w:lang w:val="lt-LT"/>
              </w:rPr>
              <w:t>būtina atidžiai stebėti dėl galimų</w:t>
            </w:r>
          </w:p>
          <w:p w14:paraId="1F90EB02" w14:textId="77777777" w:rsidR="007D59EF" w:rsidRPr="001C7577" w:rsidRDefault="007D59EF" w:rsidP="007D59EF">
            <w:pPr>
              <w:spacing w:line="240" w:lineRule="auto"/>
              <w:rPr>
                <w:lang w:val="lt-LT"/>
              </w:rPr>
            </w:pPr>
            <w:r w:rsidRPr="001C7577">
              <w:rPr>
                <w:lang w:val="lt-LT"/>
              </w:rPr>
              <w:t>nepageidaujamų raumenų reiškinių (žr. 4.4 skyrių).</w:t>
            </w:r>
          </w:p>
        </w:tc>
      </w:tr>
      <w:tr w:rsidR="007D59EF" w:rsidRPr="00705EEC" w14:paraId="0DCEC20D" w14:textId="77777777" w:rsidTr="001C7577">
        <w:tc>
          <w:tcPr>
            <w:tcW w:w="9286" w:type="dxa"/>
            <w:gridSpan w:val="4"/>
            <w:shd w:val="clear" w:color="auto" w:fill="auto"/>
          </w:tcPr>
          <w:p w14:paraId="7D144602" w14:textId="77777777" w:rsidR="007D59EF" w:rsidRPr="001C7577" w:rsidRDefault="007D59EF" w:rsidP="007D59EF">
            <w:pPr>
              <w:spacing w:line="240" w:lineRule="auto"/>
              <w:rPr>
                <w:lang w:val="lt-LT"/>
              </w:rPr>
            </w:pPr>
            <w:r w:rsidRPr="001C7577">
              <w:rPr>
                <w:rFonts w:eastAsia="Calibri"/>
                <w:i/>
                <w:iCs/>
                <w:snapToGrid/>
                <w:szCs w:val="22"/>
                <w:lang w:val="lt-LT"/>
              </w:rPr>
              <w:t>Antimikobakteriniai</w:t>
            </w:r>
          </w:p>
        </w:tc>
      </w:tr>
      <w:tr w:rsidR="00CE2F55" w:rsidRPr="0088318A" w14:paraId="2AB46813" w14:textId="77777777" w:rsidTr="00B63114">
        <w:tc>
          <w:tcPr>
            <w:tcW w:w="3095" w:type="dxa"/>
            <w:shd w:val="clear" w:color="auto" w:fill="auto"/>
          </w:tcPr>
          <w:p w14:paraId="4FF721D9" w14:textId="77777777" w:rsidR="00CE2F55" w:rsidRPr="001C7577" w:rsidRDefault="00CE2F55" w:rsidP="007D59EF">
            <w:pPr>
              <w:spacing w:line="240" w:lineRule="auto"/>
              <w:rPr>
                <w:rFonts w:eastAsia="Calibri"/>
                <w:iCs/>
                <w:snapToGrid/>
                <w:szCs w:val="22"/>
                <w:lang w:val="lt-LT"/>
              </w:rPr>
            </w:pPr>
            <w:r w:rsidRPr="001C7577">
              <w:rPr>
                <w:rFonts w:eastAsia="Calibri"/>
                <w:iCs/>
                <w:snapToGrid/>
                <w:szCs w:val="22"/>
                <w:lang w:val="lt-LT"/>
              </w:rPr>
              <w:t>Bedakvilinas</w:t>
            </w:r>
          </w:p>
          <w:p w14:paraId="56DA535A" w14:textId="77777777" w:rsidR="00CE2F55" w:rsidRPr="001C7577" w:rsidRDefault="00CE2F55" w:rsidP="007D59EF">
            <w:pPr>
              <w:spacing w:line="240" w:lineRule="auto"/>
              <w:rPr>
                <w:rFonts w:eastAsia="Calibri"/>
                <w:iCs/>
                <w:snapToGrid/>
                <w:szCs w:val="22"/>
                <w:lang w:val="lt-LT"/>
              </w:rPr>
            </w:pPr>
            <w:r w:rsidRPr="001C7577">
              <w:rPr>
                <w:rFonts w:eastAsia="Calibri"/>
                <w:iCs/>
                <w:snapToGrid/>
                <w:szCs w:val="22"/>
                <w:lang w:val="lt-LT"/>
              </w:rPr>
              <w:t>(vienkartinė dozė)</w:t>
            </w:r>
          </w:p>
          <w:p w14:paraId="10BC9584" w14:textId="77777777" w:rsidR="00CE2F55" w:rsidRPr="001C7577" w:rsidRDefault="00CE2F55" w:rsidP="007D59EF">
            <w:pPr>
              <w:spacing w:line="240" w:lineRule="auto"/>
              <w:rPr>
                <w:rFonts w:eastAsia="Calibri"/>
                <w:iCs/>
                <w:snapToGrid/>
                <w:szCs w:val="22"/>
                <w:lang w:val="lt-LT"/>
              </w:rPr>
            </w:pPr>
          </w:p>
          <w:p w14:paraId="2DC0990F" w14:textId="77777777" w:rsidR="00CE2F55" w:rsidRPr="001C7577" w:rsidRDefault="00CE2F55" w:rsidP="007D59EF">
            <w:pPr>
              <w:spacing w:line="240" w:lineRule="auto"/>
              <w:rPr>
                <w:rFonts w:eastAsia="Calibri"/>
                <w:iCs/>
                <w:snapToGrid/>
                <w:szCs w:val="22"/>
                <w:lang w:val="lt-LT"/>
              </w:rPr>
            </w:pPr>
            <w:r w:rsidRPr="001C7577">
              <w:rPr>
                <w:rFonts w:eastAsia="Calibri"/>
                <w:iCs/>
                <w:snapToGrid/>
                <w:szCs w:val="22"/>
                <w:lang w:val="lt-LT"/>
              </w:rPr>
              <w:t>(Lopinaviro/ritonaviro 400/100 mg du kartus per dieną, kartotinė dozė)</w:t>
            </w:r>
          </w:p>
        </w:tc>
        <w:tc>
          <w:tcPr>
            <w:tcW w:w="3095" w:type="dxa"/>
            <w:gridSpan w:val="2"/>
            <w:shd w:val="clear" w:color="auto" w:fill="auto"/>
          </w:tcPr>
          <w:p w14:paraId="50BC9F74" w14:textId="77777777" w:rsidR="00CE2F55" w:rsidRPr="001C7577" w:rsidRDefault="00CE2F55" w:rsidP="00CE2F55">
            <w:pPr>
              <w:spacing w:line="240" w:lineRule="auto"/>
              <w:rPr>
                <w:lang w:val="lt-LT"/>
              </w:rPr>
            </w:pPr>
            <w:r w:rsidRPr="001C7577">
              <w:rPr>
                <w:lang w:val="lt-LT"/>
              </w:rPr>
              <w:t>Bedakvilinas:</w:t>
            </w:r>
          </w:p>
          <w:p w14:paraId="6F3DF829" w14:textId="77777777" w:rsidR="00CE2F55" w:rsidRPr="001C7577" w:rsidRDefault="00CE2F55" w:rsidP="00CE2F55">
            <w:pPr>
              <w:spacing w:line="240" w:lineRule="auto"/>
              <w:rPr>
                <w:lang w:val="lt-LT"/>
              </w:rPr>
            </w:pPr>
            <w:r w:rsidRPr="001C7577">
              <w:rPr>
                <w:lang w:val="lt-LT"/>
              </w:rPr>
              <w:t>AUC: ↑ 22%</w:t>
            </w:r>
          </w:p>
          <w:p w14:paraId="376620A0" w14:textId="77777777" w:rsidR="00CE2F55" w:rsidRPr="001C7577" w:rsidRDefault="00CE2F55" w:rsidP="00CE2F55">
            <w:pPr>
              <w:spacing w:line="240" w:lineRule="auto"/>
              <w:rPr>
                <w:lang w:val="lt-LT"/>
              </w:rPr>
            </w:pPr>
            <w:r w:rsidRPr="001C7577">
              <w:rPr>
                <w:lang w:val="lt-LT"/>
              </w:rPr>
              <w:t>Cmax: ↔</w:t>
            </w:r>
          </w:p>
          <w:p w14:paraId="63FE6AF9" w14:textId="77777777" w:rsidR="00CE2F55" w:rsidRPr="001C7577" w:rsidRDefault="00CE2F55" w:rsidP="007D59EF">
            <w:pPr>
              <w:spacing w:line="240" w:lineRule="auto"/>
              <w:rPr>
                <w:rFonts w:eastAsia="Calibri"/>
                <w:iCs/>
                <w:snapToGrid/>
                <w:szCs w:val="22"/>
                <w:lang w:val="lt-LT"/>
              </w:rPr>
            </w:pPr>
          </w:p>
          <w:p w14:paraId="325AABEC" w14:textId="77777777" w:rsidR="00CE2F55" w:rsidRPr="001C7577" w:rsidRDefault="00CE2F55" w:rsidP="007D59EF">
            <w:pPr>
              <w:spacing w:line="240" w:lineRule="auto"/>
              <w:rPr>
                <w:rFonts w:eastAsia="Calibri"/>
                <w:iCs/>
                <w:snapToGrid/>
                <w:szCs w:val="22"/>
                <w:lang w:val="lt-LT"/>
              </w:rPr>
            </w:pPr>
            <w:r w:rsidRPr="001C7577">
              <w:rPr>
                <w:rFonts w:eastAsia="Calibri"/>
                <w:iCs/>
                <w:snapToGrid/>
                <w:szCs w:val="22"/>
                <w:lang w:val="lt-LT"/>
              </w:rPr>
              <w:t xml:space="preserve">Stipresnis poveikis bedakvilino ekspozicijai plazmoje pasireiškia esant ilgalaikiam vartojimui kartu su lopinaviru/ritonaviru. </w:t>
            </w:r>
          </w:p>
          <w:p w14:paraId="5B8251ED" w14:textId="77777777" w:rsidR="00CE2F55" w:rsidRPr="001C7577" w:rsidRDefault="00CE2F55" w:rsidP="007D59EF">
            <w:pPr>
              <w:spacing w:line="240" w:lineRule="auto"/>
              <w:rPr>
                <w:rFonts w:eastAsia="Calibri"/>
                <w:iCs/>
                <w:snapToGrid/>
                <w:szCs w:val="22"/>
                <w:lang w:val="lt-LT"/>
              </w:rPr>
            </w:pPr>
            <w:r w:rsidRPr="001C7577">
              <w:rPr>
                <w:rFonts w:eastAsia="Calibri"/>
                <w:iCs/>
                <w:snapToGrid/>
                <w:szCs w:val="22"/>
                <w:lang w:val="lt-LT"/>
              </w:rPr>
              <w:t xml:space="preserve">Greičiausiai dėl lopinaviro/ritonaviro slopinamas </w:t>
            </w:r>
            <w:r w:rsidRPr="001C7577">
              <w:rPr>
                <w:lang w:val="lt-LT"/>
              </w:rPr>
              <w:t>CYP3A4</w:t>
            </w:r>
          </w:p>
        </w:tc>
        <w:tc>
          <w:tcPr>
            <w:tcW w:w="3096" w:type="dxa"/>
            <w:shd w:val="clear" w:color="auto" w:fill="auto"/>
          </w:tcPr>
          <w:p w14:paraId="318DDF18" w14:textId="77777777" w:rsidR="00CE2F55" w:rsidRPr="001C7577" w:rsidRDefault="00CE2F55" w:rsidP="00CE2F55">
            <w:pPr>
              <w:spacing w:line="240" w:lineRule="auto"/>
              <w:rPr>
                <w:rFonts w:eastAsia="Calibri"/>
                <w:iCs/>
                <w:snapToGrid/>
                <w:szCs w:val="22"/>
                <w:lang w:val="lt-LT"/>
              </w:rPr>
            </w:pPr>
            <w:r w:rsidRPr="001C7577">
              <w:rPr>
                <w:rFonts w:eastAsia="Calibri"/>
                <w:iCs/>
                <w:snapToGrid/>
                <w:szCs w:val="22"/>
                <w:lang w:val="lt-LT"/>
              </w:rPr>
              <w:t xml:space="preserve">Dėl su bedakvilino vartojimu susijusio nepageidaujamo poveikio rizikos, reikėtų vengti bedakvilino vartojimo kartu su lopinaviru/ritonaviru. </w:t>
            </w:r>
            <w:r w:rsidRPr="001C7577">
              <w:rPr>
                <w:lang w:val="lt-LT"/>
              </w:rPr>
              <w:t>Jei galima nauda viršija žalą, bedakviliną su lopinaviru/ritonaviru galima vartoti imantis atsargumo priemonių. Rekomenduojamas dažnesnis stebėjimas, atliekant elektrokardiogramas, bei dažnesnis transaminazių kiekio tyrimas (žr. 4.5  skyrių ir bedakvilino PCS).</w:t>
            </w:r>
          </w:p>
        </w:tc>
      </w:tr>
      <w:tr w:rsidR="007D59EF" w:rsidRPr="00705EEC" w14:paraId="5EBB6C74" w14:textId="77777777" w:rsidTr="001C7577">
        <w:tc>
          <w:tcPr>
            <w:tcW w:w="3143" w:type="dxa"/>
            <w:gridSpan w:val="2"/>
            <w:shd w:val="clear" w:color="auto" w:fill="auto"/>
          </w:tcPr>
          <w:p w14:paraId="660957E6" w14:textId="77777777" w:rsidR="007D59EF" w:rsidRPr="001C7577" w:rsidRDefault="007D59EF" w:rsidP="007D59EF">
            <w:pPr>
              <w:spacing w:line="240" w:lineRule="auto"/>
              <w:rPr>
                <w:lang w:val="lt-LT"/>
              </w:rPr>
            </w:pPr>
            <w:r w:rsidRPr="001C7577">
              <w:rPr>
                <w:lang w:val="lt-LT"/>
              </w:rPr>
              <w:t xml:space="preserve">Rifabutinas, 150 mg QD </w:t>
            </w:r>
          </w:p>
          <w:p w14:paraId="0F7DF8D6" w14:textId="77777777" w:rsidR="007D59EF" w:rsidRPr="001C7577" w:rsidRDefault="007D59EF" w:rsidP="007D59EF">
            <w:pPr>
              <w:spacing w:line="240" w:lineRule="auto"/>
              <w:rPr>
                <w:lang w:val="lt-LT"/>
              </w:rPr>
            </w:pPr>
          </w:p>
        </w:tc>
        <w:tc>
          <w:tcPr>
            <w:tcW w:w="3047" w:type="dxa"/>
            <w:shd w:val="clear" w:color="auto" w:fill="auto"/>
          </w:tcPr>
          <w:p w14:paraId="6EBFDAE5" w14:textId="77777777" w:rsidR="007D59EF" w:rsidRPr="001C7577" w:rsidRDefault="007D59EF" w:rsidP="007D59EF">
            <w:pPr>
              <w:spacing w:line="240" w:lineRule="auto"/>
              <w:rPr>
                <w:lang w:val="lt-LT"/>
              </w:rPr>
            </w:pPr>
            <w:r w:rsidRPr="001C7577">
              <w:rPr>
                <w:lang w:val="lt-LT"/>
              </w:rPr>
              <w:t>Rifabutinas (bazinis vaistas ir aktyvus 25-O-desacetylio metabolitas):</w:t>
            </w:r>
          </w:p>
          <w:p w14:paraId="513D6306" w14:textId="77777777" w:rsidR="007D59EF" w:rsidRPr="001C7577" w:rsidRDefault="007D59EF" w:rsidP="007D59EF">
            <w:pPr>
              <w:spacing w:line="240" w:lineRule="auto"/>
              <w:rPr>
                <w:lang w:val="lt-LT"/>
              </w:rPr>
            </w:pPr>
            <w:r w:rsidRPr="001C7577">
              <w:rPr>
                <w:lang w:val="lt-LT"/>
              </w:rPr>
              <w:t>AUC: ↑ 5.7-kartų</w:t>
            </w:r>
          </w:p>
          <w:p w14:paraId="3B0CC34F"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3.5-kartų</w:t>
            </w:r>
          </w:p>
          <w:p w14:paraId="73AD7747" w14:textId="77777777" w:rsidR="007D59EF" w:rsidRPr="001C7577" w:rsidRDefault="007D59EF" w:rsidP="007D59EF">
            <w:pPr>
              <w:spacing w:line="240" w:lineRule="auto"/>
              <w:rPr>
                <w:lang w:val="lt-LT"/>
              </w:rPr>
            </w:pPr>
          </w:p>
        </w:tc>
        <w:tc>
          <w:tcPr>
            <w:tcW w:w="3096" w:type="dxa"/>
            <w:shd w:val="clear" w:color="auto" w:fill="auto"/>
          </w:tcPr>
          <w:p w14:paraId="60C5C6DE" w14:textId="77777777" w:rsidR="007D59EF" w:rsidRPr="001C7577" w:rsidRDefault="007D59EF" w:rsidP="007D59EF">
            <w:pPr>
              <w:spacing w:line="240" w:lineRule="auto"/>
              <w:rPr>
                <w:lang w:val="lt-LT"/>
              </w:rPr>
            </w:pPr>
            <w:r w:rsidRPr="001C7577">
              <w:rPr>
                <w:lang w:val="lt-LT"/>
              </w:rPr>
              <w:t>Kai skiriama kartu su lopinaviru/ritonaviru rekomenduojama rifabutino dozė</w:t>
            </w:r>
          </w:p>
          <w:p w14:paraId="1E6B1807" w14:textId="77777777" w:rsidR="007D59EF" w:rsidRPr="001C7577" w:rsidRDefault="007D59EF" w:rsidP="007D59EF">
            <w:pPr>
              <w:spacing w:line="240" w:lineRule="auto"/>
              <w:rPr>
                <w:lang w:val="lt-LT"/>
              </w:rPr>
            </w:pPr>
            <w:r w:rsidRPr="001C7577">
              <w:rPr>
                <w:lang w:val="lt-LT"/>
              </w:rPr>
              <w:t>yra po 150 mg 3 kartus per savaitę nustatytomis dienomis (pvz, pirmadienį-trečiadienį-penktadienį). Dėl tikėtinos padidėjusios rifabutino ekspozicijos būtina atidžiau stebėti dėl su rifabutinu susijusių</w:t>
            </w:r>
          </w:p>
          <w:p w14:paraId="0D85952B" w14:textId="77777777" w:rsidR="007D59EF" w:rsidRPr="001C7577" w:rsidRDefault="007D59EF" w:rsidP="007D59EF">
            <w:pPr>
              <w:spacing w:line="240" w:lineRule="auto"/>
              <w:rPr>
                <w:lang w:val="lt-LT"/>
              </w:rPr>
            </w:pPr>
            <w:r w:rsidRPr="001C7577">
              <w:rPr>
                <w:lang w:val="lt-LT"/>
              </w:rPr>
              <w:t>nepageidaujamų reakcijų, įskaitant neutropeniją ir uveitą, pasireiškimo. Pacientams, kurie</w:t>
            </w:r>
          </w:p>
          <w:p w14:paraId="58B8572E" w14:textId="77777777" w:rsidR="007D59EF" w:rsidRPr="001C7577" w:rsidRDefault="007D59EF" w:rsidP="007D59EF">
            <w:pPr>
              <w:spacing w:line="240" w:lineRule="auto"/>
              <w:rPr>
                <w:lang w:val="lt-LT"/>
              </w:rPr>
            </w:pPr>
            <w:r w:rsidRPr="001C7577">
              <w:rPr>
                <w:lang w:val="lt-LT"/>
              </w:rPr>
              <w:t>netoleruoja 150 mg rifabutino</w:t>
            </w:r>
          </w:p>
          <w:p w14:paraId="32F56145" w14:textId="77777777" w:rsidR="007D59EF" w:rsidRPr="001C7577" w:rsidRDefault="007D59EF" w:rsidP="007D59EF">
            <w:pPr>
              <w:spacing w:line="240" w:lineRule="auto"/>
              <w:rPr>
                <w:lang w:val="lt-LT"/>
              </w:rPr>
            </w:pPr>
            <w:r w:rsidRPr="001C7577">
              <w:rPr>
                <w:lang w:val="lt-LT"/>
              </w:rPr>
              <w:t>dozės 3 kartus per savaitę, ją</w:t>
            </w:r>
          </w:p>
          <w:p w14:paraId="0AA15A94" w14:textId="77777777" w:rsidR="007D59EF" w:rsidRPr="001C7577" w:rsidRDefault="007D59EF" w:rsidP="007D59EF">
            <w:pPr>
              <w:spacing w:line="240" w:lineRule="auto"/>
              <w:rPr>
                <w:lang w:val="lt-LT"/>
              </w:rPr>
            </w:pPr>
            <w:r w:rsidRPr="001C7577">
              <w:rPr>
                <w:lang w:val="lt-LT"/>
              </w:rPr>
              <w:lastRenderedPageBreak/>
              <w:t>reikia mažinti iki 150 mg 2 kartus</w:t>
            </w:r>
          </w:p>
          <w:p w14:paraId="6B1C9051" w14:textId="77777777" w:rsidR="007D59EF" w:rsidRPr="001C7577" w:rsidRDefault="007D59EF" w:rsidP="007D59EF">
            <w:pPr>
              <w:spacing w:line="240" w:lineRule="auto"/>
              <w:rPr>
                <w:lang w:val="lt-LT"/>
              </w:rPr>
            </w:pPr>
            <w:r w:rsidRPr="001C7577">
              <w:rPr>
                <w:lang w:val="lt-LT"/>
              </w:rPr>
              <w:t>per savaitę, skiriant nustatytomis</w:t>
            </w:r>
          </w:p>
          <w:p w14:paraId="41D9683D" w14:textId="77777777" w:rsidR="007D59EF" w:rsidRPr="001C7577" w:rsidRDefault="007D59EF" w:rsidP="007D59EF">
            <w:pPr>
              <w:spacing w:line="240" w:lineRule="auto"/>
              <w:rPr>
                <w:lang w:val="lt-LT"/>
              </w:rPr>
            </w:pPr>
            <w:r w:rsidRPr="001C7577">
              <w:rPr>
                <w:lang w:val="lt-LT"/>
              </w:rPr>
              <w:t>dienomis. Reikia prisiminti, kad</w:t>
            </w:r>
          </w:p>
          <w:p w14:paraId="4C80CCE4" w14:textId="77777777" w:rsidR="007D59EF" w:rsidRPr="001C7577" w:rsidRDefault="007D59EF" w:rsidP="007D59EF">
            <w:pPr>
              <w:spacing w:line="240" w:lineRule="auto"/>
              <w:rPr>
                <w:lang w:val="lt-LT"/>
              </w:rPr>
            </w:pPr>
            <w:r w:rsidRPr="001C7577">
              <w:rPr>
                <w:lang w:val="lt-LT"/>
              </w:rPr>
              <w:t>du kartus per savaitę vartojama</w:t>
            </w:r>
          </w:p>
          <w:p w14:paraId="044133C7" w14:textId="77777777" w:rsidR="007D59EF" w:rsidRPr="001C7577" w:rsidRDefault="007D59EF" w:rsidP="007D59EF">
            <w:pPr>
              <w:spacing w:line="240" w:lineRule="auto"/>
              <w:rPr>
                <w:lang w:val="lt-LT"/>
              </w:rPr>
            </w:pPr>
            <w:r w:rsidRPr="001C7577">
              <w:rPr>
                <w:lang w:val="lt-LT"/>
              </w:rPr>
              <w:t>150 mg rifabutino dozė gali nesukelti optimalios preparato</w:t>
            </w:r>
          </w:p>
          <w:p w14:paraId="546C10D0" w14:textId="77777777" w:rsidR="007D59EF" w:rsidRPr="001C7577" w:rsidRDefault="007D59EF" w:rsidP="007D59EF">
            <w:pPr>
              <w:spacing w:line="240" w:lineRule="auto"/>
              <w:rPr>
                <w:lang w:val="lt-LT"/>
              </w:rPr>
            </w:pPr>
            <w:r w:rsidRPr="001C7577">
              <w:rPr>
                <w:lang w:val="lt-LT"/>
              </w:rPr>
              <w:t>ekspozicijos, todėl gali padidėti</w:t>
            </w:r>
          </w:p>
          <w:p w14:paraId="50CDEC41" w14:textId="77777777" w:rsidR="007D59EF" w:rsidRPr="001C7577" w:rsidRDefault="007D59EF" w:rsidP="007D59EF">
            <w:pPr>
              <w:spacing w:line="240" w:lineRule="auto"/>
              <w:rPr>
                <w:lang w:val="lt-LT"/>
              </w:rPr>
            </w:pPr>
            <w:r w:rsidRPr="001C7577">
              <w:rPr>
                <w:lang w:val="lt-LT"/>
              </w:rPr>
              <w:t>rezistentiškumo rifamicinui ir</w:t>
            </w:r>
          </w:p>
          <w:p w14:paraId="06ED5AA6" w14:textId="77777777" w:rsidR="007D59EF" w:rsidRPr="001C7577" w:rsidRDefault="007D59EF" w:rsidP="007D59EF">
            <w:pPr>
              <w:spacing w:line="240" w:lineRule="auto"/>
              <w:rPr>
                <w:lang w:val="lt-LT"/>
              </w:rPr>
            </w:pPr>
            <w:r w:rsidRPr="001C7577">
              <w:rPr>
                <w:lang w:val="lt-LT"/>
              </w:rPr>
              <w:t>neveiksmingo gydymo rizika.</w:t>
            </w:r>
          </w:p>
          <w:p w14:paraId="5ABB4E65" w14:textId="77777777" w:rsidR="007D59EF" w:rsidRPr="001C7577" w:rsidRDefault="007D59EF" w:rsidP="007D59EF">
            <w:pPr>
              <w:spacing w:line="240" w:lineRule="auto"/>
              <w:rPr>
                <w:lang w:val="lt-LT"/>
              </w:rPr>
            </w:pPr>
            <w:r w:rsidRPr="001C7577">
              <w:rPr>
                <w:lang w:val="lt-LT"/>
              </w:rPr>
              <w:t>Lopinaviro/ritonaviro dozes koreguoti nereikia.</w:t>
            </w:r>
          </w:p>
        </w:tc>
      </w:tr>
      <w:tr w:rsidR="007D59EF" w:rsidRPr="0088318A" w14:paraId="2121653C" w14:textId="77777777" w:rsidTr="001C7577">
        <w:tc>
          <w:tcPr>
            <w:tcW w:w="3143" w:type="dxa"/>
            <w:gridSpan w:val="2"/>
            <w:shd w:val="clear" w:color="auto" w:fill="auto"/>
          </w:tcPr>
          <w:p w14:paraId="573C9055" w14:textId="77777777" w:rsidR="007D59EF" w:rsidRPr="001C7577" w:rsidRDefault="007D59EF" w:rsidP="007D59EF">
            <w:pPr>
              <w:spacing w:line="240" w:lineRule="auto"/>
              <w:rPr>
                <w:lang w:val="lt-LT"/>
              </w:rPr>
            </w:pPr>
            <w:r w:rsidRPr="001C7577">
              <w:rPr>
                <w:lang w:val="lt-LT"/>
              </w:rPr>
              <w:lastRenderedPageBreak/>
              <w:t xml:space="preserve">Rifampicinas </w:t>
            </w:r>
          </w:p>
          <w:p w14:paraId="4979DFD3" w14:textId="77777777" w:rsidR="007D59EF" w:rsidRPr="001C7577" w:rsidRDefault="007D59EF" w:rsidP="007D59EF">
            <w:pPr>
              <w:spacing w:line="240" w:lineRule="auto"/>
              <w:rPr>
                <w:lang w:val="lt-LT"/>
              </w:rPr>
            </w:pPr>
          </w:p>
        </w:tc>
        <w:tc>
          <w:tcPr>
            <w:tcW w:w="3047" w:type="dxa"/>
            <w:shd w:val="clear" w:color="auto" w:fill="auto"/>
          </w:tcPr>
          <w:p w14:paraId="638C7E69" w14:textId="77777777" w:rsidR="007D59EF" w:rsidRPr="001C7577" w:rsidRDefault="007D59EF" w:rsidP="007D59EF">
            <w:pPr>
              <w:spacing w:line="240" w:lineRule="auto"/>
              <w:rPr>
                <w:lang w:val="lt-LT"/>
              </w:rPr>
            </w:pPr>
            <w:r w:rsidRPr="001C7577">
              <w:rPr>
                <w:lang w:val="lt-LT"/>
              </w:rPr>
              <w:t>Lopinaviras:</w:t>
            </w:r>
          </w:p>
          <w:p w14:paraId="1FDA7D67" w14:textId="77777777" w:rsidR="007D59EF" w:rsidRPr="001C7577" w:rsidRDefault="007D59EF" w:rsidP="007D59EF">
            <w:pPr>
              <w:spacing w:line="240" w:lineRule="auto"/>
              <w:rPr>
                <w:lang w:val="lt-LT"/>
              </w:rPr>
            </w:pPr>
            <w:r w:rsidRPr="001C7577">
              <w:rPr>
                <w:lang w:val="lt-LT"/>
              </w:rPr>
              <w:t>Didelis lopinaviro koncentracijos</w:t>
            </w:r>
          </w:p>
          <w:p w14:paraId="1C09AA8B" w14:textId="77777777" w:rsidR="007D59EF" w:rsidRPr="001C7577" w:rsidRDefault="007D59EF" w:rsidP="007D59EF">
            <w:pPr>
              <w:spacing w:line="240" w:lineRule="auto"/>
              <w:rPr>
                <w:lang w:val="lt-LT"/>
              </w:rPr>
            </w:pPr>
            <w:r w:rsidRPr="001C7577">
              <w:rPr>
                <w:lang w:val="lt-LT"/>
              </w:rPr>
              <w:t>sumažėjimas yra stebimas, nes</w:t>
            </w:r>
          </w:p>
          <w:p w14:paraId="39E04CF8" w14:textId="77777777" w:rsidR="007D59EF" w:rsidRPr="001C7577" w:rsidRDefault="007D59EF" w:rsidP="007D59EF">
            <w:pPr>
              <w:spacing w:line="240" w:lineRule="auto"/>
              <w:rPr>
                <w:lang w:val="lt-LT"/>
              </w:rPr>
            </w:pPr>
            <w:r w:rsidRPr="001C7577">
              <w:rPr>
                <w:lang w:val="lt-LT"/>
              </w:rPr>
              <w:t>rifampicinas indukuoja CYP3A.</w:t>
            </w:r>
          </w:p>
          <w:p w14:paraId="6CF5A1F4" w14:textId="77777777" w:rsidR="007D59EF" w:rsidRPr="001C7577" w:rsidRDefault="007D59EF" w:rsidP="007D59EF">
            <w:pPr>
              <w:spacing w:line="240" w:lineRule="auto"/>
              <w:rPr>
                <w:lang w:val="lt-LT"/>
              </w:rPr>
            </w:pPr>
          </w:p>
        </w:tc>
        <w:tc>
          <w:tcPr>
            <w:tcW w:w="3096" w:type="dxa"/>
            <w:shd w:val="clear" w:color="auto" w:fill="auto"/>
          </w:tcPr>
          <w:p w14:paraId="26530202" w14:textId="77777777" w:rsidR="007D59EF" w:rsidRPr="001C7577" w:rsidRDefault="007D59EF" w:rsidP="007D59EF">
            <w:pPr>
              <w:spacing w:line="240" w:lineRule="auto"/>
              <w:rPr>
                <w:lang w:val="lt-LT"/>
              </w:rPr>
            </w:pPr>
            <w:r w:rsidRPr="001C7577">
              <w:rPr>
                <w:lang w:val="lt-LT"/>
              </w:rPr>
              <w:t>Kartu skirti lopinavir</w:t>
            </w:r>
            <w:r w:rsidRPr="00705EEC">
              <w:rPr>
                <w:lang w:val="lt-LT"/>
              </w:rPr>
              <w:t>ą/ritonavirą</w:t>
            </w:r>
            <w:r w:rsidRPr="001C7577">
              <w:rPr>
                <w:lang w:val="lt-LT"/>
              </w:rPr>
              <w:t xml:space="preserve"> ir rifampiciną nerekomenduojama, nes sumažėja lopinaviro koncentracija ir mažėja terapinis jo poveikis. Lopinaviro/ritonaviro dozes koregavimas 400 mg/400 mg (t.y. lopinaviras/ritonaviras</w:t>
            </w:r>
          </w:p>
          <w:p w14:paraId="5980BDA6" w14:textId="77777777" w:rsidR="007D59EF" w:rsidRPr="001C7577" w:rsidRDefault="007D59EF" w:rsidP="007D59EF">
            <w:pPr>
              <w:spacing w:line="240" w:lineRule="auto"/>
              <w:rPr>
                <w:lang w:val="lt-LT"/>
              </w:rPr>
            </w:pPr>
            <w:r w:rsidRPr="001C7577">
              <w:rPr>
                <w:lang w:val="lt-LT"/>
              </w:rPr>
              <w:t>400/100 mg + ritonaviras 300</w:t>
            </w:r>
          </w:p>
          <w:p w14:paraId="3AF8689D" w14:textId="77777777" w:rsidR="007D59EF" w:rsidRPr="001C7577" w:rsidRDefault="007D59EF" w:rsidP="007D59EF">
            <w:pPr>
              <w:spacing w:line="240" w:lineRule="auto"/>
              <w:rPr>
                <w:lang w:val="lt-LT"/>
              </w:rPr>
            </w:pPr>
            <w:r w:rsidRPr="001C7577">
              <w:rPr>
                <w:lang w:val="lt-LT"/>
              </w:rPr>
              <w:t>mg) du kartus per parą sudarė</w:t>
            </w:r>
          </w:p>
          <w:p w14:paraId="66D22AAC" w14:textId="77777777" w:rsidR="007D59EF" w:rsidRPr="001C7577" w:rsidRDefault="007D59EF" w:rsidP="007D59EF">
            <w:pPr>
              <w:spacing w:line="240" w:lineRule="auto"/>
              <w:rPr>
                <w:lang w:val="lt-LT"/>
              </w:rPr>
            </w:pPr>
            <w:r w:rsidRPr="001C7577">
              <w:rPr>
                <w:lang w:val="lt-LT"/>
              </w:rPr>
              <w:t>sąlygas kompensuoti CYP 3A4</w:t>
            </w:r>
          </w:p>
          <w:p w14:paraId="27BBE7F2" w14:textId="77777777" w:rsidR="007D59EF" w:rsidRPr="001C7577" w:rsidRDefault="007D59EF" w:rsidP="007D59EF">
            <w:pPr>
              <w:spacing w:line="240" w:lineRule="auto"/>
              <w:rPr>
                <w:lang w:val="lt-LT"/>
              </w:rPr>
            </w:pPr>
            <w:r w:rsidRPr="001C7577">
              <w:rPr>
                <w:lang w:val="lt-LT"/>
              </w:rPr>
              <w:t>poveikį. Nors toks dozės</w:t>
            </w:r>
          </w:p>
          <w:p w14:paraId="6EBDF21F" w14:textId="77777777" w:rsidR="007D59EF" w:rsidRPr="001C7577" w:rsidRDefault="007D59EF" w:rsidP="007D59EF">
            <w:pPr>
              <w:spacing w:line="240" w:lineRule="auto"/>
              <w:rPr>
                <w:lang w:val="lt-LT"/>
              </w:rPr>
            </w:pPr>
            <w:r w:rsidRPr="001C7577">
              <w:rPr>
                <w:lang w:val="lt-LT"/>
              </w:rPr>
              <w:t>koregavimas gali būti susijęs su</w:t>
            </w:r>
          </w:p>
          <w:p w14:paraId="07FE8CD8" w14:textId="77777777" w:rsidR="007D59EF" w:rsidRPr="001C7577" w:rsidRDefault="007D59EF" w:rsidP="007D59EF">
            <w:pPr>
              <w:spacing w:line="240" w:lineRule="auto"/>
              <w:rPr>
                <w:lang w:val="lt-LT"/>
              </w:rPr>
            </w:pPr>
            <w:r w:rsidRPr="001C7577">
              <w:rPr>
                <w:lang w:val="lt-LT"/>
              </w:rPr>
              <w:t>ALT/AST aktyvumo padidėjimu ir virškinimo trakto sutrikimų</w:t>
            </w:r>
          </w:p>
          <w:p w14:paraId="4B6DFE6E" w14:textId="77777777" w:rsidR="007D59EF" w:rsidRPr="001C7577" w:rsidRDefault="007D59EF" w:rsidP="007D59EF">
            <w:pPr>
              <w:spacing w:line="240" w:lineRule="auto"/>
              <w:rPr>
                <w:lang w:val="lt-LT"/>
              </w:rPr>
            </w:pPr>
            <w:r w:rsidRPr="001C7577">
              <w:rPr>
                <w:lang w:val="lt-LT"/>
              </w:rPr>
              <w:t>padažnėjimu. Taigi, reikia vengti</w:t>
            </w:r>
          </w:p>
          <w:p w14:paraId="55C69222" w14:textId="77777777" w:rsidR="007D59EF" w:rsidRPr="001C7577" w:rsidRDefault="007D59EF" w:rsidP="007D59EF">
            <w:pPr>
              <w:spacing w:line="240" w:lineRule="auto"/>
              <w:rPr>
                <w:lang w:val="lt-LT"/>
              </w:rPr>
            </w:pPr>
            <w:r w:rsidRPr="001C7577">
              <w:rPr>
                <w:lang w:val="lt-LT"/>
              </w:rPr>
              <w:t>kartu skirti šiuos vaistus, nebent</w:t>
            </w:r>
          </w:p>
          <w:p w14:paraId="3DE109D4" w14:textId="77777777" w:rsidR="007D59EF" w:rsidRPr="001C7577" w:rsidRDefault="007D59EF" w:rsidP="007D59EF">
            <w:pPr>
              <w:spacing w:line="240" w:lineRule="auto"/>
              <w:rPr>
                <w:lang w:val="lt-LT"/>
              </w:rPr>
            </w:pPr>
            <w:r w:rsidRPr="001C7577">
              <w:rPr>
                <w:lang w:val="lt-LT"/>
              </w:rPr>
              <w:t>tai neabejotinai būtina. Jei</w:t>
            </w:r>
          </w:p>
          <w:p w14:paraId="7D42DDEF" w14:textId="77777777" w:rsidR="007D59EF" w:rsidRPr="001C7577" w:rsidRDefault="007D59EF" w:rsidP="007D59EF">
            <w:pPr>
              <w:spacing w:line="240" w:lineRule="auto"/>
              <w:rPr>
                <w:lang w:val="lt-LT"/>
              </w:rPr>
            </w:pPr>
            <w:r w:rsidRPr="001C7577">
              <w:rPr>
                <w:lang w:val="lt-LT"/>
              </w:rPr>
              <w:t>nuspręsta, kad toks vaistų derinys</w:t>
            </w:r>
          </w:p>
          <w:p w14:paraId="09490473" w14:textId="77777777" w:rsidR="007D59EF" w:rsidRPr="001C7577" w:rsidRDefault="007D59EF" w:rsidP="007D59EF">
            <w:pPr>
              <w:spacing w:line="240" w:lineRule="auto"/>
              <w:rPr>
                <w:lang w:val="lt-LT"/>
              </w:rPr>
            </w:pPr>
            <w:r w:rsidRPr="001C7577">
              <w:rPr>
                <w:lang w:val="lt-LT"/>
              </w:rPr>
              <w:t>yra būtinas, tai galima skirti</w:t>
            </w:r>
          </w:p>
          <w:p w14:paraId="513C7589" w14:textId="77777777" w:rsidR="007D59EF" w:rsidRPr="001C7577" w:rsidRDefault="007D59EF" w:rsidP="007D59EF">
            <w:pPr>
              <w:spacing w:line="240" w:lineRule="auto"/>
              <w:rPr>
                <w:lang w:val="lt-LT"/>
              </w:rPr>
            </w:pPr>
            <w:r w:rsidRPr="001C7577">
              <w:rPr>
                <w:lang w:val="lt-LT"/>
              </w:rPr>
              <w:t>padidintą lopinaviro/ritonaviro dozę iki 400 mg/400 mg du kartus per parą kartu su rifampicinu, atidžiai stebint saugumą ir terapinį</w:t>
            </w:r>
          </w:p>
          <w:p w14:paraId="1775E6BB" w14:textId="77777777" w:rsidR="007D59EF" w:rsidRPr="001C7577" w:rsidRDefault="007D59EF" w:rsidP="007D59EF">
            <w:pPr>
              <w:spacing w:line="240" w:lineRule="auto"/>
              <w:rPr>
                <w:lang w:val="lt-LT"/>
              </w:rPr>
            </w:pPr>
            <w:r w:rsidRPr="001C7577">
              <w:rPr>
                <w:lang w:val="lt-LT"/>
              </w:rPr>
              <w:t>poveikį. Reikia titruoti lopinaviro/ritonaviro dozę pradėjus gydymą rifampicinu (žr. 4.4 skyrių).</w:t>
            </w:r>
          </w:p>
        </w:tc>
      </w:tr>
      <w:tr w:rsidR="007D59EF" w:rsidRPr="00705EEC" w14:paraId="307DC3CD" w14:textId="77777777" w:rsidTr="001C7577">
        <w:tc>
          <w:tcPr>
            <w:tcW w:w="9286" w:type="dxa"/>
            <w:gridSpan w:val="4"/>
            <w:shd w:val="clear" w:color="auto" w:fill="auto"/>
          </w:tcPr>
          <w:p w14:paraId="19356559" w14:textId="77777777" w:rsidR="007D59EF" w:rsidRPr="001C7577" w:rsidRDefault="007D59EF" w:rsidP="007D59EF">
            <w:pPr>
              <w:spacing w:line="240" w:lineRule="auto"/>
              <w:rPr>
                <w:lang w:val="lt-LT"/>
              </w:rPr>
            </w:pPr>
            <w:r w:rsidRPr="001C7577">
              <w:rPr>
                <w:rFonts w:eastAsia="Calibri"/>
                <w:i/>
                <w:iCs/>
                <w:snapToGrid/>
                <w:szCs w:val="22"/>
                <w:lang w:val="lt-LT"/>
              </w:rPr>
              <w:t>Benzodiazepinai</w:t>
            </w:r>
          </w:p>
        </w:tc>
      </w:tr>
      <w:tr w:rsidR="007D59EF" w:rsidRPr="00705EEC" w14:paraId="7106BAF2" w14:textId="77777777" w:rsidTr="001C7577">
        <w:tc>
          <w:tcPr>
            <w:tcW w:w="3143" w:type="dxa"/>
            <w:gridSpan w:val="2"/>
            <w:shd w:val="clear" w:color="auto" w:fill="auto"/>
          </w:tcPr>
          <w:p w14:paraId="63CD595A" w14:textId="77777777" w:rsidR="007D59EF" w:rsidRPr="001C7577" w:rsidRDefault="007D59EF" w:rsidP="007D59EF">
            <w:pPr>
              <w:spacing w:line="240" w:lineRule="auto"/>
              <w:rPr>
                <w:lang w:val="lt-LT"/>
              </w:rPr>
            </w:pPr>
            <w:r w:rsidRPr="001C7577">
              <w:rPr>
                <w:lang w:val="lt-LT"/>
              </w:rPr>
              <w:t xml:space="preserve">Midazolamas </w:t>
            </w:r>
          </w:p>
          <w:p w14:paraId="57E9AF48" w14:textId="77777777" w:rsidR="007D59EF" w:rsidRPr="001C7577" w:rsidRDefault="007D59EF" w:rsidP="007D59EF">
            <w:pPr>
              <w:spacing w:line="240" w:lineRule="auto"/>
              <w:rPr>
                <w:lang w:val="lt-LT"/>
              </w:rPr>
            </w:pPr>
          </w:p>
        </w:tc>
        <w:tc>
          <w:tcPr>
            <w:tcW w:w="3047" w:type="dxa"/>
            <w:shd w:val="clear" w:color="auto" w:fill="auto"/>
          </w:tcPr>
          <w:p w14:paraId="3AF631FA" w14:textId="77777777" w:rsidR="007D59EF" w:rsidRPr="001C7577" w:rsidRDefault="007D59EF" w:rsidP="007D59EF">
            <w:pPr>
              <w:spacing w:line="240" w:lineRule="auto"/>
              <w:rPr>
                <w:lang w:val="lt-LT"/>
              </w:rPr>
            </w:pPr>
            <w:r w:rsidRPr="001C7577">
              <w:rPr>
                <w:lang w:val="lt-LT"/>
              </w:rPr>
              <w:t>Geriamas midazolamas:</w:t>
            </w:r>
          </w:p>
          <w:p w14:paraId="11E80EFA" w14:textId="77777777" w:rsidR="007D59EF" w:rsidRPr="001C7577" w:rsidRDefault="007D59EF" w:rsidP="007D59EF">
            <w:pPr>
              <w:spacing w:line="240" w:lineRule="auto"/>
              <w:rPr>
                <w:lang w:val="lt-LT"/>
              </w:rPr>
            </w:pPr>
            <w:r w:rsidRPr="001C7577">
              <w:rPr>
                <w:lang w:val="lt-LT"/>
              </w:rPr>
              <w:t>AUC: ↑ 13-kartų</w:t>
            </w:r>
          </w:p>
          <w:p w14:paraId="0E93476B" w14:textId="77777777" w:rsidR="007D59EF" w:rsidRPr="001C7577" w:rsidRDefault="007D59EF" w:rsidP="007D59EF">
            <w:pPr>
              <w:spacing w:line="240" w:lineRule="auto"/>
              <w:rPr>
                <w:lang w:val="lt-LT"/>
              </w:rPr>
            </w:pPr>
          </w:p>
          <w:p w14:paraId="432788FF" w14:textId="77777777" w:rsidR="007D59EF" w:rsidRPr="001C7577" w:rsidRDefault="007D59EF" w:rsidP="007D59EF">
            <w:pPr>
              <w:spacing w:line="240" w:lineRule="auto"/>
              <w:rPr>
                <w:lang w:val="lt-LT"/>
              </w:rPr>
            </w:pPr>
            <w:r w:rsidRPr="001C7577">
              <w:rPr>
                <w:lang w:val="lt-LT"/>
              </w:rPr>
              <w:t>Parenteralinis midazolamas:</w:t>
            </w:r>
          </w:p>
          <w:p w14:paraId="5EBF7028" w14:textId="77777777" w:rsidR="007D59EF" w:rsidRPr="001C7577" w:rsidRDefault="007D59EF" w:rsidP="007D59EF">
            <w:pPr>
              <w:spacing w:line="240" w:lineRule="auto"/>
              <w:rPr>
                <w:lang w:val="lt-LT"/>
              </w:rPr>
            </w:pPr>
            <w:r w:rsidRPr="001C7577">
              <w:rPr>
                <w:lang w:val="lt-LT"/>
              </w:rPr>
              <w:t>AUC: ↑ 4-kartų</w:t>
            </w:r>
          </w:p>
          <w:p w14:paraId="713EA058" w14:textId="77777777" w:rsidR="007D59EF" w:rsidRPr="001C7577" w:rsidRDefault="007D59EF" w:rsidP="007D59EF">
            <w:pPr>
              <w:spacing w:line="240" w:lineRule="auto"/>
              <w:rPr>
                <w:lang w:val="lt-LT"/>
              </w:rPr>
            </w:pPr>
            <w:r w:rsidRPr="001C7577">
              <w:rPr>
                <w:lang w:val="lt-LT"/>
              </w:rPr>
              <w:lastRenderedPageBreak/>
              <w:t>Dėl CYP3A inhibavimo lopinaviru/ritonaviru</w:t>
            </w:r>
          </w:p>
          <w:p w14:paraId="0A9A4CCE" w14:textId="77777777" w:rsidR="007D59EF" w:rsidRPr="001C7577" w:rsidRDefault="007D59EF" w:rsidP="007D59EF">
            <w:pPr>
              <w:spacing w:line="240" w:lineRule="auto"/>
              <w:rPr>
                <w:lang w:val="lt-LT"/>
              </w:rPr>
            </w:pPr>
          </w:p>
        </w:tc>
        <w:tc>
          <w:tcPr>
            <w:tcW w:w="3096" w:type="dxa"/>
            <w:shd w:val="clear" w:color="auto" w:fill="auto"/>
          </w:tcPr>
          <w:p w14:paraId="5C811F79" w14:textId="77777777" w:rsidR="007D59EF" w:rsidRPr="001C7577" w:rsidRDefault="007D59EF" w:rsidP="007D59EF">
            <w:pPr>
              <w:spacing w:line="240" w:lineRule="auto"/>
              <w:rPr>
                <w:lang w:val="lt-LT"/>
              </w:rPr>
            </w:pPr>
            <w:r w:rsidRPr="001C7577">
              <w:rPr>
                <w:lang w:val="lt-LT"/>
              </w:rPr>
              <w:lastRenderedPageBreak/>
              <w:t xml:space="preserve">Lopinaviro/ritonaviro negalima skirti kartu su geriamu midazolamu (žr. 4.3 skyrių), atsargiai skirti su parenteraliniu midazolamu. Jei vis tik su parenteraliniu </w:t>
            </w:r>
            <w:r w:rsidRPr="001C7577">
              <w:rPr>
                <w:lang w:val="lt-LT"/>
              </w:rPr>
              <w:lastRenderedPageBreak/>
              <w:t>midazolamu lopinaviras/ritonaviras yra skiriamas, tai reikia daryti intensyvios terapijos skyriuje ar panašiame skyriuje, kur galima sekti klinikinę paciento būklę ir suteikti reikiamą skubią pagalbą, jei atsirastų kvėpavimo slopinimas</w:t>
            </w:r>
          </w:p>
          <w:p w14:paraId="60A15E57" w14:textId="77777777" w:rsidR="007D59EF" w:rsidRPr="001C7577" w:rsidRDefault="007D59EF" w:rsidP="007D59EF">
            <w:pPr>
              <w:spacing w:line="240" w:lineRule="auto"/>
              <w:rPr>
                <w:lang w:val="lt-LT"/>
              </w:rPr>
            </w:pPr>
            <w:r w:rsidRPr="001C7577">
              <w:rPr>
                <w:lang w:val="lt-LT"/>
              </w:rPr>
              <w:t>ir/ar ilgesnė sedacija. Reikia pagalvoti apie dozės koregavimą,</w:t>
            </w:r>
          </w:p>
          <w:p w14:paraId="29AD1356" w14:textId="77777777" w:rsidR="007D59EF" w:rsidRPr="001C7577" w:rsidRDefault="007D59EF" w:rsidP="007D59EF">
            <w:pPr>
              <w:spacing w:line="240" w:lineRule="auto"/>
              <w:rPr>
                <w:lang w:val="lt-LT"/>
              </w:rPr>
            </w:pPr>
            <w:r w:rsidRPr="001C7577">
              <w:rPr>
                <w:lang w:val="lt-LT"/>
              </w:rPr>
              <w:t>ypač jei midazolamas skiriamas</w:t>
            </w:r>
          </w:p>
          <w:p w14:paraId="6FCB9B03" w14:textId="77777777" w:rsidR="007D59EF" w:rsidRPr="001C7577" w:rsidRDefault="007D59EF" w:rsidP="007D59EF">
            <w:pPr>
              <w:spacing w:line="240" w:lineRule="auto"/>
              <w:rPr>
                <w:lang w:val="lt-LT"/>
              </w:rPr>
            </w:pPr>
            <w:r w:rsidRPr="001C7577">
              <w:rPr>
                <w:lang w:val="lt-LT"/>
              </w:rPr>
              <w:t>kartotinai.</w:t>
            </w:r>
          </w:p>
        </w:tc>
      </w:tr>
      <w:tr w:rsidR="007D59EF" w:rsidRPr="00705EEC" w14:paraId="4797CF6C" w14:textId="77777777" w:rsidTr="001C7577">
        <w:tc>
          <w:tcPr>
            <w:tcW w:w="9286" w:type="dxa"/>
            <w:gridSpan w:val="4"/>
            <w:shd w:val="clear" w:color="auto" w:fill="auto"/>
          </w:tcPr>
          <w:p w14:paraId="2A3ED5AB" w14:textId="77777777" w:rsidR="007D59EF" w:rsidRPr="001C7577" w:rsidRDefault="007D59EF" w:rsidP="007D59EF">
            <w:pPr>
              <w:spacing w:line="240" w:lineRule="auto"/>
              <w:rPr>
                <w:lang w:val="lt-LT"/>
              </w:rPr>
            </w:pPr>
            <w:r w:rsidRPr="001C7577">
              <w:rPr>
                <w:rFonts w:eastAsia="Calibri"/>
                <w:i/>
                <w:iCs/>
                <w:snapToGrid/>
                <w:szCs w:val="22"/>
                <w:lang w:val="lt-LT"/>
              </w:rPr>
              <w:lastRenderedPageBreak/>
              <w:t>Beta</w:t>
            </w:r>
            <w:r w:rsidRPr="001C7577">
              <w:rPr>
                <w:rFonts w:eastAsia="Calibri"/>
                <w:i/>
                <w:iCs/>
                <w:snapToGrid/>
                <w:sz w:val="14"/>
                <w:szCs w:val="14"/>
                <w:lang w:val="lt-LT"/>
              </w:rPr>
              <w:t xml:space="preserve">2 </w:t>
            </w:r>
            <w:r w:rsidRPr="001C7577">
              <w:rPr>
                <w:rFonts w:ascii="TimesNewRomanPS-ItalicMT" w:eastAsia="Calibri" w:hAnsi="TimesNewRomanPS-ItalicMT" w:cs="TimesNewRomanPS-ItalicMT"/>
                <w:i/>
                <w:iCs/>
                <w:snapToGrid/>
                <w:szCs w:val="22"/>
                <w:lang w:val="lt-LT"/>
              </w:rPr>
              <w:t>adrenoreceptorių agonistai (ilgo veikimo)</w:t>
            </w:r>
          </w:p>
        </w:tc>
      </w:tr>
      <w:tr w:rsidR="007D59EF" w:rsidRPr="00705EEC" w14:paraId="25F010CB" w14:textId="77777777" w:rsidTr="001C7577">
        <w:tc>
          <w:tcPr>
            <w:tcW w:w="3143" w:type="dxa"/>
            <w:gridSpan w:val="2"/>
            <w:shd w:val="clear" w:color="auto" w:fill="auto"/>
          </w:tcPr>
          <w:p w14:paraId="25FD34F5" w14:textId="77777777" w:rsidR="007D59EF" w:rsidRPr="001C7577" w:rsidRDefault="007D59EF" w:rsidP="007D59EF">
            <w:pPr>
              <w:spacing w:line="240" w:lineRule="auto"/>
              <w:rPr>
                <w:lang w:val="lt-LT"/>
              </w:rPr>
            </w:pPr>
            <w:r w:rsidRPr="001C7577">
              <w:rPr>
                <w:lang w:val="lt-LT"/>
              </w:rPr>
              <w:t xml:space="preserve">Salmeterolis </w:t>
            </w:r>
          </w:p>
          <w:p w14:paraId="7DE562DB" w14:textId="77777777" w:rsidR="007D59EF" w:rsidRPr="001C7577" w:rsidRDefault="007D59EF" w:rsidP="007D59EF">
            <w:pPr>
              <w:spacing w:line="240" w:lineRule="auto"/>
              <w:rPr>
                <w:lang w:val="lt-LT"/>
              </w:rPr>
            </w:pPr>
          </w:p>
        </w:tc>
        <w:tc>
          <w:tcPr>
            <w:tcW w:w="3047" w:type="dxa"/>
            <w:shd w:val="clear" w:color="auto" w:fill="auto"/>
          </w:tcPr>
          <w:p w14:paraId="640E732D" w14:textId="77777777" w:rsidR="007D59EF" w:rsidRPr="001C7577" w:rsidRDefault="007D59EF" w:rsidP="007D59EF">
            <w:pPr>
              <w:spacing w:line="240" w:lineRule="auto"/>
              <w:rPr>
                <w:lang w:val="lt-LT"/>
              </w:rPr>
            </w:pPr>
            <w:r w:rsidRPr="001C7577">
              <w:rPr>
                <w:lang w:val="lt-LT"/>
              </w:rPr>
              <w:t>Salmeterolis:</w:t>
            </w:r>
          </w:p>
          <w:p w14:paraId="19657CB6" w14:textId="77777777" w:rsidR="007D59EF" w:rsidRPr="001C7577" w:rsidRDefault="007D59EF" w:rsidP="007D59EF">
            <w:pPr>
              <w:spacing w:line="240" w:lineRule="auto"/>
              <w:rPr>
                <w:lang w:val="lt-LT"/>
              </w:rPr>
            </w:pPr>
            <w:r w:rsidRPr="001C7577">
              <w:rPr>
                <w:lang w:val="lt-LT"/>
              </w:rPr>
              <w:t>Tikėtina, kad jo koncentracija</w:t>
            </w:r>
          </w:p>
          <w:p w14:paraId="656E1327" w14:textId="77777777" w:rsidR="007D59EF" w:rsidRPr="001C7577" w:rsidRDefault="007D59EF" w:rsidP="007D59EF">
            <w:pPr>
              <w:spacing w:line="240" w:lineRule="auto"/>
              <w:rPr>
                <w:lang w:val="lt-LT"/>
              </w:rPr>
            </w:pPr>
            <w:r w:rsidRPr="001C7577">
              <w:rPr>
                <w:lang w:val="lt-LT"/>
              </w:rPr>
              <w:t>padidės dėl CYP3A slopinimo</w:t>
            </w:r>
          </w:p>
          <w:p w14:paraId="4AE1B27B" w14:textId="77777777" w:rsidR="007D59EF" w:rsidRPr="001C7577" w:rsidRDefault="007D59EF" w:rsidP="007D59EF">
            <w:pPr>
              <w:spacing w:line="240" w:lineRule="auto"/>
              <w:rPr>
                <w:lang w:val="lt-LT"/>
              </w:rPr>
            </w:pPr>
            <w:r w:rsidRPr="001C7577">
              <w:rPr>
                <w:lang w:val="lt-LT"/>
              </w:rPr>
              <w:t>lopinaviru/ ritonaviru.</w:t>
            </w:r>
          </w:p>
          <w:p w14:paraId="4F89076D" w14:textId="77777777" w:rsidR="007D59EF" w:rsidRPr="001C7577" w:rsidRDefault="007D59EF" w:rsidP="007D59EF">
            <w:pPr>
              <w:spacing w:line="240" w:lineRule="auto"/>
              <w:rPr>
                <w:lang w:val="lt-LT"/>
              </w:rPr>
            </w:pPr>
          </w:p>
        </w:tc>
        <w:tc>
          <w:tcPr>
            <w:tcW w:w="3096" w:type="dxa"/>
            <w:shd w:val="clear" w:color="auto" w:fill="auto"/>
          </w:tcPr>
          <w:p w14:paraId="56EECC45" w14:textId="77777777" w:rsidR="007D59EF" w:rsidRPr="001C7577" w:rsidRDefault="007D59EF" w:rsidP="007D59EF">
            <w:pPr>
              <w:spacing w:line="240" w:lineRule="auto"/>
              <w:rPr>
                <w:lang w:val="lt-LT"/>
              </w:rPr>
            </w:pPr>
            <w:r w:rsidRPr="001C7577">
              <w:rPr>
                <w:lang w:val="lt-LT"/>
              </w:rPr>
              <w:t>Skiriant šį derinį gali būti didesnis kardiovaskulinių nepageidaujamų reiškinių, susijusių su salmeteroliu, įskaitant pailgėjusį QT intervalą, palpitacij</w:t>
            </w:r>
            <w:r w:rsidRPr="00705EEC">
              <w:rPr>
                <w:lang w:val="lt-LT"/>
              </w:rPr>
              <w:t>ą</w:t>
            </w:r>
            <w:r w:rsidRPr="001C7577">
              <w:rPr>
                <w:lang w:val="lt-LT"/>
              </w:rPr>
              <w:t xml:space="preserve"> ir sinusinę tachikardiją, pavojus. Todėl nerekomenduojama kartu</w:t>
            </w:r>
          </w:p>
          <w:p w14:paraId="221F4D95" w14:textId="77777777" w:rsidR="007D59EF" w:rsidRPr="001C7577" w:rsidRDefault="007D59EF" w:rsidP="007D59EF">
            <w:pPr>
              <w:spacing w:line="240" w:lineRule="auto"/>
              <w:rPr>
                <w:lang w:val="lt-LT"/>
              </w:rPr>
            </w:pPr>
            <w:r w:rsidRPr="001C7577">
              <w:rPr>
                <w:lang w:val="lt-LT"/>
              </w:rPr>
              <w:t>skirti lopinaviro/ritonaviro su salmeteroliu (žr. 4.4 skyrių).</w:t>
            </w:r>
          </w:p>
        </w:tc>
      </w:tr>
      <w:tr w:rsidR="007D59EF" w:rsidRPr="00705EEC" w14:paraId="55C5CDF5" w14:textId="77777777" w:rsidTr="001C7577">
        <w:tc>
          <w:tcPr>
            <w:tcW w:w="9286" w:type="dxa"/>
            <w:gridSpan w:val="4"/>
            <w:shd w:val="clear" w:color="auto" w:fill="auto"/>
          </w:tcPr>
          <w:p w14:paraId="05C0F00D" w14:textId="77777777" w:rsidR="007D59EF" w:rsidRPr="001C7577" w:rsidRDefault="007D59EF" w:rsidP="007D59EF">
            <w:pPr>
              <w:spacing w:line="240" w:lineRule="auto"/>
              <w:rPr>
                <w:lang w:val="lt-LT"/>
              </w:rPr>
            </w:pPr>
            <w:r w:rsidRPr="001C7577">
              <w:rPr>
                <w:rFonts w:ascii="TimesNewRomanPS-ItalicMT" w:eastAsia="Calibri" w:hAnsi="TimesNewRomanPS-ItalicMT" w:cs="TimesNewRomanPS-ItalicMT"/>
                <w:i/>
                <w:iCs/>
                <w:snapToGrid/>
                <w:szCs w:val="22"/>
                <w:lang w:val="lt-LT"/>
              </w:rPr>
              <w:t>Kalcio kanalų blokatoriai</w:t>
            </w:r>
          </w:p>
        </w:tc>
      </w:tr>
      <w:tr w:rsidR="007D59EF" w:rsidRPr="0088318A" w14:paraId="74082F1F" w14:textId="77777777" w:rsidTr="001C7577">
        <w:tc>
          <w:tcPr>
            <w:tcW w:w="3143" w:type="dxa"/>
            <w:gridSpan w:val="2"/>
            <w:shd w:val="clear" w:color="auto" w:fill="auto"/>
          </w:tcPr>
          <w:p w14:paraId="207B026D" w14:textId="77777777" w:rsidR="007D59EF" w:rsidRPr="001C7577" w:rsidRDefault="007D59EF" w:rsidP="007D59EF">
            <w:pPr>
              <w:spacing w:line="240" w:lineRule="auto"/>
              <w:rPr>
                <w:lang w:val="lt-LT"/>
              </w:rPr>
            </w:pPr>
            <w:r w:rsidRPr="001C7577">
              <w:rPr>
                <w:lang w:val="lt-LT"/>
              </w:rPr>
              <w:t>Felodipinas, nifedipinas</w:t>
            </w:r>
          </w:p>
          <w:p w14:paraId="2A18E1F2" w14:textId="77777777" w:rsidR="007D59EF" w:rsidRPr="001C7577" w:rsidRDefault="007D59EF" w:rsidP="007D59EF">
            <w:pPr>
              <w:spacing w:line="240" w:lineRule="auto"/>
              <w:rPr>
                <w:lang w:val="lt-LT"/>
              </w:rPr>
            </w:pPr>
            <w:r w:rsidRPr="001C7577">
              <w:rPr>
                <w:lang w:val="lt-LT"/>
              </w:rPr>
              <w:t>ir nikardipinas</w:t>
            </w:r>
          </w:p>
          <w:p w14:paraId="17A0CC4B" w14:textId="77777777" w:rsidR="007D59EF" w:rsidRPr="001C7577" w:rsidRDefault="007D59EF" w:rsidP="007D59EF">
            <w:pPr>
              <w:spacing w:line="240" w:lineRule="auto"/>
              <w:rPr>
                <w:lang w:val="lt-LT"/>
              </w:rPr>
            </w:pPr>
          </w:p>
        </w:tc>
        <w:tc>
          <w:tcPr>
            <w:tcW w:w="3047" w:type="dxa"/>
            <w:shd w:val="clear" w:color="auto" w:fill="auto"/>
          </w:tcPr>
          <w:p w14:paraId="0ECA28C0" w14:textId="77777777" w:rsidR="007D59EF" w:rsidRPr="001C7577" w:rsidRDefault="007D59EF" w:rsidP="007D59EF">
            <w:pPr>
              <w:spacing w:line="240" w:lineRule="auto"/>
              <w:rPr>
                <w:lang w:val="lt-LT"/>
              </w:rPr>
            </w:pPr>
            <w:r w:rsidRPr="001C7577">
              <w:rPr>
                <w:lang w:val="lt-LT"/>
              </w:rPr>
              <w:t>Felodipinas, nifedipinas,</w:t>
            </w:r>
          </w:p>
          <w:p w14:paraId="7C89F682" w14:textId="77777777" w:rsidR="007D59EF" w:rsidRPr="001C7577" w:rsidRDefault="007D59EF" w:rsidP="007D59EF">
            <w:pPr>
              <w:spacing w:line="240" w:lineRule="auto"/>
              <w:rPr>
                <w:lang w:val="lt-LT"/>
              </w:rPr>
            </w:pPr>
            <w:r w:rsidRPr="001C7577">
              <w:rPr>
                <w:lang w:val="lt-LT"/>
              </w:rPr>
              <w:t>nikardipinas: Koncentracijos gali padidėti dėl lopinaviro/ritonaviro inhibuojamo CYP3A.</w:t>
            </w:r>
          </w:p>
        </w:tc>
        <w:tc>
          <w:tcPr>
            <w:tcW w:w="3096" w:type="dxa"/>
            <w:shd w:val="clear" w:color="auto" w:fill="auto"/>
          </w:tcPr>
          <w:p w14:paraId="53C2D23C" w14:textId="77777777" w:rsidR="007D59EF" w:rsidRPr="001C7577" w:rsidRDefault="007D59EF" w:rsidP="007D59EF">
            <w:pPr>
              <w:spacing w:line="240" w:lineRule="auto"/>
              <w:rPr>
                <w:lang w:val="lt-LT"/>
              </w:rPr>
            </w:pPr>
            <w:r w:rsidRPr="001C7577">
              <w:rPr>
                <w:lang w:val="lt-LT"/>
              </w:rPr>
              <w:t>Kartu su lopinaviru/ritonaviru skiriant šiuos vaistus rekomenduojama stebėti klinikinę būklę ir nepageidaujamą poveikį.</w:t>
            </w:r>
          </w:p>
        </w:tc>
      </w:tr>
      <w:tr w:rsidR="007D59EF" w:rsidRPr="00705EEC" w14:paraId="422BC12D" w14:textId="77777777" w:rsidTr="001C7577">
        <w:tc>
          <w:tcPr>
            <w:tcW w:w="9286" w:type="dxa"/>
            <w:gridSpan w:val="4"/>
            <w:shd w:val="clear" w:color="auto" w:fill="auto"/>
          </w:tcPr>
          <w:p w14:paraId="7904A49B" w14:textId="77777777" w:rsidR="007D59EF" w:rsidRPr="001C7577" w:rsidRDefault="007D59EF" w:rsidP="007D59EF">
            <w:pPr>
              <w:spacing w:line="240" w:lineRule="auto"/>
              <w:rPr>
                <w:lang w:val="lt-LT"/>
              </w:rPr>
            </w:pPr>
            <w:r w:rsidRPr="001C7577">
              <w:rPr>
                <w:rFonts w:eastAsia="Calibri"/>
                <w:i/>
                <w:iCs/>
                <w:snapToGrid/>
                <w:szCs w:val="22"/>
                <w:lang w:val="lt-LT"/>
              </w:rPr>
              <w:t>Kortikosteroidai</w:t>
            </w:r>
          </w:p>
        </w:tc>
      </w:tr>
      <w:tr w:rsidR="007D59EF" w:rsidRPr="0088318A" w14:paraId="52F10EFE" w14:textId="77777777" w:rsidTr="001C7577">
        <w:tc>
          <w:tcPr>
            <w:tcW w:w="3143" w:type="dxa"/>
            <w:gridSpan w:val="2"/>
            <w:shd w:val="clear" w:color="auto" w:fill="auto"/>
          </w:tcPr>
          <w:p w14:paraId="239EA05C" w14:textId="77777777" w:rsidR="007D59EF" w:rsidRPr="001C7577" w:rsidRDefault="007D59EF" w:rsidP="007D59EF">
            <w:pPr>
              <w:spacing w:line="240" w:lineRule="auto"/>
              <w:rPr>
                <w:lang w:val="lt-LT"/>
              </w:rPr>
            </w:pPr>
            <w:r w:rsidRPr="001C7577">
              <w:rPr>
                <w:lang w:val="lt-LT"/>
              </w:rPr>
              <w:t xml:space="preserve">Deksametazonas </w:t>
            </w:r>
          </w:p>
          <w:p w14:paraId="177AA811" w14:textId="77777777" w:rsidR="007D59EF" w:rsidRPr="001C7577" w:rsidRDefault="007D59EF" w:rsidP="007D59EF">
            <w:pPr>
              <w:spacing w:line="240" w:lineRule="auto"/>
              <w:rPr>
                <w:lang w:val="lt-LT"/>
              </w:rPr>
            </w:pPr>
          </w:p>
        </w:tc>
        <w:tc>
          <w:tcPr>
            <w:tcW w:w="3047" w:type="dxa"/>
            <w:shd w:val="clear" w:color="auto" w:fill="auto"/>
          </w:tcPr>
          <w:p w14:paraId="578E41F5" w14:textId="77777777" w:rsidR="007D59EF" w:rsidRPr="001C7577" w:rsidRDefault="007D59EF" w:rsidP="007D59EF">
            <w:pPr>
              <w:spacing w:line="240" w:lineRule="auto"/>
              <w:rPr>
                <w:lang w:val="lt-LT"/>
              </w:rPr>
            </w:pPr>
            <w:r w:rsidRPr="001C7577">
              <w:rPr>
                <w:lang w:val="lt-LT"/>
              </w:rPr>
              <w:t>Lopinaviras:</w:t>
            </w:r>
          </w:p>
          <w:p w14:paraId="07852D2C" w14:textId="77777777" w:rsidR="007D59EF" w:rsidRPr="001C7577" w:rsidRDefault="007D59EF" w:rsidP="007D59EF">
            <w:pPr>
              <w:spacing w:line="240" w:lineRule="auto"/>
              <w:rPr>
                <w:lang w:val="lt-LT"/>
              </w:rPr>
            </w:pPr>
            <w:r w:rsidRPr="001C7577">
              <w:rPr>
                <w:lang w:val="lt-LT"/>
              </w:rPr>
              <w:t xml:space="preserve">Koncetracija gali sumažėti dėl CYP3A indukavimo </w:t>
            </w:r>
          </w:p>
          <w:p w14:paraId="1B22AA4F" w14:textId="77777777" w:rsidR="007D59EF" w:rsidRPr="001C7577" w:rsidRDefault="007D59EF" w:rsidP="007D59EF">
            <w:pPr>
              <w:spacing w:line="240" w:lineRule="auto"/>
              <w:rPr>
                <w:lang w:val="lt-LT"/>
              </w:rPr>
            </w:pPr>
            <w:r w:rsidRPr="001C7577">
              <w:rPr>
                <w:lang w:val="lt-LT"/>
              </w:rPr>
              <w:t>deksametazonu.</w:t>
            </w:r>
          </w:p>
        </w:tc>
        <w:tc>
          <w:tcPr>
            <w:tcW w:w="3096" w:type="dxa"/>
            <w:shd w:val="clear" w:color="auto" w:fill="auto"/>
          </w:tcPr>
          <w:p w14:paraId="1BEC4A74" w14:textId="77777777" w:rsidR="007D59EF" w:rsidRPr="001C7577" w:rsidRDefault="007D59EF" w:rsidP="007D59EF">
            <w:pPr>
              <w:spacing w:line="240" w:lineRule="auto"/>
              <w:rPr>
                <w:lang w:val="lt-LT"/>
              </w:rPr>
            </w:pPr>
            <w:r w:rsidRPr="001C7577">
              <w:rPr>
                <w:lang w:val="lt-LT"/>
              </w:rPr>
              <w:t>Skiriant kartu su lopinaviru/ ritonaviru, rekomenduojama klinikinis antivirusinių vaistų veiksmingumo stebėjimas.</w:t>
            </w:r>
          </w:p>
        </w:tc>
      </w:tr>
      <w:tr w:rsidR="007D59EF" w:rsidRPr="00705EEC" w14:paraId="385B322F" w14:textId="77777777" w:rsidTr="001C7577">
        <w:tc>
          <w:tcPr>
            <w:tcW w:w="3143" w:type="dxa"/>
            <w:gridSpan w:val="2"/>
            <w:shd w:val="clear" w:color="auto" w:fill="auto"/>
          </w:tcPr>
          <w:p w14:paraId="04D911B9" w14:textId="77777777" w:rsidR="007D59EF" w:rsidRPr="001C7577" w:rsidRDefault="007D59EF" w:rsidP="007D59EF">
            <w:pPr>
              <w:spacing w:line="240" w:lineRule="auto"/>
              <w:rPr>
                <w:lang w:val="lt-LT"/>
              </w:rPr>
            </w:pPr>
            <w:r w:rsidRPr="001C7577">
              <w:rPr>
                <w:lang w:val="lt-LT"/>
              </w:rPr>
              <w:t>Flutikazono propionatas, 50 μg į</w:t>
            </w:r>
          </w:p>
          <w:p w14:paraId="1689ABD1" w14:textId="77777777" w:rsidR="007D59EF" w:rsidRPr="001C7577" w:rsidRDefault="007D59EF" w:rsidP="007D59EF">
            <w:pPr>
              <w:spacing w:line="240" w:lineRule="auto"/>
              <w:rPr>
                <w:lang w:val="lt-LT"/>
              </w:rPr>
            </w:pPr>
            <w:r w:rsidRPr="001C7577">
              <w:rPr>
                <w:lang w:val="lt-LT"/>
              </w:rPr>
              <w:t>nosį 4 kartus per parą (100 mg ritonaviras BID)</w:t>
            </w:r>
          </w:p>
          <w:p w14:paraId="3A9140F3" w14:textId="77777777" w:rsidR="007D59EF" w:rsidRPr="001C7577" w:rsidRDefault="007D59EF" w:rsidP="007D59EF">
            <w:pPr>
              <w:spacing w:line="240" w:lineRule="auto"/>
              <w:rPr>
                <w:lang w:val="lt-LT"/>
              </w:rPr>
            </w:pPr>
          </w:p>
        </w:tc>
        <w:tc>
          <w:tcPr>
            <w:tcW w:w="3047" w:type="dxa"/>
            <w:shd w:val="clear" w:color="auto" w:fill="auto"/>
          </w:tcPr>
          <w:p w14:paraId="717583D0" w14:textId="77777777" w:rsidR="007D59EF" w:rsidRPr="001C7577" w:rsidRDefault="007D59EF" w:rsidP="007D59EF">
            <w:pPr>
              <w:spacing w:line="240" w:lineRule="auto"/>
              <w:rPr>
                <w:lang w:val="lt-LT"/>
              </w:rPr>
            </w:pPr>
            <w:r w:rsidRPr="001C7577">
              <w:rPr>
                <w:lang w:val="lt-LT"/>
              </w:rPr>
              <w:t>Flutikazono propionatas:</w:t>
            </w:r>
          </w:p>
          <w:p w14:paraId="444EC516" w14:textId="77777777" w:rsidR="007D59EF" w:rsidRPr="001C7577" w:rsidRDefault="007D59EF" w:rsidP="007D59EF">
            <w:pPr>
              <w:spacing w:line="240" w:lineRule="auto"/>
              <w:rPr>
                <w:lang w:val="lt-LT"/>
              </w:rPr>
            </w:pPr>
            <w:r w:rsidRPr="001C7577">
              <w:rPr>
                <w:lang w:val="lt-LT"/>
              </w:rPr>
              <w:t>Plasmos koncentracija ↑</w:t>
            </w:r>
          </w:p>
          <w:p w14:paraId="1CEBC6DE" w14:textId="77777777" w:rsidR="007D59EF" w:rsidRPr="001C7577" w:rsidRDefault="007D59EF" w:rsidP="007D59EF">
            <w:pPr>
              <w:spacing w:line="240" w:lineRule="auto"/>
              <w:rPr>
                <w:lang w:val="lt-LT"/>
              </w:rPr>
            </w:pPr>
            <w:r w:rsidRPr="001C7577">
              <w:rPr>
                <w:lang w:val="lt-LT"/>
              </w:rPr>
              <w:t>Kortizolio lygis ↓ 86%</w:t>
            </w:r>
          </w:p>
          <w:p w14:paraId="1C38FF61" w14:textId="77777777" w:rsidR="007D59EF" w:rsidRPr="001C7577" w:rsidRDefault="007D59EF" w:rsidP="007D59EF">
            <w:pPr>
              <w:spacing w:line="240" w:lineRule="auto"/>
              <w:rPr>
                <w:lang w:val="lt-LT"/>
              </w:rPr>
            </w:pPr>
          </w:p>
        </w:tc>
        <w:tc>
          <w:tcPr>
            <w:tcW w:w="3096" w:type="dxa"/>
            <w:shd w:val="clear" w:color="auto" w:fill="auto"/>
          </w:tcPr>
          <w:p w14:paraId="51A9DFB7" w14:textId="77777777" w:rsidR="007D59EF" w:rsidRPr="001C7577" w:rsidRDefault="007D59EF" w:rsidP="007D59EF">
            <w:pPr>
              <w:spacing w:line="240" w:lineRule="auto"/>
              <w:rPr>
                <w:lang w:val="lt-LT"/>
              </w:rPr>
            </w:pPr>
            <w:r w:rsidRPr="001C7577">
              <w:rPr>
                <w:lang w:val="lt-LT"/>
              </w:rPr>
              <w:t>Kai inhaliuojama flutikazono propionato, gali pasireikšti didesnis efektas. Sisteminis kortikosteroidų poveikis, įskaitant</w:t>
            </w:r>
          </w:p>
          <w:p w14:paraId="7CF84126" w14:textId="77777777" w:rsidR="007D59EF" w:rsidRPr="001C7577" w:rsidRDefault="007D59EF" w:rsidP="007D59EF">
            <w:pPr>
              <w:spacing w:line="240" w:lineRule="auto"/>
              <w:rPr>
                <w:lang w:val="lt-LT"/>
              </w:rPr>
            </w:pPr>
            <w:r w:rsidRPr="001C7577">
              <w:rPr>
                <w:lang w:val="lt-LT"/>
              </w:rPr>
              <w:t>Kušingo sindromą ir antinksčių</w:t>
            </w:r>
          </w:p>
          <w:p w14:paraId="5AE84E8E" w14:textId="77777777" w:rsidR="007D59EF" w:rsidRPr="001C7577" w:rsidRDefault="007D59EF" w:rsidP="007D59EF">
            <w:pPr>
              <w:spacing w:line="240" w:lineRule="auto"/>
              <w:rPr>
                <w:lang w:val="lt-LT"/>
              </w:rPr>
            </w:pPr>
            <w:r w:rsidRPr="001C7577">
              <w:rPr>
                <w:lang w:val="lt-LT"/>
              </w:rPr>
              <w:t>supresiją, buvo stebėtas pacientams, kurie buvo gydomi</w:t>
            </w:r>
          </w:p>
          <w:p w14:paraId="1D1A9240" w14:textId="77777777" w:rsidR="007D59EF" w:rsidRPr="001C7577" w:rsidRDefault="007D59EF" w:rsidP="007D59EF">
            <w:pPr>
              <w:spacing w:line="240" w:lineRule="auto"/>
              <w:rPr>
                <w:lang w:val="lt-LT"/>
              </w:rPr>
            </w:pPr>
            <w:r w:rsidRPr="001C7577">
              <w:rPr>
                <w:lang w:val="lt-LT"/>
              </w:rPr>
              <w:t>ritonaviru ir inhaliuojamu ar per</w:t>
            </w:r>
          </w:p>
          <w:p w14:paraId="1F6973F9" w14:textId="77777777" w:rsidR="007D59EF" w:rsidRPr="001C7577" w:rsidRDefault="007D59EF" w:rsidP="007D59EF">
            <w:pPr>
              <w:spacing w:line="240" w:lineRule="auto"/>
              <w:rPr>
                <w:lang w:val="lt-LT"/>
              </w:rPr>
            </w:pPr>
            <w:r w:rsidRPr="001C7577">
              <w:rPr>
                <w:lang w:val="lt-LT"/>
              </w:rPr>
              <w:t>nosį skiriamu flutikazono propionatu, tai taip pat gali pasireikšti ir su kitais kortikosteroidais, kurie metabolizuojami P450 3A</w:t>
            </w:r>
          </w:p>
          <w:p w14:paraId="2B92DF51" w14:textId="77777777" w:rsidR="007D59EF" w:rsidRPr="001C7577" w:rsidRDefault="007D59EF" w:rsidP="007D59EF">
            <w:pPr>
              <w:spacing w:line="240" w:lineRule="auto"/>
              <w:rPr>
                <w:lang w:val="lt-LT"/>
              </w:rPr>
            </w:pPr>
            <w:r w:rsidRPr="001C7577">
              <w:rPr>
                <w:lang w:val="lt-LT"/>
              </w:rPr>
              <w:t>sistemoje, pvz.: budezonidas. Taigi, lopinaviro/ritonaviro ir šių gliukokortikoidų vartojimas kartu</w:t>
            </w:r>
          </w:p>
          <w:p w14:paraId="3C8DE152" w14:textId="77777777" w:rsidR="007D59EF" w:rsidRPr="001C7577" w:rsidRDefault="007D59EF" w:rsidP="007D59EF">
            <w:pPr>
              <w:spacing w:line="240" w:lineRule="auto"/>
              <w:rPr>
                <w:lang w:val="lt-LT"/>
              </w:rPr>
            </w:pPr>
            <w:r w:rsidRPr="001C7577">
              <w:rPr>
                <w:lang w:val="lt-LT"/>
              </w:rPr>
              <w:t>yra nerekomenduojamas, nebent</w:t>
            </w:r>
          </w:p>
          <w:p w14:paraId="2A09D7CA" w14:textId="77777777" w:rsidR="007D59EF" w:rsidRPr="001C7577" w:rsidRDefault="007D59EF" w:rsidP="007D59EF">
            <w:pPr>
              <w:spacing w:line="240" w:lineRule="auto"/>
              <w:rPr>
                <w:lang w:val="lt-LT"/>
              </w:rPr>
            </w:pPr>
            <w:r w:rsidRPr="001C7577">
              <w:rPr>
                <w:lang w:val="lt-LT"/>
              </w:rPr>
              <w:lastRenderedPageBreak/>
              <w:t>galima gydymo nauda viršyja,</w:t>
            </w:r>
          </w:p>
          <w:p w14:paraId="56A8216B" w14:textId="77777777" w:rsidR="007D59EF" w:rsidRPr="001C7577" w:rsidRDefault="007D59EF" w:rsidP="007D59EF">
            <w:pPr>
              <w:spacing w:line="240" w:lineRule="auto"/>
              <w:rPr>
                <w:lang w:val="lt-LT"/>
              </w:rPr>
            </w:pPr>
            <w:r w:rsidRPr="001C7577">
              <w:rPr>
                <w:lang w:val="lt-LT"/>
              </w:rPr>
              <w:t>sisteminio kortikosteroidų</w:t>
            </w:r>
          </w:p>
          <w:p w14:paraId="0B16F930" w14:textId="77777777" w:rsidR="007D59EF" w:rsidRPr="001C7577" w:rsidRDefault="007D59EF" w:rsidP="007D59EF">
            <w:pPr>
              <w:spacing w:line="240" w:lineRule="auto"/>
              <w:rPr>
                <w:lang w:val="lt-LT"/>
              </w:rPr>
            </w:pPr>
            <w:r w:rsidRPr="001C7577">
              <w:rPr>
                <w:lang w:val="lt-LT"/>
              </w:rPr>
              <w:t>poveikio riziką (žr. 4.4 skyrių).</w:t>
            </w:r>
          </w:p>
          <w:p w14:paraId="0B626ED2" w14:textId="77777777" w:rsidR="007D59EF" w:rsidRPr="001C7577" w:rsidRDefault="007D59EF" w:rsidP="007D59EF">
            <w:pPr>
              <w:spacing w:line="240" w:lineRule="auto"/>
              <w:rPr>
                <w:lang w:val="lt-LT"/>
              </w:rPr>
            </w:pPr>
            <w:r w:rsidRPr="001C7577">
              <w:rPr>
                <w:lang w:val="lt-LT"/>
              </w:rPr>
              <w:t>Reikia atidžiai stebėti</w:t>
            </w:r>
          </w:p>
          <w:p w14:paraId="5A423399" w14:textId="77777777" w:rsidR="007D59EF" w:rsidRPr="001C7577" w:rsidRDefault="007D59EF" w:rsidP="007D59EF">
            <w:pPr>
              <w:spacing w:line="240" w:lineRule="auto"/>
              <w:rPr>
                <w:lang w:val="lt-LT"/>
              </w:rPr>
            </w:pPr>
            <w:r w:rsidRPr="001C7577">
              <w:rPr>
                <w:lang w:val="lt-LT"/>
              </w:rPr>
              <w:t>gliukokortikoidų vietinį ir</w:t>
            </w:r>
          </w:p>
          <w:p w14:paraId="38C24F19" w14:textId="77777777" w:rsidR="007D59EF" w:rsidRPr="001C7577" w:rsidRDefault="007D59EF" w:rsidP="007D59EF">
            <w:pPr>
              <w:spacing w:line="240" w:lineRule="auto"/>
              <w:rPr>
                <w:lang w:val="lt-LT"/>
              </w:rPr>
            </w:pPr>
            <w:r w:rsidRPr="001C7577">
              <w:rPr>
                <w:lang w:val="lt-LT"/>
              </w:rPr>
              <w:t>sisteminį poveikį, esant reikalui,</w:t>
            </w:r>
          </w:p>
          <w:p w14:paraId="116135BF" w14:textId="77777777" w:rsidR="007D59EF" w:rsidRPr="001C7577" w:rsidRDefault="007D59EF" w:rsidP="007D59EF">
            <w:pPr>
              <w:spacing w:line="240" w:lineRule="auto"/>
              <w:rPr>
                <w:lang w:val="lt-LT"/>
              </w:rPr>
            </w:pPr>
            <w:r w:rsidRPr="001C7577">
              <w:rPr>
                <w:lang w:val="lt-LT"/>
              </w:rPr>
              <w:t>mažinti dozę arba keisti gydymą</w:t>
            </w:r>
          </w:p>
          <w:p w14:paraId="595794AF" w14:textId="77777777" w:rsidR="007D59EF" w:rsidRPr="001C7577" w:rsidRDefault="007D59EF" w:rsidP="007D59EF">
            <w:pPr>
              <w:spacing w:line="240" w:lineRule="auto"/>
              <w:rPr>
                <w:lang w:val="lt-LT"/>
              </w:rPr>
            </w:pPr>
            <w:r w:rsidRPr="001C7577">
              <w:rPr>
                <w:lang w:val="lt-LT"/>
              </w:rPr>
              <w:t>gliukokortikoidu, kuris nėra</w:t>
            </w:r>
          </w:p>
          <w:p w14:paraId="0FEFF58A" w14:textId="77777777" w:rsidR="007D59EF" w:rsidRPr="001C7577" w:rsidRDefault="007D59EF" w:rsidP="007D59EF">
            <w:pPr>
              <w:spacing w:line="240" w:lineRule="auto"/>
              <w:rPr>
                <w:lang w:val="lt-LT"/>
              </w:rPr>
            </w:pPr>
            <w:r w:rsidRPr="001C7577">
              <w:rPr>
                <w:lang w:val="lt-LT"/>
              </w:rPr>
              <w:t>metabolizuojamas CYP3A4</w:t>
            </w:r>
          </w:p>
          <w:p w14:paraId="03AB5B32" w14:textId="77777777" w:rsidR="007D59EF" w:rsidRPr="001C7577" w:rsidRDefault="007D59EF" w:rsidP="007D59EF">
            <w:pPr>
              <w:spacing w:line="240" w:lineRule="auto"/>
              <w:rPr>
                <w:lang w:val="lt-LT"/>
              </w:rPr>
            </w:pPr>
            <w:r w:rsidRPr="001C7577">
              <w:rPr>
                <w:lang w:val="lt-LT"/>
              </w:rPr>
              <w:t>(pvz.: beklametazonas). Be to,</w:t>
            </w:r>
          </w:p>
          <w:p w14:paraId="5FD63925" w14:textId="77777777" w:rsidR="007D59EF" w:rsidRPr="001C7577" w:rsidRDefault="007D59EF" w:rsidP="007D59EF">
            <w:pPr>
              <w:spacing w:line="240" w:lineRule="auto"/>
              <w:rPr>
                <w:lang w:val="lt-LT"/>
              </w:rPr>
            </w:pPr>
            <w:r w:rsidRPr="001C7577">
              <w:rPr>
                <w:lang w:val="lt-LT"/>
              </w:rPr>
              <w:t>nutraukiant gydymą gliukortikoidais, dozę reikia mažinti laipsniškai per ilgesnį laiką.</w:t>
            </w:r>
          </w:p>
        </w:tc>
      </w:tr>
      <w:tr w:rsidR="007D59EF" w:rsidRPr="00705EEC" w14:paraId="45394A87" w14:textId="77777777" w:rsidTr="001C7577">
        <w:tc>
          <w:tcPr>
            <w:tcW w:w="9286" w:type="dxa"/>
            <w:gridSpan w:val="4"/>
            <w:shd w:val="clear" w:color="auto" w:fill="auto"/>
          </w:tcPr>
          <w:p w14:paraId="1DA10493" w14:textId="77777777" w:rsidR="007D59EF" w:rsidRPr="001C7577" w:rsidRDefault="007D59EF" w:rsidP="007D59EF">
            <w:pPr>
              <w:spacing w:line="240" w:lineRule="auto"/>
              <w:rPr>
                <w:i/>
                <w:iCs/>
                <w:lang w:val="lt-LT"/>
              </w:rPr>
            </w:pPr>
            <w:r w:rsidRPr="001C7577">
              <w:rPr>
                <w:i/>
                <w:iCs/>
                <w:lang w:val="lt-LT"/>
              </w:rPr>
              <w:lastRenderedPageBreak/>
              <w:t>Fosfodiesterazės(PDE5) inhibitoriai</w:t>
            </w:r>
          </w:p>
        </w:tc>
      </w:tr>
      <w:tr w:rsidR="007D59EF" w:rsidRPr="00705EEC" w14:paraId="0A9C5595" w14:textId="77777777" w:rsidTr="001C7577">
        <w:tc>
          <w:tcPr>
            <w:tcW w:w="3143" w:type="dxa"/>
            <w:gridSpan w:val="2"/>
            <w:shd w:val="clear" w:color="auto" w:fill="auto"/>
          </w:tcPr>
          <w:p w14:paraId="41ECEFB0" w14:textId="77777777" w:rsidR="007D59EF" w:rsidRPr="001C7577" w:rsidRDefault="007D59EF" w:rsidP="007D59EF">
            <w:pPr>
              <w:spacing w:line="240" w:lineRule="auto"/>
              <w:rPr>
                <w:lang w:val="lt-LT"/>
              </w:rPr>
            </w:pPr>
            <w:r w:rsidRPr="001C7577">
              <w:rPr>
                <w:lang w:val="lt-LT"/>
              </w:rPr>
              <w:t xml:space="preserve">Tadalafilis </w:t>
            </w:r>
          </w:p>
          <w:p w14:paraId="39B41A30" w14:textId="77777777" w:rsidR="007D59EF" w:rsidRPr="001C7577" w:rsidRDefault="007D59EF" w:rsidP="007D59EF">
            <w:pPr>
              <w:spacing w:line="240" w:lineRule="auto"/>
              <w:rPr>
                <w:lang w:val="lt-LT"/>
              </w:rPr>
            </w:pPr>
          </w:p>
        </w:tc>
        <w:tc>
          <w:tcPr>
            <w:tcW w:w="3047" w:type="dxa"/>
            <w:shd w:val="clear" w:color="auto" w:fill="auto"/>
          </w:tcPr>
          <w:p w14:paraId="4D5D88D1" w14:textId="77777777" w:rsidR="007D59EF" w:rsidRPr="001C7577" w:rsidRDefault="007D59EF" w:rsidP="007D59EF">
            <w:pPr>
              <w:spacing w:line="240" w:lineRule="auto"/>
              <w:rPr>
                <w:lang w:val="lt-LT"/>
              </w:rPr>
            </w:pPr>
            <w:r w:rsidRPr="001C7577">
              <w:rPr>
                <w:lang w:val="lt-LT"/>
              </w:rPr>
              <w:t>Tadalafilis:</w:t>
            </w:r>
          </w:p>
          <w:p w14:paraId="18568A8D" w14:textId="77777777" w:rsidR="007D59EF" w:rsidRPr="001C7577" w:rsidRDefault="007D59EF" w:rsidP="007D59EF">
            <w:pPr>
              <w:spacing w:line="240" w:lineRule="auto"/>
              <w:rPr>
                <w:lang w:val="lt-LT"/>
              </w:rPr>
            </w:pPr>
            <w:r w:rsidRPr="001C7577">
              <w:rPr>
                <w:lang w:val="lt-LT"/>
              </w:rPr>
              <w:t>AUC: ↑ 2-kartų</w:t>
            </w:r>
          </w:p>
          <w:p w14:paraId="4B0E07C8" w14:textId="77777777" w:rsidR="007D59EF" w:rsidRPr="001C7577" w:rsidRDefault="007D59EF" w:rsidP="007D59EF">
            <w:pPr>
              <w:spacing w:line="240" w:lineRule="auto"/>
              <w:rPr>
                <w:lang w:val="lt-LT"/>
              </w:rPr>
            </w:pPr>
            <w:r w:rsidRPr="001C7577">
              <w:rPr>
                <w:lang w:val="lt-LT"/>
              </w:rPr>
              <w:t>Dėl CYP3A4 slopinimo lopinaviru/ritonaviru.</w:t>
            </w:r>
          </w:p>
        </w:tc>
        <w:tc>
          <w:tcPr>
            <w:tcW w:w="3096" w:type="dxa"/>
            <w:vMerge w:val="restart"/>
            <w:shd w:val="clear" w:color="auto" w:fill="auto"/>
          </w:tcPr>
          <w:p w14:paraId="744D6536" w14:textId="77777777" w:rsidR="007D59EF" w:rsidRPr="001C7577" w:rsidRDefault="007D59EF" w:rsidP="007D59EF">
            <w:pPr>
              <w:spacing w:line="240" w:lineRule="auto"/>
              <w:rPr>
                <w:lang w:val="lt-LT"/>
              </w:rPr>
            </w:pPr>
            <w:r w:rsidRPr="001C7577">
              <w:rPr>
                <w:u w:val="single"/>
                <w:lang w:val="lt-LT"/>
              </w:rPr>
              <w:t>Gydant plautinę arterinę hipertenziją:</w:t>
            </w:r>
            <w:r w:rsidRPr="001C7577">
              <w:rPr>
                <w:lang w:val="lt-LT"/>
              </w:rPr>
              <w:t xml:space="preserve"> kartu skirti lopinaviro/ritonaviro</w:t>
            </w:r>
          </w:p>
          <w:p w14:paraId="5830B57D" w14:textId="77777777" w:rsidR="007D59EF" w:rsidRPr="001C7577" w:rsidRDefault="007D59EF" w:rsidP="007D59EF">
            <w:pPr>
              <w:spacing w:line="240" w:lineRule="auto"/>
              <w:rPr>
                <w:lang w:val="lt-LT"/>
              </w:rPr>
            </w:pPr>
            <w:r w:rsidRPr="001C7577">
              <w:rPr>
                <w:lang w:val="lt-LT"/>
              </w:rPr>
              <w:t>su sildenafiliu draudžiama (žr. 4.3</w:t>
            </w:r>
          </w:p>
          <w:p w14:paraId="5FAF5366" w14:textId="77777777" w:rsidR="007D59EF" w:rsidRPr="001C7577" w:rsidRDefault="007D59EF" w:rsidP="007D59EF">
            <w:pPr>
              <w:spacing w:line="240" w:lineRule="auto"/>
              <w:rPr>
                <w:lang w:val="lt-LT"/>
              </w:rPr>
            </w:pPr>
            <w:r w:rsidRPr="001C7577">
              <w:rPr>
                <w:lang w:val="lt-LT"/>
              </w:rPr>
              <w:t>skyrių), kartu skirti lopinaviro/ritonaviro su</w:t>
            </w:r>
          </w:p>
          <w:p w14:paraId="641F6BD6" w14:textId="77777777" w:rsidR="007D59EF" w:rsidRPr="001C7577" w:rsidRDefault="007D59EF" w:rsidP="007D59EF">
            <w:pPr>
              <w:spacing w:line="240" w:lineRule="auto"/>
              <w:rPr>
                <w:lang w:val="lt-LT"/>
              </w:rPr>
            </w:pPr>
            <w:r w:rsidRPr="001C7577">
              <w:rPr>
                <w:lang w:val="lt-LT"/>
              </w:rPr>
              <w:t>tadalafiliu nerekomenduojama (žr. 4.3 skyrių).</w:t>
            </w:r>
          </w:p>
          <w:p w14:paraId="2478CD48" w14:textId="77777777" w:rsidR="007D59EF" w:rsidRPr="001C7577" w:rsidRDefault="007D59EF" w:rsidP="007D59EF">
            <w:pPr>
              <w:spacing w:line="240" w:lineRule="auto"/>
              <w:rPr>
                <w:u w:val="single"/>
                <w:lang w:val="lt-LT"/>
              </w:rPr>
            </w:pPr>
            <w:r w:rsidRPr="001C7577">
              <w:rPr>
                <w:u w:val="single"/>
                <w:lang w:val="lt-LT"/>
              </w:rPr>
              <w:t>Gydant erekcijos sutrikimus:</w:t>
            </w:r>
          </w:p>
          <w:p w14:paraId="49680325" w14:textId="77777777" w:rsidR="007D59EF" w:rsidRPr="001C7577" w:rsidRDefault="007D59EF" w:rsidP="007D59EF">
            <w:pPr>
              <w:spacing w:line="240" w:lineRule="auto"/>
              <w:rPr>
                <w:lang w:val="lt-LT"/>
              </w:rPr>
            </w:pPr>
            <w:r w:rsidRPr="001C7577">
              <w:rPr>
                <w:lang w:val="lt-LT"/>
              </w:rPr>
              <w:t>atsargiai reikia skirti sildenafilį ar</w:t>
            </w:r>
          </w:p>
          <w:p w14:paraId="364D80ED" w14:textId="77777777" w:rsidR="007D59EF" w:rsidRPr="001C7577" w:rsidRDefault="007D59EF" w:rsidP="007D59EF">
            <w:pPr>
              <w:spacing w:line="240" w:lineRule="auto"/>
              <w:rPr>
                <w:lang w:val="lt-LT"/>
              </w:rPr>
            </w:pPr>
            <w:r w:rsidRPr="001C7577">
              <w:rPr>
                <w:lang w:val="lt-LT"/>
              </w:rPr>
              <w:t>tadalafilį pacientams, kurie gydomi lopinaviru/ritonaviru, ypatingai reikia stebėti nepageidaujamas reakcijas, įskaitant hipotenziją, apalpimą, regos pakitimus ir pailgėjusią erekciją (žr.4.4 skyrių).</w:t>
            </w:r>
          </w:p>
          <w:p w14:paraId="5657DFCF" w14:textId="77777777" w:rsidR="007D59EF" w:rsidRPr="001C7577" w:rsidRDefault="007D59EF" w:rsidP="007D59EF">
            <w:pPr>
              <w:spacing w:line="240" w:lineRule="auto"/>
              <w:rPr>
                <w:lang w:val="lt-LT"/>
              </w:rPr>
            </w:pPr>
            <w:r w:rsidRPr="001C7577">
              <w:rPr>
                <w:lang w:val="lt-LT"/>
              </w:rPr>
              <w:t>Kartu su lopinaviru/ritonaviru skiriant sildenafilį, jo dozė neturi viršyti 25 mg per 48 valandas, o tadalafilo dozė negali viršyti</w:t>
            </w:r>
          </w:p>
          <w:p w14:paraId="0431EEA1" w14:textId="77777777" w:rsidR="007D59EF" w:rsidRPr="001C7577" w:rsidRDefault="007D59EF" w:rsidP="007D59EF">
            <w:pPr>
              <w:spacing w:line="240" w:lineRule="auto"/>
              <w:rPr>
                <w:lang w:val="lt-LT"/>
              </w:rPr>
            </w:pPr>
            <w:r w:rsidRPr="001C7577">
              <w:rPr>
                <w:lang w:val="lt-LT"/>
              </w:rPr>
              <w:t>10 mg kas 72 valandas. (žr. 4.3 skyrių).</w:t>
            </w:r>
          </w:p>
        </w:tc>
      </w:tr>
      <w:tr w:rsidR="007D59EF" w:rsidRPr="00705EEC" w14:paraId="58DBD380" w14:textId="77777777" w:rsidTr="001C7577">
        <w:tc>
          <w:tcPr>
            <w:tcW w:w="3143" w:type="dxa"/>
            <w:gridSpan w:val="2"/>
            <w:shd w:val="clear" w:color="auto" w:fill="auto"/>
          </w:tcPr>
          <w:p w14:paraId="2A8BE65C" w14:textId="77777777" w:rsidR="007D59EF" w:rsidRPr="001C7577" w:rsidRDefault="007D59EF" w:rsidP="007D59EF">
            <w:pPr>
              <w:spacing w:line="240" w:lineRule="auto"/>
              <w:rPr>
                <w:lang w:val="lt-LT"/>
              </w:rPr>
            </w:pPr>
            <w:r w:rsidRPr="001C7577">
              <w:rPr>
                <w:lang w:val="lt-LT"/>
              </w:rPr>
              <w:t xml:space="preserve">Sildenafilis </w:t>
            </w:r>
          </w:p>
          <w:p w14:paraId="541117DC" w14:textId="77777777" w:rsidR="007D59EF" w:rsidRPr="001C7577" w:rsidRDefault="007D59EF" w:rsidP="007D59EF">
            <w:pPr>
              <w:spacing w:line="240" w:lineRule="auto"/>
              <w:rPr>
                <w:lang w:val="lt-LT"/>
              </w:rPr>
            </w:pPr>
          </w:p>
        </w:tc>
        <w:tc>
          <w:tcPr>
            <w:tcW w:w="3047" w:type="dxa"/>
            <w:shd w:val="clear" w:color="auto" w:fill="auto"/>
          </w:tcPr>
          <w:p w14:paraId="2ECD34DB" w14:textId="77777777" w:rsidR="007D59EF" w:rsidRPr="001C7577" w:rsidRDefault="007D59EF" w:rsidP="007D59EF">
            <w:pPr>
              <w:spacing w:line="240" w:lineRule="auto"/>
              <w:rPr>
                <w:lang w:val="lt-LT"/>
              </w:rPr>
            </w:pPr>
            <w:r w:rsidRPr="001C7577">
              <w:rPr>
                <w:lang w:val="lt-LT"/>
              </w:rPr>
              <w:t>Sildenafilis:</w:t>
            </w:r>
          </w:p>
          <w:p w14:paraId="1171788C" w14:textId="77777777" w:rsidR="007D59EF" w:rsidRPr="001C7577" w:rsidRDefault="007D59EF" w:rsidP="007D59EF">
            <w:pPr>
              <w:spacing w:line="240" w:lineRule="auto"/>
              <w:rPr>
                <w:lang w:val="lt-LT"/>
              </w:rPr>
            </w:pPr>
            <w:r w:rsidRPr="001C7577">
              <w:rPr>
                <w:lang w:val="lt-LT"/>
              </w:rPr>
              <w:t>AUC: ↑ 11-kartų</w:t>
            </w:r>
          </w:p>
          <w:p w14:paraId="492A552C" w14:textId="77777777" w:rsidR="007D59EF" w:rsidRPr="001C7577" w:rsidRDefault="007D59EF" w:rsidP="007D59EF">
            <w:pPr>
              <w:spacing w:line="240" w:lineRule="auto"/>
              <w:rPr>
                <w:lang w:val="lt-LT"/>
              </w:rPr>
            </w:pPr>
            <w:r w:rsidRPr="001C7577">
              <w:rPr>
                <w:lang w:val="lt-LT"/>
              </w:rPr>
              <w:t>Dėl CYP3A slopinimo</w:t>
            </w:r>
          </w:p>
          <w:p w14:paraId="7812494E" w14:textId="77777777" w:rsidR="007D59EF" w:rsidRPr="001C7577" w:rsidRDefault="007D59EF" w:rsidP="007D59EF">
            <w:pPr>
              <w:spacing w:line="240" w:lineRule="auto"/>
              <w:rPr>
                <w:lang w:val="lt-LT"/>
              </w:rPr>
            </w:pPr>
            <w:r w:rsidRPr="001C7577">
              <w:rPr>
                <w:lang w:val="lt-LT"/>
              </w:rPr>
              <w:t>lopinaviru/ritonaviru.</w:t>
            </w:r>
          </w:p>
        </w:tc>
        <w:tc>
          <w:tcPr>
            <w:tcW w:w="3096" w:type="dxa"/>
            <w:vMerge/>
            <w:shd w:val="clear" w:color="auto" w:fill="auto"/>
          </w:tcPr>
          <w:p w14:paraId="70932ABF" w14:textId="77777777" w:rsidR="007D59EF" w:rsidRPr="001C7577" w:rsidRDefault="007D59EF" w:rsidP="007D59EF">
            <w:pPr>
              <w:spacing w:line="240" w:lineRule="auto"/>
              <w:rPr>
                <w:lang w:val="lt-LT"/>
              </w:rPr>
            </w:pPr>
          </w:p>
        </w:tc>
      </w:tr>
      <w:tr w:rsidR="007D59EF" w:rsidRPr="00705EEC" w14:paraId="62476136" w14:textId="77777777" w:rsidTr="001C7577">
        <w:tc>
          <w:tcPr>
            <w:tcW w:w="3143" w:type="dxa"/>
            <w:gridSpan w:val="2"/>
            <w:shd w:val="clear" w:color="auto" w:fill="auto"/>
          </w:tcPr>
          <w:p w14:paraId="044DC7EB" w14:textId="77777777" w:rsidR="007D59EF" w:rsidRPr="001C7577" w:rsidRDefault="007D59EF" w:rsidP="007D59EF">
            <w:pPr>
              <w:spacing w:line="240" w:lineRule="auto"/>
              <w:rPr>
                <w:lang w:val="lt-LT"/>
              </w:rPr>
            </w:pPr>
            <w:r w:rsidRPr="001C7577">
              <w:rPr>
                <w:lang w:val="lt-LT"/>
              </w:rPr>
              <w:t xml:space="preserve">Vardenafilis </w:t>
            </w:r>
          </w:p>
          <w:p w14:paraId="36FB43DC" w14:textId="77777777" w:rsidR="007D59EF" w:rsidRPr="001C7577" w:rsidRDefault="007D59EF" w:rsidP="007D59EF">
            <w:pPr>
              <w:spacing w:line="240" w:lineRule="auto"/>
              <w:rPr>
                <w:lang w:val="lt-LT"/>
              </w:rPr>
            </w:pPr>
          </w:p>
        </w:tc>
        <w:tc>
          <w:tcPr>
            <w:tcW w:w="3047" w:type="dxa"/>
            <w:shd w:val="clear" w:color="auto" w:fill="auto"/>
          </w:tcPr>
          <w:p w14:paraId="60671F51" w14:textId="77777777" w:rsidR="007D59EF" w:rsidRPr="001C7577" w:rsidRDefault="007D59EF" w:rsidP="007D59EF">
            <w:pPr>
              <w:spacing w:line="240" w:lineRule="auto"/>
              <w:rPr>
                <w:lang w:val="lt-LT"/>
              </w:rPr>
            </w:pPr>
            <w:r w:rsidRPr="001C7577">
              <w:rPr>
                <w:lang w:val="lt-LT"/>
              </w:rPr>
              <w:t>Vardenafilis:</w:t>
            </w:r>
          </w:p>
          <w:p w14:paraId="6F2962CE" w14:textId="77777777" w:rsidR="007D59EF" w:rsidRPr="001C7577" w:rsidRDefault="007D59EF" w:rsidP="007D59EF">
            <w:pPr>
              <w:spacing w:line="240" w:lineRule="auto"/>
              <w:rPr>
                <w:lang w:val="lt-LT"/>
              </w:rPr>
            </w:pPr>
            <w:r w:rsidRPr="001C7577">
              <w:rPr>
                <w:lang w:val="lt-LT"/>
              </w:rPr>
              <w:t>AUC: ↑ 49-kartų</w:t>
            </w:r>
          </w:p>
          <w:p w14:paraId="21C066C2" w14:textId="77777777" w:rsidR="007D59EF" w:rsidRPr="001C7577" w:rsidRDefault="007D59EF" w:rsidP="007D59EF">
            <w:pPr>
              <w:spacing w:line="240" w:lineRule="auto"/>
              <w:rPr>
                <w:lang w:val="lt-LT"/>
              </w:rPr>
            </w:pPr>
            <w:r w:rsidRPr="001C7577">
              <w:rPr>
                <w:lang w:val="lt-LT"/>
              </w:rPr>
              <w:t>Dėl CYP3A inhibavimo lopinaviru/ ritonaviru.</w:t>
            </w:r>
          </w:p>
        </w:tc>
        <w:tc>
          <w:tcPr>
            <w:tcW w:w="3096" w:type="dxa"/>
            <w:shd w:val="clear" w:color="auto" w:fill="auto"/>
          </w:tcPr>
          <w:p w14:paraId="6D32E5EF" w14:textId="77777777" w:rsidR="007D59EF" w:rsidRPr="001C7577" w:rsidRDefault="007D59EF" w:rsidP="007D59EF">
            <w:pPr>
              <w:spacing w:line="240" w:lineRule="auto"/>
              <w:rPr>
                <w:lang w:val="lt-LT"/>
              </w:rPr>
            </w:pPr>
            <w:r w:rsidRPr="001C7577">
              <w:rPr>
                <w:lang w:val="lt-LT"/>
              </w:rPr>
              <w:t>Vardenafilio vartojimas kartu su</w:t>
            </w:r>
          </w:p>
          <w:p w14:paraId="54ABEA46" w14:textId="77777777" w:rsidR="007D59EF" w:rsidRPr="001C7577" w:rsidRDefault="007D59EF" w:rsidP="007D59EF">
            <w:pPr>
              <w:spacing w:line="240" w:lineRule="auto"/>
              <w:rPr>
                <w:lang w:val="lt-LT"/>
              </w:rPr>
            </w:pPr>
            <w:r w:rsidRPr="001C7577">
              <w:rPr>
                <w:lang w:val="lt-LT"/>
              </w:rPr>
              <w:t>lopinaviru/ritonaviru yra draudžiamas (žr. 4.3 skyrių).</w:t>
            </w:r>
          </w:p>
        </w:tc>
      </w:tr>
      <w:tr w:rsidR="007D59EF" w:rsidRPr="00705EEC" w14:paraId="49646D76" w14:textId="77777777" w:rsidTr="001C7577">
        <w:tc>
          <w:tcPr>
            <w:tcW w:w="9286" w:type="dxa"/>
            <w:gridSpan w:val="4"/>
            <w:shd w:val="clear" w:color="auto" w:fill="auto"/>
          </w:tcPr>
          <w:p w14:paraId="67693007" w14:textId="77777777" w:rsidR="007D59EF" w:rsidRPr="001C7577" w:rsidRDefault="007D59EF" w:rsidP="007D59EF">
            <w:pPr>
              <w:spacing w:line="240" w:lineRule="auto"/>
              <w:rPr>
                <w:lang w:val="lt-LT"/>
              </w:rPr>
            </w:pPr>
            <w:r w:rsidRPr="001C7577">
              <w:rPr>
                <w:rFonts w:ascii="TimesNewRomanPS-ItalicMT" w:eastAsia="Calibri" w:hAnsi="TimesNewRomanPS-ItalicMT" w:cs="TimesNewRomanPS-ItalicMT"/>
                <w:i/>
                <w:iCs/>
                <w:snapToGrid/>
                <w:szCs w:val="22"/>
                <w:lang w:val="lt-LT"/>
              </w:rPr>
              <w:t>HCV Proteazės Inhibitoriai</w:t>
            </w:r>
          </w:p>
        </w:tc>
      </w:tr>
      <w:tr w:rsidR="007D59EF" w:rsidRPr="00705EEC" w14:paraId="7A0B86BD" w14:textId="77777777" w:rsidTr="001C7577">
        <w:tc>
          <w:tcPr>
            <w:tcW w:w="3143" w:type="dxa"/>
            <w:gridSpan w:val="2"/>
            <w:shd w:val="clear" w:color="auto" w:fill="auto"/>
          </w:tcPr>
          <w:p w14:paraId="2CC81771" w14:textId="77777777" w:rsidR="007D59EF" w:rsidRPr="001C7577" w:rsidRDefault="007D59EF" w:rsidP="007D59EF">
            <w:pPr>
              <w:spacing w:line="240" w:lineRule="auto"/>
              <w:rPr>
                <w:lang w:val="lt-LT"/>
              </w:rPr>
            </w:pPr>
            <w:r w:rsidRPr="001C7577">
              <w:rPr>
                <w:lang w:val="lt-LT"/>
              </w:rPr>
              <w:t>Bocepreviras 800 mg</w:t>
            </w:r>
          </w:p>
          <w:p w14:paraId="13382025" w14:textId="77777777" w:rsidR="007D59EF" w:rsidRPr="001C7577" w:rsidRDefault="007D59EF" w:rsidP="007D59EF">
            <w:pPr>
              <w:spacing w:line="240" w:lineRule="auto"/>
              <w:rPr>
                <w:lang w:val="lt-LT"/>
              </w:rPr>
            </w:pPr>
            <w:r w:rsidRPr="001C7577">
              <w:rPr>
                <w:lang w:val="lt-LT"/>
              </w:rPr>
              <w:t>tris kartus per parą</w:t>
            </w:r>
          </w:p>
          <w:p w14:paraId="6B35F9F7" w14:textId="77777777" w:rsidR="007D59EF" w:rsidRPr="001C7577" w:rsidRDefault="007D59EF" w:rsidP="007D59EF">
            <w:pPr>
              <w:spacing w:line="240" w:lineRule="auto"/>
              <w:rPr>
                <w:lang w:val="lt-LT"/>
              </w:rPr>
            </w:pPr>
          </w:p>
        </w:tc>
        <w:tc>
          <w:tcPr>
            <w:tcW w:w="3047" w:type="dxa"/>
            <w:shd w:val="clear" w:color="auto" w:fill="auto"/>
          </w:tcPr>
          <w:p w14:paraId="10C3605C" w14:textId="77777777" w:rsidR="007D59EF" w:rsidRPr="001C7577" w:rsidRDefault="007D59EF" w:rsidP="007D59EF">
            <w:pPr>
              <w:spacing w:line="240" w:lineRule="auto"/>
              <w:rPr>
                <w:lang w:val="lt-LT"/>
              </w:rPr>
            </w:pPr>
            <w:r w:rsidRPr="001C7577">
              <w:rPr>
                <w:lang w:val="lt-LT"/>
              </w:rPr>
              <w:t>Bocepreviras:</w:t>
            </w:r>
          </w:p>
          <w:p w14:paraId="325464FE" w14:textId="77777777" w:rsidR="007D59EF" w:rsidRPr="001C7577" w:rsidRDefault="007D59EF" w:rsidP="007D59EF">
            <w:pPr>
              <w:spacing w:line="240" w:lineRule="auto"/>
              <w:rPr>
                <w:lang w:val="lt-LT"/>
              </w:rPr>
            </w:pPr>
            <w:r w:rsidRPr="001C7577">
              <w:rPr>
                <w:lang w:val="lt-LT"/>
              </w:rPr>
              <w:t>AUC: ↓ 45%</w:t>
            </w:r>
          </w:p>
          <w:p w14:paraId="6AB32742"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50%</w:t>
            </w:r>
          </w:p>
          <w:p w14:paraId="75F5F7A6"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57%</w:t>
            </w:r>
          </w:p>
          <w:p w14:paraId="782A91FD" w14:textId="77777777" w:rsidR="007D59EF" w:rsidRPr="001C7577" w:rsidRDefault="007D59EF" w:rsidP="007D59EF">
            <w:pPr>
              <w:spacing w:line="240" w:lineRule="auto"/>
              <w:rPr>
                <w:lang w:val="lt-LT"/>
              </w:rPr>
            </w:pPr>
          </w:p>
          <w:p w14:paraId="142F8C53" w14:textId="77777777" w:rsidR="007D59EF" w:rsidRPr="001C7577" w:rsidRDefault="007D59EF" w:rsidP="007D59EF">
            <w:pPr>
              <w:spacing w:line="240" w:lineRule="auto"/>
              <w:rPr>
                <w:lang w:val="lt-LT"/>
              </w:rPr>
            </w:pPr>
            <w:r w:rsidRPr="001C7577">
              <w:rPr>
                <w:lang w:val="lt-LT"/>
              </w:rPr>
              <w:t>Lopinaviras:</w:t>
            </w:r>
          </w:p>
          <w:p w14:paraId="7F2717E7" w14:textId="77777777" w:rsidR="007D59EF" w:rsidRPr="001C7577" w:rsidRDefault="007D59EF" w:rsidP="007D59EF">
            <w:pPr>
              <w:spacing w:line="240" w:lineRule="auto"/>
              <w:rPr>
                <w:lang w:val="lt-LT"/>
              </w:rPr>
            </w:pPr>
            <w:r w:rsidRPr="001C7577">
              <w:rPr>
                <w:lang w:val="lt-LT"/>
              </w:rPr>
              <w:t>AUC: ↓ 34%</w:t>
            </w:r>
          </w:p>
          <w:p w14:paraId="19CCEB43"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30%</w:t>
            </w:r>
          </w:p>
          <w:p w14:paraId="656A23DB"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43%</w:t>
            </w:r>
          </w:p>
        </w:tc>
        <w:tc>
          <w:tcPr>
            <w:tcW w:w="3096" w:type="dxa"/>
            <w:shd w:val="clear" w:color="auto" w:fill="auto"/>
          </w:tcPr>
          <w:p w14:paraId="33EE8371" w14:textId="77777777" w:rsidR="007D59EF" w:rsidRPr="001C7577" w:rsidRDefault="007D59EF" w:rsidP="007D59EF">
            <w:pPr>
              <w:spacing w:line="240" w:lineRule="auto"/>
              <w:rPr>
                <w:lang w:val="lt-LT"/>
              </w:rPr>
            </w:pPr>
            <w:r w:rsidRPr="001C7577">
              <w:rPr>
                <w:lang w:val="lt-LT"/>
              </w:rPr>
              <w:t>Nerekomenduojama kartu vartoti</w:t>
            </w:r>
          </w:p>
          <w:p w14:paraId="60355BB1" w14:textId="77777777" w:rsidR="007D59EF" w:rsidRPr="001C7577" w:rsidRDefault="007D59EF" w:rsidP="007D59EF">
            <w:pPr>
              <w:spacing w:line="240" w:lineRule="auto"/>
              <w:rPr>
                <w:lang w:val="lt-LT"/>
              </w:rPr>
            </w:pPr>
            <w:r w:rsidRPr="001C7577">
              <w:rPr>
                <w:lang w:val="lt-LT"/>
              </w:rPr>
              <w:t>lopinaviro/ritonaviro ir bocepreviro.</w:t>
            </w:r>
          </w:p>
        </w:tc>
      </w:tr>
      <w:tr w:rsidR="007D59EF" w:rsidRPr="00705EEC" w14:paraId="49DF2ECA" w14:textId="77777777" w:rsidTr="001C7577">
        <w:tc>
          <w:tcPr>
            <w:tcW w:w="3143" w:type="dxa"/>
            <w:gridSpan w:val="2"/>
            <w:shd w:val="clear" w:color="auto" w:fill="auto"/>
          </w:tcPr>
          <w:p w14:paraId="273D0104" w14:textId="77777777" w:rsidR="007D59EF" w:rsidRPr="001C7577" w:rsidRDefault="007D59EF" w:rsidP="007D59EF">
            <w:pPr>
              <w:spacing w:line="240" w:lineRule="auto"/>
              <w:rPr>
                <w:lang w:val="lt-LT"/>
              </w:rPr>
            </w:pPr>
            <w:r w:rsidRPr="001C7577">
              <w:rPr>
                <w:lang w:val="lt-LT"/>
              </w:rPr>
              <w:lastRenderedPageBreak/>
              <w:t>Telapreviras 750 mg tris kartus per parą</w:t>
            </w:r>
          </w:p>
          <w:p w14:paraId="6A5CAFC5" w14:textId="77777777" w:rsidR="007D59EF" w:rsidRPr="001C7577" w:rsidRDefault="007D59EF" w:rsidP="007D59EF">
            <w:pPr>
              <w:spacing w:line="240" w:lineRule="auto"/>
              <w:rPr>
                <w:lang w:val="lt-LT"/>
              </w:rPr>
            </w:pPr>
          </w:p>
        </w:tc>
        <w:tc>
          <w:tcPr>
            <w:tcW w:w="3047" w:type="dxa"/>
            <w:shd w:val="clear" w:color="auto" w:fill="auto"/>
          </w:tcPr>
          <w:p w14:paraId="00D0170D" w14:textId="77777777" w:rsidR="007D59EF" w:rsidRPr="001C7577" w:rsidRDefault="007D59EF" w:rsidP="007D59EF">
            <w:pPr>
              <w:spacing w:line="240" w:lineRule="auto"/>
              <w:rPr>
                <w:lang w:val="lt-LT"/>
              </w:rPr>
            </w:pPr>
            <w:r w:rsidRPr="001C7577">
              <w:rPr>
                <w:lang w:val="lt-LT"/>
              </w:rPr>
              <w:t>Telapreviras:</w:t>
            </w:r>
          </w:p>
          <w:p w14:paraId="4A10F236" w14:textId="77777777" w:rsidR="007D59EF" w:rsidRPr="001C7577" w:rsidRDefault="007D59EF" w:rsidP="007D59EF">
            <w:pPr>
              <w:spacing w:line="240" w:lineRule="auto"/>
              <w:rPr>
                <w:lang w:val="lt-LT"/>
              </w:rPr>
            </w:pPr>
            <w:r w:rsidRPr="001C7577">
              <w:rPr>
                <w:lang w:val="lt-LT"/>
              </w:rPr>
              <w:t>AUC: ↓ 54%</w:t>
            </w:r>
          </w:p>
          <w:p w14:paraId="0728ED12"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53%</w:t>
            </w:r>
          </w:p>
          <w:p w14:paraId="481B763F"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min</w:t>
            </w:r>
            <w:r w:rsidRPr="001C7577">
              <w:rPr>
                <w:lang w:val="lt-LT"/>
              </w:rPr>
              <w:t>: ↓ 52%</w:t>
            </w:r>
          </w:p>
          <w:p w14:paraId="60943D41" w14:textId="77777777" w:rsidR="007D59EF" w:rsidRPr="001C7577" w:rsidRDefault="007D59EF" w:rsidP="007D59EF">
            <w:pPr>
              <w:spacing w:line="240" w:lineRule="auto"/>
              <w:rPr>
                <w:lang w:val="lt-LT"/>
              </w:rPr>
            </w:pPr>
            <w:r w:rsidRPr="001C7577">
              <w:rPr>
                <w:lang w:val="lt-LT"/>
              </w:rPr>
              <w:t>Lopinaviras: ↔</w:t>
            </w:r>
          </w:p>
        </w:tc>
        <w:tc>
          <w:tcPr>
            <w:tcW w:w="3096" w:type="dxa"/>
            <w:shd w:val="clear" w:color="auto" w:fill="auto"/>
          </w:tcPr>
          <w:p w14:paraId="31FED5CF" w14:textId="77777777" w:rsidR="007D59EF" w:rsidRPr="001C7577" w:rsidRDefault="007D59EF" w:rsidP="007D59EF">
            <w:pPr>
              <w:spacing w:line="240" w:lineRule="auto"/>
              <w:rPr>
                <w:lang w:val="lt-LT"/>
              </w:rPr>
            </w:pPr>
            <w:r w:rsidRPr="001C7577">
              <w:rPr>
                <w:lang w:val="lt-LT"/>
              </w:rPr>
              <w:t>Nerekomenduojama kartu vartoti</w:t>
            </w:r>
          </w:p>
          <w:p w14:paraId="185D2EF5" w14:textId="77777777" w:rsidR="007D59EF" w:rsidRPr="001C7577" w:rsidRDefault="007D59EF" w:rsidP="007D59EF">
            <w:pPr>
              <w:spacing w:line="240" w:lineRule="auto"/>
              <w:rPr>
                <w:lang w:val="lt-LT"/>
              </w:rPr>
            </w:pPr>
            <w:r w:rsidRPr="001C7577">
              <w:rPr>
                <w:lang w:val="lt-LT"/>
              </w:rPr>
              <w:t>lopinaviro/ritonaviro ir telaprevirą.</w:t>
            </w:r>
          </w:p>
        </w:tc>
      </w:tr>
      <w:tr w:rsidR="007D59EF" w:rsidRPr="00705EEC" w14:paraId="7A4DDD90" w14:textId="77777777" w:rsidTr="001C7577">
        <w:tc>
          <w:tcPr>
            <w:tcW w:w="9286" w:type="dxa"/>
            <w:gridSpan w:val="4"/>
            <w:shd w:val="clear" w:color="auto" w:fill="auto"/>
          </w:tcPr>
          <w:p w14:paraId="1212E7A8" w14:textId="77777777" w:rsidR="007D59EF" w:rsidRPr="001C7577" w:rsidRDefault="007D59EF" w:rsidP="007D59EF">
            <w:pPr>
              <w:spacing w:line="240" w:lineRule="auto"/>
              <w:rPr>
                <w:lang w:val="lt-LT"/>
              </w:rPr>
            </w:pPr>
            <w:r w:rsidRPr="001C7577">
              <w:rPr>
                <w:rFonts w:eastAsia="Calibri"/>
                <w:i/>
                <w:iCs/>
                <w:snapToGrid/>
                <w:szCs w:val="22"/>
                <w:lang w:val="lt-LT"/>
              </w:rPr>
              <w:t>Augaliniai preparatai</w:t>
            </w:r>
          </w:p>
        </w:tc>
      </w:tr>
      <w:tr w:rsidR="007D59EF" w:rsidRPr="0088318A" w14:paraId="341BA0D9" w14:textId="77777777" w:rsidTr="001C7577">
        <w:tc>
          <w:tcPr>
            <w:tcW w:w="3143" w:type="dxa"/>
            <w:gridSpan w:val="2"/>
            <w:shd w:val="clear" w:color="auto" w:fill="auto"/>
          </w:tcPr>
          <w:p w14:paraId="1839CCBC" w14:textId="77777777" w:rsidR="007D59EF" w:rsidRPr="001C7577" w:rsidRDefault="007D59EF" w:rsidP="007D59EF">
            <w:pPr>
              <w:spacing w:line="240" w:lineRule="auto"/>
              <w:rPr>
                <w:i/>
                <w:lang w:val="lt-LT"/>
              </w:rPr>
            </w:pPr>
            <w:r w:rsidRPr="001C7577">
              <w:rPr>
                <w:lang w:val="lt-LT"/>
              </w:rPr>
              <w:t>Jonažolė</w:t>
            </w:r>
            <w:r w:rsidRPr="001C7577">
              <w:rPr>
                <w:i/>
                <w:lang w:val="lt-LT"/>
              </w:rPr>
              <w:t xml:space="preserve"> (Hypericum perforatum)</w:t>
            </w:r>
          </w:p>
          <w:p w14:paraId="7C6FFFAA" w14:textId="77777777" w:rsidR="007D59EF" w:rsidRPr="001C7577" w:rsidRDefault="007D59EF" w:rsidP="007D59EF">
            <w:pPr>
              <w:spacing w:line="240" w:lineRule="auto"/>
              <w:rPr>
                <w:lang w:val="lt-LT"/>
              </w:rPr>
            </w:pPr>
          </w:p>
        </w:tc>
        <w:tc>
          <w:tcPr>
            <w:tcW w:w="3047" w:type="dxa"/>
            <w:shd w:val="clear" w:color="auto" w:fill="auto"/>
          </w:tcPr>
          <w:p w14:paraId="6FB025E0" w14:textId="77777777" w:rsidR="007D59EF" w:rsidRPr="001C7577" w:rsidRDefault="007D59EF" w:rsidP="007D59EF">
            <w:pPr>
              <w:spacing w:line="240" w:lineRule="auto"/>
              <w:rPr>
                <w:lang w:val="lt-LT"/>
              </w:rPr>
            </w:pPr>
            <w:r w:rsidRPr="001C7577">
              <w:rPr>
                <w:lang w:val="lt-LT"/>
              </w:rPr>
              <w:t>Lopinaviras:</w:t>
            </w:r>
          </w:p>
          <w:p w14:paraId="53A9EBA6" w14:textId="77777777" w:rsidR="007D59EF" w:rsidRPr="001C7577" w:rsidRDefault="007D59EF" w:rsidP="007D59EF">
            <w:pPr>
              <w:spacing w:line="240" w:lineRule="auto"/>
              <w:rPr>
                <w:lang w:val="lt-LT"/>
              </w:rPr>
            </w:pPr>
            <w:r w:rsidRPr="001C7577">
              <w:rPr>
                <w:lang w:val="lt-LT"/>
              </w:rPr>
              <w:t>Koncentracija gali sumažėti, dėl</w:t>
            </w:r>
          </w:p>
          <w:p w14:paraId="38C22116" w14:textId="77777777" w:rsidR="007D59EF" w:rsidRPr="001C7577" w:rsidRDefault="007D59EF" w:rsidP="007D59EF">
            <w:pPr>
              <w:spacing w:line="240" w:lineRule="auto"/>
              <w:rPr>
                <w:lang w:val="lt-LT"/>
              </w:rPr>
            </w:pPr>
            <w:r w:rsidRPr="001C7577">
              <w:rPr>
                <w:lang w:val="lt-LT"/>
              </w:rPr>
              <w:t>jonažolės CYP3A indukavimo.</w:t>
            </w:r>
          </w:p>
          <w:p w14:paraId="0A7C2469" w14:textId="77777777" w:rsidR="007D59EF" w:rsidRPr="001C7577" w:rsidRDefault="007D59EF" w:rsidP="007D59EF">
            <w:pPr>
              <w:spacing w:line="240" w:lineRule="auto"/>
              <w:rPr>
                <w:lang w:val="lt-LT"/>
              </w:rPr>
            </w:pPr>
          </w:p>
        </w:tc>
        <w:tc>
          <w:tcPr>
            <w:tcW w:w="3096" w:type="dxa"/>
            <w:shd w:val="clear" w:color="auto" w:fill="auto"/>
          </w:tcPr>
          <w:p w14:paraId="578D7455" w14:textId="77777777" w:rsidR="007D59EF" w:rsidRPr="001C7577" w:rsidRDefault="007D59EF" w:rsidP="007D59EF">
            <w:pPr>
              <w:spacing w:line="240" w:lineRule="auto"/>
              <w:rPr>
                <w:lang w:val="lt-LT"/>
              </w:rPr>
            </w:pPr>
            <w:r w:rsidRPr="001C7577">
              <w:rPr>
                <w:lang w:val="lt-LT"/>
              </w:rPr>
              <w:t>Augalinių preparatų, kurių sudėtyje</w:t>
            </w:r>
          </w:p>
          <w:p w14:paraId="68B4D6D0" w14:textId="77777777" w:rsidR="007D59EF" w:rsidRPr="001C7577" w:rsidRDefault="007D59EF" w:rsidP="007D59EF">
            <w:pPr>
              <w:spacing w:line="240" w:lineRule="auto"/>
              <w:rPr>
                <w:lang w:val="lt-LT"/>
              </w:rPr>
            </w:pPr>
            <w:r w:rsidRPr="001C7577">
              <w:rPr>
                <w:lang w:val="lt-LT"/>
              </w:rPr>
              <w:t>yra jonažolės, negalima skirti</w:t>
            </w:r>
          </w:p>
          <w:p w14:paraId="7CA1E604" w14:textId="77777777" w:rsidR="007D59EF" w:rsidRPr="001C7577" w:rsidRDefault="007D59EF" w:rsidP="007D59EF">
            <w:pPr>
              <w:spacing w:line="240" w:lineRule="auto"/>
              <w:rPr>
                <w:lang w:val="lt-LT"/>
              </w:rPr>
            </w:pPr>
            <w:r w:rsidRPr="001C7577">
              <w:rPr>
                <w:lang w:val="lt-LT"/>
              </w:rPr>
              <w:t>kartu su lopinaviru ar ritonaviru.</w:t>
            </w:r>
          </w:p>
          <w:p w14:paraId="6A021C57" w14:textId="77777777" w:rsidR="007D59EF" w:rsidRPr="001C7577" w:rsidRDefault="007D59EF" w:rsidP="007D59EF">
            <w:pPr>
              <w:spacing w:line="240" w:lineRule="auto"/>
              <w:rPr>
                <w:lang w:val="lt-LT"/>
              </w:rPr>
            </w:pPr>
            <w:r w:rsidRPr="001C7577">
              <w:rPr>
                <w:lang w:val="lt-LT"/>
              </w:rPr>
              <w:t>Jei pacientai jau gydomi jonažolėmis, reikia nutraukti jų</w:t>
            </w:r>
          </w:p>
          <w:p w14:paraId="6E061D3B" w14:textId="77777777" w:rsidR="007D59EF" w:rsidRPr="001C7577" w:rsidRDefault="007D59EF" w:rsidP="007D59EF">
            <w:pPr>
              <w:spacing w:line="240" w:lineRule="auto"/>
              <w:rPr>
                <w:lang w:val="lt-LT"/>
              </w:rPr>
            </w:pPr>
            <w:r w:rsidRPr="001C7577">
              <w:rPr>
                <w:lang w:val="lt-LT"/>
              </w:rPr>
              <w:t>vartojimą ir ištirti virusų kiekį.</w:t>
            </w:r>
          </w:p>
          <w:p w14:paraId="7B9C4249" w14:textId="77777777" w:rsidR="007D59EF" w:rsidRPr="001C7577" w:rsidRDefault="007D59EF" w:rsidP="007D59EF">
            <w:pPr>
              <w:spacing w:line="240" w:lineRule="auto"/>
              <w:rPr>
                <w:lang w:val="lt-LT"/>
              </w:rPr>
            </w:pPr>
            <w:r w:rsidRPr="001C7577">
              <w:rPr>
                <w:lang w:val="lt-LT"/>
              </w:rPr>
              <w:t>Lopinaviro ir ritonaviro kiekiai</w:t>
            </w:r>
          </w:p>
          <w:p w14:paraId="34A7F344" w14:textId="77777777" w:rsidR="007D59EF" w:rsidRPr="001C7577" w:rsidRDefault="007D59EF" w:rsidP="007D59EF">
            <w:pPr>
              <w:spacing w:line="240" w:lineRule="auto"/>
              <w:rPr>
                <w:lang w:val="lt-LT"/>
              </w:rPr>
            </w:pPr>
            <w:r w:rsidRPr="001C7577">
              <w:rPr>
                <w:lang w:val="lt-LT"/>
              </w:rPr>
              <w:t>gali padidėti nutraukus jonažolių</w:t>
            </w:r>
          </w:p>
          <w:p w14:paraId="2A2C3E36" w14:textId="77777777" w:rsidR="007D59EF" w:rsidRPr="001C7577" w:rsidRDefault="007D59EF" w:rsidP="007D59EF">
            <w:pPr>
              <w:spacing w:line="240" w:lineRule="auto"/>
              <w:rPr>
                <w:lang w:val="lt-LT"/>
              </w:rPr>
            </w:pPr>
            <w:r w:rsidRPr="001C7577">
              <w:rPr>
                <w:lang w:val="lt-LT"/>
              </w:rPr>
              <w:t>preparatus. Gali prireikti koreguoti lopinaviro/ritonaviro dozę.</w:t>
            </w:r>
          </w:p>
          <w:p w14:paraId="7E5B7488" w14:textId="77777777" w:rsidR="007D59EF" w:rsidRPr="001C7577" w:rsidRDefault="007D59EF" w:rsidP="007D59EF">
            <w:pPr>
              <w:spacing w:line="240" w:lineRule="auto"/>
              <w:rPr>
                <w:lang w:val="lt-LT"/>
              </w:rPr>
            </w:pPr>
            <w:r w:rsidRPr="001C7577">
              <w:rPr>
                <w:lang w:val="lt-LT"/>
              </w:rPr>
              <w:t>Padidėjimo poveikis gali tęstis 2</w:t>
            </w:r>
          </w:p>
          <w:p w14:paraId="15927A39" w14:textId="77777777" w:rsidR="007D59EF" w:rsidRPr="001C7577" w:rsidRDefault="007D59EF" w:rsidP="007D59EF">
            <w:pPr>
              <w:spacing w:line="240" w:lineRule="auto"/>
              <w:rPr>
                <w:lang w:val="lt-LT"/>
              </w:rPr>
            </w:pPr>
            <w:r w:rsidRPr="001C7577">
              <w:rPr>
                <w:lang w:val="lt-LT"/>
              </w:rPr>
              <w:t>savaites nutraukus jonažolių</w:t>
            </w:r>
          </w:p>
          <w:p w14:paraId="2F679714" w14:textId="77777777" w:rsidR="007D59EF" w:rsidRPr="001C7577" w:rsidRDefault="007D59EF" w:rsidP="007D59EF">
            <w:pPr>
              <w:spacing w:line="240" w:lineRule="auto"/>
              <w:rPr>
                <w:lang w:val="lt-LT"/>
              </w:rPr>
            </w:pPr>
            <w:r w:rsidRPr="001C7577">
              <w:rPr>
                <w:lang w:val="lt-LT"/>
              </w:rPr>
              <w:t>preparatus (žr.4.3 skyrių). Saugiai pradėti skirti lopinaviro/ritonaviro galima tik praėjus 2 savaitėms po jonažolių turinčių preparatų nutraukimo.</w:t>
            </w:r>
          </w:p>
        </w:tc>
      </w:tr>
      <w:tr w:rsidR="007D59EF" w:rsidRPr="00705EEC" w14:paraId="6601972C" w14:textId="77777777" w:rsidTr="001C7577">
        <w:tc>
          <w:tcPr>
            <w:tcW w:w="9286" w:type="dxa"/>
            <w:gridSpan w:val="4"/>
            <w:shd w:val="clear" w:color="auto" w:fill="auto"/>
          </w:tcPr>
          <w:p w14:paraId="22F682B8" w14:textId="77777777" w:rsidR="007D59EF" w:rsidRPr="001C7577" w:rsidRDefault="007D59EF" w:rsidP="007D59EF">
            <w:pPr>
              <w:spacing w:line="240" w:lineRule="auto"/>
              <w:rPr>
                <w:i/>
                <w:lang w:val="lt-LT"/>
              </w:rPr>
            </w:pPr>
            <w:r w:rsidRPr="001C7577">
              <w:rPr>
                <w:i/>
                <w:lang w:val="lt-LT"/>
              </w:rPr>
              <w:t>Imunosupresantai</w:t>
            </w:r>
          </w:p>
        </w:tc>
      </w:tr>
      <w:tr w:rsidR="007D59EF" w:rsidRPr="00705EEC" w14:paraId="3346C03E" w14:textId="77777777" w:rsidTr="001C7577">
        <w:tc>
          <w:tcPr>
            <w:tcW w:w="3143" w:type="dxa"/>
            <w:gridSpan w:val="2"/>
            <w:shd w:val="clear" w:color="auto" w:fill="auto"/>
          </w:tcPr>
          <w:p w14:paraId="66115404" w14:textId="77777777" w:rsidR="007D59EF" w:rsidRPr="001C7577" w:rsidRDefault="007D59EF" w:rsidP="007D59EF">
            <w:pPr>
              <w:spacing w:line="240" w:lineRule="auto"/>
              <w:rPr>
                <w:lang w:val="lt-LT"/>
              </w:rPr>
            </w:pPr>
            <w:r w:rsidRPr="001C7577">
              <w:rPr>
                <w:lang w:val="lt-LT"/>
              </w:rPr>
              <w:t>Ciklosporinas, sirolimuzas (rapamicinas) ir</w:t>
            </w:r>
          </w:p>
          <w:p w14:paraId="41D0FFE9" w14:textId="77777777" w:rsidR="007D59EF" w:rsidRPr="001C7577" w:rsidRDefault="007D59EF" w:rsidP="007D59EF">
            <w:pPr>
              <w:spacing w:line="240" w:lineRule="auto"/>
              <w:rPr>
                <w:lang w:val="lt-LT"/>
              </w:rPr>
            </w:pPr>
            <w:r w:rsidRPr="001C7577">
              <w:rPr>
                <w:lang w:val="lt-LT"/>
              </w:rPr>
              <w:t>takrolimuzas</w:t>
            </w:r>
          </w:p>
          <w:p w14:paraId="09F65B0D" w14:textId="77777777" w:rsidR="007D59EF" w:rsidRPr="001C7577" w:rsidRDefault="007D59EF" w:rsidP="007D59EF">
            <w:pPr>
              <w:spacing w:line="240" w:lineRule="auto"/>
              <w:rPr>
                <w:lang w:val="lt-LT"/>
              </w:rPr>
            </w:pPr>
          </w:p>
        </w:tc>
        <w:tc>
          <w:tcPr>
            <w:tcW w:w="3047" w:type="dxa"/>
            <w:shd w:val="clear" w:color="auto" w:fill="auto"/>
          </w:tcPr>
          <w:p w14:paraId="4B0FA730" w14:textId="77777777" w:rsidR="007D59EF" w:rsidRPr="001C7577" w:rsidRDefault="007D59EF" w:rsidP="007D59EF">
            <w:pPr>
              <w:spacing w:line="240" w:lineRule="auto"/>
              <w:rPr>
                <w:lang w:val="lt-LT"/>
              </w:rPr>
            </w:pPr>
            <w:r w:rsidRPr="001C7577">
              <w:rPr>
                <w:lang w:val="lt-LT"/>
              </w:rPr>
              <w:t>Ciklosporinas, sirolimuzas</w:t>
            </w:r>
          </w:p>
          <w:p w14:paraId="328DAF62" w14:textId="77777777" w:rsidR="007D59EF" w:rsidRPr="001C7577" w:rsidRDefault="007D59EF" w:rsidP="007D59EF">
            <w:pPr>
              <w:spacing w:line="240" w:lineRule="auto"/>
              <w:rPr>
                <w:lang w:val="lt-LT"/>
              </w:rPr>
            </w:pPr>
            <w:r w:rsidRPr="001C7577">
              <w:rPr>
                <w:lang w:val="lt-LT"/>
              </w:rPr>
              <w:t>(rapamicinas), takrolimuzas:</w:t>
            </w:r>
          </w:p>
          <w:p w14:paraId="008E1F5E" w14:textId="77777777" w:rsidR="007D59EF" w:rsidRPr="001C7577" w:rsidRDefault="007D59EF" w:rsidP="007D59EF">
            <w:pPr>
              <w:spacing w:line="240" w:lineRule="auto"/>
              <w:rPr>
                <w:lang w:val="lt-LT"/>
              </w:rPr>
            </w:pPr>
            <w:r w:rsidRPr="001C7577">
              <w:rPr>
                <w:lang w:val="lt-LT"/>
              </w:rPr>
              <w:t>Koncentracijos gali padidėti dėl</w:t>
            </w:r>
          </w:p>
          <w:p w14:paraId="675607AD" w14:textId="77777777" w:rsidR="007D59EF" w:rsidRPr="001C7577" w:rsidRDefault="007D59EF" w:rsidP="007D59EF">
            <w:pPr>
              <w:spacing w:line="240" w:lineRule="auto"/>
              <w:rPr>
                <w:lang w:val="lt-LT"/>
              </w:rPr>
            </w:pPr>
            <w:r w:rsidRPr="001C7577">
              <w:rPr>
                <w:lang w:val="lt-LT"/>
              </w:rPr>
              <w:t>CYP3A inhibavimo lopinaviru/ritonaviru.</w:t>
            </w:r>
          </w:p>
        </w:tc>
        <w:tc>
          <w:tcPr>
            <w:tcW w:w="3096" w:type="dxa"/>
            <w:shd w:val="clear" w:color="auto" w:fill="auto"/>
          </w:tcPr>
          <w:p w14:paraId="6A717055" w14:textId="77777777" w:rsidR="007D59EF" w:rsidRPr="001C7577" w:rsidRDefault="007D59EF" w:rsidP="007D59EF">
            <w:pPr>
              <w:spacing w:line="240" w:lineRule="auto"/>
              <w:rPr>
                <w:lang w:val="lt-LT"/>
              </w:rPr>
            </w:pPr>
            <w:r w:rsidRPr="001C7577">
              <w:rPr>
                <w:lang w:val="lt-LT"/>
              </w:rPr>
              <w:t>Rekomenduojama dažniau tirti</w:t>
            </w:r>
          </w:p>
          <w:p w14:paraId="1CEF552E" w14:textId="77777777" w:rsidR="007D59EF" w:rsidRPr="001C7577" w:rsidRDefault="007D59EF" w:rsidP="007D59EF">
            <w:pPr>
              <w:spacing w:line="240" w:lineRule="auto"/>
              <w:rPr>
                <w:lang w:val="lt-LT"/>
              </w:rPr>
            </w:pPr>
            <w:r w:rsidRPr="001C7577">
              <w:rPr>
                <w:lang w:val="lt-LT"/>
              </w:rPr>
              <w:t>šių vaistų koncentraciją plazmoje,</w:t>
            </w:r>
          </w:p>
          <w:p w14:paraId="24A3998F" w14:textId="77777777" w:rsidR="007D59EF" w:rsidRPr="001C7577" w:rsidRDefault="007D59EF" w:rsidP="007D59EF">
            <w:pPr>
              <w:spacing w:line="240" w:lineRule="auto"/>
              <w:rPr>
                <w:lang w:val="lt-LT"/>
              </w:rPr>
            </w:pPr>
            <w:r w:rsidRPr="001C7577">
              <w:rPr>
                <w:lang w:val="lt-LT"/>
              </w:rPr>
              <w:t>kol jų kiekis plazmoje stabilizuosis.</w:t>
            </w:r>
          </w:p>
        </w:tc>
      </w:tr>
      <w:tr w:rsidR="007D59EF" w:rsidRPr="00705EEC" w14:paraId="77637121" w14:textId="77777777" w:rsidTr="001C7577">
        <w:tc>
          <w:tcPr>
            <w:tcW w:w="9286" w:type="dxa"/>
            <w:gridSpan w:val="4"/>
            <w:shd w:val="clear" w:color="auto" w:fill="auto"/>
          </w:tcPr>
          <w:p w14:paraId="3C49D454" w14:textId="77777777" w:rsidR="007D59EF" w:rsidRPr="001C7577" w:rsidRDefault="007D59EF" w:rsidP="007D59EF">
            <w:pPr>
              <w:spacing w:line="240" w:lineRule="auto"/>
              <w:rPr>
                <w:i/>
                <w:lang w:val="lt-LT"/>
              </w:rPr>
            </w:pPr>
            <w:r w:rsidRPr="001C7577">
              <w:rPr>
                <w:i/>
                <w:lang w:val="lt-LT"/>
              </w:rPr>
              <w:t>Lipidų kiekį mažinantys vaistai</w:t>
            </w:r>
          </w:p>
        </w:tc>
      </w:tr>
      <w:tr w:rsidR="007D59EF" w:rsidRPr="0088318A" w14:paraId="59B538D4" w14:textId="77777777" w:rsidTr="001C7577">
        <w:tc>
          <w:tcPr>
            <w:tcW w:w="3143" w:type="dxa"/>
            <w:gridSpan w:val="2"/>
            <w:shd w:val="clear" w:color="auto" w:fill="auto"/>
          </w:tcPr>
          <w:p w14:paraId="3CF7FE4B" w14:textId="77777777" w:rsidR="007D59EF" w:rsidRPr="001C7577" w:rsidRDefault="007D59EF" w:rsidP="007D59EF">
            <w:pPr>
              <w:spacing w:line="240" w:lineRule="auto"/>
              <w:rPr>
                <w:lang w:val="lt-LT"/>
              </w:rPr>
            </w:pPr>
            <w:r w:rsidRPr="001C7577">
              <w:rPr>
                <w:lang w:val="lt-LT"/>
              </w:rPr>
              <w:t>Lovastatinas ir simvastatinas</w:t>
            </w:r>
          </w:p>
          <w:p w14:paraId="10E34E1A" w14:textId="77777777" w:rsidR="007D59EF" w:rsidRPr="001C7577" w:rsidRDefault="007D59EF" w:rsidP="007D59EF">
            <w:pPr>
              <w:spacing w:line="240" w:lineRule="auto"/>
              <w:rPr>
                <w:lang w:val="lt-LT"/>
              </w:rPr>
            </w:pPr>
          </w:p>
        </w:tc>
        <w:tc>
          <w:tcPr>
            <w:tcW w:w="3047" w:type="dxa"/>
            <w:shd w:val="clear" w:color="auto" w:fill="auto"/>
          </w:tcPr>
          <w:p w14:paraId="7B380087" w14:textId="77777777" w:rsidR="007D59EF" w:rsidRPr="001C7577" w:rsidRDefault="007D59EF" w:rsidP="007D59EF">
            <w:pPr>
              <w:spacing w:line="240" w:lineRule="auto"/>
              <w:rPr>
                <w:lang w:val="lt-LT"/>
              </w:rPr>
            </w:pPr>
            <w:r w:rsidRPr="001C7577">
              <w:rPr>
                <w:lang w:val="lt-LT"/>
              </w:rPr>
              <w:t>Lovastatinas, simvastatinas:</w:t>
            </w:r>
          </w:p>
          <w:p w14:paraId="2E792704" w14:textId="77777777" w:rsidR="007D59EF" w:rsidRPr="001C7577" w:rsidRDefault="007D59EF" w:rsidP="007D59EF">
            <w:pPr>
              <w:spacing w:line="240" w:lineRule="auto"/>
              <w:rPr>
                <w:lang w:val="lt-LT"/>
              </w:rPr>
            </w:pPr>
            <w:r w:rsidRPr="001C7577">
              <w:rPr>
                <w:lang w:val="lt-LT"/>
              </w:rPr>
              <w:t>Žymiai padidėja koncentracija</w:t>
            </w:r>
          </w:p>
          <w:p w14:paraId="78DA948C" w14:textId="77777777" w:rsidR="007D59EF" w:rsidRPr="001C7577" w:rsidRDefault="007D59EF" w:rsidP="007D59EF">
            <w:pPr>
              <w:spacing w:line="240" w:lineRule="auto"/>
              <w:rPr>
                <w:lang w:val="lt-LT"/>
              </w:rPr>
            </w:pPr>
            <w:r w:rsidRPr="001C7577">
              <w:rPr>
                <w:lang w:val="lt-LT"/>
              </w:rPr>
              <w:t>plazmoje dėl CYP3A inhibavimo</w:t>
            </w:r>
          </w:p>
          <w:p w14:paraId="7481C5BA" w14:textId="77777777" w:rsidR="007D59EF" w:rsidRPr="001C7577" w:rsidRDefault="007D59EF" w:rsidP="007D59EF">
            <w:pPr>
              <w:spacing w:line="240" w:lineRule="auto"/>
              <w:rPr>
                <w:lang w:val="lt-LT"/>
              </w:rPr>
            </w:pPr>
            <w:r w:rsidRPr="001C7577">
              <w:rPr>
                <w:lang w:val="lt-LT"/>
              </w:rPr>
              <w:t>lopinaviru/ritonaviru.</w:t>
            </w:r>
          </w:p>
        </w:tc>
        <w:tc>
          <w:tcPr>
            <w:tcW w:w="3096" w:type="dxa"/>
            <w:shd w:val="clear" w:color="auto" w:fill="auto"/>
          </w:tcPr>
          <w:p w14:paraId="318B6EFA" w14:textId="77777777" w:rsidR="007D59EF" w:rsidRPr="001C7577" w:rsidRDefault="007D59EF" w:rsidP="007D59EF">
            <w:pPr>
              <w:spacing w:line="240" w:lineRule="auto"/>
              <w:rPr>
                <w:lang w:val="lt-LT"/>
              </w:rPr>
            </w:pPr>
            <w:r w:rsidRPr="001C7577">
              <w:rPr>
                <w:lang w:val="lt-LT"/>
              </w:rPr>
              <w:t>Kadangi HMG-CoA reduktazės</w:t>
            </w:r>
          </w:p>
          <w:p w14:paraId="4D2D30C8" w14:textId="77777777" w:rsidR="007D59EF" w:rsidRPr="001C7577" w:rsidRDefault="007D59EF" w:rsidP="007D59EF">
            <w:pPr>
              <w:spacing w:line="240" w:lineRule="auto"/>
              <w:rPr>
                <w:lang w:val="lt-LT"/>
              </w:rPr>
            </w:pPr>
            <w:r w:rsidRPr="001C7577">
              <w:rPr>
                <w:lang w:val="lt-LT"/>
              </w:rPr>
              <w:t>inhibitorių plazmos koncentracijos padidėjimas gali sukelti miopatiją, įskaitant rabdomiolizę, šių vaistų skirti kartu su lopinaviru/ritonaviru draudžiama (žr. 4.3 skyrių).</w:t>
            </w:r>
          </w:p>
        </w:tc>
      </w:tr>
      <w:tr w:rsidR="007D59EF" w:rsidRPr="00705EEC" w14:paraId="7CA3C552" w14:textId="77777777" w:rsidTr="001C7577">
        <w:tc>
          <w:tcPr>
            <w:tcW w:w="3143" w:type="dxa"/>
            <w:gridSpan w:val="2"/>
            <w:shd w:val="clear" w:color="auto" w:fill="auto"/>
          </w:tcPr>
          <w:p w14:paraId="1852047F" w14:textId="77777777" w:rsidR="007D59EF" w:rsidRPr="001C7577" w:rsidRDefault="007D59EF" w:rsidP="007D59EF">
            <w:pPr>
              <w:spacing w:line="240" w:lineRule="auto"/>
              <w:rPr>
                <w:lang w:val="lt-LT"/>
              </w:rPr>
            </w:pPr>
            <w:r w:rsidRPr="001C7577">
              <w:rPr>
                <w:lang w:val="lt-LT"/>
              </w:rPr>
              <w:t xml:space="preserve">Atorvastatinas </w:t>
            </w:r>
          </w:p>
          <w:p w14:paraId="1D8329B2" w14:textId="77777777" w:rsidR="007D59EF" w:rsidRPr="001C7577" w:rsidRDefault="007D59EF" w:rsidP="007D59EF">
            <w:pPr>
              <w:spacing w:line="240" w:lineRule="auto"/>
              <w:rPr>
                <w:lang w:val="lt-LT"/>
              </w:rPr>
            </w:pPr>
          </w:p>
        </w:tc>
        <w:tc>
          <w:tcPr>
            <w:tcW w:w="3047" w:type="dxa"/>
            <w:shd w:val="clear" w:color="auto" w:fill="auto"/>
          </w:tcPr>
          <w:p w14:paraId="4BE355EC" w14:textId="77777777" w:rsidR="007D59EF" w:rsidRPr="001C7577" w:rsidRDefault="007D59EF" w:rsidP="007D59EF">
            <w:pPr>
              <w:spacing w:line="240" w:lineRule="auto"/>
              <w:rPr>
                <w:lang w:val="lt-LT"/>
              </w:rPr>
            </w:pPr>
            <w:r w:rsidRPr="001C7577">
              <w:rPr>
                <w:lang w:val="lt-LT"/>
              </w:rPr>
              <w:t>Atorvastatinas:</w:t>
            </w:r>
          </w:p>
          <w:p w14:paraId="6B642AC7" w14:textId="77777777" w:rsidR="007D59EF" w:rsidRPr="001C7577" w:rsidRDefault="007D59EF" w:rsidP="007D59EF">
            <w:pPr>
              <w:spacing w:line="240" w:lineRule="auto"/>
              <w:rPr>
                <w:lang w:val="lt-LT"/>
              </w:rPr>
            </w:pPr>
            <w:r w:rsidRPr="001C7577">
              <w:rPr>
                <w:lang w:val="lt-LT"/>
              </w:rPr>
              <w:t>AUC: ↑ 5.9-kartų</w:t>
            </w:r>
          </w:p>
          <w:p w14:paraId="7CCA11A5"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4.7-kartų</w:t>
            </w:r>
          </w:p>
          <w:p w14:paraId="6F13E2CC" w14:textId="77777777" w:rsidR="007D59EF" w:rsidRPr="001C7577" w:rsidRDefault="007D59EF" w:rsidP="007D59EF">
            <w:pPr>
              <w:spacing w:line="240" w:lineRule="auto"/>
              <w:rPr>
                <w:lang w:val="lt-LT"/>
              </w:rPr>
            </w:pPr>
            <w:r w:rsidRPr="001C7577">
              <w:rPr>
                <w:lang w:val="lt-LT"/>
              </w:rPr>
              <w:t>Dėl CYP3A inhibavimo lopinaviru/ritonaviru.</w:t>
            </w:r>
          </w:p>
        </w:tc>
        <w:tc>
          <w:tcPr>
            <w:tcW w:w="3096" w:type="dxa"/>
            <w:shd w:val="clear" w:color="auto" w:fill="auto"/>
          </w:tcPr>
          <w:p w14:paraId="68F08FB0" w14:textId="77777777" w:rsidR="007D59EF" w:rsidRPr="001C7577" w:rsidRDefault="007D59EF" w:rsidP="007D59EF">
            <w:pPr>
              <w:spacing w:line="240" w:lineRule="auto"/>
              <w:rPr>
                <w:lang w:val="lt-LT"/>
              </w:rPr>
            </w:pPr>
            <w:r w:rsidRPr="001C7577">
              <w:rPr>
                <w:lang w:val="lt-LT"/>
              </w:rPr>
              <w:t>Kartu su lopinaviru/ritonaviru skirti atorvastatino nerekomenduojama. Jei tai yra būtina, reikia skirti pačią mažiausią veiksmingą atorvastatino dozę ir atidžiai</w:t>
            </w:r>
          </w:p>
          <w:p w14:paraId="6FC53C36" w14:textId="77777777" w:rsidR="007D59EF" w:rsidRPr="001C7577" w:rsidRDefault="007D59EF" w:rsidP="007D59EF">
            <w:pPr>
              <w:spacing w:line="240" w:lineRule="auto"/>
              <w:rPr>
                <w:lang w:val="lt-LT"/>
              </w:rPr>
            </w:pPr>
            <w:r w:rsidRPr="001C7577">
              <w:rPr>
                <w:lang w:val="lt-LT"/>
              </w:rPr>
              <w:t>stebėti saugumą (žr. 4.4 skyrių).</w:t>
            </w:r>
          </w:p>
        </w:tc>
      </w:tr>
      <w:tr w:rsidR="007D59EF" w:rsidRPr="0088318A" w14:paraId="4D4FD767" w14:textId="77777777" w:rsidTr="001C7577">
        <w:tc>
          <w:tcPr>
            <w:tcW w:w="3143" w:type="dxa"/>
            <w:gridSpan w:val="2"/>
            <w:shd w:val="clear" w:color="auto" w:fill="auto"/>
          </w:tcPr>
          <w:p w14:paraId="31D5D599" w14:textId="77777777" w:rsidR="007D59EF" w:rsidRPr="001C7577" w:rsidRDefault="007D59EF" w:rsidP="007D59EF">
            <w:pPr>
              <w:spacing w:line="240" w:lineRule="auto"/>
              <w:rPr>
                <w:lang w:val="lt-LT"/>
              </w:rPr>
            </w:pPr>
            <w:r w:rsidRPr="001C7577">
              <w:rPr>
                <w:lang w:val="lt-LT"/>
              </w:rPr>
              <w:t>Rozuvastatinas, 20 mg QD</w:t>
            </w:r>
          </w:p>
          <w:p w14:paraId="73701D54" w14:textId="77777777" w:rsidR="007D59EF" w:rsidRPr="001C7577" w:rsidRDefault="007D59EF" w:rsidP="007D59EF">
            <w:pPr>
              <w:spacing w:line="240" w:lineRule="auto"/>
              <w:rPr>
                <w:lang w:val="lt-LT"/>
              </w:rPr>
            </w:pPr>
          </w:p>
        </w:tc>
        <w:tc>
          <w:tcPr>
            <w:tcW w:w="3047" w:type="dxa"/>
            <w:shd w:val="clear" w:color="auto" w:fill="auto"/>
          </w:tcPr>
          <w:p w14:paraId="2F221C0C" w14:textId="77777777" w:rsidR="007D59EF" w:rsidRPr="001C7577" w:rsidRDefault="007D59EF" w:rsidP="007D59EF">
            <w:pPr>
              <w:spacing w:line="240" w:lineRule="auto"/>
              <w:rPr>
                <w:lang w:val="lt-LT"/>
              </w:rPr>
            </w:pPr>
            <w:r w:rsidRPr="001C7577">
              <w:rPr>
                <w:lang w:val="lt-LT"/>
              </w:rPr>
              <w:t>Rozuvastatinas:</w:t>
            </w:r>
          </w:p>
          <w:p w14:paraId="4A9ACDDA" w14:textId="77777777" w:rsidR="007D59EF" w:rsidRPr="001C7577" w:rsidRDefault="007D59EF" w:rsidP="007D59EF">
            <w:pPr>
              <w:spacing w:line="240" w:lineRule="auto"/>
              <w:rPr>
                <w:lang w:val="lt-LT"/>
              </w:rPr>
            </w:pPr>
            <w:r w:rsidRPr="001C7577">
              <w:rPr>
                <w:lang w:val="lt-LT"/>
              </w:rPr>
              <w:t>AUC: ↑ 2-kartų</w:t>
            </w:r>
          </w:p>
          <w:p w14:paraId="2FD807B4"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5-kartų</w:t>
            </w:r>
          </w:p>
          <w:p w14:paraId="0DAC4043" w14:textId="77777777" w:rsidR="007D59EF" w:rsidRPr="001C7577" w:rsidRDefault="007D59EF" w:rsidP="007D59EF">
            <w:pPr>
              <w:spacing w:line="240" w:lineRule="auto"/>
              <w:rPr>
                <w:lang w:val="lt-LT"/>
              </w:rPr>
            </w:pPr>
            <w:r w:rsidRPr="001C7577">
              <w:rPr>
                <w:lang w:val="lt-LT"/>
              </w:rPr>
              <w:t>Nors rozuvastatinas yra labai</w:t>
            </w:r>
          </w:p>
          <w:p w14:paraId="242A02D6" w14:textId="77777777" w:rsidR="007D59EF" w:rsidRPr="001C7577" w:rsidRDefault="007D59EF" w:rsidP="007D59EF">
            <w:pPr>
              <w:spacing w:line="240" w:lineRule="auto"/>
              <w:rPr>
                <w:lang w:val="lt-LT"/>
              </w:rPr>
            </w:pPr>
            <w:r w:rsidRPr="001C7577">
              <w:rPr>
                <w:lang w:val="lt-LT"/>
              </w:rPr>
              <w:t>menkai metabolizuojamas</w:t>
            </w:r>
          </w:p>
          <w:p w14:paraId="7ABBA3EE" w14:textId="77777777" w:rsidR="007D59EF" w:rsidRPr="001C7577" w:rsidRDefault="007D59EF" w:rsidP="007D59EF">
            <w:pPr>
              <w:spacing w:line="240" w:lineRule="auto"/>
              <w:rPr>
                <w:lang w:val="lt-LT"/>
              </w:rPr>
            </w:pPr>
            <w:r w:rsidRPr="001C7577">
              <w:rPr>
                <w:lang w:val="lt-LT"/>
              </w:rPr>
              <w:lastRenderedPageBreak/>
              <w:t>CYP3A4, tačiau buvo pastebėta,</w:t>
            </w:r>
          </w:p>
          <w:p w14:paraId="0B8CD9A6" w14:textId="77777777" w:rsidR="007D59EF" w:rsidRPr="001C7577" w:rsidRDefault="007D59EF" w:rsidP="007D59EF">
            <w:pPr>
              <w:spacing w:line="240" w:lineRule="auto"/>
              <w:rPr>
                <w:lang w:val="lt-LT"/>
              </w:rPr>
            </w:pPr>
            <w:r w:rsidRPr="001C7577">
              <w:rPr>
                <w:lang w:val="lt-LT"/>
              </w:rPr>
              <w:t>kad jo koncentracija padidėja. Manoma, kad sąveikos</w:t>
            </w:r>
          </w:p>
          <w:p w14:paraId="35867645" w14:textId="77777777" w:rsidR="007D59EF" w:rsidRPr="001C7577" w:rsidRDefault="007D59EF" w:rsidP="007D59EF">
            <w:pPr>
              <w:spacing w:line="240" w:lineRule="auto"/>
              <w:rPr>
                <w:lang w:val="lt-LT"/>
              </w:rPr>
            </w:pPr>
            <w:r w:rsidRPr="001C7577">
              <w:rPr>
                <w:lang w:val="lt-LT"/>
              </w:rPr>
              <w:t>mechanizmas susijęs su</w:t>
            </w:r>
          </w:p>
          <w:p w14:paraId="0273FB0E" w14:textId="77777777" w:rsidR="007D59EF" w:rsidRPr="001C7577" w:rsidRDefault="007D59EF" w:rsidP="007D59EF">
            <w:pPr>
              <w:spacing w:line="240" w:lineRule="auto"/>
              <w:rPr>
                <w:lang w:val="lt-LT"/>
              </w:rPr>
            </w:pPr>
            <w:r w:rsidRPr="001C7577">
              <w:rPr>
                <w:lang w:val="lt-LT"/>
              </w:rPr>
              <w:t>transportinių baltymų inhibavimu.</w:t>
            </w:r>
          </w:p>
        </w:tc>
        <w:tc>
          <w:tcPr>
            <w:tcW w:w="3096" w:type="dxa"/>
            <w:shd w:val="clear" w:color="auto" w:fill="auto"/>
          </w:tcPr>
          <w:p w14:paraId="3672EE3A" w14:textId="77777777" w:rsidR="007D59EF" w:rsidRPr="001C7577" w:rsidRDefault="007D59EF" w:rsidP="007D59EF">
            <w:pPr>
              <w:spacing w:line="240" w:lineRule="auto"/>
              <w:rPr>
                <w:lang w:val="lt-LT"/>
              </w:rPr>
            </w:pPr>
            <w:r w:rsidRPr="001C7577">
              <w:rPr>
                <w:lang w:val="lt-LT"/>
              </w:rPr>
              <w:lastRenderedPageBreak/>
              <w:t>Reikia imtis atsargumo priemonių</w:t>
            </w:r>
          </w:p>
          <w:p w14:paraId="7229EC01" w14:textId="77777777" w:rsidR="007D59EF" w:rsidRPr="001C7577" w:rsidRDefault="007D59EF" w:rsidP="007D59EF">
            <w:pPr>
              <w:spacing w:line="240" w:lineRule="auto"/>
              <w:rPr>
                <w:lang w:val="lt-LT"/>
              </w:rPr>
            </w:pPr>
            <w:r w:rsidRPr="001C7577">
              <w:rPr>
                <w:lang w:val="lt-LT"/>
              </w:rPr>
              <w:t xml:space="preserve">ir mažinti dozę, kai lopinaviro/ritonaviro skiriama </w:t>
            </w:r>
            <w:r w:rsidRPr="001C7577">
              <w:rPr>
                <w:lang w:val="lt-LT"/>
              </w:rPr>
              <w:lastRenderedPageBreak/>
              <w:t>kartu su rozuvastatinu (žr. 4.4 skyrių).</w:t>
            </w:r>
          </w:p>
        </w:tc>
      </w:tr>
      <w:tr w:rsidR="007D59EF" w:rsidRPr="00705EEC" w14:paraId="19C9D9BE" w14:textId="77777777" w:rsidTr="001C7577">
        <w:tc>
          <w:tcPr>
            <w:tcW w:w="3143" w:type="dxa"/>
            <w:gridSpan w:val="2"/>
            <w:shd w:val="clear" w:color="auto" w:fill="auto"/>
          </w:tcPr>
          <w:p w14:paraId="0B07599F" w14:textId="77777777" w:rsidR="007D59EF" w:rsidRPr="001C7577" w:rsidRDefault="007D59EF" w:rsidP="007D59EF">
            <w:pPr>
              <w:spacing w:line="240" w:lineRule="auto"/>
              <w:rPr>
                <w:lang w:val="lt-LT"/>
              </w:rPr>
            </w:pPr>
            <w:r w:rsidRPr="001C7577">
              <w:rPr>
                <w:lang w:val="lt-LT"/>
              </w:rPr>
              <w:lastRenderedPageBreak/>
              <w:t>Fluvastatinas ar pravastatinas</w:t>
            </w:r>
          </w:p>
          <w:p w14:paraId="3405DC04" w14:textId="77777777" w:rsidR="007D59EF" w:rsidRPr="001C7577" w:rsidRDefault="007D59EF" w:rsidP="007D59EF">
            <w:pPr>
              <w:spacing w:line="240" w:lineRule="auto"/>
              <w:rPr>
                <w:lang w:val="lt-LT"/>
              </w:rPr>
            </w:pPr>
          </w:p>
        </w:tc>
        <w:tc>
          <w:tcPr>
            <w:tcW w:w="3047" w:type="dxa"/>
            <w:shd w:val="clear" w:color="auto" w:fill="auto"/>
          </w:tcPr>
          <w:p w14:paraId="5FD64238" w14:textId="77777777" w:rsidR="007D59EF" w:rsidRPr="001C7577" w:rsidRDefault="007D59EF" w:rsidP="007D59EF">
            <w:pPr>
              <w:spacing w:line="240" w:lineRule="auto"/>
              <w:rPr>
                <w:lang w:val="lt-LT"/>
              </w:rPr>
            </w:pPr>
            <w:r w:rsidRPr="001C7577">
              <w:rPr>
                <w:lang w:val="lt-LT"/>
              </w:rPr>
              <w:t>Fluvastatinas, pravastatinas:</w:t>
            </w:r>
          </w:p>
          <w:p w14:paraId="39B74419" w14:textId="77777777" w:rsidR="007D59EF" w:rsidRPr="001C7577" w:rsidRDefault="007D59EF" w:rsidP="007D59EF">
            <w:pPr>
              <w:spacing w:line="240" w:lineRule="auto"/>
              <w:rPr>
                <w:lang w:val="lt-LT"/>
              </w:rPr>
            </w:pPr>
            <w:r w:rsidRPr="001C7577">
              <w:rPr>
                <w:lang w:val="lt-LT"/>
              </w:rPr>
              <w:t>Klinikinės sąveikos nesitikima.</w:t>
            </w:r>
          </w:p>
          <w:p w14:paraId="46BC402F" w14:textId="77777777" w:rsidR="007D59EF" w:rsidRPr="001C7577" w:rsidRDefault="007D59EF" w:rsidP="007D59EF">
            <w:pPr>
              <w:spacing w:line="240" w:lineRule="auto"/>
              <w:rPr>
                <w:lang w:val="lt-LT"/>
              </w:rPr>
            </w:pPr>
            <w:r w:rsidRPr="001C7577">
              <w:rPr>
                <w:lang w:val="lt-LT"/>
              </w:rPr>
              <w:t xml:space="preserve">Pravastatinas nemetabolizuojamas CYP450. </w:t>
            </w:r>
            <w:r w:rsidRPr="001C7577">
              <w:rPr>
                <w:lang w:val="lt-LT"/>
              </w:rPr>
              <w:br/>
              <w:t>Fluvastatinas dalinai</w:t>
            </w:r>
          </w:p>
          <w:p w14:paraId="3EF72164" w14:textId="77777777" w:rsidR="007D59EF" w:rsidRPr="001C7577" w:rsidRDefault="007D59EF" w:rsidP="007D59EF">
            <w:pPr>
              <w:spacing w:line="240" w:lineRule="auto"/>
              <w:rPr>
                <w:lang w:val="lt-LT"/>
              </w:rPr>
            </w:pPr>
            <w:r w:rsidRPr="001C7577">
              <w:rPr>
                <w:lang w:val="lt-LT"/>
              </w:rPr>
              <w:t>metabolizuojamas CYP2C9.</w:t>
            </w:r>
          </w:p>
        </w:tc>
        <w:tc>
          <w:tcPr>
            <w:tcW w:w="3096" w:type="dxa"/>
            <w:shd w:val="clear" w:color="auto" w:fill="auto"/>
          </w:tcPr>
          <w:p w14:paraId="29C8DCC2" w14:textId="77777777" w:rsidR="007D59EF" w:rsidRPr="001C7577" w:rsidRDefault="007D59EF" w:rsidP="007D59EF">
            <w:pPr>
              <w:spacing w:line="240" w:lineRule="auto"/>
              <w:rPr>
                <w:lang w:val="lt-LT"/>
              </w:rPr>
            </w:pPr>
            <w:r w:rsidRPr="001C7577">
              <w:rPr>
                <w:lang w:val="lt-LT"/>
              </w:rPr>
              <w:t>Jei reikalingas gydymas HMGCoA reduktazės inhibitoriais, rekomenduojama skirti fluvastatiną ar pravastatiną.</w:t>
            </w:r>
          </w:p>
        </w:tc>
      </w:tr>
      <w:tr w:rsidR="007D59EF" w:rsidRPr="00705EEC" w14:paraId="42AC0D65" w14:textId="77777777" w:rsidTr="001C7577">
        <w:tc>
          <w:tcPr>
            <w:tcW w:w="9286" w:type="dxa"/>
            <w:gridSpan w:val="4"/>
            <w:shd w:val="clear" w:color="auto" w:fill="auto"/>
          </w:tcPr>
          <w:p w14:paraId="6FB30AA3" w14:textId="77777777" w:rsidR="007D59EF" w:rsidRPr="001C7577" w:rsidRDefault="007D59EF" w:rsidP="007D59EF">
            <w:pPr>
              <w:spacing w:line="240" w:lineRule="auto"/>
              <w:rPr>
                <w:i/>
                <w:lang w:val="lt-LT"/>
              </w:rPr>
            </w:pPr>
            <w:r w:rsidRPr="001C7577">
              <w:rPr>
                <w:i/>
                <w:lang w:val="lt-LT"/>
              </w:rPr>
              <w:t>Opioidai</w:t>
            </w:r>
          </w:p>
        </w:tc>
      </w:tr>
      <w:tr w:rsidR="007D59EF" w:rsidRPr="00705EEC" w14:paraId="58A83942" w14:textId="77777777" w:rsidTr="001C7577">
        <w:tc>
          <w:tcPr>
            <w:tcW w:w="3143" w:type="dxa"/>
            <w:gridSpan w:val="2"/>
            <w:shd w:val="clear" w:color="auto" w:fill="auto"/>
          </w:tcPr>
          <w:p w14:paraId="5D8AB109" w14:textId="77777777" w:rsidR="007D59EF" w:rsidRPr="001C7577" w:rsidRDefault="007D59EF" w:rsidP="007D59EF">
            <w:pPr>
              <w:spacing w:line="240" w:lineRule="auto"/>
              <w:rPr>
                <w:lang w:val="lt-LT"/>
              </w:rPr>
            </w:pPr>
            <w:r w:rsidRPr="001C7577">
              <w:rPr>
                <w:lang w:val="lt-LT"/>
              </w:rPr>
              <w:t>Buprenorfinas, 16 mg QD</w:t>
            </w:r>
          </w:p>
          <w:p w14:paraId="2CB67BD7" w14:textId="77777777" w:rsidR="007D59EF" w:rsidRPr="001C7577" w:rsidRDefault="007D59EF" w:rsidP="007D59EF">
            <w:pPr>
              <w:spacing w:line="240" w:lineRule="auto"/>
              <w:rPr>
                <w:lang w:val="lt-LT"/>
              </w:rPr>
            </w:pPr>
          </w:p>
        </w:tc>
        <w:tc>
          <w:tcPr>
            <w:tcW w:w="3047" w:type="dxa"/>
            <w:shd w:val="clear" w:color="auto" w:fill="auto"/>
          </w:tcPr>
          <w:p w14:paraId="6FB9AB36" w14:textId="77777777" w:rsidR="007D59EF" w:rsidRPr="001C7577" w:rsidRDefault="007D59EF" w:rsidP="007D59EF">
            <w:pPr>
              <w:spacing w:line="240" w:lineRule="auto"/>
              <w:rPr>
                <w:lang w:val="lt-LT"/>
              </w:rPr>
            </w:pPr>
            <w:r w:rsidRPr="001C7577">
              <w:rPr>
                <w:lang w:val="lt-LT"/>
              </w:rPr>
              <w:t xml:space="preserve">Buprenorfinas: ↔ </w:t>
            </w:r>
          </w:p>
          <w:p w14:paraId="40EA3B17" w14:textId="77777777" w:rsidR="007D59EF" w:rsidRPr="001C7577" w:rsidRDefault="007D59EF" w:rsidP="007D59EF">
            <w:pPr>
              <w:spacing w:line="240" w:lineRule="auto"/>
              <w:rPr>
                <w:lang w:val="lt-LT"/>
              </w:rPr>
            </w:pPr>
          </w:p>
        </w:tc>
        <w:tc>
          <w:tcPr>
            <w:tcW w:w="3096" w:type="dxa"/>
            <w:shd w:val="clear" w:color="auto" w:fill="auto"/>
          </w:tcPr>
          <w:p w14:paraId="74E9C096" w14:textId="77777777" w:rsidR="007D59EF" w:rsidRPr="001C7577" w:rsidRDefault="007D59EF" w:rsidP="007D59EF">
            <w:pPr>
              <w:spacing w:line="240" w:lineRule="auto"/>
              <w:rPr>
                <w:lang w:val="lt-LT"/>
              </w:rPr>
            </w:pPr>
            <w:r w:rsidRPr="001C7577">
              <w:rPr>
                <w:lang w:val="lt-LT"/>
              </w:rPr>
              <w:t>Dozės keisti nereikia.</w:t>
            </w:r>
          </w:p>
          <w:p w14:paraId="468E3586" w14:textId="77777777" w:rsidR="007D59EF" w:rsidRPr="001C7577" w:rsidRDefault="007D59EF" w:rsidP="007D59EF">
            <w:pPr>
              <w:spacing w:line="240" w:lineRule="auto"/>
              <w:rPr>
                <w:lang w:val="lt-LT"/>
              </w:rPr>
            </w:pPr>
          </w:p>
        </w:tc>
      </w:tr>
      <w:tr w:rsidR="007D59EF" w:rsidRPr="00705EEC" w14:paraId="33DBEE52" w14:textId="77777777" w:rsidTr="001C7577">
        <w:tc>
          <w:tcPr>
            <w:tcW w:w="3143" w:type="dxa"/>
            <w:gridSpan w:val="2"/>
            <w:shd w:val="clear" w:color="auto" w:fill="auto"/>
          </w:tcPr>
          <w:p w14:paraId="48A9822D" w14:textId="77777777" w:rsidR="007D59EF" w:rsidRPr="001C7577" w:rsidRDefault="007D59EF" w:rsidP="007D59EF">
            <w:pPr>
              <w:spacing w:line="240" w:lineRule="auto"/>
              <w:rPr>
                <w:lang w:val="lt-LT"/>
              </w:rPr>
            </w:pPr>
            <w:r w:rsidRPr="001C7577">
              <w:rPr>
                <w:lang w:val="lt-LT"/>
              </w:rPr>
              <w:t xml:space="preserve">Metadonas </w:t>
            </w:r>
          </w:p>
          <w:p w14:paraId="29F3D316" w14:textId="77777777" w:rsidR="007D59EF" w:rsidRPr="001C7577" w:rsidRDefault="007D59EF" w:rsidP="007D59EF">
            <w:pPr>
              <w:spacing w:line="240" w:lineRule="auto"/>
              <w:rPr>
                <w:lang w:val="lt-LT"/>
              </w:rPr>
            </w:pPr>
          </w:p>
        </w:tc>
        <w:tc>
          <w:tcPr>
            <w:tcW w:w="3047" w:type="dxa"/>
            <w:shd w:val="clear" w:color="auto" w:fill="auto"/>
          </w:tcPr>
          <w:p w14:paraId="09F5CB90" w14:textId="77777777" w:rsidR="007D59EF" w:rsidRPr="001C7577" w:rsidRDefault="007D59EF" w:rsidP="007D59EF">
            <w:pPr>
              <w:spacing w:line="240" w:lineRule="auto"/>
              <w:rPr>
                <w:lang w:val="lt-LT"/>
              </w:rPr>
            </w:pPr>
            <w:r w:rsidRPr="001C7577">
              <w:rPr>
                <w:lang w:val="lt-LT"/>
              </w:rPr>
              <w:t xml:space="preserve">Metadonas: ↓ </w:t>
            </w:r>
          </w:p>
          <w:p w14:paraId="358EFB40" w14:textId="77777777" w:rsidR="007D59EF" w:rsidRPr="001C7577" w:rsidRDefault="007D59EF" w:rsidP="007D59EF">
            <w:pPr>
              <w:spacing w:line="240" w:lineRule="auto"/>
              <w:rPr>
                <w:lang w:val="lt-LT"/>
              </w:rPr>
            </w:pPr>
          </w:p>
        </w:tc>
        <w:tc>
          <w:tcPr>
            <w:tcW w:w="3096" w:type="dxa"/>
            <w:shd w:val="clear" w:color="auto" w:fill="auto"/>
          </w:tcPr>
          <w:p w14:paraId="494998F8" w14:textId="77777777" w:rsidR="007D59EF" w:rsidRPr="001C7577" w:rsidRDefault="007D59EF" w:rsidP="007D59EF">
            <w:pPr>
              <w:spacing w:line="240" w:lineRule="auto"/>
              <w:rPr>
                <w:lang w:val="lt-LT"/>
              </w:rPr>
            </w:pPr>
            <w:r w:rsidRPr="001C7577">
              <w:rPr>
                <w:lang w:val="lt-LT"/>
              </w:rPr>
              <w:t>Rekomenduojama sekti metadono</w:t>
            </w:r>
          </w:p>
          <w:p w14:paraId="277E5051" w14:textId="77777777" w:rsidR="007D59EF" w:rsidRPr="001C7577" w:rsidRDefault="007D59EF" w:rsidP="007D59EF">
            <w:pPr>
              <w:spacing w:line="240" w:lineRule="auto"/>
              <w:rPr>
                <w:lang w:val="lt-LT"/>
              </w:rPr>
            </w:pPr>
            <w:r w:rsidRPr="001C7577">
              <w:rPr>
                <w:lang w:val="lt-LT"/>
              </w:rPr>
              <w:t>koncentraciją plazmoje.</w:t>
            </w:r>
          </w:p>
        </w:tc>
      </w:tr>
      <w:tr w:rsidR="007D59EF" w:rsidRPr="00705EEC" w14:paraId="5589566B" w14:textId="77777777" w:rsidTr="001C7577">
        <w:tc>
          <w:tcPr>
            <w:tcW w:w="9286" w:type="dxa"/>
            <w:gridSpan w:val="4"/>
            <w:shd w:val="clear" w:color="auto" w:fill="auto"/>
          </w:tcPr>
          <w:p w14:paraId="175290CA" w14:textId="77777777" w:rsidR="007D59EF" w:rsidRPr="001C7577" w:rsidRDefault="007D59EF" w:rsidP="007D59EF">
            <w:pPr>
              <w:spacing w:line="240" w:lineRule="auto"/>
              <w:rPr>
                <w:i/>
                <w:lang w:val="lt-LT"/>
              </w:rPr>
            </w:pPr>
            <w:r w:rsidRPr="001C7577">
              <w:rPr>
                <w:i/>
                <w:lang w:val="lt-LT"/>
              </w:rPr>
              <w:t>Geriamieji kontraceptikai</w:t>
            </w:r>
          </w:p>
        </w:tc>
      </w:tr>
      <w:tr w:rsidR="007D59EF" w:rsidRPr="0088318A" w14:paraId="2FAF0B73" w14:textId="77777777" w:rsidTr="001C7577">
        <w:tc>
          <w:tcPr>
            <w:tcW w:w="3143" w:type="dxa"/>
            <w:gridSpan w:val="2"/>
            <w:shd w:val="clear" w:color="auto" w:fill="auto"/>
          </w:tcPr>
          <w:p w14:paraId="10C53A30" w14:textId="77777777" w:rsidR="007D59EF" w:rsidRPr="001C7577" w:rsidRDefault="007D59EF" w:rsidP="007D59EF">
            <w:pPr>
              <w:spacing w:line="240" w:lineRule="auto"/>
              <w:rPr>
                <w:lang w:val="lt-LT"/>
              </w:rPr>
            </w:pPr>
            <w:r w:rsidRPr="001C7577">
              <w:rPr>
                <w:lang w:val="lt-LT"/>
              </w:rPr>
              <w:t xml:space="preserve">Etinilestradiolis </w:t>
            </w:r>
          </w:p>
          <w:p w14:paraId="79560BD1" w14:textId="77777777" w:rsidR="007D59EF" w:rsidRPr="001C7577" w:rsidRDefault="007D59EF" w:rsidP="007D59EF">
            <w:pPr>
              <w:spacing w:line="240" w:lineRule="auto"/>
              <w:rPr>
                <w:lang w:val="lt-LT"/>
              </w:rPr>
            </w:pPr>
          </w:p>
        </w:tc>
        <w:tc>
          <w:tcPr>
            <w:tcW w:w="3047" w:type="dxa"/>
            <w:shd w:val="clear" w:color="auto" w:fill="auto"/>
          </w:tcPr>
          <w:p w14:paraId="75103C98" w14:textId="77777777" w:rsidR="007D59EF" w:rsidRPr="001C7577" w:rsidRDefault="007D59EF" w:rsidP="007D59EF">
            <w:pPr>
              <w:spacing w:line="240" w:lineRule="auto"/>
              <w:rPr>
                <w:lang w:val="lt-LT"/>
              </w:rPr>
            </w:pPr>
            <w:r w:rsidRPr="001C7577">
              <w:rPr>
                <w:lang w:val="lt-LT"/>
              </w:rPr>
              <w:t xml:space="preserve">Etinilestradiolis: ↓ </w:t>
            </w:r>
          </w:p>
          <w:p w14:paraId="0AF1942D" w14:textId="77777777" w:rsidR="007D59EF" w:rsidRPr="001C7577" w:rsidRDefault="007D59EF" w:rsidP="007D59EF">
            <w:pPr>
              <w:spacing w:line="240" w:lineRule="auto"/>
              <w:rPr>
                <w:lang w:val="lt-LT"/>
              </w:rPr>
            </w:pPr>
          </w:p>
        </w:tc>
        <w:tc>
          <w:tcPr>
            <w:tcW w:w="3096" w:type="dxa"/>
            <w:shd w:val="clear" w:color="auto" w:fill="auto"/>
          </w:tcPr>
          <w:p w14:paraId="70CE26AF" w14:textId="77777777" w:rsidR="007D59EF" w:rsidRPr="001C7577" w:rsidRDefault="007D59EF" w:rsidP="007D59EF">
            <w:pPr>
              <w:spacing w:line="240" w:lineRule="auto"/>
              <w:rPr>
                <w:lang w:val="lt-LT"/>
              </w:rPr>
            </w:pPr>
            <w:r w:rsidRPr="001C7577">
              <w:rPr>
                <w:lang w:val="lt-LT"/>
              </w:rPr>
              <w:t>Kartu su lopinaviru/ritonaviru skiriant kontraceptikus, kurių sudėtyje yra etinilestradiolio (geriamuosius ar pleistrą), reikia imtis papildomų kontracepcijos priemonių.</w:t>
            </w:r>
          </w:p>
        </w:tc>
      </w:tr>
      <w:tr w:rsidR="007D59EF" w:rsidRPr="00705EEC" w14:paraId="4AF2D7C3" w14:textId="77777777" w:rsidTr="001C7577">
        <w:tc>
          <w:tcPr>
            <w:tcW w:w="9286" w:type="dxa"/>
            <w:gridSpan w:val="4"/>
            <w:shd w:val="clear" w:color="auto" w:fill="auto"/>
          </w:tcPr>
          <w:p w14:paraId="695708A0" w14:textId="77777777" w:rsidR="007D59EF" w:rsidRPr="001C7577" w:rsidRDefault="007D59EF" w:rsidP="007D59EF">
            <w:pPr>
              <w:spacing w:line="240" w:lineRule="auto"/>
              <w:rPr>
                <w:lang w:val="lt-LT"/>
              </w:rPr>
            </w:pPr>
            <w:r w:rsidRPr="001C7577">
              <w:rPr>
                <w:rFonts w:ascii="TimesNewRomanPS-ItalicMT" w:eastAsia="Calibri" w:hAnsi="TimesNewRomanPS-ItalicMT" w:cs="TimesNewRomanPS-ItalicMT"/>
                <w:i/>
                <w:iCs/>
                <w:snapToGrid/>
                <w:szCs w:val="22"/>
                <w:lang w:val="lt-LT"/>
              </w:rPr>
              <w:t>Rūkymo nutraukimo priemonės</w:t>
            </w:r>
          </w:p>
        </w:tc>
      </w:tr>
      <w:tr w:rsidR="007D59EF" w:rsidRPr="00705EEC" w14:paraId="418DCB31" w14:textId="77777777" w:rsidTr="001C7577">
        <w:tc>
          <w:tcPr>
            <w:tcW w:w="3143" w:type="dxa"/>
            <w:gridSpan w:val="2"/>
            <w:shd w:val="clear" w:color="auto" w:fill="auto"/>
          </w:tcPr>
          <w:p w14:paraId="614C346C" w14:textId="77777777" w:rsidR="007D59EF" w:rsidRPr="001C7577" w:rsidRDefault="007D59EF" w:rsidP="007D59EF">
            <w:pPr>
              <w:spacing w:line="240" w:lineRule="auto"/>
              <w:rPr>
                <w:lang w:val="lt-LT"/>
              </w:rPr>
            </w:pPr>
            <w:r w:rsidRPr="001C7577">
              <w:rPr>
                <w:lang w:val="lt-LT"/>
              </w:rPr>
              <w:t xml:space="preserve">Bupropionas </w:t>
            </w:r>
          </w:p>
          <w:p w14:paraId="4383F23E" w14:textId="77777777" w:rsidR="007D59EF" w:rsidRPr="001C7577" w:rsidRDefault="007D59EF" w:rsidP="007D59EF">
            <w:pPr>
              <w:spacing w:line="240" w:lineRule="auto"/>
              <w:rPr>
                <w:lang w:val="lt-LT"/>
              </w:rPr>
            </w:pPr>
          </w:p>
        </w:tc>
        <w:tc>
          <w:tcPr>
            <w:tcW w:w="3047" w:type="dxa"/>
            <w:shd w:val="clear" w:color="auto" w:fill="auto"/>
          </w:tcPr>
          <w:p w14:paraId="37F11AA7" w14:textId="77777777" w:rsidR="007D59EF" w:rsidRPr="001C7577" w:rsidRDefault="007D59EF" w:rsidP="007D59EF">
            <w:pPr>
              <w:spacing w:line="240" w:lineRule="auto"/>
              <w:rPr>
                <w:lang w:val="lt-LT"/>
              </w:rPr>
            </w:pPr>
            <w:r w:rsidRPr="001C7577">
              <w:rPr>
                <w:lang w:val="lt-LT"/>
              </w:rPr>
              <w:t>Bupropionas ir jo aktyvus metabolitas hidroksibupropionas:</w:t>
            </w:r>
          </w:p>
          <w:p w14:paraId="37984240" w14:textId="77777777" w:rsidR="007D59EF" w:rsidRPr="001C7577" w:rsidRDefault="007D59EF" w:rsidP="007D59EF">
            <w:pPr>
              <w:spacing w:line="240" w:lineRule="auto"/>
              <w:rPr>
                <w:lang w:val="lt-LT"/>
              </w:rPr>
            </w:pPr>
            <w:r w:rsidRPr="001C7577">
              <w:rPr>
                <w:lang w:val="lt-LT"/>
              </w:rPr>
              <w:t>AUC and C</w:t>
            </w:r>
            <w:r w:rsidRPr="001C7577">
              <w:rPr>
                <w:vertAlign w:val="subscript"/>
                <w:lang w:val="lt-LT"/>
              </w:rPr>
              <w:t>max</w:t>
            </w:r>
            <w:r w:rsidRPr="001C7577">
              <w:rPr>
                <w:lang w:val="lt-LT"/>
              </w:rPr>
              <w:t xml:space="preserve"> ↓ ~50%</w:t>
            </w:r>
          </w:p>
          <w:p w14:paraId="673252F6" w14:textId="77777777" w:rsidR="007D59EF" w:rsidRPr="001C7577" w:rsidRDefault="007D59EF" w:rsidP="007D59EF">
            <w:pPr>
              <w:spacing w:line="240" w:lineRule="auto"/>
              <w:rPr>
                <w:lang w:val="lt-LT"/>
              </w:rPr>
            </w:pPr>
          </w:p>
          <w:p w14:paraId="10A58CAC" w14:textId="77777777" w:rsidR="007D59EF" w:rsidRPr="001C7577" w:rsidRDefault="007D59EF" w:rsidP="007D59EF">
            <w:pPr>
              <w:spacing w:line="240" w:lineRule="auto"/>
              <w:rPr>
                <w:lang w:val="lt-LT"/>
              </w:rPr>
            </w:pPr>
            <w:r w:rsidRPr="001C7577">
              <w:rPr>
                <w:lang w:val="lt-LT"/>
              </w:rPr>
              <w:t>Šis poveikis gali būti dėl bupropiono metabolizmo indukcijos.</w:t>
            </w:r>
          </w:p>
          <w:p w14:paraId="3A126C24" w14:textId="77777777" w:rsidR="007D59EF" w:rsidRPr="001C7577" w:rsidRDefault="007D59EF" w:rsidP="007D59EF">
            <w:pPr>
              <w:spacing w:line="240" w:lineRule="auto"/>
              <w:rPr>
                <w:lang w:val="lt-LT"/>
              </w:rPr>
            </w:pPr>
          </w:p>
        </w:tc>
        <w:tc>
          <w:tcPr>
            <w:tcW w:w="3096" w:type="dxa"/>
            <w:shd w:val="clear" w:color="auto" w:fill="auto"/>
          </w:tcPr>
          <w:p w14:paraId="6FCB69C2" w14:textId="77777777" w:rsidR="007D59EF" w:rsidRPr="001C7577" w:rsidRDefault="007D59EF" w:rsidP="007D59EF">
            <w:pPr>
              <w:spacing w:line="240" w:lineRule="auto"/>
              <w:rPr>
                <w:lang w:val="lt-LT"/>
              </w:rPr>
            </w:pPr>
            <w:r w:rsidRPr="001C7577">
              <w:rPr>
                <w:lang w:val="lt-LT"/>
              </w:rPr>
              <w:t>Jei manoma, kad bupropiono</w:t>
            </w:r>
          </w:p>
          <w:p w14:paraId="69A518A8" w14:textId="77777777" w:rsidR="007D59EF" w:rsidRPr="001C7577" w:rsidRDefault="007D59EF" w:rsidP="007D59EF">
            <w:pPr>
              <w:spacing w:line="240" w:lineRule="auto"/>
              <w:rPr>
                <w:lang w:val="lt-LT"/>
              </w:rPr>
            </w:pPr>
            <w:r w:rsidRPr="001C7577">
              <w:rPr>
                <w:lang w:val="lt-LT"/>
              </w:rPr>
              <w:t>skirti kartu su lopinaviru/ritonaviru yra būtina,</w:t>
            </w:r>
          </w:p>
          <w:p w14:paraId="7DAFD57F" w14:textId="77777777" w:rsidR="007D59EF" w:rsidRPr="001C7577" w:rsidRDefault="007D59EF" w:rsidP="007D59EF">
            <w:pPr>
              <w:spacing w:line="240" w:lineRule="auto"/>
              <w:rPr>
                <w:lang w:val="lt-LT"/>
              </w:rPr>
            </w:pPr>
            <w:r w:rsidRPr="001C7577">
              <w:rPr>
                <w:lang w:val="lt-LT"/>
              </w:rPr>
              <w:t>tai reikia daryti kliniškai stebint</w:t>
            </w:r>
          </w:p>
          <w:p w14:paraId="5D9E5BA0" w14:textId="77777777" w:rsidR="007D59EF" w:rsidRPr="001C7577" w:rsidRDefault="007D59EF" w:rsidP="007D59EF">
            <w:pPr>
              <w:spacing w:line="240" w:lineRule="auto"/>
              <w:rPr>
                <w:lang w:val="lt-LT"/>
              </w:rPr>
            </w:pPr>
            <w:r w:rsidRPr="001C7577">
              <w:rPr>
                <w:lang w:val="lt-LT"/>
              </w:rPr>
              <w:t>bupropiono veiksmingumą, nedidinant rekomenduojamos</w:t>
            </w:r>
          </w:p>
          <w:p w14:paraId="1F2DF7F2" w14:textId="77777777" w:rsidR="007D59EF" w:rsidRPr="001C7577" w:rsidRDefault="007D59EF" w:rsidP="007D59EF">
            <w:pPr>
              <w:spacing w:line="240" w:lineRule="auto"/>
              <w:rPr>
                <w:lang w:val="lt-LT"/>
              </w:rPr>
            </w:pPr>
            <w:r w:rsidRPr="001C7577">
              <w:rPr>
                <w:lang w:val="lt-LT"/>
              </w:rPr>
              <w:t>dozės, nepaisant stebimos indukcijos.</w:t>
            </w:r>
          </w:p>
        </w:tc>
      </w:tr>
      <w:tr w:rsidR="007D59EF" w:rsidRPr="00705EEC" w14:paraId="0C705B34" w14:textId="77777777" w:rsidTr="001C7577">
        <w:tc>
          <w:tcPr>
            <w:tcW w:w="9286" w:type="dxa"/>
            <w:gridSpan w:val="4"/>
            <w:shd w:val="clear" w:color="auto" w:fill="auto"/>
          </w:tcPr>
          <w:p w14:paraId="77B8ED31" w14:textId="77777777" w:rsidR="007D59EF" w:rsidRPr="001C7577" w:rsidRDefault="007D59EF" w:rsidP="007D59EF">
            <w:pPr>
              <w:spacing w:line="240" w:lineRule="auto"/>
              <w:rPr>
                <w:lang w:val="lt-LT"/>
              </w:rPr>
            </w:pPr>
            <w:r w:rsidRPr="001C7577">
              <w:rPr>
                <w:rFonts w:ascii="TimesNewRomanPS-ItalicMT" w:eastAsia="Calibri" w:hAnsi="TimesNewRomanPS-ItalicMT" w:cs="TimesNewRomanPS-ItalicMT"/>
                <w:i/>
                <w:iCs/>
                <w:snapToGrid/>
                <w:szCs w:val="22"/>
                <w:lang w:val="lt-LT"/>
              </w:rPr>
              <w:t>Kraujagysles plečiantys vaistiniai preparatai</w:t>
            </w:r>
          </w:p>
        </w:tc>
      </w:tr>
      <w:tr w:rsidR="007D59EF" w:rsidRPr="00705EEC" w14:paraId="2B25F8A0" w14:textId="77777777" w:rsidTr="001C7577">
        <w:tc>
          <w:tcPr>
            <w:tcW w:w="3143" w:type="dxa"/>
            <w:gridSpan w:val="2"/>
            <w:shd w:val="clear" w:color="auto" w:fill="auto"/>
          </w:tcPr>
          <w:p w14:paraId="4D678AAB" w14:textId="77777777" w:rsidR="007D59EF" w:rsidRPr="001C7577" w:rsidRDefault="007D59EF" w:rsidP="007D59EF">
            <w:pPr>
              <w:spacing w:line="240" w:lineRule="auto"/>
              <w:rPr>
                <w:lang w:val="lt-LT"/>
              </w:rPr>
            </w:pPr>
            <w:r w:rsidRPr="001C7577">
              <w:rPr>
                <w:lang w:val="lt-LT"/>
              </w:rPr>
              <w:t xml:space="preserve">Bosentanas </w:t>
            </w:r>
          </w:p>
          <w:p w14:paraId="183FA57B" w14:textId="77777777" w:rsidR="007D59EF" w:rsidRPr="001C7577" w:rsidRDefault="007D59EF" w:rsidP="007D59EF">
            <w:pPr>
              <w:spacing w:line="240" w:lineRule="auto"/>
              <w:rPr>
                <w:lang w:val="lt-LT"/>
              </w:rPr>
            </w:pPr>
          </w:p>
        </w:tc>
        <w:tc>
          <w:tcPr>
            <w:tcW w:w="3047" w:type="dxa"/>
            <w:shd w:val="clear" w:color="auto" w:fill="auto"/>
          </w:tcPr>
          <w:p w14:paraId="5CBC0D9D" w14:textId="77777777" w:rsidR="007D59EF" w:rsidRPr="001C7577" w:rsidRDefault="007D59EF" w:rsidP="007D59EF">
            <w:pPr>
              <w:spacing w:line="240" w:lineRule="auto"/>
              <w:rPr>
                <w:lang w:val="lt-LT"/>
              </w:rPr>
            </w:pPr>
            <w:r w:rsidRPr="001C7577">
              <w:rPr>
                <w:lang w:val="lt-LT"/>
              </w:rPr>
              <w:t>Lopinaviras/ritonaviras:</w:t>
            </w:r>
          </w:p>
          <w:p w14:paraId="35632723" w14:textId="77777777" w:rsidR="007D59EF" w:rsidRPr="001C7577" w:rsidRDefault="007D59EF" w:rsidP="007D59EF">
            <w:pPr>
              <w:spacing w:line="240" w:lineRule="auto"/>
              <w:rPr>
                <w:lang w:val="lt-LT"/>
              </w:rPr>
            </w:pPr>
            <w:r w:rsidRPr="001C7577">
              <w:rPr>
                <w:lang w:val="lt-LT"/>
              </w:rPr>
              <w:t>Lopinaviro/ritonaviro koncentracijos plazmoje gali</w:t>
            </w:r>
          </w:p>
          <w:p w14:paraId="37E14128" w14:textId="77777777" w:rsidR="007D59EF" w:rsidRPr="001C7577" w:rsidRDefault="007D59EF" w:rsidP="007D59EF">
            <w:pPr>
              <w:spacing w:line="240" w:lineRule="auto"/>
              <w:rPr>
                <w:lang w:val="lt-LT"/>
              </w:rPr>
            </w:pPr>
            <w:r w:rsidRPr="001C7577">
              <w:rPr>
                <w:lang w:val="lt-LT"/>
              </w:rPr>
              <w:t>sumažėti dėl CYP3A4 aktyvacijos bosentanu.</w:t>
            </w:r>
          </w:p>
          <w:p w14:paraId="578D7465" w14:textId="77777777" w:rsidR="007D59EF" w:rsidRPr="001C7577" w:rsidRDefault="007D59EF" w:rsidP="007D59EF">
            <w:pPr>
              <w:spacing w:line="240" w:lineRule="auto"/>
              <w:rPr>
                <w:lang w:val="lt-LT"/>
              </w:rPr>
            </w:pPr>
          </w:p>
          <w:p w14:paraId="68B730DD" w14:textId="77777777" w:rsidR="007D59EF" w:rsidRPr="001C7577" w:rsidRDefault="007D59EF" w:rsidP="007D59EF">
            <w:pPr>
              <w:spacing w:line="240" w:lineRule="auto"/>
              <w:rPr>
                <w:lang w:val="lt-LT"/>
              </w:rPr>
            </w:pPr>
            <w:r w:rsidRPr="001C7577">
              <w:rPr>
                <w:lang w:val="lt-LT"/>
              </w:rPr>
              <w:t>Bosentanas:</w:t>
            </w:r>
          </w:p>
          <w:p w14:paraId="56DA76E2" w14:textId="77777777" w:rsidR="007D59EF" w:rsidRPr="001C7577" w:rsidRDefault="007D59EF" w:rsidP="007D59EF">
            <w:pPr>
              <w:spacing w:line="240" w:lineRule="auto"/>
              <w:rPr>
                <w:lang w:val="lt-LT"/>
              </w:rPr>
            </w:pPr>
            <w:r w:rsidRPr="001C7577">
              <w:rPr>
                <w:lang w:val="lt-LT"/>
              </w:rPr>
              <w:t>AUC: ↑ 5-kartus</w:t>
            </w:r>
          </w:p>
          <w:p w14:paraId="160FABD3" w14:textId="77777777" w:rsidR="007D59EF" w:rsidRPr="001C7577" w:rsidRDefault="007D59EF" w:rsidP="007D59EF">
            <w:pPr>
              <w:spacing w:line="240" w:lineRule="auto"/>
              <w:rPr>
                <w:lang w:val="lt-LT"/>
              </w:rPr>
            </w:pPr>
            <w:r w:rsidRPr="001C7577">
              <w:rPr>
                <w:lang w:val="lt-LT"/>
              </w:rPr>
              <w:t>C</w:t>
            </w:r>
            <w:r w:rsidRPr="001C7577">
              <w:rPr>
                <w:vertAlign w:val="subscript"/>
                <w:lang w:val="lt-LT"/>
              </w:rPr>
              <w:t>max</w:t>
            </w:r>
            <w:r w:rsidRPr="001C7577">
              <w:rPr>
                <w:lang w:val="lt-LT"/>
              </w:rPr>
              <w:t>: ↑ 6-kartus</w:t>
            </w:r>
          </w:p>
          <w:p w14:paraId="723F6A75" w14:textId="77777777" w:rsidR="007D59EF" w:rsidRPr="001C7577" w:rsidRDefault="007D59EF" w:rsidP="007D59EF">
            <w:pPr>
              <w:spacing w:line="240" w:lineRule="auto"/>
              <w:rPr>
                <w:lang w:val="lt-LT"/>
              </w:rPr>
            </w:pPr>
            <w:r w:rsidRPr="001C7577">
              <w:rPr>
                <w:lang w:val="lt-LT"/>
              </w:rPr>
              <w:t>Pradžioje bosentano C</w:t>
            </w:r>
            <w:r w:rsidRPr="001C7577">
              <w:rPr>
                <w:vertAlign w:val="subscript"/>
                <w:lang w:val="lt-LT"/>
              </w:rPr>
              <w:t>min</w:t>
            </w:r>
            <w:r w:rsidRPr="001C7577">
              <w:rPr>
                <w:lang w:val="lt-LT"/>
              </w:rPr>
              <w:t>: ↑</w:t>
            </w:r>
          </w:p>
          <w:p w14:paraId="05E3FC2D" w14:textId="77777777" w:rsidR="007D59EF" w:rsidRPr="001C7577" w:rsidRDefault="007D59EF" w:rsidP="007D59EF">
            <w:pPr>
              <w:spacing w:line="240" w:lineRule="auto"/>
              <w:rPr>
                <w:lang w:val="lt-LT"/>
              </w:rPr>
            </w:pPr>
            <w:r w:rsidRPr="001C7577">
              <w:rPr>
                <w:lang w:val="lt-LT"/>
              </w:rPr>
              <w:t>maždaug 48-kartus.</w:t>
            </w:r>
          </w:p>
          <w:p w14:paraId="164DEC98" w14:textId="77777777" w:rsidR="007D59EF" w:rsidRPr="001C7577" w:rsidRDefault="007D59EF" w:rsidP="007D59EF">
            <w:pPr>
              <w:spacing w:line="240" w:lineRule="auto"/>
              <w:rPr>
                <w:lang w:val="lt-LT"/>
              </w:rPr>
            </w:pPr>
            <w:r w:rsidRPr="001C7577">
              <w:rPr>
                <w:lang w:val="lt-LT"/>
              </w:rPr>
              <w:t>Dėl CYP3A4 slopinimo</w:t>
            </w:r>
          </w:p>
          <w:p w14:paraId="467A3712" w14:textId="77777777" w:rsidR="007D59EF" w:rsidRPr="001C7577" w:rsidRDefault="007D59EF" w:rsidP="007D59EF">
            <w:pPr>
              <w:spacing w:line="240" w:lineRule="auto"/>
              <w:rPr>
                <w:lang w:val="lt-LT"/>
              </w:rPr>
            </w:pPr>
            <w:r w:rsidRPr="001C7577">
              <w:rPr>
                <w:lang w:val="lt-LT"/>
              </w:rPr>
              <w:t>lopinaviru/ritonaviru</w:t>
            </w:r>
          </w:p>
        </w:tc>
        <w:tc>
          <w:tcPr>
            <w:tcW w:w="3096" w:type="dxa"/>
            <w:shd w:val="clear" w:color="auto" w:fill="auto"/>
          </w:tcPr>
          <w:p w14:paraId="599F7BB0" w14:textId="77777777" w:rsidR="007D59EF" w:rsidRPr="001C7577" w:rsidRDefault="007D59EF" w:rsidP="007D59EF">
            <w:pPr>
              <w:spacing w:line="240" w:lineRule="auto"/>
              <w:rPr>
                <w:lang w:val="lt-LT"/>
              </w:rPr>
            </w:pPr>
            <w:r w:rsidRPr="001C7577">
              <w:rPr>
                <w:lang w:val="lt-LT"/>
              </w:rPr>
              <w:t>Atsargiai skirti lopinaviro/ritonaviro su</w:t>
            </w:r>
          </w:p>
          <w:p w14:paraId="5658FA15" w14:textId="77777777" w:rsidR="007D59EF" w:rsidRPr="001C7577" w:rsidRDefault="007D59EF" w:rsidP="007D59EF">
            <w:pPr>
              <w:spacing w:line="240" w:lineRule="auto"/>
              <w:rPr>
                <w:lang w:val="lt-LT"/>
              </w:rPr>
            </w:pPr>
            <w:r w:rsidRPr="001C7577">
              <w:rPr>
                <w:lang w:val="lt-LT"/>
              </w:rPr>
              <w:t>bosentanu.</w:t>
            </w:r>
          </w:p>
          <w:p w14:paraId="2E7EEE18" w14:textId="77777777" w:rsidR="007D59EF" w:rsidRPr="001C7577" w:rsidRDefault="007D59EF" w:rsidP="007D59EF">
            <w:pPr>
              <w:spacing w:line="240" w:lineRule="auto"/>
              <w:rPr>
                <w:lang w:val="lt-LT"/>
              </w:rPr>
            </w:pPr>
            <w:r w:rsidRPr="001C7577">
              <w:rPr>
                <w:lang w:val="lt-LT"/>
              </w:rPr>
              <w:t>Skiriant lopinaviro/ritonaviro kartu su bosentanu, reikia stebėti ŽIV gydymo veiksmingumą ir atidžiai sekti pacientus dėl galimo</w:t>
            </w:r>
          </w:p>
          <w:p w14:paraId="5680C8DD" w14:textId="77777777" w:rsidR="007D59EF" w:rsidRPr="001C7577" w:rsidRDefault="007D59EF" w:rsidP="007D59EF">
            <w:pPr>
              <w:spacing w:line="240" w:lineRule="auto"/>
              <w:rPr>
                <w:lang w:val="lt-LT"/>
              </w:rPr>
            </w:pPr>
            <w:r w:rsidRPr="001C7577">
              <w:rPr>
                <w:lang w:val="lt-LT"/>
              </w:rPr>
              <w:t>bosentano toksinio poveikio, ypač</w:t>
            </w:r>
          </w:p>
          <w:p w14:paraId="25A69E54" w14:textId="77777777" w:rsidR="007D59EF" w:rsidRPr="001C7577" w:rsidRDefault="007D59EF" w:rsidP="007D59EF">
            <w:pPr>
              <w:spacing w:line="240" w:lineRule="auto"/>
              <w:rPr>
                <w:lang w:val="lt-LT"/>
              </w:rPr>
            </w:pPr>
            <w:r w:rsidRPr="001C7577">
              <w:rPr>
                <w:lang w:val="lt-LT"/>
              </w:rPr>
              <w:t>pirmąją gydymo savaitę, kai</w:t>
            </w:r>
          </w:p>
          <w:p w14:paraId="0414C068" w14:textId="77777777" w:rsidR="007D59EF" w:rsidRPr="001C7577" w:rsidRDefault="007D59EF" w:rsidP="007D59EF">
            <w:pPr>
              <w:spacing w:line="240" w:lineRule="auto"/>
              <w:rPr>
                <w:lang w:val="lt-LT"/>
              </w:rPr>
            </w:pPr>
            <w:r w:rsidRPr="001C7577">
              <w:rPr>
                <w:lang w:val="lt-LT"/>
              </w:rPr>
              <w:t>vaistai skiriami kartu.</w:t>
            </w:r>
          </w:p>
        </w:tc>
      </w:tr>
      <w:tr w:rsidR="007D59EF" w:rsidRPr="00705EEC" w14:paraId="5CB5B7F7" w14:textId="77777777" w:rsidTr="001C7577">
        <w:tc>
          <w:tcPr>
            <w:tcW w:w="9286" w:type="dxa"/>
            <w:gridSpan w:val="4"/>
            <w:shd w:val="clear" w:color="auto" w:fill="auto"/>
          </w:tcPr>
          <w:p w14:paraId="6ABFD75B" w14:textId="77777777" w:rsidR="007D59EF" w:rsidRPr="001C7577" w:rsidRDefault="007D59EF" w:rsidP="007D59EF">
            <w:pPr>
              <w:spacing w:line="240" w:lineRule="auto"/>
              <w:rPr>
                <w:lang w:val="lt-LT"/>
              </w:rPr>
            </w:pPr>
            <w:r w:rsidRPr="001C7577">
              <w:rPr>
                <w:rFonts w:eastAsia="Calibri"/>
                <w:i/>
                <w:iCs/>
                <w:snapToGrid/>
                <w:szCs w:val="22"/>
                <w:lang w:val="lt-LT"/>
              </w:rPr>
              <w:t>Kiti vaistiniai preparatai</w:t>
            </w:r>
          </w:p>
        </w:tc>
      </w:tr>
      <w:tr w:rsidR="007D59EF" w:rsidRPr="00705EEC" w14:paraId="61E0A7A9" w14:textId="77777777" w:rsidTr="001C7577">
        <w:tc>
          <w:tcPr>
            <w:tcW w:w="9286" w:type="dxa"/>
            <w:gridSpan w:val="4"/>
            <w:shd w:val="clear" w:color="auto" w:fill="auto"/>
          </w:tcPr>
          <w:p w14:paraId="425F6CE0" w14:textId="77777777" w:rsidR="007D59EF" w:rsidRPr="001C7577" w:rsidRDefault="007D59EF" w:rsidP="007D59EF">
            <w:pPr>
              <w:spacing w:line="240" w:lineRule="auto"/>
              <w:rPr>
                <w:lang w:val="lt-LT"/>
              </w:rPr>
            </w:pPr>
            <w:r w:rsidRPr="001C7577">
              <w:rPr>
                <w:lang w:val="lt-LT"/>
              </w:rPr>
              <w:t>Remiantis žinomais metabolizmo procesais, nesitikima kliniškai reikšmingo poveikio kartu su lopinaviru/ritonaviru skiriant dapsoną, trimetoprimą/sulfametoksazolą, azitromiciną ar flukonazolą.</w:t>
            </w:r>
          </w:p>
        </w:tc>
      </w:tr>
    </w:tbl>
    <w:p w14:paraId="028CF9E1" w14:textId="77777777" w:rsidR="007D59EF" w:rsidRPr="00705EEC" w:rsidRDefault="007D59EF" w:rsidP="007D59EF">
      <w:pPr>
        <w:rPr>
          <w:szCs w:val="24"/>
          <w:lang w:val="lt-LT"/>
        </w:rPr>
      </w:pPr>
    </w:p>
    <w:p w14:paraId="755AED66"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lastRenderedPageBreak/>
        <w:t>4.6</w:t>
      </w:r>
      <w:r w:rsidRPr="00705EEC">
        <w:rPr>
          <w:rFonts w:ascii="Times New Roman" w:hAnsi="Times New Roman"/>
          <w:sz w:val="22"/>
          <w:lang w:val="lt-LT"/>
        </w:rPr>
        <w:tab/>
        <w:t>Vaisingumas, nėštumo ir žindymo laikotarpis</w:t>
      </w:r>
    </w:p>
    <w:p w14:paraId="3C5258E5" w14:textId="77777777" w:rsidR="007D59EF" w:rsidRPr="00705EEC" w:rsidRDefault="007D59EF" w:rsidP="007D59EF">
      <w:pPr>
        <w:rPr>
          <w:szCs w:val="24"/>
          <w:lang w:val="lt-LT"/>
        </w:rPr>
      </w:pPr>
    </w:p>
    <w:p w14:paraId="3E2916BE" w14:textId="77777777" w:rsidR="007D59EF" w:rsidRPr="00705EEC" w:rsidRDefault="007D59EF" w:rsidP="007D59EF">
      <w:pPr>
        <w:rPr>
          <w:szCs w:val="24"/>
          <w:u w:val="single"/>
          <w:lang w:val="lt-LT"/>
        </w:rPr>
      </w:pPr>
      <w:r w:rsidRPr="00705EEC">
        <w:rPr>
          <w:szCs w:val="24"/>
          <w:u w:val="single"/>
          <w:lang w:val="lt-LT"/>
        </w:rPr>
        <w:t>Nėštumas</w:t>
      </w:r>
    </w:p>
    <w:p w14:paraId="495A50CA" w14:textId="77777777" w:rsidR="007D59EF" w:rsidRPr="00705EEC" w:rsidRDefault="007D59EF" w:rsidP="007D59EF">
      <w:pPr>
        <w:rPr>
          <w:szCs w:val="24"/>
          <w:lang w:val="lt-LT"/>
        </w:rPr>
      </w:pPr>
      <w:r w:rsidRPr="00705EEC">
        <w:rPr>
          <w:szCs w:val="24"/>
          <w:lang w:val="lt-LT"/>
        </w:rPr>
        <w:t xml:space="preserve">Kad būtų galima charakterizuoti gydymo saugumą vaisiui, turi būti taikoma bendra taisyklė: nusprendus skirti antiretrovirusinį gydymą ŽIV infekuotai nėščiai moteriai, ir tokiu būdu sumažinti ŽIV vertikalaus perdavimo riziką naujagimiui, reikia remtis duomenimis, gautais tiek iš tyrimų atliktų su gyvūnais, tiek iš klinikinės patirties su nėščiomis moterimis. </w:t>
      </w:r>
    </w:p>
    <w:p w14:paraId="28DA2017" w14:textId="77777777" w:rsidR="007D59EF" w:rsidRPr="00705EEC" w:rsidRDefault="007D59EF" w:rsidP="007D59EF">
      <w:pPr>
        <w:rPr>
          <w:szCs w:val="24"/>
          <w:lang w:val="lt-LT"/>
        </w:rPr>
      </w:pPr>
    </w:p>
    <w:p w14:paraId="530DC980" w14:textId="77777777" w:rsidR="007D59EF" w:rsidRPr="00705EEC" w:rsidRDefault="007D59EF" w:rsidP="007D59EF">
      <w:pPr>
        <w:rPr>
          <w:szCs w:val="24"/>
          <w:lang w:val="lt-LT"/>
        </w:rPr>
      </w:pPr>
      <w:r w:rsidRPr="00705EEC">
        <w:rPr>
          <w:szCs w:val="24"/>
          <w:lang w:val="lt-LT"/>
        </w:rPr>
        <w:t>Adekvačių ir gerai kontroliuotų lopinaviro/ritonaviro skyrimo nėščiosioms tyrimų nėra atlikta. Vaistui patekus į rinką jo poveikis nėščiosioms sekamas per Antiretrovirusinį Nėščiųjų Registrą, kuris sukurtas 1989 sausio mėn., jo duomenimis daugiau kaip 600 moterų, kurios gavo lopinaviro/ritonaviro pirmo nėštumo trimestro metu, apsigimimų rizikos padidėjimas nebuvo stebėtas. Apsigimimų paplitimas, vartojant lopinavirą bet kuriuo nėštumo trimestro metu, nesiskiria nuo jų paplitimo bendroje populiacijoje. Nebuvo stebima tos pačios etiologijos apsigimimų. Tyrimai su gyvūnais parodė toksinį poveikį reprodukcijai (žr. 5.3 skyrių). Remiantis minėtais ribotais duomenimis, apsigimimų rizika žmonėms nėra tikėtina.</w:t>
      </w:r>
    </w:p>
    <w:p w14:paraId="52F827B7" w14:textId="77777777" w:rsidR="007D59EF" w:rsidRPr="00705EEC" w:rsidRDefault="007D59EF" w:rsidP="007D59EF">
      <w:pPr>
        <w:rPr>
          <w:szCs w:val="24"/>
          <w:lang w:val="lt-LT"/>
        </w:rPr>
      </w:pPr>
    </w:p>
    <w:p w14:paraId="151866C2" w14:textId="77777777" w:rsidR="007D59EF" w:rsidRPr="00705EEC" w:rsidRDefault="007D59EF" w:rsidP="007D59EF">
      <w:pPr>
        <w:rPr>
          <w:szCs w:val="24"/>
          <w:u w:val="single"/>
          <w:lang w:val="lt-LT"/>
        </w:rPr>
      </w:pPr>
      <w:r w:rsidRPr="00705EEC">
        <w:rPr>
          <w:szCs w:val="24"/>
          <w:u w:val="single"/>
          <w:lang w:val="lt-LT"/>
        </w:rPr>
        <w:t>Žindymas</w:t>
      </w:r>
    </w:p>
    <w:p w14:paraId="642ADAB2" w14:textId="77777777" w:rsidR="007D59EF" w:rsidRPr="00705EEC" w:rsidRDefault="007D59EF" w:rsidP="007D59EF">
      <w:pPr>
        <w:rPr>
          <w:szCs w:val="24"/>
          <w:lang w:val="lt-LT"/>
        </w:rPr>
      </w:pPr>
      <w:r w:rsidRPr="00705EEC">
        <w:rPr>
          <w:szCs w:val="24"/>
          <w:lang w:val="lt-LT"/>
        </w:rPr>
        <w:t>Tyrimai su žiurkėmis parodė, kad lopinaviro išsiskiria į pieną. Nėra žinoma, ar šio vaistinio preparato patenka į žmonių pieną. Kaip bendra taisyklė, infekuotoms ŽIV moterims rekomenduojama jokiomis aplinkybėmis nežindyti vaikų, kad būtų išvengta ŽIV perdavimo.</w:t>
      </w:r>
    </w:p>
    <w:p w14:paraId="5B14BDAC" w14:textId="77777777" w:rsidR="007D59EF" w:rsidRPr="00705EEC" w:rsidRDefault="007D59EF" w:rsidP="007D59EF">
      <w:pPr>
        <w:rPr>
          <w:szCs w:val="24"/>
          <w:lang w:val="lt-LT"/>
        </w:rPr>
      </w:pPr>
    </w:p>
    <w:p w14:paraId="45BD559D" w14:textId="77777777" w:rsidR="007D59EF" w:rsidRPr="00705EEC" w:rsidRDefault="007D59EF" w:rsidP="007D59EF">
      <w:pPr>
        <w:rPr>
          <w:szCs w:val="24"/>
          <w:u w:val="single"/>
          <w:lang w:val="lt-LT"/>
        </w:rPr>
      </w:pPr>
      <w:r w:rsidRPr="00705EEC">
        <w:rPr>
          <w:szCs w:val="24"/>
          <w:u w:val="single"/>
          <w:lang w:val="lt-LT"/>
        </w:rPr>
        <w:t>Vaisingumas</w:t>
      </w:r>
    </w:p>
    <w:p w14:paraId="0B8A319E" w14:textId="77777777" w:rsidR="007D59EF" w:rsidRPr="00705EEC" w:rsidRDefault="007D59EF" w:rsidP="007D59EF">
      <w:pPr>
        <w:rPr>
          <w:szCs w:val="24"/>
          <w:lang w:val="lt-LT"/>
        </w:rPr>
      </w:pPr>
      <w:r w:rsidRPr="00705EEC">
        <w:rPr>
          <w:szCs w:val="24"/>
          <w:lang w:val="lt-LT"/>
        </w:rPr>
        <w:t>Tyrimai su gyvūnais neparodėpoveikio vaisingumui. Nėra jokių duomenų apie lopinaviro/ ritonaviro poveikį žmonių vaisingumui.</w:t>
      </w:r>
    </w:p>
    <w:p w14:paraId="4F9E3C1C" w14:textId="77777777" w:rsidR="007D59EF" w:rsidRPr="00705EEC" w:rsidRDefault="007D59EF" w:rsidP="007D59EF">
      <w:pPr>
        <w:rPr>
          <w:szCs w:val="24"/>
          <w:lang w:val="lt-LT"/>
        </w:rPr>
      </w:pPr>
    </w:p>
    <w:p w14:paraId="0474E37B"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4.7</w:t>
      </w:r>
      <w:r w:rsidRPr="00705EEC">
        <w:rPr>
          <w:rFonts w:ascii="Times New Roman" w:hAnsi="Times New Roman"/>
          <w:sz w:val="22"/>
          <w:lang w:val="lt-LT"/>
        </w:rPr>
        <w:tab/>
        <w:t>Poveikis gebėjimui vairuoti ir valdyti mechanizmus</w:t>
      </w:r>
    </w:p>
    <w:p w14:paraId="134788FA" w14:textId="77777777" w:rsidR="007D59EF" w:rsidRPr="00705EEC" w:rsidRDefault="007D59EF" w:rsidP="007D59EF">
      <w:pPr>
        <w:rPr>
          <w:szCs w:val="24"/>
          <w:lang w:val="lt-LT"/>
        </w:rPr>
      </w:pPr>
    </w:p>
    <w:p w14:paraId="3A5EA780" w14:textId="77777777" w:rsidR="007D59EF" w:rsidRPr="001C7577" w:rsidRDefault="007D59EF" w:rsidP="007D59EF">
      <w:pPr>
        <w:rPr>
          <w:szCs w:val="24"/>
          <w:lang w:val="lt-LT"/>
        </w:rPr>
      </w:pPr>
      <w:r w:rsidRPr="001C7577">
        <w:rPr>
          <w:szCs w:val="24"/>
          <w:lang w:val="lt-LT"/>
        </w:rPr>
        <w:t>Poveikio gebėjimui vairuoti ir valdyti mechanizmus tyrimų neatlikta. Pacientus reikia informuoti, kad gydymo lopinaviru/ritonaviru metu gali pykinti (žr. 4.8 skyrių).</w:t>
      </w:r>
    </w:p>
    <w:p w14:paraId="5C4CBAAE" w14:textId="77777777" w:rsidR="007D59EF" w:rsidRPr="00705EEC" w:rsidRDefault="007D59EF" w:rsidP="007D59EF">
      <w:pPr>
        <w:rPr>
          <w:szCs w:val="24"/>
          <w:lang w:val="lt-LT"/>
        </w:rPr>
      </w:pPr>
    </w:p>
    <w:p w14:paraId="06A2959B" w14:textId="77777777" w:rsidR="007D59EF" w:rsidRPr="00705EEC" w:rsidRDefault="007D59EF" w:rsidP="007D59EF">
      <w:pPr>
        <w:spacing w:line="240" w:lineRule="auto"/>
        <w:outlineLvl w:val="0"/>
        <w:rPr>
          <w:lang w:val="lt-LT"/>
        </w:rPr>
      </w:pPr>
      <w:r w:rsidRPr="00705EEC">
        <w:rPr>
          <w:b/>
          <w:lang w:val="lt-LT"/>
        </w:rPr>
        <w:t>4.8</w:t>
      </w:r>
      <w:r w:rsidRPr="00705EEC">
        <w:rPr>
          <w:b/>
          <w:lang w:val="lt-LT"/>
        </w:rPr>
        <w:tab/>
        <w:t>Nepageidaujamas poveikis</w:t>
      </w:r>
    </w:p>
    <w:p w14:paraId="26522078" w14:textId="77777777" w:rsidR="007D59EF" w:rsidRPr="00705EEC" w:rsidRDefault="007D59EF" w:rsidP="007D59EF">
      <w:pPr>
        <w:rPr>
          <w:u w:val="single"/>
          <w:lang w:val="lt-LT"/>
        </w:rPr>
      </w:pPr>
    </w:p>
    <w:p w14:paraId="37B4682C" w14:textId="77777777" w:rsidR="007D59EF" w:rsidRPr="001C7577" w:rsidRDefault="007D59EF" w:rsidP="007D59EF">
      <w:pPr>
        <w:numPr>
          <w:ilvl w:val="0"/>
          <w:numId w:val="8"/>
        </w:numPr>
        <w:spacing w:line="240" w:lineRule="auto"/>
        <w:rPr>
          <w:u w:val="single"/>
          <w:lang w:val="lt-LT"/>
        </w:rPr>
      </w:pPr>
      <w:r w:rsidRPr="001C7577">
        <w:rPr>
          <w:u w:val="single"/>
          <w:lang w:val="lt-LT"/>
        </w:rPr>
        <w:t>Saugumo duomenų santrauka</w:t>
      </w:r>
    </w:p>
    <w:p w14:paraId="1F0D2BE4" w14:textId="77777777" w:rsidR="007D59EF" w:rsidRPr="001C7577" w:rsidRDefault="007D59EF" w:rsidP="007D59EF">
      <w:pPr>
        <w:spacing w:line="240" w:lineRule="auto"/>
        <w:ind w:left="720"/>
        <w:rPr>
          <w:u w:val="single"/>
          <w:lang w:val="lt-LT"/>
        </w:rPr>
      </w:pPr>
    </w:p>
    <w:p w14:paraId="57597D61" w14:textId="77777777" w:rsidR="007D59EF" w:rsidRPr="001C7577" w:rsidRDefault="007D59EF" w:rsidP="007D59EF">
      <w:pPr>
        <w:spacing w:line="240" w:lineRule="auto"/>
        <w:rPr>
          <w:lang w:val="lt-LT"/>
        </w:rPr>
      </w:pPr>
      <w:r w:rsidRPr="001C7577">
        <w:rPr>
          <w:lang w:val="lt-LT"/>
        </w:rPr>
        <w:t>Lopinaviro/ritonaviro saugumas tirtas daugiau kaip 2600 pacientų II/IV fazės klinikiniuose tyrimuose, kurių metu daugiau kaip 700 pacientų gavo 800/200mg dozę (6 kapsules arba 4 tabletes) kartą per parą. Kartu su nukleozidų atvirkšinėstranskriptazės inhibitoriais, kai kurių tyrimų metu lopinaviras/ritonaviras buvo vartojamas kartu su efavirenzu ar nevirapinu.</w:t>
      </w:r>
    </w:p>
    <w:p w14:paraId="1F2BCAE1" w14:textId="77777777" w:rsidR="007D59EF" w:rsidRPr="001C7577" w:rsidRDefault="007D59EF" w:rsidP="007D59EF">
      <w:pPr>
        <w:spacing w:line="240" w:lineRule="auto"/>
        <w:rPr>
          <w:lang w:val="lt-LT"/>
        </w:rPr>
      </w:pPr>
    </w:p>
    <w:p w14:paraId="6E12EF01" w14:textId="77777777" w:rsidR="007D59EF" w:rsidRPr="001C7577" w:rsidRDefault="007D59EF" w:rsidP="007D59EF">
      <w:pPr>
        <w:spacing w:line="240" w:lineRule="auto"/>
        <w:rPr>
          <w:lang w:val="lt-LT"/>
        </w:rPr>
      </w:pPr>
      <w:r w:rsidRPr="001C7577">
        <w:rPr>
          <w:lang w:val="lt-LT"/>
        </w:rPr>
        <w:t>Klinikinių tyrimų metu dažniausios su lopinaviru/ritonaviru susijusios nepageidaujamos reakcijos buvo viduriavimas, pykinimas, vėmimas, hipertrigliceridemija ir hipercholesterolemija. Viduriavimas, pykinimas ir vėmimas gali atsirasti gydymo pradžioje, o hipertrigliceridemija ir hipercholesterolemija gali atsirasti vėliau. II-IV tyrimo fazės metu 7% pacientų anksčiau pasitraukė iš tyrimo dėl būtinybės gydyti pasireiškusias nepageidaujamas reakcijas.</w:t>
      </w:r>
    </w:p>
    <w:p w14:paraId="6767EE53" w14:textId="77777777" w:rsidR="007D59EF" w:rsidRPr="001C7577" w:rsidRDefault="007D59EF" w:rsidP="007D59EF">
      <w:pPr>
        <w:spacing w:line="240" w:lineRule="auto"/>
        <w:rPr>
          <w:lang w:val="lt-LT"/>
        </w:rPr>
      </w:pPr>
    </w:p>
    <w:p w14:paraId="192ED4D3" w14:textId="77777777" w:rsidR="007D59EF" w:rsidRPr="001C7577" w:rsidRDefault="007D59EF" w:rsidP="007D59EF">
      <w:pPr>
        <w:spacing w:line="240" w:lineRule="auto"/>
        <w:rPr>
          <w:lang w:val="lt-LT"/>
        </w:rPr>
      </w:pPr>
      <w:r w:rsidRPr="001C7577">
        <w:rPr>
          <w:lang w:val="lt-LT"/>
        </w:rPr>
        <w:lastRenderedPageBreak/>
        <w:t>Svarbu paminėti, kad pavieniams lopinaviro/ritonaviro vartojusiems pacientams, taip pat tiems, kuriems atsirado hipertrigliceridemija, pasitaikė pankreatitas. Be to, vartojant lopinaviro/ritonaviro kartais pailgėja PR intervalas (žr. 4.4 skyrių).</w:t>
      </w:r>
    </w:p>
    <w:p w14:paraId="34A760FE" w14:textId="77777777" w:rsidR="007D59EF" w:rsidRPr="001C7577" w:rsidRDefault="007D59EF" w:rsidP="007D59EF">
      <w:pPr>
        <w:spacing w:line="240" w:lineRule="auto"/>
        <w:rPr>
          <w:lang w:val="lt-LT"/>
        </w:rPr>
      </w:pPr>
    </w:p>
    <w:p w14:paraId="1440CEE9" w14:textId="77777777" w:rsidR="007D59EF" w:rsidRPr="001C7577" w:rsidRDefault="007D59EF" w:rsidP="007D59EF">
      <w:pPr>
        <w:numPr>
          <w:ilvl w:val="0"/>
          <w:numId w:val="8"/>
        </w:numPr>
        <w:spacing w:line="240" w:lineRule="auto"/>
        <w:rPr>
          <w:u w:val="single"/>
          <w:lang w:val="lt-LT"/>
        </w:rPr>
      </w:pPr>
      <w:r w:rsidRPr="001C7577">
        <w:rPr>
          <w:u w:val="single"/>
          <w:lang w:val="lt-LT"/>
        </w:rPr>
        <w:t>Nepageidaujamų poveikių sąrašas</w:t>
      </w:r>
    </w:p>
    <w:p w14:paraId="154E83EF" w14:textId="77777777" w:rsidR="007D59EF" w:rsidRPr="001C7577" w:rsidRDefault="007D59EF" w:rsidP="007D59EF">
      <w:pPr>
        <w:spacing w:line="240" w:lineRule="auto"/>
        <w:ind w:left="720"/>
        <w:rPr>
          <w:lang w:val="lt-LT"/>
        </w:rPr>
      </w:pPr>
    </w:p>
    <w:p w14:paraId="00281FA6" w14:textId="77777777" w:rsidR="007D59EF" w:rsidRPr="001C7577" w:rsidRDefault="007D59EF" w:rsidP="007D59EF">
      <w:pPr>
        <w:spacing w:line="240" w:lineRule="auto"/>
        <w:rPr>
          <w:i/>
          <w:lang w:val="lt-LT"/>
        </w:rPr>
      </w:pPr>
      <w:r w:rsidRPr="001C7577">
        <w:rPr>
          <w:i/>
          <w:lang w:val="lt-LT"/>
        </w:rPr>
        <w:t>Nepageidaujami poveikiai stebėti klinikinių tyrimų ir tyrimų, atliktų vaistui patekus į rinką, metu suaugusių ir vaikų tarpe:</w:t>
      </w:r>
    </w:p>
    <w:p w14:paraId="1E52E325" w14:textId="77777777" w:rsidR="007D59EF" w:rsidRPr="001C7577" w:rsidRDefault="007D59EF" w:rsidP="007D59EF">
      <w:pPr>
        <w:spacing w:line="240" w:lineRule="auto"/>
        <w:rPr>
          <w:lang w:val="lt-LT"/>
        </w:rPr>
      </w:pPr>
    </w:p>
    <w:p w14:paraId="6CE0D2FD" w14:textId="77777777" w:rsidR="007D59EF" w:rsidRPr="001C7577" w:rsidRDefault="007D59EF" w:rsidP="007D59EF">
      <w:pPr>
        <w:spacing w:line="240" w:lineRule="auto"/>
        <w:rPr>
          <w:lang w:val="lt-LT"/>
        </w:rPr>
      </w:pPr>
      <w:r w:rsidRPr="001C7577">
        <w:rPr>
          <w:lang w:val="lt-LT"/>
        </w:rPr>
        <w:t>Toliau išvardintos reakcijos, kurios įvardijamos kaip nepageidaujami poveikiai. Stebėti nepageidaujami poveikiai apima dažnį nuo vidutinio iki sunkaus, neatsižvelgiant į individualias priežastis. Nepageidaujami poveikiai nurodyti pagal organų sistemas. Kiekvienoje dažnio grupėje nepageidaujamas poveikis pateikiamas mažėjančio sunkumo tvarka: labai dažni (≥ 1/10), dažni (nuo ≥ 1/100 iki &lt; 1/10), nedažni (nuo ≥1/1 000 iki &lt;1/100), dažnis nežinomas (negali būti įvertintas pagal turimus duomenis)</w:t>
      </w:r>
    </w:p>
    <w:p w14:paraId="080B2641" w14:textId="77777777" w:rsidR="007D59EF" w:rsidRPr="001C7577" w:rsidRDefault="007D59EF" w:rsidP="007D59EF">
      <w:pPr>
        <w:spacing w:line="240" w:lineRule="auto"/>
        <w:rPr>
          <w:lang w:val="lt-LT"/>
        </w:rPr>
      </w:pPr>
    </w:p>
    <w:p w14:paraId="2EC74622" w14:textId="77777777" w:rsidR="007D59EF" w:rsidRPr="001C7577" w:rsidRDefault="007D59EF" w:rsidP="007D59EF">
      <w:pPr>
        <w:spacing w:line="240" w:lineRule="auto"/>
        <w:rPr>
          <w:lang w:val="lt-LT"/>
        </w:rPr>
      </w:pPr>
      <w:r w:rsidRPr="001C7577">
        <w:rPr>
          <w:lang w:val="lt-LT"/>
        </w:rPr>
        <w:t>Reiškiniai, kurių „dažnis nežinomas“ buvo nustatyti, vaistui patekus į rinką.</w:t>
      </w:r>
    </w:p>
    <w:p w14:paraId="2DDA5ADF" w14:textId="77777777" w:rsidR="007D59EF" w:rsidRPr="001C7577" w:rsidRDefault="007D59EF" w:rsidP="007D59EF">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742"/>
        <w:gridCol w:w="5210"/>
      </w:tblGrid>
      <w:tr w:rsidR="007D59EF" w:rsidRPr="0088318A" w14:paraId="3355E21C" w14:textId="77777777" w:rsidTr="007D59EF">
        <w:tc>
          <w:tcPr>
            <w:tcW w:w="9854" w:type="dxa"/>
            <w:gridSpan w:val="3"/>
            <w:shd w:val="clear" w:color="auto" w:fill="auto"/>
          </w:tcPr>
          <w:p w14:paraId="2CDCF2A8" w14:textId="77777777" w:rsidR="007D59EF" w:rsidRPr="001C7577" w:rsidRDefault="007D59EF" w:rsidP="007D59EF">
            <w:pPr>
              <w:spacing w:line="240" w:lineRule="auto"/>
              <w:jc w:val="center"/>
              <w:rPr>
                <w:b/>
                <w:lang w:val="lt-LT"/>
              </w:rPr>
            </w:pPr>
            <w:r w:rsidRPr="001C7577">
              <w:rPr>
                <w:b/>
                <w:lang w:val="lt-LT"/>
              </w:rPr>
              <w:t>Nepageidaujamas poveikis, stebėtas suaugusiems pacientams klinikinių tyrimų metu ir vaistui patekus į rinką</w:t>
            </w:r>
          </w:p>
        </w:tc>
      </w:tr>
      <w:tr w:rsidR="007D59EF" w:rsidRPr="00705EEC" w14:paraId="7701FD86" w14:textId="77777777" w:rsidTr="007D59EF">
        <w:tc>
          <w:tcPr>
            <w:tcW w:w="2235" w:type="dxa"/>
            <w:shd w:val="clear" w:color="auto" w:fill="auto"/>
          </w:tcPr>
          <w:p w14:paraId="00D0262A" w14:textId="77777777" w:rsidR="007D59EF" w:rsidRPr="001C7577" w:rsidRDefault="007D59EF" w:rsidP="007D59EF">
            <w:pPr>
              <w:spacing w:line="240" w:lineRule="auto"/>
              <w:jc w:val="center"/>
              <w:rPr>
                <w:b/>
                <w:lang w:val="lt-LT"/>
              </w:rPr>
            </w:pPr>
            <w:r w:rsidRPr="001C7577">
              <w:rPr>
                <w:b/>
                <w:lang w:val="lt-LT"/>
              </w:rPr>
              <w:t>Organų sistemų klasė</w:t>
            </w:r>
          </w:p>
        </w:tc>
        <w:tc>
          <w:tcPr>
            <w:tcW w:w="1842" w:type="dxa"/>
            <w:shd w:val="clear" w:color="auto" w:fill="auto"/>
          </w:tcPr>
          <w:p w14:paraId="4C54D281" w14:textId="77777777" w:rsidR="007D59EF" w:rsidRPr="001C7577" w:rsidRDefault="007D59EF" w:rsidP="007D59EF">
            <w:pPr>
              <w:spacing w:line="240" w:lineRule="auto"/>
              <w:jc w:val="center"/>
              <w:rPr>
                <w:b/>
                <w:lang w:val="lt-LT"/>
              </w:rPr>
            </w:pPr>
            <w:r w:rsidRPr="001C7577">
              <w:rPr>
                <w:b/>
                <w:lang w:val="lt-LT"/>
              </w:rPr>
              <w:t>Dažnis</w:t>
            </w:r>
          </w:p>
        </w:tc>
        <w:tc>
          <w:tcPr>
            <w:tcW w:w="5777" w:type="dxa"/>
            <w:shd w:val="clear" w:color="auto" w:fill="auto"/>
          </w:tcPr>
          <w:p w14:paraId="6D1C7002" w14:textId="77777777" w:rsidR="007D59EF" w:rsidRPr="001C7577" w:rsidRDefault="007D59EF" w:rsidP="007D59EF">
            <w:pPr>
              <w:spacing w:line="240" w:lineRule="auto"/>
              <w:jc w:val="center"/>
              <w:rPr>
                <w:b/>
                <w:lang w:val="lt-LT"/>
              </w:rPr>
            </w:pPr>
            <w:r w:rsidRPr="001C7577">
              <w:rPr>
                <w:b/>
                <w:lang w:val="lt-LT"/>
              </w:rPr>
              <w:t>Nepageidaujamas poveikis</w:t>
            </w:r>
          </w:p>
        </w:tc>
      </w:tr>
      <w:tr w:rsidR="007D59EF" w:rsidRPr="00705EEC" w14:paraId="24D5242A" w14:textId="77777777" w:rsidTr="007D59EF">
        <w:trPr>
          <w:trHeight w:val="186"/>
        </w:trPr>
        <w:tc>
          <w:tcPr>
            <w:tcW w:w="2235" w:type="dxa"/>
            <w:vMerge w:val="restart"/>
            <w:shd w:val="clear" w:color="auto" w:fill="auto"/>
          </w:tcPr>
          <w:p w14:paraId="2268072D" w14:textId="77777777" w:rsidR="007D59EF" w:rsidRPr="001C7577" w:rsidRDefault="007D59EF" w:rsidP="007D59EF">
            <w:pPr>
              <w:spacing w:line="240" w:lineRule="auto"/>
              <w:rPr>
                <w:lang w:val="lt-LT"/>
              </w:rPr>
            </w:pPr>
            <w:r w:rsidRPr="001C7577">
              <w:rPr>
                <w:lang w:val="lt-LT"/>
              </w:rPr>
              <w:t xml:space="preserve">Infekcijos ir infestacijos </w:t>
            </w:r>
          </w:p>
          <w:p w14:paraId="0BE808D1" w14:textId="77777777" w:rsidR="007D59EF" w:rsidRPr="001C7577" w:rsidRDefault="007D59EF" w:rsidP="007D59EF">
            <w:pPr>
              <w:spacing w:line="240" w:lineRule="auto"/>
              <w:rPr>
                <w:lang w:val="lt-LT"/>
              </w:rPr>
            </w:pPr>
          </w:p>
        </w:tc>
        <w:tc>
          <w:tcPr>
            <w:tcW w:w="1842" w:type="dxa"/>
            <w:shd w:val="clear" w:color="auto" w:fill="auto"/>
          </w:tcPr>
          <w:p w14:paraId="5FA6E7A1" w14:textId="77777777" w:rsidR="007D59EF" w:rsidRPr="001C7577" w:rsidRDefault="007D59EF" w:rsidP="007D59EF">
            <w:pPr>
              <w:spacing w:line="240" w:lineRule="auto"/>
              <w:rPr>
                <w:lang w:val="lt-LT"/>
              </w:rPr>
            </w:pPr>
            <w:r w:rsidRPr="001C7577">
              <w:rPr>
                <w:lang w:val="lt-LT"/>
              </w:rPr>
              <w:t>Labai dažni</w:t>
            </w:r>
          </w:p>
        </w:tc>
        <w:tc>
          <w:tcPr>
            <w:tcW w:w="5777" w:type="dxa"/>
            <w:shd w:val="clear" w:color="auto" w:fill="auto"/>
          </w:tcPr>
          <w:p w14:paraId="2111040D" w14:textId="77777777" w:rsidR="007D59EF" w:rsidRPr="001C7577" w:rsidRDefault="007D59EF" w:rsidP="007D59EF">
            <w:pPr>
              <w:spacing w:line="240" w:lineRule="auto"/>
              <w:rPr>
                <w:lang w:val="lt-LT"/>
              </w:rPr>
            </w:pPr>
            <w:r w:rsidRPr="001C7577">
              <w:rPr>
                <w:lang w:val="lt-LT"/>
              </w:rPr>
              <w:t>Viršutinių kvėpavimo takų infekcijos</w:t>
            </w:r>
          </w:p>
        </w:tc>
      </w:tr>
      <w:tr w:rsidR="007D59EF" w:rsidRPr="0088318A" w14:paraId="09491B7D" w14:textId="77777777" w:rsidTr="007D59EF">
        <w:trPr>
          <w:trHeight w:val="504"/>
        </w:trPr>
        <w:tc>
          <w:tcPr>
            <w:tcW w:w="2235" w:type="dxa"/>
            <w:vMerge/>
            <w:shd w:val="clear" w:color="auto" w:fill="auto"/>
          </w:tcPr>
          <w:p w14:paraId="1FD93700" w14:textId="77777777" w:rsidR="007D59EF" w:rsidRPr="001C7577" w:rsidRDefault="007D59EF" w:rsidP="007D59EF">
            <w:pPr>
              <w:spacing w:line="240" w:lineRule="auto"/>
              <w:rPr>
                <w:lang w:val="lt-LT"/>
              </w:rPr>
            </w:pPr>
          </w:p>
        </w:tc>
        <w:tc>
          <w:tcPr>
            <w:tcW w:w="1842" w:type="dxa"/>
            <w:shd w:val="clear" w:color="auto" w:fill="auto"/>
          </w:tcPr>
          <w:p w14:paraId="6B1FC95F"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3D7D4191" w14:textId="77777777" w:rsidR="007D59EF" w:rsidRPr="001C7577" w:rsidRDefault="007D59EF" w:rsidP="007D59EF">
            <w:pPr>
              <w:spacing w:line="240" w:lineRule="auto"/>
              <w:rPr>
                <w:lang w:val="lt-LT"/>
              </w:rPr>
            </w:pPr>
            <w:r w:rsidRPr="001C7577">
              <w:rPr>
                <w:lang w:val="lt-LT"/>
              </w:rPr>
              <w:t>Apatinių kvėpavimo takų infekcijos, odos infekcijos, įskaitant celiulitą, folikulitą ir furunkulus</w:t>
            </w:r>
          </w:p>
        </w:tc>
      </w:tr>
      <w:tr w:rsidR="007D59EF" w:rsidRPr="00705EEC" w14:paraId="5DCA80FA" w14:textId="77777777" w:rsidTr="007D59EF">
        <w:tc>
          <w:tcPr>
            <w:tcW w:w="2235" w:type="dxa"/>
            <w:shd w:val="clear" w:color="auto" w:fill="auto"/>
          </w:tcPr>
          <w:p w14:paraId="54B04CA5" w14:textId="77777777" w:rsidR="007D59EF" w:rsidRPr="001C7577" w:rsidRDefault="007D59EF" w:rsidP="007D59EF">
            <w:pPr>
              <w:spacing w:line="240" w:lineRule="auto"/>
              <w:rPr>
                <w:lang w:val="lt-LT"/>
              </w:rPr>
            </w:pPr>
            <w:r w:rsidRPr="001C7577">
              <w:rPr>
                <w:lang w:val="lt-LT"/>
              </w:rPr>
              <w:t>Kraujo ir limfinės sistemos sutrikimai</w:t>
            </w:r>
          </w:p>
        </w:tc>
        <w:tc>
          <w:tcPr>
            <w:tcW w:w="1842" w:type="dxa"/>
            <w:shd w:val="clear" w:color="auto" w:fill="auto"/>
          </w:tcPr>
          <w:p w14:paraId="0A7945AA"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69723790" w14:textId="77777777" w:rsidR="007D59EF" w:rsidRPr="001C7577" w:rsidRDefault="007D59EF" w:rsidP="007D59EF">
            <w:pPr>
              <w:spacing w:line="240" w:lineRule="auto"/>
              <w:rPr>
                <w:lang w:val="lt-LT"/>
              </w:rPr>
            </w:pPr>
            <w:r w:rsidRPr="001C7577">
              <w:rPr>
                <w:lang w:val="lt-LT"/>
              </w:rPr>
              <w:t>Anemija, leukopenija, neutropenija, limfadenopatija</w:t>
            </w:r>
          </w:p>
        </w:tc>
      </w:tr>
      <w:tr w:rsidR="007D59EF" w:rsidRPr="00705EEC" w14:paraId="6310AE2B" w14:textId="77777777" w:rsidTr="007D59EF">
        <w:trPr>
          <w:trHeight w:val="462"/>
        </w:trPr>
        <w:tc>
          <w:tcPr>
            <w:tcW w:w="2235" w:type="dxa"/>
            <w:vMerge w:val="restart"/>
            <w:shd w:val="clear" w:color="auto" w:fill="auto"/>
          </w:tcPr>
          <w:p w14:paraId="3CC2E5B7" w14:textId="77777777" w:rsidR="007D59EF" w:rsidRPr="001C7577" w:rsidRDefault="007D59EF" w:rsidP="007D59EF">
            <w:pPr>
              <w:spacing w:line="240" w:lineRule="auto"/>
              <w:rPr>
                <w:lang w:val="lt-LT"/>
              </w:rPr>
            </w:pPr>
            <w:r w:rsidRPr="001C7577">
              <w:rPr>
                <w:lang w:val="lt-LT"/>
              </w:rPr>
              <w:t xml:space="preserve">Imuninės sistemos sutrikimai </w:t>
            </w:r>
          </w:p>
          <w:p w14:paraId="1BF370BA" w14:textId="77777777" w:rsidR="007D59EF" w:rsidRPr="001C7577" w:rsidRDefault="007D59EF" w:rsidP="007D59EF">
            <w:pPr>
              <w:spacing w:line="240" w:lineRule="auto"/>
              <w:rPr>
                <w:lang w:val="lt-LT"/>
              </w:rPr>
            </w:pPr>
          </w:p>
        </w:tc>
        <w:tc>
          <w:tcPr>
            <w:tcW w:w="1842" w:type="dxa"/>
            <w:shd w:val="clear" w:color="auto" w:fill="auto"/>
          </w:tcPr>
          <w:p w14:paraId="653861D7" w14:textId="77777777" w:rsidR="007D59EF" w:rsidRPr="001C7577" w:rsidRDefault="007D59EF" w:rsidP="007D59EF">
            <w:pPr>
              <w:spacing w:line="240" w:lineRule="auto"/>
              <w:rPr>
                <w:lang w:val="lt-LT"/>
              </w:rPr>
            </w:pPr>
            <w:r w:rsidRPr="001C7577">
              <w:rPr>
                <w:lang w:val="lt-LT"/>
              </w:rPr>
              <w:t>Dažni</w:t>
            </w:r>
          </w:p>
          <w:p w14:paraId="3F0E5FE1" w14:textId="77777777" w:rsidR="007D59EF" w:rsidRPr="001C7577" w:rsidRDefault="007D59EF" w:rsidP="007D59EF">
            <w:pPr>
              <w:spacing w:line="240" w:lineRule="auto"/>
              <w:rPr>
                <w:lang w:val="lt-LT"/>
              </w:rPr>
            </w:pPr>
          </w:p>
        </w:tc>
        <w:tc>
          <w:tcPr>
            <w:tcW w:w="5777" w:type="dxa"/>
            <w:shd w:val="clear" w:color="auto" w:fill="auto"/>
          </w:tcPr>
          <w:p w14:paraId="25810E5C" w14:textId="77777777" w:rsidR="007D59EF" w:rsidRPr="001C7577" w:rsidRDefault="007D59EF" w:rsidP="007D59EF">
            <w:pPr>
              <w:spacing w:line="240" w:lineRule="auto"/>
              <w:rPr>
                <w:lang w:val="lt-LT"/>
              </w:rPr>
            </w:pPr>
            <w:r w:rsidRPr="001C7577">
              <w:rPr>
                <w:lang w:val="lt-LT"/>
              </w:rPr>
              <w:t>Hiperjautrumas, įskaitant dilgėlinę ir angioedemą</w:t>
            </w:r>
          </w:p>
        </w:tc>
      </w:tr>
      <w:tr w:rsidR="007D59EF" w:rsidRPr="00705EEC" w14:paraId="786900C8" w14:textId="77777777" w:rsidTr="007D59EF">
        <w:trPr>
          <w:trHeight w:val="290"/>
        </w:trPr>
        <w:tc>
          <w:tcPr>
            <w:tcW w:w="2235" w:type="dxa"/>
            <w:vMerge/>
            <w:shd w:val="clear" w:color="auto" w:fill="auto"/>
          </w:tcPr>
          <w:p w14:paraId="11F6A428" w14:textId="77777777" w:rsidR="007D59EF" w:rsidRPr="001C7577" w:rsidRDefault="007D59EF" w:rsidP="007D59EF">
            <w:pPr>
              <w:spacing w:line="240" w:lineRule="auto"/>
              <w:rPr>
                <w:lang w:val="lt-LT"/>
              </w:rPr>
            </w:pPr>
          </w:p>
        </w:tc>
        <w:tc>
          <w:tcPr>
            <w:tcW w:w="1842" w:type="dxa"/>
            <w:shd w:val="clear" w:color="auto" w:fill="auto"/>
          </w:tcPr>
          <w:p w14:paraId="3E0441A9"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4457D3E6" w14:textId="77777777" w:rsidR="007D59EF" w:rsidRPr="001C7577" w:rsidRDefault="007D59EF" w:rsidP="007D59EF">
            <w:pPr>
              <w:spacing w:line="240" w:lineRule="auto"/>
              <w:rPr>
                <w:lang w:val="lt-LT"/>
              </w:rPr>
            </w:pPr>
            <w:r w:rsidRPr="001C7577">
              <w:rPr>
                <w:lang w:val="lt-LT"/>
              </w:rPr>
              <w:t>Imuninės sistemos reaktyvacijos sindromas</w:t>
            </w:r>
          </w:p>
        </w:tc>
      </w:tr>
      <w:tr w:rsidR="007D59EF" w:rsidRPr="00705EEC" w14:paraId="4778D56E" w14:textId="77777777" w:rsidTr="007D59EF">
        <w:tc>
          <w:tcPr>
            <w:tcW w:w="2235" w:type="dxa"/>
            <w:shd w:val="clear" w:color="auto" w:fill="auto"/>
          </w:tcPr>
          <w:p w14:paraId="6F4FFDE0" w14:textId="77777777" w:rsidR="007D59EF" w:rsidRPr="001C7577" w:rsidRDefault="007D59EF" w:rsidP="007D59EF">
            <w:pPr>
              <w:spacing w:line="240" w:lineRule="auto"/>
              <w:rPr>
                <w:lang w:val="lt-LT"/>
              </w:rPr>
            </w:pPr>
            <w:r w:rsidRPr="001C7577">
              <w:rPr>
                <w:lang w:val="lt-LT"/>
              </w:rPr>
              <w:t xml:space="preserve">Endokrininiai sutrikimai </w:t>
            </w:r>
          </w:p>
        </w:tc>
        <w:tc>
          <w:tcPr>
            <w:tcW w:w="1842" w:type="dxa"/>
            <w:shd w:val="clear" w:color="auto" w:fill="auto"/>
          </w:tcPr>
          <w:p w14:paraId="6ACB78ED" w14:textId="77777777" w:rsidR="007D59EF" w:rsidRPr="001C7577" w:rsidRDefault="007D59EF" w:rsidP="007D59EF">
            <w:pPr>
              <w:spacing w:line="240" w:lineRule="auto"/>
              <w:rPr>
                <w:lang w:val="lt-LT"/>
              </w:rPr>
            </w:pPr>
            <w:r w:rsidRPr="001C7577">
              <w:rPr>
                <w:lang w:val="lt-LT"/>
              </w:rPr>
              <w:t xml:space="preserve">Nedažni </w:t>
            </w:r>
          </w:p>
        </w:tc>
        <w:tc>
          <w:tcPr>
            <w:tcW w:w="5777" w:type="dxa"/>
            <w:shd w:val="clear" w:color="auto" w:fill="auto"/>
          </w:tcPr>
          <w:p w14:paraId="1AEB145C" w14:textId="77777777" w:rsidR="007D59EF" w:rsidRPr="001C7577" w:rsidRDefault="007D59EF" w:rsidP="007D59EF">
            <w:pPr>
              <w:spacing w:line="240" w:lineRule="auto"/>
              <w:rPr>
                <w:lang w:val="lt-LT"/>
              </w:rPr>
            </w:pPr>
            <w:r w:rsidRPr="001C7577">
              <w:rPr>
                <w:lang w:val="lt-LT"/>
              </w:rPr>
              <w:t>Hipogonadizmas</w:t>
            </w:r>
          </w:p>
        </w:tc>
      </w:tr>
      <w:tr w:rsidR="007D59EF" w:rsidRPr="0088318A" w14:paraId="1E46572F" w14:textId="77777777" w:rsidTr="007D59EF">
        <w:trPr>
          <w:trHeight w:val="805"/>
        </w:trPr>
        <w:tc>
          <w:tcPr>
            <w:tcW w:w="2235" w:type="dxa"/>
            <w:vMerge w:val="restart"/>
            <w:shd w:val="clear" w:color="auto" w:fill="auto"/>
          </w:tcPr>
          <w:p w14:paraId="01A0A5CC" w14:textId="77777777" w:rsidR="007D59EF" w:rsidRPr="001C7577" w:rsidRDefault="007D59EF" w:rsidP="007D59EF">
            <w:pPr>
              <w:spacing w:line="240" w:lineRule="auto"/>
              <w:rPr>
                <w:lang w:val="lt-LT"/>
              </w:rPr>
            </w:pPr>
            <w:r w:rsidRPr="001C7577">
              <w:rPr>
                <w:lang w:val="lt-LT"/>
              </w:rPr>
              <w:t>Metabolizmo ir mitybos</w:t>
            </w:r>
          </w:p>
          <w:p w14:paraId="0B052581" w14:textId="77777777" w:rsidR="007D59EF" w:rsidRPr="001C7577" w:rsidRDefault="007D59EF" w:rsidP="007D59EF">
            <w:pPr>
              <w:spacing w:line="240" w:lineRule="auto"/>
              <w:rPr>
                <w:lang w:val="lt-LT"/>
              </w:rPr>
            </w:pPr>
            <w:r w:rsidRPr="001C7577">
              <w:rPr>
                <w:lang w:val="lt-LT"/>
              </w:rPr>
              <w:t>sutrikimai</w:t>
            </w:r>
          </w:p>
        </w:tc>
        <w:tc>
          <w:tcPr>
            <w:tcW w:w="1842" w:type="dxa"/>
            <w:shd w:val="clear" w:color="auto" w:fill="auto"/>
          </w:tcPr>
          <w:p w14:paraId="5F7C87A6" w14:textId="77777777" w:rsidR="007D59EF" w:rsidRPr="001C7577" w:rsidRDefault="007D59EF" w:rsidP="007D59EF">
            <w:pPr>
              <w:spacing w:line="240" w:lineRule="auto"/>
              <w:rPr>
                <w:lang w:val="lt-LT"/>
              </w:rPr>
            </w:pPr>
            <w:r w:rsidRPr="001C7577">
              <w:rPr>
                <w:lang w:val="lt-LT"/>
              </w:rPr>
              <w:t>Dažni</w:t>
            </w:r>
          </w:p>
          <w:p w14:paraId="476CE314" w14:textId="77777777" w:rsidR="007D59EF" w:rsidRPr="001C7577" w:rsidRDefault="007D59EF" w:rsidP="007D59EF">
            <w:pPr>
              <w:spacing w:line="240" w:lineRule="auto"/>
              <w:rPr>
                <w:lang w:val="lt-LT"/>
              </w:rPr>
            </w:pPr>
          </w:p>
        </w:tc>
        <w:tc>
          <w:tcPr>
            <w:tcW w:w="5777" w:type="dxa"/>
            <w:shd w:val="clear" w:color="auto" w:fill="auto"/>
          </w:tcPr>
          <w:p w14:paraId="37504A7C" w14:textId="77777777" w:rsidR="007D59EF" w:rsidRPr="001C7577" w:rsidRDefault="007D59EF" w:rsidP="007D59EF">
            <w:pPr>
              <w:spacing w:line="240" w:lineRule="auto"/>
              <w:rPr>
                <w:lang w:val="lt-LT"/>
              </w:rPr>
            </w:pPr>
            <w:r w:rsidRPr="001C7577">
              <w:rPr>
                <w:lang w:val="lt-LT"/>
              </w:rPr>
              <w:t>Gliukozės kraujyje kiekio sutrikimai, įskaitant cukrinį diabetą, hipertrigliceridemija, hipercholesterolemija, svorio kritimas, apetito sumažėjimas</w:t>
            </w:r>
          </w:p>
        </w:tc>
      </w:tr>
      <w:tr w:rsidR="007D59EF" w:rsidRPr="00705EEC" w14:paraId="24EE5805" w14:textId="77777777" w:rsidTr="007D59EF">
        <w:trPr>
          <w:trHeight w:val="210"/>
        </w:trPr>
        <w:tc>
          <w:tcPr>
            <w:tcW w:w="2235" w:type="dxa"/>
            <w:vMerge/>
            <w:shd w:val="clear" w:color="auto" w:fill="auto"/>
          </w:tcPr>
          <w:p w14:paraId="0B8B5B47" w14:textId="77777777" w:rsidR="007D59EF" w:rsidRPr="001C7577" w:rsidRDefault="007D59EF" w:rsidP="007D59EF">
            <w:pPr>
              <w:spacing w:line="240" w:lineRule="auto"/>
              <w:rPr>
                <w:lang w:val="lt-LT"/>
              </w:rPr>
            </w:pPr>
          </w:p>
        </w:tc>
        <w:tc>
          <w:tcPr>
            <w:tcW w:w="1842" w:type="dxa"/>
            <w:shd w:val="clear" w:color="auto" w:fill="auto"/>
          </w:tcPr>
          <w:p w14:paraId="7C3964EB"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40E17911" w14:textId="77777777" w:rsidR="007D59EF" w:rsidRPr="001C7577" w:rsidRDefault="007D59EF" w:rsidP="007D59EF">
            <w:pPr>
              <w:spacing w:line="240" w:lineRule="auto"/>
              <w:rPr>
                <w:lang w:val="lt-LT"/>
              </w:rPr>
            </w:pPr>
            <w:r w:rsidRPr="001C7577">
              <w:rPr>
                <w:lang w:val="lt-LT"/>
              </w:rPr>
              <w:t>Svorio augimas, apetito padidėjimas</w:t>
            </w:r>
          </w:p>
        </w:tc>
      </w:tr>
      <w:tr w:rsidR="007D59EF" w:rsidRPr="00705EEC" w14:paraId="66E99234" w14:textId="77777777" w:rsidTr="007D59EF">
        <w:trPr>
          <w:trHeight w:val="154"/>
        </w:trPr>
        <w:tc>
          <w:tcPr>
            <w:tcW w:w="2235" w:type="dxa"/>
            <w:vMerge w:val="restart"/>
            <w:shd w:val="clear" w:color="auto" w:fill="auto"/>
          </w:tcPr>
          <w:p w14:paraId="66B37F4C" w14:textId="77777777" w:rsidR="007D59EF" w:rsidRPr="001C7577" w:rsidRDefault="007D59EF" w:rsidP="007D59EF">
            <w:pPr>
              <w:spacing w:line="240" w:lineRule="auto"/>
              <w:rPr>
                <w:lang w:val="lt-LT"/>
              </w:rPr>
            </w:pPr>
            <w:r w:rsidRPr="001C7577">
              <w:rPr>
                <w:lang w:val="lt-LT"/>
              </w:rPr>
              <w:t xml:space="preserve">Psichikos sutrikimai </w:t>
            </w:r>
          </w:p>
        </w:tc>
        <w:tc>
          <w:tcPr>
            <w:tcW w:w="1842" w:type="dxa"/>
            <w:shd w:val="clear" w:color="auto" w:fill="auto"/>
          </w:tcPr>
          <w:p w14:paraId="0F276B64"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764F9A91" w14:textId="77777777" w:rsidR="007D59EF" w:rsidRPr="001C7577" w:rsidRDefault="007D59EF" w:rsidP="007D59EF">
            <w:pPr>
              <w:spacing w:line="240" w:lineRule="auto"/>
              <w:rPr>
                <w:lang w:val="lt-LT"/>
              </w:rPr>
            </w:pPr>
            <w:r w:rsidRPr="001C7577">
              <w:rPr>
                <w:lang w:val="lt-LT"/>
              </w:rPr>
              <w:t>Nerimas</w:t>
            </w:r>
          </w:p>
        </w:tc>
      </w:tr>
      <w:tr w:rsidR="007D59EF" w:rsidRPr="00705EEC" w14:paraId="19E9CA3B" w14:textId="77777777" w:rsidTr="007D59EF">
        <w:trPr>
          <w:trHeight w:val="171"/>
        </w:trPr>
        <w:tc>
          <w:tcPr>
            <w:tcW w:w="2235" w:type="dxa"/>
            <w:vMerge/>
            <w:shd w:val="clear" w:color="auto" w:fill="auto"/>
          </w:tcPr>
          <w:p w14:paraId="299AB387" w14:textId="77777777" w:rsidR="007D59EF" w:rsidRPr="001C7577" w:rsidRDefault="007D59EF" w:rsidP="007D59EF">
            <w:pPr>
              <w:spacing w:line="240" w:lineRule="auto"/>
              <w:rPr>
                <w:lang w:val="lt-LT"/>
              </w:rPr>
            </w:pPr>
          </w:p>
        </w:tc>
        <w:tc>
          <w:tcPr>
            <w:tcW w:w="1842" w:type="dxa"/>
            <w:shd w:val="clear" w:color="auto" w:fill="auto"/>
          </w:tcPr>
          <w:p w14:paraId="2EE60554"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496745B3" w14:textId="77777777" w:rsidR="007D59EF" w:rsidRPr="001C7577" w:rsidRDefault="007D59EF" w:rsidP="007D59EF">
            <w:pPr>
              <w:spacing w:line="240" w:lineRule="auto"/>
              <w:rPr>
                <w:lang w:val="lt-LT"/>
              </w:rPr>
            </w:pPr>
            <w:r w:rsidRPr="001C7577">
              <w:rPr>
                <w:lang w:val="lt-LT"/>
              </w:rPr>
              <w:t>Nenormalūs sapnai, sumažėjęs lytinis potraukis</w:t>
            </w:r>
          </w:p>
        </w:tc>
      </w:tr>
      <w:tr w:rsidR="007D59EF" w:rsidRPr="00705EEC" w14:paraId="13F772D4" w14:textId="77777777" w:rsidTr="007D59EF">
        <w:trPr>
          <w:trHeight w:val="269"/>
        </w:trPr>
        <w:tc>
          <w:tcPr>
            <w:tcW w:w="2235" w:type="dxa"/>
            <w:vMerge w:val="restart"/>
            <w:shd w:val="clear" w:color="auto" w:fill="auto"/>
          </w:tcPr>
          <w:p w14:paraId="390009FB" w14:textId="77777777" w:rsidR="007D59EF" w:rsidRPr="001C7577" w:rsidRDefault="007D59EF" w:rsidP="007D59EF">
            <w:pPr>
              <w:spacing w:line="240" w:lineRule="auto"/>
              <w:rPr>
                <w:lang w:val="lt-LT"/>
              </w:rPr>
            </w:pPr>
            <w:r w:rsidRPr="001C7577">
              <w:rPr>
                <w:lang w:val="lt-LT"/>
              </w:rPr>
              <w:t xml:space="preserve">Nervų sistemos sutrikimai </w:t>
            </w:r>
          </w:p>
        </w:tc>
        <w:tc>
          <w:tcPr>
            <w:tcW w:w="1842" w:type="dxa"/>
            <w:shd w:val="clear" w:color="auto" w:fill="auto"/>
          </w:tcPr>
          <w:p w14:paraId="518BC623"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7A3D1264" w14:textId="77777777" w:rsidR="007D59EF" w:rsidRPr="001C7577" w:rsidRDefault="007D59EF" w:rsidP="007D59EF">
            <w:pPr>
              <w:spacing w:line="240" w:lineRule="auto"/>
              <w:rPr>
                <w:lang w:val="lt-LT"/>
              </w:rPr>
            </w:pPr>
            <w:r w:rsidRPr="001C7577">
              <w:rPr>
                <w:lang w:val="lt-LT"/>
              </w:rPr>
              <w:t>Galvos skausmas (įskaitant migreną), neuropatija (įskaitant periferinę neuropatiją), svaigulys, nemiga</w:t>
            </w:r>
          </w:p>
        </w:tc>
      </w:tr>
      <w:tr w:rsidR="007D59EF" w:rsidRPr="00705EEC" w14:paraId="0A4C99C3" w14:textId="77777777" w:rsidTr="007D59EF">
        <w:trPr>
          <w:trHeight w:val="523"/>
        </w:trPr>
        <w:tc>
          <w:tcPr>
            <w:tcW w:w="2235" w:type="dxa"/>
            <w:vMerge/>
            <w:shd w:val="clear" w:color="auto" w:fill="auto"/>
          </w:tcPr>
          <w:p w14:paraId="16FCE318" w14:textId="77777777" w:rsidR="007D59EF" w:rsidRPr="001C7577" w:rsidRDefault="007D59EF" w:rsidP="007D59EF">
            <w:pPr>
              <w:spacing w:line="240" w:lineRule="auto"/>
              <w:rPr>
                <w:lang w:val="lt-LT"/>
              </w:rPr>
            </w:pPr>
          </w:p>
        </w:tc>
        <w:tc>
          <w:tcPr>
            <w:tcW w:w="1842" w:type="dxa"/>
            <w:shd w:val="clear" w:color="auto" w:fill="auto"/>
          </w:tcPr>
          <w:p w14:paraId="7EA0CC68"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79CEB6ED" w14:textId="77777777" w:rsidR="007D59EF" w:rsidRPr="001C7577" w:rsidRDefault="007D59EF" w:rsidP="007D59EF">
            <w:pPr>
              <w:spacing w:line="240" w:lineRule="auto"/>
              <w:rPr>
                <w:lang w:val="lt-LT"/>
              </w:rPr>
            </w:pPr>
            <w:r w:rsidRPr="001C7577">
              <w:rPr>
                <w:lang w:val="lt-LT"/>
              </w:rPr>
              <w:t>Cerebrovaskulinis priepuolis, traukuliai, skonio sutrikimas, skonio jutimo nebuvimas, tremoras</w:t>
            </w:r>
          </w:p>
        </w:tc>
      </w:tr>
      <w:tr w:rsidR="007D59EF" w:rsidRPr="00705EEC" w14:paraId="15FE32C7" w14:textId="77777777" w:rsidTr="007D59EF">
        <w:tc>
          <w:tcPr>
            <w:tcW w:w="2235" w:type="dxa"/>
            <w:shd w:val="clear" w:color="auto" w:fill="auto"/>
          </w:tcPr>
          <w:p w14:paraId="37B38477" w14:textId="77777777" w:rsidR="007D59EF" w:rsidRPr="001C7577" w:rsidRDefault="007D59EF" w:rsidP="007D59EF">
            <w:pPr>
              <w:spacing w:line="240" w:lineRule="auto"/>
              <w:rPr>
                <w:lang w:val="lt-LT"/>
              </w:rPr>
            </w:pPr>
            <w:r w:rsidRPr="001C7577">
              <w:rPr>
                <w:lang w:val="lt-LT"/>
              </w:rPr>
              <w:t xml:space="preserve">Akių sutrikimai </w:t>
            </w:r>
          </w:p>
        </w:tc>
        <w:tc>
          <w:tcPr>
            <w:tcW w:w="1842" w:type="dxa"/>
            <w:shd w:val="clear" w:color="auto" w:fill="auto"/>
          </w:tcPr>
          <w:p w14:paraId="7CED8CAA" w14:textId="77777777" w:rsidR="007D59EF" w:rsidRPr="001C7577" w:rsidRDefault="007D59EF" w:rsidP="007D59EF">
            <w:pPr>
              <w:spacing w:line="240" w:lineRule="auto"/>
              <w:rPr>
                <w:lang w:val="lt-LT"/>
              </w:rPr>
            </w:pPr>
            <w:r w:rsidRPr="001C7577">
              <w:rPr>
                <w:lang w:val="lt-LT"/>
              </w:rPr>
              <w:t xml:space="preserve">Nedažni </w:t>
            </w:r>
          </w:p>
        </w:tc>
        <w:tc>
          <w:tcPr>
            <w:tcW w:w="5777" w:type="dxa"/>
            <w:shd w:val="clear" w:color="auto" w:fill="auto"/>
          </w:tcPr>
          <w:p w14:paraId="403A41E1" w14:textId="77777777" w:rsidR="007D59EF" w:rsidRPr="001C7577" w:rsidRDefault="007D59EF" w:rsidP="007D59EF">
            <w:pPr>
              <w:spacing w:line="240" w:lineRule="auto"/>
              <w:rPr>
                <w:lang w:val="lt-LT"/>
              </w:rPr>
            </w:pPr>
            <w:r w:rsidRPr="001C7577">
              <w:rPr>
                <w:lang w:val="lt-LT"/>
              </w:rPr>
              <w:t>Regėjimo pažeidimas</w:t>
            </w:r>
          </w:p>
        </w:tc>
      </w:tr>
      <w:tr w:rsidR="007D59EF" w:rsidRPr="00705EEC" w14:paraId="4944FE31" w14:textId="77777777" w:rsidTr="007D59EF">
        <w:tc>
          <w:tcPr>
            <w:tcW w:w="2235" w:type="dxa"/>
            <w:shd w:val="clear" w:color="auto" w:fill="auto"/>
          </w:tcPr>
          <w:p w14:paraId="53EEAE32" w14:textId="77777777" w:rsidR="007D59EF" w:rsidRPr="001C7577" w:rsidRDefault="007D59EF" w:rsidP="007D59EF">
            <w:pPr>
              <w:spacing w:line="240" w:lineRule="auto"/>
              <w:rPr>
                <w:lang w:val="lt-LT"/>
              </w:rPr>
            </w:pPr>
            <w:r w:rsidRPr="001C7577">
              <w:rPr>
                <w:lang w:val="lt-LT"/>
              </w:rPr>
              <w:t xml:space="preserve">Ausų ir labirintų sutrikimai </w:t>
            </w:r>
          </w:p>
        </w:tc>
        <w:tc>
          <w:tcPr>
            <w:tcW w:w="1842" w:type="dxa"/>
            <w:shd w:val="clear" w:color="auto" w:fill="auto"/>
          </w:tcPr>
          <w:p w14:paraId="069D8CF5" w14:textId="77777777" w:rsidR="007D59EF" w:rsidRPr="001C7577" w:rsidRDefault="007D59EF" w:rsidP="007D59EF">
            <w:pPr>
              <w:spacing w:line="240" w:lineRule="auto"/>
              <w:rPr>
                <w:lang w:val="lt-LT"/>
              </w:rPr>
            </w:pPr>
            <w:r w:rsidRPr="001C7577">
              <w:rPr>
                <w:lang w:val="lt-LT"/>
              </w:rPr>
              <w:t xml:space="preserve">Nedažni </w:t>
            </w:r>
          </w:p>
        </w:tc>
        <w:tc>
          <w:tcPr>
            <w:tcW w:w="5777" w:type="dxa"/>
            <w:shd w:val="clear" w:color="auto" w:fill="auto"/>
          </w:tcPr>
          <w:p w14:paraId="65354FD8" w14:textId="77777777" w:rsidR="007D59EF" w:rsidRPr="001C7577" w:rsidRDefault="007D59EF" w:rsidP="007D59EF">
            <w:pPr>
              <w:spacing w:line="240" w:lineRule="auto"/>
              <w:rPr>
                <w:lang w:val="lt-LT"/>
              </w:rPr>
            </w:pPr>
            <w:r w:rsidRPr="001C7577">
              <w:rPr>
                <w:lang w:val="lt-LT"/>
              </w:rPr>
              <w:t>Ūžesys (</w:t>
            </w:r>
            <w:r w:rsidRPr="001C7577">
              <w:rPr>
                <w:i/>
                <w:lang w:val="lt-LT"/>
              </w:rPr>
              <w:t>tinnitus</w:t>
            </w:r>
            <w:r w:rsidRPr="001C7577">
              <w:rPr>
                <w:lang w:val="lt-LT"/>
              </w:rPr>
              <w:t>), svaigimas (</w:t>
            </w:r>
            <w:r w:rsidRPr="001C7577">
              <w:rPr>
                <w:i/>
                <w:lang w:val="lt-LT"/>
              </w:rPr>
              <w:t>vertigo</w:t>
            </w:r>
            <w:r w:rsidRPr="001C7577">
              <w:rPr>
                <w:lang w:val="lt-LT"/>
              </w:rPr>
              <w:t>)</w:t>
            </w:r>
          </w:p>
        </w:tc>
      </w:tr>
      <w:tr w:rsidR="007D59EF" w:rsidRPr="00705EEC" w14:paraId="3282B597" w14:textId="77777777" w:rsidTr="007D59EF">
        <w:tc>
          <w:tcPr>
            <w:tcW w:w="2235" w:type="dxa"/>
            <w:shd w:val="clear" w:color="auto" w:fill="auto"/>
          </w:tcPr>
          <w:p w14:paraId="76D866C7" w14:textId="77777777" w:rsidR="007D59EF" w:rsidRPr="001C7577" w:rsidRDefault="007D59EF" w:rsidP="007D59EF">
            <w:pPr>
              <w:spacing w:line="240" w:lineRule="auto"/>
              <w:rPr>
                <w:lang w:val="lt-LT"/>
              </w:rPr>
            </w:pPr>
            <w:r w:rsidRPr="001C7577">
              <w:rPr>
                <w:lang w:val="lt-LT"/>
              </w:rPr>
              <w:t xml:space="preserve">Širdies sutrikimai </w:t>
            </w:r>
          </w:p>
          <w:p w14:paraId="66EBDD59" w14:textId="77777777" w:rsidR="007D59EF" w:rsidRPr="001C7577" w:rsidRDefault="007D59EF" w:rsidP="007D59EF">
            <w:pPr>
              <w:spacing w:line="240" w:lineRule="auto"/>
              <w:rPr>
                <w:lang w:val="lt-LT"/>
              </w:rPr>
            </w:pPr>
          </w:p>
        </w:tc>
        <w:tc>
          <w:tcPr>
            <w:tcW w:w="1842" w:type="dxa"/>
            <w:shd w:val="clear" w:color="auto" w:fill="auto"/>
          </w:tcPr>
          <w:p w14:paraId="01977F52" w14:textId="77777777" w:rsidR="007D59EF" w:rsidRPr="001C7577" w:rsidRDefault="007D59EF" w:rsidP="007D59EF">
            <w:pPr>
              <w:spacing w:line="240" w:lineRule="auto"/>
              <w:rPr>
                <w:lang w:val="lt-LT"/>
              </w:rPr>
            </w:pPr>
            <w:r w:rsidRPr="001C7577">
              <w:rPr>
                <w:lang w:val="lt-LT"/>
              </w:rPr>
              <w:t xml:space="preserve">Nedažni </w:t>
            </w:r>
          </w:p>
          <w:p w14:paraId="2BFC140E" w14:textId="77777777" w:rsidR="007D59EF" w:rsidRPr="001C7577" w:rsidRDefault="007D59EF" w:rsidP="007D59EF">
            <w:pPr>
              <w:spacing w:line="240" w:lineRule="auto"/>
              <w:rPr>
                <w:lang w:val="lt-LT"/>
              </w:rPr>
            </w:pPr>
          </w:p>
        </w:tc>
        <w:tc>
          <w:tcPr>
            <w:tcW w:w="5777" w:type="dxa"/>
            <w:shd w:val="clear" w:color="auto" w:fill="auto"/>
          </w:tcPr>
          <w:p w14:paraId="009A1776" w14:textId="77777777" w:rsidR="007D59EF" w:rsidRPr="001C7577" w:rsidRDefault="007D59EF" w:rsidP="007D59EF">
            <w:pPr>
              <w:spacing w:line="240" w:lineRule="auto"/>
              <w:rPr>
                <w:lang w:val="lt-LT"/>
              </w:rPr>
            </w:pPr>
            <w:r w:rsidRPr="001C7577">
              <w:rPr>
                <w:lang w:val="lt-LT"/>
              </w:rPr>
              <w:t>Miokardo infarktas, susijęs su ateroskleroze, atrioventrikulinė blokada, triburio vožtuvo nepakankamumas</w:t>
            </w:r>
          </w:p>
        </w:tc>
      </w:tr>
      <w:tr w:rsidR="007D59EF" w:rsidRPr="00705EEC" w14:paraId="222BE9C9" w14:textId="77777777" w:rsidTr="007D59EF">
        <w:trPr>
          <w:trHeight w:val="225"/>
        </w:trPr>
        <w:tc>
          <w:tcPr>
            <w:tcW w:w="2235" w:type="dxa"/>
            <w:vMerge w:val="restart"/>
            <w:shd w:val="clear" w:color="auto" w:fill="auto"/>
          </w:tcPr>
          <w:p w14:paraId="5B7D2807" w14:textId="77777777" w:rsidR="007D59EF" w:rsidRPr="001C7577" w:rsidRDefault="007D59EF" w:rsidP="007D59EF">
            <w:pPr>
              <w:spacing w:line="240" w:lineRule="auto"/>
              <w:rPr>
                <w:lang w:val="lt-LT"/>
              </w:rPr>
            </w:pPr>
            <w:r w:rsidRPr="001C7577">
              <w:rPr>
                <w:lang w:val="lt-LT"/>
              </w:rPr>
              <w:t xml:space="preserve">Kraujagyslių sutrikimai </w:t>
            </w:r>
          </w:p>
          <w:p w14:paraId="6B756AC8" w14:textId="77777777" w:rsidR="007D59EF" w:rsidRPr="001C7577" w:rsidRDefault="007D59EF" w:rsidP="007D59EF">
            <w:pPr>
              <w:spacing w:line="240" w:lineRule="auto"/>
              <w:rPr>
                <w:lang w:val="lt-LT"/>
              </w:rPr>
            </w:pPr>
          </w:p>
        </w:tc>
        <w:tc>
          <w:tcPr>
            <w:tcW w:w="1842" w:type="dxa"/>
            <w:shd w:val="clear" w:color="auto" w:fill="auto"/>
          </w:tcPr>
          <w:p w14:paraId="128E7D7C"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7F70B710" w14:textId="77777777" w:rsidR="007D59EF" w:rsidRPr="001C7577" w:rsidRDefault="007D59EF" w:rsidP="007D59EF">
            <w:pPr>
              <w:spacing w:line="240" w:lineRule="auto"/>
              <w:rPr>
                <w:lang w:val="lt-LT"/>
              </w:rPr>
            </w:pPr>
            <w:r w:rsidRPr="001C7577">
              <w:rPr>
                <w:lang w:val="lt-LT"/>
              </w:rPr>
              <w:t>Hipertenzija</w:t>
            </w:r>
          </w:p>
        </w:tc>
      </w:tr>
      <w:tr w:rsidR="007D59EF" w:rsidRPr="00705EEC" w14:paraId="37B20D36" w14:textId="77777777" w:rsidTr="007D59EF">
        <w:trPr>
          <w:trHeight w:val="70"/>
        </w:trPr>
        <w:tc>
          <w:tcPr>
            <w:tcW w:w="2235" w:type="dxa"/>
            <w:vMerge/>
            <w:shd w:val="clear" w:color="auto" w:fill="auto"/>
          </w:tcPr>
          <w:p w14:paraId="09B478FF" w14:textId="77777777" w:rsidR="007D59EF" w:rsidRPr="001C7577" w:rsidRDefault="007D59EF" w:rsidP="007D59EF">
            <w:pPr>
              <w:spacing w:line="240" w:lineRule="auto"/>
              <w:rPr>
                <w:lang w:val="lt-LT"/>
              </w:rPr>
            </w:pPr>
          </w:p>
        </w:tc>
        <w:tc>
          <w:tcPr>
            <w:tcW w:w="1842" w:type="dxa"/>
            <w:shd w:val="clear" w:color="auto" w:fill="auto"/>
          </w:tcPr>
          <w:p w14:paraId="6B929238"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71006866" w14:textId="77777777" w:rsidR="007D59EF" w:rsidRPr="001C7577" w:rsidRDefault="007D59EF" w:rsidP="007D59EF">
            <w:pPr>
              <w:spacing w:line="240" w:lineRule="auto"/>
              <w:rPr>
                <w:lang w:val="lt-LT"/>
              </w:rPr>
            </w:pPr>
            <w:r w:rsidRPr="001C7577">
              <w:rPr>
                <w:lang w:val="lt-LT"/>
              </w:rPr>
              <w:t>Giliųjų venų trombozė</w:t>
            </w:r>
          </w:p>
        </w:tc>
      </w:tr>
      <w:tr w:rsidR="007D59EF" w:rsidRPr="00705EEC" w14:paraId="6FD00165" w14:textId="77777777" w:rsidTr="007D59EF">
        <w:tc>
          <w:tcPr>
            <w:tcW w:w="2235" w:type="dxa"/>
            <w:vMerge w:val="restart"/>
            <w:shd w:val="clear" w:color="auto" w:fill="auto"/>
          </w:tcPr>
          <w:p w14:paraId="44B1A9B5" w14:textId="77777777" w:rsidR="007D59EF" w:rsidRPr="001C7577" w:rsidRDefault="007D59EF" w:rsidP="007D59EF">
            <w:pPr>
              <w:spacing w:line="240" w:lineRule="auto"/>
              <w:rPr>
                <w:lang w:val="lt-LT"/>
              </w:rPr>
            </w:pPr>
            <w:r w:rsidRPr="001C7577">
              <w:rPr>
                <w:lang w:val="lt-LT"/>
              </w:rPr>
              <w:t xml:space="preserve">Virškinimo trakto sutrikimai </w:t>
            </w:r>
          </w:p>
          <w:p w14:paraId="6EC85D77" w14:textId="77777777" w:rsidR="007D59EF" w:rsidRPr="001C7577" w:rsidRDefault="007D59EF" w:rsidP="007D59EF">
            <w:pPr>
              <w:spacing w:line="240" w:lineRule="auto"/>
              <w:rPr>
                <w:lang w:val="lt-LT"/>
              </w:rPr>
            </w:pPr>
          </w:p>
        </w:tc>
        <w:tc>
          <w:tcPr>
            <w:tcW w:w="1842" w:type="dxa"/>
            <w:shd w:val="clear" w:color="auto" w:fill="auto"/>
          </w:tcPr>
          <w:p w14:paraId="17B6A0D5" w14:textId="77777777" w:rsidR="007D59EF" w:rsidRPr="001C7577" w:rsidRDefault="007D59EF" w:rsidP="007D59EF">
            <w:pPr>
              <w:spacing w:line="240" w:lineRule="auto"/>
              <w:rPr>
                <w:lang w:val="lt-LT"/>
              </w:rPr>
            </w:pPr>
            <w:r w:rsidRPr="001C7577">
              <w:rPr>
                <w:lang w:val="lt-LT"/>
              </w:rPr>
              <w:t>Labai dažni</w:t>
            </w:r>
          </w:p>
        </w:tc>
        <w:tc>
          <w:tcPr>
            <w:tcW w:w="5777" w:type="dxa"/>
            <w:shd w:val="clear" w:color="auto" w:fill="auto"/>
          </w:tcPr>
          <w:p w14:paraId="5444D5EF" w14:textId="77777777" w:rsidR="007D59EF" w:rsidRPr="001C7577" w:rsidRDefault="007D59EF" w:rsidP="007D59EF">
            <w:pPr>
              <w:spacing w:line="240" w:lineRule="auto"/>
              <w:rPr>
                <w:lang w:val="lt-LT"/>
              </w:rPr>
            </w:pPr>
            <w:r w:rsidRPr="001C7577">
              <w:rPr>
                <w:lang w:val="lt-LT"/>
              </w:rPr>
              <w:t>Viduriavimas, pykinimas</w:t>
            </w:r>
          </w:p>
        </w:tc>
      </w:tr>
      <w:tr w:rsidR="007D59EF" w:rsidRPr="0088318A" w14:paraId="05A61B69" w14:textId="77777777" w:rsidTr="007D59EF">
        <w:tc>
          <w:tcPr>
            <w:tcW w:w="2235" w:type="dxa"/>
            <w:vMerge/>
            <w:shd w:val="clear" w:color="auto" w:fill="auto"/>
          </w:tcPr>
          <w:p w14:paraId="19D27C26" w14:textId="77777777" w:rsidR="007D59EF" w:rsidRPr="001C7577" w:rsidRDefault="007D59EF" w:rsidP="007D59EF">
            <w:pPr>
              <w:spacing w:line="240" w:lineRule="auto"/>
              <w:rPr>
                <w:lang w:val="lt-LT"/>
              </w:rPr>
            </w:pPr>
          </w:p>
        </w:tc>
        <w:tc>
          <w:tcPr>
            <w:tcW w:w="1842" w:type="dxa"/>
            <w:shd w:val="clear" w:color="auto" w:fill="auto"/>
          </w:tcPr>
          <w:p w14:paraId="3AF18C68" w14:textId="77777777" w:rsidR="007D59EF" w:rsidRPr="001C7577" w:rsidRDefault="007D59EF" w:rsidP="007D59EF">
            <w:pPr>
              <w:spacing w:line="240" w:lineRule="auto"/>
              <w:rPr>
                <w:lang w:val="lt-LT"/>
              </w:rPr>
            </w:pPr>
            <w:r w:rsidRPr="001C7577">
              <w:rPr>
                <w:lang w:val="lt-LT"/>
              </w:rPr>
              <w:t>Dažni</w:t>
            </w:r>
          </w:p>
          <w:p w14:paraId="5FA43A03" w14:textId="77777777" w:rsidR="007D59EF" w:rsidRPr="001C7577" w:rsidRDefault="007D59EF" w:rsidP="007D59EF">
            <w:pPr>
              <w:spacing w:line="240" w:lineRule="auto"/>
              <w:rPr>
                <w:lang w:val="lt-LT"/>
              </w:rPr>
            </w:pPr>
          </w:p>
        </w:tc>
        <w:tc>
          <w:tcPr>
            <w:tcW w:w="5777" w:type="dxa"/>
            <w:shd w:val="clear" w:color="auto" w:fill="auto"/>
          </w:tcPr>
          <w:p w14:paraId="3A5262D3" w14:textId="77777777" w:rsidR="007D59EF" w:rsidRPr="001C7577" w:rsidRDefault="007D59EF" w:rsidP="007D59EF">
            <w:pPr>
              <w:spacing w:line="240" w:lineRule="auto"/>
              <w:rPr>
                <w:lang w:val="lt-LT"/>
              </w:rPr>
            </w:pPr>
            <w:r w:rsidRPr="001C7577">
              <w:rPr>
                <w:lang w:val="lt-LT"/>
              </w:rPr>
              <w:t>Pankreatitas, vėmimas, gastroezofaginio refliukso liga, gastroenteritas ir kolitas, pilvo skausmas (viršutinės ir apatinės dalies), pilvo pūtimas, dispepsija, hemorojus, dujų susikaupimas</w:t>
            </w:r>
          </w:p>
        </w:tc>
      </w:tr>
      <w:tr w:rsidR="007D59EF" w:rsidRPr="0088318A" w14:paraId="44DCB585" w14:textId="77777777" w:rsidTr="007D59EF">
        <w:tc>
          <w:tcPr>
            <w:tcW w:w="2235" w:type="dxa"/>
            <w:vMerge/>
            <w:shd w:val="clear" w:color="auto" w:fill="auto"/>
          </w:tcPr>
          <w:p w14:paraId="50764E0E" w14:textId="77777777" w:rsidR="007D59EF" w:rsidRPr="001C7577" w:rsidRDefault="007D59EF" w:rsidP="007D59EF">
            <w:pPr>
              <w:spacing w:line="240" w:lineRule="auto"/>
              <w:rPr>
                <w:lang w:val="lt-LT"/>
              </w:rPr>
            </w:pPr>
          </w:p>
        </w:tc>
        <w:tc>
          <w:tcPr>
            <w:tcW w:w="1842" w:type="dxa"/>
            <w:shd w:val="clear" w:color="auto" w:fill="auto"/>
          </w:tcPr>
          <w:p w14:paraId="659D50CA" w14:textId="77777777" w:rsidR="007D59EF" w:rsidRPr="001C7577" w:rsidRDefault="007D59EF" w:rsidP="007D59EF">
            <w:pPr>
              <w:spacing w:line="240" w:lineRule="auto"/>
              <w:rPr>
                <w:lang w:val="lt-LT"/>
              </w:rPr>
            </w:pPr>
            <w:r w:rsidRPr="001C7577">
              <w:rPr>
                <w:lang w:val="lt-LT"/>
              </w:rPr>
              <w:t>Nedažni</w:t>
            </w:r>
          </w:p>
          <w:p w14:paraId="5F315030" w14:textId="77777777" w:rsidR="007D59EF" w:rsidRPr="001C7577" w:rsidRDefault="007D59EF" w:rsidP="007D59EF">
            <w:pPr>
              <w:spacing w:line="240" w:lineRule="auto"/>
              <w:rPr>
                <w:lang w:val="lt-LT"/>
              </w:rPr>
            </w:pPr>
          </w:p>
        </w:tc>
        <w:tc>
          <w:tcPr>
            <w:tcW w:w="5777" w:type="dxa"/>
            <w:shd w:val="clear" w:color="auto" w:fill="auto"/>
          </w:tcPr>
          <w:p w14:paraId="01DE367B" w14:textId="77777777" w:rsidR="007D59EF" w:rsidRPr="001C7577" w:rsidRDefault="007D59EF" w:rsidP="007D59EF">
            <w:pPr>
              <w:spacing w:line="240" w:lineRule="auto"/>
              <w:rPr>
                <w:lang w:val="lt-LT"/>
              </w:rPr>
            </w:pPr>
            <w:r w:rsidRPr="001C7577">
              <w:rPr>
                <w:lang w:val="lt-LT"/>
              </w:rPr>
              <w:t>Virškinamojo trakto hemoragijos, įskaitant opas, dvylikapirštės žarnos uždegimas, gastritas ir tiesiosios žarnos hemoragijos, stomatitas ir burnos opos, išmatų nelaikymas, vidurių užkietėjimas, burnos sausumas</w:t>
            </w:r>
          </w:p>
        </w:tc>
      </w:tr>
      <w:tr w:rsidR="007D59EF" w:rsidRPr="00705EEC" w14:paraId="702FCC98" w14:textId="77777777" w:rsidTr="007D59EF">
        <w:trPr>
          <w:trHeight w:val="232"/>
        </w:trPr>
        <w:tc>
          <w:tcPr>
            <w:tcW w:w="2235" w:type="dxa"/>
            <w:vMerge w:val="restart"/>
            <w:shd w:val="clear" w:color="auto" w:fill="auto"/>
          </w:tcPr>
          <w:p w14:paraId="622C88EE" w14:textId="77777777" w:rsidR="007D59EF" w:rsidRPr="001C7577" w:rsidRDefault="007D59EF" w:rsidP="007D59EF">
            <w:pPr>
              <w:spacing w:line="240" w:lineRule="auto"/>
              <w:rPr>
                <w:lang w:val="lt-LT"/>
              </w:rPr>
            </w:pPr>
            <w:r w:rsidRPr="001C7577">
              <w:rPr>
                <w:lang w:val="lt-LT"/>
              </w:rPr>
              <w:t>Kepenų, tulžies pūslės ir latakų sutrikimai</w:t>
            </w:r>
          </w:p>
          <w:p w14:paraId="618E0C98" w14:textId="77777777" w:rsidR="007D59EF" w:rsidRPr="001C7577" w:rsidRDefault="007D59EF" w:rsidP="007D59EF">
            <w:pPr>
              <w:spacing w:line="240" w:lineRule="auto"/>
              <w:rPr>
                <w:lang w:val="lt-LT"/>
              </w:rPr>
            </w:pPr>
          </w:p>
          <w:p w14:paraId="2185FFE8" w14:textId="77777777" w:rsidR="007D59EF" w:rsidRPr="001C7577" w:rsidRDefault="007D59EF" w:rsidP="007D59EF">
            <w:pPr>
              <w:spacing w:line="240" w:lineRule="auto"/>
              <w:rPr>
                <w:lang w:val="lt-LT"/>
              </w:rPr>
            </w:pPr>
          </w:p>
        </w:tc>
        <w:tc>
          <w:tcPr>
            <w:tcW w:w="1842" w:type="dxa"/>
            <w:shd w:val="clear" w:color="auto" w:fill="auto"/>
          </w:tcPr>
          <w:p w14:paraId="2CB73535"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0B810880" w14:textId="77777777" w:rsidR="007D59EF" w:rsidRPr="001C7577" w:rsidRDefault="007D59EF" w:rsidP="007D59EF">
            <w:pPr>
              <w:spacing w:line="240" w:lineRule="auto"/>
              <w:rPr>
                <w:lang w:val="lt-LT"/>
              </w:rPr>
            </w:pPr>
            <w:r w:rsidRPr="001C7577">
              <w:rPr>
                <w:lang w:val="lt-LT"/>
              </w:rPr>
              <w:t>Hepatitas, įskaitant AST, ALT ir GGT aktyvumo padidėjimą</w:t>
            </w:r>
          </w:p>
        </w:tc>
      </w:tr>
      <w:tr w:rsidR="007D59EF" w:rsidRPr="00705EEC" w14:paraId="6B676945" w14:textId="77777777" w:rsidTr="007D59EF">
        <w:tc>
          <w:tcPr>
            <w:tcW w:w="2235" w:type="dxa"/>
            <w:vMerge/>
            <w:shd w:val="clear" w:color="auto" w:fill="auto"/>
          </w:tcPr>
          <w:p w14:paraId="74C8E8F6" w14:textId="77777777" w:rsidR="007D59EF" w:rsidRPr="001C7577" w:rsidRDefault="007D59EF" w:rsidP="007D59EF">
            <w:pPr>
              <w:spacing w:line="240" w:lineRule="auto"/>
              <w:rPr>
                <w:lang w:val="lt-LT"/>
              </w:rPr>
            </w:pPr>
          </w:p>
        </w:tc>
        <w:tc>
          <w:tcPr>
            <w:tcW w:w="1842" w:type="dxa"/>
            <w:shd w:val="clear" w:color="auto" w:fill="auto"/>
          </w:tcPr>
          <w:p w14:paraId="5A9E2E69" w14:textId="77777777" w:rsidR="007D59EF" w:rsidRPr="001C7577" w:rsidRDefault="007D59EF" w:rsidP="007D59EF">
            <w:pPr>
              <w:spacing w:line="240" w:lineRule="auto"/>
              <w:rPr>
                <w:lang w:val="lt-LT"/>
              </w:rPr>
            </w:pPr>
            <w:r w:rsidRPr="001C7577">
              <w:rPr>
                <w:lang w:val="lt-LT"/>
              </w:rPr>
              <w:t>Nedažni</w:t>
            </w:r>
          </w:p>
          <w:p w14:paraId="01675488" w14:textId="77777777" w:rsidR="007D59EF" w:rsidRPr="001C7577" w:rsidRDefault="007D59EF" w:rsidP="007D59EF">
            <w:pPr>
              <w:spacing w:line="240" w:lineRule="auto"/>
              <w:rPr>
                <w:lang w:val="lt-LT"/>
              </w:rPr>
            </w:pPr>
          </w:p>
        </w:tc>
        <w:tc>
          <w:tcPr>
            <w:tcW w:w="5777" w:type="dxa"/>
            <w:shd w:val="clear" w:color="auto" w:fill="auto"/>
          </w:tcPr>
          <w:p w14:paraId="74228579" w14:textId="77777777" w:rsidR="007D59EF" w:rsidRPr="001C7577" w:rsidRDefault="007D59EF" w:rsidP="007D59EF">
            <w:pPr>
              <w:spacing w:line="240" w:lineRule="auto"/>
              <w:rPr>
                <w:lang w:val="lt-LT"/>
              </w:rPr>
            </w:pPr>
            <w:r w:rsidRPr="001C7577">
              <w:rPr>
                <w:lang w:val="lt-LT"/>
              </w:rPr>
              <w:t>Kepenų suriebėjimas, hepatomegalija, cholangitas, hiperbilirubinemija</w:t>
            </w:r>
          </w:p>
        </w:tc>
      </w:tr>
      <w:tr w:rsidR="007D59EF" w:rsidRPr="00705EEC" w14:paraId="3CB4FE40" w14:textId="77777777" w:rsidTr="007D59EF">
        <w:tc>
          <w:tcPr>
            <w:tcW w:w="2235" w:type="dxa"/>
            <w:vMerge/>
            <w:shd w:val="clear" w:color="auto" w:fill="auto"/>
          </w:tcPr>
          <w:p w14:paraId="793E5A19" w14:textId="77777777" w:rsidR="007D59EF" w:rsidRPr="001C7577" w:rsidRDefault="007D59EF" w:rsidP="007D59EF">
            <w:pPr>
              <w:spacing w:line="240" w:lineRule="auto"/>
              <w:rPr>
                <w:lang w:val="lt-LT"/>
              </w:rPr>
            </w:pPr>
          </w:p>
        </w:tc>
        <w:tc>
          <w:tcPr>
            <w:tcW w:w="1842" w:type="dxa"/>
            <w:shd w:val="clear" w:color="auto" w:fill="auto"/>
          </w:tcPr>
          <w:p w14:paraId="68136FC9" w14:textId="77777777" w:rsidR="007D59EF" w:rsidRPr="001C7577" w:rsidRDefault="007D59EF" w:rsidP="007D59EF">
            <w:pPr>
              <w:spacing w:line="240" w:lineRule="auto"/>
              <w:rPr>
                <w:lang w:val="lt-LT"/>
              </w:rPr>
            </w:pPr>
            <w:r w:rsidRPr="001C7577">
              <w:rPr>
                <w:lang w:val="lt-LT"/>
              </w:rPr>
              <w:t>Nežinomas dažnis</w:t>
            </w:r>
          </w:p>
        </w:tc>
        <w:tc>
          <w:tcPr>
            <w:tcW w:w="5777" w:type="dxa"/>
            <w:shd w:val="clear" w:color="auto" w:fill="auto"/>
          </w:tcPr>
          <w:p w14:paraId="4CB451DA" w14:textId="77777777" w:rsidR="007D59EF" w:rsidRPr="001C7577" w:rsidRDefault="007D59EF" w:rsidP="007D59EF">
            <w:pPr>
              <w:spacing w:line="240" w:lineRule="auto"/>
              <w:rPr>
                <w:lang w:val="lt-LT"/>
              </w:rPr>
            </w:pPr>
            <w:r w:rsidRPr="001C7577">
              <w:rPr>
                <w:lang w:val="lt-LT"/>
              </w:rPr>
              <w:t>Gelta</w:t>
            </w:r>
          </w:p>
        </w:tc>
      </w:tr>
      <w:tr w:rsidR="007D59EF" w:rsidRPr="0088318A" w14:paraId="5378A831" w14:textId="77777777" w:rsidTr="007D59EF">
        <w:tc>
          <w:tcPr>
            <w:tcW w:w="2235" w:type="dxa"/>
            <w:vMerge w:val="restart"/>
            <w:shd w:val="clear" w:color="auto" w:fill="auto"/>
          </w:tcPr>
          <w:p w14:paraId="068A9FDD" w14:textId="77777777" w:rsidR="007D59EF" w:rsidRPr="001C7577" w:rsidRDefault="007D59EF" w:rsidP="007D59EF">
            <w:pPr>
              <w:spacing w:line="240" w:lineRule="auto"/>
              <w:rPr>
                <w:lang w:val="lt-LT"/>
              </w:rPr>
            </w:pPr>
            <w:r w:rsidRPr="001C7577">
              <w:rPr>
                <w:lang w:val="lt-LT"/>
              </w:rPr>
              <w:t>Odos ir poodinio audinio sutrikimai</w:t>
            </w:r>
          </w:p>
        </w:tc>
        <w:tc>
          <w:tcPr>
            <w:tcW w:w="1842" w:type="dxa"/>
            <w:shd w:val="clear" w:color="auto" w:fill="auto"/>
          </w:tcPr>
          <w:p w14:paraId="0F23A71F"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65CF0ED3" w14:textId="77777777" w:rsidR="007D59EF" w:rsidRPr="001C7577" w:rsidRDefault="007D59EF" w:rsidP="007D59EF">
            <w:pPr>
              <w:spacing w:line="240" w:lineRule="auto"/>
              <w:rPr>
                <w:lang w:val="lt-LT"/>
              </w:rPr>
            </w:pPr>
            <w:r w:rsidRPr="001C7577">
              <w:rPr>
                <w:lang w:val="lt-LT"/>
              </w:rPr>
              <w:t>Įgyta lipodistrofija, įskaitant veido sunykimą, bėrimas, įskaitant makulopapulinį bėrimą, dermatitas/ bėrimas, įskaitant egzemą ir seborėjinį dermatitą, naktinis prakaitavimas, niežėjimas</w:t>
            </w:r>
          </w:p>
        </w:tc>
      </w:tr>
      <w:tr w:rsidR="007D59EF" w:rsidRPr="00705EEC" w14:paraId="0755E522" w14:textId="77777777" w:rsidTr="007D59EF">
        <w:tc>
          <w:tcPr>
            <w:tcW w:w="2235" w:type="dxa"/>
            <w:vMerge/>
            <w:shd w:val="clear" w:color="auto" w:fill="auto"/>
          </w:tcPr>
          <w:p w14:paraId="56D93D16" w14:textId="77777777" w:rsidR="007D59EF" w:rsidRPr="001C7577" w:rsidRDefault="007D59EF" w:rsidP="007D59EF">
            <w:pPr>
              <w:spacing w:line="240" w:lineRule="auto"/>
              <w:rPr>
                <w:lang w:val="lt-LT"/>
              </w:rPr>
            </w:pPr>
          </w:p>
        </w:tc>
        <w:tc>
          <w:tcPr>
            <w:tcW w:w="1842" w:type="dxa"/>
            <w:shd w:val="clear" w:color="auto" w:fill="auto"/>
          </w:tcPr>
          <w:p w14:paraId="6709544D"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6BF3E99C" w14:textId="77777777" w:rsidR="007D59EF" w:rsidRPr="001C7577" w:rsidRDefault="007D59EF" w:rsidP="007D59EF">
            <w:pPr>
              <w:spacing w:line="240" w:lineRule="auto"/>
              <w:rPr>
                <w:lang w:val="lt-LT"/>
              </w:rPr>
            </w:pPr>
            <w:r w:rsidRPr="001C7577">
              <w:rPr>
                <w:lang w:val="lt-LT"/>
              </w:rPr>
              <w:t xml:space="preserve">Plikimas, kapiliaritas, vaskulitas </w:t>
            </w:r>
          </w:p>
        </w:tc>
      </w:tr>
      <w:tr w:rsidR="007D59EF" w:rsidRPr="00705EEC" w14:paraId="155C9653" w14:textId="77777777" w:rsidTr="007D59EF">
        <w:trPr>
          <w:trHeight w:val="252"/>
        </w:trPr>
        <w:tc>
          <w:tcPr>
            <w:tcW w:w="2235" w:type="dxa"/>
            <w:vMerge/>
            <w:shd w:val="clear" w:color="auto" w:fill="auto"/>
          </w:tcPr>
          <w:p w14:paraId="05440C91" w14:textId="77777777" w:rsidR="007D59EF" w:rsidRPr="001C7577" w:rsidRDefault="007D59EF" w:rsidP="007D59EF">
            <w:pPr>
              <w:spacing w:line="240" w:lineRule="auto"/>
              <w:rPr>
                <w:lang w:val="lt-LT"/>
              </w:rPr>
            </w:pPr>
          </w:p>
        </w:tc>
        <w:tc>
          <w:tcPr>
            <w:tcW w:w="1842" w:type="dxa"/>
            <w:shd w:val="clear" w:color="auto" w:fill="auto"/>
          </w:tcPr>
          <w:p w14:paraId="1EA2C788" w14:textId="77777777" w:rsidR="007D59EF" w:rsidRPr="001C7577" w:rsidRDefault="007D59EF" w:rsidP="007D59EF">
            <w:pPr>
              <w:spacing w:line="240" w:lineRule="auto"/>
              <w:rPr>
                <w:lang w:val="lt-LT"/>
              </w:rPr>
            </w:pPr>
            <w:r w:rsidRPr="001C7577">
              <w:rPr>
                <w:lang w:val="lt-LT"/>
              </w:rPr>
              <w:t>Nežinomas dažnis</w:t>
            </w:r>
          </w:p>
        </w:tc>
        <w:tc>
          <w:tcPr>
            <w:tcW w:w="5777" w:type="dxa"/>
            <w:shd w:val="clear" w:color="auto" w:fill="auto"/>
          </w:tcPr>
          <w:p w14:paraId="65CD705D" w14:textId="77777777" w:rsidR="007D59EF" w:rsidRPr="001C7577" w:rsidRDefault="007D59EF" w:rsidP="007D59EF">
            <w:pPr>
              <w:spacing w:line="240" w:lineRule="auto"/>
              <w:rPr>
                <w:lang w:val="lt-LT"/>
              </w:rPr>
            </w:pPr>
            <w:r w:rsidRPr="001C7577">
              <w:rPr>
                <w:i/>
                <w:lang w:val="lt-LT"/>
              </w:rPr>
              <w:t>Stevens-Johnson</w:t>
            </w:r>
            <w:r w:rsidRPr="001C7577">
              <w:rPr>
                <w:lang w:val="lt-LT"/>
              </w:rPr>
              <w:t xml:space="preserve"> sindromas, multiforminė eritema</w:t>
            </w:r>
          </w:p>
        </w:tc>
      </w:tr>
      <w:tr w:rsidR="007D59EF" w:rsidRPr="0088318A" w14:paraId="2908274C" w14:textId="77777777" w:rsidTr="007D59EF">
        <w:trPr>
          <w:trHeight w:val="284"/>
        </w:trPr>
        <w:tc>
          <w:tcPr>
            <w:tcW w:w="2235" w:type="dxa"/>
            <w:vMerge w:val="restart"/>
            <w:shd w:val="clear" w:color="auto" w:fill="auto"/>
          </w:tcPr>
          <w:p w14:paraId="1BFFAF44" w14:textId="77777777" w:rsidR="007D59EF" w:rsidRPr="001C7577" w:rsidRDefault="007D59EF" w:rsidP="007D59EF">
            <w:pPr>
              <w:spacing w:line="240" w:lineRule="auto"/>
              <w:rPr>
                <w:lang w:val="lt-LT"/>
              </w:rPr>
            </w:pPr>
            <w:r w:rsidRPr="001C7577">
              <w:rPr>
                <w:lang w:val="lt-LT"/>
              </w:rPr>
              <w:t>Raumenų, kaulų ir jungiamojo audinio sutrikimai</w:t>
            </w:r>
          </w:p>
          <w:p w14:paraId="3AF397A0" w14:textId="77777777" w:rsidR="007D59EF" w:rsidRPr="001C7577" w:rsidRDefault="007D59EF" w:rsidP="007D59EF">
            <w:pPr>
              <w:spacing w:line="240" w:lineRule="auto"/>
              <w:rPr>
                <w:lang w:val="lt-LT"/>
              </w:rPr>
            </w:pPr>
          </w:p>
        </w:tc>
        <w:tc>
          <w:tcPr>
            <w:tcW w:w="1842" w:type="dxa"/>
            <w:shd w:val="clear" w:color="auto" w:fill="auto"/>
          </w:tcPr>
          <w:p w14:paraId="2E0C9963" w14:textId="77777777" w:rsidR="007D59EF" w:rsidRPr="001C7577" w:rsidRDefault="007D59EF" w:rsidP="007D59EF">
            <w:pPr>
              <w:spacing w:line="240" w:lineRule="auto"/>
              <w:rPr>
                <w:lang w:val="lt-LT"/>
              </w:rPr>
            </w:pPr>
            <w:r w:rsidRPr="001C7577">
              <w:rPr>
                <w:lang w:val="lt-LT"/>
              </w:rPr>
              <w:t>Dažni</w:t>
            </w:r>
          </w:p>
        </w:tc>
        <w:tc>
          <w:tcPr>
            <w:tcW w:w="5777" w:type="dxa"/>
            <w:shd w:val="clear" w:color="auto" w:fill="auto"/>
          </w:tcPr>
          <w:p w14:paraId="346530A6" w14:textId="77777777" w:rsidR="007D59EF" w:rsidRPr="001C7577" w:rsidRDefault="007D59EF" w:rsidP="007D59EF">
            <w:pPr>
              <w:spacing w:line="240" w:lineRule="auto"/>
              <w:rPr>
                <w:lang w:val="lt-LT"/>
              </w:rPr>
            </w:pPr>
            <w:r w:rsidRPr="001C7577">
              <w:rPr>
                <w:lang w:val="lt-LT"/>
              </w:rPr>
              <w:t>Mialgija, kaulų-raumenų skausmas įskaitant artralgiją ir nugaros skausmą, raumenų pažeidimai, tokie kaip silpnumas ir spazmai</w:t>
            </w:r>
          </w:p>
        </w:tc>
      </w:tr>
      <w:tr w:rsidR="007D59EF" w:rsidRPr="00705EEC" w14:paraId="3C33A1E2" w14:textId="77777777" w:rsidTr="007D59EF">
        <w:trPr>
          <w:trHeight w:val="127"/>
        </w:trPr>
        <w:tc>
          <w:tcPr>
            <w:tcW w:w="2235" w:type="dxa"/>
            <w:vMerge/>
            <w:shd w:val="clear" w:color="auto" w:fill="auto"/>
          </w:tcPr>
          <w:p w14:paraId="38D86407" w14:textId="77777777" w:rsidR="007D59EF" w:rsidRPr="001C7577" w:rsidRDefault="007D59EF" w:rsidP="007D59EF">
            <w:pPr>
              <w:spacing w:line="240" w:lineRule="auto"/>
              <w:rPr>
                <w:lang w:val="lt-LT"/>
              </w:rPr>
            </w:pPr>
          </w:p>
        </w:tc>
        <w:tc>
          <w:tcPr>
            <w:tcW w:w="1842" w:type="dxa"/>
            <w:shd w:val="clear" w:color="auto" w:fill="auto"/>
          </w:tcPr>
          <w:p w14:paraId="60823D14"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7F6E0E9D" w14:textId="77777777" w:rsidR="007D59EF" w:rsidRPr="001C7577" w:rsidRDefault="007D59EF" w:rsidP="007D59EF">
            <w:pPr>
              <w:spacing w:line="240" w:lineRule="auto"/>
              <w:rPr>
                <w:lang w:val="lt-LT"/>
              </w:rPr>
            </w:pPr>
            <w:r w:rsidRPr="001C7577">
              <w:rPr>
                <w:lang w:val="lt-LT"/>
              </w:rPr>
              <w:t>Rabdomiolizė, osteonekrozė</w:t>
            </w:r>
          </w:p>
        </w:tc>
      </w:tr>
      <w:tr w:rsidR="007D59EF" w:rsidRPr="00705EEC" w14:paraId="6C7B3DEA" w14:textId="77777777" w:rsidTr="007D59EF">
        <w:tc>
          <w:tcPr>
            <w:tcW w:w="2235" w:type="dxa"/>
            <w:shd w:val="clear" w:color="auto" w:fill="auto"/>
          </w:tcPr>
          <w:p w14:paraId="23D636E4" w14:textId="77777777" w:rsidR="007D59EF" w:rsidRPr="001C7577" w:rsidRDefault="007D59EF" w:rsidP="007D59EF">
            <w:pPr>
              <w:spacing w:line="240" w:lineRule="auto"/>
              <w:rPr>
                <w:lang w:val="lt-LT"/>
              </w:rPr>
            </w:pPr>
            <w:r w:rsidRPr="001C7577">
              <w:rPr>
                <w:lang w:val="lt-LT"/>
              </w:rPr>
              <w:t xml:space="preserve">Inkstų ir šlapimo takų sutrikimai </w:t>
            </w:r>
          </w:p>
        </w:tc>
        <w:tc>
          <w:tcPr>
            <w:tcW w:w="1842" w:type="dxa"/>
            <w:shd w:val="clear" w:color="auto" w:fill="auto"/>
          </w:tcPr>
          <w:p w14:paraId="6C048FDC" w14:textId="77777777" w:rsidR="007D59EF" w:rsidRPr="001C7577" w:rsidRDefault="007D59EF" w:rsidP="007D59EF">
            <w:pPr>
              <w:spacing w:line="240" w:lineRule="auto"/>
              <w:rPr>
                <w:lang w:val="lt-LT"/>
              </w:rPr>
            </w:pPr>
            <w:r w:rsidRPr="001C7577">
              <w:rPr>
                <w:lang w:val="lt-LT"/>
              </w:rPr>
              <w:t>Nedažni</w:t>
            </w:r>
          </w:p>
        </w:tc>
        <w:tc>
          <w:tcPr>
            <w:tcW w:w="5777" w:type="dxa"/>
            <w:shd w:val="clear" w:color="auto" w:fill="auto"/>
          </w:tcPr>
          <w:p w14:paraId="060FCC42" w14:textId="77777777" w:rsidR="007D59EF" w:rsidRPr="001C7577" w:rsidRDefault="007D59EF" w:rsidP="007D59EF">
            <w:pPr>
              <w:spacing w:line="240" w:lineRule="auto"/>
              <w:rPr>
                <w:lang w:val="lt-LT"/>
              </w:rPr>
            </w:pPr>
            <w:r w:rsidRPr="001C7577">
              <w:rPr>
                <w:lang w:val="lt-LT"/>
              </w:rPr>
              <w:t>Sumažėjęs kreatinino klirensas, nefritas, hematurija</w:t>
            </w:r>
          </w:p>
          <w:p w14:paraId="271BB1A8" w14:textId="77777777" w:rsidR="007D59EF" w:rsidRPr="001C7577" w:rsidRDefault="007D59EF" w:rsidP="007D59EF">
            <w:pPr>
              <w:spacing w:line="240" w:lineRule="auto"/>
              <w:rPr>
                <w:lang w:val="lt-LT"/>
              </w:rPr>
            </w:pPr>
          </w:p>
        </w:tc>
      </w:tr>
      <w:tr w:rsidR="007D59EF" w:rsidRPr="0088318A" w14:paraId="7B526B87" w14:textId="77777777" w:rsidTr="007D59EF">
        <w:tc>
          <w:tcPr>
            <w:tcW w:w="2235" w:type="dxa"/>
            <w:shd w:val="clear" w:color="auto" w:fill="auto"/>
          </w:tcPr>
          <w:p w14:paraId="4F032993" w14:textId="77777777" w:rsidR="007D59EF" w:rsidRPr="001C7577" w:rsidRDefault="007D59EF" w:rsidP="007D59EF">
            <w:pPr>
              <w:spacing w:line="240" w:lineRule="auto"/>
              <w:rPr>
                <w:lang w:val="lt-LT"/>
              </w:rPr>
            </w:pPr>
            <w:r w:rsidRPr="001C7577">
              <w:rPr>
                <w:lang w:val="lt-LT"/>
              </w:rPr>
              <w:t>Lytinės sistemos ir krūties sutrikimai</w:t>
            </w:r>
          </w:p>
        </w:tc>
        <w:tc>
          <w:tcPr>
            <w:tcW w:w="1842" w:type="dxa"/>
            <w:shd w:val="clear" w:color="auto" w:fill="auto"/>
          </w:tcPr>
          <w:p w14:paraId="475ED813" w14:textId="77777777" w:rsidR="007D59EF" w:rsidRPr="001C7577" w:rsidRDefault="007D59EF" w:rsidP="007D59EF">
            <w:pPr>
              <w:spacing w:line="240" w:lineRule="auto"/>
              <w:rPr>
                <w:lang w:val="lt-LT"/>
              </w:rPr>
            </w:pPr>
            <w:r w:rsidRPr="001C7577">
              <w:rPr>
                <w:lang w:val="lt-LT"/>
              </w:rPr>
              <w:t xml:space="preserve">Dažni </w:t>
            </w:r>
          </w:p>
        </w:tc>
        <w:tc>
          <w:tcPr>
            <w:tcW w:w="5777" w:type="dxa"/>
            <w:shd w:val="clear" w:color="auto" w:fill="auto"/>
          </w:tcPr>
          <w:p w14:paraId="1C942B6B" w14:textId="77777777" w:rsidR="007D59EF" w:rsidRPr="001C7577" w:rsidRDefault="007D59EF" w:rsidP="007D59EF">
            <w:pPr>
              <w:spacing w:line="240" w:lineRule="auto"/>
              <w:rPr>
                <w:lang w:val="lt-LT"/>
              </w:rPr>
            </w:pPr>
            <w:r w:rsidRPr="001C7577">
              <w:rPr>
                <w:lang w:val="lt-LT"/>
              </w:rPr>
              <w:t>Erekcijos sutrikimai, menstruacijų sutrikimai - amenorėja, menoragija</w:t>
            </w:r>
          </w:p>
        </w:tc>
      </w:tr>
      <w:tr w:rsidR="007D59EF" w:rsidRPr="00705EEC" w14:paraId="49765631" w14:textId="77777777" w:rsidTr="007D59EF">
        <w:tc>
          <w:tcPr>
            <w:tcW w:w="2235" w:type="dxa"/>
            <w:shd w:val="clear" w:color="auto" w:fill="auto"/>
          </w:tcPr>
          <w:p w14:paraId="23F41B12" w14:textId="77777777" w:rsidR="007D59EF" w:rsidRPr="001C7577" w:rsidRDefault="007D59EF" w:rsidP="007D59EF">
            <w:pPr>
              <w:spacing w:line="240" w:lineRule="auto"/>
              <w:rPr>
                <w:lang w:val="lt-LT"/>
              </w:rPr>
            </w:pPr>
            <w:r w:rsidRPr="001C7577">
              <w:rPr>
                <w:lang w:val="lt-LT"/>
              </w:rPr>
              <w:t>Bendrieji sutrikimai ir vartojimo vietos pažeidimai</w:t>
            </w:r>
          </w:p>
        </w:tc>
        <w:tc>
          <w:tcPr>
            <w:tcW w:w="1842" w:type="dxa"/>
            <w:shd w:val="clear" w:color="auto" w:fill="auto"/>
          </w:tcPr>
          <w:p w14:paraId="66BF5322" w14:textId="77777777" w:rsidR="007D59EF" w:rsidRPr="001C7577" w:rsidRDefault="007D59EF" w:rsidP="007D59EF">
            <w:pPr>
              <w:spacing w:line="240" w:lineRule="auto"/>
              <w:rPr>
                <w:lang w:val="lt-LT"/>
              </w:rPr>
            </w:pPr>
            <w:r w:rsidRPr="001C7577">
              <w:rPr>
                <w:lang w:val="lt-LT"/>
              </w:rPr>
              <w:t xml:space="preserve">Dažni </w:t>
            </w:r>
          </w:p>
          <w:p w14:paraId="54E53823" w14:textId="77777777" w:rsidR="007D59EF" w:rsidRPr="001C7577" w:rsidRDefault="007D59EF" w:rsidP="007D59EF">
            <w:pPr>
              <w:spacing w:line="240" w:lineRule="auto"/>
              <w:rPr>
                <w:lang w:val="lt-LT"/>
              </w:rPr>
            </w:pPr>
          </w:p>
        </w:tc>
        <w:tc>
          <w:tcPr>
            <w:tcW w:w="5777" w:type="dxa"/>
            <w:shd w:val="clear" w:color="auto" w:fill="auto"/>
          </w:tcPr>
          <w:p w14:paraId="78A7690F" w14:textId="77777777" w:rsidR="007D59EF" w:rsidRPr="001C7577" w:rsidRDefault="007D59EF" w:rsidP="007D59EF">
            <w:pPr>
              <w:spacing w:line="240" w:lineRule="auto"/>
              <w:rPr>
                <w:lang w:val="lt-LT"/>
              </w:rPr>
            </w:pPr>
            <w:r w:rsidRPr="001C7577">
              <w:rPr>
                <w:lang w:val="lt-LT"/>
              </w:rPr>
              <w:t>Nuovargis, įskaitant asteniją</w:t>
            </w:r>
          </w:p>
        </w:tc>
      </w:tr>
    </w:tbl>
    <w:p w14:paraId="5BD5654C" w14:textId="77777777" w:rsidR="007D59EF" w:rsidRPr="001C7577" w:rsidRDefault="007D59EF" w:rsidP="007D59EF">
      <w:pPr>
        <w:spacing w:line="240" w:lineRule="auto"/>
        <w:rPr>
          <w:lang w:val="lt-LT"/>
        </w:rPr>
      </w:pPr>
      <w:r w:rsidRPr="001C7577">
        <w:rPr>
          <w:vertAlign w:val="superscript"/>
          <w:lang w:val="lt-LT"/>
        </w:rPr>
        <w:t xml:space="preserve">1 </w:t>
      </w:r>
      <w:r w:rsidRPr="001C7577">
        <w:rPr>
          <w:lang w:val="lt-LT"/>
        </w:rPr>
        <w:t>Žr. 4.4 skyrių: pankreatitas ir lipidai</w:t>
      </w:r>
    </w:p>
    <w:p w14:paraId="249C0A19" w14:textId="77777777" w:rsidR="007D59EF" w:rsidRPr="001C7577" w:rsidRDefault="007D59EF" w:rsidP="007D59EF">
      <w:pPr>
        <w:tabs>
          <w:tab w:val="left" w:pos="1260"/>
        </w:tabs>
        <w:spacing w:line="240" w:lineRule="auto"/>
        <w:rPr>
          <w:u w:val="single"/>
          <w:lang w:val="lt-LT"/>
        </w:rPr>
      </w:pPr>
    </w:p>
    <w:p w14:paraId="113C33BB" w14:textId="77777777" w:rsidR="007D59EF" w:rsidRPr="001C7577" w:rsidRDefault="007D59EF" w:rsidP="007D59EF">
      <w:pPr>
        <w:numPr>
          <w:ilvl w:val="0"/>
          <w:numId w:val="8"/>
        </w:numPr>
        <w:tabs>
          <w:tab w:val="left" w:pos="1260"/>
        </w:tabs>
        <w:spacing w:line="240" w:lineRule="auto"/>
        <w:rPr>
          <w:u w:val="single"/>
          <w:lang w:val="lt-LT"/>
        </w:rPr>
      </w:pPr>
      <w:r w:rsidRPr="001C7577">
        <w:rPr>
          <w:u w:val="single"/>
          <w:lang w:val="lt-LT"/>
        </w:rPr>
        <w:t>Tam tikrų nepageidaujamų poveikių aprašymas</w:t>
      </w:r>
    </w:p>
    <w:p w14:paraId="4D994DD2" w14:textId="77777777" w:rsidR="007D59EF" w:rsidRPr="001C7577" w:rsidRDefault="007D59EF" w:rsidP="007D59EF">
      <w:pPr>
        <w:tabs>
          <w:tab w:val="left" w:pos="1260"/>
        </w:tabs>
        <w:spacing w:line="240" w:lineRule="auto"/>
        <w:rPr>
          <w:u w:val="single"/>
          <w:lang w:val="lt-LT"/>
        </w:rPr>
      </w:pPr>
    </w:p>
    <w:p w14:paraId="0D4B56AC" w14:textId="77777777" w:rsidR="007D59EF" w:rsidRPr="001C7577" w:rsidRDefault="007D59EF" w:rsidP="007D59EF">
      <w:pPr>
        <w:tabs>
          <w:tab w:val="left" w:pos="1260"/>
        </w:tabs>
        <w:spacing w:line="240" w:lineRule="auto"/>
        <w:rPr>
          <w:lang w:val="lt-LT"/>
        </w:rPr>
      </w:pPr>
      <w:r w:rsidRPr="001C7577">
        <w:rPr>
          <w:lang w:val="lt-LT"/>
        </w:rPr>
        <w:t xml:space="preserve">Gauta pranešimų, kad pacientams, gydytiems ritonaviru, kuriems buvo paskirtos flutikazono propionato inhaliacijos arba jis skirtas intranazaliai, pasireiškė Kušingo sindromas; tai gali pasireikšti ir vartojant kitus kortikosteroidus, kurie metabolizuojami P450 3A keliu, pvz., budezonidą (žr. 4.4 ir 4.5 skyrius). </w:t>
      </w:r>
    </w:p>
    <w:p w14:paraId="1E48AEBF" w14:textId="77777777" w:rsidR="007D59EF" w:rsidRPr="001C7577" w:rsidRDefault="007D59EF" w:rsidP="007D59EF">
      <w:pPr>
        <w:tabs>
          <w:tab w:val="left" w:pos="1260"/>
        </w:tabs>
        <w:spacing w:line="240" w:lineRule="auto"/>
        <w:rPr>
          <w:lang w:val="lt-LT"/>
        </w:rPr>
      </w:pPr>
    </w:p>
    <w:p w14:paraId="656499F2" w14:textId="77777777" w:rsidR="007D59EF" w:rsidRPr="001C7577" w:rsidRDefault="007D59EF" w:rsidP="007D59EF">
      <w:pPr>
        <w:tabs>
          <w:tab w:val="left" w:pos="1260"/>
        </w:tabs>
        <w:spacing w:line="240" w:lineRule="auto"/>
        <w:rPr>
          <w:lang w:val="lt-LT"/>
        </w:rPr>
      </w:pPr>
      <w:r w:rsidRPr="001C7577">
        <w:rPr>
          <w:lang w:val="lt-LT"/>
        </w:rPr>
        <w:t>Gauta pranešimų apie padidėjusį kreatinfosfokinazės (KFK) aktyvum</w:t>
      </w:r>
      <w:r w:rsidRPr="00705EEC">
        <w:rPr>
          <w:lang w:val="lt-LT"/>
        </w:rPr>
        <w:t>ą</w:t>
      </w:r>
      <w:r w:rsidRPr="001C7577">
        <w:rPr>
          <w:lang w:val="lt-LT"/>
        </w:rPr>
        <w:t>, mialgiją, miozitą ir, retai, rabdomiolizę, vartojant proteazių inhibitorius, ypač kombinuojant juos su nukleozidų atvirkštinės transkriptazės inhibitoriais.</w:t>
      </w:r>
    </w:p>
    <w:p w14:paraId="5F72BA78" w14:textId="77777777" w:rsidR="007D59EF" w:rsidRPr="001C7577" w:rsidRDefault="007D59EF" w:rsidP="007D59EF">
      <w:pPr>
        <w:tabs>
          <w:tab w:val="left" w:pos="1260"/>
        </w:tabs>
        <w:spacing w:line="240" w:lineRule="auto"/>
        <w:rPr>
          <w:lang w:val="lt-LT"/>
        </w:rPr>
      </w:pPr>
    </w:p>
    <w:p w14:paraId="4F687A77" w14:textId="77777777" w:rsidR="007D59EF" w:rsidRPr="001C7577" w:rsidRDefault="007D59EF" w:rsidP="007D59EF">
      <w:pPr>
        <w:tabs>
          <w:tab w:val="left" w:pos="1260"/>
        </w:tabs>
        <w:spacing w:line="240" w:lineRule="auto"/>
        <w:rPr>
          <w:lang w:val="lt-LT"/>
        </w:rPr>
      </w:pPr>
      <w:r w:rsidRPr="001C7577">
        <w:rPr>
          <w:lang w:val="lt-LT"/>
        </w:rPr>
        <w:t>Kombinuota antiretrovirusinė terapija siejama su ŽIV pacientų kūno riebalų persiskirstymu (lipodistrofija), įskaitant veido ir periferinio riebalinio audinio netekimą, intraabdominalinių ir vidinių organų riebalinio audinio kiekio padidėjimą, krūtų hipertrofiją ir riebalų sankaupą sprando srityje (buivolo kaklas).</w:t>
      </w:r>
    </w:p>
    <w:p w14:paraId="762EFE25" w14:textId="77777777" w:rsidR="007D59EF" w:rsidRPr="001C7577" w:rsidRDefault="007D59EF" w:rsidP="007D59EF">
      <w:pPr>
        <w:tabs>
          <w:tab w:val="left" w:pos="1260"/>
        </w:tabs>
        <w:spacing w:line="240" w:lineRule="auto"/>
        <w:rPr>
          <w:lang w:val="lt-LT"/>
        </w:rPr>
      </w:pPr>
    </w:p>
    <w:p w14:paraId="03D8C642" w14:textId="77777777" w:rsidR="007D59EF" w:rsidRPr="001C7577" w:rsidRDefault="007D59EF" w:rsidP="007D59EF">
      <w:pPr>
        <w:tabs>
          <w:tab w:val="left" w:pos="1260"/>
        </w:tabs>
        <w:spacing w:line="240" w:lineRule="auto"/>
        <w:rPr>
          <w:lang w:val="lt-LT"/>
        </w:rPr>
      </w:pPr>
      <w:r w:rsidRPr="001C7577">
        <w:rPr>
          <w:lang w:val="lt-LT"/>
        </w:rPr>
        <w:t xml:space="preserve">Kombinuota antiretrovirusinė terapija siejama su metabolizmo sutrikimais, tokiais kaip hipertrigliceridemija, hipercholesterolemija, rezistentiškumas  insulinui, hiperglikemija ir hiperlaktatemija (žr. 4.4 skyrių). </w:t>
      </w:r>
    </w:p>
    <w:p w14:paraId="2E3A8C59" w14:textId="77777777" w:rsidR="007D59EF" w:rsidRPr="001C7577" w:rsidRDefault="007D59EF" w:rsidP="007D59EF">
      <w:pPr>
        <w:tabs>
          <w:tab w:val="left" w:pos="1260"/>
        </w:tabs>
        <w:spacing w:line="240" w:lineRule="auto"/>
        <w:rPr>
          <w:lang w:val="lt-LT"/>
        </w:rPr>
      </w:pPr>
    </w:p>
    <w:p w14:paraId="1726F8EB" w14:textId="77777777" w:rsidR="007D59EF" w:rsidRPr="001C7577" w:rsidRDefault="007D59EF" w:rsidP="007D59EF">
      <w:pPr>
        <w:tabs>
          <w:tab w:val="left" w:pos="1260"/>
        </w:tabs>
        <w:spacing w:line="240" w:lineRule="auto"/>
        <w:rPr>
          <w:lang w:val="lt-LT"/>
        </w:rPr>
      </w:pPr>
      <w:r w:rsidRPr="001C7577">
        <w:rPr>
          <w:lang w:val="lt-LT"/>
        </w:rPr>
        <w:t xml:space="preserve">ŽIV infekuotiems pacientams, kuriems yra sunkus imuninės sistemos nepakankamumas, pradėjus kombinuotą antiretrovirusinę terapiją (KART), gali pasireikšti uždegiminės reakcijos į besimptomines ar likusias oportunistines infekcijas (žr. 4.4 skyrių). </w:t>
      </w:r>
    </w:p>
    <w:p w14:paraId="4D2806E4" w14:textId="77777777" w:rsidR="007D59EF" w:rsidRPr="001C7577" w:rsidRDefault="007D59EF" w:rsidP="007D59EF">
      <w:pPr>
        <w:tabs>
          <w:tab w:val="left" w:pos="1260"/>
        </w:tabs>
        <w:spacing w:line="240" w:lineRule="auto"/>
        <w:rPr>
          <w:lang w:val="lt-LT"/>
        </w:rPr>
      </w:pPr>
    </w:p>
    <w:p w14:paraId="139D4986" w14:textId="77777777" w:rsidR="007D59EF" w:rsidRPr="001C7577" w:rsidRDefault="007D59EF" w:rsidP="007D59EF">
      <w:pPr>
        <w:tabs>
          <w:tab w:val="left" w:pos="1260"/>
        </w:tabs>
        <w:spacing w:line="240" w:lineRule="auto"/>
        <w:rPr>
          <w:lang w:val="lt-LT"/>
        </w:rPr>
      </w:pPr>
      <w:r w:rsidRPr="001C7577">
        <w:rPr>
          <w:lang w:val="lt-LT"/>
        </w:rPr>
        <w:lastRenderedPageBreak/>
        <w:t>Buvo gauta pranešimų apie kaulų nekrozę, dažniausiai pacientams, kurie yra didelės rizikos grupėje ir kurių ŽIV liga yra pažengusi ar kurie ilgai gydomi kombinuota antiretrovirusine terapija. Dažnis nėra žinomas (žr. 4.4 skyrių).</w:t>
      </w:r>
    </w:p>
    <w:p w14:paraId="141A545A" w14:textId="77777777" w:rsidR="007D59EF" w:rsidRPr="001C7577" w:rsidRDefault="007D59EF" w:rsidP="007D59EF">
      <w:pPr>
        <w:tabs>
          <w:tab w:val="left" w:pos="1260"/>
        </w:tabs>
        <w:spacing w:line="240" w:lineRule="auto"/>
        <w:rPr>
          <w:u w:val="single"/>
          <w:lang w:val="lt-LT"/>
        </w:rPr>
      </w:pPr>
    </w:p>
    <w:p w14:paraId="5122BCC9" w14:textId="77777777" w:rsidR="007D59EF" w:rsidRPr="001C7577" w:rsidRDefault="007D59EF" w:rsidP="007D59EF">
      <w:pPr>
        <w:numPr>
          <w:ilvl w:val="0"/>
          <w:numId w:val="8"/>
        </w:numPr>
        <w:spacing w:line="240" w:lineRule="auto"/>
        <w:rPr>
          <w:u w:val="single"/>
          <w:lang w:val="lt-LT"/>
        </w:rPr>
      </w:pPr>
      <w:r w:rsidRPr="001C7577">
        <w:rPr>
          <w:u w:val="single"/>
          <w:lang w:val="lt-LT"/>
        </w:rPr>
        <w:t>Vaikų populiacija</w:t>
      </w:r>
    </w:p>
    <w:p w14:paraId="3CB15EC9" w14:textId="77777777" w:rsidR="007D59EF" w:rsidRPr="001C7577" w:rsidRDefault="007D59EF" w:rsidP="007D59EF">
      <w:pPr>
        <w:spacing w:line="240" w:lineRule="auto"/>
        <w:ind w:left="720"/>
        <w:rPr>
          <w:lang w:val="lt-LT"/>
        </w:rPr>
      </w:pPr>
    </w:p>
    <w:p w14:paraId="7B8E10D8" w14:textId="77777777" w:rsidR="007D59EF" w:rsidRPr="001C7577" w:rsidRDefault="007D59EF" w:rsidP="007D59EF">
      <w:pPr>
        <w:spacing w:line="240" w:lineRule="auto"/>
        <w:rPr>
          <w:lang w:val="lt-LT"/>
        </w:rPr>
      </w:pPr>
      <w:r w:rsidRPr="001C7577">
        <w:rPr>
          <w:lang w:val="lt-LT"/>
        </w:rPr>
        <w:t>Vyresnių kaip 2 metai vaikų saugumo duomenys yra tokie patys kaip ir suaugusių populiacijoje (žr. lentelę b pastraipoje).</w:t>
      </w:r>
    </w:p>
    <w:p w14:paraId="142927C8" w14:textId="77777777" w:rsidR="007D59EF" w:rsidRPr="00705EEC" w:rsidRDefault="007D59EF" w:rsidP="007D59EF">
      <w:pPr>
        <w:autoSpaceDE w:val="0"/>
        <w:autoSpaceDN w:val="0"/>
        <w:adjustRightInd w:val="0"/>
        <w:rPr>
          <w:lang w:val="lt-LT"/>
        </w:rPr>
      </w:pPr>
    </w:p>
    <w:p w14:paraId="09E7DA22" w14:textId="77777777" w:rsidR="007D59EF" w:rsidRPr="00705EEC" w:rsidRDefault="007D59EF" w:rsidP="007D59EF">
      <w:pPr>
        <w:autoSpaceDE w:val="0"/>
        <w:autoSpaceDN w:val="0"/>
        <w:adjustRightInd w:val="0"/>
        <w:rPr>
          <w:szCs w:val="24"/>
          <w:u w:val="single"/>
          <w:lang w:val="lt-LT"/>
        </w:rPr>
      </w:pPr>
      <w:r w:rsidRPr="001C7577">
        <w:rPr>
          <w:szCs w:val="24"/>
          <w:u w:val="single"/>
          <w:lang w:val="lt-LT"/>
        </w:rPr>
        <w:t>Pranešimas apie įtariamas nepageidaujamas reakcijas</w:t>
      </w:r>
    </w:p>
    <w:p w14:paraId="3ABC1AAE" w14:textId="7AA9C50A" w:rsidR="00B63114" w:rsidRDefault="00B63114" w:rsidP="007D59EF">
      <w:pPr>
        <w:autoSpaceDE w:val="0"/>
        <w:autoSpaceDN w:val="0"/>
        <w:adjustRightInd w:val="0"/>
        <w:rPr>
          <w:szCs w:val="24"/>
          <w:lang w:val="lt-LT"/>
        </w:rPr>
      </w:pPr>
      <w:r w:rsidRPr="00B63114">
        <w:rPr>
          <w:szCs w:val="24"/>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6E5702">
          <w:rPr>
            <w:rStyle w:val="Hipersaitas"/>
            <w:szCs w:val="24"/>
            <w:lang w:val="lt-LT"/>
          </w:rPr>
          <w:t>http://www.vvkt.lt</w:t>
        </w:r>
      </w:hyperlink>
      <w:r w:rsidRPr="00B63114">
        <w:rPr>
          <w:szCs w:val="24"/>
          <w:lang w:val="lt-LT"/>
        </w:rPr>
        <w:t>).</w:t>
      </w:r>
    </w:p>
    <w:p w14:paraId="18BD008C" w14:textId="77777777" w:rsidR="003C1B10" w:rsidRDefault="003C1B10" w:rsidP="007D59EF">
      <w:pPr>
        <w:autoSpaceDE w:val="0"/>
        <w:autoSpaceDN w:val="0"/>
        <w:adjustRightInd w:val="0"/>
        <w:rPr>
          <w:szCs w:val="24"/>
          <w:lang w:val="lt-LT"/>
        </w:rPr>
      </w:pPr>
    </w:p>
    <w:p w14:paraId="14B98761" w14:textId="77777777" w:rsidR="007D59EF" w:rsidRPr="00705EEC" w:rsidRDefault="007D59EF" w:rsidP="007D59EF">
      <w:pPr>
        <w:pStyle w:val="Antrat4"/>
        <w:jc w:val="left"/>
        <w:rPr>
          <w:rFonts w:ascii="Times New Roman" w:hAnsi="Times New Roman"/>
          <w:sz w:val="22"/>
          <w:lang w:val="lt-LT"/>
        </w:rPr>
      </w:pPr>
      <w:r w:rsidRPr="00705EEC">
        <w:rPr>
          <w:rFonts w:ascii="Times New Roman" w:hAnsi="Times New Roman"/>
          <w:sz w:val="22"/>
          <w:lang w:val="lt-LT"/>
        </w:rPr>
        <w:t>4.9</w:t>
      </w:r>
      <w:r w:rsidRPr="00705EEC">
        <w:rPr>
          <w:rFonts w:ascii="Times New Roman" w:hAnsi="Times New Roman"/>
          <w:sz w:val="22"/>
          <w:lang w:val="lt-LT"/>
        </w:rPr>
        <w:tab/>
        <w:t>Perdozavimas</w:t>
      </w:r>
    </w:p>
    <w:p w14:paraId="2C8B4638" w14:textId="77777777" w:rsidR="007D59EF" w:rsidRPr="00705EEC" w:rsidRDefault="007D59EF" w:rsidP="007D59EF">
      <w:pPr>
        <w:rPr>
          <w:szCs w:val="24"/>
          <w:lang w:val="lt-LT"/>
        </w:rPr>
      </w:pPr>
    </w:p>
    <w:p w14:paraId="76118BBC" w14:textId="77777777" w:rsidR="007D59EF" w:rsidRPr="00705EEC" w:rsidRDefault="007D59EF" w:rsidP="007D59EF">
      <w:pPr>
        <w:rPr>
          <w:szCs w:val="24"/>
          <w:lang w:val="lt-LT"/>
        </w:rPr>
      </w:pPr>
      <w:r w:rsidRPr="00705EEC">
        <w:rPr>
          <w:szCs w:val="24"/>
          <w:lang w:val="lt-LT"/>
        </w:rPr>
        <w:t>Kol kas dar esama mažai duomenų apie ūminį lopinaviro/ritonaviro perdozavimą žmonėms.</w:t>
      </w:r>
    </w:p>
    <w:p w14:paraId="1A2AB0BF" w14:textId="77777777" w:rsidR="007D59EF" w:rsidRPr="00705EEC" w:rsidRDefault="007D59EF" w:rsidP="007D59EF">
      <w:pPr>
        <w:rPr>
          <w:szCs w:val="24"/>
          <w:lang w:val="lt-LT"/>
        </w:rPr>
      </w:pPr>
    </w:p>
    <w:p w14:paraId="72CB5631" w14:textId="77777777" w:rsidR="007D59EF" w:rsidRPr="00705EEC" w:rsidRDefault="007D59EF" w:rsidP="007D59EF">
      <w:pPr>
        <w:rPr>
          <w:szCs w:val="24"/>
          <w:lang w:val="lt-LT"/>
        </w:rPr>
      </w:pPr>
      <w:r w:rsidRPr="00705EEC">
        <w:rPr>
          <w:szCs w:val="24"/>
          <w:lang w:val="lt-LT"/>
        </w:rPr>
        <w:t>Nepageidaujami klinikiniai požymiai, stebėti šunims, buvo seilėtekis, vėmimas ir viduriavimas, nenormalios išmatos. Toksiškumo požymiai pelėms, žiurkėms ar šunims buvo šie: sumažėjęs aktyvumas, ataksija, išsekimas, dehidracija ir tremoras.</w:t>
      </w:r>
    </w:p>
    <w:p w14:paraId="7DB68896" w14:textId="77777777" w:rsidR="007D59EF" w:rsidRPr="00705EEC" w:rsidRDefault="007D59EF" w:rsidP="007D59EF">
      <w:pPr>
        <w:rPr>
          <w:szCs w:val="24"/>
          <w:lang w:val="lt-LT"/>
        </w:rPr>
      </w:pPr>
    </w:p>
    <w:p w14:paraId="5EA2ED2F" w14:textId="77777777" w:rsidR="007D59EF" w:rsidRPr="00705EEC" w:rsidRDefault="007D59EF" w:rsidP="007D59EF">
      <w:pPr>
        <w:rPr>
          <w:szCs w:val="24"/>
          <w:lang w:val="lt-LT"/>
        </w:rPr>
      </w:pPr>
      <w:r w:rsidRPr="00705EEC">
        <w:rPr>
          <w:szCs w:val="24"/>
          <w:lang w:val="lt-LT"/>
        </w:rPr>
        <w:t>Specifinio priešnuodžio perdozavus lopinaviro/ritonaviro nėra. Perdozavus lopinaviro/ritonaviro, taikomos bendrosios pagalbos priemonės, tarp jų paciento gyvybinių požymių stebėjimas ir klinikinės būklės vertinimas. Prireikus nerezorbuotą veikliąją medžiagą galima pašalinti sukėlus vėmimą ar išplovus skrandį. Nerezorbuotai medžiagai pašalinti taip pat galima duoti aktyvintos anglies. Kadangi lopinaviras/ritonaviras gerai jungiasi su baltymais, mažai tikėtina, kad dializė reikšmingai pašalintų veikliąją medžiagą.</w:t>
      </w:r>
    </w:p>
    <w:p w14:paraId="2B72064F" w14:textId="77777777" w:rsidR="007D59EF" w:rsidRPr="00705EEC" w:rsidRDefault="007D59EF" w:rsidP="007D59EF">
      <w:pPr>
        <w:rPr>
          <w:szCs w:val="24"/>
          <w:lang w:val="lt-LT"/>
        </w:rPr>
      </w:pPr>
    </w:p>
    <w:p w14:paraId="5068BD32" w14:textId="77777777" w:rsidR="007D59EF" w:rsidRPr="00705EEC" w:rsidRDefault="007D59EF" w:rsidP="007D59EF">
      <w:pPr>
        <w:rPr>
          <w:szCs w:val="24"/>
          <w:lang w:val="lt-LT"/>
        </w:rPr>
      </w:pPr>
    </w:p>
    <w:p w14:paraId="5D2EFF5A"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5.</w:t>
      </w:r>
      <w:r w:rsidRPr="00705EEC">
        <w:rPr>
          <w:rFonts w:ascii="Times New Roman" w:hAnsi="Times New Roman"/>
          <w:sz w:val="22"/>
          <w:lang w:val="lt-LT"/>
        </w:rPr>
        <w:tab/>
        <w:t>FARMAKOLOGINĖS SAVYBĖS</w:t>
      </w:r>
    </w:p>
    <w:p w14:paraId="6F0717E1" w14:textId="77777777" w:rsidR="007D59EF" w:rsidRPr="00705EEC" w:rsidRDefault="007D59EF" w:rsidP="007D59EF">
      <w:pPr>
        <w:rPr>
          <w:szCs w:val="24"/>
          <w:lang w:val="lt-LT"/>
        </w:rPr>
      </w:pPr>
    </w:p>
    <w:p w14:paraId="7E2BFA10"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5.1</w:t>
      </w:r>
      <w:r w:rsidRPr="00705EEC">
        <w:rPr>
          <w:rFonts w:ascii="Times New Roman" w:hAnsi="Times New Roman"/>
          <w:bCs w:val="0"/>
          <w:sz w:val="22"/>
          <w:szCs w:val="24"/>
          <w:lang w:val="lt-LT"/>
        </w:rPr>
        <w:t xml:space="preserve"> </w:t>
      </w:r>
      <w:r w:rsidRPr="00705EEC">
        <w:rPr>
          <w:rFonts w:ascii="Times New Roman" w:hAnsi="Times New Roman"/>
          <w:sz w:val="22"/>
          <w:lang w:val="lt-LT"/>
        </w:rPr>
        <w:tab/>
        <w:t>Farmakodinaminės savybės</w:t>
      </w:r>
    </w:p>
    <w:p w14:paraId="7825243B" w14:textId="77777777" w:rsidR="007D59EF" w:rsidRPr="00705EEC" w:rsidRDefault="007D59EF" w:rsidP="007D59EF">
      <w:pPr>
        <w:rPr>
          <w:szCs w:val="24"/>
          <w:lang w:val="lt-LT"/>
        </w:rPr>
      </w:pPr>
    </w:p>
    <w:p w14:paraId="43EBE558" w14:textId="77777777" w:rsidR="007D59EF" w:rsidRPr="001C7577" w:rsidRDefault="007D59EF" w:rsidP="007D59EF">
      <w:pPr>
        <w:spacing w:line="240" w:lineRule="auto"/>
        <w:rPr>
          <w:lang w:val="lt-LT"/>
        </w:rPr>
      </w:pPr>
      <w:r w:rsidRPr="001C7577">
        <w:rPr>
          <w:lang w:val="lt-LT"/>
        </w:rPr>
        <w:t xml:space="preserve">Farmakoterapinė grupė: sisteminio poveikio priešvirusiniai vaistai, proteazių inhibitoriai,  </w:t>
      </w:r>
    </w:p>
    <w:p w14:paraId="4BCA28D3" w14:textId="77777777" w:rsidR="007D59EF" w:rsidRPr="001C7577" w:rsidRDefault="007D59EF" w:rsidP="007D59EF">
      <w:pPr>
        <w:spacing w:line="240" w:lineRule="auto"/>
        <w:rPr>
          <w:lang w:val="lt-LT"/>
        </w:rPr>
      </w:pPr>
      <w:r w:rsidRPr="001C7577">
        <w:rPr>
          <w:lang w:val="lt-LT"/>
        </w:rPr>
        <w:t>ATC kodas - J05AR10.</w:t>
      </w:r>
    </w:p>
    <w:p w14:paraId="258D07E9" w14:textId="77777777" w:rsidR="007D59EF" w:rsidRPr="001C7577" w:rsidRDefault="007D59EF" w:rsidP="007D59EF">
      <w:pPr>
        <w:spacing w:line="240" w:lineRule="auto"/>
        <w:rPr>
          <w:lang w:val="lt-LT"/>
        </w:rPr>
      </w:pPr>
    </w:p>
    <w:p w14:paraId="2E7546A5" w14:textId="77777777" w:rsidR="007D59EF" w:rsidRPr="001C7577" w:rsidRDefault="007D59EF" w:rsidP="007D59EF">
      <w:pPr>
        <w:spacing w:line="240" w:lineRule="auto"/>
        <w:rPr>
          <w:lang w:val="lt-LT"/>
        </w:rPr>
      </w:pPr>
      <w:r w:rsidRPr="001C7577">
        <w:rPr>
          <w:i/>
          <w:u w:val="single"/>
          <w:lang w:val="lt-LT"/>
        </w:rPr>
        <w:t>Veikimo mechanizmas.</w:t>
      </w:r>
      <w:r w:rsidRPr="001C7577">
        <w:rPr>
          <w:lang w:val="lt-LT"/>
        </w:rPr>
        <w:t xml:space="preserve"> Antivirusinis Lopinavir /Ritonavir Ranbaxy aktyvumas priklauso nuo lopinaviro. Lopinaviras yra ŽIV-1 ir ŽIV-2 proteazių inhibitorius. Nuslopinus ŽIV proteazę, sutrinka gag-pol poliproteino skilimas ir susidaro nebrandus, neinfekcinis virusas.</w:t>
      </w:r>
    </w:p>
    <w:p w14:paraId="6423E8FA" w14:textId="77777777" w:rsidR="007D59EF" w:rsidRPr="001C7577" w:rsidRDefault="007D59EF" w:rsidP="007D59EF">
      <w:pPr>
        <w:spacing w:line="240" w:lineRule="auto"/>
        <w:rPr>
          <w:lang w:val="lt-LT"/>
        </w:rPr>
      </w:pPr>
    </w:p>
    <w:p w14:paraId="50ADB222" w14:textId="77777777" w:rsidR="007D59EF" w:rsidRPr="001C7577" w:rsidRDefault="007D59EF" w:rsidP="007D59EF">
      <w:pPr>
        <w:spacing w:line="240" w:lineRule="auto"/>
        <w:rPr>
          <w:lang w:val="lt-LT"/>
        </w:rPr>
      </w:pPr>
      <w:r w:rsidRPr="001C7577">
        <w:rPr>
          <w:i/>
          <w:u w:val="single"/>
          <w:lang w:val="lt-LT"/>
        </w:rPr>
        <w:t>Pokyčiai elektrokardiogramoje:</w:t>
      </w:r>
      <w:r w:rsidRPr="001C7577">
        <w:rPr>
          <w:lang w:val="lt-LT"/>
        </w:rPr>
        <w:t xml:space="preserve"> atrankinio, placebu ir aktyviu preparatu (moksifloksacinas 400 mg vieną kartą per parą) kontroliuojamo, persikryžiuojančio tyrimo, kuriame dalyvavo 39 sveiki suaugusieji, 3-ąją parą per 12 valandų buvo paimta po 10 </w:t>
      </w:r>
      <w:r w:rsidRPr="001C7577">
        <w:rPr>
          <w:lang w:val="lt-LT"/>
        </w:rPr>
        <w:lastRenderedPageBreak/>
        <w:t>mėginių QTcF intervalui įvertinti. Didžiausias vidutinis (95% viršutinė pasikliautinio intervalo riba) QTcF skirtumas, lyginant su placebo grupe, buvo 3,6 (6,3) ir 13,1 (15,8), kai LPV/r dozė, atitinkamai, buvo 400/100 mg du kartus per parą arba didesnė už gydomąją - 800/200 mg du kartus per parą. Didelių lopinaviro ir ritonaviro dozių (800/200 mg du kartus per parą) sukeltas QRS interval pailgėjimas nuo 6 ms iki 9,5 ms sąlygoja QT pailgėjimą. Skiriant šiuos du gydymo režimus, 3-ąją parą susidarė vidutiniškai 1,5 ir 3 kartus didesnės koncentracijos, lyginant su ta pusiausvyrine koncentracija, kuri susidaro vartojant rekomenduojamas LPV/r dozes vieną arba du kartus per parą. Nei vienam asmeniui QTcF nepailgėjo ≥ 60 msek, lyginant su pradine verte, ar nepailgėjo tiek, kad viršytų galimai kliniškai reikšmingą 500 msek ribą.</w:t>
      </w:r>
    </w:p>
    <w:p w14:paraId="3297B119" w14:textId="77777777" w:rsidR="007D59EF" w:rsidRPr="001C7577" w:rsidRDefault="007D59EF" w:rsidP="007D59EF">
      <w:pPr>
        <w:spacing w:line="240" w:lineRule="auto"/>
        <w:rPr>
          <w:i/>
          <w:u w:val="single"/>
          <w:lang w:val="lt-LT"/>
        </w:rPr>
      </w:pPr>
    </w:p>
    <w:p w14:paraId="0071D165" w14:textId="77777777" w:rsidR="007D59EF" w:rsidRPr="001C7577" w:rsidRDefault="007D59EF" w:rsidP="007D59EF">
      <w:pPr>
        <w:spacing w:line="240" w:lineRule="auto"/>
        <w:rPr>
          <w:lang w:val="lt-LT"/>
        </w:rPr>
      </w:pPr>
      <w:r w:rsidRPr="001C7577">
        <w:rPr>
          <w:lang w:val="lt-LT"/>
        </w:rPr>
        <w:t>To paties tyrimo 3-ąją parą lopinavirą ir ritonavirą vartojusiems asmenims stebėtas nedidelis PR intervalo pailgėjimas. Vidutinis PR intervalo trukmės pokytis, lyginant su pradine verte, svyravo nuo 11,6 ms iki 24,4 ms per 12 val. po dozės pavartojimo. Didžiausia PR intervalo trukmė buvo 286 msek, antro ar trečio laipsnio širdies blokados nebuvo stebėta (žr. 4.4 skyrių).</w:t>
      </w:r>
    </w:p>
    <w:p w14:paraId="297AC3D8" w14:textId="77777777" w:rsidR="007D59EF" w:rsidRPr="001C7577" w:rsidRDefault="007D59EF" w:rsidP="007D59EF">
      <w:pPr>
        <w:spacing w:line="240" w:lineRule="auto"/>
        <w:rPr>
          <w:lang w:val="lt-LT"/>
        </w:rPr>
      </w:pPr>
    </w:p>
    <w:p w14:paraId="65B7F921" w14:textId="77777777" w:rsidR="007D59EF" w:rsidRPr="001C7577" w:rsidRDefault="007D59EF" w:rsidP="007D59EF">
      <w:pPr>
        <w:spacing w:line="240" w:lineRule="auto"/>
        <w:rPr>
          <w:lang w:val="lt-LT"/>
        </w:rPr>
      </w:pPr>
      <w:r w:rsidRPr="001C7577">
        <w:rPr>
          <w:i/>
          <w:lang w:val="lt-LT"/>
        </w:rPr>
        <w:t>Antivirusinis poveikis in vitro:</w:t>
      </w:r>
      <w:r w:rsidRPr="001C7577">
        <w:rPr>
          <w:lang w:val="lt-LT"/>
        </w:rPr>
        <w:t xml:space="preserve"> Antivirusinis lopinaviro poveikis </w:t>
      </w:r>
      <w:r w:rsidRPr="001C7577">
        <w:rPr>
          <w:i/>
          <w:lang w:val="lt-LT"/>
        </w:rPr>
        <w:t>in vitro</w:t>
      </w:r>
      <w:r w:rsidRPr="001C7577">
        <w:rPr>
          <w:lang w:val="lt-LT"/>
        </w:rPr>
        <w:t xml:space="preserve"> laboratorinėms ir klinikinėms ŽIV padermėms tirtas atitinkamai ūmiai infekuotuose limfoblastinėse ląstelėse ir periferinio kraujo limfocituose. Be žmogaus serumo, vidutinė lopinaviro IC</w:t>
      </w:r>
      <w:r w:rsidRPr="001C7577">
        <w:rPr>
          <w:vertAlign w:val="subscript"/>
          <w:lang w:val="lt-LT"/>
        </w:rPr>
        <w:t>50</w:t>
      </w:r>
      <w:r w:rsidRPr="001C7577">
        <w:rPr>
          <w:lang w:val="lt-LT"/>
        </w:rPr>
        <w:t xml:space="preserve"> prieš penkias skirtingas laboratorines ŽIV-1 padermes buvo 19 nM. Be žmogaus serumo ir esant 50% žmogaus serumo koncentracijai, vidutinė lopinaviro IC</w:t>
      </w:r>
      <w:r w:rsidRPr="001C7577">
        <w:rPr>
          <w:vertAlign w:val="subscript"/>
          <w:lang w:val="lt-LT"/>
        </w:rPr>
        <w:t>50</w:t>
      </w:r>
      <w:r w:rsidRPr="001C7577">
        <w:rPr>
          <w:lang w:val="lt-LT"/>
        </w:rPr>
        <w:t xml:space="preserve"> prieš ŽIV-1IIIB MT4 ląstelėse buvo atitinkamai 17 nM ir 102 nM. Be žmogaus serumo, vidutinė lopinaviro IC</w:t>
      </w:r>
      <w:r w:rsidRPr="001C7577">
        <w:rPr>
          <w:vertAlign w:val="subscript"/>
          <w:lang w:val="lt-LT"/>
        </w:rPr>
        <w:t>50</w:t>
      </w:r>
      <w:r w:rsidRPr="001C7577">
        <w:rPr>
          <w:lang w:val="lt-LT"/>
        </w:rPr>
        <w:t xml:space="preserve"> prieš kelis klinikinius ŽIV-1izoliatus buvo 6,5 nM.</w:t>
      </w:r>
    </w:p>
    <w:p w14:paraId="5DDD4D27" w14:textId="77777777" w:rsidR="007D59EF" w:rsidRPr="001C7577" w:rsidRDefault="007D59EF" w:rsidP="007D59EF">
      <w:pPr>
        <w:spacing w:line="240" w:lineRule="auto"/>
        <w:rPr>
          <w:lang w:val="lt-LT"/>
        </w:rPr>
      </w:pPr>
    </w:p>
    <w:p w14:paraId="0DE5B174" w14:textId="77777777" w:rsidR="007D59EF" w:rsidRPr="001C7577" w:rsidRDefault="007D59EF" w:rsidP="007D59EF">
      <w:pPr>
        <w:spacing w:line="240" w:lineRule="auto"/>
        <w:rPr>
          <w:i/>
          <w:u w:val="single"/>
          <w:lang w:val="lt-LT"/>
        </w:rPr>
      </w:pPr>
      <w:r w:rsidRPr="001C7577">
        <w:rPr>
          <w:i/>
          <w:u w:val="single"/>
          <w:lang w:val="lt-LT"/>
        </w:rPr>
        <w:t>Atsparumas</w:t>
      </w:r>
    </w:p>
    <w:p w14:paraId="3FD57247" w14:textId="77777777" w:rsidR="007D59EF" w:rsidRPr="001C7577" w:rsidRDefault="007D59EF" w:rsidP="007D59EF">
      <w:pPr>
        <w:spacing w:line="240" w:lineRule="auto"/>
        <w:rPr>
          <w:i/>
          <w:u w:val="single"/>
          <w:lang w:val="lt-LT"/>
        </w:rPr>
      </w:pPr>
    </w:p>
    <w:p w14:paraId="7A8DDE0A" w14:textId="77777777" w:rsidR="007D59EF" w:rsidRPr="001C7577" w:rsidRDefault="007D59EF" w:rsidP="007D59EF">
      <w:pPr>
        <w:spacing w:line="240" w:lineRule="auto"/>
        <w:rPr>
          <w:i/>
          <w:lang w:val="lt-LT"/>
        </w:rPr>
      </w:pPr>
      <w:r w:rsidRPr="001C7577">
        <w:rPr>
          <w:i/>
          <w:lang w:val="lt-LT"/>
        </w:rPr>
        <w:t>In vitro atsparumo selekcija</w:t>
      </w:r>
    </w:p>
    <w:p w14:paraId="2F8C1414" w14:textId="77777777" w:rsidR="007D59EF" w:rsidRPr="001C7577" w:rsidRDefault="007D59EF" w:rsidP="007D59EF">
      <w:pPr>
        <w:spacing w:line="240" w:lineRule="auto"/>
        <w:rPr>
          <w:i/>
          <w:lang w:val="lt-LT"/>
        </w:rPr>
      </w:pPr>
    </w:p>
    <w:p w14:paraId="2BEB1311" w14:textId="77777777" w:rsidR="007D59EF" w:rsidRPr="001C7577" w:rsidRDefault="007D59EF" w:rsidP="007D59EF">
      <w:pPr>
        <w:spacing w:line="240" w:lineRule="auto"/>
        <w:rPr>
          <w:lang w:val="lt-LT"/>
        </w:rPr>
      </w:pPr>
      <w:r w:rsidRPr="001C7577">
        <w:rPr>
          <w:i/>
          <w:lang w:val="lt-LT"/>
        </w:rPr>
        <w:t>In vitro</w:t>
      </w:r>
      <w:r w:rsidRPr="001C7577">
        <w:rPr>
          <w:lang w:val="lt-LT"/>
        </w:rPr>
        <w:t xml:space="preserve"> buvo atrinkti ŽIV-1 izoliatai, kurių jautrumas lopinavirui buvo sumažėjęs. ŽIV-1 pasažo </w:t>
      </w:r>
      <w:r w:rsidRPr="001C7577">
        <w:rPr>
          <w:i/>
          <w:lang w:val="lt-LT"/>
        </w:rPr>
        <w:t>in vitro</w:t>
      </w:r>
      <w:r w:rsidRPr="001C7577">
        <w:rPr>
          <w:lang w:val="lt-LT"/>
        </w:rPr>
        <w:t xml:space="preserve"> metu kartu su vienu lopinaviru ir su lopinaviru bei ritonaviru koncentracijų santykis atitiko plazmos koncentracijų, kurios susidaro vartojant Lopinavir/Ritonavir Ranbaxy, santykį. Genotipinė ir fenotipinė virusų, selekcionuotų šiais pasėliais, analizė rodo, kad ritonaviras, esant tokiam koncentracijų santykiui, neturėjo reikšmingos įtakos lopinavorui atsparių virusų selekcijai. Nustatytas </w:t>
      </w:r>
      <w:r w:rsidRPr="001C7577">
        <w:rPr>
          <w:i/>
          <w:lang w:val="lt-LT"/>
        </w:rPr>
        <w:t>in vitro</w:t>
      </w:r>
      <w:r w:rsidRPr="001C7577">
        <w:rPr>
          <w:lang w:val="lt-LT"/>
        </w:rPr>
        <w:t xml:space="preserve"> fenotipinis kryžminis atsparumas tarp lopinaviro ir kitų proteazės inhibitorių rodo, kad sumažėjęs jautrumas lopinavirui glaudžiai koreliuoja su sumažėjusiu jautrumu ritonavirui, indinavirui, bet nekoreliuoja su sumažėjusiu jautrumu amprenavirui, sakvinavirui ir nelfinavirui.</w:t>
      </w:r>
    </w:p>
    <w:p w14:paraId="744737CF" w14:textId="77777777" w:rsidR="007D59EF" w:rsidRPr="001C7577" w:rsidRDefault="007D59EF" w:rsidP="007D59EF">
      <w:pPr>
        <w:spacing w:line="240" w:lineRule="auto"/>
        <w:rPr>
          <w:i/>
          <w:u w:val="single"/>
          <w:lang w:val="lt-LT"/>
        </w:rPr>
      </w:pPr>
    </w:p>
    <w:p w14:paraId="6B34E8B9" w14:textId="77777777" w:rsidR="007D59EF" w:rsidRPr="001C7577" w:rsidRDefault="007D59EF" w:rsidP="007D59EF">
      <w:pPr>
        <w:spacing w:line="240" w:lineRule="auto"/>
        <w:rPr>
          <w:i/>
          <w:lang w:val="lt-LT"/>
        </w:rPr>
      </w:pPr>
      <w:r w:rsidRPr="001C7577">
        <w:rPr>
          <w:i/>
          <w:lang w:val="lt-LT"/>
        </w:rPr>
        <w:t>Anksčiau ARV negydytų pacientų atsparumo analizė</w:t>
      </w:r>
    </w:p>
    <w:p w14:paraId="67D0EA08" w14:textId="77777777" w:rsidR="007D59EF" w:rsidRPr="001C7577" w:rsidRDefault="007D59EF" w:rsidP="007D59EF">
      <w:pPr>
        <w:spacing w:line="240" w:lineRule="auto"/>
        <w:rPr>
          <w:i/>
          <w:lang w:val="lt-LT"/>
        </w:rPr>
      </w:pPr>
    </w:p>
    <w:p w14:paraId="54AF133D" w14:textId="77777777" w:rsidR="007D59EF" w:rsidRPr="001C7577" w:rsidRDefault="007D59EF" w:rsidP="007D59EF">
      <w:pPr>
        <w:spacing w:line="240" w:lineRule="auto"/>
        <w:rPr>
          <w:lang w:val="lt-LT"/>
        </w:rPr>
      </w:pPr>
      <w:r w:rsidRPr="001C7577">
        <w:rPr>
          <w:lang w:val="lt-LT"/>
        </w:rPr>
        <w:t>Klinikinių tyrimų, atliktų su ribotu izoliatų skaičiumi, metu atsparumas lopinavirui nebuvo stebėtas anksčiau negydytų pacientų, kurie nebuvo atsparūs proteazių inhibitoriams tyrimo pradžioje, tarpe. Platesnį aprašymą rasite klinikiniuose tyrimuose.</w:t>
      </w:r>
    </w:p>
    <w:p w14:paraId="5B81FF4C" w14:textId="77777777" w:rsidR="007D59EF" w:rsidRPr="001C7577" w:rsidRDefault="007D59EF" w:rsidP="007D59EF">
      <w:pPr>
        <w:spacing w:line="240" w:lineRule="auto"/>
        <w:rPr>
          <w:lang w:val="lt-LT"/>
        </w:rPr>
      </w:pPr>
    </w:p>
    <w:p w14:paraId="252BF548" w14:textId="77777777" w:rsidR="007D59EF" w:rsidRPr="001C7577" w:rsidRDefault="007D59EF" w:rsidP="007D59EF">
      <w:pPr>
        <w:spacing w:line="240" w:lineRule="auto"/>
        <w:rPr>
          <w:i/>
          <w:lang w:val="lt-LT"/>
        </w:rPr>
      </w:pPr>
      <w:r w:rsidRPr="001C7577">
        <w:rPr>
          <w:i/>
          <w:lang w:val="lt-LT"/>
        </w:rPr>
        <w:t>PI gydytų pacientų atsparumo analizė</w:t>
      </w:r>
    </w:p>
    <w:p w14:paraId="226D8980" w14:textId="77777777" w:rsidR="007D59EF" w:rsidRPr="001C7577" w:rsidRDefault="007D59EF" w:rsidP="007D59EF">
      <w:pPr>
        <w:spacing w:line="240" w:lineRule="auto"/>
        <w:rPr>
          <w:i/>
          <w:lang w:val="lt-LT"/>
        </w:rPr>
      </w:pPr>
    </w:p>
    <w:p w14:paraId="5F40ABC5" w14:textId="77777777" w:rsidR="007D59EF" w:rsidRPr="001C7577" w:rsidRDefault="007D59EF" w:rsidP="007D59EF">
      <w:pPr>
        <w:spacing w:line="240" w:lineRule="auto"/>
        <w:rPr>
          <w:lang w:val="lt-LT"/>
        </w:rPr>
      </w:pPr>
      <w:r w:rsidRPr="001C7577">
        <w:rPr>
          <w:lang w:val="lt-LT"/>
        </w:rPr>
        <w:t xml:space="preserve">Atrenkant pacientus atsparius lopinavirui, kuriems ankstesnis gydymas proteazių inhibitoriais buvo nesėkmingas, šis atsparumas buvo apibūdinamas analizuojant išilginius izoliatus iš 19 proteazių inhibitoriais gydytų asmenų 2 II fazės ir viename III fazės tyrimuose, pas kuriuos buvo nepilnai nuslopinti virusai arba virusai išliko po pradinio atsako į gydymą lopinaviru/ritonaviru ir kurių </w:t>
      </w:r>
      <w:r w:rsidRPr="001C7577">
        <w:rPr>
          <w:i/>
          <w:lang w:val="lt-LT"/>
        </w:rPr>
        <w:t>in vitro</w:t>
      </w:r>
      <w:r w:rsidRPr="001C7577">
        <w:rPr>
          <w:lang w:val="lt-LT"/>
        </w:rPr>
        <w:t xml:space="preserve"> atsparumas laipsniškai didėjo </w:t>
      </w:r>
      <w:r w:rsidRPr="001C7577">
        <w:rPr>
          <w:lang w:val="lt-LT"/>
        </w:rPr>
        <w:lastRenderedPageBreak/>
        <w:t>nuo pradinio virusų lygio iki jų išlikimo (apibrėžiama, kaip naujų mutacijų atsiradimas arba fenotipinio imlumo lopinavirui pasikeitimas 2 kartus). Laipsniškas atsparumo didėjimas dažniausiai buvo stebimas su asmenimis, kurių pradiniuose izoliatuose buvo keletas su proteazių inhibitoriais susijusių mutacijų, bet imlumas lopinaviro pradiniam lygiui buvo sumažėjęs &lt; 40 kartų. Dažniausiai atsirado V82A, I54V ir M46I mutacijos. Taip pat buvo stebimos L33F, I50V ir V32I kombinacijos su I47V/A mutacijos. Su 19 izoliatų buvo gautas IC</w:t>
      </w:r>
      <w:r w:rsidRPr="001C7577">
        <w:rPr>
          <w:vertAlign w:val="subscript"/>
          <w:lang w:val="lt-LT"/>
        </w:rPr>
        <w:t>50</w:t>
      </w:r>
      <w:r w:rsidRPr="001C7577">
        <w:rPr>
          <w:lang w:val="lt-LT"/>
        </w:rPr>
        <w:t xml:space="preserve"> padidėjimas 4,3 karto, lyginant su pradiniais izoliatais (nuo 6,2 iki 43 kartų, lyginant su prieš ŽIV veikiančiais vaistais negydytais virusais).</w:t>
      </w:r>
    </w:p>
    <w:p w14:paraId="4F0A8E37" w14:textId="77777777" w:rsidR="007D59EF" w:rsidRPr="001C7577" w:rsidRDefault="007D59EF" w:rsidP="007D59EF">
      <w:pPr>
        <w:spacing w:line="240" w:lineRule="auto"/>
        <w:rPr>
          <w:lang w:val="lt-LT"/>
        </w:rPr>
      </w:pPr>
    </w:p>
    <w:p w14:paraId="62FEB22A" w14:textId="77777777" w:rsidR="007D59EF" w:rsidRPr="001C7577" w:rsidRDefault="007D59EF" w:rsidP="007D59EF">
      <w:pPr>
        <w:spacing w:line="240" w:lineRule="auto"/>
        <w:rPr>
          <w:lang w:val="lt-LT"/>
        </w:rPr>
      </w:pPr>
      <w:r w:rsidRPr="001C7577">
        <w:rPr>
          <w:lang w:val="lt-LT"/>
        </w:rPr>
        <w:t xml:space="preserve">Genotipas koreliuoja su virusų, selekcionuotų kitų proteazės inhibitorių, sumažėjusiu fenotipiniu jautrumu lopinavirui. Tirtas priešvirusinis lopinaviro aktyvumas </w:t>
      </w:r>
      <w:r w:rsidRPr="001C7577">
        <w:rPr>
          <w:i/>
          <w:lang w:val="lt-LT"/>
        </w:rPr>
        <w:t>in vitro</w:t>
      </w:r>
      <w:r w:rsidRPr="001C7577">
        <w:rPr>
          <w:lang w:val="lt-LT"/>
        </w:rPr>
        <w:t xml:space="preserve"> prieš 112 klinikinių izoliatų, gautų iš pacientų, kuriems gydymas vienu ar daugiau proteazės inhibitoriumi buvo neefektyvus. Šio tyrimo metu nustatyta ŽIV proteazės mutacijų, susijusių su sumažėjusiu in vitro jautrumu lopinavirui: L10F/I/R/V, K20M/R, L24I, M46I/L, F53L, I54L/T/V, L63P, A71I/L/T/V, V82A/F/T, I84V ir L90M. Vidurinioji lopinaviro EC50 prieš izoliatus su 0-3, 4-5, 6-7 ir 8-10 mutacijomis, kai amino rūgščių seka tokia, kaip nurodyta aukščiau, buvo atitinkamai 0,8, 2,7, 13,5 ir 44,0 kartų didesnė negu EC</w:t>
      </w:r>
      <w:r w:rsidRPr="001C7577">
        <w:rPr>
          <w:vertAlign w:val="subscript"/>
          <w:lang w:val="lt-LT"/>
        </w:rPr>
        <w:t>50</w:t>
      </w:r>
      <w:r w:rsidRPr="001C7577">
        <w:rPr>
          <w:lang w:val="lt-LT"/>
        </w:rPr>
        <w:t xml:space="preserve"> prieš natūralų ŽIV tipą. Visi 16 virusų, kurių jautrumas buvo pakitęs &gt; 20 kartų, turėjo mutacijas 10, 54, 63 plius 82 ir(ar) 84 pozicijose. Be to, jie turėjo 3 mutacijų medianą 20, 24, 46, 53, 71 ir 90 amino rūgščių pozicijose. Be anksčiau aprašytų mutacijų išlikusiuose izoliatuose su sumažėjusiu imlumu lopinavirui, gautuose iš proteazių inhibitoriais gydytų pacientų, gydytų lopinaviru/ritonaviru, buvo stebimos V321 ir I47A mutacijos, ir I47A bei L76V mutacijos, stebėtos išlikusiuose izoliatuose su sumažėjusiu imlumu lovinavirui, pacientams, kurie buvo gydomi lopinaviru/ritonaviru.</w:t>
      </w:r>
    </w:p>
    <w:p w14:paraId="6005DB75" w14:textId="77777777" w:rsidR="007D59EF" w:rsidRPr="001C7577" w:rsidRDefault="007D59EF" w:rsidP="007D59EF">
      <w:pPr>
        <w:spacing w:line="240" w:lineRule="auto"/>
        <w:rPr>
          <w:i/>
          <w:lang w:val="lt-LT"/>
        </w:rPr>
      </w:pPr>
    </w:p>
    <w:p w14:paraId="5BC10E6A" w14:textId="77777777" w:rsidR="007D59EF" w:rsidRPr="001C7577" w:rsidRDefault="007D59EF" w:rsidP="007D59EF">
      <w:pPr>
        <w:spacing w:line="240" w:lineRule="auto"/>
        <w:rPr>
          <w:lang w:val="lt-LT"/>
        </w:rPr>
      </w:pPr>
      <w:r w:rsidRPr="001C7577">
        <w:rPr>
          <w:lang w:val="lt-LT"/>
        </w:rPr>
        <w:t>Išvados dėl tam tikrų mutacijų ar mutacijų nuokrypių patikimumo gali keistis atsiradus papildomiems duomenims, todėl, analizuojant atsparumo testų rezultatus, visada rekomenduojama peržiūrėti naujausius duomenis sistemoje.</w:t>
      </w:r>
    </w:p>
    <w:p w14:paraId="1852DC77" w14:textId="77777777" w:rsidR="007D59EF" w:rsidRPr="001C7577" w:rsidRDefault="007D59EF" w:rsidP="007D59EF">
      <w:pPr>
        <w:spacing w:line="240" w:lineRule="auto"/>
        <w:rPr>
          <w:i/>
          <w:lang w:val="lt-LT"/>
        </w:rPr>
      </w:pPr>
    </w:p>
    <w:p w14:paraId="3DE0808C" w14:textId="77777777" w:rsidR="007D59EF" w:rsidRPr="001C7577" w:rsidRDefault="007D59EF" w:rsidP="007D59EF">
      <w:pPr>
        <w:spacing w:line="240" w:lineRule="auto"/>
        <w:rPr>
          <w:lang w:val="lt-LT"/>
        </w:rPr>
      </w:pPr>
      <w:r w:rsidRPr="001C7577">
        <w:rPr>
          <w:i/>
          <w:lang w:val="lt-LT"/>
        </w:rPr>
        <w:t>Priešvirusinis lopinaviro/ritonaviro aktyvumas pacientams, kuriems proteazės inhibitoriai buvo neefektyvūs</w:t>
      </w:r>
      <w:r w:rsidRPr="001C7577">
        <w:rPr>
          <w:lang w:val="lt-LT"/>
        </w:rPr>
        <w:t xml:space="preserve">: klinikinė sumažėjusio jautrumo lopinavirui </w:t>
      </w:r>
      <w:r w:rsidRPr="001C7577">
        <w:rPr>
          <w:i/>
          <w:lang w:val="lt-LT"/>
        </w:rPr>
        <w:t>in vitro</w:t>
      </w:r>
      <w:r w:rsidRPr="001C7577">
        <w:rPr>
          <w:lang w:val="lt-LT"/>
        </w:rPr>
        <w:t xml:space="preserve"> reikšmė buvo tirta 56 pacientams, kuriems ankstesnis gydymas keliais proteazės inhibitoriais buvo neefektyvus, vertinant virusologinį atsaką į gydymą lopinaviru/ritinoviru, ir atsižvelgiant į pradinį viruso genotipą bei fenotipą. Lopinaviro EC</w:t>
      </w:r>
      <w:r w:rsidRPr="001C7577">
        <w:rPr>
          <w:vertAlign w:val="subscript"/>
          <w:lang w:val="lt-LT"/>
        </w:rPr>
        <w:t xml:space="preserve">50 </w:t>
      </w:r>
      <w:r w:rsidRPr="001C7577">
        <w:rPr>
          <w:lang w:val="lt-LT"/>
        </w:rPr>
        <w:t>prieš 56 pradinius viruso izoliatus buvo 0,6 - 96 kartus didesnė negu EC</w:t>
      </w:r>
      <w:r w:rsidRPr="001C7577">
        <w:rPr>
          <w:vertAlign w:val="subscript"/>
          <w:lang w:val="lt-LT"/>
        </w:rPr>
        <w:t>50</w:t>
      </w:r>
      <w:r w:rsidRPr="001C7577">
        <w:rPr>
          <w:lang w:val="lt-LT"/>
        </w:rPr>
        <w:t xml:space="preserve"> prieš natūralaus ŽIV tipą. Po 48 gydymo lopinaviru/ritonaviru, efavirenzu ir nukleozidiniu atvirkštinės transkriptazės inhibitoriumi savaičių plazmos ŽIV RNR ≤ 400 kopijų/ml nustatyta 93% (25/27), 73% (11/15) ir 25% (2/8) pacientų, kurių pradinis sumažėjęs jautrumas lopinavirui buvo atitinkamai &lt; 10 kartų, 10-40 kartų ir &gt; 40 kartų. Be to, virusologinis atsakas stebėtas 91% (21/23), 71% (15/21) ir 33% (2/6) pacientų su 0-5, 6-7 ir 8-10 aukščiau minėtomis ŽIV protezės mutacijomis, susijusiomis su sumažėjusiu lopinaviro jautrumu </w:t>
      </w:r>
      <w:r w:rsidRPr="001C7577">
        <w:rPr>
          <w:i/>
          <w:lang w:val="lt-LT"/>
        </w:rPr>
        <w:t>in vitro</w:t>
      </w:r>
      <w:r w:rsidRPr="001C7577">
        <w:rPr>
          <w:lang w:val="lt-LT"/>
        </w:rPr>
        <w:t>. Kadangi šie pacientai anksčiau nebuvo gydyti lopinaviru/ritonaviru ar efavirenzu, dalis atsako galėjo priklausyti priešvirusiniam efavirenzo aktyvumui, ypač asmenims, infekuotiems labai atspariais lopinavirui virusais. Šiame tyrime nebuvo kontrolinės pacientų, negydytų lopinaviru/ritonaviru, grupės.</w:t>
      </w:r>
    </w:p>
    <w:p w14:paraId="68B040FD" w14:textId="77777777" w:rsidR="007D59EF" w:rsidRPr="001C7577" w:rsidRDefault="007D59EF" w:rsidP="007D59EF">
      <w:pPr>
        <w:spacing w:line="240" w:lineRule="auto"/>
        <w:rPr>
          <w:lang w:val="lt-LT"/>
        </w:rPr>
      </w:pPr>
    </w:p>
    <w:p w14:paraId="4CBA2AB6" w14:textId="77777777" w:rsidR="007D59EF" w:rsidRPr="001C7577" w:rsidRDefault="007D59EF" w:rsidP="007D59EF">
      <w:pPr>
        <w:spacing w:line="240" w:lineRule="auto"/>
        <w:rPr>
          <w:lang w:val="lt-LT"/>
        </w:rPr>
      </w:pPr>
      <w:r w:rsidRPr="001C7577">
        <w:rPr>
          <w:i/>
          <w:lang w:val="lt-LT"/>
        </w:rPr>
        <w:t>Kryžminis atsparumas.</w:t>
      </w:r>
      <w:r w:rsidRPr="001C7577">
        <w:rPr>
          <w:lang w:val="lt-LT"/>
        </w:rPr>
        <w:t xml:space="preserve"> Lopinaviro/ritonaviro proteazių inhibitoriais gydytų pacientų, kitų proteazių inhibitorių veikimas izoliatus, kuriuose po gydymo išsivystė laipsniškai didėjantis atsparumas lopinavirui: Lopinaviro/ritonaviro 3-jų II fazės ir vieno III fazės tyrimų, atliktų su proteazių inhibitoriais gydytais pacientais, metu kryžminio atsparumo kitiems proteazių inhibitoriams buvimas buvo tiriamas 18-oje išlikusių izoliatų, kuriuose pasireiškė atsparumo lopinavirui vystymasis. Vidutinis šių 18 izoliatų </w:t>
      </w:r>
      <w:r w:rsidRPr="001C7577">
        <w:rPr>
          <w:lang w:val="lt-LT"/>
        </w:rPr>
        <w:lastRenderedPageBreak/>
        <w:t>lopinaviro IC</w:t>
      </w:r>
      <w:r w:rsidRPr="001C7577">
        <w:rPr>
          <w:vertAlign w:val="subscript"/>
          <w:lang w:val="lt-LT"/>
        </w:rPr>
        <w:t>50</w:t>
      </w:r>
      <w:r w:rsidRPr="001C7577">
        <w:rPr>
          <w:lang w:val="lt-LT"/>
        </w:rPr>
        <w:t xml:space="preserve"> padidėjimas nuo pradinio lygio iki virusų išlikimo lygio buvo atitinkamai nuo 6,9 iki 63 kartų, lyginant su ŽIV veikiančiais vaistais negydytais virusais. Apskritai, išlikusiuose izoliatuose reikšmingas kryžminis atsparumas indinavirui, sakvinavirui ir atazanavirui išliko (jei pradiniame lygyje buvo kryžminis atsparumas) arba atsirado. Buvo stebimas nedidelis amprenaviro aktyvumo sumažėjimas, pradiniuose ir išlikusiuose izoliatuose IC</w:t>
      </w:r>
      <w:r w:rsidRPr="001C7577">
        <w:rPr>
          <w:vertAlign w:val="subscript"/>
          <w:lang w:val="lt-LT"/>
        </w:rPr>
        <w:t>50</w:t>
      </w:r>
      <w:r w:rsidRPr="001C7577">
        <w:rPr>
          <w:lang w:val="lt-LT"/>
        </w:rPr>
        <w:t xml:space="preserve"> vidutiniškai padidėjo atitinkamai nuo 3,7 iki 8 kartų. Izoliatai liko imlūs tipranavirui, vidutinis IC</w:t>
      </w:r>
      <w:r w:rsidRPr="001C7577">
        <w:rPr>
          <w:vertAlign w:val="subscript"/>
          <w:lang w:val="lt-LT"/>
        </w:rPr>
        <w:t>50</w:t>
      </w:r>
      <w:r w:rsidRPr="001C7577">
        <w:rPr>
          <w:lang w:val="lt-LT"/>
        </w:rPr>
        <w:t xml:space="preserve"> padidėjimas pradiniuose ir išlikusiuose izoliatuose buvo atitinkamai nuo 1,9 iki 1,8 karto, lyginant su ŽIV veikiančiais vaistais negydytais virusais. </w:t>
      </w:r>
    </w:p>
    <w:p w14:paraId="1D056B2D" w14:textId="77777777" w:rsidR="007D59EF" w:rsidRPr="001C7577" w:rsidRDefault="007D59EF" w:rsidP="007D59EF">
      <w:pPr>
        <w:spacing w:line="240" w:lineRule="auto"/>
        <w:rPr>
          <w:i/>
          <w:lang w:val="lt-LT"/>
        </w:rPr>
      </w:pPr>
    </w:p>
    <w:p w14:paraId="73ED55C4" w14:textId="77777777" w:rsidR="007D59EF" w:rsidRPr="001C7577" w:rsidRDefault="007D59EF" w:rsidP="007D59EF">
      <w:pPr>
        <w:spacing w:line="240" w:lineRule="auto"/>
        <w:rPr>
          <w:i/>
          <w:u w:val="single"/>
          <w:lang w:val="lt-LT"/>
        </w:rPr>
      </w:pPr>
      <w:r w:rsidRPr="001C7577">
        <w:rPr>
          <w:i/>
          <w:u w:val="single"/>
          <w:lang w:val="lt-LT"/>
        </w:rPr>
        <w:t>Klinikiniai rezultatai</w:t>
      </w:r>
    </w:p>
    <w:p w14:paraId="730037C9" w14:textId="77777777" w:rsidR="007D59EF" w:rsidRPr="001C7577" w:rsidRDefault="007D59EF" w:rsidP="007D59EF">
      <w:pPr>
        <w:spacing w:line="240" w:lineRule="auto"/>
        <w:rPr>
          <w:i/>
          <w:lang w:val="lt-LT"/>
        </w:rPr>
      </w:pPr>
    </w:p>
    <w:p w14:paraId="6A691653" w14:textId="77777777" w:rsidR="007D59EF" w:rsidRPr="001C7577" w:rsidRDefault="007D59EF" w:rsidP="007D59EF">
      <w:pPr>
        <w:spacing w:line="240" w:lineRule="auto"/>
        <w:rPr>
          <w:lang w:val="lt-LT"/>
        </w:rPr>
      </w:pPr>
      <w:r w:rsidRPr="001C7577">
        <w:rPr>
          <w:lang w:val="lt-LT"/>
        </w:rPr>
        <w:t>Lopinaviro/ritonaviro (kartu su kitais antiretrovirusiniais vaistais) poveikis biologiniams žymenims (plazmos ŽIV RNR kiekiui ir CD4+ T ląstelių skaičiui) buvo tirtas kontroliuojamų lopinaviro/ritonaviro tyrimų metu, kurie truko nuo 48 iki 360 savaičių.</w:t>
      </w:r>
    </w:p>
    <w:p w14:paraId="5C8A552D" w14:textId="77777777" w:rsidR="007D59EF" w:rsidRPr="001C7577" w:rsidRDefault="007D59EF" w:rsidP="007D59EF">
      <w:pPr>
        <w:spacing w:line="240" w:lineRule="auto"/>
        <w:rPr>
          <w:lang w:val="lt-LT"/>
        </w:rPr>
      </w:pPr>
    </w:p>
    <w:p w14:paraId="41F2962F" w14:textId="77777777" w:rsidR="007D59EF" w:rsidRPr="001C7577" w:rsidRDefault="007D59EF" w:rsidP="007D59EF">
      <w:pPr>
        <w:spacing w:line="240" w:lineRule="auto"/>
        <w:rPr>
          <w:i/>
          <w:lang w:val="lt-LT"/>
        </w:rPr>
      </w:pPr>
      <w:r w:rsidRPr="001C7577">
        <w:rPr>
          <w:i/>
          <w:lang w:val="lt-LT"/>
        </w:rPr>
        <w:t>Suaugusiesiems</w:t>
      </w:r>
    </w:p>
    <w:p w14:paraId="12786610" w14:textId="77777777" w:rsidR="007D59EF" w:rsidRPr="001C7577" w:rsidRDefault="007D59EF" w:rsidP="007D59EF">
      <w:pPr>
        <w:spacing w:line="240" w:lineRule="auto"/>
        <w:rPr>
          <w:lang w:val="lt-LT"/>
        </w:rPr>
      </w:pPr>
    </w:p>
    <w:p w14:paraId="2FF03740" w14:textId="77777777" w:rsidR="007D59EF" w:rsidRPr="001C7577" w:rsidRDefault="007D59EF" w:rsidP="007D59EF">
      <w:pPr>
        <w:spacing w:line="240" w:lineRule="auto"/>
        <w:rPr>
          <w:u w:val="single"/>
          <w:lang w:val="lt-LT"/>
        </w:rPr>
      </w:pPr>
      <w:r w:rsidRPr="001C7577">
        <w:rPr>
          <w:u w:val="single"/>
          <w:lang w:val="lt-LT"/>
        </w:rPr>
        <w:t>Pacientams, kuriems anksčiau nebuvo taikytas antiretrovirusinis gydymas</w:t>
      </w:r>
    </w:p>
    <w:p w14:paraId="2D845802" w14:textId="77777777" w:rsidR="007D59EF" w:rsidRPr="001C7577" w:rsidRDefault="007D59EF" w:rsidP="007D59EF">
      <w:pPr>
        <w:spacing w:line="240" w:lineRule="auto"/>
        <w:rPr>
          <w:lang w:val="lt-LT"/>
        </w:rPr>
      </w:pPr>
    </w:p>
    <w:p w14:paraId="493122B0" w14:textId="77777777" w:rsidR="007D59EF" w:rsidRPr="001C7577" w:rsidRDefault="007D59EF" w:rsidP="007D59EF">
      <w:pPr>
        <w:spacing w:line="240" w:lineRule="auto"/>
        <w:rPr>
          <w:lang w:val="lt-LT"/>
        </w:rPr>
      </w:pPr>
      <w:r w:rsidRPr="001C7577">
        <w:rPr>
          <w:lang w:val="lt-LT"/>
        </w:rPr>
        <w:t>M98-863 buvo randomizuotas, dvigubai aklas 653 antiretrovirusiniais vaistais negydytų pacientų tyrimas, lyginantis lopimavirą/ritonavirą (400/100 mg du kartus per parą) su nelfinaviru (750 mg tris kartus per parą) kartu su stadavudinu ir lamivudinu. Vidutinis CD4+ T-ląstelių skaičius tyrimo pradžioje buvo 259 ląstelių/mm3 (ribos: nuo 2 iki 949 ląstelių/ mm3), o vidutinis plazmos ŽIV-1 RNR tyrimo pradžioje buvo 4,9 log10 kopijų/ml (ribos: nuo 2,6 iki 6,8 log10 kopijų/ml).</w:t>
      </w:r>
    </w:p>
    <w:p w14:paraId="7D0C8B3B" w14:textId="77777777" w:rsidR="007D59EF" w:rsidRPr="001C7577" w:rsidRDefault="007D59EF" w:rsidP="007D59EF">
      <w:pPr>
        <w:spacing w:line="240" w:lineRule="auto"/>
        <w:rPr>
          <w:lang w:val="lt-LT"/>
        </w:rPr>
      </w:pPr>
    </w:p>
    <w:p w14:paraId="654659B5" w14:textId="77777777" w:rsidR="007D59EF" w:rsidRPr="001C7577" w:rsidRDefault="007D59EF" w:rsidP="007D59EF">
      <w:pPr>
        <w:spacing w:line="240" w:lineRule="auto"/>
        <w:rPr>
          <w:lang w:val="lt-LT"/>
        </w:rPr>
      </w:pPr>
      <w:r w:rsidRPr="001C7577">
        <w:rPr>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2654"/>
        <w:gridCol w:w="2291"/>
      </w:tblGrid>
      <w:tr w:rsidR="007D59EF" w:rsidRPr="00705EEC" w14:paraId="43E8DF5F" w14:textId="77777777" w:rsidTr="007D59EF">
        <w:tc>
          <w:tcPr>
            <w:tcW w:w="9854" w:type="dxa"/>
            <w:gridSpan w:val="3"/>
            <w:shd w:val="clear" w:color="auto" w:fill="auto"/>
          </w:tcPr>
          <w:p w14:paraId="56EC5795" w14:textId="77777777" w:rsidR="007D59EF" w:rsidRPr="001C7577" w:rsidRDefault="007D59EF" w:rsidP="007D59EF">
            <w:pPr>
              <w:spacing w:line="240" w:lineRule="auto"/>
              <w:jc w:val="center"/>
              <w:rPr>
                <w:b/>
                <w:lang w:val="lt-LT"/>
              </w:rPr>
            </w:pPr>
            <w:r w:rsidRPr="001C7577">
              <w:rPr>
                <w:b/>
                <w:lang w:val="lt-LT"/>
              </w:rPr>
              <w:t>M98-863 tyrimo rezultatai 48 savaitę</w:t>
            </w:r>
          </w:p>
        </w:tc>
      </w:tr>
      <w:tr w:rsidR="007D59EF" w:rsidRPr="00705EEC" w14:paraId="5317B47F" w14:textId="77777777" w:rsidTr="007D59EF">
        <w:tc>
          <w:tcPr>
            <w:tcW w:w="4644" w:type="dxa"/>
            <w:shd w:val="clear" w:color="auto" w:fill="auto"/>
          </w:tcPr>
          <w:p w14:paraId="57CE1D19" w14:textId="77777777" w:rsidR="007D59EF" w:rsidRPr="001C7577" w:rsidRDefault="007D59EF" w:rsidP="007D59EF">
            <w:pPr>
              <w:spacing w:line="240" w:lineRule="auto"/>
              <w:rPr>
                <w:lang w:val="lt-LT"/>
              </w:rPr>
            </w:pPr>
          </w:p>
        </w:tc>
        <w:tc>
          <w:tcPr>
            <w:tcW w:w="2694" w:type="dxa"/>
            <w:shd w:val="clear" w:color="auto" w:fill="auto"/>
          </w:tcPr>
          <w:p w14:paraId="193F1CE7" w14:textId="77777777" w:rsidR="007D59EF" w:rsidRPr="001C7577" w:rsidRDefault="007D59EF" w:rsidP="007D59EF">
            <w:pPr>
              <w:spacing w:line="240" w:lineRule="auto"/>
              <w:jc w:val="center"/>
              <w:rPr>
                <w:b/>
                <w:lang w:val="lt-LT"/>
              </w:rPr>
            </w:pPr>
            <w:r w:rsidRPr="001C7577">
              <w:rPr>
                <w:b/>
                <w:lang w:val="lt-LT"/>
              </w:rPr>
              <w:t>Lopinaviras/ritonaviras (N=326)</w:t>
            </w:r>
          </w:p>
        </w:tc>
        <w:tc>
          <w:tcPr>
            <w:tcW w:w="2516" w:type="dxa"/>
            <w:shd w:val="clear" w:color="auto" w:fill="auto"/>
          </w:tcPr>
          <w:p w14:paraId="25449513" w14:textId="77777777" w:rsidR="007D59EF" w:rsidRPr="001C7577" w:rsidRDefault="007D59EF" w:rsidP="007D59EF">
            <w:pPr>
              <w:spacing w:line="240" w:lineRule="auto"/>
              <w:jc w:val="center"/>
              <w:rPr>
                <w:b/>
                <w:lang w:val="lt-LT"/>
              </w:rPr>
            </w:pPr>
            <w:r w:rsidRPr="001C7577">
              <w:rPr>
                <w:b/>
                <w:lang w:val="lt-LT"/>
              </w:rPr>
              <w:t>Nelfinavir (N=327)</w:t>
            </w:r>
          </w:p>
        </w:tc>
      </w:tr>
      <w:tr w:rsidR="007D59EF" w:rsidRPr="00705EEC" w14:paraId="67BACDF1" w14:textId="77777777" w:rsidTr="007D59EF">
        <w:tc>
          <w:tcPr>
            <w:tcW w:w="4644" w:type="dxa"/>
            <w:shd w:val="clear" w:color="auto" w:fill="auto"/>
          </w:tcPr>
          <w:p w14:paraId="4F7447A0" w14:textId="77777777" w:rsidR="007D59EF" w:rsidRPr="001C7577" w:rsidRDefault="007D59EF" w:rsidP="007D59EF">
            <w:pPr>
              <w:spacing w:line="240" w:lineRule="auto"/>
              <w:rPr>
                <w:lang w:val="lt-LT"/>
              </w:rPr>
            </w:pPr>
            <w:r w:rsidRPr="001C7577">
              <w:rPr>
                <w:lang w:val="lt-LT"/>
              </w:rPr>
              <w:t xml:space="preserve">ŽIV RNR &lt; 400 kopijų/ml* </w:t>
            </w:r>
          </w:p>
        </w:tc>
        <w:tc>
          <w:tcPr>
            <w:tcW w:w="2694" w:type="dxa"/>
            <w:shd w:val="clear" w:color="auto" w:fill="auto"/>
          </w:tcPr>
          <w:p w14:paraId="3AEC96A6" w14:textId="77777777" w:rsidR="007D59EF" w:rsidRPr="001C7577" w:rsidRDefault="007D59EF" w:rsidP="007D59EF">
            <w:pPr>
              <w:spacing w:line="240" w:lineRule="auto"/>
              <w:jc w:val="center"/>
              <w:rPr>
                <w:lang w:val="lt-LT"/>
              </w:rPr>
            </w:pPr>
            <w:r w:rsidRPr="001C7577">
              <w:rPr>
                <w:lang w:val="lt-LT"/>
              </w:rPr>
              <w:t>75%</w:t>
            </w:r>
          </w:p>
        </w:tc>
        <w:tc>
          <w:tcPr>
            <w:tcW w:w="2516" w:type="dxa"/>
            <w:shd w:val="clear" w:color="auto" w:fill="auto"/>
          </w:tcPr>
          <w:p w14:paraId="215C29C2" w14:textId="77777777" w:rsidR="007D59EF" w:rsidRPr="001C7577" w:rsidRDefault="007D59EF" w:rsidP="007D59EF">
            <w:pPr>
              <w:spacing w:line="240" w:lineRule="auto"/>
              <w:jc w:val="center"/>
              <w:rPr>
                <w:lang w:val="lt-LT"/>
              </w:rPr>
            </w:pPr>
            <w:r w:rsidRPr="001C7577">
              <w:rPr>
                <w:lang w:val="lt-LT"/>
              </w:rPr>
              <w:t>63%</w:t>
            </w:r>
          </w:p>
        </w:tc>
      </w:tr>
      <w:tr w:rsidR="007D59EF" w:rsidRPr="00705EEC" w14:paraId="3A6AED39" w14:textId="77777777" w:rsidTr="007D59EF">
        <w:tc>
          <w:tcPr>
            <w:tcW w:w="4644" w:type="dxa"/>
            <w:shd w:val="clear" w:color="auto" w:fill="auto"/>
          </w:tcPr>
          <w:p w14:paraId="047B87EC" w14:textId="77777777" w:rsidR="007D59EF" w:rsidRPr="001C7577" w:rsidRDefault="007D59EF" w:rsidP="007D59EF">
            <w:pPr>
              <w:spacing w:line="240" w:lineRule="auto"/>
              <w:rPr>
                <w:lang w:val="lt-LT"/>
              </w:rPr>
            </w:pPr>
            <w:r w:rsidRPr="001C7577">
              <w:rPr>
                <w:lang w:val="lt-LT"/>
              </w:rPr>
              <w:t xml:space="preserve">ŽIV RNR &lt; 50 kopijų/ml*† </w:t>
            </w:r>
          </w:p>
        </w:tc>
        <w:tc>
          <w:tcPr>
            <w:tcW w:w="2694" w:type="dxa"/>
            <w:shd w:val="clear" w:color="auto" w:fill="auto"/>
          </w:tcPr>
          <w:p w14:paraId="121A1565" w14:textId="77777777" w:rsidR="007D59EF" w:rsidRPr="001C7577" w:rsidRDefault="007D59EF" w:rsidP="007D59EF">
            <w:pPr>
              <w:spacing w:line="240" w:lineRule="auto"/>
              <w:jc w:val="center"/>
              <w:rPr>
                <w:lang w:val="lt-LT"/>
              </w:rPr>
            </w:pPr>
            <w:r w:rsidRPr="001C7577">
              <w:rPr>
                <w:lang w:val="lt-LT"/>
              </w:rPr>
              <w:t>67%</w:t>
            </w:r>
          </w:p>
        </w:tc>
        <w:tc>
          <w:tcPr>
            <w:tcW w:w="2516" w:type="dxa"/>
            <w:shd w:val="clear" w:color="auto" w:fill="auto"/>
          </w:tcPr>
          <w:p w14:paraId="0DB38110" w14:textId="77777777" w:rsidR="007D59EF" w:rsidRPr="001C7577" w:rsidRDefault="007D59EF" w:rsidP="007D59EF">
            <w:pPr>
              <w:spacing w:line="240" w:lineRule="auto"/>
              <w:jc w:val="center"/>
              <w:rPr>
                <w:lang w:val="lt-LT"/>
              </w:rPr>
            </w:pPr>
            <w:r w:rsidRPr="001C7577">
              <w:rPr>
                <w:lang w:val="lt-LT"/>
              </w:rPr>
              <w:t>52%</w:t>
            </w:r>
          </w:p>
        </w:tc>
      </w:tr>
      <w:tr w:rsidR="007D59EF" w:rsidRPr="00705EEC" w14:paraId="16F95B77" w14:textId="77777777" w:rsidTr="007D59EF">
        <w:tc>
          <w:tcPr>
            <w:tcW w:w="4644" w:type="dxa"/>
            <w:shd w:val="clear" w:color="auto" w:fill="auto"/>
          </w:tcPr>
          <w:p w14:paraId="331B7634" w14:textId="77777777" w:rsidR="007D59EF" w:rsidRPr="001C7577" w:rsidRDefault="007D59EF" w:rsidP="007D59EF">
            <w:pPr>
              <w:spacing w:line="240" w:lineRule="auto"/>
              <w:rPr>
                <w:lang w:val="lt-LT"/>
              </w:rPr>
            </w:pPr>
            <w:r w:rsidRPr="001C7577">
              <w:rPr>
                <w:lang w:val="lt-LT"/>
              </w:rPr>
              <w:t>CD4+ T-ląstelių skaičiaus vidutinis padidėjimas nuo tyrimo pradžios (ląstelių/mm</w:t>
            </w:r>
            <w:r w:rsidRPr="001C7577">
              <w:rPr>
                <w:vertAlign w:val="superscript"/>
                <w:lang w:val="lt-LT"/>
              </w:rPr>
              <w:t>3</w:t>
            </w:r>
            <w:r w:rsidRPr="001C7577">
              <w:rPr>
                <w:lang w:val="lt-LT"/>
              </w:rPr>
              <w:t>)</w:t>
            </w:r>
          </w:p>
        </w:tc>
        <w:tc>
          <w:tcPr>
            <w:tcW w:w="2694" w:type="dxa"/>
            <w:shd w:val="clear" w:color="auto" w:fill="auto"/>
          </w:tcPr>
          <w:p w14:paraId="3F928235" w14:textId="77777777" w:rsidR="007D59EF" w:rsidRPr="001C7577" w:rsidRDefault="007D59EF" w:rsidP="007D59EF">
            <w:pPr>
              <w:spacing w:line="240" w:lineRule="auto"/>
              <w:jc w:val="center"/>
              <w:rPr>
                <w:lang w:val="lt-LT"/>
              </w:rPr>
            </w:pPr>
            <w:r w:rsidRPr="001C7577">
              <w:rPr>
                <w:lang w:val="lt-LT"/>
              </w:rPr>
              <w:t>207</w:t>
            </w:r>
          </w:p>
        </w:tc>
        <w:tc>
          <w:tcPr>
            <w:tcW w:w="2516" w:type="dxa"/>
            <w:shd w:val="clear" w:color="auto" w:fill="auto"/>
          </w:tcPr>
          <w:p w14:paraId="7299F282" w14:textId="77777777" w:rsidR="007D59EF" w:rsidRPr="001C7577" w:rsidRDefault="007D59EF" w:rsidP="007D59EF">
            <w:pPr>
              <w:spacing w:line="240" w:lineRule="auto"/>
              <w:jc w:val="center"/>
              <w:rPr>
                <w:lang w:val="lt-LT"/>
              </w:rPr>
            </w:pPr>
            <w:r w:rsidRPr="001C7577">
              <w:rPr>
                <w:lang w:val="lt-LT"/>
              </w:rPr>
              <w:t>195</w:t>
            </w:r>
          </w:p>
        </w:tc>
      </w:tr>
    </w:tbl>
    <w:p w14:paraId="7736AFD4" w14:textId="77777777" w:rsidR="007D59EF" w:rsidRPr="001C7577" w:rsidRDefault="007D59EF" w:rsidP="007D59EF">
      <w:pPr>
        <w:spacing w:line="240" w:lineRule="auto"/>
        <w:rPr>
          <w:lang w:val="lt-LT"/>
        </w:rPr>
      </w:pPr>
      <w:r w:rsidRPr="001C7577">
        <w:rPr>
          <w:lang w:val="lt-LT"/>
        </w:rPr>
        <w:t>* ITT analizėje buvo pacientai, kurių duomenų trūko ir jie buvo vertinami, kaip negavę virologinio atsako</w:t>
      </w:r>
    </w:p>
    <w:p w14:paraId="080462C9" w14:textId="77777777" w:rsidR="007D59EF" w:rsidRPr="001C7577" w:rsidRDefault="007D59EF" w:rsidP="007D59EF">
      <w:pPr>
        <w:spacing w:line="240" w:lineRule="auto"/>
        <w:rPr>
          <w:lang w:val="lt-LT"/>
        </w:rPr>
      </w:pPr>
      <w:r w:rsidRPr="001C7577">
        <w:rPr>
          <w:lang w:val="lt-LT"/>
        </w:rPr>
        <w:t>† p&lt;0.001</w:t>
      </w:r>
    </w:p>
    <w:p w14:paraId="2B4E7BC8" w14:textId="77777777" w:rsidR="007D59EF" w:rsidRPr="001C7577" w:rsidRDefault="007D59EF" w:rsidP="007D59EF">
      <w:pPr>
        <w:spacing w:line="240" w:lineRule="auto"/>
        <w:rPr>
          <w:lang w:val="lt-LT"/>
        </w:rPr>
      </w:pPr>
    </w:p>
    <w:p w14:paraId="7CEF7B6C" w14:textId="77777777" w:rsidR="007D59EF" w:rsidRPr="001C7577" w:rsidRDefault="007D59EF" w:rsidP="007D59EF">
      <w:pPr>
        <w:spacing w:line="240" w:lineRule="auto"/>
        <w:rPr>
          <w:lang w:val="lt-LT"/>
        </w:rPr>
      </w:pPr>
      <w:r w:rsidRPr="001C7577">
        <w:rPr>
          <w:lang w:val="lt-LT"/>
        </w:rPr>
        <w:t xml:space="preserve">113 nelfinaviru gydytų pacientų ir 74 lopinaviru/ritonaviru gydytų pacientų ŽIV RNR buvo daugiau nei 400 kopijų/ml 24-96 gydymo savaitėmis. Iš jų 96 gydytiems nelfinaviru ir 51 lopinaviru/ritonaviru paimti izoliatai rezistensiškumo tyrimams. Rezistentiškumas nelfinavirui apibrėžiamas kaip D30N ir L90 mutacijų buvimas protazėse, jis stebėtas 41/96 (43%) pacientų. Rezistensiškumas lopinavirui apibrėžiamas kaip bet kokių pirminių ar aktyvių mutacijų buvimas proteazėse (žr. aukščiau), jos stebėtos 0/51 (0%) pacientų. Rezistentiškumo trūkumas lopinavirui buvo patvirtintas ir fenotipo tyrimais. </w:t>
      </w:r>
    </w:p>
    <w:p w14:paraId="0A5EE14A" w14:textId="77777777" w:rsidR="007D59EF" w:rsidRPr="001C7577" w:rsidRDefault="007D59EF" w:rsidP="007D59EF">
      <w:pPr>
        <w:spacing w:line="240" w:lineRule="auto"/>
        <w:rPr>
          <w:lang w:val="lt-LT"/>
        </w:rPr>
      </w:pPr>
    </w:p>
    <w:p w14:paraId="74F57B84" w14:textId="77777777" w:rsidR="007D59EF" w:rsidRPr="001C7577" w:rsidRDefault="007D59EF" w:rsidP="007D59EF">
      <w:pPr>
        <w:spacing w:line="240" w:lineRule="auto"/>
        <w:rPr>
          <w:lang w:val="lt-LT"/>
        </w:rPr>
      </w:pPr>
      <w:r w:rsidRPr="001C7577">
        <w:rPr>
          <w:lang w:val="lt-LT"/>
        </w:rPr>
        <w:t xml:space="preserve">M05-730 buvo randomizuotas, atviras, daugiacentrinis palyginamasis tyrimas, kurio metu buvo tiriami 664 anksčiau negavę antiretrovirusinio gydymo pacientai, kuriems skirta lopinaviro/ritonaviro 800/200mg vieną kartą per parą su tenofoviru DF ir emtricitabinu arba lopinaviro/ritonaviro 400/100mg du kartus per parą su tenofoviru </w:t>
      </w:r>
      <w:r w:rsidRPr="001C7577">
        <w:rPr>
          <w:lang w:val="lt-LT"/>
        </w:rPr>
        <w:lastRenderedPageBreak/>
        <w:t>DF ir emtricitabinu. Pateikta farmakokinetinė sąveika tarp lopinaviro/ritonaviro ir tenofoviro (žr. 4.5 skyrių), šio tyrimo rezultatai nebūtinai griežtai atitinka, kai yra skiriami kiti lopinaviro/ritonaviro dozavimo režimai. Pacientai buvo atsitiktinai parinkti, santykiu 1:1 tie kas gavo 800/200 mg dozę vieną kartą per parą (n= 333) ar lopinaviro/ritonaviro 400/100 mg du kartus per parą (n= 331). Smulkesnis padalinimas kiekvienoje grupėje buvo 1:1 (tabletės ar minkštos kapsulės). Pacientams buvo skirtos tabletės arba minkštos kapsulės 8 savaites, po to, iki tyrimo pabaigos, visiems likusiems tyrime pacientams skirtos tabletės vieną kartą arba du kartus per parą. Pacientams skirta 200 mg emtricitabino vieną kartą per parą ir 300 mg tenofoviro DF vieną kartą per parą. Protokolas parodė, kad dozavimas vieną kartą per parą lyginant su dvejais kartais per parą nebuvo prastesnis, jei patikimumo indeksas buvo 95% intervale, proporcingas atsakiusiems subjektams (vieną kartą per parą minus du kartus per parą) išskyrus -12% 48 savaitę. Vidutinis tyrime dalyvavusių pacientų amžius buvo 39 metai ( nuo 19 iki 71); 75% baltosios rasės ir 78% vyrai. Pradiniame taške CD4+T ląstelių skaičius buvo 216 ląstelių/ mm3 (svyravimas nuo 20 iki 775 ląstelių/mm3) ir plazmos ŽIV-1 DNR buvo 5,0 log10 kopijos/ml (svyravimas nuo 1,7 iki 7,0 log10 kopijų/ml).</w:t>
      </w:r>
    </w:p>
    <w:p w14:paraId="08907A88" w14:textId="77777777" w:rsidR="007D59EF" w:rsidRPr="001C7577" w:rsidRDefault="007D59EF" w:rsidP="007D59EF">
      <w:pPr>
        <w:spacing w:line="240" w:lineRule="auto"/>
        <w:rPr>
          <w:lang w:val="lt-LT"/>
        </w:rPr>
      </w:pPr>
    </w:p>
    <w:p w14:paraId="29B96563" w14:textId="77777777" w:rsidR="007D59EF" w:rsidRPr="001C7577" w:rsidRDefault="007D59EF" w:rsidP="007D59EF">
      <w:pPr>
        <w:spacing w:line="240" w:lineRule="auto"/>
        <w:rPr>
          <w:lang w:val="lt-LT"/>
        </w:rPr>
      </w:pPr>
      <w:r w:rsidRPr="001C7577">
        <w:rPr>
          <w:lang w:val="lt-LT"/>
        </w:rPr>
        <w:t>2 lentelė</w:t>
      </w:r>
    </w:p>
    <w:p w14:paraId="4873405C" w14:textId="77777777" w:rsidR="007D59EF" w:rsidRPr="001C7577" w:rsidRDefault="007D59EF" w:rsidP="007D59EF">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276"/>
        <w:gridCol w:w="992"/>
        <w:gridCol w:w="1276"/>
        <w:gridCol w:w="992"/>
        <w:gridCol w:w="992"/>
        <w:gridCol w:w="1241"/>
      </w:tblGrid>
      <w:tr w:rsidR="007D59EF" w:rsidRPr="00705EEC" w14:paraId="217C89F6" w14:textId="77777777" w:rsidTr="007D59EF">
        <w:tc>
          <w:tcPr>
            <w:tcW w:w="9854" w:type="dxa"/>
            <w:gridSpan w:val="7"/>
            <w:shd w:val="clear" w:color="auto" w:fill="auto"/>
            <w:vAlign w:val="center"/>
          </w:tcPr>
          <w:p w14:paraId="0878E882" w14:textId="77777777" w:rsidR="007D59EF" w:rsidRPr="001C7577" w:rsidRDefault="007D59EF" w:rsidP="007D59EF">
            <w:pPr>
              <w:spacing w:line="240" w:lineRule="auto"/>
              <w:jc w:val="center"/>
              <w:rPr>
                <w:b/>
                <w:lang w:val="lt-LT"/>
              </w:rPr>
            </w:pPr>
            <w:r w:rsidRPr="001C7577">
              <w:rPr>
                <w:b/>
                <w:lang w:val="lt-LT"/>
              </w:rPr>
              <w:t>Virusologinis tiriamųjų atsakas tyrimo metu 48 ir 96 savaitę</w:t>
            </w:r>
          </w:p>
        </w:tc>
      </w:tr>
      <w:tr w:rsidR="007D59EF" w:rsidRPr="00705EEC" w14:paraId="42ABD97C" w14:textId="77777777" w:rsidTr="007D59EF">
        <w:trPr>
          <w:trHeight w:val="307"/>
        </w:trPr>
        <w:tc>
          <w:tcPr>
            <w:tcW w:w="3085" w:type="dxa"/>
            <w:shd w:val="clear" w:color="auto" w:fill="auto"/>
            <w:vAlign w:val="center"/>
          </w:tcPr>
          <w:p w14:paraId="41C567D3" w14:textId="77777777" w:rsidR="007D59EF" w:rsidRPr="001C7577" w:rsidRDefault="007D59EF" w:rsidP="007D59EF">
            <w:pPr>
              <w:spacing w:line="240" w:lineRule="auto"/>
              <w:jc w:val="center"/>
              <w:rPr>
                <w:b/>
                <w:lang w:val="lt-LT"/>
              </w:rPr>
            </w:pPr>
          </w:p>
        </w:tc>
        <w:tc>
          <w:tcPr>
            <w:tcW w:w="3544" w:type="dxa"/>
            <w:gridSpan w:val="3"/>
            <w:shd w:val="clear" w:color="auto" w:fill="auto"/>
            <w:vAlign w:val="center"/>
          </w:tcPr>
          <w:p w14:paraId="4D2CF21A" w14:textId="77777777" w:rsidR="007D59EF" w:rsidRPr="001C7577" w:rsidRDefault="007D59EF" w:rsidP="007D59EF">
            <w:pPr>
              <w:spacing w:line="240" w:lineRule="auto"/>
              <w:jc w:val="center"/>
              <w:rPr>
                <w:b/>
                <w:lang w:val="lt-LT"/>
              </w:rPr>
            </w:pPr>
            <w:r w:rsidRPr="001C7577">
              <w:rPr>
                <w:b/>
                <w:lang w:val="lt-LT"/>
              </w:rPr>
              <w:t>48 savaitė</w:t>
            </w:r>
          </w:p>
        </w:tc>
        <w:tc>
          <w:tcPr>
            <w:tcW w:w="3225" w:type="dxa"/>
            <w:gridSpan w:val="3"/>
            <w:shd w:val="clear" w:color="auto" w:fill="auto"/>
            <w:vAlign w:val="center"/>
          </w:tcPr>
          <w:p w14:paraId="5050B13A" w14:textId="77777777" w:rsidR="007D59EF" w:rsidRPr="001C7577" w:rsidRDefault="007D59EF" w:rsidP="007D59EF">
            <w:pPr>
              <w:spacing w:line="240" w:lineRule="auto"/>
              <w:jc w:val="center"/>
              <w:rPr>
                <w:b/>
                <w:lang w:val="lt-LT"/>
              </w:rPr>
            </w:pPr>
            <w:r w:rsidRPr="001C7577">
              <w:rPr>
                <w:b/>
                <w:lang w:val="lt-LT"/>
              </w:rPr>
              <w:t>96 savaitė</w:t>
            </w:r>
          </w:p>
        </w:tc>
      </w:tr>
      <w:tr w:rsidR="007D59EF" w:rsidRPr="00705EEC" w14:paraId="53C57F70" w14:textId="77777777" w:rsidTr="007D59EF">
        <w:tc>
          <w:tcPr>
            <w:tcW w:w="3085" w:type="dxa"/>
            <w:shd w:val="clear" w:color="auto" w:fill="auto"/>
            <w:vAlign w:val="center"/>
          </w:tcPr>
          <w:p w14:paraId="55C33499" w14:textId="77777777" w:rsidR="007D59EF" w:rsidRPr="001C7577" w:rsidRDefault="007D59EF" w:rsidP="007D59EF">
            <w:pPr>
              <w:spacing w:line="240" w:lineRule="auto"/>
              <w:jc w:val="center"/>
              <w:rPr>
                <w:b/>
                <w:lang w:val="lt-LT"/>
              </w:rPr>
            </w:pPr>
          </w:p>
        </w:tc>
        <w:tc>
          <w:tcPr>
            <w:tcW w:w="1276" w:type="dxa"/>
            <w:shd w:val="clear" w:color="auto" w:fill="auto"/>
            <w:vAlign w:val="center"/>
          </w:tcPr>
          <w:p w14:paraId="3CC5C785" w14:textId="77777777" w:rsidR="007D59EF" w:rsidRPr="001C7577" w:rsidRDefault="007D59EF" w:rsidP="007D59EF">
            <w:pPr>
              <w:spacing w:line="240" w:lineRule="auto"/>
              <w:jc w:val="center"/>
              <w:rPr>
                <w:b/>
                <w:u w:val="single"/>
                <w:lang w:val="lt-LT"/>
              </w:rPr>
            </w:pPr>
            <w:r w:rsidRPr="001C7577">
              <w:rPr>
                <w:b/>
                <w:u w:val="single"/>
                <w:lang w:val="lt-LT"/>
              </w:rPr>
              <w:t>QD</w:t>
            </w:r>
          </w:p>
        </w:tc>
        <w:tc>
          <w:tcPr>
            <w:tcW w:w="992" w:type="dxa"/>
            <w:shd w:val="clear" w:color="auto" w:fill="auto"/>
            <w:vAlign w:val="center"/>
          </w:tcPr>
          <w:p w14:paraId="0A840F6A" w14:textId="77777777" w:rsidR="007D59EF" w:rsidRPr="001C7577" w:rsidRDefault="007D59EF" w:rsidP="007D59EF">
            <w:pPr>
              <w:spacing w:line="240" w:lineRule="auto"/>
              <w:jc w:val="center"/>
              <w:rPr>
                <w:b/>
                <w:u w:val="single"/>
                <w:lang w:val="lt-LT"/>
              </w:rPr>
            </w:pPr>
            <w:r w:rsidRPr="001C7577">
              <w:rPr>
                <w:b/>
                <w:u w:val="single"/>
                <w:lang w:val="lt-LT"/>
              </w:rPr>
              <w:t>BID</w:t>
            </w:r>
          </w:p>
        </w:tc>
        <w:tc>
          <w:tcPr>
            <w:tcW w:w="1276" w:type="dxa"/>
            <w:shd w:val="clear" w:color="auto" w:fill="auto"/>
            <w:vAlign w:val="center"/>
          </w:tcPr>
          <w:p w14:paraId="074FFDAC" w14:textId="77777777" w:rsidR="007D59EF" w:rsidRPr="001C7577" w:rsidRDefault="007D59EF" w:rsidP="007D59EF">
            <w:pPr>
              <w:spacing w:line="240" w:lineRule="auto"/>
              <w:jc w:val="center"/>
              <w:rPr>
                <w:b/>
                <w:u w:val="single"/>
                <w:lang w:val="lt-LT"/>
              </w:rPr>
            </w:pPr>
            <w:r w:rsidRPr="001C7577">
              <w:rPr>
                <w:b/>
                <w:u w:val="single"/>
                <w:lang w:val="lt-LT"/>
              </w:rPr>
              <w:t>Skirtumas</w:t>
            </w:r>
          </w:p>
          <w:p w14:paraId="22C370C0" w14:textId="77777777" w:rsidR="007D59EF" w:rsidRPr="001C7577" w:rsidRDefault="007D59EF" w:rsidP="007D59EF">
            <w:pPr>
              <w:spacing w:line="240" w:lineRule="auto"/>
              <w:jc w:val="center"/>
              <w:rPr>
                <w:b/>
                <w:u w:val="single"/>
                <w:lang w:val="lt-LT"/>
              </w:rPr>
            </w:pPr>
            <w:r w:rsidRPr="001C7577">
              <w:rPr>
                <w:b/>
                <w:u w:val="single"/>
                <w:lang w:val="lt-LT"/>
              </w:rPr>
              <w:t>[95% CI]</w:t>
            </w:r>
          </w:p>
        </w:tc>
        <w:tc>
          <w:tcPr>
            <w:tcW w:w="992" w:type="dxa"/>
            <w:shd w:val="clear" w:color="auto" w:fill="auto"/>
            <w:vAlign w:val="center"/>
          </w:tcPr>
          <w:p w14:paraId="3EC9313E" w14:textId="77777777" w:rsidR="007D59EF" w:rsidRPr="001C7577" w:rsidRDefault="007D59EF" w:rsidP="007D59EF">
            <w:pPr>
              <w:spacing w:line="240" w:lineRule="auto"/>
              <w:jc w:val="center"/>
              <w:rPr>
                <w:b/>
                <w:u w:val="single"/>
                <w:lang w:val="lt-LT"/>
              </w:rPr>
            </w:pPr>
            <w:r w:rsidRPr="001C7577">
              <w:rPr>
                <w:b/>
                <w:u w:val="single"/>
                <w:lang w:val="lt-LT"/>
              </w:rPr>
              <w:t>QD</w:t>
            </w:r>
          </w:p>
          <w:p w14:paraId="4772F9E7" w14:textId="77777777" w:rsidR="007D59EF" w:rsidRPr="001C7577" w:rsidRDefault="007D59EF" w:rsidP="007D59EF">
            <w:pPr>
              <w:spacing w:line="240" w:lineRule="auto"/>
              <w:jc w:val="center"/>
              <w:rPr>
                <w:b/>
                <w:u w:val="single"/>
                <w:lang w:val="lt-LT"/>
              </w:rPr>
            </w:pPr>
          </w:p>
        </w:tc>
        <w:tc>
          <w:tcPr>
            <w:tcW w:w="992" w:type="dxa"/>
            <w:shd w:val="clear" w:color="auto" w:fill="auto"/>
            <w:vAlign w:val="center"/>
          </w:tcPr>
          <w:p w14:paraId="20E9FFB7" w14:textId="77777777" w:rsidR="007D59EF" w:rsidRPr="001C7577" w:rsidRDefault="007D59EF" w:rsidP="007D59EF">
            <w:pPr>
              <w:spacing w:line="240" w:lineRule="auto"/>
              <w:jc w:val="center"/>
              <w:rPr>
                <w:b/>
                <w:u w:val="single"/>
                <w:lang w:val="lt-LT"/>
              </w:rPr>
            </w:pPr>
            <w:r w:rsidRPr="001C7577">
              <w:rPr>
                <w:b/>
                <w:u w:val="single"/>
                <w:lang w:val="lt-LT"/>
              </w:rPr>
              <w:t>BID</w:t>
            </w:r>
          </w:p>
          <w:p w14:paraId="4C03DF6E" w14:textId="77777777" w:rsidR="007D59EF" w:rsidRPr="001C7577" w:rsidRDefault="007D59EF" w:rsidP="007D59EF">
            <w:pPr>
              <w:spacing w:line="240" w:lineRule="auto"/>
              <w:jc w:val="center"/>
              <w:rPr>
                <w:b/>
                <w:u w:val="single"/>
                <w:lang w:val="lt-LT"/>
              </w:rPr>
            </w:pPr>
          </w:p>
        </w:tc>
        <w:tc>
          <w:tcPr>
            <w:tcW w:w="1241" w:type="dxa"/>
            <w:shd w:val="clear" w:color="auto" w:fill="auto"/>
            <w:vAlign w:val="center"/>
          </w:tcPr>
          <w:p w14:paraId="4B9F5188" w14:textId="77777777" w:rsidR="007D59EF" w:rsidRPr="001C7577" w:rsidRDefault="007D59EF" w:rsidP="007D59EF">
            <w:pPr>
              <w:spacing w:line="240" w:lineRule="auto"/>
              <w:jc w:val="center"/>
              <w:rPr>
                <w:b/>
                <w:u w:val="single"/>
                <w:lang w:val="lt-LT"/>
              </w:rPr>
            </w:pPr>
            <w:r w:rsidRPr="001C7577">
              <w:rPr>
                <w:b/>
                <w:u w:val="single"/>
                <w:lang w:val="lt-LT"/>
              </w:rPr>
              <w:t>Skirtumas</w:t>
            </w:r>
          </w:p>
          <w:p w14:paraId="3A07AEB1" w14:textId="77777777" w:rsidR="007D59EF" w:rsidRPr="001C7577" w:rsidRDefault="007D59EF" w:rsidP="007D59EF">
            <w:pPr>
              <w:spacing w:line="240" w:lineRule="auto"/>
              <w:jc w:val="center"/>
              <w:rPr>
                <w:b/>
                <w:u w:val="single"/>
                <w:lang w:val="lt-LT"/>
              </w:rPr>
            </w:pPr>
            <w:r w:rsidRPr="001C7577">
              <w:rPr>
                <w:b/>
                <w:u w:val="single"/>
                <w:lang w:val="lt-LT"/>
              </w:rPr>
              <w:t>[95% CI]</w:t>
            </w:r>
          </w:p>
        </w:tc>
      </w:tr>
      <w:tr w:rsidR="007D59EF" w:rsidRPr="00705EEC" w14:paraId="1B3A5A72" w14:textId="77777777" w:rsidTr="007D59EF">
        <w:tc>
          <w:tcPr>
            <w:tcW w:w="3085" w:type="dxa"/>
            <w:shd w:val="clear" w:color="auto" w:fill="auto"/>
            <w:vAlign w:val="center"/>
          </w:tcPr>
          <w:p w14:paraId="5AB6BBEF" w14:textId="77777777" w:rsidR="007D59EF" w:rsidRPr="001C7577" w:rsidRDefault="007D59EF" w:rsidP="007D59EF">
            <w:pPr>
              <w:spacing w:line="240" w:lineRule="auto"/>
              <w:jc w:val="center"/>
              <w:rPr>
                <w:lang w:val="lt-LT"/>
              </w:rPr>
            </w:pPr>
            <w:r w:rsidRPr="001C7577">
              <w:rPr>
                <w:lang w:val="lt-LT"/>
              </w:rPr>
              <w:t>NC= Nesėkmė</w:t>
            </w:r>
          </w:p>
        </w:tc>
        <w:tc>
          <w:tcPr>
            <w:tcW w:w="1276" w:type="dxa"/>
            <w:shd w:val="clear" w:color="auto" w:fill="auto"/>
            <w:vAlign w:val="center"/>
          </w:tcPr>
          <w:p w14:paraId="2F54AE45" w14:textId="77777777" w:rsidR="007D59EF" w:rsidRPr="001C7577" w:rsidRDefault="007D59EF" w:rsidP="007D59EF">
            <w:pPr>
              <w:spacing w:line="240" w:lineRule="auto"/>
              <w:jc w:val="center"/>
              <w:rPr>
                <w:lang w:val="lt-LT"/>
              </w:rPr>
            </w:pPr>
            <w:r w:rsidRPr="001C7577">
              <w:rPr>
                <w:lang w:val="lt-LT"/>
              </w:rPr>
              <w:t>257/333</w:t>
            </w:r>
          </w:p>
          <w:p w14:paraId="5EAE5CDD" w14:textId="77777777" w:rsidR="007D59EF" w:rsidRPr="001C7577" w:rsidRDefault="007D59EF" w:rsidP="007D59EF">
            <w:pPr>
              <w:spacing w:line="240" w:lineRule="auto"/>
              <w:jc w:val="center"/>
              <w:rPr>
                <w:lang w:val="lt-LT"/>
              </w:rPr>
            </w:pPr>
            <w:r w:rsidRPr="001C7577">
              <w:rPr>
                <w:lang w:val="lt-LT"/>
              </w:rPr>
              <w:t>(77.2%)</w:t>
            </w:r>
          </w:p>
        </w:tc>
        <w:tc>
          <w:tcPr>
            <w:tcW w:w="992" w:type="dxa"/>
            <w:shd w:val="clear" w:color="auto" w:fill="auto"/>
            <w:vAlign w:val="center"/>
          </w:tcPr>
          <w:p w14:paraId="622D7548" w14:textId="77777777" w:rsidR="007D59EF" w:rsidRPr="001C7577" w:rsidRDefault="007D59EF" w:rsidP="007D59EF">
            <w:pPr>
              <w:spacing w:line="240" w:lineRule="auto"/>
              <w:jc w:val="center"/>
              <w:rPr>
                <w:lang w:val="lt-LT"/>
              </w:rPr>
            </w:pPr>
            <w:r w:rsidRPr="001C7577">
              <w:rPr>
                <w:lang w:val="lt-LT"/>
              </w:rPr>
              <w:t>251/331</w:t>
            </w:r>
          </w:p>
          <w:p w14:paraId="04F933AF" w14:textId="77777777" w:rsidR="007D59EF" w:rsidRPr="001C7577" w:rsidRDefault="007D59EF" w:rsidP="007D59EF">
            <w:pPr>
              <w:spacing w:line="240" w:lineRule="auto"/>
              <w:jc w:val="center"/>
              <w:rPr>
                <w:lang w:val="lt-LT"/>
              </w:rPr>
            </w:pPr>
            <w:r w:rsidRPr="001C7577">
              <w:rPr>
                <w:lang w:val="lt-LT"/>
              </w:rPr>
              <w:t>(75.8%)</w:t>
            </w:r>
          </w:p>
        </w:tc>
        <w:tc>
          <w:tcPr>
            <w:tcW w:w="1276" w:type="dxa"/>
            <w:shd w:val="clear" w:color="auto" w:fill="auto"/>
            <w:vAlign w:val="center"/>
          </w:tcPr>
          <w:p w14:paraId="674082F5" w14:textId="77777777" w:rsidR="007D59EF" w:rsidRPr="001C7577" w:rsidRDefault="007D59EF" w:rsidP="007D59EF">
            <w:pPr>
              <w:spacing w:line="240" w:lineRule="auto"/>
              <w:jc w:val="center"/>
              <w:rPr>
                <w:lang w:val="lt-LT"/>
              </w:rPr>
            </w:pPr>
            <w:r w:rsidRPr="001C7577">
              <w:rPr>
                <w:lang w:val="lt-LT"/>
              </w:rPr>
              <w:t>1.3 %</w:t>
            </w:r>
          </w:p>
          <w:p w14:paraId="30ECEEA9" w14:textId="77777777" w:rsidR="007D59EF" w:rsidRPr="001C7577" w:rsidRDefault="007D59EF" w:rsidP="007D59EF">
            <w:pPr>
              <w:spacing w:line="240" w:lineRule="auto"/>
              <w:jc w:val="center"/>
              <w:rPr>
                <w:u w:val="single"/>
                <w:lang w:val="lt-LT"/>
              </w:rPr>
            </w:pPr>
            <w:r w:rsidRPr="001C7577">
              <w:rPr>
                <w:u w:val="single"/>
                <w:lang w:val="lt-LT"/>
              </w:rPr>
              <w:t>[-5.1, 7.8]</w:t>
            </w:r>
          </w:p>
        </w:tc>
        <w:tc>
          <w:tcPr>
            <w:tcW w:w="992" w:type="dxa"/>
            <w:shd w:val="clear" w:color="auto" w:fill="auto"/>
            <w:vAlign w:val="center"/>
          </w:tcPr>
          <w:p w14:paraId="0C8C9454" w14:textId="77777777" w:rsidR="007D59EF" w:rsidRPr="001C7577" w:rsidRDefault="007D59EF" w:rsidP="007D59EF">
            <w:pPr>
              <w:spacing w:line="240" w:lineRule="auto"/>
              <w:jc w:val="center"/>
              <w:rPr>
                <w:lang w:val="lt-LT"/>
              </w:rPr>
            </w:pPr>
            <w:r w:rsidRPr="001C7577">
              <w:rPr>
                <w:lang w:val="lt-LT"/>
              </w:rPr>
              <w:t>216/333</w:t>
            </w:r>
          </w:p>
          <w:p w14:paraId="08230035" w14:textId="77777777" w:rsidR="007D59EF" w:rsidRPr="001C7577" w:rsidRDefault="007D59EF" w:rsidP="007D59EF">
            <w:pPr>
              <w:spacing w:line="240" w:lineRule="auto"/>
              <w:jc w:val="center"/>
              <w:rPr>
                <w:lang w:val="lt-LT"/>
              </w:rPr>
            </w:pPr>
            <w:r w:rsidRPr="001C7577">
              <w:rPr>
                <w:lang w:val="lt-LT"/>
              </w:rPr>
              <w:t>(64.9%)</w:t>
            </w:r>
          </w:p>
        </w:tc>
        <w:tc>
          <w:tcPr>
            <w:tcW w:w="992" w:type="dxa"/>
            <w:shd w:val="clear" w:color="auto" w:fill="auto"/>
            <w:vAlign w:val="center"/>
          </w:tcPr>
          <w:p w14:paraId="41CBB2BE" w14:textId="77777777" w:rsidR="007D59EF" w:rsidRPr="001C7577" w:rsidRDefault="007D59EF" w:rsidP="007D59EF">
            <w:pPr>
              <w:spacing w:line="240" w:lineRule="auto"/>
              <w:jc w:val="center"/>
              <w:rPr>
                <w:lang w:val="lt-LT"/>
              </w:rPr>
            </w:pPr>
            <w:r w:rsidRPr="001C7577">
              <w:rPr>
                <w:lang w:val="lt-LT"/>
              </w:rPr>
              <w:t>229/331</w:t>
            </w:r>
          </w:p>
          <w:p w14:paraId="3E94F36C" w14:textId="77777777" w:rsidR="007D59EF" w:rsidRPr="001C7577" w:rsidRDefault="007D59EF" w:rsidP="007D59EF">
            <w:pPr>
              <w:spacing w:line="240" w:lineRule="auto"/>
              <w:jc w:val="center"/>
              <w:rPr>
                <w:lang w:val="lt-LT"/>
              </w:rPr>
            </w:pPr>
            <w:r w:rsidRPr="001C7577">
              <w:rPr>
                <w:lang w:val="lt-LT"/>
              </w:rPr>
              <w:t>(69.2%)</w:t>
            </w:r>
          </w:p>
        </w:tc>
        <w:tc>
          <w:tcPr>
            <w:tcW w:w="1241" w:type="dxa"/>
            <w:shd w:val="clear" w:color="auto" w:fill="auto"/>
            <w:vAlign w:val="center"/>
          </w:tcPr>
          <w:p w14:paraId="734B4C40" w14:textId="77777777" w:rsidR="007D59EF" w:rsidRPr="001C7577" w:rsidRDefault="007D59EF" w:rsidP="007D59EF">
            <w:pPr>
              <w:spacing w:line="240" w:lineRule="auto"/>
              <w:jc w:val="center"/>
              <w:rPr>
                <w:lang w:val="lt-LT"/>
              </w:rPr>
            </w:pPr>
            <w:r w:rsidRPr="001C7577">
              <w:rPr>
                <w:lang w:val="lt-LT"/>
              </w:rPr>
              <w:t>-4.3%</w:t>
            </w:r>
          </w:p>
          <w:p w14:paraId="2AB9212C" w14:textId="77777777" w:rsidR="007D59EF" w:rsidRPr="001C7577" w:rsidRDefault="007D59EF" w:rsidP="007D59EF">
            <w:pPr>
              <w:spacing w:line="240" w:lineRule="auto"/>
              <w:jc w:val="center"/>
              <w:rPr>
                <w:lang w:val="lt-LT"/>
              </w:rPr>
            </w:pPr>
            <w:r w:rsidRPr="001C7577">
              <w:rPr>
                <w:u w:val="single"/>
                <w:lang w:val="lt-LT"/>
              </w:rPr>
              <w:t>[-11.5, 2.8</w:t>
            </w:r>
            <w:r w:rsidRPr="001C7577">
              <w:rPr>
                <w:lang w:val="lt-LT"/>
              </w:rPr>
              <w:t>]</w:t>
            </w:r>
          </w:p>
        </w:tc>
      </w:tr>
      <w:tr w:rsidR="007D59EF" w:rsidRPr="00705EEC" w14:paraId="4E3D8BAF" w14:textId="77777777" w:rsidTr="007D59EF">
        <w:tc>
          <w:tcPr>
            <w:tcW w:w="3085" w:type="dxa"/>
            <w:shd w:val="clear" w:color="auto" w:fill="auto"/>
            <w:vAlign w:val="center"/>
          </w:tcPr>
          <w:p w14:paraId="28AC8981" w14:textId="77777777" w:rsidR="007D59EF" w:rsidRPr="001C7577" w:rsidRDefault="007D59EF" w:rsidP="007D59EF">
            <w:pPr>
              <w:spacing w:line="240" w:lineRule="auto"/>
              <w:jc w:val="center"/>
              <w:rPr>
                <w:lang w:val="lt-LT"/>
              </w:rPr>
            </w:pPr>
            <w:r w:rsidRPr="001C7577">
              <w:rPr>
                <w:lang w:val="lt-LT"/>
              </w:rPr>
              <w:t>Stebėti duomenys</w:t>
            </w:r>
          </w:p>
        </w:tc>
        <w:tc>
          <w:tcPr>
            <w:tcW w:w="1276" w:type="dxa"/>
            <w:shd w:val="clear" w:color="auto" w:fill="auto"/>
            <w:vAlign w:val="center"/>
          </w:tcPr>
          <w:p w14:paraId="7E23D547" w14:textId="77777777" w:rsidR="007D59EF" w:rsidRPr="001C7577" w:rsidRDefault="007D59EF" w:rsidP="007D59EF">
            <w:pPr>
              <w:spacing w:line="240" w:lineRule="auto"/>
              <w:jc w:val="center"/>
              <w:rPr>
                <w:lang w:val="lt-LT"/>
              </w:rPr>
            </w:pPr>
            <w:r w:rsidRPr="001C7577">
              <w:rPr>
                <w:lang w:val="lt-LT"/>
              </w:rPr>
              <w:t>257/295</w:t>
            </w:r>
          </w:p>
          <w:p w14:paraId="3FBA0692" w14:textId="77777777" w:rsidR="007D59EF" w:rsidRPr="001C7577" w:rsidRDefault="007D59EF" w:rsidP="007D59EF">
            <w:pPr>
              <w:spacing w:line="240" w:lineRule="auto"/>
              <w:jc w:val="center"/>
              <w:rPr>
                <w:lang w:val="lt-LT"/>
              </w:rPr>
            </w:pPr>
            <w:r w:rsidRPr="001C7577">
              <w:rPr>
                <w:lang w:val="lt-LT"/>
              </w:rPr>
              <w:t>(87.1%)</w:t>
            </w:r>
          </w:p>
        </w:tc>
        <w:tc>
          <w:tcPr>
            <w:tcW w:w="992" w:type="dxa"/>
            <w:shd w:val="clear" w:color="auto" w:fill="auto"/>
            <w:vAlign w:val="center"/>
          </w:tcPr>
          <w:p w14:paraId="5E9AD997" w14:textId="77777777" w:rsidR="007D59EF" w:rsidRPr="001C7577" w:rsidRDefault="007D59EF" w:rsidP="007D59EF">
            <w:pPr>
              <w:spacing w:line="240" w:lineRule="auto"/>
              <w:jc w:val="center"/>
              <w:rPr>
                <w:lang w:val="lt-LT"/>
              </w:rPr>
            </w:pPr>
            <w:r w:rsidRPr="001C7577">
              <w:rPr>
                <w:lang w:val="lt-LT"/>
              </w:rPr>
              <w:t>250/280</w:t>
            </w:r>
          </w:p>
          <w:p w14:paraId="759A6BCA" w14:textId="77777777" w:rsidR="007D59EF" w:rsidRPr="001C7577" w:rsidRDefault="007D59EF" w:rsidP="007D59EF">
            <w:pPr>
              <w:spacing w:line="240" w:lineRule="auto"/>
              <w:jc w:val="center"/>
              <w:rPr>
                <w:lang w:val="lt-LT"/>
              </w:rPr>
            </w:pPr>
            <w:r w:rsidRPr="001C7577">
              <w:rPr>
                <w:lang w:val="lt-LT"/>
              </w:rPr>
              <w:t>(89.3%)</w:t>
            </w:r>
          </w:p>
        </w:tc>
        <w:tc>
          <w:tcPr>
            <w:tcW w:w="1276" w:type="dxa"/>
            <w:shd w:val="clear" w:color="auto" w:fill="auto"/>
            <w:vAlign w:val="center"/>
          </w:tcPr>
          <w:p w14:paraId="402620D7" w14:textId="77777777" w:rsidR="007D59EF" w:rsidRPr="001C7577" w:rsidRDefault="007D59EF" w:rsidP="007D59EF">
            <w:pPr>
              <w:spacing w:line="240" w:lineRule="auto"/>
              <w:jc w:val="center"/>
              <w:rPr>
                <w:lang w:val="lt-LT"/>
              </w:rPr>
            </w:pPr>
            <w:r w:rsidRPr="001C7577">
              <w:rPr>
                <w:lang w:val="lt-LT"/>
              </w:rPr>
              <w:t>-2.2%</w:t>
            </w:r>
          </w:p>
          <w:p w14:paraId="11C6A6B5" w14:textId="77777777" w:rsidR="007D59EF" w:rsidRPr="001C7577" w:rsidRDefault="007D59EF" w:rsidP="007D59EF">
            <w:pPr>
              <w:spacing w:line="240" w:lineRule="auto"/>
              <w:jc w:val="center"/>
              <w:rPr>
                <w:u w:val="single"/>
                <w:lang w:val="lt-LT"/>
              </w:rPr>
            </w:pPr>
            <w:r w:rsidRPr="001C7577">
              <w:rPr>
                <w:u w:val="single"/>
                <w:lang w:val="lt-LT"/>
              </w:rPr>
              <w:t>[-7.4, 3.1]</w:t>
            </w:r>
          </w:p>
        </w:tc>
        <w:tc>
          <w:tcPr>
            <w:tcW w:w="992" w:type="dxa"/>
            <w:shd w:val="clear" w:color="auto" w:fill="auto"/>
            <w:vAlign w:val="center"/>
          </w:tcPr>
          <w:p w14:paraId="0CF635FD" w14:textId="77777777" w:rsidR="007D59EF" w:rsidRPr="001C7577" w:rsidRDefault="007D59EF" w:rsidP="007D59EF">
            <w:pPr>
              <w:spacing w:line="240" w:lineRule="auto"/>
              <w:jc w:val="center"/>
              <w:rPr>
                <w:lang w:val="lt-LT"/>
              </w:rPr>
            </w:pPr>
            <w:r w:rsidRPr="001C7577">
              <w:rPr>
                <w:lang w:val="lt-LT"/>
              </w:rPr>
              <w:t>216/247</w:t>
            </w:r>
          </w:p>
          <w:p w14:paraId="5C81E248" w14:textId="77777777" w:rsidR="007D59EF" w:rsidRPr="001C7577" w:rsidRDefault="007D59EF" w:rsidP="007D59EF">
            <w:pPr>
              <w:spacing w:line="240" w:lineRule="auto"/>
              <w:jc w:val="center"/>
              <w:rPr>
                <w:lang w:val="lt-LT"/>
              </w:rPr>
            </w:pPr>
            <w:r w:rsidRPr="001C7577">
              <w:rPr>
                <w:lang w:val="lt-LT"/>
              </w:rPr>
              <w:t>(87.4%)</w:t>
            </w:r>
          </w:p>
        </w:tc>
        <w:tc>
          <w:tcPr>
            <w:tcW w:w="992" w:type="dxa"/>
            <w:shd w:val="clear" w:color="auto" w:fill="auto"/>
            <w:vAlign w:val="center"/>
          </w:tcPr>
          <w:p w14:paraId="7DD2C6E9" w14:textId="77777777" w:rsidR="007D59EF" w:rsidRPr="001C7577" w:rsidRDefault="007D59EF" w:rsidP="007D59EF">
            <w:pPr>
              <w:spacing w:line="240" w:lineRule="auto"/>
              <w:jc w:val="center"/>
              <w:rPr>
                <w:lang w:val="lt-LT"/>
              </w:rPr>
            </w:pPr>
            <w:r w:rsidRPr="001C7577">
              <w:rPr>
                <w:lang w:val="lt-LT"/>
              </w:rPr>
              <w:t>229/248</w:t>
            </w:r>
          </w:p>
          <w:p w14:paraId="1A25C1EC" w14:textId="77777777" w:rsidR="007D59EF" w:rsidRPr="001C7577" w:rsidRDefault="007D59EF" w:rsidP="007D59EF">
            <w:pPr>
              <w:spacing w:line="240" w:lineRule="auto"/>
              <w:jc w:val="center"/>
              <w:rPr>
                <w:lang w:val="lt-LT"/>
              </w:rPr>
            </w:pPr>
            <w:r w:rsidRPr="001C7577">
              <w:rPr>
                <w:lang w:val="lt-LT"/>
              </w:rPr>
              <w:t>(92.3%)</w:t>
            </w:r>
          </w:p>
        </w:tc>
        <w:tc>
          <w:tcPr>
            <w:tcW w:w="1241" w:type="dxa"/>
            <w:shd w:val="clear" w:color="auto" w:fill="auto"/>
            <w:vAlign w:val="center"/>
          </w:tcPr>
          <w:p w14:paraId="358D3627" w14:textId="77777777" w:rsidR="007D59EF" w:rsidRPr="001C7577" w:rsidRDefault="007D59EF" w:rsidP="007D59EF">
            <w:pPr>
              <w:spacing w:line="240" w:lineRule="auto"/>
              <w:jc w:val="center"/>
              <w:rPr>
                <w:lang w:val="lt-LT"/>
              </w:rPr>
            </w:pPr>
            <w:r w:rsidRPr="001C7577">
              <w:rPr>
                <w:lang w:val="lt-LT"/>
              </w:rPr>
              <w:t>-4.9%</w:t>
            </w:r>
          </w:p>
          <w:p w14:paraId="05635196" w14:textId="77777777" w:rsidR="007D59EF" w:rsidRPr="001C7577" w:rsidRDefault="007D59EF" w:rsidP="007D59EF">
            <w:pPr>
              <w:spacing w:line="240" w:lineRule="auto"/>
              <w:jc w:val="center"/>
              <w:rPr>
                <w:u w:val="single"/>
                <w:lang w:val="lt-LT"/>
              </w:rPr>
            </w:pPr>
            <w:r w:rsidRPr="001C7577">
              <w:rPr>
                <w:u w:val="single"/>
                <w:lang w:val="lt-LT"/>
              </w:rPr>
              <w:t>[-10.2, 0.4]</w:t>
            </w:r>
          </w:p>
        </w:tc>
      </w:tr>
      <w:tr w:rsidR="007D59EF" w:rsidRPr="00705EEC" w14:paraId="1BBB5BA3" w14:textId="77777777" w:rsidTr="007D59EF">
        <w:tc>
          <w:tcPr>
            <w:tcW w:w="3085" w:type="dxa"/>
            <w:shd w:val="clear" w:color="auto" w:fill="auto"/>
            <w:vAlign w:val="center"/>
          </w:tcPr>
          <w:p w14:paraId="2A248826" w14:textId="77777777" w:rsidR="007D59EF" w:rsidRPr="001C7577" w:rsidRDefault="007D59EF" w:rsidP="007D59EF">
            <w:pPr>
              <w:spacing w:line="240" w:lineRule="auto"/>
              <w:jc w:val="center"/>
              <w:rPr>
                <w:lang w:val="lt-LT"/>
              </w:rPr>
            </w:pPr>
            <w:r w:rsidRPr="001C7577">
              <w:rPr>
                <w:lang w:val="lt-LT"/>
              </w:rPr>
              <w:t>Vidutinis CD4+ T-ląstelių skaičiaus padidėjimas nuo tyrimo pradžios (ląstelių/mm</w:t>
            </w:r>
            <w:r w:rsidRPr="001C7577">
              <w:rPr>
                <w:vertAlign w:val="superscript"/>
                <w:lang w:val="lt-LT"/>
              </w:rPr>
              <w:t>3</w:t>
            </w:r>
            <w:r w:rsidRPr="001C7577">
              <w:rPr>
                <w:lang w:val="lt-LT"/>
              </w:rPr>
              <w:t>)</w:t>
            </w:r>
          </w:p>
        </w:tc>
        <w:tc>
          <w:tcPr>
            <w:tcW w:w="1276" w:type="dxa"/>
            <w:shd w:val="clear" w:color="auto" w:fill="auto"/>
            <w:vAlign w:val="center"/>
          </w:tcPr>
          <w:p w14:paraId="5687EFE5" w14:textId="77777777" w:rsidR="007D59EF" w:rsidRPr="001C7577" w:rsidRDefault="007D59EF" w:rsidP="007D59EF">
            <w:pPr>
              <w:spacing w:line="240" w:lineRule="auto"/>
              <w:jc w:val="center"/>
              <w:rPr>
                <w:lang w:val="lt-LT"/>
              </w:rPr>
            </w:pPr>
            <w:r w:rsidRPr="001C7577">
              <w:rPr>
                <w:lang w:val="lt-LT"/>
              </w:rPr>
              <w:t>186</w:t>
            </w:r>
          </w:p>
        </w:tc>
        <w:tc>
          <w:tcPr>
            <w:tcW w:w="992" w:type="dxa"/>
            <w:shd w:val="clear" w:color="auto" w:fill="auto"/>
            <w:vAlign w:val="center"/>
          </w:tcPr>
          <w:p w14:paraId="380B1915" w14:textId="77777777" w:rsidR="007D59EF" w:rsidRPr="001C7577" w:rsidRDefault="007D59EF" w:rsidP="007D59EF">
            <w:pPr>
              <w:spacing w:line="240" w:lineRule="auto"/>
              <w:jc w:val="center"/>
              <w:rPr>
                <w:lang w:val="lt-LT"/>
              </w:rPr>
            </w:pPr>
            <w:r w:rsidRPr="001C7577">
              <w:rPr>
                <w:lang w:val="lt-LT"/>
              </w:rPr>
              <w:t>198</w:t>
            </w:r>
          </w:p>
        </w:tc>
        <w:tc>
          <w:tcPr>
            <w:tcW w:w="1276" w:type="dxa"/>
            <w:shd w:val="clear" w:color="auto" w:fill="auto"/>
            <w:vAlign w:val="center"/>
          </w:tcPr>
          <w:p w14:paraId="1CCDFBE5" w14:textId="77777777" w:rsidR="007D59EF" w:rsidRPr="001C7577" w:rsidRDefault="007D59EF" w:rsidP="007D59EF">
            <w:pPr>
              <w:spacing w:line="240" w:lineRule="auto"/>
              <w:jc w:val="center"/>
              <w:rPr>
                <w:lang w:val="lt-LT"/>
              </w:rPr>
            </w:pPr>
          </w:p>
        </w:tc>
        <w:tc>
          <w:tcPr>
            <w:tcW w:w="992" w:type="dxa"/>
            <w:shd w:val="clear" w:color="auto" w:fill="auto"/>
            <w:vAlign w:val="center"/>
          </w:tcPr>
          <w:p w14:paraId="25453BB0" w14:textId="77777777" w:rsidR="007D59EF" w:rsidRPr="001C7577" w:rsidRDefault="007D59EF" w:rsidP="007D59EF">
            <w:pPr>
              <w:spacing w:line="240" w:lineRule="auto"/>
              <w:jc w:val="center"/>
              <w:rPr>
                <w:lang w:val="lt-LT"/>
              </w:rPr>
            </w:pPr>
            <w:r w:rsidRPr="001C7577">
              <w:rPr>
                <w:lang w:val="lt-LT"/>
              </w:rPr>
              <w:t>238</w:t>
            </w:r>
          </w:p>
        </w:tc>
        <w:tc>
          <w:tcPr>
            <w:tcW w:w="992" w:type="dxa"/>
            <w:shd w:val="clear" w:color="auto" w:fill="auto"/>
            <w:vAlign w:val="center"/>
          </w:tcPr>
          <w:p w14:paraId="6C0F8AF4" w14:textId="77777777" w:rsidR="007D59EF" w:rsidRPr="001C7577" w:rsidRDefault="007D59EF" w:rsidP="007D59EF">
            <w:pPr>
              <w:spacing w:line="240" w:lineRule="auto"/>
              <w:jc w:val="center"/>
              <w:rPr>
                <w:lang w:val="lt-LT"/>
              </w:rPr>
            </w:pPr>
            <w:r w:rsidRPr="001C7577">
              <w:rPr>
                <w:lang w:val="lt-LT"/>
              </w:rPr>
              <w:t>254</w:t>
            </w:r>
          </w:p>
        </w:tc>
        <w:tc>
          <w:tcPr>
            <w:tcW w:w="1241" w:type="dxa"/>
            <w:shd w:val="clear" w:color="auto" w:fill="auto"/>
            <w:vAlign w:val="center"/>
          </w:tcPr>
          <w:p w14:paraId="2B529F70" w14:textId="77777777" w:rsidR="007D59EF" w:rsidRPr="001C7577" w:rsidRDefault="007D59EF" w:rsidP="007D59EF">
            <w:pPr>
              <w:spacing w:line="240" w:lineRule="auto"/>
              <w:jc w:val="center"/>
              <w:rPr>
                <w:lang w:val="lt-LT"/>
              </w:rPr>
            </w:pPr>
          </w:p>
        </w:tc>
      </w:tr>
    </w:tbl>
    <w:p w14:paraId="7DB74EC8" w14:textId="77777777" w:rsidR="007D59EF" w:rsidRPr="001C7577" w:rsidRDefault="007D59EF" w:rsidP="007D59EF">
      <w:pPr>
        <w:spacing w:line="240" w:lineRule="auto"/>
        <w:rPr>
          <w:lang w:val="lt-LT"/>
        </w:rPr>
      </w:pPr>
    </w:p>
    <w:p w14:paraId="7C56554D" w14:textId="77777777" w:rsidR="007D59EF" w:rsidRPr="001C7577" w:rsidRDefault="007D59EF" w:rsidP="007D59EF">
      <w:pPr>
        <w:spacing w:line="240" w:lineRule="auto"/>
        <w:rPr>
          <w:lang w:val="lt-LT"/>
        </w:rPr>
      </w:pPr>
      <w:r w:rsidRPr="001C7577">
        <w:rPr>
          <w:lang w:val="lt-LT"/>
        </w:rPr>
        <w:t>Per 96 savaites buvo galima atlikti genotipo tyrimus 25 pacientams iš QD grupės ir 26 iš BID grupės, kurių virusologinis atsakas nebuvo pilnas. QD grupėje nebuvo nustatyta atsparumo lopinavirui, o BID grupėje 1 pacientas, kuris turėjo ryškų atsparumą proteazių inhibitoriams tyrimo pradžioje, tyrimo metu parodė atsparumą ir lopinavirui.</w:t>
      </w:r>
    </w:p>
    <w:p w14:paraId="1713548D" w14:textId="77777777" w:rsidR="007D59EF" w:rsidRPr="001C7577" w:rsidRDefault="007D59EF" w:rsidP="007D59EF">
      <w:pPr>
        <w:spacing w:line="240" w:lineRule="auto"/>
        <w:rPr>
          <w:lang w:val="lt-LT"/>
        </w:rPr>
      </w:pPr>
    </w:p>
    <w:p w14:paraId="5B9F5626" w14:textId="77777777" w:rsidR="007D59EF" w:rsidRPr="001C7577" w:rsidRDefault="007D59EF" w:rsidP="007D59EF">
      <w:pPr>
        <w:spacing w:line="240" w:lineRule="auto"/>
        <w:rPr>
          <w:lang w:val="lt-LT"/>
        </w:rPr>
      </w:pPr>
      <w:r w:rsidRPr="001C7577">
        <w:rPr>
          <w:lang w:val="lt-LT"/>
        </w:rPr>
        <w:t>Nepertraukiamas virusologinis atsakas į lopinavirą/ritonavirą (kartu su nukleozidiniais/nukleotidiniais atvirkštinės transkriptazės inhibitoriais) taip pat stebėtas nedidelės apimties II fazės 360 savaičių tyrimo (M97-720) metu. Atliekant tyrimą, šimtas pacientų nuo pradžios buvo gydomi lopinaviru/ritonaviru (įskaitant 51 pacientą, gavusius po 400/100 mg du kartus per parą ir 49 pacientus, kurie gavo po 200/100 mg du kartus per parą arba po 400/200 mg du kartus per parą). Atliekant atvirą lopinaviro/ritonaviro tyrimą, visiems pacientams dozė pakeista į 400/100 mg, du kartus per parą, nuo 48 iki 72 savaitės. Trisdešimt devyni (39 %) pacientai nutraukė tyrimą, įskaitant 16 (16%), kurie pasitraukė iš tyrimo dėl pašalinių reiškinių, iš jų vienas susijęs su mirtina išeitimi. Šešiasdešimt vienas pacientas užbaigė tyrimą (per visą tyrimo laikotarpį 35 pacientai gavo rekomenduojamą 400/100 mg dozę du kartus per parą).</w:t>
      </w:r>
    </w:p>
    <w:p w14:paraId="0AB8E11A" w14:textId="77777777" w:rsidR="007D59EF" w:rsidRPr="001C7577" w:rsidRDefault="007D59EF" w:rsidP="007D59EF">
      <w:pPr>
        <w:spacing w:line="240" w:lineRule="auto"/>
        <w:rPr>
          <w:lang w:val="lt-LT"/>
        </w:rPr>
      </w:pPr>
    </w:p>
    <w:p w14:paraId="71A04822" w14:textId="77777777" w:rsidR="007D59EF" w:rsidRPr="001C7577" w:rsidRDefault="007D59EF" w:rsidP="007D59EF">
      <w:pPr>
        <w:spacing w:line="240" w:lineRule="auto"/>
        <w:rPr>
          <w:lang w:val="lt-LT"/>
        </w:rPr>
      </w:pPr>
      <w:r w:rsidRPr="001C7577">
        <w:rPr>
          <w:lang w:val="lt-LT"/>
        </w:rPr>
        <w:t>3 lentelė</w:t>
      </w:r>
    </w:p>
    <w:p w14:paraId="2CFC2834" w14:textId="77777777" w:rsidR="007D59EF" w:rsidRPr="001C7577" w:rsidRDefault="007D59EF" w:rsidP="007D59EF">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402"/>
      </w:tblGrid>
      <w:tr w:rsidR="007D59EF" w:rsidRPr="00705EEC" w14:paraId="5419A3E6" w14:textId="77777777" w:rsidTr="007D59EF">
        <w:tc>
          <w:tcPr>
            <w:tcW w:w="7905" w:type="dxa"/>
            <w:gridSpan w:val="2"/>
            <w:shd w:val="clear" w:color="auto" w:fill="auto"/>
          </w:tcPr>
          <w:p w14:paraId="609F2349" w14:textId="77777777" w:rsidR="007D59EF" w:rsidRPr="001C7577" w:rsidRDefault="007D59EF" w:rsidP="007D59EF">
            <w:pPr>
              <w:spacing w:line="240" w:lineRule="auto"/>
              <w:jc w:val="center"/>
              <w:rPr>
                <w:b/>
                <w:lang w:val="lt-LT"/>
              </w:rPr>
            </w:pPr>
            <w:r w:rsidRPr="001C7577">
              <w:rPr>
                <w:b/>
                <w:lang w:val="lt-LT"/>
              </w:rPr>
              <w:t>M97-720 tyrimo rezultatai 360 savaitę</w:t>
            </w:r>
          </w:p>
        </w:tc>
      </w:tr>
      <w:tr w:rsidR="007D59EF" w:rsidRPr="00705EEC" w14:paraId="46FD0FDF" w14:textId="77777777" w:rsidTr="007D59EF">
        <w:tc>
          <w:tcPr>
            <w:tcW w:w="4503" w:type="dxa"/>
            <w:shd w:val="clear" w:color="auto" w:fill="auto"/>
          </w:tcPr>
          <w:p w14:paraId="76B19C79" w14:textId="77777777" w:rsidR="007D59EF" w:rsidRPr="001C7577" w:rsidRDefault="007D59EF" w:rsidP="007D59EF">
            <w:pPr>
              <w:spacing w:line="240" w:lineRule="auto"/>
              <w:rPr>
                <w:b/>
                <w:lang w:val="lt-LT"/>
              </w:rPr>
            </w:pPr>
          </w:p>
        </w:tc>
        <w:tc>
          <w:tcPr>
            <w:tcW w:w="3402" w:type="dxa"/>
            <w:shd w:val="clear" w:color="auto" w:fill="auto"/>
          </w:tcPr>
          <w:p w14:paraId="16CCB9B5" w14:textId="77777777" w:rsidR="007D59EF" w:rsidRPr="001C7577" w:rsidRDefault="007D59EF" w:rsidP="007D59EF">
            <w:pPr>
              <w:spacing w:line="240" w:lineRule="auto"/>
              <w:jc w:val="center"/>
              <w:rPr>
                <w:b/>
                <w:lang w:val="lt-LT"/>
              </w:rPr>
            </w:pPr>
            <w:r w:rsidRPr="001C7577">
              <w:rPr>
                <w:b/>
                <w:lang w:val="lt-LT"/>
              </w:rPr>
              <w:t>Lopinaviras/Ritonaviras (N=100)</w:t>
            </w:r>
          </w:p>
        </w:tc>
      </w:tr>
      <w:tr w:rsidR="007D59EF" w:rsidRPr="00705EEC" w14:paraId="44957182" w14:textId="77777777" w:rsidTr="007D59EF">
        <w:tc>
          <w:tcPr>
            <w:tcW w:w="4503" w:type="dxa"/>
            <w:shd w:val="clear" w:color="auto" w:fill="auto"/>
          </w:tcPr>
          <w:p w14:paraId="7556C3E9" w14:textId="77777777" w:rsidR="007D59EF" w:rsidRPr="001C7577" w:rsidRDefault="007D59EF" w:rsidP="007D59EF">
            <w:pPr>
              <w:autoSpaceDE w:val="0"/>
              <w:autoSpaceDN w:val="0"/>
              <w:adjustRightInd w:val="0"/>
              <w:spacing w:line="240" w:lineRule="auto"/>
              <w:rPr>
                <w:lang w:val="lt-LT"/>
              </w:rPr>
            </w:pPr>
            <w:r w:rsidRPr="001C7577">
              <w:rPr>
                <w:lang w:val="lt-LT"/>
              </w:rPr>
              <w:t xml:space="preserve">ŽIV RNR &lt; 400 kopijų/ml </w:t>
            </w:r>
          </w:p>
        </w:tc>
        <w:tc>
          <w:tcPr>
            <w:tcW w:w="3402" w:type="dxa"/>
            <w:shd w:val="clear" w:color="auto" w:fill="auto"/>
          </w:tcPr>
          <w:p w14:paraId="1CA6C30C" w14:textId="77777777" w:rsidR="007D59EF" w:rsidRPr="001C7577" w:rsidRDefault="007D59EF" w:rsidP="007D59EF">
            <w:pPr>
              <w:autoSpaceDE w:val="0"/>
              <w:autoSpaceDN w:val="0"/>
              <w:adjustRightInd w:val="0"/>
              <w:spacing w:line="240" w:lineRule="auto"/>
              <w:jc w:val="center"/>
              <w:rPr>
                <w:lang w:val="lt-LT"/>
              </w:rPr>
            </w:pPr>
            <w:r w:rsidRPr="001C7577">
              <w:rPr>
                <w:lang w:val="lt-LT"/>
              </w:rPr>
              <w:t>61%</w:t>
            </w:r>
          </w:p>
        </w:tc>
      </w:tr>
      <w:tr w:rsidR="007D59EF" w:rsidRPr="00705EEC" w14:paraId="0970A5F8" w14:textId="77777777" w:rsidTr="007D59EF">
        <w:tc>
          <w:tcPr>
            <w:tcW w:w="4503" w:type="dxa"/>
            <w:shd w:val="clear" w:color="auto" w:fill="auto"/>
          </w:tcPr>
          <w:p w14:paraId="34307360" w14:textId="77777777" w:rsidR="007D59EF" w:rsidRPr="001C7577" w:rsidRDefault="007D59EF" w:rsidP="007D59EF">
            <w:pPr>
              <w:autoSpaceDE w:val="0"/>
              <w:autoSpaceDN w:val="0"/>
              <w:adjustRightInd w:val="0"/>
              <w:spacing w:line="240" w:lineRule="auto"/>
              <w:rPr>
                <w:lang w:val="lt-LT"/>
              </w:rPr>
            </w:pPr>
            <w:r w:rsidRPr="001C7577">
              <w:rPr>
                <w:lang w:val="lt-LT"/>
              </w:rPr>
              <w:lastRenderedPageBreak/>
              <w:t xml:space="preserve">ŽIV RNR &lt; 50 kopijų/ml </w:t>
            </w:r>
          </w:p>
        </w:tc>
        <w:tc>
          <w:tcPr>
            <w:tcW w:w="3402" w:type="dxa"/>
            <w:shd w:val="clear" w:color="auto" w:fill="auto"/>
          </w:tcPr>
          <w:p w14:paraId="41C6F9F9" w14:textId="77777777" w:rsidR="007D59EF" w:rsidRPr="001C7577" w:rsidRDefault="007D59EF" w:rsidP="007D59EF">
            <w:pPr>
              <w:autoSpaceDE w:val="0"/>
              <w:autoSpaceDN w:val="0"/>
              <w:adjustRightInd w:val="0"/>
              <w:spacing w:line="240" w:lineRule="auto"/>
              <w:jc w:val="center"/>
              <w:rPr>
                <w:lang w:val="lt-LT"/>
              </w:rPr>
            </w:pPr>
            <w:r w:rsidRPr="001C7577">
              <w:rPr>
                <w:lang w:val="lt-LT"/>
              </w:rPr>
              <w:t>59%</w:t>
            </w:r>
          </w:p>
        </w:tc>
      </w:tr>
      <w:tr w:rsidR="007D59EF" w:rsidRPr="00705EEC" w14:paraId="02FF9A23" w14:textId="77777777" w:rsidTr="007D59EF">
        <w:tc>
          <w:tcPr>
            <w:tcW w:w="4503" w:type="dxa"/>
            <w:shd w:val="clear" w:color="auto" w:fill="auto"/>
          </w:tcPr>
          <w:p w14:paraId="419BCCC5" w14:textId="77777777" w:rsidR="007D59EF" w:rsidRPr="001C7577" w:rsidRDefault="007D59EF" w:rsidP="007D59EF">
            <w:pPr>
              <w:autoSpaceDE w:val="0"/>
              <w:autoSpaceDN w:val="0"/>
              <w:adjustRightInd w:val="0"/>
              <w:spacing w:line="240" w:lineRule="auto"/>
              <w:rPr>
                <w:lang w:val="lt-LT"/>
              </w:rPr>
            </w:pPr>
            <w:r w:rsidRPr="001C7577">
              <w:rPr>
                <w:lang w:val="lt-LT"/>
              </w:rPr>
              <w:t>CD4+ T-ląstelių skaičiaus vidutinis padidėjimas nuo tyrimo pradžios (ląstelių/mm</w:t>
            </w:r>
            <w:r w:rsidRPr="001C7577">
              <w:rPr>
                <w:vertAlign w:val="superscript"/>
                <w:lang w:val="lt-LT"/>
              </w:rPr>
              <w:t>3</w:t>
            </w:r>
            <w:r w:rsidRPr="001C7577">
              <w:rPr>
                <w:lang w:val="lt-LT"/>
              </w:rPr>
              <w:t>)</w:t>
            </w:r>
          </w:p>
        </w:tc>
        <w:tc>
          <w:tcPr>
            <w:tcW w:w="3402" w:type="dxa"/>
            <w:shd w:val="clear" w:color="auto" w:fill="auto"/>
          </w:tcPr>
          <w:p w14:paraId="110B8BD1" w14:textId="77777777" w:rsidR="007D59EF" w:rsidRPr="001C7577" w:rsidRDefault="007D59EF" w:rsidP="007D59EF">
            <w:pPr>
              <w:autoSpaceDE w:val="0"/>
              <w:autoSpaceDN w:val="0"/>
              <w:adjustRightInd w:val="0"/>
              <w:spacing w:line="240" w:lineRule="auto"/>
              <w:jc w:val="center"/>
              <w:rPr>
                <w:lang w:val="lt-LT"/>
              </w:rPr>
            </w:pPr>
            <w:r w:rsidRPr="001C7577">
              <w:rPr>
                <w:lang w:val="lt-LT"/>
              </w:rPr>
              <w:t>501</w:t>
            </w:r>
          </w:p>
        </w:tc>
      </w:tr>
    </w:tbl>
    <w:p w14:paraId="22C8CF96" w14:textId="77777777" w:rsidR="007D59EF" w:rsidRPr="001C7577" w:rsidRDefault="007D59EF" w:rsidP="007D59EF">
      <w:pPr>
        <w:spacing w:line="240" w:lineRule="auto"/>
        <w:rPr>
          <w:lang w:val="lt-LT"/>
        </w:rPr>
      </w:pPr>
      <w:r w:rsidRPr="001C7577">
        <w:rPr>
          <w:lang w:val="lt-LT"/>
        </w:rPr>
        <w:t>Per 360 gydymo savaites genotipinė virusų izoliatų analizė sėkmingai atlikta 19 iš 28 pacientų, kurių ŽIV RNR buvo daugiau nei 400 kopijų/ml, ir tyrimas parodė, kad nėra pirminių ar aktyvių proteazių mutacijų (aminorūgščių 8,30, 32, 46, 47, 48, 50, 82, 84 ir 90 pozicijose) arba proteazių inhibitorių fenotipinio atsparumo.</w:t>
      </w:r>
    </w:p>
    <w:p w14:paraId="0CD0810B" w14:textId="77777777" w:rsidR="007D59EF" w:rsidRPr="001C7577" w:rsidRDefault="007D59EF" w:rsidP="007D59EF">
      <w:pPr>
        <w:spacing w:line="240" w:lineRule="auto"/>
        <w:rPr>
          <w:lang w:val="lt-LT"/>
        </w:rPr>
      </w:pPr>
    </w:p>
    <w:p w14:paraId="35F33B6B" w14:textId="77777777" w:rsidR="007D59EF" w:rsidRPr="001C7577" w:rsidRDefault="007D59EF" w:rsidP="007D59EF">
      <w:pPr>
        <w:spacing w:line="240" w:lineRule="auto"/>
        <w:rPr>
          <w:u w:val="single"/>
          <w:lang w:val="lt-LT"/>
        </w:rPr>
      </w:pPr>
      <w:r w:rsidRPr="001C7577">
        <w:rPr>
          <w:u w:val="single"/>
          <w:lang w:val="lt-LT"/>
        </w:rPr>
        <w:t>Pacientams, anksčiau gavusiems antiretrovirusinį gydymą</w:t>
      </w:r>
    </w:p>
    <w:p w14:paraId="4F3B4918" w14:textId="77777777" w:rsidR="007D59EF" w:rsidRPr="001C7577" w:rsidRDefault="007D59EF" w:rsidP="007D59EF">
      <w:pPr>
        <w:spacing w:line="240" w:lineRule="auto"/>
        <w:rPr>
          <w:lang w:val="lt-LT"/>
        </w:rPr>
      </w:pPr>
    </w:p>
    <w:p w14:paraId="306FF3AA" w14:textId="77777777" w:rsidR="007D59EF" w:rsidRPr="001C7577" w:rsidRDefault="007D59EF" w:rsidP="007D59EF">
      <w:pPr>
        <w:spacing w:line="240" w:lineRule="auto"/>
        <w:rPr>
          <w:lang w:val="lt-LT"/>
        </w:rPr>
      </w:pPr>
      <w:r w:rsidRPr="001C7577">
        <w:rPr>
          <w:lang w:val="lt-LT"/>
        </w:rPr>
        <w:t>M06-802 buvo randomizuotas atviras tyrimas, kurio metu 599 pacientams, kuriems yra nustatomas virusas gaunant priešvirusinį gydymą, buvo palygintas lopinaviro/ritonaviro tablečių dozės skyrimo du kartus per parą ir kartą per parą saugumas, toleravimas ir priešvirusinis aktyvumas. Pacientai anksčiau nebuvo gavę gydymo lopinaviru/ritonaviru. Jie buvo randomizuoti santykiu 1:1 ir gavo arba lopinaviro/ritonaviro 800/200mg vieną kartą per parą (n= 300), arba lopinaviro/ritonaviro 400/100mg du kartus per parą (n= 299). Pacientams buvo paskirti bent du nukleozidų/nukleotidų atvirkštinės transkriptazės inhibitoriai, kuriuos parinko tyrėjas. Daugiau negu pusė į tyrimą įtrauktų pacientų niekada nebuvo gavę PI ir apie 80% pacientų turėjo virusus su mažiau nei 3 PI mutacijomis. Vidutinis į tyrimą įtrauktų pacientų amžius buvo 41 metai (svyravimas tarp 21 ir 73); 51% baltaodžių ir 66% vyrų. Pradinė CD4+ vertė buvo 254 ląstelių/mm</w:t>
      </w:r>
      <w:r w:rsidRPr="001C7577">
        <w:rPr>
          <w:vertAlign w:val="superscript"/>
          <w:lang w:val="lt-LT"/>
        </w:rPr>
        <w:t>3</w:t>
      </w:r>
      <w:r w:rsidRPr="001C7577">
        <w:rPr>
          <w:lang w:val="lt-LT"/>
        </w:rPr>
        <w:t xml:space="preserve"> (svyravimas: tarp 4 ir 952 ląstelių/mm</w:t>
      </w:r>
      <w:r w:rsidRPr="001C7577">
        <w:rPr>
          <w:vertAlign w:val="superscript"/>
          <w:lang w:val="lt-LT"/>
        </w:rPr>
        <w:t>3</w:t>
      </w:r>
      <w:r w:rsidRPr="001C7577">
        <w:rPr>
          <w:lang w:val="lt-LT"/>
        </w:rPr>
        <w:t>) ir vidutinė plazmos ŽIV-1 RNR tyrimo pradžioje buvo 4,3 log</w:t>
      </w:r>
      <w:r w:rsidRPr="001C7577">
        <w:rPr>
          <w:vertAlign w:val="subscript"/>
          <w:lang w:val="lt-LT"/>
        </w:rPr>
        <w:t xml:space="preserve">10 </w:t>
      </w:r>
      <w:r w:rsidRPr="001C7577">
        <w:rPr>
          <w:lang w:val="lt-LT"/>
        </w:rPr>
        <w:t>kopijos/ml (svyravimas: tarp 1,7 ir 6,6 log10 kopijų/ml). Apie 85% pacientų turėjo &lt;100,000 virusų kopijų/ml.</w:t>
      </w:r>
    </w:p>
    <w:p w14:paraId="51E38158" w14:textId="77777777" w:rsidR="007D59EF" w:rsidRPr="001C7577" w:rsidRDefault="007D59EF" w:rsidP="007D59EF">
      <w:pPr>
        <w:spacing w:line="240" w:lineRule="auto"/>
        <w:rPr>
          <w:lang w:val="lt-LT"/>
        </w:rPr>
      </w:pPr>
    </w:p>
    <w:p w14:paraId="1FE5FCD7" w14:textId="77777777" w:rsidR="007D59EF" w:rsidRPr="001C7577" w:rsidRDefault="007D59EF" w:rsidP="007D59EF">
      <w:pPr>
        <w:spacing w:line="240" w:lineRule="auto"/>
        <w:rPr>
          <w:lang w:val="lt-LT"/>
        </w:rPr>
      </w:pPr>
      <w:r w:rsidRPr="001C7577">
        <w:rPr>
          <w:lang w:val="lt-LT"/>
        </w:rPr>
        <w:t>4 lentelė</w:t>
      </w:r>
    </w:p>
    <w:p w14:paraId="55217ED9" w14:textId="77777777" w:rsidR="007D59EF" w:rsidRPr="001C7577" w:rsidRDefault="007D59EF" w:rsidP="007D59EF">
      <w:pPr>
        <w:spacing w:line="240" w:lineRule="auto"/>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418"/>
        <w:gridCol w:w="1701"/>
      </w:tblGrid>
      <w:tr w:rsidR="007D59EF" w:rsidRPr="00705EEC" w14:paraId="4C3D9142" w14:textId="77777777" w:rsidTr="007D59EF">
        <w:trPr>
          <w:jc w:val="center"/>
        </w:trPr>
        <w:tc>
          <w:tcPr>
            <w:tcW w:w="7196" w:type="dxa"/>
            <w:gridSpan w:val="4"/>
            <w:shd w:val="clear" w:color="auto" w:fill="auto"/>
          </w:tcPr>
          <w:p w14:paraId="010C3443" w14:textId="77777777" w:rsidR="007D59EF" w:rsidRPr="001C7577" w:rsidRDefault="007D59EF" w:rsidP="007D59EF">
            <w:pPr>
              <w:spacing w:line="240" w:lineRule="auto"/>
              <w:jc w:val="center"/>
              <w:rPr>
                <w:b/>
                <w:lang w:val="lt-LT"/>
              </w:rPr>
            </w:pPr>
            <w:r w:rsidRPr="001C7577">
              <w:rPr>
                <w:b/>
                <w:lang w:val="lt-LT"/>
              </w:rPr>
              <w:t>802 tyrimo virusologinis atsakas 48 savaitę</w:t>
            </w:r>
          </w:p>
        </w:tc>
      </w:tr>
      <w:tr w:rsidR="007D59EF" w:rsidRPr="00705EEC" w14:paraId="0769CB2F" w14:textId="77777777" w:rsidTr="007D59EF">
        <w:trPr>
          <w:jc w:val="center"/>
        </w:trPr>
        <w:tc>
          <w:tcPr>
            <w:tcW w:w="3085" w:type="dxa"/>
            <w:shd w:val="clear" w:color="auto" w:fill="auto"/>
          </w:tcPr>
          <w:p w14:paraId="70FA5D2D" w14:textId="77777777" w:rsidR="007D59EF" w:rsidRPr="001C7577" w:rsidRDefault="007D59EF" w:rsidP="007D59EF">
            <w:pPr>
              <w:spacing w:line="240" w:lineRule="auto"/>
              <w:rPr>
                <w:b/>
                <w:lang w:val="lt-LT"/>
              </w:rPr>
            </w:pPr>
          </w:p>
        </w:tc>
        <w:tc>
          <w:tcPr>
            <w:tcW w:w="992" w:type="dxa"/>
            <w:shd w:val="clear" w:color="auto" w:fill="auto"/>
          </w:tcPr>
          <w:p w14:paraId="4FD58899" w14:textId="77777777" w:rsidR="007D59EF" w:rsidRPr="001C7577" w:rsidRDefault="007D59EF" w:rsidP="007D59EF">
            <w:pPr>
              <w:spacing w:line="240" w:lineRule="auto"/>
              <w:jc w:val="center"/>
              <w:rPr>
                <w:b/>
                <w:lang w:val="lt-LT"/>
              </w:rPr>
            </w:pPr>
            <w:r w:rsidRPr="001C7577">
              <w:rPr>
                <w:b/>
                <w:lang w:val="lt-LT"/>
              </w:rPr>
              <w:t>QD</w:t>
            </w:r>
          </w:p>
        </w:tc>
        <w:tc>
          <w:tcPr>
            <w:tcW w:w="1418" w:type="dxa"/>
            <w:shd w:val="clear" w:color="auto" w:fill="auto"/>
          </w:tcPr>
          <w:p w14:paraId="4DE63C29" w14:textId="77777777" w:rsidR="007D59EF" w:rsidRPr="001C7577" w:rsidRDefault="007D59EF" w:rsidP="007D59EF">
            <w:pPr>
              <w:spacing w:line="240" w:lineRule="auto"/>
              <w:jc w:val="center"/>
              <w:rPr>
                <w:b/>
                <w:lang w:val="lt-LT"/>
              </w:rPr>
            </w:pPr>
            <w:r w:rsidRPr="001C7577">
              <w:rPr>
                <w:b/>
                <w:lang w:val="lt-LT"/>
              </w:rPr>
              <w:t>BID</w:t>
            </w:r>
          </w:p>
        </w:tc>
        <w:tc>
          <w:tcPr>
            <w:tcW w:w="1701" w:type="dxa"/>
            <w:shd w:val="clear" w:color="auto" w:fill="auto"/>
          </w:tcPr>
          <w:p w14:paraId="149EBDEC" w14:textId="77777777" w:rsidR="007D59EF" w:rsidRPr="001C7577" w:rsidRDefault="007D59EF" w:rsidP="007D59EF">
            <w:pPr>
              <w:tabs>
                <w:tab w:val="clear" w:pos="567"/>
              </w:tabs>
              <w:autoSpaceDE w:val="0"/>
              <w:autoSpaceDN w:val="0"/>
              <w:adjustRightInd w:val="0"/>
              <w:spacing w:line="240" w:lineRule="auto"/>
              <w:jc w:val="center"/>
              <w:rPr>
                <w:rFonts w:eastAsia="Calibri"/>
                <w:b/>
                <w:bCs/>
                <w:snapToGrid/>
                <w:szCs w:val="22"/>
                <w:lang w:val="lt-LT"/>
              </w:rPr>
            </w:pPr>
            <w:r w:rsidRPr="001C7577">
              <w:rPr>
                <w:rFonts w:eastAsia="Calibri"/>
                <w:b/>
                <w:bCs/>
                <w:snapToGrid/>
                <w:szCs w:val="22"/>
                <w:lang w:val="lt-LT"/>
              </w:rPr>
              <w:t>Skirtumas</w:t>
            </w:r>
          </w:p>
          <w:p w14:paraId="28E8D616" w14:textId="77777777" w:rsidR="007D59EF" w:rsidRPr="001C7577" w:rsidRDefault="007D59EF" w:rsidP="007D59EF">
            <w:pPr>
              <w:spacing w:line="240" w:lineRule="auto"/>
              <w:jc w:val="center"/>
              <w:rPr>
                <w:lang w:val="lt-LT"/>
              </w:rPr>
            </w:pPr>
            <w:r w:rsidRPr="001C7577">
              <w:rPr>
                <w:rFonts w:eastAsia="Calibri"/>
                <w:b/>
                <w:bCs/>
                <w:snapToGrid/>
                <w:szCs w:val="22"/>
                <w:lang w:val="lt-LT"/>
              </w:rPr>
              <w:t>[95% CI]</w:t>
            </w:r>
          </w:p>
        </w:tc>
      </w:tr>
      <w:tr w:rsidR="007D59EF" w:rsidRPr="00705EEC" w14:paraId="16A9295B" w14:textId="77777777" w:rsidTr="007D59EF">
        <w:trPr>
          <w:jc w:val="center"/>
        </w:trPr>
        <w:tc>
          <w:tcPr>
            <w:tcW w:w="3085" w:type="dxa"/>
            <w:shd w:val="clear" w:color="auto" w:fill="auto"/>
          </w:tcPr>
          <w:p w14:paraId="00A47E9A" w14:textId="77777777" w:rsidR="007D59EF" w:rsidRPr="001C7577" w:rsidRDefault="007D59EF" w:rsidP="007D59EF">
            <w:pPr>
              <w:spacing w:line="240" w:lineRule="auto"/>
              <w:rPr>
                <w:b/>
                <w:lang w:val="lt-LT"/>
              </w:rPr>
            </w:pPr>
            <w:r w:rsidRPr="001C7577">
              <w:rPr>
                <w:b/>
                <w:lang w:val="lt-LT"/>
              </w:rPr>
              <w:t>NC = nesėkmė</w:t>
            </w:r>
          </w:p>
        </w:tc>
        <w:tc>
          <w:tcPr>
            <w:tcW w:w="992" w:type="dxa"/>
            <w:shd w:val="clear" w:color="auto" w:fill="auto"/>
          </w:tcPr>
          <w:p w14:paraId="41999A16" w14:textId="77777777" w:rsidR="007D59EF" w:rsidRPr="001C7577" w:rsidRDefault="007D59EF" w:rsidP="007D59EF">
            <w:pPr>
              <w:spacing w:line="240" w:lineRule="auto"/>
              <w:jc w:val="center"/>
              <w:rPr>
                <w:lang w:val="lt-LT"/>
              </w:rPr>
            </w:pPr>
            <w:r w:rsidRPr="001C7577">
              <w:rPr>
                <w:lang w:val="lt-LT"/>
              </w:rPr>
              <w:t>171/300</w:t>
            </w:r>
          </w:p>
          <w:p w14:paraId="3CB9040D" w14:textId="77777777" w:rsidR="007D59EF" w:rsidRPr="001C7577" w:rsidRDefault="007D59EF" w:rsidP="007D59EF">
            <w:pPr>
              <w:spacing w:line="240" w:lineRule="auto"/>
              <w:jc w:val="center"/>
              <w:rPr>
                <w:lang w:val="lt-LT"/>
              </w:rPr>
            </w:pPr>
            <w:r w:rsidRPr="001C7577">
              <w:rPr>
                <w:lang w:val="lt-LT"/>
              </w:rPr>
              <w:t>(57%)</w:t>
            </w:r>
          </w:p>
        </w:tc>
        <w:tc>
          <w:tcPr>
            <w:tcW w:w="1418" w:type="dxa"/>
            <w:shd w:val="clear" w:color="auto" w:fill="auto"/>
          </w:tcPr>
          <w:p w14:paraId="20DD45A9" w14:textId="77777777" w:rsidR="007D59EF" w:rsidRPr="001C7577" w:rsidRDefault="007D59EF" w:rsidP="007D59EF">
            <w:pPr>
              <w:spacing w:line="240" w:lineRule="auto"/>
              <w:jc w:val="center"/>
              <w:rPr>
                <w:lang w:val="lt-LT"/>
              </w:rPr>
            </w:pPr>
            <w:r w:rsidRPr="001C7577">
              <w:rPr>
                <w:lang w:val="lt-LT"/>
              </w:rPr>
              <w:t>161/299</w:t>
            </w:r>
          </w:p>
          <w:p w14:paraId="63C61D30" w14:textId="77777777" w:rsidR="007D59EF" w:rsidRPr="001C7577" w:rsidRDefault="007D59EF" w:rsidP="007D59EF">
            <w:pPr>
              <w:spacing w:line="240" w:lineRule="auto"/>
              <w:jc w:val="center"/>
              <w:rPr>
                <w:lang w:val="lt-LT"/>
              </w:rPr>
            </w:pPr>
            <w:r w:rsidRPr="001C7577">
              <w:rPr>
                <w:lang w:val="lt-LT"/>
              </w:rPr>
              <w:t>(53.8%)</w:t>
            </w:r>
          </w:p>
        </w:tc>
        <w:tc>
          <w:tcPr>
            <w:tcW w:w="1701" w:type="dxa"/>
            <w:shd w:val="clear" w:color="auto" w:fill="auto"/>
          </w:tcPr>
          <w:p w14:paraId="425AAE80" w14:textId="77777777" w:rsidR="007D59EF" w:rsidRPr="001C7577" w:rsidRDefault="007D59EF" w:rsidP="007D59EF">
            <w:pPr>
              <w:spacing w:line="240" w:lineRule="auto"/>
              <w:jc w:val="center"/>
              <w:rPr>
                <w:lang w:val="lt-LT"/>
              </w:rPr>
            </w:pPr>
            <w:r w:rsidRPr="001C7577">
              <w:rPr>
                <w:lang w:val="lt-LT"/>
              </w:rPr>
              <w:t>3.2%</w:t>
            </w:r>
          </w:p>
          <w:p w14:paraId="2BE54C34" w14:textId="77777777" w:rsidR="007D59EF" w:rsidRPr="001C7577" w:rsidRDefault="007D59EF" w:rsidP="007D59EF">
            <w:pPr>
              <w:spacing w:line="240" w:lineRule="auto"/>
              <w:jc w:val="center"/>
              <w:rPr>
                <w:lang w:val="lt-LT"/>
              </w:rPr>
            </w:pPr>
            <w:r w:rsidRPr="001C7577">
              <w:rPr>
                <w:lang w:val="lt-LT"/>
              </w:rPr>
              <w:t>[-4.8%, 11.1%]</w:t>
            </w:r>
          </w:p>
        </w:tc>
      </w:tr>
      <w:tr w:rsidR="007D59EF" w:rsidRPr="00705EEC" w14:paraId="7BAE83CF" w14:textId="77777777" w:rsidTr="007D59EF">
        <w:trPr>
          <w:jc w:val="center"/>
        </w:trPr>
        <w:tc>
          <w:tcPr>
            <w:tcW w:w="3085" w:type="dxa"/>
            <w:shd w:val="clear" w:color="auto" w:fill="auto"/>
          </w:tcPr>
          <w:p w14:paraId="72A43FF4" w14:textId="77777777" w:rsidR="007D59EF" w:rsidRPr="001C7577" w:rsidRDefault="007D59EF" w:rsidP="007D59EF">
            <w:pPr>
              <w:spacing w:line="240" w:lineRule="auto"/>
              <w:rPr>
                <w:b/>
                <w:lang w:val="lt-LT"/>
              </w:rPr>
            </w:pPr>
            <w:r w:rsidRPr="001C7577">
              <w:rPr>
                <w:b/>
                <w:lang w:val="lt-LT"/>
              </w:rPr>
              <w:t>Stebėti</w:t>
            </w:r>
          </w:p>
          <w:p w14:paraId="223660D0" w14:textId="77777777" w:rsidR="007D59EF" w:rsidRPr="001C7577" w:rsidRDefault="007D59EF" w:rsidP="007D59EF">
            <w:pPr>
              <w:spacing w:line="240" w:lineRule="auto"/>
              <w:rPr>
                <w:b/>
                <w:lang w:val="lt-LT"/>
              </w:rPr>
            </w:pPr>
            <w:r w:rsidRPr="001C7577">
              <w:rPr>
                <w:b/>
                <w:lang w:val="lt-LT"/>
              </w:rPr>
              <w:t>duomenys</w:t>
            </w:r>
          </w:p>
        </w:tc>
        <w:tc>
          <w:tcPr>
            <w:tcW w:w="992" w:type="dxa"/>
            <w:shd w:val="clear" w:color="auto" w:fill="auto"/>
          </w:tcPr>
          <w:p w14:paraId="1B2CD811" w14:textId="77777777" w:rsidR="007D59EF" w:rsidRPr="001C7577" w:rsidRDefault="007D59EF" w:rsidP="007D59EF">
            <w:pPr>
              <w:spacing w:line="240" w:lineRule="auto"/>
              <w:jc w:val="center"/>
              <w:rPr>
                <w:lang w:val="lt-LT"/>
              </w:rPr>
            </w:pPr>
            <w:r w:rsidRPr="001C7577">
              <w:rPr>
                <w:lang w:val="lt-LT"/>
              </w:rPr>
              <w:t>171/225</w:t>
            </w:r>
          </w:p>
          <w:p w14:paraId="2269C91D" w14:textId="77777777" w:rsidR="007D59EF" w:rsidRPr="001C7577" w:rsidRDefault="007D59EF" w:rsidP="007D59EF">
            <w:pPr>
              <w:spacing w:line="240" w:lineRule="auto"/>
              <w:jc w:val="center"/>
              <w:rPr>
                <w:lang w:val="lt-LT"/>
              </w:rPr>
            </w:pPr>
            <w:r w:rsidRPr="001C7577">
              <w:rPr>
                <w:lang w:val="lt-LT"/>
              </w:rPr>
              <w:t>(76.0%)</w:t>
            </w:r>
          </w:p>
        </w:tc>
        <w:tc>
          <w:tcPr>
            <w:tcW w:w="1418" w:type="dxa"/>
            <w:shd w:val="clear" w:color="auto" w:fill="auto"/>
          </w:tcPr>
          <w:p w14:paraId="4F551535" w14:textId="77777777" w:rsidR="007D59EF" w:rsidRPr="001C7577" w:rsidRDefault="007D59EF" w:rsidP="007D59EF">
            <w:pPr>
              <w:spacing w:line="240" w:lineRule="auto"/>
              <w:jc w:val="center"/>
              <w:rPr>
                <w:lang w:val="lt-LT"/>
              </w:rPr>
            </w:pPr>
            <w:r w:rsidRPr="001C7577">
              <w:rPr>
                <w:lang w:val="lt-LT"/>
              </w:rPr>
              <w:t>161/223</w:t>
            </w:r>
          </w:p>
          <w:p w14:paraId="0E1B6A86" w14:textId="77777777" w:rsidR="007D59EF" w:rsidRPr="001C7577" w:rsidRDefault="007D59EF" w:rsidP="007D59EF">
            <w:pPr>
              <w:spacing w:line="240" w:lineRule="auto"/>
              <w:jc w:val="center"/>
              <w:rPr>
                <w:lang w:val="lt-LT"/>
              </w:rPr>
            </w:pPr>
            <w:r w:rsidRPr="001C7577">
              <w:rPr>
                <w:lang w:val="lt-LT"/>
              </w:rPr>
              <w:t>(72.2%)</w:t>
            </w:r>
          </w:p>
        </w:tc>
        <w:tc>
          <w:tcPr>
            <w:tcW w:w="1701" w:type="dxa"/>
            <w:shd w:val="clear" w:color="auto" w:fill="auto"/>
          </w:tcPr>
          <w:p w14:paraId="4CD2491B" w14:textId="77777777" w:rsidR="007D59EF" w:rsidRPr="001C7577" w:rsidRDefault="007D59EF" w:rsidP="007D59EF">
            <w:pPr>
              <w:spacing w:line="240" w:lineRule="auto"/>
              <w:jc w:val="center"/>
              <w:rPr>
                <w:lang w:val="lt-LT"/>
              </w:rPr>
            </w:pPr>
            <w:r w:rsidRPr="001C7577">
              <w:rPr>
                <w:lang w:val="lt-LT"/>
              </w:rPr>
              <w:t>3.8%</w:t>
            </w:r>
          </w:p>
          <w:p w14:paraId="3A4B7404" w14:textId="77777777" w:rsidR="007D59EF" w:rsidRPr="001C7577" w:rsidRDefault="007D59EF" w:rsidP="007D59EF">
            <w:pPr>
              <w:spacing w:line="240" w:lineRule="auto"/>
              <w:jc w:val="center"/>
              <w:rPr>
                <w:lang w:val="lt-LT"/>
              </w:rPr>
            </w:pPr>
            <w:r w:rsidRPr="001C7577">
              <w:rPr>
                <w:lang w:val="lt-LT"/>
              </w:rPr>
              <w:t>[-4.3%, 11.9%]</w:t>
            </w:r>
          </w:p>
        </w:tc>
      </w:tr>
      <w:tr w:rsidR="007D59EF" w:rsidRPr="00705EEC" w14:paraId="5B7D8FA7" w14:textId="77777777" w:rsidTr="007D59EF">
        <w:trPr>
          <w:jc w:val="center"/>
        </w:trPr>
        <w:tc>
          <w:tcPr>
            <w:tcW w:w="3085" w:type="dxa"/>
            <w:shd w:val="clear" w:color="auto" w:fill="auto"/>
          </w:tcPr>
          <w:p w14:paraId="71038B8A" w14:textId="77777777" w:rsidR="007D59EF" w:rsidRPr="001C7577" w:rsidRDefault="007D59EF" w:rsidP="007D59EF">
            <w:pPr>
              <w:spacing w:line="240" w:lineRule="auto"/>
              <w:rPr>
                <w:b/>
                <w:lang w:val="lt-LT"/>
              </w:rPr>
            </w:pPr>
            <w:r w:rsidRPr="001C7577">
              <w:rPr>
                <w:b/>
                <w:lang w:val="lt-LT"/>
              </w:rPr>
              <w:t>CD4+ T-ląstelių skaičiaus vidutinis padidėjimas nuo tyrimo pradžios (ląstelių/mm</w:t>
            </w:r>
            <w:r w:rsidRPr="001C7577">
              <w:rPr>
                <w:b/>
                <w:vertAlign w:val="superscript"/>
                <w:lang w:val="lt-LT"/>
              </w:rPr>
              <w:t>3</w:t>
            </w:r>
            <w:r w:rsidRPr="001C7577">
              <w:rPr>
                <w:b/>
                <w:lang w:val="lt-LT"/>
              </w:rPr>
              <w:t>)</w:t>
            </w:r>
          </w:p>
        </w:tc>
        <w:tc>
          <w:tcPr>
            <w:tcW w:w="992" w:type="dxa"/>
            <w:shd w:val="clear" w:color="auto" w:fill="auto"/>
          </w:tcPr>
          <w:p w14:paraId="300D2A30" w14:textId="77777777" w:rsidR="007D59EF" w:rsidRPr="001C7577" w:rsidRDefault="007D59EF" w:rsidP="007D59EF">
            <w:pPr>
              <w:spacing w:line="240" w:lineRule="auto"/>
              <w:jc w:val="center"/>
              <w:rPr>
                <w:lang w:val="lt-LT"/>
              </w:rPr>
            </w:pPr>
            <w:r w:rsidRPr="001C7577">
              <w:rPr>
                <w:lang w:val="lt-LT"/>
              </w:rPr>
              <w:t>135</w:t>
            </w:r>
          </w:p>
        </w:tc>
        <w:tc>
          <w:tcPr>
            <w:tcW w:w="1418" w:type="dxa"/>
            <w:shd w:val="clear" w:color="auto" w:fill="auto"/>
          </w:tcPr>
          <w:p w14:paraId="0418536D" w14:textId="77777777" w:rsidR="007D59EF" w:rsidRPr="001C7577" w:rsidRDefault="007D59EF" w:rsidP="007D59EF">
            <w:pPr>
              <w:spacing w:line="240" w:lineRule="auto"/>
              <w:jc w:val="center"/>
              <w:rPr>
                <w:lang w:val="lt-LT"/>
              </w:rPr>
            </w:pPr>
            <w:r w:rsidRPr="001C7577">
              <w:rPr>
                <w:lang w:val="lt-LT"/>
              </w:rPr>
              <w:t>122</w:t>
            </w:r>
          </w:p>
        </w:tc>
        <w:tc>
          <w:tcPr>
            <w:tcW w:w="1701" w:type="dxa"/>
            <w:shd w:val="clear" w:color="auto" w:fill="auto"/>
          </w:tcPr>
          <w:p w14:paraId="344523DC" w14:textId="77777777" w:rsidR="007D59EF" w:rsidRPr="001C7577" w:rsidRDefault="007D59EF" w:rsidP="007D59EF">
            <w:pPr>
              <w:spacing w:line="240" w:lineRule="auto"/>
              <w:jc w:val="center"/>
              <w:rPr>
                <w:lang w:val="lt-LT"/>
              </w:rPr>
            </w:pPr>
          </w:p>
        </w:tc>
      </w:tr>
    </w:tbl>
    <w:p w14:paraId="7AFCE69C" w14:textId="77777777" w:rsidR="007D59EF" w:rsidRPr="001C7577" w:rsidRDefault="007D59EF" w:rsidP="007D59EF">
      <w:pPr>
        <w:spacing w:line="240" w:lineRule="auto"/>
        <w:rPr>
          <w:lang w:val="lt-LT"/>
        </w:rPr>
      </w:pPr>
    </w:p>
    <w:p w14:paraId="5327F2EB" w14:textId="77777777" w:rsidR="007D59EF" w:rsidRPr="001C7577" w:rsidRDefault="007D59EF" w:rsidP="007D59EF">
      <w:pPr>
        <w:spacing w:line="240" w:lineRule="auto"/>
        <w:rPr>
          <w:lang w:val="lt-LT"/>
        </w:rPr>
      </w:pPr>
      <w:r w:rsidRPr="001C7577">
        <w:rPr>
          <w:lang w:val="lt-LT"/>
        </w:rPr>
        <w:t>Per 48 savaites buvo galima atlikti genotipo atsparumo tyrimus 75 pacientams QD grupėje ir 75 BID grupėje, šių pacientų virologinis atsakas buvo nepakankamas. QD grupėje 6/75 (8%) pacientų buvo nustatytos naujos pirminės porteazių inhibitorių mutacijos (30, 32, 48, 50, 82, 84, 90 kodonų), o BID grupėje 12/77 (16%).</w:t>
      </w:r>
    </w:p>
    <w:p w14:paraId="3E9F1223" w14:textId="77777777" w:rsidR="007D59EF" w:rsidRPr="001C7577" w:rsidRDefault="007D59EF" w:rsidP="007D59EF">
      <w:pPr>
        <w:spacing w:line="240" w:lineRule="auto"/>
        <w:rPr>
          <w:lang w:val="lt-LT"/>
        </w:rPr>
      </w:pPr>
    </w:p>
    <w:p w14:paraId="7787B0B6" w14:textId="3EDE95C1" w:rsidR="007D59EF" w:rsidRPr="001C7577" w:rsidRDefault="007D59EF" w:rsidP="007D59EF">
      <w:pPr>
        <w:spacing w:line="240" w:lineRule="auto"/>
        <w:rPr>
          <w:i/>
          <w:lang w:val="lt-LT"/>
        </w:rPr>
      </w:pPr>
      <w:r w:rsidRPr="001C7577">
        <w:rPr>
          <w:i/>
          <w:lang w:val="lt-LT"/>
        </w:rPr>
        <w:t>Va</w:t>
      </w:r>
      <w:r w:rsidR="003C1B10">
        <w:rPr>
          <w:i/>
          <w:lang w:val="lt-LT"/>
        </w:rPr>
        <w:t>ikų populiacija</w:t>
      </w:r>
    </w:p>
    <w:p w14:paraId="2B933AD1" w14:textId="77777777" w:rsidR="007D59EF" w:rsidRPr="001C7577" w:rsidRDefault="007D59EF" w:rsidP="007D59EF">
      <w:pPr>
        <w:spacing w:line="240" w:lineRule="auto"/>
        <w:rPr>
          <w:lang w:val="lt-LT"/>
        </w:rPr>
      </w:pPr>
    </w:p>
    <w:p w14:paraId="4A4431C7" w14:textId="77777777" w:rsidR="007D59EF" w:rsidRPr="001C7577" w:rsidRDefault="007D59EF" w:rsidP="007D59EF">
      <w:pPr>
        <w:spacing w:line="240" w:lineRule="auto"/>
        <w:rPr>
          <w:lang w:val="lt-LT"/>
        </w:rPr>
      </w:pPr>
      <w:r w:rsidRPr="001C7577">
        <w:rPr>
          <w:lang w:val="lt-LT"/>
        </w:rPr>
        <w:t>M98-940 buvo atviras geriamosios lopinaviro/ritonaviro formos 100 antiretrovirusinio gydymo negavusių (44%) ir jį gavusių (56%) vaikų tyrimas. Visi pacientai negydyti nenukleozidiniais atvirkštinės transkriptazės inhibitoriais. Pacientai buvo atsitiktiniu būdu atrinkti vartoti arba 230 mg lopinaviro/57,5 mg ritonaviro/m2, arba 300 mg lopi</w:t>
      </w:r>
      <w:r w:rsidRPr="001C7577">
        <w:rPr>
          <w:lang w:val="lt-LT"/>
        </w:rPr>
        <w:lastRenderedPageBreak/>
        <w:t>naviro/75 mg ritonaviro/m2. Anksčiau negydyti pacientai taip pat vartojo nukleozidinius atvirkštinės transkriptazės inhibitorius. Anksčiau gydyti vaikai gavo nevirapiną plius iki dviejų nukleozidinių atvirkštinės transkriptazės inhibitorių. Po 3 gydymo savaičių buvo vertinamas kiekvieno paciento dviejų dozavimo režimų saugumas, veiksmingumas ir farmakokinetikos pobūdis. Paskui visi pacientai vartojo 300/75 mg/m</w:t>
      </w:r>
      <w:r w:rsidRPr="001C7577">
        <w:rPr>
          <w:vertAlign w:val="superscript"/>
          <w:lang w:val="lt-LT"/>
        </w:rPr>
        <w:t>2</w:t>
      </w:r>
      <w:r w:rsidRPr="001C7577">
        <w:rPr>
          <w:lang w:val="lt-LT"/>
        </w:rPr>
        <w:t xml:space="preserve"> dozę. Vidutinis pacientų amžius buvo 5 metai (ribos – nuo 6 mėnesių iki 12 metų), 14 pacientų – jaunesni kaip 2 metų, o 6 pacientai – vienerių metų arba jaunesni. Vidutinis pradinis CD4 ląstelių skaičius buvo 838 ląstelės/mm</w:t>
      </w:r>
      <w:r w:rsidRPr="001C7577">
        <w:rPr>
          <w:vertAlign w:val="superscript"/>
          <w:lang w:val="lt-LT"/>
        </w:rPr>
        <w:t>3</w:t>
      </w:r>
      <w:r w:rsidRPr="001C7577">
        <w:rPr>
          <w:lang w:val="lt-LT"/>
        </w:rPr>
        <w:t>, o vidutinis pradinis plazmos ŽIV RNR &lt; 400 kopijų/ml antiretrovirusinių vaistų nevartojusiems pacientams buvo 84%, o antiretrovirusiniais vaistais gydytiems pacientams – 75%. Vidutinis padidėjimas nuo pradinio CD 4+T ląstelių skaičiaus buvo atitinkamai 404 ląstelės/mm</w:t>
      </w:r>
      <w:r w:rsidRPr="001C7577">
        <w:rPr>
          <w:vertAlign w:val="superscript"/>
          <w:lang w:val="lt-LT"/>
        </w:rPr>
        <w:t>3</w:t>
      </w:r>
      <w:r w:rsidRPr="001C7577">
        <w:rPr>
          <w:lang w:val="lt-LT"/>
        </w:rPr>
        <w:t xml:space="preserve"> ir 284 ląstelės/mm</w:t>
      </w:r>
      <w:r w:rsidRPr="001C7577">
        <w:rPr>
          <w:vertAlign w:val="superscript"/>
          <w:lang w:val="lt-LT"/>
        </w:rPr>
        <w:t>3</w:t>
      </w:r>
      <w:r w:rsidRPr="001C7577">
        <w:rPr>
          <w:lang w:val="lt-LT"/>
        </w:rPr>
        <w:t>.</w:t>
      </w:r>
    </w:p>
    <w:p w14:paraId="35366E91" w14:textId="77777777" w:rsidR="007D59EF" w:rsidRPr="001C7577" w:rsidRDefault="007D59EF" w:rsidP="007D59EF">
      <w:pPr>
        <w:spacing w:line="240" w:lineRule="auto"/>
        <w:rPr>
          <w:lang w:val="lt-LT"/>
        </w:rPr>
      </w:pPr>
    </w:p>
    <w:p w14:paraId="043C9143" w14:textId="77777777" w:rsidR="007D59EF" w:rsidRPr="001C7577" w:rsidRDefault="007D59EF" w:rsidP="007D59EF">
      <w:pPr>
        <w:spacing w:line="240" w:lineRule="auto"/>
        <w:rPr>
          <w:lang w:val="lt-LT"/>
        </w:rPr>
      </w:pPr>
      <w:r w:rsidRPr="001C7577">
        <w:rPr>
          <w:lang w:val="lt-LT"/>
        </w:rPr>
        <w:t>5 lentelė</w:t>
      </w:r>
    </w:p>
    <w:p w14:paraId="229D6FFD" w14:textId="77777777" w:rsidR="007D59EF" w:rsidRPr="001C7577" w:rsidRDefault="007D59EF" w:rsidP="007D59EF">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2835"/>
      </w:tblGrid>
      <w:tr w:rsidR="007D59EF" w:rsidRPr="00705EEC" w14:paraId="3B33426E" w14:textId="77777777" w:rsidTr="007D59EF">
        <w:tc>
          <w:tcPr>
            <w:tcW w:w="8755" w:type="dxa"/>
            <w:gridSpan w:val="3"/>
            <w:shd w:val="clear" w:color="auto" w:fill="auto"/>
          </w:tcPr>
          <w:p w14:paraId="0CDDFCAD" w14:textId="77777777" w:rsidR="007D59EF" w:rsidRPr="001C7577" w:rsidRDefault="007D59EF" w:rsidP="007D59EF">
            <w:pPr>
              <w:spacing w:line="240" w:lineRule="auto"/>
              <w:jc w:val="center"/>
              <w:rPr>
                <w:b/>
                <w:lang w:val="lt-LT"/>
              </w:rPr>
            </w:pPr>
            <w:r w:rsidRPr="001C7577">
              <w:rPr>
                <w:b/>
                <w:lang w:val="lt-LT"/>
              </w:rPr>
              <w:t>M98-940 tyrimo 48 savaičių rezultatai</w:t>
            </w:r>
          </w:p>
        </w:tc>
      </w:tr>
      <w:tr w:rsidR="007D59EF" w:rsidRPr="00705EEC" w14:paraId="2B291151" w14:textId="77777777" w:rsidTr="007D59EF">
        <w:tc>
          <w:tcPr>
            <w:tcW w:w="2943" w:type="dxa"/>
            <w:shd w:val="clear" w:color="auto" w:fill="auto"/>
          </w:tcPr>
          <w:p w14:paraId="388837AD" w14:textId="77777777" w:rsidR="007D59EF" w:rsidRPr="001C7577" w:rsidRDefault="007D59EF" w:rsidP="007D59EF">
            <w:pPr>
              <w:spacing w:line="240" w:lineRule="auto"/>
              <w:rPr>
                <w:b/>
                <w:lang w:val="lt-LT"/>
              </w:rPr>
            </w:pPr>
          </w:p>
        </w:tc>
        <w:tc>
          <w:tcPr>
            <w:tcW w:w="2977" w:type="dxa"/>
            <w:shd w:val="clear" w:color="auto" w:fill="auto"/>
            <w:vAlign w:val="center"/>
          </w:tcPr>
          <w:p w14:paraId="5CCCA6C9" w14:textId="77777777" w:rsidR="007D59EF" w:rsidRPr="001C7577" w:rsidRDefault="007D59EF" w:rsidP="007D59EF">
            <w:pPr>
              <w:spacing w:line="240" w:lineRule="auto"/>
              <w:jc w:val="center"/>
              <w:rPr>
                <w:b/>
                <w:lang w:val="lt-LT"/>
              </w:rPr>
            </w:pPr>
            <w:r w:rsidRPr="001C7577">
              <w:rPr>
                <w:b/>
                <w:lang w:val="lt-LT"/>
              </w:rPr>
              <w:t>Negydyti antiretrovirusiniais vaistais (N=44)</w:t>
            </w:r>
          </w:p>
        </w:tc>
        <w:tc>
          <w:tcPr>
            <w:tcW w:w="2835" w:type="dxa"/>
            <w:shd w:val="clear" w:color="auto" w:fill="auto"/>
            <w:vAlign w:val="center"/>
          </w:tcPr>
          <w:p w14:paraId="32275D0A" w14:textId="77777777" w:rsidR="007D59EF" w:rsidRPr="001C7577" w:rsidRDefault="007D59EF" w:rsidP="007D59EF">
            <w:pPr>
              <w:spacing w:line="240" w:lineRule="auto"/>
              <w:jc w:val="center"/>
              <w:rPr>
                <w:b/>
                <w:lang w:val="lt-LT"/>
              </w:rPr>
            </w:pPr>
            <w:r w:rsidRPr="001C7577">
              <w:rPr>
                <w:b/>
                <w:lang w:val="lt-LT"/>
              </w:rPr>
              <w:t>Gydyti antiretrovirusiniais vaistais (N=56)</w:t>
            </w:r>
          </w:p>
        </w:tc>
      </w:tr>
      <w:tr w:rsidR="007D59EF" w:rsidRPr="00705EEC" w14:paraId="5F877AFB" w14:textId="77777777" w:rsidTr="007D59EF">
        <w:tc>
          <w:tcPr>
            <w:tcW w:w="2943" w:type="dxa"/>
            <w:shd w:val="clear" w:color="auto" w:fill="auto"/>
          </w:tcPr>
          <w:p w14:paraId="618A0B3E" w14:textId="77777777" w:rsidR="007D59EF" w:rsidRPr="001C7577" w:rsidRDefault="007D59EF" w:rsidP="007D59EF">
            <w:pPr>
              <w:spacing w:line="240" w:lineRule="auto"/>
              <w:rPr>
                <w:lang w:val="lt-LT"/>
              </w:rPr>
            </w:pPr>
            <w:r w:rsidRPr="001C7577">
              <w:rPr>
                <w:lang w:val="lt-LT"/>
              </w:rPr>
              <w:t>ŽIV RNR &lt; 400 kopijų/ml</w:t>
            </w:r>
          </w:p>
        </w:tc>
        <w:tc>
          <w:tcPr>
            <w:tcW w:w="2977" w:type="dxa"/>
            <w:shd w:val="clear" w:color="auto" w:fill="auto"/>
            <w:vAlign w:val="center"/>
          </w:tcPr>
          <w:p w14:paraId="07DE39EB" w14:textId="77777777" w:rsidR="007D59EF" w:rsidRPr="001C7577" w:rsidRDefault="007D59EF" w:rsidP="007D59EF">
            <w:pPr>
              <w:spacing w:line="240" w:lineRule="auto"/>
              <w:jc w:val="center"/>
              <w:rPr>
                <w:lang w:val="lt-LT"/>
              </w:rPr>
            </w:pPr>
            <w:r w:rsidRPr="001C7577">
              <w:rPr>
                <w:lang w:val="lt-LT"/>
              </w:rPr>
              <w:t>84%</w:t>
            </w:r>
          </w:p>
        </w:tc>
        <w:tc>
          <w:tcPr>
            <w:tcW w:w="2835" w:type="dxa"/>
            <w:shd w:val="clear" w:color="auto" w:fill="auto"/>
            <w:vAlign w:val="center"/>
          </w:tcPr>
          <w:p w14:paraId="7360B187" w14:textId="77777777" w:rsidR="007D59EF" w:rsidRPr="001C7577" w:rsidRDefault="007D59EF" w:rsidP="007D59EF">
            <w:pPr>
              <w:spacing w:line="240" w:lineRule="auto"/>
              <w:jc w:val="center"/>
              <w:rPr>
                <w:lang w:val="lt-LT"/>
              </w:rPr>
            </w:pPr>
            <w:r w:rsidRPr="001C7577">
              <w:rPr>
                <w:rFonts w:eastAsia="Calibri"/>
                <w:snapToGrid/>
                <w:szCs w:val="22"/>
                <w:lang w:val="lt-LT"/>
              </w:rPr>
              <w:t>75%</w:t>
            </w:r>
          </w:p>
        </w:tc>
      </w:tr>
      <w:tr w:rsidR="007D59EF" w:rsidRPr="00705EEC" w14:paraId="0224AB10" w14:textId="77777777" w:rsidTr="007D59EF">
        <w:tc>
          <w:tcPr>
            <w:tcW w:w="2943" w:type="dxa"/>
            <w:shd w:val="clear" w:color="auto" w:fill="auto"/>
          </w:tcPr>
          <w:p w14:paraId="6B85E172" w14:textId="77777777" w:rsidR="007D59EF" w:rsidRPr="001C7577" w:rsidRDefault="007D59EF" w:rsidP="007D59EF">
            <w:pPr>
              <w:spacing w:line="240" w:lineRule="auto"/>
              <w:rPr>
                <w:lang w:val="lt-LT"/>
              </w:rPr>
            </w:pPr>
            <w:r w:rsidRPr="001C7577">
              <w:rPr>
                <w:lang w:val="lt-LT"/>
              </w:rPr>
              <w:t>CD4+ T-ląstelių skaičiaus</w:t>
            </w:r>
          </w:p>
          <w:p w14:paraId="0A26D2B2" w14:textId="77777777" w:rsidR="007D59EF" w:rsidRPr="001C7577" w:rsidRDefault="007D59EF" w:rsidP="007D59EF">
            <w:pPr>
              <w:spacing w:line="240" w:lineRule="auto"/>
              <w:rPr>
                <w:lang w:val="lt-LT"/>
              </w:rPr>
            </w:pPr>
            <w:r w:rsidRPr="001C7577">
              <w:rPr>
                <w:lang w:val="lt-LT"/>
              </w:rPr>
              <w:t>vidutinis padidėjimas nuo</w:t>
            </w:r>
          </w:p>
          <w:p w14:paraId="0E6DA8F2" w14:textId="77777777" w:rsidR="007D59EF" w:rsidRPr="001C7577" w:rsidRDefault="007D59EF" w:rsidP="007D59EF">
            <w:pPr>
              <w:spacing w:line="240" w:lineRule="auto"/>
              <w:rPr>
                <w:lang w:val="lt-LT"/>
              </w:rPr>
            </w:pPr>
            <w:r w:rsidRPr="001C7577">
              <w:rPr>
                <w:lang w:val="lt-LT"/>
              </w:rPr>
              <w:t>tyrimo pradžios (ląstelių/mm</w:t>
            </w:r>
            <w:r w:rsidRPr="001C7577">
              <w:rPr>
                <w:vertAlign w:val="superscript"/>
                <w:lang w:val="lt-LT"/>
              </w:rPr>
              <w:t>3</w:t>
            </w:r>
            <w:r w:rsidRPr="001C7577">
              <w:rPr>
                <w:lang w:val="lt-LT"/>
              </w:rPr>
              <w:t>)</w:t>
            </w:r>
          </w:p>
        </w:tc>
        <w:tc>
          <w:tcPr>
            <w:tcW w:w="2977" w:type="dxa"/>
            <w:shd w:val="clear" w:color="auto" w:fill="auto"/>
            <w:vAlign w:val="center"/>
          </w:tcPr>
          <w:p w14:paraId="1FF6FAD2" w14:textId="77777777" w:rsidR="007D59EF" w:rsidRPr="001C7577" w:rsidRDefault="007D59EF" w:rsidP="007D59EF">
            <w:pPr>
              <w:spacing w:line="240" w:lineRule="auto"/>
              <w:jc w:val="center"/>
              <w:rPr>
                <w:lang w:val="lt-LT"/>
              </w:rPr>
            </w:pPr>
            <w:r w:rsidRPr="001C7577">
              <w:rPr>
                <w:rFonts w:eastAsia="Calibri"/>
                <w:snapToGrid/>
                <w:szCs w:val="22"/>
                <w:lang w:val="lt-LT"/>
              </w:rPr>
              <w:t>404</w:t>
            </w:r>
          </w:p>
        </w:tc>
        <w:tc>
          <w:tcPr>
            <w:tcW w:w="2835" w:type="dxa"/>
            <w:shd w:val="clear" w:color="auto" w:fill="auto"/>
            <w:vAlign w:val="center"/>
          </w:tcPr>
          <w:p w14:paraId="610118E3" w14:textId="77777777" w:rsidR="007D59EF" w:rsidRPr="001C7577" w:rsidRDefault="007D59EF" w:rsidP="007D59EF">
            <w:pPr>
              <w:spacing w:line="240" w:lineRule="auto"/>
              <w:jc w:val="center"/>
              <w:rPr>
                <w:lang w:val="lt-LT"/>
              </w:rPr>
            </w:pPr>
            <w:r w:rsidRPr="001C7577">
              <w:rPr>
                <w:lang w:val="lt-LT"/>
              </w:rPr>
              <w:t>284</w:t>
            </w:r>
          </w:p>
        </w:tc>
      </w:tr>
    </w:tbl>
    <w:p w14:paraId="53C33C2F" w14:textId="77777777" w:rsidR="007D59EF" w:rsidRPr="00705EEC" w:rsidRDefault="007D59EF" w:rsidP="007D59EF">
      <w:pPr>
        <w:tabs>
          <w:tab w:val="clear" w:pos="567"/>
        </w:tabs>
        <w:spacing w:line="240" w:lineRule="auto"/>
        <w:rPr>
          <w:szCs w:val="24"/>
          <w:lang w:val="lt-LT"/>
        </w:rPr>
      </w:pPr>
    </w:p>
    <w:p w14:paraId="03E8B9D6"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5.2</w:t>
      </w:r>
      <w:r w:rsidRPr="00705EEC">
        <w:rPr>
          <w:rFonts w:ascii="Times New Roman" w:hAnsi="Times New Roman"/>
          <w:sz w:val="22"/>
          <w:lang w:val="lt-LT"/>
        </w:rPr>
        <w:tab/>
        <w:t>Farmakokinetinės savybės</w:t>
      </w:r>
    </w:p>
    <w:p w14:paraId="122DFA4C" w14:textId="77777777" w:rsidR="007D59EF" w:rsidRPr="00705EEC" w:rsidRDefault="007D59EF" w:rsidP="007D59EF">
      <w:pPr>
        <w:tabs>
          <w:tab w:val="clear" w:pos="567"/>
        </w:tabs>
        <w:spacing w:line="240" w:lineRule="auto"/>
        <w:rPr>
          <w:szCs w:val="24"/>
          <w:lang w:val="lt-LT"/>
        </w:rPr>
      </w:pPr>
    </w:p>
    <w:p w14:paraId="08E7E7E4" w14:textId="77777777" w:rsidR="007D59EF" w:rsidRPr="00705EEC" w:rsidRDefault="007D59EF" w:rsidP="007D59EF">
      <w:pPr>
        <w:ind w:right="-142"/>
        <w:rPr>
          <w:lang w:val="lt-LT"/>
        </w:rPr>
      </w:pPr>
      <w:r w:rsidRPr="00705EEC">
        <w:rPr>
          <w:lang w:val="lt-LT"/>
        </w:rPr>
        <w:t>Tirtos sveikų suaugusiųjų savanorių ir ŽIV infekuotų pacientų lopinaviro, vartojamo kartu su ritonaviru, farmakokinetikos savybės. Esminių skirtumų tarp abiejų grupių nestebėta. Lopinavirą praktiškai visiškai metabolizuoja CYP3A. Ritonaviras slopina lopinaviro metabolizmą, todėl padidina lopinaviro koncentraciją plazmoje. Įvairių tyrimų metu lopinavirą/ritonavirą 400/100 mg vartojant du kartus per parą vidutinė pastovi lopinaviro koncentracija plazmoje buvo 15-20 kartų didesnė negu ritonaviro koncentracija ŽIV infekuotiems pacientams. Ritonaviro koncentracija plazmoje sudaro mažiau kaip 7% koncentracijos, kuri susidaro vartojant po 600 mg ritonaviro du kartus per parą. Priešvirusinė lopinaviro EC</w:t>
      </w:r>
      <w:r w:rsidRPr="00705EEC">
        <w:rPr>
          <w:vertAlign w:val="subscript"/>
          <w:lang w:val="lt-LT"/>
        </w:rPr>
        <w:t>50</w:t>
      </w:r>
      <w:r w:rsidRPr="00705EEC">
        <w:rPr>
          <w:lang w:val="lt-LT"/>
        </w:rPr>
        <w:t xml:space="preserve"> in vitro yra maždaug 10 kartų mažesnė negu ritonaviro. Todėl priešvirusinis lopinaviro ir ritonaviro aktyvumas priklauso nuo lopinaviro.</w:t>
      </w:r>
    </w:p>
    <w:p w14:paraId="43B7C4BC" w14:textId="77777777" w:rsidR="007D59EF" w:rsidRPr="00705EEC" w:rsidRDefault="007D59EF" w:rsidP="007D59EF">
      <w:pPr>
        <w:ind w:right="-142"/>
        <w:rPr>
          <w:lang w:val="lt-LT"/>
        </w:rPr>
      </w:pPr>
    </w:p>
    <w:p w14:paraId="7C032EE5" w14:textId="77777777" w:rsidR="007D59EF" w:rsidRPr="00705EEC" w:rsidRDefault="007D59EF" w:rsidP="007D59EF">
      <w:pPr>
        <w:ind w:right="-142"/>
        <w:rPr>
          <w:szCs w:val="24"/>
          <w:u w:val="single"/>
          <w:lang w:val="lt-LT"/>
        </w:rPr>
      </w:pPr>
      <w:r w:rsidRPr="001C7577">
        <w:rPr>
          <w:szCs w:val="24"/>
          <w:u w:val="single"/>
          <w:lang w:val="lt-LT"/>
        </w:rPr>
        <w:t>Absorbcija</w:t>
      </w:r>
    </w:p>
    <w:p w14:paraId="212AF5CA" w14:textId="77777777" w:rsidR="007D59EF" w:rsidRPr="00705EEC" w:rsidRDefault="007D59EF" w:rsidP="007D59EF">
      <w:pPr>
        <w:ind w:right="-142"/>
        <w:rPr>
          <w:lang w:val="lt-LT"/>
        </w:rPr>
      </w:pPr>
      <w:r w:rsidRPr="00705EEC">
        <w:rPr>
          <w:lang w:val="lt-LT"/>
        </w:rPr>
        <w:t>Kartotinai skiriant lopinaviro ir ritonaviro po 400/100 mg du kartus per parą 2 savaites ir neribojant valgymo, vidutinė ± SN lopinaviro didžiausia 12,3 ± 5,4 μg/ml koncentracija plazmoje (C</w:t>
      </w:r>
      <w:r w:rsidRPr="00705EEC">
        <w:rPr>
          <w:vertAlign w:val="subscript"/>
          <w:lang w:val="lt-LT"/>
        </w:rPr>
        <w:t>max</w:t>
      </w:r>
      <w:r w:rsidRPr="00705EEC">
        <w:rPr>
          <w:lang w:val="lt-LT"/>
        </w:rPr>
        <w:t>) susidaro praėjus maždaug 4 valandoms po pavartojimo. Vidutinė pastovi mažiausia koncentracija plazmoje prieš rytinę dozę buvo 8,1 ± 5,7 μg/ml. Lopinaviro AUC, jį skiriant kas 12 valandų, buvo vidutiniškai 113,2 ± 60,5 μg•h/ml. Absoliutus lopinaviro, suderinto su ritonaviru, biologinis įsisavinimas žmonėms nenustatytas.</w:t>
      </w:r>
    </w:p>
    <w:p w14:paraId="0823FDC2" w14:textId="77777777" w:rsidR="007D59EF" w:rsidRPr="00705EEC" w:rsidRDefault="007D59EF" w:rsidP="007D59EF">
      <w:pPr>
        <w:ind w:right="-142"/>
        <w:rPr>
          <w:lang w:val="lt-LT"/>
        </w:rPr>
      </w:pPr>
    </w:p>
    <w:p w14:paraId="67CAB7DE" w14:textId="77777777" w:rsidR="007D59EF" w:rsidRPr="00705EEC" w:rsidRDefault="007D59EF" w:rsidP="007D59EF">
      <w:pPr>
        <w:ind w:right="-142"/>
        <w:rPr>
          <w:u w:val="single"/>
          <w:lang w:val="lt-LT"/>
        </w:rPr>
      </w:pPr>
      <w:r w:rsidRPr="00705EEC">
        <w:rPr>
          <w:u w:val="single"/>
          <w:lang w:val="lt-LT"/>
        </w:rPr>
        <w:t>Maisto poveikis išgerto vaisto absorbcijai</w:t>
      </w:r>
    </w:p>
    <w:p w14:paraId="66FCA8EC" w14:textId="77777777" w:rsidR="007D59EF" w:rsidRPr="00705EEC" w:rsidRDefault="007D59EF" w:rsidP="007D59EF">
      <w:pPr>
        <w:ind w:right="-142"/>
        <w:rPr>
          <w:lang w:val="lt-LT"/>
        </w:rPr>
      </w:pPr>
      <w:r w:rsidRPr="00705EEC">
        <w:rPr>
          <w:lang w:val="lt-LT"/>
        </w:rPr>
        <w:t>Kai lopinaviras/ritonaviras vartojamas su labai riebiu maistu (872 kcal, 56% riebalų), minkštų kapsulių lopinaviro AUC ir C</w:t>
      </w:r>
      <w:r w:rsidRPr="00705EEC">
        <w:rPr>
          <w:vertAlign w:val="subscript"/>
          <w:lang w:val="lt-LT"/>
        </w:rPr>
        <w:t>max</w:t>
      </w:r>
      <w:r w:rsidRPr="00705EEC">
        <w:rPr>
          <w:lang w:val="lt-LT"/>
        </w:rPr>
        <w:t xml:space="preserve"> padidėja atitinkamai 96% ir 43%, o geriamojo tirpalo – atitinkamai 130% ir 56%. Kad pagerėtų biologinis įsisavinimas ir sumažėtų kintamumas, lopinavirą/ritonavirą reikia vartoti su maistu.</w:t>
      </w:r>
    </w:p>
    <w:p w14:paraId="05E94772" w14:textId="77777777" w:rsidR="007D59EF" w:rsidRPr="00705EEC" w:rsidRDefault="007D59EF" w:rsidP="007D59EF">
      <w:pPr>
        <w:ind w:right="-142"/>
        <w:rPr>
          <w:lang w:val="lt-LT"/>
        </w:rPr>
      </w:pPr>
    </w:p>
    <w:p w14:paraId="61668E7E" w14:textId="77777777" w:rsidR="007D59EF" w:rsidRPr="00705EEC" w:rsidRDefault="007D59EF" w:rsidP="007D59EF">
      <w:pPr>
        <w:rPr>
          <w:u w:val="single"/>
          <w:lang w:val="lt-LT"/>
        </w:rPr>
      </w:pPr>
      <w:r w:rsidRPr="001C7577">
        <w:rPr>
          <w:szCs w:val="24"/>
          <w:u w:val="single"/>
          <w:lang w:val="lt-LT"/>
        </w:rPr>
        <w:t>Pasiskirstymas</w:t>
      </w:r>
    </w:p>
    <w:p w14:paraId="36756CD0" w14:textId="77777777" w:rsidR="007D59EF" w:rsidRPr="00705EEC" w:rsidRDefault="007D59EF" w:rsidP="007D59EF">
      <w:pPr>
        <w:rPr>
          <w:szCs w:val="24"/>
          <w:lang w:val="lt-LT"/>
        </w:rPr>
      </w:pPr>
      <w:r w:rsidRPr="00705EEC">
        <w:rPr>
          <w:szCs w:val="24"/>
          <w:lang w:val="lt-LT"/>
        </w:rPr>
        <w:t xml:space="preserve">Kai koncentracija nusistovėjusi, maždaug 98-99% lopinaviro būna susijungusio su serumo baltymais. Lopinaviras jungiasi ir su alfa-1-rūgščiuoju glikoproteinu (ARG), ir </w:t>
      </w:r>
      <w:r w:rsidRPr="00705EEC">
        <w:rPr>
          <w:szCs w:val="24"/>
          <w:lang w:val="lt-LT"/>
        </w:rPr>
        <w:lastRenderedPageBreak/>
        <w:t>su albuminu, tačiau jo afinitetas didesnis ARG. Nusistovėjus koncentracijai, lopinaviras jungiasi su baltymais tokiu pat santykiu, kaip ir tuomet, kai serume yra jo koncentracija, susidaranti vartojant po 400/100 mg Lopinavir/Ritonavir Ranbaxy du kartus per parą, ir šis jungimasis yra panašus sveikų savanorių ir ŽIV teigiamų pacientų.</w:t>
      </w:r>
    </w:p>
    <w:p w14:paraId="51DC36C3" w14:textId="77777777" w:rsidR="007D59EF" w:rsidRPr="00705EEC" w:rsidRDefault="007D59EF" w:rsidP="007D59EF">
      <w:pPr>
        <w:rPr>
          <w:szCs w:val="24"/>
          <w:lang w:val="lt-LT"/>
        </w:rPr>
      </w:pPr>
    </w:p>
    <w:p w14:paraId="082DB075" w14:textId="77777777" w:rsidR="007D59EF" w:rsidRPr="00705EEC" w:rsidRDefault="007D59EF" w:rsidP="007D59EF">
      <w:pPr>
        <w:rPr>
          <w:szCs w:val="24"/>
          <w:u w:val="single"/>
          <w:lang w:val="lt-LT"/>
        </w:rPr>
      </w:pPr>
      <w:r w:rsidRPr="00705EEC">
        <w:rPr>
          <w:szCs w:val="24"/>
          <w:u w:val="single"/>
          <w:lang w:val="lt-LT"/>
        </w:rPr>
        <w:t>Biotranformacija</w:t>
      </w:r>
    </w:p>
    <w:p w14:paraId="5BD73545" w14:textId="77777777" w:rsidR="007D59EF" w:rsidRPr="00705EEC" w:rsidRDefault="007D59EF" w:rsidP="007D59EF">
      <w:pPr>
        <w:rPr>
          <w:szCs w:val="24"/>
          <w:lang w:val="lt-LT"/>
        </w:rPr>
      </w:pPr>
      <w:r w:rsidRPr="00705EEC">
        <w:rPr>
          <w:szCs w:val="24"/>
          <w:lang w:val="lt-LT"/>
        </w:rPr>
        <w:t xml:space="preserve">Eksperimentai </w:t>
      </w:r>
      <w:r w:rsidRPr="00705EEC">
        <w:rPr>
          <w:i/>
          <w:szCs w:val="24"/>
          <w:lang w:val="lt-LT"/>
        </w:rPr>
        <w:t>in vitro</w:t>
      </w:r>
      <w:r w:rsidRPr="00705EEC">
        <w:rPr>
          <w:szCs w:val="24"/>
          <w:lang w:val="lt-LT"/>
        </w:rPr>
        <w:t xml:space="preserve"> su žmogaus kepenų mikrosomomis rodo, kad pirmiausiai lopinaviras metabolizuojamas oksidacijos būdu. Lopinavirą ekstensyviai metabolizuoja kepenų citochromo P450 sistema, beveik vien tik izofermentas CYP3A. Ritonaviras yra stiprus CYP3A inhibitorius, slopina lopinaviro metabolizmą, todėl didina lopinaviro koncentraciją plazmoje. Žmonių </w:t>
      </w:r>
      <w:r w:rsidRPr="00705EEC">
        <w:rPr>
          <w:szCs w:val="24"/>
          <w:vertAlign w:val="superscript"/>
          <w:lang w:val="lt-LT"/>
        </w:rPr>
        <w:t>14</w:t>
      </w:r>
      <w:r w:rsidRPr="00705EEC">
        <w:rPr>
          <w:szCs w:val="24"/>
          <w:lang w:val="lt-LT"/>
        </w:rPr>
        <w:t>C-lopinaviro tyrimai parodė, kad 89% plazmos radioaktyvumo po vienkartinės 400/100 mg Lopinavir/Ritonavir Ranbaxy dozės sudarė pradinis aktyvus junginys. Žmogaus organizme nustatyta mažiausiai 13 lopinaviro oksidacinių metabolitų. Pagrindiniai yra 4-okso ir 4-hidroksimetabolitų epimerinės poros metabolitai, kuriems būdingas priešvirusinis aktyvumas, tačiau jie sudaro labai mažą plazmos radioaktyvumo dalį. Nustatyta, kad ritonaviras indukuoja metabolizuojančius fermentus ir savo paties metabolizmą, taip pat tikėtina, kad skatina ir lopinaviro metabolizmą. Nuo kartotinai vartojamų dozių, lopinaviro koncentracija prieš dozę ilgainiui mažėja ir stabilizuojasi maždaug po 10 dienų - 2 savaičių.</w:t>
      </w:r>
    </w:p>
    <w:p w14:paraId="6A237DD1" w14:textId="77777777" w:rsidR="007D59EF" w:rsidRPr="001C7577" w:rsidRDefault="007D59EF" w:rsidP="007D59EF">
      <w:pPr>
        <w:spacing w:line="240" w:lineRule="auto"/>
        <w:rPr>
          <w:u w:val="single"/>
          <w:lang w:val="lt-LT"/>
        </w:rPr>
      </w:pPr>
    </w:p>
    <w:p w14:paraId="6E9EAE63" w14:textId="77777777" w:rsidR="007D59EF" w:rsidRPr="001C7577" w:rsidRDefault="007D59EF" w:rsidP="007D59EF">
      <w:pPr>
        <w:spacing w:line="240" w:lineRule="auto"/>
        <w:rPr>
          <w:u w:val="single"/>
          <w:lang w:val="lt-LT"/>
        </w:rPr>
      </w:pPr>
      <w:r w:rsidRPr="001C7577">
        <w:rPr>
          <w:szCs w:val="24"/>
          <w:u w:val="single"/>
          <w:lang w:val="lt-LT"/>
        </w:rPr>
        <w:t>Eliminacija</w:t>
      </w:r>
      <w:r w:rsidRPr="001C7577">
        <w:rPr>
          <w:u w:val="single"/>
          <w:lang w:val="lt-LT"/>
        </w:rPr>
        <w:t xml:space="preserve"> </w:t>
      </w:r>
    </w:p>
    <w:p w14:paraId="589508A5" w14:textId="77777777" w:rsidR="007D59EF" w:rsidRPr="001C7577" w:rsidRDefault="007D59EF" w:rsidP="007D59EF">
      <w:pPr>
        <w:spacing w:line="240" w:lineRule="auto"/>
        <w:rPr>
          <w:lang w:val="lt-LT"/>
        </w:rPr>
      </w:pPr>
      <w:r w:rsidRPr="001C7577">
        <w:rPr>
          <w:lang w:val="lt-LT"/>
        </w:rPr>
        <w:t xml:space="preserve">Po 400/100 mg </w:t>
      </w:r>
      <w:r w:rsidRPr="001C7577">
        <w:rPr>
          <w:vertAlign w:val="superscript"/>
          <w:lang w:val="lt-LT"/>
        </w:rPr>
        <w:t>14</w:t>
      </w:r>
      <w:r w:rsidRPr="001C7577">
        <w:rPr>
          <w:lang w:val="lt-LT"/>
        </w:rPr>
        <w:t xml:space="preserve">C-lopinaviro/ritonaviro dozės maždaug 10,4 ± 2,3% ir 82,6 ± 2,5% pavartotos </w:t>
      </w:r>
      <w:r w:rsidRPr="001C7577">
        <w:rPr>
          <w:vertAlign w:val="superscript"/>
          <w:lang w:val="lt-LT"/>
        </w:rPr>
        <w:t>14</w:t>
      </w:r>
      <w:r w:rsidRPr="001C7577">
        <w:rPr>
          <w:lang w:val="lt-LT"/>
        </w:rPr>
        <w:t>C-lopinaviro dozės aptinkama atitinkamai šlapime ir išmatose. Su šlapimu ir išmatomis išsiskiria atitinkamai 2,2% ir 19,8% pavartotos dozės nepakitusio lopinaviro pavidalu. Po kartotinių dozių mažiau kaip 3% dozės nepakitusio lopinaviro pavidalu išsiskiria su šlapimu. Efektyvus (didžiausias – mažiausias) lopinaviro pusinės eliminacijos periodas per 12 val. dozavimo intervalą vidutiniškai yra 5-6 val., o tariamasis geriamojo lopinaviro klirensas (CL/F) yra 6-7 l/h.</w:t>
      </w:r>
    </w:p>
    <w:p w14:paraId="6879855E" w14:textId="77777777" w:rsidR="007D59EF" w:rsidRPr="001C7577" w:rsidRDefault="007D59EF" w:rsidP="007D59EF">
      <w:pPr>
        <w:spacing w:line="240" w:lineRule="auto"/>
        <w:rPr>
          <w:u w:val="single"/>
          <w:lang w:val="lt-LT"/>
        </w:rPr>
      </w:pPr>
    </w:p>
    <w:p w14:paraId="18FE68C7" w14:textId="77777777" w:rsidR="007D59EF" w:rsidRPr="001C7577" w:rsidRDefault="007D59EF" w:rsidP="007D59EF">
      <w:pPr>
        <w:spacing w:line="240" w:lineRule="auto"/>
        <w:rPr>
          <w:lang w:val="lt-LT"/>
        </w:rPr>
      </w:pPr>
      <w:r w:rsidRPr="001C7577">
        <w:rPr>
          <w:lang w:val="lt-LT"/>
        </w:rPr>
        <w:t>Skiriant vieną kartą per parą: buvo ištirta lopinaviro/ritonaviro farmakokinetika skiriant vaistą ŽIV infekuotiems pacientams, kurie iki šiol nebuvo gavę antiretrovirusinio gydymo. Lopinaviro/ritonaviro 800/200 mg buvo skirta kartu su 200mg emtricitabino ir 300mg tenofoviro DF, kaip dalis “vieną kartą per parą” režimo. Daugkartinės lopinaviro/ritonaviro 800/200mg vieną kartą per parą dozės 2 savaites vartojant ją be maisto (n=16) sąlygojo vidutinį ± SD lopinaviro maksimalią koncentraciją (C</w:t>
      </w:r>
      <w:r w:rsidRPr="001C7577">
        <w:rPr>
          <w:vertAlign w:val="subscript"/>
          <w:lang w:val="lt-LT"/>
        </w:rPr>
        <w:t>max</w:t>
      </w:r>
      <w:r w:rsidRPr="001C7577">
        <w:rPr>
          <w:lang w:val="lt-LT"/>
        </w:rPr>
        <w:t>) 14,8 ± 3,5 μg/ml, kuri pasiekiama maždaug po 6 valandų išgėrus vaisto. Vidutinė pastovi vaisto koncentracija prieš rytinę dozę buvo 5,5 ± 5,4 μg/ml. Lopinaviro AUC per 24 valandų intervalą varijavo 206,5 ± 89,7 μg·h/ml.</w:t>
      </w:r>
    </w:p>
    <w:p w14:paraId="730656E8" w14:textId="77777777" w:rsidR="007D59EF" w:rsidRPr="001C7577" w:rsidRDefault="007D59EF" w:rsidP="007D59EF">
      <w:pPr>
        <w:spacing w:line="240" w:lineRule="auto"/>
        <w:rPr>
          <w:lang w:val="lt-LT"/>
        </w:rPr>
      </w:pPr>
    </w:p>
    <w:p w14:paraId="55410076" w14:textId="77777777" w:rsidR="007D59EF" w:rsidRPr="001C7577" w:rsidRDefault="007D59EF" w:rsidP="007D59EF">
      <w:pPr>
        <w:spacing w:line="240" w:lineRule="auto"/>
        <w:rPr>
          <w:lang w:val="lt-LT"/>
        </w:rPr>
      </w:pPr>
      <w:r w:rsidRPr="001C7577">
        <w:rPr>
          <w:lang w:val="lt-LT"/>
        </w:rPr>
        <w:t>Lyginant BID režimą, vaistą skiriant vieną kartą per parą C</w:t>
      </w:r>
      <w:r w:rsidRPr="001C7577">
        <w:rPr>
          <w:vertAlign w:val="subscript"/>
          <w:lang w:val="lt-LT"/>
        </w:rPr>
        <w:t>min</w:t>
      </w:r>
      <w:r w:rsidRPr="001C7577">
        <w:rPr>
          <w:lang w:val="lt-LT"/>
        </w:rPr>
        <w:t>/C</w:t>
      </w:r>
      <w:r w:rsidRPr="001C7577">
        <w:rPr>
          <w:vertAlign w:val="subscript"/>
          <w:lang w:val="lt-LT"/>
        </w:rPr>
        <w:t>trough</w:t>
      </w:r>
      <w:r w:rsidRPr="001C7577">
        <w:rPr>
          <w:lang w:val="lt-LT"/>
        </w:rPr>
        <w:t xml:space="preserve"> reikšmės sumažėja apie 50%.</w:t>
      </w:r>
    </w:p>
    <w:p w14:paraId="39BB8436" w14:textId="77777777" w:rsidR="007D59EF" w:rsidRPr="001C7577" w:rsidRDefault="007D59EF" w:rsidP="007D59EF">
      <w:pPr>
        <w:spacing w:line="240" w:lineRule="auto"/>
        <w:rPr>
          <w:u w:val="single"/>
          <w:lang w:val="lt-LT"/>
        </w:rPr>
      </w:pPr>
    </w:p>
    <w:p w14:paraId="69CBE12F" w14:textId="77777777" w:rsidR="007D59EF" w:rsidRPr="001C7577" w:rsidRDefault="007D59EF" w:rsidP="007D59EF">
      <w:pPr>
        <w:spacing w:line="240" w:lineRule="auto"/>
        <w:rPr>
          <w:u w:val="single"/>
          <w:lang w:val="lt-LT"/>
        </w:rPr>
      </w:pPr>
      <w:r w:rsidRPr="001C7577">
        <w:rPr>
          <w:u w:val="single"/>
          <w:lang w:val="lt-LT"/>
        </w:rPr>
        <w:t>Specialios žmonių grupės</w:t>
      </w:r>
    </w:p>
    <w:p w14:paraId="4D8AB28C" w14:textId="77777777" w:rsidR="007D59EF" w:rsidRPr="001C7577" w:rsidRDefault="007D59EF" w:rsidP="007D59EF">
      <w:pPr>
        <w:spacing w:line="240" w:lineRule="auto"/>
        <w:rPr>
          <w:lang w:val="lt-LT"/>
        </w:rPr>
      </w:pPr>
    </w:p>
    <w:p w14:paraId="5CF082F8" w14:textId="7C23F410" w:rsidR="007D59EF" w:rsidRPr="001C7577" w:rsidRDefault="003C1B10" w:rsidP="007D59EF">
      <w:pPr>
        <w:spacing w:line="240" w:lineRule="auto"/>
        <w:rPr>
          <w:i/>
          <w:lang w:val="lt-LT"/>
        </w:rPr>
      </w:pPr>
      <w:r w:rsidRPr="001C7577">
        <w:rPr>
          <w:i/>
          <w:lang w:val="lt-LT"/>
        </w:rPr>
        <w:t>Vaik</w:t>
      </w:r>
      <w:r>
        <w:rPr>
          <w:i/>
          <w:lang w:val="lt-LT"/>
        </w:rPr>
        <w:t>ų populiacija</w:t>
      </w:r>
    </w:p>
    <w:p w14:paraId="11DD4355" w14:textId="77777777" w:rsidR="007D59EF" w:rsidRPr="001C7577" w:rsidRDefault="007D59EF" w:rsidP="007D59EF">
      <w:pPr>
        <w:spacing w:line="240" w:lineRule="auto"/>
        <w:rPr>
          <w:lang w:val="lt-LT"/>
        </w:rPr>
      </w:pPr>
      <w:r w:rsidRPr="001C7577">
        <w:rPr>
          <w:lang w:val="lt-LT"/>
        </w:rPr>
        <w:t>Jaunesnių kaip 2 metų vaikų farmakokinetikos duomenų yra mažai. Tirta tik 53 vaikų nuo 6 mėnesių iki 12 metų lopinaviro/ritonaviro geriamojo tirpalo 300/75 mg/m</w:t>
      </w:r>
      <w:r w:rsidRPr="001C7577">
        <w:rPr>
          <w:vertAlign w:val="superscript"/>
          <w:lang w:val="lt-LT"/>
        </w:rPr>
        <w:t xml:space="preserve">2 </w:t>
      </w:r>
      <w:r w:rsidRPr="001C7577">
        <w:rPr>
          <w:lang w:val="lt-LT"/>
        </w:rPr>
        <w:t>du kartus per parą ir 230/57,5 mg/m</w:t>
      </w:r>
      <w:r w:rsidRPr="001C7577">
        <w:rPr>
          <w:vertAlign w:val="superscript"/>
          <w:lang w:val="lt-LT"/>
        </w:rPr>
        <w:t>2</w:t>
      </w:r>
      <w:r w:rsidRPr="001C7577">
        <w:rPr>
          <w:lang w:val="lt-LT"/>
        </w:rPr>
        <w:t>, skiriamo du kartus per parą, farmakokinetika. Esant pastoviai koncentracijai, lopinaviro AUC, C</w:t>
      </w:r>
      <w:r w:rsidRPr="001C7577">
        <w:rPr>
          <w:vertAlign w:val="subscript"/>
          <w:lang w:val="lt-LT"/>
        </w:rPr>
        <w:t>max</w:t>
      </w:r>
      <w:r w:rsidRPr="001C7577">
        <w:rPr>
          <w:lang w:val="lt-LT"/>
        </w:rPr>
        <w:t xml:space="preserve"> ir C</w:t>
      </w:r>
      <w:r w:rsidRPr="001C7577">
        <w:rPr>
          <w:vertAlign w:val="subscript"/>
          <w:lang w:val="lt-LT"/>
        </w:rPr>
        <w:t>min</w:t>
      </w:r>
      <w:r w:rsidRPr="001C7577">
        <w:rPr>
          <w:lang w:val="lt-LT"/>
        </w:rPr>
        <w:t xml:space="preserve"> buvo atitinkamai 72,6 ± 31,1 μg•h/ml, 8,2 ± 2,9 μg/ml ir 3,4 ± 2,1 μg/ml po lopinaviro/ritonaviro geriamojo tirpalo 230/57,5 mg/m</w:t>
      </w:r>
      <w:r w:rsidRPr="001C7577">
        <w:rPr>
          <w:vertAlign w:val="superscript"/>
          <w:lang w:val="lt-LT"/>
        </w:rPr>
        <w:t>2</w:t>
      </w:r>
      <w:r w:rsidRPr="001C7577">
        <w:rPr>
          <w:lang w:val="lt-LT"/>
        </w:rPr>
        <w:t xml:space="preserve"> du kartus per parą be nevirapino (n=12) bei atitinkamai 85,8 ± 36,9 μg•h/ml, 10,0 ± 3,3 μg/ml ir 3,6 ± 3,5 μg/ml po 300/75 mg/m</w:t>
      </w:r>
      <w:r w:rsidRPr="001C7577">
        <w:rPr>
          <w:vertAlign w:val="superscript"/>
          <w:lang w:val="lt-LT"/>
        </w:rPr>
        <w:t>2</w:t>
      </w:r>
      <w:r w:rsidRPr="001C7577">
        <w:rPr>
          <w:lang w:val="lt-LT"/>
        </w:rPr>
        <w:t xml:space="preserve"> du kartus per parą su nevirapinu (n=12). Vartojant 230/57,5 mg/m</w:t>
      </w:r>
      <w:r w:rsidRPr="001C7577">
        <w:rPr>
          <w:vertAlign w:val="superscript"/>
          <w:lang w:val="lt-LT"/>
        </w:rPr>
        <w:t>2</w:t>
      </w:r>
      <w:r w:rsidRPr="001C7577">
        <w:rPr>
          <w:lang w:val="lt-LT"/>
        </w:rPr>
        <w:t xml:space="preserve"> du kartus per parą be nevirapino ir </w:t>
      </w:r>
      <w:r w:rsidRPr="001C7577">
        <w:rPr>
          <w:lang w:val="lt-LT"/>
        </w:rPr>
        <w:lastRenderedPageBreak/>
        <w:t>300/75 mg/m</w:t>
      </w:r>
      <w:r w:rsidRPr="001C7577">
        <w:rPr>
          <w:vertAlign w:val="superscript"/>
          <w:lang w:val="lt-LT"/>
        </w:rPr>
        <w:t>2</w:t>
      </w:r>
      <w:r w:rsidRPr="001C7577">
        <w:rPr>
          <w:lang w:val="lt-LT"/>
        </w:rPr>
        <w:t xml:space="preserve"> du kartus per parą su nevirapinu, plazmoje susidarė lopinaviro koncentracija, panaši į koncentraciją, nustatytą suaugusiesiems, gaunantiems 400/100 mg du kartus per parą be nevirapino. Lopinaviro/ritonaviro skyrimas vaikams vieną kartą per parą nėra tirtas.</w:t>
      </w:r>
    </w:p>
    <w:p w14:paraId="706CC22F" w14:textId="77777777" w:rsidR="007D59EF" w:rsidRPr="001C7577" w:rsidRDefault="007D59EF" w:rsidP="007D59EF">
      <w:pPr>
        <w:spacing w:line="240" w:lineRule="auto"/>
        <w:rPr>
          <w:lang w:val="lt-LT"/>
        </w:rPr>
      </w:pPr>
    </w:p>
    <w:p w14:paraId="176268A8" w14:textId="77777777" w:rsidR="007D59EF" w:rsidRPr="001C7577" w:rsidRDefault="007D59EF" w:rsidP="007D59EF">
      <w:pPr>
        <w:spacing w:line="240" w:lineRule="auto"/>
        <w:rPr>
          <w:i/>
          <w:lang w:val="lt-LT"/>
        </w:rPr>
      </w:pPr>
      <w:r w:rsidRPr="001C7577">
        <w:rPr>
          <w:i/>
          <w:lang w:val="lt-LT"/>
        </w:rPr>
        <w:t>Lytis, rasė ir amžius</w:t>
      </w:r>
    </w:p>
    <w:p w14:paraId="3555B7F1" w14:textId="77777777" w:rsidR="007D59EF" w:rsidRPr="001C7577" w:rsidRDefault="007D59EF" w:rsidP="007D59EF">
      <w:pPr>
        <w:spacing w:line="240" w:lineRule="auto"/>
        <w:rPr>
          <w:lang w:val="lt-LT"/>
        </w:rPr>
      </w:pPr>
      <w:r w:rsidRPr="001C7577">
        <w:rPr>
          <w:lang w:val="lt-LT"/>
        </w:rPr>
        <w:t>Senyvų žmonių lopinaviro/ritonaviro farmakokinetika netirta. Suaugusiems pacientams nestebėti nuo amžiaus ar lyties priklausomi farmakokinetikos skirtumai. Nenustatyta ir nuo rasės priklausomų farmakokinetikos skirtumų.</w:t>
      </w:r>
    </w:p>
    <w:p w14:paraId="347E7A42" w14:textId="77777777" w:rsidR="007D59EF" w:rsidRPr="001C7577" w:rsidRDefault="007D59EF" w:rsidP="007D59EF">
      <w:pPr>
        <w:spacing w:line="240" w:lineRule="auto"/>
        <w:rPr>
          <w:lang w:val="lt-LT"/>
        </w:rPr>
      </w:pPr>
    </w:p>
    <w:p w14:paraId="73250A6B" w14:textId="77777777" w:rsidR="007D59EF" w:rsidRPr="001C7577" w:rsidRDefault="007D59EF" w:rsidP="007D59EF">
      <w:pPr>
        <w:spacing w:line="240" w:lineRule="auto"/>
        <w:rPr>
          <w:i/>
          <w:lang w:val="lt-LT"/>
        </w:rPr>
      </w:pPr>
      <w:r w:rsidRPr="00705EEC">
        <w:rPr>
          <w:i/>
          <w:iCs/>
          <w:color w:val="000000"/>
          <w:szCs w:val="22"/>
          <w:lang w:val="lt-LT"/>
        </w:rPr>
        <w:t>Sutrikusi inkstų funkcija</w:t>
      </w:r>
      <w:r w:rsidRPr="001C7577">
        <w:rPr>
          <w:i/>
          <w:lang w:val="lt-LT"/>
        </w:rPr>
        <w:t xml:space="preserve"> </w:t>
      </w:r>
    </w:p>
    <w:p w14:paraId="6F0D9FE8" w14:textId="77777777" w:rsidR="007D59EF" w:rsidRPr="001C7577" w:rsidRDefault="007D59EF" w:rsidP="007D59EF">
      <w:pPr>
        <w:spacing w:line="240" w:lineRule="auto"/>
        <w:rPr>
          <w:lang w:val="lt-LT"/>
        </w:rPr>
      </w:pPr>
      <w:r w:rsidRPr="001C7577">
        <w:rPr>
          <w:lang w:val="lt-LT"/>
        </w:rPr>
        <w:t>Pacientų, kuriems yra inkstų nepakankamumas, lopinaviro/ritonaviro farmakokinetika netirta. Lopinaviro inkstų klirensas yra nereikšmingas, todėl nesitikima, kad bendras organizmo klirensas sumažėtų pacientams, kuriems yra inkstų nepakankamumas.</w:t>
      </w:r>
    </w:p>
    <w:p w14:paraId="78BC7CD7" w14:textId="77777777" w:rsidR="007D59EF" w:rsidRPr="001C7577" w:rsidRDefault="007D59EF" w:rsidP="007D59EF">
      <w:pPr>
        <w:spacing w:line="240" w:lineRule="auto"/>
        <w:rPr>
          <w:lang w:val="lt-LT"/>
        </w:rPr>
      </w:pPr>
    </w:p>
    <w:p w14:paraId="720E4428" w14:textId="77777777" w:rsidR="007D59EF" w:rsidRPr="001C7577" w:rsidRDefault="007D59EF" w:rsidP="007D59EF">
      <w:pPr>
        <w:spacing w:line="240" w:lineRule="auto"/>
        <w:rPr>
          <w:i/>
          <w:lang w:val="lt-LT"/>
        </w:rPr>
      </w:pPr>
      <w:r w:rsidRPr="001C7577">
        <w:rPr>
          <w:i/>
          <w:lang w:val="lt-LT"/>
        </w:rPr>
        <w:t xml:space="preserve">Sutrikusi kepenų funkcija </w:t>
      </w:r>
    </w:p>
    <w:p w14:paraId="28599CB5" w14:textId="77777777" w:rsidR="007D59EF" w:rsidRPr="001C7577" w:rsidRDefault="007D59EF" w:rsidP="007D59EF">
      <w:pPr>
        <w:spacing w:line="240" w:lineRule="auto"/>
        <w:rPr>
          <w:lang w:val="lt-LT"/>
        </w:rPr>
      </w:pPr>
      <w:r w:rsidRPr="001C7577">
        <w:rPr>
          <w:lang w:val="lt-LT"/>
        </w:rPr>
        <w:t>Kartotinių dozių tyrime, kuriame lopinaviras/ritonaviras 400/100 mg skiriamas 2 kartus per dieną, buvo palyginti lopinaviro vidutiniai įsotinimo farmakokinetiniai parametrai pas ŽIV-infekuotus pacientus, kuriems yra lengvas ir vidutinio sunkumo kepenų funkcijos sutrikimas bei pas ŽIVinfekuotus pacientus su normalia kepenų funkcija. Buvo pastebėtas ribotas suminės (bendros) lopinaviro koncentracijos padidėjimas vidutiniškai 30%, kuris, tikėtina, nėra kliniškai svarbus. (žr. 4.2 skyrių).</w:t>
      </w:r>
    </w:p>
    <w:p w14:paraId="10DD8E12" w14:textId="77777777" w:rsidR="007D59EF" w:rsidRPr="001C7577" w:rsidRDefault="007D59EF" w:rsidP="007D59EF">
      <w:pPr>
        <w:rPr>
          <w:lang w:val="lt-LT"/>
        </w:rPr>
      </w:pPr>
    </w:p>
    <w:p w14:paraId="1E9FF280"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5.3</w:t>
      </w:r>
      <w:r w:rsidRPr="00705EEC">
        <w:rPr>
          <w:rFonts w:ascii="Times New Roman" w:hAnsi="Times New Roman"/>
          <w:sz w:val="22"/>
          <w:lang w:val="lt-LT"/>
        </w:rPr>
        <w:tab/>
        <w:t>Ikiklinikinių saugumo tyrimų duomenys</w:t>
      </w:r>
    </w:p>
    <w:p w14:paraId="7926E78C" w14:textId="77777777" w:rsidR="007D59EF" w:rsidRPr="00705EEC" w:rsidRDefault="007D59EF" w:rsidP="007D59EF">
      <w:pPr>
        <w:tabs>
          <w:tab w:val="clear" w:pos="567"/>
        </w:tabs>
        <w:spacing w:line="240" w:lineRule="auto"/>
        <w:rPr>
          <w:szCs w:val="24"/>
          <w:lang w:val="lt-LT"/>
        </w:rPr>
      </w:pPr>
    </w:p>
    <w:p w14:paraId="648DD7E6" w14:textId="77777777" w:rsidR="007D59EF" w:rsidRPr="00705EEC" w:rsidRDefault="007D59EF" w:rsidP="007D59EF">
      <w:pPr>
        <w:spacing w:line="240" w:lineRule="auto"/>
        <w:rPr>
          <w:lang w:val="lt-LT"/>
        </w:rPr>
      </w:pPr>
      <w:r w:rsidRPr="00705EEC">
        <w:rPr>
          <w:lang w:val="lt-LT"/>
        </w:rPr>
        <w:t xml:space="preserve">Kartotinių dozių toksiškumo graužikams ir šunims tyrimais nustatyta, kad pagrindiniai organai taikiniai yra kepenys, inkstai, skydliaukė, blužnis ir cirkuliuojantys raudonieji kraujo kūneliai. Nustatyta kepenų ląstelių paburkimas su židinine degeneracija. Nors ekspozicija, dėl kurios atsirado šių pokyčių, buvo panaši ar mažesnė negu klinikinė žmonių ekspozicija, dozės gyvūnams buvo maždaug 6 kartus didesnės už rekomenduojamas klinikines dozes. Neryški inkstų kanalėlių degeneracija nustatyta pelėms, kurių ekspozicija buvo mažiausiai du kartus didesnė už rekomenduojamą žmogui. Žiurkių ir šunų inkstai nebuvo pažeisti. Dėl sumažėjusio tiroksino kiekio daugiau išsiskyrė TSH ir pasireiškė žiurkių folikulinių skydliaukės ląstelių hipertrofija. Šie pokyčiai išnyko nutraukus veikliosios medžiagos vartojimą, jų nestebėta pelėms ir šunims. </w:t>
      </w:r>
      <w:r w:rsidRPr="00705EEC">
        <w:rPr>
          <w:i/>
          <w:lang w:val="lt-LT"/>
        </w:rPr>
        <w:t>Coombs</w:t>
      </w:r>
      <w:r w:rsidRPr="00705EEC">
        <w:rPr>
          <w:lang w:val="lt-LT"/>
        </w:rPr>
        <w:t xml:space="preserve"> neigiama anizocitozė ir poikilocitozė nustatyta žiurkėms, bet nenustatyta pelėms ir šunims. Padidėjusi blužnis su histiocitoze stebėta žiurkėms, bet šių pokyčių nebuvo kitų rūšių gyvūnams. Serumo cholesterolio kiekis padidėjo graužikams, bet nepadidėjo šunims, o trigliceridų padaugėjo tik pelėms. </w:t>
      </w:r>
    </w:p>
    <w:p w14:paraId="30A07DEE" w14:textId="77777777" w:rsidR="007D59EF" w:rsidRPr="00705EEC" w:rsidRDefault="007D59EF" w:rsidP="007D59EF">
      <w:pPr>
        <w:spacing w:line="240" w:lineRule="auto"/>
        <w:rPr>
          <w:lang w:val="lt-LT"/>
        </w:rPr>
      </w:pPr>
    </w:p>
    <w:p w14:paraId="180BD21B" w14:textId="77777777" w:rsidR="007D59EF" w:rsidRPr="001C7577" w:rsidRDefault="007D59EF" w:rsidP="007D59EF">
      <w:pPr>
        <w:spacing w:line="240" w:lineRule="auto"/>
        <w:rPr>
          <w:lang w:val="lt-LT"/>
        </w:rPr>
      </w:pPr>
      <w:r w:rsidRPr="001C7577">
        <w:rPr>
          <w:lang w:val="lt-LT"/>
        </w:rPr>
        <w:t xml:space="preserve">Tiriant </w:t>
      </w:r>
      <w:r w:rsidRPr="001C7577">
        <w:rPr>
          <w:i/>
          <w:lang w:val="lt-LT"/>
        </w:rPr>
        <w:t>in vitro</w:t>
      </w:r>
      <w:r w:rsidRPr="001C7577">
        <w:rPr>
          <w:lang w:val="lt-LT"/>
        </w:rPr>
        <w:t>, 30% klonuotų žmogaus širdies kalio kanalų (ang</w:t>
      </w:r>
      <w:r w:rsidRPr="001C7577">
        <w:rPr>
          <w:i/>
          <w:lang w:val="lt-LT"/>
        </w:rPr>
        <w:t>. Human cardiac potassium channels</w:t>
      </w:r>
      <w:r w:rsidRPr="001C7577">
        <w:rPr>
          <w:lang w:val="lt-LT"/>
        </w:rPr>
        <w:t>, HERG) buvo slopinama naudojant didžiausią lopinaviro/ritonaviro koncentraciją, 7 kartus didesnę už bendrąją lopinaviro ekspoziciją ir 15 kartų didesnę už didžiausią koncentraciją plazmoje, susidariusią žmogui po didžiausios rekomenduojamos gydomosios dozės. Priešingai, panaši lopinaviro/ritonaviro koncentracija nevėlino triušių širdies Purkinje skaidulų repoliarizacijos. Mažesnė lopinaviro/ritonaviro koncentracija reikšmingai neslopino kalio (HERG) srovės. Žiurkėms pasiskirstymo audiniuose tyrimai nerodo, kad daug aktyvaus junginio kauptųsi širdyje; 72 val. AUC širdyje sudarė maždaug 50% plazmoje nustatytos AUC. Todėl galima manyti, kad lopinaviro koncentracija širdyje nebus žymiai didesnė negu plazmoje.</w:t>
      </w:r>
    </w:p>
    <w:p w14:paraId="18880398" w14:textId="77777777" w:rsidR="007D59EF" w:rsidRPr="001C7577" w:rsidRDefault="007D59EF" w:rsidP="007D59EF">
      <w:pPr>
        <w:spacing w:line="240" w:lineRule="auto"/>
        <w:rPr>
          <w:lang w:val="lt-LT"/>
        </w:rPr>
      </w:pPr>
    </w:p>
    <w:p w14:paraId="34FE9105" w14:textId="77777777" w:rsidR="007D59EF" w:rsidRPr="001C7577" w:rsidRDefault="007D59EF" w:rsidP="007D59EF">
      <w:pPr>
        <w:spacing w:line="240" w:lineRule="auto"/>
        <w:rPr>
          <w:lang w:val="lt-LT"/>
        </w:rPr>
      </w:pPr>
      <w:r w:rsidRPr="001C7577">
        <w:rPr>
          <w:lang w:val="lt-LT"/>
        </w:rPr>
        <w:t>Šunų elektrokardiogramoje stebėtos ryškios U bangos, susijusios su pailgėjusiu PR intervalu ir bradikardija. Manoma, kad šiuos pokyčius gali sukelti elektrolitų sutrikimai.</w:t>
      </w:r>
    </w:p>
    <w:p w14:paraId="250E4C80" w14:textId="77777777" w:rsidR="007D59EF" w:rsidRPr="001C7577" w:rsidRDefault="007D59EF" w:rsidP="007D59EF">
      <w:pPr>
        <w:spacing w:line="240" w:lineRule="auto"/>
        <w:rPr>
          <w:lang w:val="lt-LT"/>
        </w:rPr>
      </w:pPr>
    </w:p>
    <w:p w14:paraId="3099A29E" w14:textId="77777777" w:rsidR="007D59EF" w:rsidRPr="001C7577" w:rsidRDefault="007D59EF" w:rsidP="007D59EF">
      <w:pPr>
        <w:spacing w:line="240" w:lineRule="auto"/>
        <w:rPr>
          <w:lang w:val="lt-LT"/>
        </w:rPr>
      </w:pPr>
      <w:r w:rsidRPr="001C7577">
        <w:rPr>
          <w:lang w:val="lt-LT"/>
        </w:rPr>
        <w:t>Klinikinė šių ikiklinikinių duomenų reikšmė nežinoma, tačiau negalima atmesti šio preparato galimo poveikio žmogaus širdžiai (taip pat žr. 4.4 ir 4.8 skyrius).</w:t>
      </w:r>
    </w:p>
    <w:p w14:paraId="11005241" w14:textId="77777777" w:rsidR="007D59EF" w:rsidRPr="001C7577" w:rsidRDefault="007D59EF" w:rsidP="007D59EF">
      <w:pPr>
        <w:spacing w:line="240" w:lineRule="auto"/>
        <w:rPr>
          <w:lang w:val="lt-LT"/>
        </w:rPr>
      </w:pPr>
    </w:p>
    <w:p w14:paraId="54604CB2" w14:textId="77777777" w:rsidR="007D59EF" w:rsidRPr="001C7577" w:rsidRDefault="007D59EF" w:rsidP="007D59EF">
      <w:pPr>
        <w:spacing w:line="240" w:lineRule="auto"/>
        <w:rPr>
          <w:lang w:val="lt-LT"/>
        </w:rPr>
      </w:pPr>
      <w:r w:rsidRPr="001C7577">
        <w:rPr>
          <w:lang w:val="lt-LT"/>
        </w:rPr>
        <w:t>Žiurkių patelėms, gavusioms patelei toksiškas dozes, stebėta embriofetotoksinis poveikis (abortai, sumažėjęs vaisių gyvybingumas, sumažėjęs vaisių kūno svoris, padažnėję skeleto pokyčiai) ir ponatalinės raidos toksiškumas (sumažėjęs palikuonių išgyvenamumas). Sisteminė lopinaviro/ritonaviro ekspozicija, skiriant patelei ir vaisiaus raidai toksines dozes, buvo mažesnė negu tikėtina gydomoji ekspozicija žmogui.</w:t>
      </w:r>
    </w:p>
    <w:p w14:paraId="0D6B34A4" w14:textId="77777777" w:rsidR="007D59EF" w:rsidRPr="001C7577" w:rsidRDefault="007D59EF" w:rsidP="007D59EF">
      <w:pPr>
        <w:spacing w:line="240" w:lineRule="auto"/>
        <w:rPr>
          <w:lang w:val="lt-LT"/>
        </w:rPr>
      </w:pPr>
    </w:p>
    <w:p w14:paraId="64CF213D" w14:textId="77777777" w:rsidR="007D59EF" w:rsidRPr="001C7577" w:rsidRDefault="007D59EF" w:rsidP="007D59EF">
      <w:pPr>
        <w:spacing w:line="240" w:lineRule="auto"/>
        <w:rPr>
          <w:lang w:val="lt-LT"/>
        </w:rPr>
      </w:pPr>
      <w:r w:rsidRPr="001C7577">
        <w:rPr>
          <w:lang w:val="lt-LT"/>
        </w:rPr>
        <w:t xml:space="preserve">Ilgalaikiai pelių lopinaviro/ritonaviro kancerogeniškumo tyrimai atskleidė negenotoksinį, kepenų navikų mitogeninės indukcijos poveikį, kuris, manoma, mažai reikšmingas žmogui. </w:t>
      </w:r>
    </w:p>
    <w:p w14:paraId="793AFAB2" w14:textId="77777777" w:rsidR="007D59EF" w:rsidRPr="001C7577" w:rsidRDefault="007D59EF" w:rsidP="007D59EF">
      <w:pPr>
        <w:spacing w:line="240" w:lineRule="auto"/>
        <w:rPr>
          <w:lang w:val="lt-LT"/>
        </w:rPr>
      </w:pPr>
    </w:p>
    <w:p w14:paraId="66B08130" w14:textId="77777777" w:rsidR="007D59EF" w:rsidRPr="001C7577" w:rsidRDefault="007D59EF" w:rsidP="007D59EF">
      <w:pPr>
        <w:spacing w:line="240" w:lineRule="auto"/>
        <w:rPr>
          <w:lang w:val="lt-LT"/>
        </w:rPr>
      </w:pPr>
      <w:r w:rsidRPr="001C7577">
        <w:rPr>
          <w:lang w:val="lt-LT"/>
        </w:rPr>
        <w:t xml:space="preserve">Žiurkių kancerogeniškumo tyrimai neparodė jokio tumorogeninio poveikio. Nustatyta, kad lopinaviras/ritonaviras neveikia mutageniškai ar klastogeniškai atliekant seriją tyrimų in vitro ir </w:t>
      </w:r>
      <w:r w:rsidRPr="001C7577">
        <w:rPr>
          <w:i/>
          <w:lang w:val="lt-LT"/>
        </w:rPr>
        <w:t>in vivo</w:t>
      </w:r>
      <w:r w:rsidRPr="001C7577">
        <w:rPr>
          <w:lang w:val="lt-LT"/>
        </w:rPr>
        <w:t>, iš jų Ames bakterijų atgalinės mutacijos testą, pelių limfomos testą, pelių mikrobranduolių testą ir chromosomų aberacijos testą žmogaus limfocituose.</w:t>
      </w:r>
    </w:p>
    <w:p w14:paraId="1C58F850" w14:textId="77777777" w:rsidR="007D59EF" w:rsidRPr="001C7577" w:rsidRDefault="007D59EF" w:rsidP="007D59EF">
      <w:pPr>
        <w:tabs>
          <w:tab w:val="clear" w:pos="567"/>
        </w:tabs>
        <w:spacing w:line="240" w:lineRule="auto"/>
        <w:rPr>
          <w:szCs w:val="24"/>
          <w:lang w:val="lt-LT"/>
        </w:rPr>
      </w:pPr>
    </w:p>
    <w:p w14:paraId="1C3AE1CB" w14:textId="77777777" w:rsidR="007D59EF" w:rsidRPr="00705EEC" w:rsidRDefault="007D59EF" w:rsidP="007D59EF">
      <w:pPr>
        <w:tabs>
          <w:tab w:val="clear" w:pos="567"/>
        </w:tabs>
        <w:spacing w:line="240" w:lineRule="auto"/>
        <w:rPr>
          <w:szCs w:val="24"/>
          <w:lang w:val="lt-LT"/>
        </w:rPr>
      </w:pPr>
    </w:p>
    <w:p w14:paraId="19F4DC39"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6.</w:t>
      </w:r>
      <w:r w:rsidRPr="00705EEC">
        <w:rPr>
          <w:rFonts w:ascii="Times New Roman" w:hAnsi="Times New Roman"/>
          <w:sz w:val="22"/>
          <w:lang w:val="lt-LT"/>
        </w:rPr>
        <w:tab/>
        <w:t>FARMACINĖ INFORMACIJA</w:t>
      </w:r>
    </w:p>
    <w:p w14:paraId="61B14861" w14:textId="77777777" w:rsidR="007D59EF" w:rsidRPr="00705EEC" w:rsidRDefault="007D59EF" w:rsidP="007D59EF">
      <w:pPr>
        <w:tabs>
          <w:tab w:val="clear" w:pos="567"/>
        </w:tabs>
        <w:spacing w:line="240" w:lineRule="auto"/>
        <w:rPr>
          <w:szCs w:val="24"/>
          <w:lang w:val="lt-LT"/>
        </w:rPr>
      </w:pPr>
    </w:p>
    <w:p w14:paraId="69328AA0"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6.1</w:t>
      </w:r>
      <w:r w:rsidRPr="00705EEC">
        <w:rPr>
          <w:rFonts w:ascii="Times New Roman" w:hAnsi="Times New Roman"/>
          <w:sz w:val="22"/>
          <w:lang w:val="lt-LT"/>
        </w:rPr>
        <w:tab/>
        <w:t>Pagalbinių medžiagų sąrašas</w:t>
      </w:r>
    </w:p>
    <w:p w14:paraId="52FD10B6" w14:textId="77777777" w:rsidR="007D59EF" w:rsidRPr="00705EEC" w:rsidRDefault="007D59EF" w:rsidP="007D59EF">
      <w:pPr>
        <w:tabs>
          <w:tab w:val="clear" w:pos="567"/>
        </w:tabs>
        <w:spacing w:line="240" w:lineRule="auto"/>
        <w:rPr>
          <w:szCs w:val="24"/>
          <w:lang w:val="lt-LT"/>
        </w:rPr>
      </w:pPr>
    </w:p>
    <w:p w14:paraId="5177083B" w14:textId="77777777" w:rsidR="007D59EF" w:rsidRPr="001C7577" w:rsidRDefault="007D59EF" w:rsidP="007D59EF">
      <w:pPr>
        <w:spacing w:line="240" w:lineRule="auto"/>
        <w:rPr>
          <w:szCs w:val="24"/>
          <w:u w:val="single"/>
          <w:lang w:val="lt-LT"/>
        </w:rPr>
      </w:pPr>
      <w:r w:rsidRPr="001C7577">
        <w:rPr>
          <w:szCs w:val="24"/>
          <w:u w:val="single"/>
          <w:lang w:val="lt-LT"/>
        </w:rPr>
        <w:t>Tabletės šerdis</w:t>
      </w:r>
    </w:p>
    <w:p w14:paraId="5E83B1C6" w14:textId="77777777" w:rsidR="007D59EF" w:rsidRPr="001C7577" w:rsidRDefault="007D59EF" w:rsidP="007D59EF">
      <w:pPr>
        <w:spacing w:line="240" w:lineRule="auto"/>
        <w:rPr>
          <w:szCs w:val="24"/>
          <w:lang w:val="lt-LT"/>
        </w:rPr>
      </w:pPr>
      <w:r w:rsidRPr="001C7577">
        <w:rPr>
          <w:szCs w:val="24"/>
          <w:lang w:val="lt-LT"/>
        </w:rPr>
        <w:t>Kopovidonas K 28</w:t>
      </w:r>
    </w:p>
    <w:p w14:paraId="7D47D9CF" w14:textId="77777777" w:rsidR="007D59EF" w:rsidRPr="001C7577" w:rsidRDefault="007D59EF" w:rsidP="007D59EF">
      <w:pPr>
        <w:spacing w:line="240" w:lineRule="auto"/>
        <w:rPr>
          <w:szCs w:val="24"/>
          <w:lang w:val="lt-LT"/>
        </w:rPr>
      </w:pPr>
      <w:r w:rsidRPr="001C7577">
        <w:rPr>
          <w:szCs w:val="24"/>
          <w:lang w:val="lt-LT"/>
        </w:rPr>
        <w:t>Sorbitano lauratas</w:t>
      </w:r>
    </w:p>
    <w:p w14:paraId="487BD515" w14:textId="77777777" w:rsidR="007D59EF" w:rsidRPr="001C7577" w:rsidRDefault="007D59EF" w:rsidP="007D59EF">
      <w:pPr>
        <w:spacing w:line="240" w:lineRule="auto"/>
        <w:rPr>
          <w:szCs w:val="24"/>
          <w:lang w:val="lt-LT"/>
        </w:rPr>
      </w:pPr>
      <w:r w:rsidRPr="001C7577">
        <w:rPr>
          <w:szCs w:val="24"/>
          <w:lang w:val="lt-LT"/>
        </w:rPr>
        <w:t>Koloidinis bevandenis silicio dioksidas</w:t>
      </w:r>
    </w:p>
    <w:p w14:paraId="51AA5C45" w14:textId="77777777" w:rsidR="007D59EF" w:rsidRPr="001C7577" w:rsidRDefault="007D59EF" w:rsidP="007D59EF">
      <w:pPr>
        <w:spacing w:line="240" w:lineRule="auto"/>
        <w:rPr>
          <w:szCs w:val="24"/>
          <w:lang w:val="lt-LT"/>
        </w:rPr>
      </w:pPr>
      <w:r w:rsidRPr="001C7577">
        <w:rPr>
          <w:szCs w:val="24"/>
          <w:lang w:val="lt-LT"/>
        </w:rPr>
        <w:t>Laktozė monohidratas</w:t>
      </w:r>
    </w:p>
    <w:p w14:paraId="0FA2B483" w14:textId="77777777" w:rsidR="007D59EF" w:rsidRPr="001C7577" w:rsidRDefault="007D59EF" w:rsidP="007D59EF">
      <w:pPr>
        <w:spacing w:line="240" w:lineRule="auto"/>
        <w:rPr>
          <w:szCs w:val="24"/>
          <w:lang w:val="lt-LT"/>
        </w:rPr>
      </w:pPr>
      <w:r w:rsidRPr="001C7577">
        <w:rPr>
          <w:szCs w:val="24"/>
          <w:lang w:val="lt-LT"/>
        </w:rPr>
        <w:t>Natrio stearilfumaratas</w:t>
      </w:r>
    </w:p>
    <w:p w14:paraId="6FF3B936" w14:textId="77777777" w:rsidR="007D59EF" w:rsidRPr="001C7577" w:rsidRDefault="007D59EF" w:rsidP="007D59EF">
      <w:pPr>
        <w:spacing w:line="240" w:lineRule="auto"/>
        <w:rPr>
          <w:szCs w:val="24"/>
          <w:lang w:val="lt-LT"/>
        </w:rPr>
      </w:pPr>
    </w:p>
    <w:p w14:paraId="74155296" w14:textId="77777777" w:rsidR="007D59EF" w:rsidRPr="001C7577" w:rsidRDefault="007D59EF" w:rsidP="007D59EF">
      <w:pPr>
        <w:spacing w:line="240" w:lineRule="auto"/>
        <w:rPr>
          <w:szCs w:val="24"/>
          <w:u w:val="single"/>
          <w:lang w:val="lt-LT"/>
        </w:rPr>
      </w:pPr>
      <w:r w:rsidRPr="001C7577">
        <w:rPr>
          <w:szCs w:val="24"/>
          <w:u w:val="single"/>
          <w:lang w:val="lt-LT"/>
        </w:rPr>
        <w:t>Tabletės plėvelė (</w:t>
      </w:r>
      <w:r w:rsidRPr="001C7577">
        <w:rPr>
          <w:u w:val="single"/>
          <w:lang w:val="lt-LT"/>
        </w:rPr>
        <w:t>Opadry II geltonasis 85F42187</w:t>
      </w:r>
      <w:r w:rsidRPr="001C7577">
        <w:rPr>
          <w:szCs w:val="24"/>
          <w:u w:val="single"/>
          <w:lang w:val="lt-LT"/>
        </w:rPr>
        <w:t>)</w:t>
      </w:r>
    </w:p>
    <w:p w14:paraId="710E3C00" w14:textId="77777777" w:rsidR="007D59EF" w:rsidRPr="001C7577" w:rsidRDefault="007D59EF" w:rsidP="007D59EF">
      <w:pPr>
        <w:spacing w:line="240" w:lineRule="auto"/>
        <w:rPr>
          <w:szCs w:val="24"/>
          <w:lang w:val="lt-LT"/>
        </w:rPr>
      </w:pPr>
      <w:r w:rsidRPr="001C7577">
        <w:rPr>
          <w:szCs w:val="24"/>
          <w:lang w:val="lt-LT"/>
        </w:rPr>
        <w:t>Polivinilo alkoholis</w:t>
      </w:r>
    </w:p>
    <w:p w14:paraId="4A20C16A" w14:textId="77777777" w:rsidR="007D59EF" w:rsidRPr="001C7577" w:rsidRDefault="007D59EF" w:rsidP="007D59EF">
      <w:pPr>
        <w:spacing w:line="240" w:lineRule="auto"/>
        <w:rPr>
          <w:szCs w:val="24"/>
          <w:lang w:val="lt-LT"/>
        </w:rPr>
      </w:pPr>
      <w:r w:rsidRPr="001C7577">
        <w:rPr>
          <w:szCs w:val="24"/>
          <w:lang w:val="lt-LT"/>
        </w:rPr>
        <w:t>Titano dioksidas E171</w:t>
      </w:r>
    </w:p>
    <w:p w14:paraId="65A8CB42" w14:textId="77777777" w:rsidR="007D59EF" w:rsidRPr="001C7577" w:rsidRDefault="007D59EF" w:rsidP="007D59EF">
      <w:pPr>
        <w:spacing w:line="240" w:lineRule="auto"/>
        <w:rPr>
          <w:szCs w:val="24"/>
          <w:lang w:val="lt-LT"/>
        </w:rPr>
      </w:pPr>
      <w:r w:rsidRPr="001C7577">
        <w:rPr>
          <w:szCs w:val="24"/>
          <w:lang w:val="lt-LT"/>
        </w:rPr>
        <w:t>Talkas</w:t>
      </w:r>
    </w:p>
    <w:p w14:paraId="178A9552" w14:textId="77777777" w:rsidR="007D59EF" w:rsidRPr="001C7577" w:rsidRDefault="007D59EF" w:rsidP="007D59EF">
      <w:pPr>
        <w:spacing w:line="240" w:lineRule="auto"/>
        <w:rPr>
          <w:szCs w:val="24"/>
          <w:lang w:val="lt-LT"/>
        </w:rPr>
      </w:pPr>
      <w:r w:rsidRPr="001C7577">
        <w:rPr>
          <w:szCs w:val="24"/>
          <w:lang w:val="lt-LT"/>
        </w:rPr>
        <w:t>Makrogolis 3350 / Polietilenglikolis 3350</w:t>
      </w:r>
    </w:p>
    <w:p w14:paraId="3A8F254F" w14:textId="77777777" w:rsidR="007D59EF" w:rsidRPr="001C7577" w:rsidRDefault="007D59EF" w:rsidP="007D59EF">
      <w:pPr>
        <w:spacing w:line="240" w:lineRule="auto"/>
        <w:rPr>
          <w:szCs w:val="24"/>
          <w:lang w:val="lt-LT"/>
        </w:rPr>
      </w:pPr>
      <w:r w:rsidRPr="001C7577">
        <w:rPr>
          <w:szCs w:val="24"/>
          <w:lang w:val="lt-LT"/>
        </w:rPr>
        <w:t>Geltonasis geležies oksidas E172</w:t>
      </w:r>
    </w:p>
    <w:p w14:paraId="20971C38" w14:textId="77777777" w:rsidR="007D59EF" w:rsidRPr="001C7577" w:rsidRDefault="007D59EF" w:rsidP="007D59EF">
      <w:pPr>
        <w:spacing w:line="240" w:lineRule="auto"/>
        <w:rPr>
          <w:szCs w:val="24"/>
          <w:lang w:val="lt-LT"/>
        </w:rPr>
      </w:pPr>
    </w:p>
    <w:p w14:paraId="602265FC"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6.2</w:t>
      </w:r>
      <w:r w:rsidRPr="00705EEC">
        <w:rPr>
          <w:rFonts w:ascii="Times New Roman" w:hAnsi="Times New Roman"/>
          <w:sz w:val="22"/>
          <w:lang w:val="lt-LT"/>
        </w:rPr>
        <w:tab/>
        <w:t>Nesuderinamumas</w:t>
      </w:r>
    </w:p>
    <w:p w14:paraId="22AF65FE" w14:textId="77777777" w:rsidR="007D59EF" w:rsidRPr="00705EEC" w:rsidRDefault="007D59EF" w:rsidP="007D59EF">
      <w:pPr>
        <w:tabs>
          <w:tab w:val="clear" w:pos="567"/>
        </w:tabs>
        <w:spacing w:line="240" w:lineRule="auto"/>
        <w:rPr>
          <w:szCs w:val="24"/>
          <w:lang w:val="lt-LT"/>
        </w:rPr>
      </w:pPr>
    </w:p>
    <w:p w14:paraId="3DE874E6" w14:textId="77777777" w:rsidR="007D59EF" w:rsidRPr="001C7577" w:rsidRDefault="007D59EF" w:rsidP="007D59EF">
      <w:pPr>
        <w:tabs>
          <w:tab w:val="clear" w:pos="567"/>
        </w:tabs>
        <w:spacing w:line="240" w:lineRule="auto"/>
        <w:rPr>
          <w:lang w:val="lt-LT"/>
        </w:rPr>
      </w:pPr>
      <w:r w:rsidRPr="001C7577">
        <w:rPr>
          <w:lang w:val="lt-LT"/>
        </w:rPr>
        <w:t>Duomenys nebūtini</w:t>
      </w:r>
    </w:p>
    <w:p w14:paraId="19D97B2A" w14:textId="77777777" w:rsidR="007D59EF" w:rsidRPr="001C7577" w:rsidRDefault="007D59EF" w:rsidP="007D59EF">
      <w:pPr>
        <w:tabs>
          <w:tab w:val="clear" w:pos="567"/>
        </w:tabs>
        <w:spacing w:line="240" w:lineRule="auto"/>
        <w:rPr>
          <w:lang w:val="lt-LT"/>
        </w:rPr>
      </w:pPr>
    </w:p>
    <w:p w14:paraId="4756CB68"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6.3</w:t>
      </w:r>
      <w:r w:rsidRPr="00705EEC">
        <w:rPr>
          <w:rFonts w:ascii="Times New Roman" w:hAnsi="Times New Roman"/>
          <w:sz w:val="22"/>
          <w:lang w:val="lt-LT"/>
        </w:rPr>
        <w:tab/>
        <w:t>Tinkamumo laikas</w:t>
      </w:r>
    </w:p>
    <w:p w14:paraId="67C623C1" w14:textId="77777777" w:rsidR="007D59EF" w:rsidRPr="00705EEC" w:rsidRDefault="007D59EF" w:rsidP="007D59EF">
      <w:pPr>
        <w:tabs>
          <w:tab w:val="clear" w:pos="567"/>
        </w:tabs>
        <w:spacing w:line="240" w:lineRule="auto"/>
        <w:rPr>
          <w:szCs w:val="24"/>
          <w:lang w:val="lt-LT"/>
        </w:rPr>
      </w:pPr>
    </w:p>
    <w:p w14:paraId="37568E30" w14:textId="77777777" w:rsidR="007D59EF" w:rsidRPr="001C7577" w:rsidRDefault="007D59EF" w:rsidP="007D59EF">
      <w:pPr>
        <w:tabs>
          <w:tab w:val="left" w:pos="225"/>
          <w:tab w:val="left" w:pos="8876"/>
        </w:tabs>
        <w:spacing w:line="240" w:lineRule="auto"/>
        <w:rPr>
          <w:lang w:val="lt-LT"/>
        </w:rPr>
      </w:pPr>
      <w:r w:rsidRPr="001C7577">
        <w:rPr>
          <w:lang w:val="lt-LT"/>
        </w:rPr>
        <w:t>2 metai</w:t>
      </w:r>
    </w:p>
    <w:p w14:paraId="0E999092" w14:textId="77777777" w:rsidR="007D59EF" w:rsidRPr="001C7577" w:rsidRDefault="007D59EF" w:rsidP="007D59EF">
      <w:pPr>
        <w:tabs>
          <w:tab w:val="left" w:pos="225"/>
          <w:tab w:val="left" w:pos="8876"/>
        </w:tabs>
        <w:spacing w:line="240" w:lineRule="auto"/>
        <w:rPr>
          <w:lang w:val="lt-LT"/>
        </w:rPr>
      </w:pPr>
      <w:r w:rsidRPr="001C7577">
        <w:rPr>
          <w:lang w:val="lt-LT"/>
        </w:rPr>
        <w:tab/>
      </w:r>
    </w:p>
    <w:p w14:paraId="344BEF4E" w14:textId="77777777" w:rsidR="007D59EF" w:rsidRPr="001C7577" w:rsidRDefault="007D59EF" w:rsidP="007D59EF">
      <w:pPr>
        <w:spacing w:line="240" w:lineRule="auto"/>
        <w:rPr>
          <w:lang w:val="lt-LT"/>
        </w:rPr>
      </w:pPr>
      <w:r w:rsidRPr="001C7577">
        <w:rPr>
          <w:lang w:val="lt-LT"/>
        </w:rPr>
        <w:t>DTPE buteliukas: pirmą kartą atidarius suvartoti per 30 dienų.</w:t>
      </w:r>
    </w:p>
    <w:p w14:paraId="60285B00" w14:textId="77777777" w:rsidR="007D59EF" w:rsidRPr="00705EEC" w:rsidRDefault="007D59EF" w:rsidP="007D59EF">
      <w:pPr>
        <w:tabs>
          <w:tab w:val="clear" w:pos="567"/>
        </w:tabs>
        <w:spacing w:line="240" w:lineRule="auto"/>
        <w:rPr>
          <w:szCs w:val="24"/>
          <w:lang w:val="lt-LT"/>
        </w:rPr>
      </w:pPr>
    </w:p>
    <w:p w14:paraId="0737FCC6"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6.4</w:t>
      </w:r>
      <w:r w:rsidRPr="00705EEC">
        <w:rPr>
          <w:rFonts w:ascii="Times New Roman" w:hAnsi="Times New Roman"/>
          <w:sz w:val="22"/>
          <w:lang w:val="lt-LT"/>
        </w:rPr>
        <w:tab/>
        <w:t>Specialios laikymo sąlygos</w:t>
      </w:r>
    </w:p>
    <w:p w14:paraId="09E8EF61" w14:textId="77777777" w:rsidR="007D59EF" w:rsidRPr="00705EEC" w:rsidRDefault="007D59EF" w:rsidP="007D59EF">
      <w:pPr>
        <w:tabs>
          <w:tab w:val="clear" w:pos="567"/>
        </w:tabs>
        <w:spacing w:line="240" w:lineRule="auto"/>
        <w:rPr>
          <w:szCs w:val="24"/>
          <w:lang w:val="lt-LT"/>
        </w:rPr>
      </w:pPr>
    </w:p>
    <w:p w14:paraId="48341F99" w14:textId="77777777" w:rsidR="007D59EF" w:rsidRPr="001C7577" w:rsidRDefault="007D59EF" w:rsidP="007D59EF">
      <w:pPr>
        <w:tabs>
          <w:tab w:val="left" w:pos="225"/>
          <w:tab w:val="left" w:pos="8876"/>
        </w:tabs>
        <w:spacing w:line="240" w:lineRule="auto"/>
        <w:rPr>
          <w:lang w:val="lt-LT"/>
        </w:rPr>
      </w:pPr>
      <w:r w:rsidRPr="00705EEC">
        <w:rPr>
          <w:rFonts w:eastAsia="SimSun"/>
          <w:snapToGrid/>
          <w:lang w:val="lt-LT" w:eastAsia="zh-CN"/>
        </w:rPr>
        <w:t>Šio vaistinio preparato laikymui specialių temperatūros sąlygų nereikalaujama.</w:t>
      </w:r>
    </w:p>
    <w:p w14:paraId="12AD15BD" w14:textId="77777777" w:rsidR="007D59EF" w:rsidRPr="001C7577" w:rsidRDefault="007D59EF" w:rsidP="007D59EF">
      <w:pPr>
        <w:tabs>
          <w:tab w:val="left" w:pos="225"/>
          <w:tab w:val="left" w:pos="8876"/>
        </w:tabs>
        <w:spacing w:line="240" w:lineRule="auto"/>
        <w:rPr>
          <w:lang w:val="lt-LT"/>
        </w:rPr>
      </w:pPr>
    </w:p>
    <w:p w14:paraId="1527AF62" w14:textId="77777777" w:rsidR="007D59EF" w:rsidRPr="001C7577" w:rsidRDefault="007D59EF" w:rsidP="007D59EF">
      <w:pPr>
        <w:tabs>
          <w:tab w:val="left" w:pos="225"/>
          <w:tab w:val="left" w:pos="8876"/>
        </w:tabs>
        <w:spacing w:line="240" w:lineRule="auto"/>
        <w:rPr>
          <w:lang w:val="lt-LT"/>
        </w:rPr>
      </w:pPr>
      <w:r w:rsidRPr="001C7577">
        <w:rPr>
          <w:lang w:val="lt-LT"/>
        </w:rPr>
        <w:lastRenderedPageBreak/>
        <w:t>DTPE buteliukas: buteliuką laikyti sandar</w:t>
      </w:r>
      <w:r w:rsidRPr="00705EEC">
        <w:rPr>
          <w:lang w:val="lt-LT"/>
        </w:rPr>
        <w:t>ų</w:t>
      </w:r>
      <w:r w:rsidRPr="001C7577">
        <w:rPr>
          <w:lang w:val="lt-LT"/>
        </w:rPr>
        <w:t xml:space="preserve">, kad preparatas būtų apsaugotas nuo drėgmės. </w:t>
      </w:r>
    </w:p>
    <w:p w14:paraId="2E7FED2A" w14:textId="77777777" w:rsidR="007D59EF" w:rsidRPr="001C7577" w:rsidRDefault="007D59EF" w:rsidP="007D59EF">
      <w:pPr>
        <w:tabs>
          <w:tab w:val="left" w:pos="225"/>
          <w:tab w:val="left" w:pos="8876"/>
        </w:tabs>
        <w:spacing w:line="240" w:lineRule="auto"/>
        <w:rPr>
          <w:lang w:val="lt-LT"/>
        </w:rPr>
      </w:pPr>
      <w:r w:rsidRPr="001C7577">
        <w:rPr>
          <w:lang w:val="lt-LT"/>
        </w:rPr>
        <w:t xml:space="preserve">Lizdinė plokštelė: laikyti gamintojo pakuotėje, kad preparatas būtų apsaugotas nuo drėgmės. </w:t>
      </w:r>
    </w:p>
    <w:p w14:paraId="7CBA1E53" w14:textId="77777777" w:rsidR="007D59EF" w:rsidRPr="001C7577" w:rsidRDefault="007D59EF" w:rsidP="007D59EF">
      <w:pPr>
        <w:tabs>
          <w:tab w:val="left" w:pos="225"/>
          <w:tab w:val="left" w:pos="8876"/>
        </w:tabs>
        <w:spacing w:line="240" w:lineRule="auto"/>
        <w:rPr>
          <w:lang w:val="lt-LT"/>
        </w:rPr>
      </w:pPr>
    </w:p>
    <w:p w14:paraId="0B2A4D97" w14:textId="77777777" w:rsidR="007D59EF" w:rsidRPr="001C7577" w:rsidRDefault="007D59EF" w:rsidP="007D59EF">
      <w:pPr>
        <w:tabs>
          <w:tab w:val="left" w:pos="225"/>
          <w:tab w:val="left" w:pos="8876"/>
        </w:tabs>
        <w:spacing w:line="240" w:lineRule="auto"/>
        <w:rPr>
          <w:lang w:val="lt-LT"/>
        </w:rPr>
      </w:pPr>
      <w:r w:rsidRPr="001C7577">
        <w:rPr>
          <w:lang w:val="lt-LT"/>
        </w:rPr>
        <w:t>DTPE buteliukas: pirmą kartą atidarius laikyti žemesnėje kaip 25</w:t>
      </w:r>
      <w:r w:rsidRPr="001C7577">
        <w:rPr>
          <w:vertAlign w:val="superscript"/>
          <w:lang w:val="lt-LT"/>
        </w:rPr>
        <w:t>o</w:t>
      </w:r>
      <w:r w:rsidRPr="001C7577">
        <w:rPr>
          <w:lang w:val="lt-LT"/>
        </w:rPr>
        <w:t xml:space="preserve">C temperatūroje, gamintojo pakuotėje, kad preparatas būtų apsaugotas nuo drėgmės. </w:t>
      </w:r>
    </w:p>
    <w:p w14:paraId="70EF61DC" w14:textId="77777777" w:rsidR="007D59EF" w:rsidRPr="00705EEC" w:rsidRDefault="007D59EF" w:rsidP="007D59EF">
      <w:pPr>
        <w:pStyle w:val="Antrat4"/>
        <w:rPr>
          <w:rFonts w:ascii="Times New Roman" w:hAnsi="Times New Roman"/>
          <w:sz w:val="22"/>
          <w:lang w:val="lt-LT"/>
        </w:rPr>
      </w:pPr>
    </w:p>
    <w:p w14:paraId="2A8A241E"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6.5</w:t>
      </w:r>
      <w:r w:rsidRPr="00705EEC">
        <w:rPr>
          <w:rFonts w:ascii="Times New Roman" w:hAnsi="Times New Roman"/>
          <w:sz w:val="22"/>
          <w:lang w:val="lt-LT"/>
        </w:rPr>
        <w:tab/>
        <w:t>Talpyklės pobūdis ir jos turinys</w:t>
      </w:r>
    </w:p>
    <w:p w14:paraId="10985BA8" w14:textId="77777777" w:rsidR="007D59EF" w:rsidRPr="001C7577" w:rsidRDefault="007D59EF" w:rsidP="007D59EF">
      <w:pPr>
        <w:tabs>
          <w:tab w:val="clear" w:pos="567"/>
        </w:tabs>
        <w:spacing w:line="240" w:lineRule="auto"/>
        <w:rPr>
          <w:szCs w:val="24"/>
          <w:lang w:val="lt-LT"/>
        </w:rPr>
      </w:pPr>
    </w:p>
    <w:p w14:paraId="4000FDD2" w14:textId="77777777" w:rsidR="007D59EF" w:rsidRPr="001C7577" w:rsidRDefault="007D59EF" w:rsidP="007D59EF">
      <w:pPr>
        <w:tabs>
          <w:tab w:val="left" w:pos="225"/>
          <w:tab w:val="left" w:pos="8876"/>
        </w:tabs>
        <w:spacing w:line="240" w:lineRule="auto"/>
        <w:rPr>
          <w:i/>
          <w:lang w:val="lt-LT"/>
        </w:rPr>
      </w:pPr>
      <w:r w:rsidRPr="001C7577">
        <w:rPr>
          <w:i/>
          <w:lang w:val="lt-LT"/>
        </w:rPr>
        <w:t>Lopinavir /Ritonavir Ranbaxy 100 mg/ 25 mg</w:t>
      </w:r>
    </w:p>
    <w:p w14:paraId="01162734" w14:textId="77777777" w:rsidR="007D59EF" w:rsidRPr="001C7577" w:rsidRDefault="007D59EF" w:rsidP="007D59EF">
      <w:pPr>
        <w:tabs>
          <w:tab w:val="left" w:pos="0"/>
          <w:tab w:val="left" w:pos="8876"/>
        </w:tabs>
        <w:spacing w:line="240" w:lineRule="auto"/>
        <w:rPr>
          <w:i/>
          <w:lang w:val="lt-LT"/>
        </w:rPr>
      </w:pPr>
    </w:p>
    <w:p w14:paraId="49EA950F" w14:textId="77777777" w:rsidR="007D59EF" w:rsidRPr="001C7577" w:rsidRDefault="007D59EF" w:rsidP="007D59EF">
      <w:pPr>
        <w:tabs>
          <w:tab w:val="clear" w:pos="567"/>
        </w:tabs>
        <w:spacing w:line="240" w:lineRule="auto"/>
        <w:rPr>
          <w:szCs w:val="24"/>
          <w:lang w:val="lt-LT"/>
        </w:rPr>
      </w:pPr>
      <w:r w:rsidRPr="001C7577">
        <w:rPr>
          <w:szCs w:val="24"/>
          <w:lang w:val="lt-LT"/>
        </w:rPr>
        <w:t xml:space="preserve">Balti, nepermatomi, didelio tankio polietileno (DTPE) buteliukai, uždaryti propileno (PP) dangteliais. Kiekviename buteliuke yra 60 tablečių. Kiekvienoje pakuotėje yra 1 buteliukas (60 tablečių). </w:t>
      </w:r>
    </w:p>
    <w:p w14:paraId="47654FDE" w14:textId="77777777" w:rsidR="007D59EF" w:rsidRPr="001C7577" w:rsidRDefault="007D59EF" w:rsidP="007D59EF">
      <w:pPr>
        <w:tabs>
          <w:tab w:val="clear" w:pos="567"/>
        </w:tabs>
        <w:spacing w:line="240" w:lineRule="auto"/>
        <w:rPr>
          <w:szCs w:val="24"/>
          <w:lang w:val="lt-LT"/>
        </w:rPr>
      </w:pPr>
    </w:p>
    <w:p w14:paraId="14B5E0C7" w14:textId="77777777" w:rsidR="007D59EF" w:rsidRPr="001C7577" w:rsidRDefault="007D59EF" w:rsidP="007D59EF">
      <w:pPr>
        <w:tabs>
          <w:tab w:val="clear" w:pos="567"/>
        </w:tabs>
        <w:spacing w:line="240" w:lineRule="auto"/>
        <w:rPr>
          <w:lang w:val="lt-LT"/>
        </w:rPr>
      </w:pPr>
      <w:r w:rsidRPr="001C7577">
        <w:rPr>
          <w:szCs w:val="24"/>
          <w:lang w:val="lt-LT"/>
        </w:rPr>
        <w:t>Šaltu būdu suformuotos lizdinės plokštelės</w:t>
      </w:r>
      <w:r w:rsidRPr="001C7577">
        <w:rPr>
          <w:lang w:val="lt-LT"/>
        </w:rPr>
        <w:t xml:space="preserve"> su sausikliu ir folijos laminato nugarėle (oPA-Al-PE-sausiklis/Al-PE), sudėtos į dėžutę, kurioje yra 60 plėvele dengtų tablečių.</w:t>
      </w:r>
    </w:p>
    <w:p w14:paraId="207CDFB4" w14:textId="77777777" w:rsidR="007D59EF" w:rsidRPr="001C7577" w:rsidRDefault="007D59EF" w:rsidP="007D59EF">
      <w:pPr>
        <w:tabs>
          <w:tab w:val="left" w:pos="0"/>
          <w:tab w:val="left" w:pos="8876"/>
        </w:tabs>
        <w:spacing w:line="240" w:lineRule="auto"/>
        <w:rPr>
          <w:lang w:val="lt-LT"/>
        </w:rPr>
      </w:pPr>
    </w:p>
    <w:p w14:paraId="719EB2B6" w14:textId="77777777" w:rsidR="007D59EF" w:rsidRPr="001C7577" w:rsidRDefault="007D59EF" w:rsidP="007D59EF">
      <w:pPr>
        <w:tabs>
          <w:tab w:val="left" w:pos="225"/>
          <w:tab w:val="left" w:pos="8876"/>
        </w:tabs>
        <w:spacing w:line="240" w:lineRule="auto"/>
        <w:rPr>
          <w:i/>
          <w:highlight w:val="lightGray"/>
          <w:lang w:val="lt-LT"/>
        </w:rPr>
      </w:pPr>
      <w:r w:rsidRPr="001C7577">
        <w:rPr>
          <w:i/>
          <w:highlight w:val="lightGray"/>
          <w:lang w:val="lt-LT"/>
        </w:rPr>
        <w:t>Lopinavir/ Ritonavir Ranbaxy 200 mg/ 50 mg</w:t>
      </w:r>
    </w:p>
    <w:p w14:paraId="703AE467" w14:textId="77777777" w:rsidR="007D59EF" w:rsidRPr="001C7577" w:rsidRDefault="007D59EF" w:rsidP="007D59EF">
      <w:pPr>
        <w:tabs>
          <w:tab w:val="left" w:pos="0"/>
          <w:tab w:val="left" w:pos="8876"/>
        </w:tabs>
        <w:spacing w:line="240" w:lineRule="auto"/>
        <w:rPr>
          <w:highlight w:val="lightGray"/>
          <w:lang w:val="lt-LT"/>
        </w:rPr>
      </w:pPr>
    </w:p>
    <w:p w14:paraId="1E594007" w14:textId="77777777" w:rsidR="007D59EF" w:rsidRPr="001C7577" w:rsidRDefault="007D59EF" w:rsidP="007D59EF">
      <w:pPr>
        <w:tabs>
          <w:tab w:val="left" w:pos="0"/>
          <w:tab w:val="left" w:pos="8876"/>
        </w:tabs>
        <w:spacing w:line="240" w:lineRule="auto"/>
        <w:rPr>
          <w:highlight w:val="lightGray"/>
          <w:lang w:val="lt-LT"/>
        </w:rPr>
      </w:pPr>
      <w:r w:rsidRPr="001C7577">
        <w:rPr>
          <w:highlight w:val="lightGray"/>
          <w:lang w:val="lt-LT"/>
        </w:rPr>
        <w:t xml:space="preserve">Balti, nepermatomi, didelio tankio polietileno (DTPE) buteliukai, uždaryti propileno (PP) dangteliais. Kiekviename buteliuke yra 120 tablečių. </w:t>
      </w:r>
    </w:p>
    <w:p w14:paraId="60FA02B7" w14:textId="77777777" w:rsidR="007D59EF" w:rsidRPr="001C7577" w:rsidRDefault="007D59EF" w:rsidP="007D59EF">
      <w:pPr>
        <w:tabs>
          <w:tab w:val="left" w:pos="0"/>
          <w:tab w:val="left" w:pos="8876"/>
        </w:tabs>
        <w:spacing w:line="240" w:lineRule="auto"/>
        <w:rPr>
          <w:highlight w:val="lightGray"/>
          <w:lang w:val="lt-LT"/>
        </w:rPr>
      </w:pPr>
      <w:r w:rsidRPr="001C7577">
        <w:rPr>
          <w:highlight w:val="lightGray"/>
          <w:lang w:val="lt-LT"/>
        </w:rPr>
        <w:t>Galimos dviejų dydžių pakuotės:</w:t>
      </w:r>
    </w:p>
    <w:p w14:paraId="72470CD4" w14:textId="77777777" w:rsidR="007D59EF" w:rsidRPr="001C7577" w:rsidRDefault="007D59EF" w:rsidP="007D59EF">
      <w:pPr>
        <w:tabs>
          <w:tab w:val="left" w:pos="0"/>
          <w:tab w:val="left" w:pos="8876"/>
        </w:tabs>
        <w:spacing w:line="240" w:lineRule="auto"/>
        <w:rPr>
          <w:highlight w:val="lightGray"/>
          <w:lang w:val="lt-LT"/>
        </w:rPr>
      </w:pPr>
      <w:r w:rsidRPr="001C7577">
        <w:rPr>
          <w:highlight w:val="lightGray"/>
          <w:lang w:val="lt-LT"/>
        </w:rPr>
        <w:t>-</w:t>
      </w:r>
      <w:r w:rsidRPr="001C7577">
        <w:rPr>
          <w:highlight w:val="lightGray"/>
          <w:lang w:val="lt-LT"/>
        </w:rPr>
        <w:tab/>
        <w:t>1 buteliukas po 120 tablečių;</w:t>
      </w:r>
    </w:p>
    <w:p w14:paraId="2AC425DD" w14:textId="77777777" w:rsidR="007D59EF" w:rsidRPr="001C7577" w:rsidRDefault="007D59EF" w:rsidP="007D59EF">
      <w:pPr>
        <w:tabs>
          <w:tab w:val="left" w:pos="0"/>
          <w:tab w:val="left" w:pos="8876"/>
        </w:tabs>
        <w:spacing w:line="240" w:lineRule="auto"/>
        <w:rPr>
          <w:highlight w:val="lightGray"/>
          <w:lang w:val="lt-LT"/>
        </w:rPr>
      </w:pPr>
      <w:r w:rsidRPr="001C7577">
        <w:rPr>
          <w:highlight w:val="lightGray"/>
          <w:lang w:val="lt-LT"/>
        </w:rPr>
        <w:t>-</w:t>
      </w:r>
      <w:r w:rsidRPr="001C7577">
        <w:rPr>
          <w:highlight w:val="lightGray"/>
          <w:lang w:val="lt-LT"/>
        </w:rPr>
        <w:tab/>
        <w:t>3 buteliukai po 120 tablečių (360 tablečių).</w:t>
      </w:r>
    </w:p>
    <w:p w14:paraId="41ED6B13" w14:textId="77777777" w:rsidR="007D59EF" w:rsidRPr="001C7577" w:rsidRDefault="007D59EF" w:rsidP="007D59EF">
      <w:pPr>
        <w:tabs>
          <w:tab w:val="left" w:pos="0"/>
          <w:tab w:val="left" w:pos="8876"/>
        </w:tabs>
        <w:spacing w:line="240" w:lineRule="auto"/>
        <w:rPr>
          <w:highlight w:val="lightGray"/>
          <w:lang w:val="lt-LT"/>
        </w:rPr>
      </w:pPr>
    </w:p>
    <w:p w14:paraId="4C317EEF" w14:textId="77777777" w:rsidR="007D59EF" w:rsidRPr="001C7577" w:rsidRDefault="007D59EF" w:rsidP="007D59EF">
      <w:pPr>
        <w:tabs>
          <w:tab w:val="left" w:pos="0"/>
          <w:tab w:val="left" w:pos="8876"/>
        </w:tabs>
        <w:spacing w:line="240" w:lineRule="auto"/>
        <w:rPr>
          <w:highlight w:val="lightGray"/>
          <w:lang w:val="lt-LT"/>
        </w:rPr>
      </w:pPr>
      <w:r w:rsidRPr="001C7577">
        <w:rPr>
          <w:highlight w:val="lightGray"/>
          <w:lang w:val="lt-LT"/>
        </w:rPr>
        <w:t>Šaltu būdu suformuotos lizdinės plokštelės su sausikliu ir folijos laminato nugarėle (oPA-Al-PE-sausiklis/Al-PE).</w:t>
      </w:r>
    </w:p>
    <w:p w14:paraId="21DF7829" w14:textId="77777777" w:rsidR="007D59EF" w:rsidRPr="001C7577" w:rsidRDefault="007D59EF" w:rsidP="007D59EF">
      <w:pPr>
        <w:tabs>
          <w:tab w:val="left" w:pos="0"/>
          <w:tab w:val="left" w:pos="8876"/>
        </w:tabs>
        <w:spacing w:line="240" w:lineRule="auto"/>
        <w:rPr>
          <w:highlight w:val="lightGray"/>
          <w:lang w:val="lt-LT"/>
        </w:rPr>
      </w:pPr>
      <w:r w:rsidRPr="001C7577">
        <w:rPr>
          <w:highlight w:val="lightGray"/>
          <w:lang w:val="lt-LT"/>
        </w:rPr>
        <w:t>Galimos dviejų dydžių pakuotės:</w:t>
      </w:r>
    </w:p>
    <w:p w14:paraId="15116E80" w14:textId="77777777" w:rsidR="007D59EF" w:rsidRPr="001C7577" w:rsidRDefault="007D59EF" w:rsidP="007D59EF">
      <w:pPr>
        <w:tabs>
          <w:tab w:val="left" w:pos="0"/>
          <w:tab w:val="left" w:pos="8876"/>
        </w:tabs>
        <w:spacing w:line="240" w:lineRule="auto"/>
        <w:rPr>
          <w:highlight w:val="lightGray"/>
          <w:lang w:val="lt-LT"/>
        </w:rPr>
      </w:pPr>
      <w:r w:rsidRPr="001C7577">
        <w:rPr>
          <w:highlight w:val="lightGray"/>
          <w:lang w:val="lt-LT"/>
        </w:rPr>
        <w:t>-</w:t>
      </w:r>
      <w:r w:rsidRPr="001C7577">
        <w:rPr>
          <w:highlight w:val="lightGray"/>
          <w:lang w:val="lt-LT"/>
        </w:rPr>
        <w:tab/>
        <w:t>120 plėvele dengtų tablečių;</w:t>
      </w:r>
    </w:p>
    <w:p w14:paraId="58C8E16A" w14:textId="77777777" w:rsidR="007D59EF" w:rsidRPr="001C7577" w:rsidRDefault="007D59EF" w:rsidP="007D59EF">
      <w:pPr>
        <w:tabs>
          <w:tab w:val="left" w:pos="0"/>
          <w:tab w:val="left" w:pos="8876"/>
        </w:tabs>
        <w:spacing w:line="240" w:lineRule="auto"/>
        <w:rPr>
          <w:lang w:val="lt-LT"/>
        </w:rPr>
      </w:pPr>
      <w:r w:rsidRPr="001C7577">
        <w:rPr>
          <w:highlight w:val="lightGray"/>
          <w:lang w:val="lt-LT"/>
        </w:rPr>
        <w:t>-</w:t>
      </w:r>
      <w:r w:rsidRPr="001C7577">
        <w:rPr>
          <w:highlight w:val="lightGray"/>
          <w:lang w:val="lt-LT"/>
        </w:rPr>
        <w:tab/>
        <w:t>40 plėvele dengtų tablečių. Kiekvienoje pakuotėje yra po 3 dėžutes (120 tablečių).</w:t>
      </w:r>
    </w:p>
    <w:p w14:paraId="2D7C9333" w14:textId="77777777" w:rsidR="007D59EF" w:rsidRPr="001C7577" w:rsidRDefault="007D59EF" w:rsidP="007D59EF">
      <w:pPr>
        <w:tabs>
          <w:tab w:val="left" w:pos="0"/>
          <w:tab w:val="left" w:pos="8876"/>
        </w:tabs>
        <w:spacing w:line="240" w:lineRule="auto"/>
        <w:rPr>
          <w:lang w:val="lt-LT"/>
        </w:rPr>
      </w:pPr>
    </w:p>
    <w:p w14:paraId="1F27D064" w14:textId="77777777" w:rsidR="007D59EF" w:rsidRPr="001C7577" w:rsidRDefault="007D59EF" w:rsidP="007D59EF">
      <w:pPr>
        <w:tabs>
          <w:tab w:val="clear" w:pos="567"/>
        </w:tabs>
        <w:spacing w:line="240" w:lineRule="auto"/>
        <w:rPr>
          <w:szCs w:val="24"/>
          <w:lang w:val="lt-LT"/>
        </w:rPr>
      </w:pPr>
      <w:r w:rsidRPr="001C7577">
        <w:rPr>
          <w:szCs w:val="24"/>
          <w:lang w:val="lt-LT"/>
        </w:rPr>
        <w:t>Gali būti tiekiamos ne visų dydžių pakuotės.</w:t>
      </w:r>
    </w:p>
    <w:p w14:paraId="55723D08" w14:textId="77777777" w:rsidR="007D59EF" w:rsidRPr="00705EEC" w:rsidRDefault="007D59EF" w:rsidP="007D59EF">
      <w:pPr>
        <w:tabs>
          <w:tab w:val="clear" w:pos="567"/>
        </w:tabs>
        <w:spacing w:line="240" w:lineRule="auto"/>
        <w:rPr>
          <w:szCs w:val="24"/>
          <w:lang w:val="lt-LT"/>
        </w:rPr>
      </w:pPr>
    </w:p>
    <w:p w14:paraId="1A9C384C" w14:textId="77777777" w:rsidR="007D59EF" w:rsidRPr="00705EEC" w:rsidRDefault="007D59EF" w:rsidP="007D59EF">
      <w:pPr>
        <w:pStyle w:val="Antrat4"/>
        <w:rPr>
          <w:rFonts w:ascii="Times New Roman" w:hAnsi="Times New Roman"/>
          <w:sz w:val="22"/>
          <w:lang w:val="lt-LT"/>
        </w:rPr>
      </w:pPr>
      <w:bookmarkStart w:id="1" w:name="OLE_LINK1"/>
      <w:r w:rsidRPr="00705EEC">
        <w:rPr>
          <w:rFonts w:ascii="Times New Roman" w:hAnsi="Times New Roman"/>
          <w:sz w:val="22"/>
          <w:lang w:val="lt-LT"/>
        </w:rPr>
        <w:t>6.6</w:t>
      </w:r>
      <w:r w:rsidRPr="00705EEC">
        <w:rPr>
          <w:rFonts w:ascii="Times New Roman" w:hAnsi="Times New Roman"/>
          <w:sz w:val="22"/>
          <w:lang w:val="lt-LT"/>
        </w:rPr>
        <w:tab/>
        <w:t xml:space="preserve">Specialūs reikalavimai atliekoms tvarkyti </w:t>
      </w:r>
    </w:p>
    <w:bookmarkEnd w:id="1"/>
    <w:p w14:paraId="76286DA9" w14:textId="77777777" w:rsidR="007D59EF" w:rsidRPr="00705EEC" w:rsidRDefault="007D59EF" w:rsidP="007D59EF">
      <w:pPr>
        <w:tabs>
          <w:tab w:val="clear" w:pos="567"/>
        </w:tabs>
        <w:spacing w:line="240" w:lineRule="auto"/>
        <w:rPr>
          <w:szCs w:val="24"/>
          <w:lang w:val="lt-LT"/>
        </w:rPr>
      </w:pPr>
    </w:p>
    <w:p w14:paraId="0803D320" w14:textId="77777777" w:rsidR="007D59EF" w:rsidRPr="00705EEC" w:rsidRDefault="007D59EF" w:rsidP="007D59EF">
      <w:pPr>
        <w:tabs>
          <w:tab w:val="clear" w:pos="567"/>
        </w:tabs>
        <w:spacing w:line="240" w:lineRule="auto"/>
        <w:rPr>
          <w:szCs w:val="24"/>
          <w:lang w:val="lt-LT"/>
        </w:rPr>
      </w:pPr>
      <w:r w:rsidRPr="001C7577">
        <w:rPr>
          <w:szCs w:val="24"/>
          <w:lang w:val="lt-LT"/>
        </w:rPr>
        <w:t xml:space="preserve">Specialių reikalavimų nėra. </w:t>
      </w:r>
    </w:p>
    <w:p w14:paraId="15C7274D" w14:textId="77777777" w:rsidR="007D59EF" w:rsidRPr="00705EEC" w:rsidRDefault="007D59EF" w:rsidP="007D59EF">
      <w:pPr>
        <w:tabs>
          <w:tab w:val="clear" w:pos="567"/>
        </w:tabs>
        <w:spacing w:line="240" w:lineRule="auto"/>
        <w:rPr>
          <w:szCs w:val="24"/>
          <w:lang w:val="lt-LT"/>
        </w:rPr>
      </w:pPr>
    </w:p>
    <w:p w14:paraId="143B830D" w14:textId="77777777" w:rsidR="007D59EF" w:rsidRPr="00705EEC" w:rsidRDefault="007D59EF" w:rsidP="007D59EF">
      <w:pPr>
        <w:tabs>
          <w:tab w:val="clear" w:pos="567"/>
        </w:tabs>
        <w:spacing w:line="240" w:lineRule="auto"/>
        <w:rPr>
          <w:szCs w:val="24"/>
          <w:lang w:val="lt-LT"/>
        </w:rPr>
      </w:pPr>
    </w:p>
    <w:p w14:paraId="4A1F478A" w14:textId="0A56F9AF"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7.</w:t>
      </w:r>
      <w:r w:rsidRPr="00705EEC">
        <w:rPr>
          <w:rFonts w:ascii="Times New Roman" w:hAnsi="Times New Roman"/>
          <w:sz w:val="22"/>
          <w:lang w:val="lt-LT"/>
        </w:rPr>
        <w:tab/>
      </w:r>
      <w:r w:rsidR="003C1B10" w:rsidRPr="003C1B10">
        <w:rPr>
          <w:rFonts w:ascii="Times New Roman" w:hAnsi="Times New Roman"/>
          <w:sz w:val="22"/>
          <w:lang w:val="lt-LT"/>
        </w:rPr>
        <w:t>REGISTRUOTOJAS</w:t>
      </w:r>
      <w:r w:rsidR="003C1B10">
        <w:rPr>
          <w:rFonts w:ascii="Times New Roman" w:hAnsi="Times New Roman"/>
          <w:sz w:val="22"/>
          <w:lang w:val="lt-LT"/>
        </w:rPr>
        <w:t xml:space="preserve"> </w:t>
      </w:r>
    </w:p>
    <w:p w14:paraId="2D084D5B" w14:textId="77777777" w:rsidR="007D59EF" w:rsidRPr="00705EEC" w:rsidRDefault="007D59EF" w:rsidP="007D59EF">
      <w:pPr>
        <w:tabs>
          <w:tab w:val="clear" w:pos="567"/>
        </w:tabs>
        <w:spacing w:line="240" w:lineRule="auto"/>
        <w:rPr>
          <w:szCs w:val="24"/>
          <w:lang w:val="lt-LT"/>
        </w:rPr>
      </w:pPr>
    </w:p>
    <w:p w14:paraId="328C55D4" w14:textId="77777777" w:rsidR="007D59EF" w:rsidRPr="001C7577" w:rsidRDefault="007D59EF" w:rsidP="007D59EF">
      <w:pPr>
        <w:tabs>
          <w:tab w:val="left" w:pos="0"/>
          <w:tab w:val="left" w:pos="8876"/>
        </w:tabs>
        <w:spacing w:line="240" w:lineRule="auto"/>
        <w:rPr>
          <w:lang w:val="lt-LT"/>
        </w:rPr>
      </w:pPr>
      <w:r w:rsidRPr="001C7577">
        <w:rPr>
          <w:lang w:val="lt-LT"/>
        </w:rPr>
        <w:t>Ranbaxy (UK) Limited</w:t>
      </w:r>
    </w:p>
    <w:p w14:paraId="4CC58194" w14:textId="77777777" w:rsidR="007D59EF" w:rsidRPr="001C7577" w:rsidRDefault="007D59EF" w:rsidP="007D59EF">
      <w:pPr>
        <w:tabs>
          <w:tab w:val="left" w:pos="0"/>
          <w:tab w:val="left" w:pos="8876"/>
        </w:tabs>
        <w:spacing w:line="240" w:lineRule="auto"/>
        <w:rPr>
          <w:lang w:val="lt-LT"/>
        </w:rPr>
      </w:pPr>
      <w:r w:rsidRPr="001C7577">
        <w:rPr>
          <w:lang w:val="lt-LT"/>
        </w:rPr>
        <w:t>Building 4, Chiswick Park</w:t>
      </w:r>
    </w:p>
    <w:p w14:paraId="5008E341" w14:textId="77777777" w:rsidR="007D59EF" w:rsidRPr="001C7577" w:rsidRDefault="007D59EF" w:rsidP="007D59EF">
      <w:pPr>
        <w:tabs>
          <w:tab w:val="left" w:pos="0"/>
          <w:tab w:val="left" w:pos="8876"/>
        </w:tabs>
        <w:spacing w:line="240" w:lineRule="auto"/>
        <w:rPr>
          <w:lang w:val="lt-LT"/>
        </w:rPr>
      </w:pPr>
      <w:r w:rsidRPr="001C7577">
        <w:rPr>
          <w:lang w:val="lt-LT"/>
        </w:rPr>
        <w:t>566 Chiswick High Road</w:t>
      </w:r>
    </w:p>
    <w:p w14:paraId="00032250" w14:textId="77777777" w:rsidR="007D59EF" w:rsidRPr="001C7577" w:rsidRDefault="007D59EF" w:rsidP="007D59EF">
      <w:pPr>
        <w:tabs>
          <w:tab w:val="left" w:pos="0"/>
          <w:tab w:val="left" w:pos="8876"/>
        </w:tabs>
        <w:spacing w:line="240" w:lineRule="auto"/>
        <w:rPr>
          <w:lang w:val="lt-LT"/>
        </w:rPr>
      </w:pPr>
      <w:r w:rsidRPr="001C7577">
        <w:rPr>
          <w:lang w:val="lt-LT"/>
        </w:rPr>
        <w:t>London, W4 5YE</w:t>
      </w:r>
    </w:p>
    <w:p w14:paraId="1348078B" w14:textId="77777777" w:rsidR="007D59EF" w:rsidRPr="001C7577" w:rsidRDefault="007D59EF" w:rsidP="007D59EF">
      <w:pPr>
        <w:tabs>
          <w:tab w:val="left" w:pos="0"/>
          <w:tab w:val="left" w:pos="8876"/>
        </w:tabs>
        <w:spacing w:line="240" w:lineRule="auto"/>
        <w:rPr>
          <w:lang w:val="lt-LT"/>
        </w:rPr>
      </w:pPr>
      <w:r w:rsidRPr="001C7577">
        <w:rPr>
          <w:lang w:val="lt-LT"/>
        </w:rPr>
        <w:t>Jungtinė Karalystė</w:t>
      </w:r>
    </w:p>
    <w:p w14:paraId="4D5626FB" w14:textId="77777777" w:rsidR="007D59EF" w:rsidRPr="00705EEC" w:rsidRDefault="007D59EF" w:rsidP="007D59EF">
      <w:pPr>
        <w:tabs>
          <w:tab w:val="clear" w:pos="567"/>
        </w:tabs>
        <w:spacing w:line="240" w:lineRule="auto"/>
        <w:rPr>
          <w:szCs w:val="24"/>
          <w:lang w:val="lt-LT"/>
        </w:rPr>
      </w:pPr>
    </w:p>
    <w:p w14:paraId="7D223770" w14:textId="77777777" w:rsidR="007D59EF" w:rsidRPr="00705EEC" w:rsidRDefault="007D59EF" w:rsidP="007D59EF">
      <w:pPr>
        <w:tabs>
          <w:tab w:val="clear" w:pos="567"/>
        </w:tabs>
        <w:spacing w:line="240" w:lineRule="auto"/>
        <w:rPr>
          <w:szCs w:val="24"/>
          <w:lang w:val="lt-LT"/>
        </w:rPr>
      </w:pPr>
    </w:p>
    <w:p w14:paraId="24B5C850" w14:textId="45B56965"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8.</w:t>
      </w:r>
      <w:r w:rsidRPr="00705EEC">
        <w:rPr>
          <w:rFonts w:ascii="Times New Roman" w:hAnsi="Times New Roman"/>
          <w:sz w:val="22"/>
          <w:lang w:val="lt-LT"/>
        </w:rPr>
        <w:tab/>
      </w:r>
      <w:r w:rsidR="003C1B10" w:rsidRPr="003C1B10">
        <w:rPr>
          <w:rFonts w:ascii="Times New Roman" w:hAnsi="Times New Roman"/>
          <w:sz w:val="22"/>
          <w:lang w:val="lt-LT"/>
        </w:rPr>
        <w:t xml:space="preserve">REGISTRACIJOS </w:t>
      </w:r>
      <w:r w:rsidRPr="001C7577">
        <w:rPr>
          <w:rFonts w:ascii="Times New Roman" w:hAnsi="Times New Roman"/>
          <w:sz w:val="22"/>
          <w:szCs w:val="22"/>
          <w:lang w:val="lt-LT"/>
        </w:rPr>
        <w:t>PAŽYMĖJIMO</w:t>
      </w:r>
      <w:r w:rsidRPr="00705EEC">
        <w:rPr>
          <w:rFonts w:ascii="Times New Roman" w:hAnsi="Times New Roman"/>
          <w:sz w:val="22"/>
          <w:lang w:val="lt-LT"/>
        </w:rPr>
        <w:t xml:space="preserve"> NUMERIS (-IAI) </w:t>
      </w:r>
    </w:p>
    <w:p w14:paraId="6CD26BDE" w14:textId="77777777" w:rsidR="007D59EF" w:rsidRPr="00705EEC" w:rsidRDefault="007D59EF" w:rsidP="007D59EF">
      <w:pPr>
        <w:tabs>
          <w:tab w:val="clear" w:pos="567"/>
        </w:tabs>
        <w:spacing w:line="240" w:lineRule="auto"/>
        <w:rPr>
          <w:szCs w:val="24"/>
          <w:lang w:val="lt-LT"/>
        </w:rPr>
      </w:pPr>
    </w:p>
    <w:p w14:paraId="5F811670" w14:textId="77777777" w:rsidR="007D59EF" w:rsidRPr="001C7577" w:rsidRDefault="007D59EF" w:rsidP="007D59EF">
      <w:pPr>
        <w:spacing w:line="240" w:lineRule="auto"/>
        <w:rPr>
          <w:lang w:val="lt-LT"/>
        </w:rPr>
      </w:pPr>
      <w:r w:rsidRPr="001C7577">
        <w:rPr>
          <w:lang w:val="lt-LT"/>
        </w:rPr>
        <w:t xml:space="preserve">Lopinavir /Ritonavir Ranbaxy 100 mg/25 mg </w:t>
      </w:r>
    </w:p>
    <w:p w14:paraId="7646AB03" w14:textId="77777777" w:rsidR="007D59EF" w:rsidRPr="001C7577" w:rsidRDefault="007D59EF" w:rsidP="007D59EF">
      <w:pPr>
        <w:spacing w:line="240" w:lineRule="auto"/>
        <w:rPr>
          <w:u w:val="single"/>
          <w:lang w:val="lt-LT"/>
        </w:rPr>
      </w:pPr>
      <w:r w:rsidRPr="00705EEC">
        <w:rPr>
          <w:bCs/>
          <w:u w:val="single"/>
          <w:lang w:val="lt-LT"/>
        </w:rPr>
        <w:lastRenderedPageBreak/>
        <w:t>Lizdinė plokštelė:</w:t>
      </w:r>
    </w:p>
    <w:p w14:paraId="101B9A9D" w14:textId="77777777" w:rsidR="007D59EF" w:rsidRPr="00705EEC" w:rsidRDefault="007D59EF" w:rsidP="007D59EF">
      <w:pPr>
        <w:rPr>
          <w:bCs/>
          <w:lang w:val="lt-LT"/>
        </w:rPr>
      </w:pPr>
      <w:r w:rsidRPr="00705EEC">
        <w:rPr>
          <w:bCs/>
          <w:lang w:val="lt-LT"/>
        </w:rPr>
        <w:t>N60 - LT/1/14/3510/001</w:t>
      </w:r>
    </w:p>
    <w:p w14:paraId="0E072A91" w14:textId="77777777" w:rsidR="007D59EF" w:rsidRPr="00705EEC" w:rsidRDefault="007D59EF" w:rsidP="007D59EF">
      <w:pPr>
        <w:rPr>
          <w:bCs/>
          <w:u w:val="single"/>
          <w:lang w:val="lt-LT"/>
        </w:rPr>
      </w:pPr>
      <w:r w:rsidRPr="00705EEC">
        <w:rPr>
          <w:bCs/>
          <w:u w:val="single"/>
          <w:lang w:val="lt-LT"/>
        </w:rPr>
        <w:t>Buteliukas:</w:t>
      </w:r>
    </w:p>
    <w:p w14:paraId="43F8B2A0" w14:textId="77777777" w:rsidR="007D59EF" w:rsidRPr="001C7577" w:rsidRDefault="007D59EF" w:rsidP="007D59EF">
      <w:pPr>
        <w:spacing w:line="240" w:lineRule="auto"/>
        <w:rPr>
          <w:lang w:val="lt-LT"/>
        </w:rPr>
      </w:pPr>
      <w:r w:rsidRPr="00705EEC">
        <w:rPr>
          <w:bCs/>
          <w:lang w:val="lt-LT"/>
        </w:rPr>
        <w:t>N60 - LT/1/14/3510/002</w:t>
      </w:r>
    </w:p>
    <w:p w14:paraId="36E97593" w14:textId="77777777" w:rsidR="007D59EF" w:rsidRPr="00705EEC" w:rsidRDefault="007D59EF" w:rsidP="007D59EF">
      <w:pPr>
        <w:tabs>
          <w:tab w:val="clear" w:pos="567"/>
        </w:tabs>
        <w:spacing w:line="240" w:lineRule="auto"/>
        <w:rPr>
          <w:szCs w:val="24"/>
          <w:lang w:val="lt-LT"/>
        </w:rPr>
      </w:pPr>
    </w:p>
    <w:p w14:paraId="35504CE3" w14:textId="77777777" w:rsidR="007D59EF" w:rsidRPr="001C7577" w:rsidRDefault="007D59EF" w:rsidP="007D59EF">
      <w:pPr>
        <w:spacing w:line="240" w:lineRule="auto"/>
        <w:rPr>
          <w:lang w:val="lt-LT"/>
        </w:rPr>
      </w:pPr>
      <w:r w:rsidRPr="001C7577">
        <w:rPr>
          <w:lang w:val="lt-LT"/>
        </w:rPr>
        <w:t xml:space="preserve">Lopinavir /Ritonavir Ranbaxy 200 mg/50 mg </w:t>
      </w:r>
    </w:p>
    <w:p w14:paraId="64A27B0D" w14:textId="77777777" w:rsidR="007D59EF" w:rsidRPr="001C7577" w:rsidRDefault="007D59EF" w:rsidP="007D59EF">
      <w:pPr>
        <w:spacing w:line="240" w:lineRule="auto"/>
        <w:rPr>
          <w:u w:val="single"/>
          <w:lang w:val="lt-LT"/>
        </w:rPr>
      </w:pPr>
      <w:r w:rsidRPr="00705EEC">
        <w:rPr>
          <w:bCs/>
          <w:u w:val="single"/>
          <w:lang w:val="lt-LT"/>
        </w:rPr>
        <w:t>Lizdinė plokštelė:</w:t>
      </w:r>
    </w:p>
    <w:p w14:paraId="485792B7" w14:textId="77777777" w:rsidR="007D59EF" w:rsidRPr="00705EEC" w:rsidRDefault="007D59EF" w:rsidP="007D59EF">
      <w:pPr>
        <w:rPr>
          <w:bCs/>
          <w:lang w:val="lt-LT"/>
        </w:rPr>
      </w:pPr>
      <w:r w:rsidRPr="00705EEC">
        <w:rPr>
          <w:bCs/>
          <w:lang w:val="lt-LT"/>
        </w:rPr>
        <w:t>N120 - LT/1/14/3510/003</w:t>
      </w:r>
    </w:p>
    <w:p w14:paraId="62A44D05" w14:textId="77777777" w:rsidR="007D59EF" w:rsidRPr="00705EEC" w:rsidRDefault="007D59EF" w:rsidP="007D59EF">
      <w:pPr>
        <w:rPr>
          <w:bCs/>
          <w:lang w:val="lt-LT"/>
        </w:rPr>
      </w:pPr>
      <w:r w:rsidRPr="00705EEC">
        <w:rPr>
          <w:bCs/>
          <w:lang w:val="lt-LT"/>
        </w:rPr>
        <w:t>N3x40 - LT/1/14/3510/004 (sudėtinė pakuotė)</w:t>
      </w:r>
    </w:p>
    <w:p w14:paraId="542BB126" w14:textId="77777777" w:rsidR="007D59EF" w:rsidRPr="00705EEC" w:rsidRDefault="007D59EF" w:rsidP="007D59EF">
      <w:pPr>
        <w:rPr>
          <w:bCs/>
          <w:u w:val="single"/>
          <w:lang w:val="lt-LT"/>
        </w:rPr>
      </w:pPr>
      <w:r w:rsidRPr="00705EEC">
        <w:rPr>
          <w:bCs/>
          <w:u w:val="single"/>
          <w:lang w:val="lt-LT"/>
        </w:rPr>
        <w:t>Buteliukas:</w:t>
      </w:r>
    </w:p>
    <w:p w14:paraId="2B37F412" w14:textId="77777777" w:rsidR="007D59EF" w:rsidRPr="001C7577" w:rsidRDefault="007D59EF" w:rsidP="007D59EF">
      <w:pPr>
        <w:spacing w:line="240" w:lineRule="auto"/>
        <w:rPr>
          <w:lang w:val="lt-LT"/>
        </w:rPr>
      </w:pPr>
      <w:r w:rsidRPr="00705EEC">
        <w:rPr>
          <w:bCs/>
          <w:lang w:val="lt-LT"/>
        </w:rPr>
        <w:t>N120 - LT/1/14/3510/005</w:t>
      </w:r>
    </w:p>
    <w:p w14:paraId="1C9B1448" w14:textId="77777777" w:rsidR="007D59EF" w:rsidRPr="00705EEC" w:rsidRDefault="007D59EF" w:rsidP="007D59EF">
      <w:pPr>
        <w:rPr>
          <w:bCs/>
          <w:lang w:val="lt-LT"/>
        </w:rPr>
      </w:pPr>
      <w:r w:rsidRPr="00705EEC">
        <w:rPr>
          <w:bCs/>
          <w:lang w:val="lt-LT"/>
        </w:rPr>
        <w:t>N3x120 - LT/1/14/3510/006 (sudėtinė pakuotė)</w:t>
      </w:r>
    </w:p>
    <w:p w14:paraId="0465DB69" w14:textId="77777777" w:rsidR="007D59EF" w:rsidRPr="00705EEC" w:rsidRDefault="007D59EF" w:rsidP="007D59EF">
      <w:pPr>
        <w:tabs>
          <w:tab w:val="clear" w:pos="567"/>
        </w:tabs>
        <w:spacing w:line="240" w:lineRule="auto"/>
        <w:rPr>
          <w:szCs w:val="24"/>
          <w:lang w:val="lt-LT"/>
        </w:rPr>
      </w:pPr>
    </w:p>
    <w:p w14:paraId="529F0909" w14:textId="77777777" w:rsidR="007D59EF" w:rsidRPr="00705EEC" w:rsidRDefault="007D59EF" w:rsidP="007D59EF">
      <w:pPr>
        <w:tabs>
          <w:tab w:val="clear" w:pos="567"/>
        </w:tabs>
        <w:spacing w:line="240" w:lineRule="auto"/>
        <w:rPr>
          <w:szCs w:val="24"/>
          <w:lang w:val="lt-LT"/>
        </w:rPr>
      </w:pPr>
    </w:p>
    <w:p w14:paraId="3A2A7975" w14:textId="1A49AB5E"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9.</w:t>
      </w:r>
      <w:r w:rsidRPr="00705EEC">
        <w:rPr>
          <w:rFonts w:ascii="Times New Roman" w:hAnsi="Times New Roman"/>
          <w:sz w:val="22"/>
          <w:lang w:val="lt-LT"/>
        </w:rPr>
        <w:tab/>
      </w:r>
      <w:r w:rsidR="003C1B10" w:rsidRPr="003C1B10">
        <w:rPr>
          <w:rFonts w:ascii="Times New Roman" w:hAnsi="Times New Roman"/>
          <w:sz w:val="22"/>
          <w:lang w:val="lt-LT"/>
        </w:rPr>
        <w:t>REGISTRAVIMO / PERREGISTRAVIMO</w:t>
      </w:r>
      <w:r w:rsidRPr="00705EEC">
        <w:rPr>
          <w:rFonts w:ascii="Times New Roman" w:hAnsi="Times New Roman"/>
          <w:sz w:val="22"/>
          <w:lang w:val="lt-LT"/>
        </w:rPr>
        <w:t xml:space="preserve"> DATA</w:t>
      </w:r>
    </w:p>
    <w:p w14:paraId="0A825985" w14:textId="77777777" w:rsidR="007D59EF" w:rsidRPr="00705EEC" w:rsidRDefault="007D59EF" w:rsidP="007D59EF">
      <w:pPr>
        <w:tabs>
          <w:tab w:val="clear" w:pos="567"/>
        </w:tabs>
        <w:spacing w:line="240" w:lineRule="auto"/>
        <w:rPr>
          <w:szCs w:val="24"/>
          <w:lang w:val="lt-LT"/>
        </w:rPr>
      </w:pPr>
    </w:p>
    <w:p w14:paraId="45B0F8E4" w14:textId="62936DEF" w:rsidR="007D59EF" w:rsidRPr="00705EEC" w:rsidRDefault="003C1B10" w:rsidP="007D59EF">
      <w:pPr>
        <w:tabs>
          <w:tab w:val="clear" w:pos="567"/>
          <w:tab w:val="left" w:pos="1296"/>
        </w:tabs>
        <w:spacing w:line="240" w:lineRule="auto"/>
        <w:rPr>
          <w:szCs w:val="22"/>
          <w:lang w:val="lt-LT"/>
        </w:rPr>
      </w:pPr>
      <w:r w:rsidRPr="003C1B10">
        <w:rPr>
          <w:szCs w:val="24"/>
          <w:lang w:val="lt-LT" w:eastAsia="lt-LT"/>
        </w:rPr>
        <w:t>Registravimo data</w:t>
      </w:r>
      <w:r w:rsidR="007D59EF" w:rsidRPr="001C7577">
        <w:rPr>
          <w:szCs w:val="24"/>
          <w:lang w:val="lt-LT" w:eastAsia="lt-LT"/>
        </w:rPr>
        <w:t xml:space="preserve"> 2014 m. vasario 11 d.</w:t>
      </w:r>
    </w:p>
    <w:p w14:paraId="314917CC" w14:textId="77777777" w:rsidR="007D59EF" w:rsidRPr="00705EEC" w:rsidRDefault="007D59EF" w:rsidP="007D59EF">
      <w:pPr>
        <w:tabs>
          <w:tab w:val="clear" w:pos="567"/>
        </w:tabs>
        <w:spacing w:line="240" w:lineRule="auto"/>
        <w:rPr>
          <w:szCs w:val="24"/>
          <w:lang w:val="lt-LT"/>
        </w:rPr>
      </w:pPr>
    </w:p>
    <w:p w14:paraId="5C22C633" w14:textId="77777777" w:rsidR="007D59EF" w:rsidRPr="00705EEC" w:rsidRDefault="007D59EF" w:rsidP="007D59EF">
      <w:pPr>
        <w:tabs>
          <w:tab w:val="clear" w:pos="567"/>
        </w:tabs>
        <w:spacing w:line="240" w:lineRule="auto"/>
        <w:rPr>
          <w:szCs w:val="24"/>
          <w:lang w:val="lt-LT"/>
        </w:rPr>
      </w:pPr>
    </w:p>
    <w:p w14:paraId="3D1A6B3E"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10.</w:t>
      </w:r>
      <w:r w:rsidRPr="00705EEC">
        <w:rPr>
          <w:rFonts w:ascii="Times New Roman" w:hAnsi="Times New Roman"/>
          <w:sz w:val="22"/>
          <w:lang w:val="lt-LT"/>
        </w:rPr>
        <w:tab/>
        <w:t>TEKSTO PERŽIŪROS DATA</w:t>
      </w:r>
    </w:p>
    <w:p w14:paraId="399105C3" w14:textId="77777777" w:rsidR="007D59EF" w:rsidRPr="00705EEC" w:rsidRDefault="007D59EF" w:rsidP="007D59EF">
      <w:pPr>
        <w:tabs>
          <w:tab w:val="clear" w:pos="567"/>
        </w:tabs>
        <w:spacing w:line="240" w:lineRule="auto"/>
        <w:rPr>
          <w:szCs w:val="24"/>
          <w:lang w:val="lt-LT"/>
        </w:rPr>
      </w:pPr>
    </w:p>
    <w:p w14:paraId="0B96D452" w14:textId="586B630A" w:rsidR="007D59EF" w:rsidRPr="00705EEC" w:rsidRDefault="000974DC" w:rsidP="007D59EF">
      <w:pPr>
        <w:tabs>
          <w:tab w:val="clear" w:pos="567"/>
        </w:tabs>
        <w:spacing w:line="240" w:lineRule="auto"/>
        <w:rPr>
          <w:szCs w:val="24"/>
          <w:lang w:val="lt-LT"/>
        </w:rPr>
      </w:pPr>
      <w:r w:rsidRPr="000974DC">
        <w:rPr>
          <w:szCs w:val="24"/>
          <w:lang w:val="lt-LT"/>
        </w:rPr>
        <w:t>2017 m. vasario mėn. 24 d.</w:t>
      </w:r>
    </w:p>
    <w:p w14:paraId="345C1665" w14:textId="77777777" w:rsidR="007D59EF" w:rsidRPr="00705EEC" w:rsidRDefault="007D59EF" w:rsidP="007D59EF">
      <w:pPr>
        <w:tabs>
          <w:tab w:val="clear" w:pos="567"/>
        </w:tabs>
        <w:spacing w:line="240" w:lineRule="auto"/>
        <w:rPr>
          <w:szCs w:val="24"/>
          <w:lang w:val="lt-LT"/>
        </w:rPr>
      </w:pPr>
    </w:p>
    <w:p w14:paraId="4BD3FAE8" w14:textId="77777777" w:rsidR="007D59EF" w:rsidRPr="00705EEC" w:rsidRDefault="007D59EF" w:rsidP="007D59EF">
      <w:pPr>
        <w:pStyle w:val="Paprastasistekstas"/>
        <w:tabs>
          <w:tab w:val="left" w:pos="5954"/>
          <w:tab w:val="left" w:pos="6237"/>
          <w:tab w:val="left" w:pos="6663"/>
          <w:tab w:val="left" w:pos="6946"/>
        </w:tabs>
        <w:rPr>
          <w:rFonts w:ascii="Times New Roman" w:hAnsi="Times New Roman"/>
          <w:sz w:val="22"/>
          <w:szCs w:val="22"/>
          <w:lang w:val="lt-LT"/>
        </w:rPr>
      </w:pPr>
      <w:r w:rsidRPr="001C757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1C7577">
        <w:rPr>
          <w:rFonts w:ascii="Times New Roman" w:hAnsi="Times New Roman"/>
          <w:i/>
          <w:sz w:val="22"/>
          <w:szCs w:val="22"/>
          <w:lang w:val="lt-LT"/>
        </w:rPr>
        <w:t xml:space="preserve"> </w:t>
      </w:r>
      <w:hyperlink r:id="rId9" w:history="1">
        <w:r w:rsidRPr="001C7577">
          <w:rPr>
            <w:rStyle w:val="Hipersaitas"/>
            <w:rFonts w:ascii="Times New Roman" w:hAnsi="Times New Roman"/>
            <w:sz w:val="22"/>
            <w:szCs w:val="22"/>
            <w:lang w:val="lt-LT"/>
          </w:rPr>
          <w:t>http://www.vvkt.lt</w:t>
        </w:r>
      </w:hyperlink>
    </w:p>
    <w:p w14:paraId="1E4D646F" w14:textId="77777777" w:rsidR="007D59EF" w:rsidRPr="00705EEC" w:rsidRDefault="007D59EF" w:rsidP="007D59EF">
      <w:pPr>
        <w:pStyle w:val="Paprastasistekstas"/>
        <w:tabs>
          <w:tab w:val="left" w:pos="5954"/>
          <w:tab w:val="left" w:pos="6237"/>
          <w:tab w:val="left" w:pos="6663"/>
          <w:tab w:val="left" w:pos="6946"/>
        </w:tabs>
        <w:jc w:val="center"/>
        <w:rPr>
          <w:rFonts w:ascii="Times New Roman" w:hAnsi="Times New Roman"/>
          <w:lang w:val="lt-LT"/>
        </w:rPr>
      </w:pPr>
    </w:p>
    <w:p w14:paraId="1A12BB1C" w14:textId="77777777" w:rsidR="007D59EF" w:rsidRPr="00705EEC" w:rsidRDefault="007D59EF" w:rsidP="007D59EF">
      <w:pPr>
        <w:pStyle w:val="Paprastasistekstas"/>
        <w:tabs>
          <w:tab w:val="left" w:pos="5954"/>
          <w:tab w:val="left" w:pos="6237"/>
          <w:tab w:val="left" w:pos="6663"/>
          <w:tab w:val="left" w:pos="6946"/>
        </w:tabs>
        <w:jc w:val="center"/>
        <w:rPr>
          <w:rFonts w:ascii="Times New Roman" w:hAnsi="Times New Roman"/>
          <w:lang w:val="lt-LT"/>
        </w:rPr>
      </w:pPr>
    </w:p>
    <w:p w14:paraId="5BA0F145" w14:textId="77777777" w:rsidR="007D59EF" w:rsidRPr="00705EEC" w:rsidRDefault="007D59EF" w:rsidP="007D59EF">
      <w:pPr>
        <w:jc w:val="center"/>
        <w:rPr>
          <w:b/>
          <w:lang w:val="lt-LT"/>
        </w:rPr>
      </w:pPr>
      <w:r w:rsidRPr="00705EEC">
        <w:rPr>
          <w:b/>
          <w:lang w:val="lt-LT"/>
        </w:rPr>
        <w:br w:type="page"/>
      </w:r>
    </w:p>
    <w:p w14:paraId="4854C493" w14:textId="77777777" w:rsidR="007D59EF" w:rsidRPr="00705EEC" w:rsidRDefault="007D59EF" w:rsidP="007D59EF">
      <w:pPr>
        <w:jc w:val="center"/>
        <w:rPr>
          <w:b/>
          <w:lang w:val="lt-LT"/>
        </w:rPr>
      </w:pPr>
    </w:p>
    <w:p w14:paraId="77061371" w14:textId="77777777" w:rsidR="007D59EF" w:rsidRPr="00705EEC" w:rsidRDefault="007D59EF" w:rsidP="007D59EF">
      <w:pPr>
        <w:jc w:val="center"/>
        <w:rPr>
          <w:b/>
          <w:lang w:val="lt-LT"/>
        </w:rPr>
      </w:pPr>
    </w:p>
    <w:p w14:paraId="3F24C04D" w14:textId="77777777" w:rsidR="007D59EF" w:rsidRPr="00705EEC" w:rsidRDefault="007D59EF" w:rsidP="007D59EF">
      <w:pPr>
        <w:jc w:val="center"/>
        <w:rPr>
          <w:b/>
          <w:lang w:val="lt-LT"/>
        </w:rPr>
      </w:pPr>
    </w:p>
    <w:p w14:paraId="7FF2132D" w14:textId="77777777" w:rsidR="007D59EF" w:rsidRPr="00705EEC" w:rsidRDefault="007D59EF" w:rsidP="007D59EF">
      <w:pPr>
        <w:jc w:val="center"/>
        <w:rPr>
          <w:b/>
          <w:lang w:val="lt-LT"/>
        </w:rPr>
      </w:pPr>
    </w:p>
    <w:p w14:paraId="04D690F3" w14:textId="77777777" w:rsidR="007D59EF" w:rsidRPr="00705EEC" w:rsidRDefault="007D59EF" w:rsidP="007D59EF">
      <w:pPr>
        <w:jc w:val="center"/>
        <w:rPr>
          <w:b/>
          <w:lang w:val="lt-LT"/>
        </w:rPr>
      </w:pPr>
    </w:p>
    <w:p w14:paraId="36836776" w14:textId="77777777" w:rsidR="007D59EF" w:rsidRPr="00705EEC" w:rsidRDefault="007D59EF" w:rsidP="007D59EF">
      <w:pPr>
        <w:jc w:val="center"/>
        <w:rPr>
          <w:b/>
          <w:lang w:val="lt-LT"/>
        </w:rPr>
      </w:pPr>
    </w:p>
    <w:p w14:paraId="6A24E1A5" w14:textId="77777777" w:rsidR="007D59EF" w:rsidRPr="00705EEC" w:rsidRDefault="007D59EF" w:rsidP="007D59EF">
      <w:pPr>
        <w:jc w:val="center"/>
        <w:rPr>
          <w:b/>
          <w:lang w:val="lt-LT"/>
        </w:rPr>
      </w:pPr>
    </w:p>
    <w:p w14:paraId="23F17798" w14:textId="77777777" w:rsidR="007D59EF" w:rsidRPr="00705EEC" w:rsidRDefault="007D59EF" w:rsidP="007D59EF">
      <w:pPr>
        <w:jc w:val="center"/>
        <w:rPr>
          <w:b/>
          <w:lang w:val="lt-LT"/>
        </w:rPr>
      </w:pPr>
    </w:p>
    <w:p w14:paraId="0185D757" w14:textId="77777777" w:rsidR="007D59EF" w:rsidRPr="00705EEC" w:rsidRDefault="007D59EF" w:rsidP="007D59EF">
      <w:pPr>
        <w:jc w:val="center"/>
        <w:rPr>
          <w:b/>
          <w:lang w:val="lt-LT"/>
        </w:rPr>
      </w:pPr>
    </w:p>
    <w:p w14:paraId="06A2E546" w14:textId="77777777" w:rsidR="007D59EF" w:rsidRPr="00705EEC" w:rsidRDefault="007D59EF" w:rsidP="007D59EF">
      <w:pPr>
        <w:jc w:val="center"/>
        <w:rPr>
          <w:b/>
          <w:lang w:val="lt-LT"/>
        </w:rPr>
      </w:pPr>
    </w:p>
    <w:p w14:paraId="3242588B" w14:textId="77777777" w:rsidR="007D59EF" w:rsidRPr="00705EEC" w:rsidRDefault="007D59EF" w:rsidP="007D59EF">
      <w:pPr>
        <w:jc w:val="center"/>
        <w:rPr>
          <w:b/>
          <w:lang w:val="lt-LT"/>
        </w:rPr>
      </w:pPr>
    </w:p>
    <w:p w14:paraId="364B8E9F" w14:textId="77777777" w:rsidR="007D59EF" w:rsidRPr="00705EEC" w:rsidRDefault="007D59EF" w:rsidP="007D59EF">
      <w:pPr>
        <w:jc w:val="center"/>
        <w:rPr>
          <w:b/>
          <w:lang w:val="lt-LT"/>
        </w:rPr>
      </w:pPr>
    </w:p>
    <w:p w14:paraId="0BAB3BD9" w14:textId="77777777" w:rsidR="007D59EF" w:rsidRPr="00705EEC" w:rsidRDefault="007D59EF" w:rsidP="007D59EF">
      <w:pPr>
        <w:jc w:val="center"/>
        <w:rPr>
          <w:b/>
          <w:lang w:val="lt-LT"/>
        </w:rPr>
      </w:pPr>
    </w:p>
    <w:p w14:paraId="4323BA0A" w14:textId="77777777" w:rsidR="007D59EF" w:rsidRPr="00705EEC" w:rsidRDefault="007D59EF" w:rsidP="007D59EF">
      <w:pPr>
        <w:jc w:val="center"/>
        <w:rPr>
          <w:b/>
          <w:lang w:val="lt-LT"/>
        </w:rPr>
      </w:pPr>
    </w:p>
    <w:p w14:paraId="4CA4F30A" w14:textId="77777777" w:rsidR="007D59EF" w:rsidRPr="00705EEC" w:rsidRDefault="007D59EF" w:rsidP="007D59EF">
      <w:pPr>
        <w:jc w:val="center"/>
        <w:rPr>
          <w:b/>
          <w:lang w:val="lt-LT"/>
        </w:rPr>
      </w:pPr>
    </w:p>
    <w:p w14:paraId="6F0CA590" w14:textId="77777777" w:rsidR="007D59EF" w:rsidRPr="00705EEC" w:rsidRDefault="007D59EF" w:rsidP="007D59EF">
      <w:pPr>
        <w:jc w:val="center"/>
        <w:rPr>
          <w:b/>
          <w:lang w:val="lt-LT"/>
        </w:rPr>
      </w:pPr>
    </w:p>
    <w:p w14:paraId="53388AD5" w14:textId="77777777" w:rsidR="007D59EF" w:rsidRPr="00705EEC" w:rsidRDefault="007D59EF" w:rsidP="007D59EF">
      <w:pPr>
        <w:jc w:val="center"/>
        <w:rPr>
          <w:b/>
          <w:lang w:val="lt-LT"/>
        </w:rPr>
      </w:pPr>
    </w:p>
    <w:p w14:paraId="3B330172" w14:textId="77777777" w:rsidR="007D59EF" w:rsidRPr="00705EEC" w:rsidRDefault="007D59EF" w:rsidP="007D59EF">
      <w:pPr>
        <w:jc w:val="center"/>
        <w:rPr>
          <w:b/>
          <w:lang w:val="lt-LT"/>
        </w:rPr>
      </w:pPr>
    </w:p>
    <w:p w14:paraId="2ECB33C1" w14:textId="77777777" w:rsidR="007D59EF" w:rsidRPr="00705EEC" w:rsidRDefault="007D59EF" w:rsidP="007D59EF">
      <w:pPr>
        <w:jc w:val="center"/>
        <w:rPr>
          <w:b/>
          <w:lang w:val="lt-LT"/>
        </w:rPr>
      </w:pPr>
    </w:p>
    <w:p w14:paraId="448D3593" w14:textId="77777777" w:rsidR="007D59EF" w:rsidRPr="00705EEC" w:rsidRDefault="007D59EF" w:rsidP="007D59EF">
      <w:pPr>
        <w:jc w:val="center"/>
        <w:rPr>
          <w:b/>
          <w:lang w:val="lt-LT"/>
        </w:rPr>
      </w:pPr>
    </w:p>
    <w:p w14:paraId="784D26A9" w14:textId="77777777" w:rsidR="007D59EF" w:rsidRPr="00705EEC" w:rsidRDefault="007D59EF" w:rsidP="007D59EF">
      <w:pPr>
        <w:jc w:val="center"/>
        <w:rPr>
          <w:b/>
          <w:lang w:val="lt-LT"/>
        </w:rPr>
      </w:pPr>
    </w:p>
    <w:p w14:paraId="42D10E91" w14:textId="77777777" w:rsidR="007D59EF" w:rsidRPr="00705EEC" w:rsidRDefault="007D59EF" w:rsidP="007D59EF">
      <w:pPr>
        <w:jc w:val="center"/>
        <w:rPr>
          <w:b/>
          <w:lang w:val="lt-LT"/>
        </w:rPr>
      </w:pPr>
    </w:p>
    <w:p w14:paraId="69289D2D" w14:textId="77777777" w:rsidR="007D59EF" w:rsidRPr="00705EEC" w:rsidRDefault="007D59EF" w:rsidP="007D59EF">
      <w:pPr>
        <w:jc w:val="center"/>
        <w:rPr>
          <w:b/>
          <w:lang w:val="lt-LT"/>
        </w:rPr>
      </w:pPr>
      <w:r w:rsidRPr="00705EEC">
        <w:rPr>
          <w:b/>
          <w:lang w:val="lt-LT"/>
        </w:rPr>
        <w:t>II PRIEDAS</w:t>
      </w:r>
    </w:p>
    <w:p w14:paraId="5622B2A5" w14:textId="77777777" w:rsidR="007D59EF" w:rsidRPr="00705EEC" w:rsidRDefault="007D59EF" w:rsidP="007D59EF">
      <w:pPr>
        <w:ind w:left="1701" w:right="1416" w:hanging="567"/>
        <w:rPr>
          <w:lang w:val="lt-LT"/>
        </w:rPr>
      </w:pPr>
    </w:p>
    <w:p w14:paraId="0C2C41FB" w14:textId="4CED5EC9" w:rsidR="007D59EF" w:rsidRPr="00705EEC" w:rsidRDefault="003C1B10" w:rsidP="007D59EF">
      <w:pPr>
        <w:jc w:val="center"/>
        <w:rPr>
          <w:i/>
          <w:lang w:val="lt-LT"/>
        </w:rPr>
      </w:pPr>
      <w:r w:rsidRPr="003C1B10">
        <w:rPr>
          <w:b/>
          <w:lang w:val="lt-LT"/>
        </w:rPr>
        <w:t xml:space="preserve">REGISTRACIJOS </w:t>
      </w:r>
      <w:r w:rsidR="007D59EF" w:rsidRPr="00705EEC">
        <w:rPr>
          <w:b/>
          <w:lang w:val="lt-LT"/>
        </w:rPr>
        <w:t>SĄLYGOS</w:t>
      </w:r>
    </w:p>
    <w:p w14:paraId="18EBEC17" w14:textId="77777777" w:rsidR="007D59EF" w:rsidRPr="00705EEC" w:rsidRDefault="007D59EF" w:rsidP="007D59EF">
      <w:pPr>
        <w:rPr>
          <w:lang w:val="lt-LT"/>
        </w:rPr>
      </w:pPr>
    </w:p>
    <w:p w14:paraId="2DCCE0C9" w14:textId="77777777" w:rsidR="007D59EF" w:rsidRPr="001C7577" w:rsidRDefault="007D59EF" w:rsidP="007D59EF">
      <w:pPr>
        <w:tabs>
          <w:tab w:val="clear" w:pos="567"/>
          <w:tab w:val="left" w:pos="1701"/>
        </w:tabs>
        <w:ind w:left="1701" w:right="567" w:hanging="567"/>
        <w:rPr>
          <w:b/>
          <w:szCs w:val="24"/>
          <w:lang w:val="lt-LT"/>
        </w:rPr>
      </w:pPr>
      <w:r w:rsidRPr="001C7577">
        <w:rPr>
          <w:b/>
          <w:szCs w:val="24"/>
          <w:lang w:val="lt-LT"/>
        </w:rPr>
        <w:t>A.</w:t>
      </w:r>
      <w:r w:rsidRPr="001C7577">
        <w:rPr>
          <w:b/>
          <w:szCs w:val="24"/>
          <w:lang w:val="lt-LT"/>
        </w:rPr>
        <w:tab/>
        <w:t>GAMINTOJAS (-AI), ATSAKINGAS (-I) UŽ SERIJŲ IŠLEIDIMĄ</w:t>
      </w:r>
    </w:p>
    <w:p w14:paraId="27D83BDD" w14:textId="77777777" w:rsidR="007D59EF" w:rsidRPr="001C7577" w:rsidRDefault="007D59EF" w:rsidP="007D59EF">
      <w:pPr>
        <w:tabs>
          <w:tab w:val="clear" w:pos="567"/>
          <w:tab w:val="left" w:pos="1701"/>
        </w:tabs>
        <w:ind w:left="567" w:right="567" w:hanging="567"/>
        <w:rPr>
          <w:szCs w:val="24"/>
          <w:lang w:val="lt-LT"/>
        </w:rPr>
      </w:pPr>
    </w:p>
    <w:p w14:paraId="2D7D53A5" w14:textId="77777777" w:rsidR="007D59EF" w:rsidRPr="00705EEC" w:rsidRDefault="007D59EF" w:rsidP="007D59EF">
      <w:pPr>
        <w:tabs>
          <w:tab w:val="clear" w:pos="567"/>
          <w:tab w:val="left" w:pos="1701"/>
        </w:tabs>
        <w:ind w:left="1701" w:right="567" w:hanging="567"/>
        <w:rPr>
          <w:b/>
          <w:lang w:val="lt-LT"/>
        </w:rPr>
      </w:pPr>
      <w:r w:rsidRPr="00705EEC">
        <w:rPr>
          <w:b/>
          <w:lang w:val="lt-LT"/>
        </w:rPr>
        <w:t>B.</w:t>
      </w:r>
      <w:r w:rsidRPr="00705EEC">
        <w:rPr>
          <w:b/>
          <w:lang w:val="lt-LT"/>
        </w:rPr>
        <w:tab/>
        <w:t>TIEKIMO IR VARTOJIMO SĄLYGOS AR APRIBOJIMAI</w:t>
      </w:r>
    </w:p>
    <w:p w14:paraId="3BFEA9EC" w14:textId="77777777" w:rsidR="007D59EF" w:rsidRPr="00705EEC" w:rsidRDefault="007D59EF" w:rsidP="007D59EF">
      <w:pPr>
        <w:tabs>
          <w:tab w:val="clear" w:pos="567"/>
          <w:tab w:val="left" w:pos="1701"/>
        </w:tabs>
        <w:ind w:left="567" w:right="567" w:hanging="567"/>
        <w:rPr>
          <w:lang w:val="lt-LT"/>
        </w:rPr>
      </w:pPr>
    </w:p>
    <w:p w14:paraId="33C9996D" w14:textId="77777777" w:rsidR="007D59EF" w:rsidRPr="00705EEC" w:rsidRDefault="007D59EF" w:rsidP="007D59EF">
      <w:pPr>
        <w:tabs>
          <w:tab w:val="clear" w:pos="567"/>
          <w:tab w:val="left" w:pos="1701"/>
        </w:tabs>
        <w:ind w:left="1701" w:right="567" w:hanging="567"/>
        <w:rPr>
          <w:b/>
          <w:lang w:val="lt-LT"/>
        </w:rPr>
      </w:pPr>
    </w:p>
    <w:p w14:paraId="580FCA81" w14:textId="77777777" w:rsidR="007D59EF" w:rsidRPr="00705EEC" w:rsidRDefault="007D59EF" w:rsidP="007D59EF">
      <w:pPr>
        <w:ind w:left="1701" w:right="1558" w:hanging="850"/>
        <w:rPr>
          <w:b/>
          <w:lang w:val="lt-LT"/>
        </w:rPr>
      </w:pPr>
    </w:p>
    <w:p w14:paraId="70D8A3E2" w14:textId="77777777" w:rsidR="007D59EF" w:rsidRPr="00705EEC" w:rsidRDefault="007D59EF" w:rsidP="007D59EF">
      <w:pPr>
        <w:ind w:left="567" w:hanging="567"/>
        <w:rPr>
          <w:lang w:val="lt-LT"/>
        </w:rPr>
      </w:pPr>
    </w:p>
    <w:p w14:paraId="4213F9F5" w14:textId="77777777" w:rsidR="007D59EF" w:rsidRPr="00705EEC" w:rsidRDefault="007D59EF" w:rsidP="007D59EF">
      <w:pPr>
        <w:ind w:right="-1"/>
        <w:rPr>
          <w:lang w:val="lt-LT"/>
        </w:rPr>
      </w:pPr>
    </w:p>
    <w:p w14:paraId="1368F237" w14:textId="77777777" w:rsidR="007D59EF" w:rsidRPr="00705EEC" w:rsidRDefault="007D59EF" w:rsidP="007D59EF">
      <w:pPr>
        <w:ind w:left="567" w:hanging="567"/>
        <w:rPr>
          <w:b/>
          <w:szCs w:val="24"/>
          <w:lang w:val="lt-LT"/>
        </w:rPr>
      </w:pPr>
      <w:r w:rsidRPr="00705EEC">
        <w:rPr>
          <w:lang w:val="lt-LT"/>
        </w:rPr>
        <w:br w:type="page"/>
      </w:r>
      <w:r w:rsidRPr="00705EEC">
        <w:rPr>
          <w:b/>
          <w:lang w:val="lt-LT"/>
        </w:rPr>
        <w:lastRenderedPageBreak/>
        <w:t>A.</w:t>
      </w:r>
      <w:r w:rsidRPr="00705EEC">
        <w:rPr>
          <w:b/>
          <w:szCs w:val="24"/>
          <w:lang w:val="lt-LT"/>
        </w:rPr>
        <w:tab/>
      </w:r>
      <w:r w:rsidRPr="00705EEC">
        <w:rPr>
          <w:b/>
          <w:lang w:val="lt-LT"/>
        </w:rPr>
        <w:t>GAMINTOJAS (-AI), ATSAKINGAS (-I) UŽ SERIJŲ IŠLEIDIMĄ</w:t>
      </w:r>
    </w:p>
    <w:p w14:paraId="3C20E306" w14:textId="77777777" w:rsidR="007D59EF" w:rsidRPr="00705EEC" w:rsidRDefault="007D59EF" w:rsidP="007D59EF">
      <w:pPr>
        <w:rPr>
          <w:szCs w:val="24"/>
          <w:lang w:val="lt-LT"/>
        </w:rPr>
      </w:pPr>
    </w:p>
    <w:p w14:paraId="54B23C1D" w14:textId="77777777" w:rsidR="007D59EF" w:rsidRPr="00705EEC" w:rsidRDefault="007D59EF" w:rsidP="007D59EF">
      <w:pPr>
        <w:spacing w:line="240" w:lineRule="auto"/>
        <w:jc w:val="both"/>
        <w:rPr>
          <w:szCs w:val="24"/>
          <w:lang w:val="lt-LT"/>
        </w:rPr>
      </w:pPr>
      <w:r w:rsidRPr="001C7577">
        <w:rPr>
          <w:szCs w:val="24"/>
          <w:u w:val="single"/>
          <w:lang w:val="lt-LT"/>
        </w:rPr>
        <w:t>Gamintojo (-ų), atsakingo (-ų) už serijų išleidimą, pavadinimas (-ai) ir adresas (-ai)</w:t>
      </w:r>
    </w:p>
    <w:p w14:paraId="54B903B1" w14:textId="77777777" w:rsidR="007D59EF" w:rsidRPr="00705EEC" w:rsidRDefault="007D59EF" w:rsidP="007D59EF">
      <w:pPr>
        <w:rPr>
          <w:szCs w:val="24"/>
          <w:lang w:val="lt-LT"/>
        </w:rPr>
      </w:pPr>
    </w:p>
    <w:p w14:paraId="58CF915D" w14:textId="77777777" w:rsidR="007D59EF" w:rsidRPr="00705EEC" w:rsidRDefault="007D59EF" w:rsidP="007D59EF">
      <w:pPr>
        <w:rPr>
          <w:szCs w:val="24"/>
          <w:lang w:val="lt-LT"/>
        </w:rPr>
      </w:pPr>
      <w:r w:rsidRPr="00705EEC">
        <w:rPr>
          <w:szCs w:val="24"/>
          <w:lang w:val="lt-LT"/>
        </w:rPr>
        <w:t>Ranbaxy Ireland Limited</w:t>
      </w:r>
    </w:p>
    <w:p w14:paraId="2E08847D" w14:textId="77777777" w:rsidR="007D59EF" w:rsidRPr="00705EEC" w:rsidRDefault="007D59EF" w:rsidP="007D59EF">
      <w:pPr>
        <w:rPr>
          <w:szCs w:val="24"/>
          <w:lang w:val="lt-LT"/>
        </w:rPr>
      </w:pPr>
      <w:r w:rsidRPr="00705EEC">
        <w:rPr>
          <w:szCs w:val="24"/>
          <w:lang w:val="lt-LT"/>
        </w:rPr>
        <w:t>Spafield, Cork Road</w:t>
      </w:r>
    </w:p>
    <w:p w14:paraId="17CF71E0" w14:textId="77777777" w:rsidR="007D59EF" w:rsidRPr="00705EEC" w:rsidRDefault="007D59EF" w:rsidP="007D59EF">
      <w:pPr>
        <w:rPr>
          <w:szCs w:val="24"/>
          <w:lang w:val="lt-LT"/>
        </w:rPr>
      </w:pPr>
      <w:r w:rsidRPr="00705EEC">
        <w:rPr>
          <w:szCs w:val="24"/>
          <w:lang w:val="lt-LT"/>
        </w:rPr>
        <w:t>Cashel, Co-Tipperary</w:t>
      </w:r>
    </w:p>
    <w:p w14:paraId="0C505646" w14:textId="77777777" w:rsidR="007D59EF" w:rsidRPr="00705EEC" w:rsidRDefault="007D59EF" w:rsidP="007D59EF">
      <w:pPr>
        <w:rPr>
          <w:szCs w:val="24"/>
          <w:lang w:val="lt-LT"/>
        </w:rPr>
      </w:pPr>
      <w:r w:rsidRPr="00705EEC">
        <w:rPr>
          <w:szCs w:val="24"/>
          <w:lang w:val="lt-LT"/>
        </w:rPr>
        <w:t>Airija</w:t>
      </w:r>
    </w:p>
    <w:p w14:paraId="010A823E" w14:textId="77777777" w:rsidR="007D59EF" w:rsidRPr="00705EEC" w:rsidRDefault="007D59EF" w:rsidP="007D59EF">
      <w:pPr>
        <w:rPr>
          <w:szCs w:val="24"/>
          <w:lang w:val="lt-LT"/>
        </w:rPr>
      </w:pPr>
    </w:p>
    <w:p w14:paraId="0B332A97" w14:textId="77777777" w:rsidR="007D59EF" w:rsidRPr="00705EEC" w:rsidRDefault="007D59EF" w:rsidP="007D59EF">
      <w:pPr>
        <w:rPr>
          <w:szCs w:val="24"/>
          <w:lang w:val="lt-LT"/>
        </w:rPr>
      </w:pPr>
      <w:r w:rsidRPr="00705EEC">
        <w:rPr>
          <w:szCs w:val="24"/>
          <w:lang w:val="lt-LT"/>
        </w:rPr>
        <w:t>arba</w:t>
      </w:r>
    </w:p>
    <w:p w14:paraId="44F5A0D3" w14:textId="77777777" w:rsidR="007D59EF" w:rsidRPr="00705EEC" w:rsidRDefault="007D59EF" w:rsidP="007D59EF">
      <w:pPr>
        <w:rPr>
          <w:szCs w:val="24"/>
          <w:lang w:val="lt-LT"/>
        </w:rPr>
      </w:pPr>
    </w:p>
    <w:p w14:paraId="1E2785F3" w14:textId="77777777" w:rsidR="007D59EF" w:rsidRPr="00705EEC" w:rsidRDefault="007D59EF" w:rsidP="007D59EF">
      <w:pPr>
        <w:rPr>
          <w:szCs w:val="24"/>
          <w:lang w:val="lt-LT"/>
        </w:rPr>
      </w:pPr>
      <w:r w:rsidRPr="001C7577">
        <w:rPr>
          <w:lang w:val="lt-LT"/>
        </w:rPr>
        <w:t>S.C. Terapia</w:t>
      </w:r>
      <w:r w:rsidRPr="00705EEC">
        <w:rPr>
          <w:szCs w:val="24"/>
          <w:lang w:val="lt-LT"/>
        </w:rPr>
        <w:t xml:space="preserve"> S.A.</w:t>
      </w:r>
    </w:p>
    <w:p w14:paraId="6D4A7B7D" w14:textId="77777777" w:rsidR="007D59EF" w:rsidRPr="00705EEC" w:rsidRDefault="007D59EF" w:rsidP="007D59EF">
      <w:pPr>
        <w:rPr>
          <w:szCs w:val="24"/>
          <w:lang w:val="lt-LT"/>
        </w:rPr>
      </w:pPr>
      <w:r w:rsidRPr="00705EEC">
        <w:rPr>
          <w:szCs w:val="24"/>
          <w:lang w:val="lt-LT"/>
        </w:rPr>
        <w:t>124 Fabricii Street</w:t>
      </w:r>
    </w:p>
    <w:p w14:paraId="5D705DCC" w14:textId="77777777" w:rsidR="007D59EF" w:rsidRPr="00705EEC" w:rsidRDefault="007D59EF" w:rsidP="007D59EF">
      <w:pPr>
        <w:rPr>
          <w:szCs w:val="24"/>
          <w:lang w:val="lt-LT"/>
        </w:rPr>
      </w:pPr>
      <w:r w:rsidRPr="00705EEC">
        <w:rPr>
          <w:szCs w:val="24"/>
          <w:lang w:val="lt-LT"/>
        </w:rPr>
        <w:t>400 632 Cluj Napoca</w:t>
      </w:r>
    </w:p>
    <w:p w14:paraId="3ACB50D3" w14:textId="77777777" w:rsidR="007D59EF" w:rsidRPr="00705EEC" w:rsidRDefault="007D59EF" w:rsidP="007D59EF">
      <w:pPr>
        <w:rPr>
          <w:szCs w:val="24"/>
          <w:lang w:val="lt-LT"/>
        </w:rPr>
      </w:pPr>
      <w:r w:rsidRPr="00705EEC">
        <w:rPr>
          <w:szCs w:val="24"/>
          <w:lang w:val="lt-LT"/>
        </w:rPr>
        <w:t>Rumunija</w:t>
      </w:r>
    </w:p>
    <w:p w14:paraId="24E86FD8" w14:textId="77777777" w:rsidR="007D59EF" w:rsidRPr="00705EEC" w:rsidRDefault="007D59EF" w:rsidP="007D59EF">
      <w:pPr>
        <w:rPr>
          <w:szCs w:val="24"/>
          <w:lang w:val="lt-LT"/>
        </w:rPr>
      </w:pPr>
    </w:p>
    <w:p w14:paraId="041765FF" w14:textId="77777777" w:rsidR="007D59EF" w:rsidRPr="00705EEC" w:rsidRDefault="007D59EF" w:rsidP="007D59EF">
      <w:pPr>
        <w:rPr>
          <w:szCs w:val="24"/>
          <w:lang w:val="lt-LT"/>
        </w:rPr>
      </w:pPr>
      <w:r w:rsidRPr="00705EEC">
        <w:rPr>
          <w:szCs w:val="24"/>
          <w:lang w:val="lt-LT"/>
        </w:rPr>
        <w:t>arba</w:t>
      </w:r>
    </w:p>
    <w:p w14:paraId="10B0A7C7" w14:textId="77777777" w:rsidR="007D59EF" w:rsidRPr="00705EEC" w:rsidRDefault="007D59EF" w:rsidP="007D59EF">
      <w:pPr>
        <w:rPr>
          <w:szCs w:val="24"/>
          <w:lang w:val="lt-LT"/>
        </w:rPr>
      </w:pPr>
    </w:p>
    <w:p w14:paraId="64214359" w14:textId="77777777" w:rsidR="007D59EF" w:rsidRPr="00705EEC" w:rsidRDefault="007D59EF" w:rsidP="007D59EF">
      <w:pPr>
        <w:rPr>
          <w:szCs w:val="24"/>
          <w:lang w:val="lt-LT"/>
        </w:rPr>
      </w:pPr>
      <w:r w:rsidRPr="001C7577">
        <w:rPr>
          <w:lang w:val="lt-LT"/>
        </w:rPr>
        <w:t>Basics GmbH</w:t>
      </w:r>
    </w:p>
    <w:p w14:paraId="6B21A72A" w14:textId="77777777" w:rsidR="007D59EF" w:rsidRPr="00705EEC" w:rsidRDefault="007D59EF" w:rsidP="007D59EF">
      <w:pPr>
        <w:rPr>
          <w:szCs w:val="24"/>
          <w:lang w:val="lt-LT"/>
        </w:rPr>
      </w:pPr>
      <w:r w:rsidRPr="00705EEC">
        <w:rPr>
          <w:szCs w:val="24"/>
          <w:lang w:val="lt-LT"/>
        </w:rPr>
        <w:t>Hemmelrather Weg 201</w:t>
      </w:r>
    </w:p>
    <w:p w14:paraId="0516DD70" w14:textId="77777777" w:rsidR="007D59EF" w:rsidRPr="00705EEC" w:rsidRDefault="007D59EF" w:rsidP="007D59EF">
      <w:pPr>
        <w:rPr>
          <w:szCs w:val="24"/>
          <w:lang w:val="lt-LT"/>
        </w:rPr>
      </w:pPr>
      <w:r w:rsidRPr="00705EEC">
        <w:rPr>
          <w:szCs w:val="24"/>
          <w:lang w:val="lt-LT"/>
        </w:rPr>
        <w:t>D-51377 Leverkusen</w:t>
      </w:r>
    </w:p>
    <w:p w14:paraId="5939C9CF" w14:textId="77777777" w:rsidR="007D59EF" w:rsidRPr="00705EEC" w:rsidRDefault="007D59EF" w:rsidP="007D59EF">
      <w:pPr>
        <w:rPr>
          <w:szCs w:val="24"/>
          <w:lang w:val="lt-LT"/>
        </w:rPr>
      </w:pPr>
      <w:r w:rsidRPr="00705EEC">
        <w:rPr>
          <w:szCs w:val="24"/>
          <w:lang w:val="lt-LT"/>
        </w:rPr>
        <w:t>Vokietija</w:t>
      </w:r>
    </w:p>
    <w:p w14:paraId="18FFE5EA" w14:textId="77777777" w:rsidR="007D59EF" w:rsidRPr="00705EEC" w:rsidRDefault="007D59EF" w:rsidP="007D59EF">
      <w:pPr>
        <w:rPr>
          <w:szCs w:val="24"/>
          <w:lang w:val="lt-LT"/>
        </w:rPr>
      </w:pPr>
    </w:p>
    <w:p w14:paraId="2C240213" w14:textId="77777777" w:rsidR="007D59EF" w:rsidRPr="00705EEC" w:rsidRDefault="007D59EF" w:rsidP="007D59EF">
      <w:pPr>
        <w:rPr>
          <w:rFonts w:eastAsia="SimSun"/>
          <w:snapToGrid/>
          <w:szCs w:val="22"/>
          <w:lang w:val="lt-LT" w:eastAsia="zh-CN"/>
        </w:rPr>
      </w:pPr>
      <w:r w:rsidRPr="00705EEC">
        <w:rPr>
          <w:rFonts w:eastAsia="SimSun"/>
          <w:snapToGrid/>
          <w:szCs w:val="22"/>
          <w:lang w:val="lt-LT" w:eastAsia="zh-CN"/>
        </w:rPr>
        <w:t>Su pakuote pateikiamame lapelyje nurodomas gamintojo, atsakingo už konkrečios serijos išleidimą, pavadinimas ir adresas.</w:t>
      </w:r>
    </w:p>
    <w:p w14:paraId="7C7051FD" w14:textId="77777777" w:rsidR="007D59EF" w:rsidRPr="00705EEC" w:rsidRDefault="007D59EF" w:rsidP="007D59EF">
      <w:pPr>
        <w:rPr>
          <w:rFonts w:eastAsia="SimSun"/>
          <w:snapToGrid/>
          <w:szCs w:val="22"/>
          <w:lang w:val="lt-LT" w:eastAsia="zh-CN"/>
        </w:rPr>
      </w:pPr>
    </w:p>
    <w:p w14:paraId="7C0654DC" w14:textId="77777777" w:rsidR="007D59EF" w:rsidRPr="00705EEC" w:rsidRDefault="007D59EF" w:rsidP="007D59EF">
      <w:pPr>
        <w:rPr>
          <w:szCs w:val="24"/>
          <w:lang w:val="lt-LT"/>
        </w:rPr>
      </w:pPr>
    </w:p>
    <w:p w14:paraId="19F2892A" w14:textId="77777777" w:rsidR="007D59EF" w:rsidRPr="00705EEC" w:rsidRDefault="007D59EF" w:rsidP="007D59EF">
      <w:pPr>
        <w:spacing w:line="240" w:lineRule="auto"/>
        <w:ind w:left="567" w:hanging="567"/>
        <w:rPr>
          <w:szCs w:val="24"/>
          <w:lang w:val="lt-LT"/>
        </w:rPr>
      </w:pPr>
      <w:r w:rsidRPr="001C7577">
        <w:rPr>
          <w:b/>
          <w:szCs w:val="24"/>
          <w:lang w:val="lt-LT"/>
        </w:rPr>
        <w:t>B.</w:t>
      </w:r>
      <w:r w:rsidRPr="00705EEC">
        <w:rPr>
          <w:b/>
          <w:szCs w:val="24"/>
          <w:lang w:val="lt-LT"/>
        </w:rPr>
        <w:tab/>
        <w:t>TIEKIMO IR VARTOJIMO SĄLYGOS AR APRIBOJIMAI</w:t>
      </w:r>
    </w:p>
    <w:p w14:paraId="0884D2DF" w14:textId="77777777" w:rsidR="007D59EF" w:rsidRPr="00705EEC" w:rsidRDefault="007D59EF" w:rsidP="007D59EF">
      <w:pPr>
        <w:rPr>
          <w:szCs w:val="24"/>
          <w:lang w:val="lt-LT"/>
        </w:rPr>
      </w:pPr>
    </w:p>
    <w:p w14:paraId="6A9A7AD8" w14:textId="77777777" w:rsidR="007D59EF" w:rsidRPr="00705EEC" w:rsidRDefault="007D59EF" w:rsidP="007D59EF">
      <w:pPr>
        <w:rPr>
          <w:szCs w:val="24"/>
          <w:lang w:val="lt-LT"/>
        </w:rPr>
      </w:pPr>
      <w:r w:rsidRPr="00705EEC">
        <w:rPr>
          <w:lang w:val="lt-LT"/>
        </w:rPr>
        <w:t>Receptinis vaistinis preparatas.</w:t>
      </w:r>
    </w:p>
    <w:p w14:paraId="43679566" w14:textId="77777777" w:rsidR="007D59EF" w:rsidRPr="00705EEC" w:rsidRDefault="007D59EF" w:rsidP="007D59EF">
      <w:pPr>
        <w:rPr>
          <w:szCs w:val="24"/>
          <w:lang w:val="lt-LT"/>
        </w:rPr>
      </w:pPr>
    </w:p>
    <w:p w14:paraId="77DB373A" w14:textId="77777777" w:rsidR="007D59EF" w:rsidRPr="00705EEC" w:rsidRDefault="007D59EF" w:rsidP="007D59EF">
      <w:pPr>
        <w:pStyle w:val="Paprastasistekstas"/>
        <w:tabs>
          <w:tab w:val="left" w:pos="5954"/>
          <w:tab w:val="left" w:pos="6237"/>
          <w:tab w:val="left" w:pos="6663"/>
          <w:tab w:val="left" w:pos="6946"/>
        </w:tabs>
        <w:jc w:val="center"/>
        <w:rPr>
          <w:lang w:val="lt-LT"/>
        </w:rPr>
      </w:pPr>
      <w:r w:rsidRPr="00705EEC">
        <w:rPr>
          <w:rFonts w:ascii="Times New Roman" w:hAnsi="Times New Roman"/>
          <w:b/>
          <w:lang w:val="lt-LT"/>
        </w:rPr>
        <w:t xml:space="preserve">                                               </w:t>
      </w:r>
    </w:p>
    <w:p w14:paraId="2FE2AFB8" w14:textId="77777777" w:rsidR="007D59EF" w:rsidRPr="00705EEC" w:rsidRDefault="007D59EF" w:rsidP="007D59EF">
      <w:pPr>
        <w:rPr>
          <w:lang w:val="lt-LT"/>
        </w:rPr>
      </w:pPr>
    </w:p>
    <w:p w14:paraId="267C053B" w14:textId="77777777" w:rsidR="007D59EF" w:rsidRPr="00705EEC" w:rsidRDefault="007D59EF" w:rsidP="007D59EF">
      <w:pPr>
        <w:rPr>
          <w:lang w:val="lt-LT"/>
        </w:rPr>
      </w:pPr>
    </w:p>
    <w:p w14:paraId="7EE164AC" w14:textId="77777777" w:rsidR="007D59EF" w:rsidRPr="00705EEC" w:rsidRDefault="007D59EF" w:rsidP="007D59EF">
      <w:pPr>
        <w:rPr>
          <w:lang w:val="lt-LT"/>
        </w:rPr>
      </w:pPr>
    </w:p>
    <w:p w14:paraId="27E01C30" w14:textId="77777777" w:rsidR="007D59EF" w:rsidRPr="00705EEC" w:rsidRDefault="007D59EF" w:rsidP="007D59EF">
      <w:pPr>
        <w:rPr>
          <w:lang w:val="lt-LT"/>
        </w:rPr>
      </w:pPr>
    </w:p>
    <w:p w14:paraId="5BA62119" w14:textId="77777777" w:rsidR="007D59EF" w:rsidRPr="00705EEC" w:rsidRDefault="007D59EF" w:rsidP="007D59EF">
      <w:pPr>
        <w:rPr>
          <w:lang w:val="lt-LT"/>
        </w:rPr>
      </w:pPr>
    </w:p>
    <w:p w14:paraId="0F5096C0" w14:textId="77777777" w:rsidR="007D59EF" w:rsidRPr="00705EEC" w:rsidRDefault="007D59EF" w:rsidP="007D59EF">
      <w:pPr>
        <w:rPr>
          <w:lang w:val="lt-LT"/>
        </w:rPr>
      </w:pPr>
    </w:p>
    <w:p w14:paraId="21B3EEFC" w14:textId="77777777" w:rsidR="007D59EF" w:rsidRPr="00705EEC" w:rsidRDefault="007D59EF" w:rsidP="007D59EF">
      <w:pPr>
        <w:rPr>
          <w:lang w:val="lt-LT"/>
        </w:rPr>
      </w:pPr>
    </w:p>
    <w:p w14:paraId="0EE40BF9" w14:textId="77777777" w:rsidR="007D59EF" w:rsidRPr="00705EEC" w:rsidRDefault="007D59EF" w:rsidP="007D59EF">
      <w:pPr>
        <w:rPr>
          <w:lang w:val="lt-LT"/>
        </w:rPr>
      </w:pPr>
    </w:p>
    <w:p w14:paraId="5DABFB70" w14:textId="77777777" w:rsidR="007D59EF" w:rsidRPr="00705EEC" w:rsidRDefault="007D59EF" w:rsidP="007D59EF">
      <w:pPr>
        <w:rPr>
          <w:lang w:val="lt-LT"/>
        </w:rPr>
      </w:pPr>
    </w:p>
    <w:p w14:paraId="29D9E96E" w14:textId="77777777" w:rsidR="007D59EF" w:rsidRPr="00705EEC" w:rsidRDefault="007D59EF" w:rsidP="007D59EF">
      <w:pPr>
        <w:rPr>
          <w:lang w:val="lt-LT"/>
        </w:rPr>
      </w:pPr>
    </w:p>
    <w:p w14:paraId="27DCF076" w14:textId="77777777" w:rsidR="007D59EF" w:rsidRPr="00705EEC" w:rsidRDefault="007D59EF" w:rsidP="007D59EF">
      <w:pPr>
        <w:rPr>
          <w:lang w:val="lt-LT"/>
        </w:rPr>
      </w:pPr>
    </w:p>
    <w:p w14:paraId="6201ADFD" w14:textId="77777777" w:rsidR="007D59EF" w:rsidRPr="00705EEC" w:rsidRDefault="007D59EF" w:rsidP="007D59EF">
      <w:pPr>
        <w:rPr>
          <w:lang w:val="lt-LT"/>
        </w:rPr>
      </w:pPr>
    </w:p>
    <w:p w14:paraId="757CBBEB" w14:textId="77777777" w:rsidR="007D59EF" w:rsidRPr="00705EEC" w:rsidRDefault="007D59EF" w:rsidP="007D59EF">
      <w:pPr>
        <w:rPr>
          <w:lang w:val="lt-LT"/>
        </w:rPr>
      </w:pPr>
    </w:p>
    <w:p w14:paraId="4D420D9F" w14:textId="77777777" w:rsidR="007D59EF" w:rsidRPr="00705EEC" w:rsidRDefault="007D59EF" w:rsidP="007D59EF">
      <w:pPr>
        <w:rPr>
          <w:lang w:val="lt-LT"/>
        </w:rPr>
      </w:pPr>
    </w:p>
    <w:p w14:paraId="7A117223" w14:textId="77777777" w:rsidR="007D59EF" w:rsidRPr="00705EEC" w:rsidRDefault="007D59EF" w:rsidP="007D59EF">
      <w:pPr>
        <w:outlineLvl w:val="0"/>
        <w:rPr>
          <w:b/>
          <w:lang w:val="lt-LT"/>
        </w:rPr>
      </w:pPr>
    </w:p>
    <w:p w14:paraId="0A549FB4" w14:textId="77777777" w:rsidR="007D59EF" w:rsidRPr="00705EEC" w:rsidRDefault="007D59EF" w:rsidP="007D59EF">
      <w:pPr>
        <w:outlineLvl w:val="0"/>
        <w:rPr>
          <w:b/>
          <w:lang w:val="lt-LT"/>
        </w:rPr>
      </w:pPr>
    </w:p>
    <w:p w14:paraId="6B7F80F3" w14:textId="77777777" w:rsidR="007D59EF" w:rsidRPr="00705EEC" w:rsidRDefault="007D59EF" w:rsidP="007D59EF">
      <w:pPr>
        <w:outlineLvl w:val="0"/>
        <w:rPr>
          <w:b/>
          <w:lang w:val="lt-LT"/>
        </w:rPr>
      </w:pPr>
    </w:p>
    <w:p w14:paraId="1582CBD6" w14:textId="77777777" w:rsidR="007D59EF" w:rsidRPr="00705EEC" w:rsidRDefault="007D59EF" w:rsidP="007D59EF">
      <w:pPr>
        <w:outlineLvl w:val="0"/>
        <w:rPr>
          <w:b/>
          <w:lang w:val="lt-LT"/>
        </w:rPr>
      </w:pPr>
    </w:p>
    <w:p w14:paraId="55D29740" w14:textId="77777777" w:rsidR="007D59EF" w:rsidRPr="00705EEC" w:rsidRDefault="007D59EF" w:rsidP="007D59EF">
      <w:pPr>
        <w:outlineLvl w:val="0"/>
        <w:rPr>
          <w:b/>
          <w:lang w:val="lt-LT"/>
        </w:rPr>
      </w:pPr>
      <w:r w:rsidRPr="00705EEC">
        <w:rPr>
          <w:b/>
          <w:lang w:val="lt-LT"/>
        </w:rPr>
        <w:br w:type="page"/>
      </w:r>
    </w:p>
    <w:p w14:paraId="0B01492C" w14:textId="77777777" w:rsidR="007D59EF" w:rsidRPr="00705EEC" w:rsidRDefault="007D59EF" w:rsidP="007D59EF">
      <w:pPr>
        <w:outlineLvl w:val="0"/>
        <w:rPr>
          <w:b/>
          <w:lang w:val="lt-LT"/>
        </w:rPr>
      </w:pPr>
    </w:p>
    <w:p w14:paraId="4B60C512" w14:textId="77777777" w:rsidR="007D59EF" w:rsidRPr="00705EEC" w:rsidRDefault="007D59EF" w:rsidP="007D59EF">
      <w:pPr>
        <w:outlineLvl w:val="0"/>
        <w:rPr>
          <w:b/>
          <w:lang w:val="lt-LT"/>
        </w:rPr>
      </w:pPr>
    </w:p>
    <w:p w14:paraId="5A752432" w14:textId="77777777" w:rsidR="007D59EF" w:rsidRPr="00705EEC" w:rsidRDefault="007D59EF" w:rsidP="007D59EF">
      <w:pPr>
        <w:outlineLvl w:val="0"/>
        <w:rPr>
          <w:b/>
          <w:lang w:val="lt-LT"/>
        </w:rPr>
      </w:pPr>
    </w:p>
    <w:p w14:paraId="5AFA7824" w14:textId="77777777" w:rsidR="007D59EF" w:rsidRPr="00705EEC" w:rsidRDefault="007D59EF" w:rsidP="007D59EF">
      <w:pPr>
        <w:outlineLvl w:val="0"/>
        <w:rPr>
          <w:b/>
          <w:lang w:val="lt-LT"/>
        </w:rPr>
      </w:pPr>
    </w:p>
    <w:p w14:paraId="55DFDF15" w14:textId="77777777" w:rsidR="007D59EF" w:rsidRPr="00705EEC" w:rsidRDefault="007D59EF" w:rsidP="007D59EF">
      <w:pPr>
        <w:outlineLvl w:val="0"/>
        <w:rPr>
          <w:b/>
          <w:lang w:val="lt-LT"/>
        </w:rPr>
      </w:pPr>
    </w:p>
    <w:p w14:paraId="087E18F3" w14:textId="77777777" w:rsidR="007D59EF" w:rsidRPr="00705EEC" w:rsidRDefault="007D59EF" w:rsidP="007D59EF">
      <w:pPr>
        <w:outlineLvl w:val="0"/>
        <w:rPr>
          <w:b/>
          <w:lang w:val="lt-LT"/>
        </w:rPr>
      </w:pPr>
    </w:p>
    <w:p w14:paraId="688FE077" w14:textId="77777777" w:rsidR="007D59EF" w:rsidRPr="00705EEC" w:rsidRDefault="007D59EF" w:rsidP="007D59EF">
      <w:pPr>
        <w:outlineLvl w:val="0"/>
        <w:rPr>
          <w:b/>
          <w:lang w:val="lt-LT"/>
        </w:rPr>
      </w:pPr>
    </w:p>
    <w:p w14:paraId="72A32C4A" w14:textId="77777777" w:rsidR="007D59EF" w:rsidRPr="00705EEC" w:rsidRDefault="007D59EF" w:rsidP="007D59EF">
      <w:pPr>
        <w:outlineLvl w:val="0"/>
        <w:rPr>
          <w:b/>
          <w:lang w:val="lt-LT"/>
        </w:rPr>
      </w:pPr>
    </w:p>
    <w:p w14:paraId="78E704C5" w14:textId="77777777" w:rsidR="007D59EF" w:rsidRPr="00705EEC" w:rsidRDefault="007D59EF" w:rsidP="007D59EF">
      <w:pPr>
        <w:outlineLvl w:val="0"/>
        <w:rPr>
          <w:b/>
          <w:lang w:val="lt-LT"/>
        </w:rPr>
      </w:pPr>
    </w:p>
    <w:p w14:paraId="51AEFD5D" w14:textId="77777777" w:rsidR="007D59EF" w:rsidRPr="00705EEC" w:rsidRDefault="007D59EF" w:rsidP="007D59EF">
      <w:pPr>
        <w:outlineLvl w:val="0"/>
        <w:rPr>
          <w:b/>
          <w:lang w:val="lt-LT"/>
        </w:rPr>
      </w:pPr>
    </w:p>
    <w:p w14:paraId="413AC61B" w14:textId="77777777" w:rsidR="007D59EF" w:rsidRPr="00705EEC" w:rsidRDefault="007D59EF" w:rsidP="007D59EF">
      <w:pPr>
        <w:outlineLvl w:val="0"/>
        <w:rPr>
          <w:b/>
          <w:lang w:val="lt-LT"/>
        </w:rPr>
      </w:pPr>
    </w:p>
    <w:p w14:paraId="06CED42D" w14:textId="77777777" w:rsidR="007D59EF" w:rsidRPr="00705EEC" w:rsidRDefault="007D59EF" w:rsidP="007D59EF">
      <w:pPr>
        <w:outlineLvl w:val="0"/>
        <w:rPr>
          <w:b/>
          <w:lang w:val="lt-LT"/>
        </w:rPr>
      </w:pPr>
    </w:p>
    <w:p w14:paraId="47AE7812" w14:textId="77777777" w:rsidR="007D59EF" w:rsidRPr="00705EEC" w:rsidRDefault="007D59EF" w:rsidP="007D59EF">
      <w:pPr>
        <w:outlineLvl w:val="0"/>
        <w:rPr>
          <w:b/>
          <w:lang w:val="lt-LT"/>
        </w:rPr>
      </w:pPr>
    </w:p>
    <w:p w14:paraId="0B412D73" w14:textId="77777777" w:rsidR="007D59EF" w:rsidRPr="00705EEC" w:rsidRDefault="007D59EF" w:rsidP="007D59EF">
      <w:pPr>
        <w:outlineLvl w:val="0"/>
        <w:rPr>
          <w:b/>
          <w:lang w:val="lt-LT"/>
        </w:rPr>
      </w:pPr>
    </w:p>
    <w:p w14:paraId="5E793F43" w14:textId="77777777" w:rsidR="007D59EF" w:rsidRPr="00705EEC" w:rsidRDefault="007D59EF" w:rsidP="007D59EF">
      <w:pPr>
        <w:outlineLvl w:val="0"/>
        <w:rPr>
          <w:b/>
          <w:lang w:val="lt-LT"/>
        </w:rPr>
      </w:pPr>
    </w:p>
    <w:p w14:paraId="6C7CC6CD" w14:textId="77777777" w:rsidR="007D59EF" w:rsidRPr="00705EEC" w:rsidRDefault="007D59EF" w:rsidP="007D59EF">
      <w:pPr>
        <w:outlineLvl w:val="0"/>
        <w:rPr>
          <w:b/>
          <w:lang w:val="lt-LT"/>
        </w:rPr>
      </w:pPr>
    </w:p>
    <w:p w14:paraId="09E3A208" w14:textId="77777777" w:rsidR="007D59EF" w:rsidRPr="00705EEC" w:rsidRDefault="007D59EF" w:rsidP="007D59EF">
      <w:pPr>
        <w:outlineLvl w:val="0"/>
        <w:rPr>
          <w:b/>
          <w:lang w:val="lt-LT"/>
        </w:rPr>
      </w:pPr>
    </w:p>
    <w:p w14:paraId="7CCBD49C" w14:textId="77777777" w:rsidR="007D59EF" w:rsidRPr="00705EEC" w:rsidRDefault="007D59EF" w:rsidP="007D59EF">
      <w:pPr>
        <w:outlineLvl w:val="0"/>
        <w:rPr>
          <w:b/>
          <w:lang w:val="lt-LT"/>
        </w:rPr>
      </w:pPr>
    </w:p>
    <w:p w14:paraId="32A85E5B" w14:textId="77777777" w:rsidR="007D59EF" w:rsidRPr="00705EEC" w:rsidRDefault="007D59EF" w:rsidP="007D59EF">
      <w:pPr>
        <w:outlineLvl w:val="0"/>
        <w:rPr>
          <w:b/>
          <w:lang w:val="lt-LT"/>
        </w:rPr>
      </w:pPr>
    </w:p>
    <w:p w14:paraId="0038A24D" w14:textId="77777777" w:rsidR="007D59EF" w:rsidRPr="00705EEC" w:rsidRDefault="007D59EF" w:rsidP="007D59EF">
      <w:pPr>
        <w:pStyle w:val="Antrat2"/>
        <w:spacing w:before="0" w:after="0" w:line="240" w:lineRule="auto"/>
        <w:jc w:val="center"/>
        <w:rPr>
          <w:rFonts w:ascii="Times New Roman" w:hAnsi="Times New Roman"/>
          <w:i w:val="0"/>
          <w:sz w:val="22"/>
          <w:lang w:val="lt-LT"/>
        </w:rPr>
      </w:pPr>
    </w:p>
    <w:p w14:paraId="17B72444" w14:textId="77777777" w:rsidR="007D59EF" w:rsidRPr="00705EEC" w:rsidRDefault="007D59EF" w:rsidP="007D59EF">
      <w:pPr>
        <w:pStyle w:val="Antrat2"/>
        <w:spacing w:before="0" w:after="0" w:line="240" w:lineRule="auto"/>
        <w:jc w:val="center"/>
        <w:rPr>
          <w:rFonts w:ascii="Times New Roman" w:hAnsi="Times New Roman"/>
          <w:i w:val="0"/>
          <w:sz w:val="22"/>
          <w:lang w:val="lt-LT"/>
        </w:rPr>
      </w:pPr>
    </w:p>
    <w:p w14:paraId="67F6F255" w14:textId="77777777" w:rsidR="007D59EF" w:rsidRPr="00705EEC" w:rsidRDefault="007D59EF" w:rsidP="007D59EF">
      <w:pPr>
        <w:pStyle w:val="Antrat2"/>
        <w:spacing w:before="0" w:after="0" w:line="240" w:lineRule="auto"/>
        <w:jc w:val="center"/>
        <w:rPr>
          <w:rFonts w:ascii="Times New Roman" w:hAnsi="Times New Roman"/>
          <w:i w:val="0"/>
          <w:sz w:val="22"/>
          <w:lang w:val="lt-LT"/>
        </w:rPr>
      </w:pPr>
    </w:p>
    <w:p w14:paraId="07BBA6D7" w14:textId="77777777" w:rsidR="007D59EF" w:rsidRPr="00705EEC" w:rsidRDefault="007D59EF" w:rsidP="007D59EF">
      <w:pPr>
        <w:pStyle w:val="Antrat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III PRIEDAS</w:t>
      </w:r>
    </w:p>
    <w:p w14:paraId="44FC4ABD" w14:textId="77777777" w:rsidR="007D59EF" w:rsidRPr="00705EEC" w:rsidRDefault="007D59EF" w:rsidP="007D59EF">
      <w:pPr>
        <w:rPr>
          <w:szCs w:val="24"/>
          <w:lang w:val="lt-LT"/>
        </w:rPr>
      </w:pPr>
    </w:p>
    <w:p w14:paraId="1DCC1D30" w14:textId="77777777" w:rsidR="007D59EF" w:rsidRPr="00705EEC" w:rsidRDefault="007D59EF" w:rsidP="007D59EF">
      <w:pPr>
        <w:pStyle w:val="Antrat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ŽENKLINIMAS IR PAKUOTĖS LAPELIS</w:t>
      </w:r>
    </w:p>
    <w:p w14:paraId="3A887CD3" w14:textId="77777777" w:rsidR="007D59EF" w:rsidRPr="00705EEC" w:rsidRDefault="007D59EF" w:rsidP="007D59EF">
      <w:pPr>
        <w:rPr>
          <w:szCs w:val="24"/>
          <w:lang w:val="lt-LT"/>
        </w:rPr>
      </w:pPr>
      <w:r w:rsidRPr="00705EEC">
        <w:rPr>
          <w:szCs w:val="24"/>
          <w:lang w:val="lt-LT"/>
        </w:rPr>
        <w:br w:type="page"/>
      </w:r>
    </w:p>
    <w:p w14:paraId="212981F2" w14:textId="77777777" w:rsidR="007D59EF" w:rsidRPr="00705EEC" w:rsidRDefault="007D59EF" w:rsidP="007D59EF">
      <w:pPr>
        <w:rPr>
          <w:szCs w:val="24"/>
          <w:lang w:val="lt-LT"/>
        </w:rPr>
      </w:pPr>
    </w:p>
    <w:p w14:paraId="506AEBD7" w14:textId="77777777" w:rsidR="007D59EF" w:rsidRPr="00705EEC" w:rsidRDefault="007D59EF" w:rsidP="007D59EF">
      <w:pPr>
        <w:rPr>
          <w:szCs w:val="24"/>
          <w:lang w:val="lt-LT"/>
        </w:rPr>
      </w:pPr>
    </w:p>
    <w:p w14:paraId="30E68986" w14:textId="77777777" w:rsidR="007D59EF" w:rsidRPr="00705EEC" w:rsidRDefault="007D59EF" w:rsidP="007D59EF">
      <w:pPr>
        <w:rPr>
          <w:szCs w:val="24"/>
          <w:lang w:val="lt-LT"/>
        </w:rPr>
      </w:pPr>
    </w:p>
    <w:p w14:paraId="17369B2B" w14:textId="77777777" w:rsidR="007D59EF" w:rsidRPr="00705EEC" w:rsidRDefault="007D59EF" w:rsidP="007D59EF">
      <w:pPr>
        <w:rPr>
          <w:szCs w:val="24"/>
          <w:lang w:val="lt-LT"/>
        </w:rPr>
      </w:pPr>
    </w:p>
    <w:p w14:paraId="24EB9105" w14:textId="77777777" w:rsidR="007D59EF" w:rsidRPr="00705EEC" w:rsidRDefault="007D59EF" w:rsidP="007D59EF">
      <w:pPr>
        <w:rPr>
          <w:szCs w:val="24"/>
          <w:lang w:val="lt-LT"/>
        </w:rPr>
      </w:pPr>
    </w:p>
    <w:p w14:paraId="7C2742D5" w14:textId="77777777" w:rsidR="007D59EF" w:rsidRPr="00705EEC" w:rsidRDefault="007D59EF" w:rsidP="007D59EF">
      <w:pPr>
        <w:rPr>
          <w:szCs w:val="24"/>
          <w:lang w:val="lt-LT"/>
        </w:rPr>
      </w:pPr>
    </w:p>
    <w:p w14:paraId="093BD34D" w14:textId="77777777" w:rsidR="007D59EF" w:rsidRPr="00705EEC" w:rsidRDefault="007D59EF" w:rsidP="007D59EF">
      <w:pPr>
        <w:rPr>
          <w:szCs w:val="24"/>
          <w:lang w:val="lt-LT"/>
        </w:rPr>
      </w:pPr>
    </w:p>
    <w:p w14:paraId="5725F66E" w14:textId="77777777" w:rsidR="007D59EF" w:rsidRPr="00705EEC" w:rsidRDefault="007D59EF" w:rsidP="007D59EF">
      <w:pPr>
        <w:rPr>
          <w:szCs w:val="24"/>
          <w:lang w:val="lt-LT"/>
        </w:rPr>
      </w:pPr>
    </w:p>
    <w:p w14:paraId="666BC269" w14:textId="77777777" w:rsidR="007D59EF" w:rsidRPr="00705EEC" w:rsidRDefault="007D59EF" w:rsidP="007D59EF">
      <w:pPr>
        <w:rPr>
          <w:szCs w:val="24"/>
          <w:lang w:val="lt-LT"/>
        </w:rPr>
      </w:pPr>
    </w:p>
    <w:p w14:paraId="4F0E17ED" w14:textId="77777777" w:rsidR="007D59EF" w:rsidRPr="00705EEC" w:rsidRDefault="007D59EF" w:rsidP="007D59EF">
      <w:pPr>
        <w:rPr>
          <w:szCs w:val="24"/>
          <w:lang w:val="lt-LT"/>
        </w:rPr>
      </w:pPr>
    </w:p>
    <w:p w14:paraId="6AB8BA82" w14:textId="77777777" w:rsidR="007D59EF" w:rsidRPr="00705EEC" w:rsidRDefault="007D59EF" w:rsidP="007D59EF">
      <w:pPr>
        <w:rPr>
          <w:szCs w:val="24"/>
          <w:lang w:val="lt-LT"/>
        </w:rPr>
      </w:pPr>
    </w:p>
    <w:p w14:paraId="4BD7FE25" w14:textId="77777777" w:rsidR="007D59EF" w:rsidRPr="00705EEC" w:rsidRDefault="007D59EF" w:rsidP="007D59EF">
      <w:pPr>
        <w:rPr>
          <w:szCs w:val="24"/>
          <w:lang w:val="lt-LT"/>
        </w:rPr>
      </w:pPr>
    </w:p>
    <w:p w14:paraId="383DA104" w14:textId="77777777" w:rsidR="007D59EF" w:rsidRPr="00705EEC" w:rsidRDefault="007D59EF" w:rsidP="007D59EF">
      <w:pPr>
        <w:rPr>
          <w:szCs w:val="24"/>
          <w:lang w:val="lt-LT"/>
        </w:rPr>
      </w:pPr>
    </w:p>
    <w:p w14:paraId="2F56EC8C" w14:textId="77777777" w:rsidR="007D59EF" w:rsidRPr="00705EEC" w:rsidRDefault="007D59EF" w:rsidP="007D59EF">
      <w:pPr>
        <w:rPr>
          <w:szCs w:val="24"/>
          <w:lang w:val="lt-LT"/>
        </w:rPr>
      </w:pPr>
    </w:p>
    <w:p w14:paraId="34BD8563" w14:textId="77777777" w:rsidR="007D59EF" w:rsidRPr="00705EEC" w:rsidRDefault="007D59EF" w:rsidP="007D59EF">
      <w:pPr>
        <w:rPr>
          <w:szCs w:val="24"/>
          <w:lang w:val="lt-LT"/>
        </w:rPr>
      </w:pPr>
    </w:p>
    <w:p w14:paraId="65B2E83A" w14:textId="77777777" w:rsidR="007D59EF" w:rsidRPr="00705EEC" w:rsidRDefault="007D59EF" w:rsidP="007D59EF">
      <w:pPr>
        <w:rPr>
          <w:szCs w:val="24"/>
          <w:lang w:val="lt-LT"/>
        </w:rPr>
      </w:pPr>
    </w:p>
    <w:p w14:paraId="1B83DAEE" w14:textId="77777777" w:rsidR="007D59EF" w:rsidRPr="00705EEC" w:rsidRDefault="007D59EF" w:rsidP="007D59EF">
      <w:pPr>
        <w:rPr>
          <w:szCs w:val="24"/>
          <w:lang w:val="lt-LT"/>
        </w:rPr>
      </w:pPr>
    </w:p>
    <w:p w14:paraId="2C72987B" w14:textId="77777777" w:rsidR="007D59EF" w:rsidRPr="00705EEC" w:rsidRDefault="007D59EF" w:rsidP="007D59EF">
      <w:pPr>
        <w:rPr>
          <w:szCs w:val="24"/>
          <w:lang w:val="lt-LT"/>
        </w:rPr>
      </w:pPr>
    </w:p>
    <w:p w14:paraId="43506D1E" w14:textId="77777777" w:rsidR="007D59EF" w:rsidRPr="00705EEC" w:rsidRDefault="007D59EF" w:rsidP="007D59EF">
      <w:pPr>
        <w:rPr>
          <w:szCs w:val="24"/>
          <w:lang w:val="lt-LT"/>
        </w:rPr>
      </w:pPr>
    </w:p>
    <w:p w14:paraId="7F76E7D8" w14:textId="77777777" w:rsidR="007D59EF" w:rsidRPr="00705EEC" w:rsidRDefault="007D59EF" w:rsidP="007D59EF">
      <w:pPr>
        <w:rPr>
          <w:szCs w:val="24"/>
          <w:lang w:val="lt-LT"/>
        </w:rPr>
      </w:pPr>
    </w:p>
    <w:p w14:paraId="0FA94268" w14:textId="77777777" w:rsidR="007D59EF" w:rsidRPr="00705EEC" w:rsidRDefault="007D59EF" w:rsidP="007D59EF">
      <w:pPr>
        <w:rPr>
          <w:szCs w:val="24"/>
          <w:lang w:val="lt-LT"/>
        </w:rPr>
      </w:pPr>
    </w:p>
    <w:p w14:paraId="6B6549B3" w14:textId="77777777" w:rsidR="007D59EF" w:rsidRPr="00705EEC" w:rsidRDefault="007D59EF" w:rsidP="007D59EF">
      <w:pPr>
        <w:rPr>
          <w:szCs w:val="24"/>
          <w:lang w:val="lt-LT"/>
        </w:rPr>
      </w:pPr>
    </w:p>
    <w:p w14:paraId="27C94187" w14:textId="77777777" w:rsidR="007D59EF" w:rsidRPr="00705EEC" w:rsidRDefault="007D59EF" w:rsidP="007D59EF">
      <w:pPr>
        <w:pStyle w:val="Antrat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A. ŽENKLINIMAS</w:t>
      </w:r>
    </w:p>
    <w:p w14:paraId="6EE3A84A" w14:textId="77777777" w:rsidR="007D59EF" w:rsidRPr="00705EEC" w:rsidRDefault="007D59EF" w:rsidP="007D59EF">
      <w:pPr>
        <w:rPr>
          <w:szCs w:val="24"/>
          <w:lang w:val="lt-LT"/>
        </w:rPr>
      </w:pPr>
      <w:r w:rsidRPr="00705EEC">
        <w:rPr>
          <w:szCs w:val="24"/>
          <w:lang w:val="lt-LT"/>
        </w:rPr>
        <w:br w:type="page"/>
      </w:r>
    </w:p>
    <w:p w14:paraId="2EBC0D54"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1C7577">
        <w:rPr>
          <w:b/>
          <w:szCs w:val="24"/>
          <w:lang w:val="lt-LT"/>
        </w:rPr>
        <w:lastRenderedPageBreak/>
        <w:t>INFORMACIJA ANT IŠORINĖS PAKUOTĖS</w:t>
      </w:r>
    </w:p>
    <w:p w14:paraId="7F581F50"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2B62B0F"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705EEC">
        <w:rPr>
          <w:b/>
          <w:szCs w:val="24"/>
          <w:lang w:val="lt-LT"/>
        </w:rPr>
        <w:t>Kartono dėžutė su 1 buteliuku</w:t>
      </w:r>
    </w:p>
    <w:p w14:paraId="519EC6F9" w14:textId="77777777" w:rsidR="007D59EF" w:rsidRPr="00705EEC" w:rsidRDefault="007D59EF" w:rsidP="007D59EF">
      <w:pPr>
        <w:rPr>
          <w:szCs w:val="24"/>
          <w:lang w:val="lt-LT"/>
        </w:rPr>
      </w:pPr>
    </w:p>
    <w:p w14:paraId="53442748" w14:textId="77777777" w:rsidR="007D59EF" w:rsidRPr="00705EEC" w:rsidRDefault="007D59EF" w:rsidP="007D59EF">
      <w:pPr>
        <w:rPr>
          <w:szCs w:val="24"/>
          <w:lang w:val="lt-LT"/>
        </w:rPr>
      </w:pPr>
    </w:p>
    <w:p w14:paraId="78A3D36A"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3FF276AE" w14:textId="77777777" w:rsidR="007D59EF" w:rsidRPr="00705EEC" w:rsidRDefault="007D59EF" w:rsidP="007D59EF">
      <w:pPr>
        <w:rPr>
          <w:szCs w:val="24"/>
          <w:lang w:val="lt-LT"/>
        </w:rPr>
      </w:pPr>
    </w:p>
    <w:p w14:paraId="53BFBDB6" w14:textId="77777777" w:rsidR="007D59EF" w:rsidRPr="001C7577" w:rsidRDefault="007D59EF" w:rsidP="007D59EF">
      <w:pPr>
        <w:rPr>
          <w:lang w:val="lt-LT"/>
        </w:rPr>
      </w:pPr>
      <w:r w:rsidRPr="001C7577">
        <w:rPr>
          <w:lang w:val="lt-LT"/>
        </w:rPr>
        <w:t>Lopinavir /Ritonavir Ranbaxy 100 mg/25 mg plėvele dengtos tabletės</w:t>
      </w:r>
    </w:p>
    <w:p w14:paraId="7DDDDA69" w14:textId="77777777" w:rsidR="007D59EF" w:rsidRPr="001C7577" w:rsidRDefault="007D59EF" w:rsidP="007D59EF">
      <w:pPr>
        <w:rPr>
          <w:lang w:val="lt-LT"/>
        </w:rPr>
      </w:pPr>
      <w:r w:rsidRPr="001C7577">
        <w:rPr>
          <w:highlight w:val="lightGray"/>
          <w:lang w:val="lt-LT"/>
        </w:rPr>
        <w:t>Lopinavir / Ritonavir Ranbaxy 200 mg/50 mg plėvele dengtos tabletės</w:t>
      </w:r>
    </w:p>
    <w:p w14:paraId="4310F28B" w14:textId="77777777" w:rsidR="007D59EF" w:rsidRPr="001C7577" w:rsidRDefault="007D59EF" w:rsidP="007D59EF">
      <w:pPr>
        <w:rPr>
          <w:lang w:val="lt-LT"/>
        </w:rPr>
      </w:pPr>
    </w:p>
    <w:p w14:paraId="7C3596D5" w14:textId="77777777" w:rsidR="007D59EF" w:rsidRPr="001C7577" w:rsidRDefault="007D59EF" w:rsidP="007D59EF">
      <w:pPr>
        <w:rPr>
          <w:lang w:val="lt-LT"/>
        </w:rPr>
      </w:pPr>
      <w:r w:rsidRPr="001C7577">
        <w:rPr>
          <w:lang w:val="lt-LT"/>
        </w:rPr>
        <w:t>Lopinavirum /Ritonavirum</w:t>
      </w:r>
    </w:p>
    <w:p w14:paraId="2EE86F80" w14:textId="77777777" w:rsidR="007D59EF" w:rsidRPr="00705EEC" w:rsidRDefault="007D59EF" w:rsidP="007D59EF">
      <w:pPr>
        <w:rPr>
          <w:szCs w:val="24"/>
          <w:lang w:val="lt-LT"/>
        </w:rPr>
      </w:pPr>
    </w:p>
    <w:p w14:paraId="260A6096" w14:textId="77777777" w:rsidR="007D59EF" w:rsidRPr="00705EEC" w:rsidRDefault="007D59EF" w:rsidP="007D59EF">
      <w:pPr>
        <w:rPr>
          <w:szCs w:val="24"/>
          <w:lang w:val="lt-LT"/>
        </w:rPr>
      </w:pPr>
    </w:p>
    <w:p w14:paraId="77282139"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598F7387" w14:textId="77777777" w:rsidR="007D59EF" w:rsidRPr="00705EEC" w:rsidRDefault="007D59EF" w:rsidP="007D59EF">
      <w:pPr>
        <w:rPr>
          <w:szCs w:val="24"/>
          <w:lang w:val="lt-LT"/>
        </w:rPr>
      </w:pPr>
    </w:p>
    <w:p w14:paraId="6F4FEA91" w14:textId="77777777" w:rsidR="007D59EF" w:rsidRPr="001C7577" w:rsidRDefault="007D59EF" w:rsidP="007D59EF">
      <w:pPr>
        <w:rPr>
          <w:lang w:val="lt-LT"/>
        </w:rPr>
      </w:pPr>
      <w:r w:rsidRPr="001C7577">
        <w:rPr>
          <w:lang w:val="lt-LT"/>
        </w:rPr>
        <w:t>Kiekvienoje plėvele dengtoje tabletėje yra 100 mg lopinaviro kartu su 25 mg ritonaviro farmakokinetikai sustiprinti.</w:t>
      </w:r>
    </w:p>
    <w:p w14:paraId="67E6A56C" w14:textId="77777777" w:rsidR="007D59EF" w:rsidRPr="001C7577" w:rsidRDefault="007D59EF" w:rsidP="007D59EF">
      <w:pPr>
        <w:rPr>
          <w:highlight w:val="lightGray"/>
          <w:lang w:val="lt-LT"/>
        </w:rPr>
      </w:pPr>
      <w:r w:rsidRPr="001C7577">
        <w:rPr>
          <w:highlight w:val="lightGray"/>
          <w:lang w:val="lt-LT"/>
        </w:rPr>
        <w:t>Kiekvienoje plėvele dengtoje tabletėje yra 200 mg lopinaviro kartu su 50 mg ritonaviro farmakokinetikai sustiprinti.</w:t>
      </w:r>
    </w:p>
    <w:p w14:paraId="16651DE4" w14:textId="77777777" w:rsidR="007D59EF" w:rsidRPr="00705EEC" w:rsidRDefault="007D59EF" w:rsidP="007D59EF">
      <w:pPr>
        <w:rPr>
          <w:szCs w:val="24"/>
          <w:lang w:val="lt-LT"/>
        </w:rPr>
      </w:pPr>
    </w:p>
    <w:p w14:paraId="40387EC2" w14:textId="77777777" w:rsidR="007D59EF" w:rsidRPr="00705EEC" w:rsidRDefault="007D59EF" w:rsidP="007D59EF">
      <w:pPr>
        <w:rPr>
          <w:szCs w:val="24"/>
          <w:lang w:val="lt-LT"/>
        </w:rPr>
      </w:pPr>
    </w:p>
    <w:p w14:paraId="5263A487"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53ABB6E5" w14:textId="77777777" w:rsidR="007D59EF" w:rsidRPr="00705EEC" w:rsidRDefault="007D59EF" w:rsidP="007D59EF">
      <w:pPr>
        <w:rPr>
          <w:szCs w:val="24"/>
          <w:lang w:val="lt-LT"/>
        </w:rPr>
      </w:pPr>
    </w:p>
    <w:p w14:paraId="7D943F96" w14:textId="77777777" w:rsidR="007D59EF" w:rsidRPr="00705EEC" w:rsidRDefault="007D59EF" w:rsidP="007D59EF">
      <w:pPr>
        <w:rPr>
          <w:lang w:val="lt-LT"/>
        </w:rPr>
      </w:pPr>
      <w:r w:rsidRPr="00705EEC">
        <w:rPr>
          <w:lang w:val="lt-LT"/>
        </w:rPr>
        <w:t>Sudėtyje yra laktozės. Daugiau informacijos pateikta pakuotės lapelyje.</w:t>
      </w:r>
    </w:p>
    <w:p w14:paraId="3B5859E0" w14:textId="77777777" w:rsidR="007D59EF" w:rsidRPr="00705EEC" w:rsidRDefault="007D59EF" w:rsidP="007D59EF">
      <w:pPr>
        <w:rPr>
          <w:lang w:val="lt-LT"/>
        </w:rPr>
      </w:pPr>
    </w:p>
    <w:p w14:paraId="477CADEE" w14:textId="77777777" w:rsidR="007D59EF" w:rsidRPr="00705EEC" w:rsidRDefault="007D59EF" w:rsidP="007D59EF">
      <w:pPr>
        <w:rPr>
          <w:szCs w:val="24"/>
          <w:lang w:val="lt-LT"/>
        </w:rPr>
      </w:pPr>
    </w:p>
    <w:p w14:paraId="15296F36"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719C25BC" w14:textId="77777777" w:rsidR="007D59EF" w:rsidRPr="00705EEC" w:rsidRDefault="007D59EF" w:rsidP="007D59EF">
      <w:pPr>
        <w:rPr>
          <w:szCs w:val="24"/>
          <w:lang w:val="lt-LT"/>
        </w:rPr>
      </w:pPr>
    </w:p>
    <w:p w14:paraId="0E608334" w14:textId="77777777" w:rsidR="007D59EF" w:rsidRPr="001C7577" w:rsidRDefault="007D59EF" w:rsidP="007D59EF">
      <w:pPr>
        <w:rPr>
          <w:lang w:val="lt-LT"/>
        </w:rPr>
      </w:pPr>
      <w:r w:rsidRPr="001C7577">
        <w:rPr>
          <w:lang w:val="lt-LT"/>
        </w:rPr>
        <w:t>Plėvele dengta tabletė</w:t>
      </w:r>
    </w:p>
    <w:p w14:paraId="27961691" w14:textId="77777777" w:rsidR="007D59EF" w:rsidRPr="001C7577" w:rsidRDefault="007D59EF" w:rsidP="007D59EF">
      <w:pPr>
        <w:rPr>
          <w:lang w:val="lt-LT"/>
        </w:rPr>
      </w:pPr>
    </w:p>
    <w:p w14:paraId="43EC86C0" w14:textId="77777777" w:rsidR="007D59EF" w:rsidRPr="001C7577" w:rsidRDefault="007D59EF" w:rsidP="007D59EF">
      <w:pPr>
        <w:rPr>
          <w:lang w:val="lt-LT"/>
        </w:rPr>
      </w:pPr>
      <w:r w:rsidRPr="001C7577">
        <w:rPr>
          <w:lang w:val="lt-LT"/>
        </w:rPr>
        <w:t>60 plėvele dengtų tablečių</w:t>
      </w:r>
      <w:r w:rsidRPr="001C7577">
        <w:rPr>
          <w:lang w:val="lt-LT"/>
        </w:rPr>
        <w:tab/>
      </w:r>
    </w:p>
    <w:p w14:paraId="63FA57ED" w14:textId="77777777" w:rsidR="007D59EF" w:rsidRPr="001C7577" w:rsidRDefault="007D59EF" w:rsidP="007D59EF">
      <w:pPr>
        <w:rPr>
          <w:lang w:val="lt-LT"/>
        </w:rPr>
      </w:pPr>
      <w:r w:rsidRPr="001C7577">
        <w:rPr>
          <w:highlight w:val="lightGray"/>
          <w:lang w:val="lt-LT"/>
        </w:rPr>
        <w:t>120 plėvele dengtų tablečių</w:t>
      </w:r>
    </w:p>
    <w:p w14:paraId="160C19AF" w14:textId="77777777" w:rsidR="007D59EF" w:rsidRPr="00705EEC" w:rsidRDefault="007D59EF" w:rsidP="007D59EF">
      <w:pPr>
        <w:rPr>
          <w:szCs w:val="24"/>
          <w:lang w:val="lt-LT"/>
        </w:rPr>
      </w:pPr>
    </w:p>
    <w:p w14:paraId="69420857" w14:textId="77777777" w:rsidR="007D59EF" w:rsidRPr="00705EEC" w:rsidRDefault="007D59EF" w:rsidP="007D59EF">
      <w:pPr>
        <w:rPr>
          <w:szCs w:val="24"/>
          <w:lang w:val="lt-LT"/>
        </w:rPr>
      </w:pPr>
    </w:p>
    <w:p w14:paraId="2546F388"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2DF980E6" w14:textId="77777777" w:rsidR="007D59EF" w:rsidRPr="00705EEC" w:rsidRDefault="007D59EF" w:rsidP="007D59EF">
      <w:pPr>
        <w:rPr>
          <w:szCs w:val="24"/>
          <w:lang w:val="lt-LT"/>
        </w:rPr>
      </w:pPr>
    </w:p>
    <w:p w14:paraId="57D2BEE3" w14:textId="77777777" w:rsidR="007D59EF" w:rsidRPr="001C7577" w:rsidRDefault="007D59EF" w:rsidP="007D59EF">
      <w:pPr>
        <w:rPr>
          <w:szCs w:val="24"/>
          <w:lang w:val="lt-LT"/>
        </w:rPr>
      </w:pPr>
      <w:r w:rsidRPr="001C7577">
        <w:rPr>
          <w:szCs w:val="24"/>
          <w:lang w:val="lt-LT"/>
        </w:rPr>
        <w:t xml:space="preserve">Vartoti per burną. </w:t>
      </w:r>
    </w:p>
    <w:p w14:paraId="4AF1E14E" w14:textId="77777777" w:rsidR="007D59EF" w:rsidRPr="00705EEC" w:rsidRDefault="007D59EF" w:rsidP="007D59EF">
      <w:pPr>
        <w:rPr>
          <w:szCs w:val="24"/>
          <w:lang w:val="lt-LT"/>
        </w:rPr>
      </w:pPr>
      <w:r w:rsidRPr="001C7577">
        <w:rPr>
          <w:szCs w:val="24"/>
          <w:lang w:val="lt-LT"/>
        </w:rPr>
        <w:t>Prieš vartojimą perskaitykite pakuotės lapelį.</w:t>
      </w:r>
    </w:p>
    <w:p w14:paraId="3C5D5B2E" w14:textId="77777777" w:rsidR="007D59EF" w:rsidRPr="00705EEC" w:rsidRDefault="007D59EF" w:rsidP="007D59EF">
      <w:pPr>
        <w:rPr>
          <w:szCs w:val="24"/>
          <w:lang w:val="lt-LT"/>
        </w:rPr>
      </w:pPr>
    </w:p>
    <w:p w14:paraId="647FD87D" w14:textId="77777777" w:rsidR="007D59EF" w:rsidRPr="00705EEC" w:rsidRDefault="007D59EF" w:rsidP="007D59EF">
      <w:pPr>
        <w:rPr>
          <w:szCs w:val="24"/>
          <w:lang w:val="lt-LT"/>
        </w:rPr>
      </w:pPr>
    </w:p>
    <w:p w14:paraId="17A11904"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1A496D9F" w14:textId="77777777" w:rsidR="007D59EF" w:rsidRPr="00705EEC" w:rsidRDefault="007D59EF" w:rsidP="007D59EF">
      <w:pPr>
        <w:rPr>
          <w:szCs w:val="24"/>
          <w:lang w:val="lt-LT"/>
        </w:rPr>
      </w:pPr>
    </w:p>
    <w:p w14:paraId="0DFF24F6" w14:textId="77777777" w:rsidR="007D59EF" w:rsidRPr="00705EEC" w:rsidRDefault="007D59EF" w:rsidP="007D59EF">
      <w:pPr>
        <w:rPr>
          <w:szCs w:val="24"/>
          <w:lang w:val="lt-LT"/>
        </w:rPr>
      </w:pPr>
      <w:r w:rsidRPr="001C7577">
        <w:rPr>
          <w:szCs w:val="24"/>
          <w:lang w:val="lt-LT"/>
        </w:rPr>
        <w:t>Laikyti vaikams nepastebimoje ir nepasiekiamoje vietoje.</w:t>
      </w:r>
    </w:p>
    <w:p w14:paraId="1039ADB0" w14:textId="77777777" w:rsidR="007D59EF" w:rsidRPr="00705EEC" w:rsidRDefault="007D59EF" w:rsidP="007D59EF">
      <w:pPr>
        <w:rPr>
          <w:szCs w:val="24"/>
          <w:lang w:val="lt-LT"/>
        </w:rPr>
      </w:pPr>
    </w:p>
    <w:p w14:paraId="0FC8F4E2" w14:textId="77777777" w:rsidR="007D59EF" w:rsidRPr="00705EEC" w:rsidRDefault="007D59EF" w:rsidP="007D59EF">
      <w:pPr>
        <w:rPr>
          <w:szCs w:val="24"/>
          <w:lang w:val="lt-LT"/>
        </w:rPr>
      </w:pPr>
    </w:p>
    <w:p w14:paraId="2B674191"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334B2BBF" w14:textId="77777777" w:rsidR="007D59EF" w:rsidRPr="00705EEC" w:rsidRDefault="007D59EF" w:rsidP="007D59EF">
      <w:pPr>
        <w:rPr>
          <w:szCs w:val="24"/>
          <w:lang w:val="lt-LT"/>
        </w:rPr>
      </w:pPr>
    </w:p>
    <w:p w14:paraId="65DA1095" w14:textId="77777777" w:rsidR="007D59EF" w:rsidRPr="00705EEC" w:rsidRDefault="007D59EF" w:rsidP="007D59EF">
      <w:pPr>
        <w:rPr>
          <w:szCs w:val="24"/>
          <w:lang w:val="lt-LT"/>
        </w:rPr>
      </w:pPr>
    </w:p>
    <w:p w14:paraId="79BB07EE"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172C3391" w14:textId="77777777" w:rsidR="007D59EF" w:rsidRPr="001C7577" w:rsidRDefault="007D59EF" w:rsidP="007D59EF">
      <w:pPr>
        <w:rPr>
          <w:lang w:val="lt-LT"/>
        </w:rPr>
      </w:pPr>
    </w:p>
    <w:p w14:paraId="15C31021" w14:textId="77777777" w:rsidR="007D59EF" w:rsidRPr="00705EEC" w:rsidRDefault="007D59EF" w:rsidP="007D59EF">
      <w:pPr>
        <w:rPr>
          <w:lang w:val="lt-LT"/>
        </w:rPr>
      </w:pPr>
      <w:r w:rsidRPr="00705EEC">
        <w:rPr>
          <w:lang w:val="lt-LT"/>
        </w:rPr>
        <w:t>Tinka iki &lt;MMMM.mm&gt;</w:t>
      </w:r>
    </w:p>
    <w:p w14:paraId="774E7C48" w14:textId="77777777" w:rsidR="007D59EF" w:rsidRPr="00705EEC" w:rsidRDefault="007D59EF" w:rsidP="007D59EF">
      <w:pPr>
        <w:rPr>
          <w:lang w:val="lt-LT"/>
        </w:rPr>
      </w:pPr>
      <w:r w:rsidRPr="001C7577">
        <w:rPr>
          <w:lang w:val="lt-LT"/>
        </w:rPr>
        <w:t>Pirmą kartą atidarius suvartoti per 30 dienų.</w:t>
      </w:r>
    </w:p>
    <w:p w14:paraId="1902BC23" w14:textId="77777777" w:rsidR="007D59EF" w:rsidRPr="00705EEC" w:rsidRDefault="007D59EF" w:rsidP="007D59EF">
      <w:pPr>
        <w:rPr>
          <w:szCs w:val="24"/>
          <w:lang w:val="lt-LT"/>
        </w:rPr>
      </w:pPr>
    </w:p>
    <w:p w14:paraId="18F8466F" w14:textId="77777777" w:rsidR="007D59EF" w:rsidRPr="00705EEC" w:rsidRDefault="007D59EF" w:rsidP="007D59E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07B2E140" w14:textId="77777777" w:rsidR="007D59EF" w:rsidRPr="00705EEC" w:rsidRDefault="007D59EF" w:rsidP="007D59EF">
      <w:pPr>
        <w:rPr>
          <w:szCs w:val="24"/>
          <w:lang w:val="lt-LT"/>
        </w:rPr>
      </w:pPr>
    </w:p>
    <w:p w14:paraId="74780E51" w14:textId="77777777" w:rsidR="007D59EF" w:rsidRPr="00705EEC" w:rsidRDefault="007D59EF" w:rsidP="007D59EF">
      <w:pPr>
        <w:rPr>
          <w:lang w:val="lt-LT"/>
        </w:rPr>
      </w:pPr>
      <w:r w:rsidRPr="00705EEC">
        <w:rPr>
          <w:lang w:val="lt-LT"/>
        </w:rPr>
        <w:t xml:space="preserve">Buteliuką laikyti sandarų, kad preparatas būtų apsaugotas nuo drėgmės. </w:t>
      </w:r>
    </w:p>
    <w:p w14:paraId="3CCA30DD" w14:textId="77777777" w:rsidR="007D59EF" w:rsidRPr="00705EEC" w:rsidRDefault="007D59EF" w:rsidP="007D59EF">
      <w:pPr>
        <w:rPr>
          <w:lang w:val="lt-LT"/>
        </w:rPr>
      </w:pPr>
      <w:r w:rsidRPr="00705EEC">
        <w:rPr>
          <w:lang w:val="lt-LT"/>
        </w:rPr>
        <w:t>Pirmą kartą atidarius laikyti žemesnėje kaip 25</w:t>
      </w:r>
      <w:r w:rsidRPr="00705EEC">
        <w:rPr>
          <w:vertAlign w:val="superscript"/>
          <w:lang w:val="lt-LT"/>
        </w:rPr>
        <w:t>o</w:t>
      </w:r>
      <w:r w:rsidRPr="00705EEC">
        <w:rPr>
          <w:lang w:val="lt-LT"/>
        </w:rPr>
        <w:t>C temperatūroje, gamintojo pakuotėje, kad preparatas būtų apsaugotas nuo drėgmės.</w:t>
      </w:r>
    </w:p>
    <w:p w14:paraId="33C1564B" w14:textId="77777777" w:rsidR="007D59EF" w:rsidRPr="001C7577" w:rsidRDefault="007D59EF" w:rsidP="007D59EF">
      <w:pPr>
        <w:rPr>
          <w:lang w:val="lt-LT"/>
        </w:rPr>
      </w:pPr>
    </w:p>
    <w:p w14:paraId="1B184414" w14:textId="77777777" w:rsidR="007D59EF" w:rsidRPr="00705EEC" w:rsidRDefault="007D59EF" w:rsidP="007D59EF">
      <w:pPr>
        <w:rPr>
          <w:szCs w:val="24"/>
          <w:lang w:val="lt-LT"/>
        </w:rPr>
      </w:pPr>
    </w:p>
    <w:p w14:paraId="0CF87C06"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33BAB3F8" w14:textId="77777777" w:rsidR="007D59EF" w:rsidRPr="00705EEC" w:rsidRDefault="007D59EF" w:rsidP="007D59EF">
      <w:pPr>
        <w:rPr>
          <w:szCs w:val="24"/>
          <w:lang w:val="lt-LT"/>
        </w:rPr>
      </w:pPr>
    </w:p>
    <w:p w14:paraId="1C96F701" w14:textId="77777777" w:rsidR="007D59EF" w:rsidRPr="00705EEC" w:rsidRDefault="007D59EF" w:rsidP="007D59EF">
      <w:pPr>
        <w:rPr>
          <w:szCs w:val="24"/>
          <w:lang w:val="lt-LT"/>
        </w:rPr>
      </w:pPr>
    </w:p>
    <w:p w14:paraId="668EA6E5" w14:textId="495A339D"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003C1B10" w:rsidRPr="003C1B10">
        <w:rPr>
          <w:b/>
          <w:caps/>
          <w:szCs w:val="24"/>
          <w:lang w:val="lt-LT"/>
        </w:rPr>
        <w:t>REGISTRUOTOJO</w:t>
      </w:r>
      <w:r w:rsidRPr="001C7577">
        <w:rPr>
          <w:b/>
          <w:caps/>
          <w:szCs w:val="24"/>
          <w:lang w:val="lt-LT"/>
        </w:rPr>
        <w:t xml:space="preserve"> PAVADINIMAS IR ADRESAS</w:t>
      </w:r>
    </w:p>
    <w:p w14:paraId="09A58E9D" w14:textId="77777777" w:rsidR="007D59EF" w:rsidRPr="00705EEC" w:rsidRDefault="007D59EF" w:rsidP="007D59EF">
      <w:pPr>
        <w:rPr>
          <w:szCs w:val="24"/>
          <w:lang w:val="lt-LT"/>
        </w:rPr>
      </w:pPr>
    </w:p>
    <w:p w14:paraId="2F5CD455" w14:textId="77777777" w:rsidR="007D59EF" w:rsidRPr="001C7577" w:rsidRDefault="007D59EF" w:rsidP="007D59EF">
      <w:pPr>
        <w:tabs>
          <w:tab w:val="left" w:pos="0"/>
          <w:tab w:val="left" w:pos="8876"/>
        </w:tabs>
        <w:rPr>
          <w:lang w:val="lt-LT"/>
        </w:rPr>
      </w:pPr>
      <w:r w:rsidRPr="001C7577">
        <w:rPr>
          <w:lang w:val="lt-LT"/>
        </w:rPr>
        <w:t>Ranbaxy (UK) Limited</w:t>
      </w:r>
    </w:p>
    <w:p w14:paraId="174A9CAB" w14:textId="77777777" w:rsidR="007D59EF" w:rsidRPr="001C7577" w:rsidRDefault="007D59EF" w:rsidP="007D59EF">
      <w:pPr>
        <w:tabs>
          <w:tab w:val="left" w:pos="0"/>
          <w:tab w:val="left" w:pos="8876"/>
        </w:tabs>
        <w:rPr>
          <w:lang w:val="lt-LT"/>
        </w:rPr>
      </w:pPr>
      <w:r w:rsidRPr="001C7577">
        <w:rPr>
          <w:lang w:val="lt-LT"/>
        </w:rPr>
        <w:t>Building 4, Chiswick Park</w:t>
      </w:r>
    </w:p>
    <w:p w14:paraId="24691328" w14:textId="77777777" w:rsidR="007D59EF" w:rsidRPr="001C7577" w:rsidRDefault="007D59EF" w:rsidP="007D59EF">
      <w:pPr>
        <w:tabs>
          <w:tab w:val="left" w:pos="0"/>
          <w:tab w:val="left" w:pos="8876"/>
        </w:tabs>
        <w:rPr>
          <w:lang w:val="lt-LT"/>
        </w:rPr>
      </w:pPr>
      <w:r w:rsidRPr="001C7577">
        <w:rPr>
          <w:lang w:val="lt-LT"/>
        </w:rPr>
        <w:t>566 Chiswick High Road</w:t>
      </w:r>
    </w:p>
    <w:p w14:paraId="6E10A07F" w14:textId="77777777" w:rsidR="007D59EF" w:rsidRPr="001C7577" w:rsidRDefault="007D59EF" w:rsidP="007D59EF">
      <w:pPr>
        <w:tabs>
          <w:tab w:val="left" w:pos="0"/>
          <w:tab w:val="left" w:pos="8876"/>
        </w:tabs>
        <w:rPr>
          <w:lang w:val="lt-LT"/>
        </w:rPr>
      </w:pPr>
      <w:r w:rsidRPr="001C7577">
        <w:rPr>
          <w:lang w:val="lt-LT"/>
        </w:rPr>
        <w:t>London, W4 5YE</w:t>
      </w:r>
    </w:p>
    <w:p w14:paraId="0EEA2678" w14:textId="77777777" w:rsidR="007D59EF" w:rsidRPr="001C7577" w:rsidRDefault="007D59EF" w:rsidP="007D59EF">
      <w:pPr>
        <w:tabs>
          <w:tab w:val="left" w:pos="0"/>
          <w:tab w:val="left" w:pos="8876"/>
        </w:tabs>
        <w:rPr>
          <w:lang w:val="lt-LT"/>
        </w:rPr>
      </w:pPr>
      <w:r w:rsidRPr="001C7577">
        <w:rPr>
          <w:lang w:val="lt-LT"/>
        </w:rPr>
        <w:t>Jungtinė Karalystė</w:t>
      </w:r>
    </w:p>
    <w:p w14:paraId="47D28683" w14:textId="77777777" w:rsidR="007D59EF" w:rsidRPr="00705EEC" w:rsidRDefault="007D59EF" w:rsidP="007D59EF">
      <w:pPr>
        <w:rPr>
          <w:szCs w:val="24"/>
          <w:lang w:val="lt-LT"/>
        </w:rPr>
      </w:pPr>
    </w:p>
    <w:p w14:paraId="727F1CEA" w14:textId="77777777" w:rsidR="007D59EF" w:rsidRPr="00705EEC" w:rsidRDefault="007D59EF" w:rsidP="007D59EF">
      <w:pPr>
        <w:rPr>
          <w:szCs w:val="24"/>
          <w:lang w:val="lt-LT"/>
        </w:rPr>
      </w:pPr>
    </w:p>
    <w:p w14:paraId="1185283C" w14:textId="247AEBC6"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003C1B10" w:rsidRPr="003C1B10">
        <w:rPr>
          <w:b/>
          <w:szCs w:val="24"/>
          <w:lang w:val="lt-LT"/>
        </w:rPr>
        <w:t xml:space="preserve">REGISTRACIJOS </w:t>
      </w:r>
      <w:r w:rsidRPr="00705EEC">
        <w:rPr>
          <w:b/>
          <w:szCs w:val="24"/>
          <w:lang w:val="lt-LT"/>
        </w:rPr>
        <w:t xml:space="preserve">PAŽYMĖJIMO NUMERIS (-IAI) </w:t>
      </w:r>
    </w:p>
    <w:p w14:paraId="3C653693" w14:textId="77777777" w:rsidR="007D59EF" w:rsidRPr="00705EEC" w:rsidRDefault="007D59EF" w:rsidP="007D59EF">
      <w:pPr>
        <w:rPr>
          <w:szCs w:val="24"/>
          <w:lang w:val="lt-LT"/>
        </w:rPr>
      </w:pPr>
    </w:p>
    <w:p w14:paraId="11EB88C3" w14:textId="77777777" w:rsidR="007D59EF" w:rsidRPr="001C7577" w:rsidRDefault="007D59EF" w:rsidP="007D59EF">
      <w:pPr>
        <w:spacing w:line="240" w:lineRule="auto"/>
        <w:rPr>
          <w:lang w:val="lt-LT"/>
        </w:rPr>
      </w:pPr>
      <w:r w:rsidRPr="001C7577">
        <w:rPr>
          <w:lang w:val="lt-LT"/>
        </w:rPr>
        <w:t xml:space="preserve">Lopinavir /Ritonavir Ranbaxy 100 mg/25 mg </w:t>
      </w:r>
    </w:p>
    <w:p w14:paraId="13EA4EC6" w14:textId="77777777" w:rsidR="007D59EF" w:rsidRPr="001C7577" w:rsidRDefault="007D59EF" w:rsidP="007D59EF">
      <w:pPr>
        <w:spacing w:line="240" w:lineRule="auto"/>
        <w:rPr>
          <w:lang w:val="lt-LT"/>
        </w:rPr>
      </w:pPr>
      <w:r w:rsidRPr="00705EEC">
        <w:rPr>
          <w:bCs/>
          <w:lang w:val="lt-LT"/>
        </w:rPr>
        <w:t>N60 - LT/1/14/3510/002</w:t>
      </w:r>
    </w:p>
    <w:p w14:paraId="1EDCC2AC" w14:textId="77777777" w:rsidR="007D59EF" w:rsidRPr="00705EEC" w:rsidRDefault="007D59EF" w:rsidP="007D59EF">
      <w:pPr>
        <w:tabs>
          <w:tab w:val="clear" w:pos="567"/>
        </w:tabs>
        <w:spacing w:line="240" w:lineRule="auto"/>
        <w:rPr>
          <w:szCs w:val="24"/>
          <w:lang w:val="lt-LT"/>
        </w:rPr>
      </w:pPr>
    </w:p>
    <w:p w14:paraId="1624F191" w14:textId="77777777" w:rsidR="007D59EF" w:rsidRPr="001C7577" w:rsidRDefault="007D59EF" w:rsidP="007D59EF">
      <w:pPr>
        <w:spacing w:line="240" w:lineRule="auto"/>
        <w:rPr>
          <w:lang w:val="lt-LT"/>
        </w:rPr>
      </w:pPr>
      <w:r w:rsidRPr="001C7577">
        <w:rPr>
          <w:lang w:val="lt-LT"/>
        </w:rPr>
        <w:t xml:space="preserve">Lopinavir /Ritonavir Ranbaxy 200 mg/50 mg </w:t>
      </w:r>
    </w:p>
    <w:p w14:paraId="2253FA2E" w14:textId="77777777" w:rsidR="007D59EF" w:rsidRPr="001C7577" w:rsidRDefault="007D59EF" w:rsidP="007D59EF">
      <w:pPr>
        <w:spacing w:line="240" w:lineRule="auto"/>
        <w:rPr>
          <w:lang w:val="lt-LT"/>
        </w:rPr>
      </w:pPr>
      <w:r w:rsidRPr="00705EEC">
        <w:rPr>
          <w:bCs/>
          <w:lang w:val="lt-LT"/>
        </w:rPr>
        <w:t>N120 - LT/1/14/3510/005</w:t>
      </w:r>
    </w:p>
    <w:p w14:paraId="0AB17A86" w14:textId="77777777" w:rsidR="007D59EF" w:rsidRPr="00705EEC" w:rsidRDefault="007D59EF" w:rsidP="007D59EF">
      <w:pPr>
        <w:rPr>
          <w:szCs w:val="24"/>
          <w:lang w:val="lt-LT"/>
        </w:rPr>
      </w:pPr>
    </w:p>
    <w:p w14:paraId="55B628EA" w14:textId="77777777" w:rsidR="007D59EF" w:rsidRPr="00705EEC" w:rsidRDefault="007D59EF" w:rsidP="007D59EF">
      <w:pPr>
        <w:rPr>
          <w:szCs w:val="24"/>
          <w:lang w:val="lt-LT"/>
        </w:rPr>
      </w:pPr>
    </w:p>
    <w:p w14:paraId="484C88BA"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3B261ABE" w14:textId="77777777" w:rsidR="007D59EF" w:rsidRPr="00705EEC" w:rsidRDefault="007D59EF" w:rsidP="007D59EF">
      <w:pPr>
        <w:rPr>
          <w:lang w:val="lt-LT"/>
        </w:rPr>
      </w:pPr>
    </w:p>
    <w:p w14:paraId="3FDCB654" w14:textId="77777777" w:rsidR="007D59EF" w:rsidRPr="001C7577" w:rsidRDefault="007D59EF" w:rsidP="007D59EF">
      <w:pPr>
        <w:rPr>
          <w:lang w:val="lt-LT"/>
        </w:rPr>
      </w:pPr>
      <w:r w:rsidRPr="00705EEC">
        <w:rPr>
          <w:lang w:val="lt-LT"/>
        </w:rPr>
        <w:t xml:space="preserve">Serija </w:t>
      </w:r>
    </w:p>
    <w:p w14:paraId="114B7D0D" w14:textId="77777777" w:rsidR="007D59EF" w:rsidRPr="001C7577" w:rsidRDefault="007D59EF" w:rsidP="007D59EF">
      <w:pPr>
        <w:rPr>
          <w:lang w:val="lt-LT"/>
        </w:rPr>
      </w:pPr>
    </w:p>
    <w:p w14:paraId="1809089C" w14:textId="77777777" w:rsidR="007D59EF" w:rsidRPr="00705EEC" w:rsidRDefault="007D59EF" w:rsidP="007D59EF">
      <w:pPr>
        <w:rPr>
          <w:szCs w:val="24"/>
          <w:lang w:val="lt-LT"/>
        </w:rPr>
      </w:pPr>
    </w:p>
    <w:p w14:paraId="2D9BF495"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5302BC8A" w14:textId="77777777" w:rsidR="007D59EF" w:rsidRPr="00705EEC" w:rsidRDefault="007D59EF" w:rsidP="007D59EF">
      <w:pPr>
        <w:rPr>
          <w:szCs w:val="24"/>
          <w:lang w:val="lt-LT"/>
        </w:rPr>
      </w:pPr>
    </w:p>
    <w:p w14:paraId="2B07CDC1" w14:textId="77777777" w:rsidR="007D59EF" w:rsidRPr="00705EEC" w:rsidRDefault="007D59EF" w:rsidP="007D59EF">
      <w:pPr>
        <w:rPr>
          <w:szCs w:val="24"/>
          <w:lang w:val="lt-LT"/>
        </w:rPr>
      </w:pPr>
      <w:r w:rsidRPr="00705EEC">
        <w:rPr>
          <w:lang w:val="lt-LT"/>
        </w:rPr>
        <w:t>Receptinis vaistinis preparatas</w:t>
      </w:r>
    </w:p>
    <w:p w14:paraId="656D33DC" w14:textId="77777777" w:rsidR="007D59EF" w:rsidRPr="00705EEC" w:rsidRDefault="007D59EF" w:rsidP="007D59EF">
      <w:pPr>
        <w:rPr>
          <w:szCs w:val="24"/>
          <w:lang w:val="lt-LT"/>
        </w:rPr>
      </w:pPr>
    </w:p>
    <w:p w14:paraId="296B7B74" w14:textId="77777777" w:rsidR="007D59EF" w:rsidRPr="00705EEC" w:rsidRDefault="007D59EF" w:rsidP="007D59EF">
      <w:pPr>
        <w:rPr>
          <w:szCs w:val="24"/>
          <w:lang w:val="lt-LT"/>
        </w:rPr>
      </w:pPr>
    </w:p>
    <w:p w14:paraId="1B6BE6A3" w14:textId="77777777" w:rsidR="007D59EF" w:rsidRPr="00705EEC" w:rsidRDefault="007D59EF" w:rsidP="007D59E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157BB85C" w14:textId="77777777" w:rsidR="007D59EF" w:rsidRPr="00705EEC" w:rsidRDefault="007D59EF" w:rsidP="007D59EF">
      <w:pPr>
        <w:rPr>
          <w:szCs w:val="24"/>
          <w:lang w:val="lt-LT"/>
        </w:rPr>
      </w:pPr>
    </w:p>
    <w:p w14:paraId="465C5D4A" w14:textId="77777777" w:rsidR="007D59EF" w:rsidRPr="00705EEC" w:rsidRDefault="007D59EF" w:rsidP="007D59EF">
      <w:pPr>
        <w:rPr>
          <w:szCs w:val="24"/>
          <w:lang w:val="lt-LT"/>
        </w:rPr>
      </w:pPr>
    </w:p>
    <w:p w14:paraId="6073BEBE" w14:textId="77777777" w:rsidR="007D59EF" w:rsidRPr="00705EEC" w:rsidRDefault="007D59EF" w:rsidP="007D59E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05EEC">
        <w:rPr>
          <w:b/>
          <w:szCs w:val="24"/>
          <w:lang w:val="lt-LT"/>
        </w:rPr>
        <w:t>16.</w:t>
      </w:r>
      <w:r w:rsidRPr="00705EEC">
        <w:rPr>
          <w:b/>
          <w:szCs w:val="24"/>
          <w:lang w:val="lt-LT"/>
        </w:rPr>
        <w:tab/>
        <w:t>INFORMACIJA BRAILIO RAŠTU</w:t>
      </w:r>
    </w:p>
    <w:p w14:paraId="53695737" w14:textId="77777777" w:rsidR="007D59EF" w:rsidRPr="00705EEC" w:rsidRDefault="007D59EF" w:rsidP="007D59EF">
      <w:pPr>
        <w:rPr>
          <w:szCs w:val="24"/>
          <w:lang w:val="lt-LT"/>
        </w:rPr>
      </w:pPr>
    </w:p>
    <w:p w14:paraId="0B43AACE" w14:textId="77777777" w:rsidR="007D59EF" w:rsidRPr="001C7577" w:rsidRDefault="007D59EF" w:rsidP="007D59EF">
      <w:pPr>
        <w:rPr>
          <w:lang w:val="lt-LT"/>
        </w:rPr>
      </w:pPr>
      <w:r w:rsidRPr="001C7577">
        <w:rPr>
          <w:lang w:val="lt-LT"/>
        </w:rPr>
        <w:t xml:space="preserve">Lopinavir /Ritonavir Ranbaxy 100 mg/25 mg </w:t>
      </w:r>
    </w:p>
    <w:p w14:paraId="3DFC61CD" w14:textId="77777777" w:rsidR="007D59EF" w:rsidRPr="001C7577" w:rsidRDefault="007D59EF" w:rsidP="007D59EF">
      <w:pPr>
        <w:rPr>
          <w:lang w:val="lt-LT"/>
        </w:rPr>
      </w:pPr>
      <w:r w:rsidRPr="001C7577">
        <w:rPr>
          <w:highlight w:val="lightGray"/>
          <w:lang w:val="lt-LT"/>
        </w:rPr>
        <w:t xml:space="preserve">Lopinavir /Ritonavir Ranbaxy 200 mg/50 mg </w:t>
      </w:r>
    </w:p>
    <w:p w14:paraId="1640BB75" w14:textId="77777777" w:rsidR="007D59EF" w:rsidRPr="00705EEC" w:rsidRDefault="007D59EF" w:rsidP="007D59EF">
      <w:pPr>
        <w:rPr>
          <w:szCs w:val="24"/>
          <w:lang w:val="lt-LT"/>
        </w:rPr>
      </w:pPr>
    </w:p>
    <w:p w14:paraId="4C644401" w14:textId="77777777" w:rsidR="007D59EF" w:rsidRPr="00705EEC" w:rsidRDefault="007D59EF" w:rsidP="007D59EF">
      <w:pPr>
        <w:rPr>
          <w:szCs w:val="24"/>
          <w:lang w:val="lt-LT"/>
        </w:rPr>
      </w:pPr>
    </w:p>
    <w:p w14:paraId="3D91C5A9" w14:textId="77777777" w:rsidR="007D59EF" w:rsidRPr="00705EEC" w:rsidRDefault="007D59EF" w:rsidP="007D59EF">
      <w:pPr>
        <w:rPr>
          <w:szCs w:val="24"/>
          <w:lang w:val="lt-LT"/>
        </w:rPr>
      </w:pPr>
      <w:r w:rsidRPr="00705EEC">
        <w:rPr>
          <w:szCs w:val="24"/>
          <w:lang w:val="lt-LT"/>
        </w:rPr>
        <w:br w:type="page"/>
      </w:r>
    </w:p>
    <w:p w14:paraId="1C58C26F" w14:textId="77777777" w:rsidR="007D59EF" w:rsidRPr="001C7577"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1C7577">
        <w:rPr>
          <w:b/>
          <w:szCs w:val="24"/>
          <w:lang w:val="lt-LT"/>
        </w:rPr>
        <w:lastRenderedPageBreak/>
        <w:t>INFORMACIJA ANT IŠORINĖS PAKUOTĖS</w:t>
      </w:r>
    </w:p>
    <w:p w14:paraId="1427CE3B"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p>
    <w:p w14:paraId="561F5FDC"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b/>
          <w:szCs w:val="24"/>
          <w:lang w:val="lt-LT"/>
        </w:rPr>
        <w:t>Kartono dėžutė su 3 buteliukais (200 mg/50 mg tabletės)</w:t>
      </w:r>
    </w:p>
    <w:p w14:paraId="0CAD5E21" w14:textId="77777777" w:rsidR="007D59EF" w:rsidRPr="00705EEC" w:rsidRDefault="007D59EF" w:rsidP="007D59EF">
      <w:pPr>
        <w:rPr>
          <w:szCs w:val="24"/>
          <w:lang w:val="lt-LT"/>
        </w:rPr>
      </w:pPr>
    </w:p>
    <w:p w14:paraId="7200DE58" w14:textId="77777777" w:rsidR="007D59EF" w:rsidRPr="00705EEC" w:rsidRDefault="007D59EF" w:rsidP="007D59EF">
      <w:pPr>
        <w:rPr>
          <w:szCs w:val="24"/>
          <w:lang w:val="lt-LT"/>
        </w:rPr>
      </w:pPr>
    </w:p>
    <w:p w14:paraId="265EC550"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1CC464C2" w14:textId="77777777" w:rsidR="007D59EF" w:rsidRPr="001C7577" w:rsidRDefault="007D59EF" w:rsidP="007D59EF">
      <w:pPr>
        <w:rPr>
          <w:lang w:val="lt-LT"/>
        </w:rPr>
      </w:pPr>
    </w:p>
    <w:p w14:paraId="355A2006" w14:textId="77777777" w:rsidR="007D59EF" w:rsidRPr="001C7577" w:rsidRDefault="007D59EF" w:rsidP="007D59EF">
      <w:pPr>
        <w:rPr>
          <w:lang w:val="lt-LT"/>
        </w:rPr>
      </w:pPr>
      <w:r w:rsidRPr="001C7577">
        <w:rPr>
          <w:lang w:val="lt-LT"/>
        </w:rPr>
        <w:t>Lopinavir /Ritonavir Ranbaxy 200 mg/50mg plėvele dengtos tabletės</w:t>
      </w:r>
    </w:p>
    <w:p w14:paraId="5D8B4CD6" w14:textId="77777777" w:rsidR="007D59EF" w:rsidRPr="001C7577" w:rsidRDefault="007D59EF" w:rsidP="007D59EF">
      <w:pPr>
        <w:rPr>
          <w:lang w:val="lt-LT"/>
        </w:rPr>
      </w:pPr>
    </w:p>
    <w:p w14:paraId="440F9299" w14:textId="77777777" w:rsidR="007D59EF" w:rsidRPr="001C7577" w:rsidRDefault="007D59EF" w:rsidP="007D59EF">
      <w:pPr>
        <w:rPr>
          <w:lang w:val="lt-LT"/>
        </w:rPr>
      </w:pPr>
      <w:r w:rsidRPr="001C7577">
        <w:rPr>
          <w:lang w:val="lt-LT"/>
        </w:rPr>
        <w:t>Lopinavirum/ Ritonavirum</w:t>
      </w:r>
    </w:p>
    <w:p w14:paraId="2477BDCB" w14:textId="77777777" w:rsidR="007D59EF" w:rsidRPr="001C7577" w:rsidRDefault="007D59EF" w:rsidP="007D59EF">
      <w:pPr>
        <w:rPr>
          <w:i/>
          <w:lang w:val="lt-LT"/>
        </w:rPr>
      </w:pPr>
    </w:p>
    <w:p w14:paraId="20B8CFCB" w14:textId="77777777" w:rsidR="007D59EF" w:rsidRPr="00705EEC" w:rsidRDefault="007D59EF" w:rsidP="007D59EF">
      <w:pPr>
        <w:rPr>
          <w:szCs w:val="24"/>
          <w:lang w:val="lt-LT"/>
        </w:rPr>
      </w:pPr>
    </w:p>
    <w:p w14:paraId="6D085751"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740A9D95" w14:textId="77777777" w:rsidR="007D59EF" w:rsidRPr="00705EEC" w:rsidRDefault="007D59EF" w:rsidP="007D59EF">
      <w:pPr>
        <w:rPr>
          <w:szCs w:val="24"/>
          <w:lang w:val="lt-LT"/>
        </w:rPr>
      </w:pPr>
    </w:p>
    <w:p w14:paraId="564C5131" w14:textId="77777777" w:rsidR="007D59EF" w:rsidRPr="00705EEC" w:rsidRDefault="007D59EF" w:rsidP="007D59EF">
      <w:pPr>
        <w:rPr>
          <w:szCs w:val="24"/>
          <w:lang w:val="lt-LT"/>
        </w:rPr>
      </w:pPr>
      <w:r w:rsidRPr="001C7577">
        <w:rPr>
          <w:lang w:val="lt-LT"/>
        </w:rPr>
        <w:t>Kiekvienoje plėvele dengtoje tabletėje yra 200 mg lopinaviro kartu su 50 mg ritonaviro farmakokinetikai sustiprinti.</w:t>
      </w:r>
    </w:p>
    <w:p w14:paraId="48D3AC94" w14:textId="77777777" w:rsidR="007D59EF" w:rsidRPr="00705EEC" w:rsidRDefault="007D59EF" w:rsidP="007D59EF">
      <w:pPr>
        <w:rPr>
          <w:szCs w:val="24"/>
          <w:lang w:val="lt-LT"/>
        </w:rPr>
      </w:pPr>
    </w:p>
    <w:p w14:paraId="7B907331" w14:textId="77777777" w:rsidR="007D59EF" w:rsidRPr="00705EEC" w:rsidRDefault="007D59EF" w:rsidP="007D59EF">
      <w:pPr>
        <w:rPr>
          <w:szCs w:val="24"/>
          <w:lang w:val="lt-LT"/>
        </w:rPr>
      </w:pPr>
    </w:p>
    <w:p w14:paraId="6FA01F4D"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6CDDBA97" w14:textId="77777777" w:rsidR="007D59EF" w:rsidRPr="00705EEC" w:rsidRDefault="007D59EF" w:rsidP="007D59EF">
      <w:pPr>
        <w:rPr>
          <w:szCs w:val="24"/>
          <w:lang w:val="lt-LT"/>
        </w:rPr>
      </w:pPr>
    </w:p>
    <w:p w14:paraId="114C292C" w14:textId="77777777" w:rsidR="007D59EF" w:rsidRPr="00705EEC" w:rsidRDefault="007D59EF" w:rsidP="007D59EF">
      <w:pPr>
        <w:rPr>
          <w:lang w:val="lt-LT"/>
        </w:rPr>
      </w:pPr>
      <w:r w:rsidRPr="00705EEC">
        <w:rPr>
          <w:lang w:val="lt-LT"/>
        </w:rPr>
        <w:t>Sudėtyje yra laktozės. Daugiau informacijos pateikta pakuotės lapelyje.</w:t>
      </w:r>
    </w:p>
    <w:p w14:paraId="31D42945" w14:textId="77777777" w:rsidR="007D59EF" w:rsidRPr="00705EEC" w:rsidRDefault="007D59EF" w:rsidP="007D59EF">
      <w:pPr>
        <w:rPr>
          <w:szCs w:val="24"/>
          <w:lang w:val="lt-LT"/>
        </w:rPr>
      </w:pPr>
    </w:p>
    <w:p w14:paraId="333FFCF5" w14:textId="77777777" w:rsidR="007D59EF" w:rsidRPr="00705EEC" w:rsidRDefault="007D59EF" w:rsidP="007D59EF">
      <w:pPr>
        <w:rPr>
          <w:szCs w:val="24"/>
          <w:lang w:val="lt-LT"/>
        </w:rPr>
      </w:pPr>
    </w:p>
    <w:p w14:paraId="38D80205"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51D24A70" w14:textId="77777777" w:rsidR="007D59EF" w:rsidRPr="00705EEC" w:rsidRDefault="007D59EF" w:rsidP="007D59EF">
      <w:pPr>
        <w:rPr>
          <w:szCs w:val="24"/>
          <w:lang w:val="lt-LT"/>
        </w:rPr>
      </w:pPr>
    </w:p>
    <w:p w14:paraId="0B7E959D" w14:textId="77777777" w:rsidR="007D59EF" w:rsidRPr="001C7577" w:rsidRDefault="007D59EF" w:rsidP="007D59EF">
      <w:pPr>
        <w:rPr>
          <w:lang w:val="lt-LT"/>
        </w:rPr>
      </w:pPr>
      <w:r w:rsidRPr="001C7577">
        <w:rPr>
          <w:lang w:val="lt-LT"/>
        </w:rPr>
        <w:t>Plėvele dengta tabletė</w:t>
      </w:r>
    </w:p>
    <w:p w14:paraId="123E633B" w14:textId="77777777" w:rsidR="007D59EF" w:rsidRPr="001C7577" w:rsidRDefault="007D59EF" w:rsidP="007D59EF">
      <w:pPr>
        <w:rPr>
          <w:lang w:val="lt-LT"/>
        </w:rPr>
      </w:pPr>
    </w:p>
    <w:p w14:paraId="7E7194F0" w14:textId="77777777" w:rsidR="007D59EF" w:rsidRPr="001C7577" w:rsidRDefault="007D59EF" w:rsidP="007D59EF">
      <w:pPr>
        <w:rPr>
          <w:lang w:val="lt-LT"/>
        </w:rPr>
      </w:pPr>
      <w:r w:rsidRPr="001C7577">
        <w:rPr>
          <w:lang w:val="lt-LT"/>
        </w:rPr>
        <w:t>360 plėvele dengtų tablečių (3 buteliukai po 120 plėvele dengtų tablečių)</w:t>
      </w:r>
    </w:p>
    <w:p w14:paraId="666BB877" w14:textId="77777777" w:rsidR="007D59EF" w:rsidRPr="001C7577" w:rsidRDefault="007D59EF" w:rsidP="007D59EF">
      <w:pPr>
        <w:rPr>
          <w:lang w:val="lt-LT"/>
        </w:rPr>
      </w:pPr>
    </w:p>
    <w:p w14:paraId="4D90A20B" w14:textId="77777777" w:rsidR="007D59EF" w:rsidRPr="00705EEC" w:rsidRDefault="007D59EF" w:rsidP="007D59EF">
      <w:pPr>
        <w:rPr>
          <w:szCs w:val="24"/>
          <w:lang w:val="lt-LT"/>
        </w:rPr>
      </w:pPr>
    </w:p>
    <w:p w14:paraId="40A560A7"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2379CCA6" w14:textId="77777777" w:rsidR="007D59EF" w:rsidRPr="00705EEC" w:rsidRDefault="007D59EF" w:rsidP="007D59EF">
      <w:pPr>
        <w:rPr>
          <w:szCs w:val="24"/>
          <w:lang w:val="lt-LT"/>
        </w:rPr>
      </w:pPr>
    </w:p>
    <w:p w14:paraId="12ACB7F3" w14:textId="77777777" w:rsidR="007D59EF" w:rsidRPr="001C7577" w:rsidRDefault="007D59EF" w:rsidP="007D59EF">
      <w:pPr>
        <w:rPr>
          <w:szCs w:val="24"/>
          <w:lang w:val="lt-LT"/>
        </w:rPr>
      </w:pPr>
      <w:r w:rsidRPr="001C7577">
        <w:rPr>
          <w:szCs w:val="24"/>
          <w:lang w:val="lt-LT"/>
        </w:rPr>
        <w:t xml:space="preserve">Vartoti per burną. </w:t>
      </w:r>
    </w:p>
    <w:p w14:paraId="0719AF3C" w14:textId="77777777" w:rsidR="007D59EF" w:rsidRPr="00705EEC" w:rsidRDefault="007D59EF" w:rsidP="007D59EF">
      <w:pPr>
        <w:rPr>
          <w:szCs w:val="24"/>
          <w:lang w:val="lt-LT"/>
        </w:rPr>
      </w:pPr>
      <w:r w:rsidRPr="001C7577">
        <w:rPr>
          <w:szCs w:val="24"/>
          <w:lang w:val="lt-LT"/>
        </w:rPr>
        <w:t>Prieš vartojimą perskaitykite pakuotės lapelį.</w:t>
      </w:r>
    </w:p>
    <w:p w14:paraId="7F644EFC" w14:textId="77777777" w:rsidR="007D59EF" w:rsidRPr="00705EEC" w:rsidRDefault="007D59EF" w:rsidP="007D59EF">
      <w:pPr>
        <w:rPr>
          <w:szCs w:val="24"/>
          <w:lang w:val="lt-LT"/>
        </w:rPr>
      </w:pPr>
    </w:p>
    <w:p w14:paraId="4637109C" w14:textId="77777777" w:rsidR="007D59EF" w:rsidRPr="00705EEC" w:rsidRDefault="007D59EF" w:rsidP="007D59EF">
      <w:pPr>
        <w:rPr>
          <w:szCs w:val="24"/>
          <w:lang w:val="lt-LT"/>
        </w:rPr>
      </w:pPr>
    </w:p>
    <w:p w14:paraId="4984FC46"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0DCEEDD6" w14:textId="77777777" w:rsidR="007D59EF" w:rsidRPr="00705EEC" w:rsidRDefault="007D59EF" w:rsidP="007D59EF">
      <w:pPr>
        <w:rPr>
          <w:szCs w:val="24"/>
          <w:lang w:val="lt-LT"/>
        </w:rPr>
      </w:pPr>
    </w:p>
    <w:p w14:paraId="5686ED81" w14:textId="77777777" w:rsidR="007D59EF" w:rsidRPr="00705EEC" w:rsidRDefault="007D59EF" w:rsidP="007D59EF">
      <w:pPr>
        <w:rPr>
          <w:szCs w:val="24"/>
          <w:lang w:val="lt-LT"/>
        </w:rPr>
      </w:pPr>
      <w:r w:rsidRPr="001C7577">
        <w:rPr>
          <w:szCs w:val="24"/>
          <w:lang w:val="lt-LT"/>
        </w:rPr>
        <w:t>Laikyti vaikams nepastebimoje ir nepasiekiamoje vietoje.</w:t>
      </w:r>
    </w:p>
    <w:p w14:paraId="115241A3" w14:textId="77777777" w:rsidR="007D59EF" w:rsidRPr="00705EEC" w:rsidRDefault="007D59EF" w:rsidP="007D59EF">
      <w:pPr>
        <w:rPr>
          <w:szCs w:val="24"/>
          <w:lang w:val="lt-LT"/>
        </w:rPr>
      </w:pPr>
    </w:p>
    <w:p w14:paraId="1BACC08A" w14:textId="77777777" w:rsidR="007D59EF" w:rsidRPr="00705EEC" w:rsidRDefault="007D59EF" w:rsidP="007D59EF">
      <w:pPr>
        <w:rPr>
          <w:szCs w:val="24"/>
          <w:lang w:val="lt-LT"/>
        </w:rPr>
      </w:pPr>
    </w:p>
    <w:p w14:paraId="4D633C0F"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7303E1B0" w14:textId="77777777" w:rsidR="007D59EF" w:rsidRPr="00705EEC" w:rsidRDefault="007D59EF" w:rsidP="007D59EF">
      <w:pPr>
        <w:rPr>
          <w:szCs w:val="24"/>
          <w:lang w:val="lt-LT"/>
        </w:rPr>
      </w:pPr>
    </w:p>
    <w:p w14:paraId="76F61FC2" w14:textId="77777777" w:rsidR="007D59EF" w:rsidRPr="00705EEC" w:rsidRDefault="007D59EF" w:rsidP="007D59EF">
      <w:pPr>
        <w:rPr>
          <w:szCs w:val="24"/>
          <w:lang w:val="lt-LT"/>
        </w:rPr>
      </w:pPr>
    </w:p>
    <w:p w14:paraId="5B2D5B39"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76117C62" w14:textId="77777777" w:rsidR="007D59EF" w:rsidRPr="001C7577" w:rsidRDefault="007D59EF" w:rsidP="007D59EF">
      <w:pPr>
        <w:rPr>
          <w:lang w:val="lt-LT"/>
        </w:rPr>
      </w:pPr>
    </w:p>
    <w:p w14:paraId="17DDC446" w14:textId="77777777" w:rsidR="007D59EF" w:rsidRPr="00705EEC" w:rsidRDefault="007D59EF" w:rsidP="007D59EF">
      <w:pPr>
        <w:rPr>
          <w:lang w:val="lt-LT"/>
        </w:rPr>
      </w:pPr>
      <w:r w:rsidRPr="00705EEC">
        <w:rPr>
          <w:lang w:val="lt-LT"/>
        </w:rPr>
        <w:t>Tinka iki &lt;MMMM.mm.&gt;</w:t>
      </w:r>
    </w:p>
    <w:p w14:paraId="31BF70E5" w14:textId="77777777" w:rsidR="007D59EF" w:rsidRPr="00705EEC" w:rsidRDefault="007D59EF" w:rsidP="007D59EF">
      <w:pPr>
        <w:rPr>
          <w:lang w:val="lt-LT"/>
        </w:rPr>
      </w:pPr>
      <w:r w:rsidRPr="001C7577">
        <w:rPr>
          <w:lang w:val="lt-LT"/>
        </w:rPr>
        <w:t>Pirmą kartą atidarius suvartoti per 30 dienų.</w:t>
      </w:r>
    </w:p>
    <w:p w14:paraId="185AD544" w14:textId="77777777" w:rsidR="007D59EF" w:rsidRPr="00705EEC" w:rsidRDefault="007D59EF" w:rsidP="007D59EF">
      <w:pPr>
        <w:rPr>
          <w:szCs w:val="24"/>
          <w:lang w:val="lt-LT"/>
        </w:rPr>
      </w:pPr>
    </w:p>
    <w:p w14:paraId="6FB43D89" w14:textId="77777777" w:rsidR="007D59EF" w:rsidRPr="00705EEC" w:rsidRDefault="007D59EF" w:rsidP="007D59EF">
      <w:pPr>
        <w:rPr>
          <w:szCs w:val="24"/>
          <w:lang w:val="lt-LT"/>
        </w:rPr>
      </w:pPr>
    </w:p>
    <w:p w14:paraId="70A99492" w14:textId="77777777" w:rsidR="007D59EF" w:rsidRPr="00705EEC" w:rsidRDefault="007D59EF" w:rsidP="007D59E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34B5A325" w14:textId="77777777" w:rsidR="007D59EF" w:rsidRPr="00705EEC" w:rsidRDefault="007D59EF" w:rsidP="007D59EF">
      <w:pPr>
        <w:rPr>
          <w:szCs w:val="24"/>
          <w:lang w:val="lt-LT"/>
        </w:rPr>
      </w:pPr>
    </w:p>
    <w:p w14:paraId="374090E4" w14:textId="77777777" w:rsidR="007D59EF" w:rsidRPr="001C7577" w:rsidRDefault="007D59EF" w:rsidP="007D59EF">
      <w:pPr>
        <w:rPr>
          <w:lang w:val="lt-LT"/>
        </w:rPr>
      </w:pPr>
      <w:r w:rsidRPr="001C7577">
        <w:rPr>
          <w:lang w:val="lt-LT"/>
        </w:rPr>
        <w:t xml:space="preserve">Buteliuką laikyti sandarų, kad preparatas būtų apsaugotas nuo drėgmės. </w:t>
      </w:r>
    </w:p>
    <w:p w14:paraId="43035B7C" w14:textId="77777777" w:rsidR="007D59EF" w:rsidRPr="001C7577" w:rsidRDefault="007D59EF" w:rsidP="007D59EF">
      <w:pPr>
        <w:rPr>
          <w:lang w:val="lt-LT"/>
        </w:rPr>
      </w:pPr>
      <w:r w:rsidRPr="001C7577">
        <w:rPr>
          <w:lang w:val="lt-LT"/>
        </w:rPr>
        <w:t>Pirmą kartą atidarius laikyti žemesnėje kaip 25</w:t>
      </w:r>
      <w:r w:rsidRPr="001C7577">
        <w:rPr>
          <w:vertAlign w:val="superscript"/>
          <w:lang w:val="lt-LT"/>
        </w:rPr>
        <w:t>o</w:t>
      </w:r>
      <w:r w:rsidRPr="001C7577">
        <w:rPr>
          <w:lang w:val="lt-LT"/>
        </w:rPr>
        <w:t>C temperatūroje, gamintojo pakuotėje, kad preparatas būtų apsaugotas nuo drėgmės.</w:t>
      </w:r>
    </w:p>
    <w:p w14:paraId="72D98A06" w14:textId="77777777" w:rsidR="007D59EF" w:rsidRPr="00705EEC" w:rsidRDefault="007D59EF" w:rsidP="007D59EF">
      <w:pPr>
        <w:rPr>
          <w:szCs w:val="24"/>
          <w:lang w:val="lt-LT"/>
        </w:rPr>
      </w:pPr>
    </w:p>
    <w:p w14:paraId="1E90EA30" w14:textId="77777777" w:rsidR="007D59EF" w:rsidRPr="00705EEC" w:rsidRDefault="007D59EF" w:rsidP="007D59EF">
      <w:pPr>
        <w:rPr>
          <w:szCs w:val="24"/>
          <w:lang w:val="lt-LT"/>
        </w:rPr>
      </w:pPr>
    </w:p>
    <w:p w14:paraId="3874FD64"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7B29C9E1" w14:textId="77777777" w:rsidR="007D59EF" w:rsidRPr="00705EEC" w:rsidRDefault="007D59EF" w:rsidP="007D59EF">
      <w:pPr>
        <w:rPr>
          <w:szCs w:val="24"/>
          <w:lang w:val="lt-LT"/>
        </w:rPr>
      </w:pPr>
    </w:p>
    <w:p w14:paraId="0D32B3CE" w14:textId="77777777" w:rsidR="007D59EF" w:rsidRPr="00705EEC" w:rsidRDefault="007D59EF" w:rsidP="007D59EF">
      <w:pPr>
        <w:rPr>
          <w:szCs w:val="24"/>
          <w:lang w:val="lt-LT"/>
        </w:rPr>
      </w:pPr>
    </w:p>
    <w:p w14:paraId="6D288B13" w14:textId="1AB3C753"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003C1B10" w:rsidRPr="003C1B10">
        <w:rPr>
          <w:b/>
          <w:caps/>
          <w:szCs w:val="24"/>
          <w:lang w:val="lt-LT"/>
        </w:rPr>
        <w:t xml:space="preserve">REGISTRUOTOJO </w:t>
      </w:r>
      <w:r w:rsidRPr="001C7577">
        <w:rPr>
          <w:b/>
          <w:caps/>
          <w:szCs w:val="24"/>
          <w:lang w:val="lt-LT"/>
        </w:rPr>
        <w:t xml:space="preserve"> PAVADINIMAS IR ADRESAS</w:t>
      </w:r>
    </w:p>
    <w:p w14:paraId="476C3C4E" w14:textId="77777777" w:rsidR="007D59EF" w:rsidRPr="00705EEC" w:rsidRDefault="007D59EF" w:rsidP="007D59EF">
      <w:pPr>
        <w:rPr>
          <w:szCs w:val="24"/>
          <w:lang w:val="lt-LT"/>
        </w:rPr>
      </w:pPr>
    </w:p>
    <w:p w14:paraId="1E526576" w14:textId="77777777" w:rsidR="007D59EF" w:rsidRPr="001C7577" w:rsidRDefault="007D59EF" w:rsidP="007D59EF">
      <w:pPr>
        <w:rPr>
          <w:lang w:val="lt-LT"/>
        </w:rPr>
      </w:pPr>
      <w:r w:rsidRPr="001C7577">
        <w:rPr>
          <w:lang w:val="lt-LT"/>
        </w:rPr>
        <w:t>Ranbaxy (UK) Limited</w:t>
      </w:r>
    </w:p>
    <w:p w14:paraId="5A0B33A3" w14:textId="77777777" w:rsidR="007D59EF" w:rsidRPr="001C7577" w:rsidRDefault="007D59EF" w:rsidP="007D59EF">
      <w:pPr>
        <w:rPr>
          <w:lang w:val="lt-LT"/>
        </w:rPr>
      </w:pPr>
      <w:r w:rsidRPr="001C7577">
        <w:rPr>
          <w:lang w:val="lt-LT"/>
        </w:rPr>
        <w:t>Building 4, Chiswick Park</w:t>
      </w:r>
    </w:p>
    <w:p w14:paraId="7AC8D0E6" w14:textId="77777777" w:rsidR="007D59EF" w:rsidRPr="001C7577" w:rsidRDefault="007D59EF" w:rsidP="007D59EF">
      <w:pPr>
        <w:rPr>
          <w:lang w:val="lt-LT"/>
        </w:rPr>
      </w:pPr>
      <w:r w:rsidRPr="001C7577">
        <w:rPr>
          <w:lang w:val="lt-LT"/>
        </w:rPr>
        <w:t xml:space="preserve">566 Chiswick High Road </w:t>
      </w:r>
    </w:p>
    <w:p w14:paraId="0502FBD9" w14:textId="77777777" w:rsidR="007D59EF" w:rsidRPr="001C7577" w:rsidRDefault="007D59EF" w:rsidP="007D59EF">
      <w:pPr>
        <w:rPr>
          <w:lang w:val="lt-LT"/>
        </w:rPr>
      </w:pPr>
      <w:r w:rsidRPr="001C7577">
        <w:rPr>
          <w:lang w:val="lt-LT"/>
        </w:rPr>
        <w:t>London, W4 5YE</w:t>
      </w:r>
    </w:p>
    <w:p w14:paraId="5E8463B6" w14:textId="77777777" w:rsidR="007D59EF" w:rsidRPr="00705EEC" w:rsidRDefault="007D59EF" w:rsidP="007D59EF">
      <w:pPr>
        <w:rPr>
          <w:szCs w:val="24"/>
          <w:lang w:val="lt-LT"/>
        </w:rPr>
      </w:pPr>
      <w:r w:rsidRPr="001C7577">
        <w:rPr>
          <w:lang w:val="lt-LT"/>
        </w:rPr>
        <w:t>Jungtinė Karalystė</w:t>
      </w:r>
    </w:p>
    <w:p w14:paraId="17F21995" w14:textId="77777777" w:rsidR="007D59EF" w:rsidRPr="00705EEC" w:rsidRDefault="007D59EF" w:rsidP="007D59EF">
      <w:pPr>
        <w:rPr>
          <w:szCs w:val="24"/>
          <w:lang w:val="lt-LT"/>
        </w:rPr>
      </w:pPr>
    </w:p>
    <w:p w14:paraId="3DCC2226" w14:textId="77777777" w:rsidR="007D59EF" w:rsidRPr="00705EEC" w:rsidRDefault="007D59EF" w:rsidP="007D59EF">
      <w:pPr>
        <w:rPr>
          <w:szCs w:val="24"/>
          <w:lang w:val="lt-LT"/>
        </w:rPr>
      </w:pPr>
    </w:p>
    <w:p w14:paraId="5B46EE69" w14:textId="7DF27E0F"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003C1B10">
        <w:rPr>
          <w:b/>
          <w:noProof/>
          <w:szCs w:val="24"/>
          <w:lang w:val="lt-LT"/>
        </w:rPr>
        <w:t xml:space="preserve">REGISTRACIJOS </w:t>
      </w:r>
      <w:r w:rsidRPr="00705EEC">
        <w:rPr>
          <w:b/>
          <w:szCs w:val="24"/>
          <w:lang w:val="lt-LT"/>
        </w:rPr>
        <w:t xml:space="preserve">PAŽYMĖJIMO NUMERIS (-IAI) </w:t>
      </w:r>
    </w:p>
    <w:p w14:paraId="4B350D7B" w14:textId="77777777" w:rsidR="007D59EF" w:rsidRPr="00705EEC" w:rsidRDefault="007D59EF" w:rsidP="007D59EF">
      <w:pPr>
        <w:rPr>
          <w:szCs w:val="24"/>
          <w:lang w:val="lt-LT"/>
        </w:rPr>
      </w:pPr>
    </w:p>
    <w:p w14:paraId="4D5311A2" w14:textId="77777777" w:rsidR="007D59EF" w:rsidRPr="00705EEC" w:rsidRDefault="007D59EF" w:rsidP="007D59EF">
      <w:pPr>
        <w:rPr>
          <w:bCs/>
          <w:lang w:val="lt-LT"/>
        </w:rPr>
      </w:pPr>
      <w:r w:rsidRPr="00705EEC">
        <w:rPr>
          <w:bCs/>
          <w:lang w:val="lt-LT"/>
        </w:rPr>
        <w:t>N3x120 - LT/1/14/3510/006 (sudėtinė pakuotė)</w:t>
      </w:r>
    </w:p>
    <w:p w14:paraId="06D8478D" w14:textId="77777777" w:rsidR="007D59EF" w:rsidRPr="00705EEC" w:rsidRDefault="007D59EF" w:rsidP="007D59EF">
      <w:pPr>
        <w:rPr>
          <w:szCs w:val="24"/>
          <w:lang w:val="lt-LT"/>
        </w:rPr>
      </w:pPr>
    </w:p>
    <w:p w14:paraId="323D9B94" w14:textId="77777777" w:rsidR="007D59EF" w:rsidRPr="00705EEC" w:rsidRDefault="007D59EF" w:rsidP="007D59EF">
      <w:pPr>
        <w:rPr>
          <w:szCs w:val="24"/>
          <w:lang w:val="lt-LT"/>
        </w:rPr>
      </w:pPr>
    </w:p>
    <w:p w14:paraId="00864ED1"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3B8A576E" w14:textId="77777777" w:rsidR="007D59EF" w:rsidRPr="00705EEC" w:rsidRDefault="007D59EF" w:rsidP="007D59EF">
      <w:pPr>
        <w:rPr>
          <w:lang w:val="lt-LT"/>
        </w:rPr>
      </w:pPr>
    </w:p>
    <w:p w14:paraId="4548F6F2" w14:textId="77777777" w:rsidR="007D59EF" w:rsidRPr="001C7577" w:rsidRDefault="007D59EF" w:rsidP="007D59EF">
      <w:pPr>
        <w:rPr>
          <w:lang w:val="lt-LT"/>
        </w:rPr>
      </w:pPr>
      <w:r w:rsidRPr="00705EEC">
        <w:rPr>
          <w:lang w:val="lt-LT"/>
        </w:rPr>
        <w:t xml:space="preserve">Serija </w:t>
      </w:r>
    </w:p>
    <w:p w14:paraId="1B367B02" w14:textId="77777777" w:rsidR="007D59EF" w:rsidRPr="00705EEC" w:rsidRDefault="007D59EF" w:rsidP="007D59EF">
      <w:pPr>
        <w:rPr>
          <w:szCs w:val="24"/>
          <w:lang w:val="lt-LT"/>
        </w:rPr>
      </w:pPr>
    </w:p>
    <w:p w14:paraId="1419AE15" w14:textId="77777777" w:rsidR="007D59EF" w:rsidRPr="00705EEC" w:rsidRDefault="007D59EF" w:rsidP="007D59EF">
      <w:pPr>
        <w:rPr>
          <w:szCs w:val="24"/>
          <w:lang w:val="lt-LT"/>
        </w:rPr>
      </w:pPr>
    </w:p>
    <w:p w14:paraId="38381181"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5A044C57" w14:textId="77777777" w:rsidR="007D59EF" w:rsidRPr="00705EEC" w:rsidRDefault="007D59EF" w:rsidP="007D59EF">
      <w:pPr>
        <w:rPr>
          <w:szCs w:val="24"/>
          <w:lang w:val="lt-LT"/>
        </w:rPr>
      </w:pPr>
    </w:p>
    <w:p w14:paraId="71F19492" w14:textId="77777777" w:rsidR="007D59EF" w:rsidRPr="00705EEC" w:rsidRDefault="007D59EF" w:rsidP="007D59EF">
      <w:pPr>
        <w:rPr>
          <w:szCs w:val="24"/>
          <w:lang w:val="lt-LT"/>
        </w:rPr>
      </w:pPr>
      <w:r w:rsidRPr="00705EEC">
        <w:rPr>
          <w:lang w:val="lt-LT"/>
        </w:rPr>
        <w:t>Receptinis vaistinis preparatas</w:t>
      </w:r>
    </w:p>
    <w:p w14:paraId="5BDDA59D" w14:textId="77777777" w:rsidR="007D59EF" w:rsidRPr="00705EEC" w:rsidRDefault="007D59EF" w:rsidP="007D59EF">
      <w:pPr>
        <w:rPr>
          <w:szCs w:val="24"/>
          <w:lang w:val="lt-LT"/>
        </w:rPr>
      </w:pPr>
    </w:p>
    <w:p w14:paraId="61276C8C" w14:textId="77777777" w:rsidR="007D59EF" w:rsidRPr="00705EEC" w:rsidRDefault="007D59EF" w:rsidP="007D59EF">
      <w:pPr>
        <w:rPr>
          <w:szCs w:val="24"/>
          <w:lang w:val="lt-LT"/>
        </w:rPr>
      </w:pPr>
    </w:p>
    <w:p w14:paraId="407C2202" w14:textId="77777777" w:rsidR="007D59EF" w:rsidRPr="00705EEC" w:rsidRDefault="007D59EF" w:rsidP="007D59E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753176D2" w14:textId="77777777" w:rsidR="007D59EF" w:rsidRPr="00705EEC" w:rsidRDefault="007D59EF" w:rsidP="007D59EF">
      <w:pPr>
        <w:rPr>
          <w:szCs w:val="24"/>
          <w:lang w:val="lt-LT"/>
        </w:rPr>
      </w:pPr>
    </w:p>
    <w:p w14:paraId="05A85D2A" w14:textId="77777777" w:rsidR="007D59EF" w:rsidRPr="00705EEC" w:rsidRDefault="007D59EF" w:rsidP="007D59EF">
      <w:pPr>
        <w:rPr>
          <w:szCs w:val="24"/>
          <w:lang w:val="lt-LT"/>
        </w:rPr>
      </w:pPr>
    </w:p>
    <w:p w14:paraId="270AC5F0" w14:textId="77777777" w:rsidR="007D59EF" w:rsidRPr="00705EEC" w:rsidRDefault="007D59EF" w:rsidP="007D59E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05EEC">
        <w:rPr>
          <w:b/>
          <w:szCs w:val="24"/>
          <w:lang w:val="lt-LT"/>
        </w:rPr>
        <w:t>16.</w:t>
      </w:r>
      <w:r w:rsidRPr="00705EEC">
        <w:rPr>
          <w:b/>
          <w:szCs w:val="24"/>
          <w:lang w:val="lt-LT"/>
        </w:rPr>
        <w:tab/>
        <w:t>INFORMACIJA BRAILIO RAŠTU</w:t>
      </w:r>
    </w:p>
    <w:p w14:paraId="63584C12" w14:textId="77777777" w:rsidR="007D59EF" w:rsidRPr="00705EEC" w:rsidRDefault="007D59EF" w:rsidP="007D59EF">
      <w:pPr>
        <w:rPr>
          <w:szCs w:val="24"/>
          <w:lang w:val="lt-LT"/>
        </w:rPr>
      </w:pPr>
    </w:p>
    <w:p w14:paraId="4D6B3E1B" w14:textId="77777777" w:rsidR="007D59EF" w:rsidRPr="001C7577" w:rsidRDefault="007D59EF" w:rsidP="007D59EF">
      <w:pPr>
        <w:rPr>
          <w:lang w:val="lt-LT"/>
        </w:rPr>
      </w:pPr>
      <w:r w:rsidRPr="001C7577">
        <w:rPr>
          <w:lang w:val="lt-LT"/>
        </w:rPr>
        <w:t xml:space="preserve">Lopinavir /Ritonavir Ranbaxy 200 mg/ 50mg </w:t>
      </w:r>
    </w:p>
    <w:p w14:paraId="263A7D68"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szCs w:val="24"/>
          <w:lang w:val="lt-LT"/>
        </w:rPr>
        <w:br w:type="page"/>
      </w:r>
      <w:r w:rsidRPr="001C7577">
        <w:rPr>
          <w:b/>
          <w:szCs w:val="24"/>
          <w:lang w:val="lt-LT"/>
        </w:rPr>
        <w:lastRenderedPageBreak/>
        <w:t>INFORMACIJA ANT IŠORINĖS PAKUOTĖS</w:t>
      </w:r>
    </w:p>
    <w:p w14:paraId="2CE9D254"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136A84D"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705EEC">
        <w:rPr>
          <w:b/>
          <w:szCs w:val="24"/>
          <w:lang w:val="lt-LT"/>
        </w:rPr>
        <w:t>Dėžutė, kurioje yra plėvele dengtos tabletės lizdinėse plokštelėse</w:t>
      </w:r>
    </w:p>
    <w:p w14:paraId="48E345E6" w14:textId="77777777" w:rsidR="007D59EF" w:rsidRPr="00705EEC" w:rsidRDefault="007D59EF" w:rsidP="007D59EF">
      <w:pPr>
        <w:rPr>
          <w:szCs w:val="24"/>
          <w:lang w:val="lt-LT"/>
        </w:rPr>
      </w:pPr>
    </w:p>
    <w:p w14:paraId="51FD5DAC" w14:textId="77777777" w:rsidR="007D59EF" w:rsidRPr="00705EEC" w:rsidRDefault="007D59EF" w:rsidP="007D59EF">
      <w:pPr>
        <w:rPr>
          <w:szCs w:val="24"/>
          <w:lang w:val="lt-LT"/>
        </w:rPr>
      </w:pPr>
    </w:p>
    <w:p w14:paraId="7FFF7682"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06725011" w14:textId="77777777" w:rsidR="007D59EF" w:rsidRPr="00705EEC" w:rsidRDefault="007D59EF" w:rsidP="007D59EF">
      <w:pPr>
        <w:rPr>
          <w:szCs w:val="24"/>
          <w:lang w:val="lt-LT"/>
        </w:rPr>
      </w:pPr>
    </w:p>
    <w:p w14:paraId="6A7652CC" w14:textId="77777777" w:rsidR="007D59EF" w:rsidRPr="001C7577" w:rsidRDefault="007D59EF" w:rsidP="007D59EF">
      <w:pPr>
        <w:rPr>
          <w:lang w:val="lt-LT"/>
        </w:rPr>
      </w:pPr>
      <w:r w:rsidRPr="001C7577">
        <w:rPr>
          <w:lang w:val="lt-LT"/>
        </w:rPr>
        <w:t>Lopinavir /Ritonavir Ranbaxy 100 mg/25 mg plėvele dengtos tabletės</w:t>
      </w:r>
    </w:p>
    <w:p w14:paraId="585345E8" w14:textId="77777777" w:rsidR="007D59EF" w:rsidRPr="001C7577" w:rsidRDefault="007D59EF" w:rsidP="007D59EF">
      <w:pPr>
        <w:rPr>
          <w:lang w:val="lt-LT"/>
        </w:rPr>
      </w:pPr>
      <w:r w:rsidRPr="001C7577">
        <w:rPr>
          <w:highlight w:val="lightGray"/>
          <w:lang w:val="lt-LT"/>
        </w:rPr>
        <w:t>Lopinavir /Ritonavir Ranbaxy 200 mg/50 mg plėvele dengtos tabletės</w:t>
      </w:r>
    </w:p>
    <w:p w14:paraId="0DADC168" w14:textId="77777777" w:rsidR="007D59EF" w:rsidRPr="001C7577" w:rsidRDefault="007D59EF" w:rsidP="007D59EF">
      <w:pPr>
        <w:rPr>
          <w:lang w:val="lt-LT"/>
        </w:rPr>
      </w:pPr>
    </w:p>
    <w:p w14:paraId="5DE16A60" w14:textId="77777777" w:rsidR="007D59EF" w:rsidRPr="001C7577" w:rsidRDefault="007D59EF" w:rsidP="007D59EF">
      <w:pPr>
        <w:rPr>
          <w:lang w:val="lt-LT"/>
        </w:rPr>
      </w:pPr>
      <w:r w:rsidRPr="001C7577">
        <w:rPr>
          <w:lang w:val="lt-LT"/>
        </w:rPr>
        <w:t>Lopinavirum/ Ritonavirum</w:t>
      </w:r>
    </w:p>
    <w:p w14:paraId="2BBADC89" w14:textId="77777777" w:rsidR="007D59EF" w:rsidRPr="00705EEC" w:rsidRDefault="007D59EF" w:rsidP="007D59EF">
      <w:pPr>
        <w:rPr>
          <w:szCs w:val="24"/>
          <w:lang w:val="lt-LT"/>
        </w:rPr>
      </w:pPr>
    </w:p>
    <w:p w14:paraId="3AAB50AE" w14:textId="77777777" w:rsidR="007D59EF" w:rsidRPr="00705EEC" w:rsidRDefault="007D59EF" w:rsidP="007D59EF">
      <w:pPr>
        <w:rPr>
          <w:szCs w:val="24"/>
          <w:lang w:val="lt-LT"/>
        </w:rPr>
      </w:pPr>
    </w:p>
    <w:p w14:paraId="5943060A"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7B4B9DDF" w14:textId="77777777" w:rsidR="007D59EF" w:rsidRPr="00705EEC" w:rsidRDefault="007D59EF" w:rsidP="007D59EF">
      <w:pPr>
        <w:rPr>
          <w:szCs w:val="24"/>
          <w:lang w:val="lt-LT"/>
        </w:rPr>
      </w:pPr>
    </w:p>
    <w:p w14:paraId="1EF477F6" w14:textId="77777777" w:rsidR="007D59EF" w:rsidRPr="001C7577" w:rsidRDefault="007D59EF" w:rsidP="007D59EF">
      <w:pPr>
        <w:rPr>
          <w:lang w:val="lt-LT"/>
        </w:rPr>
      </w:pPr>
      <w:r w:rsidRPr="001C7577">
        <w:rPr>
          <w:lang w:val="lt-LT"/>
        </w:rPr>
        <w:t>Kiekvienoje plėvele dengtoje tabletėje yra 100 mg lopinaviro kartu su 25 mg ritonaviro farmakokinetikai sustiprinti.</w:t>
      </w:r>
    </w:p>
    <w:p w14:paraId="23AAED43" w14:textId="77777777" w:rsidR="007D59EF" w:rsidRPr="001C7577" w:rsidRDefault="007D59EF" w:rsidP="007D59EF">
      <w:pPr>
        <w:rPr>
          <w:highlight w:val="lightGray"/>
          <w:lang w:val="lt-LT"/>
        </w:rPr>
      </w:pPr>
      <w:r w:rsidRPr="001C7577">
        <w:rPr>
          <w:highlight w:val="lightGray"/>
          <w:lang w:val="lt-LT"/>
        </w:rPr>
        <w:t>Kiekvienoje plėvele dengtoje tabletėje yra 200 mg lopinaviro kartu su 50 mg ritonaviro farmakokinetikai sustiprinti.</w:t>
      </w:r>
    </w:p>
    <w:p w14:paraId="6F5CF575" w14:textId="77777777" w:rsidR="007D59EF" w:rsidRPr="00705EEC" w:rsidRDefault="007D59EF" w:rsidP="007D59EF">
      <w:pPr>
        <w:rPr>
          <w:szCs w:val="24"/>
          <w:lang w:val="lt-LT"/>
        </w:rPr>
      </w:pPr>
    </w:p>
    <w:p w14:paraId="5C418CB4" w14:textId="77777777" w:rsidR="007D59EF" w:rsidRPr="00705EEC" w:rsidRDefault="007D59EF" w:rsidP="007D59EF">
      <w:pPr>
        <w:rPr>
          <w:szCs w:val="24"/>
          <w:lang w:val="lt-LT"/>
        </w:rPr>
      </w:pPr>
    </w:p>
    <w:p w14:paraId="59BFB154"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2A02B87C" w14:textId="77777777" w:rsidR="007D59EF" w:rsidRPr="00705EEC" w:rsidRDefault="007D59EF" w:rsidP="007D59EF">
      <w:pPr>
        <w:rPr>
          <w:szCs w:val="24"/>
          <w:lang w:val="lt-LT"/>
        </w:rPr>
      </w:pPr>
    </w:p>
    <w:p w14:paraId="456C4623" w14:textId="77777777" w:rsidR="007D59EF" w:rsidRPr="00705EEC" w:rsidRDefault="007D59EF" w:rsidP="007D59EF">
      <w:pPr>
        <w:rPr>
          <w:lang w:val="lt-LT"/>
        </w:rPr>
      </w:pPr>
      <w:r w:rsidRPr="00705EEC">
        <w:rPr>
          <w:lang w:val="lt-LT"/>
        </w:rPr>
        <w:t>Sudėtyje yra laktozės. Daugiau informacijos pateikta pakuotės lapelyje.</w:t>
      </w:r>
    </w:p>
    <w:p w14:paraId="65CB856E" w14:textId="77777777" w:rsidR="007D59EF" w:rsidRPr="00705EEC" w:rsidRDefault="007D59EF" w:rsidP="007D59EF">
      <w:pPr>
        <w:rPr>
          <w:lang w:val="lt-LT"/>
        </w:rPr>
      </w:pPr>
    </w:p>
    <w:p w14:paraId="4BCAA933" w14:textId="77777777" w:rsidR="007D59EF" w:rsidRPr="00705EEC" w:rsidRDefault="007D59EF" w:rsidP="007D59EF">
      <w:pPr>
        <w:rPr>
          <w:szCs w:val="24"/>
          <w:lang w:val="lt-LT"/>
        </w:rPr>
      </w:pPr>
    </w:p>
    <w:p w14:paraId="38C9D402"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31D71955" w14:textId="77777777" w:rsidR="007D59EF" w:rsidRPr="00705EEC" w:rsidRDefault="007D59EF" w:rsidP="007D59EF">
      <w:pPr>
        <w:rPr>
          <w:szCs w:val="24"/>
          <w:lang w:val="lt-LT"/>
        </w:rPr>
      </w:pPr>
    </w:p>
    <w:p w14:paraId="23F3AC18" w14:textId="77777777" w:rsidR="007D59EF" w:rsidRPr="001C7577" w:rsidRDefault="007D59EF" w:rsidP="007D59EF">
      <w:pPr>
        <w:rPr>
          <w:lang w:val="lt-LT"/>
        </w:rPr>
      </w:pPr>
      <w:r w:rsidRPr="001C7577">
        <w:rPr>
          <w:lang w:val="lt-LT"/>
        </w:rPr>
        <w:t>Plėvele dengta tabletė</w:t>
      </w:r>
    </w:p>
    <w:p w14:paraId="561DE2DE" w14:textId="77777777" w:rsidR="007D59EF" w:rsidRPr="001C7577" w:rsidRDefault="007D59EF" w:rsidP="007D59EF">
      <w:pPr>
        <w:rPr>
          <w:lang w:val="lt-LT"/>
        </w:rPr>
      </w:pPr>
    </w:p>
    <w:p w14:paraId="539549CC" w14:textId="77777777" w:rsidR="007D59EF" w:rsidRPr="001C7577" w:rsidRDefault="007D59EF" w:rsidP="007D59EF">
      <w:pPr>
        <w:rPr>
          <w:lang w:val="lt-LT"/>
        </w:rPr>
      </w:pPr>
      <w:r w:rsidRPr="001C7577">
        <w:rPr>
          <w:lang w:val="lt-LT"/>
        </w:rPr>
        <w:t>60 plėvele dengtų tablečių</w:t>
      </w:r>
      <w:r w:rsidRPr="001C7577">
        <w:rPr>
          <w:lang w:val="lt-LT"/>
        </w:rPr>
        <w:tab/>
      </w:r>
    </w:p>
    <w:p w14:paraId="213CE736" w14:textId="77777777" w:rsidR="007D59EF" w:rsidRPr="001C7577" w:rsidRDefault="007D59EF" w:rsidP="007D59EF">
      <w:pPr>
        <w:rPr>
          <w:lang w:val="lt-LT"/>
        </w:rPr>
      </w:pPr>
      <w:r w:rsidRPr="001C7577">
        <w:rPr>
          <w:highlight w:val="lightGray"/>
          <w:lang w:val="lt-LT"/>
        </w:rPr>
        <w:t>120 plėvele dengtų tablečių</w:t>
      </w:r>
    </w:p>
    <w:p w14:paraId="387EBCC3" w14:textId="77777777" w:rsidR="007D59EF" w:rsidRPr="00705EEC" w:rsidRDefault="007D59EF" w:rsidP="007D59EF">
      <w:pPr>
        <w:rPr>
          <w:szCs w:val="24"/>
          <w:lang w:val="lt-LT"/>
        </w:rPr>
      </w:pPr>
    </w:p>
    <w:p w14:paraId="711C5CE1" w14:textId="77777777" w:rsidR="007D59EF" w:rsidRPr="00705EEC" w:rsidRDefault="007D59EF" w:rsidP="007D59EF">
      <w:pPr>
        <w:rPr>
          <w:szCs w:val="24"/>
          <w:lang w:val="lt-LT"/>
        </w:rPr>
      </w:pPr>
    </w:p>
    <w:p w14:paraId="68240DFC"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4A396C1D" w14:textId="77777777" w:rsidR="007D59EF" w:rsidRPr="00705EEC" w:rsidRDefault="007D59EF" w:rsidP="007D59EF">
      <w:pPr>
        <w:rPr>
          <w:szCs w:val="24"/>
          <w:lang w:val="lt-LT"/>
        </w:rPr>
      </w:pPr>
    </w:p>
    <w:p w14:paraId="17F58023" w14:textId="77777777" w:rsidR="007D59EF" w:rsidRPr="001C7577" w:rsidRDefault="007D59EF" w:rsidP="007D59EF">
      <w:pPr>
        <w:rPr>
          <w:szCs w:val="24"/>
          <w:lang w:val="lt-LT"/>
        </w:rPr>
      </w:pPr>
      <w:r w:rsidRPr="001C7577">
        <w:rPr>
          <w:szCs w:val="24"/>
          <w:lang w:val="lt-LT"/>
        </w:rPr>
        <w:t xml:space="preserve">Vartoti per burną. </w:t>
      </w:r>
    </w:p>
    <w:p w14:paraId="40416BE6" w14:textId="77777777" w:rsidR="007D59EF" w:rsidRPr="00705EEC" w:rsidRDefault="007D59EF" w:rsidP="007D59EF">
      <w:pPr>
        <w:rPr>
          <w:szCs w:val="24"/>
          <w:lang w:val="lt-LT"/>
        </w:rPr>
      </w:pPr>
      <w:r w:rsidRPr="001C7577">
        <w:rPr>
          <w:szCs w:val="24"/>
          <w:lang w:val="lt-LT"/>
        </w:rPr>
        <w:t>Prieš vartojimą perskaitykite pakuotės lapelį.</w:t>
      </w:r>
    </w:p>
    <w:p w14:paraId="28D51E56" w14:textId="77777777" w:rsidR="007D59EF" w:rsidRPr="00705EEC" w:rsidRDefault="007D59EF" w:rsidP="007D59EF">
      <w:pPr>
        <w:rPr>
          <w:szCs w:val="24"/>
          <w:lang w:val="lt-LT"/>
        </w:rPr>
      </w:pPr>
    </w:p>
    <w:p w14:paraId="12F9A389" w14:textId="77777777" w:rsidR="007D59EF" w:rsidRPr="00705EEC" w:rsidRDefault="007D59EF" w:rsidP="007D59EF">
      <w:pPr>
        <w:rPr>
          <w:szCs w:val="24"/>
          <w:lang w:val="lt-LT"/>
        </w:rPr>
      </w:pPr>
    </w:p>
    <w:p w14:paraId="0E036D87"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348D94B5" w14:textId="77777777" w:rsidR="007D59EF" w:rsidRPr="00705EEC" w:rsidRDefault="007D59EF" w:rsidP="007D59EF">
      <w:pPr>
        <w:rPr>
          <w:szCs w:val="24"/>
          <w:lang w:val="lt-LT"/>
        </w:rPr>
      </w:pPr>
    </w:p>
    <w:p w14:paraId="368EB43A" w14:textId="77777777" w:rsidR="007D59EF" w:rsidRPr="00705EEC" w:rsidRDefault="007D59EF" w:rsidP="007D59EF">
      <w:pPr>
        <w:rPr>
          <w:szCs w:val="24"/>
          <w:lang w:val="lt-LT"/>
        </w:rPr>
      </w:pPr>
      <w:r w:rsidRPr="001C7577">
        <w:rPr>
          <w:szCs w:val="24"/>
          <w:lang w:val="lt-LT"/>
        </w:rPr>
        <w:t>Laikyti vaikams nepastebimoje ir nepasiekiamoje vietoje.</w:t>
      </w:r>
    </w:p>
    <w:p w14:paraId="1BA4F20F" w14:textId="77777777" w:rsidR="007D59EF" w:rsidRPr="00705EEC" w:rsidRDefault="007D59EF" w:rsidP="007D59EF">
      <w:pPr>
        <w:rPr>
          <w:szCs w:val="24"/>
          <w:lang w:val="lt-LT"/>
        </w:rPr>
      </w:pPr>
    </w:p>
    <w:p w14:paraId="21E6ECE3" w14:textId="77777777" w:rsidR="007D59EF" w:rsidRPr="00705EEC" w:rsidRDefault="007D59EF" w:rsidP="007D59EF">
      <w:pPr>
        <w:rPr>
          <w:szCs w:val="24"/>
          <w:lang w:val="lt-LT"/>
        </w:rPr>
      </w:pPr>
    </w:p>
    <w:p w14:paraId="331A8639"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1B9C16AB" w14:textId="77777777" w:rsidR="007D59EF" w:rsidRPr="00705EEC" w:rsidRDefault="007D59EF" w:rsidP="007D59EF">
      <w:pPr>
        <w:rPr>
          <w:szCs w:val="24"/>
          <w:lang w:val="lt-LT"/>
        </w:rPr>
      </w:pPr>
    </w:p>
    <w:p w14:paraId="4E1E6F6B" w14:textId="77777777" w:rsidR="007D59EF" w:rsidRPr="00705EEC" w:rsidRDefault="007D59EF" w:rsidP="007D59EF">
      <w:pPr>
        <w:rPr>
          <w:szCs w:val="24"/>
          <w:lang w:val="lt-LT"/>
        </w:rPr>
      </w:pPr>
    </w:p>
    <w:p w14:paraId="00A538C9"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5D80337C" w14:textId="77777777" w:rsidR="007D59EF" w:rsidRPr="001C7577" w:rsidRDefault="007D59EF" w:rsidP="007D59EF">
      <w:pPr>
        <w:rPr>
          <w:lang w:val="lt-LT"/>
        </w:rPr>
      </w:pPr>
    </w:p>
    <w:p w14:paraId="1A440C4B" w14:textId="77777777" w:rsidR="007D59EF" w:rsidRPr="001C7577" w:rsidRDefault="007D59EF" w:rsidP="007D59EF">
      <w:pPr>
        <w:rPr>
          <w:lang w:val="lt-LT"/>
        </w:rPr>
      </w:pPr>
      <w:r w:rsidRPr="001C7577">
        <w:rPr>
          <w:lang w:val="lt-LT"/>
        </w:rPr>
        <w:t>Tinka iki &lt;MMMM.mm.&gt;</w:t>
      </w:r>
    </w:p>
    <w:p w14:paraId="3F985BEF" w14:textId="77777777" w:rsidR="007D59EF" w:rsidRPr="001C7577" w:rsidRDefault="007D59EF" w:rsidP="007D59EF">
      <w:pPr>
        <w:rPr>
          <w:lang w:val="lt-LT"/>
        </w:rPr>
      </w:pPr>
    </w:p>
    <w:p w14:paraId="530BACA0" w14:textId="77777777" w:rsidR="007D59EF" w:rsidRPr="00705EEC" w:rsidRDefault="007D59EF" w:rsidP="007D59EF">
      <w:pPr>
        <w:rPr>
          <w:szCs w:val="24"/>
          <w:lang w:val="lt-LT"/>
        </w:rPr>
      </w:pPr>
    </w:p>
    <w:p w14:paraId="01EA56F0" w14:textId="77777777" w:rsidR="007D59EF" w:rsidRPr="00705EEC" w:rsidRDefault="007D59EF" w:rsidP="007D59E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1615DC61" w14:textId="77777777" w:rsidR="007D59EF" w:rsidRPr="00705EEC" w:rsidRDefault="007D59EF" w:rsidP="007D59EF">
      <w:pPr>
        <w:rPr>
          <w:szCs w:val="24"/>
          <w:lang w:val="lt-LT"/>
        </w:rPr>
      </w:pPr>
    </w:p>
    <w:p w14:paraId="5FB428A4" w14:textId="77777777" w:rsidR="007D59EF" w:rsidRPr="001C7577" w:rsidRDefault="007D59EF" w:rsidP="007D59EF">
      <w:pPr>
        <w:rPr>
          <w:lang w:val="lt-LT"/>
        </w:rPr>
      </w:pPr>
      <w:r w:rsidRPr="001C7577">
        <w:rPr>
          <w:lang w:val="lt-LT"/>
        </w:rPr>
        <w:t xml:space="preserve">Laikyti gamintojo pakuotėje, kad preparatas būtų apsaugotas nuo drėgmės. </w:t>
      </w:r>
    </w:p>
    <w:p w14:paraId="1D87FD49" w14:textId="77777777" w:rsidR="007D59EF" w:rsidRPr="001C7577" w:rsidRDefault="007D59EF" w:rsidP="007D59EF">
      <w:pPr>
        <w:rPr>
          <w:lang w:val="lt-LT"/>
        </w:rPr>
      </w:pPr>
    </w:p>
    <w:p w14:paraId="050CADF8" w14:textId="77777777" w:rsidR="007D59EF" w:rsidRPr="00705EEC" w:rsidRDefault="007D59EF" w:rsidP="007D59EF">
      <w:pPr>
        <w:rPr>
          <w:szCs w:val="24"/>
          <w:lang w:val="lt-LT"/>
        </w:rPr>
      </w:pPr>
    </w:p>
    <w:p w14:paraId="527AAB68"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470E83FB" w14:textId="77777777" w:rsidR="007D59EF" w:rsidRPr="00705EEC" w:rsidRDefault="007D59EF" w:rsidP="007D59EF">
      <w:pPr>
        <w:rPr>
          <w:szCs w:val="24"/>
          <w:lang w:val="lt-LT"/>
        </w:rPr>
      </w:pPr>
    </w:p>
    <w:p w14:paraId="12EA0DCD" w14:textId="77777777" w:rsidR="007D59EF" w:rsidRPr="00705EEC" w:rsidRDefault="007D59EF" w:rsidP="007D59EF">
      <w:pPr>
        <w:rPr>
          <w:szCs w:val="24"/>
          <w:lang w:val="lt-LT"/>
        </w:rPr>
      </w:pPr>
    </w:p>
    <w:p w14:paraId="38202E3E" w14:textId="5ADB0D85"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003C1B10" w:rsidRPr="003C1B10">
        <w:rPr>
          <w:b/>
          <w:caps/>
          <w:szCs w:val="24"/>
          <w:lang w:val="lt-LT"/>
        </w:rPr>
        <w:t xml:space="preserve">REGISTRUOTOJO </w:t>
      </w:r>
      <w:r w:rsidRPr="001C7577">
        <w:rPr>
          <w:b/>
          <w:caps/>
          <w:szCs w:val="24"/>
          <w:lang w:val="lt-LT"/>
        </w:rPr>
        <w:t>PAVADINIMAS IR ADRESAS</w:t>
      </w:r>
    </w:p>
    <w:p w14:paraId="459ABFEA" w14:textId="77777777" w:rsidR="007D59EF" w:rsidRPr="00705EEC" w:rsidRDefault="007D59EF" w:rsidP="007D59EF">
      <w:pPr>
        <w:rPr>
          <w:szCs w:val="24"/>
          <w:lang w:val="lt-LT"/>
        </w:rPr>
      </w:pPr>
    </w:p>
    <w:p w14:paraId="5CC1411C" w14:textId="77777777" w:rsidR="007D59EF" w:rsidRPr="001C7577" w:rsidRDefault="007D59EF" w:rsidP="007D59EF">
      <w:pPr>
        <w:rPr>
          <w:lang w:val="lt-LT"/>
        </w:rPr>
      </w:pPr>
      <w:r w:rsidRPr="001C7577">
        <w:rPr>
          <w:lang w:val="lt-LT"/>
        </w:rPr>
        <w:t>Ranbaxy (UK) Limited</w:t>
      </w:r>
    </w:p>
    <w:p w14:paraId="7CEBA57C" w14:textId="77777777" w:rsidR="007D59EF" w:rsidRPr="001C7577" w:rsidRDefault="007D59EF" w:rsidP="007D59EF">
      <w:pPr>
        <w:rPr>
          <w:lang w:val="lt-LT"/>
        </w:rPr>
      </w:pPr>
      <w:r w:rsidRPr="001C7577">
        <w:rPr>
          <w:lang w:val="lt-LT"/>
        </w:rPr>
        <w:t>Building 4, Chiswick Park</w:t>
      </w:r>
    </w:p>
    <w:p w14:paraId="77388FD6" w14:textId="77777777" w:rsidR="007D59EF" w:rsidRPr="001C7577" w:rsidRDefault="007D59EF" w:rsidP="007D59EF">
      <w:pPr>
        <w:rPr>
          <w:lang w:val="lt-LT"/>
        </w:rPr>
      </w:pPr>
      <w:r w:rsidRPr="001C7577">
        <w:rPr>
          <w:lang w:val="lt-LT"/>
        </w:rPr>
        <w:t xml:space="preserve">566 Chiswick High Road </w:t>
      </w:r>
    </w:p>
    <w:p w14:paraId="4FF30671" w14:textId="77777777" w:rsidR="007D59EF" w:rsidRPr="001C7577" w:rsidRDefault="007D59EF" w:rsidP="007D59EF">
      <w:pPr>
        <w:rPr>
          <w:lang w:val="lt-LT"/>
        </w:rPr>
      </w:pPr>
      <w:r w:rsidRPr="001C7577">
        <w:rPr>
          <w:lang w:val="lt-LT"/>
        </w:rPr>
        <w:t>London, W4 5YE</w:t>
      </w:r>
    </w:p>
    <w:p w14:paraId="394B0713" w14:textId="77777777" w:rsidR="007D59EF" w:rsidRPr="00705EEC" w:rsidRDefault="007D59EF" w:rsidP="007D59EF">
      <w:pPr>
        <w:rPr>
          <w:szCs w:val="24"/>
          <w:lang w:val="lt-LT"/>
        </w:rPr>
      </w:pPr>
      <w:r w:rsidRPr="001C7577">
        <w:rPr>
          <w:lang w:val="lt-LT"/>
        </w:rPr>
        <w:t>Jungtinė Karalystė</w:t>
      </w:r>
    </w:p>
    <w:p w14:paraId="0E5B3E92" w14:textId="77777777" w:rsidR="007D59EF" w:rsidRPr="00705EEC" w:rsidRDefault="007D59EF" w:rsidP="007D59EF">
      <w:pPr>
        <w:rPr>
          <w:szCs w:val="24"/>
          <w:lang w:val="lt-LT"/>
        </w:rPr>
      </w:pPr>
    </w:p>
    <w:p w14:paraId="5D7C1245" w14:textId="77777777" w:rsidR="007D59EF" w:rsidRPr="00705EEC" w:rsidRDefault="007D59EF" w:rsidP="007D59EF">
      <w:pPr>
        <w:rPr>
          <w:szCs w:val="24"/>
          <w:lang w:val="lt-LT"/>
        </w:rPr>
      </w:pPr>
    </w:p>
    <w:p w14:paraId="7BD5D9D9" w14:textId="20A27BC3"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003C1B10" w:rsidRPr="003C1B10">
        <w:rPr>
          <w:b/>
          <w:szCs w:val="24"/>
          <w:lang w:val="lt-LT"/>
        </w:rPr>
        <w:t xml:space="preserve">REGISTRACIJOS </w:t>
      </w:r>
      <w:r w:rsidRPr="00705EEC">
        <w:rPr>
          <w:b/>
          <w:szCs w:val="24"/>
          <w:lang w:val="lt-LT"/>
        </w:rPr>
        <w:t xml:space="preserve">PAŽYMĖJIMO NUMERIS (-IAI) </w:t>
      </w:r>
    </w:p>
    <w:p w14:paraId="5613528A" w14:textId="77777777" w:rsidR="007D59EF" w:rsidRPr="00705EEC" w:rsidRDefault="007D59EF" w:rsidP="007D59EF">
      <w:pPr>
        <w:rPr>
          <w:szCs w:val="24"/>
          <w:lang w:val="lt-LT"/>
        </w:rPr>
      </w:pPr>
    </w:p>
    <w:p w14:paraId="3E5269F3" w14:textId="77777777" w:rsidR="007D59EF" w:rsidRPr="001C7577" w:rsidRDefault="007D59EF" w:rsidP="007D59EF">
      <w:pPr>
        <w:spacing w:line="240" w:lineRule="auto"/>
        <w:rPr>
          <w:lang w:val="lt-LT"/>
        </w:rPr>
      </w:pPr>
      <w:r w:rsidRPr="001C7577">
        <w:rPr>
          <w:lang w:val="lt-LT"/>
        </w:rPr>
        <w:t xml:space="preserve">Lopinavir /Ritonavir Ranbaxy 100 mg/25 mg </w:t>
      </w:r>
    </w:p>
    <w:p w14:paraId="7AB765BE" w14:textId="77777777" w:rsidR="007D59EF" w:rsidRPr="00705EEC" w:rsidRDefault="007D59EF" w:rsidP="007D59EF">
      <w:pPr>
        <w:rPr>
          <w:bCs/>
          <w:lang w:val="lt-LT"/>
        </w:rPr>
      </w:pPr>
      <w:r w:rsidRPr="00705EEC">
        <w:rPr>
          <w:bCs/>
          <w:lang w:val="lt-LT"/>
        </w:rPr>
        <w:t>N60 - LT/1/14/3510/001</w:t>
      </w:r>
    </w:p>
    <w:p w14:paraId="68C71B63" w14:textId="77777777" w:rsidR="007D59EF" w:rsidRPr="00705EEC" w:rsidRDefault="007D59EF" w:rsidP="007D59EF">
      <w:pPr>
        <w:tabs>
          <w:tab w:val="clear" w:pos="567"/>
        </w:tabs>
        <w:spacing w:line="240" w:lineRule="auto"/>
        <w:rPr>
          <w:szCs w:val="24"/>
          <w:lang w:val="lt-LT"/>
        </w:rPr>
      </w:pPr>
    </w:p>
    <w:p w14:paraId="39729E6D" w14:textId="77777777" w:rsidR="007D59EF" w:rsidRPr="001C7577" w:rsidRDefault="007D59EF" w:rsidP="007D59EF">
      <w:pPr>
        <w:spacing w:line="240" w:lineRule="auto"/>
        <w:rPr>
          <w:lang w:val="lt-LT"/>
        </w:rPr>
      </w:pPr>
      <w:r w:rsidRPr="001C7577">
        <w:rPr>
          <w:lang w:val="lt-LT"/>
        </w:rPr>
        <w:t xml:space="preserve">Lopinavir /Ritonavir Ranbaxy 200 mg/50 mg </w:t>
      </w:r>
    </w:p>
    <w:p w14:paraId="7D347FEE" w14:textId="77777777" w:rsidR="007D59EF" w:rsidRPr="00705EEC" w:rsidRDefault="007D59EF" w:rsidP="007D59EF">
      <w:pPr>
        <w:rPr>
          <w:bCs/>
          <w:lang w:val="lt-LT"/>
        </w:rPr>
      </w:pPr>
      <w:r w:rsidRPr="00705EEC">
        <w:rPr>
          <w:bCs/>
          <w:lang w:val="lt-LT"/>
        </w:rPr>
        <w:t>N120 - LT/1/14/3510/003</w:t>
      </w:r>
    </w:p>
    <w:p w14:paraId="621CC079" w14:textId="77777777" w:rsidR="007D59EF" w:rsidRPr="00705EEC" w:rsidRDefault="007D59EF" w:rsidP="007D59EF">
      <w:pPr>
        <w:rPr>
          <w:szCs w:val="24"/>
          <w:lang w:val="lt-LT"/>
        </w:rPr>
      </w:pPr>
    </w:p>
    <w:p w14:paraId="0410DB45" w14:textId="77777777" w:rsidR="007D59EF" w:rsidRPr="00705EEC" w:rsidRDefault="007D59EF" w:rsidP="007D59EF">
      <w:pPr>
        <w:rPr>
          <w:szCs w:val="24"/>
          <w:lang w:val="lt-LT"/>
        </w:rPr>
      </w:pPr>
    </w:p>
    <w:p w14:paraId="15B89C78"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6657561F" w14:textId="77777777" w:rsidR="007D59EF" w:rsidRPr="00705EEC" w:rsidRDefault="007D59EF" w:rsidP="007D59EF">
      <w:pPr>
        <w:rPr>
          <w:lang w:val="lt-LT"/>
        </w:rPr>
      </w:pPr>
    </w:p>
    <w:p w14:paraId="3F8FDBBF" w14:textId="77777777" w:rsidR="007D59EF" w:rsidRPr="001C7577" w:rsidRDefault="007D59EF" w:rsidP="007D59EF">
      <w:pPr>
        <w:rPr>
          <w:lang w:val="lt-LT"/>
        </w:rPr>
      </w:pPr>
      <w:r w:rsidRPr="00705EEC">
        <w:rPr>
          <w:lang w:val="lt-LT"/>
        </w:rPr>
        <w:t xml:space="preserve">Serija </w:t>
      </w:r>
    </w:p>
    <w:p w14:paraId="0CEE0B3A" w14:textId="77777777" w:rsidR="007D59EF" w:rsidRPr="00705EEC" w:rsidRDefault="007D59EF" w:rsidP="007D59EF">
      <w:pPr>
        <w:rPr>
          <w:szCs w:val="24"/>
          <w:lang w:val="lt-LT"/>
        </w:rPr>
      </w:pPr>
    </w:p>
    <w:p w14:paraId="23316592" w14:textId="77777777" w:rsidR="007D59EF" w:rsidRPr="00705EEC" w:rsidRDefault="007D59EF" w:rsidP="007D59EF">
      <w:pPr>
        <w:rPr>
          <w:szCs w:val="24"/>
          <w:lang w:val="lt-LT"/>
        </w:rPr>
      </w:pPr>
    </w:p>
    <w:p w14:paraId="3912600A"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10FB3CD9" w14:textId="77777777" w:rsidR="007D59EF" w:rsidRPr="00705EEC" w:rsidRDefault="007D59EF" w:rsidP="007D59EF">
      <w:pPr>
        <w:rPr>
          <w:szCs w:val="24"/>
          <w:lang w:val="lt-LT"/>
        </w:rPr>
      </w:pPr>
    </w:p>
    <w:p w14:paraId="115A02D0" w14:textId="77777777" w:rsidR="007D59EF" w:rsidRPr="00705EEC" w:rsidRDefault="007D59EF" w:rsidP="007D59EF">
      <w:pPr>
        <w:rPr>
          <w:szCs w:val="24"/>
          <w:lang w:val="lt-LT"/>
        </w:rPr>
      </w:pPr>
      <w:r w:rsidRPr="00705EEC">
        <w:rPr>
          <w:lang w:val="lt-LT"/>
        </w:rPr>
        <w:t>Receptinis vaistinis preparatas</w:t>
      </w:r>
    </w:p>
    <w:p w14:paraId="452A9EF5" w14:textId="77777777" w:rsidR="007D59EF" w:rsidRPr="00705EEC" w:rsidRDefault="007D59EF" w:rsidP="007D59EF">
      <w:pPr>
        <w:rPr>
          <w:szCs w:val="24"/>
          <w:lang w:val="lt-LT"/>
        </w:rPr>
      </w:pPr>
    </w:p>
    <w:p w14:paraId="0F20FC17" w14:textId="77777777" w:rsidR="007D59EF" w:rsidRPr="00705EEC" w:rsidRDefault="007D59EF" w:rsidP="007D59EF">
      <w:pPr>
        <w:rPr>
          <w:szCs w:val="24"/>
          <w:lang w:val="lt-LT"/>
        </w:rPr>
      </w:pPr>
    </w:p>
    <w:p w14:paraId="7F73C516" w14:textId="77777777" w:rsidR="007D59EF" w:rsidRPr="00705EEC" w:rsidRDefault="007D59EF" w:rsidP="007D59E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175CC8D1" w14:textId="77777777" w:rsidR="007D59EF" w:rsidRPr="00705EEC" w:rsidRDefault="007D59EF" w:rsidP="007D59EF">
      <w:pPr>
        <w:rPr>
          <w:szCs w:val="24"/>
          <w:lang w:val="lt-LT"/>
        </w:rPr>
      </w:pPr>
    </w:p>
    <w:p w14:paraId="5D90BC16" w14:textId="77777777" w:rsidR="007D59EF" w:rsidRPr="00705EEC" w:rsidRDefault="007D59EF" w:rsidP="007D59EF">
      <w:pPr>
        <w:rPr>
          <w:szCs w:val="24"/>
          <w:lang w:val="lt-LT"/>
        </w:rPr>
      </w:pPr>
    </w:p>
    <w:p w14:paraId="148C80BF" w14:textId="77777777" w:rsidR="007D59EF" w:rsidRPr="00705EEC" w:rsidRDefault="007D59EF" w:rsidP="007D59E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05EEC">
        <w:rPr>
          <w:b/>
          <w:szCs w:val="24"/>
          <w:lang w:val="lt-LT"/>
        </w:rPr>
        <w:t>16.</w:t>
      </w:r>
      <w:r w:rsidRPr="00705EEC">
        <w:rPr>
          <w:b/>
          <w:szCs w:val="24"/>
          <w:lang w:val="lt-LT"/>
        </w:rPr>
        <w:tab/>
        <w:t>INFORMACIJA BRAILIO RAŠTU</w:t>
      </w:r>
    </w:p>
    <w:p w14:paraId="6D33D050" w14:textId="77777777" w:rsidR="007D59EF" w:rsidRPr="00705EEC" w:rsidRDefault="007D59EF" w:rsidP="007D59EF">
      <w:pPr>
        <w:rPr>
          <w:szCs w:val="24"/>
          <w:lang w:val="lt-LT"/>
        </w:rPr>
      </w:pPr>
    </w:p>
    <w:p w14:paraId="77CB7E5A" w14:textId="77777777" w:rsidR="007D59EF" w:rsidRPr="001C7577" w:rsidRDefault="007D59EF" w:rsidP="007D59EF">
      <w:pPr>
        <w:rPr>
          <w:lang w:val="lt-LT"/>
        </w:rPr>
      </w:pPr>
      <w:r w:rsidRPr="001C7577">
        <w:rPr>
          <w:lang w:val="lt-LT"/>
        </w:rPr>
        <w:t xml:space="preserve">Lopinavir /Ritonavir Ranbaxy 100 mg/25 mg </w:t>
      </w:r>
    </w:p>
    <w:p w14:paraId="54BB351C" w14:textId="77777777" w:rsidR="007D59EF" w:rsidRPr="001C7577" w:rsidRDefault="007D59EF" w:rsidP="007D59EF">
      <w:pPr>
        <w:rPr>
          <w:lang w:val="lt-LT"/>
        </w:rPr>
      </w:pPr>
      <w:r w:rsidRPr="001C7577">
        <w:rPr>
          <w:highlight w:val="lightGray"/>
          <w:lang w:val="lt-LT"/>
        </w:rPr>
        <w:t xml:space="preserve">Lopinavir /Ritonavir Ranbaxy 200 mg/50 mg </w:t>
      </w:r>
    </w:p>
    <w:p w14:paraId="2CF15B19" w14:textId="77777777" w:rsidR="007D59EF" w:rsidRPr="001C7577"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szCs w:val="24"/>
          <w:lang w:val="lt-LT"/>
        </w:rPr>
        <w:br w:type="page"/>
      </w:r>
      <w:r w:rsidRPr="001C7577">
        <w:rPr>
          <w:b/>
          <w:szCs w:val="24"/>
          <w:lang w:val="lt-LT"/>
        </w:rPr>
        <w:lastRenderedPageBreak/>
        <w:t>INFORMACIJA ANT IŠORINĖS PAKUOTĖS</w:t>
      </w:r>
    </w:p>
    <w:p w14:paraId="4240A573"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p>
    <w:p w14:paraId="4517FEAD"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b/>
          <w:szCs w:val="24"/>
          <w:lang w:val="lt-LT"/>
        </w:rPr>
        <w:t xml:space="preserve">Dėžutė, kurioje 120 plėvele dengtų tablečių (3 pakuotės po 40 tablečių, 200 mg/50 mg tablečių) </w:t>
      </w:r>
    </w:p>
    <w:p w14:paraId="4491FAC7" w14:textId="77777777" w:rsidR="007D59EF" w:rsidRPr="00705EEC" w:rsidRDefault="007D59EF" w:rsidP="007D59EF">
      <w:pPr>
        <w:rPr>
          <w:szCs w:val="24"/>
          <w:lang w:val="lt-LT"/>
        </w:rPr>
      </w:pPr>
    </w:p>
    <w:p w14:paraId="2F4E8C85" w14:textId="77777777" w:rsidR="007D59EF" w:rsidRPr="00705EEC" w:rsidRDefault="007D59EF" w:rsidP="007D59EF">
      <w:pPr>
        <w:rPr>
          <w:szCs w:val="24"/>
          <w:lang w:val="lt-LT"/>
        </w:rPr>
      </w:pPr>
    </w:p>
    <w:p w14:paraId="73719731"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67C21A93" w14:textId="77777777" w:rsidR="007D59EF" w:rsidRPr="00705EEC" w:rsidRDefault="007D59EF" w:rsidP="007D59EF">
      <w:pPr>
        <w:rPr>
          <w:szCs w:val="24"/>
          <w:lang w:val="lt-LT"/>
        </w:rPr>
      </w:pPr>
    </w:p>
    <w:p w14:paraId="1C826946" w14:textId="77777777" w:rsidR="007D59EF" w:rsidRPr="001C7577" w:rsidRDefault="007D59EF" w:rsidP="007D59EF">
      <w:pPr>
        <w:rPr>
          <w:lang w:val="lt-LT"/>
        </w:rPr>
      </w:pPr>
      <w:r w:rsidRPr="001C7577">
        <w:rPr>
          <w:lang w:val="lt-LT"/>
        </w:rPr>
        <w:t>Lopinavir /Ritonavir Ranbaxy 200 mg/50 mg plėvele dengtos tabletės</w:t>
      </w:r>
    </w:p>
    <w:p w14:paraId="520D5D2C" w14:textId="77777777" w:rsidR="007D59EF" w:rsidRPr="001C7577" w:rsidRDefault="007D59EF" w:rsidP="007D59EF">
      <w:pPr>
        <w:rPr>
          <w:lang w:val="lt-LT"/>
        </w:rPr>
      </w:pPr>
    </w:p>
    <w:p w14:paraId="65BC4A68" w14:textId="77777777" w:rsidR="007D59EF" w:rsidRPr="001C7577" w:rsidRDefault="007D59EF" w:rsidP="007D59EF">
      <w:pPr>
        <w:rPr>
          <w:lang w:val="lt-LT"/>
        </w:rPr>
      </w:pPr>
      <w:r w:rsidRPr="001C7577">
        <w:rPr>
          <w:lang w:val="lt-LT"/>
        </w:rPr>
        <w:t>Lopinavirum/Ritonavirum</w:t>
      </w:r>
    </w:p>
    <w:p w14:paraId="037F676E" w14:textId="77777777" w:rsidR="007D59EF" w:rsidRPr="00705EEC" w:rsidRDefault="007D59EF" w:rsidP="007D59EF">
      <w:pPr>
        <w:rPr>
          <w:szCs w:val="24"/>
          <w:lang w:val="lt-LT"/>
        </w:rPr>
      </w:pPr>
    </w:p>
    <w:p w14:paraId="49AF8CCD" w14:textId="77777777" w:rsidR="007D59EF" w:rsidRPr="00705EEC" w:rsidRDefault="007D59EF" w:rsidP="007D59EF">
      <w:pPr>
        <w:rPr>
          <w:szCs w:val="24"/>
          <w:lang w:val="lt-LT"/>
        </w:rPr>
      </w:pPr>
    </w:p>
    <w:p w14:paraId="6EB963E5"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593A36B6" w14:textId="77777777" w:rsidR="007D59EF" w:rsidRPr="00705EEC" w:rsidRDefault="007D59EF" w:rsidP="007D59EF">
      <w:pPr>
        <w:rPr>
          <w:szCs w:val="24"/>
          <w:lang w:val="lt-LT"/>
        </w:rPr>
      </w:pPr>
    </w:p>
    <w:p w14:paraId="2951BAF6" w14:textId="77777777" w:rsidR="007D59EF" w:rsidRPr="001C7577" w:rsidRDefault="007D59EF" w:rsidP="007D59EF">
      <w:pPr>
        <w:rPr>
          <w:lang w:val="lt-LT"/>
        </w:rPr>
      </w:pPr>
      <w:r w:rsidRPr="001C7577">
        <w:rPr>
          <w:lang w:val="lt-LT"/>
        </w:rPr>
        <w:t>Kiekvienoje plėvele dengtoje tabletėje yra 200 mg lopinaviro kartu su 50 mg ritonaviro farmakokinetikai sustiprinti.</w:t>
      </w:r>
    </w:p>
    <w:p w14:paraId="3F7E36D9" w14:textId="77777777" w:rsidR="007D59EF" w:rsidRPr="00705EEC" w:rsidRDefault="007D59EF" w:rsidP="007D59EF">
      <w:pPr>
        <w:rPr>
          <w:szCs w:val="24"/>
          <w:lang w:val="lt-LT"/>
        </w:rPr>
      </w:pPr>
    </w:p>
    <w:p w14:paraId="680B079C" w14:textId="77777777" w:rsidR="007D59EF" w:rsidRPr="00705EEC" w:rsidRDefault="007D59EF" w:rsidP="007D59EF">
      <w:pPr>
        <w:rPr>
          <w:szCs w:val="24"/>
          <w:lang w:val="lt-LT"/>
        </w:rPr>
      </w:pPr>
    </w:p>
    <w:p w14:paraId="0A2FD147"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677C4FF5" w14:textId="77777777" w:rsidR="007D59EF" w:rsidRPr="00705EEC" w:rsidRDefault="007D59EF" w:rsidP="007D59EF">
      <w:pPr>
        <w:rPr>
          <w:szCs w:val="24"/>
          <w:lang w:val="lt-LT"/>
        </w:rPr>
      </w:pPr>
    </w:p>
    <w:p w14:paraId="27144891" w14:textId="77777777" w:rsidR="007D59EF" w:rsidRPr="00705EEC" w:rsidRDefault="007D59EF" w:rsidP="007D59EF">
      <w:pPr>
        <w:rPr>
          <w:lang w:val="lt-LT"/>
        </w:rPr>
      </w:pPr>
      <w:r w:rsidRPr="00705EEC">
        <w:rPr>
          <w:lang w:val="lt-LT"/>
        </w:rPr>
        <w:t>Sudėtyje yra laktozės. Daugiau informacijos pateikta pakuotės lapelyje.</w:t>
      </w:r>
    </w:p>
    <w:p w14:paraId="50309EFE" w14:textId="77777777" w:rsidR="007D59EF" w:rsidRPr="00705EEC" w:rsidRDefault="007D59EF" w:rsidP="007D59EF">
      <w:pPr>
        <w:rPr>
          <w:szCs w:val="24"/>
          <w:lang w:val="lt-LT"/>
        </w:rPr>
      </w:pPr>
    </w:p>
    <w:p w14:paraId="74505894" w14:textId="77777777" w:rsidR="007D59EF" w:rsidRPr="00705EEC" w:rsidRDefault="007D59EF" w:rsidP="007D59EF">
      <w:pPr>
        <w:rPr>
          <w:szCs w:val="24"/>
          <w:lang w:val="lt-LT"/>
        </w:rPr>
      </w:pPr>
    </w:p>
    <w:p w14:paraId="49630B98"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77C09A5C" w14:textId="77777777" w:rsidR="007D59EF" w:rsidRPr="001C7577" w:rsidRDefault="007D59EF" w:rsidP="007D59EF">
      <w:pPr>
        <w:rPr>
          <w:lang w:val="lt-LT"/>
        </w:rPr>
      </w:pPr>
      <w:r w:rsidRPr="001C7577">
        <w:rPr>
          <w:lang w:val="lt-LT"/>
        </w:rPr>
        <w:tab/>
      </w:r>
    </w:p>
    <w:p w14:paraId="32EEBAF3" w14:textId="77777777" w:rsidR="007D59EF" w:rsidRPr="001C7577" w:rsidRDefault="007D59EF" w:rsidP="007D59EF">
      <w:pPr>
        <w:rPr>
          <w:lang w:val="lt-LT"/>
        </w:rPr>
      </w:pPr>
      <w:r w:rsidRPr="001C7577">
        <w:rPr>
          <w:lang w:val="lt-LT"/>
        </w:rPr>
        <w:t>Sudėtinės 3 dėžučių pakuotės dalis, kurių kiekvienoje yra 40 plėvele dengtų tablečių.</w:t>
      </w:r>
    </w:p>
    <w:p w14:paraId="0B86DBF7" w14:textId="77777777" w:rsidR="007D59EF" w:rsidRPr="00705EEC" w:rsidRDefault="007D59EF" w:rsidP="007D59EF">
      <w:pPr>
        <w:rPr>
          <w:szCs w:val="24"/>
          <w:lang w:val="lt-LT"/>
        </w:rPr>
      </w:pPr>
    </w:p>
    <w:p w14:paraId="4FB1447B" w14:textId="77777777" w:rsidR="007D59EF" w:rsidRPr="00705EEC" w:rsidRDefault="007D59EF" w:rsidP="007D59EF">
      <w:pPr>
        <w:rPr>
          <w:szCs w:val="24"/>
          <w:lang w:val="lt-LT"/>
        </w:rPr>
      </w:pPr>
    </w:p>
    <w:p w14:paraId="5E9D13E6"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4B114A00" w14:textId="77777777" w:rsidR="007D59EF" w:rsidRPr="00705EEC" w:rsidRDefault="007D59EF" w:rsidP="007D59EF">
      <w:pPr>
        <w:rPr>
          <w:szCs w:val="24"/>
          <w:lang w:val="lt-LT"/>
        </w:rPr>
      </w:pPr>
    </w:p>
    <w:p w14:paraId="7150CDF8" w14:textId="77777777" w:rsidR="007D59EF" w:rsidRPr="001C7577" w:rsidRDefault="007D59EF" w:rsidP="007D59EF">
      <w:pPr>
        <w:rPr>
          <w:szCs w:val="24"/>
          <w:lang w:val="lt-LT"/>
        </w:rPr>
      </w:pPr>
      <w:r w:rsidRPr="001C7577">
        <w:rPr>
          <w:szCs w:val="24"/>
          <w:lang w:val="lt-LT"/>
        </w:rPr>
        <w:t xml:space="preserve">Vartoti per burną. </w:t>
      </w:r>
    </w:p>
    <w:p w14:paraId="43FA997B" w14:textId="77777777" w:rsidR="007D59EF" w:rsidRPr="00705EEC" w:rsidRDefault="007D59EF" w:rsidP="007D59EF">
      <w:pPr>
        <w:rPr>
          <w:szCs w:val="24"/>
          <w:lang w:val="lt-LT"/>
        </w:rPr>
      </w:pPr>
      <w:r w:rsidRPr="001C7577">
        <w:rPr>
          <w:szCs w:val="24"/>
          <w:lang w:val="lt-LT"/>
        </w:rPr>
        <w:t>Prieš vartojimą perskaitykite pakuotės lapelį.</w:t>
      </w:r>
    </w:p>
    <w:p w14:paraId="7FDEDD38" w14:textId="77777777" w:rsidR="007D59EF" w:rsidRPr="00705EEC" w:rsidRDefault="007D59EF" w:rsidP="007D59EF">
      <w:pPr>
        <w:rPr>
          <w:szCs w:val="24"/>
          <w:lang w:val="lt-LT"/>
        </w:rPr>
      </w:pPr>
    </w:p>
    <w:p w14:paraId="23D9AFDF" w14:textId="77777777" w:rsidR="007D59EF" w:rsidRPr="00705EEC" w:rsidRDefault="007D59EF" w:rsidP="007D59EF">
      <w:pPr>
        <w:rPr>
          <w:szCs w:val="24"/>
          <w:lang w:val="lt-LT"/>
        </w:rPr>
      </w:pPr>
    </w:p>
    <w:p w14:paraId="713CC185"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42D8FE68" w14:textId="77777777" w:rsidR="007D59EF" w:rsidRPr="00705EEC" w:rsidRDefault="007D59EF" w:rsidP="007D59EF">
      <w:pPr>
        <w:rPr>
          <w:szCs w:val="24"/>
          <w:lang w:val="lt-LT"/>
        </w:rPr>
      </w:pPr>
    </w:p>
    <w:p w14:paraId="19A4B59F" w14:textId="77777777" w:rsidR="007D59EF" w:rsidRPr="00705EEC" w:rsidRDefault="007D59EF" w:rsidP="007D59EF">
      <w:pPr>
        <w:rPr>
          <w:szCs w:val="24"/>
          <w:lang w:val="lt-LT"/>
        </w:rPr>
      </w:pPr>
      <w:r w:rsidRPr="001C7577">
        <w:rPr>
          <w:szCs w:val="24"/>
          <w:lang w:val="lt-LT"/>
        </w:rPr>
        <w:t>Laikyti vaikams nepastebimoje ir nepasiekiamoje vietoje.</w:t>
      </w:r>
    </w:p>
    <w:p w14:paraId="5ED8666F" w14:textId="77777777" w:rsidR="007D59EF" w:rsidRPr="00705EEC" w:rsidRDefault="007D59EF" w:rsidP="007D59EF">
      <w:pPr>
        <w:rPr>
          <w:szCs w:val="24"/>
          <w:lang w:val="lt-LT"/>
        </w:rPr>
      </w:pPr>
    </w:p>
    <w:p w14:paraId="2EDE89B7" w14:textId="77777777" w:rsidR="007D59EF" w:rsidRPr="00705EEC" w:rsidRDefault="007D59EF" w:rsidP="007D59EF">
      <w:pPr>
        <w:rPr>
          <w:szCs w:val="24"/>
          <w:lang w:val="lt-LT"/>
        </w:rPr>
      </w:pPr>
    </w:p>
    <w:p w14:paraId="2A55FFB5"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403F8E82" w14:textId="77777777" w:rsidR="007D59EF" w:rsidRPr="00705EEC" w:rsidRDefault="007D59EF" w:rsidP="007D59EF">
      <w:pPr>
        <w:rPr>
          <w:szCs w:val="24"/>
          <w:lang w:val="lt-LT"/>
        </w:rPr>
      </w:pPr>
    </w:p>
    <w:p w14:paraId="614ADD34" w14:textId="77777777" w:rsidR="007D59EF" w:rsidRPr="00705EEC" w:rsidRDefault="007D59EF" w:rsidP="007D59EF">
      <w:pPr>
        <w:rPr>
          <w:szCs w:val="24"/>
          <w:lang w:val="lt-LT"/>
        </w:rPr>
      </w:pPr>
    </w:p>
    <w:p w14:paraId="1014F4C7"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0EFF2474" w14:textId="77777777" w:rsidR="007D59EF" w:rsidRPr="001C7577" w:rsidRDefault="007D59EF" w:rsidP="007D59EF">
      <w:pPr>
        <w:rPr>
          <w:lang w:val="lt-LT"/>
        </w:rPr>
      </w:pPr>
    </w:p>
    <w:p w14:paraId="6D26256B" w14:textId="77777777" w:rsidR="007D59EF" w:rsidRPr="001C7577" w:rsidRDefault="007D59EF" w:rsidP="007D59EF">
      <w:pPr>
        <w:rPr>
          <w:lang w:val="lt-LT"/>
        </w:rPr>
      </w:pPr>
      <w:r w:rsidRPr="001C7577">
        <w:rPr>
          <w:lang w:val="lt-LT"/>
        </w:rPr>
        <w:t>Tinka iki &lt;MMMM.mm.&gt;</w:t>
      </w:r>
    </w:p>
    <w:p w14:paraId="6B766B4F" w14:textId="77777777" w:rsidR="007D59EF" w:rsidRPr="001C7577" w:rsidRDefault="007D59EF" w:rsidP="007D59EF">
      <w:pPr>
        <w:rPr>
          <w:lang w:val="lt-LT"/>
        </w:rPr>
      </w:pPr>
    </w:p>
    <w:p w14:paraId="38FFB60D" w14:textId="77777777" w:rsidR="007D59EF" w:rsidRPr="00705EEC" w:rsidRDefault="007D59EF" w:rsidP="007D59EF">
      <w:pPr>
        <w:rPr>
          <w:szCs w:val="24"/>
          <w:lang w:val="lt-LT"/>
        </w:rPr>
      </w:pPr>
    </w:p>
    <w:p w14:paraId="44F7F068" w14:textId="77777777" w:rsidR="007D59EF" w:rsidRPr="00705EEC" w:rsidRDefault="007D59EF" w:rsidP="007D59E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lastRenderedPageBreak/>
        <w:t>9.</w:t>
      </w:r>
      <w:r w:rsidRPr="00705EEC">
        <w:rPr>
          <w:b/>
          <w:szCs w:val="24"/>
          <w:lang w:val="lt-LT"/>
        </w:rPr>
        <w:tab/>
        <w:t>SPECIALIOS LAIKYMO SĄLYGOS</w:t>
      </w:r>
    </w:p>
    <w:p w14:paraId="76CE9DE5" w14:textId="77777777" w:rsidR="007D59EF" w:rsidRPr="00705EEC" w:rsidRDefault="007D59EF" w:rsidP="007D59EF">
      <w:pPr>
        <w:rPr>
          <w:szCs w:val="24"/>
          <w:lang w:val="lt-LT"/>
        </w:rPr>
      </w:pPr>
    </w:p>
    <w:p w14:paraId="6F8C4B68" w14:textId="77777777" w:rsidR="007D59EF" w:rsidRPr="001C7577" w:rsidRDefault="007D59EF" w:rsidP="007D59EF">
      <w:pPr>
        <w:rPr>
          <w:lang w:val="lt-LT"/>
        </w:rPr>
      </w:pPr>
      <w:r w:rsidRPr="001C7577">
        <w:rPr>
          <w:lang w:val="lt-LT"/>
        </w:rPr>
        <w:t xml:space="preserve">Laikyti gamintojo pakuotėje, kad preparatas būtų apsaugotas nuo drėgmės. </w:t>
      </w:r>
    </w:p>
    <w:p w14:paraId="7435C04D" w14:textId="77777777" w:rsidR="007D59EF" w:rsidRPr="001C7577" w:rsidRDefault="007D59EF" w:rsidP="007D59EF">
      <w:pPr>
        <w:rPr>
          <w:lang w:val="lt-LT"/>
        </w:rPr>
      </w:pPr>
    </w:p>
    <w:p w14:paraId="4D1F3CFD" w14:textId="77777777" w:rsidR="007D59EF" w:rsidRPr="00705EEC" w:rsidRDefault="007D59EF" w:rsidP="007D59EF">
      <w:pPr>
        <w:rPr>
          <w:szCs w:val="24"/>
          <w:lang w:val="lt-LT"/>
        </w:rPr>
      </w:pPr>
    </w:p>
    <w:p w14:paraId="427388DB"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r>
      <w:r w:rsidRPr="001C7577">
        <w:rPr>
          <w:b/>
          <w:szCs w:val="24"/>
          <w:lang w:val="lt-LT"/>
        </w:rPr>
        <w:t>SPECIALIOS ATSARGUMO PRIEMONĖS DĖL NESUVARTOTO VAISTINIO PREPARATO AR JO ATLIEKŲ TVARKYMO (JEI REIKIA)</w:t>
      </w:r>
    </w:p>
    <w:p w14:paraId="65561651" w14:textId="77777777" w:rsidR="007D59EF" w:rsidRPr="00705EEC" w:rsidRDefault="007D59EF" w:rsidP="007D59EF">
      <w:pPr>
        <w:rPr>
          <w:szCs w:val="24"/>
          <w:lang w:val="lt-LT"/>
        </w:rPr>
      </w:pPr>
    </w:p>
    <w:p w14:paraId="32A31CAF" w14:textId="77777777" w:rsidR="007D59EF" w:rsidRPr="00705EEC" w:rsidRDefault="007D59EF" w:rsidP="007D59EF">
      <w:pPr>
        <w:rPr>
          <w:szCs w:val="24"/>
          <w:lang w:val="lt-LT"/>
        </w:rPr>
      </w:pPr>
    </w:p>
    <w:p w14:paraId="369037B2" w14:textId="1472B684"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003C1B10" w:rsidRPr="003C1B10">
        <w:rPr>
          <w:b/>
          <w:caps/>
          <w:szCs w:val="24"/>
          <w:lang w:val="lt-LT"/>
        </w:rPr>
        <w:t xml:space="preserve">REGISTRUOTOJO </w:t>
      </w:r>
      <w:r w:rsidRPr="001C7577">
        <w:rPr>
          <w:b/>
          <w:caps/>
          <w:szCs w:val="24"/>
          <w:lang w:val="lt-LT"/>
        </w:rPr>
        <w:t>PAVADINIMAS IR ADRESAS</w:t>
      </w:r>
    </w:p>
    <w:p w14:paraId="55B58480" w14:textId="77777777" w:rsidR="007D59EF" w:rsidRPr="00705EEC" w:rsidRDefault="007D59EF" w:rsidP="007D59EF">
      <w:pPr>
        <w:rPr>
          <w:szCs w:val="24"/>
          <w:lang w:val="lt-LT"/>
        </w:rPr>
      </w:pPr>
    </w:p>
    <w:p w14:paraId="2FA8FE5D" w14:textId="77777777" w:rsidR="007D59EF" w:rsidRPr="001C7577" w:rsidRDefault="007D59EF" w:rsidP="007D59EF">
      <w:pPr>
        <w:rPr>
          <w:lang w:val="lt-LT"/>
        </w:rPr>
      </w:pPr>
      <w:r w:rsidRPr="001C7577">
        <w:rPr>
          <w:lang w:val="lt-LT"/>
        </w:rPr>
        <w:t>Ranbaxy (UK) Limited</w:t>
      </w:r>
    </w:p>
    <w:p w14:paraId="013303CA" w14:textId="77777777" w:rsidR="007D59EF" w:rsidRPr="001C7577" w:rsidRDefault="007D59EF" w:rsidP="007D59EF">
      <w:pPr>
        <w:rPr>
          <w:lang w:val="lt-LT"/>
        </w:rPr>
      </w:pPr>
      <w:r w:rsidRPr="001C7577">
        <w:rPr>
          <w:lang w:val="lt-LT"/>
        </w:rPr>
        <w:t>Building 4, Chiswick Park</w:t>
      </w:r>
    </w:p>
    <w:p w14:paraId="1D25133C" w14:textId="77777777" w:rsidR="007D59EF" w:rsidRPr="001C7577" w:rsidRDefault="007D59EF" w:rsidP="007D59EF">
      <w:pPr>
        <w:rPr>
          <w:lang w:val="lt-LT"/>
        </w:rPr>
      </w:pPr>
      <w:r w:rsidRPr="001C7577">
        <w:rPr>
          <w:lang w:val="lt-LT"/>
        </w:rPr>
        <w:t xml:space="preserve">566 Chiswick High Road </w:t>
      </w:r>
    </w:p>
    <w:p w14:paraId="325F96C7" w14:textId="77777777" w:rsidR="007D59EF" w:rsidRPr="001C7577" w:rsidRDefault="007D59EF" w:rsidP="007D59EF">
      <w:pPr>
        <w:rPr>
          <w:lang w:val="lt-LT"/>
        </w:rPr>
      </w:pPr>
      <w:r w:rsidRPr="001C7577">
        <w:rPr>
          <w:lang w:val="lt-LT"/>
        </w:rPr>
        <w:t>London, W4 5YE</w:t>
      </w:r>
    </w:p>
    <w:p w14:paraId="18281531" w14:textId="77777777" w:rsidR="007D59EF" w:rsidRPr="00705EEC" w:rsidRDefault="007D59EF" w:rsidP="007D59EF">
      <w:pPr>
        <w:rPr>
          <w:szCs w:val="24"/>
          <w:lang w:val="lt-LT"/>
        </w:rPr>
      </w:pPr>
      <w:r w:rsidRPr="001C7577">
        <w:rPr>
          <w:lang w:val="lt-LT"/>
        </w:rPr>
        <w:t>Jungtinė Karalystė</w:t>
      </w:r>
    </w:p>
    <w:p w14:paraId="54C1C02B" w14:textId="77777777" w:rsidR="007D59EF" w:rsidRPr="00705EEC" w:rsidRDefault="007D59EF" w:rsidP="007D59EF">
      <w:pPr>
        <w:rPr>
          <w:szCs w:val="24"/>
          <w:lang w:val="lt-LT"/>
        </w:rPr>
      </w:pPr>
    </w:p>
    <w:p w14:paraId="27F61F21" w14:textId="77777777" w:rsidR="007D59EF" w:rsidRPr="00705EEC" w:rsidRDefault="007D59EF" w:rsidP="007D59EF">
      <w:pPr>
        <w:rPr>
          <w:szCs w:val="24"/>
          <w:lang w:val="lt-LT"/>
        </w:rPr>
      </w:pPr>
    </w:p>
    <w:p w14:paraId="28150DA1" w14:textId="0FD0B528"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003C1B10" w:rsidRPr="003C1B10">
        <w:rPr>
          <w:b/>
          <w:szCs w:val="24"/>
          <w:lang w:val="lt-LT"/>
        </w:rPr>
        <w:t xml:space="preserve">REGISTRACIJOS </w:t>
      </w:r>
      <w:r w:rsidRPr="00705EEC">
        <w:rPr>
          <w:b/>
          <w:szCs w:val="24"/>
          <w:lang w:val="lt-LT"/>
        </w:rPr>
        <w:t xml:space="preserve">PAŽYMĖJIMO NUMERIS (-IAI) </w:t>
      </w:r>
    </w:p>
    <w:p w14:paraId="4AB8AEC2" w14:textId="77777777" w:rsidR="007D59EF" w:rsidRPr="00705EEC" w:rsidRDefault="007D59EF" w:rsidP="007D59EF">
      <w:pPr>
        <w:rPr>
          <w:szCs w:val="24"/>
          <w:lang w:val="lt-LT"/>
        </w:rPr>
      </w:pPr>
    </w:p>
    <w:p w14:paraId="2A151714" w14:textId="77777777" w:rsidR="007D59EF" w:rsidRPr="00705EEC" w:rsidRDefault="007D59EF" w:rsidP="007D59EF">
      <w:pPr>
        <w:rPr>
          <w:bCs/>
          <w:lang w:val="lt-LT"/>
        </w:rPr>
      </w:pPr>
      <w:r w:rsidRPr="00705EEC">
        <w:rPr>
          <w:bCs/>
          <w:lang w:val="lt-LT"/>
        </w:rPr>
        <w:t>N3x40 - LT/1/14/3510/004 (sudėtinė pakuotė)</w:t>
      </w:r>
    </w:p>
    <w:p w14:paraId="06232280" w14:textId="77777777" w:rsidR="007D59EF" w:rsidRPr="00705EEC" w:rsidRDefault="007D59EF" w:rsidP="007D59EF">
      <w:pPr>
        <w:rPr>
          <w:szCs w:val="24"/>
          <w:lang w:val="lt-LT"/>
        </w:rPr>
      </w:pPr>
    </w:p>
    <w:p w14:paraId="0CEF3FE0" w14:textId="77777777" w:rsidR="007D59EF" w:rsidRPr="00705EEC" w:rsidRDefault="007D59EF" w:rsidP="007D59EF">
      <w:pPr>
        <w:rPr>
          <w:szCs w:val="24"/>
          <w:lang w:val="lt-LT"/>
        </w:rPr>
      </w:pPr>
    </w:p>
    <w:p w14:paraId="517230C4"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24C5B87B" w14:textId="77777777" w:rsidR="007D59EF" w:rsidRPr="00705EEC" w:rsidRDefault="007D59EF" w:rsidP="007D59EF">
      <w:pPr>
        <w:rPr>
          <w:lang w:val="lt-LT"/>
        </w:rPr>
      </w:pPr>
    </w:p>
    <w:p w14:paraId="50430207" w14:textId="77777777" w:rsidR="007D59EF" w:rsidRPr="001C7577" w:rsidRDefault="007D59EF" w:rsidP="007D59EF">
      <w:pPr>
        <w:rPr>
          <w:lang w:val="lt-LT"/>
        </w:rPr>
      </w:pPr>
      <w:r w:rsidRPr="00705EEC">
        <w:rPr>
          <w:lang w:val="lt-LT"/>
        </w:rPr>
        <w:t xml:space="preserve">Serija </w:t>
      </w:r>
    </w:p>
    <w:p w14:paraId="35B19AFD" w14:textId="77777777" w:rsidR="007D59EF" w:rsidRPr="00705EEC" w:rsidRDefault="007D59EF" w:rsidP="007D59EF">
      <w:pPr>
        <w:rPr>
          <w:szCs w:val="24"/>
          <w:lang w:val="lt-LT"/>
        </w:rPr>
      </w:pPr>
    </w:p>
    <w:p w14:paraId="7993AA95" w14:textId="77777777" w:rsidR="007D59EF" w:rsidRPr="00705EEC" w:rsidRDefault="007D59EF" w:rsidP="007D59EF">
      <w:pPr>
        <w:rPr>
          <w:szCs w:val="24"/>
          <w:lang w:val="lt-LT"/>
        </w:rPr>
      </w:pPr>
    </w:p>
    <w:p w14:paraId="31040BB1"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03415EFE" w14:textId="77777777" w:rsidR="007D59EF" w:rsidRPr="00705EEC" w:rsidRDefault="007D59EF" w:rsidP="007D59EF">
      <w:pPr>
        <w:rPr>
          <w:szCs w:val="24"/>
          <w:lang w:val="lt-LT"/>
        </w:rPr>
      </w:pPr>
    </w:p>
    <w:p w14:paraId="7DE5FA01" w14:textId="77777777" w:rsidR="007D59EF" w:rsidRPr="00705EEC" w:rsidRDefault="007D59EF" w:rsidP="007D59EF">
      <w:pPr>
        <w:rPr>
          <w:szCs w:val="24"/>
          <w:lang w:val="lt-LT"/>
        </w:rPr>
      </w:pPr>
      <w:r w:rsidRPr="00705EEC">
        <w:rPr>
          <w:lang w:val="lt-LT"/>
        </w:rPr>
        <w:t>Receptinis vaistinis preparatas</w:t>
      </w:r>
    </w:p>
    <w:p w14:paraId="7AB5005B" w14:textId="77777777" w:rsidR="007D59EF" w:rsidRPr="00705EEC" w:rsidRDefault="007D59EF" w:rsidP="007D59EF">
      <w:pPr>
        <w:rPr>
          <w:szCs w:val="24"/>
          <w:lang w:val="lt-LT"/>
        </w:rPr>
      </w:pPr>
    </w:p>
    <w:p w14:paraId="0CDBADE7" w14:textId="77777777" w:rsidR="007D59EF" w:rsidRPr="00705EEC" w:rsidRDefault="007D59EF" w:rsidP="007D59EF">
      <w:pPr>
        <w:rPr>
          <w:szCs w:val="24"/>
          <w:lang w:val="lt-LT"/>
        </w:rPr>
      </w:pPr>
    </w:p>
    <w:p w14:paraId="62AB40B8" w14:textId="77777777" w:rsidR="007D59EF" w:rsidRPr="00705EEC" w:rsidRDefault="007D59EF" w:rsidP="007D59E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5EDECFD3" w14:textId="77777777" w:rsidR="007D59EF" w:rsidRPr="00705EEC" w:rsidRDefault="007D59EF" w:rsidP="007D59EF">
      <w:pPr>
        <w:rPr>
          <w:szCs w:val="24"/>
          <w:lang w:val="lt-LT"/>
        </w:rPr>
      </w:pPr>
    </w:p>
    <w:p w14:paraId="24D7AA98" w14:textId="77777777" w:rsidR="007D59EF" w:rsidRPr="00705EEC" w:rsidRDefault="007D59EF" w:rsidP="007D59EF">
      <w:pPr>
        <w:rPr>
          <w:szCs w:val="24"/>
          <w:lang w:val="lt-LT"/>
        </w:rPr>
      </w:pPr>
    </w:p>
    <w:p w14:paraId="00B85400" w14:textId="77777777" w:rsidR="007D59EF" w:rsidRPr="00705EEC" w:rsidRDefault="007D59EF" w:rsidP="007D59E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05EEC">
        <w:rPr>
          <w:b/>
          <w:szCs w:val="24"/>
          <w:lang w:val="lt-LT"/>
        </w:rPr>
        <w:t>16.</w:t>
      </w:r>
      <w:r w:rsidRPr="00705EEC">
        <w:rPr>
          <w:b/>
          <w:szCs w:val="24"/>
          <w:lang w:val="lt-LT"/>
        </w:rPr>
        <w:tab/>
        <w:t>INFORMACIJA BRAILIO RAŠTU</w:t>
      </w:r>
    </w:p>
    <w:p w14:paraId="3A7B421E" w14:textId="77777777" w:rsidR="007D59EF" w:rsidRPr="00705EEC" w:rsidRDefault="007D59EF" w:rsidP="007D59EF">
      <w:pPr>
        <w:rPr>
          <w:szCs w:val="24"/>
          <w:lang w:val="lt-LT"/>
        </w:rPr>
      </w:pPr>
    </w:p>
    <w:p w14:paraId="25A442A2" w14:textId="77777777" w:rsidR="007D59EF" w:rsidRPr="001C7577" w:rsidRDefault="007D59EF" w:rsidP="007D59EF">
      <w:pPr>
        <w:rPr>
          <w:lang w:val="lt-LT"/>
        </w:rPr>
      </w:pPr>
      <w:r w:rsidRPr="001C7577">
        <w:rPr>
          <w:lang w:val="lt-LT"/>
        </w:rPr>
        <w:t xml:space="preserve">Lopinavir /Ritonavir Ranbaxy 200 mg/50 mg </w:t>
      </w:r>
    </w:p>
    <w:p w14:paraId="299CF59A" w14:textId="77777777" w:rsidR="007D59EF" w:rsidRPr="001C7577"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szCs w:val="24"/>
          <w:lang w:val="lt-LT"/>
        </w:rPr>
        <w:br w:type="page"/>
      </w:r>
      <w:r w:rsidRPr="001C7577">
        <w:rPr>
          <w:b/>
          <w:szCs w:val="24"/>
          <w:lang w:val="lt-LT"/>
        </w:rPr>
        <w:lastRenderedPageBreak/>
        <w:t>INFORMACIJA ANT VIDINĖS PAKUOTĖS</w:t>
      </w:r>
    </w:p>
    <w:p w14:paraId="0586E9FE" w14:textId="77777777" w:rsidR="007D59EF" w:rsidRPr="001C7577"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p>
    <w:p w14:paraId="23CB6EF8"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rPr>
          <w:b/>
          <w:szCs w:val="24"/>
          <w:lang w:val="lt-LT"/>
        </w:rPr>
      </w:pPr>
      <w:r w:rsidRPr="001C7577">
        <w:rPr>
          <w:b/>
          <w:szCs w:val="24"/>
          <w:lang w:val="lt-LT"/>
        </w:rPr>
        <w:t>Buteliuko etiketė</w:t>
      </w:r>
    </w:p>
    <w:p w14:paraId="4E6CF4B0" w14:textId="77777777" w:rsidR="007D59EF" w:rsidRPr="00705EEC" w:rsidRDefault="007D59EF" w:rsidP="007D59EF">
      <w:pPr>
        <w:rPr>
          <w:szCs w:val="24"/>
          <w:lang w:val="lt-LT"/>
        </w:rPr>
      </w:pPr>
    </w:p>
    <w:p w14:paraId="44F3E08D" w14:textId="77777777" w:rsidR="007D59EF" w:rsidRPr="00705EEC" w:rsidRDefault="007D59EF" w:rsidP="007D59EF">
      <w:pPr>
        <w:rPr>
          <w:szCs w:val="24"/>
          <w:lang w:val="lt-LT"/>
        </w:rPr>
      </w:pPr>
    </w:p>
    <w:p w14:paraId="5AFA482E"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4EAFE713" w14:textId="77777777" w:rsidR="007D59EF" w:rsidRPr="00705EEC" w:rsidRDefault="007D59EF" w:rsidP="007D59EF">
      <w:pPr>
        <w:rPr>
          <w:szCs w:val="24"/>
          <w:lang w:val="lt-LT"/>
        </w:rPr>
      </w:pPr>
    </w:p>
    <w:p w14:paraId="4D409FFD" w14:textId="77777777" w:rsidR="007D59EF" w:rsidRPr="001C7577" w:rsidRDefault="007D59EF" w:rsidP="007D59EF">
      <w:pPr>
        <w:rPr>
          <w:lang w:val="lt-LT"/>
        </w:rPr>
      </w:pPr>
      <w:r w:rsidRPr="001C7577">
        <w:rPr>
          <w:lang w:val="lt-LT"/>
        </w:rPr>
        <w:t>Lopinavir /Ritonavir Ranbaxy 100 mg/25 mg plėvele dengtos tabletės</w:t>
      </w:r>
    </w:p>
    <w:p w14:paraId="43468FD1" w14:textId="77777777" w:rsidR="007D59EF" w:rsidRPr="001C7577" w:rsidRDefault="007D59EF" w:rsidP="007D59EF">
      <w:pPr>
        <w:rPr>
          <w:lang w:val="lt-LT"/>
        </w:rPr>
      </w:pPr>
      <w:r w:rsidRPr="001C7577">
        <w:rPr>
          <w:highlight w:val="lightGray"/>
          <w:lang w:val="lt-LT"/>
        </w:rPr>
        <w:t>Lopinavir /Ritonavir Ranbaxy 200 mg/50 mg plėvele dengtos tabletės</w:t>
      </w:r>
    </w:p>
    <w:p w14:paraId="050815C7" w14:textId="77777777" w:rsidR="007D59EF" w:rsidRPr="001C7577" w:rsidRDefault="007D59EF" w:rsidP="007D59EF">
      <w:pPr>
        <w:rPr>
          <w:lang w:val="lt-LT"/>
        </w:rPr>
      </w:pPr>
    </w:p>
    <w:p w14:paraId="22382665" w14:textId="77777777" w:rsidR="007D59EF" w:rsidRPr="001C7577" w:rsidRDefault="007D59EF" w:rsidP="007D59EF">
      <w:pPr>
        <w:rPr>
          <w:lang w:val="lt-LT"/>
        </w:rPr>
      </w:pPr>
      <w:r w:rsidRPr="001C7577">
        <w:rPr>
          <w:lang w:val="lt-LT"/>
        </w:rPr>
        <w:t>Lopinavirum/ Ritonavirum</w:t>
      </w:r>
    </w:p>
    <w:p w14:paraId="5F25C5E2" w14:textId="77777777" w:rsidR="007D59EF" w:rsidRPr="00705EEC" w:rsidRDefault="007D59EF" w:rsidP="007D59EF">
      <w:pPr>
        <w:rPr>
          <w:szCs w:val="24"/>
          <w:lang w:val="lt-LT"/>
        </w:rPr>
      </w:pPr>
    </w:p>
    <w:p w14:paraId="47255D19" w14:textId="77777777" w:rsidR="007D59EF" w:rsidRPr="00705EEC" w:rsidRDefault="007D59EF" w:rsidP="007D59EF">
      <w:pPr>
        <w:rPr>
          <w:szCs w:val="24"/>
          <w:lang w:val="lt-LT"/>
        </w:rPr>
      </w:pPr>
    </w:p>
    <w:p w14:paraId="7F71546E"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39C103B0" w14:textId="77777777" w:rsidR="007D59EF" w:rsidRPr="00705EEC" w:rsidRDefault="007D59EF" w:rsidP="007D59EF">
      <w:pPr>
        <w:rPr>
          <w:szCs w:val="24"/>
          <w:lang w:val="lt-LT"/>
        </w:rPr>
      </w:pPr>
    </w:p>
    <w:p w14:paraId="3CB736DA" w14:textId="77777777" w:rsidR="007D59EF" w:rsidRPr="001C7577" w:rsidRDefault="007D59EF" w:rsidP="007D59EF">
      <w:pPr>
        <w:rPr>
          <w:lang w:val="lt-LT"/>
        </w:rPr>
      </w:pPr>
      <w:r w:rsidRPr="001C7577">
        <w:rPr>
          <w:lang w:val="lt-LT"/>
        </w:rPr>
        <w:t>Kiekvienoje plėvele dengtoje tabletėje yra 100 mg lopinaviro kartu su 25 mg ritonaviro farmakokinetikai sustiprinti.</w:t>
      </w:r>
    </w:p>
    <w:p w14:paraId="5BC020B6" w14:textId="77777777" w:rsidR="007D59EF" w:rsidRPr="001C7577" w:rsidRDefault="007D59EF" w:rsidP="007D59EF">
      <w:pPr>
        <w:rPr>
          <w:highlight w:val="lightGray"/>
          <w:lang w:val="lt-LT"/>
        </w:rPr>
      </w:pPr>
      <w:r w:rsidRPr="001C7577">
        <w:rPr>
          <w:highlight w:val="lightGray"/>
          <w:lang w:val="lt-LT"/>
        </w:rPr>
        <w:t>Kiekvienoje plėvele dengtoje tabletėje yra 200 mg lopinaviro kartu su 50 mg ritonaviro farmakokinetikai sustiprinti.</w:t>
      </w:r>
    </w:p>
    <w:p w14:paraId="74B3C5F3" w14:textId="77777777" w:rsidR="007D59EF" w:rsidRPr="00705EEC" w:rsidRDefault="007D59EF" w:rsidP="007D59EF">
      <w:pPr>
        <w:rPr>
          <w:szCs w:val="24"/>
          <w:lang w:val="lt-LT"/>
        </w:rPr>
      </w:pPr>
    </w:p>
    <w:p w14:paraId="2FBDE155" w14:textId="77777777" w:rsidR="007D59EF" w:rsidRPr="00705EEC" w:rsidRDefault="007D59EF" w:rsidP="007D59EF">
      <w:pPr>
        <w:rPr>
          <w:szCs w:val="24"/>
          <w:lang w:val="lt-LT"/>
        </w:rPr>
      </w:pPr>
    </w:p>
    <w:p w14:paraId="227A3C7E"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466F739B" w14:textId="77777777" w:rsidR="007D59EF" w:rsidRPr="00705EEC" w:rsidRDefault="007D59EF" w:rsidP="007D59EF">
      <w:pPr>
        <w:rPr>
          <w:szCs w:val="24"/>
          <w:lang w:val="lt-LT"/>
        </w:rPr>
      </w:pPr>
    </w:p>
    <w:p w14:paraId="3CB2E63D" w14:textId="77777777" w:rsidR="007D59EF" w:rsidRPr="00705EEC" w:rsidRDefault="007D59EF" w:rsidP="007D59EF">
      <w:pPr>
        <w:rPr>
          <w:lang w:val="lt-LT"/>
        </w:rPr>
      </w:pPr>
      <w:r w:rsidRPr="00705EEC">
        <w:rPr>
          <w:lang w:val="lt-LT"/>
        </w:rPr>
        <w:t>Sudėtyje yra laktozės. Daugiau informacijos pateikta pakuotės lapelyje.</w:t>
      </w:r>
    </w:p>
    <w:p w14:paraId="36377F56" w14:textId="77777777" w:rsidR="007D59EF" w:rsidRPr="00705EEC" w:rsidRDefault="007D59EF" w:rsidP="007D59EF">
      <w:pPr>
        <w:rPr>
          <w:szCs w:val="24"/>
          <w:lang w:val="lt-LT"/>
        </w:rPr>
      </w:pPr>
    </w:p>
    <w:p w14:paraId="0A1CE388" w14:textId="77777777" w:rsidR="007D59EF" w:rsidRPr="00705EEC" w:rsidRDefault="007D59EF" w:rsidP="007D59EF">
      <w:pPr>
        <w:rPr>
          <w:szCs w:val="24"/>
          <w:lang w:val="lt-LT"/>
        </w:rPr>
      </w:pPr>
    </w:p>
    <w:p w14:paraId="1151915B"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01420556" w14:textId="77777777" w:rsidR="007D59EF" w:rsidRPr="00705EEC" w:rsidRDefault="007D59EF" w:rsidP="007D59EF">
      <w:pPr>
        <w:rPr>
          <w:szCs w:val="24"/>
          <w:lang w:val="lt-LT"/>
        </w:rPr>
      </w:pPr>
    </w:p>
    <w:p w14:paraId="5CD36D56" w14:textId="77777777" w:rsidR="007D59EF" w:rsidRPr="001C7577" w:rsidRDefault="007D59EF" w:rsidP="007D59EF">
      <w:pPr>
        <w:rPr>
          <w:lang w:val="lt-LT"/>
        </w:rPr>
      </w:pPr>
      <w:r w:rsidRPr="001C7577">
        <w:rPr>
          <w:lang w:val="lt-LT"/>
        </w:rPr>
        <w:t>60 plėvele dengtų tablečių</w:t>
      </w:r>
      <w:r w:rsidRPr="001C7577">
        <w:rPr>
          <w:lang w:val="lt-LT"/>
        </w:rPr>
        <w:tab/>
      </w:r>
    </w:p>
    <w:p w14:paraId="361665D1" w14:textId="77777777" w:rsidR="007D59EF" w:rsidRPr="001C7577" w:rsidRDefault="007D59EF" w:rsidP="007D59EF">
      <w:pPr>
        <w:rPr>
          <w:lang w:val="lt-LT"/>
        </w:rPr>
      </w:pPr>
      <w:r w:rsidRPr="001C7577">
        <w:rPr>
          <w:highlight w:val="lightGray"/>
          <w:lang w:val="lt-LT"/>
        </w:rPr>
        <w:t>120 plėvele dengtų tablečių</w:t>
      </w:r>
    </w:p>
    <w:p w14:paraId="144CE59C" w14:textId="77777777" w:rsidR="007D59EF" w:rsidRPr="00705EEC" w:rsidRDefault="007D59EF" w:rsidP="007D59EF">
      <w:pPr>
        <w:rPr>
          <w:szCs w:val="24"/>
          <w:lang w:val="lt-LT"/>
        </w:rPr>
      </w:pPr>
    </w:p>
    <w:p w14:paraId="65114D9D" w14:textId="77777777" w:rsidR="007D59EF" w:rsidRPr="00705EEC" w:rsidRDefault="007D59EF" w:rsidP="007D59EF">
      <w:pPr>
        <w:rPr>
          <w:szCs w:val="24"/>
          <w:lang w:val="lt-LT"/>
        </w:rPr>
      </w:pPr>
    </w:p>
    <w:p w14:paraId="63DB65DC"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72DFA35A" w14:textId="77777777" w:rsidR="007D59EF" w:rsidRPr="00705EEC" w:rsidRDefault="007D59EF" w:rsidP="007D59EF">
      <w:pPr>
        <w:rPr>
          <w:szCs w:val="24"/>
          <w:lang w:val="lt-LT"/>
        </w:rPr>
      </w:pPr>
    </w:p>
    <w:p w14:paraId="088AAC42" w14:textId="77777777" w:rsidR="007D59EF" w:rsidRPr="001C7577" w:rsidRDefault="007D59EF" w:rsidP="007D59EF">
      <w:pPr>
        <w:rPr>
          <w:szCs w:val="24"/>
          <w:lang w:val="lt-LT"/>
        </w:rPr>
      </w:pPr>
      <w:r w:rsidRPr="001C7577">
        <w:rPr>
          <w:szCs w:val="24"/>
          <w:lang w:val="lt-LT"/>
        </w:rPr>
        <w:t xml:space="preserve">Vartoti per burną. </w:t>
      </w:r>
    </w:p>
    <w:p w14:paraId="4AFF1D7E" w14:textId="77777777" w:rsidR="007D59EF" w:rsidRPr="00705EEC" w:rsidRDefault="007D59EF" w:rsidP="007D59EF">
      <w:pPr>
        <w:rPr>
          <w:szCs w:val="24"/>
          <w:lang w:val="lt-LT"/>
        </w:rPr>
      </w:pPr>
      <w:r w:rsidRPr="001C7577">
        <w:rPr>
          <w:szCs w:val="24"/>
          <w:lang w:val="lt-LT"/>
        </w:rPr>
        <w:t>Prieš vartojimą perskaitykite pakuotės lapelį.</w:t>
      </w:r>
    </w:p>
    <w:p w14:paraId="381B497C" w14:textId="77777777" w:rsidR="007D59EF" w:rsidRPr="00705EEC" w:rsidRDefault="007D59EF" w:rsidP="007D59EF">
      <w:pPr>
        <w:rPr>
          <w:szCs w:val="24"/>
          <w:lang w:val="lt-LT"/>
        </w:rPr>
      </w:pPr>
    </w:p>
    <w:p w14:paraId="09DEE44E" w14:textId="77777777" w:rsidR="007D59EF" w:rsidRPr="00705EEC" w:rsidRDefault="007D59EF" w:rsidP="007D59EF">
      <w:pPr>
        <w:rPr>
          <w:szCs w:val="24"/>
          <w:lang w:val="lt-LT"/>
        </w:rPr>
      </w:pPr>
    </w:p>
    <w:p w14:paraId="46E93809"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7C1797D8" w14:textId="77777777" w:rsidR="007D59EF" w:rsidRPr="00705EEC" w:rsidRDefault="007D59EF" w:rsidP="007D59EF">
      <w:pPr>
        <w:rPr>
          <w:szCs w:val="24"/>
          <w:lang w:val="lt-LT"/>
        </w:rPr>
      </w:pPr>
    </w:p>
    <w:p w14:paraId="30292CDC" w14:textId="77777777" w:rsidR="007D59EF" w:rsidRPr="00705EEC" w:rsidRDefault="007D59EF" w:rsidP="007D59EF">
      <w:pPr>
        <w:rPr>
          <w:szCs w:val="24"/>
          <w:lang w:val="lt-LT"/>
        </w:rPr>
      </w:pPr>
      <w:r w:rsidRPr="001C7577">
        <w:rPr>
          <w:szCs w:val="24"/>
          <w:lang w:val="lt-LT"/>
        </w:rPr>
        <w:t>Laikyti vaikams nepastebimoje ir nepasiekiamoje vietoje.</w:t>
      </w:r>
    </w:p>
    <w:p w14:paraId="36AAC346" w14:textId="77777777" w:rsidR="007D59EF" w:rsidRPr="00705EEC" w:rsidRDefault="007D59EF" w:rsidP="007D59EF">
      <w:pPr>
        <w:rPr>
          <w:szCs w:val="24"/>
          <w:lang w:val="lt-LT"/>
        </w:rPr>
      </w:pPr>
    </w:p>
    <w:p w14:paraId="5012159E" w14:textId="77777777" w:rsidR="007D59EF" w:rsidRPr="00705EEC" w:rsidRDefault="007D59EF" w:rsidP="007D59EF">
      <w:pPr>
        <w:rPr>
          <w:szCs w:val="24"/>
          <w:lang w:val="lt-LT"/>
        </w:rPr>
      </w:pPr>
    </w:p>
    <w:p w14:paraId="60D42949"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4640BC05" w14:textId="77777777" w:rsidR="007D59EF" w:rsidRPr="00705EEC" w:rsidRDefault="007D59EF" w:rsidP="007D59EF">
      <w:pPr>
        <w:rPr>
          <w:szCs w:val="24"/>
          <w:lang w:val="lt-LT"/>
        </w:rPr>
      </w:pPr>
    </w:p>
    <w:p w14:paraId="3C79F83D" w14:textId="77777777" w:rsidR="007D59EF" w:rsidRPr="00705EEC" w:rsidRDefault="007D59EF" w:rsidP="007D59EF">
      <w:pPr>
        <w:rPr>
          <w:szCs w:val="24"/>
          <w:lang w:val="lt-LT"/>
        </w:rPr>
      </w:pPr>
    </w:p>
    <w:p w14:paraId="2E350FA2"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44A57AAA" w14:textId="77777777" w:rsidR="007D59EF" w:rsidRPr="001C7577" w:rsidRDefault="007D59EF" w:rsidP="007D59EF">
      <w:pPr>
        <w:rPr>
          <w:lang w:val="lt-LT"/>
        </w:rPr>
      </w:pPr>
    </w:p>
    <w:p w14:paraId="1B5FAA2C" w14:textId="77777777" w:rsidR="007D59EF" w:rsidRPr="001C7577" w:rsidRDefault="007D59EF" w:rsidP="007D59EF">
      <w:pPr>
        <w:rPr>
          <w:lang w:val="lt-LT"/>
        </w:rPr>
      </w:pPr>
      <w:r w:rsidRPr="001C7577">
        <w:rPr>
          <w:lang w:val="lt-LT"/>
        </w:rPr>
        <w:t>Tinka iki &lt;MMMM.mm.</w:t>
      </w:r>
      <w:r w:rsidRPr="001C7577" w:rsidDel="006144FE">
        <w:rPr>
          <w:lang w:val="lt-LT"/>
        </w:rPr>
        <w:t xml:space="preserve"> </w:t>
      </w:r>
      <w:r w:rsidRPr="001C7577">
        <w:rPr>
          <w:lang w:val="lt-LT"/>
        </w:rPr>
        <w:t>&gt;</w:t>
      </w:r>
    </w:p>
    <w:p w14:paraId="4010085E" w14:textId="77777777" w:rsidR="007D59EF" w:rsidRPr="001C7577" w:rsidRDefault="007D59EF" w:rsidP="007D59EF">
      <w:pPr>
        <w:rPr>
          <w:lang w:val="lt-LT"/>
        </w:rPr>
      </w:pPr>
      <w:r w:rsidRPr="001C7577">
        <w:rPr>
          <w:lang w:val="lt-LT"/>
        </w:rPr>
        <w:lastRenderedPageBreak/>
        <w:t>Pirmą kartą atidarius suvartoti per 30 dienų.</w:t>
      </w:r>
    </w:p>
    <w:p w14:paraId="421DC255" w14:textId="77777777" w:rsidR="007D59EF" w:rsidRPr="00705EEC" w:rsidRDefault="007D59EF" w:rsidP="007D59EF">
      <w:pPr>
        <w:rPr>
          <w:szCs w:val="24"/>
          <w:lang w:val="lt-LT"/>
        </w:rPr>
      </w:pPr>
    </w:p>
    <w:p w14:paraId="0AB51BF6" w14:textId="77777777" w:rsidR="007D59EF" w:rsidRPr="00705EEC" w:rsidRDefault="007D59EF" w:rsidP="007D59EF">
      <w:pPr>
        <w:rPr>
          <w:szCs w:val="24"/>
          <w:lang w:val="lt-LT"/>
        </w:rPr>
      </w:pPr>
    </w:p>
    <w:p w14:paraId="60FE611D" w14:textId="77777777" w:rsidR="007D59EF" w:rsidRPr="00705EEC" w:rsidRDefault="007D59EF" w:rsidP="007D59E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19E090F2" w14:textId="77777777" w:rsidR="007D59EF" w:rsidRPr="00705EEC" w:rsidRDefault="007D59EF" w:rsidP="007D59EF">
      <w:pPr>
        <w:rPr>
          <w:szCs w:val="24"/>
          <w:lang w:val="lt-LT"/>
        </w:rPr>
      </w:pPr>
    </w:p>
    <w:p w14:paraId="57254D9C" w14:textId="77777777" w:rsidR="007D59EF" w:rsidRPr="001C7577" w:rsidRDefault="007D59EF" w:rsidP="007D59EF">
      <w:pPr>
        <w:rPr>
          <w:lang w:val="lt-LT"/>
        </w:rPr>
      </w:pPr>
      <w:r w:rsidRPr="001C7577">
        <w:rPr>
          <w:lang w:val="lt-LT"/>
        </w:rPr>
        <w:t xml:space="preserve">Buteliuką laikyti sandąrų, kad preparatas būtų apsaugotas nuo drėgmės. </w:t>
      </w:r>
    </w:p>
    <w:p w14:paraId="4D1F2E44" w14:textId="77777777" w:rsidR="007D59EF" w:rsidRPr="001C7577" w:rsidRDefault="007D59EF" w:rsidP="007D59EF">
      <w:pPr>
        <w:rPr>
          <w:lang w:val="lt-LT"/>
        </w:rPr>
      </w:pPr>
      <w:r w:rsidRPr="001C7577">
        <w:rPr>
          <w:lang w:val="lt-LT"/>
        </w:rPr>
        <w:t>Pirmą kartą atidarius laikyti žemesnėje kaip 25</w:t>
      </w:r>
      <w:r w:rsidRPr="001C7577">
        <w:rPr>
          <w:vertAlign w:val="superscript"/>
          <w:lang w:val="lt-LT"/>
        </w:rPr>
        <w:t>o</w:t>
      </w:r>
      <w:r w:rsidRPr="001C7577">
        <w:rPr>
          <w:lang w:val="lt-LT"/>
        </w:rPr>
        <w:t>C temperatūroje, gamintojo pakuotėje, kad preparatas būtų apsaugotas nuo drėgmės.</w:t>
      </w:r>
    </w:p>
    <w:p w14:paraId="403EC351" w14:textId="77777777" w:rsidR="007D59EF" w:rsidRPr="00705EEC" w:rsidRDefault="007D59EF" w:rsidP="007D59EF">
      <w:pPr>
        <w:rPr>
          <w:szCs w:val="24"/>
          <w:lang w:val="lt-LT"/>
        </w:rPr>
      </w:pPr>
    </w:p>
    <w:p w14:paraId="42D7C162" w14:textId="77777777" w:rsidR="007D59EF" w:rsidRPr="00705EEC" w:rsidRDefault="007D59EF" w:rsidP="007D59EF">
      <w:pPr>
        <w:rPr>
          <w:szCs w:val="24"/>
          <w:lang w:val="lt-LT"/>
        </w:rPr>
      </w:pPr>
    </w:p>
    <w:p w14:paraId="6A22A6F6"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4E6C2DD1" w14:textId="77777777" w:rsidR="007D59EF" w:rsidRPr="00705EEC" w:rsidRDefault="007D59EF" w:rsidP="007D59EF">
      <w:pPr>
        <w:rPr>
          <w:szCs w:val="24"/>
          <w:lang w:val="lt-LT"/>
        </w:rPr>
      </w:pPr>
    </w:p>
    <w:p w14:paraId="27268DD5" w14:textId="77777777" w:rsidR="007D59EF" w:rsidRPr="00705EEC" w:rsidRDefault="007D59EF" w:rsidP="007D59EF">
      <w:pPr>
        <w:rPr>
          <w:szCs w:val="24"/>
          <w:lang w:val="lt-LT"/>
        </w:rPr>
      </w:pPr>
    </w:p>
    <w:p w14:paraId="0D1BF53B" w14:textId="54C272C8"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003C1B10" w:rsidRPr="003C1B10">
        <w:rPr>
          <w:b/>
          <w:caps/>
          <w:szCs w:val="24"/>
          <w:lang w:val="lt-LT"/>
        </w:rPr>
        <w:t>REGISTRUOTOJO</w:t>
      </w:r>
      <w:r w:rsidRPr="001C7577">
        <w:rPr>
          <w:b/>
          <w:caps/>
          <w:szCs w:val="24"/>
          <w:lang w:val="lt-LT"/>
        </w:rPr>
        <w:t xml:space="preserve"> PAVADINIMAS IR ADRESAS</w:t>
      </w:r>
    </w:p>
    <w:p w14:paraId="049B8B8A" w14:textId="77777777" w:rsidR="007D59EF" w:rsidRPr="00705EEC" w:rsidRDefault="007D59EF" w:rsidP="007D59EF">
      <w:pPr>
        <w:rPr>
          <w:szCs w:val="24"/>
          <w:lang w:val="lt-LT"/>
        </w:rPr>
      </w:pPr>
    </w:p>
    <w:p w14:paraId="5E44DBF6" w14:textId="77777777" w:rsidR="007D59EF" w:rsidRPr="001C7577" w:rsidRDefault="007D59EF" w:rsidP="007D59EF">
      <w:pPr>
        <w:rPr>
          <w:lang w:val="lt-LT"/>
        </w:rPr>
      </w:pPr>
      <w:r w:rsidRPr="001C7577">
        <w:rPr>
          <w:lang w:val="lt-LT"/>
        </w:rPr>
        <w:t>Ranbaxy (UK) Limited</w:t>
      </w:r>
    </w:p>
    <w:p w14:paraId="12B75A5D" w14:textId="77777777" w:rsidR="007D59EF" w:rsidRPr="001C7577" w:rsidRDefault="007D59EF" w:rsidP="007D59EF">
      <w:pPr>
        <w:rPr>
          <w:lang w:val="lt-LT"/>
        </w:rPr>
      </w:pPr>
      <w:r w:rsidRPr="001C7577">
        <w:rPr>
          <w:lang w:val="lt-LT"/>
        </w:rPr>
        <w:t>Building 4, Chiswick Park</w:t>
      </w:r>
    </w:p>
    <w:p w14:paraId="1F126E24" w14:textId="77777777" w:rsidR="007D59EF" w:rsidRPr="001C7577" w:rsidRDefault="007D59EF" w:rsidP="007D59EF">
      <w:pPr>
        <w:rPr>
          <w:lang w:val="lt-LT"/>
        </w:rPr>
      </w:pPr>
      <w:r w:rsidRPr="001C7577">
        <w:rPr>
          <w:lang w:val="lt-LT"/>
        </w:rPr>
        <w:t xml:space="preserve">566 Chiswick High Road </w:t>
      </w:r>
    </w:p>
    <w:p w14:paraId="21181214" w14:textId="77777777" w:rsidR="007D59EF" w:rsidRPr="001C7577" w:rsidRDefault="007D59EF" w:rsidP="007D59EF">
      <w:pPr>
        <w:rPr>
          <w:lang w:val="lt-LT"/>
        </w:rPr>
      </w:pPr>
      <w:r w:rsidRPr="001C7577">
        <w:rPr>
          <w:lang w:val="lt-LT"/>
        </w:rPr>
        <w:t>London, W4 5YE</w:t>
      </w:r>
    </w:p>
    <w:p w14:paraId="337A492E" w14:textId="77777777" w:rsidR="007D59EF" w:rsidRPr="00705EEC" w:rsidRDefault="007D59EF" w:rsidP="007D59EF">
      <w:pPr>
        <w:rPr>
          <w:szCs w:val="24"/>
          <w:lang w:val="lt-LT"/>
        </w:rPr>
      </w:pPr>
      <w:r w:rsidRPr="001C7577">
        <w:rPr>
          <w:lang w:val="lt-LT"/>
        </w:rPr>
        <w:t>Jungtinė Karalystė</w:t>
      </w:r>
    </w:p>
    <w:p w14:paraId="75564139" w14:textId="77777777" w:rsidR="007D59EF" w:rsidRPr="00705EEC" w:rsidRDefault="007D59EF" w:rsidP="007D59EF">
      <w:pPr>
        <w:rPr>
          <w:szCs w:val="24"/>
          <w:lang w:val="lt-LT"/>
        </w:rPr>
      </w:pPr>
    </w:p>
    <w:p w14:paraId="09112DE8" w14:textId="77777777" w:rsidR="007D59EF" w:rsidRPr="00705EEC" w:rsidRDefault="007D59EF" w:rsidP="007D59EF">
      <w:pPr>
        <w:rPr>
          <w:szCs w:val="24"/>
          <w:lang w:val="lt-LT"/>
        </w:rPr>
      </w:pPr>
    </w:p>
    <w:p w14:paraId="731ADD0B" w14:textId="42BA45C9"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003C1B10" w:rsidRPr="003C1B10">
        <w:rPr>
          <w:b/>
          <w:szCs w:val="24"/>
          <w:lang w:val="lt-LT"/>
        </w:rPr>
        <w:t xml:space="preserve">REGISTRACIJOS </w:t>
      </w:r>
      <w:r w:rsidRPr="00705EEC">
        <w:rPr>
          <w:b/>
          <w:szCs w:val="24"/>
          <w:lang w:val="lt-LT"/>
        </w:rPr>
        <w:t xml:space="preserve">PAŽYMĖJIMO NUMERIS (-IAI) </w:t>
      </w:r>
    </w:p>
    <w:p w14:paraId="689EDEF0" w14:textId="77777777" w:rsidR="007D59EF" w:rsidRPr="00705EEC" w:rsidRDefault="007D59EF" w:rsidP="007D59EF">
      <w:pPr>
        <w:rPr>
          <w:szCs w:val="24"/>
          <w:lang w:val="lt-LT"/>
        </w:rPr>
      </w:pPr>
    </w:p>
    <w:p w14:paraId="31DB8544" w14:textId="77777777" w:rsidR="007D59EF" w:rsidRPr="001C7577" w:rsidRDefault="007D59EF" w:rsidP="007D59EF">
      <w:pPr>
        <w:spacing w:line="240" w:lineRule="auto"/>
        <w:rPr>
          <w:lang w:val="lt-LT"/>
        </w:rPr>
      </w:pPr>
      <w:r w:rsidRPr="001C7577">
        <w:rPr>
          <w:lang w:val="lt-LT"/>
        </w:rPr>
        <w:t xml:space="preserve">Lopinavir /Ritonavir Ranbaxy 100 mg/25 mg </w:t>
      </w:r>
    </w:p>
    <w:p w14:paraId="4D9440A4" w14:textId="77777777" w:rsidR="007D59EF" w:rsidRPr="001C7577" w:rsidRDefault="007D59EF" w:rsidP="007D59EF">
      <w:pPr>
        <w:spacing w:line="240" w:lineRule="auto"/>
        <w:rPr>
          <w:lang w:val="lt-LT"/>
        </w:rPr>
      </w:pPr>
      <w:r w:rsidRPr="00705EEC">
        <w:rPr>
          <w:bCs/>
          <w:lang w:val="lt-LT"/>
        </w:rPr>
        <w:t>N60 - LT/1/14/3510/002</w:t>
      </w:r>
    </w:p>
    <w:p w14:paraId="4B80C398" w14:textId="77777777" w:rsidR="007D59EF" w:rsidRPr="00705EEC" w:rsidRDefault="007D59EF" w:rsidP="007D59EF">
      <w:pPr>
        <w:tabs>
          <w:tab w:val="clear" w:pos="567"/>
        </w:tabs>
        <w:spacing w:line="240" w:lineRule="auto"/>
        <w:rPr>
          <w:szCs w:val="24"/>
          <w:lang w:val="lt-LT"/>
        </w:rPr>
      </w:pPr>
    </w:p>
    <w:p w14:paraId="25DC8D44" w14:textId="77777777" w:rsidR="007D59EF" w:rsidRPr="001C7577" w:rsidRDefault="007D59EF" w:rsidP="007D59EF">
      <w:pPr>
        <w:spacing w:line="240" w:lineRule="auto"/>
        <w:rPr>
          <w:lang w:val="lt-LT"/>
        </w:rPr>
      </w:pPr>
      <w:r w:rsidRPr="001C7577">
        <w:rPr>
          <w:lang w:val="lt-LT"/>
        </w:rPr>
        <w:t xml:space="preserve">Lopinavir /Ritonavir Ranbaxy 200 mg/50 mg </w:t>
      </w:r>
    </w:p>
    <w:p w14:paraId="19242486" w14:textId="77777777" w:rsidR="007D59EF" w:rsidRPr="001C7577" w:rsidRDefault="007D59EF" w:rsidP="007D59EF">
      <w:pPr>
        <w:spacing w:line="240" w:lineRule="auto"/>
        <w:rPr>
          <w:lang w:val="lt-LT"/>
        </w:rPr>
      </w:pPr>
      <w:r w:rsidRPr="00705EEC">
        <w:rPr>
          <w:bCs/>
          <w:lang w:val="lt-LT"/>
        </w:rPr>
        <w:t>N120 - LT/1/14/3510/005</w:t>
      </w:r>
    </w:p>
    <w:p w14:paraId="1A99F2B6" w14:textId="77777777" w:rsidR="007D59EF" w:rsidRPr="00705EEC" w:rsidRDefault="007D59EF" w:rsidP="007D59EF">
      <w:pPr>
        <w:rPr>
          <w:szCs w:val="24"/>
          <w:lang w:val="lt-LT"/>
        </w:rPr>
      </w:pPr>
    </w:p>
    <w:p w14:paraId="1F00F547" w14:textId="77777777" w:rsidR="007D59EF" w:rsidRPr="00705EEC" w:rsidRDefault="007D59EF" w:rsidP="007D59EF">
      <w:pPr>
        <w:rPr>
          <w:szCs w:val="24"/>
          <w:lang w:val="lt-LT"/>
        </w:rPr>
      </w:pPr>
    </w:p>
    <w:p w14:paraId="02CE7160"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44E0156A" w14:textId="77777777" w:rsidR="007D59EF" w:rsidRPr="00705EEC" w:rsidRDefault="007D59EF" w:rsidP="007D59EF">
      <w:pPr>
        <w:rPr>
          <w:lang w:val="lt-LT"/>
        </w:rPr>
      </w:pPr>
    </w:p>
    <w:p w14:paraId="63A25D6C" w14:textId="77777777" w:rsidR="007D59EF" w:rsidRPr="001C7577" w:rsidRDefault="007D59EF" w:rsidP="007D59EF">
      <w:pPr>
        <w:rPr>
          <w:lang w:val="lt-LT"/>
        </w:rPr>
      </w:pPr>
      <w:r w:rsidRPr="00705EEC">
        <w:rPr>
          <w:lang w:val="lt-LT"/>
        </w:rPr>
        <w:t xml:space="preserve">Serija </w:t>
      </w:r>
    </w:p>
    <w:p w14:paraId="66E6E7E0" w14:textId="77777777" w:rsidR="007D59EF" w:rsidRPr="00705EEC" w:rsidRDefault="007D59EF" w:rsidP="007D59EF">
      <w:pPr>
        <w:rPr>
          <w:szCs w:val="24"/>
          <w:lang w:val="lt-LT"/>
        </w:rPr>
      </w:pPr>
    </w:p>
    <w:p w14:paraId="435A6EF1" w14:textId="77777777" w:rsidR="007D59EF" w:rsidRPr="00705EEC" w:rsidRDefault="007D59EF" w:rsidP="007D59EF">
      <w:pPr>
        <w:rPr>
          <w:szCs w:val="24"/>
          <w:lang w:val="lt-LT"/>
        </w:rPr>
      </w:pPr>
    </w:p>
    <w:p w14:paraId="7F5EE2F9"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763658F9" w14:textId="77777777" w:rsidR="007D59EF" w:rsidRPr="00705EEC" w:rsidRDefault="007D59EF" w:rsidP="007D59EF">
      <w:pPr>
        <w:rPr>
          <w:szCs w:val="24"/>
          <w:lang w:val="lt-LT"/>
        </w:rPr>
      </w:pPr>
    </w:p>
    <w:p w14:paraId="1E0045AA" w14:textId="77777777" w:rsidR="007D59EF" w:rsidRPr="00705EEC" w:rsidRDefault="007D59EF" w:rsidP="007D59EF">
      <w:pPr>
        <w:rPr>
          <w:szCs w:val="24"/>
          <w:lang w:val="lt-LT"/>
        </w:rPr>
      </w:pPr>
      <w:r w:rsidRPr="00705EEC">
        <w:rPr>
          <w:lang w:val="lt-LT"/>
        </w:rPr>
        <w:t>Receptinis vaistinis preparatas</w:t>
      </w:r>
    </w:p>
    <w:p w14:paraId="0B7D5251" w14:textId="77777777" w:rsidR="007D59EF" w:rsidRPr="00705EEC" w:rsidRDefault="007D59EF" w:rsidP="007D59EF">
      <w:pPr>
        <w:rPr>
          <w:szCs w:val="24"/>
          <w:lang w:val="lt-LT"/>
        </w:rPr>
      </w:pPr>
    </w:p>
    <w:p w14:paraId="61CBB2CF" w14:textId="77777777" w:rsidR="007D59EF" w:rsidRPr="00705EEC" w:rsidRDefault="007D59EF" w:rsidP="007D59EF">
      <w:pPr>
        <w:rPr>
          <w:szCs w:val="24"/>
          <w:lang w:val="lt-LT"/>
        </w:rPr>
      </w:pPr>
    </w:p>
    <w:p w14:paraId="5E9790AE" w14:textId="77777777" w:rsidR="007D59EF" w:rsidRPr="00705EEC" w:rsidRDefault="007D59EF" w:rsidP="007D59E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7796491C" w14:textId="77777777" w:rsidR="007D59EF" w:rsidRPr="00705EEC" w:rsidRDefault="007D59EF" w:rsidP="007D59EF">
      <w:pPr>
        <w:rPr>
          <w:szCs w:val="24"/>
          <w:lang w:val="lt-LT"/>
        </w:rPr>
      </w:pPr>
    </w:p>
    <w:p w14:paraId="5B7FB892" w14:textId="77777777" w:rsidR="007D59EF" w:rsidRPr="00705EEC" w:rsidRDefault="007D59EF" w:rsidP="007D59EF">
      <w:pPr>
        <w:rPr>
          <w:szCs w:val="24"/>
          <w:lang w:val="lt-LT"/>
        </w:rPr>
      </w:pPr>
    </w:p>
    <w:p w14:paraId="4DD8AD8D" w14:textId="77777777" w:rsidR="007D59EF" w:rsidRPr="00705EEC" w:rsidRDefault="007D59EF" w:rsidP="007D59E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05EEC">
        <w:rPr>
          <w:b/>
          <w:szCs w:val="24"/>
          <w:lang w:val="lt-LT"/>
        </w:rPr>
        <w:t>16.</w:t>
      </w:r>
      <w:r w:rsidRPr="00705EEC">
        <w:rPr>
          <w:b/>
          <w:szCs w:val="24"/>
          <w:lang w:val="lt-LT"/>
        </w:rPr>
        <w:tab/>
        <w:t>INFORMACIJA BRAILIO RAŠTU</w:t>
      </w:r>
    </w:p>
    <w:p w14:paraId="0C86E560" w14:textId="77777777" w:rsidR="007D59EF" w:rsidRPr="00705EEC" w:rsidRDefault="007D59EF" w:rsidP="007D59EF">
      <w:pPr>
        <w:rPr>
          <w:szCs w:val="24"/>
          <w:lang w:val="lt-LT"/>
        </w:rPr>
      </w:pPr>
    </w:p>
    <w:p w14:paraId="2E1A3D9D" w14:textId="77777777" w:rsidR="007D59EF" w:rsidRPr="001C7577" w:rsidRDefault="007D59EF" w:rsidP="007D59EF">
      <w:pPr>
        <w:rPr>
          <w:b/>
          <w:szCs w:val="24"/>
          <w:lang w:val="lt-LT"/>
        </w:rPr>
      </w:pPr>
      <w:r w:rsidRPr="00705EEC">
        <w:rPr>
          <w:szCs w:val="24"/>
          <w:lang w:val="lt-LT"/>
        </w:rPr>
        <w:br w:type="page"/>
      </w:r>
    </w:p>
    <w:p w14:paraId="3FBA6A2E" w14:textId="77777777" w:rsidR="007D59EF" w:rsidRPr="001C7577" w:rsidRDefault="007D59EF" w:rsidP="007D59EF">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sidRPr="001C7577">
        <w:rPr>
          <w:b/>
          <w:szCs w:val="24"/>
          <w:lang w:val="lt-LT"/>
        </w:rPr>
        <w:lastRenderedPageBreak/>
        <w:t>MINIMALI INFORMACIJA ANT LIZDINIŲ PLOKŠTELIŲ ARBA DVISLUOKSNIŲ JUOSTELIŲ</w:t>
      </w:r>
    </w:p>
    <w:p w14:paraId="6D883EC0" w14:textId="77777777" w:rsidR="007D59EF" w:rsidRPr="001C7577" w:rsidRDefault="007D59EF" w:rsidP="007D59EF">
      <w:pPr>
        <w:pBdr>
          <w:top w:val="single" w:sz="4" w:space="1" w:color="auto"/>
          <w:left w:val="single" w:sz="4" w:space="4" w:color="auto"/>
          <w:bottom w:val="single" w:sz="4" w:space="1" w:color="auto"/>
          <w:right w:val="single" w:sz="4" w:space="4" w:color="auto"/>
        </w:pBdr>
        <w:ind w:left="567" w:hanging="567"/>
        <w:rPr>
          <w:b/>
          <w:szCs w:val="24"/>
          <w:lang w:val="lt-LT"/>
        </w:rPr>
      </w:pPr>
    </w:p>
    <w:p w14:paraId="1EDC3600" w14:textId="77777777" w:rsidR="007D59EF" w:rsidRPr="001C7577" w:rsidRDefault="007D59EF" w:rsidP="007D59EF">
      <w:pPr>
        <w:pBdr>
          <w:top w:val="single" w:sz="4" w:space="1" w:color="auto"/>
          <w:left w:val="single" w:sz="4" w:space="4" w:color="auto"/>
          <w:bottom w:val="single" w:sz="4" w:space="1" w:color="auto"/>
          <w:right w:val="single" w:sz="4" w:space="4" w:color="auto"/>
        </w:pBdr>
        <w:ind w:left="567" w:hanging="567"/>
        <w:rPr>
          <w:b/>
          <w:szCs w:val="24"/>
          <w:lang w:val="lt-LT"/>
        </w:rPr>
      </w:pPr>
      <w:r w:rsidRPr="001C7577">
        <w:rPr>
          <w:b/>
          <w:szCs w:val="24"/>
          <w:lang w:val="lt-LT"/>
        </w:rPr>
        <w:t>Lizdinė plokštelė</w:t>
      </w:r>
    </w:p>
    <w:p w14:paraId="01106736" w14:textId="77777777" w:rsidR="007D59EF" w:rsidRPr="00705EEC" w:rsidRDefault="007D59EF" w:rsidP="007D59EF">
      <w:pPr>
        <w:rPr>
          <w:szCs w:val="24"/>
          <w:lang w:val="lt-LT"/>
        </w:rPr>
      </w:pPr>
    </w:p>
    <w:p w14:paraId="6D54217C" w14:textId="77777777" w:rsidR="007D59EF" w:rsidRPr="00705EEC" w:rsidRDefault="007D59EF" w:rsidP="007D59EF">
      <w:pPr>
        <w:rPr>
          <w:szCs w:val="24"/>
          <w:lang w:val="lt-LT"/>
        </w:rPr>
      </w:pPr>
    </w:p>
    <w:p w14:paraId="4F958BF5"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37270940" w14:textId="77777777" w:rsidR="007D59EF" w:rsidRPr="00705EEC" w:rsidRDefault="007D59EF" w:rsidP="007D59EF">
      <w:pPr>
        <w:rPr>
          <w:szCs w:val="24"/>
          <w:lang w:val="lt-LT"/>
        </w:rPr>
      </w:pPr>
    </w:p>
    <w:p w14:paraId="6F9AAE85" w14:textId="77777777" w:rsidR="007D59EF" w:rsidRPr="001C7577" w:rsidRDefault="007D59EF" w:rsidP="007D59EF">
      <w:pPr>
        <w:rPr>
          <w:lang w:val="lt-LT"/>
        </w:rPr>
      </w:pPr>
      <w:r w:rsidRPr="001C7577">
        <w:rPr>
          <w:lang w:val="lt-LT"/>
        </w:rPr>
        <w:t>Lopinavir /Ritonavir Ranbaxy 100 mg/25 mg plėvele dengtos tabletės</w:t>
      </w:r>
    </w:p>
    <w:p w14:paraId="1C260F17" w14:textId="77777777" w:rsidR="007D59EF" w:rsidRPr="001C7577" w:rsidRDefault="007D59EF" w:rsidP="007D59EF">
      <w:pPr>
        <w:rPr>
          <w:lang w:val="lt-LT"/>
        </w:rPr>
      </w:pPr>
      <w:r w:rsidRPr="001C7577">
        <w:rPr>
          <w:highlight w:val="lightGray"/>
          <w:lang w:val="lt-LT"/>
        </w:rPr>
        <w:t>Lopinavir /Ritonavir Ranbaxy 200 mg/50 mg plėvele dengtos tabletės</w:t>
      </w:r>
    </w:p>
    <w:p w14:paraId="7B1DB90C" w14:textId="77777777" w:rsidR="007D59EF" w:rsidRPr="001C7577" w:rsidRDefault="007D59EF" w:rsidP="007D59EF">
      <w:pPr>
        <w:rPr>
          <w:lang w:val="lt-LT"/>
        </w:rPr>
      </w:pPr>
    </w:p>
    <w:p w14:paraId="3E50FD71" w14:textId="77777777" w:rsidR="007D59EF" w:rsidRPr="001C7577" w:rsidRDefault="007D59EF" w:rsidP="007D59EF">
      <w:pPr>
        <w:rPr>
          <w:lang w:val="lt-LT"/>
        </w:rPr>
      </w:pPr>
      <w:r w:rsidRPr="001C7577">
        <w:rPr>
          <w:lang w:val="lt-LT"/>
        </w:rPr>
        <w:t>Lopinavirum/ Ritonavirum</w:t>
      </w:r>
    </w:p>
    <w:p w14:paraId="4417AA19" w14:textId="77777777" w:rsidR="007D59EF" w:rsidRPr="00705EEC" w:rsidRDefault="007D59EF" w:rsidP="007D59EF">
      <w:pPr>
        <w:rPr>
          <w:szCs w:val="24"/>
          <w:lang w:val="lt-LT"/>
        </w:rPr>
      </w:pPr>
    </w:p>
    <w:p w14:paraId="5AE556F3" w14:textId="77777777" w:rsidR="007D59EF" w:rsidRPr="00705EEC" w:rsidRDefault="007D59EF" w:rsidP="007D59EF">
      <w:pPr>
        <w:rPr>
          <w:szCs w:val="24"/>
          <w:lang w:val="lt-LT"/>
        </w:rPr>
      </w:pPr>
    </w:p>
    <w:p w14:paraId="2B458843"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2.</w:t>
      </w:r>
      <w:r w:rsidRPr="00705EEC">
        <w:rPr>
          <w:b/>
          <w:szCs w:val="24"/>
          <w:lang w:val="lt-LT"/>
        </w:rPr>
        <w:tab/>
      </w:r>
      <w:r w:rsidRPr="001C7577">
        <w:rPr>
          <w:b/>
          <w:caps/>
          <w:szCs w:val="24"/>
          <w:lang w:val="lt-LT"/>
        </w:rPr>
        <w:t>rinkodaros teisės turėtojo pavadinimas</w:t>
      </w:r>
    </w:p>
    <w:p w14:paraId="25893FF8" w14:textId="77777777" w:rsidR="007D59EF" w:rsidRPr="00705EEC" w:rsidRDefault="007D59EF" w:rsidP="007D59EF">
      <w:pPr>
        <w:rPr>
          <w:szCs w:val="24"/>
          <w:lang w:val="lt-LT"/>
        </w:rPr>
      </w:pPr>
    </w:p>
    <w:p w14:paraId="1D67C777" w14:textId="77777777" w:rsidR="007D59EF" w:rsidRPr="001C7577" w:rsidRDefault="007D59EF" w:rsidP="007D59EF">
      <w:pPr>
        <w:rPr>
          <w:lang w:val="lt-LT"/>
        </w:rPr>
      </w:pPr>
      <w:r w:rsidRPr="001C7577">
        <w:rPr>
          <w:lang w:val="lt-LT"/>
        </w:rPr>
        <w:t>Ranbaxy (UK) Limited</w:t>
      </w:r>
    </w:p>
    <w:p w14:paraId="315BE6D0" w14:textId="77777777" w:rsidR="007D59EF" w:rsidRPr="00705EEC" w:rsidRDefault="007D59EF" w:rsidP="007D59EF">
      <w:pPr>
        <w:rPr>
          <w:szCs w:val="24"/>
          <w:lang w:val="lt-LT"/>
        </w:rPr>
      </w:pPr>
      <w:r w:rsidRPr="00705EEC">
        <w:rPr>
          <w:szCs w:val="24"/>
          <w:lang w:val="lt-LT"/>
        </w:rPr>
        <w:t xml:space="preserve"> </w:t>
      </w:r>
    </w:p>
    <w:p w14:paraId="2DB29773" w14:textId="77777777" w:rsidR="007D59EF" w:rsidRPr="00705EEC" w:rsidRDefault="007D59EF" w:rsidP="007D59EF">
      <w:pPr>
        <w:rPr>
          <w:szCs w:val="24"/>
          <w:lang w:val="lt-LT"/>
        </w:rPr>
      </w:pPr>
    </w:p>
    <w:p w14:paraId="3768E11B" w14:textId="77777777" w:rsidR="007D59EF" w:rsidRPr="00705EEC" w:rsidRDefault="007D59EF" w:rsidP="007D59EF">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705EEC">
        <w:rPr>
          <w:b/>
          <w:szCs w:val="24"/>
          <w:lang w:val="lt-LT"/>
        </w:rPr>
        <w:t>3.</w:t>
      </w:r>
      <w:r w:rsidRPr="00705EEC">
        <w:rPr>
          <w:b/>
          <w:szCs w:val="24"/>
          <w:lang w:val="lt-LT"/>
        </w:rPr>
        <w:tab/>
        <w:t>TINKAMUMO LAIKAS</w:t>
      </w:r>
    </w:p>
    <w:p w14:paraId="4D90A9D7" w14:textId="77777777" w:rsidR="007D59EF" w:rsidRPr="00705EEC" w:rsidRDefault="007D59EF" w:rsidP="007D59EF">
      <w:pPr>
        <w:rPr>
          <w:lang w:val="lt-LT"/>
        </w:rPr>
      </w:pPr>
    </w:p>
    <w:p w14:paraId="41D07F90" w14:textId="77777777" w:rsidR="007D59EF" w:rsidRPr="001C7577" w:rsidRDefault="007D59EF" w:rsidP="007D59EF">
      <w:pPr>
        <w:rPr>
          <w:lang w:val="lt-LT"/>
        </w:rPr>
      </w:pPr>
      <w:r w:rsidRPr="001C7577">
        <w:rPr>
          <w:lang w:val="lt-LT"/>
        </w:rPr>
        <w:t>EXP &lt;MMMM.mm&gt;</w:t>
      </w:r>
    </w:p>
    <w:p w14:paraId="76BA84B6" w14:textId="77777777" w:rsidR="007D59EF" w:rsidRPr="00705EEC" w:rsidRDefault="007D59EF" w:rsidP="007D59EF">
      <w:pPr>
        <w:rPr>
          <w:szCs w:val="24"/>
          <w:lang w:val="lt-LT"/>
        </w:rPr>
      </w:pPr>
    </w:p>
    <w:p w14:paraId="6C822C4E" w14:textId="77777777" w:rsidR="007D59EF" w:rsidRPr="00705EEC" w:rsidRDefault="007D59EF" w:rsidP="007D59EF">
      <w:pPr>
        <w:rPr>
          <w:szCs w:val="24"/>
          <w:lang w:val="lt-LT"/>
        </w:rPr>
      </w:pPr>
    </w:p>
    <w:p w14:paraId="58EAA5A5" w14:textId="77777777" w:rsidR="007D59EF" w:rsidRPr="00705EEC" w:rsidRDefault="007D59EF" w:rsidP="007D59EF">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4.</w:t>
      </w:r>
      <w:r w:rsidRPr="00705EEC">
        <w:rPr>
          <w:b/>
          <w:szCs w:val="24"/>
          <w:lang w:val="lt-LT"/>
        </w:rPr>
        <w:tab/>
        <w:t>SERIJOS NUMERIS</w:t>
      </w:r>
    </w:p>
    <w:p w14:paraId="3CE187C7" w14:textId="77777777" w:rsidR="007D59EF" w:rsidRPr="00705EEC" w:rsidRDefault="007D59EF" w:rsidP="007D59EF">
      <w:pPr>
        <w:rPr>
          <w:lang w:val="lt-LT"/>
        </w:rPr>
      </w:pPr>
    </w:p>
    <w:p w14:paraId="3322B928" w14:textId="77777777" w:rsidR="007D59EF" w:rsidRPr="001C7577" w:rsidRDefault="007D59EF" w:rsidP="007D59EF">
      <w:pPr>
        <w:rPr>
          <w:lang w:val="lt-LT"/>
        </w:rPr>
      </w:pPr>
      <w:r w:rsidRPr="001C7577">
        <w:rPr>
          <w:lang w:val="lt-LT"/>
        </w:rPr>
        <w:t>Lot</w:t>
      </w:r>
    </w:p>
    <w:p w14:paraId="56260188" w14:textId="77777777" w:rsidR="007D59EF" w:rsidRPr="00705EEC" w:rsidRDefault="007D59EF" w:rsidP="007D59EF">
      <w:pPr>
        <w:rPr>
          <w:szCs w:val="24"/>
          <w:lang w:val="lt-LT"/>
        </w:rPr>
      </w:pPr>
    </w:p>
    <w:p w14:paraId="0B159B9F" w14:textId="77777777" w:rsidR="007D59EF" w:rsidRPr="00705EEC" w:rsidRDefault="007D59EF" w:rsidP="007D59EF">
      <w:pPr>
        <w:rPr>
          <w:szCs w:val="24"/>
          <w:lang w:val="lt-LT"/>
        </w:rPr>
      </w:pPr>
    </w:p>
    <w:p w14:paraId="56FFD4BD" w14:textId="77777777" w:rsidR="007D59EF" w:rsidRPr="00705EEC" w:rsidRDefault="007D59EF" w:rsidP="007D59E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5.</w:t>
      </w:r>
      <w:r w:rsidRPr="00705EEC">
        <w:rPr>
          <w:b/>
          <w:szCs w:val="24"/>
          <w:lang w:val="lt-LT"/>
        </w:rPr>
        <w:tab/>
        <w:t>KITA</w:t>
      </w:r>
    </w:p>
    <w:p w14:paraId="2F91366B" w14:textId="77777777" w:rsidR="007D59EF" w:rsidRPr="00705EEC" w:rsidRDefault="007D59EF" w:rsidP="007D59EF">
      <w:pPr>
        <w:rPr>
          <w:szCs w:val="24"/>
          <w:lang w:val="lt-LT"/>
        </w:rPr>
      </w:pPr>
    </w:p>
    <w:p w14:paraId="70E185F4" w14:textId="77777777" w:rsidR="007D59EF" w:rsidRPr="00705EEC" w:rsidRDefault="007D59EF" w:rsidP="007D59EF">
      <w:pPr>
        <w:rPr>
          <w:szCs w:val="24"/>
          <w:lang w:val="lt-LT"/>
        </w:rPr>
      </w:pPr>
    </w:p>
    <w:p w14:paraId="16DCCEBD" w14:textId="77777777" w:rsidR="007D59EF" w:rsidRPr="00705EEC" w:rsidRDefault="007D59EF" w:rsidP="007D59EF">
      <w:pPr>
        <w:outlineLvl w:val="0"/>
        <w:rPr>
          <w:b/>
          <w:szCs w:val="24"/>
          <w:lang w:val="lt-LT"/>
        </w:rPr>
      </w:pPr>
      <w:r w:rsidRPr="00705EEC">
        <w:rPr>
          <w:b/>
          <w:szCs w:val="24"/>
          <w:lang w:val="lt-LT"/>
        </w:rPr>
        <w:br w:type="page"/>
      </w:r>
    </w:p>
    <w:p w14:paraId="2FF3EE1F" w14:textId="77777777" w:rsidR="007D59EF" w:rsidRPr="00705EEC" w:rsidRDefault="007D59EF" w:rsidP="007D59EF">
      <w:pPr>
        <w:outlineLvl w:val="0"/>
        <w:rPr>
          <w:b/>
          <w:szCs w:val="24"/>
          <w:lang w:val="lt-LT"/>
        </w:rPr>
      </w:pPr>
    </w:p>
    <w:p w14:paraId="3C02DD59" w14:textId="77777777" w:rsidR="007D59EF" w:rsidRPr="00705EEC" w:rsidRDefault="007D59EF" w:rsidP="007D59EF">
      <w:pPr>
        <w:outlineLvl w:val="0"/>
        <w:rPr>
          <w:b/>
          <w:szCs w:val="24"/>
          <w:lang w:val="lt-LT"/>
        </w:rPr>
      </w:pPr>
    </w:p>
    <w:p w14:paraId="54F2811D" w14:textId="77777777" w:rsidR="007D59EF" w:rsidRPr="00705EEC" w:rsidRDefault="007D59EF" w:rsidP="007D59EF">
      <w:pPr>
        <w:outlineLvl w:val="0"/>
        <w:rPr>
          <w:b/>
          <w:szCs w:val="24"/>
          <w:lang w:val="lt-LT"/>
        </w:rPr>
      </w:pPr>
    </w:p>
    <w:p w14:paraId="765010F2" w14:textId="77777777" w:rsidR="007D59EF" w:rsidRPr="00705EEC" w:rsidRDefault="007D59EF" w:rsidP="007D59EF">
      <w:pPr>
        <w:outlineLvl w:val="0"/>
        <w:rPr>
          <w:b/>
          <w:szCs w:val="24"/>
          <w:lang w:val="lt-LT"/>
        </w:rPr>
      </w:pPr>
    </w:p>
    <w:p w14:paraId="78A704D4" w14:textId="77777777" w:rsidR="007D59EF" w:rsidRPr="00705EEC" w:rsidRDefault="007D59EF" w:rsidP="007D59EF">
      <w:pPr>
        <w:outlineLvl w:val="0"/>
        <w:rPr>
          <w:b/>
          <w:szCs w:val="24"/>
          <w:lang w:val="lt-LT"/>
        </w:rPr>
      </w:pPr>
    </w:p>
    <w:p w14:paraId="3A712F07" w14:textId="77777777" w:rsidR="007D59EF" w:rsidRPr="00705EEC" w:rsidRDefault="007D59EF" w:rsidP="007D59EF">
      <w:pPr>
        <w:outlineLvl w:val="0"/>
        <w:rPr>
          <w:b/>
          <w:szCs w:val="24"/>
          <w:lang w:val="lt-LT"/>
        </w:rPr>
      </w:pPr>
    </w:p>
    <w:p w14:paraId="2325FCAE" w14:textId="77777777" w:rsidR="007D59EF" w:rsidRPr="00705EEC" w:rsidRDefault="007D59EF" w:rsidP="007D59EF">
      <w:pPr>
        <w:outlineLvl w:val="0"/>
        <w:rPr>
          <w:b/>
          <w:szCs w:val="24"/>
          <w:lang w:val="lt-LT"/>
        </w:rPr>
      </w:pPr>
    </w:p>
    <w:p w14:paraId="035B7096" w14:textId="77777777" w:rsidR="007D59EF" w:rsidRPr="00705EEC" w:rsidRDefault="007D59EF" w:rsidP="007D59EF">
      <w:pPr>
        <w:outlineLvl w:val="0"/>
        <w:rPr>
          <w:b/>
          <w:szCs w:val="24"/>
          <w:lang w:val="lt-LT"/>
        </w:rPr>
      </w:pPr>
    </w:p>
    <w:p w14:paraId="65FAE802" w14:textId="77777777" w:rsidR="007D59EF" w:rsidRPr="00705EEC" w:rsidRDefault="007D59EF" w:rsidP="007D59EF">
      <w:pPr>
        <w:outlineLvl w:val="0"/>
        <w:rPr>
          <w:b/>
          <w:szCs w:val="24"/>
          <w:lang w:val="lt-LT"/>
        </w:rPr>
      </w:pPr>
    </w:p>
    <w:p w14:paraId="65A3736F" w14:textId="77777777" w:rsidR="007D59EF" w:rsidRPr="00705EEC" w:rsidRDefault="007D59EF" w:rsidP="007D59EF">
      <w:pPr>
        <w:outlineLvl w:val="0"/>
        <w:rPr>
          <w:b/>
          <w:szCs w:val="24"/>
          <w:lang w:val="lt-LT"/>
        </w:rPr>
      </w:pPr>
    </w:p>
    <w:p w14:paraId="4A9059F1" w14:textId="77777777" w:rsidR="007D59EF" w:rsidRPr="00705EEC" w:rsidRDefault="007D59EF" w:rsidP="007D59EF">
      <w:pPr>
        <w:outlineLvl w:val="0"/>
        <w:rPr>
          <w:b/>
          <w:szCs w:val="24"/>
          <w:lang w:val="lt-LT"/>
        </w:rPr>
      </w:pPr>
    </w:p>
    <w:p w14:paraId="1ED74C9E" w14:textId="77777777" w:rsidR="007D59EF" w:rsidRPr="00705EEC" w:rsidRDefault="007D59EF" w:rsidP="007D59EF">
      <w:pPr>
        <w:outlineLvl w:val="0"/>
        <w:rPr>
          <w:b/>
          <w:szCs w:val="24"/>
          <w:lang w:val="lt-LT"/>
        </w:rPr>
      </w:pPr>
    </w:p>
    <w:p w14:paraId="44A3099D" w14:textId="77777777" w:rsidR="007D59EF" w:rsidRPr="00705EEC" w:rsidRDefault="007D59EF" w:rsidP="007D59EF">
      <w:pPr>
        <w:outlineLvl w:val="0"/>
        <w:rPr>
          <w:b/>
          <w:szCs w:val="24"/>
          <w:lang w:val="lt-LT"/>
        </w:rPr>
      </w:pPr>
    </w:p>
    <w:p w14:paraId="3DB49910" w14:textId="77777777" w:rsidR="007D59EF" w:rsidRPr="00705EEC" w:rsidRDefault="007D59EF" w:rsidP="007D59EF">
      <w:pPr>
        <w:outlineLvl w:val="0"/>
        <w:rPr>
          <w:b/>
          <w:szCs w:val="24"/>
          <w:lang w:val="lt-LT"/>
        </w:rPr>
      </w:pPr>
    </w:p>
    <w:p w14:paraId="5460CA29" w14:textId="77777777" w:rsidR="007D59EF" w:rsidRPr="00705EEC" w:rsidRDefault="007D59EF" w:rsidP="007D59EF">
      <w:pPr>
        <w:outlineLvl w:val="0"/>
        <w:rPr>
          <w:b/>
          <w:szCs w:val="24"/>
          <w:lang w:val="lt-LT"/>
        </w:rPr>
      </w:pPr>
    </w:p>
    <w:p w14:paraId="20386E73" w14:textId="77777777" w:rsidR="007D59EF" w:rsidRPr="00705EEC" w:rsidRDefault="007D59EF" w:rsidP="007D59EF">
      <w:pPr>
        <w:outlineLvl w:val="0"/>
        <w:rPr>
          <w:b/>
          <w:szCs w:val="24"/>
          <w:lang w:val="lt-LT"/>
        </w:rPr>
      </w:pPr>
    </w:p>
    <w:p w14:paraId="2FF1E64E" w14:textId="77777777" w:rsidR="007D59EF" w:rsidRPr="00705EEC" w:rsidRDefault="007D59EF" w:rsidP="007D59EF">
      <w:pPr>
        <w:outlineLvl w:val="0"/>
        <w:rPr>
          <w:b/>
          <w:szCs w:val="24"/>
          <w:lang w:val="lt-LT"/>
        </w:rPr>
      </w:pPr>
    </w:p>
    <w:p w14:paraId="6E1CFE79" w14:textId="77777777" w:rsidR="007D59EF" w:rsidRPr="00705EEC" w:rsidRDefault="007D59EF" w:rsidP="007D59EF">
      <w:pPr>
        <w:outlineLvl w:val="0"/>
        <w:rPr>
          <w:b/>
          <w:szCs w:val="24"/>
          <w:lang w:val="lt-LT"/>
        </w:rPr>
      </w:pPr>
    </w:p>
    <w:p w14:paraId="695B5460" w14:textId="77777777" w:rsidR="007D59EF" w:rsidRPr="00705EEC" w:rsidRDefault="007D59EF" w:rsidP="007D59EF">
      <w:pPr>
        <w:outlineLvl w:val="0"/>
        <w:rPr>
          <w:b/>
          <w:szCs w:val="24"/>
          <w:lang w:val="lt-LT"/>
        </w:rPr>
      </w:pPr>
    </w:p>
    <w:p w14:paraId="6FC0E0C8" w14:textId="77777777" w:rsidR="007D59EF" w:rsidRPr="00705EEC" w:rsidRDefault="007D59EF" w:rsidP="007D59EF">
      <w:pPr>
        <w:outlineLvl w:val="0"/>
        <w:rPr>
          <w:b/>
          <w:szCs w:val="24"/>
          <w:lang w:val="lt-LT"/>
        </w:rPr>
      </w:pPr>
    </w:p>
    <w:p w14:paraId="557C46CD" w14:textId="77777777" w:rsidR="007D59EF" w:rsidRPr="00705EEC" w:rsidRDefault="007D59EF" w:rsidP="007D59EF">
      <w:pPr>
        <w:outlineLvl w:val="0"/>
        <w:rPr>
          <w:b/>
          <w:szCs w:val="24"/>
          <w:lang w:val="lt-LT"/>
        </w:rPr>
      </w:pPr>
    </w:p>
    <w:p w14:paraId="1BB500C4" w14:textId="77777777" w:rsidR="007D59EF" w:rsidRPr="00705EEC" w:rsidRDefault="007D59EF" w:rsidP="007D59EF">
      <w:pPr>
        <w:jc w:val="center"/>
        <w:outlineLvl w:val="0"/>
        <w:rPr>
          <w:b/>
          <w:lang w:val="lt-LT"/>
        </w:rPr>
      </w:pPr>
    </w:p>
    <w:p w14:paraId="09EB0DF6" w14:textId="77777777" w:rsidR="007D59EF" w:rsidRPr="00705EEC" w:rsidRDefault="007D59EF" w:rsidP="007D59EF">
      <w:pPr>
        <w:jc w:val="center"/>
        <w:outlineLvl w:val="0"/>
        <w:rPr>
          <w:lang w:val="lt-LT"/>
        </w:rPr>
      </w:pPr>
      <w:r w:rsidRPr="00705EEC">
        <w:rPr>
          <w:b/>
          <w:lang w:val="lt-LT"/>
        </w:rPr>
        <w:t>B. PAKUOTĖS LAPELIS</w:t>
      </w:r>
    </w:p>
    <w:p w14:paraId="19835708" w14:textId="77777777" w:rsidR="007D59EF" w:rsidRPr="00705EEC" w:rsidRDefault="007D59EF" w:rsidP="007D59EF">
      <w:pPr>
        <w:pStyle w:val="Antrat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br w:type="page"/>
      </w:r>
      <w:r w:rsidRPr="00705EEC">
        <w:rPr>
          <w:rFonts w:ascii="Times New Roman" w:hAnsi="Times New Roman"/>
          <w:i w:val="0"/>
          <w:sz w:val="22"/>
          <w:lang w:val="lt-LT"/>
        </w:rPr>
        <w:lastRenderedPageBreak/>
        <w:t>Pakuotės lapelis:</w:t>
      </w:r>
      <w:r w:rsidRPr="00705EEC">
        <w:rPr>
          <w:rFonts w:ascii="Times New Roman" w:hAnsi="Times New Roman"/>
          <w:bCs w:val="0"/>
          <w:i w:val="0"/>
          <w:iCs w:val="0"/>
          <w:sz w:val="22"/>
          <w:szCs w:val="24"/>
          <w:lang w:val="lt-LT"/>
        </w:rPr>
        <w:t xml:space="preserve"> </w:t>
      </w:r>
      <w:r w:rsidRPr="00705EEC">
        <w:rPr>
          <w:rFonts w:ascii="Times New Roman" w:hAnsi="Times New Roman"/>
          <w:i w:val="0"/>
          <w:sz w:val="22"/>
          <w:lang w:val="lt-LT"/>
        </w:rPr>
        <w:t>informacija vartotojui</w:t>
      </w:r>
    </w:p>
    <w:p w14:paraId="5EAE9E61" w14:textId="77777777" w:rsidR="007D59EF" w:rsidRPr="00705EEC" w:rsidRDefault="007D59EF" w:rsidP="007D59EF">
      <w:pPr>
        <w:numPr>
          <w:ilvl w:val="12"/>
          <w:numId w:val="0"/>
        </w:numPr>
        <w:shd w:val="clear" w:color="auto" w:fill="FFFFFF"/>
        <w:tabs>
          <w:tab w:val="clear" w:pos="567"/>
        </w:tabs>
        <w:spacing w:line="240" w:lineRule="auto"/>
        <w:jc w:val="center"/>
        <w:rPr>
          <w:szCs w:val="24"/>
          <w:lang w:val="lt-LT"/>
        </w:rPr>
      </w:pPr>
    </w:p>
    <w:p w14:paraId="6BFECC39" w14:textId="77777777" w:rsidR="007D59EF" w:rsidRPr="001C7577" w:rsidRDefault="007D59EF" w:rsidP="007D59EF">
      <w:pPr>
        <w:tabs>
          <w:tab w:val="clear" w:pos="567"/>
        </w:tabs>
        <w:spacing w:line="240" w:lineRule="auto"/>
        <w:jc w:val="center"/>
        <w:rPr>
          <w:b/>
          <w:szCs w:val="24"/>
          <w:lang w:val="lt-LT"/>
        </w:rPr>
      </w:pPr>
      <w:r w:rsidRPr="001C7577">
        <w:rPr>
          <w:b/>
          <w:szCs w:val="24"/>
          <w:lang w:val="lt-LT"/>
        </w:rPr>
        <w:t>Lopinavir/Ritonavir Ranbaxy 100 mg/25 mg plėvele dengtos tabletės</w:t>
      </w:r>
    </w:p>
    <w:p w14:paraId="28ED9082" w14:textId="77777777" w:rsidR="007D59EF" w:rsidRPr="001C7577" w:rsidRDefault="007D59EF" w:rsidP="007D59EF">
      <w:pPr>
        <w:tabs>
          <w:tab w:val="clear" w:pos="567"/>
        </w:tabs>
        <w:spacing w:line="240" w:lineRule="auto"/>
        <w:jc w:val="center"/>
        <w:rPr>
          <w:b/>
          <w:highlight w:val="lightGray"/>
          <w:lang w:val="lt-LT"/>
        </w:rPr>
      </w:pPr>
      <w:r w:rsidRPr="001C7577">
        <w:rPr>
          <w:b/>
          <w:highlight w:val="lightGray"/>
          <w:lang w:val="lt-LT"/>
        </w:rPr>
        <w:t>Lopinavir/Ritonavir Ranbaxy 200 mg/50 mg plėvele dengtos tabletės</w:t>
      </w:r>
    </w:p>
    <w:p w14:paraId="3CCD90FC" w14:textId="77777777" w:rsidR="007D59EF" w:rsidRPr="001C7577" w:rsidRDefault="007D59EF" w:rsidP="007D59EF">
      <w:pPr>
        <w:tabs>
          <w:tab w:val="clear" w:pos="567"/>
        </w:tabs>
        <w:spacing w:line="240" w:lineRule="auto"/>
        <w:jc w:val="center"/>
        <w:rPr>
          <w:szCs w:val="24"/>
          <w:lang w:val="lt-LT"/>
        </w:rPr>
      </w:pPr>
      <w:r w:rsidRPr="001C7577">
        <w:rPr>
          <w:szCs w:val="24"/>
          <w:lang w:val="lt-LT"/>
        </w:rPr>
        <w:t>Lopinaviras/Ritonaviras</w:t>
      </w:r>
    </w:p>
    <w:p w14:paraId="353FF182" w14:textId="77777777" w:rsidR="007D59EF" w:rsidRPr="00705EEC" w:rsidRDefault="007D59EF" w:rsidP="007D59EF">
      <w:pPr>
        <w:tabs>
          <w:tab w:val="clear" w:pos="567"/>
        </w:tabs>
        <w:spacing w:line="240" w:lineRule="auto"/>
        <w:rPr>
          <w:color w:val="008000"/>
          <w:szCs w:val="24"/>
          <w:lang w:val="lt-LT"/>
        </w:rPr>
      </w:pPr>
    </w:p>
    <w:p w14:paraId="7120D985" w14:textId="77777777" w:rsidR="007D59EF" w:rsidRPr="00705EEC" w:rsidRDefault="007D59EF" w:rsidP="007D59EF">
      <w:pPr>
        <w:tabs>
          <w:tab w:val="clear" w:pos="567"/>
        </w:tabs>
        <w:suppressAutoHyphens/>
        <w:spacing w:line="240" w:lineRule="auto"/>
        <w:ind w:left="142" w:hanging="142"/>
        <w:rPr>
          <w:szCs w:val="24"/>
          <w:lang w:val="lt-LT"/>
        </w:rPr>
      </w:pPr>
      <w:r w:rsidRPr="001C7577">
        <w:rPr>
          <w:b/>
          <w:szCs w:val="24"/>
          <w:lang w:val="lt-LT"/>
        </w:rPr>
        <w:t>Atidžiai perskaitykite visą šį lapelį, prieš pradėdami vartoti vaistą, nes jame pateikiama Jums svarbi informacija.</w:t>
      </w:r>
    </w:p>
    <w:p w14:paraId="1445C698" w14:textId="77777777" w:rsidR="007D59EF" w:rsidRPr="00705EEC" w:rsidRDefault="007D59EF" w:rsidP="007D59EF">
      <w:pPr>
        <w:numPr>
          <w:ilvl w:val="0"/>
          <w:numId w:val="3"/>
        </w:numPr>
        <w:tabs>
          <w:tab w:val="clear" w:pos="567"/>
        </w:tabs>
        <w:spacing w:line="240" w:lineRule="auto"/>
        <w:ind w:left="567" w:right="-2" w:hanging="567"/>
        <w:rPr>
          <w:szCs w:val="24"/>
          <w:lang w:val="lt-LT"/>
        </w:rPr>
      </w:pPr>
      <w:r w:rsidRPr="001C7577">
        <w:rPr>
          <w:szCs w:val="24"/>
          <w:lang w:val="lt-LT"/>
        </w:rPr>
        <w:t xml:space="preserve">Neišmeskite šio lapelio, nes vėl gali prireikti jį perskaityti. </w:t>
      </w:r>
    </w:p>
    <w:p w14:paraId="53E071AF" w14:textId="77777777" w:rsidR="007D59EF" w:rsidRPr="00705EEC" w:rsidRDefault="007D59EF" w:rsidP="007D59EF">
      <w:pPr>
        <w:numPr>
          <w:ilvl w:val="0"/>
          <w:numId w:val="3"/>
        </w:numPr>
        <w:tabs>
          <w:tab w:val="clear" w:pos="567"/>
        </w:tabs>
        <w:spacing w:line="240" w:lineRule="auto"/>
        <w:ind w:left="567" w:right="-2" w:hanging="567"/>
        <w:rPr>
          <w:szCs w:val="24"/>
          <w:lang w:val="lt-LT"/>
        </w:rPr>
      </w:pPr>
      <w:r w:rsidRPr="001C7577">
        <w:rPr>
          <w:szCs w:val="24"/>
          <w:lang w:val="lt-LT"/>
        </w:rPr>
        <w:t>Jeigu kiltų daugiau klausimų, kreipkitės į gydytoją arba vaistininką.</w:t>
      </w:r>
    </w:p>
    <w:p w14:paraId="647636D1" w14:textId="77777777" w:rsidR="007D59EF" w:rsidRPr="00705EEC" w:rsidRDefault="007D59EF" w:rsidP="007D59EF">
      <w:pPr>
        <w:spacing w:line="240" w:lineRule="auto"/>
        <w:ind w:left="567" w:right="-2" w:hanging="567"/>
        <w:rPr>
          <w:szCs w:val="24"/>
          <w:lang w:val="lt-LT"/>
        </w:rPr>
      </w:pPr>
      <w:r w:rsidRPr="00705EEC">
        <w:rPr>
          <w:szCs w:val="24"/>
          <w:lang w:val="lt-LT"/>
        </w:rPr>
        <w:t>-</w:t>
      </w:r>
      <w:r w:rsidRPr="00705EEC">
        <w:rPr>
          <w:szCs w:val="24"/>
          <w:lang w:val="lt-LT"/>
        </w:rPr>
        <w:tab/>
        <w:t>Šis vaistas skirtas tik Jums, todėl kitiems žmonėms jo duoti negalima. Vaistas gali jiems pakenkti (net tiems, kurių ligos požymiai yra tokie patys kaip Jūsų).</w:t>
      </w:r>
    </w:p>
    <w:p w14:paraId="2621CD83" w14:textId="77777777" w:rsidR="007D59EF" w:rsidRPr="00705EEC" w:rsidRDefault="007D59EF" w:rsidP="007D59EF">
      <w:pPr>
        <w:numPr>
          <w:ilvl w:val="0"/>
          <w:numId w:val="3"/>
        </w:numPr>
        <w:spacing w:line="240" w:lineRule="auto"/>
        <w:ind w:left="567" w:hanging="567"/>
        <w:rPr>
          <w:szCs w:val="24"/>
          <w:lang w:val="lt-LT"/>
        </w:rPr>
      </w:pPr>
      <w:r w:rsidRPr="001C7577">
        <w:rPr>
          <w:szCs w:val="24"/>
          <w:lang w:val="lt-LT"/>
        </w:rPr>
        <w:t>Jeigu pasireiškė šalutinis poveikis (net jeigu jis šiame lapelyje nenurodytas), kreipkitės į gydytoją arba vaistininką. Žr. 4 skyrių.</w:t>
      </w:r>
    </w:p>
    <w:p w14:paraId="79D5EF68" w14:textId="77777777" w:rsidR="007D59EF" w:rsidRPr="00705EEC" w:rsidRDefault="007D59EF" w:rsidP="007D59EF">
      <w:pPr>
        <w:tabs>
          <w:tab w:val="clear" w:pos="567"/>
        </w:tabs>
        <w:spacing w:line="240" w:lineRule="auto"/>
        <w:ind w:right="-2"/>
        <w:rPr>
          <w:szCs w:val="24"/>
          <w:lang w:val="lt-LT"/>
        </w:rPr>
      </w:pPr>
    </w:p>
    <w:p w14:paraId="1F4E5A4D"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Apie ką rašoma šiame lapelyje?</w:t>
      </w:r>
    </w:p>
    <w:p w14:paraId="1BEAF6A5" w14:textId="77777777" w:rsidR="007D59EF" w:rsidRPr="00705EEC" w:rsidRDefault="007D59EF" w:rsidP="007D59EF">
      <w:pPr>
        <w:numPr>
          <w:ilvl w:val="12"/>
          <w:numId w:val="0"/>
        </w:numPr>
        <w:tabs>
          <w:tab w:val="clear" w:pos="567"/>
        </w:tabs>
        <w:spacing w:line="240" w:lineRule="auto"/>
        <w:ind w:left="284" w:right="-2"/>
        <w:rPr>
          <w:szCs w:val="24"/>
          <w:lang w:val="lt-LT"/>
        </w:rPr>
      </w:pPr>
      <w:r w:rsidRPr="00705EEC">
        <w:rPr>
          <w:szCs w:val="24"/>
          <w:lang w:val="lt-LT"/>
        </w:rPr>
        <w:t>1.</w:t>
      </w:r>
      <w:r w:rsidRPr="00705EEC">
        <w:rPr>
          <w:szCs w:val="24"/>
          <w:lang w:val="lt-LT"/>
        </w:rPr>
        <w:tab/>
      </w:r>
      <w:r w:rsidRPr="00705EEC">
        <w:rPr>
          <w:lang w:val="lt-LT"/>
        </w:rPr>
        <w:t>Kas yra Lopinavir /Ritonavir Ranbaxy ir kam jis vartojamas</w:t>
      </w:r>
      <w:r w:rsidRPr="00705EEC">
        <w:rPr>
          <w:szCs w:val="24"/>
          <w:lang w:val="lt-LT"/>
        </w:rPr>
        <w:t xml:space="preserve"> </w:t>
      </w:r>
    </w:p>
    <w:p w14:paraId="2004D409" w14:textId="77777777" w:rsidR="007D59EF" w:rsidRPr="00705EEC" w:rsidRDefault="007D59EF" w:rsidP="007D59EF">
      <w:pPr>
        <w:numPr>
          <w:ilvl w:val="12"/>
          <w:numId w:val="0"/>
        </w:numPr>
        <w:tabs>
          <w:tab w:val="clear" w:pos="567"/>
        </w:tabs>
        <w:spacing w:line="240" w:lineRule="auto"/>
        <w:ind w:left="284" w:right="-2"/>
        <w:rPr>
          <w:szCs w:val="24"/>
          <w:lang w:val="lt-LT"/>
        </w:rPr>
      </w:pPr>
      <w:r w:rsidRPr="00705EEC">
        <w:rPr>
          <w:szCs w:val="24"/>
          <w:lang w:val="lt-LT"/>
        </w:rPr>
        <w:t>2.</w:t>
      </w:r>
      <w:r w:rsidRPr="00705EEC">
        <w:rPr>
          <w:szCs w:val="24"/>
          <w:lang w:val="lt-LT"/>
        </w:rPr>
        <w:tab/>
        <w:t>Kas žinotina prieš vartojant Lopinavir /Ritonavir Ranbaxy</w:t>
      </w:r>
    </w:p>
    <w:p w14:paraId="74472AAB" w14:textId="77777777" w:rsidR="007D59EF" w:rsidRPr="00705EEC" w:rsidRDefault="007D59EF" w:rsidP="007D59EF">
      <w:pPr>
        <w:numPr>
          <w:ilvl w:val="12"/>
          <w:numId w:val="0"/>
        </w:numPr>
        <w:tabs>
          <w:tab w:val="clear" w:pos="567"/>
        </w:tabs>
        <w:spacing w:line="240" w:lineRule="auto"/>
        <w:ind w:left="284" w:right="-2"/>
        <w:rPr>
          <w:szCs w:val="24"/>
          <w:lang w:val="lt-LT"/>
        </w:rPr>
      </w:pPr>
      <w:r w:rsidRPr="00705EEC">
        <w:rPr>
          <w:szCs w:val="24"/>
          <w:lang w:val="lt-LT"/>
        </w:rPr>
        <w:t>3.</w:t>
      </w:r>
      <w:r w:rsidRPr="00705EEC">
        <w:rPr>
          <w:szCs w:val="24"/>
          <w:lang w:val="lt-LT"/>
        </w:rPr>
        <w:tab/>
        <w:t xml:space="preserve">Kaip vartoti Lopinavir /Ritonavir Ranbaxy </w:t>
      </w:r>
    </w:p>
    <w:p w14:paraId="693CD44F" w14:textId="77777777" w:rsidR="007D59EF" w:rsidRPr="00705EEC" w:rsidRDefault="007D59EF" w:rsidP="007D59EF">
      <w:pPr>
        <w:numPr>
          <w:ilvl w:val="12"/>
          <w:numId w:val="0"/>
        </w:numPr>
        <w:tabs>
          <w:tab w:val="clear" w:pos="567"/>
        </w:tabs>
        <w:spacing w:line="240" w:lineRule="auto"/>
        <w:ind w:left="284" w:right="-2"/>
        <w:rPr>
          <w:szCs w:val="24"/>
          <w:lang w:val="lt-LT"/>
        </w:rPr>
      </w:pPr>
      <w:r w:rsidRPr="00705EEC">
        <w:rPr>
          <w:szCs w:val="24"/>
          <w:lang w:val="lt-LT"/>
        </w:rPr>
        <w:t>4.</w:t>
      </w:r>
      <w:r w:rsidRPr="00705EEC">
        <w:rPr>
          <w:szCs w:val="24"/>
          <w:lang w:val="lt-LT"/>
        </w:rPr>
        <w:tab/>
      </w:r>
      <w:r w:rsidRPr="00705EEC">
        <w:rPr>
          <w:lang w:val="lt-LT"/>
        </w:rPr>
        <w:t>Galimas šalutinis poveikis</w:t>
      </w:r>
      <w:r w:rsidRPr="00705EEC">
        <w:rPr>
          <w:szCs w:val="24"/>
          <w:lang w:val="lt-LT"/>
        </w:rPr>
        <w:t xml:space="preserve"> </w:t>
      </w:r>
    </w:p>
    <w:p w14:paraId="5DA9D402" w14:textId="77777777" w:rsidR="007D59EF" w:rsidRPr="00705EEC" w:rsidRDefault="007D59EF" w:rsidP="007D59EF">
      <w:pPr>
        <w:numPr>
          <w:ilvl w:val="12"/>
          <w:numId w:val="0"/>
        </w:numPr>
        <w:tabs>
          <w:tab w:val="clear" w:pos="567"/>
          <w:tab w:val="left" w:pos="709"/>
        </w:tabs>
        <w:spacing w:line="240" w:lineRule="auto"/>
        <w:ind w:left="284" w:right="-2"/>
        <w:rPr>
          <w:szCs w:val="24"/>
          <w:lang w:val="lt-LT"/>
        </w:rPr>
      </w:pPr>
      <w:r w:rsidRPr="00705EEC">
        <w:rPr>
          <w:szCs w:val="24"/>
          <w:lang w:val="lt-LT"/>
        </w:rPr>
        <w:t>5.</w:t>
      </w:r>
      <w:r w:rsidRPr="00705EEC">
        <w:rPr>
          <w:szCs w:val="24"/>
          <w:lang w:val="lt-LT"/>
        </w:rPr>
        <w:tab/>
      </w:r>
      <w:r w:rsidRPr="00705EEC">
        <w:rPr>
          <w:szCs w:val="24"/>
          <w:lang w:val="lt-LT"/>
        </w:rPr>
        <w:tab/>
      </w:r>
      <w:r w:rsidRPr="00705EEC">
        <w:rPr>
          <w:lang w:val="lt-LT"/>
        </w:rPr>
        <w:t>Kaip laikyti Lopinavir /Ritonavir Ranbaxy</w:t>
      </w:r>
      <w:r w:rsidRPr="00705EEC">
        <w:rPr>
          <w:szCs w:val="24"/>
          <w:lang w:val="lt-LT"/>
        </w:rPr>
        <w:t xml:space="preserve"> </w:t>
      </w:r>
    </w:p>
    <w:p w14:paraId="57372D7D" w14:textId="77777777" w:rsidR="007D59EF" w:rsidRPr="00705EEC" w:rsidRDefault="007D59EF" w:rsidP="007D59EF">
      <w:pPr>
        <w:numPr>
          <w:ilvl w:val="12"/>
          <w:numId w:val="0"/>
        </w:numPr>
        <w:tabs>
          <w:tab w:val="clear" w:pos="567"/>
        </w:tabs>
        <w:spacing w:line="240" w:lineRule="auto"/>
        <w:ind w:left="284" w:right="-2"/>
        <w:rPr>
          <w:szCs w:val="24"/>
          <w:lang w:val="lt-LT"/>
        </w:rPr>
      </w:pPr>
      <w:r w:rsidRPr="00705EEC">
        <w:rPr>
          <w:szCs w:val="24"/>
          <w:lang w:val="lt-LT"/>
        </w:rPr>
        <w:t>6.</w:t>
      </w:r>
      <w:r w:rsidRPr="00705EEC">
        <w:rPr>
          <w:szCs w:val="24"/>
          <w:lang w:val="lt-LT"/>
        </w:rPr>
        <w:tab/>
        <w:t>Pakuotės turinys ir kita informacija</w:t>
      </w:r>
    </w:p>
    <w:p w14:paraId="7AD8E94D" w14:textId="77777777" w:rsidR="007D59EF" w:rsidRPr="00705EEC" w:rsidRDefault="007D59EF" w:rsidP="007D59EF">
      <w:pPr>
        <w:numPr>
          <w:ilvl w:val="12"/>
          <w:numId w:val="0"/>
        </w:numPr>
        <w:tabs>
          <w:tab w:val="clear" w:pos="567"/>
        </w:tabs>
        <w:spacing w:line="240" w:lineRule="auto"/>
        <w:ind w:right="-2"/>
        <w:rPr>
          <w:szCs w:val="24"/>
          <w:lang w:val="lt-LT"/>
        </w:rPr>
      </w:pPr>
    </w:p>
    <w:p w14:paraId="6E7B2774" w14:textId="77777777" w:rsidR="007D59EF" w:rsidRPr="00705EEC" w:rsidRDefault="007D59EF" w:rsidP="007D59EF">
      <w:pPr>
        <w:numPr>
          <w:ilvl w:val="12"/>
          <w:numId w:val="0"/>
        </w:numPr>
        <w:tabs>
          <w:tab w:val="clear" w:pos="567"/>
        </w:tabs>
        <w:spacing w:line="240" w:lineRule="auto"/>
        <w:ind w:right="-2"/>
        <w:rPr>
          <w:szCs w:val="24"/>
          <w:lang w:val="lt-LT"/>
        </w:rPr>
      </w:pPr>
    </w:p>
    <w:p w14:paraId="05A59058"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1.</w:t>
      </w:r>
      <w:r w:rsidRPr="00705EEC">
        <w:rPr>
          <w:rFonts w:ascii="Times New Roman" w:hAnsi="Times New Roman"/>
          <w:sz w:val="22"/>
          <w:lang w:val="lt-LT"/>
        </w:rPr>
        <w:tab/>
        <w:t>Kas yra Lopinavir/Ritonavir Ranbaxy ir kam jis vartojamas</w:t>
      </w:r>
    </w:p>
    <w:p w14:paraId="3B9F358B" w14:textId="77777777" w:rsidR="007D59EF" w:rsidRPr="00705EEC" w:rsidRDefault="007D59EF" w:rsidP="007D59EF">
      <w:pPr>
        <w:numPr>
          <w:ilvl w:val="12"/>
          <w:numId w:val="0"/>
        </w:numPr>
        <w:tabs>
          <w:tab w:val="clear" w:pos="567"/>
        </w:tabs>
        <w:spacing w:line="240" w:lineRule="auto"/>
        <w:ind w:right="-2"/>
        <w:rPr>
          <w:szCs w:val="24"/>
          <w:lang w:val="lt-LT"/>
        </w:rPr>
      </w:pPr>
    </w:p>
    <w:p w14:paraId="65D5EA76" w14:textId="77777777" w:rsidR="007D59EF" w:rsidRPr="001C7577" w:rsidRDefault="007D59EF" w:rsidP="007D59EF">
      <w:pPr>
        <w:numPr>
          <w:ilvl w:val="0"/>
          <w:numId w:val="31"/>
        </w:numPr>
        <w:tabs>
          <w:tab w:val="clear" w:pos="567"/>
        </w:tabs>
        <w:spacing w:line="240" w:lineRule="auto"/>
        <w:ind w:right="-2"/>
        <w:rPr>
          <w:szCs w:val="24"/>
          <w:lang w:val="lt-LT"/>
        </w:rPr>
      </w:pPr>
      <w:r w:rsidRPr="001C7577">
        <w:rPr>
          <w:szCs w:val="24"/>
          <w:lang w:val="lt-LT"/>
        </w:rPr>
        <w:t xml:space="preserve">Gydytojas Jums paskyrė </w:t>
      </w:r>
      <w:r w:rsidRPr="00705EEC">
        <w:rPr>
          <w:lang w:val="lt-LT"/>
        </w:rPr>
        <w:t>Lopinavir /Ritonavir Ranbaxy</w:t>
      </w:r>
      <w:r w:rsidRPr="001C7577">
        <w:rPr>
          <w:szCs w:val="24"/>
          <w:lang w:val="lt-LT"/>
        </w:rPr>
        <w:t xml:space="preserve">, kuris padės kovoti su žmogaus imunodeficito viruso (ŽIV) infekcija. </w:t>
      </w:r>
      <w:r w:rsidRPr="00705EEC">
        <w:rPr>
          <w:lang w:val="lt-LT"/>
        </w:rPr>
        <w:t>Lopinavir/Ritonavir Ranbaxy</w:t>
      </w:r>
      <w:r w:rsidRPr="001C7577">
        <w:rPr>
          <w:szCs w:val="24"/>
          <w:lang w:val="lt-LT"/>
        </w:rPr>
        <w:t xml:space="preserve"> tai daro slopindamas infekcijos plitimą organizme.</w:t>
      </w:r>
    </w:p>
    <w:p w14:paraId="5A90B052" w14:textId="77777777" w:rsidR="007D59EF" w:rsidRPr="001C7577" w:rsidRDefault="007D59EF" w:rsidP="007D59EF">
      <w:pPr>
        <w:numPr>
          <w:ilvl w:val="0"/>
          <w:numId w:val="31"/>
        </w:numPr>
        <w:tabs>
          <w:tab w:val="clear" w:pos="567"/>
        </w:tabs>
        <w:spacing w:line="240" w:lineRule="auto"/>
        <w:ind w:right="-2"/>
        <w:rPr>
          <w:szCs w:val="24"/>
          <w:lang w:val="lt-LT"/>
        </w:rPr>
      </w:pPr>
      <w:r w:rsidRPr="00705EEC">
        <w:rPr>
          <w:lang w:val="lt-LT"/>
        </w:rPr>
        <w:t>Lopinavir/Ritonavir Ranbaxy</w:t>
      </w:r>
      <w:r w:rsidRPr="001C7577">
        <w:rPr>
          <w:szCs w:val="24"/>
          <w:lang w:val="lt-LT"/>
        </w:rPr>
        <w:t xml:space="preserve"> vartojamas vaikams nuo 2 metų ir suaugusiesiems, kurie yra infekuoti ŽIV, sukeliančiu AIDS. </w:t>
      </w:r>
      <w:r w:rsidRPr="00705EEC">
        <w:rPr>
          <w:lang w:val="lt-LT"/>
        </w:rPr>
        <w:t>Lopinavir/Ritonavir Ranbaxy</w:t>
      </w:r>
      <w:r w:rsidRPr="001C7577">
        <w:rPr>
          <w:szCs w:val="24"/>
          <w:lang w:val="lt-LT"/>
        </w:rPr>
        <w:t xml:space="preserve"> negalima skirti jaunesniems nei 2 metų vaikams,nebent paskirtų gydytojas.</w:t>
      </w:r>
    </w:p>
    <w:p w14:paraId="7BC91280" w14:textId="77777777" w:rsidR="007D59EF" w:rsidRPr="001C7577" w:rsidRDefault="007D59EF" w:rsidP="007D59EF">
      <w:pPr>
        <w:numPr>
          <w:ilvl w:val="0"/>
          <w:numId w:val="31"/>
        </w:numPr>
        <w:tabs>
          <w:tab w:val="clear" w:pos="567"/>
        </w:tabs>
        <w:spacing w:line="240" w:lineRule="auto"/>
        <w:ind w:right="-2"/>
        <w:rPr>
          <w:szCs w:val="24"/>
          <w:lang w:val="lt-LT"/>
        </w:rPr>
      </w:pPr>
      <w:r w:rsidRPr="00705EEC">
        <w:rPr>
          <w:lang w:val="lt-LT"/>
        </w:rPr>
        <w:t>Lopinavir/Ritonavir Ranbaxy</w:t>
      </w:r>
      <w:r w:rsidRPr="001C7577">
        <w:rPr>
          <w:szCs w:val="24"/>
          <w:lang w:val="lt-LT"/>
        </w:rPr>
        <w:t xml:space="preserve"> yra priešvirusinis vaistas. Jis priklauso proteazių inhibitoriais vadinamų vaistų grupei.</w:t>
      </w:r>
    </w:p>
    <w:p w14:paraId="6BD7BB19" w14:textId="77777777" w:rsidR="007D59EF" w:rsidRPr="001C7577" w:rsidRDefault="007D59EF" w:rsidP="007D59EF">
      <w:pPr>
        <w:numPr>
          <w:ilvl w:val="0"/>
          <w:numId w:val="31"/>
        </w:numPr>
        <w:tabs>
          <w:tab w:val="clear" w:pos="567"/>
        </w:tabs>
        <w:spacing w:line="240" w:lineRule="auto"/>
        <w:ind w:right="-2"/>
        <w:rPr>
          <w:szCs w:val="24"/>
          <w:lang w:val="lt-LT"/>
        </w:rPr>
      </w:pPr>
      <w:r w:rsidRPr="00705EEC">
        <w:rPr>
          <w:lang w:val="lt-LT"/>
        </w:rPr>
        <w:t>Lopinavir/Ritonavir Ranbaxy</w:t>
      </w:r>
      <w:r w:rsidRPr="001C7577">
        <w:rPr>
          <w:szCs w:val="24"/>
          <w:lang w:val="lt-LT"/>
        </w:rPr>
        <w:t xml:space="preserve"> skiriamas vartoti kartu su kitais priešvirusiniais vaistais. Gydytojas apsvarstys su Jumis ir nuspręs, kuris vaistas Jums labiausiai tinka.</w:t>
      </w:r>
    </w:p>
    <w:p w14:paraId="4E319F00" w14:textId="77777777" w:rsidR="007D59EF" w:rsidRPr="00705EEC" w:rsidRDefault="007D59EF" w:rsidP="007D59EF">
      <w:pPr>
        <w:numPr>
          <w:ilvl w:val="12"/>
          <w:numId w:val="0"/>
        </w:numPr>
        <w:tabs>
          <w:tab w:val="clear" w:pos="567"/>
        </w:tabs>
        <w:spacing w:line="240" w:lineRule="auto"/>
        <w:ind w:right="-2"/>
        <w:rPr>
          <w:szCs w:val="24"/>
          <w:lang w:val="lt-LT"/>
        </w:rPr>
      </w:pPr>
    </w:p>
    <w:p w14:paraId="60AD92A6" w14:textId="77777777" w:rsidR="007D59EF" w:rsidRPr="00705EEC" w:rsidRDefault="007D59EF" w:rsidP="007D59EF">
      <w:pPr>
        <w:numPr>
          <w:ilvl w:val="12"/>
          <w:numId w:val="0"/>
        </w:numPr>
        <w:tabs>
          <w:tab w:val="clear" w:pos="567"/>
        </w:tabs>
        <w:spacing w:line="240" w:lineRule="auto"/>
        <w:ind w:right="-2"/>
        <w:rPr>
          <w:szCs w:val="24"/>
          <w:lang w:val="lt-LT"/>
        </w:rPr>
      </w:pPr>
    </w:p>
    <w:p w14:paraId="7DDFC75D"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2.</w:t>
      </w:r>
      <w:r w:rsidRPr="00705EEC">
        <w:rPr>
          <w:rFonts w:ascii="Times New Roman" w:hAnsi="Times New Roman"/>
          <w:sz w:val="22"/>
          <w:lang w:val="lt-LT"/>
        </w:rPr>
        <w:tab/>
        <w:t>Kas žinotina prieš vartojant Lopinavir/Ritonavir Ranbaxy</w:t>
      </w:r>
    </w:p>
    <w:p w14:paraId="0CF02B8E" w14:textId="77777777" w:rsidR="007D59EF" w:rsidRPr="00705EEC" w:rsidRDefault="007D59EF" w:rsidP="007D59EF">
      <w:pPr>
        <w:rPr>
          <w:lang w:val="lt-LT" w:eastAsia="x-none"/>
        </w:rPr>
      </w:pPr>
    </w:p>
    <w:p w14:paraId="74C3A84C"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Lopinavir/Ritonavir Ranbaxy vartoti negalima:</w:t>
      </w:r>
    </w:p>
    <w:p w14:paraId="111C50EA" w14:textId="77777777" w:rsidR="007D59EF" w:rsidRPr="00705EEC" w:rsidRDefault="007D59EF" w:rsidP="007D59EF">
      <w:pPr>
        <w:rPr>
          <w:lang w:val="lt-LT" w:eastAsia="x-none"/>
        </w:rPr>
      </w:pPr>
      <w:r w:rsidRPr="00705EEC">
        <w:rPr>
          <w:lang w:val="lt-LT" w:eastAsia="x-none"/>
        </w:rPr>
        <w:t>-</w:t>
      </w:r>
      <w:r w:rsidRPr="00705EEC">
        <w:rPr>
          <w:lang w:val="lt-LT" w:eastAsia="x-none"/>
        </w:rPr>
        <w:tab/>
        <w:t xml:space="preserve">Jeigu yra alergija (padidėjęs jautrumas) lopinavirui, ritonavirui arba bet kuriai pagalbinei </w:t>
      </w:r>
      <w:r w:rsidRPr="00705EEC">
        <w:rPr>
          <w:lang w:val="lt-LT"/>
        </w:rPr>
        <w:t>Lopinavir/Ritonavir Ranbaxy</w:t>
      </w:r>
      <w:r w:rsidRPr="001C7577">
        <w:rPr>
          <w:szCs w:val="24"/>
          <w:lang w:val="lt-LT"/>
        </w:rPr>
        <w:t xml:space="preserve"> </w:t>
      </w:r>
      <w:r w:rsidRPr="00705EEC">
        <w:rPr>
          <w:lang w:val="lt-LT" w:eastAsia="x-none"/>
        </w:rPr>
        <w:t xml:space="preserve">medžiagai </w:t>
      </w:r>
      <w:r w:rsidRPr="001C7577">
        <w:rPr>
          <w:szCs w:val="24"/>
          <w:lang w:val="lt-LT"/>
        </w:rPr>
        <w:t>(jos išvardytos 6 skyriuje).</w:t>
      </w:r>
    </w:p>
    <w:p w14:paraId="0658EAAB" w14:textId="77777777" w:rsidR="007D59EF" w:rsidRPr="00705EEC" w:rsidRDefault="007D59EF" w:rsidP="007D59EF">
      <w:pPr>
        <w:rPr>
          <w:lang w:val="lt-LT" w:eastAsia="x-none"/>
        </w:rPr>
      </w:pPr>
      <w:r w:rsidRPr="00705EEC">
        <w:rPr>
          <w:lang w:val="lt-LT" w:eastAsia="x-none"/>
        </w:rPr>
        <w:t>-</w:t>
      </w:r>
      <w:r w:rsidRPr="00705EEC">
        <w:rPr>
          <w:lang w:val="lt-LT" w:eastAsia="x-none"/>
        </w:rPr>
        <w:tab/>
        <w:t>Jei sergate sunkia kepenų liga.</w:t>
      </w:r>
    </w:p>
    <w:p w14:paraId="1C2F4471" w14:textId="77777777" w:rsidR="007D59EF" w:rsidRPr="00705EEC" w:rsidRDefault="007D59EF" w:rsidP="007D59EF">
      <w:pPr>
        <w:rPr>
          <w:lang w:val="lt-LT" w:eastAsia="x-none"/>
        </w:rPr>
      </w:pPr>
    </w:p>
    <w:p w14:paraId="5C615DDE" w14:textId="77777777" w:rsidR="007D59EF" w:rsidRPr="00705EEC" w:rsidRDefault="007D59EF" w:rsidP="007D59EF">
      <w:pPr>
        <w:rPr>
          <w:b/>
          <w:lang w:val="lt-LT" w:eastAsia="x-none"/>
        </w:rPr>
      </w:pPr>
      <w:r w:rsidRPr="00705EEC">
        <w:rPr>
          <w:b/>
          <w:lang w:val="lt-LT"/>
        </w:rPr>
        <w:t>Lopinavir/Ritonavir Ranbaxy</w:t>
      </w:r>
      <w:r w:rsidRPr="00705EEC">
        <w:rPr>
          <w:b/>
          <w:lang w:val="lt-LT" w:eastAsia="x-none"/>
        </w:rPr>
        <w:t xml:space="preserve"> vartoti negalima kartu su šiais vaistais: </w:t>
      </w:r>
    </w:p>
    <w:p w14:paraId="1E5AFE0B" w14:textId="77777777" w:rsidR="007D59EF" w:rsidRPr="00705EEC" w:rsidRDefault="007D59EF" w:rsidP="007D59EF">
      <w:pPr>
        <w:numPr>
          <w:ilvl w:val="0"/>
          <w:numId w:val="32"/>
        </w:numPr>
        <w:rPr>
          <w:lang w:val="lt-LT" w:eastAsia="x-none"/>
        </w:rPr>
      </w:pPr>
      <w:r w:rsidRPr="00705EEC">
        <w:rPr>
          <w:lang w:val="lt-LT" w:eastAsia="x-none"/>
        </w:rPr>
        <w:t>astemizolu ar terfenadinu (dažnai vartojamus alergijai gydyti – šiuos vaistus galima įsigyti be recepto);</w:t>
      </w:r>
    </w:p>
    <w:p w14:paraId="23D0B128" w14:textId="77777777" w:rsidR="007D59EF" w:rsidRPr="00705EEC" w:rsidRDefault="007D59EF" w:rsidP="007D59EF">
      <w:pPr>
        <w:numPr>
          <w:ilvl w:val="0"/>
          <w:numId w:val="32"/>
        </w:numPr>
        <w:rPr>
          <w:lang w:val="lt-LT" w:eastAsia="x-none"/>
        </w:rPr>
      </w:pPr>
      <w:r w:rsidRPr="00705EEC">
        <w:rPr>
          <w:lang w:val="lt-LT" w:eastAsia="x-none"/>
        </w:rPr>
        <w:t>geriamuoju (vartojamu per burną) midazolamu, triazolamu (nerimui ir/ar sutrikusiam miegui gydyti);</w:t>
      </w:r>
    </w:p>
    <w:p w14:paraId="1829181C" w14:textId="77777777" w:rsidR="007D59EF" w:rsidRPr="00705EEC" w:rsidRDefault="007D59EF" w:rsidP="007D59EF">
      <w:pPr>
        <w:numPr>
          <w:ilvl w:val="0"/>
          <w:numId w:val="32"/>
        </w:numPr>
        <w:rPr>
          <w:lang w:val="lt-LT" w:eastAsia="x-none"/>
        </w:rPr>
      </w:pPr>
      <w:r w:rsidRPr="00705EEC">
        <w:rPr>
          <w:lang w:val="lt-LT" w:eastAsia="x-none"/>
        </w:rPr>
        <w:t>pimozidu (šizofrenijai gydyti);</w:t>
      </w:r>
    </w:p>
    <w:p w14:paraId="7B8EB612" w14:textId="77777777" w:rsidR="007D59EF" w:rsidRPr="00705EEC" w:rsidRDefault="007D59EF" w:rsidP="007D59EF">
      <w:pPr>
        <w:numPr>
          <w:ilvl w:val="0"/>
          <w:numId w:val="32"/>
        </w:numPr>
        <w:rPr>
          <w:lang w:val="lt-LT" w:eastAsia="x-none"/>
        </w:rPr>
      </w:pPr>
      <w:r w:rsidRPr="00705EEC">
        <w:rPr>
          <w:lang w:val="lt-LT" w:eastAsia="x-none"/>
        </w:rPr>
        <w:lastRenderedPageBreak/>
        <w:t>cisapridu (tam tikriems skrandžio sutrikimams gydyti);</w:t>
      </w:r>
    </w:p>
    <w:p w14:paraId="2CEBD0D1" w14:textId="77777777" w:rsidR="007D59EF" w:rsidRPr="00705EEC" w:rsidRDefault="007D59EF" w:rsidP="007D59EF">
      <w:pPr>
        <w:numPr>
          <w:ilvl w:val="0"/>
          <w:numId w:val="32"/>
        </w:numPr>
        <w:rPr>
          <w:lang w:val="lt-LT" w:eastAsia="x-none"/>
        </w:rPr>
      </w:pPr>
      <w:r w:rsidRPr="00705EEC">
        <w:rPr>
          <w:lang w:val="lt-LT" w:eastAsia="x-none"/>
        </w:rPr>
        <w:t>ergotaminu, dihidroergotaminu, ergonovinu, metilergonovinu (galvos skausmui malšinti);</w:t>
      </w:r>
    </w:p>
    <w:p w14:paraId="6DB6BA90" w14:textId="77777777" w:rsidR="007D59EF" w:rsidRPr="00705EEC" w:rsidRDefault="007D59EF" w:rsidP="007D59EF">
      <w:pPr>
        <w:numPr>
          <w:ilvl w:val="0"/>
          <w:numId w:val="32"/>
        </w:numPr>
        <w:rPr>
          <w:lang w:val="lt-LT" w:eastAsia="x-none"/>
        </w:rPr>
      </w:pPr>
      <w:r w:rsidRPr="00705EEC">
        <w:rPr>
          <w:lang w:val="lt-LT" w:eastAsia="x-none"/>
        </w:rPr>
        <w:t>amjodaronu (sutrikusiam širdies ritmui gydyti);</w:t>
      </w:r>
    </w:p>
    <w:p w14:paraId="162021F2" w14:textId="77777777" w:rsidR="007D59EF" w:rsidRPr="00705EEC" w:rsidRDefault="007D59EF" w:rsidP="007D59EF">
      <w:pPr>
        <w:numPr>
          <w:ilvl w:val="0"/>
          <w:numId w:val="32"/>
        </w:numPr>
        <w:rPr>
          <w:lang w:val="lt-LT" w:eastAsia="x-none"/>
        </w:rPr>
      </w:pPr>
      <w:r w:rsidRPr="00705EEC">
        <w:rPr>
          <w:lang w:val="lt-LT" w:eastAsia="x-none"/>
        </w:rPr>
        <w:t>lovastatinu, simvastatinu (vaistai cholesterolio kiekio mažinimui);</w:t>
      </w:r>
    </w:p>
    <w:p w14:paraId="69C30F83" w14:textId="77777777" w:rsidR="007D59EF" w:rsidRPr="00705EEC" w:rsidRDefault="007D59EF" w:rsidP="007D59EF">
      <w:pPr>
        <w:numPr>
          <w:ilvl w:val="0"/>
          <w:numId w:val="32"/>
        </w:numPr>
        <w:rPr>
          <w:lang w:val="lt-LT" w:eastAsia="x-none"/>
        </w:rPr>
      </w:pPr>
      <w:r w:rsidRPr="00705EEC">
        <w:rPr>
          <w:lang w:val="lt-LT" w:eastAsia="x-none"/>
        </w:rPr>
        <w:t>alfuzozinu (vartojamu vyrams prostatos padidėjimo (gerybinė prostatos hiperplazijos (GPH)) simptomams lengvinti;</w:t>
      </w:r>
    </w:p>
    <w:p w14:paraId="7B37032E" w14:textId="77777777" w:rsidR="007D59EF" w:rsidRPr="00705EEC" w:rsidRDefault="007D59EF" w:rsidP="007D59EF">
      <w:pPr>
        <w:numPr>
          <w:ilvl w:val="0"/>
          <w:numId w:val="32"/>
        </w:numPr>
        <w:rPr>
          <w:lang w:val="lt-LT" w:eastAsia="x-none"/>
        </w:rPr>
      </w:pPr>
      <w:r w:rsidRPr="00705EEC">
        <w:rPr>
          <w:lang w:val="lt-LT" w:eastAsia="x-none"/>
        </w:rPr>
        <w:t>fuzido rūgštimi (vartojama odos infekcinių ligų, sukeltų stafilokoko, pvz., impetigos ir infekcinio dermatito, gydymui. Fuzido rūgštis lėtinių kaulų ir sąnarių infekcinių ligų gydymui gali būti vartojama gydytojui prižiūrint (žr. skyrių „</w:t>
      </w:r>
      <w:r w:rsidRPr="00705EEC">
        <w:rPr>
          <w:b/>
          <w:lang w:val="lt-LT" w:eastAsia="x-none"/>
        </w:rPr>
        <w:t>Kiti vaistai ir Lopinavir/Ritonavir Ranbaxy</w:t>
      </w:r>
      <w:r w:rsidRPr="00705EEC">
        <w:rPr>
          <w:lang w:val="lt-LT" w:eastAsia="x-none"/>
        </w:rPr>
        <w:t>“);</w:t>
      </w:r>
    </w:p>
    <w:p w14:paraId="0881FFD0" w14:textId="77777777" w:rsidR="007D59EF" w:rsidRPr="00705EEC" w:rsidRDefault="007D59EF" w:rsidP="007D59EF">
      <w:pPr>
        <w:numPr>
          <w:ilvl w:val="0"/>
          <w:numId w:val="32"/>
        </w:numPr>
        <w:rPr>
          <w:lang w:val="lt-LT" w:eastAsia="x-none"/>
        </w:rPr>
      </w:pPr>
      <w:r w:rsidRPr="00705EEC">
        <w:rPr>
          <w:lang w:val="lt-LT" w:eastAsia="x-none"/>
        </w:rPr>
        <w:t>kolchicinu (vaistu nuo podagros) – pacientams, kurių inkstų ar kepenų veikla sutrikusi;</w:t>
      </w:r>
    </w:p>
    <w:p w14:paraId="7E3F8B07" w14:textId="77777777" w:rsidR="007D59EF" w:rsidRPr="00705EEC" w:rsidRDefault="007D59EF" w:rsidP="007D59EF">
      <w:pPr>
        <w:numPr>
          <w:ilvl w:val="0"/>
          <w:numId w:val="32"/>
        </w:numPr>
        <w:rPr>
          <w:lang w:val="lt-LT" w:eastAsia="x-none"/>
        </w:rPr>
      </w:pPr>
      <w:r w:rsidRPr="00705EEC">
        <w:rPr>
          <w:lang w:val="lt-LT" w:eastAsia="x-none"/>
        </w:rPr>
        <w:t>vardenafiliu (erekcijos sutrikimams gydyti);</w:t>
      </w:r>
    </w:p>
    <w:p w14:paraId="66C57BC9" w14:textId="77777777" w:rsidR="007D59EF" w:rsidRPr="00705EEC" w:rsidRDefault="007D59EF" w:rsidP="007D59EF">
      <w:pPr>
        <w:numPr>
          <w:ilvl w:val="0"/>
          <w:numId w:val="32"/>
        </w:numPr>
        <w:rPr>
          <w:lang w:val="lt-LT" w:eastAsia="x-none"/>
        </w:rPr>
      </w:pPr>
      <w:r w:rsidRPr="00705EEC">
        <w:rPr>
          <w:lang w:val="lt-LT" w:eastAsia="x-none"/>
        </w:rPr>
        <w:t>sildenafiliu, vartojamu plautinės arterinės hipertenzijos (aukšto kraujo spaudimo plaučių arterijoje) gydymui. Sildenafilį vartojant erekcijos sutrikimų gydymui, turi stebėti gydytojas (žr. “</w:t>
      </w:r>
      <w:r w:rsidRPr="00705EEC">
        <w:rPr>
          <w:b/>
          <w:lang w:val="lt-LT" w:eastAsia="x-none"/>
        </w:rPr>
        <w:t>Specialių atsargumo priemonių reikia</w:t>
      </w:r>
      <w:r w:rsidRPr="00705EEC">
        <w:rPr>
          <w:lang w:val="lt-LT" w:eastAsia="x-none"/>
        </w:rPr>
        <w:t>” skyrių);</w:t>
      </w:r>
    </w:p>
    <w:p w14:paraId="412AAB9B" w14:textId="77777777" w:rsidR="007D59EF" w:rsidRPr="00705EEC" w:rsidRDefault="007D59EF" w:rsidP="007D59EF">
      <w:pPr>
        <w:numPr>
          <w:ilvl w:val="0"/>
          <w:numId w:val="32"/>
        </w:numPr>
        <w:rPr>
          <w:lang w:val="lt-LT" w:eastAsia="x-none"/>
        </w:rPr>
      </w:pPr>
      <w:r w:rsidRPr="00705EEC">
        <w:rPr>
          <w:lang w:val="lt-LT" w:eastAsia="x-none"/>
        </w:rPr>
        <w:t>preparatais, kurių sudėtyje yra Jonažolės (</w:t>
      </w:r>
      <w:r w:rsidRPr="00705EEC">
        <w:rPr>
          <w:i/>
          <w:lang w:val="lt-LT" w:eastAsia="x-none"/>
        </w:rPr>
        <w:t>Hypericum perforatum</w:t>
      </w:r>
      <w:r w:rsidRPr="00705EEC">
        <w:rPr>
          <w:lang w:val="lt-LT" w:eastAsia="x-none"/>
        </w:rPr>
        <w:t>).</w:t>
      </w:r>
    </w:p>
    <w:p w14:paraId="1D062E21" w14:textId="77777777" w:rsidR="007D59EF" w:rsidRPr="00705EEC" w:rsidRDefault="007D59EF" w:rsidP="007D59EF">
      <w:pPr>
        <w:rPr>
          <w:lang w:val="lt-LT" w:eastAsia="x-none"/>
        </w:rPr>
      </w:pPr>
    </w:p>
    <w:p w14:paraId="11247325" w14:textId="77777777" w:rsidR="007D59EF" w:rsidRPr="00705EEC" w:rsidRDefault="007D59EF" w:rsidP="007D59EF">
      <w:pPr>
        <w:rPr>
          <w:lang w:val="lt-LT" w:eastAsia="x-none"/>
        </w:rPr>
      </w:pPr>
      <w:r w:rsidRPr="00705EEC">
        <w:rPr>
          <w:lang w:val="lt-LT" w:eastAsia="x-none"/>
        </w:rPr>
        <w:t xml:space="preserve">Prieš pradėdami vartoti </w:t>
      </w:r>
      <w:r w:rsidRPr="00705EEC">
        <w:rPr>
          <w:lang w:val="lt-LT"/>
        </w:rPr>
        <w:t>Lopinavir / Ritonavir Ranbaxy</w:t>
      </w:r>
      <w:r w:rsidRPr="00705EEC">
        <w:rPr>
          <w:lang w:val="lt-LT" w:eastAsia="x-none"/>
        </w:rPr>
        <w:t>, perskaitykite skyrelį „</w:t>
      </w:r>
      <w:r w:rsidRPr="00705EEC">
        <w:rPr>
          <w:b/>
          <w:lang w:val="lt-LT" w:eastAsia="x-none"/>
        </w:rPr>
        <w:t>Kiti vaistai ir Lopinavir/Ritonavir Ranbaxy</w:t>
      </w:r>
      <w:r w:rsidRPr="00705EEC">
        <w:rPr>
          <w:lang w:val="lt-LT" w:eastAsia="x-none"/>
        </w:rPr>
        <w:t xml:space="preserve">“, kad sužinotumėte, kokius vaistus vartojant, reikia imtis specialių atsargumo priemonių. </w:t>
      </w:r>
    </w:p>
    <w:p w14:paraId="3E620D09" w14:textId="77777777" w:rsidR="007D59EF" w:rsidRPr="00705EEC" w:rsidRDefault="007D59EF" w:rsidP="007D59EF">
      <w:pPr>
        <w:rPr>
          <w:lang w:val="lt-LT" w:eastAsia="x-none"/>
        </w:rPr>
      </w:pPr>
    </w:p>
    <w:p w14:paraId="529AEDC2" w14:textId="77777777" w:rsidR="007D59EF" w:rsidRPr="00705EEC" w:rsidRDefault="007D59EF" w:rsidP="007D59EF">
      <w:pPr>
        <w:rPr>
          <w:lang w:val="lt-LT" w:eastAsia="x-none"/>
        </w:rPr>
      </w:pPr>
      <w:r w:rsidRPr="00705EEC">
        <w:rPr>
          <w:lang w:val="lt-LT" w:eastAsia="x-none"/>
        </w:rPr>
        <w:t>Jei vartojate kurį nors iš šių vaistų, klauskite gydytojo apie galimybę atlikti arba Jūsų kitos ligos(ų) gydymo, arba Jūsų priešvirusinio gydymo būtinus keitimus.</w:t>
      </w:r>
    </w:p>
    <w:p w14:paraId="1C9FFD00" w14:textId="77777777" w:rsidR="007D59EF" w:rsidRPr="00705EEC" w:rsidRDefault="007D59EF" w:rsidP="007D59EF">
      <w:pPr>
        <w:rPr>
          <w:lang w:val="lt-LT" w:eastAsia="x-none"/>
        </w:rPr>
      </w:pPr>
    </w:p>
    <w:p w14:paraId="40B9B474" w14:textId="77777777" w:rsidR="007D59EF" w:rsidRPr="00705EEC" w:rsidRDefault="007D59EF" w:rsidP="007D59EF">
      <w:pPr>
        <w:rPr>
          <w:b/>
          <w:lang w:val="lt-LT" w:eastAsia="x-none"/>
        </w:rPr>
      </w:pPr>
      <w:r w:rsidRPr="00705EEC">
        <w:rPr>
          <w:b/>
          <w:lang w:val="lt-LT" w:eastAsia="x-none"/>
        </w:rPr>
        <w:t>Specialių atsargumo priemonių reikia:</w:t>
      </w:r>
    </w:p>
    <w:p w14:paraId="2F4C9C9C" w14:textId="77777777" w:rsidR="007D59EF" w:rsidRPr="00705EEC" w:rsidRDefault="007D59EF" w:rsidP="007D59EF">
      <w:pPr>
        <w:rPr>
          <w:u w:val="single"/>
          <w:lang w:val="lt-LT" w:eastAsia="x-none"/>
        </w:rPr>
      </w:pPr>
      <w:r w:rsidRPr="00705EEC">
        <w:rPr>
          <w:u w:val="single"/>
          <w:lang w:val="lt-LT" w:eastAsia="x-none"/>
        </w:rPr>
        <w:t>Svarbi informacija:</w:t>
      </w:r>
    </w:p>
    <w:p w14:paraId="2920D7AD" w14:textId="77777777" w:rsidR="007D59EF" w:rsidRPr="00705EEC" w:rsidRDefault="007D59EF" w:rsidP="007D59EF">
      <w:pPr>
        <w:numPr>
          <w:ilvl w:val="0"/>
          <w:numId w:val="33"/>
        </w:numPr>
        <w:rPr>
          <w:u w:val="single"/>
          <w:lang w:val="lt-LT" w:eastAsia="x-none"/>
        </w:rPr>
      </w:pPr>
      <w:r w:rsidRPr="00705EEC">
        <w:rPr>
          <w:lang w:val="lt-LT"/>
        </w:rPr>
        <w:t>Lopinavir /Ritonavir Ranbaxy</w:t>
      </w:r>
      <w:r w:rsidRPr="00705EEC">
        <w:rPr>
          <w:lang w:val="lt-LT" w:eastAsia="x-none"/>
        </w:rPr>
        <w:t xml:space="preserve"> neišgydo ŽIV infekcijos arba AIDS.</w:t>
      </w:r>
    </w:p>
    <w:p w14:paraId="6BFEDADE" w14:textId="77777777" w:rsidR="007D59EF" w:rsidRPr="00705EEC" w:rsidRDefault="007D59EF" w:rsidP="007D59EF">
      <w:pPr>
        <w:numPr>
          <w:ilvl w:val="0"/>
          <w:numId w:val="33"/>
        </w:numPr>
        <w:rPr>
          <w:u w:val="single"/>
          <w:lang w:val="lt-LT" w:eastAsia="x-none"/>
        </w:rPr>
      </w:pPr>
      <w:r w:rsidRPr="00705EEC">
        <w:rPr>
          <w:lang w:val="lt-LT"/>
        </w:rPr>
        <w:t>Lopinavir /Ritonavir Ranbaxy</w:t>
      </w:r>
      <w:r w:rsidRPr="00705EEC">
        <w:rPr>
          <w:lang w:val="lt-LT" w:eastAsia="x-none"/>
        </w:rPr>
        <w:t xml:space="preserve"> vartojantiems žmonėms vis tiek gali pasireikšti infekcinės ligos ar kiti sutrikimai,</w:t>
      </w:r>
      <w:r w:rsidRPr="00705EEC">
        <w:rPr>
          <w:u w:val="single"/>
          <w:lang w:val="lt-LT" w:eastAsia="x-none"/>
        </w:rPr>
        <w:t xml:space="preserve"> </w:t>
      </w:r>
      <w:r w:rsidRPr="00705EEC">
        <w:rPr>
          <w:lang w:val="lt-LT" w:eastAsia="x-none"/>
        </w:rPr>
        <w:t xml:space="preserve">susiję su ŽIV liga ir AIDS. Todėl svarbu, kad </w:t>
      </w:r>
      <w:r w:rsidRPr="00705EEC">
        <w:rPr>
          <w:lang w:val="lt-LT"/>
        </w:rPr>
        <w:t>Lopinavir / Ritonavir Ranbaxy</w:t>
      </w:r>
      <w:r w:rsidRPr="00705EEC">
        <w:rPr>
          <w:lang w:val="lt-LT" w:eastAsia="x-none"/>
        </w:rPr>
        <w:t xml:space="preserve"> vartojimo metu Jus stebėtų</w:t>
      </w:r>
      <w:r w:rsidRPr="00705EEC">
        <w:rPr>
          <w:u w:val="single"/>
          <w:lang w:val="lt-LT" w:eastAsia="x-none"/>
        </w:rPr>
        <w:t xml:space="preserve"> </w:t>
      </w:r>
      <w:r w:rsidRPr="00705EEC">
        <w:rPr>
          <w:lang w:val="lt-LT" w:eastAsia="x-none"/>
        </w:rPr>
        <w:t>gydytojas.</w:t>
      </w:r>
    </w:p>
    <w:p w14:paraId="2B1F5A61" w14:textId="77777777" w:rsidR="007D59EF" w:rsidRPr="00705EEC" w:rsidRDefault="007D59EF" w:rsidP="007D59EF">
      <w:pPr>
        <w:numPr>
          <w:ilvl w:val="0"/>
          <w:numId w:val="33"/>
        </w:numPr>
        <w:rPr>
          <w:u w:val="single"/>
          <w:lang w:val="lt-LT" w:eastAsia="x-none"/>
        </w:rPr>
      </w:pPr>
      <w:r w:rsidRPr="00705EEC">
        <w:rPr>
          <w:b/>
          <w:lang w:val="lt-LT" w:eastAsia="x-none"/>
        </w:rPr>
        <w:t xml:space="preserve">Net ir vartojant </w:t>
      </w:r>
      <w:r w:rsidRPr="00705EEC">
        <w:rPr>
          <w:b/>
          <w:lang w:val="lt-LT"/>
        </w:rPr>
        <w:t>Lopinavir/Ritonavir Ranbaxy</w:t>
      </w:r>
      <w:r w:rsidRPr="00705EEC">
        <w:rPr>
          <w:b/>
          <w:lang w:val="lt-LT" w:eastAsia="x-none"/>
        </w:rPr>
        <w:t xml:space="preserve"> išlieka ŽIV perdavimo kitam asmeniui rizika.</w:t>
      </w:r>
      <w:r w:rsidRPr="00705EEC">
        <w:rPr>
          <w:lang w:val="lt-LT" w:eastAsia="x-none"/>
        </w:rPr>
        <w:t xml:space="preserve"> Todėl reikia vartoti atitinkamas apsaugos priemones, kad liga nebūtų perduota lytinio kontakto metu (pvz., naudoti prezervatyvą) arba per kraują.</w:t>
      </w:r>
    </w:p>
    <w:p w14:paraId="6CDB0C15" w14:textId="77777777" w:rsidR="007D59EF" w:rsidRPr="00705EEC" w:rsidRDefault="007D59EF" w:rsidP="007D59EF">
      <w:pPr>
        <w:rPr>
          <w:u w:val="single"/>
          <w:lang w:val="lt-LT" w:eastAsia="x-none"/>
        </w:rPr>
      </w:pPr>
    </w:p>
    <w:p w14:paraId="2A6B8175" w14:textId="77777777" w:rsidR="007D59EF" w:rsidRPr="00705EEC" w:rsidRDefault="007D59EF" w:rsidP="007D59EF">
      <w:pPr>
        <w:rPr>
          <w:u w:val="single"/>
          <w:lang w:val="lt-LT" w:eastAsia="x-none"/>
        </w:rPr>
      </w:pPr>
      <w:r w:rsidRPr="00705EEC">
        <w:rPr>
          <w:u w:val="single"/>
          <w:lang w:val="lt-LT" w:eastAsia="x-none"/>
        </w:rPr>
        <w:t>Pasakykite gydytojui, jei sergate ar sirgote:</w:t>
      </w:r>
    </w:p>
    <w:p w14:paraId="79523AB2" w14:textId="77777777" w:rsidR="007D59EF" w:rsidRPr="00705EEC" w:rsidRDefault="007D59EF" w:rsidP="007D59EF">
      <w:pPr>
        <w:numPr>
          <w:ilvl w:val="0"/>
          <w:numId w:val="34"/>
        </w:numPr>
        <w:rPr>
          <w:u w:val="single"/>
          <w:lang w:val="lt-LT" w:eastAsia="x-none"/>
        </w:rPr>
      </w:pPr>
      <w:r w:rsidRPr="00705EEC">
        <w:rPr>
          <w:b/>
          <w:lang w:val="lt-LT" w:eastAsia="x-none"/>
        </w:rPr>
        <w:t>Hemofilija</w:t>
      </w:r>
      <w:r w:rsidRPr="00705EEC">
        <w:rPr>
          <w:lang w:val="lt-LT" w:eastAsia="x-none"/>
        </w:rPr>
        <w:t xml:space="preserve">, A arba B tipo, nes </w:t>
      </w:r>
      <w:r w:rsidRPr="00705EEC">
        <w:rPr>
          <w:lang w:val="lt-LT"/>
        </w:rPr>
        <w:t>Lopinavir/Ritonavir Ranbaxy</w:t>
      </w:r>
      <w:r w:rsidRPr="00705EEC">
        <w:rPr>
          <w:lang w:val="lt-LT" w:eastAsia="x-none"/>
        </w:rPr>
        <w:t xml:space="preserve"> gali didinti kraujavimo riziką.</w:t>
      </w:r>
    </w:p>
    <w:p w14:paraId="62A2ACA8" w14:textId="77777777" w:rsidR="007D59EF" w:rsidRPr="00705EEC" w:rsidRDefault="007D59EF" w:rsidP="007D59EF">
      <w:pPr>
        <w:numPr>
          <w:ilvl w:val="0"/>
          <w:numId w:val="34"/>
        </w:numPr>
        <w:rPr>
          <w:u w:val="single"/>
          <w:lang w:val="lt-LT" w:eastAsia="x-none"/>
        </w:rPr>
      </w:pPr>
      <w:r w:rsidRPr="00705EEC">
        <w:rPr>
          <w:b/>
          <w:lang w:val="lt-LT" w:eastAsia="x-none"/>
        </w:rPr>
        <w:t>Diabetu</w:t>
      </w:r>
      <w:r w:rsidRPr="00705EEC">
        <w:rPr>
          <w:lang w:val="lt-LT" w:eastAsia="x-none"/>
        </w:rPr>
        <w:t xml:space="preserve">, nes </w:t>
      </w:r>
      <w:r w:rsidRPr="00705EEC">
        <w:rPr>
          <w:lang w:val="lt-LT"/>
        </w:rPr>
        <w:t>Lopinavir/Ritonavir Ranbaxy</w:t>
      </w:r>
      <w:r w:rsidRPr="00705EEC">
        <w:rPr>
          <w:lang w:val="lt-LT" w:eastAsia="x-none"/>
        </w:rPr>
        <w:t xml:space="preserve"> vartojantiems pacientams pastebėta cukraus koncentracijos kraujyje padidėjimo atvejų.</w:t>
      </w:r>
      <w:r w:rsidRPr="00705EEC">
        <w:rPr>
          <w:u w:val="single"/>
          <w:lang w:val="lt-LT" w:eastAsia="x-none"/>
        </w:rPr>
        <w:t xml:space="preserve"> </w:t>
      </w:r>
    </w:p>
    <w:p w14:paraId="15C69BC0" w14:textId="77777777" w:rsidR="007D59EF" w:rsidRPr="00705EEC" w:rsidRDefault="007D59EF" w:rsidP="007D59EF">
      <w:pPr>
        <w:numPr>
          <w:ilvl w:val="0"/>
          <w:numId w:val="34"/>
        </w:numPr>
        <w:rPr>
          <w:u w:val="single"/>
          <w:lang w:val="lt-LT" w:eastAsia="x-none"/>
        </w:rPr>
      </w:pPr>
      <w:r w:rsidRPr="00705EEC">
        <w:rPr>
          <w:lang w:val="lt-LT" w:eastAsia="x-none"/>
        </w:rPr>
        <w:t xml:space="preserve">Jei yra buvę </w:t>
      </w:r>
      <w:r w:rsidRPr="00705EEC">
        <w:rPr>
          <w:b/>
          <w:lang w:val="lt-LT" w:eastAsia="x-none"/>
        </w:rPr>
        <w:t>kepenų sutrikimų</w:t>
      </w:r>
      <w:r w:rsidRPr="00705EEC">
        <w:rPr>
          <w:lang w:val="lt-LT" w:eastAsia="x-none"/>
        </w:rPr>
        <w:t>, kadangi pacientams, kuriems yra buvę kepenų sutrikimų, įskaitant lėtinį hepatitą B ar C, yra didesnė sunkių ir galimai mirtinų kepenų nepageidaujamų reiškinių rizika.</w:t>
      </w:r>
    </w:p>
    <w:p w14:paraId="7F51CBBE" w14:textId="77777777" w:rsidR="007D59EF" w:rsidRPr="00705EEC" w:rsidRDefault="007D59EF" w:rsidP="007D59EF">
      <w:pPr>
        <w:rPr>
          <w:lang w:val="lt-LT" w:eastAsia="x-none"/>
        </w:rPr>
      </w:pPr>
    </w:p>
    <w:p w14:paraId="000244AB" w14:textId="77777777" w:rsidR="007D59EF" w:rsidRPr="00705EEC" w:rsidRDefault="007D59EF" w:rsidP="007D59EF">
      <w:pPr>
        <w:rPr>
          <w:u w:val="single"/>
          <w:lang w:val="lt-LT" w:eastAsia="x-none"/>
        </w:rPr>
      </w:pPr>
      <w:r w:rsidRPr="00705EEC">
        <w:rPr>
          <w:u w:val="single"/>
          <w:lang w:val="lt-LT" w:eastAsia="x-none"/>
        </w:rPr>
        <w:t>Pasakykite gydytojui, jei pasireiškė:</w:t>
      </w:r>
    </w:p>
    <w:p w14:paraId="72110559" w14:textId="77777777" w:rsidR="007D59EF" w:rsidRPr="00705EEC" w:rsidRDefault="007D59EF" w:rsidP="007D59EF">
      <w:pPr>
        <w:numPr>
          <w:ilvl w:val="0"/>
          <w:numId w:val="35"/>
        </w:numPr>
        <w:rPr>
          <w:lang w:val="lt-LT" w:eastAsia="x-none"/>
        </w:rPr>
      </w:pPr>
      <w:r w:rsidRPr="00705EEC">
        <w:rPr>
          <w:lang w:val="lt-LT" w:eastAsia="x-none"/>
        </w:rPr>
        <w:t>Pykinimas, vėmimas, pilvo skausmas, apsunkintas kvėpavimas ir stiprus kojų bei rankų raumenų silpnumas, kadangi šie simptomai gali rodyti padidėjusią pieno rūgšties koncentraciją.</w:t>
      </w:r>
    </w:p>
    <w:p w14:paraId="12070E23" w14:textId="77777777" w:rsidR="007D59EF" w:rsidRPr="00705EEC" w:rsidRDefault="007D59EF" w:rsidP="007D59EF">
      <w:pPr>
        <w:numPr>
          <w:ilvl w:val="0"/>
          <w:numId w:val="35"/>
        </w:numPr>
        <w:rPr>
          <w:lang w:val="lt-LT" w:eastAsia="x-none"/>
        </w:rPr>
      </w:pPr>
      <w:r w:rsidRPr="00705EEC">
        <w:rPr>
          <w:lang w:val="lt-LT" w:eastAsia="x-none"/>
        </w:rPr>
        <w:t>Troškulys, dažnas šlapinimasis, sutrikusi rega ar kūno masės mažėjimas, kadangi šie simptomai gali rodyti padidėjusią cukraus koncentraciją kraujyje.</w:t>
      </w:r>
    </w:p>
    <w:p w14:paraId="33B61E12" w14:textId="77777777" w:rsidR="007D59EF" w:rsidRPr="00705EEC" w:rsidRDefault="007D59EF" w:rsidP="007D59EF">
      <w:pPr>
        <w:numPr>
          <w:ilvl w:val="0"/>
          <w:numId w:val="35"/>
        </w:numPr>
        <w:rPr>
          <w:lang w:val="lt-LT" w:eastAsia="x-none"/>
        </w:rPr>
      </w:pPr>
      <w:r w:rsidRPr="00705EEC">
        <w:rPr>
          <w:lang w:val="lt-LT" w:eastAsia="x-none"/>
        </w:rPr>
        <w:lastRenderedPageBreak/>
        <w:t>Pykinimas, vėmimas, pilvo skausmas, kadangi didelis trigliceridų koncentracijos (riebalų kraujyje) padidėjimas yra pankreatito (kasos uždegimo) rizikos faktorius, o minėti simptomai gali rodyti šį sutrikimą.</w:t>
      </w:r>
    </w:p>
    <w:p w14:paraId="6CAC6BB5" w14:textId="77777777" w:rsidR="007D59EF" w:rsidRPr="00705EEC" w:rsidRDefault="007D59EF" w:rsidP="007D59EF">
      <w:pPr>
        <w:numPr>
          <w:ilvl w:val="0"/>
          <w:numId w:val="35"/>
        </w:numPr>
        <w:rPr>
          <w:lang w:val="lt-LT" w:eastAsia="x-none"/>
        </w:rPr>
      </w:pPr>
      <w:r w:rsidRPr="00705EEC">
        <w:rPr>
          <w:b/>
          <w:lang w:val="lt-LT" w:eastAsia="x-none"/>
        </w:rPr>
        <w:t>Pasikeitusi kūno forma</w:t>
      </w:r>
      <w:r w:rsidRPr="00705EEC">
        <w:rPr>
          <w:lang w:val="lt-LT" w:eastAsia="x-none"/>
        </w:rPr>
        <w:t xml:space="preserve"> dėl pakitusio riebalų pasiskirstymo. Gali sumažėti kojų, rankų ir veido riebalų, padaugėti pilvo ir kitų vidaus organų riebalų, gali padidėti krūtinė ir atsirasti riebalinių sankaupų ant nugarinės kaklo dalies (“buivolo sprandas”). Šių pakitimų priežastis ir ilgalaikis poveikis sveikatai šiuo metu nėra žinomi.</w:t>
      </w:r>
    </w:p>
    <w:p w14:paraId="2DACF06C" w14:textId="77777777" w:rsidR="007D59EF" w:rsidRPr="00705EEC" w:rsidRDefault="007D59EF" w:rsidP="007D59EF">
      <w:pPr>
        <w:numPr>
          <w:ilvl w:val="0"/>
          <w:numId w:val="35"/>
        </w:numPr>
        <w:rPr>
          <w:lang w:val="lt-LT" w:eastAsia="x-none"/>
        </w:rPr>
      </w:pPr>
      <w:r w:rsidRPr="00705EEC">
        <w:rPr>
          <w:lang w:val="lt-LT" w:eastAsia="x-none"/>
        </w:rPr>
        <w:t>Kai kuriem pacientams, kurių ŽIV infekcija yra progresavusi ir kuriems yra buvusi oportunistinė infekcija, pradėjus gydymą nuo ŽIV, gali pasireikšti akstesnių infekcijų sukelto uždegimo požymiai ir simptomai. Manoma, kad taip nutinka dėl organizmo imuninio atsako pagerėjimo, dėl ko organizmas gali kovoti su infekcijomis, kurių gali būti be akivaizdžių simptomų. Jei pastebite bet kokių infekcijos simptomų, nedelsiant praneškite savo gydytojui, kad būtų suteikta tinkama pagalba.</w:t>
      </w:r>
    </w:p>
    <w:p w14:paraId="5E9027D7" w14:textId="77777777" w:rsidR="007D59EF" w:rsidRPr="00705EEC" w:rsidRDefault="007D59EF" w:rsidP="007D59EF">
      <w:pPr>
        <w:numPr>
          <w:ilvl w:val="0"/>
          <w:numId w:val="35"/>
        </w:numPr>
        <w:rPr>
          <w:lang w:val="lt-LT" w:eastAsia="x-none"/>
        </w:rPr>
      </w:pPr>
      <w:r w:rsidRPr="00705EEC">
        <w:rPr>
          <w:b/>
          <w:lang w:val="lt-LT" w:eastAsia="x-none"/>
        </w:rPr>
        <w:t>Sąnarių sustingimas, skausmas ar maudimas</w:t>
      </w:r>
      <w:r w:rsidRPr="00705EEC">
        <w:rPr>
          <w:lang w:val="lt-LT" w:eastAsia="x-none"/>
        </w:rPr>
        <w:t xml:space="preserve"> (ypač klubo, kelio ar peties) ir pasunkėję judesiai, kadangi kai kuriems šiuos vaistus vartojantiems pacientams pasireiškia osteonekroze vadinama kaulų liga (kaulinio audinio žūtis dėl pablogėjusios kaulo kraujotakos). Kombinuoto antiretrovirusinio gydymo trukmė, kortikosteroidų vartojimas, alkoholio vartojimas, sunki imunosupresija (sumažėjęs imuninės sistemos aktyvumas), didesnis kūno masės indeksas, gali būti vieni iš daugelio šios ligos rizikos faktorių.</w:t>
      </w:r>
    </w:p>
    <w:p w14:paraId="5B553D51" w14:textId="77777777" w:rsidR="007D59EF" w:rsidRPr="00705EEC" w:rsidRDefault="007D59EF" w:rsidP="007D59EF">
      <w:pPr>
        <w:numPr>
          <w:ilvl w:val="0"/>
          <w:numId w:val="35"/>
        </w:numPr>
        <w:rPr>
          <w:lang w:val="lt-LT" w:eastAsia="x-none"/>
        </w:rPr>
      </w:pPr>
      <w:r w:rsidRPr="00705EEC">
        <w:rPr>
          <w:b/>
          <w:lang w:val="lt-LT" w:eastAsia="x-none"/>
        </w:rPr>
        <w:t>Raumenų skausmas</w:t>
      </w:r>
      <w:r w:rsidRPr="00705EEC">
        <w:rPr>
          <w:lang w:val="lt-LT" w:eastAsia="x-none"/>
        </w:rPr>
        <w:t>, padidėjęs jautrumas ar silpnumas, ypač vartojant derinius su kitais vaistais. Retais atvejais šie raumenų sutrikimai buvo sunkūs.</w:t>
      </w:r>
    </w:p>
    <w:p w14:paraId="701E40F0" w14:textId="77777777" w:rsidR="007D59EF" w:rsidRPr="00705EEC" w:rsidRDefault="007D59EF" w:rsidP="007D59EF">
      <w:pPr>
        <w:numPr>
          <w:ilvl w:val="0"/>
          <w:numId w:val="35"/>
        </w:numPr>
        <w:rPr>
          <w:lang w:val="lt-LT" w:eastAsia="x-none"/>
        </w:rPr>
      </w:pPr>
      <w:r w:rsidRPr="00705EEC">
        <w:rPr>
          <w:lang w:val="lt-LT" w:eastAsia="x-none"/>
        </w:rPr>
        <w:t>Galvos sukimasis, svaigimas, alpimas ar nenormalaus širdies plakimo jutimas. Lopinaviras/ritonaviras gali sukelti Jūsų širdies ritmo ir širdies elektrinio aktyvumo pakitimus. Šie pakitimai gali būti matomi EKG (elektrokardiogramoje).</w:t>
      </w:r>
    </w:p>
    <w:p w14:paraId="53AE2256" w14:textId="77777777" w:rsidR="007D59EF" w:rsidRPr="00705EEC" w:rsidRDefault="007D59EF" w:rsidP="007D59EF">
      <w:pPr>
        <w:spacing w:line="240" w:lineRule="auto"/>
        <w:rPr>
          <w:lang w:val="lt-LT" w:eastAsia="x-none"/>
        </w:rPr>
      </w:pPr>
    </w:p>
    <w:p w14:paraId="5A680D57" w14:textId="77777777" w:rsidR="007D59EF" w:rsidRPr="001C7577" w:rsidRDefault="007D59EF" w:rsidP="007D59EF">
      <w:pPr>
        <w:autoSpaceDE w:val="0"/>
        <w:autoSpaceDN w:val="0"/>
        <w:adjustRightInd w:val="0"/>
        <w:spacing w:line="240" w:lineRule="auto"/>
        <w:rPr>
          <w:b/>
          <w:bCs/>
          <w:lang w:val="lt-LT"/>
        </w:rPr>
      </w:pPr>
      <w:r w:rsidRPr="001C7577">
        <w:rPr>
          <w:b/>
          <w:lang w:val="lt-LT"/>
        </w:rPr>
        <w:t xml:space="preserve">Kiti vaistai ir Lopinavir/Ritonavir </w:t>
      </w:r>
      <w:r w:rsidRPr="001C7577">
        <w:rPr>
          <w:b/>
          <w:bCs/>
          <w:lang w:val="lt-LT"/>
        </w:rPr>
        <w:t>Ranbaxy</w:t>
      </w:r>
    </w:p>
    <w:p w14:paraId="64D4A31C" w14:textId="77777777" w:rsidR="007D59EF" w:rsidRPr="001C7577" w:rsidRDefault="007D59EF" w:rsidP="007D59EF">
      <w:pPr>
        <w:autoSpaceDE w:val="0"/>
        <w:autoSpaceDN w:val="0"/>
        <w:adjustRightInd w:val="0"/>
        <w:spacing w:line="240" w:lineRule="auto"/>
        <w:rPr>
          <w:b/>
          <w:lang w:val="lt-LT"/>
        </w:rPr>
      </w:pPr>
    </w:p>
    <w:p w14:paraId="4C826793" w14:textId="77777777" w:rsidR="007D59EF" w:rsidRPr="001C7577" w:rsidRDefault="007D59EF" w:rsidP="007D59EF">
      <w:pPr>
        <w:autoSpaceDE w:val="0"/>
        <w:autoSpaceDN w:val="0"/>
        <w:adjustRightInd w:val="0"/>
        <w:spacing w:line="240" w:lineRule="auto"/>
        <w:rPr>
          <w:szCs w:val="24"/>
          <w:lang w:val="lt-LT"/>
        </w:rPr>
      </w:pPr>
      <w:r w:rsidRPr="001C7577">
        <w:rPr>
          <w:szCs w:val="24"/>
          <w:lang w:val="lt-LT"/>
        </w:rPr>
        <w:t>Jeigu vartojate ar neseniai vartojote kitų vaistų arba dėl to nesate tikri, apie tai pasakykite gydytojui arba vaistininkui.</w:t>
      </w:r>
    </w:p>
    <w:p w14:paraId="41CC5CA7" w14:textId="77777777" w:rsidR="007D59EF" w:rsidRPr="001C7577" w:rsidRDefault="007D59EF" w:rsidP="007D59EF">
      <w:pPr>
        <w:autoSpaceDE w:val="0"/>
        <w:autoSpaceDN w:val="0"/>
        <w:adjustRightInd w:val="0"/>
        <w:spacing w:line="240" w:lineRule="auto"/>
        <w:rPr>
          <w:b/>
          <w:lang w:val="lt-LT"/>
        </w:rPr>
      </w:pPr>
    </w:p>
    <w:p w14:paraId="580B3BDF" w14:textId="77777777" w:rsidR="007D59EF" w:rsidRPr="001C7577" w:rsidRDefault="007D59EF" w:rsidP="007D59EF">
      <w:pPr>
        <w:autoSpaceDE w:val="0"/>
        <w:autoSpaceDN w:val="0"/>
        <w:adjustRightInd w:val="0"/>
        <w:spacing w:line="240" w:lineRule="auto"/>
        <w:rPr>
          <w:b/>
          <w:lang w:val="lt-LT"/>
        </w:rPr>
      </w:pPr>
      <w:r w:rsidRPr="001C7577">
        <w:rPr>
          <w:b/>
          <w:u w:val="single"/>
          <w:lang w:val="lt-LT"/>
        </w:rPr>
        <w:t>Pasakykite gydytojui,</w:t>
      </w:r>
      <w:r w:rsidRPr="001C7577">
        <w:rPr>
          <w:b/>
          <w:lang w:val="lt-LT"/>
        </w:rPr>
        <w:t xml:space="preserve"> jei vartojate kuriuos nors iš žemiau išvardytų vaistų, kadangi tuo atveju reikia specialių atsargumo priemonių:</w:t>
      </w:r>
    </w:p>
    <w:p w14:paraId="4204C59C"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antibiotikus (pvz., rifabutiną, rifampiciną, klaritromiciną);</w:t>
      </w:r>
    </w:p>
    <w:p w14:paraId="4C1DC537"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priešvėžinius vaistus (pvz., daugumą tirozino kinazės inhibitorių, tokius kaip dazatinibą ir nilotinibą, taip pat vinkristiną ir vinblastiną);</w:t>
      </w:r>
    </w:p>
    <w:p w14:paraId="2D23BD20"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antikoaguliantus (pvz., varfariną, rivaroksabaną);</w:t>
      </w:r>
    </w:p>
    <w:p w14:paraId="4F1B4EEA"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antidepresantus (pvz., trazodoną, bupropioną);</w:t>
      </w:r>
    </w:p>
    <w:p w14:paraId="65AF3C20"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nuo epilepsijos(pvz., karbamazepiną, fenitoiną, fenobarbitalį, lamotriginą ir valproatą);</w:t>
      </w:r>
    </w:p>
    <w:p w14:paraId="0EA27EA8"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priešgrybelinius (pvz., ketokonazolą, itrakonazolą, vorikonazolą);</w:t>
      </w:r>
    </w:p>
    <w:p w14:paraId="0AE19D25"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nuo podagros (pvz., kolchiciną);</w:t>
      </w:r>
    </w:p>
    <w:p w14:paraId="0C564B11" w14:textId="77777777" w:rsidR="00205871" w:rsidRPr="001C7577" w:rsidRDefault="00205871" w:rsidP="007D59EF">
      <w:pPr>
        <w:numPr>
          <w:ilvl w:val="0"/>
          <w:numId w:val="36"/>
        </w:numPr>
        <w:autoSpaceDE w:val="0"/>
        <w:autoSpaceDN w:val="0"/>
        <w:adjustRightInd w:val="0"/>
        <w:spacing w:line="240" w:lineRule="auto"/>
        <w:rPr>
          <w:lang w:val="lt-LT"/>
        </w:rPr>
      </w:pPr>
      <w:r w:rsidRPr="001C7577">
        <w:rPr>
          <w:lang w:val="lt-LT"/>
        </w:rPr>
        <w:t>vaistus nuo tuberkuliozės (bedakviliną);</w:t>
      </w:r>
    </w:p>
    <w:p w14:paraId="658A8E9C"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vaistą nuo HCV, vartojamą suaugusių žmonių lėtinio hepatito C gydymui (pvz., boceprevirą ir telaprevirą);</w:t>
      </w:r>
    </w:p>
    <w:p w14:paraId="0F8DE2CC"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erekcijos sutrikimams gydyti (pvz., sildenafilį ir tadalafilį);</w:t>
      </w:r>
    </w:p>
    <w:p w14:paraId="514263B5"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fuzido rūgštį lėtinių kaulų ir sąnarių infekcinių ligų (pvz., osteomielito) gydymui;</w:t>
      </w:r>
    </w:p>
    <w:p w14:paraId="7AF7E80C"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širdies sutrikimams gydyti, pvz.,:</w:t>
      </w:r>
    </w:p>
    <w:p w14:paraId="138E17A3" w14:textId="77777777" w:rsidR="007D59EF" w:rsidRPr="001C7577" w:rsidRDefault="007D59EF" w:rsidP="007D59EF">
      <w:pPr>
        <w:numPr>
          <w:ilvl w:val="1"/>
          <w:numId w:val="36"/>
        </w:numPr>
        <w:autoSpaceDE w:val="0"/>
        <w:autoSpaceDN w:val="0"/>
        <w:adjustRightInd w:val="0"/>
        <w:spacing w:line="240" w:lineRule="auto"/>
        <w:rPr>
          <w:lang w:val="lt-LT"/>
        </w:rPr>
      </w:pPr>
      <w:r w:rsidRPr="001C7577">
        <w:rPr>
          <w:lang w:val="lt-LT"/>
        </w:rPr>
        <w:t>digoksiną;</w:t>
      </w:r>
    </w:p>
    <w:p w14:paraId="4D2D84AE" w14:textId="77777777" w:rsidR="007D59EF" w:rsidRPr="001C7577" w:rsidRDefault="007D59EF" w:rsidP="007D59EF">
      <w:pPr>
        <w:numPr>
          <w:ilvl w:val="1"/>
          <w:numId w:val="36"/>
        </w:numPr>
        <w:autoSpaceDE w:val="0"/>
        <w:autoSpaceDN w:val="0"/>
        <w:adjustRightInd w:val="0"/>
        <w:spacing w:line="240" w:lineRule="auto"/>
        <w:rPr>
          <w:lang w:val="lt-LT"/>
        </w:rPr>
      </w:pPr>
      <w:r w:rsidRPr="001C7577">
        <w:rPr>
          <w:lang w:val="lt-LT"/>
        </w:rPr>
        <w:t>kalcio kanalų blokatorius (pvz., felodipiną, nifedipiną, nikardipiną);</w:t>
      </w:r>
    </w:p>
    <w:p w14:paraId="6647F774" w14:textId="77777777" w:rsidR="007D59EF" w:rsidRPr="001C7577" w:rsidRDefault="007D59EF" w:rsidP="007D59EF">
      <w:pPr>
        <w:numPr>
          <w:ilvl w:val="1"/>
          <w:numId w:val="36"/>
        </w:numPr>
        <w:autoSpaceDE w:val="0"/>
        <w:autoSpaceDN w:val="0"/>
        <w:adjustRightInd w:val="0"/>
        <w:spacing w:line="240" w:lineRule="auto"/>
        <w:rPr>
          <w:lang w:val="lt-LT"/>
        </w:rPr>
      </w:pPr>
      <w:r w:rsidRPr="001C7577">
        <w:rPr>
          <w:lang w:val="lt-LT"/>
        </w:rPr>
        <w:lastRenderedPageBreak/>
        <w:t>vaistus širdies ritmui koreguoti (pvz., bepridilį, sisteminio veikimo lidokainą, chinidiną);</w:t>
      </w:r>
    </w:p>
    <w:p w14:paraId="71ECFAB9"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ŽIV CCR5 antagonistą (pvz., maraviroką);</w:t>
      </w:r>
    </w:p>
    <w:p w14:paraId="2B5B8664"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ŽIV-1 integrazės inhibitorių (pvz., raltegravirą);</w:t>
      </w:r>
    </w:p>
    <w:p w14:paraId="713F757B"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cholesterolio koncentracijai kraujyje mažinti (pvz., atorvastatiną, lovastatiną, rozuvastatiną ar simvastatiną);</w:t>
      </w:r>
    </w:p>
    <w:p w14:paraId="2A8AD0A4"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astmos ar kitų plaučių ligų, pvz., lėtinės obstrukcinės plaučių ligos (LOPL) gydymui (pvz., salmeterolį);</w:t>
      </w:r>
    </w:p>
    <w:p w14:paraId="2A72FF11"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plautinės arterinės hipertenzijos (aukšto kraujo spaudimo plaučių arterijoje) gydymui (pvz., bosentaną, sildenafilį, tadalafilį);</w:t>
      </w:r>
    </w:p>
    <w:p w14:paraId="18B000B3"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imuninę sistemą veikiančius vaistus, pvz., ciklosporiną, sirolimuzą (rapamiciną), takrolimuzą;</w:t>
      </w:r>
    </w:p>
    <w:p w14:paraId="33179E7B"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vartojamus skausmui malšinti, pvz., fentanilį;</w:t>
      </w:r>
    </w:p>
    <w:p w14:paraId="2C27AB27"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vaistus, vartojamus norint mesti rūkyti (pvz., bupropioną), į morfiną panašius vaistus (pvz., metadoną);</w:t>
      </w:r>
    </w:p>
    <w:p w14:paraId="08DDC22D"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geriamuosius kontraceptikus ar kontraceptinį pleistrą nėštumui išvengti (taip pat žr. skyrių “</w:t>
      </w:r>
      <w:r w:rsidRPr="001C7577">
        <w:rPr>
          <w:b/>
          <w:lang w:val="lt-LT"/>
        </w:rPr>
        <w:t>Kontraceptikai</w:t>
      </w:r>
      <w:r w:rsidRPr="001C7577">
        <w:rPr>
          <w:lang w:val="lt-LT"/>
        </w:rPr>
        <w:t>”);</w:t>
      </w:r>
    </w:p>
    <w:p w14:paraId="3E6EE501"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proteazių inhibitorius (pvz., amprenavirą, fosamprenavirą, indinavirą, nelfinavirą, ritonavirą, sakvinavirą, tipranavirą);</w:t>
      </w:r>
    </w:p>
    <w:p w14:paraId="3F543B18"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raminamuosius preparatus (pvz., injekcijomis skiriamą midazolamą);</w:t>
      </w:r>
    </w:p>
    <w:p w14:paraId="1D6BD87E" w14:textId="77777777" w:rsidR="007D59EF" w:rsidRPr="001C7577" w:rsidRDefault="007D59EF" w:rsidP="007D59EF">
      <w:pPr>
        <w:numPr>
          <w:ilvl w:val="0"/>
          <w:numId w:val="36"/>
        </w:numPr>
        <w:autoSpaceDE w:val="0"/>
        <w:autoSpaceDN w:val="0"/>
        <w:adjustRightInd w:val="0"/>
        <w:spacing w:line="240" w:lineRule="auto"/>
        <w:rPr>
          <w:lang w:val="lt-LT"/>
        </w:rPr>
      </w:pPr>
      <w:r w:rsidRPr="001C7577">
        <w:rPr>
          <w:lang w:val="lt-LT"/>
        </w:rPr>
        <w:t>steroidus (pvz., budezonidą,deksametazoną, flutikazono propionatą, etinilestradiolį).</w:t>
      </w:r>
    </w:p>
    <w:p w14:paraId="4D5D2C45" w14:textId="77777777" w:rsidR="007D59EF" w:rsidRPr="001C7577" w:rsidRDefault="007D59EF" w:rsidP="007D59EF">
      <w:pPr>
        <w:autoSpaceDE w:val="0"/>
        <w:autoSpaceDN w:val="0"/>
        <w:adjustRightInd w:val="0"/>
        <w:spacing w:line="240" w:lineRule="auto"/>
        <w:ind w:left="720"/>
        <w:rPr>
          <w:b/>
          <w:lang w:val="lt-LT"/>
        </w:rPr>
      </w:pPr>
    </w:p>
    <w:p w14:paraId="0A782C62" w14:textId="77777777" w:rsidR="007D59EF" w:rsidRPr="001C7577" w:rsidRDefault="007D59EF" w:rsidP="007D59EF">
      <w:pPr>
        <w:autoSpaceDE w:val="0"/>
        <w:autoSpaceDN w:val="0"/>
        <w:adjustRightInd w:val="0"/>
        <w:spacing w:line="240" w:lineRule="auto"/>
        <w:rPr>
          <w:lang w:val="lt-LT"/>
        </w:rPr>
      </w:pPr>
      <w:r w:rsidRPr="001C7577">
        <w:rPr>
          <w:lang w:val="lt-LT"/>
        </w:rPr>
        <w:t>Perskaitykite vaistų sąrašą skyriuje “</w:t>
      </w:r>
      <w:r w:rsidRPr="001C7577">
        <w:rPr>
          <w:b/>
          <w:lang w:val="lt-LT"/>
        </w:rPr>
        <w:t>Lopinavir/Ritonavir Ranbaxy negalima vartoti kartu su šiais vaistais</w:t>
      </w:r>
      <w:r w:rsidRPr="001C7577">
        <w:rPr>
          <w:lang w:val="lt-LT"/>
        </w:rPr>
        <w:t>” tam, kad sužinotumėte, kurių vaistų negalima vartoti kartu su Lopinavir/Ritonavir Ranbaxy.</w:t>
      </w:r>
    </w:p>
    <w:p w14:paraId="3F4B72DC" w14:textId="77777777" w:rsidR="007D59EF" w:rsidRPr="001C7577" w:rsidRDefault="007D59EF" w:rsidP="007D59EF">
      <w:pPr>
        <w:autoSpaceDE w:val="0"/>
        <w:autoSpaceDN w:val="0"/>
        <w:adjustRightInd w:val="0"/>
        <w:ind w:firstLine="360"/>
        <w:rPr>
          <w:lang w:val="lt-LT"/>
        </w:rPr>
      </w:pPr>
    </w:p>
    <w:p w14:paraId="4C8231CC" w14:textId="77777777" w:rsidR="007D59EF" w:rsidRPr="001C7577" w:rsidRDefault="007D59EF" w:rsidP="007D59EF">
      <w:pPr>
        <w:autoSpaceDE w:val="0"/>
        <w:autoSpaceDN w:val="0"/>
        <w:adjustRightInd w:val="0"/>
        <w:rPr>
          <w:b/>
          <w:lang w:val="lt-LT"/>
        </w:rPr>
      </w:pPr>
      <w:r w:rsidRPr="001C7577">
        <w:rPr>
          <w:b/>
          <w:lang w:val="lt-LT"/>
        </w:rPr>
        <w:t>Vaistai erekcijos sutrikimams gydyti (vardenafilis, sildenafilis, tadalafilis)</w:t>
      </w:r>
    </w:p>
    <w:p w14:paraId="39BD2AB6" w14:textId="77777777" w:rsidR="007D59EF" w:rsidRPr="001C7577" w:rsidRDefault="007D59EF" w:rsidP="007D59EF">
      <w:pPr>
        <w:numPr>
          <w:ilvl w:val="0"/>
          <w:numId w:val="3"/>
        </w:numPr>
        <w:autoSpaceDE w:val="0"/>
        <w:autoSpaceDN w:val="0"/>
        <w:adjustRightInd w:val="0"/>
        <w:rPr>
          <w:lang w:val="lt-LT"/>
        </w:rPr>
      </w:pPr>
      <w:r w:rsidRPr="001C7577">
        <w:rPr>
          <w:b/>
          <w:lang w:val="lt-LT"/>
        </w:rPr>
        <w:t>Nevartokite Lopinavir/Ritonavir Ranbaxy</w:t>
      </w:r>
      <w:r w:rsidRPr="001C7577">
        <w:rPr>
          <w:lang w:val="lt-LT"/>
        </w:rPr>
        <w:t>, jei šiuo metu vartojate vardenafilį.</w:t>
      </w:r>
    </w:p>
    <w:p w14:paraId="291C6C86" w14:textId="77777777" w:rsidR="007D59EF" w:rsidRPr="001C7577" w:rsidRDefault="007D59EF" w:rsidP="007D59EF">
      <w:pPr>
        <w:numPr>
          <w:ilvl w:val="0"/>
          <w:numId w:val="3"/>
        </w:numPr>
        <w:autoSpaceDE w:val="0"/>
        <w:autoSpaceDN w:val="0"/>
        <w:adjustRightInd w:val="0"/>
        <w:rPr>
          <w:lang w:val="lt-LT"/>
        </w:rPr>
      </w:pPr>
      <w:r w:rsidRPr="001C7577">
        <w:rPr>
          <w:lang w:val="lt-LT"/>
        </w:rPr>
        <w:t>Lopinavir/Ritonavir</w:t>
      </w:r>
      <w:r w:rsidRPr="001C7577">
        <w:rPr>
          <w:b/>
          <w:lang w:val="lt-LT"/>
        </w:rPr>
        <w:t xml:space="preserve"> </w:t>
      </w:r>
      <w:r w:rsidRPr="001C7577">
        <w:rPr>
          <w:lang w:val="lt-LT"/>
        </w:rPr>
        <w:t>Ranbaxy ir sildenafilį, kai juo gydoma plautinė arterinė hipertenzija (aukštas kraujo spaudimas plaučių arterijoje) (žr. skyrių “</w:t>
      </w:r>
      <w:r w:rsidRPr="001C7577">
        <w:rPr>
          <w:b/>
          <w:lang w:val="lt-LT"/>
        </w:rPr>
        <w:t>Lopinavir/Ritonavir Ranbaxy</w:t>
      </w:r>
      <w:r w:rsidRPr="001C7577">
        <w:rPr>
          <w:lang w:val="lt-LT"/>
        </w:rPr>
        <w:t xml:space="preserve"> vartoti negalima”), kartu vartoti draudžiama.</w:t>
      </w:r>
    </w:p>
    <w:p w14:paraId="427C1371" w14:textId="77777777" w:rsidR="007D59EF" w:rsidRPr="001C7577" w:rsidRDefault="007D59EF" w:rsidP="007D59EF">
      <w:pPr>
        <w:numPr>
          <w:ilvl w:val="0"/>
          <w:numId w:val="3"/>
        </w:numPr>
        <w:autoSpaceDE w:val="0"/>
        <w:autoSpaceDN w:val="0"/>
        <w:adjustRightInd w:val="0"/>
        <w:rPr>
          <w:lang w:val="lt-LT"/>
        </w:rPr>
      </w:pPr>
      <w:r w:rsidRPr="001C7577">
        <w:rPr>
          <w:lang w:val="lt-LT"/>
        </w:rPr>
        <w:t>Jei vartojate sildenafilį ar tadalafilį kartu su Lopinavir/Ritonavir Ranbaxy, Jums gali būti padidėjusi tokių šalutinių reiškinių, kaip laikinai sumažėjęs kraujospūdis, regos pakitimai ir varpos erekcija, trunkanti daugiau nei 4 valandas, rizika. Jeigu erekcija trunka daugiau nei 4 valandas, turite nedelsiant kreiptis medicininės pagalbos, kad išvengtumėte negrįžtamų varpos pažeidimų. Gydytojas Jums gali paaiškinti šiuos simptomus.</w:t>
      </w:r>
    </w:p>
    <w:p w14:paraId="2D02A9D2" w14:textId="77777777" w:rsidR="007D59EF" w:rsidRPr="001C7577" w:rsidRDefault="007D59EF" w:rsidP="007D59EF">
      <w:pPr>
        <w:autoSpaceDE w:val="0"/>
        <w:autoSpaceDN w:val="0"/>
        <w:adjustRightInd w:val="0"/>
        <w:ind w:firstLine="360"/>
        <w:rPr>
          <w:lang w:val="lt-LT"/>
        </w:rPr>
      </w:pPr>
    </w:p>
    <w:p w14:paraId="5A39B9F9" w14:textId="77777777" w:rsidR="007D59EF" w:rsidRPr="001C7577" w:rsidRDefault="007D59EF" w:rsidP="007D59EF">
      <w:pPr>
        <w:autoSpaceDE w:val="0"/>
        <w:autoSpaceDN w:val="0"/>
        <w:adjustRightInd w:val="0"/>
        <w:spacing w:line="312" w:lineRule="exact"/>
        <w:rPr>
          <w:b/>
          <w:lang w:val="lt-LT"/>
        </w:rPr>
      </w:pPr>
      <w:r w:rsidRPr="001C7577">
        <w:rPr>
          <w:b/>
          <w:lang w:val="lt-LT"/>
        </w:rPr>
        <w:t>Kontraceptikai</w:t>
      </w:r>
    </w:p>
    <w:p w14:paraId="73A079BE" w14:textId="77777777" w:rsidR="007D59EF" w:rsidRPr="001C7577" w:rsidRDefault="007D59EF" w:rsidP="007D59EF">
      <w:pPr>
        <w:numPr>
          <w:ilvl w:val="0"/>
          <w:numId w:val="37"/>
        </w:numPr>
        <w:autoSpaceDE w:val="0"/>
        <w:autoSpaceDN w:val="0"/>
        <w:adjustRightInd w:val="0"/>
        <w:spacing w:line="312" w:lineRule="exact"/>
        <w:rPr>
          <w:lang w:val="lt-LT"/>
        </w:rPr>
      </w:pPr>
      <w:r w:rsidRPr="001C7577">
        <w:rPr>
          <w:lang w:val="lt-LT"/>
        </w:rPr>
        <w:t>Jei vartojate geriamuosius kontraceptikus ar naudojate kontraceptinį pleistrą, Jums reikės papildomų ar kitokių kontracepcijos priemonių (pvz., prezervatyvo), nes Lopinavir/Ritonavir Ranbaxy gali sumažinti geriamųjų kontraceptikų ir kontraceptinių pleistrų efektyvumą.</w:t>
      </w:r>
    </w:p>
    <w:p w14:paraId="6E6B6AA0" w14:textId="77777777" w:rsidR="007D59EF" w:rsidRPr="001C7577" w:rsidRDefault="007D59EF" w:rsidP="007D59EF">
      <w:pPr>
        <w:numPr>
          <w:ilvl w:val="0"/>
          <w:numId w:val="37"/>
        </w:numPr>
        <w:autoSpaceDE w:val="0"/>
        <w:autoSpaceDN w:val="0"/>
        <w:adjustRightInd w:val="0"/>
        <w:spacing w:line="312" w:lineRule="exact"/>
        <w:rPr>
          <w:lang w:val="lt-LT"/>
        </w:rPr>
      </w:pPr>
      <w:r w:rsidRPr="001C7577">
        <w:rPr>
          <w:lang w:val="lt-LT"/>
        </w:rPr>
        <w:t>Lopinavir/Ritonavir Ranbaxy nemažina ŽIV perdavimo kitiems rizikos. Reikia vartoti atitinkamas apsaugos priemones (pvz., naudoti prezervatyvą), kad liga nebūtų perduota lytinio kontakto metu.</w:t>
      </w:r>
    </w:p>
    <w:p w14:paraId="29E67F07" w14:textId="77777777" w:rsidR="007D59EF" w:rsidRPr="001C7577" w:rsidRDefault="007D59EF" w:rsidP="007D59EF">
      <w:pPr>
        <w:autoSpaceDE w:val="0"/>
        <w:autoSpaceDN w:val="0"/>
        <w:adjustRightInd w:val="0"/>
        <w:spacing w:line="312" w:lineRule="exact"/>
        <w:ind w:left="720"/>
        <w:rPr>
          <w:lang w:val="lt-LT"/>
        </w:rPr>
      </w:pPr>
    </w:p>
    <w:p w14:paraId="0AA3EF9C" w14:textId="77777777" w:rsidR="007D59EF" w:rsidRPr="001C7577" w:rsidRDefault="007D59EF" w:rsidP="007D59EF">
      <w:pPr>
        <w:autoSpaceDE w:val="0"/>
        <w:autoSpaceDN w:val="0"/>
        <w:adjustRightInd w:val="0"/>
        <w:spacing w:line="312" w:lineRule="exact"/>
        <w:rPr>
          <w:b/>
          <w:lang w:val="lt-LT"/>
        </w:rPr>
      </w:pPr>
      <w:r w:rsidRPr="001C7577">
        <w:rPr>
          <w:b/>
          <w:lang w:val="lt-LT"/>
        </w:rPr>
        <w:t>Nėštumo ir žindymo laikotarpis</w:t>
      </w:r>
    </w:p>
    <w:p w14:paraId="4E2BF2C3" w14:textId="77777777" w:rsidR="007D59EF" w:rsidRPr="001C7577" w:rsidRDefault="007D59EF" w:rsidP="007D59EF">
      <w:pPr>
        <w:numPr>
          <w:ilvl w:val="0"/>
          <w:numId w:val="38"/>
        </w:numPr>
        <w:autoSpaceDE w:val="0"/>
        <w:autoSpaceDN w:val="0"/>
        <w:adjustRightInd w:val="0"/>
        <w:spacing w:line="312" w:lineRule="exact"/>
        <w:rPr>
          <w:lang w:val="lt-LT"/>
        </w:rPr>
      </w:pPr>
      <w:r w:rsidRPr="001C7577">
        <w:rPr>
          <w:b/>
          <w:lang w:val="lt-LT"/>
        </w:rPr>
        <w:lastRenderedPageBreak/>
        <w:t>Nedelsdama</w:t>
      </w:r>
      <w:r w:rsidRPr="001C7577">
        <w:rPr>
          <w:lang w:val="lt-LT"/>
        </w:rPr>
        <w:t xml:space="preserve"> pasakykite gydytojui, jei esate nėščia, manote, jog pastojote, taip pat jei žindote kūdikį.</w:t>
      </w:r>
    </w:p>
    <w:p w14:paraId="070CFA6F" w14:textId="77777777" w:rsidR="007D59EF" w:rsidRPr="001C7577" w:rsidRDefault="007D59EF" w:rsidP="007D59EF">
      <w:pPr>
        <w:numPr>
          <w:ilvl w:val="0"/>
          <w:numId w:val="38"/>
        </w:numPr>
        <w:autoSpaceDE w:val="0"/>
        <w:autoSpaceDN w:val="0"/>
        <w:adjustRightInd w:val="0"/>
        <w:spacing w:line="312" w:lineRule="exact"/>
        <w:rPr>
          <w:lang w:val="lt-LT"/>
        </w:rPr>
      </w:pPr>
      <w:r w:rsidRPr="001C7577">
        <w:rPr>
          <w:lang w:val="lt-LT"/>
        </w:rPr>
        <w:t>Nėščiosioms ir žindyvėms negalima vartoti Lopinavir/Ritonavir Ranbaxy, nebent paskirtų gydytojas.</w:t>
      </w:r>
    </w:p>
    <w:p w14:paraId="17F034C4" w14:textId="77777777" w:rsidR="007D59EF" w:rsidRPr="001C7577" w:rsidRDefault="007D59EF" w:rsidP="007D59EF">
      <w:pPr>
        <w:numPr>
          <w:ilvl w:val="0"/>
          <w:numId w:val="38"/>
        </w:numPr>
        <w:autoSpaceDE w:val="0"/>
        <w:autoSpaceDN w:val="0"/>
        <w:adjustRightInd w:val="0"/>
        <w:spacing w:line="312" w:lineRule="exact"/>
        <w:rPr>
          <w:lang w:val="lt-LT"/>
        </w:rPr>
      </w:pPr>
      <w:r w:rsidRPr="001C7577">
        <w:rPr>
          <w:lang w:val="lt-LT"/>
        </w:rPr>
        <w:t>ŽIV infekuotoms motinoms nerekomenduojama žindyti kūdikio, nes yra galimybė jį su pienu užkrėsti ŽIV.</w:t>
      </w:r>
    </w:p>
    <w:p w14:paraId="7524FEC5" w14:textId="77777777" w:rsidR="007D59EF" w:rsidRPr="001C7577" w:rsidRDefault="007D59EF" w:rsidP="007D59EF">
      <w:pPr>
        <w:autoSpaceDE w:val="0"/>
        <w:autoSpaceDN w:val="0"/>
        <w:adjustRightInd w:val="0"/>
        <w:spacing w:line="312" w:lineRule="exact"/>
        <w:rPr>
          <w:lang w:val="lt-LT"/>
        </w:rPr>
      </w:pPr>
    </w:p>
    <w:p w14:paraId="274EB4EB" w14:textId="77777777" w:rsidR="007D59EF" w:rsidRPr="001C7577" w:rsidRDefault="007D59EF" w:rsidP="007D59EF">
      <w:pPr>
        <w:autoSpaceDE w:val="0"/>
        <w:autoSpaceDN w:val="0"/>
        <w:adjustRightInd w:val="0"/>
        <w:spacing w:line="312" w:lineRule="exact"/>
        <w:rPr>
          <w:b/>
          <w:lang w:val="lt-LT"/>
        </w:rPr>
      </w:pPr>
      <w:r w:rsidRPr="001C7577">
        <w:rPr>
          <w:b/>
          <w:lang w:val="lt-LT"/>
        </w:rPr>
        <w:t>Vairavimas ir mechanizmų valdymas</w:t>
      </w:r>
    </w:p>
    <w:p w14:paraId="117F5DB0" w14:textId="77777777" w:rsidR="007D59EF" w:rsidRPr="001C7577" w:rsidRDefault="007D59EF" w:rsidP="007D59EF">
      <w:pPr>
        <w:autoSpaceDE w:val="0"/>
        <w:autoSpaceDN w:val="0"/>
        <w:adjustRightInd w:val="0"/>
        <w:spacing w:line="312" w:lineRule="exact"/>
        <w:rPr>
          <w:lang w:val="lt-LT"/>
        </w:rPr>
      </w:pPr>
      <w:r w:rsidRPr="001C7577">
        <w:rPr>
          <w:lang w:val="lt-LT"/>
        </w:rPr>
        <w:t>Lopinavir/Ritonavir Ranbaxy galimas poveikis gebėjimui vairuoti automobilį ar valdyti mechanizmus specialiai netirtas. Nevairuokite automobilio ir nevaldykite mechanizmų, jei pasireiškė kuri nors nepageidaujama reakcija (pvz., pykinimas), kuri gali sutrukdyti tai daryti saugiai. Vietoj to, kreipkitės į gydytoją.</w:t>
      </w:r>
    </w:p>
    <w:p w14:paraId="5E39D2E5" w14:textId="77777777" w:rsidR="007D59EF" w:rsidRPr="001C7577" w:rsidRDefault="007D59EF" w:rsidP="007D59EF">
      <w:pPr>
        <w:autoSpaceDE w:val="0"/>
        <w:autoSpaceDN w:val="0"/>
        <w:adjustRightInd w:val="0"/>
        <w:spacing w:line="312" w:lineRule="exact"/>
        <w:rPr>
          <w:lang w:val="lt-LT"/>
        </w:rPr>
      </w:pPr>
    </w:p>
    <w:p w14:paraId="6B5C909A" w14:textId="77777777" w:rsidR="007D59EF" w:rsidRPr="001C7577" w:rsidRDefault="007D59EF" w:rsidP="007D59EF">
      <w:pPr>
        <w:autoSpaceDE w:val="0"/>
        <w:autoSpaceDN w:val="0"/>
        <w:adjustRightInd w:val="0"/>
        <w:spacing w:line="312" w:lineRule="exact"/>
        <w:rPr>
          <w:b/>
          <w:lang w:val="lt-LT"/>
        </w:rPr>
      </w:pPr>
      <w:r w:rsidRPr="001C7577">
        <w:rPr>
          <w:b/>
          <w:lang w:val="lt-LT"/>
        </w:rPr>
        <w:t>Lopinavir/Ritonavir Ranbaxy sudėtyje yra laktozės monohidrato ir sorbitano laurato</w:t>
      </w:r>
    </w:p>
    <w:p w14:paraId="592455FC" w14:textId="77777777" w:rsidR="007D59EF" w:rsidRPr="001C7577" w:rsidRDefault="007D59EF" w:rsidP="007D59EF">
      <w:pPr>
        <w:autoSpaceDE w:val="0"/>
        <w:autoSpaceDN w:val="0"/>
        <w:adjustRightInd w:val="0"/>
        <w:spacing w:line="312" w:lineRule="exact"/>
        <w:rPr>
          <w:lang w:val="lt-LT"/>
        </w:rPr>
      </w:pPr>
      <w:r w:rsidRPr="001C7577">
        <w:rPr>
          <w:lang w:val="lt-LT"/>
        </w:rPr>
        <w:t>Lopinavir/Ritonavir Ranbaxy sudėtyje (be kitų dalykų) yra pagalbinių medžiagų - laktozės monohidrato ir sorbitano laurato. Jei gydytojas yra Jums sakęs, kad jūs netoleruojate kai kurių cukrų, prieš vartodami šį vaistą pasitarkite su gydytoju.</w:t>
      </w:r>
    </w:p>
    <w:p w14:paraId="62038FEB" w14:textId="77777777" w:rsidR="007D59EF" w:rsidRPr="00705EEC" w:rsidRDefault="007D59EF" w:rsidP="007D59EF">
      <w:pPr>
        <w:numPr>
          <w:ilvl w:val="12"/>
          <w:numId w:val="0"/>
        </w:numPr>
        <w:tabs>
          <w:tab w:val="clear" w:pos="567"/>
        </w:tabs>
        <w:spacing w:line="240" w:lineRule="auto"/>
        <w:ind w:right="-2"/>
        <w:rPr>
          <w:szCs w:val="24"/>
          <w:lang w:val="lt-LT"/>
        </w:rPr>
      </w:pPr>
    </w:p>
    <w:p w14:paraId="3DB50F60" w14:textId="77777777" w:rsidR="007D59EF" w:rsidRPr="00705EEC" w:rsidRDefault="007D59EF" w:rsidP="007D59EF">
      <w:pPr>
        <w:numPr>
          <w:ilvl w:val="12"/>
          <w:numId w:val="0"/>
        </w:numPr>
        <w:tabs>
          <w:tab w:val="clear" w:pos="567"/>
        </w:tabs>
        <w:spacing w:line="240" w:lineRule="auto"/>
        <w:ind w:right="-2"/>
        <w:rPr>
          <w:szCs w:val="24"/>
          <w:lang w:val="lt-LT"/>
        </w:rPr>
      </w:pPr>
    </w:p>
    <w:p w14:paraId="661BAA04"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3.</w:t>
      </w:r>
      <w:r w:rsidRPr="00705EEC">
        <w:rPr>
          <w:rFonts w:ascii="Times New Roman" w:hAnsi="Times New Roman"/>
          <w:sz w:val="22"/>
          <w:lang w:val="lt-LT"/>
        </w:rPr>
        <w:tab/>
        <w:t>Kaip vartoti Lopinavir /Ritonavir Ranbaxy</w:t>
      </w:r>
    </w:p>
    <w:p w14:paraId="4E565AFB" w14:textId="77777777" w:rsidR="007D59EF" w:rsidRPr="00705EEC" w:rsidRDefault="007D59EF" w:rsidP="007D59EF">
      <w:pPr>
        <w:numPr>
          <w:ilvl w:val="12"/>
          <w:numId w:val="0"/>
        </w:numPr>
        <w:tabs>
          <w:tab w:val="clear" w:pos="567"/>
        </w:tabs>
        <w:spacing w:line="240" w:lineRule="auto"/>
        <w:ind w:right="-2"/>
        <w:rPr>
          <w:szCs w:val="24"/>
          <w:lang w:val="lt-LT"/>
        </w:rPr>
      </w:pPr>
    </w:p>
    <w:p w14:paraId="61ED2EDE" w14:textId="77777777" w:rsidR="007D59EF" w:rsidRPr="001C7577" w:rsidRDefault="007D59EF" w:rsidP="007D59EF">
      <w:pPr>
        <w:autoSpaceDE w:val="0"/>
        <w:autoSpaceDN w:val="0"/>
        <w:adjustRightInd w:val="0"/>
        <w:spacing w:line="312" w:lineRule="exact"/>
        <w:ind w:left="720"/>
        <w:rPr>
          <w:b/>
          <w:bCs/>
          <w:lang w:val="lt-LT"/>
        </w:rPr>
      </w:pPr>
      <w:r w:rsidRPr="001C7577">
        <w:rPr>
          <w:b/>
          <w:bCs/>
          <w:lang w:val="lt-LT"/>
        </w:rPr>
        <w:t>Kaip vartoti Lopinavir/Ritonavir Ranbaxy?</w:t>
      </w:r>
    </w:p>
    <w:p w14:paraId="632BD2C3" w14:textId="77777777" w:rsidR="007D59EF" w:rsidRPr="001C7577" w:rsidRDefault="007D59EF" w:rsidP="007D59EF">
      <w:pPr>
        <w:autoSpaceDE w:val="0"/>
        <w:autoSpaceDN w:val="0"/>
        <w:adjustRightInd w:val="0"/>
        <w:spacing w:line="312" w:lineRule="exact"/>
        <w:ind w:left="720"/>
        <w:rPr>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D59EF" w:rsidRPr="00705EEC" w14:paraId="210E2889" w14:textId="77777777" w:rsidTr="007D59EF">
        <w:tc>
          <w:tcPr>
            <w:tcW w:w="9356" w:type="dxa"/>
          </w:tcPr>
          <w:p w14:paraId="2341740F" w14:textId="77777777" w:rsidR="007D59EF" w:rsidRPr="001C7577" w:rsidRDefault="007D59EF" w:rsidP="007D59EF">
            <w:pPr>
              <w:autoSpaceDE w:val="0"/>
              <w:autoSpaceDN w:val="0"/>
              <w:adjustRightInd w:val="0"/>
              <w:spacing w:line="312" w:lineRule="exact"/>
              <w:rPr>
                <w:b/>
                <w:bCs/>
                <w:lang w:val="lt-LT"/>
              </w:rPr>
            </w:pPr>
            <w:r w:rsidRPr="001C7577">
              <w:rPr>
                <w:lang w:val="lt-LT"/>
              </w:rPr>
              <w:t>Svarbu Lopinavir/Ritonavir Ranbaxy tabletę praryti visą, jos nekramtyti, nelaužyti ir netraiškyti.</w:t>
            </w:r>
          </w:p>
        </w:tc>
      </w:tr>
    </w:tbl>
    <w:p w14:paraId="3735D561" w14:textId="77777777" w:rsidR="007D59EF" w:rsidRPr="001C7577" w:rsidRDefault="007D59EF" w:rsidP="007D59EF">
      <w:pPr>
        <w:autoSpaceDE w:val="0"/>
        <w:autoSpaceDN w:val="0"/>
        <w:adjustRightInd w:val="0"/>
        <w:spacing w:line="312" w:lineRule="exact"/>
        <w:rPr>
          <w:b/>
          <w:bCs/>
          <w:lang w:val="lt-LT"/>
        </w:rPr>
      </w:pPr>
    </w:p>
    <w:p w14:paraId="2747BA43" w14:textId="77777777" w:rsidR="007D59EF" w:rsidRPr="001C7577" w:rsidRDefault="007D59EF" w:rsidP="007D59EF">
      <w:pPr>
        <w:autoSpaceDE w:val="0"/>
        <w:autoSpaceDN w:val="0"/>
        <w:adjustRightInd w:val="0"/>
        <w:spacing w:line="312" w:lineRule="exact"/>
        <w:rPr>
          <w:lang w:val="lt-LT"/>
        </w:rPr>
      </w:pPr>
      <w:r w:rsidRPr="001C7577">
        <w:rPr>
          <w:lang w:val="lt-LT"/>
        </w:rPr>
        <w:t xml:space="preserve">Visada Lopinavir/Ritonavir Ranbaxy vartokite tiksliai taip, kaip nurodė gydytojas. Jeigu abejojate, kaip reikia vartoti šį vaistą, kreipkitės į gydytoją arba vaistininką. </w:t>
      </w:r>
    </w:p>
    <w:p w14:paraId="05C175E2" w14:textId="77777777" w:rsidR="007D59EF" w:rsidRPr="001C7577" w:rsidRDefault="007D59EF" w:rsidP="007D59EF">
      <w:pPr>
        <w:autoSpaceDE w:val="0"/>
        <w:autoSpaceDN w:val="0"/>
        <w:adjustRightInd w:val="0"/>
        <w:spacing w:line="312" w:lineRule="exact"/>
        <w:rPr>
          <w:lang w:val="lt-LT"/>
        </w:rPr>
      </w:pPr>
    </w:p>
    <w:p w14:paraId="69D414E6" w14:textId="77777777" w:rsidR="007D59EF" w:rsidRPr="001C7577" w:rsidRDefault="007D59EF" w:rsidP="007D59EF">
      <w:pPr>
        <w:tabs>
          <w:tab w:val="clear" w:pos="567"/>
        </w:tabs>
        <w:autoSpaceDE w:val="0"/>
        <w:autoSpaceDN w:val="0"/>
        <w:adjustRightInd w:val="0"/>
        <w:spacing w:line="240" w:lineRule="auto"/>
        <w:rPr>
          <w:rFonts w:eastAsia="Calibri"/>
          <w:b/>
          <w:bCs/>
          <w:snapToGrid/>
          <w:szCs w:val="22"/>
          <w:lang w:val="lt-LT"/>
        </w:rPr>
      </w:pPr>
      <w:r w:rsidRPr="001C7577">
        <w:rPr>
          <w:rFonts w:eastAsia="Calibri"/>
          <w:b/>
          <w:bCs/>
          <w:snapToGrid/>
          <w:szCs w:val="22"/>
          <w:lang w:val="lt-LT"/>
        </w:rPr>
        <w:t xml:space="preserve">Kiek </w:t>
      </w:r>
      <w:r w:rsidRPr="001C7577">
        <w:rPr>
          <w:b/>
          <w:bCs/>
          <w:lang w:val="lt-LT"/>
        </w:rPr>
        <w:t>Lopinavir/Ritonavir Ranbaxy</w:t>
      </w:r>
      <w:r w:rsidRPr="001C7577">
        <w:rPr>
          <w:rFonts w:eastAsia="Calibri"/>
          <w:b/>
          <w:bCs/>
          <w:snapToGrid/>
          <w:szCs w:val="22"/>
          <w:lang w:val="lt-LT"/>
        </w:rPr>
        <w:t xml:space="preserve"> vartoti ir kada?</w:t>
      </w:r>
    </w:p>
    <w:p w14:paraId="0832A56F" w14:textId="77777777" w:rsidR="007D59EF" w:rsidRPr="001C7577" w:rsidRDefault="007D59EF" w:rsidP="007D59EF">
      <w:pPr>
        <w:tabs>
          <w:tab w:val="clear" w:pos="567"/>
        </w:tabs>
        <w:autoSpaceDE w:val="0"/>
        <w:autoSpaceDN w:val="0"/>
        <w:adjustRightInd w:val="0"/>
        <w:spacing w:line="240" w:lineRule="auto"/>
        <w:rPr>
          <w:lang w:val="lt-LT"/>
        </w:rPr>
      </w:pPr>
    </w:p>
    <w:p w14:paraId="1A0139B1" w14:textId="77777777" w:rsidR="007D59EF" w:rsidRPr="001C7577" w:rsidRDefault="007D59EF" w:rsidP="007D59EF">
      <w:pPr>
        <w:tabs>
          <w:tab w:val="clear" w:pos="567"/>
        </w:tabs>
        <w:autoSpaceDE w:val="0"/>
        <w:autoSpaceDN w:val="0"/>
        <w:adjustRightInd w:val="0"/>
        <w:spacing w:line="240" w:lineRule="auto"/>
        <w:rPr>
          <w:b/>
          <w:lang w:val="lt-LT"/>
        </w:rPr>
      </w:pPr>
      <w:r w:rsidRPr="001C7577">
        <w:rPr>
          <w:b/>
          <w:lang w:val="lt-LT"/>
        </w:rPr>
        <w:t>Suaugusiems:</w:t>
      </w:r>
    </w:p>
    <w:p w14:paraId="3C0EEEC7" w14:textId="77777777" w:rsidR="007D59EF" w:rsidRPr="001C7577" w:rsidRDefault="007D59EF" w:rsidP="007D59EF">
      <w:pPr>
        <w:numPr>
          <w:ilvl w:val="0"/>
          <w:numId w:val="39"/>
        </w:numPr>
        <w:tabs>
          <w:tab w:val="clear" w:pos="567"/>
        </w:tabs>
        <w:autoSpaceDE w:val="0"/>
        <w:autoSpaceDN w:val="0"/>
        <w:adjustRightInd w:val="0"/>
        <w:spacing w:line="240" w:lineRule="auto"/>
        <w:rPr>
          <w:lang w:val="lt-LT"/>
        </w:rPr>
      </w:pPr>
      <w:r w:rsidRPr="001C7577">
        <w:rPr>
          <w:lang w:val="lt-LT"/>
        </w:rPr>
        <w:t>Įprastinė suaugusiųjų dozė yra po 400 mg/100 mg du kartus per parą, t.y. kas 12 valandų, kartu su kitais vaistais nuo ŽIV. Suaugusieji pacientai, kurie prieš tai nėra gav</w:t>
      </w:r>
      <w:r w:rsidRPr="00705EEC">
        <w:rPr>
          <w:lang w:val="lt-LT"/>
        </w:rPr>
        <w:t>ę</w:t>
      </w:r>
      <w:r w:rsidRPr="001C7577">
        <w:rPr>
          <w:lang w:val="lt-LT"/>
        </w:rPr>
        <w:t xml:space="preserve"> antiretrovirusinio gydymo gali vartoti 800/200mg dozę vieną kartą per parą. Gydytojas pasakys, kiek tablečių reikia gerti. Suaugusieji pacientai, kurie anksčiau jau buvo gydyti kitais antivirusiniais vaistais, gali vartoti Lopinavir/Ritonavir Ranbaxy 800mg/200mg tablečių dozę vieną kartą per parą, jei gydytojas mano, kad pacientui tai tinka.</w:t>
      </w:r>
    </w:p>
    <w:p w14:paraId="23EB19F8" w14:textId="77777777" w:rsidR="007D59EF" w:rsidRPr="001C7577" w:rsidRDefault="007D59EF" w:rsidP="007D59EF">
      <w:pPr>
        <w:numPr>
          <w:ilvl w:val="0"/>
          <w:numId w:val="39"/>
        </w:numPr>
        <w:tabs>
          <w:tab w:val="clear" w:pos="567"/>
        </w:tabs>
        <w:autoSpaceDE w:val="0"/>
        <w:autoSpaceDN w:val="0"/>
        <w:adjustRightInd w:val="0"/>
        <w:spacing w:line="240" w:lineRule="auto"/>
        <w:rPr>
          <w:lang w:val="lt-LT"/>
        </w:rPr>
      </w:pPr>
      <w:r w:rsidRPr="001C7577">
        <w:rPr>
          <w:lang w:val="lt-LT"/>
        </w:rPr>
        <w:t>Lopinavir/Ritonavir Ranbaxy negalima išgerti per vieną kartą per parą, jei kartu vartojami amprenaviras, efavirenzas, nevirapinas, nelfinaviras, karbamazepinas, fenobarbitalis ir fenitoinas.</w:t>
      </w:r>
    </w:p>
    <w:p w14:paraId="0D4FF220" w14:textId="77777777" w:rsidR="007D59EF" w:rsidRPr="001C7577" w:rsidRDefault="007D59EF" w:rsidP="007D59EF">
      <w:pPr>
        <w:numPr>
          <w:ilvl w:val="0"/>
          <w:numId w:val="39"/>
        </w:numPr>
        <w:tabs>
          <w:tab w:val="clear" w:pos="567"/>
        </w:tabs>
        <w:autoSpaceDE w:val="0"/>
        <w:autoSpaceDN w:val="0"/>
        <w:adjustRightInd w:val="0"/>
        <w:spacing w:line="240" w:lineRule="auto"/>
        <w:rPr>
          <w:lang w:val="lt-LT"/>
        </w:rPr>
      </w:pPr>
      <w:r w:rsidRPr="001C7577">
        <w:rPr>
          <w:lang w:val="lt-LT"/>
        </w:rPr>
        <w:t>Lopinavir/Ritonavir Ranbaxy tabletės gali būti vartojamos su maistu ar be jo.</w:t>
      </w:r>
    </w:p>
    <w:p w14:paraId="4F085D7C" w14:textId="77777777" w:rsidR="007D59EF" w:rsidRPr="001C7577" w:rsidRDefault="007D59EF" w:rsidP="007D59EF">
      <w:pPr>
        <w:autoSpaceDE w:val="0"/>
        <w:autoSpaceDN w:val="0"/>
        <w:adjustRightInd w:val="0"/>
        <w:spacing w:line="312" w:lineRule="exact"/>
        <w:rPr>
          <w:lang w:val="lt-LT"/>
        </w:rPr>
      </w:pPr>
    </w:p>
    <w:p w14:paraId="0EF7502A" w14:textId="77777777" w:rsidR="007D59EF" w:rsidRPr="001C7577" w:rsidRDefault="007D59EF" w:rsidP="007D59EF">
      <w:pPr>
        <w:autoSpaceDE w:val="0"/>
        <w:autoSpaceDN w:val="0"/>
        <w:adjustRightInd w:val="0"/>
        <w:spacing w:line="312" w:lineRule="exact"/>
        <w:rPr>
          <w:b/>
          <w:lang w:val="lt-LT"/>
        </w:rPr>
      </w:pPr>
      <w:r w:rsidRPr="001C7577">
        <w:rPr>
          <w:b/>
          <w:lang w:val="lt-LT"/>
        </w:rPr>
        <w:t>Vaikams:</w:t>
      </w:r>
    </w:p>
    <w:p w14:paraId="40CB273C" w14:textId="77777777" w:rsidR="007D59EF" w:rsidRPr="001C7577" w:rsidRDefault="007D59EF" w:rsidP="007D59EF">
      <w:pPr>
        <w:numPr>
          <w:ilvl w:val="0"/>
          <w:numId w:val="40"/>
        </w:numPr>
        <w:autoSpaceDE w:val="0"/>
        <w:autoSpaceDN w:val="0"/>
        <w:adjustRightInd w:val="0"/>
        <w:spacing w:line="312" w:lineRule="exact"/>
        <w:rPr>
          <w:b/>
          <w:lang w:val="lt-LT"/>
        </w:rPr>
      </w:pPr>
      <w:r w:rsidRPr="001C7577">
        <w:rPr>
          <w:lang w:val="lt-LT"/>
        </w:rPr>
        <w:lastRenderedPageBreak/>
        <w:t>Vaikams gydytojas parinks reikiamą dozę (kiek tablečių vartoti), atsižvelgdamas į jų ūgį</w:t>
      </w:r>
      <w:r w:rsidRPr="001C7577">
        <w:rPr>
          <w:b/>
          <w:lang w:val="lt-LT"/>
        </w:rPr>
        <w:t xml:space="preserve"> </w:t>
      </w:r>
      <w:r w:rsidRPr="001C7577">
        <w:rPr>
          <w:lang w:val="lt-LT"/>
        </w:rPr>
        <w:t>ir kūno masę.</w:t>
      </w:r>
    </w:p>
    <w:p w14:paraId="4CAD09AE" w14:textId="77777777" w:rsidR="007D59EF" w:rsidRPr="001C7577" w:rsidRDefault="007D59EF" w:rsidP="007D59EF">
      <w:pPr>
        <w:numPr>
          <w:ilvl w:val="0"/>
          <w:numId w:val="40"/>
        </w:numPr>
        <w:autoSpaceDE w:val="0"/>
        <w:autoSpaceDN w:val="0"/>
        <w:adjustRightInd w:val="0"/>
        <w:spacing w:line="312" w:lineRule="exact"/>
        <w:rPr>
          <w:b/>
          <w:lang w:val="lt-LT"/>
        </w:rPr>
      </w:pPr>
      <w:r w:rsidRPr="001C7577">
        <w:rPr>
          <w:lang w:val="lt-LT"/>
        </w:rPr>
        <w:t>Lopinavir/Ritonavir Ranbaxy tabletės gali būti vartojamos su maistu ar be jo.</w:t>
      </w:r>
      <w:r w:rsidRPr="001C7577">
        <w:rPr>
          <w:b/>
          <w:lang w:val="lt-LT"/>
        </w:rPr>
        <w:t xml:space="preserve"> </w:t>
      </w:r>
    </w:p>
    <w:p w14:paraId="25592CBB" w14:textId="77777777" w:rsidR="007D59EF" w:rsidRPr="001C7577" w:rsidRDefault="007D59EF" w:rsidP="007D59EF">
      <w:pPr>
        <w:autoSpaceDE w:val="0"/>
        <w:autoSpaceDN w:val="0"/>
        <w:adjustRightInd w:val="0"/>
        <w:spacing w:line="312" w:lineRule="exact"/>
        <w:rPr>
          <w:lang w:val="lt-LT"/>
        </w:rPr>
      </w:pPr>
    </w:p>
    <w:p w14:paraId="6915D793" w14:textId="77777777" w:rsidR="007D59EF" w:rsidRPr="001C7577" w:rsidRDefault="007D59EF" w:rsidP="007D59EF">
      <w:pPr>
        <w:autoSpaceDE w:val="0"/>
        <w:autoSpaceDN w:val="0"/>
        <w:adjustRightInd w:val="0"/>
        <w:spacing w:line="312" w:lineRule="exact"/>
        <w:rPr>
          <w:lang w:val="lt-LT"/>
        </w:rPr>
      </w:pPr>
      <w:r w:rsidRPr="001C7577">
        <w:rPr>
          <w:lang w:val="lt-LT"/>
        </w:rPr>
        <w:t>Pacientams, kurie negali</w:t>
      </w:r>
      <w:r w:rsidRPr="001C7577">
        <w:rPr>
          <w:b/>
          <w:lang w:val="lt-LT"/>
        </w:rPr>
        <w:t xml:space="preserve"> </w:t>
      </w:r>
      <w:r w:rsidRPr="001C7577">
        <w:rPr>
          <w:lang w:val="lt-LT"/>
        </w:rPr>
        <w:t>vartoti tablečių, Lopinavir/Ritonavir Ranbaxy tiekiamas kaip geriamasis tirpalas.</w:t>
      </w:r>
    </w:p>
    <w:p w14:paraId="05FC13D9" w14:textId="77777777" w:rsidR="007D59EF" w:rsidRPr="001C7577" w:rsidRDefault="007D59EF" w:rsidP="007D59EF">
      <w:pPr>
        <w:autoSpaceDE w:val="0"/>
        <w:autoSpaceDN w:val="0"/>
        <w:adjustRightInd w:val="0"/>
        <w:spacing w:line="312" w:lineRule="exact"/>
        <w:rPr>
          <w:lang w:val="lt-LT"/>
        </w:rPr>
      </w:pPr>
    </w:p>
    <w:p w14:paraId="32921F75" w14:textId="77777777" w:rsidR="007D59EF" w:rsidRPr="001C7577" w:rsidRDefault="007D59EF" w:rsidP="007D59EF">
      <w:pPr>
        <w:autoSpaceDE w:val="0"/>
        <w:autoSpaceDN w:val="0"/>
        <w:adjustRightInd w:val="0"/>
        <w:spacing w:line="312" w:lineRule="exact"/>
        <w:rPr>
          <w:b/>
          <w:lang w:val="lt-LT"/>
        </w:rPr>
      </w:pPr>
      <w:r w:rsidRPr="001C7577">
        <w:rPr>
          <w:b/>
          <w:lang w:val="lt-LT"/>
        </w:rPr>
        <w:t xml:space="preserve">Pavartojus per didelę </w:t>
      </w:r>
      <w:r w:rsidRPr="001C7577">
        <w:rPr>
          <w:b/>
          <w:bCs/>
          <w:lang w:val="lt-LT"/>
        </w:rPr>
        <w:t>Lopinavir/Ritonavir Ranbaxy</w:t>
      </w:r>
      <w:r w:rsidRPr="001C7577">
        <w:rPr>
          <w:b/>
          <w:lang w:val="lt-LT"/>
        </w:rPr>
        <w:t xml:space="preserve"> doze</w:t>
      </w:r>
    </w:p>
    <w:p w14:paraId="2ACDAB1D" w14:textId="77777777" w:rsidR="007D59EF" w:rsidRPr="001C7577" w:rsidRDefault="007D59EF" w:rsidP="007D59EF">
      <w:pPr>
        <w:numPr>
          <w:ilvl w:val="0"/>
          <w:numId w:val="41"/>
        </w:numPr>
        <w:autoSpaceDE w:val="0"/>
        <w:autoSpaceDN w:val="0"/>
        <w:adjustRightInd w:val="0"/>
        <w:spacing w:line="312" w:lineRule="exact"/>
        <w:rPr>
          <w:b/>
          <w:lang w:val="lt-LT"/>
        </w:rPr>
      </w:pPr>
      <w:r w:rsidRPr="001C7577">
        <w:rPr>
          <w:lang w:val="lt-LT"/>
        </w:rPr>
        <w:t>Pastebėję, kad išgėrėte daugiau Lopinavir/Ritonavir Ranbaxy negu reikia, iš karto kreipkitės į gydytoją.</w:t>
      </w:r>
    </w:p>
    <w:p w14:paraId="2F2A48AF" w14:textId="77777777" w:rsidR="007D59EF" w:rsidRPr="001C7577" w:rsidRDefault="007D59EF" w:rsidP="007D59EF">
      <w:pPr>
        <w:numPr>
          <w:ilvl w:val="0"/>
          <w:numId w:val="41"/>
        </w:numPr>
        <w:autoSpaceDE w:val="0"/>
        <w:autoSpaceDN w:val="0"/>
        <w:adjustRightInd w:val="0"/>
        <w:spacing w:line="312" w:lineRule="exact"/>
        <w:rPr>
          <w:b/>
          <w:lang w:val="lt-LT"/>
        </w:rPr>
      </w:pPr>
      <w:r w:rsidRPr="001C7577">
        <w:rPr>
          <w:lang w:val="lt-LT"/>
        </w:rPr>
        <w:t xml:space="preserve">Jei negalite susisiekti su gydytoju, kreipkitės į ligoninę. </w:t>
      </w:r>
    </w:p>
    <w:p w14:paraId="0433308D" w14:textId="77777777" w:rsidR="007D59EF" w:rsidRPr="001C7577" w:rsidRDefault="007D59EF" w:rsidP="007D59EF">
      <w:pPr>
        <w:autoSpaceDE w:val="0"/>
        <w:autoSpaceDN w:val="0"/>
        <w:adjustRightInd w:val="0"/>
        <w:spacing w:line="312" w:lineRule="exact"/>
        <w:rPr>
          <w:b/>
          <w:lang w:val="lt-LT"/>
        </w:rPr>
      </w:pPr>
    </w:p>
    <w:p w14:paraId="3ADA55EF" w14:textId="77777777" w:rsidR="007D59EF" w:rsidRPr="001C7577" w:rsidRDefault="007D59EF" w:rsidP="007D59EF">
      <w:pPr>
        <w:autoSpaceDE w:val="0"/>
        <w:autoSpaceDN w:val="0"/>
        <w:adjustRightInd w:val="0"/>
        <w:spacing w:line="312" w:lineRule="exact"/>
        <w:rPr>
          <w:b/>
          <w:lang w:val="lt-LT"/>
        </w:rPr>
      </w:pPr>
      <w:r w:rsidRPr="001C7577">
        <w:rPr>
          <w:b/>
          <w:lang w:val="lt-LT"/>
        </w:rPr>
        <w:t xml:space="preserve">Pamiršus pavartoti </w:t>
      </w:r>
      <w:r w:rsidRPr="001C7577">
        <w:rPr>
          <w:b/>
          <w:bCs/>
          <w:lang w:val="lt-LT"/>
        </w:rPr>
        <w:t>Lopinavir/Ritonavir Ranbaxy</w:t>
      </w:r>
    </w:p>
    <w:p w14:paraId="651F7AF4" w14:textId="77777777" w:rsidR="007D59EF" w:rsidRPr="001C7577" w:rsidRDefault="007D59EF" w:rsidP="007D59EF">
      <w:pPr>
        <w:numPr>
          <w:ilvl w:val="0"/>
          <w:numId w:val="42"/>
        </w:numPr>
        <w:autoSpaceDE w:val="0"/>
        <w:autoSpaceDN w:val="0"/>
        <w:adjustRightInd w:val="0"/>
        <w:spacing w:line="312" w:lineRule="exact"/>
        <w:rPr>
          <w:lang w:val="lt-LT"/>
        </w:rPr>
      </w:pPr>
      <w:r w:rsidRPr="001C7577">
        <w:rPr>
          <w:lang w:val="lt-LT"/>
        </w:rPr>
        <w:t>Jei pamiršote laiku pavartoti dozę, išgerkite ją kuo greičiau, paskui vartokite normalią dozę įprastine tvarka taip, kaip paskyrė gydytojas.</w:t>
      </w:r>
    </w:p>
    <w:p w14:paraId="03BCC746" w14:textId="77777777" w:rsidR="007D59EF" w:rsidRPr="001C7577" w:rsidRDefault="007D59EF" w:rsidP="007D59EF">
      <w:pPr>
        <w:numPr>
          <w:ilvl w:val="0"/>
          <w:numId w:val="42"/>
        </w:numPr>
        <w:autoSpaceDE w:val="0"/>
        <w:autoSpaceDN w:val="0"/>
        <w:adjustRightInd w:val="0"/>
        <w:spacing w:line="312" w:lineRule="exact"/>
        <w:rPr>
          <w:lang w:val="lt-LT"/>
        </w:rPr>
      </w:pPr>
      <w:r w:rsidRPr="001C7577">
        <w:rPr>
          <w:lang w:val="lt-LT"/>
        </w:rPr>
        <w:t>Negalima vartoti dvigubos dozės norint kompensuoti praleistą dozę.</w:t>
      </w:r>
    </w:p>
    <w:p w14:paraId="7C3579BB" w14:textId="77777777" w:rsidR="007D59EF" w:rsidRPr="001C7577" w:rsidRDefault="007D59EF" w:rsidP="007D59EF">
      <w:pPr>
        <w:autoSpaceDE w:val="0"/>
        <w:autoSpaceDN w:val="0"/>
        <w:adjustRightInd w:val="0"/>
        <w:spacing w:line="312" w:lineRule="exact"/>
        <w:rPr>
          <w:lang w:val="lt-LT"/>
        </w:rPr>
      </w:pPr>
    </w:p>
    <w:p w14:paraId="2A8BE8B5" w14:textId="77777777" w:rsidR="007D59EF" w:rsidRPr="001C7577" w:rsidRDefault="007D59EF" w:rsidP="007D59EF">
      <w:pPr>
        <w:autoSpaceDE w:val="0"/>
        <w:autoSpaceDN w:val="0"/>
        <w:adjustRightInd w:val="0"/>
        <w:spacing w:line="312" w:lineRule="exact"/>
        <w:rPr>
          <w:b/>
          <w:lang w:val="lt-LT"/>
        </w:rPr>
      </w:pPr>
      <w:r w:rsidRPr="001C7577">
        <w:rPr>
          <w:b/>
          <w:lang w:val="lt-LT"/>
        </w:rPr>
        <w:t>Nustojus vartoti Lopinavir/Ritonavir Ranbaxy</w:t>
      </w:r>
    </w:p>
    <w:p w14:paraId="546B1F46" w14:textId="77777777" w:rsidR="007D59EF" w:rsidRPr="001C7577" w:rsidRDefault="007D59EF" w:rsidP="007D59EF">
      <w:pPr>
        <w:numPr>
          <w:ilvl w:val="0"/>
          <w:numId w:val="43"/>
        </w:numPr>
        <w:autoSpaceDE w:val="0"/>
        <w:autoSpaceDN w:val="0"/>
        <w:adjustRightInd w:val="0"/>
        <w:spacing w:line="312" w:lineRule="exact"/>
        <w:rPr>
          <w:lang w:val="lt-LT"/>
        </w:rPr>
      </w:pPr>
      <w:r w:rsidRPr="001C7577">
        <w:rPr>
          <w:lang w:val="lt-LT"/>
        </w:rPr>
        <w:t>Nekeiskite Lopinavir/Ritonavir Ranbaxy paros dozės bei nenustokite vaisto vartoti prieš tai nepasitarę su gydytoju.</w:t>
      </w:r>
    </w:p>
    <w:p w14:paraId="2C9BB120" w14:textId="77777777" w:rsidR="007D59EF" w:rsidRPr="001C7577" w:rsidRDefault="007D59EF" w:rsidP="007D59EF">
      <w:pPr>
        <w:numPr>
          <w:ilvl w:val="0"/>
          <w:numId w:val="43"/>
        </w:numPr>
        <w:autoSpaceDE w:val="0"/>
        <w:autoSpaceDN w:val="0"/>
        <w:adjustRightInd w:val="0"/>
        <w:spacing w:line="312" w:lineRule="exact"/>
        <w:rPr>
          <w:lang w:val="lt-LT"/>
        </w:rPr>
      </w:pPr>
      <w:r w:rsidRPr="001C7577">
        <w:rPr>
          <w:lang w:val="lt-LT"/>
        </w:rPr>
        <w:t>Kad padėtų kovoti su ŽIV infekcija, Lopinavir/Ritonavir Ranbaxy reikia vartoti du kartus per parą kasdien, neatsižvelgiant į geresnę Jūsų savijautą.</w:t>
      </w:r>
    </w:p>
    <w:p w14:paraId="6BE6D34B" w14:textId="77777777" w:rsidR="007D59EF" w:rsidRPr="001C7577" w:rsidRDefault="007D59EF" w:rsidP="007D59EF">
      <w:pPr>
        <w:numPr>
          <w:ilvl w:val="0"/>
          <w:numId w:val="43"/>
        </w:numPr>
        <w:autoSpaceDE w:val="0"/>
        <w:autoSpaceDN w:val="0"/>
        <w:adjustRightInd w:val="0"/>
        <w:spacing w:line="312" w:lineRule="exact"/>
        <w:rPr>
          <w:lang w:val="lt-LT"/>
        </w:rPr>
      </w:pPr>
      <w:r w:rsidRPr="001C7577">
        <w:rPr>
          <w:lang w:val="lt-LT"/>
        </w:rPr>
        <w:t>Vartodami Lopinavir/Ritonavir Ranbaxy taip, kaip rekomenduojama, atitolinsite atsparumo vaistui išsivystymą.</w:t>
      </w:r>
    </w:p>
    <w:p w14:paraId="1144C6B4" w14:textId="77777777" w:rsidR="007D59EF" w:rsidRPr="001C7577" w:rsidRDefault="007D59EF" w:rsidP="007D59EF">
      <w:pPr>
        <w:numPr>
          <w:ilvl w:val="0"/>
          <w:numId w:val="43"/>
        </w:numPr>
        <w:autoSpaceDE w:val="0"/>
        <w:autoSpaceDN w:val="0"/>
        <w:adjustRightInd w:val="0"/>
        <w:spacing w:line="312" w:lineRule="exact"/>
        <w:rPr>
          <w:lang w:val="lt-LT"/>
        </w:rPr>
      </w:pPr>
      <w:r w:rsidRPr="001C7577">
        <w:rPr>
          <w:lang w:val="lt-LT"/>
        </w:rPr>
        <w:t>Jei dėl nepageidaujamo poveikio Lopinavir/Ritonavir Ranbaxy negalite vartoti taip, kaip nurodyta, nedelsdami kreipkitės į gydytoją.</w:t>
      </w:r>
    </w:p>
    <w:p w14:paraId="1687B4CB" w14:textId="77777777" w:rsidR="007D59EF" w:rsidRPr="001C7577" w:rsidRDefault="007D59EF" w:rsidP="007D59EF">
      <w:pPr>
        <w:numPr>
          <w:ilvl w:val="0"/>
          <w:numId w:val="43"/>
        </w:numPr>
        <w:autoSpaceDE w:val="0"/>
        <w:autoSpaceDN w:val="0"/>
        <w:adjustRightInd w:val="0"/>
        <w:spacing w:line="312" w:lineRule="exact"/>
        <w:rPr>
          <w:lang w:val="lt-LT"/>
        </w:rPr>
      </w:pPr>
      <w:r w:rsidRPr="001C7577">
        <w:rPr>
          <w:lang w:val="lt-LT"/>
        </w:rPr>
        <w:t>Visada turėkite pakankamai Lopinavir/Ritonavir Ranbaxy, kad šis nepasibaigtų. Jeigu keliaujate ar gydotės ligoninėje, įsistikinkite, kad Jums pakaks Lopinavir/Ritonavir Ranbaxy, kol vėl galėsite jo įsigyti.</w:t>
      </w:r>
    </w:p>
    <w:p w14:paraId="6F2F9B92" w14:textId="77777777" w:rsidR="007D59EF" w:rsidRPr="001C7577" w:rsidRDefault="007D59EF" w:rsidP="007D59EF">
      <w:pPr>
        <w:numPr>
          <w:ilvl w:val="0"/>
          <w:numId w:val="43"/>
        </w:numPr>
        <w:autoSpaceDE w:val="0"/>
        <w:autoSpaceDN w:val="0"/>
        <w:adjustRightInd w:val="0"/>
        <w:spacing w:line="312" w:lineRule="exact"/>
        <w:rPr>
          <w:lang w:val="lt-LT"/>
        </w:rPr>
      </w:pPr>
      <w:r w:rsidRPr="001C7577">
        <w:rPr>
          <w:lang w:val="lt-LT"/>
        </w:rPr>
        <w:t>Šį vaistą vartokite tol, kol gydytojas nenurodys kitaip.</w:t>
      </w:r>
    </w:p>
    <w:p w14:paraId="1070295A" w14:textId="77777777" w:rsidR="007D59EF" w:rsidRPr="00705EEC" w:rsidRDefault="007D59EF" w:rsidP="007D59EF">
      <w:pPr>
        <w:numPr>
          <w:ilvl w:val="12"/>
          <w:numId w:val="0"/>
        </w:numPr>
        <w:tabs>
          <w:tab w:val="clear" w:pos="567"/>
        </w:tabs>
        <w:spacing w:line="240" w:lineRule="auto"/>
        <w:rPr>
          <w:szCs w:val="24"/>
          <w:lang w:val="lt-LT"/>
        </w:rPr>
      </w:pPr>
    </w:p>
    <w:p w14:paraId="39EF182B" w14:textId="77777777" w:rsidR="007D59EF" w:rsidRPr="00705EEC" w:rsidRDefault="007D59EF" w:rsidP="007D59EF">
      <w:pPr>
        <w:numPr>
          <w:ilvl w:val="12"/>
          <w:numId w:val="0"/>
        </w:numPr>
        <w:tabs>
          <w:tab w:val="clear" w:pos="567"/>
        </w:tabs>
        <w:spacing w:line="240" w:lineRule="auto"/>
        <w:rPr>
          <w:szCs w:val="24"/>
          <w:lang w:val="lt-LT"/>
        </w:rPr>
      </w:pPr>
    </w:p>
    <w:p w14:paraId="247F057C"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4.</w:t>
      </w:r>
      <w:r w:rsidRPr="00705EEC">
        <w:rPr>
          <w:rFonts w:ascii="Times New Roman" w:hAnsi="Times New Roman"/>
          <w:sz w:val="22"/>
          <w:lang w:val="lt-LT"/>
        </w:rPr>
        <w:tab/>
        <w:t>Galimas šalutinis poveikis</w:t>
      </w:r>
    </w:p>
    <w:p w14:paraId="3802340C" w14:textId="77777777" w:rsidR="007D59EF" w:rsidRPr="00705EEC" w:rsidRDefault="007D59EF" w:rsidP="007D59EF">
      <w:pPr>
        <w:numPr>
          <w:ilvl w:val="12"/>
          <w:numId w:val="0"/>
        </w:numPr>
        <w:tabs>
          <w:tab w:val="clear" w:pos="567"/>
        </w:tabs>
        <w:spacing w:line="240" w:lineRule="auto"/>
        <w:rPr>
          <w:szCs w:val="24"/>
          <w:lang w:val="lt-LT"/>
        </w:rPr>
      </w:pPr>
    </w:p>
    <w:p w14:paraId="47938D92" w14:textId="77777777" w:rsidR="007D59EF" w:rsidRPr="00705EEC" w:rsidRDefault="007D59EF" w:rsidP="007D59EF">
      <w:pPr>
        <w:autoSpaceDE w:val="0"/>
        <w:autoSpaceDN w:val="0"/>
        <w:adjustRightInd w:val="0"/>
        <w:spacing w:line="312" w:lineRule="exact"/>
        <w:rPr>
          <w:lang w:val="lt-LT"/>
        </w:rPr>
      </w:pPr>
      <w:r w:rsidRPr="00705EEC">
        <w:rPr>
          <w:lang w:val="lt-LT"/>
        </w:rPr>
        <w:t>Lopinavir/Ritonavir Ranbaxy, kaip ir kiti vaistai, gali sukelti šalutinį poveikį, nors jis pasireiškia ne visiems žmonėms. Gali būti sunku atskirti šalutinį Lopinavir/Ritonavir Ranbaxy sukeltą poveikį nuo poveikio, galinčio atsirasti dėl kitų kartu vartojamų vaistų ar dėl pačios ŽIV infekcijos komplikacijų. Svarbu gydytojui pasakyti apie bet kokį Jūsų sveikatos pokytį. Jei simptomai išlieka ilgai ar sunkėja, kreipkitės medicininės pagalbos.</w:t>
      </w:r>
    </w:p>
    <w:p w14:paraId="02AAF262" w14:textId="77777777" w:rsidR="007D59EF" w:rsidRPr="00705EEC" w:rsidRDefault="007D59EF" w:rsidP="007D59EF">
      <w:pPr>
        <w:autoSpaceDE w:val="0"/>
        <w:autoSpaceDN w:val="0"/>
        <w:adjustRightInd w:val="0"/>
        <w:spacing w:line="312" w:lineRule="exact"/>
        <w:rPr>
          <w:lang w:val="lt-LT"/>
        </w:rPr>
      </w:pPr>
    </w:p>
    <w:p w14:paraId="732152FE" w14:textId="77777777" w:rsidR="007D59EF" w:rsidRPr="001C7577" w:rsidRDefault="007D59EF" w:rsidP="007D59EF">
      <w:pPr>
        <w:autoSpaceDE w:val="0"/>
        <w:autoSpaceDN w:val="0"/>
        <w:adjustRightInd w:val="0"/>
        <w:spacing w:line="312" w:lineRule="exact"/>
        <w:rPr>
          <w:lang w:val="lt-LT"/>
        </w:rPr>
      </w:pPr>
      <w:r w:rsidRPr="001C7577">
        <w:rPr>
          <w:b/>
          <w:u w:val="single"/>
          <w:lang w:val="lt-LT"/>
        </w:rPr>
        <w:t>LABAI DAŽNI</w:t>
      </w:r>
      <w:r w:rsidRPr="001C7577">
        <w:rPr>
          <w:lang w:val="lt-LT"/>
        </w:rPr>
        <w:t xml:space="preserve"> šalutiniai poveikiai (pasireiškia daugiau nei 1 iš 10 pacientų):</w:t>
      </w:r>
    </w:p>
    <w:p w14:paraId="6079DFB9" w14:textId="77777777" w:rsidR="007D59EF" w:rsidRPr="001C7577" w:rsidRDefault="007D59EF" w:rsidP="007D59EF">
      <w:pPr>
        <w:numPr>
          <w:ilvl w:val="0"/>
          <w:numId w:val="44"/>
        </w:numPr>
        <w:autoSpaceDE w:val="0"/>
        <w:autoSpaceDN w:val="0"/>
        <w:adjustRightInd w:val="0"/>
        <w:spacing w:line="312" w:lineRule="exact"/>
        <w:rPr>
          <w:lang w:val="lt-LT"/>
        </w:rPr>
      </w:pPr>
      <w:r w:rsidRPr="001C7577">
        <w:rPr>
          <w:lang w:val="lt-LT"/>
        </w:rPr>
        <w:t>Viduriavimas;</w:t>
      </w:r>
    </w:p>
    <w:p w14:paraId="3E8899F1" w14:textId="77777777" w:rsidR="007D59EF" w:rsidRPr="001C7577" w:rsidRDefault="007D59EF" w:rsidP="007D59EF">
      <w:pPr>
        <w:numPr>
          <w:ilvl w:val="0"/>
          <w:numId w:val="44"/>
        </w:numPr>
        <w:autoSpaceDE w:val="0"/>
        <w:autoSpaceDN w:val="0"/>
        <w:adjustRightInd w:val="0"/>
        <w:spacing w:line="312" w:lineRule="exact"/>
        <w:rPr>
          <w:lang w:val="lt-LT"/>
        </w:rPr>
      </w:pPr>
      <w:r w:rsidRPr="001C7577">
        <w:rPr>
          <w:lang w:val="lt-LT"/>
        </w:rPr>
        <w:t>Pykinimas;</w:t>
      </w:r>
    </w:p>
    <w:p w14:paraId="1986954F" w14:textId="77777777" w:rsidR="007D59EF" w:rsidRPr="001C7577" w:rsidRDefault="007D59EF" w:rsidP="007D59EF">
      <w:pPr>
        <w:numPr>
          <w:ilvl w:val="0"/>
          <w:numId w:val="44"/>
        </w:numPr>
        <w:autoSpaceDE w:val="0"/>
        <w:autoSpaceDN w:val="0"/>
        <w:adjustRightInd w:val="0"/>
        <w:spacing w:line="312" w:lineRule="exact"/>
        <w:rPr>
          <w:lang w:val="lt-LT"/>
        </w:rPr>
      </w:pPr>
      <w:r w:rsidRPr="001C7577">
        <w:rPr>
          <w:lang w:val="lt-LT"/>
        </w:rPr>
        <w:lastRenderedPageBreak/>
        <w:t>Viršutinių kvėpavimo takų infekcija.</w:t>
      </w:r>
    </w:p>
    <w:p w14:paraId="5B1ABA9C" w14:textId="77777777" w:rsidR="007D59EF" w:rsidRPr="001C7577" w:rsidRDefault="007D59EF" w:rsidP="007D59EF">
      <w:pPr>
        <w:autoSpaceDE w:val="0"/>
        <w:autoSpaceDN w:val="0"/>
        <w:adjustRightInd w:val="0"/>
        <w:spacing w:line="312" w:lineRule="exact"/>
        <w:rPr>
          <w:lang w:val="lt-LT"/>
        </w:rPr>
      </w:pPr>
    </w:p>
    <w:p w14:paraId="2B75D461" w14:textId="77777777" w:rsidR="007D59EF" w:rsidRPr="001C7577" w:rsidRDefault="007D59EF" w:rsidP="007D59EF">
      <w:pPr>
        <w:autoSpaceDE w:val="0"/>
        <w:autoSpaceDN w:val="0"/>
        <w:adjustRightInd w:val="0"/>
        <w:spacing w:line="312" w:lineRule="exact"/>
        <w:rPr>
          <w:lang w:val="lt-LT"/>
        </w:rPr>
      </w:pPr>
      <w:r w:rsidRPr="001C7577">
        <w:rPr>
          <w:b/>
          <w:u w:val="single"/>
          <w:lang w:val="lt-LT"/>
        </w:rPr>
        <w:t>DAŽNI</w:t>
      </w:r>
      <w:r w:rsidRPr="001C7577">
        <w:rPr>
          <w:lang w:val="lt-LT"/>
        </w:rPr>
        <w:t xml:space="preserve"> šalutiniai poveikiai (pasireiškia 1-10 iš 100 pacientų):</w:t>
      </w:r>
    </w:p>
    <w:p w14:paraId="626161AE"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Kasos uždegimas;</w:t>
      </w:r>
    </w:p>
    <w:p w14:paraId="4CED4540"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Vėmimas, pilvo padidėjimas, pilvo viršutinės ir apatinės dalies skausmas, pilvo pūtimas, nevirškinimas, sumažėjęs apetitas, refliuksas iš skrandžio į stemplę, dėl ko gali būti jaučiamas skausmas;</w:t>
      </w:r>
    </w:p>
    <w:p w14:paraId="45867773"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Skrandžio, plonųjų ir storųjų žarnų tinimas ar uždegimas;</w:t>
      </w:r>
    </w:p>
    <w:p w14:paraId="52A15064"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Cholesterolio kiekio padidėjimas kraujyje, trigliceridų (tam tikra riebalų forma) kiekio padidėjimas kraujyje, aukštas kraujo spaudimas;</w:t>
      </w:r>
    </w:p>
    <w:p w14:paraId="1195EF76"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Sumažėjęs organizmo gebėjimas reguliuoti gliukozės kiekį, tai apima ir diabetą, svorio kritimas;</w:t>
      </w:r>
    </w:p>
    <w:p w14:paraId="40104142"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Mažas raudonųjų kraujo kūnelių skaičius, mažas baltų kraujo kūnelių, kurie paprastai kovoja su infekcija, skaičius;</w:t>
      </w:r>
    </w:p>
    <w:p w14:paraId="4AA44E14"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Bėrimas, egzema, riebios, nešvarios odos pleiskanos;</w:t>
      </w:r>
    </w:p>
    <w:p w14:paraId="1C542B96"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Svaigimas, nerimas, sunkumai miegant;</w:t>
      </w:r>
    </w:p>
    <w:p w14:paraId="6418D68F"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Nuovargis, jėgų ir energijos trūkumas, galvos skausmas, įskaitant migreną;</w:t>
      </w:r>
    </w:p>
    <w:p w14:paraId="27EC0737"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Hemorojus;</w:t>
      </w:r>
    </w:p>
    <w:p w14:paraId="24DD8599"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Kepenų uždegimas, įskaitant ir kepenų fermentų aktyvumo padidėjimą;</w:t>
      </w:r>
    </w:p>
    <w:p w14:paraId="615B1665"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Alerginės reakcijos, įskaitant dilgėlinę ir burnos ertmės uždegimą;</w:t>
      </w:r>
    </w:p>
    <w:p w14:paraId="7E771C65"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Kūno ar veido formų pokyčiai dėl riebalų pasiskirstymo;</w:t>
      </w:r>
    </w:p>
    <w:p w14:paraId="3A894AA0"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Apatinių kvėpavimo takų infekcijos;</w:t>
      </w:r>
    </w:p>
    <w:p w14:paraId="4000A03C"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Limfmazgių padidėjimas;</w:t>
      </w:r>
    </w:p>
    <w:p w14:paraId="730FFBE7"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Impotencija, nenormaliai stiprus ar užsitęsęs menstruacinis kraujavimas ar menstruacijų sutrikimas;</w:t>
      </w:r>
    </w:p>
    <w:p w14:paraId="473FD284"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Raumenų sutrikimai, tokie kaip silpnumas ir spazmai, sąnarių, raumenų ir nugaros skausmai;</w:t>
      </w:r>
    </w:p>
    <w:p w14:paraId="767BE6B2"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Periferinės nervų sistemos nervų pažeidimas;</w:t>
      </w:r>
    </w:p>
    <w:p w14:paraId="0A4E2537" w14:textId="77777777" w:rsidR="007D59EF" w:rsidRPr="001C7577" w:rsidRDefault="007D59EF" w:rsidP="007D59EF">
      <w:pPr>
        <w:numPr>
          <w:ilvl w:val="0"/>
          <w:numId w:val="45"/>
        </w:numPr>
        <w:autoSpaceDE w:val="0"/>
        <w:autoSpaceDN w:val="0"/>
        <w:adjustRightInd w:val="0"/>
        <w:spacing w:line="312" w:lineRule="exact"/>
        <w:rPr>
          <w:lang w:val="lt-LT"/>
        </w:rPr>
      </w:pPr>
      <w:r w:rsidRPr="001C7577">
        <w:rPr>
          <w:lang w:val="lt-LT"/>
        </w:rPr>
        <w:t>Naktinis prakaitavimas, niežėjimas, bėrimas, įskaitant atsirandančius guzus odoje, odos ar plaukų porų uždegimas, skysčių susikaupimas ląstelėse ir audiniuose.</w:t>
      </w:r>
    </w:p>
    <w:p w14:paraId="72F66DB1" w14:textId="77777777" w:rsidR="007D59EF" w:rsidRPr="001C7577" w:rsidRDefault="007D59EF" w:rsidP="007D59EF">
      <w:pPr>
        <w:autoSpaceDE w:val="0"/>
        <w:autoSpaceDN w:val="0"/>
        <w:adjustRightInd w:val="0"/>
        <w:spacing w:line="312" w:lineRule="exact"/>
        <w:rPr>
          <w:lang w:val="lt-LT"/>
        </w:rPr>
      </w:pPr>
    </w:p>
    <w:p w14:paraId="72DB20C6" w14:textId="77777777" w:rsidR="007D59EF" w:rsidRPr="001C7577" w:rsidRDefault="007D59EF" w:rsidP="007D59EF">
      <w:pPr>
        <w:autoSpaceDE w:val="0"/>
        <w:autoSpaceDN w:val="0"/>
        <w:adjustRightInd w:val="0"/>
        <w:spacing w:line="312" w:lineRule="exact"/>
        <w:rPr>
          <w:b/>
          <w:lang w:val="lt-LT"/>
        </w:rPr>
      </w:pPr>
      <w:r w:rsidRPr="001C7577">
        <w:rPr>
          <w:b/>
          <w:lang w:val="lt-LT"/>
        </w:rPr>
        <w:t>Daugiau informacijos apie pykinimą, vėmimą ar pilvo skausmą</w:t>
      </w:r>
    </w:p>
    <w:p w14:paraId="5B854756" w14:textId="77777777" w:rsidR="007D59EF" w:rsidRPr="001C7577" w:rsidRDefault="007D59EF" w:rsidP="007D59EF">
      <w:pPr>
        <w:autoSpaceDE w:val="0"/>
        <w:autoSpaceDN w:val="0"/>
        <w:adjustRightInd w:val="0"/>
        <w:spacing w:line="312" w:lineRule="exact"/>
        <w:rPr>
          <w:lang w:val="lt-LT"/>
        </w:rPr>
      </w:pPr>
      <w:r w:rsidRPr="001C7577">
        <w:rPr>
          <w:lang w:val="lt-LT"/>
        </w:rPr>
        <w:t>Pasakykite gydytojui, jei pasireiškė pykinimas, vėmimas ar pilvo skausmas, nes tai gali būti pankreatito (kasos uždegimo) požymiai.</w:t>
      </w:r>
    </w:p>
    <w:p w14:paraId="230E8E61" w14:textId="77777777" w:rsidR="007D59EF" w:rsidRPr="001C7577" w:rsidRDefault="007D59EF" w:rsidP="007D59EF">
      <w:pPr>
        <w:autoSpaceDE w:val="0"/>
        <w:autoSpaceDN w:val="0"/>
        <w:adjustRightInd w:val="0"/>
        <w:spacing w:line="312" w:lineRule="exact"/>
        <w:rPr>
          <w:lang w:val="lt-LT"/>
        </w:rPr>
      </w:pPr>
    </w:p>
    <w:p w14:paraId="0078D471" w14:textId="77777777" w:rsidR="007D59EF" w:rsidRPr="001C7577" w:rsidRDefault="007D59EF" w:rsidP="007D59EF">
      <w:pPr>
        <w:autoSpaceDE w:val="0"/>
        <w:autoSpaceDN w:val="0"/>
        <w:adjustRightInd w:val="0"/>
        <w:spacing w:line="312" w:lineRule="exact"/>
        <w:rPr>
          <w:b/>
          <w:lang w:val="lt-LT"/>
        </w:rPr>
      </w:pPr>
      <w:r w:rsidRPr="001C7577">
        <w:rPr>
          <w:b/>
          <w:lang w:val="lt-LT"/>
        </w:rPr>
        <w:t>Daugiau informacijos apie padidėjusią cholesterolio ir trigliceridų koncentraciją</w:t>
      </w:r>
    </w:p>
    <w:p w14:paraId="367AA52E" w14:textId="77777777" w:rsidR="007D59EF" w:rsidRPr="001C7577" w:rsidRDefault="007D59EF" w:rsidP="007D59EF">
      <w:pPr>
        <w:numPr>
          <w:ilvl w:val="0"/>
          <w:numId w:val="46"/>
        </w:numPr>
        <w:autoSpaceDE w:val="0"/>
        <w:autoSpaceDN w:val="0"/>
        <w:adjustRightInd w:val="0"/>
        <w:spacing w:line="312" w:lineRule="exact"/>
        <w:rPr>
          <w:lang w:val="lt-LT"/>
        </w:rPr>
      </w:pPr>
      <w:r w:rsidRPr="001C7577">
        <w:rPr>
          <w:lang w:val="lt-LT"/>
        </w:rPr>
        <w:t>Dar nežinoma ilgalaikė komplikacijų, pvz., miokardo infarkto ar insulto dėl padidėjusio trigliceridų ir cholesterolio kiekio, rizika.</w:t>
      </w:r>
    </w:p>
    <w:p w14:paraId="1A1F9D0C" w14:textId="77777777" w:rsidR="007D59EF" w:rsidRPr="001C7577" w:rsidRDefault="007D59EF" w:rsidP="007D59EF">
      <w:pPr>
        <w:numPr>
          <w:ilvl w:val="0"/>
          <w:numId w:val="46"/>
        </w:numPr>
        <w:autoSpaceDE w:val="0"/>
        <w:autoSpaceDN w:val="0"/>
        <w:adjustRightInd w:val="0"/>
        <w:spacing w:line="312" w:lineRule="exact"/>
        <w:rPr>
          <w:lang w:val="lt-LT"/>
        </w:rPr>
      </w:pPr>
      <w:r w:rsidRPr="001C7577">
        <w:rPr>
          <w:lang w:val="lt-LT"/>
        </w:rPr>
        <w:t>Gydytojas Jus stebės ir prireikus paskirs kitų vaistų.</w:t>
      </w:r>
    </w:p>
    <w:p w14:paraId="49D8914D" w14:textId="77777777" w:rsidR="007D59EF" w:rsidRPr="001C7577" w:rsidRDefault="007D59EF" w:rsidP="007D59EF">
      <w:pPr>
        <w:numPr>
          <w:ilvl w:val="0"/>
          <w:numId w:val="46"/>
        </w:numPr>
        <w:autoSpaceDE w:val="0"/>
        <w:autoSpaceDN w:val="0"/>
        <w:adjustRightInd w:val="0"/>
        <w:spacing w:line="312" w:lineRule="exact"/>
        <w:rPr>
          <w:lang w:val="lt-LT"/>
        </w:rPr>
      </w:pPr>
      <w:r w:rsidRPr="001C7577">
        <w:rPr>
          <w:lang w:val="lt-LT"/>
        </w:rPr>
        <w:t>Ryškiai padidėjęs trigliceridų (riebalų kraujyje) kiekis yra pankreatito (kasos uždegimo) rizikos veiksnys.</w:t>
      </w:r>
    </w:p>
    <w:p w14:paraId="144B1CCE" w14:textId="77777777" w:rsidR="007D59EF" w:rsidRPr="001C7577" w:rsidRDefault="007D59EF" w:rsidP="007D59EF">
      <w:pPr>
        <w:autoSpaceDE w:val="0"/>
        <w:autoSpaceDN w:val="0"/>
        <w:adjustRightInd w:val="0"/>
        <w:spacing w:line="312" w:lineRule="exact"/>
        <w:ind w:left="720"/>
        <w:rPr>
          <w:b/>
          <w:lang w:val="lt-LT"/>
        </w:rPr>
      </w:pPr>
    </w:p>
    <w:p w14:paraId="209CB88B" w14:textId="77777777" w:rsidR="007D59EF" w:rsidRPr="001C7577" w:rsidRDefault="007D59EF" w:rsidP="007D59EF">
      <w:pPr>
        <w:autoSpaceDE w:val="0"/>
        <w:autoSpaceDN w:val="0"/>
        <w:adjustRightInd w:val="0"/>
        <w:spacing w:line="312" w:lineRule="exact"/>
        <w:rPr>
          <w:b/>
          <w:lang w:val="lt-LT"/>
        </w:rPr>
      </w:pPr>
      <w:r w:rsidRPr="001C7577">
        <w:rPr>
          <w:b/>
          <w:lang w:val="lt-LT"/>
        </w:rPr>
        <w:lastRenderedPageBreak/>
        <w:t>Pakitusi kūno forma dėl riebalinio audinio persiskirstymo</w:t>
      </w:r>
    </w:p>
    <w:p w14:paraId="37607EB1" w14:textId="77777777" w:rsidR="007D59EF" w:rsidRPr="001C7577" w:rsidRDefault="007D59EF" w:rsidP="007D59EF">
      <w:pPr>
        <w:autoSpaceDE w:val="0"/>
        <w:autoSpaceDN w:val="0"/>
        <w:adjustRightInd w:val="0"/>
        <w:spacing w:line="312" w:lineRule="exact"/>
        <w:rPr>
          <w:lang w:val="lt-LT"/>
        </w:rPr>
      </w:pPr>
      <w:r w:rsidRPr="001C7577">
        <w:rPr>
          <w:lang w:val="lt-LT"/>
        </w:rPr>
        <w:t xml:space="preserve">Vartojant sudėtinį antiretrovirusinį gydymą, kurio sudėtyje gali būti Lopinavir/Ritonavir Ranbaxy, gali pasikeisti kūno forma dėl riebalų persiskirstymo. Gali sumažėti kojų, rankų ir veido riebalų, padidėti –pilvo ir kitų vidaus organų riebalų, gali padidėti krūtinė ir atsirasti riebalinių sankaupų ant nugarinės kaklo dalies (“buivolo sprandas”). Šių pakitimų priežastis ir ilgalaikis poveikis sveikatai šiuo metu nėra žinomi. </w:t>
      </w:r>
    </w:p>
    <w:p w14:paraId="0BE9301C" w14:textId="77777777" w:rsidR="007D59EF" w:rsidRPr="001C7577" w:rsidRDefault="007D59EF" w:rsidP="007D59EF">
      <w:pPr>
        <w:autoSpaceDE w:val="0"/>
        <w:autoSpaceDN w:val="0"/>
        <w:adjustRightInd w:val="0"/>
        <w:spacing w:line="312" w:lineRule="exact"/>
        <w:rPr>
          <w:lang w:val="lt-LT"/>
        </w:rPr>
      </w:pPr>
    </w:p>
    <w:p w14:paraId="0BE7538E" w14:textId="77777777" w:rsidR="007D59EF" w:rsidRPr="001C7577" w:rsidRDefault="007D59EF" w:rsidP="007D59EF">
      <w:pPr>
        <w:autoSpaceDE w:val="0"/>
        <w:autoSpaceDN w:val="0"/>
        <w:adjustRightInd w:val="0"/>
        <w:spacing w:line="312" w:lineRule="exact"/>
        <w:rPr>
          <w:lang w:val="lt-LT"/>
        </w:rPr>
      </w:pPr>
      <w:r w:rsidRPr="001C7577">
        <w:rPr>
          <w:lang w:val="lt-LT"/>
        </w:rPr>
        <w:t>Pasakykite gydytojui, jei pastebėjote, kad pasikeitė kūno forma dėl riebalų persiskirstymo.</w:t>
      </w:r>
    </w:p>
    <w:p w14:paraId="447D1699" w14:textId="77777777" w:rsidR="007D59EF" w:rsidRPr="001C7577" w:rsidRDefault="007D59EF" w:rsidP="007D59EF">
      <w:pPr>
        <w:autoSpaceDE w:val="0"/>
        <w:autoSpaceDN w:val="0"/>
        <w:adjustRightInd w:val="0"/>
        <w:spacing w:line="312" w:lineRule="exact"/>
        <w:rPr>
          <w:lang w:val="lt-LT"/>
        </w:rPr>
      </w:pPr>
    </w:p>
    <w:p w14:paraId="0DD8C546" w14:textId="77777777" w:rsidR="007D59EF" w:rsidRPr="001C7577" w:rsidRDefault="007D59EF" w:rsidP="007D59EF">
      <w:pPr>
        <w:autoSpaceDE w:val="0"/>
        <w:autoSpaceDN w:val="0"/>
        <w:adjustRightInd w:val="0"/>
        <w:spacing w:line="312" w:lineRule="exact"/>
        <w:rPr>
          <w:lang w:val="lt-LT"/>
        </w:rPr>
      </w:pPr>
      <w:r w:rsidRPr="001C7577">
        <w:rPr>
          <w:b/>
          <w:u w:val="single"/>
          <w:lang w:val="lt-LT"/>
        </w:rPr>
        <w:t xml:space="preserve">NEDAŽNI </w:t>
      </w:r>
      <w:r w:rsidRPr="001C7577">
        <w:rPr>
          <w:lang w:val="lt-LT"/>
        </w:rPr>
        <w:t>šalutiniai poveikiai (pasireiškia 1-10 iš 1000 pacientų):</w:t>
      </w:r>
    </w:p>
    <w:p w14:paraId="5014D22A"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Nenormalūs sapnai;</w:t>
      </w:r>
    </w:p>
    <w:p w14:paraId="49CF76E4"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Skonio jausmo praradimas ar sutrikimas;</w:t>
      </w:r>
    </w:p>
    <w:p w14:paraId="3710D64E"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Plaukų slinkimas;</w:t>
      </w:r>
    </w:p>
    <w:p w14:paraId="1BFA4122"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Pokyčiai elektrokardiogramoje, vadinami atrioventrikuline blokada;</w:t>
      </w:r>
    </w:p>
    <w:p w14:paraId="6AA1842D"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Plokštelių susidarymas Jūsų arterijose, dėl kurių Jus gali ištikti širdies smūgis ar insultas;</w:t>
      </w:r>
    </w:p>
    <w:p w14:paraId="51588F7C"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Kraujagyslių ir kapiliarų uždegimas;</w:t>
      </w:r>
    </w:p>
    <w:p w14:paraId="4D85596B"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Tulžies pūslės latakų uždegimas;</w:t>
      </w:r>
    </w:p>
    <w:p w14:paraId="0FC441C1"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Nekontroliuojamas kūno drebulys;</w:t>
      </w:r>
    </w:p>
    <w:p w14:paraId="771B4175"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Vidurių užkietėjimas;</w:t>
      </w:r>
    </w:p>
    <w:p w14:paraId="6BAB161E"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Giliųjų venų uždegimas dėl kraujo krešulio;</w:t>
      </w:r>
    </w:p>
    <w:p w14:paraId="1D7C7D67"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Burnos sausmė;</w:t>
      </w:r>
    </w:p>
    <w:p w14:paraId="4BE39FAD"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Negebėjimas valingai kontroliuoti žarnyno;</w:t>
      </w:r>
    </w:p>
    <w:p w14:paraId="76717FB8"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Plonojo žarnyno dalies esančios prie skrandžio uždegimas, žaizdos ar opos virškinamajame trakte, kraujavimas iš žarnyno ir tiesiosios žarnos;</w:t>
      </w:r>
    </w:p>
    <w:p w14:paraId="7B3DA7CE"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Eritrocitai šlapime;</w:t>
      </w:r>
    </w:p>
    <w:p w14:paraId="075B94AF"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Riebalų sankaupos kepenyse, kepenų padidėjimas;</w:t>
      </w:r>
    </w:p>
    <w:p w14:paraId="5F63A104"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Sėklidžių veiklos sutrikimas;</w:t>
      </w:r>
    </w:p>
    <w:p w14:paraId="0C24ED13"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Simptomų, susijusių su infekcijų suaktyvėjimu, paūmėjimas (imuninis atkūrimas);</w:t>
      </w:r>
    </w:p>
    <w:p w14:paraId="7FA7A47A"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Apetito padidėjimas;</w:t>
      </w:r>
    </w:p>
    <w:p w14:paraId="5D5DCD76"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Nenormaliai dideli bilirubino kiekiai (pigmento, kuris susidaro irstant eritrocitams) kraujyje;</w:t>
      </w:r>
    </w:p>
    <w:p w14:paraId="72A00C58"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Lytinio potraukio sumažėjimas;</w:t>
      </w:r>
    </w:p>
    <w:p w14:paraId="01067C11"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Inkstų uždegimas;</w:t>
      </w:r>
    </w:p>
    <w:p w14:paraId="70D24175"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Kaulų apmirimas dėl sutrikusios kraujotakos;</w:t>
      </w:r>
    </w:p>
    <w:p w14:paraId="4D2628EE"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Burnos ertmės žaizdos ar opos, skrandžio ir žarnyno uždegimas;</w:t>
      </w:r>
    </w:p>
    <w:p w14:paraId="4BFD0867"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Inkstų nepakankamumas;</w:t>
      </w:r>
    </w:p>
    <w:p w14:paraId="45383E5F"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Raumenų audinio yrimas sąlygojantis raumenų skaidulų sudedamosios dalies (mioglobino) patekimą į kraują;</w:t>
      </w:r>
    </w:p>
    <w:p w14:paraId="19BD8C05"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Garsai vienoje ar abiejose ausyse, tokie kaip zvimbimas, skambesys ar švilpimas;</w:t>
      </w:r>
    </w:p>
    <w:p w14:paraId="17B15690"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lastRenderedPageBreak/>
        <w:t>Tremoras;</w:t>
      </w:r>
    </w:p>
    <w:p w14:paraId="09529561"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Nenormalus vieno iš vožtuvų užsidarymas (širdies triburio vožtuvo);</w:t>
      </w:r>
    </w:p>
    <w:p w14:paraId="40394D28"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i/>
          <w:lang w:val="lt-LT"/>
        </w:rPr>
        <w:t>Vertigo</w:t>
      </w:r>
      <w:r w:rsidRPr="001C7577">
        <w:rPr>
          <w:lang w:val="lt-LT"/>
        </w:rPr>
        <w:t xml:space="preserve"> (sukimosi jausmas);</w:t>
      </w:r>
    </w:p>
    <w:p w14:paraId="7151C3BB"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Akių pažeidimas, nenormalus matymas;</w:t>
      </w:r>
    </w:p>
    <w:p w14:paraId="68CED2B8" w14:textId="77777777" w:rsidR="007D59EF" w:rsidRPr="001C7577" w:rsidRDefault="007D59EF" w:rsidP="007D59EF">
      <w:pPr>
        <w:numPr>
          <w:ilvl w:val="0"/>
          <w:numId w:val="47"/>
        </w:numPr>
        <w:autoSpaceDE w:val="0"/>
        <w:autoSpaceDN w:val="0"/>
        <w:adjustRightInd w:val="0"/>
        <w:spacing w:line="312" w:lineRule="exact"/>
        <w:rPr>
          <w:lang w:val="lt-LT"/>
        </w:rPr>
      </w:pPr>
      <w:r w:rsidRPr="001C7577">
        <w:rPr>
          <w:lang w:val="lt-LT"/>
        </w:rPr>
        <w:t>Svorio augimas.</w:t>
      </w:r>
    </w:p>
    <w:p w14:paraId="6176CB5C" w14:textId="77777777" w:rsidR="007D59EF" w:rsidRPr="001C7577" w:rsidRDefault="007D59EF" w:rsidP="007D59EF">
      <w:pPr>
        <w:autoSpaceDE w:val="0"/>
        <w:autoSpaceDN w:val="0"/>
        <w:adjustRightInd w:val="0"/>
        <w:spacing w:line="312" w:lineRule="exact"/>
        <w:rPr>
          <w:lang w:val="lt-LT"/>
        </w:rPr>
      </w:pPr>
    </w:p>
    <w:p w14:paraId="2564858E" w14:textId="77777777" w:rsidR="007D59EF" w:rsidRPr="001C7577" w:rsidRDefault="007D59EF" w:rsidP="007D59EF">
      <w:pPr>
        <w:autoSpaceDE w:val="0"/>
        <w:autoSpaceDN w:val="0"/>
        <w:adjustRightInd w:val="0"/>
        <w:spacing w:line="312" w:lineRule="exact"/>
        <w:rPr>
          <w:lang w:val="lt-LT"/>
        </w:rPr>
      </w:pPr>
      <w:r w:rsidRPr="001C7577">
        <w:rPr>
          <w:lang w:val="lt-LT"/>
        </w:rPr>
        <w:t>Kiti pašaliniai poveikiai, kurie fiksuoti vartojant Lopinavir/Ritonavir Ranbaxy: odos ar akių obuolių pageltimas (gelta), sunkus ar gyvybei gresiantis odos bėrimas ir pūslės (</w:t>
      </w:r>
      <w:r w:rsidRPr="001C7577">
        <w:rPr>
          <w:i/>
          <w:lang w:val="lt-LT"/>
        </w:rPr>
        <w:t>Stevens- Johnson</w:t>
      </w:r>
      <w:r w:rsidRPr="001C7577">
        <w:rPr>
          <w:lang w:val="lt-LT"/>
        </w:rPr>
        <w:t xml:space="preserve"> sindromas ir daugiaformė eritema). Jų pasireiškimo dažnis nežinomas.</w:t>
      </w:r>
    </w:p>
    <w:p w14:paraId="1C64591A" w14:textId="77777777" w:rsidR="007D59EF" w:rsidRPr="001C7577" w:rsidRDefault="007D59EF" w:rsidP="007D59EF">
      <w:pPr>
        <w:autoSpaceDE w:val="0"/>
        <w:autoSpaceDN w:val="0"/>
        <w:adjustRightInd w:val="0"/>
        <w:spacing w:line="312" w:lineRule="exact"/>
        <w:rPr>
          <w:lang w:val="lt-LT"/>
        </w:rPr>
      </w:pPr>
    </w:p>
    <w:p w14:paraId="50BAFCFB" w14:textId="77777777" w:rsidR="007D59EF" w:rsidRPr="001C7577" w:rsidRDefault="007D59EF" w:rsidP="007D59EF">
      <w:pPr>
        <w:autoSpaceDE w:val="0"/>
        <w:autoSpaceDN w:val="0"/>
        <w:adjustRightInd w:val="0"/>
        <w:spacing w:line="312" w:lineRule="exact"/>
        <w:rPr>
          <w:lang w:val="lt-LT"/>
        </w:rPr>
      </w:pPr>
      <w:r w:rsidRPr="001C7577">
        <w:rPr>
          <w:lang w:val="lt-LT"/>
        </w:rPr>
        <w:t>Jeigu pasireiškė sunkus šalutinis poveikis arba pastebėjote šiame lapelyje nenurodytą šalutinį poveikį, pasakykite gydytojui arba vaistininkui.</w:t>
      </w:r>
    </w:p>
    <w:p w14:paraId="30880E6A" w14:textId="77777777" w:rsidR="007D59EF" w:rsidRPr="001C7577" w:rsidRDefault="007D59EF" w:rsidP="007D59EF">
      <w:pPr>
        <w:tabs>
          <w:tab w:val="clear" w:pos="567"/>
        </w:tabs>
        <w:autoSpaceDE w:val="0"/>
        <w:autoSpaceDN w:val="0"/>
        <w:adjustRightInd w:val="0"/>
        <w:spacing w:line="312" w:lineRule="exact"/>
        <w:ind w:left="1080"/>
        <w:rPr>
          <w:lang w:val="lt-LT"/>
        </w:rPr>
      </w:pPr>
    </w:p>
    <w:p w14:paraId="6E9DBB31" w14:textId="77777777" w:rsidR="007D59EF" w:rsidRPr="00705EEC" w:rsidRDefault="007D59EF" w:rsidP="007D59EF">
      <w:pPr>
        <w:spacing w:line="240" w:lineRule="auto"/>
        <w:rPr>
          <w:b/>
          <w:szCs w:val="24"/>
          <w:lang w:val="lt-LT"/>
        </w:rPr>
      </w:pPr>
      <w:r w:rsidRPr="001C7577">
        <w:rPr>
          <w:b/>
          <w:szCs w:val="24"/>
          <w:lang w:val="lt-LT"/>
        </w:rPr>
        <w:t>Pranešimas apie šalutinį poveikį</w:t>
      </w:r>
    </w:p>
    <w:p w14:paraId="4673999D" w14:textId="7258BF56" w:rsidR="007D59EF" w:rsidRPr="001C7577" w:rsidRDefault="007D59EF" w:rsidP="007D59EF">
      <w:pPr>
        <w:ind w:right="-449"/>
        <w:rPr>
          <w:szCs w:val="24"/>
          <w:lang w:val="lt-LT"/>
        </w:rPr>
      </w:pPr>
      <w:r w:rsidRPr="001C7577">
        <w:rPr>
          <w:szCs w:val="24"/>
          <w:lang w:val="lt-LT"/>
        </w:rPr>
        <w:t xml:space="preserve">Jeigu pasireiškė šalutinis poveikis, įskaitant šiame lapelyje nenurodytą, pasakykite gydytojui arba vaistininkui. </w:t>
      </w:r>
      <w:r w:rsidR="00B63114" w:rsidRPr="00B63114">
        <w:rPr>
          <w:szCs w:val="24"/>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BD8F08E" w14:textId="77777777" w:rsidR="007D59EF" w:rsidRPr="001C7577" w:rsidRDefault="007D59EF" w:rsidP="007D59EF">
      <w:pPr>
        <w:ind w:right="-449"/>
        <w:rPr>
          <w:szCs w:val="24"/>
          <w:lang w:val="lt-LT"/>
        </w:rPr>
      </w:pPr>
    </w:p>
    <w:p w14:paraId="2C914D3B" w14:textId="77777777" w:rsidR="007D59EF" w:rsidRPr="00705EEC" w:rsidRDefault="007D59EF" w:rsidP="007D59EF">
      <w:pPr>
        <w:pStyle w:val="Antrat3"/>
        <w:spacing w:before="0" w:after="0" w:line="240" w:lineRule="auto"/>
        <w:rPr>
          <w:rFonts w:ascii="Times New Roman" w:hAnsi="Times New Roman"/>
          <w:sz w:val="22"/>
          <w:lang w:val="lt-LT"/>
        </w:rPr>
      </w:pPr>
      <w:r w:rsidRPr="00705EEC">
        <w:rPr>
          <w:rFonts w:ascii="Times New Roman" w:hAnsi="Times New Roman"/>
          <w:sz w:val="22"/>
          <w:lang w:val="lt-LT"/>
        </w:rPr>
        <w:t>5.</w:t>
      </w:r>
      <w:r w:rsidRPr="00705EEC">
        <w:rPr>
          <w:rFonts w:ascii="Times New Roman" w:hAnsi="Times New Roman"/>
          <w:sz w:val="22"/>
          <w:lang w:val="lt-LT"/>
        </w:rPr>
        <w:tab/>
        <w:t>Kaip laikyti Lopinavir /Ritonavir Ranbaxy</w:t>
      </w:r>
    </w:p>
    <w:p w14:paraId="5D4C9B83" w14:textId="77777777" w:rsidR="007D59EF" w:rsidRPr="00705EEC" w:rsidRDefault="007D59EF" w:rsidP="007D59EF">
      <w:pPr>
        <w:numPr>
          <w:ilvl w:val="12"/>
          <w:numId w:val="0"/>
        </w:numPr>
        <w:tabs>
          <w:tab w:val="clear" w:pos="567"/>
        </w:tabs>
        <w:spacing w:line="240" w:lineRule="auto"/>
        <w:ind w:right="-2"/>
        <w:rPr>
          <w:szCs w:val="24"/>
          <w:lang w:val="lt-LT"/>
        </w:rPr>
      </w:pPr>
    </w:p>
    <w:p w14:paraId="5EF6CA94" w14:textId="77777777" w:rsidR="007D59EF" w:rsidRPr="001C7577" w:rsidRDefault="007D59EF" w:rsidP="007D59EF">
      <w:pPr>
        <w:numPr>
          <w:ilvl w:val="12"/>
          <w:numId w:val="0"/>
        </w:numPr>
        <w:tabs>
          <w:tab w:val="clear" w:pos="567"/>
        </w:tabs>
        <w:spacing w:line="240" w:lineRule="auto"/>
        <w:ind w:right="-2"/>
        <w:rPr>
          <w:szCs w:val="24"/>
          <w:lang w:val="lt-LT"/>
        </w:rPr>
      </w:pPr>
      <w:r w:rsidRPr="001C7577">
        <w:rPr>
          <w:szCs w:val="24"/>
          <w:lang w:val="lt-LT"/>
        </w:rPr>
        <w:t>Šį vaistą laikykite vaikams nepastebimoje ir nepasiekiamoje vietoje.</w:t>
      </w:r>
    </w:p>
    <w:p w14:paraId="3CC66F60" w14:textId="77777777" w:rsidR="007D59EF" w:rsidRPr="00705EEC" w:rsidRDefault="007D59EF" w:rsidP="007D59EF">
      <w:pPr>
        <w:numPr>
          <w:ilvl w:val="12"/>
          <w:numId w:val="0"/>
        </w:numPr>
        <w:tabs>
          <w:tab w:val="clear" w:pos="567"/>
        </w:tabs>
        <w:spacing w:line="240" w:lineRule="auto"/>
        <w:ind w:right="-2"/>
        <w:rPr>
          <w:szCs w:val="24"/>
          <w:lang w:val="lt-LT"/>
        </w:rPr>
      </w:pPr>
    </w:p>
    <w:p w14:paraId="23AB8706" w14:textId="77777777" w:rsidR="007D59EF" w:rsidRPr="00705EEC" w:rsidRDefault="007D59EF" w:rsidP="007D59EF">
      <w:pPr>
        <w:numPr>
          <w:ilvl w:val="12"/>
          <w:numId w:val="0"/>
        </w:numPr>
        <w:tabs>
          <w:tab w:val="clear" w:pos="567"/>
        </w:tabs>
        <w:spacing w:line="240" w:lineRule="auto"/>
        <w:ind w:right="-2"/>
        <w:rPr>
          <w:szCs w:val="24"/>
          <w:lang w:val="lt-LT"/>
        </w:rPr>
      </w:pPr>
      <w:r w:rsidRPr="001C7577">
        <w:rPr>
          <w:szCs w:val="24"/>
          <w:lang w:val="lt-LT"/>
        </w:rPr>
        <w:t>Ant pakuotės po „Tinka iki/EXP“ nurodytam tinkamumo laikui pasibaigus, šio vaisto vartoti negalima.  Vaistas tinkamas vartoti iki paskutinės nurodyto mėnesio dienos.</w:t>
      </w:r>
    </w:p>
    <w:p w14:paraId="0667C028" w14:textId="77777777" w:rsidR="007D59EF" w:rsidRPr="00705EEC" w:rsidRDefault="007D59EF" w:rsidP="007D59EF">
      <w:pPr>
        <w:numPr>
          <w:ilvl w:val="12"/>
          <w:numId w:val="0"/>
        </w:numPr>
        <w:tabs>
          <w:tab w:val="clear" w:pos="567"/>
        </w:tabs>
        <w:spacing w:line="240" w:lineRule="auto"/>
        <w:ind w:right="-2"/>
        <w:rPr>
          <w:szCs w:val="24"/>
          <w:lang w:val="lt-LT"/>
        </w:rPr>
      </w:pPr>
    </w:p>
    <w:p w14:paraId="5543833D" w14:textId="77777777" w:rsidR="007D59EF" w:rsidRPr="001C7577" w:rsidRDefault="007D59EF" w:rsidP="007D59EF">
      <w:pPr>
        <w:numPr>
          <w:ilvl w:val="12"/>
          <w:numId w:val="0"/>
        </w:numPr>
        <w:tabs>
          <w:tab w:val="clear" w:pos="567"/>
        </w:tabs>
        <w:spacing w:line="240" w:lineRule="auto"/>
        <w:ind w:right="-2"/>
        <w:rPr>
          <w:szCs w:val="24"/>
          <w:lang w:val="lt-LT"/>
        </w:rPr>
      </w:pPr>
      <w:r w:rsidRPr="00705EEC">
        <w:rPr>
          <w:rFonts w:eastAsia="SimSun"/>
          <w:snapToGrid/>
          <w:lang w:val="lt-LT" w:eastAsia="zh-CN"/>
        </w:rPr>
        <w:t>Šio vaistinio preparato laikymui specialių temperatūros sąlygų nereikalaujama.</w:t>
      </w:r>
    </w:p>
    <w:p w14:paraId="1A0EAAA8" w14:textId="77777777" w:rsidR="007D59EF" w:rsidRPr="001C7577" w:rsidRDefault="007D59EF" w:rsidP="007D59EF">
      <w:pPr>
        <w:numPr>
          <w:ilvl w:val="12"/>
          <w:numId w:val="0"/>
        </w:numPr>
        <w:tabs>
          <w:tab w:val="clear" w:pos="567"/>
        </w:tabs>
        <w:spacing w:line="240" w:lineRule="auto"/>
        <w:ind w:right="-2"/>
        <w:rPr>
          <w:szCs w:val="24"/>
          <w:lang w:val="lt-LT"/>
        </w:rPr>
      </w:pPr>
    </w:p>
    <w:p w14:paraId="3FB5AD4C" w14:textId="77777777" w:rsidR="007D59EF" w:rsidRPr="001C7577" w:rsidRDefault="007D59EF" w:rsidP="007D59EF">
      <w:pPr>
        <w:tabs>
          <w:tab w:val="left" w:pos="225"/>
          <w:tab w:val="left" w:pos="8876"/>
        </w:tabs>
        <w:spacing w:line="240" w:lineRule="auto"/>
        <w:rPr>
          <w:lang w:val="lt-LT"/>
        </w:rPr>
      </w:pPr>
      <w:r w:rsidRPr="001C7577">
        <w:rPr>
          <w:lang w:val="lt-LT"/>
        </w:rPr>
        <w:t xml:space="preserve">DTPE buteliukas: buteliuką laikyti sandarų, kad preparatas būtų apsaugotas nuo drėgmės. </w:t>
      </w:r>
    </w:p>
    <w:p w14:paraId="37C61447" w14:textId="77777777" w:rsidR="007D59EF" w:rsidRPr="001C7577" w:rsidRDefault="007D59EF" w:rsidP="007D59EF">
      <w:pPr>
        <w:tabs>
          <w:tab w:val="left" w:pos="225"/>
          <w:tab w:val="left" w:pos="8876"/>
        </w:tabs>
        <w:spacing w:line="240" w:lineRule="auto"/>
        <w:rPr>
          <w:lang w:val="lt-LT"/>
        </w:rPr>
      </w:pPr>
      <w:r w:rsidRPr="001C7577">
        <w:rPr>
          <w:lang w:val="lt-LT"/>
        </w:rPr>
        <w:t xml:space="preserve">Lizdinė plokštelė: laikyti gamintojo pakuotėje, kad preparatas būtų apsaugotas nuo drėgmės. </w:t>
      </w:r>
    </w:p>
    <w:p w14:paraId="4504AF33" w14:textId="77777777" w:rsidR="007D59EF" w:rsidRPr="001C7577" w:rsidRDefault="007D59EF" w:rsidP="007D59EF">
      <w:pPr>
        <w:tabs>
          <w:tab w:val="left" w:pos="225"/>
          <w:tab w:val="left" w:pos="8876"/>
        </w:tabs>
        <w:spacing w:line="240" w:lineRule="auto"/>
        <w:rPr>
          <w:lang w:val="lt-LT"/>
        </w:rPr>
      </w:pPr>
    </w:p>
    <w:p w14:paraId="5FC21556" w14:textId="77777777" w:rsidR="007D59EF" w:rsidRPr="00705EEC" w:rsidRDefault="007D59EF" w:rsidP="007D59EF">
      <w:pPr>
        <w:rPr>
          <w:lang w:val="lt-LT"/>
        </w:rPr>
      </w:pPr>
      <w:r w:rsidRPr="001C7577">
        <w:rPr>
          <w:lang w:val="lt-LT"/>
        </w:rPr>
        <w:t>DTPE buteliukas: Pirmą kartą atidarius suvartoti per 30 dienų. Laikyti žemesnėje kaip 25</w:t>
      </w:r>
      <w:r w:rsidRPr="001C7577">
        <w:rPr>
          <w:vertAlign w:val="superscript"/>
          <w:lang w:val="lt-LT"/>
        </w:rPr>
        <w:t>o</w:t>
      </w:r>
      <w:r w:rsidRPr="001C7577">
        <w:rPr>
          <w:lang w:val="lt-LT"/>
        </w:rPr>
        <w:t xml:space="preserve">C temperatūroje, gamintojo pakuotėje, kad preparatas būtų apsaugotas nuo drėgmės. </w:t>
      </w:r>
    </w:p>
    <w:p w14:paraId="33B96DF8" w14:textId="77777777" w:rsidR="007D59EF" w:rsidRPr="001C7577" w:rsidRDefault="007D59EF" w:rsidP="007D59EF">
      <w:pPr>
        <w:autoSpaceDE w:val="0"/>
        <w:autoSpaceDN w:val="0"/>
        <w:adjustRightInd w:val="0"/>
        <w:spacing w:line="240" w:lineRule="auto"/>
        <w:rPr>
          <w:lang w:val="lt-LT"/>
        </w:rPr>
      </w:pPr>
    </w:p>
    <w:p w14:paraId="6BBC81E2" w14:textId="77777777" w:rsidR="007D59EF" w:rsidRPr="001C7577" w:rsidRDefault="007D59EF" w:rsidP="007D59EF">
      <w:pPr>
        <w:autoSpaceDE w:val="0"/>
        <w:autoSpaceDN w:val="0"/>
        <w:adjustRightInd w:val="0"/>
        <w:spacing w:line="240" w:lineRule="auto"/>
        <w:rPr>
          <w:b/>
          <w:lang w:val="lt-LT"/>
        </w:rPr>
      </w:pPr>
      <w:r w:rsidRPr="001C7577">
        <w:rPr>
          <w:rFonts w:eastAsia="Calibri"/>
          <w:b/>
          <w:bCs/>
          <w:snapToGrid/>
          <w:szCs w:val="22"/>
          <w:lang w:val="lt-LT"/>
        </w:rPr>
        <w:t>Kaip reikia išmes</w:t>
      </w:r>
      <w:r w:rsidRPr="001C7577">
        <w:rPr>
          <w:rFonts w:ascii="TimesNewRomanPS-BoldMT" w:eastAsia="Calibri" w:hAnsi="TimesNewRomanPS-BoldMT" w:cs="TimesNewRomanPS-BoldMT"/>
          <w:b/>
          <w:bCs/>
          <w:snapToGrid/>
          <w:szCs w:val="22"/>
          <w:lang w:val="lt-LT"/>
        </w:rPr>
        <w:t>ti</w:t>
      </w:r>
      <w:r w:rsidRPr="001C7577">
        <w:rPr>
          <w:b/>
          <w:lang w:val="lt-LT"/>
        </w:rPr>
        <w:t xml:space="preserve"> Lopinavir/Ritonavir Ranbaxy likučius</w:t>
      </w:r>
    </w:p>
    <w:p w14:paraId="39CF9D2F" w14:textId="77777777" w:rsidR="007D59EF" w:rsidRPr="001C7577" w:rsidRDefault="007D59EF" w:rsidP="007D59EF">
      <w:pPr>
        <w:autoSpaceDE w:val="0"/>
        <w:autoSpaceDN w:val="0"/>
        <w:adjustRightInd w:val="0"/>
        <w:spacing w:line="240" w:lineRule="auto"/>
        <w:rPr>
          <w:lang w:val="lt-LT"/>
        </w:rPr>
      </w:pPr>
      <w:r w:rsidRPr="001C7577">
        <w:rPr>
          <w:lang w:val="lt-LT"/>
        </w:rPr>
        <w:t>Vaistų negalima išmesti į kanalizaciją arba su buitinėmis atliekomis. Kaip išmesti nereikalingus vaistus, klauskite vaistininko. Šios priemonės padės apsaugoti aplinką.</w:t>
      </w:r>
    </w:p>
    <w:p w14:paraId="6CCDE512" w14:textId="77777777" w:rsidR="007D59EF" w:rsidRPr="001C7577" w:rsidRDefault="007D59EF" w:rsidP="007D59EF">
      <w:pPr>
        <w:autoSpaceDE w:val="0"/>
        <w:autoSpaceDN w:val="0"/>
        <w:adjustRightInd w:val="0"/>
        <w:spacing w:line="240" w:lineRule="auto"/>
        <w:rPr>
          <w:lang w:val="lt-LT"/>
        </w:rPr>
      </w:pPr>
    </w:p>
    <w:p w14:paraId="31D9CAF1" w14:textId="77777777" w:rsidR="007D59EF" w:rsidRPr="001C7577" w:rsidRDefault="007D59EF" w:rsidP="007D59EF">
      <w:pPr>
        <w:autoSpaceDE w:val="0"/>
        <w:autoSpaceDN w:val="0"/>
        <w:adjustRightInd w:val="0"/>
        <w:spacing w:line="240" w:lineRule="auto"/>
        <w:rPr>
          <w:lang w:val="lt-LT"/>
        </w:rPr>
      </w:pPr>
    </w:p>
    <w:p w14:paraId="0B4B4C81" w14:textId="77777777" w:rsidR="007D59EF" w:rsidRPr="001C7577" w:rsidRDefault="007D59EF" w:rsidP="007D59EF">
      <w:pPr>
        <w:autoSpaceDE w:val="0"/>
        <w:autoSpaceDN w:val="0"/>
        <w:adjustRightInd w:val="0"/>
        <w:spacing w:line="240" w:lineRule="auto"/>
        <w:rPr>
          <w:b/>
          <w:lang w:val="lt-LT"/>
        </w:rPr>
      </w:pPr>
      <w:r w:rsidRPr="00705EEC">
        <w:rPr>
          <w:b/>
          <w:lang w:val="lt-LT"/>
        </w:rPr>
        <w:t>6.</w:t>
      </w:r>
      <w:r w:rsidRPr="00705EEC">
        <w:rPr>
          <w:b/>
          <w:lang w:val="lt-LT"/>
        </w:rPr>
        <w:tab/>
        <w:t>Pakuotės turinys ir kita informacija</w:t>
      </w:r>
    </w:p>
    <w:p w14:paraId="62C2B93E" w14:textId="77777777" w:rsidR="007D59EF" w:rsidRPr="00705EEC" w:rsidRDefault="007D59EF" w:rsidP="007D59EF">
      <w:pPr>
        <w:pStyle w:val="Antrat4"/>
        <w:rPr>
          <w:rFonts w:ascii="Times New Roman" w:hAnsi="Times New Roman"/>
          <w:sz w:val="22"/>
          <w:lang w:val="lt-LT"/>
        </w:rPr>
      </w:pPr>
    </w:p>
    <w:p w14:paraId="63496B32" w14:textId="77777777" w:rsidR="007D59EF" w:rsidRPr="00705EEC" w:rsidRDefault="007D59EF" w:rsidP="007D59EF">
      <w:pPr>
        <w:pStyle w:val="Antrat4"/>
        <w:rPr>
          <w:rFonts w:ascii="Times New Roman" w:hAnsi="Times New Roman"/>
          <w:sz w:val="22"/>
          <w:lang w:val="lt-LT"/>
        </w:rPr>
      </w:pPr>
      <w:r w:rsidRPr="00705EEC">
        <w:rPr>
          <w:rFonts w:ascii="Times New Roman" w:hAnsi="Times New Roman"/>
          <w:sz w:val="22"/>
          <w:lang w:val="lt-LT"/>
        </w:rPr>
        <w:t>Lopinavir/Ritonavir Ranbaxy sudėtis</w:t>
      </w:r>
    </w:p>
    <w:p w14:paraId="12A237AE"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w:t>
      </w:r>
      <w:r w:rsidRPr="00705EEC">
        <w:rPr>
          <w:rFonts w:ascii="Times New Roman" w:hAnsi="Times New Roman"/>
          <w:b w:val="0"/>
          <w:sz w:val="22"/>
          <w:lang w:val="lt-LT"/>
        </w:rPr>
        <w:tab/>
        <w:t>Veikliosios medžiagos yra lopinaviras ir ritonaviras.</w:t>
      </w:r>
    </w:p>
    <w:p w14:paraId="743ED1DE" w14:textId="77777777" w:rsidR="007D59EF" w:rsidRPr="00705EEC" w:rsidRDefault="007D59EF" w:rsidP="007D59EF">
      <w:pPr>
        <w:spacing w:line="240" w:lineRule="auto"/>
        <w:rPr>
          <w:lang w:val="lt-LT" w:eastAsia="x-none"/>
        </w:rPr>
      </w:pPr>
    </w:p>
    <w:p w14:paraId="290632AD" w14:textId="77777777" w:rsidR="007D59EF" w:rsidRPr="001C7577" w:rsidRDefault="007D59EF" w:rsidP="007D59EF">
      <w:pPr>
        <w:spacing w:line="240" w:lineRule="auto"/>
        <w:rPr>
          <w:lang w:val="lt-LT"/>
        </w:rPr>
      </w:pPr>
      <w:r w:rsidRPr="001C7577">
        <w:rPr>
          <w:lang w:val="lt-LT"/>
        </w:rPr>
        <w:t xml:space="preserve">Kiekvienoje Lopinavir/Ritonavir Ranbaxy 100 mg/25 mg plėvele dengtoje tabletėje yra 100 mg lopinaviro kartu su 25 mg ritonaviro farmakokinetikai sustiprinti. </w:t>
      </w:r>
    </w:p>
    <w:p w14:paraId="6DD2E871" w14:textId="77777777" w:rsidR="007D59EF" w:rsidRPr="001C7577" w:rsidRDefault="007D59EF" w:rsidP="007D59EF">
      <w:pPr>
        <w:spacing w:line="240" w:lineRule="auto"/>
        <w:rPr>
          <w:lang w:val="lt-LT"/>
        </w:rPr>
      </w:pPr>
    </w:p>
    <w:p w14:paraId="4F2C2FD6" w14:textId="77777777" w:rsidR="007D59EF" w:rsidRPr="001C7577" w:rsidRDefault="007D59EF" w:rsidP="007D59EF">
      <w:pPr>
        <w:spacing w:line="240" w:lineRule="auto"/>
        <w:rPr>
          <w:lang w:val="lt-LT"/>
        </w:rPr>
      </w:pPr>
      <w:r w:rsidRPr="001C7577">
        <w:rPr>
          <w:highlight w:val="lightGray"/>
          <w:lang w:val="lt-LT"/>
        </w:rPr>
        <w:t>Kiekvienoje Lopinavir/Ritonavir Ranbaxy 200 mg/50 mg plėvele dengtoje tabletėje yra 200 mg lopinaviro kartu su 50 mg ritonaviro farmakokinetikai sustiprinti.</w:t>
      </w:r>
    </w:p>
    <w:p w14:paraId="6D33F716" w14:textId="77777777" w:rsidR="007D59EF" w:rsidRPr="001C7577" w:rsidRDefault="007D59EF" w:rsidP="007D59EF">
      <w:pPr>
        <w:spacing w:line="240" w:lineRule="auto"/>
        <w:rPr>
          <w:lang w:val="lt-LT"/>
        </w:rPr>
      </w:pPr>
    </w:p>
    <w:p w14:paraId="7D9AF8BB" w14:textId="77777777" w:rsidR="007D59EF" w:rsidRPr="001C7577" w:rsidRDefault="007D59EF" w:rsidP="007D59EF">
      <w:pPr>
        <w:numPr>
          <w:ilvl w:val="0"/>
          <w:numId w:val="49"/>
        </w:numPr>
        <w:spacing w:line="240" w:lineRule="auto"/>
        <w:ind w:left="0" w:firstLine="0"/>
        <w:rPr>
          <w:lang w:val="lt-LT"/>
        </w:rPr>
      </w:pPr>
      <w:r w:rsidRPr="001C7577">
        <w:rPr>
          <w:lang w:val="lt-LT"/>
        </w:rPr>
        <w:t>Pagalbinės medžiagos:</w:t>
      </w:r>
    </w:p>
    <w:p w14:paraId="3D4513CC" w14:textId="77777777" w:rsidR="007D59EF" w:rsidRPr="001C7577" w:rsidRDefault="007D59EF" w:rsidP="007D59EF">
      <w:pPr>
        <w:spacing w:line="240" w:lineRule="auto"/>
        <w:rPr>
          <w:lang w:val="lt-LT"/>
        </w:rPr>
      </w:pPr>
    </w:p>
    <w:p w14:paraId="1E154850" w14:textId="77777777" w:rsidR="007D59EF" w:rsidRPr="001C7577" w:rsidRDefault="007D59EF" w:rsidP="007D59EF">
      <w:pPr>
        <w:spacing w:line="240" w:lineRule="auto"/>
        <w:rPr>
          <w:lang w:val="lt-LT"/>
        </w:rPr>
      </w:pPr>
      <w:r w:rsidRPr="001C7577">
        <w:rPr>
          <w:lang w:val="lt-LT"/>
        </w:rPr>
        <w:t>Tabletės šerdis</w:t>
      </w:r>
    </w:p>
    <w:p w14:paraId="3183D851" w14:textId="77777777" w:rsidR="007D59EF" w:rsidRPr="001C7577" w:rsidRDefault="007D59EF" w:rsidP="007D59EF">
      <w:pPr>
        <w:spacing w:line="240" w:lineRule="auto"/>
        <w:rPr>
          <w:lang w:val="lt-LT"/>
        </w:rPr>
      </w:pPr>
      <w:r w:rsidRPr="001C7577">
        <w:rPr>
          <w:lang w:val="lt-LT"/>
        </w:rPr>
        <w:t>Kopovidonas, sorbitano lauratas (žr. 2 skyrių), koloidinis bevandenis silicio dioksidas, laktozė monohidratas (žr. 2 skyrių), natrio stearilfumaratas.</w:t>
      </w:r>
    </w:p>
    <w:p w14:paraId="2A0E5832" w14:textId="77777777" w:rsidR="007D59EF" w:rsidRPr="001C7577" w:rsidRDefault="007D59EF" w:rsidP="007D59EF">
      <w:pPr>
        <w:spacing w:line="240" w:lineRule="auto"/>
        <w:rPr>
          <w:lang w:val="lt-LT"/>
        </w:rPr>
      </w:pPr>
    </w:p>
    <w:p w14:paraId="035A358F" w14:textId="77777777" w:rsidR="007D59EF" w:rsidRPr="001C7577" w:rsidRDefault="007D59EF" w:rsidP="007D59EF">
      <w:pPr>
        <w:spacing w:line="240" w:lineRule="auto"/>
        <w:rPr>
          <w:lang w:val="lt-LT"/>
        </w:rPr>
      </w:pPr>
      <w:r w:rsidRPr="001C7577">
        <w:rPr>
          <w:lang w:val="lt-LT"/>
        </w:rPr>
        <w:t>Plėvelės sudėtis</w:t>
      </w:r>
    </w:p>
    <w:p w14:paraId="36C555B0" w14:textId="77777777" w:rsidR="007D59EF" w:rsidRPr="001C7577" w:rsidRDefault="007D59EF" w:rsidP="007D59EF">
      <w:pPr>
        <w:spacing w:line="240" w:lineRule="auto"/>
        <w:rPr>
          <w:lang w:val="lt-LT"/>
        </w:rPr>
      </w:pPr>
      <w:r w:rsidRPr="001C7577">
        <w:rPr>
          <w:lang w:val="lt-LT"/>
        </w:rPr>
        <w:t>Opadry II geltonasis 85F42187 (polivinilo alkoholis, titano dioksidas E171, talkas, makrogolis 3350/ polietilenglikolis 3350, geltonasis geležies oksidas E172).</w:t>
      </w:r>
    </w:p>
    <w:p w14:paraId="4B751741" w14:textId="77777777" w:rsidR="007D59EF" w:rsidRPr="001C7577" w:rsidRDefault="007D59EF" w:rsidP="007D59EF">
      <w:pPr>
        <w:spacing w:line="240" w:lineRule="auto"/>
        <w:rPr>
          <w:lang w:val="lt-LT"/>
        </w:rPr>
      </w:pPr>
    </w:p>
    <w:p w14:paraId="6609FC0B" w14:textId="77777777" w:rsidR="007D59EF" w:rsidRPr="001C7577" w:rsidRDefault="007D59EF" w:rsidP="007D59EF">
      <w:pPr>
        <w:spacing w:line="240" w:lineRule="auto"/>
        <w:rPr>
          <w:b/>
          <w:lang w:val="lt-LT"/>
        </w:rPr>
      </w:pPr>
      <w:r w:rsidRPr="001C7577">
        <w:rPr>
          <w:b/>
          <w:lang w:val="lt-LT"/>
        </w:rPr>
        <w:t>Lopinavir/Ritonavir Ranbaxy išvaizda ir kiekis pakuotėje</w:t>
      </w:r>
    </w:p>
    <w:p w14:paraId="28170D43" w14:textId="77777777" w:rsidR="007D59EF" w:rsidRPr="001C7577" w:rsidRDefault="007D59EF" w:rsidP="007D59EF">
      <w:pPr>
        <w:tabs>
          <w:tab w:val="left" w:pos="225"/>
          <w:tab w:val="left" w:pos="8876"/>
        </w:tabs>
        <w:spacing w:line="240" w:lineRule="auto"/>
        <w:rPr>
          <w:lang w:val="lt-LT"/>
        </w:rPr>
      </w:pPr>
      <w:r w:rsidRPr="001C7577">
        <w:rPr>
          <w:lang w:val="lt-LT"/>
        </w:rPr>
        <w:t>Lopinavir/Ritonavir Ranbaxy 100 mg/25 mg plėvele dengtos tabletės yra šviesiai geltonos spalvos, kapsulės formos, su įspaudu “LR 1” vienoje pusėje ir lygios kitoje pusėje. Tabletės yra 16,1 mm ± 0,3 mm ilgio ir  8,3 mm ± 0,3 mm pločio.</w:t>
      </w:r>
    </w:p>
    <w:p w14:paraId="17647FF6" w14:textId="77777777" w:rsidR="007D59EF" w:rsidRPr="001C7577" w:rsidRDefault="007D59EF" w:rsidP="007D59EF">
      <w:pPr>
        <w:tabs>
          <w:tab w:val="left" w:pos="225"/>
          <w:tab w:val="left" w:pos="8876"/>
        </w:tabs>
        <w:spacing w:line="240" w:lineRule="auto"/>
        <w:rPr>
          <w:lang w:val="lt-LT"/>
        </w:rPr>
      </w:pPr>
    </w:p>
    <w:p w14:paraId="058DB1D3" w14:textId="77777777" w:rsidR="007D59EF" w:rsidRPr="001C7577" w:rsidRDefault="007D59EF" w:rsidP="007D59EF">
      <w:pPr>
        <w:tabs>
          <w:tab w:val="left" w:pos="225"/>
          <w:tab w:val="left" w:pos="8876"/>
        </w:tabs>
        <w:spacing w:line="240" w:lineRule="auto"/>
        <w:rPr>
          <w:lang w:val="lt-LT"/>
        </w:rPr>
      </w:pPr>
      <w:r w:rsidRPr="001C7577">
        <w:rPr>
          <w:lang w:val="lt-LT"/>
        </w:rPr>
        <w:t xml:space="preserve">Lopinavir/Ritonavir Ranbaxy 100 mg/25 mg plėvele dengtos tabletės yra tiekiamos pakuotėmis po 60 tablečių (1plastikinis buteliukas su 60 tablečių arba 1 lizdinė plokštelė su 60 tablečių). </w:t>
      </w:r>
    </w:p>
    <w:p w14:paraId="27EB9AA2" w14:textId="77777777" w:rsidR="007D59EF" w:rsidRPr="001C7577" w:rsidRDefault="007D59EF" w:rsidP="007D59EF">
      <w:pPr>
        <w:tabs>
          <w:tab w:val="left" w:pos="225"/>
          <w:tab w:val="left" w:pos="8876"/>
        </w:tabs>
        <w:spacing w:line="240" w:lineRule="auto"/>
        <w:rPr>
          <w:lang w:val="lt-LT"/>
        </w:rPr>
      </w:pPr>
    </w:p>
    <w:p w14:paraId="14980E6C" w14:textId="77777777" w:rsidR="007D59EF" w:rsidRPr="001C7577" w:rsidRDefault="007D59EF" w:rsidP="007D59EF">
      <w:pPr>
        <w:tabs>
          <w:tab w:val="left" w:pos="225"/>
          <w:tab w:val="left" w:pos="8876"/>
        </w:tabs>
        <w:spacing w:line="240" w:lineRule="auto"/>
        <w:rPr>
          <w:highlight w:val="lightGray"/>
          <w:lang w:val="lt-LT"/>
        </w:rPr>
      </w:pPr>
      <w:r w:rsidRPr="001C7577">
        <w:rPr>
          <w:highlight w:val="lightGray"/>
          <w:lang w:val="lt-LT"/>
        </w:rPr>
        <w:t>Lopinavir/Ritonavir Ranbaxy 200 mg/50 mg plėvele dengtos tabletės yra šviesiai geltonos spalvos, kapsulės formos, su įspaudu “LR 2” vienoje pusėje ir lygios kitoje pusėje. Tabletės yra 20,4 mm ± 0,3 mm ilgio ir  10,6 mm ± 0,3 mm pločio.</w:t>
      </w:r>
    </w:p>
    <w:p w14:paraId="286E0959" w14:textId="77777777" w:rsidR="007D59EF" w:rsidRPr="001C7577" w:rsidRDefault="007D59EF" w:rsidP="007D59EF">
      <w:pPr>
        <w:tabs>
          <w:tab w:val="left" w:pos="225"/>
          <w:tab w:val="left" w:pos="8876"/>
        </w:tabs>
        <w:spacing w:line="240" w:lineRule="auto"/>
        <w:rPr>
          <w:highlight w:val="lightGray"/>
          <w:lang w:val="lt-LT"/>
        </w:rPr>
      </w:pPr>
    </w:p>
    <w:p w14:paraId="20695315" w14:textId="77777777" w:rsidR="007D59EF" w:rsidRPr="001C7577" w:rsidRDefault="007D59EF" w:rsidP="007D59EF">
      <w:pPr>
        <w:tabs>
          <w:tab w:val="left" w:pos="225"/>
          <w:tab w:val="left" w:pos="8876"/>
        </w:tabs>
        <w:spacing w:line="240" w:lineRule="auto"/>
        <w:rPr>
          <w:lang w:val="lt-LT"/>
        </w:rPr>
      </w:pPr>
      <w:r w:rsidRPr="001C7577">
        <w:rPr>
          <w:highlight w:val="lightGray"/>
          <w:lang w:val="lt-LT"/>
        </w:rPr>
        <w:t xml:space="preserve">Lopinavir/Ritonavir Ranbaxy 200 mg/50 mg plėvele dengtos tabletės yra tiekiamos pakuotėmis po 120 tablečių (1plastikinis buteliukas su 120 tablečių)  ir 360 tablečių (3 plastikiniai buteliukai po 120 tablečių). Taip pat tiekimos sudėtinės lizdinių plokštelių pakuotės po 120 tablečių (1 pakuotė su 120 tablečių arba 3 pakuotės po 40 tablečių). </w:t>
      </w:r>
    </w:p>
    <w:p w14:paraId="03A50581" w14:textId="77777777" w:rsidR="007D59EF" w:rsidRPr="001C7577" w:rsidRDefault="007D59EF" w:rsidP="007D59EF">
      <w:pPr>
        <w:spacing w:line="240" w:lineRule="auto"/>
        <w:rPr>
          <w:lang w:val="lt-LT"/>
        </w:rPr>
      </w:pPr>
    </w:p>
    <w:p w14:paraId="6CD0D42B" w14:textId="77777777" w:rsidR="007D59EF" w:rsidRPr="001C7577" w:rsidRDefault="007D59EF" w:rsidP="007D59EF">
      <w:pPr>
        <w:spacing w:line="240" w:lineRule="auto"/>
        <w:rPr>
          <w:lang w:val="lt-LT"/>
        </w:rPr>
      </w:pPr>
      <w:r w:rsidRPr="001C7577">
        <w:rPr>
          <w:lang w:val="lt-LT"/>
        </w:rPr>
        <w:t xml:space="preserve">Gali būti tiekiamos ne visų dydžių pakuotės. </w:t>
      </w:r>
    </w:p>
    <w:p w14:paraId="22685934" w14:textId="77777777" w:rsidR="007D59EF" w:rsidRPr="00705EEC" w:rsidRDefault="007D59EF" w:rsidP="007D59EF">
      <w:pPr>
        <w:spacing w:line="240" w:lineRule="auto"/>
        <w:rPr>
          <w:b/>
          <w:lang w:val="lt-LT"/>
        </w:rPr>
      </w:pPr>
    </w:p>
    <w:p w14:paraId="1832E2CE" w14:textId="7F1415C5" w:rsidR="007D59EF" w:rsidRPr="00705EEC" w:rsidRDefault="003C1B10" w:rsidP="007D59EF">
      <w:pPr>
        <w:spacing w:line="240" w:lineRule="auto"/>
        <w:rPr>
          <w:b/>
          <w:lang w:val="lt-LT"/>
        </w:rPr>
      </w:pPr>
      <w:r w:rsidRPr="003C1B10">
        <w:rPr>
          <w:b/>
          <w:lang w:val="lt-LT"/>
        </w:rPr>
        <w:t>Registruotojas</w:t>
      </w:r>
      <w:r w:rsidR="007D59EF" w:rsidRPr="00705EEC">
        <w:rPr>
          <w:b/>
          <w:lang w:val="lt-LT"/>
        </w:rPr>
        <w:t xml:space="preserve"> ir gamintojas</w:t>
      </w:r>
    </w:p>
    <w:p w14:paraId="7333B42D" w14:textId="77777777" w:rsidR="007D59EF" w:rsidRPr="00705EEC" w:rsidRDefault="007D59EF" w:rsidP="007D59EF">
      <w:pPr>
        <w:spacing w:line="240" w:lineRule="auto"/>
        <w:rPr>
          <w:b/>
          <w:lang w:val="lt-LT"/>
        </w:rPr>
      </w:pPr>
    </w:p>
    <w:p w14:paraId="21941D28" w14:textId="40941A08" w:rsidR="007D59EF" w:rsidRPr="00705EEC" w:rsidRDefault="003C1B10" w:rsidP="007D59EF">
      <w:pPr>
        <w:spacing w:line="240" w:lineRule="auto"/>
        <w:rPr>
          <w:b/>
          <w:lang w:val="lt-LT"/>
        </w:rPr>
      </w:pPr>
      <w:r w:rsidRPr="003C1B10">
        <w:rPr>
          <w:b/>
          <w:lang w:val="lt-LT"/>
        </w:rPr>
        <w:t>Registruotojas</w:t>
      </w:r>
      <w:r w:rsidR="007D59EF" w:rsidRPr="00705EEC">
        <w:rPr>
          <w:b/>
          <w:lang w:val="lt-LT"/>
        </w:rPr>
        <w:t>:</w:t>
      </w:r>
    </w:p>
    <w:p w14:paraId="4A2F5648"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Ranbaxy (UK) Limited</w:t>
      </w:r>
    </w:p>
    <w:p w14:paraId="150DDE54"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Building 4, Chiswick Park</w:t>
      </w:r>
    </w:p>
    <w:p w14:paraId="5016EBA5"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566 Chiswick High Road</w:t>
      </w:r>
    </w:p>
    <w:p w14:paraId="1A5AFC73"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London, W4 5YE</w:t>
      </w:r>
    </w:p>
    <w:p w14:paraId="2F9383A5"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Jungtinė Karalystė</w:t>
      </w:r>
    </w:p>
    <w:p w14:paraId="492E2FCD" w14:textId="77777777" w:rsidR="007D59EF" w:rsidRPr="00705EEC" w:rsidRDefault="007D59EF" w:rsidP="007D59EF">
      <w:pPr>
        <w:spacing w:line="240" w:lineRule="auto"/>
        <w:rPr>
          <w:b/>
          <w:lang w:val="lt-LT"/>
        </w:rPr>
      </w:pPr>
    </w:p>
    <w:p w14:paraId="0BECA3AB" w14:textId="77777777" w:rsidR="007D59EF" w:rsidRPr="00705EEC" w:rsidRDefault="007D59EF" w:rsidP="007D59EF">
      <w:pPr>
        <w:spacing w:line="240" w:lineRule="auto"/>
        <w:rPr>
          <w:b/>
          <w:lang w:val="lt-LT"/>
        </w:rPr>
      </w:pPr>
      <w:r w:rsidRPr="00705EEC">
        <w:rPr>
          <w:b/>
          <w:lang w:val="lt-LT"/>
        </w:rPr>
        <w:t>Gamintojai:</w:t>
      </w:r>
    </w:p>
    <w:p w14:paraId="104F8295" w14:textId="77777777" w:rsidR="007D59EF" w:rsidRPr="00705EEC" w:rsidRDefault="007D59EF" w:rsidP="007D59EF">
      <w:pPr>
        <w:spacing w:line="240" w:lineRule="auto"/>
        <w:rPr>
          <w:lang w:val="lt-LT"/>
        </w:rPr>
      </w:pPr>
      <w:r w:rsidRPr="00705EEC">
        <w:rPr>
          <w:lang w:val="lt-LT"/>
        </w:rPr>
        <w:t>Ranbaxy Ireland Limited</w:t>
      </w:r>
    </w:p>
    <w:p w14:paraId="55514F17" w14:textId="77777777" w:rsidR="007D59EF" w:rsidRPr="00705EEC" w:rsidRDefault="007D59EF" w:rsidP="007D59EF">
      <w:pPr>
        <w:spacing w:line="240" w:lineRule="auto"/>
        <w:rPr>
          <w:lang w:val="lt-LT"/>
        </w:rPr>
      </w:pPr>
      <w:r w:rsidRPr="00705EEC">
        <w:rPr>
          <w:lang w:val="lt-LT"/>
        </w:rPr>
        <w:t>Spafield Cork Road</w:t>
      </w:r>
    </w:p>
    <w:p w14:paraId="2B5411B4" w14:textId="77777777" w:rsidR="007D59EF" w:rsidRPr="00705EEC" w:rsidRDefault="007D59EF" w:rsidP="007D59EF">
      <w:pPr>
        <w:spacing w:line="240" w:lineRule="auto"/>
        <w:rPr>
          <w:lang w:val="lt-LT"/>
        </w:rPr>
      </w:pPr>
      <w:r w:rsidRPr="00705EEC">
        <w:rPr>
          <w:lang w:val="lt-LT"/>
        </w:rPr>
        <w:t>Cashel, Co-Tipperary</w:t>
      </w:r>
    </w:p>
    <w:p w14:paraId="5337F2E4" w14:textId="77777777" w:rsidR="007D59EF" w:rsidRPr="00705EEC" w:rsidRDefault="007D59EF" w:rsidP="007D59EF">
      <w:pPr>
        <w:spacing w:line="240" w:lineRule="auto"/>
        <w:rPr>
          <w:lang w:val="lt-LT"/>
        </w:rPr>
      </w:pPr>
      <w:r w:rsidRPr="00705EEC">
        <w:rPr>
          <w:lang w:val="lt-LT"/>
        </w:rPr>
        <w:lastRenderedPageBreak/>
        <w:t>Airija</w:t>
      </w:r>
    </w:p>
    <w:p w14:paraId="246E0021" w14:textId="77777777" w:rsidR="007D59EF" w:rsidRPr="00705EEC" w:rsidRDefault="007D59EF" w:rsidP="007D59EF">
      <w:pPr>
        <w:spacing w:line="240" w:lineRule="auto"/>
        <w:rPr>
          <w:lang w:val="lt-LT"/>
        </w:rPr>
      </w:pPr>
    </w:p>
    <w:p w14:paraId="2B07A9A9" w14:textId="77777777" w:rsidR="007D59EF" w:rsidRPr="00705EEC" w:rsidRDefault="007D59EF" w:rsidP="007D59EF">
      <w:pPr>
        <w:spacing w:line="240" w:lineRule="auto"/>
        <w:rPr>
          <w:lang w:val="lt-LT"/>
        </w:rPr>
      </w:pPr>
      <w:r w:rsidRPr="00705EEC">
        <w:rPr>
          <w:lang w:val="lt-LT"/>
        </w:rPr>
        <w:t>arba</w:t>
      </w:r>
    </w:p>
    <w:p w14:paraId="600490A9" w14:textId="77777777" w:rsidR="007D59EF" w:rsidRPr="00705EEC" w:rsidRDefault="007D59EF" w:rsidP="007D59EF">
      <w:pPr>
        <w:spacing w:line="240" w:lineRule="auto"/>
        <w:rPr>
          <w:lang w:val="lt-LT"/>
        </w:rPr>
      </w:pPr>
    </w:p>
    <w:p w14:paraId="2A2E7C30" w14:textId="77777777" w:rsidR="007D59EF" w:rsidRPr="00705EEC" w:rsidRDefault="007D59EF" w:rsidP="007D59EF">
      <w:pPr>
        <w:spacing w:line="240" w:lineRule="auto"/>
        <w:rPr>
          <w:lang w:val="lt-LT"/>
        </w:rPr>
      </w:pPr>
      <w:r w:rsidRPr="00705EEC">
        <w:rPr>
          <w:lang w:val="lt-LT"/>
        </w:rPr>
        <w:t>S.C. Terapia S.A.</w:t>
      </w:r>
    </w:p>
    <w:p w14:paraId="545EFA47" w14:textId="77777777" w:rsidR="007D59EF" w:rsidRPr="00705EEC" w:rsidRDefault="007D59EF" w:rsidP="007D59EF">
      <w:pPr>
        <w:spacing w:line="240" w:lineRule="auto"/>
        <w:rPr>
          <w:lang w:val="lt-LT"/>
        </w:rPr>
      </w:pPr>
      <w:r w:rsidRPr="00705EEC">
        <w:rPr>
          <w:lang w:val="lt-LT"/>
        </w:rPr>
        <w:t>124 Fabricii Street</w:t>
      </w:r>
    </w:p>
    <w:p w14:paraId="5AB46283" w14:textId="77777777" w:rsidR="007D59EF" w:rsidRPr="00705EEC" w:rsidRDefault="007D59EF" w:rsidP="007D59EF">
      <w:pPr>
        <w:spacing w:line="240" w:lineRule="auto"/>
        <w:rPr>
          <w:lang w:val="lt-LT"/>
        </w:rPr>
      </w:pPr>
      <w:r w:rsidRPr="00705EEC">
        <w:rPr>
          <w:lang w:val="lt-LT"/>
        </w:rPr>
        <w:t>400 632 Cluj Napoca</w:t>
      </w:r>
    </w:p>
    <w:p w14:paraId="55342AEF" w14:textId="77777777" w:rsidR="007D59EF" w:rsidRPr="00705EEC" w:rsidRDefault="007D59EF" w:rsidP="007D59EF">
      <w:pPr>
        <w:spacing w:line="240" w:lineRule="auto"/>
        <w:rPr>
          <w:lang w:val="lt-LT"/>
        </w:rPr>
      </w:pPr>
      <w:r w:rsidRPr="00705EEC">
        <w:rPr>
          <w:lang w:val="lt-LT"/>
        </w:rPr>
        <w:t>Rumunija</w:t>
      </w:r>
    </w:p>
    <w:p w14:paraId="4D5FE984" w14:textId="77777777" w:rsidR="007D59EF" w:rsidRPr="00705EEC" w:rsidRDefault="007D59EF" w:rsidP="007D59EF">
      <w:pPr>
        <w:pStyle w:val="Antrat4"/>
        <w:rPr>
          <w:rFonts w:ascii="Times New Roman" w:hAnsi="Times New Roman"/>
          <w:b w:val="0"/>
          <w:sz w:val="22"/>
          <w:lang w:val="lt-LT"/>
        </w:rPr>
      </w:pPr>
    </w:p>
    <w:p w14:paraId="738E4CDC"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arba</w:t>
      </w:r>
    </w:p>
    <w:p w14:paraId="352780F2" w14:textId="77777777" w:rsidR="007D59EF" w:rsidRPr="00705EEC" w:rsidRDefault="007D59EF" w:rsidP="007D59EF">
      <w:pPr>
        <w:pStyle w:val="Antrat4"/>
        <w:rPr>
          <w:rFonts w:ascii="Times New Roman" w:hAnsi="Times New Roman"/>
          <w:b w:val="0"/>
          <w:sz w:val="22"/>
          <w:lang w:val="lt-LT"/>
        </w:rPr>
      </w:pPr>
    </w:p>
    <w:p w14:paraId="478A827B"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Basics GmbH</w:t>
      </w:r>
    </w:p>
    <w:p w14:paraId="27BC75DD"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Hemmelrather Weg 201</w:t>
      </w:r>
    </w:p>
    <w:p w14:paraId="04025636"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D-51377 Leverkusen</w:t>
      </w:r>
    </w:p>
    <w:p w14:paraId="68B20E8F"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Vokietija</w:t>
      </w:r>
    </w:p>
    <w:p w14:paraId="11E585F4" w14:textId="77777777" w:rsidR="007D59EF" w:rsidRPr="00705EEC" w:rsidRDefault="007D59EF" w:rsidP="007D59EF">
      <w:pPr>
        <w:pStyle w:val="Antrat4"/>
        <w:rPr>
          <w:rFonts w:ascii="Times New Roman" w:hAnsi="Times New Roman"/>
          <w:b w:val="0"/>
          <w:sz w:val="22"/>
          <w:lang w:val="lt-LT"/>
        </w:rPr>
      </w:pPr>
    </w:p>
    <w:p w14:paraId="084D07E0" w14:textId="6871D03F" w:rsidR="007D59EF" w:rsidRPr="00705EEC" w:rsidRDefault="00737542" w:rsidP="009E14CD">
      <w:pPr>
        <w:pStyle w:val="Antrat4"/>
        <w:jc w:val="left"/>
        <w:rPr>
          <w:rFonts w:ascii="Times New Roman" w:hAnsi="Times New Roman"/>
          <w:b w:val="0"/>
          <w:sz w:val="22"/>
          <w:lang w:val="lt-LT"/>
        </w:rPr>
      </w:pPr>
      <w:r w:rsidRPr="00737542">
        <w:rPr>
          <w:rFonts w:ascii="Times New Roman" w:hAnsi="Times New Roman"/>
          <w:b w:val="0"/>
          <w:sz w:val="22"/>
          <w:lang w:val="lt-LT"/>
        </w:rPr>
        <w:t>Jeigu apie šį vaistą norite sužinoti daugiau, kreipkitės į vietinį registruotojo atstovą.</w:t>
      </w:r>
      <w:r w:rsidR="007D59EF" w:rsidRPr="00705EEC">
        <w:rPr>
          <w:rFonts w:ascii="Times New Roman" w:hAnsi="Times New Roman"/>
          <w:b w:val="0"/>
          <w:sz w:val="22"/>
          <w:lang w:val="lt-LT"/>
        </w:rPr>
        <w:t xml:space="preserve"> </w:t>
      </w:r>
    </w:p>
    <w:p w14:paraId="0E33CD3B" w14:textId="45540CDE" w:rsidR="007D59EF" w:rsidRPr="00705EEC" w:rsidRDefault="00737542" w:rsidP="007D59EF">
      <w:pPr>
        <w:pStyle w:val="Antrat4"/>
        <w:rPr>
          <w:rFonts w:ascii="Times New Roman" w:hAnsi="Times New Roman"/>
          <w:b w:val="0"/>
          <w:sz w:val="22"/>
          <w:lang w:val="lt-LT"/>
        </w:rPr>
      </w:pPr>
      <w:r w:rsidRPr="00737542">
        <w:rPr>
          <w:rFonts w:ascii="Times New Roman" w:hAnsi="Times New Roman"/>
          <w:b w:val="0"/>
          <w:sz w:val="22"/>
          <w:lang w:val="lt-LT"/>
        </w:rPr>
        <w:t>Sun Pharmaceutical Industries Limited</w:t>
      </w:r>
      <w:r>
        <w:rPr>
          <w:rFonts w:ascii="Times New Roman" w:hAnsi="Times New Roman"/>
          <w:b w:val="0"/>
          <w:sz w:val="22"/>
          <w:lang w:val="lt-LT"/>
        </w:rPr>
        <w:t xml:space="preserve"> atstovybė</w:t>
      </w:r>
    </w:p>
    <w:p w14:paraId="4ADB7E92" w14:textId="77777777" w:rsidR="00737542" w:rsidRPr="00737542" w:rsidRDefault="00737542" w:rsidP="00737542">
      <w:pPr>
        <w:pStyle w:val="Antrat4"/>
        <w:rPr>
          <w:rFonts w:ascii="Times New Roman" w:hAnsi="Times New Roman"/>
          <w:b w:val="0"/>
          <w:sz w:val="22"/>
          <w:lang w:val="lt-LT"/>
        </w:rPr>
      </w:pPr>
      <w:r w:rsidRPr="00737542">
        <w:rPr>
          <w:rFonts w:ascii="Times New Roman" w:hAnsi="Times New Roman"/>
          <w:b w:val="0"/>
          <w:sz w:val="22"/>
          <w:lang w:val="lt-LT"/>
        </w:rPr>
        <w:t xml:space="preserve">Karaliaus Mindaugo pr. 68-3 </w:t>
      </w:r>
    </w:p>
    <w:p w14:paraId="7EFC36DC" w14:textId="7508F405" w:rsidR="007D59EF" w:rsidRPr="00705EEC" w:rsidRDefault="00737542" w:rsidP="007D59EF">
      <w:pPr>
        <w:pStyle w:val="Antrat4"/>
        <w:rPr>
          <w:rFonts w:ascii="Times New Roman" w:hAnsi="Times New Roman"/>
          <w:b w:val="0"/>
          <w:sz w:val="22"/>
          <w:lang w:val="lt-LT"/>
        </w:rPr>
      </w:pPr>
      <w:r w:rsidRPr="00737542">
        <w:rPr>
          <w:rFonts w:ascii="Times New Roman" w:hAnsi="Times New Roman"/>
          <w:b w:val="0"/>
          <w:sz w:val="22"/>
          <w:lang w:val="lt-LT"/>
        </w:rPr>
        <w:t>Kaunas, Lietuva</w:t>
      </w:r>
    </w:p>
    <w:p w14:paraId="2CD1A3C3" w14:textId="77777777" w:rsidR="007D59EF" w:rsidRPr="00705EEC" w:rsidRDefault="007D59EF" w:rsidP="007D59EF">
      <w:pPr>
        <w:tabs>
          <w:tab w:val="clear" w:pos="567"/>
        </w:tabs>
        <w:spacing w:line="240" w:lineRule="auto"/>
        <w:rPr>
          <w:szCs w:val="24"/>
          <w:lang w:val="lt-LT"/>
        </w:rPr>
      </w:pPr>
      <w:r w:rsidRPr="00705EEC">
        <w:rPr>
          <w:szCs w:val="24"/>
          <w:lang w:val="lt-LT"/>
        </w:rPr>
        <w:t>Tel. +370 37 311843</w:t>
      </w:r>
    </w:p>
    <w:p w14:paraId="018443D7" w14:textId="77777777" w:rsidR="007D59EF" w:rsidRPr="001C7577" w:rsidRDefault="007D59EF" w:rsidP="007D59EF">
      <w:pPr>
        <w:tabs>
          <w:tab w:val="clear" w:pos="567"/>
        </w:tabs>
        <w:spacing w:line="240" w:lineRule="auto"/>
        <w:rPr>
          <w:szCs w:val="22"/>
          <w:lang w:val="lt-LT"/>
        </w:rPr>
      </w:pPr>
      <w:r w:rsidRPr="001C7577">
        <w:rPr>
          <w:szCs w:val="22"/>
          <w:lang w:val="lt-LT"/>
        </w:rPr>
        <w:t xml:space="preserve">El. paštas: </w:t>
      </w:r>
      <w:hyperlink r:id="rId10" w:history="1">
        <w:r w:rsidRPr="001C7577">
          <w:rPr>
            <w:rStyle w:val="Hipersaitas"/>
            <w:rFonts w:eastAsia="SimSun"/>
            <w:szCs w:val="22"/>
            <w:lang w:val="lt-LT"/>
          </w:rPr>
          <w:t>info.baltics@ranbaxy.com</w:t>
        </w:r>
      </w:hyperlink>
    </w:p>
    <w:p w14:paraId="4A2B33F8" w14:textId="77777777" w:rsidR="007D59EF" w:rsidRPr="00705EEC" w:rsidRDefault="007D59EF" w:rsidP="007D59EF">
      <w:pPr>
        <w:numPr>
          <w:ilvl w:val="12"/>
          <w:numId w:val="0"/>
        </w:numPr>
        <w:ind w:right="-2"/>
        <w:rPr>
          <w:lang w:val="lt-LT"/>
        </w:rPr>
      </w:pPr>
    </w:p>
    <w:p w14:paraId="76759904" w14:textId="738661FE" w:rsidR="007D59EF" w:rsidRPr="00705EEC" w:rsidRDefault="00737542" w:rsidP="007D59EF">
      <w:pPr>
        <w:numPr>
          <w:ilvl w:val="12"/>
          <w:numId w:val="0"/>
        </w:numPr>
        <w:ind w:right="-2"/>
        <w:rPr>
          <w:lang w:val="lt-LT"/>
        </w:rPr>
      </w:pPr>
      <w:r w:rsidRPr="00737542">
        <w:rPr>
          <w:b/>
          <w:lang w:val="lt-LT"/>
        </w:rPr>
        <w:t>Šis vaistas EEE valstybėse narėse registruotas tokiais pavadinimais:</w:t>
      </w:r>
      <w:r w:rsidR="007D59EF" w:rsidRPr="00705EEC">
        <w:rPr>
          <w:lang w:val="lt-LT"/>
        </w:rPr>
        <w:t>:</w:t>
      </w:r>
    </w:p>
    <w:p w14:paraId="187C37A6" w14:textId="4169AC33" w:rsidR="007D59EF" w:rsidRPr="00705EEC" w:rsidRDefault="007D59EF" w:rsidP="007D59EF">
      <w:pPr>
        <w:numPr>
          <w:ilvl w:val="12"/>
          <w:numId w:val="0"/>
        </w:numPr>
        <w:ind w:right="-2"/>
        <w:rPr>
          <w:lang w:val="lt-LT"/>
        </w:rPr>
      </w:pPr>
      <w:r w:rsidRPr="00705EEC">
        <w:rPr>
          <w:lang w:val="lt-LT"/>
        </w:rPr>
        <w:t xml:space="preserve">Estija: </w:t>
      </w:r>
      <w:r w:rsidRPr="00705EEC">
        <w:rPr>
          <w:lang w:val="lt-LT"/>
        </w:rPr>
        <w:tab/>
      </w:r>
      <w:r w:rsidR="009E14CD">
        <w:rPr>
          <w:lang w:val="lt-LT"/>
        </w:rPr>
        <w:tab/>
      </w:r>
      <w:r w:rsidRPr="00705EEC">
        <w:rPr>
          <w:lang w:val="lt-LT"/>
        </w:rPr>
        <w:t>Lopinavir / Ritonavir Ranbaxy 100 mg/25 mg</w:t>
      </w:r>
    </w:p>
    <w:p w14:paraId="706FA542" w14:textId="0DFFFAAB" w:rsidR="007D59EF" w:rsidRPr="00705EEC" w:rsidRDefault="007D59EF" w:rsidP="007D59EF">
      <w:pPr>
        <w:numPr>
          <w:ilvl w:val="12"/>
          <w:numId w:val="0"/>
        </w:numPr>
        <w:ind w:right="-2"/>
        <w:rPr>
          <w:lang w:val="lt-LT"/>
        </w:rPr>
      </w:pPr>
      <w:r w:rsidRPr="00705EEC">
        <w:rPr>
          <w:lang w:val="lt-LT"/>
        </w:rPr>
        <w:tab/>
      </w:r>
      <w:r w:rsidRPr="00705EEC">
        <w:rPr>
          <w:lang w:val="lt-LT"/>
        </w:rPr>
        <w:tab/>
      </w:r>
      <w:r w:rsidR="009E14CD">
        <w:rPr>
          <w:lang w:val="lt-LT"/>
        </w:rPr>
        <w:tab/>
      </w:r>
      <w:r w:rsidRPr="00705EEC">
        <w:rPr>
          <w:lang w:val="lt-LT"/>
        </w:rPr>
        <w:t>Lopinavir / Ritonavir Ranbaxy 200 mg/50 mg</w:t>
      </w:r>
    </w:p>
    <w:p w14:paraId="0623B989" w14:textId="77777777" w:rsidR="007D59EF" w:rsidRPr="00705EEC" w:rsidRDefault="007D59EF" w:rsidP="007D59EF">
      <w:pPr>
        <w:numPr>
          <w:ilvl w:val="12"/>
          <w:numId w:val="0"/>
        </w:numPr>
        <w:ind w:right="-2"/>
        <w:rPr>
          <w:lang w:val="lt-LT"/>
        </w:rPr>
      </w:pPr>
      <w:r w:rsidRPr="00705EEC">
        <w:rPr>
          <w:lang w:val="lt-LT"/>
        </w:rPr>
        <w:t xml:space="preserve">Ispanija: </w:t>
      </w:r>
      <w:r w:rsidRPr="00705EEC">
        <w:rPr>
          <w:lang w:val="lt-LT"/>
        </w:rPr>
        <w:tab/>
        <w:t>Lopinavir Ritonavir Ranbaxy 100+25 mg Comprimidosrecubiertos con película EFG</w:t>
      </w:r>
    </w:p>
    <w:p w14:paraId="2391671B" w14:textId="3040394E" w:rsidR="007D59EF" w:rsidRPr="00705EEC" w:rsidRDefault="007D59EF" w:rsidP="007D59EF">
      <w:pPr>
        <w:numPr>
          <w:ilvl w:val="12"/>
          <w:numId w:val="0"/>
        </w:numPr>
        <w:ind w:right="-2"/>
        <w:rPr>
          <w:lang w:val="lt-LT"/>
        </w:rPr>
      </w:pPr>
      <w:r w:rsidRPr="00705EEC">
        <w:rPr>
          <w:lang w:val="lt-LT"/>
        </w:rPr>
        <w:tab/>
      </w:r>
      <w:r w:rsidRPr="00705EEC">
        <w:rPr>
          <w:lang w:val="lt-LT"/>
        </w:rPr>
        <w:tab/>
      </w:r>
      <w:r w:rsidR="009E14CD">
        <w:rPr>
          <w:lang w:val="lt-LT"/>
        </w:rPr>
        <w:tab/>
      </w:r>
      <w:r w:rsidRPr="00705EEC">
        <w:rPr>
          <w:lang w:val="lt-LT"/>
        </w:rPr>
        <w:t>Lopinavir Ritonavir Ranbaxy 200+50 mg Comprimidos recubiertos conpelícula EFG</w:t>
      </w:r>
    </w:p>
    <w:p w14:paraId="1C2D4257"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 xml:space="preserve">Latvija: </w:t>
      </w:r>
      <w:r w:rsidRPr="00705EEC">
        <w:rPr>
          <w:rFonts w:ascii="Times New Roman" w:hAnsi="Times New Roman"/>
          <w:b w:val="0"/>
          <w:sz w:val="22"/>
          <w:lang w:val="lt-LT"/>
        </w:rPr>
        <w:tab/>
        <w:t>Lopinavir / Ritonavir Ranbaxy 100 mg/25 mg apvalkotās tablets</w:t>
      </w:r>
    </w:p>
    <w:p w14:paraId="0F56BAAE" w14:textId="2AE32E3E"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ab/>
      </w:r>
      <w:r w:rsidRPr="00705EEC">
        <w:rPr>
          <w:rFonts w:ascii="Times New Roman" w:hAnsi="Times New Roman"/>
          <w:b w:val="0"/>
          <w:sz w:val="22"/>
          <w:lang w:val="lt-LT"/>
        </w:rPr>
        <w:tab/>
      </w:r>
      <w:r w:rsidR="009E14CD">
        <w:rPr>
          <w:rFonts w:ascii="Times New Roman" w:hAnsi="Times New Roman"/>
          <w:b w:val="0"/>
          <w:sz w:val="22"/>
          <w:lang w:val="lt-LT"/>
        </w:rPr>
        <w:tab/>
      </w:r>
      <w:r w:rsidRPr="00705EEC">
        <w:rPr>
          <w:rFonts w:ascii="Times New Roman" w:hAnsi="Times New Roman"/>
          <w:b w:val="0"/>
          <w:sz w:val="22"/>
          <w:lang w:val="lt-LT"/>
        </w:rPr>
        <w:t>Lopinavir / Ritonavir Ranbaxy 200 mg/50 mg apvalkotās tabletes</w:t>
      </w:r>
    </w:p>
    <w:p w14:paraId="0D446C19" w14:textId="77777777" w:rsidR="007D59EF" w:rsidRPr="00705EEC" w:rsidRDefault="007D59EF" w:rsidP="007D59EF">
      <w:pPr>
        <w:pStyle w:val="Antrat4"/>
        <w:rPr>
          <w:rFonts w:ascii="Times New Roman" w:hAnsi="Times New Roman"/>
          <w:b w:val="0"/>
          <w:sz w:val="22"/>
          <w:lang w:val="lt-LT"/>
        </w:rPr>
      </w:pPr>
      <w:r w:rsidRPr="00705EEC">
        <w:rPr>
          <w:rFonts w:ascii="Times New Roman" w:hAnsi="Times New Roman"/>
          <w:b w:val="0"/>
          <w:sz w:val="22"/>
          <w:lang w:val="lt-LT"/>
        </w:rPr>
        <w:t>Rumunija:</w:t>
      </w:r>
      <w:r w:rsidRPr="00705EEC">
        <w:rPr>
          <w:rFonts w:ascii="Times New Roman" w:hAnsi="Times New Roman"/>
          <w:b w:val="0"/>
          <w:sz w:val="22"/>
          <w:lang w:val="lt-LT"/>
        </w:rPr>
        <w:tab/>
        <w:t>Lopinavir/Ritonavir Terapia 200 mg/50 mg comprimate filmate</w:t>
      </w:r>
    </w:p>
    <w:p w14:paraId="14F3A81E" w14:textId="77777777" w:rsidR="007D59EF" w:rsidRPr="00705EEC" w:rsidRDefault="007D59EF" w:rsidP="007D59EF">
      <w:pPr>
        <w:rPr>
          <w:lang w:val="lt-LT" w:eastAsia="x-none"/>
        </w:rPr>
      </w:pPr>
    </w:p>
    <w:p w14:paraId="628540BE" w14:textId="77777777" w:rsidR="007D59EF" w:rsidRPr="00705EEC" w:rsidRDefault="007D59EF" w:rsidP="007D59EF">
      <w:pPr>
        <w:rPr>
          <w:lang w:val="lt-LT"/>
        </w:rPr>
      </w:pPr>
    </w:p>
    <w:p w14:paraId="2D119B8E" w14:textId="511302B4" w:rsidR="007D59EF" w:rsidRPr="00705EEC" w:rsidRDefault="007D59EF" w:rsidP="007D59EF">
      <w:pPr>
        <w:numPr>
          <w:ilvl w:val="12"/>
          <w:numId w:val="0"/>
        </w:numPr>
        <w:tabs>
          <w:tab w:val="clear" w:pos="567"/>
        </w:tabs>
        <w:spacing w:line="240" w:lineRule="auto"/>
        <w:ind w:right="-2"/>
        <w:rPr>
          <w:b/>
          <w:lang w:val="lt-LT"/>
        </w:rPr>
      </w:pPr>
      <w:r w:rsidRPr="00705EEC">
        <w:rPr>
          <w:b/>
          <w:lang w:val="lt-LT"/>
        </w:rPr>
        <w:t xml:space="preserve">Šis pakuotės lapelis paskutinį kartą peržiūrėtas </w:t>
      </w:r>
      <w:r w:rsidR="000974DC">
        <w:rPr>
          <w:b/>
          <w:lang w:val="lt-LT"/>
        </w:rPr>
        <w:t>2017-02-24.</w:t>
      </w:r>
    </w:p>
    <w:p w14:paraId="17896AF5" w14:textId="77777777" w:rsidR="007D59EF" w:rsidRPr="00705EEC" w:rsidRDefault="007D59EF" w:rsidP="007D59EF">
      <w:pPr>
        <w:numPr>
          <w:ilvl w:val="12"/>
          <w:numId w:val="0"/>
        </w:numPr>
        <w:spacing w:line="240" w:lineRule="auto"/>
        <w:ind w:right="-2"/>
        <w:rPr>
          <w:szCs w:val="24"/>
          <w:lang w:val="lt-LT"/>
        </w:rPr>
      </w:pPr>
    </w:p>
    <w:p w14:paraId="0DD900B7" w14:textId="77777777" w:rsidR="007D59EF" w:rsidRPr="00705EEC" w:rsidRDefault="007D59EF" w:rsidP="007D59EF">
      <w:pPr>
        <w:numPr>
          <w:ilvl w:val="12"/>
          <w:numId w:val="0"/>
        </w:numPr>
        <w:spacing w:line="240" w:lineRule="auto"/>
        <w:ind w:right="-2"/>
        <w:rPr>
          <w:szCs w:val="24"/>
          <w:lang w:val="lt-LT"/>
        </w:rPr>
      </w:pPr>
    </w:p>
    <w:p w14:paraId="58FD1970" w14:textId="77777777" w:rsidR="007D59EF" w:rsidRPr="001C7577" w:rsidRDefault="007D59EF" w:rsidP="007D59EF">
      <w:pPr>
        <w:numPr>
          <w:ilvl w:val="12"/>
          <w:numId w:val="0"/>
        </w:numPr>
        <w:spacing w:line="240" w:lineRule="auto"/>
        <w:ind w:right="-2"/>
        <w:rPr>
          <w:lang w:val="lt-LT"/>
        </w:rPr>
      </w:pPr>
      <w:r w:rsidRPr="00705EEC">
        <w:rPr>
          <w:lang w:val="lt-LT"/>
        </w:rPr>
        <w:t xml:space="preserve">Išsami informacija apie šį </w:t>
      </w:r>
      <w:r w:rsidRPr="00705EEC">
        <w:rPr>
          <w:szCs w:val="24"/>
          <w:lang w:val="lt-LT"/>
        </w:rPr>
        <w:t>vaistą</w:t>
      </w:r>
      <w:r w:rsidRPr="00705EEC">
        <w:rPr>
          <w:lang w:val="lt-LT"/>
        </w:rPr>
        <w:t xml:space="preserve"> pateikiama Valstybinės vaistų kontrolės tarnybos prie Lietuvos Respublikos sveikatos apsaugos ministerijos tinklalapyje</w:t>
      </w:r>
      <w:r w:rsidRPr="00705EEC">
        <w:rPr>
          <w:i/>
          <w:szCs w:val="24"/>
          <w:lang w:val="lt-LT"/>
        </w:rPr>
        <w:t xml:space="preserve"> </w:t>
      </w:r>
      <w:hyperlink r:id="rId11" w:history="1">
        <w:r w:rsidRPr="00705EEC">
          <w:rPr>
            <w:rStyle w:val="Hipersaitas"/>
            <w:rFonts w:eastAsia="SimSun"/>
            <w:lang w:val="lt-LT"/>
          </w:rPr>
          <w:t>http://www.vvkt.lt/</w:t>
        </w:r>
      </w:hyperlink>
    </w:p>
    <w:p w14:paraId="00C5B6EE" w14:textId="77777777" w:rsidR="007D59EF" w:rsidRPr="001C7577" w:rsidRDefault="007D59EF" w:rsidP="001C7577">
      <w:pPr>
        <w:rPr>
          <w:lang w:val="lt-LT"/>
        </w:rPr>
      </w:pPr>
      <w:bookmarkStart w:id="2" w:name="_GoBack"/>
      <w:bookmarkEnd w:id="2"/>
      <w:permStart w:id="2058318158" w:edGrp="everyone"/>
      <w:permEnd w:id="2058318158"/>
    </w:p>
    <w:sectPr w:rsidR="007D59EF" w:rsidRPr="001C7577" w:rsidSect="007D59EF">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139EE" w14:textId="77777777" w:rsidR="00AF4CFC" w:rsidRDefault="00AF4CFC">
      <w:pPr>
        <w:spacing w:line="240" w:lineRule="auto"/>
      </w:pPr>
      <w:r>
        <w:separator/>
      </w:r>
    </w:p>
  </w:endnote>
  <w:endnote w:type="continuationSeparator" w:id="0">
    <w:p w14:paraId="09BB31C1" w14:textId="77777777" w:rsidR="00AF4CFC" w:rsidRDefault="00AF4CFC">
      <w:pPr>
        <w:spacing w:line="240" w:lineRule="auto"/>
      </w:pPr>
      <w:r>
        <w:continuationSeparator/>
      </w:r>
    </w:p>
  </w:endnote>
  <w:endnote w:type="continuationNotice" w:id="1">
    <w:p w14:paraId="0FD14E33" w14:textId="77777777" w:rsidR="00AF4CFC" w:rsidRDefault="00AF4C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098014"/>
      <w:docPartObj>
        <w:docPartGallery w:val="Page Numbers (Bottom of Page)"/>
        <w:docPartUnique/>
      </w:docPartObj>
    </w:sdtPr>
    <w:sdtEndPr/>
    <w:sdtContent>
      <w:p w14:paraId="3C0788C0" w14:textId="0F27EDDD" w:rsidR="003C1B10" w:rsidRDefault="003C1B10">
        <w:pPr>
          <w:pStyle w:val="Porat"/>
          <w:jc w:val="center"/>
        </w:pPr>
        <w:r>
          <w:fldChar w:fldCharType="begin"/>
        </w:r>
        <w:r>
          <w:instrText>PAGE   \* MERGEFORMAT</w:instrText>
        </w:r>
        <w:r>
          <w:fldChar w:fldCharType="separate"/>
        </w:r>
        <w:r w:rsidR="009E14CD" w:rsidRPr="009E14CD">
          <w:rPr>
            <w:noProof/>
            <w:lang w:val="lt-LT"/>
          </w:rPr>
          <w:t>57</w:t>
        </w:r>
        <w:r>
          <w:fldChar w:fldCharType="end"/>
        </w:r>
      </w:p>
    </w:sdtContent>
  </w:sdt>
  <w:p w14:paraId="081601C0" w14:textId="77777777" w:rsidR="003C1B10" w:rsidRDefault="003C1B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5D462" w14:textId="77777777" w:rsidR="00AF4CFC" w:rsidRDefault="00AF4CFC">
      <w:pPr>
        <w:spacing w:line="240" w:lineRule="auto"/>
      </w:pPr>
      <w:r>
        <w:separator/>
      </w:r>
    </w:p>
  </w:footnote>
  <w:footnote w:type="continuationSeparator" w:id="0">
    <w:p w14:paraId="13D3BB89" w14:textId="77777777" w:rsidR="00AF4CFC" w:rsidRDefault="00AF4CFC">
      <w:pPr>
        <w:spacing w:line="240" w:lineRule="auto"/>
      </w:pPr>
      <w:r>
        <w:continuationSeparator/>
      </w:r>
    </w:p>
  </w:footnote>
  <w:footnote w:type="continuationNotice" w:id="1">
    <w:p w14:paraId="4F0BE3F8" w14:textId="77777777" w:rsidR="00AF4CFC" w:rsidRDefault="00AF4CF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666C0"/>
    <w:multiLevelType w:val="hybridMultilevel"/>
    <w:tmpl w:val="2A566D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8B7"/>
    <w:multiLevelType w:val="hybridMultilevel"/>
    <w:tmpl w:val="D230330A"/>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E28D5"/>
    <w:multiLevelType w:val="hybridMultilevel"/>
    <w:tmpl w:val="80DA8B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5266"/>
    <w:multiLevelType w:val="hybridMultilevel"/>
    <w:tmpl w:val="D304B81A"/>
    <w:lvl w:ilvl="0" w:tplc="F62A437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91CF8"/>
    <w:multiLevelType w:val="hybridMultilevel"/>
    <w:tmpl w:val="30988C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9486B"/>
    <w:multiLevelType w:val="hybridMultilevel"/>
    <w:tmpl w:val="BA503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91E98"/>
    <w:multiLevelType w:val="hybridMultilevel"/>
    <w:tmpl w:val="692E71E4"/>
    <w:lvl w:ilvl="0" w:tplc="9E5A9020">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A3362"/>
    <w:multiLevelType w:val="hybridMultilevel"/>
    <w:tmpl w:val="CB34491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6783C4C"/>
    <w:multiLevelType w:val="hybridMultilevel"/>
    <w:tmpl w:val="D81C429C"/>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F77B8"/>
    <w:multiLevelType w:val="hybridMultilevel"/>
    <w:tmpl w:val="623E3EDA"/>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15193"/>
    <w:multiLevelType w:val="hybridMultilevel"/>
    <w:tmpl w:val="92EC073C"/>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AF099C"/>
    <w:multiLevelType w:val="hybridMultilevel"/>
    <w:tmpl w:val="A4D86D3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1B00970"/>
    <w:multiLevelType w:val="hybridMultilevel"/>
    <w:tmpl w:val="767AA04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5477F"/>
    <w:multiLevelType w:val="hybridMultilevel"/>
    <w:tmpl w:val="26D2A832"/>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F737C10"/>
    <w:multiLevelType w:val="hybridMultilevel"/>
    <w:tmpl w:val="9B58150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07D5A8C"/>
    <w:multiLevelType w:val="hybridMultilevel"/>
    <w:tmpl w:val="F5600442"/>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9B1094"/>
    <w:multiLevelType w:val="hybridMultilevel"/>
    <w:tmpl w:val="4E1CFA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96870"/>
    <w:multiLevelType w:val="hybridMultilevel"/>
    <w:tmpl w:val="CC16F89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D855F0"/>
    <w:multiLevelType w:val="hybridMultilevel"/>
    <w:tmpl w:val="5C9647B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0A64F2"/>
    <w:multiLevelType w:val="hybridMultilevel"/>
    <w:tmpl w:val="E84EB9A4"/>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64194"/>
    <w:multiLevelType w:val="hybridMultilevel"/>
    <w:tmpl w:val="FC8AF8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75DC1"/>
    <w:multiLevelType w:val="hybridMultilevel"/>
    <w:tmpl w:val="FA2CF65E"/>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56764"/>
    <w:multiLevelType w:val="hybridMultilevel"/>
    <w:tmpl w:val="80ACE6B8"/>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C167C"/>
    <w:multiLevelType w:val="hybridMultilevel"/>
    <w:tmpl w:val="B3428F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34F8E"/>
    <w:multiLevelType w:val="hybridMultilevel"/>
    <w:tmpl w:val="A39AE4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73667"/>
    <w:multiLevelType w:val="hybridMultilevel"/>
    <w:tmpl w:val="B694CCE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7E6C10"/>
    <w:multiLevelType w:val="hybridMultilevel"/>
    <w:tmpl w:val="C7FEEC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83112"/>
    <w:multiLevelType w:val="hybridMultilevel"/>
    <w:tmpl w:val="789C723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B8B3678"/>
    <w:multiLevelType w:val="hybridMultilevel"/>
    <w:tmpl w:val="D4FC64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34A7208">
      <w:start w:val="1"/>
      <w:numFmt w:val="bullet"/>
      <w:lvlText w:val=""/>
      <w:lvlJc w:val="left"/>
      <w:pPr>
        <w:tabs>
          <w:tab w:val="num" w:pos="2367"/>
        </w:tabs>
        <w:ind w:left="2367" w:hanging="567"/>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C4A5EAD"/>
    <w:multiLevelType w:val="hybridMultilevel"/>
    <w:tmpl w:val="D6FABD0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4C63D5"/>
    <w:multiLevelType w:val="hybridMultilevel"/>
    <w:tmpl w:val="ED16EDEA"/>
    <w:lvl w:ilvl="0" w:tplc="9E5A902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E602AF"/>
    <w:multiLevelType w:val="hybridMultilevel"/>
    <w:tmpl w:val="529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B0241"/>
    <w:multiLevelType w:val="hybridMultilevel"/>
    <w:tmpl w:val="65889ED8"/>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A46DA"/>
    <w:multiLevelType w:val="hybridMultilevel"/>
    <w:tmpl w:val="AA3E7A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AD77692"/>
    <w:multiLevelType w:val="hybridMultilevel"/>
    <w:tmpl w:val="11F09AB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54687"/>
    <w:multiLevelType w:val="hybridMultilevel"/>
    <w:tmpl w:val="EA2A0560"/>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DA0315"/>
    <w:multiLevelType w:val="hybridMultilevel"/>
    <w:tmpl w:val="F27E80C0"/>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EEF0772"/>
    <w:multiLevelType w:val="hybridMultilevel"/>
    <w:tmpl w:val="8520AC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EF341DD"/>
    <w:multiLevelType w:val="hybridMultilevel"/>
    <w:tmpl w:val="DD6625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B331DB"/>
    <w:multiLevelType w:val="hybridMultilevel"/>
    <w:tmpl w:val="BBFE92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514F09"/>
    <w:multiLevelType w:val="hybridMultilevel"/>
    <w:tmpl w:val="8BCC98C0"/>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C163599"/>
    <w:multiLevelType w:val="hybridMultilevel"/>
    <w:tmpl w:val="F69A245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C2C7ADD"/>
    <w:multiLevelType w:val="hybridMultilevel"/>
    <w:tmpl w:val="AC2CC9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76E29"/>
    <w:multiLevelType w:val="hybridMultilevel"/>
    <w:tmpl w:val="DDA6DD2E"/>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41"/>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32"/>
  </w:num>
  <w:num w:numId="8">
    <w:abstractNumId w:val="7"/>
  </w:num>
  <w:num w:numId="9">
    <w:abstractNumId w:val="14"/>
  </w:num>
  <w:num w:numId="10">
    <w:abstractNumId w:val="2"/>
  </w:num>
  <w:num w:numId="11">
    <w:abstractNumId w:val="24"/>
  </w:num>
  <w:num w:numId="12">
    <w:abstractNumId w:val="10"/>
  </w:num>
  <w:num w:numId="13">
    <w:abstractNumId w:val="46"/>
  </w:num>
  <w:num w:numId="14">
    <w:abstractNumId w:val="9"/>
  </w:num>
  <w:num w:numId="15">
    <w:abstractNumId w:val="44"/>
  </w:num>
  <w:num w:numId="16">
    <w:abstractNumId w:val="43"/>
  </w:num>
  <w:num w:numId="17">
    <w:abstractNumId w:val="20"/>
  </w:num>
  <w:num w:numId="18">
    <w:abstractNumId w:val="16"/>
  </w:num>
  <w:num w:numId="19">
    <w:abstractNumId w:val="29"/>
  </w:num>
  <w:num w:numId="20">
    <w:abstractNumId w:val="13"/>
  </w:num>
  <w:num w:numId="21">
    <w:abstractNumId w:val="38"/>
  </w:num>
  <w:num w:numId="22">
    <w:abstractNumId w:val="27"/>
  </w:num>
  <w:num w:numId="23">
    <w:abstractNumId w:val="39"/>
  </w:num>
  <w:num w:numId="24">
    <w:abstractNumId w:val="31"/>
  </w:num>
  <w:num w:numId="25">
    <w:abstractNumId w:val="19"/>
  </w:num>
  <w:num w:numId="26">
    <w:abstractNumId w:val="17"/>
  </w:num>
  <w:num w:numId="27">
    <w:abstractNumId w:val="35"/>
  </w:num>
  <w:num w:numId="28">
    <w:abstractNumId w:val="12"/>
  </w:num>
  <w:num w:numId="29">
    <w:abstractNumId w:val="15"/>
  </w:num>
  <w:num w:numId="30">
    <w:abstractNumId w:val="30"/>
  </w:num>
  <w:num w:numId="31">
    <w:abstractNumId w:val="23"/>
  </w:num>
  <w:num w:numId="32">
    <w:abstractNumId w:val="21"/>
  </w:num>
  <w:num w:numId="33">
    <w:abstractNumId w:val="11"/>
  </w:num>
  <w:num w:numId="34">
    <w:abstractNumId w:val="34"/>
  </w:num>
  <w:num w:numId="35">
    <w:abstractNumId w:val="37"/>
  </w:num>
  <w:num w:numId="36">
    <w:abstractNumId w:val="5"/>
  </w:num>
  <w:num w:numId="37">
    <w:abstractNumId w:val="42"/>
  </w:num>
  <w:num w:numId="38">
    <w:abstractNumId w:val="45"/>
  </w:num>
  <w:num w:numId="39">
    <w:abstractNumId w:val="6"/>
  </w:num>
  <w:num w:numId="40">
    <w:abstractNumId w:val="4"/>
  </w:num>
  <w:num w:numId="41">
    <w:abstractNumId w:val="22"/>
  </w:num>
  <w:num w:numId="42">
    <w:abstractNumId w:val="26"/>
  </w:num>
  <w:num w:numId="43">
    <w:abstractNumId w:val="28"/>
  </w:num>
  <w:num w:numId="44">
    <w:abstractNumId w:val="25"/>
  </w:num>
  <w:num w:numId="45">
    <w:abstractNumId w:val="18"/>
  </w:num>
  <w:num w:numId="46">
    <w:abstractNumId w:val="1"/>
  </w:num>
  <w:num w:numId="47">
    <w:abstractNumId w:val="40"/>
  </w:num>
  <w:num w:numId="48">
    <w:abstractNumId w:val="33"/>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BqRcIIq2fmIBQMuQz2Wg7MwjgPjy64q0ZwcMrXodu9wDUyPDj3nigj5D+RMvpSwVuANQ70Yxd8XIrqrXQWbAyQ==" w:salt="Iqzayz5Sd9KsxN4FI6iFn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EF"/>
    <w:rsid w:val="000030F0"/>
    <w:rsid w:val="0001259C"/>
    <w:rsid w:val="00015CCC"/>
    <w:rsid w:val="0002035E"/>
    <w:rsid w:val="00022E85"/>
    <w:rsid w:val="00033B48"/>
    <w:rsid w:val="000350C8"/>
    <w:rsid w:val="0004467B"/>
    <w:rsid w:val="000504A4"/>
    <w:rsid w:val="00055EED"/>
    <w:rsid w:val="00057E72"/>
    <w:rsid w:val="00061371"/>
    <w:rsid w:val="00064A9B"/>
    <w:rsid w:val="00084F73"/>
    <w:rsid w:val="00090A4F"/>
    <w:rsid w:val="00096898"/>
    <w:rsid w:val="000974DC"/>
    <w:rsid w:val="00097B28"/>
    <w:rsid w:val="000B1C23"/>
    <w:rsid w:val="000B4AD3"/>
    <w:rsid w:val="000C15D0"/>
    <w:rsid w:val="000D06CB"/>
    <w:rsid w:val="000D139B"/>
    <w:rsid w:val="000D257D"/>
    <w:rsid w:val="000D5F74"/>
    <w:rsid w:val="000E3494"/>
    <w:rsid w:val="000E5704"/>
    <w:rsid w:val="000F3D79"/>
    <w:rsid w:val="000F6756"/>
    <w:rsid w:val="000F692B"/>
    <w:rsid w:val="00102A9E"/>
    <w:rsid w:val="00106F57"/>
    <w:rsid w:val="001114A3"/>
    <w:rsid w:val="00112C0E"/>
    <w:rsid w:val="00112D32"/>
    <w:rsid w:val="0011554A"/>
    <w:rsid w:val="00117AFE"/>
    <w:rsid w:val="00127B3B"/>
    <w:rsid w:val="00127EF2"/>
    <w:rsid w:val="00133C90"/>
    <w:rsid w:val="00135E70"/>
    <w:rsid w:val="001375AB"/>
    <w:rsid w:val="00141A5B"/>
    <w:rsid w:val="00145178"/>
    <w:rsid w:val="00157CCB"/>
    <w:rsid w:val="00162488"/>
    <w:rsid w:val="00166929"/>
    <w:rsid w:val="00167506"/>
    <w:rsid w:val="00172B21"/>
    <w:rsid w:val="00180DEE"/>
    <w:rsid w:val="00184BEB"/>
    <w:rsid w:val="00184FC1"/>
    <w:rsid w:val="001A12D4"/>
    <w:rsid w:val="001A251B"/>
    <w:rsid w:val="001B277E"/>
    <w:rsid w:val="001B7522"/>
    <w:rsid w:val="001B7CE3"/>
    <w:rsid w:val="001C01A0"/>
    <w:rsid w:val="001C2897"/>
    <w:rsid w:val="001C2BDF"/>
    <w:rsid w:val="001C33FD"/>
    <w:rsid w:val="001C7577"/>
    <w:rsid w:val="001D13F4"/>
    <w:rsid w:val="001D2CEC"/>
    <w:rsid w:val="001D50FD"/>
    <w:rsid w:val="001D61D7"/>
    <w:rsid w:val="001E4AAC"/>
    <w:rsid w:val="001F4C29"/>
    <w:rsid w:val="00200C0A"/>
    <w:rsid w:val="00201460"/>
    <w:rsid w:val="00205871"/>
    <w:rsid w:val="0021388D"/>
    <w:rsid w:val="002227A4"/>
    <w:rsid w:val="0022302D"/>
    <w:rsid w:val="00232C54"/>
    <w:rsid w:val="002364AE"/>
    <w:rsid w:val="002370C3"/>
    <w:rsid w:val="00240B28"/>
    <w:rsid w:val="00242908"/>
    <w:rsid w:val="00243B96"/>
    <w:rsid w:val="002628F3"/>
    <w:rsid w:val="00262C40"/>
    <w:rsid w:val="00272843"/>
    <w:rsid w:val="00277EAB"/>
    <w:rsid w:val="002802A2"/>
    <w:rsid w:val="002A6BAF"/>
    <w:rsid w:val="002C36F8"/>
    <w:rsid w:val="002C7326"/>
    <w:rsid w:val="002D29CF"/>
    <w:rsid w:val="002D5BD9"/>
    <w:rsid w:val="002D62BC"/>
    <w:rsid w:val="002E4196"/>
    <w:rsid w:val="002E4668"/>
    <w:rsid w:val="002E60F1"/>
    <w:rsid w:val="002E7E9C"/>
    <w:rsid w:val="002F1520"/>
    <w:rsid w:val="002F5C5B"/>
    <w:rsid w:val="002F5D50"/>
    <w:rsid w:val="003106EC"/>
    <w:rsid w:val="003215DD"/>
    <w:rsid w:val="0032285F"/>
    <w:rsid w:val="00325FDE"/>
    <w:rsid w:val="00330ABC"/>
    <w:rsid w:val="00336376"/>
    <w:rsid w:val="0034223F"/>
    <w:rsid w:val="00351057"/>
    <w:rsid w:val="003545DB"/>
    <w:rsid w:val="003600CD"/>
    <w:rsid w:val="0036559A"/>
    <w:rsid w:val="00371EEC"/>
    <w:rsid w:val="0037701C"/>
    <w:rsid w:val="00390359"/>
    <w:rsid w:val="00392AED"/>
    <w:rsid w:val="003963C6"/>
    <w:rsid w:val="003A10A2"/>
    <w:rsid w:val="003A31BB"/>
    <w:rsid w:val="003A3936"/>
    <w:rsid w:val="003A541E"/>
    <w:rsid w:val="003A5AB6"/>
    <w:rsid w:val="003A68A4"/>
    <w:rsid w:val="003B337E"/>
    <w:rsid w:val="003B3BAC"/>
    <w:rsid w:val="003B6A58"/>
    <w:rsid w:val="003C15DB"/>
    <w:rsid w:val="003C1B10"/>
    <w:rsid w:val="003C521C"/>
    <w:rsid w:val="003E0A67"/>
    <w:rsid w:val="003E3214"/>
    <w:rsid w:val="003E4030"/>
    <w:rsid w:val="003F4CDC"/>
    <w:rsid w:val="00404F06"/>
    <w:rsid w:val="004128F9"/>
    <w:rsid w:val="00413CC4"/>
    <w:rsid w:val="004155C4"/>
    <w:rsid w:val="004369CB"/>
    <w:rsid w:val="00437695"/>
    <w:rsid w:val="00440C03"/>
    <w:rsid w:val="00441D74"/>
    <w:rsid w:val="00442102"/>
    <w:rsid w:val="004421C3"/>
    <w:rsid w:val="00444D27"/>
    <w:rsid w:val="004452F0"/>
    <w:rsid w:val="004512F8"/>
    <w:rsid w:val="00457BE1"/>
    <w:rsid w:val="00463432"/>
    <w:rsid w:val="0046663D"/>
    <w:rsid w:val="00473A5C"/>
    <w:rsid w:val="00474745"/>
    <w:rsid w:val="004923C8"/>
    <w:rsid w:val="004A0BF2"/>
    <w:rsid w:val="004A398B"/>
    <w:rsid w:val="004A76EE"/>
    <w:rsid w:val="004B4C2B"/>
    <w:rsid w:val="004B7E68"/>
    <w:rsid w:val="004C42B9"/>
    <w:rsid w:val="004D5AFB"/>
    <w:rsid w:val="004E035E"/>
    <w:rsid w:val="004E50C8"/>
    <w:rsid w:val="004F740C"/>
    <w:rsid w:val="004F7E7B"/>
    <w:rsid w:val="00500CC1"/>
    <w:rsid w:val="00501D6A"/>
    <w:rsid w:val="0050371F"/>
    <w:rsid w:val="00504AEE"/>
    <w:rsid w:val="00513D7E"/>
    <w:rsid w:val="0051514B"/>
    <w:rsid w:val="00524730"/>
    <w:rsid w:val="00530492"/>
    <w:rsid w:val="005320B5"/>
    <w:rsid w:val="00550EDB"/>
    <w:rsid w:val="00553EC4"/>
    <w:rsid w:val="00572220"/>
    <w:rsid w:val="00574F16"/>
    <w:rsid w:val="0058110B"/>
    <w:rsid w:val="005838BC"/>
    <w:rsid w:val="00585C26"/>
    <w:rsid w:val="005A02CE"/>
    <w:rsid w:val="005B0400"/>
    <w:rsid w:val="005C0B9B"/>
    <w:rsid w:val="005C767C"/>
    <w:rsid w:val="005D3F3D"/>
    <w:rsid w:val="005D6EE6"/>
    <w:rsid w:val="005E0A88"/>
    <w:rsid w:val="005E77CF"/>
    <w:rsid w:val="005F096E"/>
    <w:rsid w:val="005F6C7B"/>
    <w:rsid w:val="00601E71"/>
    <w:rsid w:val="006033DC"/>
    <w:rsid w:val="00611F47"/>
    <w:rsid w:val="006144FE"/>
    <w:rsid w:val="006166D6"/>
    <w:rsid w:val="006170FB"/>
    <w:rsid w:val="00617442"/>
    <w:rsid w:val="00623610"/>
    <w:rsid w:val="006321A6"/>
    <w:rsid w:val="00637670"/>
    <w:rsid w:val="00644578"/>
    <w:rsid w:val="006550AF"/>
    <w:rsid w:val="00655742"/>
    <w:rsid w:val="006568A7"/>
    <w:rsid w:val="00661ACC"/>
    <w:rsid w:val="00667674"/>
    <w:rsid w:val="006709E3"/>
    <w:rsid w:val="006811CF"/>
    <w:rsid w:val="00682E7F"/>
    <w:rsid w:val="0069150D"/>
    <w:rsid w:val="006A7397"/>
    <w:rsid w:val="006B58F3"/>
    <w:rsid w:val="006C298F"/>
    <w:rsid w:val="006C2C0D"/>
    <w:rsid w:val="006D11B5"/>
    <w:rsid w:val="006D67A2"/>
    <w:rsid w:val="006E545D"/>
    <w:rsid w:val="006F30EB"/>
    <w:rsid w:val="007031A3"/>
    <w:rsid w:val="00705EEC"/>
    <w:rsid w:val="00706093"/>
    <w:rsid w:val="007104E8"/>
    <w:rsid w:val="00722415"/>
    <w:rsid w:val="00722536"/>
    <w:rsid w:val="007228E1"/>
    <w:rsid w:val="00723E34"/>
    <w:rsid w:val="00730073"/>
    <w:rsid w:val="007314E9"/>
    <w:rsid w:val="00737542"/>
    <w:rsid w:val="00737DD6"/>
    <w:rsid w:val="00737EED"/>
    <w:rsid w:val="007567AE"/>
    <w:rsid w:val="007625B6"/>
    <w:rsid w:val="00765F40"/>
    <w:rsid w:val="00771EB1"/>
    <w:rsid w:val="00776141"/>
    <w:rsid w:val="00777DC1"/>
    <w:rsid w:val="0078327E"/>
    <w:rsid w:val="007A6781"/>
    <w:rsid w:val="007D59EF"/>
    <w:rsid w:val="007E0E72"/>
    <w:rsid w:val="007E1AC3"/>
    <w:rsid w:val="007F04D7"/>
    <w:rsid w:val="007F5665"/>
    <w:rsid w:val="007F5F93"/>
    <w:rsid w:val="00800915"/>
    <w:rsid w:val="00806D88"/>
    <w:rsid w:val="00816944"/>
    <w:rsid w:val="00817486"/>
    <w:rsid w:val="0082184E"/>
    <w:rsid w:val="00827615"/>
    <w:rsid w:val="008365FF"/>
    <w:rsid w:val="008446E8"/>
    <w:rsid w:val="00854322"/>
    <w:rsid w:val="008554E1"/>
    <w:rsid w:val="00862A86"/>
    <w:rsid w:val="00863C23"/>
    <w:rsid w:val="00864446"/>
    <w:rsid w:val="00864EBB"/>
    <w:rsid w:val="00874F4D"/>
    <w:rsid w:val="00874F6E"/>
    <w:rsid w:val="00877625"/>
    <w:rsid w:val="00882DD7"/>
    <w:rsid w:val="0088318A"/>
    <w:rsid w:val="00884447"/>
    <w:rsid w:val="008846C4"/>
    <w:rsid w:val="00892ABC"/>
    <w:rsid w:val="00895A1C"/>
    <w:rsid w:val="008D18F1"/>
    <w:rsid w:val="008D340F"/>
    <w:rsid w:val="008E161D"/>
    <w:rsid w:val="008E5301"/>
    <w:rsid w:val="008F09EF"/>
    <w:rsid w:val="008F2DA4"/>
    <w:rsid w:val="008F7165"/>
    <w:rsid w:val="008F7537"/>
    <w:rsid w:val="008F7EB7"/>
    <w:rsid w:val="00900B3C"/>
    <w:rsid w:val="00902922"/>
    <w:rsid w:val="00903D83"/>
    <w:rsid w:val="009075C0"/>
    <w:rsid w:val="0091727A"/>
    <w:rsid w:val="00924EE1"/>
    <w:rsid w:val="0093142C"/>
    <w:rsid w:val="00935197"/>
    <w:rsid w:val="00936EED"/>
    <w:rsid w:val="00940D42"/>
    <w:rsid w:val="00947997"/>
    <w:rsid w:val="00950226"/>
    <w:rsid w:val="009609BA"/>
    <w:rsid w:val="00962968"/>
    <w:rsid w:val="009811BD"/>
    <w:rsid w:val="00981CBF"/>
    <w:rsid w:val="009856F2"/>
    <w:rsid w:val="00987F30"/>
    <w:rsid w:val="009B48B7"/>
    <w:rsid w:val="009B6F72"/>
    <w:rsid w:val="009C71F8"/>
    <w:rsid w:val="009E14CD"/>
    <w:rsid w:val="00A02A0E"/>
    <w:rsid w:val="00A1584A"/>
    <w:rsid w:val="00A15D33"/>
    <w:rsid w:val="00A17F6A"/>
    <w:rsid w:val="00A230E3"/>
    <w:rsid w:val="00A25BD9"/>
    <w:rsid w:val="00A27523"/>
    <w:rsid w:val="00A300A3"/>
    <w:rsid w:val="00A375B9"/>
    <w:rsid w:val="00A53816"/>
    <w:rsid w:val="00A6234E"/>
    <w:rsid w:val="00A62BCA"/>
    <w:rsid w:val="00A804F0"/>
    <w:rsid w:val="00A80CA1"/>
    <w:rsid w:val="00A82004"/>
    <w:rsid w:val="00A92772"/>
    <w:rsid w:val="00A949DA"/>
    <w:rsid w:val="00A964BA"/>
    <w:rsid w:val="00AB0482"/>
    <w:rsid w:val="00AB17E9"/>
    <w:rsid w:val="00AB6CCB"/>
    <w:rsid w:val="00AC089E"/>
    <w:rsid w:val="00AC22EC"/>
    <w:rsid w:val="00AC2DDA"/>
    <w:rsid w:val="00AC4A62"/>
    <w:rsid w:val="00AC68AE"/>
    <w:rsid w:val="00AD444B"/>
    <w:rsid w:val="00AE0D8B"/>
    <w:rsid w:val="00AE4799"/>
    <w:rsid w:val="00AF4CFC"/>
    <w:rsid w:val="00B200C4"/>
    <w:rsid w:val="00B36A0E"/>
    <w:rsid w:val="00B40009"/>
    <w:rsid w:val="00B4052F"/>
    <w:rsid w:val="00B555A2"/>
    <w:rsid w:val="00B555F9"/>
    <w:rsid w:val="00B55C94"/>
    <w:rsid w:val="00B61996"/>
    <w:rsid w:val="00B63114"/>
    <w:rsid w:val="00B64009"/>
    <w:rsid w:val="00B67A97"/>
    <w:rsid w:val="00B94096"/>
    <w:rsid w:val="00B956B9"/>
    <w:rsid w:val="00BA05C3"/>
    <w:rsid w:val="00BA6AC8"/>
    <w:rsid w:val="00BC3F9C"/>
    <w:rsid w:val="00BD467B"/>
    <w:rsid w:val="00BD4E42"/>
    <w:rsid w:val="00BD688E"/>
    <w:rsid w:val="00BE46D1"/>
    <w:rsid w:val="00C05C41"/>
    <w:rsid w:val="00C072AF"/>
    <w:rsid w:val="00C2435F"/>
    <w:rsid w:val="00C260E1"/>
    <w:rsid w:val="00C26A7C"/>
    <w:rsid w:val="00C33AE5"/>
    <w:rsid w:val="00C34180"/>
    <w:rsid w:val="00C409D8"/>
    <w:rsid w:val="00C42A58"/>
    <w:rsid w:val="00C43802"/>
    <w:rsid w:val="00C62395"/>
    <w:rsid w:val="00C62F99"/>
    <w:rsid w:val="00C633B3"/>
    <w:rsid w:val="00C735EA"/>
    <w:rsid w:val="00C7642F"/>
    <w:rsid w:val="00C77BA1"/>
    <w:rsid w:val="00C80BEA"/>
    <w:rsid w:val="00C83DE3"/>
    <w:rsid w:val="00C87183"/>
    <w:rsid w:val="00C956E0"/>
    <w:rsid w:val="00CA6EF4"/>
    <w:rsid w:val="00CB0496"/>
    <w:rsid w:val="00CE2F55"/>
    <w:rsid w:val="00CE332D"/>
    <w:rsid w:val="00D15D10"/>
    <w:rsid w:val="00D210D8"/>
    <w:rsid w:val="00D2259C"/>
    <w:rsid w:val="00D226C2"/>
    <w:rsid w:val="00D23083"/>
    <w:rsid w:val="00D230A0"/>
    <w:rsid w:val="00D27CB6"/>
    <w:rsid w:val="00D300AF"/>
    <w:rsid w:val="00D347D3"/>
    <w:rsid w:val="00D362B7"/>
    <w:rsid w:val="00D367F8"/>
    <w:rsid w:val="00D45D35"/>
    <w:rsid w:val="00D46123"/>
    <w:rsid w:val="00D51EB3"/>
    <w:rsid w:val="00D54D9F"/>
    <w:rsid w:val="00D56C88"/>
    <w:rsid w:val="00D57F04"/>
    <w:rsid w:val="00D617A4"/>
    <w:rsid w:val="00D72924"/>
    <w:rsid w:val="00D733DB"/>
    <w:rsid w:val="00D7363B"/>
    <w:rsid w:val="00D7407F"/>
    <w:rsid w:val="00D77FA6"/>
    <w:rsid w:val="00D85DCF"/>
    <w:rsid w:val="00D9192C"/>
    <w:rsid w:val="00D93655"/>
    <w:rsid w:val="00D93AD9"/>
    <w:rsid w:val="00D95619"/>
    <w:rsid w:val="00D96359"/>
    <w:rsid w:val="00D971A5"/>
    <w:rsid w:val="00DA4C6C"/>
    <w:rsid w:val="00DB5664"/>
    <w:rsid w:val="00DD2BD9"/>
    <w:rsid w:val="00DD4278"/>
    <w:rsid w:val="00DD5090"/>
    <w:rsid w:val="00DD5690"/>
    <w:rsid w:val="00DE53D7"/>
    <w:rsid w:val="00DE6882"/>
    <w:rsid w:val="00E01659"/>
    <w:rsid w:val="00E116DE"/>
    <w:rsid w:val="00E175CE"/>
    <w:rsid w:val="00E2056E"/>
    <w:rsid w:val="00E2278F"/>
    <w:rsid w:val="00E2385F"/>
    <w:rsid w:val="00E24FC8"/>
    <w:rsid w:val="00E32BF8"/>
    <w:rsid w:val="00E416A9"/>
    <w:rsid w:val="00E45B61"/>
    <w:rsid w:val="00E652C0"/>
    <w:rsid w:val="00E66B49"/>
    <w:rsid w:val="00E70764"/>
    <w:rsid w:val="00E76FCE"/>
    <w:rsid w:val="00E81A02"/>
    <w:rsid w:val="00E82E41"/>
    <w:rsid w:val="00E911D1"/>
    <w:rsid w:val="00E914AF"/>
    <w:rsid w:val="00EA5B9B"/>
    <w:rsid w:val="00EC0037"/>
    <w:rsid w:val="00EC18DC"/>
    <w:rsid w:val="00EC46F9"/>
    <w:rsid w:val="00EE1B7F"/>
    <w:rsid w:val="00EE4FB9"/>
    <w:rsid w:val="00EE53CD"/>
    <w:rsid w:val="00EE57F9"/>
    <w:rsid w:val="00EF2338"/>
    <w:rsid w:val="00EF6D03"/>
    <w:rsid w:val="00EF74C9"/>
    <w:rsid w:val="00F035CF"/>
    <w:rsid w:val="00F06F46"/>
    <w:rsid w:val="00F13A07"/>
    <w:rsid w:val="00F14D7E"/>
    <w:rsid w:val="00F16448"/>
    <w:rsid w:val="00F1651D"/>
    <w:rsid w:val="00F22744"/>
    <w:rsid w:val="00F31318"/>
    <w:rsid w:val="00F34163"/>
    <w:rsid w:val="00F3701E"/>
    <w:rsid w:val="00F5481F"/>
    <w:rsid w:val="00F55D37"/>
    <w:rsid w:val="00F67CCA"/>
    <w:rsid w:val="00F81994"/>
    <w:rsid w:val="00F83021"/>
    <w:rsid w:val="00F8722E"/>
    <w:rsid w:val="00F90A49"/>
    <w:rsid w:val="00FA14F7"/>
    <w:rsid w:val="00FA6322"/>
    <w:rsid w:val="00FA69CB"/>
    <w:rsid w:val="00FB0FA0"/>
    <w:rsid w:val="00FC7AB6"/>
    <w:rsid w:val="00FD3E2F"/>
    <w:rsid w:val="00FE079C"/>
    <w:rsid w:val="00FE74E3"/>
    <w:rsid w:val="00FF0B3C"/>
    <w:rsid w:val="00FF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933D"/>
  <w15:docId w15:val="{84D9656D-0F63-46FE-A74C-B536A577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59E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D59E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D59E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7D59E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7D59E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7D59E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7D59E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7D59E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7D59E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7D59E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D59E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7D59E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D59E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D59E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7D59E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7D59E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7D59E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D59E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D59EF"/>
    <w:rPr>
      <w:rFonts w:ascii="Times New Roman" w:eastAsia="SimSun" w:hAnsi="Times New Roman" w:cs="Times New Roman"/>
      <w:b/>
      <w:i/>
      <w:szCs w:val="20"/>
      <w:lang w:val="en-GB"/>
    </w:rPr>
  </w:style>
  <w:style w:type="paragraph" w:styleId="Porat">
    <w:name w:val="footer"/>
    <w:basedOn w:val="prastasis"/>
    <w:link w:val="PoratDiagrama"/>
    <w:uiPriority w:val="99"/>
    <w:rsid w:val="007D59EF"/>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7D59EF"/>
    <w:rPr>
      <w:rFonts w:ascii="Times New Roman" w:eastAsia="Times New Roman" w:hAnsi="Times New Roman" w:cs="Times New Roman"/>
      <w:snapToGrid w:val="0"/>
      <w:szCs w:val="20"/>
      <w:lang w:val="en-GB" w:eastAsia="x-none"/>
    </w:rPr>
  </w:style>
  <w:style w:type="character" w:customStyle="1" w:styleId="HeaderChar">
    <w:name w:val="Header Char"/>
    <w:rsid w:val="007D59EF"/>
    <w:rPr>
      <w:snapToGrid w:val="0"/>
      <w:sz w:val="22"/>
      <w:lang w:val="en-GB" w:eastAsia="en-US"/>
    </w:rPr>
  </w:style>
  <w:style w:type="character" w:styleId="Puslapionumeris">
    <w:name w:val="page number"/>
    <w:uiPriority w:val="99"/>
    <w:rsid w:val="007D59EF"/>
    <w:rPr>
      <w:rFonts w:cs="Times New Roman"/>
    </w:rPr>
  </w:style>
  <w:style w:type="character" w:styleId="Hipersaitas">
    <w:name w:val="Hyperlink"/>
    <w:rsid w:val="007D59EF"/>
    <w:rPr>
      <w:color w:val="0000FF"/>
      <w:u w:val="single"/>
    </w:rPr>
  </w:style>
  <w:style w:type="paragraph" w:customStyle="1" w:styleId="BodytextAgency">
    <w:name w:val="Body text (Agency)"/>
    <w:basedOn w:val="prastasis"/>
    <w:link w:val="BodytextAgencyChar"/>
    <w:uiPriority w:val="99"/>
    <w:rsid w:val="007D59EF"/>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7D59EF"/>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D59EF"/>
    <w:pPr>
      <w:spacing w:after="0" w:line="240" w:lineRule="auto"/>
    </w:pPr>
    <w:rPr>
      <w:rFonts w:ascii="Verdana" w:eastAsia="Times New Roman" w:hAnsi="Verdana" w:cs="Times New Roman"/>
      <w:snapToGrid w:val="0"/>
      <w:sz w:val="18"/>
      <w:lang w:val="en-GB"/>
    </w:rPr>
  </w:style>
  <w:style w:type="character" w:customStyle="1" w:styleId="NormalAgencyChar">
    <w:name w:val="Normal (Agency) Char"/>
    <w:link w:val="NormalAgency"/>
    <w:uiPriority w:val="99"/>
    <w:locked/>
    <w:rsid w:val="007D59EF"/>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7D59EF"/>
    <w:pPr>
      <w:tabs>
        <w:tab w:val="clear" w:pos="567"/>
      </w:tabs>
      <w:spacing w:line="280" w:lineRule="exact"/>
    </w:pPr>
    <w:rPr>
      <w:rFonts w:ascii="Verdana" w:hAnsi="Verdana"/>
      <w:sz w:val="18"/>
    </w:rPr>
  </w:style>
  <w:style w:type="character" w:customStyle="1" w:styleId="tw4winError">
    <w:name w:val="tw4winError"/>
    <w:uiPriority w:val="99"/>
    <w:rsid w:val="007D59EF"/>
    <w:rPr>
      <w:rFonts w:ascii="Courier New" w:hAnsi="Courier New"/>
      <w:color w:val="00FF00"/>
      <w:sz w:val="40"/>
    </w:rPr>
  </w:style>
  <w:style w:type="character" w:customStyle="1" w:styleId="tw4winTerm">
    <w:name w:val="tw4winTerm"/>
    <w:uiPriority w:val="99"/>
    <w:rsid w:val="007D59EF"/>
    <w:rPr>
      <w:color w:val="0000FF"/>
    </w:rPr>
  </w:style>
  <w:style w:type="character" w:customStyle="1" w:styleId="tw4winPopup">
    <w:name w:val="tw4winPopup"/>
    <w:uiPriority w:val="99"/>
    <w:rsid w:val="007D59EF"/>
    <w:rPr>
      <w:rFonts w:ascii="Courier New" w:hAnsi="Courier New"/>
      <w:noProof/>
      <w:color w:val="008000"/>
    </w:rPr>
  </w:style>
  <w:style w:type="character" w:customStyle="1" w:styleId="tw4winJump">
    <w:name w:val="tw4winJump"/>
    <w:uiPriority w:val="99"/>
    <w:rsid w:val="007D59EF"/>
    <w:rPr>
      <w:rFonts w:ascii="Courier New" w:hAnsi="Courier New"/>
      <w:noProof/>
      <w:color w:val="008080"/>
    </w:rPr>
  </w:style>
  <w:style w:type="character" w:customStyle="1" w:styleId="tw4winExternal">
    <w:name w:val="tw4winExternal"/>
    <w:uiPriority w:val="99"/>
    <w:rsid w:val="007D59EF"/>
    <w:rPr>
      <w:rFonts w:ascii="Courier New" w:hAnsi="Courier New"/>
      <w:noProof/>
      <w:color w:val="808080"/>
    </w:rPr>
  </w:style>
  <w:style w:type="character" w:customStyle="1" w:styleId="tw4winInternal">
    <w:name w:val="tw4winInternal"/>
    <w:uiPriority w:val="99"/>
    <w:rsid w:val="007D59EF"/>
    <w:rPr>
      <w:rFonts w:ascii="Courier New" w:hAnsi="Courier New"/>
      <w:noProof/>
      <w:color w:val="FF0000"/>
    </w:rPr>
  </w:style>
  <w:style w:type="character" w:customStyle="1" w:styleId="DONOTTRANSLATE">
    <w:name w:val="DO_NOT_TRANSLATE"/>
    <w:uiPriority w:val="99"/>
    <w:rsid w:val="007D59EF"/>
    <w:rPr>
      <w:rFonts w:ascii="Courier New" w:hAnsi="Courier New"/>
      <w:noProof/>
      <w:color w:val="800000"/>
    </w:rPr>
  </w:style>
  <w:style w:type="paragraph" w:styleId="Debesliotekstas">
    <w:name w:val="Balloon Text"/>
    <w:basedOn w:val="prastasis"/>
    <w:link w:val="DebesliotekstasDiagrama"/>
    <w:uiPriority w:val="99"/>
    <w:rsid w:val="007D59E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7D59EF"/>
    <w:rPr>
      <w:rFonts w:ascii="Tahoma" w:eastAsia="Times New Roman" w:hAnsi="Tahoma" w:cs="Times New Roman"/>
      <w:snapToGrid w:val="0"/>
      <w:sz w:val="16"/>
      <w:szCs w:val="16"/>
      <w:lang w:val="en-GB" w:eastAsia="x-none"/>
    </w:rPr>
  </w:style>
  <w:style w:type="character" w:styleId="Komentaronuoroda">
    <w:name w:val="annotation reference"/>
    <w:uiPriority w:val="99"/>
    <w:rsid w:val="007D59EF"/>
    <w:rPr>
      <w:sz w:val="16"/>
      <w:szCs w:val="16"/>
    </w:rPr>
  </w:style>
  <w:style w:type="paragraph" w:styleId="Komentarotekstas">
    <w:name w:val="annotation text"/>
    <w:basedOn w:val="prastasis"/>
    <w:link w:val="KomentarotekstasDiagrama"/>
    <w:uiPriority w:val="99"/>
    <w:rsid w:val="007D59EF"/>
    <w:rPr>
      <w:sz w:val="20"/>
    </w:rPr>
  </w:style>
  <w:style w:type="character" w:customStyle="1" w:styleId="KomentarotekstasDiagrama">
    <w:name w:val="Komentaro tekstas Diagrama"/>
    <w:basedOn w:val="Numatytasispastraiposriftas"/>
    <w:link w:val="Komentarotekstas"/>
    <w:uiPriority w:val="99"/>
    <w:rsid w:val="007D59E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D59EF"/>
    <w:rPr>
      <w:b/>
      <w:bCs/>
    </w:rPr>
  </w:style>
  <w:style w:type="character" w:customStyle="1" w:styleId="KomentarotemaDiagrama">
    <w:name w:val="Komentaro tema Diagrama"/>
    <w:basedOn w:val="KomentarotekstasDiagrama"/>
    <w:link w:val="Komentarotema"/>
    <w:uiPriority w:val="99"/>
    <w:rsid w:val="007D59EF"/>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7D59E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D59EF"/>
    <w:rPr>
      <w:rFonts w:ascii="Courier New" w:hAnsi="Courier New"/>
      <w:vanish/>
      <w:color w:val="800080"/>
      <w:sz w:val="24"/>
      <w:vertAlign w:val="subscript"/>
    </w:rPr>
  </w:style>
  <w:style w:type="paragraph" w:styleId="Antrats">
    <w:name w:val="header"/>
    <w:basedOn w:val="prastasis"/>
    <w:link w:val="AntratsDiagrama"/>
    <w:uiPriority w:val="99"/>
    <w:rsid w:val="007D59EF"/>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D59E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D59E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D59E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D59E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7D59E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D59E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7D59E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D59E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7D59E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D59E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7D59E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D59E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7D59E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D59E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D59EF"/>
    <w:pPr>
      <w:tabs>
        <w:tab w:val="clear" w:pos="720"/>
        <w:tab w:val="num" w:pos="360"/>
      </w:tabs>
      <w:ind w:left="709" w:hanging="425"/>
    </w:pPr>
    <w:rPr>
      <w:sz w:val="22"/>
    </w:rPr>
  </w:style>
  <w:style w:type="paragraph" w:customStyle="1" w:styleId="AHeader3">
    <w:name w:val="AHeader 3"/>
    <w:basedOn w:val="AHeader2"/>
    <w:uiPriority w:val="99"/>
    <w:rsid w:val="007D59EF"/>
    <w:pPr>
      <w:ind w:left="1276" w:hanging="567"/>
    </w:pPr>
  </w:style>
  <w:style w:type="paragraph" w:customStyle="1" w:styleId="AHeader2abc">
    <w:name w:val="AHeader 2 abc"/>
    <w:basedOn w:val="AHeader3"/>
    <w:uiPriority w:val="99"/>
    <w:rsid w:val="007D59EF"/>
    <w:pPr>
      <w:jc w:val="both"/>
    </w:pPr>
    <w:rPr>
      <w:b w:val="0"/>
      <w:bCs w:val="0"/>
    </w:rPr>
  </w:style>
  <w:style w:type="paragraph" w:customStyle="1" w:styleId="AHeader3abc">
    <w:name w:val="AHeader 3 abc"/>
    <w:basedOn w:val="AHeader2abc"/>
    <w:uiPriority w:val="99"/>
    <w:rsid w:val="007D59EF"/>
    <w:pPr>
      <w:ind w:left="1701" w:hanging="425"/>
    </w:pPr>
  </w:style>
  <w:style w:type="paragraph" w:styleId="Pagrindiniotekstotrauka3">
    <w:name w:val="Body Text Indent 3"/>
    <w:basedOn w:val="prastasis"/>
    <w:link w:val="Pagrindiniotekstotrauka3Diagrama"/>
    <w:uiPriority w:val="99"/>
    <w:rsid w:val="007D59E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7D59EF"/>
    <w:rPr>
      <w:rFonts w:ascii="Times New Roman" w:eastAsia="SimSun" w:hAnsi="Times New Roman" w:cs="Times New Roman"/>
      <w:szCs w:val="21"/>
      <w:lang w:val="en-GB"/>
    </w:rPr>
  </w:style>
  <w:style w:type="character" w:styleId="Perirtashipersaitas">
    <w:name w:val="FollowedHyperlink"/>
    <w:uiPriority w:val="99"/>
    <w:rsid w:val="007D59EF"/>
    <w:rPr>
      <w:rFonts w:cs="Times New Roman"/>
      <w:color w:val="800080"/>
      <w:u w:val="single"/>
    </w:rPr>
  </w:style>
  <w:style w:type="character" w:styleId="Grietas">
    <w:name w:val="Strong"/>
    <w:uiPriority w:val="99"/>
    <w:qFormat/>
    <w:rsid w:val="007D59EF"/>
    <w:rPr>
      <w:rFonts w:cs="Times New Roman"/>
      <w:b/>
      <w:bCs/>
    </w:rPr>
  </w:style>
  <w:style w:type="paragraph" w:customStyle="1" w:styleId="TableheadingrowsAgency">
    <w:name w:val="Table heading rows (Agency)"/>
    <w:basedOn w:val="BodytextAgency"/>
    <w:uiPriority w:val="99"/>
    <w:rsid w:val="007D59EF"/>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7D59E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D59EF"/>
    <w:rPr>
      <w:rFonts w:ascii="Courier New" w:eastAsia="SimSun" w:hAnsi="Courier New" w:cs="Times New Roman"/>
      <w:sz w:val="20"/>
      <w:szCs w:val="20"/>
    </w:rPr>
  </w:style>
  <w:style w:type="paragraph" w:customStyle="1" w:styleId="Default">
    <w:name w:val="Default"/>
    <w:rsid w:val="007D59E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7D59E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7D59E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D59E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7D59EF"/>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D59E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7D59EF"/>
    <w:rPr>
      <w:rFonts w:ascii="Times New Roman" w:eastAsia="SimSun" w:hAnsi="Times New Roman" w:cs="Times New Roman"/>
      <w:noProof/>
      <w:sz w:val="20"/>
      <w:szCs w:val="20"/>
      <w:lang w:val="x-none" w:eastAsia="x-none"/>
    </w:rPr>
  </w:style>
  <w:style w:type="character" w:customStyle="1" w:styleId="CharChar12">
    <w:name w:val="Char Char12"/>
    <w:locked/>
    <w:rsid w:val="007D59EF"/>
    <w:rPr>
      <w:snapToGrid w:val="0"/>
      <w:lang w:val="en-GB" w:eastAsia="en-US" w:bidi="ar-SA"/>
    </w:rPr>
  </w:style>
  <w:style w:type="paragraph" w:styleId="Sraopastraipa">
    <w:name w:val="List Paragraph"/>
    <w:basedOn w:val="prastasis"/>
    <w:uiPriority w:val="34"/>
    <w:qFormat/>
    <w:rsid w:val="007D59EF"/>
    <w:pPr>
      <w:tabs>
        <w:tab w:val="clear" w:pos="567"/>
      </w:tabs>
      <w:spacing w:after="200" w:line="276" w:lineRule="auto"/>
      <w:ind w:left="720"/>
      <w:contextualSpacing/>
    </w:pPr>
    <w:rPr>
      <w:rFonts w:ascii="Calibri" w:eastAsia="Calibri" w:hAnsi="Calibri"/>
      <w:snapToGrid/>
      <w:szCs w:val="22"/>
    </w:rPr>
  </w:style>
  <w:style w:type="paragraph" w:styleId="Pataisymai">
    <w:name w:val="Revision"/>
    <w:hidden/>
    <w:uiPriority w:val="99"/>
    <w:semiHidden/>
    <w:rsid w:val="00E76FCE"/>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E76FCE"/>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uiPriority w:val="59"/>
    <w:rsid w:val="00E76FCE"/>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1782">
      <w:bodyDiv w:val="1"/>
      <w:marLeft w:val="0"/>
      <w:marRight w:val="0"/>
      <w:marTop w:val="0"/>
      <w:marBottom w:val="0"/>
      <w:divBdr>
        <w:top w:val="none" w:sz="0" w:space="0" w:color="auto"/>
        <w:left w:val="none" w:sz="0" w:space="0" w:color="auto"/>
        <w:bottom w:val="none" w:sz="0" w:space="0" w:color="auto"/>
        <w:right w:val="none" w:sz="0" w:space="0" w:color="auto"/>
      </w:divBdr>
      <w:divsChild>
        <w:div w:id="455877795">
          <w:marLeft w:val="0"/>
          <w:marRight w:val="0"/>
          <w:marTop w:val="0"/>
          <w:marBottom w:val="0"/>
          <w:divBdr>
            <w:top w:val="none" w:sz="0" w:space="0" w:color="auto"/>
            <w:left w:val="none" w:sz="0" w:space="0" w:color="auto"/>
            <w:bottom w:val="none" w:sz="0" w:space="0" w:color="auto"/>
            <w:right w:val="none" w:sz="0" w:space="0" w:color="auto"/>
          </w:divBdr>
          <w:divsChild>
            <w:div w:id="392586127">
              <w:marLeft w:val="0"/>
              <w:marRight w:val="0"/>
              <w:marTop w:val="0"/>
              <w:marBottom w:val="0"/>
              <w:divBdr>
                <w:top w:val="none" w:sz="0" w:space="0" w:color="auto"/>
                <w:left w:val="none" w:sz="0" w:space="0" w:color="auto"/>
                <w:bottom w:val="none" w:sz="0" w:space="0" w:color="auto"/>
                <w:right w:val="none" w:sz="0" w:space="0" w:color="auto"/>
              </w:divBdr>
              <w:divsChild>
                <w:div w:id="1090545935">
                  <w:marLeft w:val="0"/>
                  <w:marRight w:val="0"/>
                  <w:marTop w:val="0"/>
                  <w:marBottom w:val="0"/>
                  <w:divBdr>
                    <w:top w:val="none" w:sz="0" w:space="0" w:color="auto"/>
                    <w:left w:val="none" w:sz="0" w:space="0" w:color="auto"/>
                    <w:bottom w:val="none" w:sz="0" w:space="0" w:color="auto"/>
                    <w:right w:val="none" w:sz="0" w:space="0" w:color="auto"/>
                  </w:divBdr>
                  <w:divsChild>
                    <w:div w:id="618028003">
                      <w:marLeft w:val="0"/>
                      <w:marRight w:val="0"/>
                      <w:marTop w:val="0"/>
                      <w:marBottom w:val="0"/>
                      <w:divBdr>
                        <w:top w:val="none" w:sz="0" w:space="0" w:color="auto"/>
                        <w:left w:val="none" w:sz="0" w:space="0" w:color="auto"/>
                        <w:bottom w:val="none" w:sz="0" w:space="0" w:color="auto"/>
                        <w:right w:val="none" w:sz="0" w:space="0" w:color="auto"/>
                      </w:divBdr>
                      <w:divsChild>
                        <w:div w:id="349257790">
                          <w:marLeft w:val="0"/>
                          <w:marRight w:val="0"/>
                          <w:marTop w:val="0"/>
                          <w:marBottom w:val="0"/>
                          <w:divBdr>
                            <w:top w:val="none" w:sz="0" w:space="0" w:color="auto"/>
                            <w:left w:val="none" w:sz="0" w:space="0" w:color="auto"/>
                            <w:bottom w:val="none" w:sz="0" w:space="0" w:color="auto"/>
                            <w:right w:val="none" w:sz="0" w:space="0" w:color="auto"/>
                          </w:divBdr>
                          <w:divsChild>
                            <w:div w:id="267548504">
                              <w:marLeft w:val="0"/>
                              <w:marRight w:val="0"/>
                              <w:marTop w:val="0"/>
                              <w:marBottom w:val="0"/>
                              <w:divBdr>
                                <w:top w:val="none" w:sz="0" w:space="0" w:color="auto"/>
                                <w:left w:val="none" w:sz="0" w:space="0" w:color="auto"/>
                                <w:bottom w:val="none" w:sz="0" w:space="0" w:color="auto"/>
                                <w:right w:val="none" w:sz="0" w:space="0" w:color="auto"/>
                              </w:divBdr>
                              <w:divsChild>
                                <w:div w:id="1707756373">
                                  <w:marLeft w:val="0"/>
                                  <w:marRight w:val="0"/>
                                  <w:marTop w:val="0"/>
                                  <w:marBottom w:val="0"/>
                                  <w:divBdr>
                                    <w:top w:val="none" w:sz="0" w:space="0" w:color="auto"/>
                                    <w:left w:val="none" w:sz="0" w:space="0" w:color="auto"/>
                                    <w:bottom w:val="none" w:sz="0" w:space="0" w:color="auto"/>
                                    <w:right w:val="none" w:sz="0" w:space="0" w:color="auto"/>
                                  </w:divBdr>
                                  <w:divsChild>
                                    <w:div w:id="655457702">
                                      <w:marLeft w:val="60"/>
                                      <w:marRight w:val="0"/>
                                      <w:marTop w:val="0"/>
                                      <w:marBottom w:val="0"/>
                                      <w:divBdr>
                                        <w:top w:val="none" w:sz="0" w:space="0" w:color="auto"/>
                                        <w:left w:val="none" w:sz="0" w:space="0" w:color="auto"/>
                                        <w:bottom w:val="none" w:sz="0" w:space="0" w:color="auto"/>
                                        <w:right w:val="none" w:sz="0" w:space="0" w:color="auto"/>
                                      </w:divBdr>
                                      <w:divsChild>
                                        <w:div w:id="1278223143">
                                          <w:marLeft w:val="0"/>
                                          <w:marRight w:val="0"/>
                                          <w:marTop w:val="0"/>
                                          <w:marBottom w:val="0"/>
                                          <w:divBdr>
                                            <w:top w:val="none" w:sz="0" w:space="0" w:color="auto"/>
                                            <w:left w:val="none" w:sz="0" w:space="0" w:color="auto"/>
                                            <w:bottom w:val="none" w:sz="0" w:space="0" w:color="auto"/>
                                            <w:right w:val="none" w:sz="0" w:space="0" w:color="auto"/>
                                          </w:divBdr>
                                          <w:divsChild>
                                            <w:div w:id="2004964980">
                                              <w:marLeft w:val="0"/>
                                              <w:marRight w:val="0"/>
                                              <w:marTop w:val="0"/>
                                              <w:marBottom w:val="120"/>
                                              <w:divBdr>
                                                <w:top w:val="single" w:sz="6" w:space="0" w:color="F5F5F5"/>
                                                <w:left w:val="single" w:sz="6" w:space="0" w:color="F5F5F5"/>
                                                <w:bottom w:val="single" w:sz="6" w:space="0" w:color="F5F5F5"/>
                                                <w:right w:val="single" w:sz="6" w:space="0" w:color="F5F5F5"/>
                                              </w:divBdr>
                                              <w:divsChild>
                                                <w:div w:id="2134978029">
                                                  <w:marLeft w:val="0"/>
                                                  <w:marRight w:val="0"/>
                                                  <w:marTop w:val="0"/>
                                                  <w:marBottom w:val="0"/>
                                                  <w:divBdr>
                                                    <w:top w:val="none" w:sz="0" w:space="0" w:color="auto"/>
                                                    <w:left w:val="none" w:sz="0" w:space="0" w:color="auto"/>
                                                    <w:bottom w:val="none" w:sz="0" w:space="0" w:color="auto"/>
                                                    <w:right w:val="none" w:sz="0" w:space="0" w:color="auto"/>
                                                  </w:divBdr>
                                                  <w:divsChild>
                                                    <w:div w:id="2763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229725">
      <w:bodyDiv w:val="1"/>
      <w:marLeft w:val="0"/>
      <w:marRight w:val="0"/>
      <w:marTop w:val="0"/>
      <w:marBottom w:val="0"/>
      <w:divBdr>
        <w:top w:val="none" w:sz="0" w:space="0" w:color="auto"/>
        <w:left w:val="none" w:sz="0" w:space="0" w:color="auto"/>
        <w:bottom w:val="none" w:sz="0" w:space="0" w:color="auto"/>
        <w:right w:val="none" w:sz="0" w:space="0" w:color="auto"/>
      </w:divBdr>
    </w:div>
    <w:div w:id="1224870610">
      <w:bodyDiv w:val="1"/>
      <w:marLeft w:val="0"/>
      <w:marRight w:val="0"/>
      <w:marTop w:val="0"/>
      <w:marBottom w:val="0"/>
      <w:divBdr>
        <w:top w:val="none" w:sz="0" w:space="0" w:color="auto"/>
        <w:left w:val="none" w:sz="0" w:space="0" w:color="auto"/>
        <w:bottom w:val="none" w:sz="0" w:space="0" w:color="auto"/>
        <w:right w:val="none" w:sz="0" w:space="0" w:color="auto"/>
      </w:divBdr>
    </w:div>
    <w:div w:id="13193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info.baltics@ranbaxy.com"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55C7-AABF-4869-A7C3-53311EA7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77411</Words>
  <Characters>44125</Characters>
  <Application>Microsoft Office Word</Application>
  <DocSecurity>8</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Inga.P</dc:creator>
  <cp:lastModifiedBy>Albina Burkauskaitė</cp:lastModifiedBy>
  <cp:revision>3</cp:revision>
  <dcterms:created xsi:type="dcterms:W3CDTF">2017-02-27T06:25:00Z</dcterms:created>
  <dcterms:modified xsi:type="dcterms:W3CDTF">2017-02-27T06:27:00Z</dcterms:modified>
</cp:coreProperties>
</file>