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37A89" w14:textId="5F4F6957" w:rsidR="008673CC" w:rsidRPr="00F022D4" w:rsidRDefault="008673CC" w:rsidP="008673CC">
      <w:pPr>
        <w:pStyle w:val="Antrat2"/>
        <w:spacing w:before="0" w:after="0" w:line="240" w:lineRule="auto"/>
        <w:jc w:val="center"/>
        <w:rPr>
          <w:b w:val="0"/>
          <w:lang w:val="lt-LT"/>
        </w:rPr>
      </w:pPr>
      <w:bookmarkStart w:id="0" w:name="_GoBack"/>
      <w:bookmarkEnd w:id="0"/>
      <w:r w:rsidRPr="00F022D4">
        <w:rPr>
          <w:rFonts w:ascii="Times New Roman" w:hAnsi="Times New Roman"/>
          <w:i w:val="0"/>
          <w:sz w:val="22"/>
          <w:lang w:val="lt-LT"/>
        </w:rPr>
        <w:t>Pakuotės lapelis: informacija vartotojui</w:t>
      </w:r>
    </w:p>
    <w:p w14:paraId="36F09184" w14:textId="77777777" w:rsidR="008673CC" w:rsidRPr="00F022D4" w:rsidRDefault="008673CC" w:rsidP="008673CC">
      <w:pPr>
        <w:numPr>
          <w:ilvl w:val="12"/>
          <w:numId w:val="0"/>
        </w:numPr>
        <w:shd w:val="clear" w:color="auto" w:fill="FFFFFF"/>
        <w:tabs>
          <w:tab w:val="clear" w:pos="567"/>
          <w:tab w:val="left" w:pos="1296"/>
        </w:tabs>
        <w:spacing w:line="240" w:lineRule="auto"/>
        <w:jc w:val="center"/>
        <w:rPr>
          <w:lang w:val="lt-LT"/>
        </w:rPr>
      </w:pPr>
    </w:p>
    <w:p w14:paraId="460B5430" w14:textId="77777777" w:rsidR="008673CC" w:rsidRPr="00F022D4" w:rsidRDefault="008673CC" w:rsidP="008673CC">
      <w:pPr>
        <w:spacing w:line="240" w:lineRule="auto"/>
        <w:jc w:val="center"/>
        <w:rPr>
          <w:rFonts w:asciiTheme="minorHAnsi" w:eastAsiaTheme="minorHAnsi" w:hAnsiTheme="minorHAnsi" w:cstheme="minorBidi"/>
          <w:b/>
          <w:szCs w:val="22"/>
          <w:lang w:val="lt-LT"/>
        </w:rPr>
      </w:pPr>
      <w:r w:rsidRPr="00F022D4">
        <w:rPr>
          <w:b/>
          <w:lang w:val="lt-LT"/>
        </w:rPr>
        <w:t>Alerpalux 1 mg/ml akių lašai (tirpalas)</w:t>
      </w:r>
    </w:p>
    <w:p w14:paraId="3BA98A1B" w14:textId="77777777" w:rsidR="008673CC" w:rsidRPr="00F022D4" w:rsidRDefault="008673CC" w:rsidP="008673CC">
      <w:pPr>
        <w:numPr>
          <w:ilvl w:val="12"/>
          <w:numId w:val="0"/>
        </w:numPr>
        <w:tabs>
          <w:tab w:val="clear" w:pos="567"/>
          <w:tab w:val="left" w:pos="1296"/>
        </w:tabs>
        <w:spacing w:line="240" w:lineRule="auto"/>
        <w:jc w:val="center"/>
        <w:rPr>
          <w:rFonts w:asciiTheme="minorHAnsi" w:eastAsiaTheme="minorHAnsi" w:hAnsiTheme="minorHAnsi" w:cstheme="minorBidi"/>
          <w:szCs w:val="22"/>
          <w:lang w:val="lt-LT"/>
        </w:rPr>
      </w:pPr>
      <w:r w:rsidRPr="00F022D4">
        <w:rPr>
          <w:lang w:val="lt-LT"/>
        </w:rPr>
        <w:t>Olopatadinas</w:t>
      </w:r>
    </w:p>
    <w:p w14:paraId="72241163" w14:textId="77777777" w:rsidR="008673CC" w:rsidRPr="00F022D4" w:rsidRDefault="008673CC" w:rsidP="008673CC">
      <w:pPr>
        <w:tabs>
          <w:tab w:val="left" w:pos="-1440"/>
          <w:tab w:val="left" w:pos="-720"/>
        </w:tabs>
        <w:spacing w:line="240" w:lineRule="auto"/>
        <w:rPr>
          <w:lang w:val="lt-LT"/>
        </w:rPr>
      </w:pPr>
    </w:p>
    <w:p w14:paraId="6CBBEC29" w14:textId="77777777" w:rsidR="008673CC" w:rsidRPr="00F022D4" w:rsidRDefault="008673CC" w:rsidP="008673CC">
      <w:pPr>
        <w:tabs>
          <w:tab w:val="clear" w:pos="567"/>
          <w:tab w:val="left" w:pos="1296"/>
        </w:tabs>
        <w:suppressAutoHyphens/>
        <w:spacing w:line="240" w:lineRule="auto"/>
        <w:rPr>
          <w:rFonts w:asciiTheme="minorHAnsi" w:eastAsiaTheme="minorHAnsi" w:hAnsiTheme="minorHAnsi" w:cstheme="minorBidi"/>
          <w:szCs w:val="22"/>
          <w:lang w:val="lt-LT"/>
        </w:rPr>
      </w:pPr>
      <w:r w:rsidRPr="00F022D4">
        <w:rPr>
          <w:b/>
          <w:lang w:val="lt-LT"/>
        </w:rPr>
        <w:t>Atidžiai perskaitykite visą šį lapelį, prieš pradėdami vartoti vaistą, nes jame pateikiama Jums svarbi informacija.</w:t>
      </w:r>
    </w:p>
    <w:p w14:paraId="005FE200" w14:textId="77777777" w:rsidR="008673CC" w:rsidRPr="00F022D4" w:rsidRDefault="008673CC" w:rsidP="008673CC">
      <w:pPr>
        <w:numPr>
          <w:ilvl w:val="0"/>
          <w:numId w:val="2"/>
        </w:numPr>
        <w:tabs>
          <w:tab w:val="clear" w:pos="567"/>
          <w:tab w:val="left" w:pos="1296"/>
        </w:tabs>
        <w:spacing w:line="240" w:lineRule="auto"/>
        <w:ind w:left="567" w:right="-2" w:hanging="567"/>
        <w:rPr>
          <w:rFonts w:asciiTheme="minorHAnsi" w:eastAsiaTheme="minorHAnsi" w:hAnsiTheme="minorHAnsi" w:cstheme="minorBidi"/>
          <w:szCs w:val="22"/>
          <w:lang w:val="lt-LT"/>
        </w:rPr>
      </w:pPr>
      <w:r w:rsidRPr="00F022D4">
        <w:rPr>
          <w:lang w:val="lt-LT"/>
        </w:rPr>
        <w:t xml:space="preserve">Neišmeskite šio lapelio, nes vėl gali prireikti jį perskaityti. </w:t>
      </w:r>
    </w:p>
    <w:p w14:paraId="796DCC46" w14:textId="77777777" w:rsidR="008673CC" w:rsidRPr="00F022D4" w:rsidRDefault="008673CC" w:rsidP="008673CC">
      <w:pPr>
        <w:numPr>
          <w:ilvl w:val="0"/>
          <w:numId w:val="2"/>
        </w:numPr>
        <w:tabs>
          <w:tab w:val="clear" w:pos="567"/>
          <w:tab w:val="left" w:pos="1296"/>
        </w:tabs>
        <w:spacing w:line="240" w:lineRule="auto"/>
        <w:ind w:left="567" w:right="-2" w:hanging="567"/>
        <w:rPr>
          <w:rFonts w:asciiTheme="minorHAnsi" w:eastAsiaTheme="minorHAnsi" w:hAnsiTheme="minorHAnsi" w:cstheme="minorBidi"/>
          <w:szCs w:val="22"/>
          <w:lang w:val="lt-LT"/>
        </w:rPr>
      </w:pPr>
      <w:r w:rsidRPr="00F022D4">
        <w:rPr>
          <w:lang w:val="lt-LT"/>
        </w:rPr>
        <w:t>Jeigu kiltų daugiau klausimų, kreipkitės į gydytoją arba vaistininką.</w:t>
      </w:r>
    </w:p>
    <w:p w14:paraId="04429511" w14:textId="77777777" w:rsidR="008673CC" w:rsidRPr="00F022D4" w:rsidRDefault="008673CC" w:rsidP="008673CC">
      <w:pPr>
        <w:spacing w:line="240" w:lineRule="auto"/>
        <w:ind w:left="567" w:right="-2" w:hanging="567"/>
        <w:rPr>
          <w:lang w:val="lt-LT"/>
        </w:rPr>
      </w:pPr>
      <w:r w:rsidRPr="00F022D4">
        <w:rPr>
          <w:lang w:val="lt-LT"/>
        </w:rPr>
        <w:t>-</w:t>
      </w:r>
      <w:r w:rsidRPr="00F022D4">
        <w:rPr>
          <w:lang w:val="lt-LT"/>
        </w:rPr>
        <w:tab/>
        <w:t>Šis vaistas skirtas tik Jums, todėl kitiems žmonėms jo duoti negalima. Vaistas gali jiems pakenkti (net tiems, kurių ligos požymiai yra tokie patys kaip Jūsų).</w:t>
      </w:r>
    </w:p>
    <w:p w14:paraId="095D63CD" w14:textId="77777777" w:rsidR="008673CC" w:rsidRPr="00F022D4" w:rsidRDefault="008673CC" w:rsidP="008673CC">
      <w:pPr>
        <w:numPr>
          <w:ilvl w:val="0"/>
          <w:numId w:val="2"/>
        </w:numPr>
        <w:spacing w:line="240" w:lineRule="auto"/>
        <w:ind w:left="567" w:hanging="567"/>
        <w:rPr>
          <w:rFonts w:asciiTheme="minorHAnsi" w:eastAsiaTheme="minorHAnsi" w:hAnsiTheme="minorHAnsi" w:cstheme="minorBidi"/>
          <w:szCs w:val="22"/>
          <w:lang w:val="lt-LT"/>
        </w:rPr>
      </w:pPr>
      <w:r w:rsidRPr="00F022D4">
        <w:rPr>
          <w:lang w:val="lt-LT"/>
        </w:rPr>
        <w:t>Jeigu pasireiškė šalutinis poveikis (net jeigu jis šiame lapelyje nenurodytas), kreipkitės į gydytoją arba vaistininką. Žr. 4 skyrių.</w:t>
      </w:r>
    </w:p>
    <w:p w14:paraId="5ECA72E8" w14:textId="77777777" w:rsidR="008673CC" w:rsidRPr="00F022D4" w:rsidRDefault="008673CC" w:rsidP="008673CC">
      <w:pPr>
        <w:tabs>
          <w:tab w:val="clear" w:pos="567"/>
          <w:tab w:val="left" w:pos="1296"/>
        </w:tabs>
        <w:spacing w:line="240" w:lineRule="auto"/>
        <w:ind w:right="-2"/>
        <w:rPr>
          <w:lang w:val="lt-LT"/>
        </w:rPr>
      </w:pPr>
    </w:p>
    <w:p w14:paraId="17A71A68"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b/>
          <w:szCs w:val="22"/>
          <w:lang w:val="lt-LT"/>
        </w:rPr>
      </w:pPr>
      <w:r w:rsidRPr="00F022D4">
        <w:rPr>
          <w:b/>
          <w:lang w:val="lt-LT"/>
        </w:rPr>
        <w:t>Apie ką rašoma šiame lapelyje?</w:t>
      </w:r>
    </w:p>
    <w:p w14:paraId="00ACBF62" w14:textId="77777777" w:rsidR="008673CC" w:rsidRPr="00F022D4" w:rsidRDefault="008673CC" w:rsidP="008673CC">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sidRPr="00F022D4">
        <w:rPr>
          <w:lang w:val="lt-LT"/>
        </w:rPr>
        <w:t>1.</w:t>
      </w:r>
      <w:r w:rsidRPr="00F022D4">
        <w:rPr>
          <w:lang w:val="lt-LT"/>
        </w:rPr>
        <w:tab/>
        <w:t xml:space="preserve">Kas yra Alerpalux ir kam jis vartojamas </w:t>
      </w:r>
    </w:p>
    <w:p w14:paraId="7E36BD88" w14:textId="77777777" w:rsidR="008673CC" w:rsidRPr="00F022D4" w:rsidRDefault="008673CC" w:rsidP="008673CC">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sidRPr="00F022D4">
        <w:rPr>
          <w:lang w:val="lt-LT"/>
        </w:rPr>
        <w:t>2.</w:t>
      </w:r>
      <w:r w:rsidRPr="00F022D4">
        <w:rPr>
          <w:lang w:val="lt-LT"/>
        </w:rPr>
        <w:tab/>
        <w:t xml:space="preserve">Kas žinotina prieš vartojant Alerpalux </w:t>
      </w:r>
    </w:p>
    <w:p w14:paraId="15120DAF" w14:textId="77777777" w:rsidR="008673CC" w:rsidRPr="00F022D4" w:rsidRDefault="008673CC" w:rsidP="008673CC">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sidRPr="00F022D4">
        <w:rPr>
          <w:lang w:val="lt-LT"/>
        </w:rPr>
        <w:t>3.</w:t>
      </w:r>
      <w:r w:rsidRPr="00F022D4">
        <w:rPr>
          <w:lang w:val="lt-LT"/>
        </w:rPr>
        <w:tab/>
        <w:t xml:space="preserve">Kaip vartoti Alerpalux </w:t>
      </w:r>
    </w:p>
    <w:p w14:paraId="70A3BA94" w14:textId="77777777" w:rsidR="008673CC" w:rsidRPr="00F022D4" w:rsidRDefault="008673CC" w:rsidP="008673CC">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sidRPr="00F022D4">
        <w:rPr>
          <w:lang w:val="lt-LT"/>
        </w:rPr>
        <w:t>4.</w:t>
      </w:r>
      <w:r w:rsidRPr="00F022D4">
        <w:rPr>
          <w:lang w:val="lt-LT"/>
        </w:rPr>
        <w:tab/>
        <w:t xml:space="preserve">Galimas šalutinis poveikis </w:t>
      </w:r>
    </w:p>
    <w:p w14:paraId="5439AEF5" w14:textId="77777777" w:rsidR="008673CC" w:rsidRPr="00F022D4" w:rsidRDefault="008673CC" w:rsidP="008673CC">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sidRPr="00F022D4">
        <w:rPr>
          <w:lang w:val="lt-LT"/>
        </w:rPr>
        <w:t>5.</w:t>
      </w:r>
      <w:r w:rsidRPr="00F022D4">
        <w:rPr>
          <w:lang w:val="lt-LT"/>
        </w:rPr>
        <w:tab/>
        <w:t xml:space="preserve">Kaip laikyti Alerpalux </w:t>
      </w:r>
    </w:p>
    <w:p w14:paraId="43F9DC1F" w14:textId="77777777" w:rsidR="008673CC" w:rsidRPr="00F022D4" w:rsidRDefault="008673CC" w:rsidP="008673CC">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sidRPr="00F022D4">
        <w:rPr>
          <w:lang w:val="lt-LT"/>
        </w:rPr>
        <w:t>6.</w:t>
      </w:r>
      <w:r w:rsidRPr="00F022D4">
        <w:rPr>
          <w:lang w:val="lt-LT"/>
        </w:rPr>
        <w:tab/>
        <w:t>Pakuotės turinys ir kita informacija</w:t>
      </w:r>
    </w:p>
    <w:p w14:paraId="637E7969"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06049D6B"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7A17D767"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1.</w:t>
      </w:r>
      <w:r w:rsidRPr="00F022D4">
        <w:rPr>
          <w:rFonts w:ascii="Times New Roman" w:hAnsi="Times New Roman"/>
          <w:sz w:val="22"/>
          <w:lang w:val="lt-LT"/>
        </w:rPr>
        <w:tab/>
        <w:t>Kas yra Alerpalux ir kam jis vartojamas</w:t>
      </w:r>
    </w:p>
    <w:p w14:paraId="7FAF79D5"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09E1E47B" w14:textId="77777777" w:rsidR="008673CC" w:rsidRPr="00F022D4" w:rsidRDefault="008673CC" w:rsidP="008673CC">
      <w:pPr>
        <w:spacing w:line="240" w:lineRule="auto"/>
        <w:rPr>
          <w:lang w:val="lt-LT"/>
        </w:rPr>
      </w:pPr>
      <w:r w:rsidRPr="00F022D4">
        <w:rPr>
          <w:lang w:val="lt-LT"/>
        </w:rPr>
        <w:t xml:space="preserve">Alerpalux vartojama sezoninio alerginio konjunktyvito požymiams ir simptomams gydyti. </w:t>
      </w:r>
    </w:p>
    <w:p w14:paraId="3A06FF27" w14:textId="77777777" w:rsidR="008673CC" w:rsidRPr="00F022D4" w:rsidRDefault="008673CC" w:rsidP="008673CC">
      <w:pPr>
        <w:spacing w:line="240" w:lineRule="auto"/>
        <w:rPr>
          <w:lang w:val="lt-LT"/>
        </w:rPr>
      </w:pPr>
    </w:p>
    <w:p w14:paraId="3977450C" w14:textId="77777777" w:rsidR="008673CC" w:rsidRPr="00F022D4" w:rsidRDefault="008673CC" w:rsidP="008673CC">
      <w:pPr>
        <w:spacing w:line="240" w:lineRule="auto"/>
        <w:rPr>
          <w:lang w:val="lt-LT"/>
        </w:rPr>
      </w:pPr>
      <w:r w:rsidRPr="00F022D4">
        <w:rPr>
          <w:lang w:val="lt-LT"/>
        </w:rPr>
        <w:t>Alerginis konjunktyvitas. Tam tikros medžiagos (alergenai), pvz., namų dulkės, gyvūnų kailis ar žiedadulkės, gali sukelti alerginę reakciją – akių niežėjimą, paraudimą ir akies paviršiaus patinimą.</w:t>
      </w:r>
    </w:p>
    <w:p w14:paraId="2FA0BAF2" w14:textId="77777777" w:rsidR="008673CC" w:rsidRPr="00F022D4" w:rsidRDefault="008673CC" w:rsidP="008673CC">
      <w:pPr>
        <w:spacing w:line="240" w:lineRule="auto"/>
        <w:rPr>
          <w:lang w:val="lt-LT"/>
        </w:rPr>
      </w:pPr>
    </w:p>
    <w:p w14:paraId="4430AABC" w14:textId="77777777" w:rsidR="008673CC" w:rsidRPr="001B101F" w:rsidRDefault="008673CC" w:rsidP="008673CC">
      <w:pPr>
        <w:spacing w:line="240" w:lineRule="auto"/>
        <w:rPr>
          <w:rFonts w:eastAsiaTheme="minorHAnsi"/>
          <w:lang w:val="lt-LT"/>
        </w:rPr>
      </w:pPr>
      <w:r w:rsidRPr="00F022D4">
        <w:rPr>
          <w:rFonts w:eastAsiaTheme="minorHAnsi"/>
          <w:szCs w:val="22"/>
          <w:lang w:val="lt-LT"/>
        </w:rPr>
        <w:t>Alerpalux</w:t>
      </w:r>
      <w:r w:rsidRPr="005D4B92">
        <w:rPr>
          <w:rFonts w:eastAsiaTheme="minorHAnsi"/>
          <w:szCs w:val="22"/>
          <w:lang w:val="lt-LT"/>
        </w:rPr>
        <w:t xml:space="preserve"> yra vaistas akių alergijai gydyti. Jis mažina alerginės reakcijos intensyvumą</w:t>
      </w:r>
      <w:r w:rsidRPr="00F022D4">
        <w:rPr>
          <w:rFonts w:eastAsiaTheme="minorHAnsi"/>
          <w:szCs w:val="22"/>
          <w:lang w:val="lt-LT"/>
        </w:rPr>
        <w:t>.</w:t>
      </w:r>
    </w:p>
    <w:p w14:paraId="1A12B974" w14:textId="77777777" w:rsidR="008673CC" w:rsidRPr="00F022D4" w:rsidRDefault="008673CC" w:rsidP="008673CC">
      <w:pPr>
        <w:spacing w:line="240" w:lineRule="auto"/>
        <w:rPr>
          <w:lang w:val="lt-LT"/>
        </w:rPr>
      </w:pPr>
    </w:p>
    <w:p w14:paraId="5B6151BC" w14:textId="77777777" w:rsidR="008673CC" w:rsidRPr="00F022D4" w:rsidRDefault="008673CC" w:rsidP="008673CC">
      <w:pPr>
        <w:spacing w:line="240" w:lineRule="auto"/>
        <w:rPr>
          <w:lang w:val="lt-LT"/>
        </w:rPr>
      </w:pPr>
    </w:p>
    <w:p w14:paraId="3F8974C9"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2.</w:t>
      </w:r>
      <w:r w:rsidRPr="00F022D4">
        <w:rPr>
          <w:rFonts w:ascii="Times New Roman" w:hAnsi="Times New Roman"/>
          <w:sz w:val="22"/>
          <w:lang w:val="lt-LT"/>
        </w:rPr>
        <w:tab/>
        <w:t xml:space="preserve">Kas žinotina prieš vartojant Alerpalux </w:t>
      </w:r>
    </w:p>
    <w:p w14:paraId="1752148B"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42EAE3F3"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Alerpalux vartoti negalima</w:t>
      </w:r>
      <w:r>
        <w:rPr>
          <w:rFonts w:ascii="Times New Roman" w:hAnsi="Times New Roman"/>
          <w:sz w:val="22"/>
          <w:lang w:val="lt-LT"/>
        </w:rPr>
        <w:t>:</w:t>
      </w:r>
    </w:p>
    <w:p w14:paraId="4837B7BF" w14:textId="77777777" w:rsidR="008673CC" w:rsidRPr="00F022D4" w:rsidRDefault="008673CC" w:rsidP="008673CC">
      <w:pPr>
        <w:numPr>
          <w:ilvl w:val="12"/>
          <w:numId w:val="0"/>
        </w:numPr>
        <w:spacing w:line="240" w:lineRule="auto"/>
        <w:ind w:left="567" w:hanging="567"/>
        <w:rPr>
          <w:lang w:val="lt-LT"/>
        </w:rPr>
      </w:pPr>
      <w:r w:rsidRPr="00F022D4">
        <w:rPr>
          <w:lang w:val="lt-LT"/>
        </w:rPr>
        <w:t>-</w:t>
      </w:r>
      <w:r w:rsidRPr="00F022D4">
        <w:rPr>
          <w:lang w:val="lt-LT"/>
        </w:rPr>
        <w:tab/>
        <w:t>jeigu yra alergija (padidėjęs jautrumas) olopatadinui arba bet kuriai pagalbinei šio vaisto medžiagai (jos išvardytos 6 skyriuje)</w:t>
      </w:r>
      <w:r>
        <w:rPr>
          <w:lang w:val="lt-LT"/>
        </w:rPr>
        <w:t>;</w:t>
      </w:r>
    </w:p>
    <w:p w14:paraId="1C90E564" w14:textId="77777777" w:rsidR="008673CC" w:rsidRPr="00F022D4" w:rsidRDefault="008673CC" w:rsidP="008673CC">
      <w:pPr>
        <w:numPr>
          <w:ilvl w:val="12"/>
          <w:numId w:val="0"/>
        </w:numPr>
        <w:spacing w:line="240" w:lineRule="auto"/>
        <w:ind w:left="567" w:hanging="567"/>
        <w:rPr>
          <w:lang w:val="lt-LT"/>
        </w:rPr>
      </w:pPr>
      <w:r w:rsidRPr="00F022D4">
        <w:rPr>
          <w:lang w:val="lt-LT"/>
        </w:rPr>
        <w:t>-</w:t>
      </w:r>
      <w:r w:rsidRPr="00F022D4">
        <w:rPr>
          <w:lang w:val="lt-LT"/>
        </w:rPr>
        <w:tab/>
        <w:t>jei maitinate krūtimi.</w:t>
      </w:r>
    </w:p>
    <w:p w14:paraId="7DBD0058"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56C33A0F"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 xml:space="preserve">Įspėjimai ir atsargumo priemonės </w:t>
      </w:r>
    </w:p>
    <w:p w14:paraId="1A9748AA" w14:textId="77777777" w:rsidR="008673CC" w:rsidRPr="00F022D4" w:rsidRDefault="008673CC" w:rsidP="008673CC">
      <w:pPr>
        <w:numPr>
          <w:ilvl w:val="12"/>
          <w:numId w:val="0"/>
        </w:numPr>
        <w:tabs>
          <w:tab w:val="clear" w:pos="567"/>
          <w:tab w:val="left" w:pos="1296"/>
        </w:tabs>
        <w:spacing w:line="240" w:lineRule="auto"/>
        <w:ind w:right="-2"/>
        <w:rPr>
          <w:lang w:val="lt-LT"/>
        </w:rPr>
      </w:pPr>
      <w:r w:rsidRPr="00F022D4">
        <w:rPr>
          <w:lang w:val="lt-LT"/>
        </w:rPr>
        <w:t>Pasitarkite su gydytoju arba vaistininku, prieš pradėdami vartoti Alerpalux.</w:t>
      </w:r>
    </w:p>
    <w:p w14:paraId="38CB54DC"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6B83511D" w14:textId="77777777" w:rsidR="008673CC" w:rsidRPr="00F022D4" w:rsidRDefault="008673CC" w:rsidP="008673CC">
      <w:pPr>
        <w:numPr>
          <w:ilvl w:val="12"/>
          <w:numId w:val="0"/>
        </w:numPr>
        <w:tabs>
          <w:tab w:val="clear" w:pos="567"/>
          <w:tab w:val="left" w:pos="1296"/>
        </w:tabs>
        <w:spacing w:line="240" w:lineRule="auto"/>
        <w:ind w:right="-2"/>
        <w:rPr>
          <w:lang w:val="lt-LT"/>
        </w:rPr>
      </w:pPr>
      <w:r w:rsidRPr="00F022D4">
        <w:rPr>
          <w:lang w:val="lt-LT"/>
        </w:rPr>
        <w:t>Prieš Alerpalux vartojimą iš akių reikia išsiimti kontaktinius lęšius.</w:t>
      </w:r>
    </w:p>
    <w:p w14:paraId="27CBB388"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4CB334C2" w14:textId="77777777" w:rsidR="008673CC" w:rsidRPr="00F022D4" w:rsidRDefault="008673CC" w:rsidP="008673CC">
      <w:pPr>
        <w:numPr>
          <w:ilvl w:val="12"/>
          <w:numId w:val="0"/>
        </w:numPr>
        <w:tabs>
          <w:tab w:val="clear" w:pos="567"/>
          <w:tab w:val="left" w:pos="1296"/>
        </w:tabs>
        <w:spacing w:line="240" w:lineRule="auto"/>
        <w:ind w:right="-2"/>
        <w:rPr>
          <w:lang w:val="lt-LT"/>
        </w:rPr>
      </w:pPr>
      <w:r w:rsidRPr="00F022D4">
        <w:rPr>
          <w:b/>
          <w:lang w:val="lt-LT"/>
        </w:rPr>
        <w:t>Vaikams</w:t>
      </w:r>
    </w:p>
    <w:p w14:paraId="11FBD3D7"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F022D4">
        <w:rPr>
          <w:lang w:val="lt-LT"/>
        </w:rPr>
        <w:t xml:space="preserve">Jaunesniems kaip 3 metų vaikams </w:t>
      </w:r>
      <w:r>
        <w:rPr>
          <w:lang w:val="lt-LT"/>
        </w:rPr>
        <w:t>Alerpalux</w:t>
      </w:r>
      <w:r w:rsidRPr="00F022D4">
        <w:rPr>
          <w:lang w:val="lt-LT"/>
        </w:rPr>
        <w:t xml:space="preserve"> vartoti negalima. Šio vaisto nelašinkite jaunesniems kaip 3 metų vaikams, kadangi nėra jų gydymo saugumą ir veiksmingumą patvirtinančių duomenų.</w:t>
      </w:r>
    </w:p>
    <w:p w14:paraId="04FA9F06" w14:textId="77777777" w:rsidR="008673CC" w:rsidRPr="00F022D4" w:rsidRDefault="008673CC" w:rsidP="008673CC">
      <w:pPr>
        <w:numPr>
          <w:ilvl w:val="12"/>
          <w:numId w:val="0"/>
        </w:numPr>
        <w:tabs>
          <w:tab w:val="clear" w:pos="567"/>
          <w:tab w:val="left" w:pos="1296"/>
        </w:tabs>
        <w:spacing w:line="240" w:lineRule="auto"/>
        <w:rPr>
          <w:b/>
          <w:lang w:val="lt-LT"/>
        </w:rPr>
      </w:pPr>
    </w:p>
    <w:p w14:paraId="1DB35A56"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lastRenderedPageBreak/>
        <w:t>Kiti vaistai ir Alerpalux</w:t>
      </w:r>
    </w:p>
    <w:p w14:paraId="049D4EB7" w14:textId="77777777" w:rsidR="008673CC" w:rsidRPr="001B101F" w:rsidRDefault="008673CC" w:rsidP="008673CC">
      <w:pPr>
        <w:numPr>
          <w:ilvl w:val="12"/>
          <w:numId w:val="0"/>
        </w:numPr>
        <w:tabs>
          <w:tab w:val="clear" w:pos="567"/>
          <w:tab w:val="left" w:pos="1296"/>
        </w:tabs>
        <w:spacing w:line="240" w:lineRule="auto"/>
        <w:ind w:right="-2"/>
        <w:rPr>
          <w:lang w:val="lt-LT"/>
        </w:rPr>
      </w:pPr>
      <w:r w:rsidRPr="00F022D4">
        <w:rPr>
          <w:lang w:val="lt-LT"/>
        </w:rPr>
        <w:t>Jeigu vartojate ar neseniai vartojote kitų vaistų arba dėl to nesate tikri, apie tai pasakykite gydytojui arba vaistininkui.</w:t>
      </w:r>
    </w:p>
    <w:p w14:paraId="21E1822C"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634B9498" w14:textId="77777777" w:rsidR="008673CC" w:rsidRPr="005D4B92" w:rsidRDefault="008673CC" w:rsidP="008673CC">
      <w:pPr>
        <w:numPr>
          <w:ilvl w:val="12"/>
          <w:numId w:val="0"/>
        </w:numPr>
        <w:tabs>
          <w:tab w:val="clear" w:pos="567"/>
          <w:tab w:val="left" w:pos="1296"/>
        </w:tabs>
        <w:spacing w:line="240" w:lineRule="auto"/>
        <w:ind w:right="-2"/>
        <w:rPr>
          <w:rFonts w:eastAsiaTheme="minorHAnsi"/>
          <w:szCs w:val="22"/>
          <w:lang w:val="lt-LT"/>
        </w:rPr>
      </w:pPr>
      <w:r w:rsidRPr="005D4B92">
        <w:rPr>
          <w:rFonts w:eastAsiaTheme="minorHAnsi"/>
          <w:szCs w:val="22"/>
          <w:lang w:val="lt-LT"/>
        </w:rPr>
        <w:t>Jei tuo pat metu vartojate ir kitų akių lašų ar akių tepalo, tarp kiekvieno vaisto vartojimo reikia daryti</w:t>
      </w:r>
      <w:r w:rsidRPr="00F022D4">
        <w:rPr>
          <w:rFonts w:eastAsiaTheme="minorHAnsi"/>
          <w:szCs w:val="22"/>
          <w:lang w:val="lt-LT"/>
        </w:rPr>
        <w:t xml:space="preserve"> 5</w:t>
      </w:r>
      <w:r w:rsidRPr="005D4B92">
        <w:rPr>
          <w:rFonts w:eastAsiaTheme="minorHAnsi"/>
          <w:szCs w:val="22"/>
          <w:lang w:val="lt-LT"/>
        </w:rPr>
        <w:t xml:space="preserve"> minučių pertrauką. Akių tepalą reikia vartoti paskutinį.</w:t>
      </w:r>
      <w:r w:rsidRPr="001B101F">
        <w:rPr>
          <w:rFonts w:eastAsiaTheme="minorHAnsi"/>
          <w:lang w:val="lt-LT"/>
        </w:rPr>
        <w:cr/>
      </w:r>
    </w:p>
    <w:p w14:paraId="6590776A"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Nėštumas ir žindymo laikotarpis</w:t>
      </w:r>
    </w:p>
    <w:p w14:paraId="7242026F" w14:textId="77777777" w:rsidR="008673CC" w:rsidRPr="001B101F" w:rsidRDefault="008673CC" w:rsidP="008673CC">
      <w:pPr>
        <w:numPr>
          <w:ilvl w:val="12"/>
          <w:numId w:val="0"/>
        </w:numPr>
        <w:tabs>
          <w:tab w:val="clear" w:pos="567"/>
          <w:tab w:val="left" w:pos="1296"/>
        </w:tabs>
        <w:spacing w:line="240" w:lineRule="auto"/>
        <w:rPr>
          <w:lang w:val="lt-LT"/>
        </w:rPr>
      </w:pPr>
      <w:r w:rsidRPr="00F022D4">
        <w:rPr>
          <w:lang w:val="lt-LT"/>
        </w:rPr>
        <w:t>Jeigu esate nėščia, žindote kūdikį, manote, kad galbūt esate nėščia, arba planuojate pastoti, tai prieš vartodama šį vaistą, pasitarkite su gydytoju arba vaistininku.</w:t>
      </w:r>
    </w:p>
    <w:p w14:paraId="69644FDD" w14:textId="77777777" w:rsidR="008673CC" w:rsidRPr="00F022D4" w:rsidRDefault="008673CC" w:rsidP="008673CC">
      <w:pPr>
        <w:numPr>
          <w:ilvl w:val="12"/>
          <w:numId w:val="0"/>
        </w:numPr>
        <w:tabs>
          <w:tab w:val="clear" w:pos="567"/>
          <w:tab w:val="left" w:pos="1296"/>
        </w:tabs>
        <w:spacing w:line="240" w:lineRule="auto"/>
        <w:rPr>
          <w:lang w:val="lt-LT"/>
        </w:rPr>
      </w:pPr>
    </w:p>
    <w:p w14:paraId="4858AEB8" w14:textId="77777777" w:rsidR="008673CC" w:rsidRPr="00F022D4" w:rsidRDefault="008673CC" w:rsidP="008673CC">
      <w:pPr>
        <w:numPr>
          <w:ilvl w:val="12"/>
          <w:numId w:val="0"/>
        </w:numPr>
        <w:tabs>
          <w:tab w:val="clear" w:pos="567"/>
          <w:tab w:val="left" w:pos="1296"/>
        </w:tabs>
        <w:spacing w:line="240" w:lineRule="auto"/>
        <w:rPr>
          <w:rFonts w:asciiTheme="minorHAnsi" w:eastAsiaTheme="minorHAnsi" w:hAnsiTheme="minorHAnsi" w:cstheme="minorBidi"/>
          <w:szCs w:val="22"/>
          <w:lang w:val="lt-LT"/>
        </w:rPr>
      </w:pPr>
      <w:r w:rsidRPr="005D4B92">
        <w:rPr>
          <w:lang w:val="lt-LT"/>
        </w:rPr>
        <w:t xml:space="preserve">Žindymo laikotarpiu </w:t>
      </w:r>
      <w:r w:rsidRPr="00F022D4">
        <w:rPr>
          <w:lang w:val="lt-LT"/>
        </w:rPr>
        <w:t>Alerpalux</w:t>
      </w:r>
      <w:r w:rsidRPr="005D4B92">
        <w:rPr>
          <w:lang w:val="lt-LT"/>
        </w:rPr>
        <w:t xml:space="preserve"> vartoti negalima. Prieš šio vaisto vartojimą pasitarkite su gydytoju.</w:t>
      </w:r>
    </w:p>
    <w:p w14:paraId="0D33B618" w14:textId="77777777" w:rsidR="008673CC" w:rsidRPr="00F022D4" w:rsidRDefault="008673CC" w:rsidP="008673CC">
      <w:pPr>
        <w:numPr>
          <w:ilvl w:val="12"/>
          <w:numId w:val="0"/>
        </w:numPr>
        <w:tabs>
          <w:tab w:val="clear" w:pos="567"/>
          <w:tab w:val="left" w:pos="1296"/>
        </w:tabs>
        <w:spacing w:line="240" w:lineRule="auto"/>
        <w:rPr>
          <w:lang w:val="lt-LT"/>
        </w:rPr>
      </w:pPr>
    </w:p>
    <w:p w14:paraId="13DD63C1"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Vairavimas ir mechanizmų valdymas</w:t>
      </w:r>
    </w:p>
    <w:p w14:paraId="2F489CF6"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Įsilašinę Alerpalux, trumpai galite blogiau matyti. Kol jis nepagerėja, vairuoti ir valdyti mechanizmų negalima.</w:t>
      </w:r>
    </w:p>
    <w:p w14:paraId="0FBA458A"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780A6D23"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Alerpalux sudėtyje yra benzalkonio chlorido ir fosfatų</w:t>
      </w:r>
    </w:p>
    <w:p w14:paraId="4309C5C9" w14:textId="5D45E9B2" w:rsidR="008673CC" w:rsidRPr="005D4B92" w:rsidRDefault="008673CC" w:rsidP="008673CC">
      <w:pPr>
        <w:autoSpaceDE w:val="0"/>
        <w:autoSpaceDN w:val="0"/>
        <w:adjustRightInd w:val="0"/>
        <w:spacing w:line="240" w:lineRule="auto"/>
        <w:jc w:val="both"/>
        <w:rPr>
          <w:lang w:val="lt-LT"/>
        </w:rPr>
      </w:pPr>
      <w:r w:rsidRPr="005D4B92">
        <w:rPr>
          <w:lang w:val="lt-LT"/>
        </w:rPr>
        <w:t>Kiekviename šio vaisto laše</w:t>
      </w:r>
      <w:r w:rsidRPr="00F022D4">
        <w:rPr>
          <w:lang w:val="lt-LT"/>
        </w:rPr>
        <w:t xml:space="preserve"> yra 0,003</w:t>
      </w:r>
      <w:r w:rsidR="0067295E">
        <w:rPr>
          <w:lang w:val="lt-LT"/>
        </w:rPr>
        <w:t> </w:t>
      </w:r>
      <w:r w:rsidRPr="005D4B92">
        <w:rPr>
          <w:lang w:val="lt-LT"/>
        </w:rPr>
        <w:t>mg benzalkonio chlorido, tai atitinka 0,</w:t>
      </w:r>
      <w:r w:rsidRPr="00F022D4">
        <w:rPr>
          <w:lang w:val="lt-LT"/>
        </w:rPr>
        <w:t>1</w:t>
      </w:r>
      <w:r w:rsidR="0067295E">
        <w:rPr>
          <w:lang w:val="lt-LT"/>
        </w:rPr>
        <w:t> </w:t>
      </w:r>
      <w:r w:rsidRPr="005D4B92">
        <w:rPr>
          <w:lang w:val="lt-LT"/>
        </w:rPr>
        <w:t>mg/ml.</w:t>
      </w:r>
    </w:p>
    <w:p w14:paraId="68F5836A" w14:textId="77777777" w:rsidR="008673CC" w:rsidRPr="001B101F" w:rsidRDefault="008673CC" w:rsidP="008673CC">
      <w:pPr>
        <w:autoSpaceDE w:val="0"/>
        <w:autoSpaceDN w:val="0"/>
        <w:adjustRightInd w:val="0"/>
        <w:spacing w:line="240" w:lineRule="auto"/>
        <w:jc w:val="both"/>
        <w:rPr>
          <w:lang w:val="lt-LT"/>
        </w:rPr>
      </w:pPr>
      <w:r w:rsidRPr="005D4B92">
        <w:rPr>
          <w:lang w:val="lt-LT"/>
        </w:rPr>
        <w:t>Minkštieji kontaktiniai lęšiai gali absorbuoti benzalkonio chloridą ir gali pasikeisti kontaktinių lęšių spalva. Prieš šio vaisto vartojimą kontaktinius lęšius reikia išimti ir vėl juos galima įdėti ne anksčiau kaip po 15 min.</w:t>
      </w:r>
    </w:p>
    <w:p w14:paraId="2DBF59B8" w14:textId="77777777" w:rsidR="008673CC" w:rsidRPr="005D4B92" w:rsidRDefault="008673CC" w:rsidP="008673CC">
      <w:pPr>
        <w:autoSpaceDE w:val="0"/>
        <w:autoSpaceDN w:val="0"/>
        <w:adjustRightInd w:val="0"/>
        <w:spacing w:line="240" w:lineRule="auto"/>
        <w:jc w:val="both"/>
        <w:rPr>
          <w:lang w:val="lt-LT"/>
        </w:rPr>
      </w:pPr>
      <w:r w:rsidRPr="005D4B92">
        <w:rPr>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20E1A403" w14:textId="77777777" w:rsidR="008673CC" w:rsidRPr="00F022D4" w:rsidRDefault="008673CC" w:rsidP="008673CC">
      <w:pPr>
        <w:autoSpaceDE w:val="0"/>
        <w:autoSpaceDN w:val="0"/>
        <w:adjustRightInd w:val="0"/>
        <w:spacing w:line="240" w:lineRule="auto"/>
        <w:jc w:val="both"/>
        <w:rPr>
          <w:lang w:val="lt-LT"/>
        </w:rPr>
      </w:pPr>
    </w:p>
    <w:p w14:paraId="0B5DDB76" w14:textId="06AA8124" w:rsidR="008673CC" w:rsidRPr="005D4B92" w:rsidRDefault="008673CC" w:rsidP="008673CC">
      <w:pPr>
        <w:autoSpaceDE w:val="0"/>
        <w:autoSpaceDN w:val="0"/>
        <w:adjustRightInd w:val="0"/>
        <w:spacing w:line="240" w:lineRule="auto"/>
        <w:jc w:val="both"/>
        <w:rPr>
          <w:lang w:val="lt-LT"/>
        </w:rPr>
      </w:pPr>
      <w:r w:rsidRPr="005D4B92">
        <w:rPr>
          <w:lang w:val="lt-LT"/>
        </w:rPr>
        <w:t>Kiekviename šio vaisto laše yra 0,</w:t>
      </w:r>
      <w:r w:rsidRPr="00F022D4">
        <w:rPr>
          <w:lang w:val="lt-LT"/>
        </w:rPr>
        <w:t>103</w:t>
      </w:r>
      <w:r w:rsidR="0067295E">
        <w:rPr>
          <w:lang w:val="lt-LT"/>
        </w:rPr>
        <w:t> </w:t>
      </w:r>
      <w:r w:rsidRPr="005D4B92">
        <w:rPr>
          <w:lang w:val="lt-LT"/>
        </w:rPr>
        <w:t xml:space="preserve">mg fosfatų, tai atitinka </w:t>
      </w:r>
      <w:r w:rsidRPr="00F022D4">
        <w:rPr>
          <w:lang w:val="lt-LT"/>
        </w:rPr>
        <w:t>3,42</w:t>
      </w:r>
      <w:r w:rsidR="0067295E">
        <w:rPr>
          <w:lang w:val="lt-LT"/>
        </w:rPr>
        <w:t> </w:t>
      </w:r>
      <w:r w:rsidRPr="005D4B92">
        <w:rPr>
          <w:lang w:val="lt-LT"/>
        </w:rPr>
        <w:t>mg/ml.</w:t>
      </w:r>
    </w:p>
    <w:p w14:paraId="2AB90593" w14:textId="77777777" w:rsidR="008673CC" w:rsidRPr="00F022D4" w:rsidRDefault="008673CC" w:rsidP="008673CC">
      <w:pPr>
        <w:spacing w:line="240" w:lineRule="auto"/>
        <w:rPr>
          <w:lang w:val="lt-LT"/>
        </w:rPr>
      </w:pPr>
      <w:r w:rsidRPr="00F022D4">
        <w:rPr>
          <w:lang w:val="lt-LT"/>
        </w:rPr>
        <w:t>Jeigu Jums yra akies priekinę dalį gaubiančio skaidraus sluoksnio (ragenos) sunkių pažeidimų, labai retais atvejais fosfatai gali sukelti drumzlinus ragenos plotelius dėl gydymo metu susiformavusių kalcio nuosėdų.</w:t>
      </w:r>
    </w:p>
    <w:p w14:paraId="1717ABBA" w14:textId="77777777" w:rsidR="008673CC" w:rsidRPr="00F022D4" w:rsidRDefault="008673CC" w:rsidP="008673CC">
      <w:pPr>
        <w:spacing w:line="240" w:lineRule="auto"/>
        <w:rPr>
          <w:lang w:val="lt-LT"/>
        </w:rPr>
      </w:pPr>
    </w:p>
    <w:p w14:paraId="0223B173"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2E5B4911"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3.</w:t>
      </w:r>
      <w:r w:rsidRPr="00F022D4">
        <w:rPr>
          <w:rFonts w:ascii="Times New Roman" w:hAnsi="Times New Roman"/>
          <w:sz w:val="22"/>
          <w:lang w:val="lt-LT"/>
        </w:rPr>
        <w:tab/>
        <w:t>Kaip vartoti Alerpalux</w:t>
      </w:r>
    </w:p>
    <w:p w14:paraId="7F0EE52B"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797AAB36"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F022D4">
        <w:rPr>
          <w:lang w:val="lt-LT"/>
        </w:rPr>
        <w:t xml:space="preserve">Visada vartokite šį vaistą tiksliai kaip nurodė gydytojas arba vaistininkas. Jeigu abejojate, kreipkitės į gydytoją arba vaistininką. </w:t>
      </w:r>
    </w:p>
    <w:p w14:paraId="72073BE9"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1A925F3F"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F022D4">
        <w:rPr>
          <w:lang w:val="lt-LT"/>
        </w:rPr>
        <w:t>Rekomenduojama dozė yra 1 lašas į pažeistą akį (akis) 2 kartus per parą – ryte ir vakare.</w:t>
      </w:r>
    </w:p>
    <w:p w14:paraId="7C5CA244" w14:textId="77777777" w:rsidR="008673CC" w:rsidRPr="001B101F" w:rsidRDefault="008673CC" w:rsidP="008673CC">
      <w:pPr>
        <w:numPr>
          <w:ilvl w:val="12"/>
          <w:numId w:val="0"/>
        </w:numPr>
        <w:tabs>
          <w:tab w:val="clear" w:pos="567"/>
          <w:tab w:val="left" w:pos="1296"/>
        </w:tabs>
        <w:spacing w:line="240" w:lineRule="auto"/>
        <w:ind w:right="-2"/>
        <w:rPr>
          <w:lang w:val="lt-LT"/>
        </w:rPr>
      </w:pPr>
      <w:r w:rsidRPr="005D4B92">
        <w:rPr>
          <w:lang w:val="lt-LT"/>
        </w:rPr>
        <w:t>Taip vartokite, jei gydytojas nenurodė kitaip.</w:t>
      </w:r>
      <w:r w:rsidRPr="00F022D4">
        <w:rPr>
          <w:lang w:val="lt-LT"/>
        </w:rPr>
        <w:t xml:space="preserve"> Į abi akis Alerpalux lašinkite tik jeigu taip nurodė gydytojas. Šio vaisto vartokite tiek laiko, kiek nurodė gydytojas.</w:t>
      </w:r>
    </w:p>
    <w:p w14:paraId="08C9F541"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46D27D7A"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F022D4">
        <w:rPr>
          <w:lang w:val="lt-LT"/>
        </w:rPr>
        <w:t>Alerpalux galima vartoti tik kaip akių lašus.</w:t>
      </w:r>
    </w:p>
    <w:p w14:paraId="14249A5F" w14:textId="77777777" w:rsidR="008673CC" w:rsidRPr="00F022D4" w:rsidRDefault="008673CC" w:rsidP="008673CC">
      <w:pPr>
        <w:spacing w:line="240" w:lineRule="auto"/>
        <w:rPr>
          <w:lang w:val="lt-LT"/>
        </w:rPr>
      </w:pPr>
    </w:p>
    <w:p w14:paraId="5B42FB50"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Kaip įlašinti rekomenduojamą dozę</w:t>
      </w:r>
    </w:p>
    <w:p w14:paraId="33B00CDF" w14:textId="77777777" w:rsidR="008673CC" w:rsidRPr="00F022D4" w:rsidRDefault="008673CC" w:rsidP="008673CC">
      <w:pPr>
        <w:pStyle w:val="EMEABodyTextIndent"/>
        <w:rPr>
          <w:lang w:val="lt-LT"/>
        </w:rPr>
      </w:pPr>
      <w:r w:rsidRPr="00F022D4">
        <w:rPr>
          <w:lang w:val="lt-LT"/>
        </w:rPr>
        <w:t>Paimkite Alerpalux buteliuką ir veidrodį.</w:t>
      </w:r>
    </w:p>
    <w:p w14:paraId="03EA9491" w14:textId="77777777" w:rsidR="008673CC" w:rsidRPr="00F022D4" w:rsidRDefault="008673CC" w:rsidP="008673CC">
      <w:pPr>
        <w:pStyle w:val="EMEABodyTextIndent"/>
        <w:rPr>
          <w:lang w:val="lt-LT"/>
        </w:rPr>
      </w:pPr>
      <w:r w:rsidRPr="00F022D4">
        <w:rPr>
          <w:lang w:val="lt-LT"/>
        </w:rPr>
        <w:t>Nusiplaukite rankas.</w:t>
      </w:r>
    </w:p>
    <w:p w14:paraId="59523213" w14:textId="77777777" w:rsidR="008673CC" w:rsidRPr="00F022D4" w:rsidRDefault="008673CC" w:rsidP="008673CC">
      <w:pPr>
        <w:pStyle w:val="EMEABodyTextIndent"/>
        <w:rPr>
          <w:lang w:val="lt-LT"/>
        </w:rPr>
      </w:pPr>
      <w:r w:rsidRPr="00F022D4">
        <w:rPr>
          <w:lang w:val="lt-LT"/>
        </w:rPr>
        <w:t>Užimkite patogią padėtį.</w:t>
      </w:r>
    </w:p>
    <w:p w14:paraId="4157F3F8" w14:textId="77777777" w:rsidR="008673CC" w:rsidRPr="00F022D4" w:rsidRDefault="008673CC" w:rsidP="008673CC">
      <w:pPr>
        <w:pStyle w:val="EMEABodyTextIndent"/>
        <w:rPr>
          <w:lang w:val="lt-LT"/>
        </w:rPr>
      </w:pPr>
      <w:r w:rsidRPr="00F022D4">
        <w:rPr>
          <w:lang w:val="lt-LT"/>
        </w:rPr>
        <w:t>Paimkite buteliuką ir atsukite jo dangtelį.</w:t>
      </w:r>
    </w:p>
    <w:p w14:paraId="66374E9A" w14:textId="77777777" w:rsidR="008673CC" w:rsidRPr="00F022D4" w:rsidRDefault="008673CC" w:rsidP="008673CC">
      <w:pPr>
        <w:pStyle w:val="EMEABodyTextIndent"/>
        <w:rPr>
          <w:lang w:val="lt-LT"/>
        </w:rPr>
      </w:pPr>
      <w:r w:rsidRPr="005D4B92">
        <w:rPr>
          <w:lang w:val="lt-LT"/>
        </w:rPr>
        <w:t xml:space="preserve">Jei nuėmus </w:t>
      </w:r>
      <w:r w:rsidRPr="00F022D4">
        <w:rPr>
          <w:lang w:val="lt-LT"/>
        </w:rPr>
        <w:t xml:space="preserve">atsukamąjį </w:t>
      </w:r>
      <w:r w:rsidRPr="005D4B92">
        <w:rPr>
          <w:lang w:val="lt-LT"/>
        </w:rPr>
        <w:t>dangtelį atsilaisvina pirmąjį atidarymą rodantis žiedas, jį prieš vaisto vartojimą pašalinkite.</w:t>
      </w:r>
    </w:p>
    <w:p w14:paraId="72CF5E28" w14:textId="77777777" w:rsidR="008673CC" w:rsidRPr="00F022D4" w:rsidRDefault="008673CC" w:rsidP="008673CC">
      <w:pPr>
        <w:pStyle w:val="EMEABodyTextIndent"/>
        <w:rPr>
          <w:lang w:val="lt-LT"/>
        </w:rPr>
      </w:pPr>
      <w:r w:rsidRPr="005D4B92">
        <w:rPr>
          <w:lang w:val="lt-LT"/>
        </w:rPr>
        <w:lastRenderedPageBreak/>
        <w:t>Laikykite apverstą buteliuką vienos rankos nykščiu ir didžiuoju pirštu.</w:t>
      </w:r>
    </w:p>
    <w:p w14:paraId="185C1A2C" w14:textId="77777777" w:rsidR="008673CC" w:rsidRPr="00F022D4" w:rsidRDefault="008673CC" w:rsidP="008673CC">
      <w:pPr>
        <w:pStyle w:val="EMEABodyTextIndent"/>
        <w:rPr>
          <w:lang w:val="lt-LT"/>
        </w:rPr>
      </w:pPr>
      <w:r w:rsidRPr="00F022D4">
        <w:rPr>
          <w:lang w:val="lt-LT"/>
        </w:rPr>
        <w:t xml:space="preserve">Atloškite galvą. Švariu pirštu švelniai patraukite žemyn apatinį voką, </w:t>
      </w:r>
      <w:r w:rsidRPr="005D4B92">
        <w:rPr>
          <w:lang w:val="lt-LT"/>
        </w:rPr>
        <w:t>kad tarp voko ir akies obuolio susidarytų kišenėlė (1 pav.).</w:t>
      </w:r>
    </w:p>
    <w:p w14:paraId="2064C45B" w14:textId="77777777" w:rsidR="008673CC" w:rsidRPr="00F022D4" w:rsidRDefault="008673CC" w:rsidP="008673CC">
      <w:pPr>
        <w:pStyle w:val="EMEABodyTextIndent"/>
        <w:rPr>
          <w:lang w:val="lt-LT"/>
        </w:rPr>
      </w:pPr>
      <w:r w:rsidRPr="005D4B92">
        <w:rPr>
          <w:lang w:val="lt-LT"/>
        </w:rPr>
        <w:t>Pritraukite lašintuvą prie akies. Jei reikia, naudokitės veidrodžiu</w:t>
      </w:r>
      <w:r w:rsidRPr="00F022D4">
        <w:rPr>
          <w:lang w:val="lt-LT"/>
        </w:rPr>
        <w:t>.</w:t>
      </w:r>
    </w:p>
    <w:p w14:paraId="54CD9DA4" w14:textId="77777777" w:rsidR="008673CC" w:rsidRPr="00F022D4" w:rsidRDefault="008673CC" w:rsidP="008673CC">
      <w:pPr>
        <w:pStyle w:val="EMEABodyTextIndent"/>
        <w:rPr>
          <w:lang w:val="lt-LT"/>
        </w:rPr>
      </w:pPr>
      <w:r w:rsidRPr="00F022D4">
        <w:rPr>
          <w:lang w:val="lt-LT"/>
        </w:rPr>
        <w:t xml:space="preserve">Nelieskite lašintuvu akies, jos voko, aplinkinių audinių ar kitų paviršių, kad į buteliuke likusius lašus nepatektų užkrato. </w:t>
      </w:r>
    </w:p>
    <w:p w14:paraId="6F257A76" w14:textId="77777777" w:rsidR="008673CC" w:rsidRDefault="008673CC" w:rsidP="008673CC">
      <w:pPr>
        <w:pStyle w:val="EMEABodyTextIndent"/>
        <w:rPr>
          <w:lang w:val="lt-LT"/>
        </w:rPr>
      </w:pPr>
      <w:r w:rsidRPr="005D4B92">
        <w:rPr>
          <w:lang w:val="lt-LT"/>
        </w:rPr>
        <w:t>Lengvai paspauskite buteliuk</w:t>
      </w:r>
      <w:r>
        <w:rPr>
          <w:lang w:val="lt-LT"/>
        </w:rPr>
        <w:t>ą</w:t>
      </w:r>
      <w:r w:rsidRPr="005D4B92">
        <w:rPr>
          <w:lang w:val="lt-LT"/>
        </w:rPr>
        <w:t xml:space="preserve">, kad </w:t>
      </w:r>
      <w:r w:rsidRPr="00F022D4">
        <w:rPr>
          <w:lang w:val="lt-LT"/>
        </w:rPr>
        <w:t xml:space="preserve">išlašėtų </w:t>
      </w:r>
      <w:r w:rsidRPr="005D4B92">
        <w:rPr>
          <w:lang w:val="lt-LT"/>
        </w:rPr>
        <w:t>vienas lašas</w:t>
      </w:r>
      <w:r w:rsidRPr="00F022D4">
        <w:rPr>
          <w:lang w:val="lt-LT"/>
        </w:rPr>
        <w:t xml:space="preserve">. </w:t>
      </w:r>
    </w:p>
    <w:p w14:paraId="0BD7F190" w14:textId="77777777" w:rsidR="008673CC" w:rsidRPr="00F022D4" w:rsidRDefault="008673CC" w:rsidP="008673CC">
      <w:pPr>
        <w:pStyle w:val="EMEABodyTextIndent"/>
        <w:rPr>
          <w:lang w:val="lt-LT"/>
        </w:rPr>
      </w:pPr>
      <w:r w:rsidRPr="00F022D4">
        <w:rPr>
          <w:lang w:val="lt-LT"/>
        </w:rPr>
        <w:t>Nesuspauskite buteliuko</w:t>
      </w:r>
      <w:r>
        <w:rPr>
          <w:lang w:val="lt-LT"/>
        </w:rPr>
        <w:t>. Jis sukurtas taip, kad užtektų tik lengvo paspaudimo.</w:t>
      </w:r>
    </w:p>
    <w:p w14:paraId="765ADBFA" w14:textId="77777777" w:rsidR="008673CC" w:rsidRPr="00F022D4" w:rsidRDefault="008673CC" w:rsidP="008673CC">
      <w:pPr>
        <w:pStyle w:val="EMEABodyTextIndent"/>
        <w:numPr>
          <w:ilvl w:val="0"/>
          <w:numId w:val="0"/>
        </w:numPr>
        <w:tabs>
          <w:tab w:val="left" w:pos="1296"/>
        </w:tabs>
        <w:rPr>
          <w:lang w:val="lt-LT"/>
        </w:rPr>
      </w:pPr>
    </w:p>
    <w:p w14:paraId="16B60EA4" w14:textId="77777777" w:rsidR="008673CC" w:rsidRPr="00F022D4" w:rsidRDefault="008673CC" w:rsidP="008673CC">
      <w:pPr>
        <w:pStyle w:val="EMEABodyTextIndent"/>
        <w:numPr>
          <w:ilvl w:val="0"/>
          <w:numId w:val="0"/>
        </w:numPr>
        <w:tabs>
          <w:tab w:val="left" w:pos="1296"/>
        </w:tabs>
        <w:rPr>
          <w:lang w:val="lt-LT"/>
        </w:rPr>
      </w:pPr>
      <w:r w:rsidRPr="00F022D4">
        <w:rPr>
          <w:lang w:val="lt-LT"/>
        </w:rPr>
        <w:t>1 pav.</w:t>
      </w:r>
    </w:p>
    <w:p w14:paraId="615C7721" w14:textId="77777777" w:rsidR="008673CC" w:rsidRPr="00F022D4" w:rsidRDefault="008673CC" w:rsidP="008673CC">
      <w:pPr>
        <w:pStyle w:val="EMEABodyTextIndent"/>
        <w:numPr>
          <w:ilvl w:val="0"/>
          <w:numId w:val="0"/>
        </w:numPr>
        <w:tabs>
          <w:tab w:val="left" w:pos="1296"/>
        </w:tabs>
        <w:ind w:left="567"/>
        <w:rPr>
          <w:lang w:val="lt-LT"/>
        </w:rPr>
      </w:pPr>
      <w:r w:rsidRPr="00F022D4">
        <w:rPr>
          <w:noProof/>
          <w:lang w:val="lt-LT" w:eastAsia="lt-LT"/>
        </w:rPr>
        <w:drawing>
          <wp:inline distT="0" distB="0" distL="0" distR="0" wp14:anchorId="4CE7D35C" wp14:editId="74A45845">
            <wp:extent cx="1257300"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819275"/>
                    </a:xfrm>
                    <a:prstGeom prst="rect">
                      <a:avLst/>
                    </a:prstGeom>
                    <a:noFill/>
                    <a:ln>
                      <a:noFill/>
                    </a:ln>
                  </pic:spPr>
                </pic:pic>
              </a:graphicData>
            </a:graphic>
          </wp:inline>
        </w:drawing>
      </w:r>
    </w:p>
    <w:p w14:paraId="335306C1" w14:textId="77777777" w:rsidR="008673CC" w:rsidRPr="00F022D4" w:rsidRDefault="008673CC" w:rsidP="008673CC">
      <w:pPr>
        <w:pStyle w:val="EMEABodyTextIndent"/>
        <w:rPr>
          <w:lang w:val="lt-LT"/>
        </w:rPr>
      </w:pPr>
      <w:r w:rsidRPr="00F022D4">
        <w:rPr>
          <w:lang w:val="lt-LT"/>
        </w:rPr>
        <w:t>Jeigu lašinate į abi akis, tai tokiu pačiu būdu įlašinkite šio vaisto ir į kitą.</w:t>
      </w:r>
    </w:p>
    <w:p w14:paraId="1336E4D2" w14:textId="77777777" w:rsidR="008673CC" w:rsidRPr="00F022D4" w:rsidRDefault="008673CC" w:rsidP="008673CC">
      <w:pPr>
        <w:pStyle w:val="EMEABodyTextIndent"/>
        <w:rPr>
          <w:lang w:val="lt-LT"/>
        </w:rPr>
      </w:pPr>
      <w:r w:rsidRPr="00F022D4">
        <w:rPr>
          <w:lang w:val="lt-LT"/>
        </w:rPr>
        <w:t>Įlašinę vaisto, nedelsdami vėl tvirtai užsukite buteliuko dangtelį.</w:t>
      </w:r>
    </w:p>
    <w:p w14:paraId="3BF50370" w14:textId="77777777" w:rsidR="008673CC" w:rsidRPr="00F022D4" w:rsidRDefault="008673CC" w:rsidP="008673CC">
      <w:pPr>
        <w:tabs>
          <w:tab w:val="clear" w:pos="567"/>
          <w:tab w:val="left" w:pos="1296"/>
        </w:tabs>
        <w:spacing w:line="240" w:lineRule="auto"/>
        <w:ind w:right="-2"/>
        <w:rPr>
          <w:lang w:val="lt-LT"/>
        </w:rPr>
      </w:pPr>
    </w:p>
    <w:p w14:paraId="4191AD8A" w14:textId="77777777" w:rsidR="008673CC" w:rsidRPr="00F022D4" w:rsidRDefault="008673CC" w:rsidP="008673CC">
      <w:pPr>
        <w:tabs>
          <w:tab w:val="clear" w:pos="567"/>
          <w:tab w:val="left" w:pos="1296"/>
        </w:tabs>
        <w:spacing w:line="240" w:lineRule="auto"/>
        <w:ind w:right="-2"/>
        <w:rPr>
          <w:lang w:val="lt-LT"/>
        </w:rPr>
      </w:pPr>
      <w:r w:rsidRPr="005D4B92">
        <w:rPr>
          <w:lang w:val="lt-LT"/>
        </w:rPr>
        <w:t>Jei nepataikėte įsilašinti, bandykite dar kartą.</w:t>
      </w:r>
    </w:p>
    <w:p w14:paraId="0CBB5669" w14:textId="77777777" w:rsidR="008673CC" w:rsidRPr="00F022D4" w:rsidRDefault="008673CC" w:rsidP="008673CC">
      <w:pPr>
        <w:tabs>
          <w:tab w:val="clear" w:pos="567"/>
          <w:tab w:val="left" w:pos="1296"/>
        </w:tabs>
        <w:spacing w:line="240" w:lineRule="auto"/>
        <w:ind w:right="-2"/>
        <w:rPr>
          <w:lang w:val="lt-LT"/>
        </w:rPr>
      </w:pPr>
    </w:p>
    <w:p w14:paraId="09EEB45E"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Ką daryti pavartojus per didelę Alerpalux dozę?</w:t>
      </w:r>
    </w:p>
    <w:p w14:paraId="258A32CC"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F022D4">
        <w:rPr>
          <w:lang w:val="lt-LT"/>
        </w:rPr>
        <w:t>Praplaukite akis šiltu vandeniu. Jeigu abejojate arba prastai jaučiatės, kreipkitės į gydytoją. Daugiau lašų nelašinkite, kol ateis laikas kitai dozei.</w:t>
      </w:r>
    </w:p>
    <w:p w14:paraId="41CB7BE0"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365C09F5"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Pamiršus pavartoti Alerpalux</w:t>
      </w:r>
    </w:p>
    <w:p w14:paraId="03F6BDB8" w14:textId="77777777" w:rsidR="008673CC" w:rsidRPr="00F022D4" w:rsidRDefault="008673CC" w:rsidP="008673CC">
      <w:pPr>
        <w:numPr>
          <w:ilvl w:val="12"/>
          <w:numId w:val="0"/>
        </w:numPr>
        <w:tabs>
          <w:tab w:val="clear" w:pos="567"/>
          <w:tab w:val="left" w:pos="1296"/>
        </w:tabs>
        <w:spacing w:line="240" w:lineRule="auto"/>
        <w:ind w:right="-2"/>
        <w:rPr>
          <w:lang w:val="lt-LT"/>
        </w:rPr>
      </w:pPr>
      <w:r w:rsidRPr="005D4B92">
        <w:rPr>
          <w:lang w:val="lt-LT"/>
        </w:rPr>
        <w:t xml:space="preserve">Įsilašinkite vieną lašą, kai tik prisiminsite, tolesnes dozes vartokite vaistą įprastu laiku. Jei jau beveik laikas vartoti kitą dozę, pamirštąją praleiskite ir toliau vaistą vartokite įprastai. </w:t>
      </w:r>
    </w:p>
    <w:p w14:paraId="2BD8FAC9"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F022D4">
        <w:rPr>
          <w:lang w:val="lt-LT"/>
        </w:rPr>
        <w:t>Negalima vartoti dvigubos dozės norint kompensuoti praleistą.</w:t>
      </w:r>
    </w:p>
    <w:p w14:paraId="3E19BAAD" w14:textId="77777777" w:rsidR="008673CC" w:rsidRPr="00F022D4" w:rsidRDefault="008673CC" w:rsidP="008673CC">
      <w:pPr>
        <w:numPr>
          <w:ilvl w:val="12"/>
          <w:numId w:val="0"/>
        </w:numPr>
        <w:tabs>
          <w:tab w:val="clear" w:pos="567"/>
          <w:tab w:val="left" w:pos="1296"/>
        </w:tabs>
        <w:spacing w:line="240" w:lineRule="auto"/>
        <w:ind w:right="-2"/>
        <w:rPr>
          <w:lang w:val="lt-LT"/>
        </w:rPr>
      </w:pPr>
      <w:r w:rsidRPr="00F022D4">
        <w:rPr>
          <w:lang w:val="lt-LT"/>
        </w:rPr>
        <w:t xml:space="preserve"> </w:t>
      </w:r>
    </w:p>
    <w:p w14:paraId="7C1B4786" w14:textId="77777777" w:rsidR="008673CC" w:rsidRPr="005D4B92" w:rsidRDefault="008673CC" w:rsidP="008673CC">
      <w:pPr>
        <w:numPr>
          <w:ilvl w:val="12"/>
          <w:numId w:val="0"/>
        </w:numPr>
        <w:tabs>
          <w:tab w:val="clear" w:pos="567"/>
          <w:tab w:val="left" w:pos="1296"/>
        </w:tabs>
        <w:spacing w:line="240" w:lineRule="auto"/>
        <w:ind w:right="-2"/>
        <w:rPr>
          <w:b/>
          <w:lang w:val="lt-LT"/>
        </w:rPr>
      </w:pPr>
      <w:r w:rsidRPr="005D4B92">
        <w:rPr>
          <w:b/>
          <w:lang w:val="lt-LT"/>
        </w:rPr>
        <w:t>Nustojus vartoti Alerpalux</w:t>
      </w:r>
    </w:p>
    <w:p w14:paraId="3D93E73A" w14:textId="77777777" w:rsidR="008673CC" w:rsidRPr="00F022D4" w:rsidRDefault="008673CC" w:rsidP="008673CC">
      <w:pPr>
        <w:numPr>
          <w:ilvl w:val="12"/>
          <w:numId w:val="0"/>
        </w:numPr>
        <w:tabs>
          <w:tab w:val="clear" w:pos="567"/>
          <w:tab w:val="left" w:pos="1296"/>
        </w:tabs>
        <w:spacing w:line="240" w:lineRule="auto"/>
        <w:ind w:right="-2"/>
        <w:rPr>
          <w:lang w:val="lt-LT"/>
        </w:rPr>
      </w:pPr>
      <w:r w:rsidRPr="005D4B92">
        <w:rPr>
          <w:lang w:val="lt-LT"/>
        </w:rPr>
        <w:t>Nenutraukite šio vaisto vartojimo nepasitarę su gydytoju</w:t>
      </w:r>
      <w:r w:rsidRPr="00F022D4">
        <w:rPr>
          <w:lang w:val="lt-LT"/>
        </w:rPr>
        <w:t>.</w:t>
      </w:r>
    </w:p>
    <w:p w14:paraId="6E1A662C"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05CE987B" w14:textId="77777777" w:rsidR="008673CC" w:rsidRPr="00F022D4" w:rsidRDefault="008673CC" w:rsidP="008673CC">
      <w:pPr>
        <w:numPr>
          <w:ilvl w:val="12"/>
          <w:numId w:val="0"/>
        </w:numPr>
        <w:tabs>
          <w:tab w:val="clear" w:pos="567"/>
          <w:tab w:val="left" w:pos="1296"/>
        </w:tabs>
        <w:spacing w:line="240" w:lineRule="auto"/>
        <w:ind w:right="-29"/>
        <w:rPr>
          <w:rFonts w:asciiTheme="minorHAnsi" w:eastAsiaTheme="minorHAnsi" w:hAnsiTheme="minorHAnsi" w:cstheme="minorBidi"/>
          <w:szCs w:val="22"/>
          <w:lang w:val="lt-LT"/>
        </w:rPr>
      </w:pPr>
      <w:r w:rsidRPr="00F022D4">
        <w:rPr>
          <w:lang w:val="lt-LT"/>
        </w:rPr>
        <w:t>Jeigu kiltų daugiau klausimų dėl šio vaisto vartojimo, kreipkitės į gydytoją arba vaistininką.</w:t>
      </w:r>
    </w:p>
    <w:p w14:paraId="61BC48C6" w14:textId="77777777" w:rsidR="008673CC" w:rsidRPr="00F022D4" w:rsidRDefault="008673CC" w:rsidP="008673CC">
      <w:pPr>
        <w:numPr>
          <w:ilvl w:val="12"/>
          <w:numId w:val="0"/>
        </w:numPr>
        <w:tabs>
          <w:tab w:val="clear" w:pos="567"/>
          <w:tab w:val="left" w:pos="1296"/>
        </w:tabs>
        <w:spacing w:line="240" w:lineRule="auto"/>
        <w:rPr>
          <w:lang w:val="lt-LT"/>
        </w:rPr>
      </w:pPr>
    </w:p>
    <w:p w14:paraId="0F40C693" w14:textId="77777777" w:rsidR="008673CC" w:rsidRPr="00F022D4" w:rsidRDefault="008673CC" w:rsidP="008673CC">
      <w:pPr>
        <w:numPr>
          <w:ilvl w:val="12"/>
          <w:numId w:val="0"/>
        </w:numPr>
        <w:tabs>
          <w:tab w:val="clear" w:pos="567"/>
          <w:tab w:val="left" w:pos="1296"/>
        </w:tabs>
        <w:spacing w:line="240" w:lineRule="auto"/>
        <w:rPr>
          <w:lang w:val="lt-LT"/>
        </w:rPr>
      </w:pPr>
    </w:p>
    <w:p w14:paraId="430EA56E"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4.</w:t>
      </w:r>
      <w:r w:rsidRPr="00F022D4">
        <w:rPr>
          <w:rFonts w:ascii="Times New Roman" w:hAnsi="Times New Roman"/>
          <w:sz w:val="22"/>
          <w:lang w:val="lt-LT"/>
        </w:rPr>
        <w:tab/>
        <w:t>Galimas šalutinis poveikis</w:t>
      </w:r>
    </w:p>
    <w:p w14:paraId="23ED575C" w14:textId="77777777" w:rsidR="008673CC" w:rsidRPr="00F022D4" w:rsidRDefault="008673CC" w:rsidP="008673CC">
      <w:pPr>
        <w:numPr>
          <w:ilvl w:val="12"/>
          <w:numId w:val="0"/>
        </w:numPr>
        <w:tabs>
          <w:tab w:val="clear" w:pos="567"/>
          <w:tab w:val="left" w:pos="1296"/>
        </w:tabs>
        <w:spacing w:line="240" w:lineRule="auto"/>
        <w:rPr>
          <w:lang w:val="lt-LT"/>
        </w:rPr>
      </w:pPr>
    </w:p>
    <w:p w14:paraId="633D3B90" w14:textId="77777777" w:rsidR="008673CC" w:rsidRPr="00F022D4" w:rsidRDefault="008673CC" w:rsidP="008673CC">
      <w:pPr>
        <w:numPr>
          <w:ilvl w:val="12"/>
          <w:numId w:val="0"/>
        </w:numPr>
        <w:tabs>
          <w:tab w:val="clear" w:pos="567"/>
          <w:tab w:val="left" w:pos="1296"/>
        </w:tabs>
        <w:spacing w:line="240" w:lineRule="auto"/>
        <w:ind w:right="-29"/>
        <w:rPr>
          <w:rFonts w:asciiTheme="minorHAnsi" w:eastAsiaTheme="minorHAnsi" w:hAnsiTheme="minorHAnsi" w:cstheme="minorBidi"/>
          <w:szCs w:val="22"/>
          <w:lang w:val="lt-LT"/>
        </w:rPr>
      </w:pPr>
      <w:r w:rsidRPr="00F022D4">
        <w:rPr>
          <w:lang w:val="lt-LT"/>
        </w:rPr>
        <w:t>Šis vaistas, kaip ir visi kiti, gali sukelti šalutinį poveikį, nors jis pasireiškia ne visiems žmonėms.</w:t>
      </w:r>
    </w:p>
    <w:p w14:paraId="3F22E6AB" w14:textId="77777777" w:rsidR="008673CC" w:rsidRPr="00F022D4" w:rsidRDefault="008673CC" w:rsidP="008673CC">
      <w:pPr>
        <w:numPr>
          <w:ilvl w:val="12"/>
          <w:numId w:val="0"/>
        </w:numPr>
        <w:tabs>
          <w:tab w:val="clear" w:pos="567"/>
          <w:tab w:val="left" w:pos="1296"/>
        </w:tabs>
        <w:spacing w:line="240" w:lineRule="auto"/>
        <w:ind w:right="-29"/>
        <w:rPr>
          <w:lang w:val="lt-LT"/>
        </w:rPr>
      </w:pPr>
      <w:r w:rsidRPr="005D4B92">
        <w:rPr>
          <w:lang w:val="lt-LT"/>
        </w:rPr>
        <w:t xml:space="preserve">Pastebėtas toliau išvardytas šalutinis </w:t>
      </w:r>
      <w:r w:rsidRPr="00F022D4">
        <w:rPr>
          <w:lang w:val="lt-LT"/>
        </w:rPr>
        <w:t>Alerpalux</w:t>
      </w:r>
      <w:r w:rsidRPr="005D4B92">
        <w:rPr>
          <w:lang w:val="lt-LT"/>
        </w:rPr>
        <w:t xml:space="preserve"> poveikis.</w:t>
      </w:r>
    </w:p>
    <w:p w14:paraId="38F8026B" w14:textId="77777777" w:rsidR="008673CC" w:rsidRPr="00F022D4" w:rsidRDefault="008673CC" w:rsidP="008673CC">
      <w:pPr>
        <w:numPr>
          <w:ilvl w:val="12"/>
          <w:numId w:val="0"/>
        </w:numPr>
        <w:tabs>
          <w:tab w:val="clear" w:pos="567"/>
          <w:tab w:val="left" w:pos="1296"/>
        </w:tabs>
        <w:spacing w:line="240" w:lineRule="auto"/>
        <w:ind w:right="-29"/>
        <w:rPr>
          <w:lang w:val="lt-LT"/>
        </w:rPr>
      </w:pPr>
    </w:p>
    <w:p w14:paraId="1D81839D" w14:textId="56290271" w:rsidR="008673CC" w:rsidRPr="00F022D4" w:rsidRDefault="008673CC" w:rsidP="008673CC">
      <w:pPr>
        <w:spacing w:line="240" w:lineRule="auto"/>
        <w:rPr>
          <w:rFonts w:asciiTheme="minorHAnsi" w:eastAsiaTheme="minorHAnsi" w:hAnsiTheme="minorHAnsi" w:cstheme="minorBidi"/>
          <w:szCs w:val="22"/>
          <w:u w:val="single"/>
          <w:lang w:val="lt-LT"/>
        </w:rPr>
      </w:pPr>
      <w:r w:rsidRPr="00F022D4">
        <w:rPr>
          <w:u w:val="single"/>
          <w:lang w:val="lt-LT"/>
        </w:rPr>
        <w:t xml:space="preserve">Dažnas šalutinis poveikis </w:t>
      </w:r>
      <w:r w:rsidRPr="00F022D4">
        <w:rPr>
          <w:i/>
          <w:u w:val="single"/>
          <w:lang w:val="lt-LT"/>
        </w:rPr>
        <w:t xml:space="preserve">(gali pasireikšti </w:t>
      </w:r>
      <w:r w:rsidR="00C54C70">
        <w:rPr>
          <w:i/>
          <w:u w:val="single"/>
          <w:lang w:val="lt-LT"/>
        </w:rPr>
        <w:t>rečiau kaip</w:t>
      </w:r>
      <w:r w:rsidRPr="00F022D4">
        <w:rPr>
          <w:i/>
          <w:u w:val="single"/>
          <w:lang w:val="lt-LT"/>
        </w:rPr>
        <w:t>10 žmonių iš 100)</w:t>
      </w:r>
    </w:p>
    <w:p w14:paraId="0CA2CF1E"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b/>
          <w:lang w:val="lt-LT"/>
        </w:rPr>
        <w:t>Poveikis akims:</w:t>
      </w:r>
      <w:r w:rsidRPr="00F022D4">
        <w:rPr>
          <w:lang w:val="lt-LT"/>
        </w:rPr>
        <w:t xml:space="preserve"> akies skausmas, akies sudirgimas, sausa akis, nenormalus pojūtis akyje.</w:t>
      </w:r>
    </w:p>
    <w:p w14:paraId="5CF06466"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b/>
          <w:lang w:val="lt-LT"/>
        </w:rPr>
        <w:t xml:space="preserve">Bendras šalutinis poveikis: </w:t>
      </w:r>
      <w:r w:rsidRPr="00F022D4">
        <w:rPr>
          <w:lang w:val="lt-LT"/>
        </w:rPr>
        <w:t>galvos skausmas, nuovargis, sausa nosis, blogas skonis.</w:t>
      </w:r>
    </w:p>
    <w:p w14:paraId="0D48873B" w14:textId="77777777" w:rsidR="008673CC" w:rsidRPr="00F022D4" w:rsidRDefault="008673CC" w:rsidP="008673CC">
      <w:pPr>
        <w:spacing w:line="240" w:lineRule="auto"/>
        <w:rPr>
          <w:lang w:val="lt-LT"/>
        </w:rPr>
      </w:pPr>
    </w:p>
    <w:p w14:paraId="3278A4AC" w14:textId="4B88548F" w:rsidR="008673CC" w:rsidRPr="00F022D4" w:rsidRDefault="008673CC" w:rsidP="008673CC">
      <w:pPr>
        <w:spacing w:line="240" w:lineRule="auto"/>
        <w:rPr>
          <w:rFonts w:asciiTheme="minorHAnsi" w:eastAsiaTheme="minorHAnsi" w:hAnsiTheme="minorHAnsi" w:cstheme="minorBidi"/>
          <w:szCs w:val="22"/>
          <w:u w:val="single"/>
          <w:lang w:val="lt-LT"/>
        </w:rPr>
      </w:pPr>
      <w:r w:rsidRPr="00F022D4">
        <w:rPr>
          <w:u w:val="single"/>
          <w:lang w:val="lt-LT"/>
        </w:rPr>
        <w:lastRenderedPageBreak/>
        <w:t xml:space="preserve">Nedažnas šalutinis poveikis </w:t>
      </w:r>
      <w:r w:rsidRPr="00F022D4">
        <w:rPr>
          <w:i/>
          <w:u w:val="single"/>
          <w:lang w:val="lt-LT"/>
        </w:rPr>
        <w:t xml:space="preserve">(gali pasireikšti </w:t>
      </w:r>
      <w:r w:rsidR="00C54C70">
        <w:rPr>
          <w:i/>
          <w:u w:val="single"/>
          <w:lang w:val="lt-LT"/>
        </w:rPr>
        <w:t xml:space="preserve">rečiau kaip </w:t>
      </w:r>
      <w:r w:rsidRPr="00F022D4">
        <w:rPr>
          <w:i/>
          <w:u w:val="single"/>
          <w:lang w:val="lt-LT"/>
        </w:rPr>
        <w:t>1 žmogau</w:t>
      </w:r>
      <w:r w:rsidR="00C54C70">
        <w:rPr>
          <w:i/>
          <w:u w:val="single"/>
          <w:lang w:val="lt-LT"/>
        </w:rPr>
        <w:t>i</w:t>
      </w:r>
      <w:r w:rsidRPr="00F022D4">
        <w:rPr>
          <w:i/>
          <w:u w:val="single"/>
          <w:lang w:val="lt-LT"/>
        </w:rPr>
        <w:t xml:space="preserve"> iš 100)</w:t>
      </w:r>
    </w:p>
    <w:p w14:paraId="595223D7"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b/>
          <w:lang w:val="lt-LT"/>
        </w:rPr>
        <w:t>Poveikis akims:</w:t>
      </w:r>
      <w:r w:rsidRPr="00F022D4">
        <w:rPr>
          <w:lang w:val="lt-LT"/>
        </w:rPr>
        <w:t xml:space="preserve"> neryškus, susilpnėjęs arba nenormalus matymas, ragenos pažeidimas (erozija), </w:t>
      </w:r>
      <w:r w:rsidRPr="005D4B92">
        <w:rPr>
          <w:lang w:val="lt-LT"/>
        </w:rPr>
        <w:t xml:space="preserve">akies paviršiaus uždegimas su paviršiaus pažeidimu arba be jo, </w:t>
      </w:r>
      <w:r w:rsidRPr="00F022D4">
        <w:rPr>
          <w:lang w:val="lt-LT"/>
        </w:rPr>
        <w:t>junginės uždegimas ar infekcija, taškinis keratitas, keratitas, ragenos dėmės, vokų spazmas, nemalonus pojūtis akyse, svetimkūnio akyje pojūtis, junginės hiperemija, akių išskyros, akių alergija, jautrumas šviesai, padidėjęs ašarojimas, akies niežėjimas, akies paraudimas, akies voko pokyčiai, niežėjimas, paraudimas, voko patinimas, folikulai junginėje.</w:t>
      </w:r>
    </w:p>
    <w:p w14:paraId="3F35C247" w14:textId="4820DA53" w:rsidR="008673CC" w:rsidRPr="00F022D4" w:rsidRDefault="008673CC" w:rsidP="008673CC">
      <w:pPr>
        <w:spacing w:line="240" w:lineRule="auto"/>
        <w:rPr>
          <w:rFonts w:asciiTheme="minorHAnsi" w:eastAsiaTheme="minorHAnsi" w:hAnsiTheme="minorHAnsi" w:cstheme="minorBidi"/>
          <w:szCs w:val="22"/>
          <w:lang w:val="lt-LT"/>
        </w:rPr>
      </w:pPr>
      <w:r w:rsidRPr="00F022D4">
        <w:rPr>
          <w:b/>
          <w:lang w:val="lt-LT"/>
        </w:rPr>
        <w:t>Bendras šalutinis poveikis:</w:t>
      </w:r>
      <w:r w:rsidRPr="00F022D4">
        <w:rPr>
          <w:lang w:val="lt-LT"/>
        </w:rPr>
        <w:t xml:space="preserve"> sutrikę ar susilpnėję jutimai, </w:t>
      </w:r>
      <w:r w:rsidR="00C54C70">
        <w:rPr>
          <w:lang w:val="lt-LT"/>
        </w:rPr>
        <w:t>svaigulys</w:t>
      </w:r>
      <w:r w:rsidRPr="00F022D4">
        <w:rPr>
          <w:lang w:val="lt-LT"/>
        </w:rPr>
        <w:t>, varvanti nosis (sloga), sausa oda, odos uždegimas (kontaktinis dermatitas), odos deginimo pojūtis.</w:t>
      </w:r>
    </w:p>
    <w:p w14:paraId="0C6AE919" w14:textId="77777777" w:rsidR="008673CC" w:rsidRPr="00F022D4" w:rsidRDefault="008673CC" w:rsidP="008673CC">
      <w:pPr>
        <w:spacing w:line="240" w:lineRule="auto"/>
        <w:rPr>
          <w:lang w:val="lt-LT"/>
        </w:rPr>
      </w:pPr>
    </w:p>
    <w:p w14:paraId="7C7D2C9C" w14:textId="77777777" w:rsidR="008673CC" w:rsidRPr="00F022D4" w:rsidRDefault="008673CC" w:rsidP="008673CC">
      <w:pPr>
        <w:spacing w:line="240" w:lineRule="auto"/>
        <w:rPr>
          <w:rFonts w:asciiTheme="minorHAnsi" w:eastAsiaTheme="minorHAnsi" w:hAnsiTheme="minorHAnsi" w:cstheme="minorBidi"/>
          <w:szCs w:val="22"/>
          <w:u w:val="single"/>
          <w:lang w:val="lt-LT"/>
        </w:rPr>
      </w:pPr>
      <w:r w:rsidRPr="00F022D4">
        <w:rPr>
          <w:u w:val="single"/>
          <w:lang w:val="lt-LT"/>
        </w:rPr>
        <w:t>Šalutinis poveikis, kurio dažnis nežinomas (negali būti apskaičiuotas pagal turimus duomenis)</w:t>
      </w:r>
    </w:p>
    <w:p w14:paraId="69255647"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b/>
          <w:lang w:val="lt-LT"/>
        </w:rPr>
        <w:t>Poveikis akims:</w:t>
      </w:r>
      <w:r w:rsidRPr="00F022D4">
        <w:rPr>
          <w:lang w:val="lt-LT"/>
        </w:rPr>
        <w:t xml:space="preserve"> paburkusi ragena, junginės uždegimas, paburkusi akis, patinusi akis, patinusi ragena, pakitęs vyzdžio dydis, sutrikęs regėjimas, voko krašto plutelė.</w:t>
      </w:r>
    </w:p>
    <w:p w14:paraId="586BDA80" w14:textId="2F647CF7" w:rsidR="008673CC" w:rsidRPr="00F022D4" w:rsidRDefault="008673CC" w:rsidP="008673CC">
      <w:pPr>
        <w:spacing w:line="240" w:lineRule="auto"/>
        <w:rPr>
          <w:rFonts w:asciiTheme="minorHAnsi" w:eastAsiaTheme="minorHAnsi" w:hAnsiTheme="minorHAnsi" w:cstheme="minorBidi"/>
          <w:szCs w:val="22"/>
          <w:lang w:val="lt-LT"/>
        </w:rPr>
      </w:pPr>
      <w:r w:rsidRPr="00F022D4">
        <w:rPr>
          <w:b/>
          <w:lang w:val="lt-LT"/>
        </w:rPr>
        <w:t>Bendras šalutinis poveikis:</w:t>
      </w:r>
      <w:r w:rsidRPr="00F022D4">
        <w:rPr>
          <w:lang w:val="lt-LT"/>
        </w:rPr>
        <w:t xml:space="preserve"> dusulys, sustiprėję alergijos simptomai, patinęs veidas, mieguistumas, bendras silpnumas, dermatitas, </w:t>
      </w:r>
      <w:r w:rsidR="00F6788A">
        <w:rPr>
          <w:lang w:val="lt-LT"/>
        </w:rPr>
        <w:t>raudonė</w:t>
      </w:r>
      <w:r w:rsidR="00F6788A" w:rsidRPr="00F022D4">
        <w:rPr>
          <w:lang w:val="lt-LT"/>
        </w:rPr>
        <w:t xml:space="preserve"> </w:t>
      </w:r>
      <w:r w:rsidRPr="00F022D4">
        <w:rPr>
          <w:lang w:val="lt-LT"/>
        </w:rPr>
        <w:t>(paraudimas), pykinimas, vėmimas, sinusų (pridėtinių nosies ančių) infekcija, bendras negalavimas, odos paraudimas ir niežėjimas.</w:t>
      </w:r>
    </w:p>
    <w:p w14:paraId="3CAA523E" w14:textId="77777777" w:rsidR="008673CC" w:rsidRPr="00F022D4" w:rsidRDefault="008673CC" w:rsidP="008673CC">
      <w:pPr>
        <w:spacing w:line="240" w:lineRule="auto"/>
        <w:rPr>
          <w:lang w:val="lt-LT"/>
        </w:rPr>
      </w:pPr>
    </w:p>
    <w:p w14:paraId="6D21E405"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Kiti nepageidaujami poveikiai, susiję su fosfatų turinčių akių lašų vartojimu:</w:t>
      </w:r>
    </w:p>
    <w:p w14:paraId="4835894E"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Labai retais atvejais kai kuriems pacientams, kurių akies priekinis skaidrus sluoksnis (ragena) buvo labai pažeistas, gydymo metu susidarė drumstų dėmių ragenoje dėl kalcio nuosėdų susidarymo.</w:t>
      </w:r>
    </w:p>
    <w:p w14:paraId="48E147FB" w14:textId="77777777" w:rsidR="008673CC" w:rsidRPr="00F022D4" w:rsidRDefault="008673CC" w:rsidP="008673CC">
      <w:pPr>
        <w:spacing w:line="240" w:lineRule="auto"/>
        <w:rPr>
          <w:lang w:val="lt-LT"/>
        </w:rPr>
      </w:pPr>
    </w:p>
    <w:p w14:paraId="05934F70" w14:textId="77777777" w:rsidR="008673CC" w:rsidRPr="00F022D4" w:rsidRDefault="008673CC" w:rsidP="008673CC">
      <w:pPr>
        <w:spacing w:line="240" w:lineRule="auto"/>
        <w:rPr>
          <w:rFonts w:asciiTheme="minorHAnsi" w:eastAsiaTheme="minorHAnsi" w:hAnsiTheme="minorHAnsi" w:cstheme="minorBidi"/>
          <w:b/>
          <w:szCs w:val="22"/>
          <w:lang w:val="lt-LT"/>
        </w:rPr>
      </w:pPr>
      <w:r w:rsidRPr="00F022D4">
        <w:rPr>
          <w:b/>
          <w:lang w:val="lt-LT"/>
        </w:rPr>
        <w:t>Pranešimas apie šalutinį poveikį</w:t>
      </w:r>
    </w:p>
    <w:p w14:paraId="7F5B3AB3" w14:textId="77777777" w:rsidR="008673CC" w:rsidRPr="00F022D4" w:rsidRDefault="008673CC" w:rsidP="008673CC">
      <w:pPr>
        <w:ind w:right="-1"/>
        <w:rPr>
          <w:rFonts w:asciiTheme="minorHAnsi" w:eastAsiaTheme="minorHAnsi" w:hAnsiTheme="minorHAnsi" w:cstheme="minorBidi"/>
          <w:szCs w:val="22"/>
          <w:lang w:val="lt-LT"/>
        </w:rPr>
      </w:pPr>
      <w:r w:rsidRPr="00F022D4">
        <w:rPr>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8" w:history="1">
        <w:r w:rsidRPr="00F022D4">
          <w:rPr>
            <w:rStyle w:val="Hipersaitas"/>
            <w:rFonts w:eastAsia="SimSun"/>
            <w:lang w:val="lt-LT"/>
          </w:rPr>
          <w:t>www.vvkt.lt</w:t>
        </w:r>
      </w:hyperlink>
      <w:r w:rsidRPr="00F022D4">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F022D4">
          <w:rPr>
            <w:rStyle w:val="Hipersaitas"/>
            <w:rFonts w:eastAsia="SimSun"/>
            <w:lang w:val="lt-LT"/>
          </w:rPr>
          <w:t>NepageidaujamaR@vvkt.lt</w:t>
        </w:r>
      </w:hyperlink>
      <w:r w:rsidRPr="00F022D4">
        <w:rPr>
          <w:lang w:val="lt-LT"/>
        </w:rPr>
        <w:t xml:space="preserve">, taip pat per Valstybinės vaistų kontrolės tarnybos prie Lietuvos Respublikos sveikatos apsaugos ministerijos interneto svetainę (adresu </w:t>
      </w:r>
      <w:hyperlink r:id="rId10" w:history="1">
        <w:r w:rsidRPr="00F022D4">
          <w:rPr>
            <w:rStyle w:val="Hipersaitas"/>
            <w:rFonts w:eastAsia="SimSun"/>
            <w:lang w:val="lt-LT"/>
          </w:rPr>
          <w:t>http://www.vvkt.lt</w:t>
        </w:r>
      </w:hyperlink>
      <w:r w:rsidRPr="00F022D4">
        <w:rPr>
          <w:lang w:val="lt-LT"/>
        </w:rPr>
        <w:t>). Pranešdami apie šalutinį poveikį galite mums padėti gauti daugiau informacijos apie šio vaisto saugumą.</w:t>
      </w:r>
    </w:p>
    <w:p w14:paraId="69E7DC03" w14:textId="77777777" w:rsidR="008673CC" w:rsidRPr="00F022D4" w:rsidRDefault="008673CC" w:rsidP="008673CC">
      <w:pPr>
        <w:spacing w:line="240" w:lineRule="auto"/>
        <w:ind w:right="-449"/>
        <w:rPr>
          <w:lang w:val="lt-LT"/>
        </w:rPr>
      </w:pPr>
    </w:p>
    <w:p w14:paraId="7EF04A02" w14:textId="77777777" w:rsidR="008673CC" w:rsidRPr="00F022D4" w:rsidRDefault="008673CC" w:rsidP="008673CC">
      <w:pPr>
        <w:spacing w:line="240" w:lineRule="auto"/>
        <w:ind w:right="-449"/>
        <w:rPr>
          <w:lang w:val="lt-LT"/>
        </w:rPr>
      </w:pPr>
    </w:p>
    <w:p w14:paraId="635436A5"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5.</w:t>
      </w:r>
      <w:r w:rsidRPr="00F022D4">
        <w:rPr>
          <w:rFonts w:ascii="Times New Roman" w:hAnsi="Times New Roman"/>
          <w:sz w:val="22"/>
          <w:lang w:val="lt-LT"/>
        </w:rPr>
        <w:tab/>
        <w:t>Kaip laikyti Alerpalux</w:t>
      </w:r>
    </w:p>
    <w:p w14:paraId="30C144F7"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11E72EEB" w14:textId="3D1AEF44" w:rsidR="00197E33"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67295E">
        <w:rPr>
          <w:szCs w:val="22"/>
          <w:lang w:val="lt-LT"/>
        </w:rPr>
        <w:t>Šį vaistą laikykite vaikams nepastebimoje ir nepasiekiamoje vietoje.</w:t>
      </w:r>
    </w:p>
    <w:p w14:paraId="6CFFA86A"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67295E">
        <w:rPr>
          <w:szCs w:val="22"/>
          <w:lang w:val="lt-LT"/>
        </w:rPr>
        <w:t>Ant buteliuko ir dėžutės po „EXP“ nurodytam tinkamumo laikui pasibaigus, šio vaisto vartoti negalima. Vaistas tinkamas vartoti iki paskutinės nurodyto mėnesio dienos.</w:t>
      </w:r>
    </w:p>
    <w:p w14:paraId="26ECD4F2" w14:textId="77777777" w:rsidR="008673CC" w:rsidRPr="0067295E" w:rsidRDefault="008673CC" w:rsidP="008673CC">
      <w:pPr>
        <w:numPr>
          <w:ilvl w:val="12"/>
          <w:numId w:val="0"/>
        </w:numPr>
        <w:tabs>
          <w:tab w:val="clear" w:pos="567"/>
          <w:tab w:val="left" w:pos="1296"/>
        </w:tabs>
        <w:spacing w:line="240" w:lineRule="auto"/>
        <w:ind w:right="-2"/>
        <w:rPr>
          <w:szCs w:val="22"/>
          <w:lang w:val="lt-LT"/>
        </w:rPr>
      </w:pPr>
    </w:p>
    <w:p w14:paraId="66B20F78" w14:textId="77777777" w:rsidR="008673CC" w:rsidRPr="00B30C12" w:rsidRDefault="008673CC" w:rsidP="008673CC">
      <w:pPr>
        <w:numPr>
          <w:ilvl w:val="12"/>
          <w:numId w:val="0"/>
        </w:numPr>
        <w:tabs>
          <w:tab w:val="clear" w:pos="567"/>
          <w:tab w:val="left" w:pos="1296"/>
        </w:tabs>
        <w:spacing w:line="240" w:lineRule="auto"/>
        <w:ind w:right="-2"/>
        <w:rPr>
          <w:rFonts w:eastAsiaTheme="minorHAnsi"/>
          <w:color w:val="0D0D0D"/>
          <w:szCs w:val="22"/>
          <w:lang w:val="lt-LT"/>
        </w:rPr>
      </w:pPr>
      <w:r w:rsidRPr="0067295E">
        <w:rPr>
          <w:color w:val="0D0D0D"/>
          <w:szCs w:val="22"/>
          <w:lang w:val="lt-LT"/>
        </w:rPr>
        <w:t>Šiam vaistui specialių laikymo sąlygų nereikia.</w:t>
      </w:r>
    </w:p>
    <w:p w14:paraId="58085A57" w14:textId="77777777" w:rsidR="008673CC" w:rsidRPr="0067295E" w:rsidRDefault="008673CC" w:rsidP="008673CC">
      <w:pPr>
        <w:numPr>
          <w:ilvl w:val="12"/>
          <w:numId w:val="0"/>
        </w:numPr>
        <w:tabs>
          <w:tab w:val="clear" w:pos="567"/>
          <w:tab w:val="left" w:pos="1296"/>
        </w:tabs>
        <w:spacing w:line="240" w:lineRule="auto"/>
        <w:ind w:right="-2"/>
        <w:rPr>
          <w:szCs w:val="22"/>
          <w:lang w:val="lt-LT"/>
        </w:rPr>
      </w:pPr>
    </w:p>
    <w:p w14:paraId="537E9D16"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67295E">
        <w:rPr>
          <w:szCs w:val="22"/>
          <w:lang w:val="lt-LT"/>
        </w:rPr>
        <w:t>Pirmą kartą atidarius buteliuką, Alerpalux galima vartoti 28 dienas.</w:t>
      </w:r>
    </w:p>
    <w:p w14:paraId="3B5D3AE5" w14:textId="77777777" w:rsidR="008673CC" w:rsidRPr="0067295E" w:rsidRDefault="008673CC" w:rsidP="008673CC">
      <w:pPr>
        <w:numPr>
          <w:ilvl w:val="12"/>
          <w:numId w:val="0"/>
        </w:numPr>
        <w:tabs>
          <w:tab w:val="clear" w:pos="567"/>
          <w:tab w:val="left" w:pos="1296"/>
        </w:tabs>
        <w:spacing w:line="240" w:lineRule="auto"/>
        <w:ind w:right="-2"/>
        <w:rPr>
          <w:szCs w:val="22"/>
          <w:lang w:val="lt-LT"/>
        </w:rPr>
      </w:pPr>
    </w:p>
    <w:p w14:paraId="02A93E3C" w14:textId="77777777" w:rsidR="008673CC" w:rsidRPr="00B30C12" w:rsidRDefault="008673CC" w:rsidP="008673CC">
      <w:pPr>
        <w:tabs>
          <w:tab w:val="clear" w:pos="567"/>
          <w:tab w:val="left" w:pos="1296"/>
        </w:tabs>
        <w:spacing w:line="240" w:lineRule="auto"/>
        <w:rPr>
          <w:rFonts w:eastAsiaTheme="minorHAnsi"/>
          <w:i/>
          <w:szCs w:val="22"/>
          <w:lang w:val="lt-LT"/>
        </w:rPr>
      </w:pPr>
      <w:r w:rsidRPr="009F493C">
        <w:rPr>
          <w:szCs w:val="22"/>
          <w:lang w:val="lt-LT"/>
        </w:rPr>
        <w:t>Pirmą kartą atidarius buteliuką, po 4 savaičių jį reikia išmesti ir vartoti vaistą iš naujo buteliuko. Vaistų negalima išmesti į kanalizaciją arba su buitinėmis atliekomis. Kaip išmesti nereikalingus vaistus, klauskite vaistininko. Šios priemonės padės apsaugoti aplinką.</w:t>
      </w:r>
    </w:p>
    <w:p w14:paraId="31C52B83"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7422FE68" w14:textId="77777777" w:rsidR="008673CC" w:rsidRPr="0067295E" w:rsidRDefault="008673CC" w:rsidP="008673CC">
      <w:pPr>
        <w:numPr>
          <w:ilvl w:val="12"/>
          <w:numId w:val="0"/>
        </w:numPr>
        <w:tabs>
          <w:tab w:val="clear" w:pos="567"/>
          <w:tab w:val="left" w:pos="1296"/>
        </w:tabs>
        <w:spacing w:line="240" w:lineRule="auto"/>
        <w:ind w:right="-2"/>
        <w:rPr>
          <w:szCs w:val="22"/>
          <w:lang w:val="lt-LT"/>
        </w:rPr>
      </w:pPr>
    </w:p>
    <w:p w14:paraId="7D86C700" w14:textId="77777777" w:rsidR="008673CC" w:rsidRPr="00B30C12" w:rsidRDefault="008673CC" w:rsidP="008673CC">
      <w:pPr>
        <w:pStyle w:val="Antrat3"/>
        <w:spacing w:before="0" w:after="0" w:line="240" w:lineRule="auto"/>
        <w:rPr>
          <w:rFonts w:ascii="Times New Roman" w:hAnsi="Times New Roman"/>
          <w:b w:val="0"/>
          <w:sz w:val="22"/>
          <w:szCs w:val="22"/>
          <w:lang w:val="lt-LT"/>
        </w:rPr>
      </w:pPr>
      <w:r w:rsidRPr="0067295E">
        <w:rPr>
          <w:rFonts w:ascii="Times New Roman" w:hAnsi="Times New Roman"/>
          <w:sz w:val="22"/>
          <w:szCs w:val="22"/>
          <w:lang w:val="lt-LT"/>
        </w:rPr>
        <w:t>6.</w:t>
      </w:r>
      <w:r w:rsidRPr="0067295E">
        <w:rPr>
          <w:rFonts w:ascii="Times New Roman" w:hAnsi="Times New Roman"/>
          <w:sz w:val="22"/>
          <w:szCs w:val="22"/>
          <w:lang w:val="lt-LT"/>
        </w:rPr>
        <w:tab/>
        <w:t>Pakuotės turinys ir kita informacija</w:t>
      </w:r>
    </w:p>
    <w:p w14:paraId="368D4881" w14:textId="77777777" w:rsidR="008673CC" w:rsidRPr="0067295E" w:rsidRDefault="008673CC" w:rsidP="008673CC">
      <w:pPr>
        <w:numPr>
          <w:ilvl w:val="12"/>
          <w:numId w:val="0"/>
        </w:numPr>
        <w:tabs>
          <w:tab w:val="clear" w:pos="567"/>
          <w:tab w:val="left" w:pos="1296"/>
        </w:tabs>
        <w:spacing w:line="240" w:lineRule="auto"/>
        <w:rPr>
          <w:szCs w:val="22"/>
          <w:lang w:val="lt-LT"/>
        </w:rPr>
      </w:pPr>
    </w:p>
    <w:p w14:paraId="6523604B" w14:textId="77777777" w:rsidR="008673CC" w:rsidRPr="00B30C12" w:rsidRDefault="008673CC" w:rsidP="008673CC">
      <w:pPr>
        <w:pStyle w:val="Antrat4"/>
        <w:spacing w:line="240" w:lineRule="auto"/>
        <w:rPr>
          <w:rFonts w:ascii="Times New Roman" w:hAnsi="Times New Roman"/>
          <w:b w:val="0"/>
          <w:sz w:val="22"/>
          <w:szCs w:val="22"/>
          <w:lang w:val="lt-LT"/>
        </w:rPr>
      </w:pPr>
      <w:r w:rsidRPr="0067295E">
        <w:rPr>
          <w:rFonts w:ascii="Times New Roman" w:hAnsi="Times New Roman"/>
          <w:sz w:val="22"/>
          <w:szCs w:val="22"/>
          <w:lang w:val="lt-LT"/>
        </w:rPr>
        <w:t>Alerpal</w:t>
      </w:r>
      <w:r w:rsidRPr="00507864">
        <w:rPr>
          <w:rFonts w:ascii="Times New Roman" w:hAnsi="Times New Roman"/>
          <w:sz w:val="22"/>
          <w:szCs w:val="22"/>
          <w:lang w:val="lt-LT"/>
        </w:rPr>
        <w:t xml:space="preserve">ux sudėtis </w:t>
      </w:r>
    </w:p>
    <w:p w14:paraId="1931F883" w14:textId="642BAADC" w:rsidR="008673CC" w:rsidRPr="00B30C12" w:rsidRDefault="008673CC" w:rsidP="008673CC">
      <w:pPr>
        <w:numPr>
          <w:ilvl w:val="0"/>
          <w:numId w:val="3"/>
        </w:numPr>
        <w:tabs>
          <w:tab w:val="clear" w:pos="567"/>
          <w:tab w:val="left" w:pos="1296"/>
        </w:tabs>
        <w:spacing w:line="240" w:lineRule="auto"/>
        <w:ind w:left="567" w:right="-2" w:hanging="567"/>
        <w:rPr>
          <w:rFonts w:eastAsiaTheme="minorHAnsi"/>
          <w:szCs w:val="22"/>
          <w:lang w:val="lt-LT"/>
        </w:rPr>
      </w:pPr>
      <w:r w:rsidRPr="0067295E">
        <w:rPr>
          <w:szCs w:val="22"/>
          <w:lang w:val="lt-LT"/>
        </w:rPr>
        <w:t>Veiklioji medžiaga yra olopatadinas (hidrochlorido pavidal</w:t>
      </w:r>
      <w:r w:rsidR="005A1E1A" w:rsidRPr="0067295E">
        <w:rPr>
          <w:szCs w:val="22"/>
          <w:lang w:val="lt-LT"/>
        </w:rPr>
        <w:t>u</w:t>
      </w:r>
      <w:r w:rsidRPr="009F493C">
        <w:rPr>
          <w:szCs w:val="22"/>
          <w:lang w:val="lt-LT"/>
        </w:rPr>
        <w:t>). 1 ml tirpalo jo yra 1 mg. Viename laše, sveriančiame vidutiniškai 30 mg, yra maždaug 30</w:t>
      </w:r>
      <w:r w:rsidR="0067295E" w:rsidRPr="009F493C">
        <w:rPr>
          <w:szCs w:val="22"/>
          <w:lang w:val="lt-LT"/>
        </w:rPr>
        <w:t> </w:t>
      </w:r>
      <w:r w:rsidRPr="009F493C">
        <w:rPr>
          <w:szCs w:val="22"/>
          <w:lang w:val="lt-LT"/>
        </w:rPr>
        <w:t>mikrogramų olopatadino (hidrochlorido pavidal</w:t>
      </w:r>
      <w:r w:rsidR="005A1E1A" w:rsidRPr="009F493C">
        <w:rPr>
          <w:szCs w:val="22"/>
          <w:lang w:val="lt-LT"/>
        </w:rPr>
        <w:t>u</w:t>
      </w:r>
      <w:r w:rsidRPr="009F493C">
        <w:rPr>
          <w:szCs w:val="22"/>
          <w:lang w:val="lt-LT"/>
        </w:rPr>
        <w:t>).</w:t>
      </w:r>
    </w:p>
    <w:p w14:paraId="2D177635" w14:textId="7A46ACEF" w:rsidR="008673CC" w:rsidRPr="00B30C12" w:rsidRDefault="008673CC" w:rsidP="008673CC">
      <w:pPr>
        <w:numPr>
          <w:ilvl w:val="0"/>
          <w:numId w:val="3"/>
        </w:numPr>
        <w:tabs>
          <w:tab w:val="clear" w:pos="567"/>
          <w:tab w:val="left" w:pos="1296"/>
        </w:tabs>
        <w:spacing w:line="240" w:lineRule="auto"/>
        <w:ind w:left="567" w:right="-2" w:hanging="567"/>
        <w:rPr>
          <w:rFonts w:eastAsiaTheme="minorHAnsi"/>
          <w:szCs w:val="22"/>
          <w:lang w:val="lt-LT"/>
        </w:rPr>
      </w:pPr>
      <w:r w:rsidRPr="0067295E">
        <w:rPr>
          <w:szCs w:val="22"/>
          <w:lang w:val="lt-LT"/>
        </w:rPr>
        <w:t xml:space="preserve">Pagalbinės medžiagos yra benzalkonio chloridas, natrio chloridas, dinatrio fosfatas dodekahidratas (E339) ir injekcinis vanduo. </w:t>
      </w:r>
      <w:r w:rsidR="005A1E1A" w:rsidRPr="009F493C">
        <w:rPr>
          <w:szCs w:val="22"/>
          <w:lang w:val="lt-LT"/>
        </w:rPr>
        <w:t>V</w:t>
      </w:r>
      <w:r w:rsidRPr="009F493C">
        <w:rPr>
          <w:szCs w:val="22"/>
          <w:lang w:val="lt-LT"/>
        </w:rPr>
        <w:t>aisto sudėtyje gali būti nedidelis vandenilio chlorido rūgšties (E507) ir (arba) natrio hidroksido (E524) kiekis, sk</w:t>
      </w:r>
      <w:r w:rsidRPr="00E85178">
        <w:rPr>
          <w:szCs w:val="22"/>
          <w:lang w:val="lt-LT"/>
        </w:rPr>
        <w:t>irtas reguliuoti pH (palaikyti normalų tirpalo rūgštingumą).</w:t>
      </w:r>
      <w:r w:rsidRPr="00575C07">
        <w:rPr>
          <w:i/>
          <w:color w:val="008000"/>
          <w:szCs w:val="22"/>
          <w:lang w:val="lt-LT"/>
        </w:rPr>
        <w:t xml:space="preserve"> </w:t>
      </w:r>
    </w:p>
    <w:p w14:paraId="781EA711" w14:textId="77777777" w:rsidR="008673CC" w:rsidRPr="0067295E" w:rsidRDefault="008673CC" w:rsidP="008673CC">
      <w:pPr>
        <w:tabs>
          <w:tab w:val="clear" w:pos="567"/>
          <w:tab w:val="left" w:pos="1296"/>
        </w:tabs>
        <w:spacing w:line="240" w:lineRule="auto"/>
        <w:ind w:right="-2"/>
        <w:rPr>
          <w:szCs w:val="22"/>
          <w:lang w:val="lt-LT"/>
        </w:rPr>
      </w:pPr>
    </w:p>
    <w:p w14:paraId="4AFC32E2" w14:textId="77777777" w:rsidR="008673CC" w:rsidRPr="00B30C12" w:rsidRDefault="008673CC" w:rsidP="008673CC">
      <w:pPr>
        <w:pStyle w:val="Antrat4"/>
        <w:spacing w:line="240" w:lineRule="auto"/>
        <w:rPr>
          <w:rFonts w:ascii="Times New Roman" w:hAnsi="Times New Roman"/>
          <w:b w:val="0"/>
          <w:sz w:val="22"/>
          <w:szCs w:val="22"/>
          <w:lang w:val="lt-LT"/>
        </w:rPr>
      </w:pPr>
      <w:r w:rsidRPr="0067295E">
        <w:rPr>
          <w:rFonts w:ascii="Times New Roman" w:hAnsi="Times New Roman"/>
          <w:sz w:val="22"/>
          <w:szCs w:val="22"/>
          <w:lang w:val="lt-LT"/>
        </w:rPr>
        <w:t>Alerpalux išvaizda ir kiekis pakuotėje</w:t>
      </w:r>
    </w:p>
    <w:p w14:paraId="4838DDBF" w14:textId="04654610"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 xml:space="preserve">Alerpalux yra skaidrus skystis (tirpalas), panašus į vandenį. Jo vidinė pakuotė yra 5 ml </w:t>
      </w:r>
      <w:r w:rsidR="00945592" w:rsidRPr="00F022D4">
        <w:rPr>
          <w:lang w:val="lt-LT"/>
        </w:rPr>
        <w:t>polietile</w:t>
      </w:r>
      <w:r w:rsidR="00945592">
        <w:rPr>
          <w:lang w:val="lt-LT"/>
        </w:rPr>
        <w:t>no</w:t>
      </w:r>
      <w:r w:rsidR="00945592" w:rsidRPr="00F022D4">
        <w:rPr>
          <w:lang w:val="lt-LT"/>
        </w:rPr>
        <w:t xml:space="preserve"> </w:t>
      </w:r>
      <w:r w:rsidRPr="00F022D4">
        <w:rPr>
          <w:lang w:val="lt-LT"/>
        </w:rPr>
        <w:t>buteliukas su lašintuvu ir užsukamuoju dangteliu, turinčiu pirmojo atidarymo kontrolę.</w:t>
      </w:r>
    </w:p>
    <w:p w14:paraId="489FB377" w14:textId="77777777" w:rsidR="008673CC" w:rsidRPr="00F022D4" w:rsidRDefault="008673CC" w:rsidP="008673CC">
      <w:pPr>
        <w:spacing w:line="240" w:lineRule="auto"/>
        <w:rPr>
          <w:lang w:val="lt-LT"/>
        </w:rPr>
      </w:pPr>
    </w:p>
    <w:p w14:paraId="31B4B638"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Dėžutėje yra 1 arba 3 buteliukai ir pakuotės lapelis.</w:t>
      </w:r>
    </w:p>
    <w:p w14:paraId="7CBF61F3"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F022D4">
        <w:rPr>
          <w:lang w:val="lt-LT"/>
        </w:rPr>
        <w:t>Gali būti tiekiamos ne visų dydžių pakuotės.</w:t>
      </w:r>
    </w:p>
    <w:p w14:paraId="551D9EC9" w14:textId="77777777" w:rsidR="008673CC" w:rsidRPr="009F493C" w:rsidRDefault="008673CC" w:rsidP="008673CC">
      <w:pPr>
        <w:numPr>
          <w:ilvl w:val="12"/>
          <w:numId w:val="0"/>
        </w:numPr>
        <w:tabs>
          <w:tab w:val="clear" w:pos="567"/>
          <w:tab w:val="left" w:pos="1296"/>
        </w:tabs>
        <w:spacing w:line="240" w:lineRule="auto"/>
        <w:ind w:right="-2"/>
        <w:rPr>
          <w:szCs w:val="22"/>
          <w:lang w:val="lt-LT"/>
        </w:rPr>
      </w:pPr>
    </w:p>
    <w:p w14:paraId="6C617A6E" w14:textId="77777777" w:rsidR="008673CC" w:rsidRPr="00B30C12" w:rsidRDefault="008673CC" w:rsidP="008673CC">
      <w:pPr>
        <w:pStyle w:val="Antrat4"/>
        <w:spacing w:line="240" w:lineRule="auto"/>
        <w:rPr>
          <w:rFonts w:ascii="Times New Roman" w:hAnsi="Times New Roman"/>
          <w:b w:val="0"/>
          <w:sz w:val="22"/>
          <w:szCs w:val="22"/>
          <w:lang w:val="lt-LT"/>
        </w:rPr>
      </w:pPr>
      <w:r w:rsidRPr="009F493C">
        <w:rPr>
          <w:rFonts w:ascii="Times New Roman" w:hAnsi="Times New Roman"/>
          <w:sz w:val="22"/>
          <w:szCs w:val="22"/>
          <w:lang w:val="lt-LT"/>
        </w:rPr>
        <w:t>Registruotojas ir gamintojas</w:t>
      </w:r>
    </w:p>
    <w:p w14:paraId="72A2C000" w14:textId="77777777" w:rsidR="008673CC" w:rsidRPr="009F493C" w:rsidRDefault="008673CC" w:rsidP="008673CC">
      <w:pPr>
        <w:tabs>
          <w:tab w:val="clear" w:pos="567"/>
          <w:tab w:val="left" w:pos="1296"/>
        </w:tabs>
        <w:spacing w:line="240" w:lineRule="auto"/>
        <w:rPr>
          <w:szCs w:val="22"/>
          <w:lang w:val="lt-LT"/>
        </w:rPr>
      </w:pPr>
    </w:p>
    <w:p w14:paraId="68ACAB85" w14:textId="77777777" w:rsidR="008673CC" w:rsidRPr="00B30C12" w:rsidRDefault="008673CC" w:rsidP="008673CC">
      <w:pPr>
        <w:tabs>
          <w:tab w:val="clear" w:pos="567"/>
          <w:tab w:val="left" w:pos="1296"/>
        </w:tabs>
        <w:spacing w:line="240" w:lineRule="auto"/>
        <w:rPr>
          <w:rFonts w:eastAsiaTheme="minorHAnsi"/>
          <w:i/>
          <w:szCs w:val="22"/>
          <w:lang w:val="lt-LT"/>
        </w:rPr>
      </w:pPr>
      <w:r w:rsidRPr="009F493C">
        <w:rPr>
          <w:i/>
          <w:szCs w:val="22"/>
          <w:lang w:val="lt-LT"/>
        </w:rPr>
        <w:t>Registruotojas</w:t>
      </w:r>
    </w:p>
    <w:p w14:paraId="433D0055"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 xml:space="preserve">PharmaSwiss Česká republika s.r.o. </w:t>
      </w:r>
    </w:p>
    <w:p w14:paraId="16428FC1" w14:textId="77777777" w:rsidR="00485149" w:rsidRPr="009F493C" w:rsidRDefault="008673CC" w:rsidP="008673CC">
      <w:pPr>
        <w:tabs>
          <w:tab w:val="clear" w:pos="567"/>
          <w:tab w:val="left" w:pos="1296"/>
        </w:tabs>
        <w:spacing w:line="240" w:lineRule="auto"/>
        <w:rPr>
          <w:szCs w:val="22"/>
          <w:lang w:val="lt-LT"/>
        </w:rPr>
      </w:pPr>
      <w:r w:rsidRPr="009F493C">
        <w:rPr>
          <w:szCs w:val="22"/>
          <w:lang w:val="lt-LT"/>
        </w:rPr>
        <w:t xml:space="preserve">Jankovcova 1569/2c, </w:t>
      </w:r>
    </w:p>
    <w:p w14:paraId="12918E8C" w14:textId="77777777" w:rsidR="008673CC" w:rsidRPr="00B30C12" w:rsidRDefault="008673CC" w:rsidP="008673CC">
      <w:pPr>
        <w:tabs>
          <w:tab w:val="clear" w:pos="567"/>
          <w:tab w:val="left" w:pos="1296"/>
        </w:tabs>
        <w:spacing w:line="240" w:lineRule="auto"/>
        <w:rPr>
          <w:rFonts w:eastAsiaTheme="minorHAnsi"/>
          <w:szCs w:val="22"/>
          <w:lang w:val="lt-LT"/>
        </w:rPr>
      </w:pPr>
      <w:r w:rsidRPr="00E85178">
        <w:rPr>
          <w:szCs w:val="22"/>
          <w:lang w:val="lt-LT"/>
        </w:rPr>
        <w:t>170 00 Prague 7</w:t>
      </w:r>
    </w:p>
    <w:p w14:paraId="75164382"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Čekija</w:t>
      </w:r>
    </w:p>
    <w:p w14:paraId="7228CA55"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Tel.: +420(2)3471-9600</w:t>
      </w:r>
    </w:p>
    <w:p w14:paraId="21E725AD"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Faksas: +420(2)3471-9619</w:t>
      </w:r>
    </w:p>
    <w:p w14:paraId="3B9D2EFF" w14:textId="77777777" w:rsidR="008673CC" w:rsidRPr="009F493C" w:rsidRDefault="008673CC" w:rsidP="008673CC">
      <w:pPr>
        <w:numPr>
          <w:ilvl w:val="12"/>
          <w:numId w:val="0"/>
        </w:numPr>
        <w:tabs>
          <w:tab w:val="clear" w:pos="567"/>
          <w:tab w:val="left" w:pos="1296"/>
        </w:tabs>
        <w:spacing w:line="240" w:lineRule="auto"/>
        <w:ind w:right="-2"/>
        <w:rPr>
          <w:szCs w:val="22"/>
          <w:lang w:val="lt-LT"/>
        </w:rPr>
      </w:pPr>
    </w:p>
    <w:p w14:paraId="1820BB9D" w14:textId="77777777" w:rsidR="008673CC" w:rsidRPr="00B30C12" w:rsidRDefault="008673CC" w:rsidP="008673CC">
      <w:pPr>
        <w:pStyle w:val="Antrat4"/>
        <w:spacing w:line="240" w:lineRule="auto"/>
        <w:rPr>
          <w:rFonts w:ascii="Times New Roman" w:hAnsi="Times New Roman"/>
          <w:i/>
          <w:sz w:val="22"/>
          <w:szCs w:val="22"/>
          <w:lang w:val="lt-LT"/>
        </w:rPr>
      </w:pPr>
      <w:r w:rsidRPr="009F493C">
        <w:rPr>
          <w:rFonts w:ascii="Times New Roman" w:hAnsi="Times New Roman"/>
          <w:b w:val="0"/>
          <w:i/>
          <w:sz w:val="22"/>
          <w:szCs w:val="22"/>
          <w:lang w:val="lt-LT"/>
        </w:rPr>
        <w:t>Gamintojas</w:t>
      </w:r>
    </w:p>
    <w:p w14:paraId="3ACA3ABF"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 xml:space="preserve">UAB </w:t>
      </w:r>
      <w:r w:rsidR="00073AF5">
        <w:rPr>
          <w:szCs w:val="22"/>
          <w:lang w:val="lt-LT"/>
        </w:rPr>
        <w:t>„</w:t>
      </w:r>
      <w:r w:rsidRPr="009F493C">
        <w:rPr>
          <w:szCs w:val="22"/>
          <w:lang w:val="lt-LT"/>
        </w:rPr>
        <w:t>Santonika</w:t>
      </w:r>
      <w:r w:rsidR="00073AF5">
        <w:rPr>
          <w:szCs w:val="22"/>
          <w:lang w:val="lt-LT"/>
        </w:rPr>
        <w:t>“</w:t>
      </w:r>
    </w:p>
    <w:p w14:paraId="7B3C7A83"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Veiverių g. 134B</w:t>
      </w:r>
    </w:p>
    <w:p w14:paraId="5A34FE95"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LT-46353</w:t>
      </w:r>
      <w:r w:rsidRPr="00E85178">
        <w:rPr>
          <w:szCs w:val="22"/>
          <w:lang w:val="lt-LT"/>
        </w:rPr>
        <w:t xml:space="preserve"> Kaunas</w:t>
      </w:r>
    </w:p>
    <w:p w14:paraId="3E1771DF"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Lietuva</w:t>
      </w:r>
    </w:p>
    <w:p w14:paraId="24784664" w14:textId="77777777" w:rsidR="008673CC" w:rsidRPr="009F493C" w:rsidRDefault="008673CC" w:rsidP="008673CC">
      <w:pPr>
        <w:numPr>
          <w:ilvl w:val="12"/>
          <w:numId w:val="0"/>
        </w:numPr>
        <w:tabs>
          <w:tab w:val="clear" w:pos="567"/>
          <w:tab w:val="left" w:pos="1296"/>
        </w:tabs>
        <w:spacing w:line="240" w:lineRule="auto"/>
        <w:ind w:right="-2"/>
        <w:rPr>
          <w:szCs w:val="22"/>
          <w:lang w:val="lt-LT"/>
        </w:rPr>
      </w:pPr>
    </w:p>
    <w:p w14:paraId="35311DA8"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9F493C">
        <w:rPr>
          <w:szCs w:val="22"/>
          <w:lang w:val="lt-LT"/>
        </w:rPr>
        <w:t>Jeigu apie šį vaistą norite sužinoti daugiau, kreipkitės į vietinį registruotojo atstovą:</w:t>
      </w:r>
    </w:p>
    <w:p w14:paraId="384B79C4" w14:textId="77777777" w:rsidR="008673CC" w:rsidRPr="009F493C" w:rsidRDefault="008673CC" w:rsidP="008673CC">
      <w:pPr>
        <w:spacing w:line="240" w:lineRule="auto"/>
        <w:rPr>
          <w:szCs w:val="22"/>
          <w:lang w:val="lt-LT"/>
        </w:rPr>
      </w:pPr>
    </w:p>
    <w:p w14:paraId="428B35D6" w14:textId="77777777" w:rsidR="008673CC" w:rsidRPr="00B30C12" w:rsidRDefault="008673CC" w:rsidP="008673CC">
      <w:pPr>
        <w:rPr>
          <w:rFonts w:eastAsia="MS Mincho"/>
          <w:szCs w:val="22"/>
          <w:lang w:val="lt-LT"/>
        </w:rPr>
      </w:pPr>
      <w:r w:rsidRPr="009F493C">
        <w:rPr>
          <w:rFonts w:eastAsia="MS Mincho"/>
          <w:szCs w:val="22"/>
          <w:lang w:val="lt-LT"/>
        </w:rPr>
        <w:t xml:space="preserve">UAB „PharmaSwiss“ </w:t>
      </w:r>
    </w:p>
    <w:p w14:paraId="719D2037" w14:textId="77777777" w:rsidR="008673CC" w:rsidRPr="00B30C12" w:rsidRDefault="008673CC" w:rsidP="008673CC">
      <w:pPr>
        <w:rPr>
          <w:rFonts w:eastAsia="MS Mincho"/>
          <w:szCs w:val="22"/>
          <w:lang w:val="lt-LT"/>
        </w:rPr>
      </w:pPr>
      <w:r w:rsidRPr="009F493C">
        <w:rPr>
          <w:rFonts w:eastAsia="MS Mincho"/>
          <w:szCs w:val="22"/>
          <w:lang w:val="lt-LT"/>
        </w:rPr>
        <w:t xml:space="preserve">Užnerio g. 1 </w:t>
      </w:r>
    </w:p>
    <w:p w14:paraId="33E9D724" w14:textId="77777777" w:rsidR="008673CC" w:rsidRPr="00B30C12" w:rsidRDefault="008673CC" w:rsidP="008673CC">
      <w:pPr>
        <w:rPr>
          <w:rFonts w:eastAsia="MS Mincho"/>
          <w:szCs w:val="22"/>
          <w:lang w:val="lt-LT"/>
        </w:rPr>
      </w:pPr>
      <w:r w:rsidRPr="009F493C">
        <w:rPr>
          <w:rFonts w:eastAsia="MS Mincho"/>
          <w:szCs w:val="22"/>
          <w:lang w:val="lt-LT"/>
        </w:rPr>
        <w:t>LT-47484 Kaunas</w:t>
      </w:r>
    </w:p>
    <w:p w14:paraId="2CEF4EFB" w14:textId="77777777" w:rsidR="008673CC" w:rsidRPr="00B30C12" w:rsidRDefault="008673CC" w:rsidP="008673CC">
      <w:pPr>
        <w:rPr>
          <w:rFonts w:eastAsia="MS Mincho"/>
          <w:szCs w:val="22"/>
          <w:lang w:val="lt-LT"/>
        </w:rPr>
      </w:pPr>
      <w:r w:rsidRPr="009F493C">
        <w:rPr>
          <w:rFonts w:eastAsia="MS Mincho"/>
          <w:szCs w:val="22"/>
          <w:lang w:val="lt-LT"/>
        </w:rPr>
        <w:t>Tel. +370 5 2790 762</w:t>
      </w:r>
    </w:p>
    <w:p w14:paraId="73B5B0EC" w14:textId="77777777" w:rsidR="008673CC" w:rsidRPr="009F493C" w:rsidRDefault="008673CC" w:rsidP="008673CC">
      <w:pPr>
        <w:numPr>
          <w:ilvl w:val="12"/>
          <w:numId w:val="0"/>
        </w:numPr>
        <w:spacing w:line="240" w:lineRule="auto"/>
        <w:ind w:right="-2"/>
        <w:rPr>
          <w:szCs w:val="22"/>
          <w:lang w:val="lt-LT"/>
        </w:rPr>
      </w:pPr>
    </w:p>
    <w:p w14:paraId="1C51415A" w14:textId="77777777" w:rsidR="008673CC" w:rsidRPr="00B30C12" w:rsidRDefault="008673CC" w:rsidP="008673CC">
      <w:pPr>
        <w:numPr>
          <w:ilvl w:val="12"/>
          <w:numId w:val="0"/>
        </w:numPr>
        <w:spacing w:line="240" w:lineRule="auto"/>
        <w:ind w:right="-2"/>
        <w:rPr>
          <w:rFonts w:eastAsiaTheme="minorHAnsi"/>
          <w:b/>
          <w:szCs w:val="22"/>
          <w:lang w:val="lt-LT"/>
        </w:rPr>
      </w:pPr>
      <w:r w:rsidRPr="009F493C">
        <w:rPr>
          <w:b/>
          <w:szCs w:val="22"/>
          <w:lang w:val="lt-LT"/>
        </w:rPr>
        <w:t>Šis vaistas EEE valstybėse narėse registruotas tokiais pavadinimais:</w:t>
      </w:r>
    </w:p>
    <w:p w14:paraId="7444D7A8"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9F493C">
        <w:rPr>
          <w:szCs w:val="22"/>
          <w:lang w:val="lt-LT"/>
        </w:rPr>
        <w:t>Lenkija: ALERPALUX</w:t>
      </w:r>
    </w:p>
    <w:p w14:paraId="1012508E"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9F493C">
        <w:rPr>
          <w:szCs w:val="22"/>
          <w:lang w:val="lt-LT"/>
        </w:rPr>
        <w:t>Čekija: ALERPALUX 1 mg/ml oční kapky, roztok</w:t>
      </w:r>
    </w:p>
    <w:p w14:paraId="29A90944"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9F493C">
        <w:rPr>
          <w:szCs w:val="22"/>
          <w:lang w:val="lt-LT"/>
        </w:rPr>
        <w:t>Slovakija: ALERPALUX 1 mg/ml očná roztoková instilácia</w:t>
      </w:r>
    </w:p>
    <w:p w14:paraId="54D53996"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9F493C">
        <w:rPr>
          <w:szCs w:val="22"/>
          <w:lang w:val="lt-LT"/>
        </w:rPr>
        <w:t>Vengrija: ALERPALUX 1 mg/ml oldatos szemcsepp</w:t>
      </w:r>
    </w:p>
    <w:p w14:paraId="71B595E7"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9F493C">
        <w:rPr>
          <w:szCs w:val="22"/>
          <w:lang w:val="lt-LT"/>
        </w:rPr>
        <w:t>Latvija: ALERPALUX 1 mg/ml acu pilieni, šķīdums</w:t>
      </w:r>
    </w:p>
    <w:p w14:paraId="5E44AD10"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9F493C">
        <w:rPr>
          <w:szCs w:val="22"/>
          <w:lang w:val="lt-LT"/>
        </w:rPr>
        <w:t>Lietuva: Alerpalux 1 mg/ml akių lašai (tirpalas)</w:t>
      </w:r>
    </w:p>
    <w:p w14:paraId="0BB01941" w14:textId="77777777" w:rsidR="008673CC" w:rsidRPr="009F493C" w:rsidRDefault="008673CC" w:rsidP="008673CC">
      <w:pPr>
        <w:spacing w:line="240" w:lineRule="auto"/>
        <w:ind w:left="567" w:hanging="567"/>
        <w:rPr>
          <w:szCs w:val="22"/>
          <w:lang w:val="lt-LT"/>
        </w:rPr>
      </w:pPr>
    </w:p>
    <w:p w14:paraId="7DC58F4D" w14:textId="77777777" w:rsidR="008673CC" w:rsidRPr="00E85178" w:rsidRDefault="008673CC" w:rsidP="008673CC">
      <w:pPr>
        <w:spacing w:line="240" w:lineRule="auto"/>
        <w:ind w:left="567" w:hanging="567"/>
        <w:rPr>
          <w:szCs w:val="22"/>
          <w:lang w:val="lt-LT"/>
        </w:rPr>
      </w:pPr>
    </w:p>
    <w:p w14:paraId="1F17821F" w14:textId="3270CBC2" w:rsidR="008673CC" w:rsidRPr="00B30C12" w:rsidRDefault="008673CC" w:rsidP="008673CC">
      <w:pPr>
        <w:numPr>
          <w:ilvl w:val="12"/>
          <w:numId w:val="0"/>
        </w:numPr>
        <w:tabs>
          <w:tab w:val="clear" w:pos="567"/>
          <w:tab w:val="left" w:pos="1296"/>
        </w:tabs>
        <w:spacing w:line="240" w:lineRule="auto"/>
        <w:ind w:right="-2"/>
        <w:rPr>
          <w:rFonts w:eastAsiaTheme="minorHAnsi"/>
          <w:b/>
          <w:szCs w:val="22"/>
          <w:lang w:val="lt-LT"/>
        </w:rPr>
      </w:pPr>
      <w:r w:rsidRPr="00575C07">
        <w:rPr>
          <w:b/>
          <w:szCs w:val="22"/>
          <w:lang w:val="lt-LT"/>
        </w:rPr>
        <w:t xml:space="preserve">Šis pakuotės lapelis paskutinį kartą peržiūrėtas </w:t>
      </w:r>
      <w:r w:rsidR="005748DF">
        <w:rPr>
          <w:b/>
          <w:szCs w:val="22"/>
          <w:lang w:val="lt-LT"/>
        </w:rPr>
        <w:t>2019-06-10.</w:t>
      </w:r>
    </w:p>
    <w:p w14:paraId="63E7B08F" w14:textId="77777777" w:rsidR="008673CC" w:rsidRPr="009F493C" w:rsidRDefault="008673CC" w:rsidP="008673CC">
      <w:pPr>
        <w:numPr>
          <w:ilvl w:val="12"/>
          <w:numId w:val="0"/>
        </w:numPr>
        <w:tabs>
          <w:tab w:val="clear" w:pos="567"/>
          <w:tab w:val="left" w:pos="1296"/>
        </w:tabs>
        <w:spacing w:line="240" w:lineRule="auto"/>
        <w:ind w:right="-2"/>
        <w:rPr>
          <w:szCs w:val="22"/>
          <w:lang w:val="lt-LT"/>
        </w:rPr>
      </w:pPr>
    </w:p>
    <w:p w14:paraId="4A6D3ADC" w14:textId="77777777" w:rsidR="008673CC" w:rsidRPr="00B30C12" w:rsidRDefault="008673CC" w:rsidP="008673CC">
      <w:pPr>
        <w:rPr>
          <w:rFonts w:eastAsiaTheme="minorHAnsi"/>
          <w:szCs w:val="22"/>
          <w:lang w:val="lt-LT"/>
        </w:rPr>
      </w:pPr>
      <w:r w:rsidRPr="00E85178">
        <w:rPr>
          <w:szCs w:val="22"/>
          <w:lang w:val="lt-LT"/>
        </w:rPr>
        <w:t>Išsami informacija apie šį vaistą pateikiama Valstybinės vaistų kontrolės tarnybos prie Lietuvos Respublikos sveikatos apsaugos ministerijos tinklalapyje</w:t>
      </w:r>
      <w:r w:rsidRPr="00575C07">
        <w:rPr>
          <w:i/>
          <w:szCs w:val="22"/>
          <w:lang w:val="lt-LT"/>
        </w:rPr>
        <w:t xml:space="preserve"> </w:t>
      </w:r>
      <w:hyperlink r:id="rId11" w:history="1">
        <w:r w:rsidRPr="009F493C">
          <w:rPr>
            <w:rStyle w:val="Hipersaitas"/>
            <w:szCs w:val="22"/>
            <w:lang w:val="lt-LT"/>
          </w:rPr>
          <w:t>http://www.vvkt.lt/</w:t>
        </w:r>
      </w:hyperlink>
      <w:r w:rsidRPr="009F493C">
        <w:rPr>
          <w:szCs w:val="22"/>
          <w:lang w:val="lt-LT"/>
        </w:rPr>
        <w:t>.</w:t>
      </w:r>
    </w:p>
    <w:p w14:paraId="5B77ECC0" w14:textId="77777777" w:rsidR="008673CC" w:rsidRPr="009F493C" w:rsidRDefault="008673CC" w:rsidP="008673CC">
      <w:pPr>
        <w:rPr>
          <w:szCs w:val="22"/>
          <w:lang w:val="lt-LT"/>
        </w:rPr>
      </w:pPr>
    </w:p>
    <w:p w14:paraId="22C271FF" w14:textId="77777777" w:rsidR="008673CC" w:rsidRPr="00E85178" w:rsidRDefault="008673CC" w:rsidP="008673CC">
      <w:pPr>
        <w:rPr>
          <w:szCs w:val="22"/>
          <w:lang w:val="lt-LT"/>
        </w:rPr>
      </w:pPr>
    </w:p>
    <w:p w14:paraId="189BFADD" w14:textId="77777777" w:rsidR="008673CC" w:rsidRPr="00F022D4" w:rsidRDefault="008673CC" w:rsidP="008673CC">
      <w:pPr>
        <w:rPr>
          <w:lang w:val="lt-LT"/>
        </w:rPr>
      </w:pPr>
    </w:p>
    <w:p w14:paraId="32F39EBE" w14:textId="77777777" w:rsidR="008F1B35" w:rsidRDefault="008F1B35"/>
    <w:sectPr w:rsidR="008F1B35" w:rsidSect="008B02C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9088B" w14:textId="77777777" w:rsidR="00B30C12" w:rsidRDefault="00B30C12">
      <w:pPr>
        <w:spacing w:line="240" w:lineRule="auto"/>
      </w:pPr>
      <w:r>
        <w:separator/>
      </w:r>
    </w:p>
  </w:endnote>
  <w:endnote w:type="continuationSeparator" w:id="0">
    <w:p w14:paraId="4BBF2451" w14:textId="77777777" w:rsidR="00B30C12" w:rsidRDefault="00B30C12">
      <w:pPr>
        <w:spacing w:line="240" w:lineRule="auto"/>
      </w:pPr>
      <w:r>
        <w:continuationSeparator/>
      </w:r>
    </w:p>
  </w:endnote>
  <w:endnote w:type="continuationNotice" w:id="1">
    <w:p w14:paraId="4390CA5E" w14:textId="77777777" w:rsidR="00B30C12" w:rsidRDefault="00B30C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A810F" w14:textId="77777777" w:rsidR="00B30C12" w:rsidRDefault="00B30C12">
      <w:pPr>
        <w:spacing w:line="240" w:lineRule="auto"/>
      </w:pPr>
      <w:r>
        <w:separator/>
      </w:r>
    </w:p>
  </w:footnote>
  <w:footnote w:type="continuationSeparator" w:id="0">
    <w:p w14:paraId="7F3A2995" w14:textId="77777777" w:rsidR="00B30C12" w:rsidRDefault="00B30C12">
      <w:pPr>
        <w:spacing w:line="240" w:lineRule="auto"/>
      </w:pPr>
      <w:r>
        <w:continuationSeparator/>
      </w:r>
    </w:p>
  </w:footnote>
  <w:footnote w:type="continuationNotice" w:id="1">
    <w:p w14:paraId="0BCAA065" w14:textId="77777777" w:rsidR="00B30C12" w:rsidRDefault="00B30C1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num w:numId="1">
    <w:abstractNumId w:val="1"/>
  </w:num>
  <w:num w:numId="2">
    <w:abstractNumId w:val="0"/>
    <w:lvlOverride w:ilvl="0">
      <w:lvl w:ilvl="0">
        <w:numFmt w:val="bullet"/>
        <w:lvlText w:val="-"/>
        <w:lvlJc w:val="left"/>
        <w:pPr>
          <w:ind w:left="360" w:hanging="360"/>
        </w:pPr>
        <w:rPr>
          <w:rFonts w:cs="Times New Roman"/>
        </w:rPr>
      </w:lvl>
    </w:lvlOverride>
  </w:num>
  <w:num w:numId="3">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CC"/>
    <w:rsid w:val="00073AF5"/>
    <w:rsid w:val="00197E33"/>
    <w:rsid w:val="001E5547"/>
    <w:rsid w:val="003414EF"/>
    <w:rsid w:val="003E1372"/>
    <w:rsid w:val="003F0DCA"/>
    <w:rsid w:val="00485149"/>
    <w:rsid w:val="00496950"/>
    <w:rsid w:val="00507864"/>
    <w:rsid w:val="00523BB6"/>
    <w:rsid w:val="005748DF"/>
    <w:rsid w:val="00575C07"/>
    <w:rsid w:val="005A1E1A"/>
    <w:rsid w:val="005B2A4B"/>
    <w:rsid w:val="0067295E"/>
    <w:rsid w:val="006B655A"/>
    <w:rsid w:val="00715283"/>
    <w:rsid w:val="0073475B"/>
    <w:rsid w:val="00767E0D"/>
    <w:rsid w:val="007B4A06"/>
    <w:rsid w:val="007D10B6"/>
    <w:rsid w:val="007F344D"/>
    <w:rsid w:val="00845304"/>
    <w:rsid w:val="008673CC"/>
    <w:rsid w:val="00892843"/>
    <w:rsid w:val="008B02C8"/>
    <w:rsid w:val="008F1B35"/>
    <w:rsid w:val="00945592"/>
    <w:rsid w:val="009F493C"/>
    <w:rsid w:val="00A032C4"/>
    <w:rsid w:val="00A72B47"/>
    <w:rsid w:val="00AC6764"/>
    <w:rsid w:val="00AC6AB9"/>
    <w:rsid w:val="00B21E86"/>
    <w:rsid w:val="00B23E67"/>
    <w:rsid w:val="00B30C12"/>
    <w:rsid w:val="00C54C70"/>
    <w:rsid w:val="00D8075A"/>
    <w:rsid w:val="00DD31E6"/>
    <w:rsid w:val="00DE4E96"/>
    <w:rsid w:val="00E85178"/>
    <w:rsid w:val="00F678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1965"/>
  <w15:chartTrackingRefBased/>
  <w15:docId w15:val="{5434EE79-9E3F-40A1-8FE9-D678BE4B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73CC"/>
    <w:pPr>
      <w:tabs>
        <w:tab w:val="left" w:pos="567"/>
      </w:tabs>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uiPriority w:val="99"/>
    <w:semiHidden/>
    <w:unhideWhenUsed/>
    <w:qFormat/>
    <w:rsid w:val="008673CC"/>
    <w:pPr>
      <w:keepNext/>
      <w:spacing w:before="240" w:after="60"/>
      <w:outlineLvl w:val="1"/>
    </w:pPr>
    <w:rPr>
      <w:rFonts w:ascii="Cambria" w:hAnsi="Cambria"/>
      <w:b/>
      <w:bCs/>
      <w:i/>
      <w:iCs/>
      <w:sz w:val="28"/>
      <w:szCs w:val="28"/>
      <w:lang w:eastAsia="lt-LT"/>
    </w:rPr>
  </w:style>
  <w:style w:type="paragraph" w:styleId="Antrat3">
    <w:name w:val="heading 3"/>
    <w:basedOn w:val="prastasis"/>
    <w:next w:val="prastasis"/>
    <w:link w:val="Antrat3Diagrama"/>
    <w:uiPriority w:val="99"/>
    <w:semiHidden/>
    <w:unhideWhenUsed/>
    <w:qFormat/>
    <w:rsid w:val="008673CC"/>
    <w:pPr>
      <w:keepNext/>
      <w:keepLines/>
      <w:spacing w:before="120" w:after="80"/>
      <w:outlineLvl w:val="2"/>
    </w:pPr>
    <w:rPr>
      <w:rFonts w:ascii="Cambria" w:hAnsi="Cambria"/>
      <w:b/>
      <w:bCs/>
      <w:sz w:val="26"/>
      <w:szCs w:val="26"/>
      <w:lang w:eastAsia="lt-LT"/>
    </w:rPr>
  </w:style>
  <w:style w:type="paragraph" w:styleId="Antrat4">
    <w:name w:val="heading 4"/>
    <w:basedOn w:val="prastasis"/>
    <w:next w:val="prastasis"/>
    <w:link w:val="Antrat4Diagrama"/>
    <w:uiPriority w:val="99"/>
    <w:semiHidden/>
    <w:unhideWhenUsed/>
    <w:qFormat/>
    <w:rsid w:val="008673CC"/>
    <w:pPr>
      <w:keepNext/>
      <w:jc w:val="both"/>
      <w:outlineLvl w:val="3"/>
    </w:pPr>
    <w:rPr>
      <w:rFonts w:ascii="Calibri" w:hAnsi="Calibri"/>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8673CC"/>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semiHidden/>
    <w:rsid w:val="008673CC"/>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semiHidden/>
    <w:rsid w:val="008673CC"/>
    <w:rPr>
      <w:rFonts w:ascii="Calibri" w:eastAsia="Times New Roman" w:hAnsi="Calibri" w:cs="Times New Roman"/>
      <w:b/>
      <w:bCs/>
      <w:sz w:val="28"/>
      <w:szCs w:val="28"/>
      <w:lang w:val="en-GB" w:eastAsia="lt-LT"/>
    </w:rPr>
  </w:style>
  <w:style w:type="character" w:styleId="Hipersaitas">
    <w:name w:val="Hyperlink"/>
    <w:uiPriority w:val="99"/>
    <w:semiHidden/>
    <w:unhideWhenUsed/>
    <w:rsid w:val="008673CC"/>
    <w:rPr>
      <w:rFonts w:ascii="Times New Roman" w:hAnsi="Times New Roman" w:cs="Times New Roman" w:hint="default"/>
      <w:color w:val="0000FF"/>
      <w:u w:val="single"/>
    </w:rPr>
  </w:style>
  <w:style w:type="paragraph" w:styleId="Paprastasistekstas">
    <w:name w:val="Plain Text"/>
    <w:basedOn w:val="prastasis"/>
    <w:link w:val="PaprastasistekstasDiagrama"/>
    <w:uiPriority w:val="99"/>
    <w:semiHidden/>
    <w:unhideWhenUsed/>
    <w:rsid w:val="008673CC"/>
    <w:pPr>
      <w:tabs>
        <w:tab w:val="clear" w:pos="567"/>
      </w:tabs>
      <w:spacing w:line="240" w:lineRule="auto"/>
    </w:pPr>
    <w:rPr>
      <w:rFonts w:ascii="Courier New" w:eastAsia="SimSun" w:hAnsi="Courier New"/>
      <w:sz w:val="20"/>
      <w:lang w:val="en-US" w:eastAsia="lt-LT"/>
    </w:rPr>
  </w:style>
  <w:style w:type="character" w:customStyle="1" w:styleId="PaprastasistekstasDiagrama">
    <w:name w:val="Paprastasis tekstas Diagrama"/>
    <w:basedOn w:val="Numatytasispastraiposriftas"/>
    <w:link w:val="Paprastasistekstas"/>
    <w:uiPriority w:val="99"/>
    <w:semiHidden/>
    <w:rsid w:val="008673CC"/>
    <w:rPr>
      <w:rFonts w:ascii="Courier New" w:eastAsia="SimSun" w:hAnsi="Courier New" w:cs="Times New Roman"/>
      <w:sz w:val="20"/>
      <w:szCs w:val="20"/>
      <w:lang w:val="en-US" w:eastAsia="lt-LT"/>
    </w:rPr>
  </w:style>
  <w:style w:type="paragraph" w:customStyle="1" w:styleId="EMEABodyTextIndent">
    <w:name w:val="EMEA Body Text Indent"/>
    <w:basedOn w:val="prastasis"/>
    <w:next w:val="prastasis"/>
    <w:uiPriority w:val="99"/>
    <w:rsid w:val="008673CC"/>
    <w:pPr>
      <w:numPr>
        <w:numId w:val="1"/>
      </w:numPr>
      <w:tabs>
        <w:tab w:val="clear" w:pos="567"/>
      </w:tabs>
      <w:spacing w:line="240" w:lineRule="auto"/>
    </w:pPr>
  </w:style>
  <w:style w:type="paragraph" w:styleId="Antrats">
    <w:name w:val="header"/>
    <w:basedOn w:val="prastasis"/>
    <w:link w:val="AntratsDiagrama"/>
    <w:uiPriority w:val="99"/>
    <w:unhideWhenUsed/>
    <w:rsid w:val="008673CC"/>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673CC"/>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8673CC"/>
    <w:pPr>
      <w:tabs>
        <w:tab w:val="clear" w:pos="567"/>
        <w:tab w:val="center" w:pos="4819"/>
        <w:tab w:val="right" w:pos="9638"/>
      </w:tabs>
      <w:spacing w:line="240" w:lineRule="auto"/>
    </w:pPr>
  </w:style>
  <w:style w:type="character" w:customStyle="1" w:styleId="PoratDiagrama">
    <w:name w:val="Poraštė Diagrama"/>
    <w:basedOn w:val="Numatytasispastraiposriftas"/>
    <w:link w:val="Porat"/>
    <w:uiPriority w:val="99"/>
    <w:rsid w:val="008673CC"/>
    <w:rPr>
      <w:rFonts w:ascii="Times New Roman" w:eastAsia="Times New Roman" w:hAnsi="Times New Roman" w:cs="Times New Roman"/>
      <w:szCs w:val="20"/>
      <w:lang w:val="en-GB"/>
    </w:rPr>
  </w:style>
  <w:style w:type="paragraph" w:styleId="Debesliotekstas">
    <w:name w:val="Balloon Text"/>
    <w:basedOn w:val="prastasis"/>
    <w:link w:val="DebesliotekstasDiagrama"/>
    <w:uiPriority w:val="99"/>
    <w:semiHidden/>
    <w:unhideWhenUsed/>
    <w:rsid w:val="008673C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73CC"/>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7247</Words>
  <Characters>4131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Galalis, Mantas</dc:creator>
  <cp:keywords/>
  <dc:description/>
  <cp:lastModifiedBy>Birutė Valkauskaitė</cp:lastModifiedBy>
  <cp:revision>2</cp:revision>
  <dcterms:created xsi:type="dcterms:W3CDTF">2019-06-11T08:02:00Z</dcterms:created>
  <dcterms:modified xsi:type="dcterms:W3CDTF">2019-06-11T08:02:00Z</dcterms:modified>
</cp:coreProperties>
</file>