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F782C" w14:textId="77777777" w:rsidR="00173803" w:rsidRPr="00AB7860" w:rsidRDefault="00173803" w:rsidP="004C04CC">
      <w:pPr>
        <w:tabs>
          <w:tab w:val="left" w:pos="567"/>
          <w:tab w:val="left" w:pos="4746"/>
        </w:tabs>
        <w:spacing w:after="0" w:line="240" w:lineRule="auto"/>
        <w:ind w:left="567" w:hanging="567"/>
        <w:jc w:val="center"/>
        <w:outlineLvl w:val="0"/>
        <w:rPr>
          <w:rFonts w:ascii="Times New Roman" w:eastAsia="Times New Roman" w:hAnsi="Times New Roman" w:cs="Times New Roman"/>
          <w:b/>
          <w:caps/>
          <w:lang w:val="lt-LT"/>
        </w:rPr>
      </w:pPr>
    </w:p>
    <w:p w14:paraId="3F822A91" w14:textId="77777777" w:rsidR="00173803" w:rsidRPr="00AB7860" w:rsidRDefault="00173803" w:rsidP="00173803">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FA7DCCE"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5CECCC2"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49922D7B"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07E79CF5"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B7D0B3D"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72511C1"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426F6DA"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5D8C59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820F4C4"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035AE4EA"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10C931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A73A80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72020A1A"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34A876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D3A1D5D"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9855E89"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C88A162"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0A410DB"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1277CC0"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2E98766"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43FC2FFE"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CC9F83E"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2B453B9D"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A0CCEC1"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hAnsi="Times New Roman" w:cs="Times New Roman"/>
          <w:b/>
          <w:caps/>
          <w:lang w:val="lt-LT"/>
        </w:rPr>
        <w:t>I PRIEDAS</w:t>
      </w:r>
    </w:p>
    <w:p w14:paraId="786477FC" w14:textId="77777777" w:rsidR="00173803" w:rsidRPr="00AB7860" w:rsidRDefault="00173803" w:rsidP="00173803">
      <w:pPr>
        <w:spacing w:after="0" w:line="240" w:lineRule="auto"/>
        <w:rPr>
          <w:rFonts w:ascii="Times New Roman" w:hAnsi="Times New Roman" w:cs="Times New Roman"/>
          <w:lang w:val="lt-LT"/>
        </w:rPr>
      </w:pPr>
    </w:p>
    <w:p w14:paraId="415BEF64"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bookmarkStart w:id="0" w:name="_Toc129243097"/>
      <w:bookmarkStart w:id="1" w:name="_Toc129243222"/>
      <w:r w:rsidRPr="00AB7860">
        <w:rPr>
          <w:rFonts w:ascii="Times New Roman" w:hAnsi="Times New Roman" w:cs="Times New Roman"/>
          <w:b/>
          <w:caps/>
          <w:lang w:val="lt-LT"/>
        </w:rPr>
        <w:t>PREPARATO CHARAKTERISTIKŲ SANTRAUKA</w:t>
      </w:r>
      <w:bookmarkEnd w:id="0"/>
      <w:bookmarkEnd w:id="1"/>
    </w:p>
    <w:p w14:paraId="7EFB981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br w:type="page"/>
      </w:r>
      <w:bookmarkStart w:id="2" w:name="_Toc129243098"/>
      <w:bookmarkStart w:id="3" w:name="_Toc129243223"/>
    </w:p>
    <w:p w14:paraId="150645C8" w14:textId="5F8ECD24" w:rsidR="00173803" w:rsidRPr="0035361A" w:rsidRDefault="00173803" w:rsidP="00173803">
      <w:pPr>
        <w:spacing w:after="0"/>
        <w:rPr>
          <w:rFonts w:ascii="Times New Roman" w:hAnsi="Times New Roman" w:cs="Times New Roman"/>
          <w:lang w:val="lt-LT"/>
        </w:rPr>
      </w:pPr>
      <w:bookmarkStart w:id="4" w:name="_Toc129243123"/>
      <w:bookmarkStart w:id="5" w:name="_Toc129243248"/>
      <w:bookmarkEnd w:id="2"/>
      <w:bookmarkEnd w:id="3"/>
    </w:p>
    <w:p w14:paraId="2CAFCFB7" w14:textId="1BCEC676" w:rsidR="00173803" w:rsidRPr="00AB7860" w:rsidRDefault="00173803" w:rsidP="006C24FB">
      <w:pPr>
        <w:spacing w:after="0"/>
        <w:ind w:left="567" w:hanging="567"/>
        <w:rPr>
          <w:rFonts w:ascii="Times New Roman" w:hAnsi="Times New Roman" w:cs="Times New Roman"/>
          <w:b/>
          <w:lang w:val="lt-LT"/>
        </w:rPr>
      </w:pPr>
      <w:r w:rsidRPr="00AB7860">
        <w:rPr>
          <w:rFonts w:ascii="Times New Roman" w:hAnsi="Times New Roman" w:cs="Times New Roman"/>
          <w:b/>
          <w:lang w:val="lt-LT"/>
        </w:rPr>
        <w:t>1.</w:t>
      </w:r>
      <w:r w:rsidRPr="00AB7860">
        <w:rPr>
          <w:rFonts w:ascii="Times New Roman" w:hAnsi="Times New Roman" w:cs="Times New Roman"/>
          <w:b/>
          <w:lang w:val="lt-LT"/>
        </w:rPr>
        <w:tab/>
        <w:t>VAISTINIO PREPARATO PAVADINIMAS</w:t>
      </w:r>
    </w:p>
    <w:p w14:paraId="6FC072F3" w14:textId="77777777" w:rsidR="00173803" w:rsidRPr="00AB7860" w:rsidRDefault="00173803" w:rsidP="00173803">
      <w:pPr>
        <w:spacing w:after="0" w:line="240" w:lineRule="auto"/>
        <w:rPr>
          <w:rFonts w:ascii="Times New Roman" w:hAnsi="Times New Roman" w:cs="Times New Roman"/>
          <w:lang w:val="lt-LT"/>
        </w:rPr>
      </w:pPr>
    </w:p>
    <w:p w14:paraId="4506BB7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 Grindeks 100 mg kietosios kapsulės </w:t>
      </w:r>
    </w:p>
    <w:p w14:paraId="2E522FA0" w14:textId="77777777" w:rsidR="00173803" w:rsidRPr="00AB7860" w:rsidRDefault="00173803" w:rsidP="00173803">
      <w:pPr>
        <w:spacing w:after="0" w:line="240" w:lineRule="auto"/>
        <w:rPr>
          <w:rFonts w:ascii="Times New Roman" w:hAnsi="Times New Roman" w:cs="Times New Roman"/>
          <w:lang w:val="lt-LT"/>
        </w:rPr>
      </w:pPr>
    </w:p>
    <w:p w14:paraId="21F9E8D7" w14:textId="77777777" w:rsidR="00173803" w:rsidRPr="00AB7860" w:rsidRDefault="00173803" w:rsidP="00173803">
      <w:pPr>
        <w:spacing w:after="0" w:line="240" w:lineRule="auto"/>
        <w:rPr>
          <w:rFonts w:ascii="Times New Roman" w:hAnsi="Times New Roman" w:cs="Times New Roman"/>
          <w:lang w:val="lt-LT"/>
        </w:rPr>
      </w:pPr>
    </w:p>
    <w:p w14:paraId="0B66402C"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2.</w:t>
      </w:r>
      <w:r w:rsidRPr="00AB7860">
        <w:rPr>
          <w:rFonts w:ascii="Times New Roman" w:hAnsi="Times New Roman" w:cs="Times New Roman"/>
          <w:b/>
          <w:lang w:val="lt-LT"/>
        </w:rPr>
        <w:tab/>
        <w:t>KOKYBINĖ IR KIEKYBINĖ SUDĖTIS</w:t>
      </w:r>
    </w:p>
    <w:p w14:paraId="6CB89712" w14:textId="77777777" w:rsidR="00173803" w:rsidRPr="00AB7860" w:rsidRDefault="00173803" w:rsidP="00173803">
      <w:pPr>
        <w:spacing w:after="0" w:line="240" w:lineRule="auto"/>
        <w:rPr>
          <w:rFonts w:ascii="Times New Roman" w:hAnsi="Times New Roman" w:cs="Times New Roman"/>
          <w:color w:val="000000"/>
          <w:lang w:val="lt-LT"/>
        </w:rPr>
      </w:pPr>
    </w:p>
    <w:p w14:paraId="00888B7F" w14:textId="77777777" w:rsidR="00173803" w:rsidRPr="00AB7860" w:rsidRDefault="00173803" w:rsidP="00173803">
      <w:pPr>
        <w:tabs>
          <w:tab w:val="left" w:pos="7938"/>
        </w:tabs>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Kiekvienoje kapsulėje yra imatinibo mesilato, atitinkančio 100 mg imatinibo.</w:t>
      </w:r>
    </w:p>
    <w:p w14:paraId="115C47A7" w14:textId="77777777" w:rsidR="00173803" w:rsidRPr="00AB7860" w:rsidRDefault="00173803" w:rsidP="00173803">
      <w:pPr>
        <w:spacing w:after="0" w:line="240" w:lineRule="auto"/>
        <w:rPr>
          <w:rFonts w:ascii="Times New Roman" w:hAnsi="Times New Roman" w:cs="Times New Roman"/>
          <w:color w:val="000000"/>
          <w:lang w:val="lt-LT"/>
        </w:rPr>
      </w:pPr>
    </w:p>
    <w:p w14:paraId="1C35943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Visos pagalbinės medžiagos išvardytos 6.1 skyriuje.</w:t>
      </w:r>
    </w:p>
    <w:p w14:paraId="4E837F9F" w14:textId="77777777" w:rsidR="00173803" w:rsidRPr="00AB7860" w:rsidRDefault="00173803" w:rsidP="00173803">
      <w:pPr>
        <w:spacing w:after="0" w:line="240" w:lineRule="auto"/>
        <w:rPr>
          <w:rFonts w:ascii="Times New Roman" w:hAnsi="Times New Roman" w:cs="Times New Roman"/>
          <w:lang w:val="lt-LT"/>
        </w:rPr>
      </w:pPr>
    </w:p>
    <w:p w14:paraId="25C3C819" w14:textId="77777777" w:rsidR="00173803" w:rsidRPr="00AB7860" w:rsidRDefault="00173803" w:rsidP="00173803">
      <w:pPr>
        <w:spacing w:after="0" w:line="240" w:lineRule="auto"/>
        <w:rPr>
          <w:rFonts w:ascii="Times New Roman" w:hAnsi="Times New Roman" w:cs="Times New Roman"/>
          <w:lang w:val="lt-LT"/>
        </w:rPr>
      </w:pPr>
    </w:p>
    <w:p w14:paraId="62E03442"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3.</w:t>
      </w:r>
      <w:r w:rsidRPr="00AB7860">
        <w:rPr>
          <w:rFonts w:ascii="Times New Roman" w:hAnsi="Times New Roman" w:cs="Times New Roman"/>
          <w:b/>
          <w:lang w:val="lt-LT"/>
        </w:rPr>
        <w:tab/>
        <w:t>FARMACINĖ FORMA</w:t>
      </w:r>
    </w:p>
    <w:p w14:paraId="4E41A543" w14:textId="77777777" w:rsidR="00173803" w:rsidRPr="00AB7860" w:rsidRDefault="00173803" w:rsidP="00173803">
      <w:pPr>
        <w:spacing w:after="0" w:line="240" w:lineRule="auto"/>
        <w:rPr>
          <w:rFonts w:ascii="Times New Roman" w:hAnsi="Times New Roman" w:cs="Times New Roman"/>
          <w:lang w:val="lt-LT"/>
        </w:rPr>
      </w:pPr>
    </w:p>
    <w:p w14:paraId="476DDAA6"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Kietoji kapsulė</w:t>
      </w:r>
    </w:p>
    <w:p w14:paraId="5C69EDF1" w14:textId="77777777" w:rsidR="00173803" w:rsidRPr="00AB7860" w:rsidRDefault="00173803" w:rsidP="00173803">
      <w:pPr>
        <w:spacing w:after="0" w:line="240" w:lineRule="auto"/>
        <w:rPr>
          <w:rFonts w:ascii="Times New Roman" w:hAnsi="Times New Roman" w:cs="Times New Roman"/>
          <w:color w:val="000000"/>
          <w:lang w:val="lt-LT"/>
        </w:rPr>
      </w:pPr>
    </w:p>
    <w:p w14:paraId="66DA1602"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Rusvai oranžinės, 19 mm ilgio kietosiosios želatininės kapsulės. Turinys – baltos, gelsvos ar rusvai geltonos spalvos milteliai.</w:t>
      </w:r>
    </w:p>
    <w:p w14:paraId="578B344D" w14:textId="77777777" w:rsidR="00173803" w:rsidRPr="00AB7860" w:rsidRDefault="00173803" w:rsidP="00173803">
      <w:pPr>
        <w:spacing w:after="0" w:line="240" w:lineRule="auto"/>
        <w:rPr>
          <w:rFonts w:ascii="Times New Roman" w:hAnsi="Times New Roman" w:cs="Times New Roman"/>
          <w:lang w:val="lt-LT"/>
        </w:rPr>
      </w:pPr>
    </w:p>
    <w:p w14:paraId="12624531" w14:textId="77777777" w:rsidR="00173803" w:rsidRPr="00AB7860" w:rsidRDefault="00173803" w:rsidP="00173803">
      <w:pPr>
        <w:spacing w:after="0" w:line="240" w:lineRule="auto"/>
        <w:rPr>
          <w:rFonts w:ascii="Times New Roman" w:hAnsi="Times New Roman" w:cs="Times New Roman"/>
          <w:lang w:val="lt-LT"/>
        </w:rPr>
      </w:pPr>
    </w:p>
    <w:p w14:paraId="5F052CC2"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4.</w:t>
      </w:r>
      <w:r w:rsidRPr="00AB7860">
        <w:rPr>
          <w:rFonts w:ascii="Times New Roman" w:hAnsi="Times New Roman" w:cs="Times New Roman"/>
          <w:b/>
          <w:lang w:val="lt-LT"/>
        </w:rPr>
        <w:tab/>
        <w:t>KLINIKINĖ INFORMACIJA</w:t>
      </w:r>
    </w:p>
    <w:p w14:paraId="64930503" w14:textId="77777777" w:rsidR="00173803" w:rsidRPr="00AB7860" w:rsidRDefault="00173803" w:rsidP="00173803">
      <w:pPr>
        <w:spacing w:after="0" w:line="240" w:lineRule="auto"/>
        <w:rPr>
          <w:rFonts w:ascii="Times New Roman" w:hAnsi="Times New Roman" w:cs="Times New Roman"/>
          <w:lang w:val="lt-LT"/>
        </w:rPr>
      </w:pPr>
    </w:p>
    <w:p w14:paraId="77342B90" w14:textId="77777777" w:rsidR="00173803" w:rsidRPr="00AB7860" w:rsidRDefault="00173803" w:rsidP="00173803">
      <w:pPr>
        <w:tabs>
          <w:tab w:val="center" w:pos="4819"/>
          <w:tab w:val="right" w:pos="9071"/>
        </w:tabs>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4.1</w:t>
      </w:r>
      <w:r w:rsidRPr="00AB7860">
        <w:rPr>
          <w:rFonts w:ascii="Times New Roman" w:hAnsi="Times New Roman" w:cs="Times New Roman"/>
          <w:b/>
          <w:lang w:val="lt-LT"/>
        </w:rPr>
        <w:tab/>
        <w:t>Terapinės indikacijos</w:t>
      </w:r>
    </w:p>
    <w:p w14:paraId="27782D99" w14:textId="77777777" w:rsidR="00173803" w:rsidRPr="00AB7860" w:rsidRDefault="00173803" w:rsidP="00173803">
      <w:pPr>
        <w:spacing w:after="0" w:line="240" w:lineRule="auto"/>
        <w:rPr>
          <w:rFonts w:ascii="Times New Roman" w:hAnsi="Times New Roman" w:cs="Times New Roman"/>
          <w:lang w:val="lt-LT"/>
        </w:rPr>
      </w:pPr>
    </w:p>
    <w:p w14:paraId="487A0AD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 Grindeks yra skirtas gydyti: </w:t>
      </w:r>
    </w:p>
    <w:p w14:paraId="0CFEC628" w14:textId="77777777" w:rsidR="00173803" w:rsidRPr="00AB7860" w:rsidRDefault="008240E4" w:rsidP="00173803">
      <w:pPr>
        <w:numPr>
          <w:ilvl w:val="0"/>
          <w:numId w:val="5"/>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suaugusiuosius ir </w:t>
      </w:r>
      <w:r w:rsidR="00173803" w:rsidRPr="00AB7860">
        <w:rPr>
          <w:rFonts w:ascii="Times New Roman" w:hAnsi="Times New Roman" w:cs="Times New Roman"/>
          <w:lang w:val="lt-LT"/>
        </w:rPr>
        <w:t>vaikus, sergančius naujai diagnozuota Filadelfijos (</w:t>
      </w:r>
      <w:r w:rsidR="00173803" w:rsidRPr="00AB7860">
        <w:rPr>
          <w:rFonts w:ascii="Times New Roman" w:hAnsi="Times New Roman" w:cs="Times New Roman"/>
          <w:i/>
          <w:lang w:val="lt-LT"/>
        </w:rPr>
        <w:t>Philadelphia</w:t>
      </w:r>
      <w:r w:rsidR="00173803" w:rsidRPr="00AB7860">
        <w:rPr>
          <w:rFonts w:ascii="Times New Roman" w:hAnsi="Times New Roman" w:cs="Times New Roman"/>
          <w:lang w:val="lt-LT"/>
        </w:rPr>
        <w:t>) chromosomai (bcr-abl) teigiama (Ph+) lėtine mieloidine leukemija (LML), kuriems kaulų čiulpų transplantacija nėra pirmo pasirinkimo gydymas;</w:t>
      </w:r>
    </w:p>
    <w:p w14:paraId="25049D29" w14:textId="77777777" w:rsidR="00173803" w:rsidRPr="00AB7860" w:rsidRDefault="008240E4" w:rsidP="00173803">
      <w:pPr>
        <w:numPr>
          <w:ilvl w:val="0"/>
          <w:numId w:val="5"/>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suaugusiuosius ir </w:t>
      </w:r>
      <w:r w:rsidR="00173803" w:rsidRPr="00AB7860">
        <w:rPr>
          <w:rFonts w:ascii="Times New Roman" w:hAnsi="Times New Roman" w:cs="Times New Roman"/>
          <w:lang w:val="lt-LT"/>
        </w:rPr>
        <w:t>vaikus, kuriems yra Ph+ LML lėtinė fazė po neveiksmingo gydymo alfa interferonu arba akceleracijos fazė, arba blastinė krizė;</w:t>
      </w:r>
    </w:p>
    <w:p w14:paraId="3D0E0350" w14:textId="77777777" w:rsidR="00173803" w:rsidRPr="00AB7860" w:rsidRDefault="00173803" w:rsidP="00173803">
      <w:pPr>
        <w:numPr>
          <w:ilvl w:val="0"/>
          <w:numId w:val="5"/>
        </w:numPr>
        <w:spacing w:after="0" w:line="240" w:lineRule="auto"/>
        <w:rPr>
          <w:rFonts w:ascii="Times New Roman" w:hAnsi="Times New Roman" w:cs="Times New Roman"/>
          <w:lang w:val="lt-LT"/>
        </w:rPr>
      </w:pPr>
      <w:r w:rsidRPr="00AB7860">
        <w:rPr>
          <w:rFonts w:ascii="Times New Roman" w:hAnsi="Times New Roman" w:cs="Times New Roman"/>
          <w:lang w:val="lt-LT"/>
        </w:rPr>
        <w:t>suaugusiųjų</w:t>
      </w:r>
      <w:r w:rsidRPr="00AB7860">
        <w:rPr>
          <w:rFonts w:ascii="Times New Roman" w:eastAsia="Times New Roman" w:hAnsi="Times New Roman" w:cs="Times New Roman"/>
          <w:lang w:val="lt-LT"/>
        </w:rPr>
        <w:t xml:space="preserve"> ir vaikų</w:t>
      </w:r>
      <w:r w:rsidRPr="00AB7860">
        <w:rPr>
          <w:rFonts w:ascii="Times New Roman" w:hAnsi="Times New Roman" w:cs="Times New Roman"/>
          <w:lang w:val="lt-LT"/>
        </w:rPr>
        <w:t xml:space="preserve"> naujai diagnozuotos Filadelfijos (</w:t>
      </w:r>
      <w:r w:rsidRPr="00AB7860">
        <w:rPr>
          <w:rFonts w:ascii="Times New Roman" w:hAnsi="Times New Roman" w:cs="Times New Roman"/>
          <w:i/>
          <w:lang w:val="lt-LT"/>
        </w:rPr>
        <w:t>Philadelphia</w:t>
      </w:r>
      <w:r w:rsidRPr="00AB7860">
        <w:rPr>
          <w:rFonts w:ascii="Times New Roman" w:hAnsi="Times New Roman" w:cs="Times New Roman"/>
          <w:lang w:val="lt-LT"/>
        </w:rPr>
        <w:t>) chromosomai teigiamos ūminės limfoleukemijos (Ph+ ŪLL) gydymui kartu su chemoterapija</w:t>
      </w:r>
      <w:r w:rsidRPr="00AB7860">
        <w:rPr>
          <w:rFonts w:ascii="Times New Roman" w:eastAsia="Times New Roman" w:hAnsi="Times New Roman" w:cs="Times New Roman"/>
          <w:lang w:val="lt-LT"/>
        </w:rPr>
        <w:t>;</w:t>
      </w:r>
    </w:p>
    <w:p w14:paraId="5DA1F099" w14:textId="77777777" w:rsidR="00173803" w:rsidRPr="00AB7860" w:rsidRDefault="00173803" w:rsidP="00173803">
      <w:pPr>
        <w:numPr>
          <w:ilvl w:val="0"/>
          <w:numId w:val="5"/>
        </w:numPr>
        <w:spacing w:after="0" w:line="240" w:lineRule="auto"/>
        <w:rPr>
          <w:rFonts w:ascii="Times New Roman" w:hAnsi="Times New Roman" w:cs="Times New Roman"/>
          <w:lang w:val="lt-LT"/>
        </w:rPr>
      </w:pPr>
      <w:r w:rsidRPr="00AB7860">
        <w:rPr>
          <w:rFonts w:ascii="Times New Roman" w:hAnsi="Times New Roman" w:cs="Times New Roman"/>
          <w:lang w:val="lt-LT"/>
        </w:rPr>
        <w:t>suaugusiųjų recidyvavusios ar refrakterinės Ph+ŪLL monoterapijai</w:t>
      </w:r>
      <w:r w:rsidRPr="00AB7860">
        <w:rPr>
          <w:rFonts w:ascii="Times New Roman" w:eastAsia="Times New Roman" w:hAnsi="Times New Roman" w:cs="Times New Roman"/>
          <w:lang w:val="lt-LT"/>
        </w:rPr>
        <w:t>;</w:t>
      </w:r>
    </w:p>
    <w:p w14:paraId="289803F0" w14:textId="77777777" w:rsidR="00173803" w:rsidRPr="00AB7860" w:rsidRDefault="00173803" w:rsidP="00173803">
      <w:pPr>
        <w:numPr>
          <w:ilvl w:val="0"/>
          <w:numId w:val="5"/>
        </w:numPr>
        <w:spacing w:after="0" w:line="240" w:lineRule="auto"/>
        <w:rPr>
          <w:rFonts w:ascii="Times New Roman" w:hAnsi="Times New Roman" w:cs="Times New Roman"/>
          <w:lang w:val="lt-LT"/>
        </w:rPr>
      </w:pPr>
      <w:r w:rsidRPr="00AB7860">
        <w:rPr>
          <w:rFonts w:ascii="Times New Roman" w:hAnsi="Times New Roman" w:cs="Times New Roman"/>
          <w:lang w:val="lt-LT"/>
        </w:rPr>
        <w:t>suaugusiųjų mielodisplazines ar mieloproliferacines ligas (MDS/MPL), susijusias su trombocitų kilmės augimo faktoriaus receptoriaus (</w:t>
      </w:r>
      <w:r w:rsidRPr="00AB7860">
        <w:rPr>
          <w:rFonts w:ascii="Times New Roman" w:hAnsi="Times New Roman" w:cs="Times New Roman"/>
          <w:i/>
          <w:lang w:val="lt-LT"/>
        </w:rPr>
        <w:t>platelet-derived growth factor receptor</w:t>
      </w:r>
      <w:r w:rsidRPr="00AB7860">
        <w:rPr>
          <w:rFonts w:ascii="Times New Roman" w:hAnsi="Times New Roman" w:cs="Times New Roman"/>
          <w:lang w:val="lt-LT"/>
        </w:rPr>
        <w:t>, PDGFR) genų pakitimais</w:t>
      </w:r>
      <w:r w:rsidRPr="00AB7860">
        <w:rPr>
          <w:rFonts w:ascii="Times New Roman" w:eastAsia="Times New Roman" w:hAnsi="Times New Roman" w:cs="Times New Roman"/>
          <w:lang w:val="lt-LT"/>
        </w:rPr>
        <w:t>;</w:t>
      </w:r>
    </w:p>
    <w:p w14:paraId="6ADBC64E" w14:textId="77777777" w:rsidR="00173803" w:rsidRPr="00AB7860" w:rsidRDefault="00173803" w:rsidP="00173803">
      <w:pPr>
        <w:numPr>
          <w:ilvl w:val="0"/>
          <w:numId w:val="5"/>
        </w:numPr>
        <w:spacing w:after="0" w:line="240" w:lineRule="auto"/>
        <w:rPr>
          <w:rFonts w:ascii="Times New Roman" w:hAnsi="Times New Roman" w:cs="Times New Roman"/>
          <w:lang w:val="lt-LT"/>
        </w:rPr>
      </w:pPr>
      <w:r w:rsidRPr="00AB7860">
        <w:rPr>
          <w:rFonts w:ascii="Times New Roman" w:hAnsi="Times New Roman" w:cs="Times New Roman"/>
          <w:lang w:val="lt-LT"/>
        </w:rPr>
        <w:t>suaugusiųjų progresavusį hipereozinofilijos sindromą (HES) ar (arba) lėtinę eozinofilinę leukemiją (LEL) su FIP1L1-PDGFR</w:t>
      </w:r>
      <w:r w:rsidRPr="00AB7860">
        <w:rPr>
          <w:rFonts w:ascii="Times New Roman" w:hAnsi="Times New Roman" w:cs="Times New Roman"/>
          <w:lang w:val="en-GB"/>
        </w:rPr>
        <w:t>α</w:t>
      </w:r>
      <w:r w:rsidRPr="00AB7860">
        <w:rPr>
          <w:rFonts w:ascii="Times New Roman" w:hAnsi="Times New Roman" w:cs="Times New Roman"/>
          <w:lang w:val="lt-LT"/>
        </w:rPr>
        <w:t xml:space="preserve"> pokyčiu.</w:t>
      </w:r>
    </w:p>
    <w:p w14:paraId="0C53A06A" w14:textId="77777777" w:rsidR="00DF5915" w:rsidRDefault="00DF5915" w:rsidP="00173803">
      <w:pPr>
        <w:spacing w:after="0" w:line="240" w:lineRule="auto"/>
        <w:rPr>
          <w:rFonts w:ascii="Times New Roman" w:hAnsi="Times New Roman" w:cs="Times New Roman"/>
          <w:lang w:val="lt-LT"/>
        </w:rPr>
      </w:pPr>
    </w:p>
    <w:p w14:paraId="7F3DC29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Imatinibo poveikis kaulų čiulpų transplantacijos rezultatams nenustatytas.</w:t>
      </w:r>
    </w:p>
    <w:p w14:paraId="7F5E407D" w14:textId="77777777" w:rsidR="00173803" w:rsidRPr="00AB7860" w:rsidRDefault="00173803" w:rsidP="00173803">
      <w:pPr>
        <w:tabs>
          <w:tab w:val="left" w:pos="1276"/>
        </w:tabs>
        <w:spacing w:after="0" w:line="240" w:lineRule="auto"/>
        <w:rPr>
          <w:rFonts w:ascii="Times New Roman" w:hAnsi="Times New Roman" w:cs="Times New Roman"/>
          <w:lang w:val="lt-LT"/>
        </w:rPr>
      </w:pPr>
    </w:p>
    <w:p w14:paraId="5DDCF983" w14:textId="77777777" w:rsidR="00173803" w:rsidRDefault="00173803" w:rsidP="00173803">
      <w:pPr>
        <w:tabs>
          <w:tab w:val="left" w:pos="1276"/>
        </w:tabs>
        <w:spacing w:after="0" w:line="240" w:lineRule="auto"/>
        <w:rPr>
          <w:rFonts w:ascii="Times New Roman" w:hAnsi="Times New Roman" w:cs="Times New Roman"/>
          <w:lang w:val="lt-LT"/>
        </w:rPr>
      </w:pPr>
      <w:r w:rsidRPr="00AB7860">
        <w:rPr>
          <w:rFonts w:ascii="Times New Roman" w:hAnsi="Times New Roman" w:cs="Times New Roman"/>
          <w:lang w:val="lt-LT"/>
        </w:rPr>
        <w:t>Imatinib Grindeks skiriama:</w:t>
      </w:r>
    </w:p>
    <w:p w14:paraId="015D0B68" w14:textId="34F7BF7C" w:rsidR="00173803" w:rsidRDefault="00092EE2" w:rsidP="008F6588">
      <w:pPr>
        <w:numPr>
          <w:ilvl w:val="0"/>
          <w:numId w:val="5"/>
        </w:numPr>
        <w:spacing w:after="0" w:line="240" w:lineRule="auto"/>
        <w:rPr>
          <w:rFonts w:ascii="Times New Roman" w:hAnsi="Times New Roman" w:cs="Times New Roman"/>
          <w:lang w:val="lt-LT"/>
        </w:rPr>
      </w:pPr>
      <w:r>
        <w:rPr>
          <w:rFonts w:ascii="Times New Roman" w:hAnsi="Times New Roman" w:cs="Times New Roman"/>
          <w:lang w:val="lt-LT"/>
        </w:rPr>
        <w:t>s</w:t>
      </w:r>
      <w:r w:rsidR="00173803" w:rsidRPr="0035361A">
        <w:rPr>
          <w:rFonts w:ascii="Times New Roman" w:hAnsi="Times New Roman" w:cs="Times New Roman"/>
          <w:lang w:val="lt-LT"/>
        </w:rPr>
        <w:t>uaugusiesiems, kuriems yra Kit (CD 117) teigiamas nerezekuotinas ir (ar) metastazavęs piktybinis virškinimo trakto stromos navikas (VTSN), gydyti.</w:t>
      </w:r>
    </w:p>
    <w:p w14:paraId="698B4F13" w14:textId="3C36C1BA" w:rsidR="0035361A" w:rsidRPr="00BD3DA1" w:rsidRDefault="00092EE2" w:rsidP="00DF5915">
      <w:pPr>
        <w:numPr>
          <w:ilvl w:val="0"/>
          <w:numId w:val="5"/>
        </w:numPr>
        <w:spacing w:after="0" w:line="240" w:lineRule="auto"/>
        <w:rPr>
          <w:rFonts w:ascii="Times New Roman" w:hAnsi="Times New Roman" w:cs="Times New Roman"/>
        </w:rPr>
      </w:pPr>
      <w:r>
        <w:rPr>
          <w:rFonts w:ascii="Times New Roman" w:hAnsi="Times New Roman" w:cs="Times New Roman"/>
          <w:color w:val="000000"/>
          <w:lang w:val="lt-LT"/>
        </w:rPr>
        <w:t>a</w:t>
      </w:r>
      <w:r w:rsidR="00173803" w:rsidRPr="0035361A">
        <w:rPr>
          <w:rFonts w:ascii="Times New Roman" w:hAnsi="Times New Roman" w:cs="Times New Roman"/>
          <w:color w:val="000000"/>
          <w:lang w:val="lt-LT"/>
        </w:rPr>
        <w:t>djuvantiniam suaugusiųjų, kuriems po atliktos Kit (CD 117) teigiamo VTSN rezekcijos yra reikšmingai padidėjusi recidyvo rizika, gydymui. Pacientai, kuriems yra maža ar labai maža recidyvo rizika, neturėtų gauti adjuvantinio gydymo.</w:t>
      </w:r>
    </w:p>
    <w:p w14:paraId="206571E2" w14:textId="4D25C86A" w:rsidR="00173803" w:rsidRPr="0035361A" w:rsidRDefault="00092EE2" w:rsidP="00BD3DA1">
      <w:pPr>
        <w:numPr>
          <w:ilvl w:val="0"/>
          <w:numId w:val="5"/>
        </w:numPr>
        <w:spacing w:after="0" w:line="240" w:lineRule="auto"/>
        <w:rPr>
          <w:rFonts w:ascii="Times New Roman" w:hAnsi="Times New Roman" w:cs="Times New Roman"/>
          <w:lang w:val="lt-LT"/>
        </w:rPr>
      </w:pPr>
      <w:r>
        <w:rPr>
          <w:rFonts w:ascii="Times New Roman" w:hAnsi="Times New Roman" w:cs="Times New Roman"/>
          <w:color w:val="000000"/>
        </w:rPr>
        <w:t>s</w:t>
      </w:r>
      <w:r w:rsidR="00173803" w:rsidRPr="0035361A">
        <w:rPr>
          <w:rFonts w:ascii="Times New Roman" w:hAnsi="Times New Roman" w:cs="Times New Roman"/>
          <w:lang w:val="lt-LT"/>
        </w:rPr>
        <w:t xml:space="preserve">uaugusiesiems, kuriems yra nerezekuotina iškilioji dermatofibrosarkoma </w:t>
      </w:r>
      <w:r w:rsidR="00173803" w:rsidRPr="0035361A">
        <w:rPr>
          <w:rFonts w:ascii="Times New Roman" w:hAnsi="Times New Roman" w:cs="Times New Roman"/>
          <w:i/>
          <w:lang w:val="lt-LT"/>
        </w:rPr>
        <w:t xml:space="preserve">(dermatofibrosarcoma protuberans </w:t>
      </w:r>
      <w:r w:rsidR="00173803" w:rsidRPr="0035361A">
        <w:rPr>
          <w:rFonts w:ascii="Times New Roman" w:hAnsi="Times New Roman" w:cs="Times New Roman"/>
          <w:lang w:val="lt-LT"/>
        </w:rPr>
        <w:t>- DFSP) ar, kuriems yra pasikartojanti ir (ar)</w:t>
      </w:r>
      <w:r w:rsidR="00173803" w:rsidRPr="0035361A">
        <w:rPr>
          <w:rFonts w:ascii="Times New Roman" w:eastAsia="Times New Roman" w:hAnsi="Times New Roman" w:cs="Times New Roman"/>
          <w:lang w:val="lt-LT"/>
        </w:rPr>
        <w:t xml:space="preserve"> </w:t>
      </w:r>
      <w:r w:rsidR="00173803" w:rsidRPr="0035361A">
        <w:rPr>
          <w:rFonts w:ascii="Times New Roman" w:hAnsi="Times New Roman" w:cs="Times New Roman"/>
          <w:lang w:val="lt-LT"/>
        </w:rPr>
        <w:t>metastazavusi DFSP ir kurių negalima operuoti.</w:t>
      </w:r>
    </w:p>
    <w:p w14:paraId="6ECEB235" w14:textId="77777777" w:rsidR="00173803" w:rsidRPr="00AB7860" w:rsidRDefault="00173803" w:rsidP="00173803">
      <w:pPr>
        <w:spacing w:after="0" w:line="240" w:lineRule="auto"/>
        <w:contextualSpacing/>
        <w:rPr>
          <w:rFonts w:ascii="Times New Roman" w:hAnsi="Times New Roman" w:cs="Times New Roman"/>
          <w:lang w:val="lt-LT"/>
        </w:rPr>
      </w:pPr>
      <w:r w:rsidRPr="00AB7860">
        <w:rPr>
          <w:rFonts w:ascii="Times New Roman" w:eastAsia="Times New Roman" w:hAnsi="Times New Roman" w:cs="Times New Roman"/>
          <w:lang w:val="lt-LT"/>
        </w:rPr>
        <w:lastRenderedPageBreak/>
        <w:t xml:space="preserve">Imatinibo veiksmingumas suaugusiesiems ir vaikams pagrįstas bendru hematologinio ir citogenetinio atsako dažniu ir gyvenimo trukme be ligos progresavimo sergant LML hematologiniu ir </w:t>
      </w:r>
      <w:r w:rsidRPr="00AB7860">
        <w:rPr>
          <w:rFonts w:ascii="Times New Roman" w:hAnsi="Times New Roman" w:cs="Times New Roman"/>
          <w:lang w:val="lt-LT"/>
        </w:rPr>
        <w:t>citogenetiniu atsako dažniu, kai yra Ph+ ŪLL, MDS/MPL, hematologiniu atsako dažniu, kai yra</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HES/LEL, objektyvia atsako dalimi suaugusiųjų pacientų, sergančių nerezekuotinu ir (ar) metastazavusiu VTSN ir DFSP, tarpe ir išgyvenamumo be ligos recidyvo trukme, kai preparato skiriama adjuvantiniam VTSN gydymui. Patirtis gydant imatinibu pacientus, sergančius MDS/MPL, susijusia su PDGF geno pakitimais yra labai ribota (žr. 5.1 skyrių). Nėra kontroliuojamų tyrimų, įrodančių klinikinę naudą ar pailgėjusią gyvenimo trukmę</w:t>
      </w:r>
      <w:r w:rsidR="00F5730F" w:rsidRPr="00AB7860">
        <w:rPr>
          <w:rFonts w:ascii="Times New Roman" w:hAnsi="Times New Roman" w:cs="Times New Roman"/>
          <w:lang w:val="lt-LT"/>
        </w:rPr>
        <w:t>, kai yra kuri nors iš šių ligų, išskyrus naujai diagnozuotą lėtinę LML fazę</w:t>
      </w:r>
      <w:r w:rsidRPr="00AB7860">
        <w:rPr>
          <w:rFonts w:ascii="Times New Roman" w:hAnsi="Times New Roman" w:cs="Times New Roman"/>
          <w:lang w:val="lt-LT"/>
        </w:rPr>
        <w:t>.</w:t>
      </w:r>
    </w:p>
    <w:p w14:paraId="0A97838F" w14:textId="77777777" w:rsidR="00F5730F" w:rsidRPr="00AB7860" w:rsidRDefault="00F5730F" w:rsidP="00173803">
      <w:pPr>
        <w:tabs>
          <w:tab w:val="left" w:pos="709"/>
          <w:tab w:val="center" w:pos="4819"/>
          <w:tab w:val="right" w:pos="9071"/>
        </w:tabs>
        <w:spacing w:after="0" w:line="240" w:lineRule="auto"/>
        <w:rPr>
          <w:rFonts w:ascii="Times New Roman" w:hAnsi="Times New Roman" w:cs="Times New Roman"/>
          <w:lang w:val="lt-LT"/>
        </w:rPr>
      </w:pPr>
      <w:bookmarkStart w:id="6" w:name="_Toc129243103"/>
      <w:bookmarkStart w:id="7" w:name="_Toc129243228"/>
    </w:p>
    <w:p w14:paraId="719EB26E" w14:textId="77777777" w:rsidR="00173803" w:rsidRPr="00AB7860" w:rsidRDefault="00173803" w:rsidP="00173803">
      <w:pPr>
        <w:tabs>
          <w:tab w:val="left" w:pos="709"/>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4.2</w:t>
      </w:r>
      <w:r w:rsidRPr="00AB7860">
        <w:rPr>
          <w:rFonts w:ascii="Times New Roman" w:hAnsi="Times New Roman" w:cs="Times New Roman"/>
          <w:b/>
          <w:lang w:val="lt-LT"/>
        </w:rPr>
        <w:tab/>
        <w:t>Dozavimas ir vartojimo metodas</w:t>
      </w:r>
      <w:bookmarkEnd w:id="6"/>
      <w:bookmarkEnd w:id="7"/>
    </w:p>
    <w:p w14:paraId="7030099D"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7DEDBC59"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Gydymą šiuo vaistiniu preparatu gali skirti tik gydytojas, turintis patirties gydyti pacientus, sergančius piktybinėmis kraujo ligomis ar piktybine sarkoma.</w:t>
      </w:r>
    </w:p>
    <w:p w14:paraId="245FAD53"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058920E6"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Dozavimas</w:t>
      </w:r>
      <w:r w:rsidR="000509A4" w:rsidRPr="00AB7860">
        <w:rPr>
          <w:rFonts w:ascii="Times New Roman" w:hAnsi="Times New Roman" w:cs="Times New Roman"/>
          <w:u w:val="single"/>
          <w:lang w:val="lt-LT"/>
        </w:rPr>
        <w:t>,</w:t>
      </w:r>
      <w:r w:rsidR="00F5730F" w:rsidRPr="00AB7860">
        <w:rPr>
          <w:rFonts w:ascii="Times New Roman" w:hAnsi="Times New Roman" w:cs="Times New Roman"/>
          <w:u w:val="single"/>
          <w:lang w:val="lt-LT"/>
        </w:rPr>
        <w:t xml:space="preserve"> kai yra suaugusiųjų LML</w:t>
      </w:r>
    </w:p>
    <w:p w14:paraId="78BFBF90"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Rekomenduojama Imatinib Grindeks dozė suaugusiems pacientams, sergantiems LML lėtinėje fazėje, yra</w:t>
      </w:r>
    </w:p>
    <w:p w14:paraId="6F24F75D"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400 mg per parą. Lėtinė LML fazė diagnozuojama tada, kai yra visi šie kriterijai: blastų kiekis kraujyje</w:t>
      </w:r>
    </w:p>
    <w:p w14:paraId="783294F5"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ir kaulų čiulpuose &lt; 15 %, bazofilų periferiniame kraujyje &lt; 20 %, trombocitų &gt; 100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p w14:paraId="478963AE"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p>
    <w:p w14:paraId="7CC1DA9B"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Rekomenduojama Imatinib Grindeks dozė suaugusiems pacientams, kuriems yra akceleracijos fazė, yra</w:t>
      </w:r>
    </w:p>
    <w:p w14:paraId="33EC68B1"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600 mg per parą. Akceleracijos fazė diagnozuojama, kai yra bet kuris iš šių požymių: blastų kiekis</w:t>
      </w:r>
    </w:p>
    <w:p w14:paraId="0F7915DC"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kraujyje ar kaulų čiulpuose </w:t>
      </w:r>
      <w:r w:rsidRPr="004C04CC">
        <w:rPr>
          <w:rFonts w:ascii="Times New Roman" w:hAnsi="Times New Roman" w:cs="Times New Roman"/>
          <w:lang w:val="lt-LT"/>
        </w:rPr>
        <w:t xml:space="preserve">≥ </w:t>
      </w:r>
      <w:r w:rsidRPr="00AB7860">
        <w:rPr>
          <w:rFonts w:ascii="Times New Roman" w:hAnsi="Times New Roman" w:cs="Times New Roman"/>
          <w:lang w:val="lt-LT"/>
        </w:rPr>
        <w:t>15 %, bet &lt; 30 %, blastų su promielocitais kiekis kraujyje ar kaulų</w:t>
      </w:r>
    </w:p>
    <w:p w14:paraId="33485E4E" w14:textId="77777777" w:rsidR="009F597C" w:rsidRPr="00AB7860" w:rsidRDefault="009F597C" w:rsidP="009F597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čiulpuose </w:t>
      </w:r>
      <w:r w:rsidRPr="004C04CC">
        <w:rPr>
          <w:rFonts w:ascii="Times New Roman" w:hAnsi="Times New Roman" w:cs="Times New Roman"/>
          <w:lang w:val="lt-LT"/>
        </w:rPr>
        <w:t xml:space="preserve">≥ </w:t>
      </w:r>
      <w:r w:rsidRPr="00AB7860">
        <w:rPr>
          <w:rFonts w:ascii="Times New Roman" w:hAnsi="Times New Roman" w:cs="Times New Roman"/>
          <w:lang w:val="lt-LT"/>
        </w:rPr>
        <w:t xml:space="preserve">30 % (blastų &lt; 30 %), bazofilų periferiniame kraujyje </w:t>
      </w:r>
      <w:r w:rsidRPr="004C04CC">
        <w:rPr>
          <w:rFonts w:ascii="Times New Roman" w:hAnsi="Times New Roman" w:cs="Times New Roman"/>
          <w:lang w:val="lt-LT"/>
        </w:rPr>
        <w:t xml:space="preserve">≥ </w:t>
      </w:r>
      <w:r w:rsidRPr="00AB7860">
        <w:rPr>
          <w:rFonts w:ascii="Times New Roman" w:hAnsi="Times New Roman" w:cs="Times New Roman"/>
          <w:lang w:val="lt-LT"/>
        </w:rPr>
        <w:t>20 %, trombocitų &lt; 100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p w14:paraId="7A56B7D0" w14:textId="77777777" w:rsidR="00173803" w:rsidRPr="00AB7860" w:rsidRDefault="009F597C" w:rsidP="009F597C">
      <w:pPr>
        <w:spacing w:after="0" w:line="240" w:lineRule="auto"/>
        <w:rPr>
          <w:rFonts w:ascii="Times New Roman" w:eastAsia="Times New Roman" w:hAnsi="Times New Roman" w:cs="Times New Roman"/>
          <w:lang w:val="lt-LT"/>
        </w:rPr>
      </w:pPr>
      <w:r w:rsidRPr="00AB7860">
        <w:rPr>
          <w:rFonts w:ascii="Times New Roman" w:hAnsi="Times New Roman" w:cs="Times New Roman"/>
          <w:lang w:val="lt-LT"/>
        </w:rPr>
        <w:t>neatsižvelgiant į gydymą.</w:t>
      </w:r>
    </w:p>
    <w:p w14:paraId="6BD6B2D3" w14:textId="77777777" w:rsidR="009F597C" w:rsidRPr="00AB7860" w:rsidRDefault="009F597C" w:rsidP="00173803">
      <w:pPr>
        <w:spacing w:after="0" w:line="240" w:lineRule="auto"/>
        <w:rPr>
          <w:rFonts w:ascii="Times New Roman" w:hAnsi="Times New Roman" w:cs="Times New Roman"/>
          <w:lang w:val="lt-LT"/>
        </w:rPr>
      </w:pPr>
    </w:p>
    <w:p w14:paraId="26974A0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Rekomenduojama Imatinib Grindeks dozė suaugusiems pacientams blastų krizės metu yra 600 mg per parą. Blastinė krizė nustatoma, kai blastų kiekis kraujyje ar kaulų čiulpuose yra ≥ 30</w:t>
      </w:r>
      <w:r w:rsidR="004C04CC">
        <w:rPr>
          <w:rFonts w:ascii="Times New Roman" w:hAnsi="Times New Roman" w:cs="Times New Roman"/>
          <w:lang w:val="lt-LT"/>
        </w:rPr>
        <w:t xml:space="preserve"> </w:t>
      </w:r>
      <w:r w:rsidRPr="00AB7860">
        <w:rPr>
          <w:rFonts w:ascii="Times New Roman" w:hAnsi="Times New Roman" w:cs="Times New Roman"/>
          <w:lang w:val="lt-LT"/>
        </w:rPr>
        <w:t>% arba yra kuri kita ekstramedulinė ligos išraiška, išskyrus hepatosplenomegaliją.</w:t>
      </w:r>
      <w:r w:rsidRPr="00AB7860">
        <w:rPr>
          <w:rFonts w:ascii="Times New Roman" w:hAnsi="Times New Roman" w:cs="Times New Roman"/>
          <w:lang w:val="lt-LT"/>
        </w:rPr>
        <w:br/>
      </w:r>
      <w:r w:rsidRPr="00AB7860">
        <w:rPr>
          <w:rFonts w:ascii="Times New Roman" w:hAnsi="Times New Roman" w:cs="Times New Roman"/>
          <w:lang w:val="lt-LT"/>
        </w:rPr>
        <w:br/>
        <w:t>Gydymo trukmė: klinikinių tyrimų metu gydymas imatinibu buvo tęsiamas iki ligos progresavimo. Gydymo nutraukimo poveikis, pasiekus visišką citogenetinį atsaką, netirtas.</w:t>
      </w:r>
    </w:p>
    <w:p w14:paraId="1500C93D" w14:textId="77777777" w:rsidR="00173803" w:rsidRPr="00AB7860" w:rsidRDefault="00173803" w:rsidP="00173803">
      <w:pPr>
        <w:spacing w:after="0" w:line="240" w:lineRule="auto"/>
        <w:rPr>
          <w:rFonts w:ascii="Times New Roman" w:hAnsi="Times New Roman" w:cs="Times New Roman"/>
          <w:lang w:val="lt-LT"/>
        </w:rPr>
      </w:pPr>
    </w:p>
    <w:p w14:paraId="5A34EDF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Dozę galima didinti nuo </w:t>
      </w:r>
      <w:r w:rsidR="009F597C" w:rsidRPr="00AB7860">
        <w:rPr>
          <w:rFonts w:ascii="Times New Roman" w:hAnsi="Times New Roman" w:cs="Times New Roman"/>
          <w:lang w:val="lt-LT"/>
        </w:rPr>
        <w:t>400 mg iki</w:t>
      </w:r>
      <w:r w:rsidRPr="00AB7860">
        <w:rPr>
          <w:rFonts w:ascii="Times New Roman" w:hAnsi="Times New Roman" w:cs="Times New Roman"/>
          <w:lang w:val="lt-LT"/>
        </w:rPr>
        <w:t xml:space="preserve"> 600 mg </w:t>
      </w:r>
      <w:r w:rsidR="009F597C" w:rsidRPr="00AB7860">
        <w:rPr>
          <w:rFonts w:ascii="Times New Roman" w:hAnsi="Times New Roman" w:cs="Times New Roman"/>
          <w:lang w:val="lt-LT"/>
        </w:rPr>
        <w:t xml:space="preserve">ar 800 mg, kai pacientams yra lėtinė ligos fazė, ar nuo 600 mg </w:t>
      </w:r>
      <w:r w:rsidRPr="00AB7860">
        <w:rPr>
          <w:rFonts w:ascii="Times New Roman" w:hAnsi="Times New Roman" w:cs="Times New Roman"/>
          <w:lang w:val="lt-LT"/>
        </w:rPr>
        <w:t>iki didžiausios 800 mg dozės (po 400 mg 2 kartus per parą), kai</w:t>
      </w:r>
      <w:r w:rsidR="004C04CC">
        <w:rPr>
          <w:rFonts w:ascii="Times New Roman" w:hAnsi="Times New Roman" w:cs="Times New Roman"/>
          <w:lang w:val="lt-LT"/>
        </w:rPr>
        <w:t xml:space="preserve"> </w:t>
      </w:r>
      <w:r w:rsidRPr="00AB7860">
        <w:rPr>
          <w:rFonts w:ascii="Times New Roman" w:hAnsi="Times New Roman" w:cs="Times New Roman"/>
          <w:lang w:val="lt-LT"/>
        </w:rPr>
        <w:t>yra</w:t>
      </w:r>
      <w:r w:rsidR="000509A4" w:rsidRPr="00AB7860">
        <w:rPr>
          <w:rFonts w:ascii="Times New Roman" w:hAnsi="Times New Roman" w:cs="Times New Roman"/>
          <w:lang w:val="lt-LT"/>
        </w:rPr>
        <w:t xml:space="preserve"> akceleracijos fazė ar </w:t>
      </w:r>
      <w:r w:rsidRPr="00AB7860">
        <w:rPr>
          <w:rFonts w:ascii="Times New Roman" w:hAnsi="Times New Roman" w:cs="Times New Roman"/>
          <w:lang w:val="lt-LT"/>
        </w:rPr>
        <w:t>blastinė krizė ir nėra sunkių nepageidaujamų vaistinio preparato reakcijų ar sunkios ne su leukemija susijusios sunkios neutropenijos ar trombocitopenijos, šiomis aplinkybėmis: ligos progresavimas (bet kuriuo metu); po mažiausiai 3 gydymo mėnesių nepasiekus pakankamo hematologinio atsako; po 12 gydymo mėnesių nepasiekus citogenetinio atsako; arba išnykus anksčiau pasiektam hematologiniam ir (arba) citogenetiniam atsakui. Padidinus dozę pacientai turi būti atidžiai stebimi dėl galimų dažnesnių nepageidaujamų reakcijų, susijusių su didesnėmis vaistinio preparato dozėmis.</w:t>
      </w:r>
    </w:p>
    <w:p w14:paraId="3B992D03" w14:textId="77777777" w:rsidR="00173803" w:rsidRPr="00AB7860" w:rsidRDefault="00173803" w:rsidP="00173803">
      <w:pPr>
        <w:spacing w:after="0" w:line="240" w:lineRule="auto"/>
        <w:rPr>
          <w:rFonts w:ascii="Times New Roman" w:hAnsi="Times New Roman" w:cs="Times New Roman"/>
          <w:u w:val="single"/>
          <w:lang w:val="lt-LT"/>
        </w:rPr>
      </w:pPr>
    </w:p>
    <w:p w14:paraId="7E60AC98" w14:textId="77777777" w:rsidR="00173803" w:rsidRPr="004C04CC" w:rsidRDefault="000509A4" w:rsidP="00173803">
      <w:pPr>
        <w:spacing w:after="0" w:line="240" w:lineRule="auto"/>
        <w:rPr>
          <w:rFonts w:ascii="Times New Roman" w:hAnsi="Times New Roman" w:cs="Times New Roman"/>
          <w:u w:val="single"/>
          <w:lang w:val="lt-LT"/>
        </w:rPr>
      </w:pPr>
      <w:r w:rsidRPr="004C04CC">
        <w:rPr>
          <w:rFonts w:ascii="Times New Roman" w:hAnsi="Times New Roman" w:cs="Times New Roman"/>
          <w:u w:val="single"/>
          <w:lang w:val="lt-LT"/>
        </w:rPr>
        <w:t>Dozavimas</w:t>
      </w:r>
      <w:r w:rsidRPr="00AB7860">
        <w:rPr>
          <w:rFonts w:ascii="Times New Roman" w:hAnsi="Times New Roman" w:cs="Times New Roman"/>
          <w:u w:val="single"/>
          <w:lang w:val="lt-LT"/>
        </w:rPr>
        <w:t>,</w:t>
      </w:r>
      <w:r w:rsidRPr="004C04CC">
        <w:rPr>
          <w:rFonts w:ascii="Times New Roman" w:hAnsi="Times New Roman" w:cs="Times New Roman"/>
          <w:u w:val="single"/>
          <w:lang w:val="lt-LT"/>
        </w:rPr>
        <w:t xml:space="preserve"> kai yra v</w:t>
      </w:r>
      <w:r w:rsidR="00173803" w:rsidRPr="004C04CC">
        <w:rPr>
          <w:rFonts w:ascii="Times New Roman" w:hAnsi="Times New Roman" w:cs="Times New Roman"/>
          <w:u w:val="single"/>
          <w:lang w:val="lt-LT"/>
        </w:rPr>
        <w:t>aikų LML</w:t>
      </w:r>
    </w:p>
    <w:p w14:paraId="5DCA419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Dozavimas vaikams turėtų būti apskaičiuojama pagal kūno paviršiaus plotą (mg/m2). Vaikams esant lėtinei LML fazei ir progresavusiai LML rekomenduojama 340 mg/m2 paros dozė (suminė dozė negali viršyti 800 mg). </w:t>
      </w:r>
      <w:r w:rsidRPr="00AB7860">
        <w:rPr>
          <w:rFonts w:ascii="Times New Roman" w:eastAsia="Times New Roman" w:hAnsi="Times New Roman" w:cs="Times New Roman"/>
          <w:lang w:val="lt-LT"/>
        </w:rPr>
        <w:t>Vaistinis preparatas</w:t>
      </w:r>
      <w:r w:rsidRPr="00AB7860">
        <w:rPr>
          <w:rFonts w:ascii="Times New Roman" w:hAnsi="Times New Roman" w:cs="Times New Roman"/>
          <w:lang w:val="lt-LT"/>
        </w:rPr>
        <w:t xml:space="preserve"> gali būti skiriamas vieną kartą per parą arba paros dozė gali būti padalinama ir skiriama du kartus per parą – vieną kartą ryte ir vieną – vakare. Dabartinės dozavimo rekomendacijos yra pagrįstos nedideliu vaikų skaičiumi (žr. 5.1 ir 5.2 skyrius). Vartojimo vaikams, jaunesniems nei 2 metų amžiaus, gydymo patirties nėra. </w:t>
      </w:r>
    </w:p>
    <w:p w14:paraId="33445B16" w14:textId="77777777" w:rsidR="00173803" w:rsidRPr="00AB7860" w:rsidRDefault="00173803" w:rsidP="00173803">
      <w:pPr>
        <w:spacing w:after="0" w:line="240" w:lineRule="auto"/>
        <w:rPr>
          <w:rFonts w:ascii="Times New Roman" w:hAnsi="Times New Roman" w:cs="Times New Roman"/>
          <w:lang w:val="lt-LT"/>
        </w:rPr>
      </w:pPr>
    </w:p>
    <w:p w14:paraId="60672B2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Paros dozė nuo 340 mg/m2 iki 570 mg/m2 (suminė dozė negali viršyti 800 mg) gali būti skiriama vaikams, kuriems nėra sunkių nepageidaujamų reakcijų ir ne su leukemija susijusios sunkios neutropenijos ar trombocitopenijos, šiomis aplinkybėmis: ligos progresavimas (bet kuriuo metu); po mažiausiai 3 gydymo mėnesių nepasiekus pakankamo hematologinio atsako; po 12 gydymo mėnesių nepasiekus </w:t>
      </w:r>
      <w:r w:rsidRPr="00AB7860">
        <w:rPr>
          <w:rFonts w:ascii="Times New Roman" w:hAnsi="Times New Roman" w:cs="Times New Roman"/>
          <w:lang w:val="lt-LT"/>
        </w:rPr>
        <w:lastRenderedPageBreak/>
        <w:t>citogenetinio atsako; arba išnykus anksčiau pasiektam hematologiniam ir (arba) citogenetiniam atsakui. Padidinus dozę pacientai turi būti atidžiai stebimi dėl galimų dažnesnių nepageidaujamų reakcijų, susijusių su didesnėmis vaistinio preparato dozėmis.</w:t>
      </w:r>
    </w:p>
    <w:p w14:paraId="70EFD1BB" w14:textId="77777777" w:rsidR="00173803" w:rsidRPr="00AB7860" w:rsidRDefault="00173803" w:rsidP="00173803">
      <w:pPr>
        <w:spacing w:after="0" w:line="240" w:lineRule="auto"/>
        <w:rPr>
          <w:rFonts w:ascii="Times New Roman" w:hAnsi="Times New Roman" w:cs="Times New Roman"/>
          <w:lang w:val="lt-LT"/>
        </w:rPr>
      </w:pPr>
    </w:p>
    <w:p w14:paraId="3B4DED38" w14:textId="77777777" w:rsidR="00173803" w:rsidRPr="004C04CC" w:rsidRDefault="000509A4" w:rsidP="00173803">
      <w:pPr>
        <w:spacing w:after="0" w:line="240" w:lineRule="auto"/>
        <w:rPr>
          <w:rFonts w:ascii="Times New Roman" w:hAnsi="Times New Roman" w:cs="Times New Roman"/>
          <w:u w:val="single"/>
          <w:lang w:val="lt-LT"/>
        </w:rPr>
      </w:pPr>
      <w:r w:rsidRPr="004C04CC">
        <w:rPr>
          <w:rFonts w:ascii="Times New Roman" w:hAnsi="Times New Roman" w:cs="Times New Roman"/>
          <w:u w:val="single"/>
          <w:lang w:val="lt-LT"/>
        </w:rPr>
        <w:t>Dozavimas</w:t>
      </w:r>
      <w:r w:rsidRPr="00AB7860">
        <w:rPr>
          <w:rFonts w:ascii="Times New Roman" w:hAnsi="Times New Roman" w:cs="Times New Roman"/>
          <w:u w:val="single"/>
          <w:lang w:val="lt-LT"/>
        </w:rPr>
        <w:t>,</w:t>
      </w:r>
      <w:r w:rsidRPr="004C04CC">
        <w:rPr>
          <w:rFonts w:ascii="Times New Roman" w:hAnsi="Times New Roman" w:cs="Times New Roman"/>
          <w:u w:val="single"/>
          <w:lang w:val="lt-LT"/>
        </w:rPr>
        <w:t xml:space="preserve"> kai yra s</w:t>
      </w:r>
      <w:r w:rsidR="00173803" w:rsidRPr="004C04CC">
        <w:rPr>
          <w:rFonts w:ascii="Times New Roman" w:hAnsi="Times New Roman" w:cs="Times New Roman"/>
          <w:u w:val="single"/>
          <w:lang w:val="lt-LT"/>
        </w:rPr>
        <w:t xml:space="preserve">uaugusiųjų Ph+ ŪLL </w:t>
      </w:r>
    </w:p>
    <w:p w14:paraId="3792419B"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Ph+ ŪLL sergantiems suaugusiesiems pacientams rekomenduojama Imatinib Grindeks dozė yra 600 mg per parą. Visų fazių metu gydymui turi vadovauti hematologai, turintys šios ligos gydymo patirties.</w:t>
      </w:r>
    </w:p>
    <w:p w14:paraId="00EB9CFF" w14:textId="77777777" w:rsidR="00173803" w:rsidRPr="00AB7860" w:rsidRDefault="00173803" w:rsidP="00173803">
      <w:pPr>
        <w:spacing w:after="0" w:line="240" w:lineRule="auto"/>
        <w:rPr>
          <w:rFonts w:ascii="Times New Roman" w:hAnsi="Times New Roman" w:cs="Times New Roman"/>
          <w:lang w:val="lt-LT"/>
        </w:rPr>
      </w:pPr>
    </w:p>
    <w:p w14:paraId="69F2934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Gydymo planas. Pagal turimus duomenis, 600 mg imatinibo dozė per parą buvo efektyvi ir saugi</w:t>
      </w:r>
      <w:r w:rsidRPr="00AB7860">
        <w:rPr>
          <w:rFonts w:ascii="Times New Roman" w:eastAsia="Times New Roman" w:hAnsi="Times New Roman" w:cs="Times New Roman"/>
          <w:lang w:val="lt-LT"/>
        </w:rPr>
        <w:t xml:space="preserve"> kartu su chemoterapiniais preparatais pradinės, dozės didinimo ir palaikomosios chemoterapijos fazės metu (žr.</w:t>
      </w:r>
      <w:r w:rsidRPr="00AB7860">
        <w:rPr>
          <w:rFonts w:ascii="Times New Roman" w:hAnsi="Times New Roman" w:cs="Times New Roman"/>
          <w:lang w:val="lt-LT"/>
        </w:rPr>
        <w:t xml:space="preserve"> 5.1 skyrių) suaugusiems pacientams, kuriems pirmą kartą diagnozuota Ph+ ŪLL. </w:t>
      </w:r>
      <w:r w:rsidRPr="00AB7860">
        <w:rPr>
          <w:rFonts w:ascii="Times New Roman" w:eastAsia="Times New Roman" w:hAnsi="Times New Roman" w:cs="Times New Roman"/>
          <w:lang w:val="lt-LT"/>
        </w:rPr>
        <w:t>Gydymo imatinibu trukmė gali priklausyti nuo pasirinktos gydymo programos, bet dažniausiai ilgiau vartojant imatinibo rezultatai buvo geresni.</w:t>
      </w:r>
    </w:p>
    <w:p w14:paraId="1A086D20" w14:textId="77777777" w:rsidR="00173803" w:rsidRPr="00AB7860" w:rsidRDefault="00173803" w:rsidP="00173803">
      <w:pPr>
        <w:spacing w:after="0" w:line="240" w:lineRule="auto"/>
        <w:rPr>
          <w:rFonts w:ascii="Times New Roman" w:eastAsia="Times New Roman" w:hAnsi="Times New Roman" w:cs="Times New Roman"/>
          <w:lang w:val="lt-LT"/>
        </w:rPr>
      </w:pPr>
    </w:p>
    <w:p w14:paraId="504F264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Suaugusiesiems pacientams, kuriems yra recidyvas ar gydymui atspari Ph+ ŪLL, gydymas vien tik</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imatinibu po 600 mg per parą yra saugus, efektyvus ir gali būti skiriamas, kol liga pradės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progresuoti.</w:t>
      </w:r>
    </w:p>
    <w:p w14:paraId="077BB6AE" w14:textId="77777777" w:rsidR="00173803" w:rsidRPr="00AB7860" w:rsidRDefault="00173803" w:rsidP="00173803">
      <w:pPr>
        <w:spacing w:after="0" w:line="240" w:lineRule="auto"/>
        <w:rPr>
          <w:rFonts w:ascii="Times New Roman" w:eastAsia="Times New Roman" w:hAnsi="Times New Roman" w:cs="Times New Roman"/>
          <w:lang w:val="lt-LT"/>
        </w:rPr>
      </w:pPr>
    </w:p>
    <w:p w14:paraId="301BD8A0" w14:textId="77777777" w:rsidR="00173803" w:rsidRPr="004C04CC" w:rsidRDefault="000509A4" w:rsidP="00173803">
      <w:pPr>
        <w:spacing w:after="0" w:line="240" w:lineRule="auto"/>
        <w:rPr>
          <w:rFonts w:ascii="Times New Roman" w:eastAsia="Times New Roman" w:hAnsi="Times New Roman" w:cs="Times New Roman"/>
          <w:u w:val="single"/>
          <w:lang w:val="lt-LT"/>
        </w:rPr>
      </w:pPr>
      <w:r w:rsidRPr="00AB7860">
        <w:rPr>
          <w:rFonts w:ascii="Times New Roman" w:hAnsi="Times New Roman" w:cs="Times New Roman"/>
          <w:u w:val="single"/>
          <w:lang w:val="lt-LT"/>
        </w:rPr>
        <w:t xml:space="preserve">Dozavimas, kai yra </w:t>
      </w:r>
      <w:r w:rsidRPr="004C04CC">
        <w:rPr>
          <w:rFonts w:ascii="Times New Roman" w:eastAsia="Times New Roman" w:hAnsi="Times New Roman" w:cs="Times New Roman"/>
          <w:u w:val="single"/>
          <w:lang w:val="lt-LT"/>
        </w:rPr>
        <w:t>v</w:t>
      </w:r>
      <w:r w:rsidR="00173803" w:rsidRPr="004C04CC">
        <w:rPr>
          <w:rFonts w:ascii="Times New Roman" w:eastAsia="Times New Roman" w:hAnsi="Times New Roman" w:cs="Times New Roman"/>
          <w:u w:val="single"/>
          <w:lang w:val="lt-LT"/>
        </w:rPr>
        <w:t>aikų Ph+ ŪLL</w:t>
      </w:r>
    </w:p>
    <w:p w14:paraId="37523A6F"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lang w:val="lt-LT"/>
        </w:rPr>
        <w:t>Vaikams dozuojama pagal kūno paviršiaus plotą (mg/m</w:t>
      </w:r>
      <w:r w:rsidRPr="00AB7860">
        <w:rPr>
          <w:rFonts w:ascii="Times New Roman" w:eastAsia="Times New Roman" w:hAnsi="Times New Roman" w:cs="Times New Roman"/>
          <w:vertAlign w:val="superscript"/>
          <w:lang w:val="lt-LT"/>
        </w:rPr>
        <w:t>2</w:t>
      </w:r>
      <w:r w:rsidRPr="00AB7860">
        <w:rPr>
          <w:rFonts w:ascii="Times New Roman" w:eastAsia="Times New Roman" w:hAnsi="Times New Roman" w:cs="Times New Roman"/>
          <w:lang w:val="lt-LT"/>
        </w:rPr>
        <w:t>). Kai yra Ph+ ŪLL, vaikams rekomenduojama 340 mg/m</w:t>
      </w:r>
      <w:r w:rsidRPr="00AB7860">
        <w:rPr>
          <w:rFonts w:ascii="Times New Roman" w:eastAsia="Times New Roman" w:hAnsi="Times New Roman" w:cs="Times New Roman"/>
          <w:vertAlign w:val="superscript"/>
          <w:lang w:val="lt-LT"/>
        </w:rPr>
        <w:t>2</w:t>
      </w:r>
      <w:r w:rsidRPr="00AB7860">
        <w:rPr>
          <w:rFonts w:ascii="Times New Roman" w:eastAsia="Times New Roman" w:hAnsi="Times New Roman" w:cs="Times New Roman"/>
          <w:lang w:val="lt-LT"/>
        </w:rPr>
        <w:t xml:space="preserve"> paros dozė (bendros 600 mg dozės viršyti negalima).</w:t>
      </w:r>
    </w:p>
    <w:p w14:paraId="689872AA" w14:textId="77777777" w:rsidR="00173803" w:rsidRPr="00AB7860" w:rsidRDefault="00173803" w:rsidP="00173803">
      <w:pPr>
        <w:spacing w:after="0" w:line="240" w:lineRule="auto"/>
        <w:rPr>
          <w:rFonts w:ascii="Times New Roman" w:hAnsi="Times New Roman" w:cs="Times New Roman"/>
          <w:lang w:val="lt-LT"/>
        </w:rPr>
      </w:pPr>
    </w:p>
    <w:p w14:paraId="3B73C265" w14:textId="77777777" w:rsidR="00173803" w:rsidRPr="004C04CC" w:rsidRDefault="000509A4"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 xml:space="preserve">Dozavimas, kai yra </w:t>
      </w:r>
      <w:r w:rsidR="00173803" w:rsidRPr="004C04CC">
        <w:rPr>
          <w:rFonts w:ascii="Times New Roman" w:hAnsi="Times New Roman" w:cs="Times New Roman"/>
          <w:u w:val="single"/>
          <w:lang w:val="lt-LT"/>
        </w:rPr>
        <w:t>MDS/MPL</w:t>
      </w:r>
    </w:p>
    <w:p w14:paraId="62F55FF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MDS ar MPL sergantiems suaugusiesiems pacientams rekomenduojama Imatinib Grindeks dozė yra</w:t>
      </w:r>
      <w:r w:rsidRPr="00AB7860">
        <w:rPr>
          <w:rFonts w:ascii="Times New Roman" w:eastAsia="Times New Roman" w:hAnsi="Times New Roman" w:cs="Times New Roman"/>
          <w:lang w:val="lt-LT"/>
        </w:rPr>
        <w:t xml:space="preserve"> 400 mg per parą.</w:t>
      </w:r>
    </w:p>
    <w:p w14:paraId="7A6FD800" w14:textId="77777777" w:rsidR="00173803" w:rsidRPr="00AB7860" w:rsidRDefault="00173803" w:rsidP="00173803">
      <w:pPr>
        <w:spacing w:after="0" w:line="240" w:lineRule="auto"/>
        <w:rPr>
          <w:rFonts w:ascii="Times New Roman" w:eastAsia="Times New Roman" w:hAnsi="Times New Roman" w:cs="Times New Roman"/>
          <w:lang w:val="lt-LT"/>
        </w:rPr>
      </w:pPr>
    </w:p>
    <w:p w14:paraId="2FBE849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Gydymo trukmė: Klinikinio tyrimo, tęsiamo iki šiol, metu gydymas imatinibu buvo tęsiamas iki</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ligos progresavimo (žr. 5.1 skyrių). Tyrimo metu gydymo vidutinė trukmė buvo 47 mėnesiai (24</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dienos – 60 mėnesių).</w:t>
      </w:r>
    </w:p>
    <w:p w14:paraId="3AF07F39" w14:textId="77777777" w:rsidR="00173803" w:rsidRPr="00AB7860" w:rsidRDefault="00173803" w:rsidP="00173803">
      <w:pPr>
        <w:spacing w:after="0" w:line="240" w:lineRule="auto"/>
        <w:rPr>
          <w:rFonts w:ascii="Times New Roman" w:hAnsi="Times New Roman" w:cs="Times New Roman"/>
          <w:lang w:val="lt-LT"/>
        </w:rPr>
      </w:pPr>
    </w:p>
    <w:p w14:paraId="374D91AA" w14:textId="77777777" w:rsidR="00173803" w:rsidRPr="004C04CC" w:rsidRDefault="000509A4"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 xml:space="preserve">Dozavimas, kai yra </w:t>
      </w:r>
      <w:r w:rsidR="00173803" w:rsidRPr="004C04CC">
        <w:rPr>
          <w:rFonts w:ascii="Times New Roman" w:hAnsi="Times New Roman" w:cs="Times New Roman"/>
          <w:u w:val="single"/>
          <w:lang w:val="lt-LT"/>
        </w:rPr>
        <w:t>HES/LEL</w:t>
      </w:r>
    </w:p>
    <w:p w14:paraId="35D9E61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Rekomenduojama Imatinib Grindeks dozė suaugusiesiems pacientams, sergantiems HES/LEL, yra 100 mg per parą.</w:t>
      </w:r>
    </w:p>
    <w:p w14:paraId="035C2D0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Galima didinti dozę nuo 100 mg iki 400 mg, jei nėra nepageidaujamų reakcijų ir jeigu įvertinimas rodo nepakankamą atsaką į gydymą.</w:t>
      </w:r>
    </w:p>
    <w:p w14:paraId="02388CB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Gydymą reikia tęsti tol, kol pacientui stebimas teigiamas poveikis.</w:t>
      </w:r>
    </w:p>
    <w:p w14:paraId="4E7ADECF" w14:textId="77777777" w:rsidR="00173803" w:rsidRPr="00AB7860" w:rsidRDefault="00173803" w:rsidP="00173803">
      <w:pPr>
        <w:spacing w:after="0" w:line="240" w:lineRule="auto"/>
        <w:rPr>
          <w:rFonts w:ascii="Times New Roman" w:hAnsi="Times New Roman" w:cs="Times New Roman"/>
          <w:lang w:val="lt-LT"/>
        </w:rPr>
      </w:pPr>
    </w:p>
    <w:p w14:paraId="5AC289FC"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lang w:val="lt-LT"/>
        </w:rPr>
      </w:pPr>
    </w:p>
    <w:p w14:paraId="743470C5" w14:textId="77777777" w:rsidR="00173803" w:rsidRPr="004C04CC" w:rsidRDefault="000509A4" w:rsidP="00173803">
      <w:pPr>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Dozavimas, kai yra</w:t>
      </w:r>
      <w:r w:rsidRPr="004C04CC">
        <w:rPr>
          <w:rFonts w:ascii="Times New Roman" w:hAnsi="Times New Roman" w:cs="Times New Roman"/>
          <w:i/>
          <w:u w:val="single"/>
          <w:lang w:val="lt-LT"/>
        </w:rPr>
        <w:t xml:space="preserve"> </w:t>
      </w:r>
      <w:r w:rsidR="00173803" w:rsidRPr="004C04CC">
        <w:rPr>
          <w:rFonts w:ascii="Times New Roman" w:hAnsi="Times New Roman" w:cs="Times New Roman"/>
          <w:u w:val="single"/>
          <w:lang w:val="lt-LT"/>
        </w:rPr>
        <w:t>VTSN</w:t>
      </w:r>
    </w:p>
    <w:p w14:paraId="1AD728CF"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Rekomenduojama Imatinib Grindeks dozė suaugusiesiems pacientams, kuriems yra nerezekuotinas ir (ar) metastazavęs piktybinis VTSN, yra 400 mg per parą.</w:t>
      </w:r>
    </w:p>
    <w:p w14:paraId="4B454EC3"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3CEB6635"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Dar mažai duomenų apie nuo 400 mg iki 600 mg ar 800 mg padidintos dozės poveikį pacientams, kuriems liga progresavo vartojant mažesnę dozę (žr. 5.1 skyrių).</w:t>
      </w:r>
    </w:p>
    <w:p w14:paraId="2DBCD127"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3FB08D1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Gydymo trukmė. Klinikinių tyrimų metu VTSN sergantys pacientai imatinibu buvo gydomi iki ligos progresavimo. Analizės metu nustatyta, kad vidutinė gydymo trukmė buvo 7 mėnesiai (nuo 7 dienų iki 13 mėnesių). Gydymo nutraukimo poveikis po gauto atsako netirtas.</w:t>
      </w:r>
    </w:p>
    <w:p w14:paraId="7321E04E" w14:textId="77777777" w:rsidR="00173803" w:rsidRPr="00AB7860" w:rsidRDefault="00173803" w:rsidP="00173803">
      <w:pPr>
        <w:spacing w:after="0" w:line="240" w:lineRule="auto"/>
        <w:rPr>
          <w:rFonts w:ascii="Times New Roman" w:hAnsi="Times New Roman" w:cs="Times New Roman"/>
          <w:lang w:val="lt-LT"/>
        </w:rPr>
      </w:pPr>
    </w:p>
    <w:p w14:paraId="75A7039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Rekomenduojama Imatinib Grindeks dozė adjuvantiniam suaugusiųjų, kuriems atlikta VTSN rezekcija, gydymui yra 400 mg per parą. Optimali gydymo trukmė kol kas nenustatyta. Klinikinių tyrimų duomenimis gydymo trukmė šiai indikacijai truko 36 mėnesius (žr. 5.1 skyrių). </w:t>
      </w:r>
    </w:p>
    <w:p w14:paraId="23410654" w14:textId="77777777" w:rsidR="00173803" w:rsidRPr="00AB7860" w:rsidRDefault="00173803" w:rsidP="00173803">
      <w:pPr>
        <w:spacing w:after="0" w:line="240" w:lineRule="auto"/>
        <w:rPr>
          <w:rFonts w:ascii="Times New Roman" w:hAnsi="Times New Roman" w:cs="Times New Roman"/>
          <w:u w:val="single"/>
          <w:lang w:val="lt-LT"/>
        </w:rPr>
      </w:pPr>
    </w:p>
    <w:p w14:paraId="109C9BF6" w14:textId="77777777" w:rsidR="00173803" w:rsidRPr="004C04CC" w:rsidRDefault="000509A4"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 xml:space="preserve">Dozavimas, kai yra </w:t>
      </w:r>
      <w:r w:rsidR="00173803" w:rsidRPr="004C04CC">
        <w:rPr>
          <w:rFonts w:ascii="Times New Roman" w:hAnsi="Times New Roman" w:cs="Times New Roman"/>
          <w:u w:val="single"/>
          <w:lang w:val="lt-LT"/>
        </w:rPr>
        <w:t>DFSP</w:t>
      </w:r>
    </w:p>
    <w:p w14:paraId="6317DED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DFSP sergantiems suaugusiesiems pacientams rekomenduojama Imatinib Grindeks dozė yra 800 mg per parą.</w:t>
      </w:r>
    </w:p>
    <w:p w14:paraId="25CDD4D3" w14:textId="77777777" w:rsidR="00173803" w:rsidRPr="00AB7860" w:rsidRDefault="00173803" w:rsidP="00173803">
      <w:pPr>
        <w:spacing w:after="0" w:line="240" w:lineRule="auto"/>
        <w:rPr>
          <w:rFonts w:ascii="Times New Roman" w:hAnsi="Times New Roman" w:cs="Times New Roman"/>
          <w:lang w:val="lt-LT"/>
        </w:rPr>
      </w:pPr>
    </w:p>
    <w:p w14:paraId="646A64E3"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Dozės korekcija dėl nepageidaujamų reakcijų</w:t>
      </w:r>
    </w:p>
    <w:p w14:paraId="60AD482E"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Nehematologinės nepageidaujamos reakcijos</w:t>
      </w:r>
    </w:p>
    <w:p w14:paraId="72B7063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Jeigu vartojant imatinibo atsiranda sunkių nehematologinių nepageidaujamų reakcijų, gydymą būtina nutraukti iki tol, kol reiškiniai išnyksta. Vėliau, gydymą galima atnaujinti, atsižvelgiant į pradinį nepageidaujamo reiškinio sunkumą.</w:t>
      </w:r>
    </w:p>
    <w:p w14:paraId="72776A30" w14:textId="77777777" w:rsidR="00173803" w:rsidRPr="00AB7860" w:rsidRDefault="00173803" w:rsidP="00173803">
      <w:pPr>
        <w:spacing w:after="0" w:line="240" w:lineRule="auto"/>
        <w:rPr>
          <w:rFonts w:ascii="Times New Roman" w:hAnsi="Times New Roman" w:cs="Times New Roman"/>
          <w:lang w:val="lt-LT"/>
        </w:rPr>
      </w:pPr>
    </w:p>
    <w:p w14:paraId="6A31A26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Jei bilirubino kiekis kraujyje padidėja &gt; 3 kartus už nustatytą viršutinę normos ribą (VNR) ar kepenų transaminazių aktyvumas tampa daugiau nei 5 kartus didesnis už VNR, imatinibo vartojimas turi būti nutrauktas iki tol, kol bilirubino koncentracija ir transaminazių aktyvumas  sumažėja, t.y. bilirubinas VNR viršija ne daugiau nei 1,5 karto, o transaminazės VNR viršija ne daugiau nei 2,5 karto. Gydymas imatinibu gali būti tęsiamas sumažinta paros doze. Suaugusiesiems dozę reikia sumažinti nuo 400 mg iki 300 mg ar nuo 600 mg iki 400 mg arba nuo 800 mg iki 600 mg. Vaikams dozę reikia sumažinti nuo 340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iki 260 mg/m</w:t>
      </w:r>
      <w:r w:rsidRPr="00AB7860">
        <w:rPr>
          <w:rFonts w:ascii="Times New Roman" w:hAnsi="Times New Roman" w:cs="Times New Roman"/>
          <w:vertAlign w:val="superscript"/>
          <w:lang w:val="lt-LT"/>
        </w:rPr>
        <w:t xml:space="preserve">2 </w:t>
      </w:r>
      <w:r w:rsidRPr="00AB7860">
        <w:rPr>
          <w:rFonts w:ascii="Times New Roman" w:hAnsi="Times New Roman" w:cs="Times New Roman"/>
          <w:lang w:val="lt-LT"/>
        </w:rPr>
        <w:t>per parą.</w:t>
      </w:r>
    </w:p>
    <w:p w14:paraId="0D304A13" w14:textId="77777777" w:rsidR="00173803" w:rsidRPr="00AB7860" w:rsidRDefault="00173803" w:rsidP="00173803">
      <w:pPr>
        <w:spacing w:after="0" w:line="240" w:lineRule="auto"/>
        <w:rPr>
          <w:rFonts w:ascii="Times New Roman" w:hAnsi="Times New Roman" w:cs="Times New Roman"/>
          <w:lang w:val="lt-LT"/>
        </w:rPr>
      </w:pPr>
    </w:p>
    <w:p w14:paraId="109669A9"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Hematologinės nepageidaujamos reakcijos</w:t>
      </w:r>
    </w:p>
    <w:p w14:paraId="7560390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Vaistinio preparato dozės mažinimas ar gydymo nutraukimas, išsivysčius sunkiai neutropenijai ir trombocitopenijai, remiasi žemiau lentelėje nurodytomis rekomendacijomis.</w:t>
      </w:r>
    </w:p>
    <w:p w14:paraId="0779C4ED" w14:textId="77777777" w:rsidR="00173803" w:rsidRPr="00AB7860" w:rsidRDefault="00173803" w:rsidP="00173803">
      <w:pPr>
        <w:spacing w:after="0" w:line="240" w:lineRule="auto"/>
        <w:rPr>
          <w:rFonts w:ascii="Times New Roman" w:hAnsi="Times New Roman" w:cs="Times New Roman"/>
          <w:lang w:val="lt-LT"/>
        </w:rPr>
      </w:pPr>
    </w:p>
    <w:p w14:paraId="65846ED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 Dozės korekcija dėl neutropenijos ir trombocitopenijos:</w:t>
      </w:r>
    </w:p>
    <w:p w14:paraId="249E3263" w14:textId="77777777" w:rsidR="00173803" w:rsidRPr="00AB7860" w:rsidRDefault="00173803" w:rsidP="00173803">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5"/>
        <w:gridCol w:w="3096"/>
      </w:tblGrid>
      <w:tr w:rsidR="00173803" w:rsidRPr="00AB7860" w14:paraId="24996FBE" w14:textId="77777777" w:rsidTr="00F5730F">
        <w:tc>
          <w:tcPr>
            <w:tcW w:w="3095" w:type="dxa"/>
            <w:shd w:val="clear" w:color="auto" w:fill="auto"/>
          </w:tcPr>
          <w:p w14:paraId="63FFBD7B"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HES/LEL (pradinė dozė –</w:t>
            </w:r>
          </w:p>
          <w:p w14:paraId="6514F664"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100 mg)</w:t>
            </w:r>
          </w:p>
        </w:tc>
        <w:tc>
          <w:tcPr>
            <w:tcW w:w="3095" w:type="dxa"/>
            <w:shd w:val="clear" w:color="auto" w:fill="auto"/>
          </w:tcPr>
          <w:p w14:paraId="703D4AF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ANS &lt; 1,0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w:t>
            </w:r>
          </w:p>
          <w:p w14:paraId="7A70FFFA"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ir (ar) trombocitų &lt; 50 x</w:t>
            </w:r>
          </w:p>
          <w:p w14:paraId="5C19008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w:t>
            </w:r>
          </w:p>
        </w:tc>
        <w:tc>
          <w:tcPr>
            <w:tcW w:w="3096" w:type="dxa"/>
            <w:shd w:val="clear" w:color="auto" w:fill="auto"/>
          </w:tcPr>
          <w:p w14:paraId="4636D5E6"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1. Imatinibo vartojimą nutraukti, kol ANS bus</w:t>
            </w:r>
          </w:p>
          <w:p w14:paraId="40B8A6A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1,5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ir trombocitų ≥ 75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w:t>
            </w:r>
          </w:p>
          <w:p w14:paraId="06DD52A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2. Gydymą Imatinibu atnaujinti anksčiau vartota doze (t.y. ta, kuri buvo vartota prieš</w:t>
            </w:r>
          </w:p>
          <w:p w14:paraId="73B93E56"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pasireiškiant stipriai nepageidaujamai reakcijai).</w:t>
            </w:r>
          </w:p>
        </w:tc>
      </w:tr>
      <w:tr w:rsidR="00173803" w:rsidRPr="00AB7860" w14:paraId="5E539CBE" w14:textId="77777777" w:rsidTr="00F5730F">
        <w:tc>
          <w:tcPr>
            <w:tcW w:w="3095" w:type="dxa"/>
            <w:shd w:val="clear" w:color="auto" w:fill="auto"/>
          </w:tcPr>
          <w:p w14:paraId="2D60814D" w14:textId="77777777" w:rsidR="00173803" w:rsidRPr="00AB7860" w:rsidRDefault="00D95BB9" w:rsidP="00F5730F">
            <w:pPr>
              <w:autoSpaceDE w:val="0"/>
              <w:autoSpaceDN w:val="0"/>
              <w:adjustRightInd w:val="0"/>
              <w:spacing w:after="0" w:line="240" w:lineRule="auto"/>
              <w:rPr>
                <w:rFonts w:ascii="Times New Roman" w:hAnsi="Times New Roman" w:cs="Times New Roman"/>
              </w:rPr>
            </w:pPr>
            <w:r w:rsidRPr="004C04CC">
              <w:rPr>
                <w:rFonts w:ascii="Times New Roman" w:hAnsi="Times New Roman" w:cs="Times New Roman"/>
              </w:rPr>
              <w:t>Lėtinė LML</w:t>
            </w:r>
            <w:r w:rsidRPr="00AB7860">
              <w:rPr>
                <w:rFonts w:ascii="Times New Roman" w:eastAsia="Times New Roman" w:hAnsi="Times New Roman" w:cs="Times New Roman"/>
                <w:color w:val="000000"/>
                <w:lang w:val="lt-LT" w:eastAsia="lt-LT"/>
              </w:rPr>
              <w:t xml:space="preserve"> fazė, </w:t>
            </w:r>
            <w:r w:rsidR="00173803" w:rsidRPr="00AB7860">
              <w:rPr>
                <w:rFonts w:ascii="Times New Roman" w:eastAsia="Times New Roman" w:hAnsi="Times New Roman" w:cs="Times New Roman"/>
                <w:color w:val="000000"/>
                <w:lang w:val="lt-LT" w:eastAsia="lt-LT"/>
              </w:rPr>
              <w:t>MDS/</w:t>
            </w:r>
            <w:r w:rsidR="00173803" w:rsidRPr="00AB7860">
              <w:rPr>
                <w:rFonts w:ascii="Times New Roman" w:hAnsi="Times New Roman" w:cs="Times New Roman"/>
                <w:color w:val="000000"/>
                <w:lang w:val="lt-LT"/>
              </w:rPr>
              <w:t>MPL ir VTSN (pradinė dozė – 400 mg)</w:t>
            </w:r>
          </w:p>
          <w:p w14:paraId="6A4D201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HES/LEL (400 mg dozė)</w:t>
            </w:r>
          </w:p>
        </w:tc>
        <w:tc>
          <w:tcPr>
            <w:tcW w:w="3095" w:type="dxa"/>
            <w:shd w:val="clear" w:color="auto" w:fill="auto"/>
          </w:tcPr>
          <w:p w14:paraId="2BD415C0"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ANS &lt; 1,0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w:t>
            </w:r>
          </w:p>
          <w:p w14:paraId="02533DF8"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ir (ar)</w:t>
            </w:r>
          </w:p>
          <w:p w14:paraId="4E7D170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trombocitų &lt; 50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w:t>
            </w:r>
          </w:p>
        </w:tc>
        <w:tc>
          <w:tcPr>
            <w:tcW w:w="3096" w:type="dxa"/>
            <w:shd w:val="clear" w:color="auto" w:fill="auto"/>
          </w:tcPr>
          <w:p w14:paraId="2FEA4443"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1. Imatinibo vartojimą nutraukti, kol ANS bus</w:t>
            </w:r>
          </w:p>
          <w:p w14:paraId="49499675"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1,5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ir trombocitų ≥ 75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w:t>
            </w:r>
          </w:p>
          <w:p w14:paraId="271DD15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2. Gydymą imatinibu atnaujinti anksčiau vartota doze (t.y. ta, kuri buvo vartota prieš pasireiškiant stipriai nepageidaujamai reakcijai).</w:t>
            </w:r>
          </w:p>
          <w:p w14:paraId="3DF57B82"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3. Kartotinai sumažėjus ANS &lt; 1,0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ir trombocitų &lt; 50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kartoti nuo 1-ojo</w:t>
            </w:r>
          </w:p>
          <w:p w14:paraId="0D8FEFD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punkto ir gydymą imatinibu atnaujinti</w:t>
            </w:r>
          </w:p>
          <w:p w14:paraId="65F0B4C3"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sumažinta 300 mg doze.</w:t>
            </w:r>
          </w:p>
        </w:tc>
      </w:tr>
      <w:tr w:rsidR="00173803" w:rsidRPr="00AB7860" w14:paraId="6D071CFD" w14:textId="77777777" w:rsidTr="00F5730F">
        <w:tc>
          <w:tcPr>
            <w:tcW w:w="3095" w:type="dxa"/>
            <w:shd w:val="clear" w:color="auto" w:fill="auto"/>
          </w:tcPr>
          <w:p w14:paraId="48B1012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Vaikų lėtinė LML fazė</w:t>
            </w:r>
          </w:p>
          <w:p w14:paraId="498751F3"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 (340 mg/m</w:t>
            </w:r>
            <w:r w:rsidRPr="00AB7860">
              <w:rPr>
                <w:rFonts w:ascii="Times New Roman" w:hAnsi="Times New Roman" w:cs="Times New Roman"/>
                <w:color w:val="000000"/>
                <w:vertAlign w:val="superscript"/>
                <w:lang w:val="lt-LT"/>
              </w:rPr>
              <w:t xml:space="preserve">2 </w:t>
            </w:r>
            <w:r w:rsidRPr="00AB7860">
              <w:rPr>
                <w:rFonts w:ascii="Times New Roman" w:hAnsi="Times New Roman" w:cs="Times New Roman"/>
                <w:color w:val="000000"/>
                <w:lang w:val="lt-LT"/>
              </w:rPr>
              <w:t xml:space="preserve">dozė) </w:t>
            </w:r>
          </w:p>
          <w:p w14:paraId="675FA400" w14:textId="77777777" w:rsidR="00173803" w:rsidRPr="00AB7860" w:rsidRDefault="00173803" w:rsidP="00F5730F">
            <w:pPr>
              <w:spacing w:after="0" w:line="240" w:lineRule="auto"/>
              <w:rPr>
                <w:rFonts w:ascii="Times New Roman" w:hAnsi="Times New Roman" w:cs="Times New Roman"/>
                <w:u w:val="single"/>
                <w:lang w:val="lt-LT"/>
              </w:rPr>
            </w:pPr>
          </w:p>
        </w:tc>
        <w:tc>
          <w:tcPr>
            <w:tcW w:w="3095" w:type="dxa"/>
            <w:shd w:val="clear" w:color="auto" w:fill="auto"/>
          </w:tcPr>
          <w:p w14:paraId="5B239433"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ANS &lt; 1,0 x 10</w:t>
            </w:r>
            <w:r w:rsidRPr="00AB7860">
              <w:rPr>
                <w:rFonts w:ascii="Times New Roman" w:hAnsi="Times New Roman" w:cs="Times New Roman"/>
                <w:color w:val="000000"/>
                <w:vertAlign w:val="superscript"/>
                <w:lang w:val="lt-LT"/>
              </w:rPr>
              <w:t xml:space="preserve">9 </w:t>
            </w:r>
            <w:r w:rsidRPr="00AB7860">
              <w:rPr>
                <w:rFonts w:ascii="Times New Roman" w:hAnsi="Times New Roman" w:cs="Times New Roman"/>
                <w:color w:val="000000"/>
                <w:lang w:val="lt-LT"/>
              </w:rPr>
              <w:t xml:space="preserve">/ l </w:t>
            </w:r>
          </w:p>
          <w:p w14:paraId="7EF9608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ir (arba) </w:t>
            </w:r>
          </w:p>
          <w:p w14:paraId="3FFA4DB4" w14:textId="77777777" w:rsidR="00173803" w:rsidRPr="00AB7860" w:rsidRDefault="00173803" w:rsidP="00F5730F">
            <w:pPr>
              <w:spacing w:after="0" w:line="240" w:lineRule="auto"/>
              <w:rPr>
                <w:rFonts w:ascii="Times New Roman" w:hAnsi="Times New Roman" w:cs="Times New Roman"/>
                <w:u w:val="single"/>
                <w:lang w:val="lt-LT"/>
              </w:rPr>
            </w:pPr>
            <w:r w:rsidRPr="00AB7860">
              <w:rPr>
                <w:rFonts w:ascii="Times New Roman" w:hAnsi="Times New Roman" w:cs="Times New Roman"/>
                <w:lang w:val="lt-LT"/>
              </w:rPr>
              <w:t>trombocitų &lt; 50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 xml:space="preserve">/ l </w:t>
            </w:r>
          </w:p>
        </w:tc>
        <w:tc>
          <w:tcPr>
            <w:tcW w:w="3096" w:type="dxa"/>
            <w:shd w:val="clear" w:color="auto" w:fill="auto"/>
          </w:tcPr>
          <w:p w14:paraId="0083C0B2"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1.Nutraukti imatinibo vartojimą iki tol, kol ANS bus ≥ 1,5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ir trombocitų ≥ 75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 xml:space="preserve">/l. </w:t>
            </w:r>
          </w:p>
          <w:p w14:paraId="59841905"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2. Gydymą imatinibu atnaujinti anksčiau vartota doze (t.y. ta, kuri buvo vartota prieš </w:t>
            </w:r>
            <w:r w:rsidRPr="00AB7860">
              <w:rPr>
                <w:rFonts w:ascii="Times New Roman" w:hAnsi="Times New Roman" w:cs="Times New Roman"/>
                <w:color w:val="000000"/>
                <w:lang w:val="lt-LT"/>
              </w:rPr>
              <w:lastRenderedPageBreak/>
              <w:t xml:space="preserve">pasireiškiant sunkiai nepageidaujamai reakcijai). </w:t>
            </w:r>
          </w:p>
          <w:p w14:paraId="3BC0C30A"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3. Pakartotinai sumažėjus ANS &lt; 1,0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ir (arba) trombocitų &lt; 50 x 10</w:t>
            </w:r>
            <w:r w:rsidRPr="00AB7860">
              <w:rPr>
                <w:rFonts w:ascii="Times New Roman" w:hAnsi="Times New Roman" w:cs="Times New Roman"/>
                <w:color w:val="000000"/>
                <w:vertAlign w:val="superscript"/>
                <w:lang w:val="lt-LT"/>
              </w:rPr>
              <w:t>9</w:t>
            </w:r>
            <w:r w:rsidRPr="00AB7860">
              <w:rPr>
                <w:rFonts w:ascii="Times New Roman" w:hAnsi="Times New Roman" w:cs="Times New Roman"/>
                <w:color w:val="000000"/>
                <w:lang w:val="lt-LT"/>
              </w:rPr>
              <w:t>/l, veiksmus kartoti kaip nurodyta 1-ame punkte ir gydymą Imatinib Grindeks atnaujinti sumažinta 260 mg/m</w:t>
            </w:r>
            <w:r w:rsidRPr="00AB7860">
              <w:rPr>
                <w:rFonts w:ascii="Times New Roman" w:hAnsi="Times New Roman" w:cs="Times New Roman"/>
                <w:color w:val="000000"/>
                <w:vertAlign w:val="superscript"/>
                <w:lang w:val="lt-LT"/>
              </w:rPr>
              <w:t>2</w:t>
            </w:r>
            <w:r w:rsidRPr="00AB7860">
              <w:rPr>
                <w:rFonts w:ascii="Times New Roman" w:hAnsi="Times New Roman" w:cs="Times New Roman"/>
                <w:color w:val="000000"/>
                <w:lang w:val="lt-LT"/>
              </w:rPr>
              <w:t xml:space="preserve"> doze. </w:t>
            </w:r>
          </w:p>
        </w:tc>
      </w:tr>
      <w:tr w:rsidR="00173803" w:rsidRPr="0034666F" w14:paraId="262EAC31" w14:textId="77777777" w:rsidTr="00F5730F">
        <w:tc>
          <w:tcPr>
            <w:tcW w:w="3095" w:type="dxa"/>
            <w:shd w:val="clear" w:color="auto" w:fill="auto"/>
          </w:tcPr>
          <w:p w14:paraId="44F00541"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color w:val="000000"/>
                <w:lang w:val="lt-LT" w:eastAsia="lt-LT"/>
              </w:rPr>
            </w:pPr>
            <w:r w:rsidRPr="00AB7860">
              <w:rPr>
                <w:rFonts w:ascii="Times New Roman" w:hAnsi="Times New Roman" w:cs="Times New Roman"/>
                <w:color w:val="000000"/>
                <w:lang w:val="lt-LT"/>
              </w:rPr>
              <w:lastRenderedPageBreak/>
              <w:t xml:space="preserve">LML </w:t>
            </w:r>
            <w:r w:rsidR="00D95BB9" w:rsidRPr="00AB7860">
              <w:rPr>
                <w:rFonts w:ascii="Times New Roman" w:hAnsi="Times New Roman" w:cs="Times New Roman"/>
                <w:lang w:val="lt-LT"/>
              </w:rPr>
              <w:t>akc</w:t>
            </w:r>
            <w:r w:rsidR="00D95BB9" w:rsidRPr="004C04CC">
              <w:rPr>
                <w:rFonts w:ascii="Times New Roman" w:hAnsi="Times New Roman" w:cs="Times New Roman"/>
                <w:lang w:val="lt-LT"/>
              </w:rPr>
              <w:t>eleracijos fazė</w:t>
            </w:r>
            <w:r w:rsidR="00D95BB9" w:rsidRPr="00AB7860">
              <w:rPr>
                <w:rFonts w:ascii="Times New Roman" w:hAnsi="Times New Roman" w:cs="Times New Roman"/>
                <w:color w:val="000000"/>
                <w:lang w:val="lt-LT"/>
              </w:rPr>
              <w:t xml:space="preserve"> ir </w:t>
            </w:r>
            <w:r w:rsidRPr="00AB7860">
              <w:rPr>
                <w:rFonts w:ascii="Times New Roman" w:hAnsi="Times New Roman" w:cs="Times New Roman"/>
                <w:color w:val="000000"/>
                <w:lang w:val="lt-LT"/>
              </w:rPr>
              <w:t>blastinė krizė ir Ph+ ŪLL (pradinė dozė 600 mg)</w:t>
            </w:r>
          </w:p>
          <w:p w14:paraId="47066574"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color w:val="000000"/>
                <w:lang w:val="lt-LT" w:eastAsia="lt-LT"/>
              </w:rPr>
            </w:pPr>
          </w:p>
          <w:p w14:paraId="5B6F00F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p>
        </w:tc>
        <w:tc>
          <w:tcPr>
            <w:tcW w:w="3095" w:type="dxa"/>
            <w:shd w:val="clear" w:color="auto" w:fill="auto"/>
          </w:tcPr>
          <w:p w14:paraId="4C85A853"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a</w:t>
            </w:r>
            <w:r w:rsidRPr="00AB7860">
              <w:rPr>
                <w:rFonts w:ascii="Times New Roman" w:hAnsi="Times New Roman" w:cs="Times New Roman"/>
                <w:lang w:val="lt-LT"/>
              </w:rPr>
              <w:t>ANS &lt; 0,5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p w14:paraId="3E975DC1"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ir (arba)</w:t>
            </w:r>
          </w:p>
          <w:p w14:paraId="4FF49AA4" w14:textId="77777777" w:rsidR="00173803" w:rsidRPr="00AB7860" w:rsidRDefault="00173803" w:rsidP="00F5730F">
            <w:pPr>
              <w:spacing w:after="0" w:line="240" w:lineRule="auto"/>
              <w:rPr>
                <w:rFonts w:ascii="Times New Roman" w:hAnsi="Times New Roman" w:cs="Times New Roman"/>
                <w:vertAlign w:val="superscript"/>
                <w:lang w:val="lt-LT"/>
              </w:rPr>
            </w:pPr>
            <w:r w:rsidRPr="00AB7860">
              <w:rPr>
                <w:rFonts w:ascii="Times New Roman" w:hAnsi="Times New Roman" w:cs="Times New Roman"/>
                <w:lang w:val="lt-LT"/>
              </w:rPr>
              <w:t>trombocitų &lt; 10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tc>
        <w:tc>
          <w:tcPr>
            <w:tcW w:w="3096" w:type="dxa"/>
            <w:shd w:val="clear" w:color="auto" w:fill="auto"/>
          </w:tcPr>
          <w:p w14:paraId="75DD6422"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1. Ištirti ar citopenija nesusijusi su leukemija (kaulų čiulpų aspiratas ar biopsija).</w:t>
            </w:r>
          </w:p>
          <w:p w14:paraId="49577565"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2. Jei citopenija nesusijusi su leukemija, reikia sumažinti imatinibo dozę iki 400 mg.</w:t>
            </w:r>
          </w:p>
          <w:p w14:paraId="3B3F8613"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3. Jei citopenija tęsiasi 2 savaites, dozę reikia sumažinti iki 300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w:t>
            </w:r>
          </w:p>
          <w:p w14:paraId="0F074D57"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4. Jei citopenija tęsiasi 4 savaites ir yra nesusijusi su leukemija, reikia nutraukti imatinibo vartojimą iki tol, kol ANS bus ≥ 1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ir trombocitų ≥ 20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paskui gydymą atnaujinti 300 mg</w:t>
            </w:r>
            <w:r w:rsidRPr="00AB7860">
              <w:rPr>
                <w:rFonts w:ascii="Times New Roman" w:hAnsi="Times New Roman" w:cs="Times New Roman"/>
                <w:vertAlign w:val="superscript"/>
                <w:lang w:val="lt-LT"/>
              </w:rPr>
              <w:t xml:space="preserve"> </w:t>
            </w:r>
            <w:r w:rsidRPr="00AB7860">
              <w:rPr>
                <w:rFonts w:ascii="Times New Roman" w:hAnsi="Times New Roman" w:cs="Times New Roman"/>
                <w:lang w:val="lt-LT"/>
              </w:rPr>
              <w:t>doze.</w:t>
            </w:r>
          </w:p>
        </w:tc>
      </w:tr>
      <w:tr w:rsidR="00173803" w:rsidRPr="0034666F" w14:paraId="03FCC65E" w14:textId="77777777" w:rsidTr="00F5730F">
        <w:tc>
          <w:tcPr>
            <w:tcW w:w="3095" w:type="dxa"/>
            <w:shd w:val="clear" w:color="auto" w:fill="auto"/>
          </w:tcPr>
          <w:p w14:paraId="6790A65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Vaikų LML akceleracijos fazė ir blastinė krizė </w:t>
            </w:r>
          </w:p>
          <w:p w14:paraId="334B6AC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(pradinė dozė 340 mg/m</w:t>
            </w:r>
            <w:r w:rsidRPr="00AB7860">
              <w:rPr>
                <w:rFonts w:ascii="Times New Roman" w:hAnsi="Times New Roman" w:cs="Times New Roman"/>
                <w:color w:val="000000"/>
                <w:vertAlign w:val="superscript"/>
                <w:lang w:val="lt-LT"/>
              </w:rPr>
              <w:t>2</w:t>
            </w:r>
            <w:r w:rsidRPr="00AB7860">
              <w:rPr>
                <w:rFonts w:ascii="Times New Roman" w:hAnsi="Times New Roman" w:cs="Times New Roman"/>
                <w:color w:val="000000"/>
                <w:lang w:val="lt-LT"/>
              </w:rPr>
              <w:t xml:space="preserve">) </w:t>
            </w:r>
          </w:p>
          <w:p w14:paraId="6F4CD73E" w14:textId="77777777" w:rsidR="00173803" w:rsidRPr="00AB7860" w:rsidRDefault="00173803" w:rsidP="00F5730F">
            <w:pPr>
              <w:spacing w:after="0" w:line="240" w:lineRule="auto"/>
              <w:rPr>
                <w:rFonts w:ascii="Times New Roman" w:hAnsi="Times New Roman" w:cs="Times New Roman"/>
                <w:u w:val="single"/>
                <w:lang w:val="lt-LT"/>
              </w:rPr>
            </w:pPr>
          </w:p>
        </w:tc>
        <w:tc>
          <w:tcPr>
            <w:tcW w:w="3095" w:type="dxa"/>
            <w:shd w:val="clear" w:color="auto" w:fill="auto"/>
          </w:tcPr>
          <w:p w14:paraId="71EA5C22"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a</w:t>
            </w:r>
            <w:r w:rsidRPr="00AB7860">
              <w:rPr>
                <w:rFonts w:ascii="Times New Roman" w:hAnsi="Times New Roman" w:cs="Times New Roman"/>
                <w:lang w:val="lt-LT"/>
              </w:rPr>
              <w:t>ANS &lt; 0,5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p w14:paraId="46DD72DF"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ir (arba)</w:t>
            </w:r>
          </w:p>
          <w:p w14:paraId="388CABDB"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trombocitų &lt; 10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p w14:paraId="07A9B80B" w14:textId="77777777" w:rsidR="00173803" w:rsidRPr="00AB7860" w:rsidRDefault="00173803" w:rsidP="00F5730F">
            <w:pPr>
              <w:spacing w:after="0" w:line="240" w:lineRule="auto"/>
              <w:rPr>
                <w:rFonts w:ascii="Times New Roman" w:hAnsi="Times New Roman" w:cs="Times New Roman"/>
                <w:u w:val="single"/>
                <w:lang w:val="lt-LT"/>
              </w:rPr>
            </w:pPr>
          </w:p>
          <w:p w14:paraId="15063C6A" w14:textId="77777777" w:rsidR="00173803" w:rsidRPr="00AB7860" w:rsidRDefault="00173803" w:rsidP="00F5730F">
            <w:pPr>
              <w:spacing w:after="0" w:line="240" w:lineRule="auto"/>
              <w:rPr>
                <w:rFonts w:ascii="Times New Roman" w:hAnsi="Times New Roman" w:cs="Times New Roman"/>
                <w:u w:val="single"/>
                <w:lang w:val="lt-LT"/>
              </w:rPr>
            </w:pPr>
          </w:p>
        </w:tc>
        <w:tc>
          <w:tcPr>
            <w:tcW w:w="3096" w:type="dxa"/>
            <w:shd w:val="clear" w:color="auto" w:fill="auto"/>
          </w:tcPr>
          <w:p w14:paraId="2B486DC0"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1. Ištirti ar citopenija nesusijusi su leukemija (kaulų čiulpų aspiratas ar biopsija).</w:t>
            </w:r>
          </w:p>
          <w:p w14:paraId="14A71DEB"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2. Jei citopenija nesusijusi su leukemija, reikia sumažinti imatinibo dozę iki 260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w:t>
            </w:r>
          </w:p>
          <w:p w14:paraId="6A337891"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3. Jei citopenija tęsiasi 2 savaites, dozę reikia sumažinti iki 200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w:t>
            </w:r>
          </w:p>
          <w:p w14:paraId="53A5355B" w14:textId="77777777" w:rsidR="00173803" w:rsidRPr="00AB7860" w:rsidRDefault="00173803" w:rsidP="00F5730F">
            <w:pPr>
              <w:spacing w:after="0" w:line="240" w:lineRule="auto"/>
              <w:rPr>
                <w:rFonts w:ascii="Times New Roman" w:hAnsi="Times New Roman" w:cs="Times New Roman"/>
                <w:u w:val="single"/>
                <w:lang w:val="lt-LT"/>
              </w:rPr>
            </w:pPr>
            <w:r w:rsidRPr="00AB7860">
              <w:rPr>
                <w:rFonts w:ascii="Times New Roman" w:hAnsi="Times New Roman" w:cs="Times New Roman"/>
                <w:lang w:val="lt-LT"/>
              </w:rPr>
              <w:t>4. Jei citopenija tęsiasi 4 savaites ir yra nesusijusi su leukemija, reikia nutraukti imatinibo vartojimą iki tol, kol ANS bus ≥ 1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ir trombocitų ≥ 20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paskui gydymą atnaujinti 200 mg/m</w:t>
            </w:r>
            <w:r w:rsidRPr="00AB7860">
              <w:rPr>
                <w:rFonts w:ascii="Times New Roman" w:hAnsi="Times New Roman" w:cs="Times New Roman"/>
                <w:vertAlign w:val="superscript"/>
                <w:lang w:val="lt-LT"/>
              </w:rPr>
              <w:t xml:space="preserve">2 </w:t>
            </w:r>
            <w:r w:rsidRPr="00AB7860">
              <w:rPr>
                <w:rFonts w:ascii="Times New Roman" w:hAnsi="Times New Roman" w:cs="Times New Roman"/>
                <w:lang w:val="lt-LT"/>
              </w:rPr>
              <w:t>doze.</w:t>
            </w:r>
          </w:p>
        </w:tc>
      </w:tr>
      <w:tr w:rsidR="00173803" w:rsidRPr="00AB7860" w14:paraId="50AEDFB4" w14:textId="77777777" w:rsidTr="00F5730F">
        <w:tc>
          <w:tcPr>
            <w:tcW w:w="3095" w:type="dxa"/>
            <w:shd w:val="clear" w:color="auto" w:fill="auto"/>
          </w:tcPr>
          <w:p w14:paraId="1352C39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DFSP (kai dozė - 800 mg)</w:t>
            </w:r>
          </w:p>
        </w:tc>
        <w:tc>
          <w:tcPr>
            <w:tcW w:w="3095" w:type="dxa"/>
            <w:shd w:val="clear" w:color="auto" w:fill="auto"/>
          </w:tcPr>
          <w:p w14:paraId="6927321A"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ANS &lt; 1,0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ir (ar)</w:t>
            </w:r>
          </w:p>
          <w:p w14:paraId="1FBA0802"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trombocitų &lt; 50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tc>
        <w:tc>
          <w:tcPr>
            <w:tcW w:w="3096" w:type="dxa"/>
            <w:shd w:val="clear" w:color="auto" w:fill="auto"/>
          </w:tcPr>
          <w:p w14:paraId="3ED1F22B"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1. Imatinibo vartojimą nutraukti, kol ANS bus</w:t>
            </w:r>
          </w:p>
          <w:p w14:paraId="1744335D"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1,5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ir trombocitų ≥ 75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w:t>
            </w:r>
          </w:p>
          <w:p w14:paraId="2E734529"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2. Gydymą imatinibu atnaujinti 600 mg doze.</w:t>
            </w:r>
          </w:p>
          <w:p w14:paraId="17310F96"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3. Kartotinai sumažėjus ANS &lt; 1,0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ir (ar) trombocitų &lt; 50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kartoti nuo 1-</w:t>
            </w:r>
          </w:p>
          <w:p w14:paraId="502FB13A"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ojo punkto ir gydymą imatinibu atnaujinti sumažinta 400 mg doze.</w:t>
            </w:r>
          </w:p>
        </w:tc>
      </w:tr>
      <w:tr w:rsidR="00173803" w:rsidRPr="00AB7860" w14:paraId="3A51103D" w14:textId="77777777" w:rsidTr="00F5730F">
        <w:tc>
          <w:tcPr>
            <w:tcW w:w="9286" w:type="dxa"/>
            <w:gridSpan w:val="3"/>
            <w:shd w:val="clear" w:color="auto" w:fill="auto"/>
          </w:tcPr>
          <w:p w14:paraId="5FC8C9DD"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ANS = absoliutus neutrofilų skaičius</w:t>
            </w:r>
          </w:p>
          <w:p w14:paraId="34F51C72" w14:textId="77777777" w:rsidR="00173803" w:rsidRPr="00AB7860" w:rsidRDefault="00173803" w:rsidP="00F5730F">
            <w:pPr>
              <w:spacing w:after="0" w:line="240" w:lineRule="auto"/>
              <w:rPr>
                <w:rFonts w:ascii="Times New Roman" w:hAnsi="Times New Roman" w:cs="Times New Roman"/>
                <w:u w:val="single"/>
                <w:lang w:val="lt-LT"/>
              </w:rPr>
            </w:pPr>
            <w:r w:rsidRPr="00AB7860">
              <w:rPr>
                <w:rFonts w:ascii="Times New Roman" w:hAnsi="Times New Roman" w:cs="Times New Roman"/>
                <w:vertAlign w:val="superscript"/>
                <w:lang w:val="lt-LT"/>
              </w:rPr>
              <w:t>a</w:t>
            </w:r>
            <w:r w:rsidRPr="00AB7860">
              <w:rPr>
                <w:rFonts w:ascii="Times New Roman" w:hAnsi="Times New Roman" w:cs="Times New Roman"/>
                <w:lang w:val="lt-LT"/>
              </w:rPr>
              <w:t xml:space="preserve"> atsiranda mažiausiai po 1 gydymo mėnesio</w:t>
            </w:r>
          </w:p>
        </w:tc>
      </w:tr>
    </w:tbl>
    <w:p w14:paraId="52E8D14C" w14:textId="77777777" w:rsidR="00173803" w:rsidRPr="00AB7860" w:rsidRDefault="00173803" w:rsidP="00173803">
      <w:pPr>
        <w:spacing w:after="0" w:line="240" w:lineRule="auto"/>
        <w:rPr>
          <w:rFonts w:ascii="Times New Roman" w:hAnsi="Times New Roman" w:cs="Times New Roman"/>
          <w:u w:val="single"/>
          <w:lang w:val="lt-LT"/>
        </w:rPr>
      </w:pPr>
    </w:p>
    <w:p w14:paraId="48B221FB"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Ypatingos populiacijos</w:t>
      </w:r>
    </w:p>
    <w:p w14:paraId="74CE7E0F" w14:textId="77777777" w:rsidR="00173803" w:rsidRPr="00AB7860" w:rsidRDefault="00173803" w:rsidP="00173803">
      <w:pPr>
        <w:spacing w:after="0" w:line="240" w:lineRule="auto"/>
        <w:rPr>
          <w:rFonts w:ascii="Times New Roman" w:hAnsi="Times New Roman" w:cs="Times New Roman"/>
          <w:i/>
          <w:u w:val="single"/>
          <w:lang w:val="lt-LT"/>
        </w:rPr>
      </w:pPr>
    </w:p>
    <w:p w14:paraId="30C70A8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Vaikų populiacija:</w:t>
      </w:r>
      <w:r w:rsidRPr="00AB7860">
        <w:rPr>
          <w:rFonts w:ascii="Times New Roman" w:hAnsi="Times New Roman" w:cs="Times New Roman"/>
          <w:lang w:val="lt-LT"/>
        </w:rPr>
        <w:t xml:space="preserve"> </w:t>
      </w:r>
      <w:r w:rsidR="00D95BB9" w:rsidRPr="00AB7860">
        <w:rPr>
          <w:rFonts w:ascii="Times New Roman" w:eastAsia="Times New Roman" w:hAnsi="Times New Roman" w:cs="Times New Roman"/>
          <w:lang w:val="lt-LT"/>
        </w:rPr>
        <w:t>v</w:t>
      </w:r>
      <w:r w:rsidRPr="00AB7860">
        <w:rPr>
          <w:rFonts w:ascii="Times New Roman" w:eastAsia="Times New Roman" w:hAnsi="Times New Roman" w:cs="Times New Roman"/>
          <w:lang w:val="lt-LT"/>
        </w:rPr>
        <w:t>artojimo vaikams, jaunesniems kaip 2 metų ir sergantiems LML bei jaunesniems kaip 1 metų ir sergantiems Ph+ ŪLL</w:t>
      </w:r>
      <w:r w:rsidRPr="00AB7860">
        <w:rPr>
          <w:rFonts w:ascii="Times New Roman" w:hAnsi="Times New Roman" w:cs="Times New Roman"/>
          <w:lang w:val="lt-LT"/>
        </w:rPr>
        <w:t>, patirties nėra (žr. 5.1 skyrių).  Vartojimo patirtis vaikams, sergantiems MDS/MPL, DFSP, VTSN ir HES/LEL labai ribota.</w:t>
      </w:r>
    </w:p>
    <w:p w14:paraId="5EEB80EF" w14:textId="77777777" w:rsidR="00173803" w:rsidRPr="00AB7860" w:rsidRDefault="00173803" w:rsidP="00173803">
      <w:pPr>
        <w:spacing w:after="0" w:line="240" w:lineRule="auto"/>
        <w:rPr>
          <w:rFonts w:ascii="Times New Roman" w:hAnsi="Times New Roman" w:cs="Times New Roman"/>
          <w:lang w:val="lt-LT"/>
        </w:rPr>
      </w:pPr>
    </w:p>
    <w:p w14:paraId="0BBE2AE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Klinikinių tyrimų metu imatinibo saugumas ir veiksmingumas jaunesniems kaip 18 metų vaikams,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sergantiems MDS/MPL, DFSP, VTSN ir HES/LEL, neištirti. Turimi literatūros duomenys pateikiami 5.1 skyriuje, tačiau dozavimo rekomendacijų pateikti negalima.</w:t>
      </w:r>
    </w:p>
    <w:p w14:paraId="19802D0B" w14:textId="77777777" w:rsidR="00173803" w:rsidRPr="00AB7860" w:rsidRDefault="00173803" w:rsidP="00173803">
      <w:pPr>
        <w:spacing w:after="0" w:line="240" w:lineRule="auto"/>
        <w:rPr>
          <w:rFonts w:ascii="Times New Roman" w:hAnsi="Times New Roman" w:cs="Times New Roman"/>
          <w:lang w:val="lt-LT"/>
        </w:rPr>
      </w:pPr>
    </w:p>
    <w:p w14:paraId="654CCC05"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i/>
          <w:color w:val="000000"/>
          <w:lang w:val="lt-LT"/>
        </w:rPr>
        <w:t>Pacientams, kurių kepenų funkcija sutrikusi:</w:t>
      </w:r>
      <w:r w:rsidRPr="00AB7860">
        <w:rPr>
          <w:rFonts w:ascii="Times New Roman" w:hAnsi="Times New Roman" w:cs="Times New Roman"/>
          <w:color w:val="000000"/>
          <w:lang w:val="lt-LT"/>
        </w:rPr>
        <w:t xml:space="preserve"> daugiausia imatinibas metabolizuojamas kepenyse. Pacientams su lengvu, vidutiniu ar sunkiu kepenų funkcijos sutrikimu, skiriama mažiausia rekomenduojama 400 mg paros dozė. Jos netoleruojant, dozę galima sumažinti (žr. 4.4, 4.8 ir 5.2 skyrius). </w:t>
      </w:r>
    </w:p>
    <w:p w14:paraId="4E3BD187"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67E20F97"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Kepenų funkcijos sutrikimo klasifikacija:</w:t>
      </w:r>
    </w:p>
    <w:p w14:paraId="667D151B"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3"/>
      </w:tblGrid>
      <w:tr w:rsidR="00173803" w:rsidRPr="00AB7860" w14:paraId="78D3BABB" w14:textId="77777777" w:rsidTr="00F5730F">
        <w:tc>
          <w:tcPr>
            <w:tcW w:w="4643" w:type="dxa"/>
            <w:shd w:val="clear" w:color="auto" w:fill="auto"/>
          </w:tcPr>
          <w:p w14:paraId="679F934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Kepenų funkcijos sutrikimas</w:t>
            </w:r>
          </w:p>
        </w:tc>
        <w:tc>
          <w:tcPr>
            <w:tcW w:w="4643" w:type="dxa"/>
            <w:shd w:val="clear" w:color="auto" w:fill="auto"/>
          </w:tcPr>
          <w:p w14:paraId="6FE32A1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Kepenų funkcijos tyrimai</w:t>
            </w:r>
          </w:p>
        </w:tc>
      </w:tr>
      <w:tr w:rsidR="00173803" w:rsidRPr="00AB7860" w14:paraId="59A0D2BA" w14:textId="77777777" w:rsidTr="00F5730F">
        <w:tc>
          <w:tcPr>
            <w:tcW w:w="4643" w:type="dxa"/>
            <w:shd w:val="clear" w:color="auto" w:fill="auto"/>
          </w:tcPr>
          <w:p w14:paraId="6DAF7F42"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Lengvas</w:t>
            </w:r>
          </w:p>
        </w:tc>
        <w:tc>
          <w:tcPr>
            <w:tcW w:w="4643" w:type="dxa"/>
            <w:shd w:val="clear" w:color="auto" w:fill="auto"/>
          </w:tcPr>
          <w:p w14:paraId="00B1F36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Bendras bilirubinas: = 1,5 VNR </w:t>
            </w:r>
          </w:p>
          <w:p w14:paraId="45D3639A"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AST: &gt; VNR (gali būti normali ar &lt; VNR, jei bendras bilirubinas &gt; VNR)</w:t>
            </w:r>
          </w:p>
        </w:tc>
      </w:tr>
      <w:tr w:rsidR="00173803" w:rsidRPr="00AB7860" w14:paraId="198D24E5" w14:textId="77777777" w:rsidTr="00F5730F">
        <w:tc>
          <w:tcPr>
            <w:tcW w:w="4643" w:type="dxa"/>
            <w:shd w:val="clear" w:color="auto" w:fill="auto"/>
          </w:tcPr>
          <w:p w14:paraId="09C10F54"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Vidutinis</w:t>
            </w:r>
          </w:p>
        </w:tc>
        <w:tc>
          <w:tcPr>
            <w:tcW w:w="4643" w:type="dxa"/>
            <w:shd w:val="clear" w:color="auto" w:fill="auto"/>
          </w:tcPr>
          <w:p w14:paraId="4E75B04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Bendras bilirubinas: &gt; 1,5–3,0 VNR </w:t>
            </w:r>
          </w:p>
          <w:p w14:paraId="13F783E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AST: bet kokia</w:t>
            </w:r>
          </w:p>
        </w:tc>
      </w:tr>
      <w:tr w:rsidR="00173803" w:rsidRPr="00AB7860" w14:paraId="5B0F42CB" w14:textId="77777777" w:rsidTr="00F5730F">
        <w:tc>
          <w:tcPr>
            <w:tcW w:w="4643" w:type="dxa"/>
            <w:shd w:val="clear" w:color="auto" w:fill="auto"/>
          </w:tcPr>
          <w:p w14:paraId="56CD1A1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Sunkus</w:t>
            </w:r>
          </w:p>
        </w:tc>
        <w:tc>
          <w:tcPr>
            <w:tcW w:w="4643" w:type="dxa"/>
            <w:shd w:val="clear" w:color="auto" w:fill="auto"/>
          </w:tcPr>
          <w:p w14:paraId="156EC75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Bendras bilirubinas: &gt; 3–10 VNR </w:t>
            </w:r>
          </w:p>
          <w:p w14:paraId="55E2060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AST: bet kokia</w:t>
            </w:r>
          </w:p>
        </w:tc>
      </w:tr>
    </w:tbl>
    <w:p w14:paraId="73823B50"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VNR = viršutinė normos riba gydymo įstaigoje</w:t>
      </w:r>
    </w:p>
    <w:p w14:paraId="662A5689"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AST = aspartato aminotransferazė</w:t>
      </w:r>
    </w:p>
    <w:p w14:paraId="0146A3F5"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p>
    <w:p w14:paraId="0E0CADD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i/>
          <w:color w:val="000000"/>
          <w:lang w:val="lt-LT"/>
        </w:rPr>
        <w:t>Pacientams, kurių inkstų funkcija sutrikusi:</w:t>
      </w:r>
      <w:r w:rsidRPr="00AB7860">
        <w:rPr>
          <w:rFonts w:ascii="Times New Roman" w:hAnsi="Times New Roman" w:cs="Times New Roman"/>
          <w:b/>
          <w:color w:val="000000"/>
          <w:lang w:val="lt-LT"/>
        </w:rPr>
        <w:t xml:space="preserve"> </w:t>
      </w:r>
      <w:r w:rsidRPr="00AB7860">
        <w:rPr>
          <w:rFonts w:ascii="Times New Roman" w:hAnsi="Times New Roman" w:cs="Times New Roman"/>
          <w:color w:val="000000"/>
          <w:lang w:val="lt-LT"/>
        </w:rPr>
        <w:t>pacientams, kuriems yra inkstų funkcijos sutrikimas arba atliekama dializė, skiriama pradinė mažiausia rekomenduojama 400 mg dozė, tačiau gydant šiuos pacientus rekomenduojama imtis atitinkamų atsargumo priemonių. Dozės netoleruojant, ji gali būti sumažinta. Jei dozė toleruojama, bet yra nepakankamas veiksmingumas – ją galima padidinti (žr. 4.4 ir 5.2 skyrius).</w:t>
      </w:r>
    </w:p>
    <w:p w14:paraId="17760805"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261E70E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i/>
          <w:color w:val="000000"/>
          <w:lang w:val="lt-LT"/>
        </w:rPr>
        <w:t>Senyviems pacientams:</w:t>
      </w:r>
      <w:r w:rsidRPr="00AB7860">
        <w:rPr>
          <w:rFonts w:ascii="Times New Roman" w:hAnsi="Times New Roman" w:cs="Times New Roman"/>
          <w:color w:val="000000"/>
          <w:lang w:val="lt-LT"/>
        </w:rPr>
        <w:t xml:space="preserve"> senyvų žmonių imatinibo farmakokinetika nebuvo specialiai tirta. Klinikinių tyrimų metu, kuriuose dalyvavo daugiau kaip 20 % 65 metų ir vyresnių pacientų, reikšmingų, su amžiumi susijusių farmakokinetikos skirtumų nestebėta. Jokios specifinės dozavimo rekomendacijos senyvo amžiaus žmonėms nėra būtinos.</w:t>
      </w:r>
    </w:p>
    <w:p w14:paraId="78DE689B" w14:textId="77777777" w:rsidR="00173803" w:rsidRPr="00AB7860" w:rsidRDefault="00173803" w:rsidP="00173803">
      <w:pPr>
        <w:spacing w:after="0" w:line="240" w:lineRule="auto"/>
        <w:rPr>
          <w:rFonts w:ascii="Times New Roman" w:hAnsi="Times New Roman" w:cs="Times New Roman"/>
          <w:lang w:val="lt-LT"/>
        </w:rPr>
      </w:pPr>
    </w:p>
    <w:p w14:paraId="075FEF38" w14:textId="77777777" w:rsidR="00173803" w:rsidRPr="00AB7860" w:rsidRDefault="00173803" w:rsidP="00173803">
      <w:pPr>
        <w:spacing w:after="0"/>
        <w:rPr>
          <w:rFonts w:ascii="Times New Roman" w:hAnsi="Times New Roman" w:cs="Times New Roman"/>
          <w:u w:val="single"/>
          <w:lang w:val="lt-LT"/>
        </w:rPr>
      </w:pPr>
      <w:bookmarkStart w:id="8" w:name="_Toc129243104"/>
      <w:bookmarkStart w:id="9" w:name="_Toc129243229"/>
      <w:r w:rsidRPr="00AB7860">
        <w:rPr>
          <w:rFonts w:ascii="Times New Roman" w:hAnsi="Times New Roman" w:cs="Times New Roman"/>
          <w:bCs/>
          <w:u w:val="single"/>
          <w:lang w:val="lt-LT" w:eastAsia="sv-SE"/>
        </w:rPr>
        <w:t>Vartojimo metodas</w:t>
      </w:r>
    </w:p>
    <w:p w14:paraId="0668FE9B"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Paskirta dozė geriama valgant ir užsigeriant didele stikline vandens, siekiant sumažinti virškinimo trakto sudirginimo riziką. 400 mg arba 600 mg dozė turi būti vartojama vieną kartą per parą, o 800 mg paros dozė turėtų būti suvartojama po 400 mg du kartus per parą, ryte ir vakare.</w:t>
      </w:r>
      <w:r w:rsidR="00D95BB9" w:rsidRPr="00AB7860">
        <w:rPr>
          <w:rFonts w:ascii="Times New Roman" w:hAnsi="Times New Roman" w:cs="Times New Roman"/>
          <w:lang w:val="lt-LT"/>
        </w:rPr>
        <w:t xml:space="preserve"> </w:t>
      </w:r>
      <w:r w:rsidRPr="00AB7860">
        <w:rPr>
          <w:rFonts w:ascii="Times New Roman" w:hAnsi="Times New Roman" w:cs="Times New Roman"/>
          <w:lang w:val="lt-LT"/>
        </w:rPr>
        <w:t xml:space="preserve">Pacientams (vaikams), kurie negali nuryti kapsulių, jų turinys gali būti ištirpinamas stiklinėje negazuoto vandens ar obuolių sulčių. </w:t>
      </w:r>
    </w:p>
    <w:p w14:paraId="04FC29D3"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Kadangi tyrimai su gyvūnais parodė toksinį poveikį reprodukcijai, o potenciali rizika žmogaus vaisiui nežinoma, todėl vaisingo amžiaus moterims, kurios atidarinėja kapsules, patariama atsargiai elgtis su jų turiniu bei vengti galimo patekimo ant odos ar į akis ir jo įkvėpimo (žr. 4.6 skyrių). Po darbo su atidarytomis kapsulėmis būtina iš karto plauti rankas.</w:t>
      </w:r>
    </w:p>
    <w:p w14:paraId="58DD28E4" w14:textId="77777777" w:rsidR="00D95BB9" w:rsidRPr="00AB7860" w:rsidRDefault="00D95BB9" w:rsidP="00173803">
      <w:pPr>
        <w:tabs>
          <w:tab w:val="left" w:pos="709"/>
          <w:tab w:val="center" w:pos="4819"/>
          <w:tab w:val="right" w:pos="9071"/>
        </w:tabs>
        <w:spacing w:after="0" w:line="240" w:lineRule="auto"/>
        <w:rPr>
          <w:rFonts w:ascii="Times New Roman" w:hAnsi="Times New Roman" w:cs="Times New Roman"/>
          <w:b/>
          <w:lang w:val="lt-LT"/>
        </w:rPr>
      </w:pPr>
    </w:p>
    <w:p w14:paraId="3776973C" w14:textId="77777777" w:rsidR="00173803" w:rsidRPr="00AB7860" w:rsidRDefault="00173803" w:rsidP="00173803">
      <w:pPr>
        <w:tabs>
          <w:tab w:val="left" w:pos="709"/>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4.3</w:t>
      </w:r>
      <w:r w:rsidRPr="00AB7860">
        <w:rPr>
          <w:rFonts w:ascii="Times New Roman" w:hAnsi="Times New Roman" w:cs="Times New Roman"/>
          <w:b/>
          <w:lang w:val="lt-LT"/>
        </w:rPr>
        <w:tab/>
        <w:t>Kontraindikacijos</w:t>
      </w:r>
      <w:bookmarkEnd w:id="8"/>
      <w:bookmarkEnd w:id="9"/>
    </w:p>
    <w:p w14:paraId="5B949B8E" w14:textId="77777777" w:rsidR="00173803" w:rsidRPr="00AB7860" w:rsidRDefault="00173803" w:rsidP="00173803">
      <w:pPr>
        <w:spacing w:after="0" w:line="240" w:lineRule="auto"/>
        <w:rPr>
          <w:rFonts w:ascii="Times New Roman" w:hAnsi="Times New Roman" w:cs="Times New Roman"/>
          <w:lang w:val="lt-LT"/>
        </w:rPr>
      </w:pPr>
    </w:p>
    <w:p w14:paraId="6F2090B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Padidėjęs jautrumas veikliajai arba bet kuriai 6.1 skyriuje nurodytai pagalbinei medžiagai.</w:t>
      </w:r>
      <w:bookmarkStart w:id="10" w:name="_Toc129243105"/>
      <w:bookmarkStart w:id="11" w:name="_Toc129243230"/>
    </w:p>
    <w:p w14:paraId="4F5CBF88" w14:textId="77777777" w:rsidR="00173803" w:rsidRPr="00AB7860" w:rsidRDefault="00173803" w:rsidP="00173803">
      <w:pPr>
        <w:spacing w:after="0" w:line="240" w:lineRule="auto"/>
        <w:rPr>
          <w:rFonts w:ascii="Times New Roman" w:hAnsi="Times New Roman" w:cs="Times New Roman"/>
          <w:lang w:val="lt-LT"/>
        </w:rPr>
      </w:pPr>
    </w:p>
    <w:p w14:paraId="342C9268" w14:textId="77777777" w:rsidR="00173803" w:rsidRPr="00AB7860" w:rsidRDefault="00173803" w:rsidP="00173803">
      <w:pPr>
        <w:tabs>
          <w:tab w:val="left" w:pos="709"/>
        </w:tabs>
        <w:spacing w:after="0" w:line="240" w:lineRule="auto"/>
        <w:rPr>
          <w:rFonts w:ascii="Times New Roman" w:hAnsi="Times New Roman" w:cs="Times New Roman"/>
          <w:b/>
          <w:lang w:val="lt-LT"/>
        </w:rPr>
      </w:pPr>
      <w:r w:rsidRPr="00AB7860">
        <w:rPr>
          <w:rFonts w:ascii="Times New Roman" w:hAnsi="Times New Roman" w:cs="Times New Roman"/>
          <w:b/>
          <w:lang w:val="lt-LT"/>
        </w:rPr>
        <w:t>4.4</w:t>
      </w:r>
      <w:r w:rsidRPr="00AB7860">
        <w:rPr>
          <w:rFonts w:ascii="Times New Roman" w:hAnsi="Times New Roman" w:cs="Times New Roman"/>
          <w:b/>
          <w:lang w:val="lt-LT"/>
        </w:rPr>
        <w:tab/>
        <w:t>Specialūs įspėjimai ir atsargumo priemonės</w:t>
      </w:r>
      <w:bookmarkEnd w:id="10"/>
      <w:bookmarkEnd w:id="11"/>
    </w:p>
    <w:p w14:paraId="2CF97CFE" w14:textId="77777777" w:rsidR="00173803" w:rsidRPr="00AB7860" w:rsidRDefault="00173803" w:rsidP="00173803">
      <w:pPr>
        <w:spacing w:after="0" w:line="240" w:lineRule="auto"/>
        <w:rPr>
          <w:rFonts w:ascii="Times New Roman" w:hAnsi="Times New Roman" w:cs="Times New Roman"/>
          <w:lang w:val="lt-LT"/>
        </w:rPr>
      </w:pPr>
    </w:p>
    <w:p w14:paraId="7A3CF49C"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lang w:val="lt-LT"/>
        </w:rPr>
        <w:t xml:space="preserve">Kai imatinibo vartojama kartu su kitais vaistiniais preparatais, yra </w:t>
      </w:r>
      <w:r w:rsidRPr="00AB7860">
        <w:rPr>
          <w:rFonts w:ascii="Times New Roman" w:eastAsia="Times New Roman" w:hAnsi="Times New Roman" w:cs="Times New Roman"/>
          <w:lang w:val="lt-LT"/>
        </w:rPr>
        <w:t>vaistinių preparatų</w:t>
      </w:r>
      <w:r w:rsidRPr="00AB7860">
        <w:rPr>
          <w:rFonts w:ascii="Times New Roman" w:hAnsi="Times New Roman" w:cs="Times New Roman"/>
          <w:lang w:val="lt-LT"/>
        </w:rPr>
        <w:t xml:space="preserve"> sąveikos galimybė</w:t>
      </w:r>
      <w:r w:rsidRPr="00AB7860">
        <w:rPr>
          <w:rFonts w:ascii="Times New Roman" w:hAnsi="Times New Roman" w:cs="Times New Roman"/>
          <w:color w:val="000000"/>
          <w:lang w:val="lt-LT"/>
        </w:rPr>
        <w:t>. Būtina laikytis atsargumo priemonių, kai imatinibo vartojama kartu su proteazės inhibitoriais, azolo grupės priešgrybeliniais preparatais, tam tikrais makrolidais (žr. 4.5 skyrių), CYP3A4 substratais, kurių siaura terapinė platuma (pvz., ciklosporinu, pimozidu, takrolimuzu, sirolimuzu, ergotaminu, diergotaminu, fentaniliu, alfentaniliu, terfenadinu, bortezomibu, docetakseliu, chinidinu) ar varfarinu ir kitais kumarino junginiais (žr. 4.5 skyrių).</w:t>
      </w:r>
    </w:p>
    <w:p w14:paraId="0F810ACC"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p>
    <w:p w14:paraId="6487ECF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Imatinibo vartojant kartu su vaistiniais preparatais, indukuojančiais CYP3A4 (pvz., deksametazonu, fenitoinu, karbamazepinu, rifampicinu, fenobarbitaliu ar </w:t>
      </w:r>
      <w:r w:rsidRPr="00AB7860">
        <w:rPr>
          <w:rFonts w:ascii="Times New Roman" w:hAnsi="Times New Roman" w:cs="Times New Roman"/>
          <w:i/>
          <w:lang w:val="lt-LT"/>
        </w:rPr>
        <w:t>Hypericum perforatum</w:t>
      </w:r>
      <w:r w:rsidRPr="00AB7860">
        <w:rPr>
          <w:rFonts w:ascii="Times New Roman" w:hAnsi="Times New Roman" w:cs="Times New Roman"/>
          <w:lang w:val="lt-LT"/>
        </w:rPr>
        <w:t>, žinomą kaip jonažolę), gali reikšmingai sumažėti imatinibo ekspozicija ir padidėti nesėkmingo gydymo galimybės rizika. Todėl reikia vengti imatinibo vartoti kartu su stipriais CYP3A4 induktoriais (žr. 4.5 skyrių).</w:t>
      </w:r>
    </w:p>
    <w:p w14:paraId="4D9B2DDA" w14:textId="77777777" w:rsidR="00173803" w:rsidRPr="00AB7860" w:rsidRDefault="00173803" w:rsidP="00173803">
      <w:pPr>
        <w:spacing w:after="0" w:line="240" w:lineRule="auto"/>
        <w:rPr>
          <w:rFonts w:ascii="Times New Roman" w:hAnsi="Times New Roman" w:cs="Times New Roman"/>
          <w:lang w:val="lt-LT"/>
        </w:rPr>
      </w:pPr>
    </w:p>
    <w:p w14:paraId="553AE7C6"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Hipotiroidizmas</w:t>
      </w:r>
    </w:p>
    <w:p w14:paraId="4FDA802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Tiems pacientams, kuriems po skydliaukės pašalinimo buvo taikomas pakeičiamasis gydymas levotiroksinu, gydymo imatinibu metu, buvo stebėta klinikinių hipotirozės atvejų (žr. 4.5 skyrių), todėl būtina stebėti tokių pacientų skydliaukės veiklą stimuliuojančio hormono (TTH) koncentraciją.</w:t>
      </w:r>
    </w:p>
    <w:p w14:paraId="0C724CBB" w14:textId="77777777" w:rsidR="00173803" w:rsidRPr="00AB7860" w:rsidRDefault="00173803" w:rsidP="00173803">
      <w:pPr>
        <w:spacing w:after="0" w:line="240" w:lineRule="auto"/>
        <w:rPr>
          <w:rFonts w:ascii="Times New Roman" w:hAnsi="Times New Roman" w:cs="Times New Roman"/>
          <w:lang w:val="lt-LT"/>
        </w:rPr>
      </w:pPr>
    </w:p>
    <w:p w14:paraId="17F65423"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Hepatotoksiškumas</w:t>
      </w:r>
    </w:p>
    <w:p w14:paraId="60069103"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Imatinibas daugiausia metabolizuojamas kepenyse ir tik 13 % jo išsiskiria pro inkstus. Pacientams, kuriems yra kepenų funkcijos sutrikimas (lengvas, vidutinis ar sunkus) būtina atidžiai stebėti periferinio kraujo vaizdą ir kepenų fermentų aktyvumą (žr. 4.2, 4.8 ir 5.2 skyrius). Reikia pažymėti, kad pacientams, kuriems diagnozuotas virškinimo trakto stromos navikas (VTSN) (angl. GIST), gali būti metastazių kepenyse, kurios gali sąlygoti kepenų funkcijos sutrikimą. </w:t>
      </w:r>
    </w:p>
    <w:p w14:paraId="76F6192C" w14:textId="77777777" w:rsidR="00173803" w:rsidRPr="00AB7860" w:rsidRDefault="00173803" w:rsidP="00173803">
      <w:pPr>
        <w:spacing w:after="0" w:line="240" w:lineRule="auto"/>
        <w:rPr>
          <w:rFonts w:ascii="Times New Roman" w:hAnsi="Times New Roman" w:cs="Times New Roman"/>
          <w:lang w:val="lt-LT"/>
        </w:rPr>
      </w:pPr>
    </w:p>
    <w:p w14:paraId="5A309B3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Vartojant imatinibo buvo stebėti kepenų pažeidimo atvejai, įskaitant kepenų nepakankamumą ir kepenų nekrozę. Imatinibą skiriant kartu su didelėmis chemoterapinių preparatų dozėmis, nustatytas sunkių kepenų reakcijų padažnėjimas. Imatinibą skiriant kartu su kepenų funkciją galinčiais bloginti chemoterapiniais preparatais, reikia atidžiai stebėti kepenų funkciją (žr. 4.5 ir 4.8 skyrius).</w:t>
      </w:r>
    </w:p>
    <w:p w14:paraId="15BEFB3A" w14:textId="77777777" w:rsidR="00173803" w:rsidRPr="00AB7860" w:rsidRDefault="00173803" w:rsidP="00173803">
      <w:pPr>
        <w:spacing w:after="0" w:line="240" w:lineRule="auto"/>
        <w:rPr>
          <w:rFonts w:ascii="Times New Roman" w:hAnsi="Times New Roman" w:cs="Times New Roman"/>
          <w:lang w:val="lt-LT"/>
        </w:rPr>
      </w:pPr>
    </w:p>
    <w:p w14:paraId="5AB891AC"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Skysčių kaupimasis</w:t>
      </w:r>
    </w:p>
    <w:p w14:paraId="75B956C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Maždaug 2,5 % imatinibo vartojusių pacientų, sergančių naujai diagnozuota LML, buvo stebėtas sunkus skysčių kaupimasis organizme (skystis pleuros ertmėje, edema, plaučių edema, ascitas, paviršinė edema). Todėl pacientus privaloma reguliariai sverti. Esant netikėtai greitam kūno svorio padidėjimui, būtina atidžiai ištirti ir prireikus taikyti atitinkamas palaikomosios priežiūros ir gydymo priemones. Klinikinių tyrimų metu šių reiškinių dažniau pasitaikė senyviems ir sergantiems širdies ligomis pacientams. Todėl vaistinį preparatą reikia atsargiai skirti pacientams, kurių širdies funkcija yra sutrikusi.</w:t>
      </w:r>
    </w:p>
    <w:p w14:paraId="62426A87" w14:textId="77777777" w:rsidR="00173803" w:rsidRPr="00AB7860" w:rsidRDefault="00173803" w:rsidP="00173803">
      <w:pPr>
        <w:spacing w:after="0" w:line="240" w:lineRule="auto"/>
        <w:rPr>
          <w:rFonts w:ascii="Times New Roman" w:eastAsia="Times New Roman" w:hAnsi="Times New Roman" w:cs="Times New Roman"/>
          <w:u w:val="single"/>
          <w:lang w:val="lt-LT"/>
        </w:rPr>
      </w:pPr>
    </w:p>
    <w:p w14:paraId="28FDA844"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Sergantys širdies ligomis pacientai</w:t>
      </w:r>
    </w:p>
    <w:p w14:paraId="262D0FC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Pacientai, sergantys širdies ligomis arba turintys širdies nepakankamumo rizikos veiksnių, arba sirgę inkstų nepakankamumu turi būti atidžiai stebimi, o visi paciento požymiai arba simptomai galimai susiję su širdies ar inkstų nepakankamumu, turi būti įvertinti ir gydomi.</w:t>
      </w:r>
    </w:p>
    <w:p w14:paraId="29C2D4F4" w14:textId="77777777" w:rsidR="00173803" w:rsidRPr="00AB7860" w:rsidRDefault="00173803" w:rsidP="00173803">
      <w:pPr>
        <w:widowControl w:val="0"/>
        <w:autoSpaceDE w:val="0"/>
        <w:autoSpaceDN w:val="0"/>
        <w:adjustRightInd w:val="0"/>
        <w:spacing w:after="0" w:line="240" w:lineRule="auto"/>
        <w:rPr>
          <w:rFonts w:ascii="Times New Roman" w:eastAsia="Times New Roman" w:hAnsi="Times New Roman" w:cs="Times New Roman"/>
          <w:lang w:val="lt-LT"/>
        </w:rPr>
      </w:pPr>
    </w:p>
    <w:p w14:paraId="32706D0F"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Gydymo imatinibu pradžioje hipereozinofiliniu sindromu (HES) sergantiems pacientams, kurių pažeista širdis, registruoti pavieniai kardiogeninio šoko ar kairiojo skilvelio disfunkcijos atvejai. Būklė gerėjo gydant sisteminio veikimo steroidiniais hormonais, palaikant kraujotaką ir laikinai nutraukiant imatinibo vartojimą. Kadangi nedažnai buvo pranešama apie nepageidaujamus poveikius širdžiai, vartojant </w:t>
      </w:r>
      <w:r w:rsidRPr="00AB7860">
        <w:rPr>
          <w:rFonts w:ascii="Times New Roman" w:hAnsi="Times New Roman" w:cs="Times New Roman"/>
          <w:lang w:val="lt-LT"/>
        </w:rPr>
        <w:lastRenderedPageBreak/>
        <w:t xml:space="preserve">imatinibą, prieš pradedant gydyti imatinibu pacientus, sergančius HES ar lėtine eozinofiline leukemija (LEL), turi būti atidžiai įvertintas gydymo imatinibu naudos ir rizikos santykis. </w:t>
      </w:r>
    </w:p>
    <w:p w14:paraId="1E1498D1"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p>
    <w:p w14:paraId="17373E87"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Sergant mielodisplazinėmis ar mieloproliferacinėmis ligomis (MDS ar MPL) su trombocitų kilmės augimo faktoriaus receptoriaus (angl. </w:t>
      </w:r>
      <w:r w:rsidRPr="00AB7860">
        <w:rPr>
          <w:rFonts w:ascii="Times New Roman" w:hAnsi="Times New Roman" w:cs="Times New Roman"/>
          <w:i/>
          <w:lang w:val="lt-LT"/>
        </w:rPr>
        <w:t>platelet-derived growth factor receptor</w:t>
      </w:r>
      <w:r w:rsidRPr="00AB7860">
        <w:rPr>
          <w:rFonts w:ascii="Times New Roman" w:hAnsi="Times New Roman" w:cs="Times New Roman"/>
          <w:lang w:val="lt-LT"/>
        </w:rPr>
        <w:t>, PDGFR) genų pakitimais, gali būti padidėjęs eozinofilų kiekis. Prieš skiriant imatinibą pacientams, sergantiems HES ar LEL ir pacientams, sergantiems MDS ar MDL, kuriems yra padidėjęs eozinofilų kiekis, reikalinga kardiologo konsultacija, taip pat reikia atlikti echokardiogramą ir nustatyti troponino koncentraciją serume. Jei bent vieno šių tyrimų rezultatai neatitinka normos, pirmąsias vieną ar dvi gydymo savaites, stebint kardiologui, kartu su imatinibu profilaktiškai galima skirti sisteminio veikimo steroidų (1-2 mg/kg dozę).</w:t>
      </w:r>
    </w:p>
    <w:p w14:paraId="3D668827" w14:textId="77777777" w:rsidR="00173803" w:rsidRPr="00AB7860" w:rsidRDefault="00173803" w:rsidP="00173803">
      <w:pPr>
        <w:spacing w:after="0" w:line="240" w:lineRule="auto"/>
        <w:rPr>
          <w:rFonts w:ascii="Times New Roman" w:hAnsi="Times New Roman" w:cs="Times New Roman"/>
          <w:highlight w:val="yellow"/>
          <w:lang w:val="lt-LT"/>
        </w:rPr>
      </w:pPr>
    </w:p>
    <w:p w14:paraId="2182021B"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u w:val="single"/>
          <w:lang w:val="lt-LT"/>
        </w:rPr>
        <w:t>Kraujavimas iš virškinimo trakto</w:t>
      </w:r>
    </w:p>
    <w:p w14:paraId="139799A8"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Atlikto klinikinio tyrimo duomenimis, jame dalyvavusiems pacientams, kuriems buvo nerezekuotinas ir (arba) metastazavęs VTSN, pasitaikė ir virškinimo trakto bei vidunavikinių kraujavimų (žr. 4.8 skyrių). Turimi duomenys neatskleidė predisponuojančių veiksnių (pvz., naviko dydžio, naviko lokalizacijos, krešėjimo sutrikimų), dėl kurių padidėtų pacientų, sergančių VTSN, bet kokio kraujavimo rizika. Padidėjęs kraujagyslinis tinklas bei polinkis į kraujavimą iš dalies yra prigimtiniai ir būdingi klinikinei VTSN eigai, todėl visiems pacientams būtina taikyti įprastines priemones ir procedūras kraujavimui stebėti ir gydyti.</w:t>
      </w:r>
    </w:p>
    <w:p w14:paraId="39EE7F53" w14:textId="77777777" w:rsidR="00173803" w:rsidRPr="00AB7860" w:rsidRDefault="00173803" w:rsidP="00173803">
      <w:pPr>
        <w:spacing w:after="0" w:line="240" w:lineRule="auto"/>
        <w:rPr>
          <w:rFonts w:ascii="Times New Roman" w:hAnsi="Times New Roman" w:cs="Times New Roman"/>
          <w:lang w:val="lt-LT"/>
        </w:rPr>
      </w:pPr>
    </w:p>
    <w:p w14:paraId="0D975CF6"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hAnsi="Times New Roman" w:cs="Times New Roman"/>
          <w:lang w:val="lt-LT"/>
        </w:rPr>
        <w:t>Be to, vaistiniam preparatui patekus į rinką, buvo gauta pranešimų apie prievarčio kraujagyslių išsiplėtimą (</w:t>
      </w:r>
      <w:r w:rsidRPr="00AB7860">
        <w:rPr>
          <w:rFonts w:ascii="Times New Roman" w:hAnsi="Times New Roman" w:cs="Times New Roman"/>
          <w:i/>
          <w:iCs/>
          <w:lang w:val="lt-LT"/>
        </w:rPr>
        <w:t xml:space="preserve">angl. </w:t>
      </w:r>
      <w:r w:rsidRPr="00AB7860">
        <w:rPr>
          <w:rFonts w:ascii="Times New Roman" w:hAnsi="Times New Roman" w:cs="Times New Roman"/>
          <w:lang w:val="lt-LT"/>
        </w:rPr>
        <w:t xml:space="preserve">gastric antral vascular ectasia [GAVE]) - retą kraujavimo iš virškinimo priežastį - pacientams, sergantiems LML, ŪLL ir kitomis ligomis (žr. 4.8 skyrių). </w:t>
      </w:r>
      <w:r w:rsidRPr="00AB7860">
        <w:rPr>
          <w:rFonts w:ascii="Times New Roman" w:hAnsi="Times New Roman" w:cs="Times New Roman"/>
        </w:rPr>
        <w:t>Jei reikia, turi būti apsvarstytas gydymo imatinibu nutraukimas.</w:t>
      </w:r>
    </w:p>
    <w:p w14:paraId="02D5F9A0" w14:textId="77777777" w:rsidR="00173803" w:rsidRPr="00AB7860" w:rsidRDefault="00173803" w:rsidP="00173803">
      <w:pPr>
        <w:spacing w:after="0" w:line="240" w:lineRule="auto"/>
        <w:rPr>
          <w:rFonts w:ascii="Times New Roman" w:eastAsia="Times New Roman" w:hAnsi="Times New Roman" w:cs="Times New Roman"/>
          <w:lang w:val="lt-LT"/>
        </w:rPr>
      </w:pPr>
    </w:p>
    <w:p w14:paraId="65D621B3"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Naviko lizės sindromas</w:t>
      </w:r>
    </w:p>
    <w:p w14:paraId="62D7C12B"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Dėl galimo naviko lizės sindromo atvejų, pradedant vartoti imatinibą pirmiausia rekomenduojama koreguoti kliniškai reikšmingą dehidraciją ir skirti per didelio šlapimo rūgšties kiekio gydymą (žr. 4.8 skyrių).</w:t>
      </w:r>
    </w:p>
    <w:p w14:paraId="0A1A8A1B" w14:textId="77777777" w:rsidR="00173803" w:rsidRPr="00AB7860" w:rsidRDefault="00173803" w:rsidP="00173803">
      <w:pPr>
        <w:spacing w:after="0" w:line="240" w:lineRule="auto"/>
        <w:rPr>
          <w:rFonts w:ascii="Times New Roman" w:hAnsi="Times New Roman" w:cs="Times New Roman"/>
          <w:u w:val="single"/>
          <w:lang w:val="lt-LT"/>
        </w:rPr>
      </w:pPr>
    </w:p>
    <w:p w14:paraId="3730EE79"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u w:val="single"/>
          <w:lang w:val="lt-LT"/>
        </w:rPr>
      </w:pPr>
      <w:r w:rsidRPr="00AB7860">
        <w:rPr>
          <w:rFonts w:ascii="Times New Roman" w:hAnsi="Times New Roman" w:cs="Times New Roman"/>
          <w:color w:val="000000"/>
          <w:u w:val="single"/>
          <w:lang w:val="lt-LT"/>
        </w:rPr>
        <w:t xml:space="preserve">Hepatito B reaktyvacija </w:t>
      </w:r>
    </w:p>
    <w:p w14:paraId="6B39686D"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Hepatito B reaktyvacijos atvejų nustatyta pacientams, kurie yra ilgalaikiai šio viruso nešiotojai, po to, kai šie pacientai pavartojo BCR-ABL tirozinkinazės inhibitorių. Kai kuriais atvejais tai sukėlė ūminį kepenų nepakankamumą arba žaibinį hepatitą, dėl kurio pacientui teko persodinti kepenis arba pacientas mirė. </w:t>
      </w:r>
    </w:p>
    <w:p w14:paraId="146820F3" w14:textId="77777777" w:rsidR="00173803" w:rsidRPr="00AB7860" w:rsidRDefault="00173803" w:rsidP="00173803">
      <w:pPr>
        <w:spacing w:after="0" w:line="240" w:lineRule="auto"/>
        <w:rPr>
          <w:rFonts w:ascii="Times New Roman" w:hAnsi="Times New Roman" w:cs="Times New Roman"/>
          <w:color w:val="000000"/>
          <w:lang w:val="lt-LT"/>
        </w:rPr>
      </w:pPr>
    </w:p>
    <w:p w14:paraId="79C4CDC9" w14:textId="77777777" w:rsidR="00173803" w:rsidRPr="00AB7860" w:rsidRDefault="00173803" w:rsidP="00173803">
      <w:pPr>
        <w:spacing w:after="0" w:line="240" w:lineRule="auto"/>
        <w:rPr>
          <w:rFonts w:ascii="Times New Roman" w:eastAsia="Times New Roman" w:hAnsi="Times New Roman" w:cs="Times New Roman"/>
          <w:u w:val="single"/>
          <w:lang w:val="lt-LT"/>
        </w:rPr>
      </w:pPr>
      <w:r w:rsidRPr="00AB7860">
        <w:rPr>
          <w:rFonts w:ascii="Times New Roman" w:hAnsi="Times New Roman" w:cs="Times New Roman"/>
          <w:color w:val="000000"/>
        </w:rPr>
        <w:t>Prieš pradedant gydymą imatinibu, reikia ištirti, ar pacientas neužsikrėtęs HBV. Prieš pradedant gydyti pacientus, kuriems nustatytas serologiškai teigiamas hepatitas B (įskaitant aktyvia liga sergančius pacientus), ir dėl pacientų, kuriems gydymo laikotarpiu nustatyta HBV infekcija, reikia pasitarti su kepenų ligų ekspertais ir hepatitą B gydančiais gydytojais specialistais. Terapijos laikotarpiu ir kelis mėnesius po terapijos pabaigos reikia atidžiai stebėti, ar HBV nešiotojams, kuriems būtinas gydymas imatinibu, nepasireiškia aktyvios HBV infekcijos požymiai ir simptomai (žr. 4.8 skyrių).</w:t>
      </w:r>
    </w:p>
    <w:p w14:paraId="0E178B1D" w14:textId="77777777" w:rsidR="00173803" w:rsidRPr="00AB7860" w:rsidRDefault="00173803" w:rsidP="00173803">
      <w:pPr>
        <w:spacing w:after="0" w:line="240" w:lineRule="auto"/>
        <w:rPr>
          <w:rFonts w:ascii="Times New Roman" w:eastAsia="Times New Roman" w:hAnsi="Times New Roman" w:cs="Times New Roman"/>
          <w:u w:val="single"/>
          <w:lang w:val="lt-LT"/>
        </w:rPr>
      </w:pPr>
    </w:p>
    <w:p w14:paraId="38408B03" w14:textId="77777777" w:rsidR="00173803" w:rsidRPr="00D6313B" w:rsidRDefault="00173803" w:rsidP="00173803">
      <w:pPr>
        <w:suppressAutoHyphens/>
        <w:spacing w:after="0" w:line="240" w:lineRule="auto"/>
        <w:rPr>
          <w:rFonts w:ascii="Times New Roman" w:eastAsia="Times New Roman" w:hAnsi="Times New Roman" w:cs="Times New Roman"/>
          <w:u w:val="single"/>
          <w:lang w:val="lt-LT" w:eastAsia="zh-CN"/>
        </w:rPr>
      </w:pPr>
      <w:r w:rsidRPr="00D6313B">
        <w:rPr>
          <w:rFonts w:ascii="Times New Roman" w:eastAsia="Times New Roman" w:hAnsi="Times New Roman" w:cs="Times New Roman"/>
          <w:u w:val="single"/>
          <w:lang w:val="lt-LT" w:eastAsia="zh-CN"/>
        </w:rPr>
        <w:t>Fototoksinis poveikis</w:t>
      </w:r>
    </w:p>
    <w:p w14:paraId="1F21C3C4" w14:textId="77777777" w:rsidR="00173803" w:rsidRPr="0035361A" w:rsidRDefault="00173803" w:rsidP="00173803">
      <w:pPr>
        <w:suppressAutoHyphens/>
        <w:spacing w:after="0" w:line="240" w:lineRule="auto"/>
        <w:ind w:right="196"/>
        <w:rPr>
          <w:rFonts w:ascii="Times New Roman" w:eastAsia="Times New Roman" w:hAnsi="Times New Roman" w:cs="Times New Roman"/>
          <w:lang w:val="lt-LT" w:eastAsia="zh-CN"/>
        </w:rPr>
      </w:pPr>
      <w:r w:rsidRPr="006F4F46">
        <w:rPr>
          <w:rFonts w:ascii="Times New Roman" w:eastAsia="Times New Roman" w:hAnsi="Times New Roman" w:cs="Times New Roman"/>
          <w:lang w:val="lt-LT" w:eastAsia="zh-CN"/>
        </w:rPr>
        <w:t>Būtina vengti tiesioginių saulės spindulių ekspozicijos arba ją sumažinti iki minimumo, kadangi yra su gydymu imatinibu susijusi fototoksinio pove</w:t>
      </w:r>
      <w:r w:rsidRPr="00300AED">
        <w:rPr>
          <w:rFonts w:ascii="Times New Roman" w:eastAsia="Times New Roman" w:hAnsi="Times New Roman" w:cs="Times New Roman"/>
          <w:lang w:val="lt-LT" w:eastAsia="zh-CN"/>
        </w:rPr>
        <w:t>ikio rizika.</w:t>
      </w:r>
      <w:r w:rsidRPr="00FF191C">
        <w:rPr>
          <w:rFonts w:ascii="Times New Roman" w:eastAsia="Times New Roman" w:hAnsi="Times New Roman" w:cs="Times New Roman"/>
          <w:lang w:val="lt-LT" w:eastAsia="zh-CN"/>
        </w:rPr>
        <w:t xml:space="preserve"> Pacientams būtina nurodyti naudoti atitinkamas priemones, tokias kaip apsauginiai drabužiai ir nuo saulės poveikio apsaugantys kremai, kurių apsaugos nuo saulės koeficientas (</w:t>
      </w:r>
      <w:r w:rsidRPr="00157904">
        <w:rPr>
          <w:rFonts w:ascii="Times New Roman" w:eastAsia="Times New Roman" w:hAnsi="Times New Roman" w:cs="Times New Roman"/>
          <w:i/>
          <w:iCs/>
          <w:lang w:val="lt-LT" w:eastAsia="zh-CN"/>
        </w:rPr>
        <w:t>sun protection factor</w:t>
      </w:r>
      <w:r w:rsidRPr="00157904">
        <w:rPr>
          <w:rFonts w:ascii="Times New Roman" w:eastAsia="Times New Roman" w:hAnsi="Times New Roman" w:cs="Times New Roman"/>
          <w:lang w:val="lt-LT" w:eastAsia="zh-CN"/>
        </w:rPr>
        <w:t>, SPF) yra aukštas.</w:t>
      </w:r>
    </w:p>
    <w:p w14:paraId="6D5FE93A" w14:textId="77777777" w:rsidR="00173803" w:rsidRPr="00AB7860" w:rsidRDefault="00173803" w:rsidP="00173803">
      <w:pPr>
        <w:spacing w:after="0"/>
        <w:rPr>
          <w:rFonts w:ascii="Times New Roman" w:hAnsi="Times New Roman" w:cs="Times New Roman"/>
          <w:u w:val="single"/>
          <w:lang w:val="lt-LT"/>
        </w:rPr>
      </w:pPr>
    </w:p>
    <w:p w14:paraId="13834AA9" w14:textId="77777777" w:rsidR="00173803" w:rsidRPr="00AB7860" w:rsidRDefault="00173803" w:rsidP="00173803">
      <w:pPr>
        <w:spacing w:after="0"/>
        <w:rPr>
          <w:rFonts w:ascii="Times New Roman" w:hAnsi="Times New Roman" w:cs="Times New Roman"/>
          <w:u w:val="single"/>
          <w:lang w:val="lt-LT"/>
        </w:rPr>
      </w:pPr>
      <w:r w:rsidRPr="00AB7860">
        <w:rPr>
          <w:rFonts w:ascii="Times New Roman" w:hAnsi="Times New Roman" w:cs="Times New Roman"/>
          <w:u w:val="single"/>
          <w:lang w:val="lt-LT"/>
        </w:rPr>
        <w:t>Trombinė mikroangiopatija</w:t>
      </w:r>
    </w:p>
    <w:p w14:paraId="2ED4012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BCR-ABL tirozinkinazės inhibitorių (TKI) vartojimas buvo susijęs su trombinės mikroangiopatijos (TMA) pasireiškimu, įskaitant pranešimus apie atskirus jos atvejus vartojant Imatinib Grindeks (žr. 4.8 skyrių). Jeigu Imatinib Grindeks, vartojančiam pacientui nustatoma laboratorinių ar klinikinių duomenų, susijusių su TMA požymiais, gydymą reikia nutraukti, o paciento būklę išsamiai ištirti dėl TMA </w:t>
      </w:r>
      <w:r w:rsidRPr="00AB7860">
        <w:rPr>
          <w:rFonts w:ascii="Times New Roman" w:hAnsi="Times New Roman" w:cs="Times New Roman"/>
          <w:lang w:val="lt-LT"/>
        </w:rPr>
        <w:lastRenderedPageBreak/>
        <w:t xml:space="preserve">tikimybės, įskaitant ADAMTS13 aktyvumo vertinimą ir anti-ADAMTS13 antikūnų nustatymą. Jeigu nustatomas padidėjęs ant-ADAMTS13 antikūnų kiekis kartu su sumažėjusiu ADAMTS13 aktyvumu, gydymo Imatinib Grindeks atnaujinti negalima. </w:t>
      </w:r>
    </w:p>
    <w:p w14:paraId="163CDAC9" w14:textId="77777777" w:rsidR="00173803" w:rsidRPr="00AB7860" w:rsidRDefault="00173803" w:rsidP="00173803">
      <w:pPr>
        <w:spacing w:after="0" w:line="240" w:lineRule="auto"/>
        <w:rPr>
          <w:rFonts w:ascii="Times New Roman" w:hAnsi="Times New Roman" w:cs="Times New Roman"/>
          <w:u w:val="single"/>
          <w:lang w:val="lt-LT"/>
        </w:rPr>
      </w:pPr>
    </w:p>
    <w:p w14:paraId="37A20B8A"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Laboratoriniai tyrimai</w:t>
      </w:r>
    </w:p>
    <w:p w14:paraId="5EA181A6"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r w:rsidRPr="00AB7860">
        <w:rPr>
          <w:rFonts w:ascii="Times New Roman" w:hAnsi="Times New Roman" w:cs="Times New Roman"/>
          <w:lang w:val="lt-LT"/>
        </w:rPr>
        <w:t xml:space="preserve">Gydant imatinibu, reikia reguliariai atlikti išsamų kraujo tyrimą. Kai yra LML, gydymas imatinibu yra susijęs su neutropenija ir trombocitopenija. Tačiau šios citopenijos gali priklausyti nuo gydomos ligos stadijos ir dažniau pasireiškia pacientams, kuriems yra LML akceleracijos fazė ar blastinė krizė, negu tiems, kuriems yra lėtinė LML fazė. Gydymas imatinibu gali būti nutrauktas arba gali būti sumažinta </w:t>
      </w:r>
      <w:r w:rsidRPr="00AB7860">
        <w:rPr>
          <w:rFonts w:ascii="Times New Roman" w:eastAsia="Times New Roman" w:hAnsi="Times New Roman" w:cs="Times New Roman"/>
          <w:lang w:val="lt-LT" w:eastAsia="de-DE"/>
        </w:rPr>
        <w:t>vaistinio preparato</w:t>
      </w:r>
      <w:r w:rsidRPr="00AB7860">
        <w:rPr>
          <w:rFonts w:ascii="Times New Roman" w:hAnsi="Times New Roman" w:cs="Times New Roman"/>
          <w:lang w:val="lt-LT"/>
        </w:rPr>
        <w:t xml:space="preserve"> dozė kaip rekomenduojama 4.2 skyriuje.</w:t>
      </w:r>
    </w:p>
    <w:p w14:paraId="74F7B94F"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E8CFD24"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Pacientams, vartojantiems imatinibo, būtina reguliariai tirti kepenų funkciją (bilirubino koncentraciją, transaminazių, šarminės fosfatazės aktyvumą). </w:t>
      </w:r>
    </w:p>
    <w:p w14:paraId="61D82837"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3C8BB387"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Atrodo, kad pacientų, kurių inkstų funkcija susilpnėjusi, imatinibo ekspozicija plazmoje yra didesnė nei pacientų, kurių inkstų funkcija normali. Tikriausiai tai lemia imatinibą surišančio baltymo alfa rūgščiojo glikoproteino (AGP) kiekis plazmoje, kuris yra didesnis pacientams, kurių inkstų funkcija sutrikusi. Pacientams, sergantiems inkstų funkcijos sutrikimu, turi būti skiriama mažiausia pradinė dozė. Pacientus, sergančius sunkiu inkstų funkcijos sutrikimu, reikia gydyti ypač atsargiai. Esant blogai </w:t>
      </w:r>
      <w:r w:rsidRPr="00AB7860">
        <w:rPr>
          <w:rFonts w:ascii="Times New Roman" w:eastAsia="Times New Roman" w:hAnsi="Times New Roman" w:cs="Times New Roman"/>
          <w:lang w:val="lt-LT" w:eastAsia="de-DE"/>
        </w:rPr>
        <w:t>vaistinio preparato</w:t>
      </w:r>
      <w:r w:rsidRPr="00AB7860">
        <w:rPr>
          <w:rFonts w:ascii="Times New Roman" w:hAnsi="Times New Roman" w:cs="Times New Roman"/>
          <w:lang w:val="lt-LT"/>
        </w:rPr>
        <w:t xml:space="preserve"> tolerancijai, dozė gali būti sumažinta (žr. 4.2 ir 5.2 skyrius).</w:t>
      </w:r>
    </w:p>
    <w:p w14:paraId="56730AF2"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lang w:val="lt-LT" w:eastAsia="de-DE"/>
        </w:rPr>
      </w:pPr>
    </w:p>
    <w:p w14:paraId="1677DC01"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u w:val="single"/>
          <w:lang w:val="lt-LT" w:eastAsia="de-DE"/>
        </w:rPr>
      </w:pPr>
      <w:r w:rsidRPr="00AB7860">
        <w:rPr>
          <w:rFonts w:ascii="Times New Roman" w:hAnsi="Times New Roman" w:cs="Times New Roman"/>
          <w:lang w:val="lt-LT"/>
        </w:rPr>
        <w:t>Ilgalaikis gydymas imatinibu gali būti susijęs su kliniškai reikšmingai pablogėjusia inkstų funkcija. Prieš pradedant gydymą imatinibu, inkstų funkcija turėtų būti įvertinta ir atidžiai stebima gydymo metu, ypač tų pacientų, kuriems yra rizikos veiksnių dėl inkstų funkcijos sutrikimo. Jei nustatytas inkstų funkcijos sutrikimas, turi būti skiriamas reikiamas gydymas laikantis standartinių gydymo rekomendacijų.</w:t>
      </w:r>
    </w:p>
    <w:p w14:paraId="0F3FD008"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p>
    <w:p w14:paraId="1E1C8931"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Vaikų populiacija</w:t>
      </w:r>
    </w:p>
    <w:p w14:paraId="47C7DED0"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Gauta pranešimų apie </w:t>
      </w:r>
      <w:r w:rsidRPr="00AB7860">
        <w:rPr>
          <w:rFonts w:ascii="Times New Roman" w:hAnsi="Times New Roman" w:cs="Times New Roman"/>
          <w:color w:val="000000"/>
          <w:lang w:val="lt-LT"/>
        </w:rPr>
        <w:t>mažų ir vyresnių</w:t>
      </w:r>
      <w:r w:rsidRPr="00AB7860">
        <w:rPr>
          <w:rFonts w:ascii="Times New Roman" w:hAnsi="Times New Roman" w:cs="Times New Roman"/>
          <w:lang w:val="lt-LT"/>
        </w:rPr>
        <w:t xml:space="preserve"> vaikų, vartojusių imatinibą, augimo sulėtėjimą. LML sergančių vaikų populiacijoje, atlikto stebėjimo tyrimo duomenimis, buvo pastebėtas statistiškai reikšmingas (bet neaiškios klinikinės reikšmės) ūgio standartinio nuokrypio balų medianos sumažėjimas po 12 ir 24 gydymo mėnesių dviejuose mažuose pogrupiuose, nepriklausomai nuo lytinio brendimo ar lyties. Rekomenduojama atidžiai stebėti vaikų augimą gydant imatinibu (žr. 4.8 skyrių).</w:t>
      </w:r>
    </w:p>
    <w:p w14:paraId="59BBAC60" w14:textId="77777777" w:rsidR="00173803" w:rsidRPr="00AB7860" w:rsidRDefault="00173803" w:rsidP="00173803">
      <w:pPr>
        <w:spacing w:after="0" w:line="240" w:lineRule="auto"/>
        <w:rPr>
          <w:rFonts w:ascii="Times New Roman" w:hAnsi="Times New Roman" w:cs="Times New Roman"/>
          <w:lang w:val="lt-LT"/>
        </w:rPr>
      </w:pPr>
    </w:p>
    <w:p w14:paraId="0FD0BE69"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12" w:name="_Toc129243106"/>
      <w:bookmarkStart w:id="13" w:name="_Toc129243231"/>
      <w:r w:rsidRPr="00AB7860">
        <w:rPr>
          <w:rFonts w:ascii="Times New Roman" w:hAnsi="Times New Roman" w:cs="Times New Roman"/>
          <w:b/>
          <w:lang w:val="lt-LT"/>
        </w:rPr>
        <w:t>4.5</w:t>
      </w:r>
      <w:r w:rsidRPr="00AB7860">
        <w:rPr>
          <w:rFonts w:ascii="Times New Roman" w:hAnsi="Times New Roman" w:cs="Times New Roman"/>
          <w:b/>
          <w:lang w:val="lt-LT"/>
        </w:rPr>
        <w:tab/>
        <w:t>Sąveika su kitais vaistiniais preparatais ir kitokia sąveika</w:t>
      </w:r>
      <w:bookmarkEnd w:id="12"/>
      <w:bookmarkEnd w:id="13"/>
    </w:p>
    <w:p w14:paraId="56258C53"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79851F3F"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u w:val="single"/>
          <w:lang w:val="lt-LT"/>
        </w:rPr>
        <w:t xml:space="preserve">Veikliosios medžiagos, kurios gali </w:t>
      </w:r>
      <w:r w:rsidRPr="00AB7860">
        <w:rPr>
          <w:rFonts w:ascii="Times New Roman" w:hAnsi="Times New Roman" w:cs="Times New Roman"/>
          <w:b/>
          <w:u w:val="single"/>
          <w:lang w:val="lt-LT"/>
        </w:rPr>
        <w:t>didinti</w:t>
      </w:r>
      <w:r w:rsidRPr="00AB7860">
        <w:rPr>
          <w:rFonts w:ascii="Times New Roman" w:hAnsi="Times New Roman" w:cs="Times New Roman"/>
          <w:u w:val="single"/>
          <w:lang w:val="lt-LT"/>
        </w:rPr>
        <w:t xml:space="preserve"> imatinibo koncentraciją kraujo plazmoje</w:t>
      </w:r>
    </w:p>
    <w:p w14:paraId="030C9E97"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Medžiagos, kurios slopina citochromo P450 izofermento CYP3A4 </w:t>
      </w:r>
      <w:r w:rsidRPr="00AB7860">
        <w:rPr>
          <w:rFonts w:ascii="Times New Roman" w:hAnsi="Times New Roman" w:cs="Times New Roman"/>
          <w:color w:val="000000"/>
          <w:lang w:val="lt-LT"/>
        </w:rPr>
        <w:t>aktyvumą (pvz., proteazės inhibitoriai, tokie kaip indinaviras, lopinaviras/ritonaviras, ritonaviras, sakvinaviras, telapreviras, nelfinaviras, bocepreviras; azolo grupės priešgrybeliniai preparatai, tokie kaip ketokonazolas, itrakonazolas, pozakonazolas, vorikonazolas; tam tikri makrolidai, kaip eritromicinas, klaritromicinas ir telitromicinas), gali slopinti</w:t>
      </w:r>
      <w:r w:rsidRPr="00AB7860">
        <w:rPr>
          <w:rFonts w:ascii="Times New Roman" w:hAnsi="Times New Roman" w:cs="Times New Roman"/>
          <w:lang w:val="lt-LT"/>
        </w:rPr>
        <w:t xml:space="preserve"> imatinibo metabolizmą ir padidinti jo koncentraciją. Nustatyta reikšmingai padidėjusi imatinibo ekspozicija (vidutinė imatinibo C</w:t>
      </w:r>
      <w:r w:rsidRPr="00AB7860">
        <w:rPr>
          <w:rFonts w:ascii="Times New Roman" w:hAnsi="Times New Roman" w:cs="Times New Roman"/>
          <w:vertAlign w:val="subscript"/>
          <w:lang w:val="lt-LT"/>
        </w:rPr>
        <w:t xml:space="preserve">max </w:t>
      </w:r>
      <w:r w:rsidRPr="00AB7860">
        <w:rPr>
          <w:rFonts w:ascii="Times New Roman" w:hAnsi="Times New Roman" w:cs="Times New Roman"/>
          <w:lang w:val="lt-LT"/>
        </w:rPr>
        <w:t>ir AUC padidėjo atitinkamai 26 % ir 40 %) sveikiems savanoriams, kurie kartu vartojo vienkartinę ketokonazolo (CYP3A4 inhibitoriaus) dozę. Būtina laikytis atsargumo priemonių, kai imatinibas skiriamas kartu su CYP3A4 šeimos inhibitoriais.</w:t>
      </w:r>
    </w:p>
    <w:p w14:paraId="162CAD26"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4AFB3750"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u w:val="single"/>
          <w:lang w:val="lt-LT"/>
        </w:rPr>
        <w:t xml:space="preserve">Veikliosios medžiagos, kurios gali </w:t>
      </w:r>
      <w:r w:rsidRPr="00AB7860">
        <w:rPr>
          <w:rFonts w:ascii="Times New Roman" w:hAnsi="Times New Roman" w:cs="Times New Roman"/>
          <w:b/>
          <w:u w:val="single"/>
          <w:lang w:val="lt-LT"/>
        </w:rPr>
        <w:t>mažinti</w:t>
      </w:r>
      <w:r w:rsidRPr="00AB7860">
        <w:rPr>
          <w:rFonts w:ascii="Times New Roman" w:hAnsi="Times New Roman" w:cs="Times New Roman"/>
          <w:u w:val="single"/>
          <w:lang w:val="lt-LT"/>
        </w:rPr>
        <w:t xml:space="preserve"> imatinibo koncentraciją kraujo plazmoje</w:t>
      </w:r>
    </w:p>
    <w:p w14:paraId="2285E4D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Medžiagos, kurios indukuoja CYP3A4 aktyvumą (pvz., deksametazonas, fenitoinas, karbamazepinas, rifampicinas, fenobarbitalis, fosfenitoinas, primidonas ar </w:t>
      </w:r>
      <w:r w:rsidRPr="00AB7860">
        <w:rPr>
          <w:rFonts w:ascii="Times New Roman" w:hAnsi="Times New Roman" w:cs="Times New Roman"/>
          <w:i/>
          <w:lang w:val="lt-LT"/>
        </w:rPr>
        <w:t>Hypericum perforatum</w:t>
      </w:r>
      <w:r w:rsidRPr="00AB7860">
        <w:rPr>
          <w:rFonts w:ascii="Times New Roman" w:hAnsi="Times New Roman" w:cs="Times New Roman"/>
          <w:lang w:val="lt-LT"/>
        </w:rPr>
        <w:t>, t.y. paprastoji jonažolė), gali reikšmingai sumažinti imatinibo ekspoziciją ir padidinti nesėkmingo gydymo tikimybę. Po iš pradžių skirto gydymo daugkartinėmis rifampicino 600 mg dozėmis, suvartojus vienkartinę 400 mg imatinibo dozę, imatinibo C</w:t>
      </w:r>
      <w:r w:rsidRPr="00AB7860">
        <w:rPr>
          <w:rFonts w:ascii="Times New Roman" w:hAnsi="Times New Roman" w:cs="Times New Roman"/>
          <w:vertAlign w:val="subscript"/>
          <w:lang w:val="lt-LT"/>
        </w:rPr>
        <w:t>max</w:t>
      </w:r>
      <w:r w:rsidRPr="00AB7860">
        <w:rPr>
          <w:rFonts w:ascii="Times New Roman" w:hAnsi="Times New Roman" w:cs="Times New Roman"/>
          <w:lang w:val="lt-LT"/>
        </w:rPr>
        <w:t xml:space="preserve"> ir AUC</w:t>
      </w:r>
      <w:r w:rsidRPr="00AB7860">
        <w:rPr>
          <w:rFonts w:ascii="Times New Roman" w:hAnsi="Times New Roman" w:cs="Times New Roman"/>
          <w:vertAlign w:val="subscript"/>
          <w:lang w:val="lt-LT"/>
        </w:rPr>
        <w:t>(0-∞)</w:t>
      </w:r>
      <w:r w:rsidRPr="00AB7860">
        <w:rPr>
          <w:rFonts w:ascii="Times New Roman" w:hAnsi="Times New Roman" w:cs="Times New Roman"/>
          <w:lang w:val="lt-LT"/>
        </w:rPr>
        <w:t xml:space="preserve"> sumažėjo atitinkamai 54 % ir 74 % lyginant su atitinkamais duomenimis be rifampicino vartojimo. Panašūs rezultatai pastebėti imatinibą skyrus piktybinėmis gliomomis sergantiems pacientams, vartojusiems fermentus indukuojančius </w:t>
      </w:r>
      <w:r w:rsidRPr="00AB7860">
        <w:rPr>
          <w:rFonts w:ascii="Times New Roman" w:eastAsia="Times New Roman" w:hAnsi="Times New Roman" w:cs="Times New Roman"/>
          <w:lang w:val="lt-LT" w:eastAsia="de-DE"/>
        </w:rPr>
        <w:t>vaistinius preparatus</w:t>
      </w:r>
      <w:r w:rsidRPr="00AB7860">
        <w:rPr>
          <w:rFonts w:ascii="Times New Roman" w:hAnsi="Times New Roman" w:cs="Times New Roman"/>
          <w:lang w:val="lt-LT"/>
        </w:rPr>
        <w:t xml:space="preserve"> nuo epilepsijos </w:t>
      </w:r>
      <w:r w:rsidRPr="00AB7860">
        <w:rPr>
          <w:rFonts w:ascii="Times New Roman" w:hAnsi="Times New Roman" w:cs="Times New Roman"/>
          <w:lang w:val="lt-LT"/>
        </w:rPr>
        <w:lastRenderedPageBreak/>
        <w:t>(FIVNE), pavyzdžiui, karbamazepiną, okskarbazepiną ir fenitoiną. Lyginant su FIVNE nevartojusiais pacientais, vartojant FIVNE, plotas po imatinibo koncentracijos plazmoje kreive AUC sumažėjo 73 %. Reikia vengti imatinibą vartoti kartu su rifampicinu ar kitais stipriais CYP3A4 induktoriais.</w:t>
      </w:r>
    </w:p>
    <w:p w14:paraId="05A99BE0"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b/>
          <w:lang w:val="lt-LT" w:eastAsia="de-DE"/>
        </w:rPr>
      </w:pPr>
    </w:p>
    <w:p w14:paraId="56CD8C95" w14:textId="77777777" w:rsidR="00173803" w:rsidRPr="00AB7860" w:rsidRDefault="00173803" w:rsidP="00173803">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Veikliosios medžiagos, kurių koncentraciją kraujo plazmoje gali keisti imatinibas</w:t>
      </w:r>
    </w:p>
    <w:p w14:paraId="2697106A"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Imatinibas padidina simvastatino (CYP3A4 substrato) C</w:t>
      </w:r>
      <w:r w:rsidRPr="00AB7860">
        <w:rPr>
          <w:rFonts w:ascii="Times New Roman" w:hAnsi="Times New Roman" w:cs="Times New Roman"/>
          <w:vertAlign w:val="subscript"/>
          <w:lang w:val="lt-LT"/>
        </w:rPr>
        <w:t>max</w:t>
      </w:r>
      <w:r w:rsidRPr="00AB7860">
        <w:rPr>
          <w:rFonts w:ascii="Times New Roman" w:hAnsi="Times New Roman" w:cs="Times New Roman"/>
          <w:lang w:val="lt-LT"/>
        </w:rPr>
        <w:t xml:space="preserve"> ir AUC atitinkamai 2 kartus ir 3,5 karto. Tai rodo, kad imatinibas slopina CYP3A4. Todėl būtina laikytis atsargumo priemonių, kai imatinibas vartojamas kartu su CYP3A4 substratais, kurių yra siaura terapinė platuma (</w:t>
      </w:r>
      <w:r w:rsidRPr="00AB7860">
        <w:rPr>
          <w:rFonts w:ascii="Times New Roman" w:hAnsi="Times New Roman" w:cs="Times New Roman"/>
          <w:color w:val="000000"/>
          <w:lang w:val="lt-LT"/>
        </w:rPr>
        <w:t>pvz., ciklosporino, pimozido, takrolimuzo, sirolimuzo, ergotamino, diergotamino, fentanilio, alfentanilio, terfenadino, bortezomibo, docetakselio ir chinidino). Imatinibas gali padidinti kitų CYP3A4 metabo</w:t>
      </w:r>
      <w:r w:rsidRPr="00AB7860">
        <w:rPr>
          <w:rFonts w:ascii="Times New Roman" w:hAnsi="Times New Roman" w:cs="Times New Roman"/>
          <w:lang w:val="lt-LT"/>
        </w:rPr>
        <w:t xml:space="preserve">lizuojamų </w:t>
      </w:r>
      <w:r w:rsidRPr="00AB7860">
        <w:rPr>
          <w:rFonts w:ascii="Times New Roman" w:eastAsia="Times New Roman" w:hAnsi="Times New Roman" w:cs="Times New Roman"/>
          <w:lang w:val="lt-LT" w:eastAsia="de-DE"/>
        </w:rPr>
        <w:t>vaistinių preparatų</w:t>
      </w:r>
      <w:r w:rsidRPr="00AB7860">
        <w:rPr>
          <w:rFonts w:ascii="Times New Roman" w:hAnsi="Times New Roman" w:cs="Times New Roman"/>
          <w:lang w:val="lt-LT"/>
        </w:rPr>
        <w:t xml:space="preserve"> (pvz., triazolo grupės benzodiazepinų, dihidropiridino grupės kalcio kanalų blokatorių, tam tikrų HMG-KoA reduktazės inhibitorių, t.y. statinų, ir kt.) koncentraciją kraujo plazmoje.</w:t>
      </w:r>
    </w:p>
    <w:p w14:paraId="0C5D75A6" w14:textId="77777777" w:rsidR="00173803" w:rsidRPr="00AB7860" w:rsidRDefault="00173803" w:rsidP="00173803">
      <w:pPr>
        <w:tabs>
          <w:tab w:val="center" w:pos="4819"/>
          <w:tab w:val="right" w:pos="9071"/>
        </w:tabs>
        <w:spacing w:after="0" w:line="240" w:lineRule="auto"/>
        <w:rPr>
          <w:rFonts w:ascii="Times New Roman" w:hAnsi="Times New Roman" w:cs="Times New Roman"/>
          <w:color w:val="000000"/>
          <w:lang w:val="lt-LT"/>
        </w:rPr>
      </w:pPr>
    </w:p>
    <w:p w14:paraId="78770B30" w14:textId="77777777" w:rsidR="00173803" w:rsidRPr="00AB7860" w:rsidRDefault="00173803" w:rsidP="00173803">
      <w:pPr>
        <w:tabs>
          <w:tab w:val="center" w:pos="4819"/>
          <w:tab w:val="right" w:pos="9071"/>
        </w:tabs>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Įvertinus vartojantiesiems imatinibo nustatytą padidėjusią kraujavimo (pvz., hemoragijos) riziką, pacientams, kuriuos reikia gydyti antikoaguliantais, reikėtų skirti mažos molekulinės masės ar standartinio heparino, o ne kumarino darinių, pavyzdžiui, varfarino.</w:t>
      </w:r>
    </w:p>
    <w:p w14:paraId="09F51EE3" w14:textId="77777777" w:rsidR="00173803" w:rsidRPr="00AB7860" w:rsidRDefault="00173803" w:rsidP="00173803">
      <w:pPr>
        <w:tabs>
          <w:tab w:val="center" w:pos="4819"/>
          <w:tab w:val="right" w:pos="9071"/>
        </w:tabs>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 </w:t>
      </w:r>
    </w:p>
    <w:p w14:paraId="1BAE940D"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i/>
          <w:lang w:val="lt-LT"/>
        </w:rPr>
        <w:t>In vitro</w:t>
      </w:r>
      <w:r w:rsidRPr="00AB7860">
        <w:rPr>
          <w:rFonts w:ascii="Times New Roman" w:hAnsi="Times New Roman" w:cs="Times New Roman"/>
          <w:lang w:val="lt-LT"/>
        </w:rPr>
        <w:t xml:space="preserve"> imatinibas slopina citochromo P450 izofermento CYP2D6 aktyvumą, kai jo koncentracija yra panaši į tą, kuri veikia CYP3A4 aktyvumą. Vartojant imatinibo 400 mg du kartus per parą, slopinamas metoprololio metabolizmas CYP2D6 fermentų sistemoje, todėl metoprololio C</w:t>
      </w:r>
      <w:r w:rsidRPr="00AB7860">
        <w:rPr>
          <w:rFonts w:ascii="Times New Roman" w:hAnsi="Times New Roman" w:cs="Times New Roman"/>
          <w:vertAlign w:val="subscript"/>
          <w:lang w:val="lt-LT"/>
        </w:rPr>
        <w:t xml:space="preserve">max </w:t>
      </w:r>
      <w:r w:rsidRPr="00AB7860">
        <w:rPr>
          <w:rFonts w:ascii="Times New Roman" w:hAnsi="Times New Roman" w:cs="Times New Roman"/>
          <w:lang w:val="lt-LT"/>
        </w:rPr>
        <w:t>ir AUC padidėjo maždaug 23 % (90 % PI [1,16-1,30]). Kai imatinibas yra vartojamas kartu su CYP2D6 substratais, dozės koreguoti nereikėtų, tačiau būtina laikytis atsargumo priemonių, kai skiriami siauros terapinės platumos CYP2D6 substratai, tokie kaip metoprololis. Metoprololiu gydomus pacientus patariama atidžiai stebėti.</w:t>
      </w:r>
    </w:p>
    <w:p w14:paraId="1372894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2C09E288"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i/>
          <w:lang w:val="lt-LT"/>
        </w:rPr>
        <w:t>In vitro</w:t>
      </w:r>
      <w:r w:rsidRPr="00AB7860">
        <w:rPr>
          <w:rFonts w:ascii="Times New Roman" w:hAnsi="Times New Roman" w:cs="Times New Roman"/>
          <w:lang w:val="lt-LT"/>
        </w:rPr>
        <w:t xml:space="preserve"> imatinibas slopina paracetamolio O-gliukuroninimą, kai Ki</w:t>
      </w:r>
      <w:r w:rsidRPr="00AB7860">
        <w:rPr>
          <w:rFonts w:ascii="Times New Roman" w:hAnsi="Times New Roman" w:cs="Times New Roman"/>
          <w:i/>
          <w:lang w:val="lt-LT"/>
        </w:rPr>
        <w:t xml:space="preserve"> </w:t>
      </w:r>
      <w:r w:rsidRPr="00AB7860">
        <w:rPr>
          <w:rFonts w:ascii="Times New Roman" w:hAnsi="Times New Roman" w:cs="Times New Roman"/>
          <w:lang w:val="lt-LT"/>
        </w:rPr>
        <w:t xml:space="preserve">vertė yra 58,5 μmol/l. </w:t>
      </w:r>
      <w:r w:rsidRPr="00AB7860">
        <w:rPr>
          <w:rFonts w:ascii="Times New Roman" w:hAnsi="Times New Roman" w:cs="Times New Roman"/>
          <w:i/>
          <w:lang w:val="lt-LT"/>
        </w:rPr>
        <w:t>In vivo</w:t>
      </w:r>
      <w:r w:rsidRPr="00AB7860">
        <w:rPr>
          <w:rFonts w:ascii="Times New Roman" w:hAnsi="Times New Roman" w:cs="Times New Roman"/>
          <w:lang w:val="lt-LT"/>
        </w:rPr>
        <w:t xml:space="preserve"> kartu pavartojus 400 mg imatinibo ir 1000 mg paracetamolio tokio slopinimo nenustatyta. Dėl didesnių imatinibo ir paracetamolio dozių vartojimo tyrimų neatlikta. </w:t>
      </w:r>
    </w:p>
    <w:p w14:paraId="12443E8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F202ABE"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Todėl reikia atsargiai vartoti dideles imatinibo dozes kartu su paracetamoliu.</w:t>
      </w:r>
    </w:p>
    <w:p w14:paraId="7014A977"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63B63064"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Pacientams, skiriant imatinibo kartu su levotiroksinu po skydliaukės pašalinimo, gali sumažėti levotiroksino kiekis kraujo plazmoje (žr. 4.4 skyrių), todėl juos vartojant kartu atsargumo priemonės yra rekomenduojamos. Vis dėlto, šiuo metu, stebėtos sąveikos mechanizmas yra nežinomas.</w:t>
      </w:r>
    </w:p>
    <w:p w14:paraId="5F6B5766"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3404D38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Yra klinikinės patirties kartu vartojant imatinibą ir chemoterapiją pacientų, sergančiųjų Ph+ ūmine limfoidine leukemija (ŪLL), tarpe (žr. 5.1 skyrių), bet </w:t>
      </w:r>
      <w:r w:rsidRPr="00AB7860">
        <w:rPr>
          <w:rFonts w:ascii="Times New Roman" w:eastAsia="Times New Roman" w:hAnsi="Times New Roman" w:cs="Times New Roman"/>
          <w:lang w:val="lt-LT"/>
        </w:rPr>
        <w:t>vaistinių preparatų</w:t>
      </w:r>
      <w:r w:rsidRPr="00AB7860">
        <w:rPr>
          <w:rFonts w:ascii="Times New Roman" w:hAnsi="Times New Roman" w:cs="Times New Roman"/>
          <w:lang w:val="lt-LT"/>
        </w:rPr>
        <w:t xml:space="preserve"> sąveikos tarp imatinibo ir chemoterapijai vartojamų vaistinių preparatų nėra gerai aprašytos. Imatinibo sukeliamų nepageidaujamų reiškinių, pvz., hepatotoksiškumo, kaulų čiulpų supresijos arba kitų, gali daugėti ir pranešta, kad kartu vartojant L-asparaginazės, gali padidėti hepatotoksiškumas (žr. 4.8 skyrių). Todėl, kartu su imatinibu vartojant kitų vaistinių preparatų, reikia specialių atsargumo priemonių.</w:t>
      </w:r>
    </w:p>
    <w:p w14:paraId="3834867D"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2184113" w14:textId="77777777" w:rsidR="00173803" w:rsidRPr="00AB7860" w:rsidRDefault="00173803" w:rsidP="00173803">
      <w:pPr>
        <w:tabs>
          <w:tab w:val="left" w:pos="851"/>
          <w:tab w:val="center" w:pos="4819"/>
          <w:tab w:val="right" w:pos="9071"/>
        </w:tabs>
        <w:spacing w:after="0" w:line="240" w:lineRule="auto"/>
        <w:ind w:left="567" w:hanging="567"/>
        <w:rPr>
          <w:rFonts w:ascii="Times New Roman" w:hAnsi="Times New Roman" w:cs="Times New Roman"/>
          <w:b/>
          <w:lang w:val="lt-LT"/>
        </w:rPr>
      </w:pPr>
      <w:bookmarkStart w:id="14" w:name="_Toc129243107"/>
      <w:bookmarkStart w:id="15" w:name="_Toc129243232"/>
      <w:r w:rsidRPr="00AB7860">
        <w:rPr>
          <w:rFonts w:ascii="Times New Roman" w:hAnsi="Times New Roman" w:cs="Times New Roman"/>
          <w:b/>
          <w:lang w:val="lt-LT"/>
        </w:rPr>
        <w:t>4.6</w:t>
      </w:r>
      <w:r w:rsidRPr="00AB7860">
        <w:rPr>
          <w:rFonts w:ascii="Times New Roman" w:hAnsi="Times New Roman" w:cs="Times New Roman"/>
          <w:b/>
          <w:lang w:val="lt-LT"/>
        </w:rPr>
        <w:tab/>
        <w:t>Vaisingumas, nėštumo ir žindymo laikotarpis</w:t>
      </w:r>
      <w:bookmarkEnd w:id="14"/>
      <w:bookmarkEnd w:id="15"/>
    </w:p>
    <w:p w14:paraId="078563AD"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234D9B4C" w14:textId="77777777" w:rsidR="00173803" w:rsidRPr="00AB7860" w:rsidRDefault="00173803" w:rsidP="00173803">
      <w:pPr>
        <w:autoSpaceDE w:val="0"/>
        <w:autoSpaceDN w:val="0"/>
        <w:adjustRightInd w:val="0"/>
        <w:spacing w:after="0" w:line="240" w:lineRule="auto"/>
        <w:rPr>
          <w:rFonts w:ascii="Times New Roman" w:eastAsia="Times New Roman" w:hAnsi="Times New Roman" w:cs="Times New Roman"/>
          <w:color w:val="000000"/>
          <w:u w:val="single"/>
          <w:lang w:val="lt-LT" w:eastAsia="lt-LT"/>
        </w:rPr>
      </w:pPr>
      <w:r w:rsidRPr="00AB7860">
        <w:rPr>
          <w:rFonts w:ascii="Times New Roman" w:eastAsia="Times New Roman" w:hAnsi="Times New Roman" w:cs="Times New Roman"/>
          <w:color w:val="000000"/>
          <w:u w:val="single"/>
          <w:lang w:val="lt-LT" w:eastAsia="lt-LT"/>
        </w:rPr>
        <w:t>Vaisingos moterys</w:t>
      </w:r>
    </w:p>
    <w:p w14:paraId="734B75F8" w14:textId="52234A94" w:rsidR="00173803" w:rsidRPr="004C04CC"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Vaisingo</w:t>
      </w:r>
      <w:r w:rsidR="00CE66AE">
        <w:rPr>
          <w:rFonts w:ascii="Times New Roman" w:hAnsi="Times New Roman" w:cs="Times New Roman"/>
          <w:color w:val="000000"/>
          <w:lang w:val="lt-LT"/>
        </w:rPr>
        <w:t>ms</w:t>
      </w:r>
      <w:r w:rsidRPr="00AB7860">
        <w:rPr>
          <w:rFonts w:ascii="Times New Roman" w:hAnsi="Times New Roman" w:cs="Times New Roman"/>
          <w:color w:val="000000"/>
          <w:lang w:val="lt-LT"/>
        </w:rPr>
        <w:t xml:space="preserve"> moterims reikia patarti, kad gydymo metu </w:t>
      </w:r>
      <w:r w:rsidR="00D95BB9" w:rsidRPr="00AB7860">
        <w:rPr>
          <w:rFonts w:ascii="Times New Roman" w:hAnsi="Times New Roman" w:cs="Times New Roman"/>
          <w:color w:val="000000"/>
          <w:lang w:val="lt-LT"/>
        </w:rPr>
        <w:t xml:space="preserve">ir mažiausiai 15 dienų po gydymo imatinibu nutraukimo </w:t>
      </w:r>
      <w:r w:rsidRPr="00AB7860">
        <w:rPr>
          <w:rFonts w:ascii="Times New Roman" w:hAnsi="Times New Roman" w:cs="Times New Roman"/>
          <w:color w:val="000000"/>
          <w:lang w:val="lt-LT"/>
        </w:rPr>
        <w:t xml:space="preserve">jos turi naudoti veiksmingą kontracepcijos metodą. </w:t>
      </w:r>
    </w:p>
    <w:p w14:paraId="30F99040" w14:textId="77777777" w:rsidR="00D95BB9" w:rsidRPr="00AB7860" w:rsidRDefault="00D95BB9" w:rsidP="00173803">
      <w:pPr>
        <w:autoSpaceDE w:val="0"/>
        <w:autoSpaceDN w:val="0"/>
        <w:adjustRightInd w:val="0"/>
        <w:spacing w:after="0" w:line="240" w:lineRule="auto"/>
        <w:rPr>
          <w:rFonts w:ascii="Times New Roman" w:eastAsia="Times New Roman" w:hAnsi="Times New Roman" w:cs="Times New Roman"/>
          <w:color w:val="000000"/>
          <w:lang w:val="lt-LT" w:eastAsia="lt-LT"/>
        </w:rPr>
      </w:pPr>
    </w:p>
    <w:p w14:paraId="711FA31D"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color w:val="000000"/>
          <w:u w:val="single"/>
          <w:lang w:val="lt-LT"/>
        </w:rPr>
        <w:t xml:space="preserve">Nėštumas </w:t>
      </w:r>
    </w:p>
    <w:p w14:paraId="65C194C1"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lang w:val="lt-LT"/>
        </w:rPr>
        <w:t>Yra mažai duomenų apie imatinibo vartojimą nėštumo metu.</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 xml:space="preserve">Vaistiniam preparatui patekus į rinką gauta pranešimų apie imatinibą vartojusioms moterims pasireiškusius spontaninių abortų atvejus ir įgimtas kūdikių anomalijas. Su gyvūnais atlikti tyrimai parodė toksinį poveikį reprodukcijai (žr. 5.3 skyrių), tačiau galimas pavojus vaisiui nežinomas. Imatinibo nėštumo metu vartoti negalima, išskyrus neabejotinai būtinus atvejus. Nėščiąją, kuriai skiriama vaistinio preparato, reikia informuoti apie galimą riziką vaisiui. </w:t>
      </w:r>
    </w:p>
    <w:p w14:paraId="4E74AED1" w14:textId="77777777" w:rsidR="00173803" w:rsidRPr="00AB7860" w:rsidRDefault="00173803" w:rsidP="00173803">
      <w:pPr>
        <w:autoSpaceDE w:val="0"/>
        <w:autoSpaceDN w:val="0"/>
        <w:adjustRightInd w:val="0"/>
        <w:spacing w:after="0" w:line="240" w:lineRule="auto"/>
        <w:rPr>
          <w:rFonts w:ascii="Times New Roman" w:eastAsia="Times New Roman" w:hAnsi="Times New Roman" w:cs="Times New Roman"/>
          <w:color w:val="000000"/>
          <w:u w:val="single"/>
          <w:lang w:val="lt-LT" w:eastAsia="lt-LT"/>
        </w:rPr>
      </w:pPr>
    </w:p>
    <w:p w14:paraId="6D6367AF"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color w:val="000000"/>
          <w:u w:val="single"/>
          <w:lang w:val="lt-LT"/>
        </w:rPr>
        <w:t xml:space="preserve">Žindymas </w:t>
      </w:r>
    </w:p>
    <w:p w14:paraId="198D83A9"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Yra mažai duomenų apie imatinibo išsiskyrimą į motinos pieną. Du žindančių moterų tyrimai parodė, kad tiek imatinibo, tiek jo aktyvaus metabolito gali išsiskirti į žindyvės pieną. Nustatyta, kad imatinibo ir jo metabolito koncentracijų piene ir kraujo plazmoje santykis vienai pacientei tenka atitinkamai, 0,5 ir 0,9; tai rodo, kad į pieną daugiau išsiskiria vaistinio preparato metabolito. Atsižvelgiant į suminę imatinibo ir jo metabolito koncentraciją bei didžiausią kūdikio suvartojamą pieno kiekį per parą, tikėtina, kad bendroji ekspozicija galėtų būti nedidelė (~10 % terapinės dozės). Tačiau, kadangi nedidelės imatinibo dozės poveikis kūdikiui nežinomas, </w:t>
      </w:r>
      <w:r w:rsidR="00C00D27" w:rsidRPr="00AB7860">
        <w:rPr>
          <w:rFonts w:ascii="Times New Roman" w:hAnsi="Times New Roman" w:cs="Times New Roman"/>
          <w:lang w:val="lt-LT"/>
        </w:rPr>
        <w:t xml:space="preserve">gydymo metu ir mažiausiai 15 dienų po gydymo </w:t>
      </w:r>
      <w:r w:rsidRPr="00AB7860">
        <w:rPr>
          <w:rFonts w:ascii="Times New Roman" w:hAnsi="Times New Roman" w:cs="Times New Roman"/>
          <w:lang w:val="lt-LT"/>
        </w:rPr>
        <w:t>imatinib</w:t>
      </w:r>
      <w:r w:rsidR="00C00D27" w:rsidRPr="00AB7860">
        <w:rPr>
          <w:rFonts w:ascii="Times New Roman" w:hAnsi="Times New Roman" w:cs="Times New Roman"/>
          <w:lang w:val="lt-LT"/>
        </w:rPr>
        <w:t>u</w:t>
      </w:r>
      <w:r w:rsidRPr="00AB7860">
        <w:rPr>
          <w:rFonts w:ascii="Times New Roman" w:hAnsi="Times New Roman" w:cs="Times New Roman"/>
          <w:lang w:val="lt-LT"/>
        </w:rPr>
        <w:t xml:space="preserve"> </w:t>
      </w:r>
      <w:r w:rsidR="00B97B75" w:rsidRPr="00AB7860">
        <w:rPr>
          <w:rFonts w:ascii="Times New Roman" w:hAnsi="Times New Roman" w:cs="Times New Roman"/>
          <w:lang w:val="lt-LT"/>
        </w:rPr>
        <w:t xml:space="preserve">nutraukimo </w:t>
      </w:r>
      <w:r w:rsidRPr="00AB7860">
        <w:rPr>
          <w:rFonts w:ascii="Times New Roman" w:hAnsi="Times New Roman" w:cs="Times New Roman"/>
          <w:lang w:val="lt-LT"/>
        </w:rPr>
        <w:t xml:space="preserve"> moterims žindyti negalima.</w:t>
      </w:r>
    </w:p>
    <w:p w14:paraId="6500B133" w14:textId="77777777" w:rsidR="00B97B75" w:rsidRPr="00AB7860" w:rsidRDefault="00B97B75" w:rsidP="00173803">
      <w:pPr>
        <w:autoSpaceDE w:val="0"/>
        <w:autoSpaceDN w:val="0"/>
        <w:adjustRightInd w:val="0"/>
        <w:spacing w:after="0" w:line="240" w:lineRule="auto"/>
        <w:rPr>
          <w:rFonts w:ascii="Times New Roman" w:hAnsi="Times New Roman" w:cs="Times New Roman"/>
          <w:lang w:val="lt-LT"/>
        </w:rPr>
      </w:pPr>
    </w:p>
    <w:p w14:paraId="669AE451"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color w:val="000000"/>
          <w:u w:val="single"/>
          <w:lang w:val="lt-LT"/>
        </w:rPr>
        <w:t>Vaisingumas</w:t>
      </w:r>
    </w:p>
    <w:p w14:paraId="5F35DBC1" w14:textId="77777777" w:rsidR="00173803" w:rsidRPr="00AB7860" w:rsidRDefault="00173803" w:rsidP="004C04CC">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Ikiklinikinių tyrimų metu, žiurkių patinų ir patelių vaisingumas nepakito</w:t>
      </w:r>
      <w:r w:rsidR="00B97B75" w:rsidRPr="00AB7860">
        <w:rPr>
          <w:rFonts w:ascii="Times New Roman" w:hAnsi="Times New Roman" w:cs="Times New Roman"/>
          <w:lang w:val="lt-LT"/>
        </w:rPr>
        <w:t xml:space="preserve">, </w:t>
      </w:r>
      <w:r w:rsidR="00B97B75" w:rsidRPr="004C04CC">
        <w:rPr>
          <w:rFonts w:ascii="Times New Roman" w:hAnsi="Times New Roman" w:cs="Times New Roman"/>
          <w:lang w:val="lt-LT"/>
        </w:rPr>
        <w:t>nors poveikis</w:t>
      </w:r>
      <w:r w:rsidR="00617DEA" w:rsidRPr="004C04CC">
        <w:rPr>
          <w:rFonts w:ascii="Times New Roman" w:hAnsi="Times New Roman" w:cs="Times New Roman"/>
          <w:lang w:val="lt-LT"/>
        </w:rPr>
        <w:t xml:space="preserve"> </w:t>
      </w:r>
      <w:r w:rsidR="00B97B75" w:rsidRPr="004C04CC">
        <w:rPr>
          <w:rFonts w:ascii="Times New Roman" w:hAnsi="Times New Roman" w:cs="Times New Roman"/>
          <w:lang w:val="lt-LT"/>
        </w:rPr>
        <w:t>reprodukciniams parametrams buvo pastebėtas</w:t>
      </w:r>
      <w:r w:rsidRPr="00AB7860">
        <w:rPr>
          <w:rFonts w:ascii="Times New Roman" w:hAnsi="Times New Roman" w:cs="Times New Roman"/>
          <w:lang w:val="lt-LT"/>
        </w:rPr>
        <w:t xml:space="preserve"> (žr. 5.3 skyrių). Nebuvo atlikta tyrimų, imatinibo skiriant pacientams, taigi vaistinio preparato poveikis vaisingumui ir gametogenezei nebuvo ištirtas. Dėl gydymo imatinibo poveikio vaisingumui, pacientams reikėtų pasitarti su gydytoju.</w:t>
      </w:r>
    </w:p>
    <w:p w14:paraId="303C5D45" w14:textId="77777777" w:rsidR="00173803" w:rsidRPr="00AB7860" w:rsidRDefault="00173803" w:rsidP="00B97B75">
      <w:pPr>
        <w:tabs>
          <w:tab w:val="center" w:pos="4819"/>
          <w:tab w:val="right" w:pos="9071"/>
        </w:tabs>
        <w:spacing w:after="0" w:line="240" w:lineRule="auto"/>
        <w:rPr>
          <w:rFonts w:ascii="Times New Roman" w:hAnsi="Times New Roman" w:cs="Times New Roman"/>
          <w:lang w:val="lt-LT"/>
        </w:rPr>
      </w:pPr>
    </w:p>
    <w:p w14:paraId="16D2F7F6" w14:textId="77777777" w:rsidR="00173803" w:rsidRPr="00AB7860" w:rsidRDefault="00173803" w:rsidP="00173803">
      <w:pPr>
        <w:tabs>
          <w:tab w:val="center" w:pos="4819"/>
          <w:tab w:val="right" w:pos="9071"/>
        </w:tabs>
        <w:spacing w:after="0" w:line="240" w:lineRule="auto"/>
        <w:ind w:left="567" w:hanging="567"/>
        <w:rPr>
          <w:rFonts w:ascii="Times New Roman" w:hAnsi="Times New Roman" w:cs="Times New Roman"/>
          <w:b/>
          <w:lang w:val="lt-LT"/>
        </w:rPr>
      </w:pPr>
      <w:bookmarkStart w:id="16" w:name="_Toc129243108"/>
      <w:bookmarkStart w:id="17" w:name="_Toc129243233"/>
      <w:r w:rsidRPr="00AB7860">
        <w:rPr>
          <w:rFonts w:ascii="Times New Roman" w:hAnsi="Times New Roman" w:cs="Times New Roman"/>
          <w:b/>
          <w:lang w:val="lt-LT"/>
        </w:rPr>
        <w:t>4.7</w:t>
      </w:r>
      <w:r w:rsidRPr="00AB7860">
        <w:rPr>
          <w:rFonts w:ascii="Times New Roman" w:hAnsi="Times New Roman" w:cs="Times New Roman"/>
          <w:b/>
          <w:lang w:val="lt-LT"/>
        </w:rPr>
        <w:tab/>
        <w:t>Poveikis gebėjimui vairuoti ir valdyti mechanizmus</w:t>
      </w:r>
      <w:bookmarkEnd w:id="16"/>
      <w:bookmarkEnd w:id="17"/>
    </w:p>
    <w:p w14:paraId="367F4E51" w14:textId="77777777" w:rsidR="00173803" w:rsidRPr="00AB7860" w:rsidRDefault="00173803" w:rsidP="00173803">
      <w:pPr>
        <w:spacing w:after="0" w:line="240" w:lineRule="auto"/>
        <w:rPr>
          <w:rFonts w:ascii="Times New Roman" w:hAnsi="Times New Roman" w:cs="Times New Roman"/>
          <w:lang w:val="lt-LT"/>
        </w:rPr>
      </w:pPr>
    </w:p>
    <w:p w14:paraId="4CEC4AD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Pacientams reikia nurodyti, kad vartojant imatinibo gali būti nepageidaujamų poveikių, tokių kaip svaigulys, neryškus matymas ar mieguistumas, todėl vairuojant ar valdant mechanizmus būtina laikytis atsargumo priemonių.</w:t>
      </w:r>
    </w:p>
    <w:p w14:paraId="200137DD" w14:textId="77777777" w:rsidR="00173803" w:rsidRPr="00AB7860" w:rsidRDefault="00173803" w:rsidP="00173803">
      <w:pPr>
        <w:tabs>
          <w:tab w:val="center" w:pos="4819"/>
          <w:tab w:val="right" w:pos="9071"/>
        </w:tabs>
        <w:spacing w:after="0" w:line="240" w:lineRule="auto"/>
        <w:ind w:left="567" w:hanging="567"/>
        <w:rPr>
          <w:rFonts w:ascii="Times New Roman" w:hAnsi="Times New Roman" w:cs="Times New Roman"/>
          <w:b/>
          <w:lang w:val="lt-LT"/>
        </w:rPr>
      </w:pPr>
      <w:bookmarkStart w:id="18" w:name="_Toc129243109"/>
      <w:bookmarkStart w:id="19" w:name="_Toc129243234"/>
    </w:p>
    <w:p w14:paraId="69C8CD82" w14:textId="77777777" w:rsidR="00173803" w:rsidRPr="00AB7860" w:rsidRDefault="00173803" w:rsidP="00173803">
      <w:pPr>
        <w:tabs>
          <w:tab w:val="center" w:pos="4819"/>
          <w:tab w:val="right" w:pos="9071"/>
        </w:tabs>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4.8</w:t>
      </w:r>
      <w:r w:rsidRPr="00AB7860">
        <w:rPr>
          <w:rFonts w:ascii="Times New Roman" w:hAnsi="Times New Roman" w:cs="Times New Roman"/>
          <w:b/>
          <w:lang w:val="lt-LT"/>
        </w:rPr>
        <w:tab/>
        <w:t>Nepageidaujamas poveikis</w:t>
      </w:r>
      <w:bookmarkEnd w:id="18"/>
      <w:bookmarkEnd w:id="19"/>
    </w:p>
    <w:p w14:paraId="5780E538"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06E66BE4" w14:textId="77777777" w:rsidR="00173803" w:rsidRPr="00AB7860" w:rsidRDefault="00173803" w:rsidP="00173803">
      <w:pPr>
        <w:spacing w:after="0"/>
        <w:rPr>
          <w:rFonts w:ascii="Times New Roman" w:hAnsi="Times New Roman" w:cs="Times New Roman"/>
          <w:iCs/>
          <w:u w:val="single"/>
          <w:lang w:val="lt-LT" w:eastAsia="lt-LT"/>
        </w:rPr>
      </w:pPr>
      <w:r w:rsidRPr="00AB7860">
        <w:rPr>
          <w:rFonts w:ascii="Times New Roman" w:hAnsi="Times New Roman" w:cs="Times New Roman"/>
          <w:iCs/>
          <w:u w:val="single"/>
          <w:lang w:val="lt-LT" w:eastAsia="lt-LT"/>
        </w:rPr>
        <w:t>Saugumo duomenų santrauka</w:t>
      </w:r>
    </w:p>
    <w:p w14:paraId="50C5B570"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p>
    <w:p w14:paraId="4BCE5896"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Pacientams, sergantiems piktybiniais navikais, gali būti kitų sveikatos būklių, dėl kurių sunkiau nustatyti nepageidaujamų reiškinių priežastis dėl įvairių simptomų, susijusių su esančia liga, jos progresavimu ir dėl kitų kartu vartojamų vaistinių preparatų. </w:t>
      </w:r>
    </w:p>
    <w:p w14:paraId="4629569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3AEBF8D5" w14:textId="2D2EBE65"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Klinikinių LML tyrimų metu dėl nepageidaujamų su </w:t>
      </w:r>
      <w:r w:rsidRPr="00AB7860">
        <w:rPr>
          <w:rFonts w:ascii="Times New Roman" w:eastAsia="Times New Roman" w:hAnsi="Times New Roman" w:cs="Times New Roman"/>
          <w:lang w:val="lt-LT"/>
        </w:rPr>
        <w:t>vaistiniu preparatu</w:t>
      </w:r>
      <w:r w:rsidRPr="00AB7860">
        <w:rPr>
          <w:rFonts w:ascii="Times New Roman" w:hAnsi="Times New Roman" w:cs="Times New Roman"/>
          <w:lang w:val="lt-LT"/>
        </w:rPr>
        <w:t xml:space="preserve"> susijusių reakcijų vaistinio preparato vartojimą teko nutraukti 2,4</w:t>
      </w:r>
      <w:r w:rsidR="0084527C">
        <w:rPr>
          <w:rFonts w:ascii="Times New Roman" w:hAnsi="Times New Roman" w:cs="Times New Roman"/>
          <w:lang w:val="lt-LT"/>
        </w:rPr>
        <w:t> </w:t>
      </w:r>
      <w:r w:rsidRPr="00AB7860">
        <w:rPr>
          <w:rFonts w:ascii="Times New Roman" w:hAnsi="Times New Roman" w:cs="Times New Roman"/>
          <w:lang w:val="lt-LT"/>
        </w:rPr>
        <w:t>% pacientų, kuriems buvo naujai diagnozuota liga, 4</w:t>
      </w:r>
      <w:r w:rsidR="0084527C">
        <w:rPr>
          <w:rFonts w:ascii="Times New Roman" w:hAnsi="Times New Roman" w:cs="Times New Roman"/>
          <w:lang w:val="lt-LT"/>
        </w:rPr>
        <w:t> </w:t>
      </w:r>
      <w:r w:rsidRPr="00AB7860">
        <w:rPr>
          <w:rFonts w:ascii="Times New Roman" w:hAnsi="Times New Roman" w:cs="Times New Roman"/>
          <w:lang w:val="lt-LT"/>
        </w:rPr>
        <w:t>% pacientų, kuriems buvo vėlyvoji lėtinė ligos fazė po nesėkmingo gydymo interferonu, 4</w:t>
      </w:r>
      <w:r w:rsidR="0084527C">
        <w:rPr>
          <w:rFonts w:ascii="Times New Roman" w:hAnsi="Times New Roman" w:cs="Times New Roman"/>
          <w:lang w:val="lt-LT"/>
        </w:rPr>
        <w:t> </w:t>
      </w:r>
      <w:r w:rsidRPr="00AB7860">
        <w:rPr>
          <w:rFonts w:ascii="Times New Roman" w:hAnsi="Times New Roman" w:cs="Times New Roman"/>
          <w:lang w:val="lt-LT"/>
        </w:rPr>
        <w:t>% – kuriems buvo akceleracijos fazė po nesėkmingo gydymo interferonu ir 5</w:t>
      </w:r>
      <w:r w:rsidR="0084527C">
        <w:rPr>
          <w:rFonts w:ascii="Times New Roman" w:hAnsi="Times New Roman" w:cs="Times New Roman"/>
          <w:lang w:val="lt-LT"/>
        </w:rPr>
        <w:t> </w:t>
      </w:r>
      <w:r w:rsidRPr="00AB7860">
        <w:rPr>
          <w:rFonts w:ascii="Times New Roman" w:hAnsi="Times New Roman" w:cs="Times New Roman"/>
          <w:lang w:val="lt-LT"/>
        </w:rPr>
        <w:t xml:space="preserve">% – kuriems buvo blastinė krizė po nesėkmingo gydymo interferonu. VTSN tyrimų metu dėl </w:t>
      </w:r>
      <w:r w:rsidRPr="00AB7860">
        <w:rPr>
          <w:rFonts w:ascii="Times New Roman" w:eastAsia="Times New Roman" w:hAnsi="Times New Roman" w:cs="Times New Roman"/>
          <w:lang w:val="lt-LT"/>
        </w:rPr>
        <w:t>vaistinio preparato</w:t>
      </w:r>
      <w:r w:rsidRPr="00AB7860">
        <w:rPr>
          <w:rFonts w:ascii="Times New Roman" w:hAnsi="Times New Roman" w:cs="Times New Roman"/>
          <w:lang w:val="lt-LT"/>
        </w:rPr>
        <w:t xml:space="preserve"> sukeltų nepageidaujamų reakcijų vaistinio preparato vartojimą teko nutraukti 4</w:t>
      </w:r>
      <w:r w:rsidR="0084527C">
        <w:rPr>
          <w:rFonts w:ascii="Times New Roman" w:hAnsi="Times New Roman" w:cs="Times New Roman"/>
          <w:lang w:val="lt-LT"/>
        </w:rPr>
        <w:t> </w:t>
      </w:r>
      <w:r w:rsidRPr="00AB7860">
        <w:rPr>
          <w:rFonts w:ascii="Times New Roman" w:hAnsi="Times New Roman" w:cs="Times New Roman"/>
          <w:lang w:val="lt-LT"/>
        </w:rPr>
        <w:t>% pacientų.</w:t>
      </w:r>
    </w:p>
    <w:p w14:paraId="09B5E7A3"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22840D0B" w14:textId="5137CC65"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Nepageidaujamos reakcijos buvo panašios visoms indikacijoms, išskyrus dvi išimtis. Lyginant su VTSN sergančiais pacientais, sergant LML, dažniau stebėta mielosupresija, galinti priklausyti nuo esančios ligos. Klinikinio tyrimo duomenimis, iš jame dalyvavusių pacientų, kuriems buvo nerezekuotinas ir (arba) metastazavęs VTSN, 7 (5</w:t>
      </w:r>
      <w:r w:rsidR="0084527C">
        <w:rPr>
          <w:rFonts w:ascii="Times New Roman" w:hAnsi="Times New Roman" w:cs="Times New Roman"/>
          <w:lang w:val="lt-LT"/>
        </w:rPr>
        <w:t> </w:t>
      </w:r>
      <w:r w:rsidRPr="00AB7860">
        <w:rPr>
          <w:rFonts w:ascii="Times New Roman" w:hAnsi="Times New Roman" w:cs="Times New Roman"/>
          <w:lang w:val="lt-LT"/>
        </w:rPr>
        <w:t xml:space="preserve">%) pacientams buvo: CTC 3 ar 4 laipsnio kraujavimas iš virškinimo trakto (3 pacientams), vidunavikinis kraujavimas (3 pacientams) ar abu požymiai (1 pacientui). Virškinimo trakte esantis navikas gali būti kraujavimo šaltinis iš virškinamojo trakto (žr. 4.4 skyrių). Kraujavimas iš virškinimo trakto ir naviko gali būti sunkus ir kartais net mirtinas. Dažniausi (≥ 10 %) su </w:t>
      </w:r>
      <w:r w:rsidRPr="00AB7860">
        <w:rPr>
          <w:rFonts w:ascii="Times New Roman" w:eastAsia="Times New Roman" w:hAnsi="Times New Roman" w:cs="Times New Roman"/>
          <w:lang w:val="lt-LT"/>
        </w:rPr>
        <w:t>vaistiniu preparatu</w:t>
      </w:r>
      <w:r w:rsidRPr="00AB7860">
        <w:rPr>
          <w:rFonts w:ascii="Times New Roman" w:hAnsi="Times New Roman" w:cs="Times New Roman"/>
          <w:lang w:val="lt-LT"/>
        </w:rPr>
        <w:t xml:space="preserve"> susiję nepageidaujami reiškiniai buvo nestiprus pykinimas, vėmimas, viduriavimas, pilvo skausmas, nuovargis, mialgija, raumenų mėšlungis ir išbėrimas.</w:t>
      </w:r>
      <w:r w:rsidRPr="00AB7860">
        <w:rPr>
          <w:rFonts w:ascii="Times New Roman" w:hAnsi="Times New Roman" w:cs="Times New Roman"/>
          <w:b/>
          <w:lang w:val="lt-LT"/>
        </w:rPr>
        <w:t xml:space="preserve"> </w:t>
      </w:r>
      <w:r w:rsidRPr="00AB7860">
        <w:rPr>
          <w:rFonts w:ascii="Times New Roman" w:hAnsi="Times New Roman" w:cs="Times New Roman"/>
          <w:lang w:val="lt-LT"/>
        </w:rPr>
        <w:t xml:space="preserve">Visų tyrimų metu dažnai stebėta paviršinių edemų, dažniausiai – apie akis ar kojų edemos. Tačiau retai šios edemos buvo sunkios ir jas buvo galima  koreguoti diuretikais, kitomis pagalbinėmis priemonėmis ar sumažinus imatinibo dozę. </w:t>
      </w:r>
    </w:p>
    <w:p w14:paraId="3EF514A5"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p>
    <w:p w14:paraId="5B25D9E1"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Ph+ ŪLL sergantiems pacientams, vartojusiems imatinibą kartu su didelėmis chemoterapinių preparatų dozėmis, stebėtas laikinas toksinis poveikis kepenims, pasireiškęs transaminazių aktyvumo padidėjimu ir hiperbilirubinemija. </w:t>
      </w:r>
      <w:r w:rsidRPr="00AB7860">
        <w:rPr>
          <w:rFonts w:ascii="Times New Roman" w:eastAsia="Times New Roman" w:hAnsi="Times New Roman" w:cs="Times New Roman"/>
          <w:lang w:val="lt-LT"/>
        </w:rPr>
        <w:t xml:space="preserve">Atsižvelgiant į ribotus saugumo duomenis, iki šiol vaikams pasireiškusių </w:t>
      </w:r>
      <w:r w:rsidRPr="00AB7860">
        <w:rPr>
          <w:rFonts w:ascii="Times New Roman" w:eastAsia="Times New Roman" w:hAnsi="Times New Roman" w:cs="Times New Roman"/>
          <w:lang w:val="lt-LT"/>
        </w:rPr>
        <w:lastRenderedPageBreak/>
        <w:t>nepageidaujamų reiškinių pobūdis atitinka žinomus saugumo savybių duomenis Ph+ ŪLL sergantiems suaugusiesiems. Duomenys apie saugumo savybes Ph+ ŪLL sergantiems vaikams yra labai riboti, vis dėlto naujų nerimą keliančių saugumo duomenų nustatyta nebuvo.</w:t>
      </w:r>
    </w:p>
    <w:p w14:paraId="562461B5"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p>
    <w:p w14:paraId="4CC535D8"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Įvairios nepageidaujamos reakcijos, tokios kaip skystis pleuros ertmėje, ascitas, plaučių edema ar greitai didėjantis kūno svoris su paviršine edema ar be jos, gali būti bendrai vadinamos “skysčių susilaikymu”. Šias reakcijas galima gydyti laikinai nutraukiant imatinibo vartojimą ir diuretikais bei kitomis tinkamomis pagalbos priemonėmis. Tačiau kai kurios iš šių reakcijų gali būti sunkios ir pavojingos gyvybei. Keli pacientai, kuriems buvo blastinė krizė, mirė. Jiems pasireiškė keletas ligų: skysčio pleuros ertmėje, stazinio širdies nepakankamumo ir inkstų nepakankamumo. Ypatingų saugumo reiškinių vaikų klinikinių tyrimų metu nenustatyta. </w:t>
      </w:r>
    </w:p>
    <w:p w14:paraId="44AF782F"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1AA27F50"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color w:val="000000"/>
          <w:u w:val="single"/>
          <w:lang w:val="lt-LT"/>
        </w:rPr>
        <w:t>Nepageidaujamų reakcijų santrauka lentelėje</w:t>
      </w:r>
    </w:p>
    <w:p w14:paraId="66FAEA8A"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Nepageidaujamos reakcijos, pasireiškusios dažniau negu pavieniais atvejais, išvardytos žemiau pagal organų sistemas ir dažnį. Nepageidaujamo poveikio dažnis apibūdinamas taip: labai dažnas (≥ 1/10), dažnas (nuo ≥ 1/100 iki &lt; 1/10), nedažnas (nuo ≥ 1/1000 iki &lt; 1/100), retas (nuo ≥ 1/10000 iki &lt; 1/1000), labai retas (&lt; 1/10000) ir nežinomas (negali būti apskaičiuotas pagal turimus duomenis). </w:t>
      </w:r>
    </w:p>
    <w:p w14:paraId="43049F1A"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color w:val="000000"/>
          <w:lang w:val="lt-LT" w:eastAsia="de-DE"/>
        </w:rPr>
      </w:pPr>
    </w:p>
    <w:p w14:paraId="235882A9" w14:textId="77777777" w:rsidR="00173803" w:rsidRPr="00AB7860" w:rsidRDefault="00173803" w:rsidP="00173803">
      <w:pPr>
        <w:tabs>
          <w:tab w:val="center" w:pos="4819"/>
          <w:tab w:val="right" w:pos="9071"/>
        </w:tabs>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Kiekvienoje dažnio grupėje nepageidaujamas poveikis pateikiamas pagal pasireiškimo dažnumą. Dažniausiai pasireiškusieji pateikti pirmiausiai.</w:t>
      </w:r>
    </w:p>
    <w:p w14:paraId="15995B8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3759CEA5"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1 lentelėje </w:t>
      </w:r>
      <w:r w:rsidR="007A014B" w:rsidRPr="00AB7860">
        <w:rPr>
          <w:rFonts w:ascii="Times New Roman" w:hAnsi="Times New Roman" w:cs="Times New Roman"/>
          <w:lang w:val="lt-LT"/>
        </w:rPr>
        <w:t xml:space="preserve">yra </w:t>
      </w:r>
      <w:r w:rsidRPr="00AB7860">
        <w:rPr>
          <w:rFonts w:ascii="Times New Roman" w:hAnsi="Times New Roman" w:cs="Times New Roman"/>
          <w:lang w:val="lt-LT"/>
        </w:rPr>
        <w:t xml:space="preserve">išvardintos nepageidaujamos reakcijos ir jų pasireiškimo </w:t>
      </w:r>
      <w:r w:rsidRPr="00AB7860">
        <w:rPr>
          <w:rFonts w:ascii="Times New Roman" w:eastAsia="Times New Roman" w:hAnsi="Times New Roman" w:cs="Times New Roman"/>
          <w:lang w:val="lt-LT" w:eastAsia="de-DE"/>
        </w:rPr>
        <w:t>dažnumas</w:t>
      </w:r>
      <w:r w:rsidRPr="00AB7860">
        <w:rPr>
          <w:rFonts w:ascii="Times New Roman" w:hAnsi="Times New Roman" w:cs="Times New Roman"/>
          <w:lang w:val="lt-LT"/>
        </w:rPr>
        <w:t>.</w:t>
      </w:r>
    </w:p>
    <w:p w14:paraId="0B59600B" w14:textId="77777777" w:rsidR="007A014B" w:rsidRPr="00AB7860" w:rsidRDefault="007A014B" w:rsidP="00173803">
      <w:pPr>
        <w:tabs>
          <w:tab w:val="left" w:pos="1418"/>
          <w:tab w:val="center" w:pos="4819"/>
          <w:tab w:val="right" w:pos="9071"/>
        </w:tabs>
        <w:spacing w:after="0" w:line="240" w:lineRule="auto"/>
        <w:rPr>
          <w:rFonts w:ascii="Times New Roman" w:hAnsi="Times New Roman" w:cs="Times New Roman"/>
          <w:b/>
          <w:lang w:val="lt-LT"/>
        </w:rPr>
      </w:pPr>
    </w:p>
    <w:p w14:paraId="7EC64023" w14:textId="77777777" w:rsidR="00173803" w:rsidRPr="00AB7860" w:rsidRDefault="00173803" w:rsidP="00173803">
      <w:pPr>
        <w:tabs>
          <w:tab w:val="left" w:pos="1418"/>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1 lentelė</w:t>
      </w:r>
      <w:r w:rsidRPr="00AB7860">
        <w:rPr>
          <w:rFonts w:ascii="Times New Roman" w:hAnsi="Times New Roman" w:cs="Times New Roman"/>
          <w:b/>
          <w:lang w:val="lt-LT"/>
        </w:rPr>
        <w:tab/>
      </w:r>
      <w:r w:rsidRPr="00AB7860">
        <w:rPr>
          <w:rFonts w:ascii="Times New Roman" w:hAnsi="Times New Roman" w:cs="Times New Roman"/>
          <w:b/>
          <w:bCs/>
        </w:rPr>
        <w:t>Nepageidaujamų reakcijų santrauka</w:t>
      </w:r>
    </w:p>
    <w:p w14:paraId="16977D1F"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51"/>
      </w:tblGrid>
      <w:tr w:rsidR="00173803" w:rsidRPr="00AB7860" w14:paraId="5D38A4E1" w14:textId="77777777" w:rsidTr="00F5730F">
        <w:trPr>
          <w:trHeight w:val="144"/>
        </w:trPr>
        <w:tc>
          <w:tcPr>
            <w:tcW w:w="9304" w:type="dxa"/>
            <w:gridSpan w:val="2"/>
            <w:shd w:val="clear" w:color="auto" w:fill="auto"/>
          </w:tcPr>
          <w:p w14:paraId="4CA7D239" w14:textId="77777777" w:rsidR="00173803" w:rsidRPr="00AB7860" w:rsidRDefault="00173803" w:rsidP="00F5730F">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Infekcijos ir infestacijos</w:t>
            </w:r>
          </w:p>
        </w:tc>
      </w:tr>
      <w:tr w:rsidR="00173803" w:rsidRPr="00AB7860" w14:paraId="34959A2E" w14:textId="77777777" w:rsidTr="00F5730F">
        <w:trPr>
          <w:trHeight w:val="144"/>
        </w:trPr>
        <w:tc>
          <w:tcPr>
            <w:tcW w:w="4653" w:type="dxa"/>
            <w:shd w:val="clear" w:color="auto" w:fill="auto"/>
          </w:tcPr>
          <w:p w14:paraId="611A3336" w14:textId="72411E8D"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452B98E6"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Herpes zoster</w:t>
            </w:r>
            <w:r w:rsidRPr="00AB7860">
              <w:rPr>
                <w:rFonts w:ascii="Times New Roman" w:hAnsi="Times New Roman" w:cs="Times New Roman"/>
                <w:color w:val="000000"/>
                <w:lang w:val="lt-LT"/>
              </w:rPr>
              <w:t xml:space="preserve">, </w:t>
            </w:r>
            <w:r w:rsidRPr="00AB7860">
              <w:rPr>
                <w:rFonts w:ascii="Times New Roman" w:hAnsi="Times New Roman" w:cs="Times New Roman"/>
                <w:i/>
                <w:color w:val="000000"/>
                <w:lang w:val="lt-LT"/>
              </w:rPr>
              <w:t>Herpes simplex</w:t>
            </w:r>
            <w:r w:rsidRPr="00AB7860">
              <w:rPr>
                <w:rFonts w:ascii="Times New Roman" w:hAnsi="Times New Roman" w:cs="Times New Roman"/>
                <w:color w:val="000000"/>
                <w:lang w:val="lt-LT"/>
              </w:rPr>
              <w:t>, nosiaryklės uždegimas, pneumonija</w:t>
            </w:r>
            <w:r w:rsidRPr="00AB7860">
              <w:rPr>
                <w:rFonts w:ascii="Times New Roman" w:hAnsi="Times New Roman" w:cs="Times New Roman"/>
                <w:color w:val="000000"/>
                <w:vertAlign w:val="superscript"/>
                <w:lang w:val="lt-LT"/>
              </w:rPr>
              <w:t>1</w:t>
            </w:r>
            <w:r w:rsidRPr="00AB7860">
              <w:rPr>
                <w:rFonts w:ascii="Times New Roman" w:hAnsi="Times New Roman" w:cs="Times New Roman"/>
                <w:color w:val="000000"/>
                <w:lang w:val="lt-LT"/>
              </w:rPr>
              <w:t xml:space="preserve">, sinusitas, puriojo ląstelyno uždegimas (celiulitas), viršutinių kvėpavimo takų infekcija, gripas, šlapimo takų infekcija, gastroenteritas, sepsis </w:t>
            </w:r>
          </w:p>
        </w:tc>
      </w:tr>
      <w:tr w:rsidR="00173803" w:rsidRPr="00AB7860" w14:paraId="0D74FFFF" w14:textId="77777777" w:rsidTr="00F5730F">
        <w:trPr>
          <w:trHeight w:val="144"/>
        </w:trPr>
        <w:tc>
          <w:tcPr>
            <w:tcW w:w="4653" w:type="dxa"/>
            <w:shd w:val="clear" w:color="auto" w:fill="auto"/>
          </w:tcPr>
          <w:p w14:paraId="6A489C64" w14:textId="473DEE79"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w:t>
            </w:r>
            <w:r w:rsidR="002500FA">
              <w:rPr>
                <w:rFonts w:ascii="Times New Roman" w:hAnsi="Times New Roman" w:cs="Times New Roman"/>
                <w:i/>
                <w:color w:val="000000"/>
                <w:lang w:val="lt-LT"/>
              </w:rPr>
              <w:t>as</w:t>
            </w:r>
          </w:p>
        </w:tc>
        <w:tc>
          <w:tcPr>
            <w:tcW w:w="4651" w:type="dxa"/>
            <w:shd w:val="clear" w:color="auto" w:fill="auto"/>
          </w:tcPr>
          <w:p w14:paraId="7EA4A5A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Grybelinė infekcija </w:t>
            </w:r>
          </w:p>
        </w:tc>
      </w:tr>
      <w:tr w:rsidR="00173803" w:rsidRPr="00AB7860" w14:paraId="7C6977A7" w14:textId="77777777" w:rsidTr="00F5730F">
        <w:trPr>
          <w:trHeight w:val="144"/>
        </w:trPr>
        <w:tc>
          <w:tcPr>
            <w:tcW w:w="4653"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942"/>
            </w:tblGrid>
            <w:tr w:rsidR="00173803" w:rsidRPr="00AB7860" w14:paraId="3DD2DE8D" w14:textId="77777777" w:rsidTr="00F5730F">
              <w:trPr>
                <w:trHeight w:val="100"/>
              </w:trPr>
              <w:tc>
                <w:tcPr>
                  <w:tcW w:w="0" w:type="auto"/>
                </w:tcPr>
                <w:p w14:paraId="5C8D8FCF" w14:textId="77777777" w:rsidR="00173803" w:rsidRPr="00AB7860" w:rsidRDefault="00173803" w:rsidP="00F5730F">
                  <w:pPr>
                    <w:autoSpaceDE w:val="0"/>
                    <w:autoSpaceDN w:val="0"/>
                    <w:adjustRightInd w:val="0"/>
                    <w:spacing w:after="0" w:line="240" w:lineRule="auto"/>
                    <w:ind w:hanging="108"/>
                    <w:rPr>
                      <w:rFonts w:ascii="Times New Roman" w:hAnsi="Times New Roman" w:cs="Times New Roman"/>
                      <w:color w:val="000000"/>
                    </w:rPr>
                  </w:pPr>
                  <w:r w:rsidRPr="00AB7860">
                    <w:rPr>
                      <w:rFonts w:ascii="Times New Roman" w:hAnsi="Times New Roman" w:cs="Times New Roman"/>
                      <w:i/>
                      <w:iCs/>
                      <w:color w:val="000000"/>
                    </w:rPr>
                    <w:t xml:space="preserve">Dažnis nežinomas: </w:t>
                  </w:r>
                </w:p>
              </w:tc>
            </w:tr>
          </w:tbl>
          <w:p w14:paraId="5DB0A5B5"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i/>
                <w:iCs/>
                <w:color w:val="000000"/>
                <w:lang w:val="lt-LT" w:eastAsia="lt-LT"/>
              </w:rPr>
            </w:pPr>
          </w:p>
        </w:tc>
        <w:tc>
          <w:tcPr>
            <w:tcW w:w="4651" w:type="dxa"/>
            <w:shd w:val="clear" w:color="auto" w:fill="auto"/>
          </w:tcPr>
          <w:p w14:paraId="5CD1EC77" w14:textId="77777777" w:rsidR="00173803" w:rsidRPr="00AB7860" w:rsidRDefault="00173803" w:rsidP="00F5730F">
            <w:pPr>
              <w:pStyle w:val="Default"/>
              <w:rPr>
                <w:sz w:val="22"/>
                <w:szCs w:val="22"/>
              </w:rPr>
            </w:pPr>
            <w:r w:rsidRPr="00AB7860">
              <w:rPr>
                <w:sz w:val="22"/>
                <w:szCs w:val="22"/>
              </w:rPr>
              <w:t xml:space="preserve">Hepatito B reaktyvacija </w:t>
            </w:r>
          </w:p>
        </w:tc>
      </w:tr>
      <w:tr w:rsidR="00173803" w:rsidRPr="00AB7860" w14:paraId="734965C9" w14:textId="77777777" w:rsidTr="00F5730F">
        <w:trPr>
          <w:trHeight w:val="144"/>
        </w:trPr>
        <w:tc>
          <w:tcPr>
            <w:tcW w:w="9304" w:type="dxa"/>
            <w:gridSpan w:val="2"/>
            <w:shd w:val="clear" w:color="auto" w:fill="auto"/>
          </w:tcPr>
          <w:p w14:paraId="75204D7B" w14:textId="77777777" w:rsidR="00173803" w:rsidRPr="00AB7860" w:rsidRDefault="00173803" w:rsidP="00F5730F">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Gerybiniai, piktybiniai ir nepatikslinti navikai (tarp jų cistos ir polipai)</w:t>
            </w:r>
          </w:p>
        </w:tc>
      </w:tr>
      <w:tr w:rsidR="00173803" w:rsidRPr="00AB7860" w14:paraId="45CF1F1E" w14:textId="77777777" w:rsidTr="00F5730F">
        <w:trPr>
          <w:trHeight w:val="144"/>
        </w:trPr>
        <w:tc>
          <w:tcPr>
            <w:tcW w:w="4653" w:type="dxa"/>
            <w:shd w:val="clear" w:color="auto" w:fill="auto"/>
          </w:tcPr>
          <w:p w14:paraId="61D2C4D5" w14:textId="2DF27D7C" w:rsidR="00173803" w:rsidRPr="00AB7860" w:rsidRDefault="00173803" w:rsidP="00F5730F">
            <w:pPr>
              <w:tabs>
                <w:tab w:val="center" w:pos="4819"/>
                <w:tab w:val="right" w:pos="9071"/>
              </w:tabs>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6DD6001C" w14:textId="77777777" w:rsidR="00173803" w:rsidRPr="00AB7860" w:rsidRDefault="00173803" w:rsidP="00F5730F">
            <w:pPr>
              <w:tabs>
                <w:tab w:val="center" w:pos="4819"/>
                <w:tab w:val="right" w:pos="9071"/>
              </w:tabs>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Naviko lizės sindromas</w:t>
            </w:r>
          </w:p>
        </w:tc>
      </w:tr>
      <w:tr w:rsidR="00173803" w:rsidRPr="00AB7860" w14:paraId="24A48726" w14:textId="77777777" w:rsidTr="00F5730F">
        <w:trPr>
          <w:trHeight w:val="144"/>
        </w:trPr>
        <w:tc>
          <w:tcPr>
            <w:tcW w:w="4653" w:type="dxa"/>
            <w:shd w:val="clear" w:color="auto" w:fill="auto"/>
          </w:tcPr>
          <w:p w14:paraId="35E99FEF" w14:textId="77777777" w:rsidR="00173803" w:rsidRPr="00AB7860" w:rsidRDefault="00173803" w:rsidP="00F5730F">
            <w:pPr>
              <w:tabs>
                <w:tab w:val="center" w:pos="4819"/>
                <w:tab w:val="right" w:pos="9071"/>
              </w:tabs>
              <w:spacing w:after="0" w:line="240" w:lineRule="auto"/>
              <w:rPr>
                <w:rFonts w:ascii="Times New Roman" w:eastAsia="Times New Roman" w:hAnsi="Times New Roman" w:cs="Times New Roman"/>
                <w:i/>
                <w:lang w:val="lt-LT" w:eastAsia="de-DE"/>
              </w:rPr>
            </w:pPr>
            <w:r w:rsidRPr="00AB7860">
              <w:rPr>
                <w:rFonts w:ascii="Times New Roman" w:hAnsi="Times New Roman" w:cs="Times New Roman"/>
                <w:i/>
                <w:iCs/>
              </w:rPr>
              <w:t xml:space="preserve">Dažnis nežinomas: </w:t>
            </w:r>
          </w:p>
        </w:tc>
        <w:tc>
          <w:tcPr>
            <w:tcW w:w="4651" w:type="dxa"/>
            <w:shd w:val="clear" w:color="auto" w:fill="auto"/>
          </w:tcPr>
          <w:p w14:paraId="5EA96C17" w14:textId="77777777" w:rsidR="00173803" w:rsidRPr="00AB7860" w:rsidRDefault="00173803" w:rsidP="00F5730F">
            <w:pPr>
              <w:tabs>
                <w:tab w:val="center" w:pos="4819"/>
                <w:tab w:val="right" w:pos="9071"/>
              </w:tabs>
              <w:spacing w:after="0" w:line="240" w:lineRule="auto"/>
              <w:rPr>
                <w:rFonts w:ascii="Times New Roman" w:eastAsia="Times New Roman" w:hAnsi="Times New Roman" w:cs="Times New Roman"/>
                <w:color w:val="000000"/>
                <w:lang w:val="lt-LT" w:eastAsia="de-DE"/>
              </w:rPr>
            </w:pPr>
            <w:r w:rsidRPr="00AB7860">
              <w:rPr>
                <w:rFonts w:ascii="Times New Roman" w:hAnsi="Times New Roman" w:cs="Times New Roman"/>
              </w:rPr>
              <w:t xml:space="preserve">Naviko kraujosruva/naviko nekrozė* </w:t>
            </w:r>
          </w:p>
        </w:tc>
      </w:tr>
      <w:tr w:rsidR="00173803" w:rsidRPr="00AB7860" w14:paraId="2FE7D65A" w14:textId="77777777" w:rsidTr="00F5730F">
        <w:trPr>
          <w:trHeight w:val="144"/>
        </w:trPr>
        <w:tc>
          <w:tcPr>
            <w:tcW w:w="9304" w:type="dxa"/>
            <w:gridSpan w:val="2"/>
            <w:shd w:val="clear" w:color="auto" w:fill="auto"/>
          </w:tcPr>
          <w:tbl>
            <w:tblPr>
              <w:tblW w:w="0" w:type="auto"/>
              <w:tblBorders>
                <w:top w:val="nil"/>
                <w:left w:val="nil"/>
                <w:bottom w:val="nil"/>
                <w:right w:val="nil"/>
              </w:tblBorders>
              <w:tblLook w:val="0000" w:firstRow="0" w:lastRow="0" w:firstColumn="0" w:lastColumn="0" w:noHBand="0" w:noVBand="0"/>
            </w:tblPr>
            <w:tblGrid>
              <w:gridCol w:w="3024"/>
            </w:tblGrid>
            <w:tr w:rsidR="00173803" w:rsidRPr="00AB7860" w14:paraId="23049BAA" w14:textId="77777777" w:rsidTr="00F5730F">
              <w:trPr>
                <w:trHeight w:val="98"/>
              </w:trPr>
              <w:tc>
                <w:tcPr>
                  <w:tcW w:w="0" w:type="auto"/>
                </w:tcPr>
                <w:p w14:paraId="56E179A5" w14:textId="77777777" w:rsidR="00173803" w:rsidRPr="00AB7860" w:rsidRDefault="00173803" w:rsidP="00F5730F">
                  <w:pPr>
                    <w:autoSpaceDE w:val="0"/>
                    <w:autoSpaceDN w:val="0"/>
                    <w:adjustRightInd w:val="0"/>
                    <w:spacing w:after="0" w:line="240" w:lineRule="auto"/>
                    <w:ind w:hanging="108"/>
                    <w:rPr>
                      <w:rFonts w:ascii="Times New Roman" w:hAnsi="Times New Roman" w:cs="Times New Roman"/>
                      <w:color w:val="000000"/>
                    </w:rPr>
                  </w:pPr>
                  <w:r w:rsidRPr="00AB7860">
                    <w:rPr>
                      <w:rFonts w:ascii="Times New Roman" w:hAnsi="Times New Roman" w:cs="Times New Roman"/>
                      <w:b/>
                      <w:bCs/>
                      <w:color w:val="000000"/>
                    </w:rPr>
                    <w:t xml:space="preserve">Imuninės sistemos sutrikimai </w:t>
                  </w:r>
                </w:p>
              </w:tc>
            </w:tr>
          </w:tbl>
          <w:p w14:paraId="02D491BE" w14:textId="77777777" w:rsidR="00173803" w:rsidRPr="00AB7860" w:rsidRDefault="00173803" w:rsidP="00F5730F">
            <w:pPr>
              <w:tabs>
                <w:tab w:val="center" w:pos="4819"/>
                <w:tab w:val="right" w:pos="9071"/>
              </w:tabs>
              <w:spacing w:after="0" w:line="240" w:lineRule="auto"/>
              <w:rPr>
                <w:rFonts w:ascii="Times New Roman" w:hAnsi="Times New Roman" w:cs="Times New Roman"/>
              </w:rPr>
            </w:pPr>
          </w:p>
        </w:tc>
      </w:tr>
      <w:tr w:rsidR="00173803" w:rsidRPr="00AB7860" w14:paraId="40045877" w14:textId="77777777" w:rsidTr="00F5730F">
        <w:trPr>
          <w:trHeight w:val="144"/>
        </w:trPr>
        <w:tc>
          <w:tcPr>
            <w:tcW w:w="4653" w:type="dxa"/>
            <w:shd w:val="clear" w:color="auto" w:fill="auto"/>
          </w:tcPr>
          <w:p w14:paraId="6C171A9A" w14:textId="77777777" w:rsidR="00173803" w:rsidRPr="00AB7860" w:rsidRDefault="00173803" w:rsidP="00F5730F">
            <w:pPr>
              <w:tabs>
                <w:tab w:val="center" w:pos="4819"/>
                <w:tab w:val="right" w:pos="9071"/>
              </w:tabs>
              <w:spacing w:after="0" w:line="240" w:lineRule="auto"/>
              <w:rPr>
                <w:rFonts w:ascii="Times New Roman" w:eastAsia="Times New Roman" w:hAnsi="Times New Roman" w:cs="Times New Roman"/>
                <w:i/>
                <w:lang w:val="lt-LT" w:eastAsia="de-DE"/>
              </w:rPr>
            </w:pPr>
            <w:r w:rsidRPr="00AB7860">
              <w:rPr>
                <w:rFonts w:ascii="Times New Roman" w:hAnsi="Times New Roman" w:cs="Times New Roman"/>
                <w:i/>
                <w:iCs/>
              </w:rPr>
              <w:t xml:space="preserve">Dažnis nežinomas: </w:t>
            </w:r>
          </w:p>
        </w:tc>
        <w:tc>
          <w:tcPr>
            <w:tcW w:w="4651"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128"/>
            </w:tblGrid>
            <w:tr w:rsidR="00173803" w:rsidRPr="00AB7860" w14:paraId="250DCB08" w14:textId="77777777" w:rsidTr="00F5730F">
              <w:trPr>
                <w:trHeight w:val="100"/>
              </w:trPr>
              <w:tc>
                <w:tcPr>
                  <w:tcW w:w="0" w:type="auto"/>
                </w:tcPr>
                <w:p w14:paraId="4D6489F8" w14:textId="77777777" w:rsidR="00173803" w:rsidRPr="00AB7860" w:rsidRDefault="00173803" w:rsidP="00F5730F">
                  <w:pPr>
                    <w:autoSpaceDE w:val="0"/>
                    <w:autoSpaceDN w:val="0"/>
                    <w:adjustRightInd w:val="0"/>
                    <w:spacing w:after="0" w:line="240" w:lineRule="auto"/>
                    <w:ind w:hanging="81"/>
                    <w:rPr>
                      <w:rFonts w:ascii="Times New Roman" w:hAnsi="Times New Roman" w:cs="Times New Roman"/>
                      <w:color w:val="000000"/>
                    </w:rPr>
                  </w:pPr>
                  <w:r w:rsidRPr="00AB7860">
                    <w:rPr>
                      <w:rFonts w:ascii="Times New Roman" w:hAnsi="Times New Roman" w:cs="Times New Roman"/>
                      <w:color w:val="000000"/>
                    </w:rPr>
                    <w:t xml:space="preserve">Anafilaksinis šokas* </w:t>
                  </w:r>
                </w:p>
              </w:tc>
            </w:tr>
          </w:tbl>
          <w:p w14:paraId="1D32C6E1" w14:textId="77777777" w:rsidR="00173803" w:rsidRPr="00AB7860" w:rsidRDefault="00173803" w:rsidP="00F5730F">
            <w:pPr>
              <w:tabs>
                <w:tab w:val="center" w:pos="4819"/>
                <w:tab w:val="right" w:pos="9071"/>
              </w:tabs>
              <w:spacing w:after="0" w:line="240" w:lineRule="auto"/>
              <w:rPr>
                <w:rFonts w:ascii="Times New Roman" w:eastAsia="Times New Roman" w:hAnsi="Times New Roman" w:cs="Times New Roman"/>
                <w:color w:val="000000"/>
                <w:lang w:val="lt-LT" w:eastAsia="de-DE"/>
              </w:rPr>
            </w:pPr>
          </w:p>
        </w:tc>
      </w:tr>
      <w:tr w:rsidR="00173803" w:rsidRPr="00AB7860" w14:paraId="23651127" w14:textId="77777777" w:rsidTr="00F5730F">
        <w:trPr>
          <w:trHeight w:val="144"/>
        </w:trPr>
        <w:tc>
          <w:tcPr>
            <w:tcW w:w="9304" w:type="dxa"/>
            <w:gridSpan w:val="2"/>
            <w:shd w:val="clear" w:color="auto" w:fill="auto"/>
          </w:tcPr>
          <w:p w14:paraId="01C2A5F3" w14:textId="77777777" w:rsidR="00173803" w:rsidRPr="00AB7860" w:rsidRDefault="00173803" w:rsidP="00F5730F">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Kraujo ir limfinės sistemos sutrikimai</w:t>
            </w:r>
          </w:p>
        </w:tc>
      </w:tr>
      <w:tr w:rsidR="00173803" w:rsidRPr="00AB7860" w14:paraId="1CBCCC28" w14:textId="77777777" w:rsidTr="00F5730F">
        <w:trPr>
          <w:trHeight w:val="144"/>
        </w:trPr>
        <w:tc>
          <w:tcPr>
            <w:tcW w:w="4653" w:type="dxa"/>
            <w:shd w:val="clear" w:color="auto" w:fill="auto"/>
          </w:tcPr>
          <w:p w14:paraId="774FCFA5" w14:textId="4AC4DC9B"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Labai dažn</w:t>
            </w:r>
            <w:r w:rsidR="002500FA">
              <w:rPr>
                <w:rFonts w:ascii="Times New Roman" w:hAnsi="Times New Roman" w:cs="Times New Roman"/>
                <w:i/>
                <w:color w:val="000000"/>
                <w:lang w:val="lt-LT"/>
              </w:rPr>
              <w:t>as</w:t>
            </w:r>
          </w:p>
        </w:tc>
        <w:tc>
          <w:tcPr>
            <w:tcW w:w="4651" w:type="dxa"/>
            <w:shd w:val="clear" w:color="auto" w:fill="auto"/>
          </w:tcPr>
          <w:p w14:paraId="4BDDF2EA"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Neutropenija, trombocitopenija, anemija </w:t>
            </w:r>
          </w:p>
        </w:tc>
      </w:tr>
      <w:tr w:rsidR="00173803" w:rsidRPr="00AB7860" w14:paraId="086D9452" w14:textId="77777777" w:rsidTr="00F5730F">
        <w:trPr>
          <w:trHeight w:val="144"/>
        </w:trPr>
        <w:tc>
          <w:tcPr>
            <w:tcW w:w="4653" w:type="dxa"/>
            <w:shd w:val="clear" w:color="auto" w:fill="auto"/>
          </w:tcPr>
          <w:p w14:paraId="11F0E982" w14:textId="7D5008FC"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Dažn</w:t>
            </w:r>
            <w:r w:rsidR="002500FA">
              <w:rPr>
                <w:rFonts w:ascii="Times New Roman" w:hAnsi="Times New Roman" w:cs="Times New Roman"/>
                <w:i/>
                <w:color w:val="000000"/>
                <w:lang w:val="lt-LT"/>
              </w:rPr>
              <w:t>as</w:t>
            </w:r>
          </w:p>
        </w:tc>
        <w:tc>
          <w:tcPr>
            <w:tcW w:w="4651" w:type="dxa"/>
            <w:shd w:val="clear" w:color="auto" w:fill="auto"/>
          </w:tcPr>
          <w:p w14:paraId="623AE4E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Pancitopenija, febrilinė neutropenija </w:t>
            </w:r>
          </w:p>
        </w:tc>
      </w:tr>
      <w:tr w:rsidR="00173803" w:rsidRPr="00AB7860" w14:paraId="228A0FAC" w14:textId="77777777" w:rsidTr="00F5730F">
        <w:trPr>
          <w:trHeight w:val="144"/>
        </w:trPr>
        <w:tc>
          <w:tcPr>
            <w:tcW w:w="4653" w:type="dxa"/>
            <w:shd w:val="clear" w:color="auto" w:fill="auto"/>
          </w:tcPr>
          <w:p w14:paraId="6EDFCC0D" w14:textId="0275B438"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1AA40CC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Trombocitemija, limfopenija, kaulų čiulpų slopinimas, eozinofilija, limfadenopatija </w:t>
            </w:r>
          </w:p>
        </w:tc>
      </w:tr>
      <w:tr w:rsidR="00173803" w:rsidRPr="00AB7860" w14:paraId="34C613E4" w14:textId="77777777" w:rsidTr="00F5730F">
        <w:trPr>
          <w:trHeight w:val="234"/>
        </w:trPr>
        <w:tc>
          <w:tcPr>
            <w:tcW w:w="4653" w:type="dxa"/>
            <w:shd w:val="clear" w:color="auto" w:fill="auto"/>
          </w:tcPr>
          <w:p w14:paraId="2587FEDF" w14:textId="788F87CE" w:rsidR="00173803" w:rsidRPr="00AB7860" w:rsidRDefault="00173803" w:rsidP="00F5730F">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6D496C21" w14:textId="77777777" w:rsidR="00173803" w:rsidRPr="00AB7860" w:rsidRDefault="00173803" w:rsidP="00F5730F">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color w:val="000000"/>
                <w:lang w:val="lt-LT"/>
              </w:rPr>
              <w:t>Hemolizinė</w:t>
            </w:r>
            <w:r w:rsidRPr="00AB7860">
              <w:rPr>
                <w:rFonts w:ascii="Times New Roman" w:hAnsi="Times New Roman" w:cs="Times New Roman"/>
                <w:lang w:val="lt-LT"/>
              </w:rPr>
              <w:t xml:space="preserve"> anemija, trombinė mikroangiopatija</w:t>
            </w:r>
          </w:p>
        </w:tc>
      </w:tr>
      <w:tr w:rsidR="00173803" w:rsidRPr="00AB7860" w14:paraId="4E8CCEB9" w14:textId="77777777" w:rsidTr="00F5730F">
        <w:trPr>
          <w:trHeight w:val="251"/>
        </w:trPr>
        <w:tc>
          <w:tcPr>
            <w:tcW w:w="9304" w:type="dxa"/>
            <w:gridSpan w:val="2"/>
            <w:shd w:val="clear" w:color="auto" w:fill="auto"/>
          </w:tcPr>
          <w:p w14:paraId="2DF5ECDE" w14:textId="77777777" w:rsidR="00173803" w:rsidRPr="00AB7860" w:rsidRDefault="00173803" w:rsidP="00F5730F">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Metabolizmo ir mitybos sutrikimai</w:t>
            </w:r>
          </w:p>
        </w:tc>
      </w:tr>
      <w:tr w:rsidR="00173803" w:rsidRPr="00AB7860" w14:paraId="54D8F835" w14:textId="77777777" w:rsidTr="00F5730F">
        <w:trPr>
          <w:trHeight w:val="251"/>
        </w:trPr>
        <w:tc>
          <w:tcPr>
            <w:tcW w:w="4653" w:type="dxa"/>
            <w:shd w:val="clear" w:color="auto" w:fill="auto"/>
          </w:tcPr>
          <w:p w14:paraId="0AE37364" w14:textId="3559E446"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Dažn</w:t>
            </w:r>
            <w:r w:rsidR="002500FA">
              <w:rPr>
                <w:rFonts w:ascii="Times New Roman" w:hAnsi="Times New Roman" w:cs="Times New Roman"/>
                <w:i/>
                <w:color w:val="000000"/>
                <w:lang w:val="lt-LT"/>
              </w:rPr>
              <w:t>as</w:t>
            </w:r>
          </w:p>
        </w:tc>
        <w:tc>
          <w:tcPr>
            <w:tcW w:w="4651" w:type="dxa"/>
            <w:shd w:val="clear" w:color="auto" w:fill="auto"/>
          </w:tcPr>
          <w:p w14:paraId="52CE712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Anoreksija </w:t>
            </w:r>
          </w:p>
        </w:tc>
      </w:tr>
      <w:tr w:rsidR="00173803" w:rsidRPr="00AB7860" w14:paraId="6C511633" w14:textId="77777777" w:rsidTr="00F5730F">
        <w:trPr>
          <w:trHeight w:val="1005"/>
        </w:trPr>
        <w:tc>
          <w:tcPr>
            <w:tcW w:w="4653" w:type="dxa"/>
            <w:shd w:val="clear" w:color="auto" w:fill="auto"/>
          </w:tcPr>
          <w:p w14:paraId="22B6E4D2" w14:textId="5497145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5D74FE6A"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Hipokalemija, padidėjęs apetitas, hipofosfatemija, sumažėjęs apetitas, dehidratacija, podagra, hiperurikemija, hiperkalcemija, hiperglikemija, hiponatremija </w:t>
            </w:r>
          </w:p>
        </w:tc>
      </w:tr>
      <w:tr w:rsidR="00173803" w:rsidRPr="00AB7860" w14:paraId="42F4B504" w14:textId="77777777" w:rsidTr="00F5730F">
        <w:trPr>
          <w:trHeight w:val="251"/>
        </w:trPr>
        <w:tc>
          <w:tcPr>
            <w:tcW w:w="4653" w:type="dxa"/>
            <w:shd w:val="clear" w:color="auto" w:fill="auto"/>
          </w:tcPr>
          <w:p w14:paraId="7DCD9FBB" w14:textId="42F42F50"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w:t>
            </w:r>
            <w:r w:rsidR="002500FA">
              <w:rPr>
                <w:rFonts w:ascii="Times New Roman" w:hAnsi="Times New Roman" w:cs="Times New Roman"/>
                <w:i/>
                <w:color w:val="000000"/>
                <w:lang w:val="lt-LT"/>
              </w:rPr>
              <w:t>as</w:t>
            </w:r>
          </w:p>
        </w:tc>
        <w:tc>
          <w:tcPr>
            <w:tcW w:w="4651" w:type="dxa"/>
            <w:shd w:val="clear" w:color="auto" w:fill="auto"/>
          </w:tcPr>
          <w:p w14:paraId="5475B6DA"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Hiperkalemija, hipomagnezemija </w:t>
            </w:r>
          </w:p>
        </w:tc>
      </w:tr>
      <w:tr w:rsidR="00173803" w:rsidRPr="00AB7860" w14:paraId="370079B3" w14:textId="77777777" w:rsidTr="00F5730F">
        <w:trPr>
          <w:trHeight w:val="234"/>
        </w:trPr>
        <w:tc>
          <w:tcPr>
            <w:tcW w:w="9304" w:type="dxa"/>
            <w:gridSpan w:val="2"/>
            <w:shd w:val="clear" w:color="auto" w:fill="auto"/>
          </w:tcPr>
          <w:p w14:paraId="40D142E7" w14:textId="77777777" w:rsidR="00173803" w:rsidRPr="00AB7860" w:rsidRDefault="00173803" w:rsidP="00F5730F">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Psichikos sutrikimai</w:t>
            </w:r>
          </w:p>
        </w:tc>
      </w:tr>
      <w:tr w:rsidR="00173803" w:rsidRPr="00AB7860" w14:paraId="7A8E39E1" w14:textId="77777777" w:rsidTr="00F5730F">
        <w:trPr>
          <w:trHeight w:val="251"/>
        </w:trPr>
        <w:tc>
          <w:tcPr>
            <w:tcW w:w="4653" w:type="dxa"/>
            <w:shd w:val="clear" w:color="auto" w:fill="auto"/>
          </w:tcPr>
          <w:p w14:paraId="2849A371" w14:textId="2CC7E482"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lastRenderedPageBreak/>
              <w:t>Dažn</w:t>
            </w:r>
            <w:r w:rsidR="002500FA">
              <w:rPr>
                <w:rFonts w:ascii="Times New Roman" w:hAnsi="Times New Roman" w:cs="Times New Roman"/>
                <w:i/>
                <w:color w:val="000000"/>
                <w:lang w:val="lt-LT"/>
              </w:rPr>
              <w:t>as</w:t>
            </w:r>
          </w:p>
        </w:tc>
        <w:tc>
          <w:tcPr>
            <w:tcW w:w="4651" w:type="dxa"/>
            <w:shd w:val="clear" w:color="auto" w:fill="auto"/>
          </w:tcPr>
          <w:p w14:paraId="2C0FF09B"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Nemiga </w:t>
            </w:r>
          </w:p>
        </w:tc>
      </w:tr>
      <w:tr w:rsidR="00173803" w:rsidRPr="00AB7860" w14:paraId="0FB03470" w14:textId="77777777" w:rsidTr="00F5730F">
        <w:trPr>
          <w:trHeight w:val="251"/>
        </w:trPr>
        <w:tc>
          <w:tcPr>
            <w:tcW w:w="4653" w:type="dxa"/>
            <w:shd w:val="clear" w:color="auto" w:fill="auto"/>
          </w:tcPr>
          <w:p w14:paraId="3D4F6932" w14:textId="0B961DE8"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2A8371C4"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Depresija, sumažėjęs lytinis potraukis, nerimas </w:t>
            </w:r>
          </w:p>
        </w:tc>
      </w:tr>
      <w:tr w:rsidR="00173803" w:rsidRPr="00AB7860" w14:paraId="135A9251" w14:textId="77777777" w:rsidTr="00F5730F">
        <w:trPr>
          <w:trHeight w:val="234"/>
        </w:trPr>
        <w:tc>
          <w:tcPr>
            <w:tcW w:w="4653" w:type="dxa"/>
            <w:shd w:val="clear" w:color="auto" w:fill="auto"/>
          </w:tcPr>
          <w:p w14:paraId="75D8640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Reti</w:t>
            </w:r>
          </w:p>
        </w:tc>
        <w:tc>
          <w:tcPr>
            <w:tcW w:w="4651" w:type="dxa"/>
            <w:shd w:val="clear" w:color="auto" w:fill="auto"/>
          </w:tcPr>
          <w:p w14:paraId="09837635"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Sumišimo būklė </w:t>
            </w:r>
          </w:p>
        </w:tc>
      </w:tr>
      <w:tr w:rsidR="00173803" w:rsidRPr="00AB7860" w14:paraId="242449F5" w14:textId="77777777" w:rsidTr="00F5730F">
        <w:trPr>
          <w:trHeight w:val="251"/>
        </w:trPr>
        <w:tc>
          <w:tcPr>
            <w:tcW w:w="9304" w:type="dxa"/>
            <w:gridSpan w:val="2"/>
            <w:shd w:val="clear" w:color="auto" w:fill="auto"/>
          </w:tcPr>
          <w:p w14:paraId="14ABF6B5" w14:textId="77777777" w:rsidR="00173803" w:rsidRPr="00AB7860" w:rsidRDefault="00173803" w:rsidP="00F5730F">
            <w:pPr>
              <w:tabs>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Nervų sistemos sutrikimai</w:t>
            </w:r>
          </w:p>
        </w:tc>
      </w:tr>
      <w:tr w:rsidR="00173803" w:rsidRPr="00AB7860" w14:paraId="6958ACAA" w14:textId="77777777" w:rsidTr="00F5730F">
        <w:trPr>
          <w:trHeight w:val="251"/>
        </w:trPr>
        <w:tc>
          <w:tcPr>
            <w:tcW w:w="4653" w:type="dxa"/>
            <w:shd w:val="clear" w:color="auto" w:fill="auto"/>
          </w:tcPr>
          <w:p w14:paraId="1F360B6E" w14:textId="1905F61F"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Labai dažn</w:t>
            </w:r>
            <w:r w:rsidR="002500FA">
              <w:rPr>
                <w:rFonts w:ascii="Times New Roman" w:hAnsi="Times New Roman" w:cs="Times New Roman"/>
                <w:i/>
                <w:color w:val="000000"/>
                <w:lang w:val="lt-LT"/>
              </w:rPr>
              <w:t>as</w:t>
            </w:r>
          </w:p>
        </w:tc>
        <w:tc>
          <w:tcPr>
            <w:tcW w:w="4651" w:type="dxa"/>
            <w:shd w:val="clear" w:color="auto" w:fill="auto"/>
          </w:tcPr>
          <w:p w14:paraId="7761431D"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Galvos skausmas</w:t>
            </w:r>
            <w:r w:rsidRPr="00AB7860">
              <w:rPr>
                <w:rFonts w:ascii="Times New Roman" w:hAnsi="Times New Roman" w:cs="Times New Roman"/>
                <w:color w:val="000000"/>
                <w:vertAlign w:val="superscript"/>
                <w:lang w:val="lt-LT"/>
              </w:rPr>
              <w:t>2</w:t>
            </w:r>
            <w:r w:rsidRPr="00AB7860">
              <w:rPr>
                <w:rFonts w:ascii="Times New Roman" w:hAnsi="Times New Roman" w:cs="Times New Roman"/>
                <w:color w:val="000000"/>
                <w:lang w:val="lt-LT"/>
              </w:rPr>
              <w:t xml:space="preserve"> </w:t>
            </w:r>
          </w:p>
        </w:tc>
      </w:tr>
      <w:tr w:rsidR="00173803" w:rsidRPr="00AB7860" w14:paraId="384F4DC3" w14:textId="77777777" w:rsidTr="00F5730F">
        <w:trPr>
          <w:trHeight w:val="502"/>
        </w:trPr>
        <w:tc>
          <w:tcPr>
            <w:tcW w:w="4653" w:type="dxa"/>
            <w:shd w:val="clear" w:color="auto" w:fill="auto"/>
          </w:tcPr>
          <w:p w14:paraId="09E4DCCA" w14:textId="14BFB684"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Dažn</w:t>
            </w:r>
            <w:r w:rsidR="002500FA">
              <w:rPr>
                <w:rFonts w:ascii="Times New Roman" w:hAnsi="Times New Roman" w:cs="Times New Roman"/>
                <w:i/>
                <w:color w:val="000000"/>
                <w:lang w:val="lt-LT"/>
              </w:rPr>
              <w:t>as</w:t>
            </w:r>
          </w:p>
        </w:tc>
        <w:tc>
          <w:tcPr>
            <w:tcW w:w="4651" w:type="dxa"/>
            <w:shd w:val="clear" w:color="auto" w:fill="auto"/>
          </w:tcPr>
          <w:p w14:paraId="2BF6DB7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Svaigulys, parestezija, sutrikęs skonio jutimas, hipestezija </w:t>
            </w:r>
          </w:p>
        </w:tc>
      </w:tr>
      <w:tr w:rsidR="00173803" w:rsidRPr="00AB7860" w14:paraId="47F0812F" w14:textId="77777777" w:rsidTr="00F5730F">
        <w:trPr>
          <w:trHeight w:val="1005"/>
        </w:trPr>
        <w:tc>
          <w:tcPr>
            <w:tcW w:w="4653" w:type="dxa"/>
            <w:shd w:val="clear" w:color="auto" w:fill="auto"/>
          </w:tcPr>
          <w:p w14:paraId="5566F546" w14:textId="19C9A2B9"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69DC6A8D"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Migrena, mieguistumas, sinkopė, periferinė neuropatija, atminties sutrikimai, sėdimojo nervo neuralgija, neramių kojų sindromas, tremoras, smegenų kraujosruvos </w:t>
            </w:r>
          </w:p>
        </w:tc>
      </w:tr>
      <w:tr w:rsidR="00173803" w:rsidRPr="00AB7860" w14:paraId="29296811" w14:textId="77777777" w:rsidTr="00F5730F">
        <w:trPr>
          <w:trHeight w:val="486"/>
        </w:trPr>
        <w:tc>
          <w:tcPr>
            <w:tcW w:w="4653" w:type="dxa"/>
            <w:shd w:val="clear" w:color="auto" w:fill="auto"/>
          </w:tcPr>
          <w:p w14:paraId="7098B95E" w14:textId="67745298"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w:t>
            </w:r>
            <w:r w:rsidR="002500FA">
              <w:rPr>
                <w:rFonts w:ascii="Times New Roman" w:hAnsi="Times New Roman" w:cs="Times New Roman"/>
                <w:i/>
                <w:color w:val="000000"/>
                <w:lang w:val="lt-LT"/>
              </w:rPr>
              <w:t>as</w:t>
            </w:r>
          </w:p>
        </w:tc>
        <w:tc>
          <w:tcPr>
            <w:tcW w:w="4651" w:type="dxa"/>
            <w:shd w:val="clear" w:color="auto" w:fill="auto"/>
          </w:tcPr>
          <w:p w14:paraId="2E0C4E6D"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Padidėjęs intrakranijinis spaudimas, traukuliai, regos nervo uždegimas </w:t>
            </w:r>
          </w:p>
        </w:tc>
      </w:tr>
      <w:tr w:rsidR="00173803" w:rsidRPr="00AB7860" w14:paraId="42B1874E" w14:textId="77777777" w:rsidTr="00F5730F">
        <w:trPr>
          <w:trHeight w:val="188"/>
        </w:trPr>
        <w:tc>
          <w:tcPr>
            <w:tcW w:w="4653" w:type="dxa"/>
            <w:shd w:val="clear" w:color="auto" w:fill="auto"/>
          </w:tcPr>
          <w:p w14:paraId="348A1E0E"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i/>
                <w:iCs/>
                <w:color w:val="000000"/>
                <w:lang w:val="lt-LT" w:eastAsia="lt-LT"/>
              </w:rPr>
            </w:pPr>
            <w:r w:rsidRPr="00AB7860">
              <w:rPr>
                <w:rFonts w:ascii="Times New Roman" w:hAnsi="Times New Roman" w:cs="Times New Roman"/>
                <w:i/>
                <w:iCs/>
              </w:rPr>
              <w:t xml:space="preserve">Dažnis nežinomas: </w:t>
            </w:r>
          </w:p>
        </w:tc>
        <w:tc>
          <w:tcPr>
            <w:tcW w:w="4651" w:type="dxa"/>
            <w:shd w:val="clear" w:color="auto" w:fill="auto"/>
          </w:tcPr>
          <w:p w14:paraId="31AFDCAC"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color w:val="000000"/>
                <w:lang w:val="lt-LT" w:eastAsia="lt-LT"/>
              </w:rPr>
            </w:pPr>
            <w:r w:rsidRPr="00AB7860">
              <w:rPr>
                <w:rFonts w:ascii="Times New Roman" w:hAnsi="Times New Roman" w:cs="Times New Roman"/>
              </w:rPr>
              <w:t xml:space="preserve">Smegenų edema* </w:t>
            </w:r>
          </w:p>
        </w:tc>
      </w:tr>
      <w:tr w:rsidR="00173803" w:rsidRPr="00AB7860" w14:paraId="3C544A5E" w14:textId="77777777" w:rsidTr="00F5730F">
        <w:trPr>
          <w:trHeight w:val="251"/>
        </w:trPr>
        <w:tc>
          <w:tcPr>
            <w:tcW w:w="9304" w:type="dxa"/>
            <w:gridSpan w:val="2"/>
            <w:shd w:val="clear" w:color="auto" w:fill="auto"/>
          </w:tcPr>
          <w:p w14:paraId="2FA0867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 xml:space="preserve">Akių sutrikimai </w:t>
            </w:r>
          </w:p>
        </w:tc>
      </w:tr>
      <w:tr w:rsidR="00173803" w:rsidRPr="00AB7860" w14:paraId="7F6E4F1C" w14:textId="77777777" w:rsidTr="00F5730F">
        <w:trPr>
          <w:trHeight w:val="753"/>
        </w:trPr>
        <w:tc>
          <w:tcPr>
            <w:tcW w:w="4653" w:type="dxa"/>
            <w:shd w:val="clear" w:color="auto" w:fill="auto"/>
          </w:tcPr>
          <w:p w14:paraId="08B5D3A4" w14:textId="749184AE"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Dažn</w:t>
            </w:r>
            <w:r w:rsidR="002500FA">
              <w:rPr>
                <w:rFonts w:ascii="Times New Roman" w:hAnsi="Times New Roman" w:cs="Times New Roman"/>
                <w:i/>
                <w:color w:val="000000"/>
                <w:lang w:val="lt-LT"/>
              </w:rPr>
              <w:t>as</w:t>
            </w:r>
          </w:p>
        </w:tc>
        <w:tc>
          <w:tcPr>
            <w:tcW w:w="4651" w:type="dxa"/>
            <w:shd w:val="clear" w:color="auto" w:fill="auto"/>
          </w:tcPr>
          <w:p w14:paraId="4284E5BD"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Akių vokų edema, padidėjęs ašarojimas, junginės kraujosruvos, konjunktyvitas, akių sausmė, neryškus matymas </w:t>
            </w:r>
          </w:p>
        </w:tc>
      </w:tr>
      <w:tr w:rsidR="00173803" w:rsidRPr="00AB7860" w14:paraId="23AAA7EA" w14:textId="77777777" w:rsidTr="00F5730F">
        <w:trPr>
          <w:trHeight w:val="753"/>
        </w:trPr>
        <w:tc>
          <w:tcPr>
            <w:tcW w:w="4653" w:type="dxa"/>
            <w:shd w:val="clear" w:color="auto" w:fill="auto"/>
          </w:tcPr>
          <w:p w14:paraId="45DDE201" w14:textId="0D9C03E5"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6C340B84"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Akių dirginimas, akių skausmas, akiduobės edema, odenos kraujosruvos, tinklainės kraujosruvos, blefaritas, geltonosios dėmės edema </w:t>
            </w:r>
          </w:p>
        </w:tc>
      </w:tr>
      <w:tr w:rsidR="00173803" w:rsidRPr="00AB7860" w14:paraId="77508E9B" w14:textId="77777777" w:rsidTr="00F5730F">
        <w:trPr>
          <w:trHeight w:val="251"/>
        </w:trPr>
        <w:tc>
          <w:tcPr>
            <w:tcW w:w="4653" w:type="dxa"/>
            <w:shd w:val="clear" w:color="auto" w:fill="auto"/>
          </w:tcPr>
          <w:p w14:paraId="64F87148" w14:textId="354E2542"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w:t>
            </w:r>
            <w:r w:rsidR="002500FA">
              <w:rPr>
                <w:rFonts w:ascii="Times New Roman" w:hAnsi="Times New Roman" w:cs="Times New Roman"/>
                <w:i/>
                <w:color w:val="000000"/>
                <w:lang w:val="lt-LT"/>
              </w:rPr>
              <w:t>as</w:t>
            </w:r>
          </w:p>
        </w:tc>
        <w:tc>
          <w:tcPr>
            <w:tcW w:w="4651" w:type="dxa"/>
            <w:shd w:val="clear" w:color="auto" w:fill="auto"/>
          </w:tcPr>
          <w:p w14:paraId="2A1EB69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Katarakta, glaukoma, regos nervo disko edema </w:t>
            </w:r>
          </w:p>
        </w:tc>
      </w:tr>
      <w:tr w:rsidR="00173803" w:rsidRPr="00AB7860" w14:paraId="5518808E" w14:textId="77777777" w:rsidTr="00F5730F">
        <w:trPr>
          <w:trHeight w:val="251"/>
        </w:trPr>
        <w:tc>
          <w:tcPr>
            <w:tcW w:w="4653" w:type="dxa"/>
            <w:shd w:val="clear" w:color="auto" w:fill="auto"/>
          </w:tcPr>
          <w:p w14:paraId="687BCDE3"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i/>
                <w:iCs/>
                <w:color w:val="000000"/>
                <w:lang w:val="lt-LT" w:eastAsia="lt-LT"/>
              </w:rPr>
            </w:pPr>
            <w:r w:rsidRPr="00AB7860">
              <w:rPr>
                <w:rFonts w:ascii="Times New Roman" w:hAnsi="Times New Roman" w:cs="Times New Roman"/>
                <w:i/>
                <w:iCs/>
              </w:rPr>
              <w:t xml:space="preserve">Dažnis nežinomas: </w:t>
            </w:r>
          </w:p>
        </w:tc>
        <w:tc>
          <w:tcPr>
            <w:tcW w:w="4651" w:type="dxa"/>
            <w:shd w:val="clear" w:color="auto" w:fill="auto"/>
          </w:tcPr>
          <w:p w14:paraId="709667C9" w14:textId="77777777" w:rsidR="00173803" w:rsidRPr="00AB7860" w:rsidRDefault="00173803" w:rsidP="00F5730F">
            <w:pPr>
              <w:autoSpaceDE w:val="0"/>
              <w:autoSpaceDN w:val="0"/>
              <w:adjustRightInd w:val="0"/>
              <w:spacing w:after="0" w:line="240" w:lineRule="auto"/>
              <w:rPr>
                <w:rFonts w:ascii="Times New Roman" w:eastAsia="Times New Roman" w:hAnsi="Times New Roman" w:cs="Times New Roman"/>
                <w:color w:val="000000"/>
                <w:lang w:val="lt-LT" w:eastAsia="lt-LT"/>
              </w:rPr>
            </w:pPr>
            <w:r w:rsidRPr="00AB7860">
              <w:rPr>
                <w:rFonts w:ascii="Times New Roman" w:hAnsi="Times New Roman" w:cs="Times New Roman"/>
              </w:rPr>
              <w:t xml:space="preserve">Stiklakūnio kraujosruva* </w:t>
            </w:r>
          </w:p>
        </w:tc>
      </w:tr>
      <w:tr w:rsidR="00173803" w:rsidRPr="00AB7860" w14:paraId="70368C79" w14:textId="77777777" w:rsidTr="00F5730F">
        <w:trPr>
          <w:trHeight w:val="234"/>
        </w:trPr>
        <w:tc>
          <w:tcPr>
            <w:tcW w:w="9304" w:type="dxa"/>
            <w:gridSpan w:val="2"/>
            <w:shd w:val="clear" w:color="auto" w:fill="auto"/>
          </w:tcPr>
          <w:p w14:paraId="2808AF3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Ausų ir labirintų sutrikimai</w:t>
            </w:r>
          </w:p>
        </w:tc>
      </w:tr>
      <w:tr w:rsidR="00173803" w:rsidRPr="00AB7860" w14:paraId="28109F87" w14:textId="77777777" w:rsidTr="00F5730F">
        <w:trPr>
          <w:trHeight w:val="251"/>
        </w:trPr>
        <w:tc>
          <w:tcPr>
            <w:tcW w:w="4653" w:type="dxa"/>
            <w:shd w:val="clear" w:color="auto" w:fill="auto"/>
          </w:tcPr>
          <w:p w14:paraId="77B7E056"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Nedažni</w:t>
            </w:r>
          </w:p>
        </w:tc>
        <w:tc>
          <w:tcPr>
            <w:tcW w:w="4651" w:type="dxa"/>
            <w:shd w:val="clear" w:color="auto" w:fill="auto"/>
          </w:tcPr>
          <w:p w14:paraId="6426301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Svaigimas </w:t>
            </w:r>
            <w:r w:rsidRPr="00AB7860">
              <w:rPr>
                <w:rFonts w:ascii="Times New Roman" w:hAnsi="Times New Roman" w:cs="Times New Roman"/>
                <w:i/>
                <w:color w:val="000000"/>
                <w:lang w:val="lt-LT"/>
              </w:rPr>
              <w:t>(vertigo)</w:t>
            </w:r>
            <w:r w:rsidRPr="00AB7860">
              <w:rPr>
                <w:rFonts w:ascii="Times New Roman" w:hAnsi="Times New Roman" w:cs="Times New Roman"/>
                <w:color w:val="000000"/>
                <w:lang w:val="lt-LT"/>
              </w:rPr>
              <w:t xml:space="preserve">, ūžimas ausyse, apkurtimas </w:t>
            </w:r>
          </w:p>
        </w:tc>
      </w:tr>
      <w:tr w:rsidR="00173803" w:rsidRPr="00AB7860" w14:paraId="39F13268" w14:textId="77777777" w:rsidTr="00F5730F">
        <w:trPr>
          <w:trHeight w:val="77"/>
        </w:trPr>
        <w:tc>
          <w:tcPr>
            <w:tcW w:w="9304" w:type="dxa"/>
            <w:gridSpan w:val="2"/>
            <w:shd w:val="clear" w:color="auto" w:fill="auto"/>
          </w:tcPr>
          <w:p w14:paraId="20C4D37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 xml:space="preserve">Širdies sutrikimai </w:t>
            </w:r>
          </w:p>
        </w:tc>
      </w:tr>
      <w:tr w:rsidR="00173803" w:rsidRPr="00AB7860" w14:paraId="2A12D983" w14:textId="77777777" w:rsidTr="00F5730F">
        <w:trPr>
          <w:trHeight w:val="77"/>
        </w:trPr>
        <w:tc>
          <w:tcPr>
            <w:tcW w:w="4653" w:type="dxa"/>
            <w:shd w:val="clear" w:color="auto" w:fill="auto"/>
          </w:tcPr>
          <w:p w14:paraId="75277FC4" w14:textId="11F8303E"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075D870E"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Stiprus širdies plakimas (palpitacija), tachikardija, stazinis širdies nepakankamumas</w:t>
            </w:r>
            <w:r w:rsidRPr="00AB7860">
              <w:rPr>
                <w:rFonts w:ascii="Times New Roman" w:hAnsi="Times New Roman" w:cs="Times New Roman"/>
                <w:vertAlign w:val="superscript"/>
                <w:lang w:val="lt-LT"/>
              </w:rPr>
              <w:t>3</w:t>
            </w:r>
            <w:r w:rsidRPr="00AB7860">
              <w:rPr>
                <w:rFonts w:ascii="Times New Roman" w:hAnsi="Times New Roman" w:cs="Times New Roman"/>
                <w:lang w:val="lt-LT"/>
              </w:rPr>
              <w:t xml:space="preserve">, plaučių edema </w:t>
            </w:r>
          </w:p>
        </w:tc>
      </w:tr>
      <w:tr w:rsidR="00173803" w:rsidRPr="00AB7860" w14:paraId="226416B0" w14:textId="77777777" w:rsidTr="00F5730F">
        <w:trPr>
          <w:trHeight w:val="77"/>
        </w:trPr>
        <w:tc>
          <w:tcPr>
            <w:tcW w:w="4653" w:type="dxa"/>
            <w:shd w:val="clear" w:color="auto" w:fill="auto"/>
          </w:tcPr>
          <w:p w14:paraId="302F3DA0" w14:textId="795F7723"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1F5BDE19"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Aritmija, prieširdžių virpėjimas, širdies sustojimas, miokardo infarktas, krūtinės angina, skystis perikarde </w:t>
            </w:r>
          </w:p>
        </w:tc>
      </w:tr>
      <w:tr w:rsidR="00173803" w:rsidRPr="00AB7860" w14:paraId="54BA9953" w14:textId="77777777" w:rsidTr="00F5730F">
        <w:trPr>
          <w:trHeight w:val="77"/>
        </w:trPr>
        <w:tc>
          <w:tcPr>
            <w:tcW w:w="4653" w:type="dxa"/>
            <w:shd w:val="clear" w:color="auto" w:fill="auto"/>
          </w:tcPr>
          <w:p w14:paraId="74C71ADA"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155E10E3" w14:textId="77777777" w:rsidR="00173803" w:rsidRPr="00AB7860" w:rsidRDefault="00173803" w:rsidP="00F5730F">
            <w:pPr>
              <w:spacing w:after="0" w:line="240" w:lineRule="auto"/>
              <w:rPr>
                <w:rFonts w:ascii="Times New Roman" w:eastAsia="Times New Roman" w:hAnsi="Times New Roman" w:cs="Times New Roman"/>
                <w:lang w:val="lt-LT"/>
              </w:rPr>
            </w:pPr>
            <w:r w:rsidRPr="00AB7860">
              <w:rPr>
                <w:rFonts w:ascii="Times New Roman" w:hAnsi="Times New Roman" w:cs="Times New Roman"/>
              </w:rPr>
              <w:t xml:space="preserve">Perikarditas*, širdies tamponada* </w:t>
            </w:r>
          </w:p>
        </w:tc>
      </w:tr>
      <w:tr w:rsidR="00173803" w:rsidRPr="00AB7860" w14:paraId="24452CBB" w14:textId="77777777" w:rsidTr="00F5730F">
        <w:trPr>
          <w:trHeight w:val="77"/>
        </w:trPr>
        <w:tc>
          <w:tcPr>
            <w:tcW w:w="9304" w:type="dxa"/>
            <w:gridSpan w:val="2"/>
            <w:shd w:val="clear" w:color="auto" w:fill="auto"/>
          </w:tcPr>
          <w:p w14:paraId="1598DC39"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Kraujagyslių sutrikimai</w:t>
            </w:r>
            <w:r w:rsidRPr="00AB7860">
              <w:rPr>
                <w:rFonts w:ascii="Times New Roman" w:hAnsi="Times New Roman" w:cs="Times New Roman"/>
                <w:b/>
                <w:vertAlign w:val="superscript"/>
                <w:lang w:val="lt-LT"/>
              </w:rPr>
              <w:t>4</w:t>
            </w:r>
          </w:p>
        </w:tc>
      </w:tr>
      <w:tr w:rsidR="00173803" w:rsidRPr="0034666F" w14:paraId="7D5B6D69" w14:textId="77777777" w:rsidTr="00F5730F">
        <w:trPr>
          <w:trHeight w:val="77"/>
        </w:trPr>
        <w:tc>
          <w:tcPr>
            <w:tcW w:w="4653" w:type="dxa"/>
            <w:shd w:val="clear" w:color="auto" w:fill="auto"/>
          </w:tcPr>
          <w:p w14:paraId="0CD1DA5A" w14:textId="5E6A77E4"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Dažn</w:t>
            </w:r>
            <w:r w:rsidR="002500FA">
              <w:rPr>
                <w:rFonts w:ascii="Times New Roman" w:hAnsi="Times New Roman" w:cs="Times New Roman"/>
                <w:i/>
                <w:lang w:val="lt-LT"/>
              </w:rPr>
              <w:t>as</w:t>
            </w:r>
          </w:p>
        </w:tc>
        <w:tc>
          <w:tcPr>
            <w:tcW w:w="4651" w:type="dxa"/>
            <w:shd w:val="clear" w:color="auto" w:fill="auto"/>
          </w:tcPr>
          <w:p w14:paraId="69B26F0E"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color w:val="000000"/>
                <w:lang w:val="lt-LT"/>
              </w:rPr>
              <w:t>Kraujo priplūdimas į veidą ir kaklą</w:t>
            </w:r>
            <w:r w:rsidRPr="00AB7860">
              <w:rPr>
                <w:rFonts w:ascii="Times New Roman" w:hAnsi="Times New Roman" w:cs="Times New Roman"/>
                <w:lang w:val="lt-LT"/>
              </w:rPr>
              <w:t xml:space="preserve">, hemoragija </w:t>
            </w:r>
          </w:p>
        </w:tc>
      </w:tr>
      <w:tr w:rsidR="00173803" w:rsidRPr="00AB7860" w14:paraId="2009BBF6" w14:textId="77777777" w:rsidTr="00F5730F">
        <w:trPr>
          <w:trHeight w:val="77"/>
        </w:trPr>
        <w:tc>
          <w:tcPr>
            <w:tcW w:w="4653" w:type="dxa"/>
            <w:shd w:val="clear" w:color="auto" w:fill="auto"/>
          </w:tcPr>
          <w:p w14:paraId="3781429E" w14:textId="35866189"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74E56968"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Hipertenzija, hematoma, </w:t>
            </w:r>
            <w:r w:rsidRPr="00AB7860">
              <w:rPr>
                <w:rFonts w:ascii="Times New Roman" w:hAnsi="Times New Roman" w:cs="Times New Roman"/>
                <w:color w:val="000000"/>
                <w:lang w:val="lt-LT"/>
              </w:rPr>
              <w:t>subdurinė hematoma</w:t>
            </w:r>
            <w:r w:rsidRPr="00AB7860">
              <w:rPr>
                <w:rFonts w:ascii="Times New Roman" w:hAnsi="Times New Roman" w:cs="Times New Roman"/>
                <w:lang w:val="lt-LT"/>
              </w:rPr>
              <w:t xml:space="preserve">, </w:t>
            </w:r>
            <w:r w:rsidRPr="00AB7860">
              <w:rPr>
                <w:rFonts w:ascii="Times New Roman" w:hAnsi="Times New Roman" w:cs="Times New Roman"/>
                <w:color w:val="000000"/>
                <w:lang w:val="lt-LT"/>
              </w:rPr>
              <w:t>periferinis šalimas</w:t>
            </w:r>
            <w:r w:rsidRPr="00AB7860">
              <w:rPr>
                <w:rFonts w:ascii="Times New Roman" w:hAnsi="Times New Roman" w:cs="Times New Roman"/>
                <w:lang w:val="lt-LT"/>
              </w:rPr>
              <w:t xml:space="preserve">, hipotenzija, </w:t>
            </w:r>
            <w:r w:rsidRPr="00AB7860">
              <w:rPr>
                <w:rFonts w:ascii="Times New Roman" w:hAnsi="Times New Roman" w:cs="Times New Roman"/>
                <w:color w:val="000000"/>
                <w:lang w:val="lt-LT"/>
              </w:rPr>
              <w:t>Reino</w:t>
            </w:r>
            <w:r w:rsidRPr="00AB7860">
              <w:rPr>
                <w:rFonts w:ascii="Times New Roman" w:hAnsi="Times New Roman" w:cs="Times New Roman"/>
                <w:lang w:val="lt-LT"/>
              </w:rPr>
              <w:t xml:space="preserve"> (</w:t>
            </w:r>
            <w:r w:rsidRPr="00AB7860">
              <w:rPr>
                <w:rFonts w:ascii="Times New Roman" w:hAnsi="Times New Roman" w:cs="Times New Roman"/>
                <w:i/>
                <w:lang w:val="lt-LT"/>
              </w:rPr>
              <w:t>Raynaud</w:t>
            </w:r>
            <w:r w:rsidRPr="00AB7860">
              <w:rPr>
                <w:rFonts w:ascii="Times New Roman" w:hAnsi="Times New Roman" w:cs="Times New Roman"/>
                <w:lang w:val="lt-LT"/>
              </w:rPr>
              <w:t xml:space="preserve">) fenomenas </w:t>
            </w:r>
          </w:p>
        </w:tc>
      </w:tr>
      <w:tr w:rsidR="00173803" w:rsidRPr="00AB7860" w14:paraId="2906D529" w14:textId="77777777" w:rsidTr="00F5730F">
        <w:trPr>
          <w:trHeight w:val="77"/>
        </w:trPr>
        <w:tc>
          <w:tcPr>
            <w:tcW w:w="4653" w:type="dxa"/>
            <w:shd w:val="clear" w:color="auto" w:fill="auto"/>
          </w:tcPr>
          <w:p w14:paraId="307C858A"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341BC950" w14:textId="77777777" w:rsidR="00173803" w:rsidRPr="00AB7860" w:rsidRDefault="00173803" w:rsidP="00F5730F">
            <w:pPr>
              <w:spacing w:after="0" w:line="240" w:lineRule="auto"/>
              <w:rPr>
                <w:rFonts w:ascii="Times New Roman" w:eastAsia="Times New Roman" w:hAnsi="Times New Roman" w:cs="Times New Roman"/>
                <w:lang w:val="lt-LT"/>
              </w:rPr>
            </w:pPr>
            <w:r w:rsidRPr="00AB7860">
              <w:rPr>
                <w:rFonts w:ascii="Times New Roman" w:hAnsi="Times New Roman" w:cs="Times New Roman"/>
              </w:rPr>
              <w:t xml:space="preserve">Trombozė/embolija* </w:t>
            </w:r>
          </w:p>
        </w:tc>
      </w:tr>
      <w:tr w:rsidR="00173803" w:rsidRPr="00AB7860" w14:paraId="6C288615" w14:textId="77777777" w:rsidTr="00F5730F">
        <w:trPr>
          <w:trHeight w:val="77"/>
        </w:trPr>
        <w:tc>
          <w:tcPr>
            <w:tcW w:w="9304" w:type="dxa"/>
            <w:gridSpan w:val="2"/>
            <w:shd w:val="clear" w:color="auto" w:fill="auto"/>
          </w:tcPr>
          <w:p w14:paraId="062C4A3C"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 xml:space="preserve">Kvėpavimo sistemos, krūtinės ląstos ir tarpuplaučio sutrikimai </w:t>
            </w:r>
          </w:p>
        </w:tc>
      </w:tr>
      <w:tr w:rsidR="00173803" w:rsidRPr="00AB7860" w14:paraId="0C476806" w14:textId="77777777" w:rsidTr="00F5730F">
        <w:trPr>
          <w:trHeight w:val="77"/>
        </w:trPr>
        <w:tc>
          <w:tcPr>
            <w:tcW w:w="4653" w:type="dxa"/>
            <w:shd w:val="clear" w:color="auto" w:fill="auto"/>
          </w:tcPr>
          <w:p w14:paraId="69ACCCDC" w14:textId="7F589A56"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Dažn</w:t>
            </w:r>
            <w:r w:rsidR="002500FA">
              <w:rPr>
                <w:rFonts w:ascii="Times New Roman" w:hAnsi="Times New Roman" w:cs="Times New Roman"/>
                <w:i/>
                <w:lang w:val="lt-LT"/>
              </w:rPr>
              <w:t>as</w:t>
            </w:r>
          </w:p>
        </w:tc>
        <w:tc>
          <w:tcPr>
            <w:tcW w:w="4651" w:type="dxa"/>
            <w:shd w:val="clear" w:color="auto" w:fill="auto"/>
          </w:tcPr>
          <w:p w14:paraId="253C103B"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Dusulys, kraujavimas iš nosies, kosulys </w:t>
            </w:r>
          </w:p>
        </w:tc>
      </w:tr>
      <w:tr w:rsidR="00173803" w:rsidRPr="00AB7860" w14:paraId="6DCDDDA2" w14:textId="77777777" w:rsidTr="00F5730F">
        <w:trPr>
          <w:trHeight w:val="77"/>
        </w:trPr>
        <w:tc>
          <w:tcPr>
            <w:tcW w:w="4653" w:type="dxa"/>
            <w:shd w:val="clear" w:color="auto" w:fill="auto"/>
          </w:tcPr>
          <w:p w14:paraId="2A6E77B0" w14:textId="0525BFB8"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6AF255AE"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Skystis pleuros ertmėje</w:t>
            </w:r>
            <w:r w:rsidRPr="00AB7860">
              <w:rPr>
                <w:rFonts w:ascii="Times New Roman" w:hAnsi="Times New Roman" w:cs="Times New Roman"/>
                <w:vertAlign w:val="superscript"/>
                <w:lang w:val="lt-LT"/>
              </w:rPr>
              <w:t>5</w:t>
            </w:r>
            <w:r w:rsidRPr="00AB7860">
              <w:rPr>
                <w:rFonts w:ascii="Times New Roman" w:hAnsi="Times New Roman" w:cs="Times New Roman"/>
                <w:lang w:val="lt-LT"/>
              </w:rPr>
              <w:t xml:space="preserve">, ryklės ir gerklų skausmas, faringitas </w:t>
            </w:r>
          </w:p>
        </w:tc>
      </w:tr>
      <w:tr w:rsidR="00173803" w:rsidRPr="0034666F" w14:paraId="512DDDCA" w14:textId="77777777" w:rsidTr="00F5730F">
        <w:trPr>
          <w:trHeight w:val="77"/>
        </w:trPr>
        <w:tc>
          <w:tcPr>
            <w:tcW w:w="4653" w:type="dxa"/>
            <w:shd w:val="clear" w:color="auto" w:fill="auto"/>
          </w:tcPr>
          <w:p w14:paraId="0DBC7F93" w14:textId="1438ADAB"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1376D74A"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Pleurinis skausmas, plaučių fibrozė, plaučių hipertenzija, kraujavimas iš plaučių </w:t>
            </w:r>
          </w:p>
        </w:tc>
      </w:tr>
      <w:tr w:rsidR="00173803" w:rsidRPr="00AB7860" w14:paraId="54FAF1EB" w14:textId="77777777" w:rsidTr="00F5730F">
        <w:trPr>
          <w:trHeight w:val="77"/>
        </w:trPr>
        <w:tc>
          <w:tcPr>
            <w:tcW w:w="4653" w:type="dxa"/>
            <w:shd w:val="clear" w:color="auto" w:fill="auto"/>
          </w:tcPr>
          <w:p w14:paraId="67A27927"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5F0EC726" w14:textId="77777777" w:rsidR="00173803" w:rsidRPr="00AB7860" w:rsidRDefault="00173803" w:rsidP="00F5730F">
            <w:pPr>
              <w:spacing w:after="0" w:line="240" w:lineRule="auto"/>
              <w:rPr>
                <w:rFonts w:ascii="Times New Roman" w:eastAsia="Times New Roman" w:hAnsi="Times New Roman" w:cs="Times New Roman"/>
                <w:lang w:val="lt-LT"/>
              </w:rPr>
            </w:pPr>
            <w:r w:rsidRPr="00AB7860">
              <w:rPr>
                <w:rFonts w:ascii="Times New Roman" w:hAnsi="Times New Roman" w:cs="Times New Roman"/>
              </w:rPr>
              <w:t>Ūminis kvėpavimo nepakankamumas</w:t>
            </w:r>
            <w:r w:rsidRPr="00AB7860">
              <w:rPr>
                <w:rFonts w:ascii="Times New Roman" w:hAnsi="Times New Roman" w:cs="Times New Roman"/>
                <w:vertAlign w:val="superscript"/>
              </w:rPr>
              <w:t>11</w:t>
            </w:r>
            <w:r w:rsidRPr="00AB7860">
              <w:rPr>
                <w:rFonts w:ascii="Times New Roman" w:hAnsi="Times New Roman" w:cs="Times New Roman"/>
              </w:rPr>
              <w:t xml:space="preserve">*, intersticinė plaučių liga* </w:t>
            </w:r>
          </w:p>
        </w:tc>
      </w:tr>
      <w:tr w:rsidR="00173803" w:rsidRPr="00AB7860" w14:paraId="697875A0" w14:textId="77777777" w:rsidTr="00F5730F">
        <w:trPr>
          <w:trHeight w:val="77"/>
        </w:trPr>
        <w:tc>
          <w:tcPr>
            <w:tcW w:w="9304" w:type="dxa"/>
            <w:gridSpan w:val="2"/>
            <w:shd w:val="clear" w:color="auto" w:fill="auto"/>
          </w:tcPr>
          <w:p w14:paraId="3A1F9A8A"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Virškinimo trakto sutrikimai</w:t>
            </w:r>
          </w:p>
        </w:tc>
      </w:tr>
      <w:tr w:rsidR="00173803" w:rsidRPr="00AB7860" w14:paraId="79C2F9B3" w14:textId="77777777" w:rsidTr="00F5730F">
        <w:trPr>
          <w:trHeight w:val="77"/>
        </w:trPr>
        <w:tc>
          <w:tcPr>
            <w:tcW w:w="4653" w:type="dxa"/>
            <w:shd w:val="clear" w:color="auto" w:fill="auto"/>
          </w:tcPr>
          <w:p w14:paraId="4D455EA1" w14:textId="5D6B38F5"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Labai dažn</w:t>
            </w:r>
            <w:r w:rsidR="002500FA">
              <w:rPr>
                <w:rFonts w:ascii="Times New Roman" w:hAnsi="Times New Roman" w:cs="Times New Roman"/>
                <w:i/>
                <w:lang w:val="lt-LT"/>
              </w:rPr>
              <w:t>as</w:t>
            </w:r>
          </w:p>
        </w:tc>
        <w:tc>
          <w:tcPr>
            <w:tcW w:w="4651" w:type="dxa"/>
            <w:shd w:val="clear" w:color="auto" w:fill="auto"/>
          </w:tcPr>
          <w:p w14:paraId="794C28B7"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Pykinimas, viduriavimas, vėmimas, dispepsija, pilvo skausmas</w:t>
            </w:r>
            <w:r w:rsidRPr="00AB7860">
              <w:rPr>
                <w:rFonts w:ascii="Times New Roman" w:hAnsi="Times New Roman" w:cs="Times New Roman"/>
                <w:vertAlign w:val="superscript"/>
                <w:lang w:val="lt-LT"/>
              </w:rPr>
              <w:t>6</w:t>
            </w:r>
          </w:p>
        </w:tc>
      </w:tr>
      <w:tr w:rsidR="00173803" w:rsidRPr="0034666F" w14:paraId="1FEA6C42" w14:textId="77777777" w:rsidTr="00F5730F">
        <w:trPr>
          <w:trHeight w:val="77"/>
        </w:trPr>
        <w:tc>
          <w:tcPr>
            <w:tcW w:w="4653" w:type="dxa"/>
            <w:shd w:val="clear" w:color="auto" w:fill="auto"/>
          </w:tcPr>
          <w:p w14:paraId="47F246BB" w14:textId="757505EA"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Dažn</w:t>
            </w:r>
            <w:r w:rsidR="002500FA">
              <w:rPr>
                <w:rFonts w:ascii="Times New Roman" w:hAnsi="Times New Roman" w:cs="Times New Roman"/>
                <w:i/>
                <w:lang w:val="lt-LT"/>
              </w:rPr>
              <w:t>as</w:t>
            </w:r>
          </w:p>
        </w:tc>
        <w:tc>
          <w:tcPr>
            <w:tcW w:w="4651" w:type="dxa"/>
            <w:shd w:val="clear" w:color="auto" w:fill="auto"/>
          </w:tcPr>
          <w:p w14:paraId="349053C5"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color w:val="000000"/>
                <w:lang w:val="lt-LT"/>
              </w:rPr>
              <w:t>Dujų susikaupimas žarnyne, pilvo pūtimas,</w:t>
            </w:r>
            <w:r w:rsidRPr="00AB7860">
              <w:rPr>
                <w:rFonts w:ascii="Times New Roman" w:hAnsi="Times New Roman" w:cs="Times New Roman"/>
                <w:lang w:val="lt-LT"/>
              </w:rPr>
              <w:t xml:space="preserve"> gastroezofaginis refliuksas, vidurių užkietėjimas, burnos džiūvimas, gastritas</w:t>
            </w:r>
          </w:p>
        </w:tc>
      </w:tr>
      <w:tr w:rsidR="00173803" w:rsidRPr="0034666F" w14:paraId="5771C4DD" w14:textId="77777777" w:rsidTr="00F5730F">
        <w:trPr>
          <w:trHeight w:val="77"/>
        </w:trPr>
        <w:tc>
          <w:tcPr>
            <w:tcW w:w="4653" w:type="dxa"/>
            <w:shd w:val="clear" w:color="auto" w:fill="auto"/>
          </w:tcPr>
          <w:p w14:paraId="7F47E296" w14:textId="2570C5F7"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lastRenderedPageBreak/>
              <w:t>Nedažn</w:t>
            </w:r>
            <w:r w:rsidR="002500FA">
              <w:rPr>
                <w:rFonts w:ascii="Times New Roman" w:hAnsi="Times New Roman" w:cs="Times New Roman"/>
                <w:i/>
                <w:lang w:val="lt-LT"/>
              </w:rPr>
              <w:t>as</w:t>
            </w:r>
          </w:p>
        </w:tc>
        <w:tc>
          <w:tcPr>
            <w:tcW w:w="4651" w:type="dxa"/>
            <w:shd w:val="clear" w:color="auto" w:fill="auto"/>
          </w:tcPr>
          <w:p w14:paraId="03CC80B1"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Stomatitas, burnos išopėjimas, kraujavimas iš virškinimo trakto</w:t>
            </w:r>
            <w:r w:rsidRPr="00AB7860">
              <w:rPr>
                <w:rFonts w:ascii="Times New Roman" w:hAnsi="Times New Roman" w:cs="Times New Roman"/>
                <w:vertAlign w:val="superscript"/>
                <w:lang w:val="lt-LT"/>
              </w:rPr>
              <w:t>7</w:t>
            </w:r>
            <w:r w:rsidRPr="00AB7860">
              <w:rPr>
                <w:rFonts w:ascii="Times New Roman" w:hAnsi="Times New Roman" w:cs="Times New Roman"/>
                <w:lang w:val="lt-LT"/>
              </w:rPr>
              <w:t xml:space="preserve">, </w:t>
            </w:r>
            <w:r w:rsidRPr="00AB7860">
              <w:rPr>
                <w:rFonts w:ascii="Times New Roman" w:hAnsi="Times New Roman" w:cs="Times New Roman"/>
                <w:color w:val="000000"/>
                <w:lang w:val="lt-LT"/>
              </w:rPr>
              <w:t>raugulys</w:t>
            </w:r>
            <w:r w:rsidRPr="00AB7860">
              <w:rPr>
                <w:rFonts w:ascii="Times New Roman" w:hAnsi="Times New Roman" w:cs="Times New Roman"/>
                <w:lang w:val="lt-LT"/>
              </w:rPr>
              <w:t xml:space="preserve">, melena, ezofagitas, ascitas, skrandžio opa, hematemezė, </w:t>
            </w:r>
            <w:r w:rsidRPr="00AB7860">
              <w:rPr>
                <w:rFonts w:ascii="Times New Roman" w:hAnsi="Times New Roman" w:cs="Times New Roman"/>
                <w:color w:val="000000"/>
                <w:lang w:val="lt-LT"/>
              </w:rPr>
              <w:t>lūpų uždegimas, disfagija, pankreatitas</w:t>
            </w:r>
          </w:p>
        </w:tc>
      </w:tr>
      <w:tr w:rsidR="00173803" w:rsidRPr="0034666F" w14:paraId="3FACB27F" w14:textId="77777777" w:rsidTr="00F5730F">
        <w:trPr>
          <w:trHeight w:val="77"/>
        </w:trPr>
        <w:tc>
          <w:tcPr>
            <w:tcW w:w="4653" w:type="dxa"/>
            <w:shd w:val="clear" w:color="auto" w:fill="auto"/>
          </w:tcPr>
          <w:p w14:paraId="429A45D3" w14:textId="72675431"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33758CF0"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Kolitas, žarnų nepraeinamumas, uždegiminė žarnų liga</w:t>
            </w:r>
          </w:p>
        </w:tc>
      </w:tr>
      <w:tr w:rsidR="00173803" w:rsidRPr="0034666F" w14:paraId="5D41F38A" w14:textId="77777777" w:rsidTr="00F5730F">
        <w:trPr>
          <w:trHeight w:val="77"/>
        </w:trPr>
        <w:tc>
          <w:tcPr>
            <w:tcW w:w="4653" w:type="dxa"/>
            <w:shd w:val="clear" w:color="auto" w:fill="auto"/>
          </w:tcPr>
          <w:p w14:paraId="5F488DC6"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7D73C463" w14:textId="77777777" w:rsidR="00173803" w:rsidRPr="00AB7860" w:rsidRDefault="00173803" w:rsidP="00F5730F">
            <w:pPr>
              <w:spacing w:after="0" w:line="240" w:lineRule="auto"/>
              <w:rPr>
                <w:rFonts w:ascii="Times New Roman" w:eastAsia="Times New Roman" w:hAnsi="Times New Roman" w:cs="Times New Roman"/>
                <w:lang w:val="lt-LT"/>
              </w:rPr>
            </w:pPr>
            <w:r w:rsidRPr="00AB7860">
              <w:rPr>
                <w:rFonts w:ascii="Times New Roman" w:hAnsi="Times New Roman" w:cs="Times New Roman"/>
                <w:lang w:val="lt-LT"/>
              </w:rPr>
              <w:t xml:space="preserve">Žarnų nepraeinamumas/žarnų obstrukcija*, virškinimo trakto perforacija*, divertikulitas*, prievarčio kraujagyslių išsiplėtimas (GAVE)* </w:t>
            </w:r>
          </w:p>
        </w:tc>
      </w:tr>
      <w:tr w:rsidR="00173803" w:rsidRPr="00AB7860" w14:paraId="26373C87" w14:textId="77777777" w:rsidTr="00F5730F">
        <w:trPr>
          <w:trHeight w:val="77"/>
        </w:trPr>
        <w:tc>
          <w:tcPr>
            <w:tcW w:w="9304" w:type="dxa"/>
            <w:gridSpan w:val="2"/>
            <w:shd w:val="clear" w:color="auto" w:fill="auto"/>
          </w:tcPr>
          <w:p w14:paraId="4628CC6D"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Kepenų, tulžies pūslės ir latakų sutrikimai</w:t>
            </w:r>
          </w:p>
        </w:tc>
      </w:tr>
      <w:tr w:rsidR="00173803" w:rsidRPr="00AB7860" w14:paraId="252EDC70" w14:textId="77777777" w:rsidTr="00F5730F">
        <w:trPr>
          <w:trHeight w:val="77"/>
        </w:trPr>
        <w:tc>
          <w:tcPr>
            <w:tcW w:w="4653" w:type="dxa"/>
            <w:shd w:val="clear" w:color="auto" w:fill="auto"/>
          </w:tcPr>
          <w:p w14:paraId="3019D319" w14:textId="0115D63D"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Dažn</w:t>
            </w:r>
            <w:r w:rsidR="002500FA">
              <w:rPr>
                <w:rFonts w:ascii="Times New Roman" w:hAnsi="Times New Roman" w:cs="Times New Roman"/>
                <w:i/>
                <w:color w:val="000000"/>
                <w:lang w:val="lt-LT"/>
              </w:rPr>
              <w:t>as</w:t>
            </w:r>
          </w:p>
        </w:tc>
        <w:tc>
          <w:tcPr>
            <w:tcW w:w="4651" w:type="dxa"/>
            <w:shd w:val="clear" w:color="auto" w:fill="auto"/>
          </w:tcPr>
          <w:p w14:paraId="69C4279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Padidėjęs kepenų fermentų aktyvumas </w:t>
            </w:r>
          </w:p>
        </w:tc>
      </w:tr>
      <w:tr w:rsidR="00173803" w:rsidRPr="00AB7860" w14:paraId="18930773" w14:textId="77777777" w:rsidTr="00F5730F">
        <w:trPr>
          <w:trHeight w:val="77"/>
        </w:trPr>
        <w:tc>
          <w:tcPr>
            <w:tcW w:w="4653" w:type="dxa"/>
            <w:shd w:val="clear" w:color="auto" w:fill="auto"/>
          </w:tcPr>
          <w:p w14:paraId="11CB8AB5" w14:textId="3DC88E25"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4895094F"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Hiperbilirubinemija, hepatitas, gelta </w:t>
            </w:r>
          </w:p>
        </w:tc>
      </w:tr>
      <w:tr w:rsidR="00173803" w:rsidRPr="00AB7860" w14:paraId="0DDCB7C3" w14:textId="77777777" w:rsidTr="00F5730F">
        <w:trPr>
          <w:trHeight w:val="77"/>
        </w:trPr>
        <w:tc>
          <w:tcPr>
            <w:tcW w:w="4653" w:type="dxa"/>
            <w:shd w:val="clear" w:color="auto" w:fill="auto"/>
          </w:tcPr>
          <w:p w14:paraId="5B9181E5" w14:textId="5201ECD2"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w:t>
            </w:r>
            <w:r w:rsidR="002500FA">
              <w:rPr>
                <w:rFonts w:ascii="Times New Roman" w:hAnsi="Times New Roman" w:cs="Times New Roman"/>
                <w:i/>
                <w:color w:val="000000"/>
                <w:lang w:val="lt-LT"/>
              </w:rPr>
              <w:t>as</w:t>
            </w:r>
          </w:p>
        </w:tc>
        <w:tc>
          <w:tcPr>
            <w:tcW w:w="4651" w:type="dxa"/>
            <w:shd w:val="clear" w:color="auto" w:fill="auto"/>
          </w:tcPr>
          <w:p w14:paraId="78311417"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Kepenų nepakankamumas</w:t>
            </w:r>
            <w:r w:rsidRPr="00AB7860">
              <w:rPr>
                <w:rFonts w:ascii="Times New Roman" w:hAnsi="Times New Roman" w:cs="Times New Roman"/>
                <w:color w:val="000000"/>
                <w:vertAlign w:val="superscript"/>
                <w:lang w:val="lt-LT"/>
              </w:rPr>
              <w:t>8</w:t>
            </w:r>
            <w:r w:rsidRPr="00AB7860">
              <w:rPr>
                <w:rFonts w:ascii="Times New Roman" w:hAnsi="Times New Roman" w:cs="Times New Roman"/>
                <w:color w:val="000000"/>
                <w:lang w:val="lt-LT"/>
              </w:rPr>
              <w:t xml:space="preserve">, kepenų nekrozė </w:t>
            </w:r>
          </w:p>
        </w:tc>
      </w:tr>
      <w:tr w:rsidR="00173803" w:rsidRPr="00AB7860" w14:paraId="0F01F447" w14:textId="77777777" w:rsidTr="00F5730F">
        <w:trPr>
          <w:trHeight w:val="77"/>
        </w:trPr>
        <w:tc>
          <w:tcPr>
            <w:tcW w:w="9304" w:type="dxa"/>
            <w:gridSpan w:val="2"/>
            <w:shd w:val="clear" w:color="auto" w:fill="auto"/>
          </w:tcPr>
          <w:p w14:paraId="67825BA0"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lang w:val="lt-LT"/>
              </w:rPr>
              <w:t>Odos ir poodinio audinio sutrikimai</w:t>
            </w:r>
          </w:p>
        </w:tc>
      </w:tr>
      <w:tr w:rsidR="00173803" w:rsidRPr="00AB7860" w14:paraId="39F90144" w14:textId="77777777" w:rsidTr="00F5730F">
        <w:trPr>
          <w:trHeight w:val="77"/>
        </w:trPr>
        <w:tc>
          <w:tcPr>
            <w:tcW w:w="4653" w:type="dxa"/>
            <w:shd w:val="clear" w:color="auto" w:fill="auto"/>
          </w:tcPr>
          <w:p w14:paraId="5904F187" w14:textId="2EE70F41"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Labai dažn</w:t>
            </w:r>
            <w:r w:rsidR="002500FA">
              <w:rPr>
                <w:rFonts w:ascii="Times New Roman" w:hAnsi="Times New Roman" w:cs="Times New Roman"/>
                <w:i/>
                <w:lang w:val="lt-LT"/>
              </w:rPr>
              <w:t>as</w:t>
            </w:r>
          </w:p>
        </w:tc>
        <w:tc>
          <w:tcPr>
            <w:tcW w:w="4651" w:type="dxa"/>
            <w:shd w:val="clear" w:color="auto" w:fill="auto"/>
          </w:tcPr>
          <w:p w14:paraId="2DB2A88D"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Edema apie akis, dermatitas / egzema / išbėrimas</w:t>
            </w:r>
          </w:p>
        </w:tc>
      </w:tr>
      <w:tr w:rsidR="00173803" w:rsidRPr="00AB7860" w14:paraId="7977460B" w14:textId="77777777" w:rsidTr="00F5730F">
        <w:trPr>
          <w:trHeight w:val="77"/>
        </w:trPr>
        <w:tc>
          <w:tcPr>
            <w:tcW w:w="4653" w:type="dxa"/>
            <w:shd w:val="clear" w:color="auto" w:fill="auto"/>
          </w:tcPr>
          <w:p w14:paraId="20B25197" w14:textId="7140F7B8"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Dažn</w:t>
            </w:r>
            <w:r w:rsidR="002500FA">
              <w:rPr>
                <w:rFonts w:ascii="Times New Roman" w:hAnsi="Times New Roman" w:cs="Times New Roman"/>
                <w:i/>
                <w:lang w:val="lt-LT"/>
              </w:rPr>
              <w:t>as</w:t>
            </w:r>
          </w:p>
        </w:tc>
        <w:tc>
          <w:tcPr>
            <w:tcW w:w="4651" w:type="dxa"/>
            <w:shd w:val="clear" w:color="auto" w:fill="auto"/>
          </w:tcPr>
          <w:p w14:paraId="73F0D70F"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Niežulys, veido edema, sausa oda, eritema, alopecija, naktinis prakaitavimas, </w:t>
            </w:r>
            <w:r w:rsidRPr="00AB7860">
              <w:rPr>
                <w:rFonts w:ascii="Times New Roman" w:hAnsi="Times New Roman" w:cs="Times New Roman"/>
                <w:color w:val="000000"/>
                <w:lang w:val="lt-LT"/>
              </w:rPr>
              <w:t>fotosensibilizacijos reakcija</w:t>
            </w:r>
          </w:p>
        </w:tc>
      </w:tr>
      <w:tr w:rsidR="00173803" w:rsidRPr="0034666F" w14:paraId="7502310B" w14:textId="77777777" w:rsidTr="00F5730F">
        <w:trPr>
          <w:trHeight w:val="77"/>
        </w:trPr>
        <w:tc>
          <w:tcPr>
            <w:tcW w:w="4653" w:type="dxa"/>
            <w:shd w:val="clear" w:color="auto" w:fill="auto"/>
          </w:tcPr>
          <w:p w14:paraId="6FC70DE7" w14:textId="646C3624"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426D4523" w14:textId="77777777" w:rsidR="00173803" w:rsidRPr="00483662"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Pustulinis išbėrimas, </w:t>
            </w:r>
            <w:r w:rsidRPr="00AB7860">
              <w:rPr>
                <w:rFonts w:ascii="Times New Roman" w:hAnsi="Times New Roman" w:cs="Times New Roman"/>
                <w:color w:val="000000"/>
                <w:lang w:val="lt-LT"/>
              </w:rPr>
              <w:t>sumušimas</w:t>
            </w:r>
            <w:r w:rsidRPr="00AB7860">
              <w:rPr>
                <w:rFonts w:ascii="Times New Roman" w:hAnsi="Times New Roman" w:cs="Times New Roman"/>
                <w:lang w:val="lt-LT"/>
              </w:rPr>
              <w:t xml:space="preserve">, padidėjęs prakaitavimas, dilgėlinė, ekchimozė, padidėjęs polinkis į kraujosruvas, </w:t>
            </w:r>
            <w:r w:rsidRPr="00AB7860">
              <w:rPr>
                <w:rFonts w:ascii="Times New Roman" w:hAnsi="Times New Roman" w:cs="Times New Roman"/>
                <w:color w:val="000000"/>
                <w:lang w:val="lt-LT"/>
              </w:rPr>
              <w:t>sumažėjęs plaukuotumas</w:t>
            </w:r>
            <w:r w:rsidRPr="00AB7860">
              <w:rPr>
                <w:rFonts w:ascii="Times New Roman" w:hAnsi="Times New Roman" w:cs="Times New Roman"/>
                <w:lang w:val="lt-LT"/>
              </w:rPr>
              <w:t xml:space="preserve">, odos hipopigmentacija, eksfoliacinis dermatitas, </w:t>
            </w:r>
            <w:r w:rsidRPr="00AB7860">
              <w:rPr>
                <w:rFonts w:ascii="Times New Roman" w:hAnsi="Times New Roman" w:cs="Times New Roman"/>
                <w:color w:val="000000"/>
                <w:lang w:val="lt-LT"/>
              </w:rPr>
              <w:t>nagų lūžinėjimas,</w:t>
            </w:r>
            <w:r w:rsidRPr="00AB7860">
              <w:rPr>
                <w:rFonts w:ascii="Times New Roman" w:hAnsi="Times New Roman" w:cs="Times New Roman"/>
                <w:lang w:val="lt-LT"/>
              </w:rPr>
              <w:t xml:space="preserve"> folikulitas, </w:t>
            </w:r>
            <w:r w:rsidRPr="00AB7860">
              <w:rPr>
                <w:rFonts w:ascii="Times New Roman" w:hAnsi="Times New Roman" w:cs="Times New Roman"/>
                <w:color w:val="000000"/>
                <w:lang w:val="lt-LT"/>
              </w:rPr>
              <w:t>petechijos</w:t>
            </w:r>
            <w:r w:rsidRPr="00AB7860">
              <w:rPr>
                <w:rFonts w:ascii="Times New Roman" w:hAnsi="Times New Roman" w:cs="Times New Roman"/>
                <w:lang w:val="lt-LT"/>
              </w:rPr>
              <w:t>, psoriazė, purpura, odos hiperpigmentacija, pūslinis bėrimas</w:t>
            </w:r>
            <w:r w:rsidR="00393FE5">
              <w:rPr>
                <w:rFonts w:ascii="Times New Roman" w:hAnsi="Times New Roman" w:cs="Times New Roman"/>
                <w:lang w:val="lt-LT"/>
              </w:rPr>
              <w:t xml:space="preserve">, </w:t>
            </w:r>
            <w:r w:rsidR="00393FE5" w:rsidRPr="00483662">
              <w:rPr>
                <w:rFonts w:ascii="Times New Roman" w:hAnsi="Times New Roman" w:cs="Times New Roman"/>
                <w:lang w:val="lt-LT"/>
              </w:rPr>
              <w:t>panikulitas</w:t>
            </w:r>
            <w:r w:rsidR="00393FE5" w:rsidRPr="00483662">
              <w:rPr>
                <w:rFonts w:ascii="Times New Roman" w:hAnsi="Times New Roman" w:cs="Times New Roman"/>
                <w:vertAlign w:val="superscript"/>
                <w:lang w:val="lt-LT"/>
              </w:rPr>
              <w:t>12</w:t>
            </w:r>
          </w:p>
        </w:tc>
      </w:tr>
      <w:tr w:rsidR="00173803" w:rsidRPr="0034666F" w14:paraId="018E0F78" w14:textId="77777777" w:rsidTr="00F5730F">
        <w:trPr>
          <w:trHeight w:val="77"/>
        </w:trPr>
        <w:tc>
          <w:tcPr>
            <w:tcW w:w="4653" w:type="dxa"/>
            <w:shd w:val="clear" w:color="auto" w:fill="auto"/>
          </w:tcPr>
          <w:p w14:paraId="70207153" w14:textId="31B2BD2D"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27A86096" w14:textId="77777777" w:rsidR="00173803" w:rsidRPr="005D31C2"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Ūminė febrilinė neutrofilinė dermatozė (</w:t>
            </w:r>
            <w:r w:rsidRPr="00AB7860">
              <w:rPr>
                <w:rFonts w:ascii="Times New Roman" w:hAnsi="Times New Roman" w:cs="Times New Roman"/>
                <w:color w:val="000000"/>
                <w:lang w:val="lt-LT"/>
              </w:rPr>
              <w:t>Svyto</w:t>
            </w:r>
            <w:r w:rsidRPr="00AB7860">
              <w:rPr>
                <w:rFonts w:ascii="Times New Roman" w:hAnsi="Times New Roman" w:cs="Times New Roman"/>
                <w:lang w:val="lt-LT"/>
              </w:rPr>
              <w:t xml:space="preserve"> </w:t>
            </w:r>
            <w:r w:rsidRPr="00AB7860">
              <w:rPr>
                <w:rFonts w:ascii="Times New Roman" w:hAnsi="Times New Roman" w:cs="Times New Roman"/>
                <w:i/>
                <w:lang w:val="lt-LT"/>
              </w:rPr>
              <w:t>(Sweet)</w:t>
            </w:r>
            <w:r w:rsidRPr="00AB7860">
              <w:rPr>
                <w:rFonts w:ascii="Times New Roman" w:hAnsi="Times New Roman" w:cs="Times New Roman"/>
                <w:lang w:val="lt-LT"/>
              </w:rPr>
              <w:t xml:space="preserve"> sindromas), nagų spalvos pakitimas, angioneurozinė edema, pūslelinis bėrimas, </w:t>
            </w:r>
            <w:r w:rsidRPr="00AB7860">
              <w:rPr>
                <w:rFonts w:ascii="Times New Roman" w:hAnsi="Times New Roman" w:cs="Times New Roman"/>
                <w:color w:val="000000"/>
                <w:lang w:val="lt-LT"/>
              </w:rPr>
              <w:t>daugiaformė raudonė (eritema),</w:t>
            </w:r>
            <w:r w:rsidRPr="00AB7860">
              <w:rPr>
                <w:rFonts w:ascii="Times New Roman" w:hAnsi="Times New Roman" w:cs="Times New Roman"/>
                <w:lang w:val="lt-LT"/>
              </w:rPr>
              <w:t xml:space="preserve"> leukocitoklastinis vaskulitas,  </w:t>
            </w:r>
            <w:r w:rsidRPr="00AB7860">
              <w:rPr>
                <w:rFonts w:ascii="Times New Roman" w:hAnsi="Times New Roman" w:cs="Times New Roman"/>
                <w:color w:val="000000"/>
                <w:lang w:val="lt-LT"/>
              </w:rPr>
              <w:t>Stivenso-Džonsono (</w:t>
            </w:r>
            <w:r w:rsidRPr="00B47C64">
              <w:rPr>
                <w:rFonts w:ascii="Times New Roman" w:hAnsi="Times New Roman" w:cs="Times New Roman"/>
                <w:iCs/>
                <w:lang w:val="lt-LT"/>
              </w:rPr>
              <w:t>Stevens-Johnson</w:t>
            </w:r>
            <w:r w:rsidRPr="00AB7860">
              <w:rPr>
                <w:rFonts w:ascii="Times New Roman" w:hAnsi="Times New Roman" w:cs="Times New Roman"/>
                <w:lang w:val="lt-LT"/>
              </w:rPr>
              <w:t xml:space="preserve">) sindromas, </w:t>
            </w:r>
            <w:r w:rsidRPr="00AB7860">
              <w:rPr>
                <w:rFonts w:ascii="Times New Roman" w:hAnsi="Times New Roman" w:cs="Times New Roman"/>
                <w:color w:val="000000"/>
                <w:lang w:val="lt-LT"/>
              </w:rPr>
              <w:t>ūminė generalizuota egzanteminė pustuliozė (</w:t>
            </w:r>
            <w:r w:rsidRPr="00AB7860">
              <w:rPr>
                <w:rFonts w:ascii="Times New Roman" w:hAnsi="Times New Roman" w:cs="Times New Roman"/>
                <w:lang w:val="lt-LT"/>
              </w:rPr>
              <w:t>ŪGEP)</w:t>
            </w:r>
            <w:r w:rsidR="008209F8">
              <w:rPr>
                <w:rFonts w:ascii="Times New Roman" w:hAnsi="Times New Roman" w:cs="Times New Roman"/>
                <w:lang w:val="lt-LT"/>
              </w:rPr>
              <w:t xml:space="preserve"> , </w:t>
            </w:r>
            <w:r w:rsidR="008209F8" w:rsidRPr="003F5049">
              <w:rPr>
                <w:rFonts w:ascii="Times New Roman" w:hAnsi="Times New Roman" w:cs="Times New Roman"/>
                <w:lang w:val="lt-LT"/>
              </w:rPr>
              <w:t xml:space="preserve">eriteminė pūslinė (lot. </w:t>
            </w:r>
            <w:r w:rsidR="008209F8" w:rsidRPr="000E1724">
              <w:rPr>
                <w:rFonts w:ascii="Times New Roman" w:hAnsi="Times New Roman" w:cs="Times New Roman"/>
                <w:i/>
                <w:lang w:val="lt-LT"/>
              </w:rPr>
              <w:t>pemphigus</w:t>
            </w:r>
            <w:r w:rsidR="008209F8" w:rsidRPr="003F5049">
              <w:rPr>
                <w:rFonts w:ascii="Times New Roman" w:hAnsi="Times New Roman" w:cs="Times New Roman"/>
                <w:lang w:val="lt-LT"/>
              </w:rPr>
              <w:t>)*</w:t>
            </w:r>
          </w:p>
        </w:tc>
      </w:tr>
      <w:tr w:rsidR="00173803" w:rsidRPr="0034666F" w14:paraId="3E3B90F7" w14:textId="77777777" w:rsidTr="00F5730F">
        <w:trPr>
          <w:trHeight w:val="77"/>
        </w:trPr>
        <w:tc>
          <w:tcPr>
            <w:tcW w:w="4653" w:type="dxa"/>
            <w:shd w:val="clear" w:color="auto" w:fill="auto"/>
          </w:tcPr>
          <w:p w14:paraId="41F4322E"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5035E268" w14:textId="77777777" w:rsidR="00173803" w:rsidRPr="00AB7860" w:rsidRDefault="00173803" w:rsidP="00F5730F">
            <w:pPr>
              <w:spacing w:after="0" w:line="240" w:lineRule="auto"/>
              <w:rPr>
                <w:rFonts w:ascii="Times New Roman" w:eastAsia="Times New Roman" w:hAnsi="Times New Roman" w:cs="Times New Roman"/>
                <w:lang w:val="lt-LT"/>
              </w:rPr>
            </w:pPr>
            <w:r w:rsidRPr="00AB7860">
              <w:rPr>
                <w:rFonts w:ascii="Times New Roman" w:hAnsi="Times New Roman" w:cs="Times New Roman"/>
                <w:lang w:val="lt-LT"/>
              </w:rPr>
              <w:t xml:space="preserve">Delnų ir padų eritrodizestezijos sindromas*, lichenoidinė keratozė*, plokščioji kerpligė*, toksinė epidermio nekrolizė*, medikamentinis išbėrimas su eozinofilija ir sisteminiais simptomais </w:t>
            </w:r>
            <w:r w:rsidRPr="00AB7860">
              <w:rPr>
                <w:rFonts w:ascii="Times New Roman" w:hAnsi="Times New Roman" w:cs="Times New Roman"/>
                <w:i/>
                <w:iCs/>
                <w:lang w:val="lt-LT"/>
              </w:rPr>
              <w:t>(DRESS)</w:t>
            </w:r>
            <w:r w:rsidRPr="00AB7860">
              <w:rPr>
                <w:rFonts w:ascii="Times New Roman" w:hAnsi="Times New Roman" w:cs="Times New Roman"/>
                <w:lang w:val="lt-LT"/>
              </w:rPr>
              <w:t xml:space="preserve">*,pseudoporfirija* </w:t>
            </w:r>
          </w:p>
        </w:tc>
      </w:tr>
      <w:tr w:rsidR="00173803" w:rsidRPr="00AB7860" w14:paraId="26C38700" w14:textId="77777777" w:rsidTr="00F5730F">
        <w:trPr>
          <w:trHeight w:val="77"/>
        </w:trPr>
        <w:tc>
          <w:tcPr>
            <w:tcW w:w="9304" w:type="dxa"/>
            <w:gridSpan w:val="2"/>
            <w:shd w:val="clear" w:color="auto" w:fill="auto"/>
          </w:tcPr>
          <w:p w14:paraId="0E351DC3"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Skeleto, raumenų ir jungiamojo audinio sutrikimai</w:t>
            </w:r>
          </w:p>
        </w:tc>
      </w:tr>
      <w:tr w:rsidR="00173803" w:rsidRPr="0034666F" w14:paraId="53C2BE09" w14:textId="77777777" w:rsidTr="00F5730F">
        <w:trPr>
          <w:trHeight w:val="77"/>
        </w:trPr>
        <w:tc>
          <w:tcPr>
            <w:tcW w:w="4653" w:type="dxa"/>
            <w:shd w:val="clear" w:color="auto" w:fill="auto"/>
          </w:tcPr>
          <w:p w14:paraId="361ED794" w14:textId="31103127"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Labai dažn</w:t>
            </w:r>
            <w:r w:rsidR="002500FA">
              <w:rPr>
                <w:rFonts w:ascii="Times New Roman" w:hAnsi="Times New Roman" w:cs="Times New Roman"/>
                <w:i/>
                <w:lang w:val="lt-LT"/>
              </w:rPr>
              <w:t>as</w:t>
            </w:r>
          </w:p>
        </w:tc>
        <w:tc>
          <w:tcPr>
            <w:tcW w:w="4651" w:type="dxa"/>
            <w:shd w:val="clear" w:color="auto" w:fill="auto"/>
          </w:tcPr>
          <w:p w14:paraId="584114AB"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Raumenų spazmas ir mėšlungis, skeleto ir raumenų skausmas, įskaitant mialgiją</w:t>
            </w:r>
            <w:r w:rsidRPr="00AB7860">
              <w:rPr>
                <w:rFonts w:ascii="Times New Roman" w:hAnsi="Times New Roman" w:cs="Times New Roman"/>
                <w:vertAlign w:val="superscript"/>
                <w:lang w:val="lt-LT"/>
              </w:rPr>
              <w:t>9</w:t>
            </w:r>
            <w:r w:rsidRPr="00AB7860">
              <w:rPr>
                <w:rFonts w:ascii="Times New Roman" w:hAnsi="Times New Roman" w:cs="Times New Roman"/>
                <w:lang w:val="lt-LT"/>
              </w:rPr>
              <w:t>, artralgiją, kaulų skausmas</w:t>
            </w:r>
            <w:r w:rsidRPr="00AB7860">
              <w:rPr>
                <w:rFonts w:ascii="Times New Roman" w:hAnsi="Times New Roman" w:cs="Times New Roman"/>
                <w:vertAlign w:val="superscript"/>
                <w:lang w:val="lt-LT"/>
              </w:rPr>
              <w:t>10</w:t>
            </w:r>
          </w:p>
        </w:tc>
      </w:tr>
      <w:tr w:rsidR="00173803" w:rsidRPr="00AB7860" w14:paraId="3A7171C2" w14:textId="77777777" w:rsidTr="00F5730F">
        <w:trPr>
          <w:trHeight w:val="77"/>
        </w:trPr>
        <w:tc>
          <w:tcPr>
            <w:tcW w:w="4653" w:type="dxa"/>
            <w:shd w:val="clear" w:color="auto" w:fill="auto"/>
          </w:tcPr>
          <w:p w14:paraId="710137E8" w14:textId="553A7BC9"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Dažn</w:t>
            </w:r>
            <w:r w:rsidR="002500FA">
              <w:rPr>
                <w:rFonts w:ascii="Times New Roman" w:hAnsi="Times New Roman" w:cs="Times New Roman"/>
                <w:i/>
                <w:lang w:val="lt-LT"/>
              </w:rPr>
              <w:t>as</w:t>
            </w:r>
          </w:p>
        </w:tc>
        <w:tc>
          <w:tcPr>
            <w:tcW w:w="4651" w:type="dxa"/>
            <w:shd w:val="clear" w:color="auto" w:fill="auto"/>
          </w:tcPr>
          <w:p w14:paraId="56CABAE9"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Sąnarių tinimas</w:t>
            </w:r>
          </w:p>
        </w:tc>
      </w:tr>
      <w:tr w:rsidR="00173803" w:rsidRPr="00AB7860" w14:paraId="4EAAD5D4" w14:textId="77777777" w:rsidTr="00F5730F">
        <w:trPr>
          <w:trHeight w:val="77"/>
        </w:trPr>
        <w:tc>
          <w:tcPr>
            <w:tcW w:w="4653" w:type="dxa"/>
            <w:shd w:val="clear" w:color="auto" w:fill="auto"/>
          </w:tcPr>
          <w:p w14:paraId="2D25F5A5" w14:textId="3FABA6F6"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244D9070"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Sąnarių ir raumenų sąstingis</w:t>
            </w:r>
            <w:r w:rsidR="00FA5B86">
              <w:rPr>
                <w:rFonts w:ascii="Times New Roman" w:hAnsi="Times New Roman" w:cs="Times New Roman"/>
                <w:lang w:val="lt-LT"/>
              </w:rPr>
              <w:t xml:space="preserve">, </w:t>
            </w:r>
            <w:r w:rsidR="00FA5B86" w:rsidRPr="00DC1749">
              <w:rPr>
                <w:rFonts w:ascii="Times New Roman" w:hAnsi="Times New Roman" w:cs="Times New Roman"/>
              </w:rPr>
              <w:t>osteonekrozė*</w:t>
            </w:r>
          </w:p>
        </w:tc>
      </w:tr>
      <w:tr w:rsidR="00173803" w:rsidRPr="00AB7860" w14:paraId="37167294" w14:textId="77777777" w:rsidTr="00F5730F">
        <w:trPr>
          <w:trHeight w:val="77"/>
        </w:trPr>
        <w:tc>
          <w:tcPr>
            <w:tcW w:w="4653" w:type="dxa"/>
            <w:shd w:val="clear" w:color="auto" w:fill="auto"/>
          </w:tcPr>
          <w:p w14:paraId="0ADA0840" w14:textId="3730F626"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p>
        </w:tc>
        <w:tc>
          <w:tcPr>
            <w:tcW w:w="4651" w:type="dxa"/>
            <w:shd w:val="clear" w:color="auto" w:fill="auto"/>
          </w:tcPr>
          <w:p w14:paraId="697B37BE"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Raumenų silpnumas, artritas, rabdomiolizė / miopatija</w:t>
            </w:r>
          </w:p>
        </w:tc>
      </w:tr>
      <w:tr w:rsidR="00173803" w:rsidRPr="008209F8" w14:paraId="2FA9EC59" w14:textId="77777777" w:rsidTr="00F5730F">
        <w:trPr>
          <w:trHeight w:val="77"/>
        </w:trPr>
        <w:tc>
          <w:tcPr>
            <w:tcW w:w="4653" w:type="dxa"/>
            <w:shd w:val="clear" w:color="auto" w:fill="auto"/>
          </w:tcPr>
          <w:p w14:paraId="73366996"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097D86D2" w14:textId="6C5FCDEB" w:rsidR="00173803" w:rsidRPr="00AB7860" w:rsidRDefault="00FA5B86" w:rsidP="00F5730F">
            <w:pPr>
              <w:spacing w:after="0" w:line="240" w:lineRule="auto"/>
              <w:rPr>
                <w:rFonts w:ascii="Times New Roman" w:eastAsia="Times New Roman" w:hAnsi="Times New Roman" w:cs="Times New Roman"/>
                <w:lang w:val="lt-LT"/>
              </w:rPr>
            </w:pPr>
            <w:r>
              <w:rPr>
                <w:rFonts w:ascii="Times New Roman" w:hAnsi="Times New Roman" w:cs="Times New Roman"/>
                <w:lang w:val="lt-LT"/>
              </w:rPr>
              <w:t>V</w:t>
            </w:r>
            <w:r w:rsidR="00173803" w:rsidRPr="00AB7860">
              <w:rPr>
                <w:rFonts w:ascii="Times New Roman" w:hAnsi="Times New Roman" w:cs="Times New Roman"/>
                <w:lang w:val="lt-LT"/>
              </w:rPr>
              <w:t xml:space="preserve">aikų augimo sulėtėjimas* </w:t>
            </w:r>
          </w:p>
        </w:tc>
      </w:tr>
      <w:tr w:rsidR="00173803" w:rsidRPr="00AB7860" w14:paraId="4968D0A6" w14:textId="77777777" w:rsidTr="00F5730F">
        <w:trPr>
          <w:trHeight w:val="77"/>
        </w:trPr>
        <w:tc>
          <w:tcPr>
            <w:tcW w:w="9304" w:type="dxa"/>
            <w:gridSpan w:val="2"/>
            <w:shd w:val="clear" w:color="auto" w:fill="auto"/>
          </w:tcPr>
          <w:p w14:paraId="24DCE5CE"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Inkstų ir šlapimo takų sutrikimai</w:t>
            </w:r>
          </w:p>
        </w:tc>
      </w:tr>
      <w:tr w:rsidR="00173803" w:rsidRPr="0034666F" w14:paraId="23CF5042" w14:textId="77777777" w:rsidTr="00F5730F">
        <w:trPr>
          <w:trHeight w:val="77"/>
        </w:trPr>
        <w:tc>
          <w:tcPr>
            <w:tcW w:w="4653" w:type="dxa"/>
            <w:shd w:val="clear" w:color="auto" w:fill="auto"/>
          </w:tcPr>
          <w:p w14:paraId="55194EB7" w14:textId="326BA077"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46ED9739"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Inkstų skausmas, hematurija, </w:t>
            </w:r>
            <w:r w:rsidRPr="00AB7860">
              <w:rPr>
                <w:rFonts w:ascii="Times New Roman" w:hAnsi="Times New Roman" w:cs="Times New Roman"/>
                <w:color w:val="000000"/>
                <w:lang w:val="lt-LT"/>
              </w:rPr>
              <w:t>ūminis</w:t>
            </w:r>
            <w:r w:rsidRPr="00AB7860">
              <w:rPr>
                <w:rFonts w:ascii="Times New Roman" w:hAnsi="Times New Roman" w:cs="Times New Roman"/>
                <w:lang w:val="lt-LT"/>
              </w:rPr>
              <w:t xml:space="preserve"> inkstų nepakankamumas, padažnėjęs šlapinimasis</w:t>
            </w:r>
          </w:p>
        </w:tc>
      </w:tr>
      <w:tr w:rsidR="00173803" w:rsidRPr="00AB7860" w14:paraId="42BCB68D" w14:textId="77777777" w:rsidTr="00F5730F">
        <w:trPr>
          <w:trHeight w:val="77"/>
        </w:trPr>
        <w:tc>
          <w:tcPr>
            <w:tcW w:w="4653" w:type="dxa"/>
            <w:shd w:val="clear" w:color="auto" w:fill="auto"/>
          </w:tcPr>
          <w:p w14:paraId="6346B2B1" w14:textId="77777777" w:rsidR="00173803" w:rsidRPr="00AB7860" w:rsidRDefault="00173803" w:rsidP="00F5730F">
            <w:pPr>
              <w:spacing w:after="0" w:line="240" w:lineRule="auto"/>
              <w:rPr>
                <w:rFonts w:ascii="Times New Roman" w:eastAsia="Times New Roman" w:hAnsi="Times New Roman" w:cs="Times New Roman"/>
                <w:i/>
                <w:lang w:val="lt-LT"/>
              </w:rPr>
            </w:pPr>
            <w:r w:rsidRPr="00AB7860">
              <w:rPr>
                <w:rFonts w:ascii="Times New Roman" w:hAnsi="Times New Roman" w:cs="Times New Roman"/>
                <w:i/>
                <w:iCs/>
              </w:rPr>
              <w:t xml:space="preserve">Dažnis nežinomas: </w:t>
            </w:r>
          </w:p>
        </w:tc>
        <w:tc>
          <w:tcPr>
            <w:tcW w:w="4651" w:type="dxa"/>
            <w:shd w:val="clear" w:color="auto" w:fill="auto"/>
          </w:tcPr>
          <w:p w14:paraId="2A420B6A" w14:textId="77777777" w:rsidR="00173803" w:rsidRPr="00AB7860" w:rsidRDefault="00173803" w:rsidP="00F5730F">
            <w:pPr>
              <w:spacing w:after="0" w:line="240" w:lineRule="auto"/>
              <w:rPr>
                <w:rFonts w:ascii="Times New Roman" w:eastAsia="Times New Roman" w:hAnsi="Times New Roman" w:cs="Times New Roman"/>
                <w:lang w:val="lt-LT"/>
              </w:rPr>
            </w:pPr>
            <w:r w:rsidRPr="00AB7860">
              <w:rPr>
                <w:rFonts w:ascii="Times New Roman" w:hAnsi="Times New Roman" w:cs="Times New Roman"/>
              </w:rPr>
              <w:t xml:space="preserve">Lėtinis inkstų nepakankamumas </w:t>
            </w:r>
          </w:p>
        </w:tc>
      </w:tr>
      <w:tr w:rsidR="00173803" w:rsidRPr="00AB7860" w14:paraId="0520E1C1" w14:textId="77777777" w:rsidTr="00F5730F">
        <w:trPr>
          <w:trHeight w:val="77"/>
        </w:trPr>
        <w:tc>
          <w:tcPr>
            <w:tcW w:w="9304" w:type="dxa"/>
            <w:gridSpan w:val="2"/>
            <w:shd w:val="clear" w:color="auto" w:fill="auto"/>
          </w:tcPr>
          <w:p w14:paraId="5CB41F48"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b/>
                <w:lang w:val="lt-LT"/>
              </w:rPr>
              <w:t>Lytinės sistemos ir krūties sutrikimai</w:t>
            </w:r>
          </w:p>
        </w:tc>
      </w:tr>
      <w:tr w:rsidR="00173803" w:rsidRPr="00AB7860" w14:paraId="15980864" w14:textId="77777777" w:rsidTr="00F5730F">
        <w:trPr>
          <w:trHeight w:val="77"/>
        </w:trPr>
        <w:tc>
          <w:tcPr>
            <w:tcW w:w="4653" w:type="dxa"/>
            <w:shd w:val="clear" w:color="auto" w:fill="auto"/>
          </w:tcPr>
          <w:p w14:paraId="59815F5C" w14:textId="65F7C4E1"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lastRenderedPageBreak/>
              <w:t>Nedažn</w:t>
            </w:r>
            <w:r w:rsidR="002500FA">
              <w:rPr>
                <w:rFonts w:ascii="Times New Roman" w:hAnsi="Times New Roman" w:cs="Times New Roman"/>
                <w:i/>
                <w:color w:val="000000"/>
                <w:lang w:val="lt-LT"/>
              </w:rPr>
              <w:t>as</w:t>
            </w:r>
            <w:r w:rsidRPr="00AB7860">
              <w:rPr>
                <w:rFonts w:ascii="Times New Roman" w:hAnsi="Times New Roman" w:cs="Times New Roman"/>
                <w:i/>
                <w:color w:val="000000"/>
                <w:lang w:val="lt-LT"/>
              </w:rPr>
              <w:t xml:space="preserve"> </w:t>
            </w:r>
          </w:p>
        </w:tc>
        <w:tc>
          <w:tcPr>
            <w:tcW w:w="4651" w:type="dxa"/>
            <w:shd w:val="clear" w:color="auto" w:fill="auto"/>
          </w:tcPr>
          <w:p w14:paraId="533439BE"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Ginekomastija, erekcijos sutrikimas, menoragija, menstruacijų ciklo sutrikimas, lytinė disfunkcija, spenelio skausmas, krūtų padidėjimas, kapšelio edema </w:t>
            </w:r>
          </w:p>
        </w:tc>
      </w:tr>
      <w:tr w:rsidR="00173803" w:rsidRPr="00AB7860" w14:paraId="76873C55" w14:textId="77777777" w:rsidTr="00F5730F">
        <w:trPr>
          <w:trHeight w:val="77"/>
        </w:trPr>
        <w:tc>
          <w:tcPr>
            <w:tcW w:w="4653" w:type="dxa"/>
            <w:shd w:val="clear" w:color="auto" w:fill="auto"/>
          </w:tcPr>
          <w:p w14:paraId="04869A0E" w14:textId="6D48C8CC"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Ret</w:t>
            </w:r>
            <w:r w:rsidR="002500FA">
              <w:rPr>
                <w:rFonts w:ascii="Times New Roman" w:hAnsi="Times New Roman" w:cs="Times New Roman"/>
                <w:i/>
                <w:color w:val="000000"/>
                <w:lang w:val="lt-LT"/>
              </w:rPr>
              <w:t>as</w:t>
            </w:r>
          </w:p>
        </w:tc>
        <w:tc>
          <w:tcPr>
            <w:tcW w:w="4651" w:type="dxa"/>
            <w:shd w:val="clear" w:color="auto" w:fill="auto"/>
          </w:tcPr>
          <w:p w14:paraId="3AD0C7A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Geltonkūnio hemoragija ar hemoraginė kiaušidžių cista </w:t>
            </w:r>
          </w:p>
        </w:tc>
      </w:tr>
      <w:tr w:rsidR="00173803" w:rsidRPr="00AB7860" w14:paraId="70E35D18" w14:textId="77777777" w:rsidTr="00F5730F">
        <w:trPr>
          <w:trHeight w:val="77"/>
        </w:trPr>
        <w:tc>
          <w:tcPr>
            <w:tcW w:w="9304" w:type="dxa"/>
            <w:gridSpan w:val="2"/>
            <w:shd w:val="clear" w:color="auto" w:fill="auto"/>
          </w:tcPr>
          <w:p w14:paraId="3D2288B5"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Bendrieji sutrikimai ir vartojimo vietos pažeidimai</w:t>
            </w:r>
          </w:p>
        </w:tc>
      </w:tr>
      <w:tr w:rsidR="00173803" w:rsidRPr="00AB7860" w14:paraId="7947D724" w14:textId="77777777" w:rsidTr="00F5730F">
        <w:trPr>
          <w:trHeight w:val="77"/>
        </w:trPr>
        <w:tc>
          <w:tcPr>
            <w:tcW w:w="4653" w:type="dxa"/>
            <w:shd w:val="clear" w:color="auto" w:fill="auto"/>
          </w:tcPr>
          <w:p w14:paraId="5D775DA6" w14:textId="1C4C2AE1"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Labai dažn</w:t>
            </w:r>
            <w:r w:rsidR="002500FA">
              <w:rPr>
                <w:rFonts w:ascii="Times New Roman" w:hAnsi="Times New Roman" w:cs="Times New Roman"/>
                <w:i/>
                <w:color w:val="000000"/>
                <w:lang w:val="lt-LT"/>
              </w:rPr>
              <w:t>as</w:t>
            </w:r>
            <w:r w:rsidRPr="00AB7860">
              <w:rPr>
                <w:rFonts w:ascii="Times New Roman" w:hAnsi="Times New Roman" w:cs="Times New Roman"/>
                <w:i/>
                <w:color w:val="000000"/>
                <w:lang w:val="lt-LT"/>
              </w:rPr>
              <w:t xml:space="preserve"> </w:t>
            </w:r>
          </w:p>
        </w:tc>
        <w:tc>
          <w:tcPr>
            <w:tcW w:w="4651" w:type="dxa"/>
            <w:shd w:val="clear" w:color="auto" w:fill="auto"/>
          </w:tcPr>
          <w:p w14:paraId="475093ED"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Skysčių susilaikymas ir edema, nuovargis </w:t>
            </w:r>
          </w:p>
        </w:tc>
      </w:tr>
      <w:tr w:rsidR="00173803" w:rsidRPr="00AB7860" w14:paraId="79B2956D" w14:textId="77777777" w:rsidTr="00F5730F">
        <w:trPr>
          <w:trHeight w:val="77"/>
        </w:trPr>
        <w:tc>
          <w:tcPr>
            <w:tcW w:w="4653" w:type="dxa"/>
            <w:shd w:val="clear" w:color="auto" w:fill="auto"/>
          </w:tcPr>
          <w:p w14:paraId="54157D6F" w14:textId="3115BB74"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Dažn</w:t>
            </w:r>
            <w:r w:rsidR="002500FA">
              <w:rPr>
                <w:rFonts w:ascii="Times New Roman" w:hAnsi="Times New Roman" w:cs="Times New Roman"/>
                <w:i/>
                <w:color w:val="000000"/>
                <w:lang w:val="lt-LT"/>
              </w:rPr>
              <w:t>as</w:t>
            </w:r>
          </w:p>
        </w:tc>
        <w:tc>
          <w:tcPr>
            <w:tcW w:w="4651" w:type="dxa"/>
            <w:shd w:val="clear" w:color="auto" w:fill="auto"/>
          </w:tcPr>
          <w:p w14:paraId="5779E0D1"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Silpnumas, karščiavimas, odos vandenė</w:t>
            </w:r>
            <w:r w:rsidRPr="00AB7860">
              <w:rPr>
                <w:rFonts w:ascii="Times New Roman" w:hAnsi="Times New Roman" w:cs="Times New Roman"/>
                <w:i/>
                <w:color w:val="000000"/>
                <w:lang w:val="lt-LT"/>
              </w:rPr>
              <w:t>,</w:t>
            </w:r>
            <w:r w:rsidRPr="00AB7860">
              <w:rPr>
                <w:rFonts w:ascii="Times New Roman" w:hAnsi="Times New Roman" w:cs="Times New Roman"/>
                <w:color w:val="000000"/>
                <w:lang w:val="lt-LT"/>
              </w:rPr>
              <w:t xml:space="preserve"> šaltkrėtis, sąstingis </w:t>
            </w:r>
          </w:p>
        </w:tc>
      </w:tr>
      <w:tr w:rsidR="00173803" w:rsidRPr="00AB7860" w14:paraId="3FDE6075" w14:textId="77777777" w:rsidTr="00F5730F">
        <w:trPr>
          <w:trHeight w:val="77"/>
        </w:trPr>
        <w:tc>
          <w:tcPr>
            <w:tcW w:w="4653" w:type="dxa"/>
            <w:shd w:val="clear" w:color="auto" w:fill="auto"/>
          </w:tcPr>
          <w:p w14:paraId="531B7F31" w14:textId="29C51015"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i/>
                <w:color w:val="000000"/>
                <w:lang w:val="lt-LT"/>
              </w:rPr>
              <w:t>Nedažn</w:t>
            </w:r>
            <w:r w:rsidR="002500FA">
              <w:rPr>
                <w:rFonts w:ascii="Times New Roman" w:hAnsi="Times New Roman" w:cs="Times New Roman"/>
                <w:i/>
                <w:color w:val="000000"/>
                <w:lang w:val="lt-LT"/>
              </w:rPr>
              <w:t>as</w:t>
            </w:r>
          </w:p>
        </w:tc>
        <w:tc>
          <w:tcPr>
            <w:tcW w:w="4651" w:type="dxa"/>
            <w:shd w:val="clear" w:color="auto" w:fill="auto"/>
          </w:tcPr>
          <w:p w14:paraId="60EB59BC"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Skausmas krūtinėje, bloga savijauta </w:t>
            </w:r>
          </w:p>
        </w:tc>
      </w:tr>
      <w:tr w:rsidR="00173803" w:rsidRPr="00AB7860" w14:paraId="68575097" w14:textId="77777777" w:rsidTr="00F5730F">
        <w:trPr>
          <w:trHeight w:val="77"/>
        </w:trPr>
        <w:tc>
          <w:tcPr>
            <w:tcW w:w="9304" w:type="dxa"/>
            <w:gridSpan w:val="2"/>
            <w:shd w:val="clear" w:color="auto" w:fill="auto"/>
          </w:tcPr>
          <w:p w14:paraId="51273634"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 xml:space="preserve">Tyrimai </w:t>
            </w:r>
          </w:p>
        </w:tc>
      </w:tr>
      <w:tr w:rsidR="00173803" w:rsidRPr="00AB7860" w14:paraId="324A96EA" w14:textId="77777777" w:rsidTr="00F5730F">
        <w:trPr>
          <w:trHeight w:val="77"/>
        </w:trPr>
        <w:tc>
          <w:tcPr>
            <w:tcW w:w="4653" w:type="dxa"/>
            <w:shd w:val="clear" w:color="auto" w:fill="auto"/>
          </w:tcPr>
          <w:p w14:paraId="78BB99AD" w14:textId="0806BF4A"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Labai dažn</w:t>
            </w:r>
            <w:r w:rsidR="002500FA">
              <w:rPr>
                <w:rFonts w:ascii="Times New Roman" w:hAnsi="Times New Roman" w:cs="Times New Roman"/>
                <w:i/>
                <w:lang w:val="lt-LT"/>
              </w:rPr>
              <w:t>as</w:t>
            </w:r>
          </w:p>
        </w:tc>
        <w:tc>
          <w:tcPr>
            <w:tcW w:w="4651" w:type="dxa"/>
            <w:shd w:val="clear" w:color="auto" w:fill="auto"/>
          </w:tcPr>
          <w:p w14:paraId="50038678"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Padidėjęs kūno svoris </w:t>
            </w:r>
          </w:p>
        </w:tc>
      </w:tr>
      <w:tr w:rsidR="00173803" w:rsidRPr="00AB7860" w14:paraId="6A4EF98F" w14:textId="77777777" w:rsidTr="00F5730F">
        <w:trPr>
          <w:trHeight w:val="77"/>
        </w:trPr>
        <w:tc>
          <w:tcPr>
            <w:tcW w:w="4653" w:type="dxa"/>
            <w:shd w:val="clear" w:color="auto" w:fill="auto"/>
          </w:tcPr>
          <w:p w14:paraId="728C695E" w14:textId="05E51C34"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Dažn</w:t>
            </w:r>
            <w:r w:rsidR="002500FA">
              <w:rPr>
                <w:rFonts w:ascii="Times New Roman" w:hAnsi="Times New Roman" w:cs="Times New Roman"/>
                <w:i/>
                <w:lang w:val="lt-LT"/>
              </w:rPr>
              <w:t>as</w:t>
            </w:r>
          </w:p>
        </w:tc>
        <w:tc>
          <w:tcPr>
            <w:tcW w:w="4651" w:type="dxa"/>
            <w:shd w:val="clear" w:color="auto" w:fill="auto"/>
          </w:tcPr>
          <w:p w14:paraId="0FB33D9A"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Sumažėjęs kūno svoris </w:t>
            </w:r>
          </w:p>
        </w:tc>
      </w:tr>
      <w:tr w:rsidR="00173803" w:rsidRPr="0034666F" w14:paraId="60EE8685" w14:textId="77777777" w:rsidTr="00F5730F">
        <w:trPr>
          <w:trHeight w:val="77"/>
        </w:trPr>
        <w:tc>
          <w:tcPr>
            <w:tcW w:w="4653" w:type="dxa"/>
            <w:shd w:val="clear" w:color="auto" w:fill="auto"/>
          </w:tcPr>
          <w:p w14:paraId="72C8E120" w14:textId="4177B1B6"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Nedažn</w:t>
            </w:r>
            <w:r w:rsidR="002500FA">
              <w:rPr>
                <w:rFonts w:ascii="Times New Roman" w:hAnsi="Times New Roman" w:cs="Times New Roman"/>
                <w:i/>
                <w:lang w:val="lt-LT"/>
              </w:rPr>
              <w:t>as</w:t>
            </w:r>
          </w:p>
        </w:tc>
        <w:tc>
          <w:tcPr>
            <w:tcW w:w="4651" w:type="dxa"/>
            <w:shd w:val="clear" w:color="auto" w:fill="auto"/>
          </w:tcPr>
          <w:p w14:paraId="1F718455"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Padidėjusi kreatinino koncentracija kraujyje, padidėjęs kreatinfosfokinazės aktyvumas kraujyje, padidėjęs laktatdehidrogenazės aktyvumas kraujyje, padidėjęs šarminės fosfatazės aktyvumas kraujyje </w:t>
            </w:r>
          </w:p>
        </w:tc>
      </w:tr>
      <w:tr w:rsidR="00173803" w:rsidRPr="00AB7860" w14:paraId="542C25D7" w14:textId="77777777" w:rsidTr="00F5730F">
        <w:trPr>
          <w:trHeight w:val="77"/>
        </w:trPr>
        <w:tc>
          <w:tcPr>
            <w:tcW w:w="4653" w:type="dxa"/>
            <w:shd w:val="clear" w:color="auto" w:fill="auto"/>
          </w:tcPr>
          <w:p w14:paraId="39AB8DC2" w14:textId="27E95D26" w:rsidR="00173803" w:rsidRPr="00AB7860" w:rsidRDefault="00173803" w:rsidP="00F5730F">
            <w:pPr>
              <w:spacing w:after="0" w:line="240" w:lineRule="auto"/>
              <w:rPr>
                <w:rFonts w:ascii="Times New Roman" w:hAnsi="Times New Roman" w:cs="Times New Roman"/>
                <w:i/>
                <w:lang w:val="lt-LT"/>
              </w:rPr>
            </w:pPr>
            <w:r w:rsidRPr="00AB7860">
              <w:rPr>
                <w:rFonts w:ascii="Times New Roman" w:hAnsi="Times New Roman" w:cs="Times New Roman"/>
                <w:i/>
                <w:lang w:val="lt-LT"/>
              </w:rPr>
              <w:t>Ret</w:t>
            </w:r>
            <w:r w:rsidR="002500FA">
              <w:rPr>
                <w:rFonts w:ascii="Times New Roman" w:hAnsi="Times New Roman" w:cs="Times New Roman"/>
                <w:i/>
                <w:lang w:val="lt-LT"/>
              </w:rPr>
              <w:t>as</w:t>
            </w:r>
            <w:r w:rsidRPr="00AB7860">
              <w:rPr>
                <w:rFonts w:ascii="Times New Roman" w:hAnsi="Times New Roman" w:cs="Times New Roman"/>
                <w:i/>
                <w:lang w:val="lt-LT"/>
              </w:rPr>
              <w:t xml:space="preserve"> </w:t>
            </w:r>
          </w:p>
        </w:tc>
        <w:tc>
          <w:tcPr>
            <w:tcW w:w="4651" w:type="dxa"/>
            <w:shd w:val="clear" w:color="auto" w:fill="auto"/>
          </w:tcPr>
          <w:p w14:paraId="056A2578"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Padidėjęs amilazės aktyvumas kraujyje </w:t>
            </w:r>
          </w:p>
        </w:tc>
      </w:tr>
    </w:tbl>
    <w:p w14:paraId="3CB47A41" w14:textId="77777777" w:rsidR="00173803" w:rsidRPr="00AB7860" w:rsidRDefault="00173803" w:rsidP="00173803">
      <w:pPr>
        <w:tabs>
          <w:tab w:val="center" w:pos="4819"/>
          <w:tab w:val="right" w:pos="9071"/>
        </w:tabs>
        <w:spacing w:after="0" w:line="240" w:lineRule="auto"/>
        <w:rPr>
          <w:rFonts w:ascii="Times New Roman" w:hAnsi="Times New Roman" w:cs="Times New Roman"/>
          <w:vertAlign w:val="superscript"/>
          <w:lang w:val="lt-LT"/>
        </w:rPr>
      </w:pPr>
    </w:p>
    <w:p w14:paraId="72C2DE96"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vertAlign w:val="superscript"/>
          <w:lang w:val="lt-LT" w:eastAsia="de-DE"/>
        </w:rPr>
      </w:pPr>
      <w:r w:rsidRPr="00AB7860">
        <w:rPr>
          <w:rFonts w:ascii="Times New Roman" w:hAnsi="Times New Roman" w:cs="Times New Roman"/>
        </w:rPr>
        <w:t>* Šių reakcijų tipai daugiausiai registruoti po imatinibo pateikimo į rinką. Tai nepageidaujamos reakcijos, apie kurias pranešta spontaniniuose pranešimuose, taip pat sunkūs nepageidaujami reiškiniai, stebėti tebevykstančių tyrimų, išplėstinių gydymo programų, klinikinių farmakologinių tyrimų ir bandomųjų nepatvirtintų indikacijų tyrimų metu. Kadangi šios reakcijos registruotos neaiškaus dydžio populiacijoje, ne visuomet galima patikimai įvertinti jų dažnumą arba nustatyti priežastinį ryšį su imatinibo ekspozicija.</w:t>
      </w:r>
    </w:p>
    <w:p w14:paraId="38E20B91"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1</w:t>
      </w:r>
      <w:r w:rsidRPr="00AB7860">
        <w:rPr>
          <w:rFonts w:ascii="Times New Roman" w:hAnsi="Times New Roman" w:cs="Times New Roman"/>
          <w:lang w:val="lt-LT"/>
        </w:rPr>
        <w:t xml:space="preserve"> Pneumonija dažniausiai registruota pacientams, kuriems buvo transformuota LML ir pacientams su  VTSN.</w:t>
      </w:r>
    </w:p>
    <w:p w14:paraId="52E282E1"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Galvos skausmas dažniausiai pasireiškė VTSN sergantiems pacientams.</w:t>
      </w:r>
    </w:p>
    <w:p w14:paraId="56C3DD56"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3</w:t>
      </w:r>
      <w:r w:rsidRPr="00AB7860">
        <w:rPr>
          <w:rFonts w:ascii="Times New Roman" w:hAnsi="Times New Roman" w:cs="Times New Roman"/>
          <w:lang w:val="lt-LT"/>
        </w:rPr>
        <w:t>Vertinant pagal pacientų metus (</w:t>
      </w:r>
      <w:r w:rsidRPr="00AB7860">
        <w:rPr>
          <w:rFonts w:ascii="Times New Roman" w:hAnsi="Times New Roman" w:cs="Times New Roman"/>
          <w:i/>
          <w:lang w:val="lt-LT"/>
        </w:rPr>
        <w:t>angl. patient-years</w:t>
      </w:r>
      <w:r w:rsidRPr="00AB7860">
        <w:rPr>
          <w:rFonts w:ascii="Times New Roman" w:hAnsi="Times New Roman" w:cs="Times New Roman"/>
          <w:lang w:val="lt-LT"/>
        </w:rPr>
        <w:t>), kardiologiniai reiškiniai, įskaitant stazinį širdies nepakankamumą, dažniau stebėti pacientams, kuriems buvo transformuota LML, nei pacientams, sergantiems lėtine LML.</w:t>
      </w:r>
    </w:p>
    <w:p w14:paraId="330EFFCA"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4</w:t>
      </w:r>
      <w:r w:rsidRPr="00AB7860">
        <w:rPr>
          <w:rFonts w:ascii="Times New Roman" w:hAnsi="Times New Roman" w:cs="Times New Roman"/>
          <w:lang w:val="lt-LT"/>
        </w:rPr>
        <w:t xml:space="preserve"> Kraujo priplūdimas į veidą ir kaklą dažniau buvo pacientams sergantiems VTSN. Kraujavimas (hematoma, hemoragija) dažniau pasireiškė pacientams, kuriems buvo VTSN ir transformuota LML (LML-AF ir LML-BK) nei pacientams sergantiems lėtine LML.</w:t>
      </w:r>
    </w:p>
    <w:p w14:paraId="6177B02A"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5</w:t>
      </w:r>
      <w:r w:rsidRPr="00AB7860">
        <w:rPr>
          <w:rFonts w:ascii="Times New Roman" w:hAnsi="Times New Roman" w:cs="Times New Roman"/>
          <w:lang w:val="lt-LT"/>
        </w:rPr>
        <w:t>Skystis pleuros ertmėje dažniau registruotas pacientams, kuriems buvo VTSN ir transformuota LML (LML-AF ir LML-BK), nei pacientams, sergantiems lėtine LML.</w:t>
      </w:r>
    </w:p>
    <w:p w14:paraId="47AE158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6+7</w:t>
      </w:r>
      <w:r w:rsidRPr="00AB7860">
        <w:rPr>
          <w:rFonts w:ascii="Times New Roman" w:hAnsi="Times New Roman" w:cs="Times New Roman"/>
          <w:lang w:val="lt-LT"/>
        </w:rPr>
        <w:t xml:space="preserve"> Pilvo skausmas ir kraujavimas iš virškinimo trakto dažniausiai stebėtas pacientams, kuriems buvo VTSN.</w:t>
      </w:r>
    </w:p>
    <w:p w14:paraId="7C7D70F9"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 xml:space="preserve">8 </w:t>
      </w:r>
      <w:r w:rsidRPr="00AB7860">
        <w:rPr>
          <w:rFonts w:ascii="Times New Roman" w:hAnsi="Times New Roman" w:cs="Times New Roman"/>
          <w:lang w:val="lt-LT"/>
        </w:rPr>
        <w:t>Registruoti keli mirtini kepenų nepakankamumo ir kepenų nekrozės atvejai.</w:t>
      </w:r>
    </w:p>
    <w:p w14:paraId="73640DD8"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9</w:t>
      </w:r>
      <w:r w:rsidRPr="00AB7860">
        <w:rPr>
          <w:rFonts w:ascii="Times New Roman" w:hAnsi="Times New Roman" w:cs="Times New Roman"/>
          <w:lang w:val="lt-LT"/>
        </w:rPr>
        <w:t xml:space="preserve"> Po imatinibo registracijos, gauta pranešimų apie skeleto ir raumenų skausmo atvejus pacientams, kurie pastebėti gydymo imatinibu metu arba po jo vartojimo nutraukimo.</w:t>
      </w:r>
    </w:p>
    <w:p w14:paraId="60740E61"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vertAlign w:val="superscript"/>
          <w:lang w:val="lt-LT"/>
        </w:rPr>
        <w:t>10</w:t>
      </w:r>
      <w:r w:rsidRPr="00AB7860">
        <w:rPr>
          <w:rFonts w:ascii="Times New Roman" w:hAnsi="Times New Roman" w:cs="Times New Roman"/>
          <w:lang w:val="lt-LT"/>
        </w:rPr>
        <w:t xml:space="preserve"> Skeleto ir raumenų skausmas bei su juo susiję reiškiniai dažniau stebėti pacientams, sergantiems LML nei VTSN.</w:t>
      </w:r>
    </w:p>
    <w:p w14:paraId="5F588344"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lang w:val="lt-LT" w:eastAsia="de-DE"/>
        </w:rPr>
      </w:pPr>
      <w:r w:rsidRPr="00AB7860">
        <w:rPr>
          <w:rFonts w:ascii="Times New Roman" w:eastAsia="Times New Roman" w:hAnsi="Times New Roman" w:cs="Times New Roman"/>
          <w:vertAlign w:val="superscript"/>
          <w:lang w:val="lt-LT" w:eastAsia="de-DE"/>
        </w:rPr>
        <w:t>11</w:t>
      </w:r>
      <w:r w:rsidR="002C48D7">
        <w:rPr>
          <w:rFonts w:ascii="Times New Roman" w:eastAsia="Times New Roman" w:hAnsi="Times New Roman" w:cs="Times New Roman"/>
          <w:vertAlign w:val="superscript"/>
          <w:lang w:val="lt-LT" w:eastAsia="de-DE"/>
        </w:rPr>
        <w:t xml:space="preserve"> </w:t>
      </w:r>
      <w:r w:rsidRPr="00AB7860">
        <w:rPr>
          <w:rFonts w:ascii="Times New Roman" w:hAnsi="Times New Roman" w:cs="Times New Roman"/>
          <w:lang w:val="lt-LT"/>
        </w:rPr>
        <w:t>Buvo pranešta apie mirties atvejus pacientams, kuriems yra progresavusi liga, sunkių infekcijų, sunki neutropenija ir kitų sunkių gretutinių ligų.</w:t>
      </w:r>
    </w:p>
    <w:p w14:paraId="61B0B459" w14:textId="77777777" w:rsidR="00173803" w:rsidRDefault="002C48D7" w:rsidP="00173803">
      <w:pPr>
        <w:spacing w:after="0" w:line="240" w:lineRule="auto"/>
        <w:rPr>
          <w:rFonts w:ascii="Times New Roman" w:hAnsi="Times New Roman" w:cs="Times New Roman"/>
        </w:rPr>
      </w:pPr>
      <w:r w:rsidRPr="002C48D7">
        <w:rPr>
          <w:rFonts w:ascii="Times New Roman" w:hAnsi="Times New Roman" w:cs="Times New Roman"/>
          <w:vertAlign w:val="superscript"/>
        </w:rPr>
        <w:t>12</w:t>
      </w:r>
      <w:r>
        <w:rPr>
          <w:rFonts w:ascii="Times New Roman" w:hAnsi="Times New Roman" w:cs="Times New Roman"/>
        </w:rPr>
        <w:t xml:space="preserve"> </w:t>
      </w:r>
      <w:r w:rsidRPr="002C48D7">
        <w:rPr>
          <w:rFonts w:ascii="Times New Roman" w:hAnsi="Times New Roman" w:cs="Times New Roman"/>
        </w:rPr>
        <w:t>Įskaitant mazginę eritemą.</w:t>
      </w:r>
    </w:p>
    <w:p w14:paraId="5303A2B5" w14:textId="77777777" w:rsidR="002C48D7" w:rsidRPr="00AB7860" w:rsidRDefault="002C48D7" w:rsidP="00173803">
      <w:pPr>
        <w:spacing w:after="0" w:line="240" w:lineRule="auto"/>
        <w:rPr>
          <w:rFonts w:ascii="Times New Roman" w:hAnsi="Times New Roman" w:cs="Times New Roman"/>
          <w:lang w:val="lt-LT"/>
        </w:rPr>
      </w:pPr>
    </w:p>
    <w:p w14:paraId="4D85D491"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Laboratorinių tyrimų duomenų pokyčiai</w:t>
      </w:r>
    </w:p>
    <w:p w14:paraId="22389E36"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Hematologija</w:t>
      </w:r>
    </w:p>
    <w:p w14:paraId="711A47CB"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Visų atliktų klinikinių tyrimų metu, LML sergantiems pacientams buvo stebėtos citopenijos, ypač neutropenija ir trombocitopenija, kurios buvo dažnesnės vartojant dideles dozes ≥ 750 mg (I fazės tyrimas). Tačiau citopenijos išsivystymas aiškiai priklauso nuo ligos stadijos, III-IV laipsnio neutropenija </w:t>
      </w:r>
      <w:r w:rsidRPr="00AB7860">
        <w:rPr>
          <w:rFonts w:ascii="Times New Roman" w:hAnsi="Times New Roman" w:cs="Times New Roman"/>
          <w:lang w:val="lt-LT"/>
        </w:rPr>
        <w:lastRenderedPageBreak/>
        <w:t>(ANS &lt; 1,0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ir trombocitopenija (trombocitų &lt; 50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buvo 4–6 kartus dažnesnė pacientams blastinės krizės ar akceleracijos fazės metu (neutropenija ir trombocitopenija atitinkamai 59–64 % ir 44–63 %), lyginant su pacientais, kuriems buvo naujai diagnozuota lėtinė LML fazė (16,7 % neutropenija ir 8,9 % trombocitopenija). Naujai diagnozuotos lėtinės LML fazės metu IV laipsnio neutropenija (ANS &lt; 0,5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 xml:space="preserve">/l) ir trombocitopenija (trombocitų &lt; </w:t>
      </w:r>
      <w:r w:rsidRPr="00AB7860">
        <w:rPr>
          <w:rFonts w:ascii="Times New Roman" w:hAnsi="Times New Roman" w:cs="Times New Roman"/>
          <w:color w:val="000000"/>
          <w:lang w:val="lt-LT"/>
        </w:rPr>
        <w:t>10</w:t>
      </w:r>
      <w:r w:rsidRPr="00AB7860">
        <w:rPr>
          <w:rFonts w:ascii="Times New Roman" w:hAnsi="Times New Roman" w:cs="Times New Roman"/>
          <w:lang w:val="lt-LT"/>
        </w:rPr>
        <w:t xml:space="preserve"> x 10</w:t>
      </w:r>
      <w:r w:rsidRPr="00AB7860">
        <w:rPr>
          <w:rFonts w:ascii="Times New Roman" w:hAnsi="Times New Roman" w:cs="Times New Roman"/>
          <w:vertAlign w:val="superscript"/>
          <w:lang w:val="lt-LT"/>
        </w:rPr>
        <w:t>9</w:t>
      </w:r>
      <w:r w:rsidRPr="00AB7860">
        <w:rPr>
          <w:rFonts w:ascii="Times New Roman" w:hAnsi="Times New Roman" w:cs="Times New Roman"/>
          <w:lang w:val="lt-LT"/>
        </w:rPr>
        <w:t>/l) stebėta atitinkamai 3,6 % ir &lt; 1 % pacientų. Neutropenijos ir trombocitopenijos epizodų trukmės mediana paprastai svyruoja nuo 2 iki 3 savaičių ir nuo 3 iki 4 savaičių. Šiuos reiškinius dažniausiai galima kontroliuoti sumažinus imatinibo dozę ar laikinai jį nutraukus, retais atvejais gydymą tenka visiškai nutraukti. Vaikų, sergančių LML, tarpe dažniausiai stebėtas nepageidaujamas poveikis buvo III-IV laipsnio citopenijos, įskaitant neutropeniją, trombocitopeniją ir anemiją. Paprastai jos pasireiškė per keletą pirmų gydymo mėnesių.</w:t>
      </w:r>
    </w:p>
    <w:p w14:paraId="18413035" w14:textId="77777777" w:rsidR="00173803" w:rsidRPr="00AB7860" w:rsidRDefault="00173803" w:rsidP="00173803">
      <w:pPr>
        <w:spacing w:after="0" w:line="240" w:lineRule="auto"/>
        <w:rPr>
          <w:rFonts w:ascii="Times New Roman" w:hAnsi="Times New Roman" w:cs="Times New Roman"/>
          <w:lang w:val="lt-LT"/>
        </w:rPr>
      </w:pPr>
    </w:p>
    <w:p w14:paraId="17E325AB"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Atlikto klinikinio tyrimo duomenimis, jame dalyvavusiems pacientams, kuriems buvo nerezekuotinas ir (arba) metastazavęs VTSN, III–IV laipsnio anemija pasitaikė atitinkamai 5,4 % ir 0,7 %. Ji gali būti susijusi su virškinimo trakto ir vidunavikiniu kraujavimu, bent jau kai kuriems pacientams. III–IV laipsnio neutropenija stebėta atitinkamai 7,5 % ir 2,7 % pacientų, o III laipsnio trombocitopenija – 0,7 % pacientų. Nė vienam pacientui nepasireiškė IV laipsnio trombocitopenija. Leukocitų (baltųjų kraujo kūnelių, BKK) ir neutrofilų daugiausia sumažėjo per pirmąsias šešias gydymo savaites, paskui jų kiekis santykinai nekito. </w:t>
      </w:r>
    </w:p>
    <w:p w14:paraId="0028BE62" w14:textId="77777777" w:rsidR="00173803" w:rsidRPr="00AB7860" w:rsidRDefault="00173803" w:rsidP="00173803">
      <w:pPr>
        <w:spacing w:after="0" w:line="240" w:lineRule="auto"/>
        <w:rPr>
          <w:rFonts w:ascii="Times New Roman" w:hAnsi="Times New Roman" w:cs="Times New Roman"/>
          <w:i/>
          <w:lang w:val="lt-LT"/>
        </w:rPr>
      </w:pPr>
    </w:p>
    <w:p w14:paraId="361C5DFD"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Biochemija</w:t>
      </w:r>
    </w:p>
    <w:p w14:paraId="794E8913"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LML sergantiems pacientams stebėtas sunkus transaminazių aktyvumo (&lt; 5 %) ar bilirubino (&lt; 1 %) koncentracijos padidėjimas, kuris paprastai atsistatydavo sumažinus dozę ar laikinai nutraukus gydymą (šių epizodų trukmės mediana buvo maždaug viena savaitė). Dėl pakitusių kepenų funkcijos laboratorinių rodiklių gydymą visiškai reikėjo nutraukti mažiau kaip 1 % LML sirgusių pacientų. 6,8 % VTSN sergančių pacientų (tyrimas B2222) buvo stebėtas 3 ar 4 laipsnio ALT (alaninaminotransferazės) aktyvumo padidėjimas ir 4,8 % - 3 ar 4 laipsnio AST (aspartataminotransferazės) aktyvumo padidėjimas. Bilirubino koncentracija didėjo mažiau kaip 3 %. </w:t>
      </w:r>
    </w:p>
    <w:p w14:paraId="54EDA825" w14:textId="77777777" w:rsidR="00173803" w:rsidRPr="00AB7860" w:rsidRDefault="00173803" w:rsidP="00173803">
      <w:pPr>
        <w:spacing w:after="0" w:line="240" w:lineRule="auto"/>
        <w:rPr>
          <w:rFonts w:ascii="Times New Roman" w:hAnsi="Times New Roman" w:cs="Times New Roman"/>
          <w:lang w:val="lt-LT"/>
        </w:rPr>
      </w:pPr>
    </w:p>
    <w:p w14:paraId="3C58723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Pasitaikė citolizinio bei cholestazinio hepatito ir kepenų nepakankamumo atvejų, kai kurie iš jų baigėsi mirtimi (įskaitant vieną pacientą, kuris vartojo didelę paracetamolio dozę).</w:t>
      </w:r>
    </w:p>
    <w:p w14:paraId="2822EC4B"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212121"/>
          <w:lang w:val="lt-LT"/>
        </w:rPr>
      </w:pPr>
    </w:p>
    <w:p w14:paraId="5ECFCF30"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u w:val="single"/>
          <w:lang w:val="lt-LT"/>
        </w:rPr>
      </w:pPr>
      <w:r w:rsidRPr="00AB7860">
        <w:rPr>
          <w:rFonts w:ascii="Times New Roman" w:hAnsi="Times New Roman" w:cs="Times New Roman"/>
          <w:color w:val="212121"/>
          <w:u w:val="single"/>
          <w:lang w:val="lt-LT"/>
        </w:rPr>
        <w:t xml:space="preserve">Atrinktų nepageidaujamų reakcijų apibūdinimas </w:t>
      </w:r>
    </w:p>
    <w:p w14:paraId="654C4B63" w14:textId="77777777" w:rsidR="00173803" w:rsidRPr="00AB7860" w:rsidRDefault="00173803" w:rsidP="00173803">
      <w:pPr>
        <w:autoSpaceDE w:val="0"/>
        <w:autoSpaceDN w:val="0"/>
        <w:adjustRightInd w:val="0"/>
        <w:spacing w:after="0" w:line="240" w:lineRule="auto"/>
        <w:rPr>
          <w:rFonts w:ascii="Times New Roman" w:hAnsi="Times New Roman" w:cs="Times New Roman"/>
          <w:i/>
          <w:iCs/>
          <w:color w:val="212121"/>
          <w:lang w:val="lt-LT"/>
        </w:rPr>
      </w:pPr>
    </w:p>
    <w:p w14:paraId="3AF504D5"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i/>
          <w:iCs/>
          <w:color w:val="212121"/>
          <w:lang w:val="lt-LT"/>
        </w:rPr>
        <w:t xml:space="preserve">Hepatito B reaktyvacija </w:t>
      </w:r>
    </w:p>
    <w:p w14:paraId="64C7407C"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hAnsi="Times New Roman" w:cs="Times New Roman"/>
          <w:color w:val="212121"/>
          <w:lang w:val="lt-LT"/>
        </w:rPr>
        <w:t>Pranešta, kad hepatito B reaktyvacijos atvejai buvo susiję su BCR-ABL tirozinkinazės inhibitorių (TKI) vartojimu. Kai kuriais atvejais tai sukėlė ūminį kepenų nepakankamumą arba žaibinį hepatitą, dėl kurio pacientui teko persodinti kepenis arba pacientas mirė (žr. 4.4 skyrių).</w:t>
      </w:r>
    </w:p>
    <w:p w14:paraId="4B01BE78" w14:textId="77777777" w:rsidR="00173803" w:rsidRPr="00AB7860" w:rsidRDefault="00173803" w:rsidP="00173803">
      <w:pPr>
        <w:rPr>
          <w:rFonts w:ascii="Times New Roman" w:eastAsia="Times New Roman" w:hAnsi="Times New Roman" w:cs="Times New Roman"/>
          <w:u w:val="single"/>
          <w:lang w:val="lt-LT"/>
        </w:rPr>
      </w:pPr>
    </w:p>
    <w:p w14:paraId="1CF4F13D"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Pranešimas apie įtariamas nepageidaujamas reakcijas</w:t>
      </w:r>
    </w:p>
    <w:p w14:paraId="7BD77D5C" w14:textId="77777777" w:rsidR="00173803" w:rsidRPr="00AB7860" w:rsidRDefault="00173803" w:rsidP="00173803">
      <w:pPr>
        <w:autoSpaceDE w:val="0"/>
        <w:autoSpaceDN w:val="0"/>
        <w:adjustRightInd w:val="0"/>
        <w:spacing w:after="0" w:line="240" w:lineRule="auto"/>
        <w:rPr>
          <w:rFonts w:ascii="Times New Roman" w:hAnsi="Times New Roman" w:cs="Times New Roman"/>
          <w:noProof/>
          <w:lang w:val="lt-LT"/>
        </w:rPr>
      </w:pPr>
    </w:p>
    <w:p w14:paraId="14F12836" w14:textId="77777777" w:rsidR="00173803" w:rsidRPr="004C04CC" w:rsidRDefault="007B5DBE" w:rsidP="00173803">
      <w:pPr>
        <w:autoSpaceDE w:val="0"/>
        <w:autoSpaceDN w:val="0"/>
        <w:adjustRightInd w:val="0"/>
        <w:spacing w:after="0" w:line="240" w:lineRule="auto"/>
        <w:rPr>
          <w:rFonts w:ascii="Times New Roman" w:hAnsi="Times New Roman" w:cs="Times New Roman"/>
          <w:noProof/>
          <w:snapToGrid w:val="0"/>
          <w:lang w:val="lt-LT"/>
        </w:rPr>
      </w:pPr>
      <w:r w:rsidRPr="004C04CC">
        <w:rPr>
          <w:rFonts w:ascii="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4C04CC">
        <w:rPr>
          <w:rFonts w:ascii="Times New Roman" w:hAnsi="Times New Roman" w:cs="Times New Roman"/>
          <w:snapToGrid w:val="0"/>
          <w:lang w:val="lt-LT"/>
        </w:rPr>
        <w:t xml:space="preserve"> </w:t>
      </w:r>
      <w:r w:rsidRPr="004C04CC">
        <w:rPr>
          <w:rFonts w:ascii="Times New Roman" w:hAnsi="Times New Roman" w:cs="Times New Roman"/>
          <w:noProof/>
          <w:snapToGrid w:val="0"/>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4C04CC">
          <w:rPr>
            <w:rStyle w:val="Hipersaitas"/>
            <w:rFonts w:ascii="Times New Roman" w:hAnsi="Times New Roman" w:cs="Times New Roman"/>
            <w:noProof/>
            <w:snapToGrid w:val="0"/>
            <w:lang w:val="lt-LT"/>
          </w:rPr>
          <w:t>https://vapris.vvkt.lt/vvkt-web/public/nrvSpecialist</w:t>
        </w:r>
      </w:hyperlink>
      <w:r w:rsidRPr="004C04CC">
        <w:rPr>
          <w:rFonts w:ascii="Times New Roman" w:hAnsi="Times New Roman" w:cs="Times New Roman"/>
          <w:noProof/>
          <w:snapToGrid w:val="0"/>
          <w:lang w:val="lt-LT"/>
        </w:rPr>
        <w:t xml:space="preserve"> arba užpildę Sveikatos priežiūros ar farmacijos specialisto pranešimo apie įtariamą nepageidaujamą reakciją (ĮNR) formą, kuri skelbiama </w:t>
      </w:r>
      <w:hyperlink r:id="rId9" w:history="1">
        <w:r w:rsidRPr="004C04CC">
          <w:rPr>
            <w:rStyle w:val="Hipersaitas"/>
            <w:rFonts w:ascii="Times New Roman" w:hAnsi="Times New Roman" w:cs="Times New Roman"/>
            <w:noProof/>
            <w:snapToGrid w:val="0"/>
            <w:lang w:val="lt-LT"/>
          </w:rPr>
          <w:t>https://www.vvkt.lt/index.php?1399030386</w:t>
        </w:r>
      </w:hyperlink>
      <w:r w:rsidRPr="004C04CC">
        <w:rPr>
          <w:rFonts w:ascii="Times New Roman" w:hAnsi="Times New Roman" w:cs="Times New Roman"/>
          <w:noProof/>
          <w:snapToGrid w:val="0"/>
          <w:lang w:val="lt-LT"/>
        </w:rPr>
        <w:t xml:space="preserve">, ir atsiųsti elektroniniu paštu (adresu </w:t>
      </w:r>
      <w:hyperlink r:id="rId10" w:history="1">
        <w:r w:rsidRPr="004C04CC">
          <w:rPr>
            <w:rStyle w:val="Hipersaitas"/>
            <w:rFonts w:ascii="Times New Roman" w:hAnsi="Times New Roman" w:cs="Times New Roman"/>
            <w:noProof/>
            <w:snapToGrid w:val="0"/>
            <w:lang w:val="lt-LT"/>
          </w:rPr>
          <w:t>NepageidaujamaR@vvkt.lt</w:t>
        </w:r>
      </w:hyperlink>
      <w:r w:rsidRPr="004C04CC">
        <w:rPr>
          <w:rFonts w:ascii="Times New Roman" w:hAnsi="Times New Roman" w:cs="Times New Roman"/>
          <w:noProof/>
          <w:snapToGrid w:val="0"/>
          <w:lang w:val="lt-LT"/>
        </w:rPr>
        <w:t>).</w:t>
      </w:r>
    </w:p>
    <w:p w14:paraId="02A067C7" w14:textId="77777777" w:rsidR="007B5DBE" w:rsidRPr="00AB7860" w:rsidRDefault="007B5DBE" w:rsidP="00173803">
      <w:pPr>
        <w:autoSpaceDE w:val="0"/>
        <w:autoSpaceDN w:val="0"/>
        <w:adjustRightInd w:val="0"/>
        <w:spacing w:after="0" w:line="240" w:lineRule="auto"/>
        <w:rPr>
          <w:rFonts w:ascii="Times New Roman" w:hAnsi="Times New Roman" w:cs="Times New Roman"/>
          <w:lang w:val="lt-LT"/>
        </w:rPr>
      </w:pPr>
    </w:p>
    <w:p w14:paraId="5EB9EDB2"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4.9</w:t>
      </w:r>
      <w:r w:rsidRPr="00AB7860">
        <w:rPr>
          <w:rFonts w:ascii="Times New Roman" w:hAnsi="Times New Roman" w:cs="Times New Roman"/>
          <w:b/>
          <w:lang w:val="lt-LT"/>
        </w:rPr>
        <w:tab/>
        <w:t>Perdozavimas</w:t>
      </w:r>
    </w:p>
    <w:p w14:paraId="1DE0AC8C" w14:textId="77777777" w:rsidR="00173803" w:rsidRPr="00AB7860" w:rsidRDefault="00173803" w:rsidP="00173803">
      <w:pPr>
        <w:spacing w:after="0" w:line="240" w:lineRule="auto"/>
        <w:rPr>
          <w:rFonts w:ascii="Times New Roman" w:hAnsi="Times New Roman" w:cs="Times New Roman"/>
          <w:lang w:val="lt-LT"/>
        </w:rPr>
      </w:pPr>
    </w:p>
    <w:p w14:paraId="4F482A0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Gydymo didesnėmis nei rekomenduojamomis terapinėmis dozėmis patirties yra nedaug. Klinikinėje praktikoje ir literatūros šaltiniuose buvo registruoti pavieniai pranešimai apie imatinibo perdozavimą. </w:t>
      </w:r>
      <w:r w:rsidRPr="00AB7860">
        <w:rPr>
          <w:rFonts w:ascii="Times New Roman" w:hAnsi="Times New Roman" w:cs="Times New Roman"/>
          <w:lang w:val="lt-LT"/>
        </w:rPr>
        <w:lastRenderedPageBreak/>
        <w:t xml:space="preserve">Perdozavimo atveju pacientą reikia stebėti ir taikyti atitinkamas simptominio gydymo priemones. Paprastai praneštais atvejais pacientų būklė “pagerėjo” arba jie “pasveiko”. Esant skirtingų </w:t>
      </w:r>
      <w:r w:rsidRPr="00AB7860">
        <w:rPr>
          <w:rFonts w:ascii="Times New Roman" w:eastAsia="Times New Roman" w:hAnsi="Times New Roman" w:cs="Times New Roman"/>
          <w:lang w:val="lt-LT"/>
        </w:rPr>
        <w:t>vaistinio preparato</w:t>
      </w:r>
      <w:r w:rsidRPr="00AB7860">
        <w:rPr>
          <w:rFonts w:ascii="Times New Roman" w:hAnsi="Times New Roman" w:cs="Times New Roman"/>
          <w:lang w:val="lt-LT"/>
        </w:rPr>
        <w:t xml:space="preserve"> dozių perdozavimui, pasireiškė žemiau išvardyti reiškiniai:</w:t>
      </w:r>
    </w:p>
    <w:p w14:paraId="1E81776F" w14:textId="77777777" w:rsidR="00173803" w:rsidRPr="00AB7860" w:rsidRDefault="00173803" w:rsidP="00173803">
      <w:pPr>
        <w:spacing w:after="0" w:line="240" w:lineRule="auto"/>
        <w:rPr>
          <w:rFonts w:ascii="Times New Roman" w:hAnsi="Times New Roman" w:cs="Times New Roman"/>
          <w:i/>
          <w:lang w:val="lt-LT"/>
        </w:rPr>
      </w:pPr>
    </w:p>
    <w:p w14:paraId="67CFA0D5" w14:textId="77777777" w:rsidR="00173803" w:rsidRPr="004C04CC" w:rsidRDefault="00173803" w:rsidP="00173803">
      <w:pPr>
        <w:spacing w:after="0" w:line="240" w:lineRule="auto"/>
        <w:rPr>
          <w:rFonts w:ascii="Times New Roman" w:hAnsi="Times New Roman" w:cs="Times New Roman"/>
          <w:u w:val="single"/>
          <w:lang w:val="lt-LT"/>
        </w:rPr>
      </w:pPr>
      <w:r w:rsidRPr="004C04CC">
        <w:rPr>
          <w:rFonts w:ascii="Times New Roman" w:hAnsi="Times New Roman" w:cs="Times New Roman"/>
          <w:u w:val="single"/>
          <w:lang w:val="lt-LT"/>
        </w:rPr>
        <w:t>Suaugusiųjų populiacija</w:t>
      </w:r>
    </w:p>
    <w:p w14:paraId="2359FE7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Išgėrus 1200-1600 mg dozę (vartojimo trukmė buvo nuo 1 iki 10 dienų), pasireiškė pykinimas, vėmimas, viduriavimas, išbėrimas, eritema, edema, patinimas, nuovargis, raumenų spazmai, trombocitopenija, pancitopenija, pilvo skausmas, galvos skausmas, apetito sumažėjimas.</w:t>
      </w:r>
    </w:p>
    <w:p w14:paraId="4E841B6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Išgėrus 1800-3200 mg dozę (net tokią kaip 3200 mg per parą 6 dienas), pasireiškė silpnumas, raumenų skausmas, padidėjusi bilirubino koncentracija, kreatinfosfokinazės aktyvumas, virškinimo trakto skausmas.</w:t>
      </w:r>
    </w:p>
    <w:p w14:paraId="3D1D42F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Išgėrus 6400 mg (vienkartinę dozę): iš literatūros šaltinių gautas pranešimas apie vieną tokį atvejį, kai vienam pacientui pasireiškė pykinimas, vėmimas, pilvo skausmas, karščiavimas, veido patinimas, sumažėjo neutrofilų skaičius kraujyje, padidėjo transaminazių aktyvumas.</w:t>
      </w:r>
    </w:p>
    <w:p w14:paraId="26A00A0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Išgėrus 8-10 g (vienkartinę dozę), pranešta apie pasireiškusį vėmimą ir virškinimo trakto skausmą.</w:t>
      </w:r>
    </w:p>
    <w:p w14:paraId="64AD7CC4" w14:textId="77777777" w:rsidR="00173803" w:rsidRPr="00AB7860" w:rsidRDefault="00173803" w:rsidP="00173803">
      <w:pPr>
        <w:spacing w:after="0" w:line="240" w:lineRule="auto"/>
        <w:rPr>
          <w:rFonts w:ascii="Times New Roman" w:hAnsi="Times New Roman" w:cs="Times New Roman"/>
          <w:lang w:val="lt-LT"/>
        </w:rPr>
      </w:pPr>
    </w:p>
    <w:p w14:paraId="6E985D51" w14:textId="77777777" w:rsidR="00173803" w:rsidRPr="004C04CC" w:rsidRDefault="00173803" w:rsidP="00173803">
      <w:pPr>
        <w:spacing w:after="0" w:line="240" w:lineRule="auto"/>
        <w:rPr>
          <w:rFonts w:ascii="Times New Roman" w:hAnsi="Times New Roman" w:cs="Times New Roman"/>
          <w:u w:val="single"/>
          <w:lang w:val="lt-LT"/>
        </w:rPr>
      </w:pPr>
      <w:r w:rsidRPr="004C04CC">
        <w:rPr>
          <w:rFonts w:ascii="Times New Roman" w:hAnsi="Times New Roman" w:cs="Times New Roman"/>
          <w:u w:val="single"/>
          <w:lang w:val="lt-LT"/>
        </w:rPr>
        <w:t>Vaikų populiacija</w:t>
      </w:r>
    </w:p>
    <w:p w14:paraId="6640DEC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Vienam 3 metų berniukui, kuris išgėrė vienkartinę 400 mg dozę, pasireiškė vėmimas, viduriavimas ir anoreksija, o kitam 3 metų berniukui, kuris išgėrė vienkartinę 980 mg dozę, sumažėjo leukocitų skaičius kraujyje ir pasireiškė viduriavimas.</w:t>
      </w:r>
    </w:p>
    <w:p w14:paraId="61AEE63C" w14:textId="77777777" w:rsidR="00173803" w:rsidRPr="00AB7860" w:rsidRDefault="00173803" w:rsidP="00173803">
      <w:pPr>
        <w:spacing w:after="0" w:line="240" w:lineRule="auto"/>
        <w:rPr>
          <w:rFonts w:ascii="Times New Roman" w:hAnsi="Times New Roman" w:cs="Times New Roman"/>
          <w:lang w:val="lt-LT"/>
        </w:rPr>
      </w:pPr>
    </w:p>
    <w:p w14:paraId="0DC36E4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Perdozavimo atveju pacientą būtina stebėti ir taikyti atitinkamas pagalbinio gydymo priemones.</w:t>
      </w:r>
    </w:p>
    <w:p w14:paraId="1D698104" w14:textId="77777777" w:rsidR="00173803" w:rsidRPr="00AB7860" w:rsidRDefault="00173803" w:rsidP="00173803">
      <w:pPr>
        <w:spacing w:after="0" w:line="240" w:lineRule="auto"/>
        <w:rPr>
          <w:rFonts w:ascii="Times New Roman" w:hAnsi="Times New Roman" w:cs="Times New Roman"/>
          <w:lang w:val="lt-LT"/>
        </w:rPr>
      </w:pPr>
    </w:p>
    <w:p w14:paraId="73874247" w14:textId="77777777" w:rsidR="00173803" w:rsidRPr="00AB7860" w:rsidRDefault="00173803" w:rsidP="00173803">
      <w:pPr>
        <w:spacing w:after="0" w:line="240" w:lineRule="auto"/>
        <w:rPr>
          <w:rFonts w:ascii="Times New Roman" w:hAnsi="Times New Roman" w:cs="Times New Roman"/>
          <w:b/>
          <w:lang w:val="lt-LT"/>
        </w:rPr>
      </w:pPr>
      <w:bookmarkStart w:id="20" w:name="_Toc129243111"/>
      <w:bookmarkStart w:id="21" w:name="_Toc129243236"/>
    </w:p>
    <w:p w14:paraId="2706971B"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5.</w:t>
      </w:r>
      <w:r w:rsidRPr="00AB7860">
        <w:rPr>
          <w:rFonts w:ascii="Times New Roman" w:hAnsi="Times New Roman" w:cs="Times New Roman"/>
          <w:b/>
          <w:lang w:val="lt-LT"/>
        </w:rPr>
        <w:tab/>
        <w:t>FARMAKOLOGINĖS SAVYBĖS</w:t>
      </w:r>
      <w:bookmarkEnd w:id="20"/>
      <w:bookmarkEnd w:id="21"/>
    </w:p>
    <w:p w14:paraId="42DF9D48" w14:textId="77777777" w:rsidR="00173803" w:rsidRPr="00AB7860" w:rsidRDefault="00173803" w:rsidP="00173803">
      <w:pPr>
        <w:tabs>
          <w:tab w:val="center" w:pos="4819"/>
          <w:tab w:val="right" w:pos="9071"/>
        </w:tabs>
        <w:spacing w:after="0" w:line="240" w:lineRule="auto"/>
        <w:rPr>
          <w:rFonts w:ascii="Times New Roman" w:hAnsi="Times New Roman" w:cs="Times New Roman"/>
          <w:b/>
          <w:lang w:val="lt-LT"/>
        </w:rPr>
      </w:pPr>
      <w:bookmarkStart w:id="22" w:name="_Toc129243112"/>
      <w:bookmarkStart w:id="23" w:name="_Toc129243237"/>
    </w:p>
    <w:p w14:paraId="17A1AF05" w14:textId="77777777" w:rsidR="00173803" w:rsidRPr="00AB7860" w:rsidRDefault="00173803" w:rsidP="00173803">
      <w:pPr>
        <w:tabs>
          <w:tab w:val="left" w:pos="567"/>
          <w:tab w:val="center" w:pos="4819"/>
          <w:tab w:val="right" w:pos="9071"/>
        </w:tabs>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5.1</w:t>
      </w:r>
      <w:r w:rsidRPr="00AB7860">
        <w:rPr>
          <w:rFonts w:ascii="Times New Roman" w:hAnsi="Times New Roman" w:cs="Times New Roman"/>
          <w:b/>
          <w:lang w:val="lt-LT"/>
        </w:rPr>
        <w:tab/>
        <w:t>Farmakodinaminės savybės</w:t>
      </w:r>
      <w:bookmarkEnd w:id="22"/>
      <w:bookmarkEnd w:id="23"/>
    </w:p>
    <w:p w14:paraId="30C420D1" w14:textId="77777777" w:rsidR="00173803" w:rsidRPr="00AB7860" w:rsidRDefault="00173803" w:rsidP="00173803">
      <w:pPr>
        <w:spacing w:after="0" w:line="240" w:lineRule="auto"/>
        <w:rPr>
          <w:rFonts w:ascii="Times New Roman" w:hAnsi="Times New Roman" w:cs="Times New Roman"/>
          <w:lang w:val="lt-LT"/>
        </w:rPr>
      </w:pPr>
    </w:p>
    <w:p w14:paraId="390FF500" w14:textId="3EA73FF7" w:rsidR="007341A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Farmakoterapinė grupė –</w:t>
      </w:r>
      <w:r w:rsidR="0034666F">
        <w:rPr>
          <w:rFonts w:ascii="Times New Roman" w:hAnsi="Times New Roman" w:cs="Times New Roman"/>
          <w:lang w:val="lt-LT"/>
        </w:rPr>
        <w:t xml:space="preserve"> </w:t>
      </w:r>
      <w:r w:rsidR="003C398C" w:rsidRPr="003C398C">
        <w:rPr>
          <w:rFonts w:ascii="Times New Roman" w:eastAsia="Calibri" w:hAnsi="Times New Roman" w:cs="Times New Roman"/>
          <w:color w:val="000000"/>
          <w:lang w:val="lt-LT"/>
        </w:rPr>
        <w:t>priešnavikiniai vaistiniai preparatai, BCR-ABL tirozino kinazės inhibitoriai</w:t>
      </w:r>
      <w:r w:rsidRPr="00AB7860">
        <w:rPr>
          <w:rFonts w:ascii="Times New Roman" w:hAnsi="Times New Roman" w:cs="Times New Roman"/>
          <w:lang w:val="lt-LT"/>
        </w:rPr>
        <w:t xml:space="preserve"> </w:t>
      </w:r>
    </w:p>
    <w:p w14:paraId="6F2BCF22" w14:textId="0CE4A99B"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lang w:val="lt-LT"/>
        </w:rPr>
        <w:t>ATC kodas – L01E</w:t>
      </w:r>
      <w:r w:rsidR="003C398C">
        <w:rPr>
          <w:rFonts w:ascii="Times New Roman" w:hAnsi="Times New Roman" w:cs="Times New Roman"/>
          <w:lang w:val="lt-LT"/>
        </w:rPr>
        <w:t>A</w:t>
      </w:r>
      <w:r w:rsidRPr="00AB7860">
        <w:rPr>
          <w:rFonts w:ascii="Times New Roman" w:hAnsi="Times New Roman" w:cs="Times New Roman"/>
          <w:lang w:val="lt-LT"/>
        </w:rPr>
        <w:t>01</w:t>
      </w:r>
      <w:r w:rsidR="00E31A72">
        <w:rPr>
          <w:rFonts w:ascii="Times New Roman" w:hAnsi="Times New Roman" w:cs="Times New Roman"/>
          <w:lang w:val="lt-LT"/>
        </w:rPr>
        <w:t>.</w:t>
      </w:r>
    </w:p>
    <w:p w14:paraId="7EB64A0D" w14:textId="77777777" w:rsidR="00173803" w:rsidRPr="00AB7860" w:rsidRDefault="00173803" w:rsidP="00173803">
      <w:pPr>
        <w:spacing w:after="0" w:line="240" w:lineRule="auto"/>
        <w:rPr>
          <w:rFonts w:ascii="Times New Roman" w:hAnsi="Times New Roman" w:cs="Times New Roman"/>
          <w:lang w:val="lt-LT"/>
        </w:rPr>
      </w:pPr>
    </w:p>
    <w:p w14:paraId="3243DAEC"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Veikimo mechanizmas</w:t>
      </w:r>
    </w:p>
    <w:p w14:paraId="70324F7F"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Imatinibas yra nedidelė baltymo tirozino kinazės inhibitoriaus molekulė, kuri stipriai slopina Bcr-Abl tirozino kinazės (TK) aktyvumą, taip pat keleto TK receptorių aktyvumą: Kit, c-Kit proto-onkogeną koduojančio kamieninių ląstelių faktoriaus (angl. </w:t>
      </w:r>
      <w:r w:rsidRPr="00AB7860">
        <w:rPr>
          <w:rFonts w:ascii="Times New Roman" w:hAnsi="Times New Roman" w:cs="Times New Roman"/>
          <w:i/>
          <w:lang w:val="lt-LT"/>
        </w:rPr>
        <w:t>stem cell factor, SCF</w:t>
      </w:r>
      <w:r w:rsidRPr="00AB7860">
        <w:rPr>
          <w:rFonts w:ascii="Times New Roman" w:hAnsi="Times New Roman" w:cs="Times New Roman"/>
          <w:lang w:val="lt-LT"/>
        </w:rPr>
        <w:t xml:space="preserve">) receptorių, diskoidino domeno receptorius (DDR1 ir DDR2), kolonijas stimuliuojančio faktoriaus receptorių (angl. </w:t>
      </w:r>
      <w:r w:rsidRPr="00AB7860">
        <w:rPr>
          <w:rFonts w:ascii="Times New Roman" w:hAnsi="Times New Roman" w:cs="Times New Roman"/>
          <w:i/>
          <w:lang w:val="lt-LT"/>
        </w:rPr>
        <w:t>colony stimulating factor receptor, CSF-1R</w:t>
      </w:r>
      <w:r w:rsidRPr="00AB7860">
        <w:rPr>
          <w:rFonts w:ascii="Times New Roman" w:hAnsi="Times New Roman" w:cs="Times New Roman"/>
          <w:lang w:val="lt-LT"/>
        </w:rPr>
        <w:t xml:space="preserve">) bei trombocituose esančius augimo faktoriaus receptorius alfa ir beta (angl. </w:t>
      </w:r>
      <w:r w:rsidRPr="00AB7860">
        <w:rPr>
          <w:rFonts w:ascii="Times New Roman" w:hAnsi="Times New Roman" w:cs="Times New Roman"/>
          <w:i/>
          <w:lang w:val="lt-LT"/>
        </w:rPr>
        <w:t>platelet-derived growth factor receptors,PDGFR-alpha, PDGFR-beta</w:t>
      </w:r>
      <w:r w:rsidRPr="00AB7860">
        <w:rPr>
          <w:rFonts w:ascii="Times New Roman" w:hAnsi="Times New Roman" w:cs="Times New Roman"/>
          <w:lang w:val="lt-LT"/>
        </w:rPr>
        <w:t>). Imatinibas taip pat gali slopinti ląstelių procesus, kuriuos skatina šių receptorių kinazių aktyvinimas.</w:t>
      </w:r>
    </w:p>
    <w:p w14:paraId="5520AB14"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u w:val="single"/>
          <w:lang w:val="lt-LT"/>
        </w:rPr>
      </w:pPr>
    </w:p>
    <w:p w14:paraId="6150067D"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Farmakodinaminis poveikis</w:t>
      </w:r>
    </w:p>
    <w:p w14:paraId="5615DCA6"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Imatinibas yra baltymo tirozino kinazės inhibitorius, kuris </w:t>
      </w:r>
      <w:r w:rsidRPr="00AB7860">
        <w:rPr>
          <w:rFonts w:ascii="Times New Roman" w:hAnsi="Times New Roman" w:cs="Times New Roman"/>
          <w:i/>
          <w:lang w:val="lt-LT"/>
        </w:rPr>
        <w:t>in vitro</w:t>
      </w:r>
      <w:r w:rsidRPr="00AB7860">
        <w:rPr>
          <w:rFonts w:ascii="Times New Roman" w:hAnsi="Times New Roman" w:cs="Times New Roman"/>
          <w:lang w:val="lt-LT"/>
        </w:rPr>
        <w:t xml:space="preserve">, ląstelės lygmenyje ir </w:t>
      </w:r>
      <w:r w:rsidRPr="00AB7860">
        <w:rPr>
          <w:rFonts w:ascii="Times New Roman" w:hAnsi="Times New Roman" w:cs="Times New Roman"/>
          <w:i/>
          <w:lang w:val="lt-LT"/>
        </w:rPr>
        <w:t xml:space="preserve">in vivo </w:t>
      </w:r>
      <w:r w:rsidRPr="00AB7860">
        <w:rPr>
          <w:rFonts w:ascii="Times New Roman" w:hAnsi="Times New Roman" w:cs="Times New Roman"/>
          <w:lang w:val="lt-LT"/>
        </w:rPr>
        <w:t xml:space="preserve">stipriai slopina Bcr-Abl tirozino kinazę. Junginys selektyviai slopina proliferaciją ir indukuoja apoptozę Bcr-Abl teigiamose ląstelių eilėse, taip pat šviežiose leukeminėse ląstelėse, gautose iš Filadelfijos chromosomai teigiamų LML sergančių pacientų ŪLL (ūmia limfoblastine leukejima) sergančių pacientų . </w:t>
      </w:r>
    </w:p>
    <w:p w14:paraId="1FBEB415" w14:textId="77777777" w:rsidR="00173803" w:rsidRPr="00AB7860" w:rsidRDefault="00173803" w:rsidP="00173803">
      <w:pPr>
        <w:widowControl w:val="0"/>
        <w:autoSpaceDE w:val="0"/>
        <w:autoSpaceDN w:val="0"/>
        <w:adjustRightInd w:val="0"/>
        <w:spacing w:after="0" w:line="240" w:lineRule="auto"/>
        <w:rPr>
          <w:rFonts w:ascii="Times New Roman" w:eastAsia="Times New Roman" w:hAnsi="Times New Roman" w:cs="Times New Roman"/>
          <w:lang w:val="lt-LT"/>
        </w:rPr>
      </w:pPr>
    </w:p>
    <w:p w14:paraId="720F530E"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hAnsi="Times New Roman" w:cs="Times New Roman"/>
          <w:i/>
          <w:lang w:val="lt-LT"/>
        </w:rPr>
        <w:t>In vivo</w:t>
      </w:r>
      <w:r w:rsidRPr="00AB7860">
        <w:rPr>
          <w:rFonts w:ascii="Times New Roman" w:hAnsi="Times New Roman" w:cs="Times New Roman"/>
          <w:lang w:val="lt-LT"/>
        </w:rPr>
        <w:t xml:space="preserve"> gyvūnų modelyje su Bcr-Abl teigiamomis naviko ląstelėmis junginiui (monoterapijoje) būdingas antinavikinis aktyvumas.</w:t>
      </w:r>
    </w:p>
    <w:p w14:paraId="50F24096"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78A4A81C"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Imatinibas taip pat yra trombocitų kilmės augimo faktoriaus (PDGF) tirozinkinazių receptorių, PDGFR, kamieninių lastelių faktoriaus (KLF) inhibitorius, ir slopina PDGF ir KLF medijuojamus ląstelių procesus. </w:t>
      </w:r>
      <w:r w:rsidRPr="00AB7860">
        <w:rPr>
          <w:rFonts w:ascii="Times New Roman" w:hAnsi="Times New Roman" w:cs="Times New Roman"/>
          <w:i/>
          <w:lang w:val="lt-LT"/>
        </w:rPr>
        <w:t xml:space="preserve">In vitro </w:t>
      </w:r>
      <w:r w:rsidRPr="00AB7860">
        <w:rPr>
          <w:rFonts w:ascii="Times New Roman" w:hAnsi="Times New Roman" w:cs="Times New Roman"/>
          <w:lang w:val="lt-LT"/>
        </w:rPr>
        <w:t xml:space="preserve">imatinibas slopina proliferaciją ir indukuoja virškinimo trakto stromos naviko (VTSN) ląstelių, kurios ekspresuoja aktyvintą </w:t>
      </w:r>
      <w:r w:rsidRPr="00AB7860">
        <w:rPr>
          <w:rFonts w:ascii="Times New Roman" w:hAnsi="Times New Roman" w:cs="Times New Roman"/>
          <w:i/>
          <w:lang w:val="lt-LT"/>
        </w:rPr>
        <w:t xml:space="preserve">kit </w:t>
      </w:r>
      <w:r w:rsidRPr="00AB7860">
        <w:rPr>
          <w:rFonts w:ascii="Times New Roman" w:hAnsi="Times New Roman" w:cs="Times New Roman"/>
          <w:lang w:val="lt-LT"/>
        </w:rPr>
        <w:t xml:space="preserve">mutaciją, apoptozę. MDS/MPL, HES/LEL ir DFSP patogenezėje svarbus </w:t>
      </w:r>
      <w:r w:rsidRPr="00AB7860">
        <w:rPr>
          <w:rFonts w:ascii="Times New Roman" w:hAnsi="Times New Roman" w:cs="Times New Roman"/>
          <w:lang w:val="lt-LT"/>
        </w:rPr>
        <w:lastRenderedPageBreak/>
        <w:t>PDGF receptorių ar Abl baltymo tirozino kinazės aktyvavymas, kurį gali skatinti jungimasis su įvairiais baltymais ar PDGF gamyba. Imatinibas slopina sutrikusio PDGFR ir Abl kinazės aktyvumo sukeltą signalo perdavimą ir ląstelių dauginimąsi.</w:t>
      </w:r>
    </w:p>
    <w:p w14:paraId="5FD23068" w14:textId="77777777" w:rsidR="00173803" w:rsidRPr="00AB7860" w:rsidRDefault="00173803" w:rsidP="00173803">
      <w:pPr>
        <w:spacing w:after="0" w:line="240" w:lineRule="auto"/>
        <w:rPr>
          <w:rFonts w:ascii="Times New Roman" w:hAnsi="Times New Roman" w:cs="Times New Roman"/>
          <w:lang w:val="lt-LT"/>
        </w:rPr>
      </w:pPr>
    </w:p>
    <w:p w14:paraId="1D97F7E6"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Klinikiniai lėtinės mieloidinės leukemijos tyrimai</w:t>
      </w:r>
    </w:p>
    <w:p w14:paraId="6A0DFE88" w14:textId="77777777" w:rsidR="00173803" w:rsidRPr="00AB7860" w:rsidRDefault="00173803" w:rsidP="006D689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Imatinibo veiksmingumas pagrįstas bendru hematologiniu ir citogenetiniu atsako dažniu ir ligos trukme be ligos progresavimo. </w:t>
      </w:r>
      <w:r w:rsidR="00BF4FB5" w:rsidRPr="006F4F46">
        <w:rPr>
          <w:rFonts w:ascii="Times New Roman" w:hAnsi="Times New Roman" w:cs="Times New Roman"/>
          <w:lang w:val="lt-LT"/>
        </w:rPr>
        <w:t>Išskyrus su naujai diagnozuota lėtine LML faze,</w:t>
      </w:r>
      <w:r w:rsidRPr="00AB7860">
        <w:rPr>
          <w:rFonts w:ascii="Times New Roman" w:hAnsi="Times New Roman" w:cs="Times New Roman"/>
          <w:lang w:val="lt-LT"/>
        </w:rPr>
        <w:t xml:space="preserve"> </w:t>
      </w:r>
      <w:r w:rsidR="00BF4FB5" w:rsidRPr="00AB7860">
        <w:rPr>
          <w:rFonts w:ascii="Times New Roman" w:hAnsi="Times New Roman" w:cs="Times New Roman"/>
          <w:lang w:val="lt-LT"/>
        </w:rPr>
        <w:t>n</w:t>
      </w:r>
      <w:r w:rsidRPr="00AB7860">
        <w:rPr>
          <w:rFonts w:ascii="Times New Roman" w:hAnsi="Times New Roman" w:cs="Times New Roman"/>
          <w:lang w:val="lt-LT"/>
        </w:rPr>
        <w:t>ėra atlikta kontroliuojamų klinikinių tyrimų, kurie parodytų klinikinę naudą ar prailgėjusį išgyvenamumą gydant šias ligas.</w:t>
      </w:r>
    </w:p>
    <w:p w14:paraId="35EA884A" w14:textId="77777777" w:rsidR="00173803" w:rsidRPr="00AB7860" w:rsidRDefault="00173803" w:rsidP="00173803">
      <w:pPr>
        <w:spacing w:after="0" w:line="240" w:lineRule="auto"/>
        <w:rPr>
          <w:rFonts w:ascii="Times New Roman" w:hAnsi="Times New Roman" w:cs="Times New Roman"/>
          <w:lang w:val="lt-LT"/>
        </w:rPr>
      </w:pPr>
    </w:p>
    <w:p w14:paraId="017B5368" w14:textId="77777777" w:rsidR="00173803" w:rsidRPr="006F4F46" w:rsidRDefault="00173803" w:rsidP="00BF4FB5">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Atlikt</w:t>
      </w:r>
      <w:r w:rsidR="00BF4FB5" w:rsidRPr="00AB7860">
        <w:rPr>
          <w:rFonts w:ascii="Times New Roman" w:hAnsi="Times New Roman" w:cs="Times New Roman"/>
          <w:color w:val="000000"/>
          <w:lang w:val="lt-LT"/>
        </w:rPr>
        <w:t>i</w:t>
      </w:r>
      <w:r w:rsidRPr="00AB7860">
        <w:rPr>
          <w:rFonts w:ascii="Times New Roman" w:hAnsi="Times New Roman" w:cs="Times New Roman"/>
          <w:color w:val="000000"/>
          <w:lang w:val="lt-LT"/>
        </w:rPr>
        <w:t xml:space="preserve"> </w:t>
      </w:r>
      <w:r w:rsidR="00BF4FB5" w:rsidRPr="00AB7860">
        <w:rPr>
          <w:rFonts w:ascii="Times New Roman" w:hAnsi="Times New Roman" w:cs="Times New Roman"/>
          <w:color w:val="000000"/>
          <w:lang w:val="lt-LT"/>
        </w:rPr>
        <w:t xml:space="preserve">trys </w:t>
      </w:r>
      <w:r w:rsidRPr="00AB7860">
        <w:rPr>
          <w:rFonts w:ascii="Times New Roman" w:hAnsi="Times New Roman" w:cs="Times New Roman"/>
          <w:color w:val="000000"/>
          <w:lang w:val="lt-LT"/>
        </w:rPr>
        <w:t>dideli tarptautini</w:t>
      </w:r>
      <w:r w:rsidR="00560929" w:rsidRPr="00AB7860">
        <w:rPr>
          <w:rFonts w:ascii="Times New Roman" w:hAnsi="Times New Roman" w:cs="Times New Roman"/>
          <w:color w:val="000000"/>
          <w:lang w:val="lt-LT"/>
        </w:rPr>
        <w:t>ai,</w:t>
      </w:r>
      <w:r w:rsidRPr="00AB7860">
        <w:rPr>
          <w:rFonts w:ascii="Times New Roman" w:hAnsi="Times New Roman" w:cs="Times New Roman"/>
          <w:color w:val="000000"/>
          <w:lang w:val="lt-LT"/>
        </w:rPr>
        <w:t xml:space="preserve"> atvir</w:t>
      </w:r>
      <w:r w:rsidR="00560929" w:rsidRPr="00AB7860">
        <w:rPr>
          <w:rFonts w:ascii="Times New Roman" w:hAnsi="Times New Roman" w:cs="Times New Roman"/>
          <w:color w:val="000000"/>
          <w:lang w:val="lt-LT"/>
        </w:rPr>
        <w:t>i,</w:t>
      </w:r>
      <w:r w:rsidRPr="00AB7860">
        <w:rPr>
          <w:rFonts w:ascii="Times New Roman" w:hAnsi="Times New Roman" w:cs="Times New Roman"/>
          <w:color w:val="000000"/>
          <w:lang w:val="lt-LT"/>
        </w:rPr>
        <w:t xml:space="preserve"> nekontroliuojam</w:t>
      </w:r>
      <w:r w:rsidR="00560929" w:rsidRPr="00AB7860">
        <w:rPr>
          <w:rFonts w:ascii="Times New Roman" w:hAnsi="Times New Roman" w:cs="Times New Roman"/>
          <w:color w:val="000000"/>
          <w:lang w:val="lt-LT"/>
        </w:rPr>
        <w:t>i</w:t>
      </w:r>
      <w:r w:rsidRPr="00AB7860">
        <w:rPr>
          <w:rFonts w:ascii="Times New Roman" w:hAnsi="Times New Roman" w:cs="Times New Roman"/>
          <w:color w:val="000000"/>
          <w:lang w:val="lt-LT"/>
        </w:rPr>
        <w:t xml:space="preserve"> II fazės tyrima</w:t>
      </w:r>
      <w:r w:rsidR="00560929" w:rsidRPr="00AB7860">
        <w:rPr>
          <w:rFonts w:ascii="Times New Roman" w:hAnsi="Times New Roman" w:cs="Times New Roman"/>
          <w:color w:val="000000"/>
          <w:lang w:val="lt-LT"/>
        </w:rPr>
        <w:t>i</w:t>
      </w:r>
      <w:r w:rsidRPr="00AB7860">
        <w:rPr>
          <w:rFonts w:ascii="Times New Roman" w:hAnsi="Times New Roman" w:cs="Times New Roman"/>
          <w:color w:val="000000"/>
          <w:lang w:val="lt-LT"/>
        </w:rPr>
        <w:t xml:space="preserve"> pacientams, kuriems buvo </w:t>
      </w:r>
      <w:r w:rsidRPr="00AB7860">
        <w:rPr>
          <w:rFonts w:ascii="Times New Roman" w:hAnsi="Times New Roman" w:cs="Times New Roman"/>
          <w:i/>
          <w:iCs/>
          <w:color w:val="000000"/>
          <w:lang w:val="lt-LT"/>
        </w:rPr>
        <w:t>Philadelphia</w:t>
      </w:r>
      <w:r w:rsidRPr="00AB7860">
        <w:rPr>
          <w:rFonts w:ascii="Times New Roman" w:hAnsi="Times New Roman" w:cs="Times New Roman"/>
          <w:i/>
          <w:color w:val="000000"/>
          <w:lang w:val="lt-LT"/>
        </w:rPr>
        <w:t xml:space="preserve"> </w:t>
      </w:r>
      <w:r w:rsidRPr="00AB7860">
        <w:rPr>
          <w:rFonts w:ascii="Times New Roman" w:hAnsi="Times New Roman" w:cs="Times New Roman"/>
          <w:color w:val="000000"/>
          <w:lang w:val="lt-LT"/>
        </w:rPr>
        <w:t xml:space="preserve">chromosomai teigiamos (Ph+) LML </w:t>
      </w:r>
      <w:r w:rsidR="00560929" w:rsidRPr="00AB7860">
        <w:rPr>
          <w:rFonts w:ascii="Times New Roman" w:hAnsi="Times New Roman" w:cs="Times New Roman"/>
          <w:color w:val="000000"/>
          <w:lang w:val="lt-LT"/>
        </w:rPr>
        <w:t xml:space="preserve">progresavusi, </w:t>
      </w:r>
      <w:r w:rsidRPr="00AB7860">
        <w:rPr>
          <w:rFonts w:ascii="Times New Roman" w:hAnsi="Times New Roman" w:cs="Times New Roman"/>
          <w:color w:val="000000"/>
          <w:lang w:val="lt-LT"/>
        </w:rPr>
        <w:t>blastinė</w:t>
      </w:r>
      <w:r w:rsidR="00AC5526" w:rsidRPr="00AB7860">
        <w:rPr>
          <w:rFonts w:ascii="Times New Roman" w:hAnsi="Times New Roman" w:cs="Times New Roman"/>
          <w:color w:val="000000"/>
          <w:lang w:val="lt-LT"/>
        </w:rPr>
        <w:t xml:space="preserve"> ar akceleracijos</w:t>
      </w:r>
      <w:r w:rsidRPr="00AB7860">
        <w:rPr>
          <w:rFonts w:ascii="Times New Roman" w:hAnsi="Times New Roman" w:cs="Times New Roman"/>
          <w:color w:val="000000"/>
          <w:lang w:val="lt-LT"/>
        </w:rPr>
        <w:t xml:space="preserve"> ligos fazė</w:t>
      </w:r>
      <w:r w:rsidR="00AC5526" w:rsidRPr="00AB7860">
        <w:rPr>
          <w:rFonts w:ascii="Times New Roman" w:hAnsi="Times New Roman" w:cs="Times New Roman"/>
          <w:color w:val="000000"/>
          <w:lang w:val="lt-LT"/>
        </w:rPr>
        <w:t xml:space="preserve">, </w:t>
      </w:r>
      <w:r w:rsidR="00AC5526" w:rsidRPr="006F4F46">
        <w:rPr>
          <w:rFonts w:ascii="Times New Roman" w:hAnsi="Times New Roman" w:cs="Times New Roman"/>
          <w:lang w:val="lt-LT"/>
        </w:rPr>
        <w:t xml:space="preserve">kitos Ph+ leukemijos ar LML lėtinė fazė, bet neefektyvus ankstesnis gydymas interferonu alfa (IFN). </w:t>
      </w:r>
      <w:r w:rsidR="00AC5526" w:rsidRPr="00AB7860">
        <w:rPr>
          <w:rFonts w:ascii="Times New Roman" w:hAnsi="Times New Roman" w:cs="Times New Roman"/>
          <w:lang w:val="lt-LT"/>
        </w:rPr>
        <w:t xml:space="preserve">Vienas didelis, atviras, daugiacentris, tarptautinis randomizuotas III </w:t>
      </w:r>
      <w:r w:rsidR="00AC5526" w:rsidRPr="006F4F46">
        <w:rPr>
          <w:rFonts w:ascii="Times New Roman" w:hAnsi="Times New Roman" w:cs="Times New Roman"/>
          <w:lang w:val="lt-LT"/>
        </w:rPr>
        <w:t xml:space="preserve">fazės </w:t>
      </w:r>
      <w:r w:rsidR="00AC5526" w:rsidRPr="00AB7860">
        <w:rPr>
          <w:rFonts w:ascii="Times New Roman" w:hAnsi="Times New Roman" w:cs="Times New Roman"/>
          <w:lang w:val="lt-LT"/>
        </w:rPr>
        <w:t xml:space="preserve">tyrimas atliktas pacientams, </w:t>
      </w:r>
      <w:r w:rsidR="00AC5526" w:rsidRPr="006F4F46">
        <w:rPr>
          <w:rFonts w:ascii="Times New Roman" w:hAnsi="Times New Roman" w:cs="Times New Roman"/>
          <w:lang w:val="lt-LT"/>
        </w:rPr>
        <w:t xml:space="preserve">kuriems buvo naujai diagnozuota Ph+ LML. </w:t>
      </w:r>
      <w:r w:rsidRPr="00AB7860">
        <w:rPr>
          <w:rFonts w:ascii="Times New Roman" w:hAnsi="Times New Roman" w:cs="Times New Roman"/>
          <w:color w:val="000000"/>
        </w:rPr>
        <w:t>Be to, vaikai buvo gydomi dviejų I fazės tyrimų ir vieno II fazės tyrimo metu.</w:t>
      </w:r>
    </w:p>
    <w:p w14:paraId="733B6C0F" w14:textId="77777777" w:rsidR="00BF4FB5" w:rsidRPr="00AB7860" w:rsidRDefault="00BF4FB5" w:rsidP="00BF4FB5">
      <w:pPr>
        <w:autoSpaceDE w:val="0"/>
        <w:autoSpaceDN w:val="0"/>
        <w:adjustRightInd w:val="0"/>
        <w:spacing w:after="0" w:line="240" w:lineRule="auto"/>
        <w:rPr>
          <w:rFonts w:ascii="Times New Roman" w:hAnsi="Times New Roman" w:cs="Times New Roman"/>
          <w:color w:val="000000"/>
        </w:rPr>
      </w:pPr>
    </w:p>
    <w:p w14:paraId="49AD6CE4" w14:textId="77777777" w:rsidR="004C04CC" w:rsidRPr="00AB7860" w:rsidRDefault="004C04CC" w:rsidP="004C04CC">
      <w:pPr>
        <w:autoSpaceDE w:val="0"/>
        <w:autoSpaceDN w:val="0"/>
        <w:adjustRightInd w:val="0"/>
        <w:spacing w:after="0" w:line="240" w:lineRule="auto"/>
        <w:rPr>
          <w:rFonts w:ascii="Times New Roman" w:hAnsi="Times New Roman" w:cs="Times New Roman"/>
          <w:color w:val="000000"/>
        </w:rPr>
      </w:pPr>
      <w:r w:rsidRPr="00AB7860">
        <w:rPr>
          <w:rFonts w:ascii="Times New Roman" w:hAnsi="Times New Roman" w:cs="Times New Roman"/>
          <w:color w:val="000000"/>
        </w:rPr>
        <w:t xml:space="preserve">38-40 % visuose klinikiniuose tyrimuose dalyvavusių pacientų buvo </w:t>
      </w:r>
      <w:r w:rsidRPr="00AB7860">
        <w:rPr>
          <w:rFonts w:ascii="Times New Roman" w:hAnsi="Times New Roman" w:cs="Times New Roman"/>
          <w:color w:val="000000"/>
        </w:rPr>
        <w:sym w:font="Symbol" w:char="F0B3"/>
      </w:r>
      <w:r w:rsidRPr="00AB7860">
        <w:rPr>
          <w:rFonts w:ascii="Times New Roman" w:hAnsi="Times New Roman" w:cs="Times New Roman"/>
          <w:color w:val="000000"/>
        </w:rPr>
        <w:t xml:space="preserve"> 60 metų ir 10-12 % pacientų – </w:t>
      </w:r>
      <w:r w:rsidRPr="00AB7860">
        <w:rPr>
          <w:rFonts w:ascii="Times New Roman" w:hAnsi="Times New Roman" w:cs="Times New Roman"/>
          <w:color w:val="000000"/>
        </w:rPr>
        <w:sym w:font="Symbol" w:char="F0B3"/>
      </w:r>
      <w:r w:rsidRPr="00AB7860">
        <w:rPr>
          <w:rFonts w:ascii="Times New Roman" w:hAnsi="Times New Roman" w:cs="Times New Roman"/>
          <w:color w:val="000000"/>
        </w:rPr>
        <w:t xml:space="preserve"> 70 metų amžiaus. </w:t>
      </w:r>
    </w:p>
    <w:p w14:paraId="1D374C5C" w14:textId="77777777" w:rsidR="00173803" w:rsidRPr="004C04CC" w:rsidRDefault="00173803" w:rsidP="00173803">
      <w:pPr>
        <w:spacing w:after="0" w:line="240" w:lineRule="auto"/>
        <w:rPr>
          <w:rFonts w:ascii="Times New Roman" w:hAnsi="Times New Roman" w:cs="Times New Roman"/>
        </w:rPr>
      </w:pPr>
    </w:p>
    <w:p w14:paraId="6D791D9E" w14:textId="77777777" w:rsidR="003111DD" w:rsidRPr="006F4F46" w:rsidRDefault="003111DD" w:rsidP="003111DD">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i/>
          <w:iCs/>
          <w:lang w:val="lt-LT"/>
        </w:rPr>
        <w:t>Naujai diagnozuota lėtinė fazė</w:t>
      </w:r>
      <w:r w:rsidRPr="006F4F46">
        <w:rPr>
          <w:rFonts w:ascii="Times New Roman" w:hAnsi="Times New Roman" w:cs="Times New Roman"/>
          <w:lang w:val="lt-LT"/>
        </w:rPr>
        <w:t>. Šio III fazės tyrimo suaugusiųjų tarpe metu buvo lygintas gydymas</w:t>
      </w:r>
    </w:p>
    <w:p w14:paraId="5A721914" w14:textId="77777777" w:rsidR="003111DD" w:rsidRPr="00AB7860" w:rsidRDefault="003111DD" w:rsidP="003111DD">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vienu imatinibu ir gydymas interferonu alfa (IFN) su citarabinu (Ara-C). Pacientams, kuriems negauta</w:t>
      </w:r>
    </w:p>
    <w:p w14:paraId="6638F6A5" w14:textId="77777777" w:rsidR="003111DD" w:rsidRPr="00AB7860" w:rsidRDefault="003111DD" w:rsidP="003111DD">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atsako (po 6 mėnesių gydymo nebuvo visiško hematologinio atsako (VHA), padidėjęs BKK, nebuvo ryškaus citogenetinio atsako (MCyR) per 24 mėnesius), atsakas išnyko (išnyko VHA ar MCyR) ar</w:t>
      </w:r>
    </w:p>
    <w:p w14:paraId="325B04BD" w14:textId="77777777" w:rsidR="003111DD" w:rsidRPr="00AB7860" w:rsidRDefault="003111DD" w:rsidP="003111DD">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visiškai netoleravo gydymo, buvo leista keisti gydymą į alternatyvų (kitos grupės). </w:t>
      </w:r>
      <w:r w:rsidR="00465A09" w:rsidRPr="00AB7860">
        <w:rPr>
          <w:rFonts w:ascii="Times New Roman" w:hAnsi="Times New Roman" w:cs="Times New Roman"/>
          <w:lang w:val="lt-LT"/>
        </w:rPr>
        <w:t xml:space="preserve">Imatinibo </w:t>
      </w:r>
      <w:r w:rsidRPr="00AB7860">
        <w:rPr>
          <w:rFonts w:ascii="Times New Roman" w:hAnsi="Times New Roman" w:cs="Times New Roman"/>
          <w:lang w:val="lt-LT"/>
        </w:rPr>
        <w:t>grupės</w:t>
      </w:r>
    </w:p>
    <w:p w14:paraId="68D1969B" w14:textId="77777777" w:rsidR="003111DD" w:rsidRPr="00AB7860" w:rsidRDefault="003111DD" w:rsidP="003111DD">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pacientai vartojo po 400 mg vaistinio preparato per parą. IFN grupės tiriamieji </w:t>
      </w:r>
      <w:r w:rsidR="00465A09" w:rsidRPr="00AB7860">
        <w:rPr>
          <w:rFonts w:ascii="Times New Roman" w:hAnsi="Times New Roman" w:cs="Times New Roman"/>
          <w:lang w:val="lt-LT"/>
        </w:rPr>
        <w:t xml:space="preserve">pacientai </w:t>
      </w:r>
      <w:r w:rsidRPr="00AB7860">
        <w:rPr>
          <w:rFonts w:ascii="Times New Roman" w:hAnsi="Times New Roman" w:cs="Times New Roman"/>
          <w:lang w:val="lt-LT"/>
        </w:rPr>
        <w:t>buvo gydomi po</w:t>
      </w:r>
    </w:p>
    <w:p w14:paraId="4B8BB13E" w14:textId="77777777" w:rsidR="003111DD" w:rsidRPr="00AB7860" w:rsidRDefault="003111DD" w:rsidP="003111DD">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5 milijonus TV/m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IFN per parą į poodį kartu su poodiniu Ara-C po 20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10 dienų per</w:t>
      </w:r>
    </w:p>
    <w:p w14:paraId="491B77CE" w14:textId="77777777" w:rsidR="003111DD" w:rsidRPr="00AB7860" w:rsidRDefault="003111DD" w:rsidP="003111DD">
      <w:pPr>
        <w:spacing w:after="0" w:line="240" w:lineRule="auto"/>
        <w:rPr>
          <w:rFonts w:ascii="Times New Roman" w:hAnsi="Times New Roman" w:cs="Times New Roman"/>
          <w:lang w:val="lt-LT"/>
        </w:rPr>
      </w:pPr>
      <w:r w:rsidRPr="00AB7860">
        <w:rPr>
          <w:rFonts w:ascii="Times New Roman" w:hAnsi="Times New Roman" w:cs="Times New Roman"/>
          <w:lang w:val="lt-LT"/>
        </w:rPr>
        <w:t>mėnesį.</w:t>
      </w:r>
    </w:p>
    <w:p w14:paraId="3DD00356" w14:textId="77777777" w:rsidR="00465A09" w:rsidRPr="00AB7860" w:rsidRDefault="00465A09" w:rsidP="003111DD">
      <w:pPr>
        <w:spacing w:after="0" w:line="240" w:lineRule="auto"/>
        <w:rPr>
          <w:rFonts w:ascii="Times New Roman" w:hAnsi="Times New Roman" w:cs="Times New Roman"/>
          <w:lang w:val="lt-LT"/>
        </w:rPr>
      </w:pPr>
    </w:p>
    <w:p w14:paraId="701CCA7D" w14:textId="77777777" w:rsidR="0023506B" w:rsidRPr="00AB7860" w:rsidRDefault="0023506B" w:rsidP="0023506B">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Iš viso atsitiktinai atrinkti 1 106 pacientai, po 553 kiekvienoje grupėje. Pradinės abiejų grupių pacientų</w:t>
      </w:r>
    </w:p>
    <w:p w14:paraId="1B910BDB" w14:textId="77777777" w:rsidR="0023506B" w:rsidRPr="00AB7860" w:rsidRDefault="0023506B" w:rsidP="0023506B">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savybės buvo labai panašios. Vidurinis amžius buvo 51 metai (ribos – 18–70 metų), 21,9 % pacientų –</w:t>
      </w:r>
    </w:p>
    <w:p w14:paraId="2680A082" w14:textId="77777777" w:rsidR="0023506B" w:rsidRPr="00AB7860" w:rsidRDefault="0023506B" w:rsidP="0023506B">
      <w:pPr>
        <w:spacing w:after="0" w:line="240" w:lineRule="auto"/>
        <w:rPr>
          <w:rFonts w:ascii="Times New Roman" w:hAnsi="Times New Roman" w:cs="Times New Roman"/>
          <w:lang w:val="lt-LT"/>
        </w:rPr>
      </w:pPr>
      <w:r w:rsidRPr="00AB7860">
        <w:rPr>
          <w:rFonts w:ascii="Times New Roman" w:hAnsi="Times New Roman" w:cs="Times New Roman"/>
          <w:lang w:val="lt-LT"/>
        </w:rPr>
        <w:t>≥ 60 metų. Iš jų buvo 59 % vyrų ir 41 % moterų; 89,9 % baltosios rasės ir 4,7 % juodaodžių.</w:t>
      </w:r>
    </w:p>
    <w:p w14:paraId="2F9A6DCD" w14:textId="77777777" w:rsidR="0023506B" w:rsidRPr="00AB7860" w:rsidRDefault="0023506B" w:rsidP="0023506B">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Praėjus septyneriems metams po paskutinio paciento įtraukimo į tyrimą, pirmos eilės gydymo trukmės</w:t>
      </w:r>
    </w:p>
    <w:p w14:paraId="52730B64" w14:textId="77777777" w:rsidR="0023506B" w:rsidRPr="00AB7860" w:rsidRDefault="0023506B" w:rsidP="0023506B">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mediana buvo 82 mėnesiai imatinibo grupėje ir 8 mėnesiai IFN grupėje. Antros eilės gydymo imatinibo</w:t>
      </w:r>
    </w:p>
    <w:p w14:paraId="2288E4D4" w14:textId="77777777" w:rsidR="0023506B" w:rsidRPr="00AB7860" w:rsidRDefault="0023506B" w:rsidP="0023506B">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trukmės mediana buvo 64 mėnesiai. Pacientų, gavusių pirmos eilės gydymą </w:t>
      </w:r>
      <w:r w:rsidR="00AB7860">
        <w:rPr>
          <w:rFonts w:ascii="Times New Roman" w:hAnsi="Times New Roman" w:cs="Times New Roman"/>
          <w:lang w:val="lt-LT"/>
        </w:rPr>
        <w:t>imatinibu</w:t>
      </w:r>
      <w:r w:rsidRPr="00AB7860">
        <w:rPr>
          <w:rFonts w:ascii="Times New Roman" w:hAnsi="Times New Roman" w:cs="Times New Roman"/>
          <w:lang w:val="lt-LT"/>
        </w:rPr>
        <w:t>, vidutinė paros</w:t>
      </w:r>
    </w:p>
    <w:p w14:paraId="78BF6943" w14:textId="77777777" w:rsidR="0023506B" w:rsidRPr="00AB7860" w:rsidRDefault="0023506B" w:rsidP="0023506B">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dozė buvo 406 ± 76 mg. Pagrindinis veiksmingumą atspindintis tyrimo rezultatas yra gyvenimo</w:t>
      </w:r>
    </w:p>
    <w:p w14:paraId="62361DC8" w14:textId="77777777" w:rsidR="0023506B" w:rsidRPr="00AB7860" w:rsidRDefault="0023506B" w:rsidP="0023506B">
      <w:pPr>
        <w:spacing w:after="0" w:line="240" w:lineRule="auto"/>
        <w:rPr>
          <w:rFonts w:ascii="Times New Roman" w:hAnsi="Times New Roman" w:cs="Times New Roman"/>
          <w:lang w:val="lt-LT"/>
        </w:rPr>
      </w:pPr>
      <w:r w:rsidRPr="00AB7860">
        <w:rPr>
          <w:rFonts w:ascii="Times New Roman" w:hAnsi="Times New Roman" w:cs="Times New Roman"/>
          <w:lang w:val="lt-LT"/>
        </w:rPr>
        <w:t>trukmė be ligos progresavimo.</w:t>
      </w:r>
    </w:p>
    <w:p w14:paraId="512177F8" w14:textId="77777777" w:rsidR="0023506B" w:rsidRPr="00AB7860" w:rsidRDefault="009C59EE" w:rsidP="00316EE8">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Progresavimas apibūdinamas bet kuriuo iš šių reiškinių: progresavimas iki akceleracijos fazės ar blastinės krizės, mirtis, išnykę VHA ar MCyR, arba pacientams, kuriems negaunama VHA, didėjantis leukocitų skaičius nepaisant tinkamo gydymo. Svarbiausi antriniai rezultatai yra didysis citogenetinis atsakas, hematologinis atsakas, molekulinis atsakas (minimalios liekamosios ligos vertinimas), laikas iki akceleracijos fazės ar blastinės krizės ir gyvenimo trukmė. Atsako duomenys pateikti 2 lentelėje.</w:t>
      </w:r>
    </w:p>
    <w:p w14:paraId="0C0437AB" w14:textId="77777777" w:rsidR="009C59EE" w:rsidRPr="00AB7860" w:rsidRDefault="009C59EE" w:rsidP="009C59EE">
      <w:pPr>
        <w:spacing w:after="0" w:line="240" w:lineRule="auto"/>
        <w:rPr>
          <w:rFonts w:ascii="Times New Roman" w:hAnsi="Times New Roman" w:cs="Times New Roman"/>
          <w:lang w:val="lt-LT"/>
        </w:rPr>
      </w:pPr>
    </w:p>
    <w:p w14:paraId="18D8550B" w14:textId="77777777" w:rsidR="001707FE" w:rsidRPr="00AB7860" w:rsidRDefault="001707FE" w:rsidP="009C59EE">
      <w:pPr>
        <w:spacing w:after="0" w:line="240" w:lineRule="auto"/>
        <w:rPr>
          <w:rFonts w:ascii="Times New Roman" w:eastAsia="TimesNewRomanPS-BoldMT" w:hAnsi="Times New Roman" w:cs="Times New Roman"/>
          <w:b/>
          <w:bCs/>
          <w:lang w:val="lt-LT"/>
        </w:rPr>
      </w:pPr>
      <w:r w:rsidRPr="00AB7860">
        <w:rPr>
          <w:rFonts w:ascii="Times New Roman" w:hAnsi="Times New Roman" w:cs="Times New Roman"/>
          <w:b/>
          <w:bCs/>
          <w:lang w:val="lt-LT"/>
        </w:rPr>
        <w:t xml:space="preserve">2 </w:t>
      </w:r>
      <w:r w:rsidRPr="00AB7860">
        <w:rPr>
          <w:rFonts w:ascii="Times New Roman" w:eastAsia="TimesNewRomanPS-BoldMT" w:hAnsi="Times New Roman" w:cs="Times New Roman"/>
          <w:b/>
          <w:bCs/>
          <w:lang w:val="lt-LT"/>
        </w:rPr>
        <w:t>lentelė</w:t>
      </w:r>
      <w:r w:rsidRPr="00AB7860">
        <w:rPr>
          <w:rFonts w:ascii="Times New Roman" w:eastAsia="TimesNewRomanPS-BoldMT" w:hAnsi="Times New Roman" w:cs="Times New Roman"/>
          <w:b/>
          <w:bCs/>
          <w:lang w:val="lt-LT"/>
        </w:rPr>
        <w:tab/>
      </w:r>
      <w:r w:rsidRPr="00AB7860">
        <w:rPr>
          <w:rFonts w:ascii="Times New Roman" w:hAnsi="Times New Roman" w:cs="Times New Roman"/>
          <w:b/>
          <w:bCs/>
          <w:lang w:val="lt-LT"/>
        </w:rPr>
        <w:t xml:space="preserve">Atsakas, gautas naujai diagnozuotos LML tyrimo metu (84 </w:t>
      </w:r>
      <w:r w:rsidR="00FA31FC" w:rsidRPr="00AB7860">
        <w:rPr>
          <w:rFonts w:ascii="Times New Roman" w:hAnsi="Times New Roman" w:cs="Times New Roman"/>
          <w:b/>
          <w:bCs/>
          <w:lang w:val="lt-LT"/>
        </w:rPr>
        <w:t>mėnesių duomenys)</w:t>
      </w:r>
    </w:p>
    <w:p w14:paraId="3E434A22" w14:textId="77777777" w:rsidR="001707FE" w:rsidRPr="00AB7860" w:rsidRDefault="001707FE" w:rsidP="009C59EE">
      <w:pPr>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9394"/>
      </w:tblGrid>
      <w:tr w:rsidR="00431EB8" w:rsidRPr="00AB7860" w14:paraId="22346258" w14:textId="77777777" w:rsidTr="00431EB8">
        <w:tc>
          <w:tcPr>
            <w:tcW w:w="9576" w:type="dxa"/>
          </w:tcPr>
          <w:p w14:paraId="367FCA9A" w14:textId="77777777" w:rsidR="00431EB8" w:rsidRPr="006F4F46" w:rsidRDefault="00431EB8" w:rsidP="00431EB8">
            <w:pPr>
              <w:autoSpaceDE w:val="0"/>
              <w:autoSpaceDN w:val="0"/>
              <w:adjustRightInd w:val="0"/>
              <w:spacing w:after="0" w:line="240" w:lineRule="auto"/>
              <w:rPr>
                <w:b/>
                <w:bCs/>
                <w:sz w:val="22"/>
                <w:szCs w:val="22"/>
                <w:lang w:val="lt-LT"/>
              </w:rPr>
            </w:pPr>
            <w:r w:rsidRPr="006F4F46">
              <w:rPr>
                <w:b/>
                <w:bCs/>
                <w:sz w:val="22"/>
                <w:szCs w:val="22"/>
                <w:lang w:val="lt-LT"/>
              </w:rPr>
              <w:t xml:space="preserve">                                                                    Imatinibas                                                               IFN+Ara-C</w:t>
            </w:r>
          </w:p>
          <w:p w14:paraId="5F8C3E06" w14:textId="77777777" w:rsidR="00431EB8" w:rsidRPr="006F4F46" w:rsidRDefault="00431EB8" w:rsidP="00FA31FC">
            <w:pPr>
              <w:spacing w:after="0" w:line="240" w:lineRule="auto"/>
              <w:rPr>
                <w:sz w:val="22"/>
                <w:szCs w:val="22"/>
                <w:lang w:val="lt-LT"/>
              </w:rPr>
            </w:pPr>
            <w:r w:rsidRPr="006F4F46">
              <w:rPr>
                <w:rFonts w:eastAsia="TimesNewRomanPS-BoldMT"/>
                <w:b/>
                <w:bCs/>
                <w:sz w:val="22"/>
                <w:szCs w:val="22"/>
                <w:lang w:val="lt-LT"/>
              </w:rPr>
              <w:t xml:space="preserve">(Geriausio atsako </w:t>
            </w:r>
            <w:r w:rsidR="00FA31FC" w:rsidRPr="006F4F46">
              <w:rPr>
                <w:rFonts w:eastAsia="TimesNewRomanPS-BoldMT"/>
                <w:b/>
                <w:bCs/>
                <w:sz w:val="22"/>
                <w:szCs w:val="22"/>
                <w:lang w:val="lt-LT"/>
              </w:rPr>
              <w:t>dažnis)</w:t>
            </w:r>
            <w:r w:rsidRPr="006F4F46">
              <w:rPr>
                <w:rFonts w:eastAsia="TimesNewRomanPS-BoldMT"/>
                <w:b/>
                <w:bCs/>
                <w:sz w:val="22"/>
                <w:szCs w:val="22"/>
                <w:lang w:val="lt-LT"/>
              </w:rPr>
              <w:t xml:space="preserve">                             </w:t>
            </w:r>
            <w:r w:rsidRPr="006F4F46">
              <w:rPr>
                <w:sz w:val="22"/>
                <w:szCs w:val="22"/>
                <w:lang w:val="lt-LT"/>
              </w:rPr>
              <w:t xml:space="preserve">n = 553                                                              </w:t>
            </w:r>
            <w:r w:rsidR="00D81EE7" w:rsidRPr="006F4F46">
              <w:rPr>
                <w:sz w:val="22"/>
                <w:szCs w:val="22"/>
                <w:lang w:val="lt-LT"/>
              </w:rPr>
              <w:t xml:space="preserve">  </w:t>
            </w:r>
            <w:r w:rsidRPr="006F4F46">
              <w:rPr>
                <w:sz w:val="22"/>
                <w:szCs w:val="22"/>
                <w:lang w:val="lt-LT"/>
              </w:rPr>
              <w:t>n = 553</w:t>
            </w:r>
          </w:p>
        </w:tc>
      </w:tr>
      <w:tr w:rsidR="00431EB8" w:rsidRPr="00AB7860" w14:paraId="5B0722A9" w14:textId="77777777" w:rsidTr="00431EB8">
        <w:tc>
          <w:tcPr>
            <w:tcW w:w="9576" w:type="dxa"/>
          </w:tcPr>
          <w:p w14:paraId="4EAD8E9A" w14:textId="77777777" w:rsidR="00431EB8" w:rsidRPr="006F4F46" w:rsidRDefault="00431EB8" w:rsidP="00431EB8">
            <w:pPr>
              <w:autoSpaceDE w:val="0"/>
              <w:autoSpaceDN w:val="0"/>
              <w:adjustRightInd w:val="0"/>
              <w:spacing w:after="0" w:line="240" w:lineRule="auto"/>
              <w:rPr>
                <w:b/>
                <w:bCs/>
                <w:sz w:val="22"/>
                <w:szCs w:val="22"/>
                <w:lang w:val="lt-LT"/>
              </w:rPr>
            </w:pPr>
            <w:r w:rsidRPr="006F4F46">
              <w:rPr>
                <w:b/>
                <w:bCs/>
                <w:sz w:val="22"/>
                <w:szCs w:val="22"/>
                <w:lang w:val="lt-LT"/>
              </w:rPr>
              <w:t>Hematologinis atsakas</w:t>
            </w:r>
          </w:p>
          <w:p w14:paraId="73449278"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VHA dalis n (%)                                        534 (96,6 %)*                                                        313 (56,6 %)*</w:t>
            </w:r>
          </w:p>
          <w:p w14:paraId="28B3EE58"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[95 % PI]                                                  [94,7 %, 97,9 %]                                                 [52,4 %, 60,8 %]</w:t>
            </w:r>
          </w:p>
          <w:p w14:paraId="19CB7D6A" w14:textId="77777777" w:rsidR="00431EB8" w:rsidRPr="006F4F46" w:rsidRDefault="00431EB8" w:rsidP="00431EB8">
            <w:pPr>
              <w:autoSpaceDE w:val="0"/>
              <w:autoSpaceDN w:val="0"/>
              <w:adjustRightInd w:val="0"/>
              <w:spacing w:after="0" w:line="240" w:lineRule="auto"/>
              <w:rPr>
                <w:b/>
                <w:bCs/>
                <w:sz w:val="22"/>
                <w:szCs w:val="22"/>
                <w:lang w:val="lt-LT"/>
              </w:rPr>
            </w:pPr>
            <w:r w:rsidRPr="006F4F46">
              <w:rPr>
                <w:b/>
                <w:bCs/>
                <w:sz w:val="22"/>
                <w:szCs w:val="22"/>
                <w:lang w:val="lt-LT"/>
              </w:rPr>
              <w:t>Citogenetinis atsakas</w:t>
            </w:r>
          </w:p>
          <w:p w14:paraId="2E96FE03"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lastRenderedPageBreak/>
              <w:t xml:space="preserve">Didysis atsakas n (%)                                490 (88,6 %)*                                                      </w:t>
            </w:r>
            <w:r w:rsidR="00D81EE7" w:rsidRPr="006F4F46">
              <w:rPr>
                <w:sz w:val="22"/>
                <w:szCs w:val="22"/>
                <w:lang w:val="lt-LT"/>
              </w:rPr>
              <w:t xml:space="preserve">   </w:t>
            </w:r>
            <w:r w:rsidRPr="006F4F46">
              <w:rPr>
                <w:sz w:val="22"/>
                <w:szCs w:val="22"/>
                <w:lang w:val="lt-LT"/>
              </w:rPr>
              <w:t>129 (23,3 %)*</w:t>
            </w:r>
          </w:p>
          <w:p w14:paraId="719B7CE6"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 xml:space="preserve">[95 % PI]                                         </w:t>
            </w:r>
            <w:r w:rsidR="00D81EE7" w:rsidRPr="006F4F46">
              <w:rPr>
                <w:sz w:val="22"/>
                <w:szCs w:val="22"/>
                <w:lang w:val="lt-LT"/>
              </w:rPr>
              <w:t xml:space="preserve">        </w:t>
            </w:r>
            <w:r w:rsidRPr="006F4F46">
              <w:rPr>
                <w:sz w:val="22"/>
                <w:szCs w:val="22"/>
                <w:lang w:val="lt-LT"/>
              </w:rPr>
              <w:t xml:space="preserve">[85,7 %, 91,1 %]                                                 </w:t>
            </w:r>
            <w:r w:rsidR="00D81EE7" w:rsidRPr="006F4F46">
              <w:rPr>
                <w:sz w:val="22"/>
                <w:szCs w:val="22"/>
                <w:lang w:val="lt-LT"/>
              </w:rPr>
              <w:t xml:space="preserve"> </w:t>
            </w:r>
            <w:r w:rsidRPr="006F4F46">
              <w:rPr>
                <w:sz w:val="22"/>
                <w:szCs w:val="22"/>
                <w:lang w:val="lt-LT"/>
              </w:rPr>
              <w:t>[19,9 %, 27,1 %]</w:t>
            </w:r>
          </w:p>
          <w:p w14:paraId="75136C27"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 xml:space="preserve">Visiškas CyR n (%)                           </w:t>
            </w:r>
            <w:r w:rsidR="00D81EE7" w:rsidRPr="006F4F46">
              <w:rPr>
                <w:sz w:val="22"/>
                <w:szCs w:val="22"/>
                <w:lang w:val="lt-LT"/>
              </w:rPr>
              <w:t xml:space="preserve">        </w:t>
            </w:r>
            <w:r w:rsidRPr="006F4F46">
              <w:rPr>
                <w:sz w:val="22"/>
                <w:szCs w:val="22"/>
                <w:lang w:val="lt-LT"/>
              </w:rPr>
              <w:t xml:space="preserve">456 (82,5 %)*                                                      </w:t>
            </w:r>
            <w:r w:rsidR="00D81EE7" w:rsidRPr="006F4F46">
              <w:rPr>
                <w:sz w:val="22"/>
                <w:szCs w:val="22"/>
                <w:lang w:val="lt-LT"/>
              </w:rPr>
              <w:t xml:space="preserve">     </w:t>
            </w:r>
            <w:r w:rsidRPr="006F4F46">
              <w:rPr>
                <w:sz w:val="22"/>
                <w:szCs w:val="22"/>
                <w:lang w:val="lt-LT"/>
              </w:rPr>
              <w:t>64 (11,6 %)*</w:t>
            </w:r>
          </w:p>
          <w:p w14:paraId="052903E4"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 xml:space="preserve">Dalinis CyR n (%)                                  </w:t>
            </w:r>
            <w:r w:rsidR="00D81EE7" w:rsidRPr="006F4F46">
              <w:rPr>
                <w:sz w:val="22"/>
                <w:szCs w:val="22"/>
                <w:lang w:val="lt-LT"/>
              </w:rPr>
              <w:t xml:space="preserve">     </w:t>
            </w:r>
            <w:r w:rsidRPr="006F4F46">
              <w:rPr>
                <w:sz w:val="22"/>
                <w:szCs w:val="22"/>
                <w:lang w:val="lt-LT"/>
              </w:rPr>
              <w:t xml:space="preserve">34 (6,1 %)                                                              </w:t>
            </w:r>
            <w:r w:rsidR="00D81EE7" w:rsidRPr="006F4F46">
              <w:rPr>
                <w:sz w:val="22"/>
                <w:szCs w:val="22"/>
                <w:lang w:val="lt-LT"/>
              </w:rPr>
              <w:t xml:space="preserve"> </w:t>
            </w:r>
            <w:r w:rsidRPr="006F4F46">
              <w:rPr>
                <w:sz w:val="22"/>
                <w:szCs w:val="22"/>
                <w:lang w:val="lt-LT"/>
              </w:rPr>
              <w:t>65 (11,8 %)</w:t>
            </w:r>
          </w:p>
          <w:p w14:paraId="1186EEB7" w14:textId="77777777" w:rsidR="00431EB8" w:rsidRPr="00300AED" w:rsidRDefault="00431EB8" w:rsidP="00431EB8">
            <w:pPr>
              <w:autoSpaceDE w:val="0"/>
              <w:autoSpaceDN w:val="0"/>
              <w:adjustRightInd w:val="0"/>
              <w:spacing w:after="0" w:line="240" w:lineRule="auto"/>
              <w:rPr>
                <w:b/>
                <w:bCs/>
                <w:sz w:val="22"/>
                <w:szCs w:val="22"/>
                <w:lang w:val="lt-LT"/>
              </w:rPr>
            </w:pPr>
          </w:p>
          <w:p w14:paraId="00808E65" w14:textId="77777777" w:rsidR="00431EB8" w:rsidRPr="006F4F46" w:rsidRDefault="00431EB8" w:rsidP="00431EB8">
            <w:pPr>
              <w:autoSpaceDE w:val="0"/>
              <w:autoSpaceDN w:val="0"/>
              <w:adjustRightInd w:val="0"/>
              <w:spacing w:after="0" w:line="240" w:lineRule="auto"/>
              <w:rPr>
                <w:sz w:val="22"/>
                <w:szCs w:val="22"/>
                <w:lang w:val="lt-LT"/>
              </w:rPr>
            </w:pPr>
            <w:r w:rsidRPr="006F4F46">
              <w:rPr>
                <w:b/>
                <w:bCs/>
                <w:sz w:val="22"/>
                <w:szCs w:val="22"/>
                <w:lang w:val="lt-LT"/>
              </w:rPr>
              <w:t>Molekulinis atsakas</w:t>
            </w:r>
            <w:r w:rsidRPr="006F4F46">
              <w:rPr>
                <w:sz w:val="22"/>
                <w:szCs w:val="22"/>
                <w:lang w:val="lt-LT"/>
              </w:rPr>
              <w:t>**</w:t>
            </w:r>
          </w:p>
          <w:p w14:paraId="5EE356BC"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 xml:space="preserve">Didysis atsakas po 12 mėnesių (%) </w:t>
            </w:r>
            <w:r w:rsidR="00D81EE7" w:rsidRPr="006F4F46">
              <w:rPr>
                <w:sz w:val="22"/>
                <w:szCs w:val="22"/>
                <w:lang w:val="lt-LT"/>
              </w:rPr>
              <w:t xml:space="preserve">        </w:t>
            </w:r>
            <w:r w:rsidRPr="006F4F46">
              <w:rPr>
                <w:sz w:val="22"/>
                <w:szCs w:val="22"/>
                <w:lang w:val="lt-LT"/>
              </w:rPr>
              <w:t xml:space="preserve">153/305 = 50,2 % </w:t>
            </w:r>
            <w:r w:rsidR="00D81EE7" w:rsidRPr="006F4F46">
              <w:rPr>
                <w:sz w:val="22"/>
                <w:szCs w:val="22"/>
                <w:lang w:val="lt-LT"/>
              </w:rPr>
              <w:t xml:space="preserve">                                                      </w:t>
            </w:r>
            <w:r w:rsidRPr="006F4F46">
              <w:rPr>
                <w:sz w:val="22"/>
                <w:szCs w:val="22"/>
                <w:lang w:val="lt-LT"/>
              </w:rPr>
              <w:t>8/83 = 9,6 %</w:t>
            </w:r>
          </w:p>
          <w:p w14:paraId="52836448" w14:textId="77777777" w:rsidR="00431EB8" w:rsidRPr="006F4F46" w:rsidRDefault="00431EB8" w:rsidP="00431EB8">
            <w:pPr>
              <w:autoSpaceDE w:val="0"/>
              <w:autoSpaceDN w:val="0"/>
              <w:adjustRightInd w:val="0"/>
              <w:spacing w:after="0" w:line="240" w:lineRule="auto"/>
              <w:rPr>
                <w:sz w:val="22"/>
                <w:szCs w:val="22"/>
                <w:lang w:val="lt-LT"/>
              </w:rPr>
            </w:pPr>
            <w:r w:rsidRPr="006F4F46">
              <w:rPr>
                <w:sz w:val="22"/>
                <w:szCs w:val="22"/>
                <w:lang w:val="lt-LT"/>
              </w:rPr>
              <w:t xml:space="preserve">Didysis atsakas po 24 mėnesių (%) </w:t>
            </w:r>
            <w:r w:rsidR="00D81EE7" w:rsidRPr="006F4F46">
              <w:rPr>
                <w:sz w:val="22"/>
                <w:szCs w:val="22"/>
                <w:lang w:val="lt-LT"/>
              </w:rPr>
              <w:t xml:space="preserve">          </w:t>
            </w:r>
            <w:r w:rsidRPr="006F4F46">
              <w:rPr>
                <w:sz w:val="22"/>
                <w:szCs w:val="22"/>
                <w:lang w:val="lt-LT"/>
              </w:rPr>
              <w:t xml:space="preserve">73/104 = 70,2 % </w:t>
            </w:r>
            <w:r w:rsidR="00D81EE7" w:rsidRPr="006F4F46">
              <w:rPr>
                <w:sz w:val="22"/>
                <w:szCs w:val="22"/>
                <w:lang w:val="lt-LT"/>
              </w:rPr>
              <w:t xml:space="preserve">                                                      </w:t>
            </w:r>
            <w:r w:rsidRPr="006F4F46">
              <w:rPr>
                <w:sz w:val="22"/>
                <w:szCs w:val="22"/>
                <w:lang w:val="lt-LT"/>
              </w:rPr>
              <w:t>3/12 = 25 %</w:t>
            </w:r>
          </w:p>
          <w:p w14:paraId="15AAF85F" w14:textId="77777777" w:rsidR="00431EB8" w:rsidRPr="006F4F46" w:rsidRDefault="00431EB8" w:rsidP="00431EB8">
            <w:pPr>
              <w:spacing w:after="0" w:line="240" w:lineRule="auto"/>
              <w:rPr>
                <w:sz w:val="22"/>
                <w:szCs w:val="22"/>
                <w:lang w:val="lt-LT"/>
              </w:rPr>
            </w:pPr>
            <w:r w:rsidRPr="006F4F46">
              <w:rPr>
                <w:sz w:val="22"/>
                <w:szCs w:val="22"/>
                <w:lang w:val="lt-LT"/>
              </w:rPr>
              <w:t xml:space="preserve">Didysis atsakas po 84 mėnesių (%) </w:t>
            </w:r>
            <w:r w:rsidR="00D81EE7" w:rsidRPr="006F4F46">
              <w:rPr>
                <w:sz w:val="22"/>
                <w:szCs w:val="22"/>
                <w:lang w:val="lt-LT"/>
              </w:rPr>
              <w:t xml:space="preserve">        </w:t>
            </w:r>
            <w:r w:rsidRPr="006F4F46">
              <w:rPr>
                <w:sz w:val="22"/>
                <w:szCs w:val="22"/>
                <w:lang w:val="lt-LT"/>
              </w:rPr>
              <w:t xml:space="preserve">102/116 = 87,9 % </w:t>
            </w:r>
            <w:r w:rsidR="00D81EE7" w:rsidRPr="006F4F46">
              <w:rPr>
                <w:sz w:val="22"/>
                <w:szCs w:val="22"/>
                <w:lang w:val="lt-LT"/>
              </w:rPr>
              <w:t xml:space="preserve">                                                        </w:t>
            </w:r>
            <w:r w:rsidRPr="006F4F46">
              <w:rPr>
                <w:sz w:val="22"/>
                <w:szCs w:val="22"/>
                <w:lang w:val="lt-LT"/>
              </w:rPr>
              <w:t>3/4 = 75 %</w:t>
            </w:r>
          </w:p>
        </w:tc>
      </w:tr>
      <w:tr w:rsidR="00431EB8" w:rsidRPr="00AB7860" w14:paraId="5592CC75" w14:textId="77777777" w:rsidTr="00431EB8">
        <w:tc>
          <w:tcPr>
            <w:tcW w:w="9576" w:type="dxa"/>
          </w:tcPr>
          <w:p w14:paraId="3BC9988B" w14:textId="77777777" w:rsidR="00D81EE7" w:rsidRPr="006F4F46" w:rsidRDefault="00D81EE7" w:rsidP="00D81EE7">
            <w:pPr>
              <w:autoSpaceDE w:val="0"/>
              <w:autoSpaceDN w:val="0"/>
              <w:adjustRightInd w:val="0"/>
              <w:spacing w:after="0" w:line="240" w:lineRule="auto"/>
              <w:rPr>
                <w:sz w:val="22"/>
                <w:szCs w:val="22"/>
                <w:lang w:val="lt-LT"/>
              </w:rPr>
            </w:pPr>
            <w:r w:rsidRPr="006F4F46">
              <w:rPr>
                <w:sz w:val="22"/>
                <w:szCs w:val="22"/>
                <w:lang w:val="lt-LT"/>
              </w:rPr>
              <w:lastRenderedPageBreak/>
              <w:t xml:space="preserve">* p&lt;0,001, </w:t>
            </w:r>
            <w:r w:rsidRPr="006F4F46">
              <w:rPr>
                <w:i/>
                <w:iCs/>
                <w:sz w:val="22"/>
                <w:szCs w:val="22"/>
                <w:lang w:val="lt-LT"/>
              </w:rPr>
              <w:t xml:space="preserve">Fischer </w:t>
            </w:r>
            <w:r w:rsidRPr="006F4F46">
              <w:rPr>
                <w:sz w:val="22"/>
                <w:szCs w:val="22"/>
                <w:lang w:val="lt-LT"/>
              </w:rPr>
              <w:t>tikslus testas</w:t>
            </w:r>
          </w:p>
          <w:p w14:paraId="3FEDDC98" w14:textId="77777777" w:rsidR="00D81EE7" w:rsidRPr="006F4F46" w:rsidRDefault="00D81EE7" w:rsidP="00D81EE7">
            <w:pPr>
              <w:autoSpaceDE w:val="0"/>
              <w:autoSpaceDN w:val="0"/>
              <w:adjustRightInd w:val="0"/>
              <w:spacing w:after="0" w:line="240" w:lineRule="auto"/>
              <w:rPr>
                <w:sz w:val="22"/>
                <w:szCs w:val="22"/>
                <w:lang w:val="lt-LT"/>
              </w:rPr>
            </w:pPr>
            <w:r w:rsidRPr="006F4F46">
              <w:rPr>
                <w:sz w:val="22"/>
                <w:szCs w:val="22"/>
                <w:lang w:val="lt-LT"/>
              </w:rPr>
              <w:t>** procentinė molekulinio atsako dalis paremta turimomis imtimis</w:t>
            </w:r>
          </w:p>
          <w:p w14:paraId="233493BA" w14:textId="77777777" w:rsidR="00D81EE7" w:rsidRPr="00300AED" w:rsidRDefault="00D81EE7" w:rsidP="00D81EE7">
            <w:pPr>
              <w:autoSpaceDE w:val="0"/>
              <w:autoSpaceDN w:val="0"/>
              <w:adjustRightInd w:val="0"/>
              <w:spacing w:after="0" w:line="240" w:lineRule="auto"/>
              <w:rPr>
                <w:rFonts w:eastAsia="TimesNewRomanPS-BoldMT"/>
                <w:b/>
                <w:bCs/>
                <w:sz w:val="22"/>
                <w:szCs w:val="22"/>
                <w:lang w:val="lt-LT"/>
              </w:rPr>
            </w:pPr>
            <w:r w:rsidRPr="006F4F46">
              <w:rPr>
                <w:rFonts w:eastAsia="TimesNewRomanPS-BoldMT"/>
                <w:b/>
                <w:bCs/>
                <w:sz w:val="22"/>
                <w:szCs w:val="22"/>
                <w:lang w:val="lt-LT"/>
              </w:rPr>
              <w:t>Hematologinio atsako kriterijai (bet koks atsakas turi būti patvirtintas po</w:t>
            </w:r>
            <w:r w:rsidR="004C3C04" w:rsidRPr="006F4F46">
              <w:rPr>
                <w:b/>
                <w:sz w:val="22"/>
                <w:szCs w:val="22"/>
                <w:lang w:val="lt-LT" w:eastAsia="sv-SE"/>
              </w:rPr>
              <w:t xml:space="preserve"> </w:t>
            </w:r>
            <w:r w:rsidR="004C3C04" w:rsidRPr="006F4F46">
              <w:rPr>
                <w:sz w:val="22"/>
                <w:szCs w:val="22"/>
                <w:lang w:val="lt-LT"/>
              </w:rPr>
              <w:t xml:space="preserve">≥ </w:t>
            </w:r>
            <w:r w:rsidRPr="006F4F46">
              <w:rPr>
                <w:b/>
                <w:bCs/>
                <w:sz w:val="22"/>
                <w:szCs w:val="22"/>
                <w:lang w:val="lt-LT"/>
              </w:rPr>
              <w:t xml:space="preserve">4 </w:t>
            </w:r>
            <w:r w:rsidRPr="006F4F46">
              <w:rPr>
                <w:rFonts w:eastAsia="TimesNewRomanPS-BoldMT"/>
                <w:b/>
                <w:bCs/>
                <w:sz w:val="22"/>
                <w:szCs w:val="22"/>
                <w:lang w:val="lt-LT"/>
              </w:rPr>
              <w:t>savai</w:t>
            </w:r>
            <w:r w:rsidR="00AB7860" w:rsidRPr="006F4F46">
              <w:rPr>
                <w:rFonts w:eastAsia="TimesNewRomanPS-BoldMT"/>
                <w:b/>
                <w:bCs/>
                <w:sz w:val="22"/>
                <w:szCs w:val="22"/>
                <w:lang w:val="lt-LT"/>
              </w:rPr>
              <w:t xml:space="preserve">čių): </w:t>
            </w:r>
            <w:r w:rsidRPr="006F4F46">
              <w:rPr>
                <w:sz w:val="22"/>
                <w:szCs w:val="22"/>
                <w:lang w:val="lt-LT"/>
              </w:rPr>
              <w:t>BKK</w:t>
            </w:r>
            <w:r w:rsidR="00AB7860" w:rsidRPr="006F4F46">
              <w:rPr>
                <w:sz w:val="22"/>
                <w:szCs w:val="22"/>
                <w:lang w:val="lt-LT"/>
              </w:rPr>
              <w:t xml:space="preserve"> </w:t>
            </w:r>
            <w:r w:rsidRPr="006F4F46">
              <w:rPr>
                <w:sz w:val="22"/>
                <w:szCs w:val="22"/>
                <w:lang w:val="lt-LT"/>
              </w:rPr>
              <w:t>&lt; 10 x 109/l, trombocitų &lt; 450 x 109/l, mielocitų+metamielocitų &lt;</w:t>
            </w:r>
            <w:r w:rsidRPr="00300AED">
              <w:rPr>
                <w:sz w:val="22"/>
                <w:szCs w:val="22"/>
                <w:lang w:val="lt-LT"/>
              </w:rPr>
              <w:t xml:space="preserve"> 5 % kraujyje, kraujyje nėra</w:t>
            </w:r>
          </w:p>
          <w:p w14:paraId="33141E9D" w14:textId="77777777" w:rsidR="00D81EE7" w:rsidRPr="006F4F46" w:rsidRDefault="00D81EE7" w:rsidP="00D81EE7">
            <w:pPr>
              <w:autoSpaceDE w:val="0"/>
              <w:autoSpaceDN w:val="0"/>
              <w:adjustRightInd w:val="0"/>
              <w:spacing w:after="0" w:line="240" w:lineRule="auto"/>
              <w:rPr>
                <w:sz w:val="22"/>
                <w:szCs w:val="22"/>
                <w:lang w:val="lt-LT"/>
              </w:rPr>
            </w:pPr>
            <w:r w:rsidRPr="006F4F46">
              <w:rPr>
                <w:sz w:val="22"/>
                <w:szCs w:val="22"/>
                <w:lang w:val="lt-LT"/>
              </w:rPr>
              <w:t>blastų ir promielocitų, bazofilų &lt; 20 %, nėra ekstramedulinių židinių.</w:t>
            </w:r>
          </w:p>
          <w:p w14:paraId="25E730EC" w14:textId="77777777" w:rsidR="00D81EE7" w:rsidRPr="006F4F46" w:rsidRDefault="00D81EE7" w:rsidP="00D81EE7">
            <w:pPr>
              <w:autoSpaceDE w:val="0"/>
              <w:autoSpaceDN w:val="0"/>
              <w:adjustRightInd w:val="0"/>
              <w:spacing w:after="0" w:line="240" w:lineRule="auto"/>
              <w:rPr>
                <w:sz w:val="22"/>
                <w:szCs w:val="22"/>
                <w:lang w:val="lt-LT"/>
              </w:rPr>
            </w:pPr>
            <w:r w:rsidRPr="006F4F46">
              <w:rPr>
                <w:b/>
                <w:bCs/>
                <w:sz w:val="22"/>
                <w:szCs w:val="22"/>
                <w:lang w:val="lt-LT"/>
              </w:rPr>
              <w:t xml:space="preserve">Citogenetinio atsako kriterijai: </w:t>
            </w:r>
            <w:r w:rsidRPr="006F4F46">
              <w:rPr>
                <w:sz w:val="22"/>
                <w:szCs w:val="22"/>
                <w:lang w:val="lt-LT"/>
              </w:rPr>
              <w:t>visiškas (0 % Ph+ metafazės), dalinis (1–35 %), mažas (36–65 %)</w:t>
            </w:r>
          </w:p>
          <w:p w14:paraId="314C96F1" w14:textId="77777777" w:rsidR="00D81EE7" w:rsidRPr="006F4F46" w:rsidRDefault="00D81EE7" w:rsidP="00D81EE7">
            <w:pPr>
              <w:autoSpaceDE w:val="0"/>
              <w:autoSpaceDN w:val="0"/>
              <w:adjustRightInd w:val="0"/>
              <w:spacing w:after="0" w:line="240" w:lineRule="auto"/>
              <w:rPr>
                <w:sz w:val="22"/>
                <w:szCs w:val="22"/>
                <w:lang w:val="lt-LT"/>
              </w:rPr>
            </w:pPr>
            <w:r w:rsidRPr="006F4F46">
              <w:rPr>
                <w:sz w:val="22"/>
                <w:szCs w:val="22"/>
                <w:lang w:val="lt-LT"/>
              </w:rPr>
              <w:t>ar mažiausias (66–95 %). Didysis atsakas (0–35 %) apima visišką ir dalinį atsaką.</w:t>
            </w:r>
          </w:p>
          <w:p w14:paraId="624760C8" w14:textId="77777777" w:rsidR="00D81EE7" w:rsidRPr="006F4F46" w:rsidRDefault="00D81EE7" w:rsidP="00D81EE7">
            <w:pPr>
              <w:autoSpaceDE w:val="0"/>
              <w:autoSpaceDN w:val="0"/>
              <w:adjustRightInd w:val="0"/>
              <w:spacing w:after="0" w:line="240" w:lineRule="auto"/>
              <w:rPr>
                <w:sz w:val="22"/>
                <w:szCs w:val="22"/>
                <w:lang w:val="lt-LT"/>
              </w:rPr>
            </w:pPr>
            <w:r w:rsidRPr="006F4F46">
              <w:rPr>
                <w:rFonts w:eastAsia="TimesNewRomanPS-BoldMT"/>
                <w:b/>
                <w:bCs/>
                <w:sz w:val="22"/>
                <w:szCs w:val="22"/>
                <w:lang w:val="lt-LT"/>
              </w:rPr>
              <w:t>Did</w:t>
            </w:r>
            <w:r w:rsidR="00D6313B" w:rsidRPr="006F4F46">
              <w:rPr>
                <w:rFonts w:eastAsia="TimesNewRomanPS-BoldMT"/>
                <w:b/>
                <w:bCs/>
                <w:sz w:val="22"/>
                <w:szCs w:val="22"/>
                <w:lang w:val="lt-LT"/>
              </w:rPr>
              <w:t>žiojo molekulinio atsako kriterijai</w:t>
            </w:r>
            <w:r w:rsidRPr="006F4F46">
              <w:rPr>
                <w:sz w:val="22"/>
                <w:szCs w:val="22"/>
                <w:lang w:val="lt-LT"/>
              </w:rPr>
              <w:t>: periferiniame kraujyje Bcr-Abl transkriptų kiekio</w:t>
            </w:r>
            <w:r w:rsidR="00D6313B" w:rsidRPr="006F4F46">
              <w:rPr>
                <w:sz w:val="22"/>
                <w:szCs w:val="22"/>
                <w:lang w:val="lt-LT"/>
              </w:rPr>
              <w:t xml:space="preserve"> </w:t>
            </w:r>
            <w:r w:rsidRPr="006F4F46">
              <w:rPr>
                <w:sz w:val="22"/>
                <w:szCs w:val="22"/>
                <w:lang w:val="lt-LT"/>
              </w:rPr>
              <w:t>sumažėjimas ≥ 3 logaritmais (matuojama realaus laiko kiekybiniu atvirkštinės transkriptazės PGR</w:t>
            </w:r>
          </w:p>
          <w:p w14:paraId="6758D290" w14:textId="77777777" w:rsidR="00431EB8" w:rsidRPr="006F4F46" w:rsidRDefault="00D81EE7" w:rsidP="00D81EE7">
            <w:pPr>
              <w:spacing w:after="0" w:line="240" w:lineRule="auto"/>
              <w:rPr>
                <w:sz w:val="22"/>
                <w:szCs w:val="22"/>
                <w:lang w:val="lt-LT"/>
              </w:rPr>
            </w:pPr>
            <w:r w:rsidRPr="006F4F46">
              <w:rPr>
                <w:sz w:val="22"/>
                <w:szCs w:val="22"/>
                <w:lang w:val="lt-LT"/>
              </w:rPr>
              <w:t>tyrimu), lyginant su standartizuota pradine reikšme.</w:t>
            </w:r>
          </w:p>
        </w:tc>
      </w:tr>
    </w:tbl>
    <w:p w14:paraId="7BBA7ECA" w14:textId="77777777" w:rsidR="00D81EE7" w:rsidRPr="00AB7860" w:rsidRDefault="00D81EE7" w:rsidP="00D81EE7">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Skyrus pirmos eilės gydymą, visiško hematologinio atsako, didžiojo citogenetinio atsako ir visiško</w:t>
      </w:r>
    </w:p>
    <w:p w14:paraId="3C9F06DD" w14:textId="77777777" w:rsidR="00D81EE7" w:rsidRPr="00AB7860" w:rsidRDefault="00D81EE7" w:rsidP="00D81EE7">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citogenetinio atsako </w:t>
      </w:r>
      <w:r w:rsidR="001707FE" w:rsidRPr="00AB7860">
        <w:rPr>
          <w:rFonts w:ascii="Times New Roman" w:hAnsi="Times New Roman" w:cs="Times New Roman"/>
          <w:lang w:val="lt-LT"/>
        </w:rPr>
        <w:t xml:space="preserve">dalis </w:t>
      </w:r>
      <w:r w:rsidRPr="00AB7860">
        <w:rPr>
          <w:rFonts w:ascii="Times New Roman" w:hAnsi="Times New Roman" w:cs="Times New Roman"/>
          <w:lang w:val="lt-LT"/>
        </w:rPr>
        <w:t>nustatyta naudojant Kaplan-Meier metodą, atsako nebuvimo atvejus</w:t>
      </w:r>
    </w:p>
    <w:p w14:paraId="3BD73350" w14:textId="77777777" w:rsidR="00D81EE7" w:rsidRPr="00AB7860" w:rsidRDefault="00D81EE7" w:rsidP="00D81EE7">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cenzūruojant pagal paskutinės apžiūros duomenis. Naudojant šį metodą nustatyti nuo 12 iki</w:t>
      </w:r>
    </w:p>
    <w:p w14:paraId="49D85489" w14:textId="77777777" w:rsidR="00D81EE7" w:rsidRPr="00AB7860" w:rsidRDefault="00D81EE7" w:rsidP="00D81EE7">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84 gydymo mėnesiais suminiai atsako į pirmos eilės gydymą imatinibu dažniai: VHA nuo 96,4 % iki</w:t>
      </w:r>
    </w:p>
    <w:p w14:paraId="0B2FE8C2" w14:textId="77777777" w:rsidR="00D81EE7" w:rsidRPr="00AB7860" w:rsidRDefault="00D81EE7" w:rsidP="00D81EE7">
      <w:pPr>
        <w:spacing w:after="0" w:line="240" w:lineRule="auto"/>
        <w:rPr>
          <w:rFonts w:ascii="Times New Roman" w:hAnsi="Times New Roman" w:cs="Times New Roman"/>
          <w:lang w:val="lt-LT"/>
        </w:rPr>
      </w:pPr>
      <w:r w:rsidRPr="00AB7860">
        <w:rPr>
          <w:rFonts w:ascii="Times New Roman" w:hAnsi="Times New Roman" w:cs="Times New Roman"/>
          <w:lang w:val="lt-LT"/>
        </w:rPr>
        <w:t>98,4 % ir CCyR nuo 69,5 % iki 87,2 % atitinkamai.</w:t>
      </w:r>
    </w:p>
    <w:p w14:paraId="48011DE9" w14:textId="77777777" w:rsidR="00D81EE7" w:rsidRPr="00AB7860" w:rsidRDefault="00D81EE7" w:rsidP="00D81EE7">
      <w:pPr>
        <w:spacing w:after="0" w:line="240" w:lineRule="auto"/>
        <w:rPr>
          <w:rFonts w:ascii="Times New Roman" w:hAnsi="Times New Roman" w:cs="Times New Roman"/>
          <w:lang w:val="lt-LT"/>
        </w:rPr>
      </w:pPr>
    </w:p>
    <w:p w14:paraId="6DE55FC3" w14:textId="77777777" w:rsidR="004C3C04" w:rsidRPr="00AB7860" w:rsidRDefault="004C3C04" w:rsidP="004C3C0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Per 7 metų stebėjimo laikotarpį </w:t>
      </w:r>
      <w:r w:rsidR="00241E20" w:rsidRPr="00AB7860">
        <w:rPr>
          <w:rFonts w:ascii="Times New Roman" w:hAnsi="Times New Roman" w:cs="Times New Roman"/>
          <w:lang w:val="lt-LT"/>
        </w:rPr>
        <w:t xml:space="preserve">imtinibo </w:t>
      </w:r>
      <w:r w:rsidRPr="00AB7860">
        <w:rPr>
          <w:rFonts w:ascii="Times New Roman" w:hAnsi="Times New Roman" w:cs="Times New Roman"/>
          <w:lang w:val="lt-LT"/>
        </w:rPr>
        <w:t>grupėje nustatyti 93 (16,8 %) ligos progresavimo reiškiniai: 37</w:t>
      </w:r>
    </w:p>
    <w:p w14:paraId="1397C02B" w14:textId="77777777" w:rsidR="004C3C04" w:rsidRPr="00AB7860" w:rsidRDefault="004C3C04" w:rsidP="004C3C0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(6,7 %) ligos progresavimo iki akceleracijos fazės ar blastinės krizės atvejai, 31 (5,6 %) MCyR</w:t>
      </w:r>
    </w:p>
    <w:p w14:paraId="3FB3DCB5" w14:textId="77777777" w:rsidR="004C3C04" w:rsidRPr="00AB7860" w:rsidRDefault="004C3C04" w:rsidP="004C3C0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išnykimo atvejai, 15 (2,7 %) VHA išnykimo arba BKK skaičiaus padidėjimo atvejų ir 10 (1,8 %) su</w:t>
      </w:r>
    </w:p>
    <w:p w14:paraId="7226D03C" w14:textId="77777777" w:rsidR="004C3C04" w:rsidRPr="00AB7860" w:rsidRDefault="004C3C04" w:rsidP="004C3C0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LML nesusijusios mirties atvejų. Tuo tarpu IFN+Ara-C grupėje nustatyti 165 (29,8 %) reiškiniai, iš</w:t>
      </w:r>
    </w:p>
    <w:p w14:paraId="560F8EBF" w14:textId="77777777" w:rsidR="004C3C04" w:rsidRPr="00AB7860" w:rsidRDefault="004C3C04" w:rsidP="00241E20">
      <w:pPr>
        <w:spacing w:after="0" w:line="240" w:lineRule="auto"/>
        <w:rPr>
          <w:rFonts w:ascii="Times New Roman" w:hAnsi="Times New Roman" w:cs="Times New Roman"/>
          <w:lang w:val="lt-LT"/>
        </w:rPr>
      </w:pPr>
      <w:r w:rsidRPr="00AB7860">
        <w:rPr>
          <w:rFonts w:ascii="Times New Roman" w:hAnsi="Times New Roman" w:cs="Times New Roman"/>
          <w:lang w:val="lt-LT"/>
        </w:rPr>
        <w:t>kurių 130 kilo pirmos eilės gydymo IFN+Ara-C metu.</w:t>
      </w:r>
    </w:p>
    <w:p w14:paraId="2DE42674" w14:textId="77777777" w:rsidR="00241E20" w:rsidRPr="00AB7860" w:rsidRDefault="00241E20" w:rsidP="00241E20">
      <w:pPr>
        <w:spacing w:after="0" w:line="240" w:lineRule="auto"/>
        <w:rPr>
          <w:rFonts w:ascii="Times New Roman" w:hAnsi="Times New Roman" w:cs="Times New Roman"/>
          <w:lang w:val="lt-LT"/>
        </w:rPr>
      </w:pPr>
    </w:p>
    <w:p w14:paraId="24A40DA7" w14:textId="77777777" w:rsidR="00241E20" w:rsidRPr="00AB7860" w:rsidRDefault="00241E20" w:rsidP="00241E20">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Nustatyta pacientų dalis, kuriems liga neprogresavo iki akceleracijos fazės ar blastinės krizės praėjus</w:t>
      </w:r>
    </w:p>
    <w:p w14:paraId="44AC8D85" w14:textId="77777777" w:rsidR="00241E20" w:rsidRPr="00AB7860" w:rsidRDefault="00241E20" w:rsidP="00241E20">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84 mėnesiams, buvo reikšmingai didesnė </w:t>
      </w:r>
      <w:r w:rsidR="00FA152E" w:rsidRPr="00AB7860">
        <w:rPr>
          <w:rFonts w:ascii="Times New Roman" w:hAnsi="Times New Roman" w:cs="Times New Roman"/>
          <w:lang w:val="lt-LT"/>
        </w:rPr>
        <w:t xml:space="preserve">imatinibo </w:t>
      </w:r>
      <w:r w:rsidRPr="00AB7860">
        <w:rPr>
          <w:rFonts w:ascii="Times New Roman" w:hAnsi="Times New Roman" w:cs="Times New Roman"/>
          <w:lang w:val="lt-LT"/>
        </w:rPr>
        <w:t>grupėje, lyginant su IFN grupe (92,5 %, lyginant su</w:t>
      </w:r>
    </w:p>
    <w:p w14:paraId="2ABDF698" w14:textId="77777777" w:rsidR="00241E20" w:rsidRPr="00AB7860" w:rsidRDefault="00241E20" w:rsidP="00241E20">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85,1 %, p&lt;0,001). Gydymo laikui ilgėjant, kasmet nustatomas ligos progresavimo iki akceleracijos</w:t>
      </w:r>
    </w:p>
    <w:p w14:paraId="54A9DF70" w14:textId="77777777" w:rsidR="00241E20" w:rsidRPr="00AB7860" w:rsidRDefault="00241E20" w:rsidP="00241E20">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fazės arba blastų krizės dažnis mažėjo ir buvo mažesnis kaip 1 % kasmet ketvirtaisiais ir penktaisiais</w:t>
      </w:r>
    </w:p>
    <w:p w14:paraId="13EDAAB3" w14:textId="77777777" w:rsidR="00241E20" w:rsidRPr="00AB7860" w:rsidRDefault="00241E20" w:rsidP="00241E20">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metais. Praėjus 84 mėnesiams, išgyvenusiųjų be ligos progresavimo dalis buvo tokia: </w:t>
      </w:r>
      <w:r w:rsidR="00FA152E" w:rsidRPr="00AB7860">
        <w:rPr>
          <w:rFonts w:ascii="Times New Roman" w:hAnsi="Times New Roman" w:cs="Times New Roman"/>
          <w:lang w:val="lt-LT"/>
        </w:rPr>
        <w:t>81,2 % imatinibo</w:t>
      </w:r>
    </w:p>
    <w:p w14:paraId="1FBA54CB" w14:textId="77777777" w:rsidR="00241E20" w:rsidRPr="00AB7860" w:rsidRDefault="00241E20" w:rsidP="00241E20">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grupėje ir 60,6 % kontrolinėje grupėje (p&lt;0,001). Ligos bet kokio progresavimo dažnis </w:t>
      </w:r>
      <w:r w:rsidR="00FA152E" w:rsidRPr="00AB7860">
        <w:rPr>
          <w:rFonts w:ascii="Times New Roman" w:hAnsi="Times New Roman" w:cs="Times New Roman"/>
          <w:lang w:val="lt-LT"/>
        </w:rPr>
        <w:t xml:space="preserve">imatinibo </w:t>
      </w:r>
      <w:r w:rsidRPr="00AB7860">
        <w:rPr>
          <w:rFonts w:ascii="Times New Roman" w:hAnsi="Times New Roman" w:cs="Times New Roman"/>
          <w:lang w:val="lt-LT"/>
        </w:rPr>
        <w:t>grupėje</w:t>
      </w:r>
    </w:p>
    <w:p w14:paraId="4A53B953" w14:textId="77777777" w:rsidR="00241E20" w:rsidRPr="00AB7860" w:rsidRDefault="00241E20" w:rsidP="00241E20">
      <w:pPr>
        <w:spacing w:after="0" w:line="240" w:lineRule="auto"/>
        <w:rPr>
          <w:rFonts w:ascii="Times New Roman" w:hAnsi="Times New Roman" w:cs="Times New Roman"/>
          <w:lang w:val="lt-LT"/>
        </w:rPr>
      </w:pPr>
      <w:r w:rsidRPr="00AB7860">
        <w:rPr>
          <w:rFonts w:ascii="Times New Roman" w:hAnsi="Times New Roman" w:cs="Times New Roman"/>
          <w:lang w:val="lt-LT"/>
        </w:rPr>
        <w:t>taip pat mažėjo visą laiką.</w:t>
      </w:r>
    </w:p>
    <w:p w14:paraId="08F98D3B" w14:textId="77777777" w:rsidR="00FA152E" w:rsidRPr="00AB7860" w:rsidRDefault="00FA152E" w:rsidP="00241E20">
      <w:pPr>
        <w:spacing w:after="0" w:line="240" w:lineRule="auto"/>
        <w:rPr>
          <w:rFonts w:ascii="Times New Roman" w:hAnsi="Times New Roman" w:cs="Times New Roman"/>
          <w:lang w:val="lt-LT"/>
        </w:rPr>
      </w:pPr>
    </w:p>
    <w:p w14:paraId="68ABCF5F"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Iš viso imatinibo ir IFN+Ara-C grupėse mirė atitinkamai 71 (12,8 %) ir 85 (15,4 %) pacientai. Praėjus</w:t>
      </w:r>
    </w:p>
    <w:p w14:paraId="223F5F88"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84 mėnesiams, nustatytas toks bendrasis išgyvenamumas: 86,4 % (83, 90) imatinibo grupėje ir 83,3 %</w:t>
      </w:r>
    </w:p>
    <w:p w14:paraId="7440AD15"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(80, 87) IFN+Ara-C grupėje, (p = 0,073, logaritminio rango kriterijus). Šį “laiko iki reiškinio” tyrimo</w:t>
      </w:r>
    </w:p>
    <w:p w14:paraId="703D062C"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tikslą smarkiai veikė didelis gydymo IFN+Ara-C keitimo gydymu imatinibu dažnis. Toliau tiriant naujai</w:t>
      </w:r>
    </w:p>
    <w:p w14:paraId="7022B673"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diagnozuotos lėtinės LML fazės gydymo imati</w:t>
      </w:r>
      <w:r>
        <w:rPr>
          <w:rFonts w:ascii="Times New Roman" w:hAnsi="Times New Roman" w:cs="Times New Roman"/>
          <w:lang w:val="lt-LT"/>
        </w:rPr>
        <w:t>ni</w:t>
      </w:r>
      <w:r w:rsidRPr="00AB7860">
        <w:rPr>
          <w:rFonts w:ascii="Times New Roman" w:hAnsi="Times New Roman" w:cs="Times New Roman"/>
          <w:lang w:val="lt-LT"/>
        </w:rPr>
        <w:t>bu poveikį gyvenimo trukmei, atlikta ankščiau minėtų</w:t>
      </w:r>
    </w:p>
    <w:p w14:paraId="7EBE4C57"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duomenų apie ima</w:t>
      </w:r>
      <w:r>
        <w:rPr>
          <w:rFonts w:ascii="Times New Roman" w:hAnsi="Times New Roman" w:cs="Times New Roman"/>
          <w:lang w:val="lt-LT"/>
        </w:rPr>
        <w:t>tinibo</w:t>
      </w:r>
      <w:r w:rsidRPr="00AB7860">
        <w:rPr>
          <w:rFonts w:ascii="Times New Roman" w:hAnsi="Times New Roman" w:cs="Times New Roman"/>
          <w:lang w:val="lt-LT"/>
        </w:rPr>
        <w:t xml:space="preserve"> vartojimą ir kito III fazės tyrimo, kuriame naudojamas tokia pat tvarka skiriamas</w:t>
      </w:r>
    </w:p>
    <w:p w14:paraId="65839B77"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IFN-Ara-C (n = 325), pirminių duomenų retrospektyvioji analizė. Atlikus šią retrospektyviąją analizę,</w:t>
      </w:r>
    </w:p>
    <w:p w14:paraId="04F019CC" w14:textId="77777777" w:rsidR="00254FE4" w:rsidRPr="00AB7860" w:rsidRDefault="00254FE4" w:rsidP="00254FE4">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įrodytas imatinibo pranašumas, lyginant su IFN-Ara-C, bendrojo išgyvenamumo atžvilgiu (p&lt;0,001); per</w:t>
      </w:r>
    </w:p>
    <w:p w14:paraId="0A1A5A5D" w14:textId="77777777" w:rsidR="00254FE4" w:rsidRPr="00AB7860" w:rsidRDefault="00254FE4" w:rsidP="00254FE4">
      <w:pPr>
        <w:spacing w:after="0" w:line="240" w:lineRule="auto"/>
        <w:rPr>
          <w:rFonts w:ascii="Times New Roman" w:hAnsi="Times New Roman" w:cs="Times New Roman"/>
          <w:lang w:val="lt-LT"/>
        </w:rPr>
      </w:pPr>
      <w:r w:rsidRPr="00AB7860">
        <w:rPr>
          <w:rFonts w:ascii="Times New Roman" w:hAnsi="Times New Roman" w:cs="Times New Roman"/>
          <w:lang w:val="lt-LT"/>
        </w:rPr>
        <w:t>42 mėnesius mirė 47 (8,5 %) imatinibo vartoję pacientai ir 63 (19,4 %) IFN+Ara-C vartoję pacientai.</w:t>
      </w:r>
    </w:p>
    <w:p w14:paraId="30095E8E" w14:textId="77777777" w:rsidR="00241E20" w:rsidRPr="00AB7860" w:rsidRDefault="00241E20" w:rsidP="00241E20">
      <w:pPr>
        <w:spacing w:after="0" w:line="240" w:lineRule="auto"/>
        <w:rPr>
          <w:rFonts w:ascii="Times New Roman" w:hAnsi="Times New Roman" w:cs="Times New Roman"/>
          <w:lang w:val="lt-LT"/>
        </w:rPr>
      </w:pPr>
    </w:p>
    <w:p w14:paraId="727D2CF9" w14:textId="77777777" w:rsidR="00491073" w:rsidRPr="00AB7860" w:rsidRDefault="00491073" w:rsidP="0049107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Nustatyta, kad citogenetinio ir molekulinio atsako laipsnis turi akivaizdų poveikį ilgalaikiams gydymo</w:t>
      </w:r>
    </w:p>
    <w:p w14:paraId="47333FEC" w14:textId="77777777" w:rsidR="00491073" w:rsidRPr="00AB7860" w:rsidRDefault="006F4F46" w:rsidP="00491073">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i</w:t>
      </w:r>
      <w:r w:rsidR="00491073" w:rsidRPr="00AB7860">
        <w:rPr>
          <w:rFonts w:ascii="Times New Roman" w:hAnsi="Times New Roman" w:cs="Times New Roman"/>
          <w:lang w:val="lt-LT"/>
        </w:rPr>
        <w:t>matinibu rezultatams. Nors nustatyta, kad 96</w:t>
      </w:r>
      <w:r>
        <w:rPr>
          <w:rFonts w:ascii="Times New Roman" w:hAnsi="Times New Roman" w:cs="Times New Roman"/>
          <w:lang w:val="lt-LT"/>
        </w:rPr>
        <w:t xml:space="preserve"> </w:t>
      </w:r>
      <w:r w:rsidR="00491073" w:rsidRPr="00AB7860">
        <w:rPr>
          <w:rFonts w:ascii="Times New Roman" w:hAnsi="Times New Roman" w:cs="Times New Roman"/>
          <w:lang w:val="lt-LT"/>
        </w:rPr>
        <w:t>% (93 %) pacientų, kuriems po 12 mėnesių buvo stebimas</w:t>
      </w:r>
    </w:p>
    <w:p w14:paraId="14281721" w14:textId="77777777" w:rsidR="00491073" w:rsidRPr="00AB7860" w:rsidRDefault="00491073" w:rsidP="0049107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CCyR (PCyR), liga neprogresavo iki akceleracijos fazės ar blastinės krizės praėjus 84 mėnesiams, tik</w:t>
      </w:r>
    </w:p>
    <w:p w14:paraId="610C1105" w14:textId="77777777" w:rsidR="00491073" w:rsidRPr="00AB7860" w:rsidRDefault="00491073" w:rsidP="0049107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81 % pacientų, kuriems po 12 mėnesių nebuvo stebima MCyR, liga neprogresavo iki išplitusios LML</w:t>
      </w:r>
    </w:p>
    <w:p w14:paraId="26F5EA53" w14:textId="77777777" w:rsidR="00491073" w:rsidRPr="00AB7860" w:rsidRDefault="00491073" w:rsidP="0049107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praėjus 84 mėnesiams (bendrasis p&lt;0,001, tarp CCyR ir PCyR p = 0,25). Pacientams su Bcr-Abl</w:t>
      </w:r>
    </w:p>
    <w:p w14:paraId="432B2F25" w14:textId="77777777" w:rsidR="00491073" w:rsidRPr="00AB7860" w:rsidRDefault="00491073" w:rsidP="0049107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transkriptų sumažėjimu mažiausiai 3 logaritmais per 12 mėnesių tikimybė išlikti be ligos progresijos</w:t>
      </w:r>
    </w:p>
    <w:p w14:paraId="6ABC72BC" w14:textId="77777777" w:rsidR="00491073" w:rsidRPr="00AB7860" w:rsidRDefault="00491073" w:rsidP="0049107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iki akceleracijos fazės/blastinės krizės buvo 99</w:t>
      </w:r>
      <w:r w:rsidR="006F4F46">
        <w:rPr>
          <w:rFonts w:ascii="Times New Roman" w:hAnsi="Times New Roman" w:cs="Times New Roman"/>
          <w:lang w:val="lt-LT"/>
        </w:rPr>
        <w:t xml:space="preserve"> </w:t>
      </w:r>
      <w:r w:rsidRPr="00AB7860">
        <w:rPr>
          <w:rFonts w:ascii="Times New Roman" w:hAnsi="Times New Roman" w:cs="Times New Roman"/>
          <w:lang w:val="lt-LT"/>
        </w:rPr>
        <w:t>% per 84 mėnesius. Panašūs rezultatai gauti, remiantis</w:t>
      </w:r>
    </w:p>
    <w:p w14:paraId="5A8A7D66" w14:textId="77777777" w:rsidR="00491073" w:rsidRPr="00AB7860" w:rsidRDefault="00491073" w:rsidP="00491073">
      <w:pPr>
        <w:spacing w:after="0" w:line="240" w:lineRule="auto"/>
        <w:rPr>
          <w:rFonts w:ascii="Times New Roman" w:hAnsi="Times New Roman" w:cs="Times New Roman"/>
          <w:lang w:val="lt-LT"/>
        </w:rPr>
      </w:pPr>
      <w:r w:rsidRPr="00AB7860">
        <w:rPr>
          <w:rFonts w:ascii="Times New Roman" w:hAnsi="Times New Roman" w:cs="Times New Roman"/>
          <w:lang w:val="lt-LT"/>
        </w:rPr>
        <w:t>per 18 mėnesių laikotarpį gautų duomenų analize.</w:t>
      </w:r>
    </w:p>
    <w:p w14:paraId="0DF98980" w14:textId="77777777" w:rsidR="00491073" w:rsidRPr="00AB7860" w:rsidRDefault="00491073" w:rsidP="00241E20">
      <w:pPr>
        <w:spacing w:after="0" w:line="240" w:lineRule="auto"/>
        <w:rPr>
          <w:rFonts w:ascii="Times New Roman" w:hAnsi="Times New Roman" w:cs="Times New Roman"/>
          <w:lang w:val="lt-LT"/>
        </w:rPr>
      </w:pPr>
    </w:p>
    <w:p w14:paraId="391CA601"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Šio tyrimo metu dozę buvo galima didinti nuo 400 mg per parą iki 600 mg per parą, po to nuo 600 mg</w:t>
      </w:r>
    </w:p>
    <w:p w14:paraId="1B19382D"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per parą iki 800 mg per parą. Per 42 mėnesių stebėjimo laikotarpį 11 pacientų buvo registruotas</w:t>
      </w:r>
    </w:p>
    <w:p w14:paraId="318CD896"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citogenetinio atsako netekimas (per 4 savaites). Iš šių 11 pacientų 4 pacientams dozė buvo padidinta</w:t>
      </w:r>
    </w:p>
    <w:p w14:paraId="035DBBDA"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iki 800 mg per parą, iš jų dviem buvo vėl gautas citogenetinis atsakas (vienam – dalinis ir kitam -</w:t>
      </w:r>
    </w:p>
    <w:p w14:paraId="3DFC4701"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visiškas, vėliau pastarajam buvo gautas ir molekulinis atsakas), tuo tarpu iš 7 pacientų, kuriems dozė</w:t>
      </w:r>
    </w:p>
    <w:p w14:paraId="123CBCAB"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nebuvo didinta, tik vienam vėl buvo gautas visiškas citogenetinis atsakas. Kai kurių nepageidaujamų</w:t>
      </w:r>
    </w:p>
    <w:p w14:paraId="3F1EB4A7"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reakcijų procentas buvo didesnis tarp 40 pacientų, kuriems dozė buvo padidinta iki 800 mg per parą,</w:t>
      </w:r>
    </w:p>
    <w:p w14:paraId="18053DEB"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lyginant su pacientų populiacija iki dozės didinimo (n = 551). Dažnesnės buvo šios nepageidaujamos</w:t>
      </w:r>
    </w:p>
    <w:p w14:paraId="1C250C48" w14:textId="77777777" w:rsidR="00FB7ACF" w:rsidRPr="00AB7860" w:rsidRDefault="00FB7ACF" w:rsidP="00FB7ACF">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reakcijos: kraujavimas į virškinimo traktą, konjunktyvitas bei transaminazių ar bilirubino</w:t>
      </w:r>
    </w:p>
    <w:p w14:paraId="5454EA91" w14:textId="77777777" w:rsidR="00FB7ACF" w:rsidRPr="00AB7860" w:rsidRDefault="00FB7ACF" w:rsidP="00FB7ACF">
      <w:pPr>
        <w:spacing w:after="0" w:line="240" w:lineRule="auto"/>
        <w:rPr>
          <w:rFonts w:ascii="Times New Roman" w:hAnsi="Times New Roman" w:cs="Times New Roman"/>
          <w:lang w:val="lt-LT"/>
        </w:rPr>
      </w:pPr>
      <w:r w:rsidRPr="00AB7860">
        <w:rPr>
          <w:rFonts w:ascii="Times New Roman" w:hAnsi="Times New Roman" w:cs="Times New Roman"/>
          <w:lang w:val="lt-LT"/>
        </w:rPr>
        <w:t>koncentracijos padidėjimas. Kitos nepageidaujamos reakcijos registruotos tuo pačiu dažniu ar rečiau.</w:t>
      </w:r>
    </w:p>
    <w:p w14:paraId="58B7904B" w14:textId="77777777" w:rsidR="00FB7ACF" w:rsidRPr="00AB7860" w:rsidRDefault="00FB7ACF" w:rsidP="00241E20">
      <w:pPr>
        <w:spacing w:after="0" w:line="240" w:lineRule="auto"/>
        <w:rPr>
          <w:rFonts w:ascii="Times New Roman" w:hAnsi="Times New Roman" w:cs="Times New Roman"/>
          <w:lang w:val="lt-LT"/>
        </w:rPr>
      </w:pPr>
    </w:p>
    <w:p w14:paraId="1527825D"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i/>
          <w:iCs/>
          <w:lang w:val="lt-LT"/>
        </w:rPr>
        <w:t>Lėtinė fazė, nesėkmingas gydymas interferonu</w:t>
      </w:r>
      <w:r w:rsidRPr="00AB7860">
        <w:rPr>
          <w:rFonts w:ascii="Times New Roman" w:hAnsi="Times New Roman" w:cs="Times New Roman"/>
          <w:i/>
          <w:lang w:val="lt-LT"/>
        </w:rPr>
        <w:t>:</w:t>
      </w:r>
      <w:r w:rsidRPr="00AB7860">
        <w:rPr>
          <w:rFonts w:ascii="Times New Roman" w:hAnsi="Times New Roman" w:cs="Times New Roman"/>
          <w:lang w:val="lt-LT"/>
        </w:rPr>
        <w:t xml:space="preserve"> 532 suaug</w:t>
      </w:r>
      <w:r w:rsidR="00AB7860">
        <w:rPr>
          <w:rFonts w:ascii="Times New Roman" w:hAnsi="Times New Roman" w:cs="Times New Roman"/>
          <w:lang w:val="lt-LT"/>
        </w:rPr>
        <w:t>ę</w:t>
      </w:r>
      <w:r w:rsidRPr="00AB7860">
        <w:rPr>
          <w:rFonts w:ascii="Times New Roman" w:hAnsi="Times New Roman" w:cs="Times New Roman"/>
          <w:lang w:val="lt-LT"/>
        </w:rPr>
        <w:t xml:space="preserve"> pacientai buvo gydomi pradine 400 mg</w:t>
      </w:r>
    </w:p>
    <w:p w14:paraId="27C0D997"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doze. Jie buvo suskirstyti į tris pagrindines kategorijas: hematologinės nesėkmės (29 %), citogenetinės</w:t>
      </w:r>
    </w:p>
    <w:p w14:paraId="2C684B5A"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nesėkmės (35 %) ar interferono netoleravimo (36 %). Prieš tai pacientai buvo gydyti interferono doze</w:t>
      </w:r>
    </w:p>
    <w:p w14:paraId="381F78D6"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v-LV"/>
        </w:rPr>
        <w:t>≥</w:t>
      </w:r>
      <w:r w:rsidRPr="00AB7860">
        <w:rPr>
          <w:rFonts w:ascii="Times New Roman" w:eastAsia="SymbolMT" w:hAnsi="Times New Roman" w:cs="Times New Roman"/>
          <w:lang w:val="lt-LT"/>
        </w:rPr>
        <w:t xml:space="preserve"> </w:t>
      </w:r>
      <w:r w:rsidRPr="00AB7860">
        <w:rPr>
          <w:rFonts w:ascii="Times New Roman" w:hAnsi="Times New Roman" w:cs="Times New Roman"/>
          <w:lang w:val="lt-LT"/>
        </w:rPr>
        <w:t>25 x 10</w:t>
      </w:r>
      <w:r w:rsidRPr="00300AED">
        <w:rPr>
          <w:rFonts w:ascii="Times New Roman" w:hAnsi="Times New Roman" w:cs="Times New Roman"/>
          <w:vertAlign w:val="superscript"/>
          <w:lang w:val="lt-LT"/>
        </w:rPr>
        <w:t>6</w:t>
      </w:r>
      <w:r w:rsidRPr="00AB7860">
        <w:rPr>
          <w:rFonts w:ascii="Times New Roman" w:hAnsi="Times New Roman" w:cs="Times New Roman"/>
          <w:lang w:val="lt-LT"/>
        </w:rPr>
        <w:t xml:space="preserve"> TV per savaitę (vidurinė gydymo trukmė 14 mėnesių), visiems jiems buvo vėlyvoji lėtinė</w:t>
      </w:r>
    </w:p>
    <w:p w14:paraId="2A6B8BFA"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ligos fazė, vidutinė ligos trukmė nuo diagnozės patvirtinimo – 32 mėnesiai. Svarbiausias tyrimo</w:t>
      </w:r>
    </w:p>
    <w:p w14:paraId="7AE5AE50"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efektyvumo kintamasis buvo didžiojo citogenetinio atsako (visiško ir dalinio atsako, 0–35 % Ph+</w:t>
      </w:r>
    </w:p>
    <w:p w14:paraId="585D319D" w14:textId="77777777" w:rsidR="007F4C21" w:rsidRPr="00AB7860" w:rsidRDefault="007F4C21" w:rsidP="007F4C21">
      <w:pPr>
        <w:spacing w:after="0" w:line="240" w:lineRule="auto"/>
        <w:rPr>
          <w:rFonts w:ascii="Times New Roman" w:hAnsi="Times New Roman" w:cs="Times New Roman"/>
          <w:lang w:val="lt-LT"/>
        </w:rPr>
      </w:pPr>
      <w:r w:rsidRPr="00AB7860">
        <w:rPr>
          <w:rFonts w:ascii="Times New Roman" w:hAnsi="Times New Roman" w:cs="Times New Roman"/>
          <w:lang w:val="lt-LT"/>
        </w:rPr>
        <w:t>metafazių kaulų čiulpuose) dažnis.</w:t>
      </w:r>
    </w:p>
    <w:p w14:paraId="0A454C4C" w14:textId="77777777" w:rsidR="007F4C21" w:rsidRPr="00AB7860" w:rsidRDefault="007F4C21" w:rsidP="00241E20">
      <w:pPr>
        <w:spacing w:after="0" w:line="240" w:lineRule="auto"/>
        <w:rPr>
          <w:rFonts w:ascii="Times New Roman" w:hAnsi="Times New Roman" w:cs="Times New Roman"/>
          <w:lang w:val="lt-LT"/>
        </w:rPr>
      </w:pPr>
    </w:p>
    <w:p w14:paraId="1F8CC78B"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Šio tyrimo metu 65 % pacientų gautas didysis citogenetinis atsakas: visiškas – 53 % (patvirtintas</w:t>
      </w:r>
    </w:p>
    <w:p w14:paraId="76CFE15B" w14:textId="77777777" w:rsidR="007F4C21" w:rsidRPr="00AB7860" w:rsidRDefault="007F4C21" w:rsidP="007F4C21">
      <w:pPr>
        <w:spacing w:after="0" w:line="240" w:lineRule="auto"/>
        <w:rPr>
          <w:rFonts w:ascii="Times New Roman" w:hAnsi="Times New Roman" w:cs="Times New Roman"/>
          <w:lang w:val="lt-LT"/>
        </w:rPr>
      </w:pPr>
      <w:r w:rsidRPr="00AB7860">
        <w:rPr>
          <w:rFonts w:ascii="Times New Roman" w:hAnsi="Times New Roman" w:cs="Times New Roman"/>
          <w:lang w:val="lt-LT"/>
        </w:rPr>
        <w:t>43 %) pacientų (3 lentelė). Visiškas hematologinis atsakas gautas 95 % pacientų.</w:t>
      </w:r>
    </w:p>
    <w:p w14:paraId="2005534D" w14:textId="77777777" w:rsidR="007F4C21" w:rsidRPr="00AB7860" w:rsidRDefault="007F4C21" w:rsidP="00241E20">
      <w:pPr>
        <w:spacing w:after="0" w:line="240" w:lineRule="auto"/>
        <w:rPr>
          <w:rFonts w:ascii="Times New Roman" w:hAnsi="Times New Roman" w:cs="Times New Roman"/>
          <w:lang w:val="lt-LT"/>
        </w:rPr>
      </w:pPr>
    </w:p>
    <w:p w14:paraId="0759728A"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i/>
          <w:iCs/>
          <w:lang w:val="lt-LT"/>
        </w:rPr>
        <w:t>Akceleracijos fazė</w:t>
      </w:r>
      <w:r w:rsidRPr="00AB7860">
        <w:rPr>
          <w:rFonts w:ascii="Times New Roman" w:hAnsi="Times New Roman" w:cs="Times New Roman"/>
          <w:lang w:val="lt-LT"/>
        </w:rPr>
        <w:t>. Tyrime dalyvavo 235 suaug</w:t>
      </w:r>
      <w:r w:rsidR="00AB7860">
        <w:rPr>
          <w:rFonts w:ascii="Times New Roman" w:hAnsi="Times New Roman" w:cs="Times New Roman"/>
          <w:lang w:val="lt-LT"/>
        </w:rPr>
        <w:t>ę</w:t>
      </w:r>
      <w:r w:rsidRPr="00AB7860">
        <w:rPr>
          <w:rFonts w:ascii="Times New Roman" w:hAnsi="Times New Roman" w:cs="Times New Roman"/>
          <w:lang w:val="lt-LT"/>
        </w:rPr>
        <w:t xml:space="preserve"> pacientai, kuriems buvo ligos akceleracijos fazė.</w:t>
      </w:r>
    </w:p>
    <w:p w14:paraId="0D8BC924"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Pirmieji 77 pacientai buvo pradėti gydyti 400 mg doze, paskui protokolas buvo papildytas, ir kitiems</w:t>
      </w:r>
    </w:p>
    <w:p w14:paraId="46B0159D"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158 pacientams leista vartoti pradinę 600 mg dozę.</w:t>
      </w:r>
    </w:p>
    <w:p w14:paraId="6C39EFF7"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Svarbiausias veiksmingumo kintamasis buvo hematologinio atsako, apibūdinamo visišku</w:t>
      </w:r>
    </w:p>
    <w:p w14:paraId="05B7BEF6"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hematologiniu atsaku, išnykusiais leukemijos požymiais (t. y. išnykusiais blastais iš kaulų čiulpų ir</w:t>
      </w:r>
    </w:p>
    <w:p w14:paraId="752589F4"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kraujo, bet nevisiškai atsigavusiam periferiniam kraujui kaip esant visiškam atsakui) ar grįžimu į lėtinę</w:t>
      </w:r>
    </w:p>
    <w:p w14:paraId="3C2A4463"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LML fazę, dažnis. Visiškas hematologinis atsakas patvirtintas 71,5 % pacientų (3 lentelė). Svarbu tai,</w:t>
      </w:r>
    </w:p>
    <w:p w14:paraId="3C8E4F6D"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kad 27,7 % tiriamųjų gautas didysis citogenetinis atsakas, kuris visiškas buvo 20,4 % (patvirtintas</w:t>
      </w:r>
    </w:p>
    <w:p w14:paraId="3A89CAAF" w14:textId="77777777" w:rsidR="007F4C21" w:rsidRPr="00AB7860" w:rsidRDefault="007F4C21" w:rsidP="007F4C21">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16 %). Pacientams, gydytiems 600 mg doze, nustatyta išgyvenamumo be ligos progresavimo ir bendro</w:t>
      </w:r>
    </w:p>
    <w:p w14:paraId="53317D5B" w14:textId="77777777" w:rsidR="007F4C21" w:rsidRPr="00AB7860" w:rsidRDefault="007F4C21" w:rsidP="007F4C21">
      <w:pPr>
        <w:spacing w:after="0" w:line="240" w:lineRule="auto"/>
        <w:rPr>
          <w:rFonts w:ascii="Times New Roman" w:hAnsi="Times New Roman" w:cs="Times New Roman"/>
          <w:lang w:val="lt-LT"/>
        </w:rPr>
      </w:pPr>
      <w:r w:rsidRPr="00AB7860">
        <w:rPr>
          <w:rFonts w:ascii="Times New Roman" w:hAnsi="Times New Roman" w:cs="Times New Roman"/>
          <w:lang w:val="lt-LT"/>
        </w:rPr>
        <w:t>išgyvenamumo mediana buvo atitinkamai 22,9 ir 42,5 mėnesių.</w:t>
      </w:r>
    </w:p>
    <w:p w14:paraId="2CA2E779" w14:textId="77777777" w:rsidR="007F4C21" w:rsidRPr="00AB7860" w:rsidRDefault="007F4C21" w:rsidP="00241E20">
      <w:pPr>
        <w:spacing w:after="0" w:line="240" w:lineRule="auto"/>
        <w:rPr>
          <w:rFonts w:ascii="Times New Roman" w:hAnsi="Times New Roman" w:cs="Times New Roman"/>
          <w:lang w:val="lt-LT"/>
        </w:rPr>
      </w:pPr>
    </w:p>
    <w:p w14:paraId="0096D78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Mieloblastinė krizė</w:t>
      </w:r>
      <w:r w:rsidRPr="00AB7860">
        <w:rPr>
          <w:rFonts w:ascii="Times New Roman" w:hAnsi="Times New Roman" w:cs="Times New Roman"/>
          <w:lang w:val="lt-LT"/>
        </w:rPr>
        <w:t xml:space="preserve"> </w:t>
      </w:r>
    </w:p>
    <w:p w14:paraId="35D68C2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Tyrime dalyvavo 260 pacientų, kuriems buvo mieloblastinė krizė. 95 (37 %) pacientai anksčiau gavo chemoterapiją dėl akceleracijos fazės ar blastinės krizės (“anksčiau gydyti pacientai”) ir 165 (63 %) negydyti (“negydyti pacientai”). Pirmieji 37 pacientai pradėti gydyti 400 mg doze. Paskui protokolas buvo papildytas, kad galima būtų skirti didesnę dozę, taigi kiti 223 pacientai buvo pradėti gydyti 600 mg doze.</w:t>
      </w:r>
    </w:p>
    <w:p w14:paraId="02CBFD5B" w14:textId="77777777" w:rsidR="00173803" w:rsidRPr="00AB7860" w:rsidRDefault="00173803" w:rsidP="00173803">
      <w:pPr>
        <w:spacing w:after="0" w:line="240" w:lineRule="auto"/>
        <w:rPr>
          <w:rFonts w:ascii="Times New Roman" w:hAnsi="Times New Roman" w:cs="Times New Roman"/>
          <w:lang w:val="lt-LT"/>
        </w:rPr>
      </w:pPr>
    </w:p>
    <w:p w14:paraId="66C33FA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Svarbiausias veiksmingumo kintamasis buvo hematologinio atsako, apibūdinamo visišku hematologiniu atsaku, išnykusia leukemija  ar grįžimu į lėtinę LML fazę, dažnis. Šio tyrimo metu hematologinis atsakas </w:t>
      </w:r>
      <w:r w:rsidRPr="00AB7860">
        <w:rPr>
          <w:rFonts w:ascii="Times New Roman" w:hAnsi="Times New Roman" w:cs="Times New Roman"/>
          <w:lang w:val="lt-LT"/>
        </w:rPr>
        <w:lastRenderedPageBreak/>
        <w:t>gautas 31 % pacientų (36 % – anksčiau negydytiems ir 22 % – anksčiau gydytiems). Atsako dažnis taip pat buvo didesnis pacientams, gydytiems 600 mg doze (33 %), lyginant su gydytais 400 mg doze (16 %, p=0,0220). Nustatyta vidutinė anksčiau negydytų ir anksčiau gydytų pacientų išgyvenamumo trukmė buvo atitinkamai 7,7 mėn. ir 4,7 mėn.</w:t>
      </w:r>
    </w:p>
    <w:p w14:paraId="6B6EFC2F" w14:textId="77777777" w:rsidR="00173803" w:rsidRPr="00AB7860" w:rsidRDefault="00173803" w:rsidP="00173803">
      <w:pPr>
        <w:spacing w:after="0" w:line="240" w:lineRule="auto"/>
        <w:rPr>
          <w:rFonts w:ascii="Times New Roman" w:hAnsi="Times New Roman" w:cs="Times New Roman"/>
          <w:lang w:val="lt-LT"/>
        </w:rPr>
      </w:pPr>
    </w:p>
    <w:p w14:paraId="1BCD7F3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Limfoblastinė krizė</w:t>
      </w:r>
      <w:r w:rsidRPr="00AB7860">
        <w:rPr>
          <w:rFonts w:ascii="Times New Roman" w:hAnsi="Times New Roman" w:cs="Times New Roman"/>
          <w:lang w:val="lt-LT"/>
        </w:rPr>
        <w:t xml:space="preserve"> </w:t>
      </w:r>
    </w:p>
    <w:p w14:paraId="35969A2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Nedaug (n=10) pacientų buvo įtraukta į I fazės tyrimą. Hematologinio atsako dažnis buvo 70 %, o jo trukmė – 2–3 mėnesiai.</w:t>
      </w:r>
    </w:p>
    <w:p w14:paraId="6DA3B775" w14:textId="77777777" w:rsidR="00173803" w:rsidRPr="00AB7860" w:rsidRDefault="00173803" w:rsidP="00173803">
      <w:pPr>
        <w:spacing w:after="0" w:line="240" w:lineRule="auto"/>
        <w:rPr>
          <w:rFonts w:ascii="Times New Roman" w:hAnsi="Times New Roman" w:cs="Times New Roman"/>
          <w:b/>
          <w:color w:val="000000"/>
        </w:rPr>
      </w:pPr>
    </w:p>
    <w:p w14:paraId="3CC1EAAE" w14:textId="77777777" w:rsidR="00173803" w:rsidRPr="00AB7860" w:rsidRDefault="00172FB4" w:rsidP="00173803">
      <w:pPr>
        <w:spacing w:after="0" w:line="240" w:lineRule="auto"/>
        <w:rPr>
          <w:rFonts w:ascii="Times New Roman" w:hAnsi="Times New Roman" w:cs="Times New Roman"/>
          <w:b/>
          <w:bCs/>
          <w:color w:val="000000"/>
        </w:rPr>
      </w:pPr>
      <w:r w:rsidRPr="00AB7860">
        <w:rPr>
          <w:rFonts w:ascii="Times New Roman" w:hAnsi="Times New Roman" w:cs="Times New Roman"/>
          <w:b/>
          <w:bCs/>
          <w:color w:val="000000"/>
        </w:rPr>
        <w:t>3</w:t>
      </w:r>
      <w:r w:rsidR="00173803" w:rsidRPr="00AB7860">
        <w:rPr>
          <w:rFonts w:ascii="Times New Roman" w:hAnsi="Times New Roman" w:cs="Times New Roman"/>
          <w:b/>
          <w:color w:val="000000"/>
        </w:rPr>
        <w:t xml:space="preserve"> lentelė</w:t>
      </w:r>
      <w:r w:rsidR="00173803" w:rsidRPr="00AB7860">
        <w:rPr>
          <w:rFonts w:ascii="Times New Roman" w:hAnsi="Times New Roman" w:cs="Times New Roman"/>
          <w:b/>
          <w:bCs/>
          <w:color w:val="000000"/>
        </w:rPr>
        <w:t xml:space="preserve"> </w:t>
      </w:r>
      <w:r w:rsidR="00173803" w:rsidRPr="00AB7860">
        <w:rPr>
          <w:rFonts w:ascii="Times New Roman" w:hAnsi="Times New Roman" w:cs="Times New Roman"/>
          <w:b/>
          <w:color w:val="000000"/>
        </w:rPr>
        <w:tab/>
        <w:t>LML tyrimų suaugusiųjų tarpe</w:t>
      </w:r>
      <w:r w:rsidR="00173803" w:rsidRPr="00AB7860">
        <w:rPr>
          <w:rFonts w:ascii="Times New Roman" w:hAnsi="Times New Roman" w:cs="Times New Roman"/>
          <w:b/>
          <w:bCs/>
          <w:color w:val="000000"/>
        </w:rPr>
        <w:t xml:space="preserve"> atsakas</w:t>
      </w:r>
    </w:p>
    <w:tbl>
      <w:tblPr>
        <w:tblStyle w:val="Lentelstinklelis"/>
        <w:tblW w:w="0" w:type="auto"/>
        <w:tblLook w:val="04A0" w:firstRow="1" w:lastRow="0" w:firstColumn="1" w:lastColumn="0" w:noHBand="0" w:noVBand="1"/>
      </w:tblPr>
      <w:tblGrid>
        <w:gridCol w:w="3014"/>
        <w:gridCol w:w="1954"/>
        <w:gridCol w:w="2079"/>
        <w:gridCol w:w="2347"/>
      </w:tblGrid>
      <w:tr w:rsidR="00172FB4" w:rsidRPr="00AB7860" w14:paraId="3E7CEE8E" w14:textId="77777777" w:rsidTr="00BA7D11">
        <w:tc>
          <w:tcPr>
            <w:tcW w:w="3085" w:type="dxa"/>
          </w:tcPr>
          <w:p w14:paraId="7654F3B1" w14:textId="77777777" w:rsidR="00172FB4" w:rsidRPr="006F4F46" w:rsidRDefault="00172FB4" w:rsidP="00173803">
            <w:pPr>
              <w:spacing w:after="0" w:line="240" w:lineRule="auto"/>
              <w:rPr>
                <w:b/>
                <w:color w:val="000000"/>
                <w:sz w:val="22"/>
                <w:szCs w:val="22"/>
              </w:rPr>
            </w:pPr>
          </w:p>
        </w:tc>
        <w:tc>
          <w:tcPr>
            <w:tcW w:w="1985" w:type="dxa"/>
          </w:tcPr>
          <w:p w14:paraId="3415CF61"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Tyrimas 0110</w:t>
            </w:r>
          </w:p>
          <w:p w14:paraId="43C17C4D"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37 mėnesių</w:t>
            </w:r>
          </w:p>
          <w:p w14:paraId="70CA7B6C"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duomenys</w:t>
            </w:r>
          </w:p>
          <w:p w14:paraId="22EDDC31"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Lėtinė fazė,</w:t>
            </w:r>
          </w:p>
          <w:p w14:paraId="1A250451"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nesėkmingas</w:t>
            </w:r>
          </w:p>
          <w:p w14:paraId="192359F7"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gydymas IFN</w:t>
            </w:r>
          </w:p>
          <w:p w14:paraId="7C3F1798" w14:textId="77777777" w:rsidR="00172FB4" w:rsidRPr="006F4F46" w:rsidRDefault="00172FB4" w:rsidP="00BA7D11">
            <w:pPr>
              <w:spacing w:after="0" w:line="240" w:lineRule="auto"/>
              <w:jc w:val="center"/>
              <w:rPr>
                <w:b/>
                <w:color w:val="000000"/>
                <w:sz w:val="22"/>
                <w:szCs w:val="22"/>
              </w:rPr>
            </w:pPr>
            <w:r w:rsidRPr="006F4F46">
              <w:rPr>
                <w:sz w:val="22"/>
                <w:szCs w:val="22"/>
                <w:lang w:val="lt-LT"/>
              </w:rPr>
              <w:t>(n = 532)</w:t>
            </w:r>
          </w:p>
        </w:tc>
        <w:tc>
          <w:tcPr>
            <w:tcW w:w="2112" w:type="dxa"/>
          </w:tcPr>
          <w:p w14:paraId="1B790B45"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Tyrimas 0109</w:t>
            </w:r>
          </w:p>
          <w:p w14:paraId="0DB22305"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40,5 mėnesių</w:t>
            </w:r>
          </w:p>
          <w:p w14:paraId="05F63F33"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duomenys</w:t>
            </w:r>
          </w:p>
          <w:p w14:paraId="52E34CD6"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Akceleracijos fazė</w:t>
            </w:r>
          </w:p>
          <w:p w14:paraId="75078841" w14:textId="77777777" w:rsidR="00172FB4" w:rsidRPr="006F4F46" w:rsidRDefault="00172FB4" w:rsidP="00BA7D11">
            <w:pPr>
              <w:spacing w:after="0" w:line="240" w:lineRule="auto"/>
              <w:jc w:val="center"/>
              <w:rPr>
                <w:b/>
                <w:color w:val="000000"/>
                <w:sz w:val="22"/>
                <w:szCs w:val="22"/>
              </w:rPr>
            </w:pPr>
            <w:r w:rsidRPr="006F4F46">
              <w:rPr>
                <w:sz w:val="22"/>
                <w:szCs w:val="22"/>
                <w:lang w:val="lt-LT"/>
              </w:rPr>
              <w:t>(n = 235)</w:t>
            </w:r>
          </w:p>
        </w:tc>
        <w:tc>
          <w:tcPr>
            <w:tcW w:w="2394" w:type="dxa"/>
          </w:tcPr>
          <w:p w14:paraId="3D030FA3"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Tyrimas 0102</w:t>
            </w:r>
          </w:p>
          <w:p w14:paraId="397BBAF4"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38 mėnesių</w:t>
            </w:r>
          </w:p>
          <w:p w14:paraId="5ABFFB34"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duomenys</w:t>
            </w:r>
          </w:p>
          <w:p w14:paraId="1214EE8F" w14:textId="77777777" w:rsidR="00172FB4" w:rsidRPr="006F4F46" w:rsidRDefault="00172FB4" w:rsidP="00BA7D11">
            <w:pPr>
              <w:autoSpaceDE w:val="0"/>
              <w:autoSpaceDN w:val="0"/>
              <w:adjustRightInd w:val="0"/>
              <w:spacing w:after="0" w:line="240" w:lineRule="auto"/>
              <w:jc w:val="center"/>
              <w:rPr>
                <w:sz w:val="22"/>
                <w:szCs w:val="22"/>
                <w:lang w:val="lt-LT"/>
              </w:rPr>
            </w:pPr>
            <w:r w:rsidRPr="006F4F46">
              <w:rPr>
                <w:sz w:val="22"/>
                <w:szCs w:val="22"/>
                <w:lang w:val="lt-LT"/>
              </w:rPr>
              <w:t>Mieloblastinė krizė</w:t>
            </w:r>
          </w:p>
          <w:p w14:paraId="4810904E" w14:textId="77777777" w:rsidR="00172FB4" w:rsidRPr="006F4F46" w:rsidRDefault="00172FB4" w:rsidP="00BA7D11">
            <w:pPr>
              <w:spacing w:after="0" w:line="240" w:lineRule="auto"/>
              <w:jc w:val="center"/>
              <w:rPr>
                <w:b/>
                <w:color w:val="000000"/>
                <w:sz w:val="22"/>
                <w:szCs w:val="22"/>
              </w:rPr>
            </w:pPr>
            <w:r w:rsidRPr="006F4F46">
              <w:rPr>
                <w:sz w:val="22"/>
                <w:szCs w:val="22"/>
                <w:lang w:val="lt-LT"/>
              </w:rPr>
              <w:t>(n = 260)</w:t>
            </w:r>
          </w:p>
        </w:tc>
      </w:tr>
      <w:tr w:rsidR="00172FB4" w:rsidRPr="00AB7860" w14:paraId="66529577" w14:textId="77777777" w:rsidTr="000909FB">
        <w:tc>
          <w:tcPr>
            <w:tcW w:w="9576" w:type="dxa"/>
            <w:gridSpan w:val="4"/>
          </w:tcPr>
          <w:p w14:paraId="59D89ED7" w14:textId="77777777" w:rsidR="00172FB4" w:rsidRPr="00AB7860" w:rsidRDefault="00172FB4" w:rsidP="00BA7D11">
            <w:pPr>
              <w:spacing w:after="0" w:line="240" w:lineRule="auto"/>
              <w:jc w:val="center"/>
              <w:rPr>
                <w:b/>
                <w:color w:val="000000"/>
                <w:sz w:val="22"/>
                <w:szCs w:val="22"/>
              </w:rPr>
            </w:pPr>
            <w:r w:rsidRPr="00AB7860">
              <w:rPr>
                <w:b/>
                <w:color w:val="000000"/>
                <w:sz w:val="22"/>
                <w:szCs w:val="22"/>
              </w:rPr>
              <w:t xml:space="preserve">                                             </w:t>
            </w:r>
            <w:r w:rsidRPr="00AB7860">
              <w:rPr>
                <w:sz w:val="22"/>
                <w:szCs w:val="22"/>
                <w:lang w:val="lt-LT"/>
              </w:rPr>
              <w:t>% pacientų (PI95 %)</w:t>
            </w:r>
          </w:p>
        </w:tc>
      </w:tr>
      <w:tr w:rsidR="00172FB4" w:rsidRPr="006F4F46" w14:paraId="0C4ECAF1" w14:textId="77777777" w:rsidTr="00BA7D11">
        <w:tc>
          <w:tcPr>
            <w:tcW w:w="3085" w:type="dxa"/>
          </w:tcPr>
          <w:p w14:paraId="093CDDA3" w14:textId="77777777" w:rsidR="00172FB4" w:rsidRPr="006F4F46" w:rsidRDefault="00172FB4" w:rsidP="00DB798C">
            <w:pPr>
              <w:spacing w:after="0" w:line="240" w:lineRule="auto"/>
              <w:ind w:left="142" w:hanging="142"/>
              <w:rPr>
                <w:sz w:val="22"/>
                <w:szCs w:val="22"/>
                <w:lang w:val="lt-LT"/>
              </w:rPr>
            </w:pPr>
            <w:r w:rsidRPr="006F4F46">
              <w:rPr>
                <w:sz w:val="22"/>
                <w:szCs w:val="22"/>
                <w:lang w:val="lt-LT"/>
              </w:rPr>
              <w:t>Hematologinis atsakas</w:t>
            </w:r>
            <w:r w:rsidR="00FC615E" w:rsidRPr="006F4F46">
              <w:rPr>
                <w:sz w:val="22"/>
                <w:szCs w:val="22"/>
                <w:lang w:val="lt-LT"/>
              </w:rPr>
              <w:t xml:space="preserve">   </w:t>
            </w:r>
            <w:r w:rsidRPr="00300AED">
              <w:rPr>
                <w:sz w:val="22"/>
                <w:szCs w:val="22"/>
                <w:lang w:val="lt-LT"/>
              </w:rPr>
              <w:t>Visiškas hematologinis atsakas</w:t>
            </w:r>
            <w:r w:rsidR="00DB798C" w:rsidRPr="006F4F46">
              <w:rPr>
                <w:lang w:val="lt-LT"/>
              </w:rPr>
              <w:t xml:space="preserve"> </w:t>
            </w:r>
            <w:r w:rsidRPr="006F4F46">
              <w:rPr>
                <w:lang w:val="lt-LT"/>
              </w:rPr>
              <w:t>(VHA)</w:t>
            </w:r>
          </w:p>
          <w:p w14:paraId="7F0F5CCD" w14:textId="77777777" w:rsidR="00172FB4" w:rsidRPr="006F4F46" w:rsidRDefault="00172FB4" w:rsidP="00BA7D11">
            <w:pPr>
              <w:spacing w:after="0" w:line="240" w:lineRule="auto"/>
              <w:ind w:left="142"/>
              <w:rPr>
                <w:sz w:val="22"/>
                <w:szCs w:val="22"/>
                <w:lang w:val="lt-LT"/>
              </w:rPr>
            </w:pPr>
            <w:r w:rsidRPr="006F4F46">
              <w:rPr>
                <w:lang w:val="lt-LT"/>
              </w:rPr>
              <w:t>Išnykusi leukemija (NEL)</w:t>
            </w:r>
          </w:p>
          <w:p w14:paraId="0B681338" w14:textId="77777777" w:rsidR="00172FB4" w:rsidRPr="004C04CC" w:rsidRDefault="00172FB4" w:rsidP="00BA7D11">
            <w:pPr>
              <w:spacing w:after="0" w:line="240" w:lineRule="auto"/>
              <w:ind w:firstLine="142"/>
              <w:rPr>
                <w:b/>
                <w:color w:val="000000"/>
                <w:sz w:val="22"/>
                <w:szCs w:val="22"/>
                <w:lang w:val="lt-LT"/>
              </w:rPr>
            </w:pPr>
            <w:r w:rsidRPr="006F4F46">
              <w:rPr>
                <w:lang w:val="lt-LT"/>
              </w:rPr>
              <w:t>Grįžimas į lėtinę fazę (GLF)</w:t>
            </w:r>
          </w:p>
        </w:tc>
        <w:tc>
          <w:tcPr>
            <w:tcW w:w="1985" w:type="dxa"/>
          </w:tcPr>
          <w:p w14:paraId="32B610CE" w14:textId="77777777" w:rsidR="00172FB4" w:rsidRPr="006F4F46" w:rsidRDefault="00172FB4" w:rsidP="00BA7D11">
            <w:pPr>
              <w:spacing w:after="0" w:line="240" w:lineRule="auto"/>
              <w:jc w:val="center"/>
              <w:rPr>
                <w:sz w:val="22"/>
                <w:szCs w:val="22"/>
                <w:lang w:val="lt-LT"/>
              </w:rPr>
            </w:pPr>
            <w:r w:rsidRPr="006F4F46">
              <w:rPr>
                <w:lang w:val="lt-LT"/>
              </w:rPr>
              <w:t>95 % (92,3–96,3)</w:t>
            </w:r>
          </w:p>
          <w:p w14:paraId="0DAF70ED" w14:textId="77777777" w:rsidR="00172FB4" w:rsidRPr="006F4F46" w:rsidRDefault="00172FB4" w:rsidP="00BA7D11">
            <w:pPr>
              <w:spacing w:after="0" w:line="240" w:lineRule="auto"/>
              <w:jc w:val="center"/>
              <w:rPr>
                <w:sz w:val="22"/>
                <w:szCs w:val="22"/>
                <w:lang w:val="lt-LT"/>
              </w:rPr>
            </w:pPr>
            <w:r w:rsidRPr="006F4F46">
              <w:rPr>
                <w:lang w:val="lt-LT"/>
              </w:rPr>
              <w:t>95 %</w:t>
            </w:r>
          </w:p>
          <w:p w14:paraId="1E8BEF85" w14:textId="77777777" w:rsidR="00172FB4" w:rsidRPr="006F4F46" w:rsidRDefault="00172FB4" w:rsidP="00BA7D11">
            <w:pPr>
              <w:spacing w:after="0" w:line="240" w:lineRule="auto"/>
              <w:jc w:val="center"/>
              <w:rPr>
                <w:sz w:val="22"/>
                <w:szCs w:val="22"/>
                <w:lang w:val="lt-LT"/>
              </w:rPr>
            </w:pPr>
          </w:p>
          <w:p w14:paraId="7970765D" w14:textId="77777777" w:rsidR="00172FB4" w:rsidRPr="006F4F46" w:rsidRDefault="00172FB4" w:rsidP="00BA7D11">
            <w:pPr>
              <w:spacing w:after="0" w:line="240" w:lineRule="auto"/>
              <w:jc w:val="center"/>
              <w:rPr>
                <w:sz w:val="22"/>
                <w:szCs w:val="22"/>
                <w:lang w:val="lt-LT"/>
              </w:rPr>
            </w:pPr>
            <w:r w:rsidRPr="006F4F46">
              <w:rPr>
                <w:lang w:val="lt-LT"/>
              </w:rPr>
              <w:t>Nepateikiama</w:t>
            </w:r>
          </w:p>
          <w:p w14:paraId="6A79BEB3" w14:textId="77777777" w:rsidR="00172FB4" w:rsidRPr="006F4F46" w:rsidRDefault="00FC615E" w:rsidP="00BA7D11">
            <w:pPr>
              <w:spacing w:after="0" w:line="240" w:lineRule="auto"/>
              <w:jc w:val="center"/>
              <w:rPr>
                <w:sz w:val="22"/>
                <w:szCs w:val="22"/>
                <w:lang w:val="lt-LT"/>
              </w:rPr>
            </w:pPr>
            <w:r w:rsidRPr="006F4F46">
              <w:rPr>
                <w:lang w:val="lt-LT"/>
              </w:rPr>
              <w:t>Nepateikiama</w:t>
            </w:r>
          </w:p>
        </w:tc>
        <w:tc>
          <w:tcPr>
            <w:tcW w:w="2112" w:type="dxa"/>
          </w:tcPr>
          <w:p w14:paraId="5B95CF0A" w14:textId="77777777" w:rsidR="00172FB4" w:rsidRPr="006F4F46" w:rsidRDefault="00FC615E" w:rsidP="00BA7D11">
            <w:pPr>
              <w:spacing w:after="0" w:line="240" w:lineRule="auto"/>
              <w:jc w:val="center"/>
              <w:rPr>
                <w:sz w:val="22"/>
                <w:szCs w:val="22"/>
                <w:lang w:val="lt-LT"/>
              </w:rPr>
            </w:pPr>
            <w:r w:rsidRPr="006F4F46">
              <w:rPr>
                <w:lang w:val="lt-LT"/>
              </w:rPr>
              <w:t>71 % (65,3–77,2)</w:t>
            </w:r>
          </w:p>
          <w:p w14:paraId="1D348FB2" w14:textId="77777777" w:rsidR="00FC615E" w:rsidRPr="006F4F46" w:rsidRDefault="00FC615E" w:rsidP="00BA7D11">
            <w:pPr>
              <w:spacing w:after="0" w:line="240" w:lineRule="auto"/>
              <w:jc w:val="center"/>
              <w:rPr>
                <w:sz w:val="22"/>
                <w:szCs w:val="22"/>
                <w:lang w:val="lt-LT"/>
              </w:rPr>
            </w:pPr>
            <w:r w:rsidRPr="006F4F46">
              <w:rPr>
                <w:lang w:val="lt-LT"/>
              </w:rPr>
              <w:t>42 %</w:t>
            </w:r>
          </w:p>
          <w:p w14:paraId="04796A12" w14:textId="77777777" w:rsidR="00FC615E" w:rsidRPr="006F4F46" w:rsidRDefault="00FC615E" w:rsidP="00BA7D11">
            <w:pPr>
              <w:spacing w:after="0" w:line="240" w:lineRule="auto"/>
              <w:jc w:val="center"/>
              <w:rPr>
                <w:sz w:val="22"/>
                <w:szCs w:val="22"/>
                <w:lang w:val="lt-LT"/>
              </w:rPr>
            </w:pPr>
          </w:p>
          <w:p w14:paraId="40E6F62D" w14:textId="77777777" w:rsidR="00FC615E" w:rsidRPr="006F4F46" w:rsidRDefault="00FC615E" w:rsidP="00BA7D11">
            <w:pPr>
              <w:spacing w:after="0" w:line="240" w:lineRule="auto"/>
              <w:jc w:val="center"/>
              <w:rPr>
                <w:sz w:val="22"/>
                <w:szCs w:val="22"/>
                <w:lang w:val="lt-LT"/>
              </w:rPr>
            </w:pPr>
            <w:r w:rsidRPr="006F4F46">
              <w:rPr>
                <w:lang w:val="lt-LT"/>
              </w:rPr>
              <w:t>12 %</w:t>
            </w:r>
          </w:p>
          <w:p w14:paraId="777EFAAE" w14:textId="77777777" w:rsidR="00FC615E" w:rsidRPr="006F4F46" w:rsidRDefault="00FC615E" w:rsidP="00BA7D11">
            <w:pPr>
              <w:spacing w:after="0" w:line="240" w:lineRule="auto"/>
              <w:jc w:val="center"/>
              <w:rPr>
                <w:b/>
                <w:color w:val="000000"/>
                <w:sz w:val="22"/>
                <w:szCs w:val="22"/>
              </w:rPr>
            </w:pPr>
            <w:r w:rsidRPr="006F4F46">
              <w:rPr>
                <w:lang w:val="lt-LT"/>
              </w:rPr>
              <w:t>17 %</w:t>
            </w:r>
          </w:p>
        </w:tc>
        <w:tc>
          <w:tcPr>
            <w:tcW w:w="2394" w:type="dxa"/>
          </w:tcPr>
          <w:p w14:paraId="5D63D959" w14:textId="77777777" w:rsidR="00172FB4" w:rsidRPr="006F4F46" w:rsidRDefault="00FC615E" w:rsidP="00BA7D11">
            <w:pPr>
              <w:spacing w:after="0" w:line="240" w:lineRule="auto"/>
              <w:jc w:val="center"/>
              <w:rPr>
                <w:sz w:val="22"/>
                <w:szCs w:val="22"/>
                <w:lang w:val="lt-LT"/>
              </w:rPr>
            </w:pPr>
            <w:r w:rsidRPr="006F4F46">
              <w:rPr>
                <w:lang w:val="lt-LT"/>
              </w:rPr>
              <w:t>31 % (25,2–36,8)</w:t>
            </w:r>
          </w:p>
          <w:p w14:paraId="5A961A26" w14:textId="77777777" w:rsidR="00FC615E" w:rsidRPr="006F4F46" w:rsidRDefault="00FC615E" w:rsidP="00BA7D11">
            <w:pPr>
              <w:spacing w:after="0" w:line="240" w:lineRule="auto"/>
              <w:jc w:val="center"/>
              <w:rPr>
                <w:sz w:val="22"/>
                <w:szCs w:val="22"/>
                <w:lang w:val="lt-LT"/>
              </w:rPr>
            </w:pPr>
            <w:r w:rsidRPr="006F4F46">
              <w:rPr>
                <w:lang w:val="lt-LT"/>
              </w:rPr>
              <w:t>8 %</w:t>
            </w:r>
          </w:p>
          <w:p w14:paraId="4B761672" w14:textId="77777777" w:rsidR="00FC615E" w:rsidRPr="006F4F46" w:rsidRDefault="00FC615E" w:rsidP="00BA7D11">
            <w:pPr>
              <w:spacing w:after="0" w:line="240" w:lineRule="auto"/>
              <w:jc w:val="center"/>
              <w:rPr>
                <w:sz w:val="22"/>
                <w:szCs w:val="22"/>
                <w:lang w:val="lt-LT"/>
              </w:rPr>
            </w:pPr>
          </w:p>
          <w:p w14:paraId="0C47E9CF" w14:textId="77777777" w:rsidR="00FC615E" w:rsidRPr="006F4F46" w:rsidRDefault="00FC615E" w:rsidP="00BA7D11">
            <w:pPr>
              <w:spacing w:after="0" w:line="240" w:lineRule="auto"/>
              <w:jc w:val="center"/>
              <w:rPr>
                <w:sz w:val="22"/>
                <w:szCs w:val="22"/>
                <w:lang w:val="lt-LT"/>
              </w:rPr>
            </w:pPr>
            <w:r w:rsidRPr="006F4F46">
              <w:rPr>
                <w:lang w:val="lt-LT"/>
              </w:rPr>
              <w:t>5 %</w:t>
            </w:r>
          </w:p>
          <w:p w14:paraId="3DE16E3C" w14:textId="77777777" w:rsidR="00FC615E" w:rsidRPr="006F4F46" w:rsidRDefault="00FC615E" w:rsidP="00BA7D11">
            <w:pPr>
              <w:spacing w:after="0" w:line="240" w:lineRule="auto"/>
              <w:jc w:val="center"/>
              <w:rPr>
                <w:b/>
                <w:color w:val="000000"/>
                <w:sz w:val="22"/>
                <w:szCs w:val="22"/>
              </w:rPr>
            </w:pPr>
            <w:r w:rsidRPr="006F4F46">
              <w:rPr>
                <w:lang w:val="lt-LT"/>
              </w:rPr>
              <w:t>18 %</w:t>
            </w:r>
          </w:p>
        </w:tc>
      </w:tr>
      <w:tr w:rsidR="00172FB4" w:rsidRPr="00AB7860" w14:paraId="5F70625F" w14:textId="77777777" w:rsidTr="00BA7D11">
        <w:tc>
          <w:tcPr>
            <w:tcW w:w="3085" w:type="dxa"/>
          </w:tcPr>
          <w:p w14:paraId="45CC3C8B" w14:textId="77777777" w:rsidR="00172FB4" w:rsidRPr="006F4F46" w:rsidRDefault="00FC615E" w:rsidP="00173803">
            <w:pPr>
              <w:spacing w:after="0" w:line="240" w:lineRule="auto"/>
              <w:rPr>
                <w:sz w:val="22"/>
                <w:szCs w:val="22"/>
                <w:vertAlign w:val="superscript"/>
                <w:lang w:val="lt-LT"/>
              </w:rPr>
            </w:pPr>
            <w:r w:rsidRPr="006F4F46">
              <w:rPr>
                <w:lang w:val="lt-LT"/>
              </w:rPr>
              <w:t>Didysis citogenetinis atsakas</w:t>
            </w:r>
            <w:r w:rsidRPr="006F4F46">
              <w:rPr>
                <w:vertAlign w:val="superscript"/>
                <w:lang w:val="lt-LT"/>
              </w:rPr>
              <w:t>2</w:t>
            </w:r>
          </w:p>
          <w:p w14:paraId="473B74CA" w14:textId="77777777" w:rsidR="00FC615E" w:rsidRPr="006F4F46" w:rsidRDefault="00FC615E" w:rsidP="00BA7D11">
            <w:pPr>
              <w:spacing w:after="0" w:line="240" w:lineRule="auto"/>
              <w:ind w:left="142"/>
              <w:rPr>
                <w:sz w:val="22"/>
                <w:szCs w:val="22"/>
                <w:lang w:val="lt-LT"/>
              </w:rPr>
            </w:pPr>
            <w:r w:rsidRPr="006F4F46">
              <w:rPr>
                <w:sz w:val="22"/>
                <w:szCs w:val="22"/>
                <w:lang w:val="lt-LT"/>
              </w:rPr>
              <w:t>Visiškas</w:t>
            </w:r>
          </w:p>
          <w:p w14:paraId="4EFC507C" w14:textId="77777777" w:rsidR="00FC615E" w:rsidRPr="006F4F46" w:rsidRDefault="00FC615E" w:rsidP="00BA7D11">
            <w:pPr>
              <w:spacing w:after="0" w:line="240" w:lineRule="auto"/>
              <w:ind w:left="142"/>
              <w:rPr>
                <w:sz w:val="22"/>
                <w:szCs w:val="22"/>
                <w:lang w:val="lt-LT"/>
              </w:rPr>
            </w:pPr>
            <w:r w:rsidRPr="006F4F46">
              <w:rPr>
                <w:sz w:val="22"/>
                <w:szCs w:val="22"/>
                <w:lang w:val="lt-LT"/>
              </w:rPr>
              <w:t>(Patvirtintas</w:t>
            </w:r>
            <w:r w:rsidRPr="006F4F46">
              <w:rPr>
                <w:sz w:val="22"/>
                <w:szCs w:val="22"/>
                <w:vertAlign w:val="superscript"/>
                <w:lang w:val="lt-LT"/>
              </w:rPr>
              <w:t>3</w:t>
            </w:r>
            <w:r w:rsidRPr="006F4F46">
              <w:rPr>
                <w:sz w:val="22"/>
                <w:szCs w:val="22"/>
                <w:lang w:val="lt-LT"/>
              </w:rPr>
              <w:t>) [95 % PI]</w:t>
            </w:r>
          </w:p>
          <w:p w14:paraId="40A87C7D" w14:textId="77777777" w:rsidR="00FC615E" w:rsidRPr="006F4F46" w:rsidRDefault="00FC615E" w:rsidP="00BA7D11">
            <w:pPr>
              <w:spacing w:after="0" w:line="240" w:lineRule="auto"/>
              <w:ind w:left="142"/>
              <w:rPr>
                <w:b/>
                <w:color w:val="000000"/>
                <w:sz w:val="22"/>
                <w:szCs w:val="22"/>
              </w:rPr>
            </w:pPr>
            <w:r w:rsidRPr="006F4F46">
              <w:rPr>
                <w:sz w:val="22"/>
                <w:szCs w:val="22"/>
                <w:lang w:val="lt-LT"/>
              </w:rPr>
              <w:t>Dalinis</w:t>
            </w:r>
          </w:p>
        </w:tc>
        <w:tc>
          <w:tcPr>
            <w:tcW w:w="1985" w:type="dxa"/>
          </w:tcPr>
          <w:p w14:paraId="1ABCA047" w14:textId="77777777" w:rsidR="00172FB4" w:rsidRPr="006F4F46" w:rsidRDefault="00FC615E" w:rsidP="00BA7D11">
            <w:pPr>
              <w:spacing w:after="0" w:line="240" w:lineRule="auto"/>
              <w:jc w:val="center"/>
              <w:rPr>
                <w:sz w:val="22"/>
                <w:szCs w:val="22"/>
                <w:lang w:val="lt-LT"/>
              </w:rPr>
            </w:pPr>
            <w:r w:rsidRPr="006F4F46">
              <w:rPr>
                <w:sz w:val="22"/>
                <w:szCs w:val="22"/>
                <w:lang w:val="lt-LT"/>
              </w:rPr>
              <w:t>65 % (61,2–69,5)</w:t>
            </w:r>
          </w:p>
          <w:p w14:paraId="515D879A" w14:textId="77777777" w:rsidR="00FC615E" w:rsidRPr="006F4F46" w:rsidRDefault="00FC615E" w:rsidP="00BA7D11">
            <w:pPr>
              <w:spacing w:after="0" w:line="240" w:lineRule="auto"/>
              <w:jc w:val="center"/>
              <w:rPr>
                <w:sz w:val="22"/>
                <w:szCs w:val="22"/>
                <w:lang w:val="lt-LT"/>
              </w:rPr>
            </w:pPr>
            <w:r w:rsidRPr="006F4F46">
              <w:rPr>
                <w:sz w:val="22"/>
                <w:szCs w:val="22"/>
                <w:lang w:val="lt-LT"/>
              </w:rPr>
              <w:t>53 %</w:t>
            </w:r>
          </w:p>
          <w:p w14:paraId="0C28078C" w14:textId="77777777" w:rsidR="00FC615E" w:rsidRPr="006F4F46" w:rsidRDefault="00FC615E" w:rsidP="00BA7D11">
            <w:pPr>
              <w:spacing w:after="0" w:line="240" w:lineRule="auto"/>
              <w:jc w:val="center"/>
              <w:rPr>
                <w:sz w:val="22"/>
                <w:szCs w:val="22"/>
                <w:lang w:val="lt-LT"/>
              </w:rPr>
            </w:pPr>
            <w:r w:rsidRPr="006F4F46">
              <w:rPr>
                <w:sz w:val="22"/>
                <w:szCs w:val="22"/>
                <w:lang w:val="lt-LT"/>
              </w:rPr>
              <w:t>(43 %) [38,6–47,2]</w:t>
            </w:r>
          </w:p>
          <w:p w14:paraId="76B64F36" w14:textId="77777777" w:rsidR="00FC615E" w:rsidRPr="006F4F46" w:rsidRDefault="00FC615E" w:rsidP="00BA7D11">
            <w:pPr>
              <w:spacing w:after="0" w:line="240" w:lineRule="auto"/>
              <w:jc w:val="center"/>
              <w:rPr>
                <w:b/>
                <w:color w:val="000000"/>
                <w:sz w:val="22"/>
                <w:szCs w:val="22"/>
              </w:rPr>
            </w:pPr>
            <w:r w:rsidRPr="006F4F46">
              <w:rPr>
                <w:sz w:val="22"/>
                <w:szCs w:val="22"/>
                <w:lang w:val="lt-LT"/>
              </w:rPr>
              <w:t>12 %</w:t>
            </w:r>
          </w:p>
        </w:tc>
        <w:tc>
          <w:tcPr>
            <w:tcW w:w="2112" w:type="dxa"/>
          </w:tcPr>
          <w:p w14:paraId="4B09C427" w14:textId="77777777" w:rsidR="00172FB4" w:rsidRPr="006F4F46" w:rsidRDefault="00FC615E" w:rsidP="00BA7D11">
            <w:pPr>
              <w:spacing w:after="0" w:line="240" w:lineRule="auto"/>
              <w:jc w:val="center"/>
              <w:rPr>
                <w:sz w:val="22"/>
                <w:szCs w:val="22"/>
                <w:lang w:val="lt-LT"/>
              </w:rPr>
            </w:pPr>
            <w:r w:rsidRPr="006F4F46">
              <w:rPr>
                <w:sz w:val="22"/>
                <w:szCs w:val="22"/>
                <w:lang w:val="lt-LT"/>
              </w:rPr>
              <w:t>28 % (22,0–33,9)</w:t>
            </w:r>
          </w:p>
          <w:p w14:paraId="50B6D79F" w14:textId="77777777" w:rsidR="0004508A" w:rsidRPr="006F4F46" w:rsidRDefault="0004508A" w:rsidP="00BA7D11">
            <w:pPr>
              <w:spacing w:after="0" w:line="240" w:lineRule="auto"/>
              <w:jc w:val="center"/>
              <w:rPr>
                <w:sz w:val="22"/>
                <w:szCs w:val="22"/>
                <w:lang w:val="lt-LT"/>
              </w:rPr>
            </w:pPr>
            <w:r w:rsidRPr="006F4F46">
              <w:rPr>
                <w:sz w:val="22"/>
                <w:szCs w:val="22"/>
                <w:lang w:val="lt-LT"/>
              </w:rPr>
              <w:t>20 %</w:t>
            </w:r>
          </w:p>
          <w:p w14:paraId="117AC53B" w14:textId="77777777" w:rsidR="0004508A" w:rsidRPr="006F4F46" w:rsidRDefault="0004508A" w:rsidP="00BA7D11">
            <w:pPr>
              <w:spacing w:after="0" w:line="240" w:lineRule="auto"/>
              <w:jc w:val="center"/>
              <w:rPr>
                <w:sz w:val="22"/>
                <w:szCs w:val="22"/>
                <w:lang w:val="lt-LT"/>
              </w:rPr>
            </w:pPr>
            <w:r w:rsidRPr="006F4F46">
              <w:rPr>
                <w:sz w:val="22"/>
                <w:szCs w:val="22"/>
                <w:lang w:val="lt-LT"/>
              </w:rPr>
              <w:t>(16 %) [11,3–21,0]</w:t>
            </w:r>
          </w:p>
          <w:p w14:paraId="2DED3370" w14:textId="77777777" w:rsidR="0004508A" w:rsidRPr="006F4F46" w:rsidRDefault="0004508A" w:rsidP="00BA7D11">
            <w:pPr>
              <w:spacing w:after="0" w:line="240" w:lineRule="auto"/>
              <w:jc w:val="center"/>
              <w:rPr>
                <w:b/>
                <w:color w:val="000000"/>
                <w:sz w:val="22"/>
                <w:szCs w:val="22"/>
              </w:rPr>
            </w:pPr>
            <w:r w:rsidRPr="006F4F46">
              <w:rPr>
                <w:sz w:val="22"/>
                <w:szCs w:val="22"/>
                <w:lang w:val="lt-LT"/>
              </w:rPr>
              <w:t>7 %</w:t>
            </w:r>
          </w:p>
        </w:tc>
        <w:tc>
          <w:tcPr>
            <w:tcW w:w="2394" w:type="dxa"/>
          </w:tcPr>
          <w:p w14:paraId="7FDB22B4" w14:textId="77777777" w:rsidR="00172FB4" w:rsidRPr="006F4F46" w:rsidRDefault="0004508A" w:rsidP="00BA7D11">
            <w:pPr>
              <w:spacing w:after="0" w:line="240" w:lineRule="auto"/>
              <w:jc w:val="center"/>
              <w:rPr>
                <w:sz w:val="22"/>
                <w:szCs w:val="22"/>
                <w:lang w:val="lt-LT"/>
              </w:rPr>
            </w:pPr>
            <w:r w:rsidRPr="006F4F46">
              <w:rPr>
                <w:sz w:val="22"/>
                <w:szCs w:val="22"/>
                <w:lang w:val="lt-LT"/>
              </w:rPr>
              <w:t>15 % (11,2–20,4)</w:t>
            </w:r>
          </w:p>
          <w:p w14:paraId="14CF5D7D" w14:textId="77777777" w:rsidR="0004508A" w:rsidRPr="006F4F46" w:rsidRDefault="0004508A" w:rsidP="00BA7D11">
            <w:pPr>
              <w:spacing w:after="0" w:line="240" w:lineRule="auto"/>
              <w:jc w:val="center"/>
              <w:rPr>
                <w:sz w:val="22"/>
                <w:szCs w:val="22"/>
                <w:lang w:val="lt-LT"/>
              </w:rPr>
            </w:pPr>
            <w:r w:rsidRPr="006F4F46">
              <w:rPr>
                <w:sz w:val="22"/>
                <w:szCs w:val="22"/>
                <w:lang w:val="lt-LT"/>
              </w:rPr>
              <w:t>7 %</w:t>
            </w:r>
          </w:p>
          <w:p w14:paraId="72422EE4" w14:textId="77777777" w:rsidR="0004508A" w:rsidRPr="006F4F46" w:rsidRDefault="0004508A" w:rsidP="00BA7D11">
            <w:pPr>
              <w:spacing w:after="0" w:line="240" w:lineRule="auto"/>
              <w:jc w:val="center"/>
              <w:rPr>
                <w:sz w:val="22"/>
                <w:szCs w:val="22"/>
                <w:lang w:val="lt-LT"/>
              </w:rPr>
            </w:pPr>
            <w:r w:rsidRPr="006F4F46">
              <w:rPr>
                <w:sz w:val="22"/>
                <w:szCs w:val="22"/>
                <w:lang w:val="lt-LT"/>
              </w:rPr>
              <w:t>(2 %) [0,6–4,4]</w:t>
            </w:r>
          </w:p>
          <w:p w14:paraId="700DE0A7" w14:textId="77777777" w:rsidR="0004508A" w:rsidRPr="006F4F46" w:rsidRDefault="0004508A" w:rsidP="00BA7D11">
            <w:pPr>
              <w:spacing w:after="0" w:line="240" w:lineRule="auto"/>
              <w:jc w:val="center"/>
              <w:rPr>
                <w:b/>
                <w:color w:val="000000"/>
                <w:sz w:val="22"/>
                <w:szCs w:val="22"/>
              </w:rPr>
            </w:pPr>
            <w:r w:rsidRPr="006F4F46">
              <w:rPr>
                <w:sz w:val="22"/>
                <w:szCs w:val="22"/>
                <w:lang w:val="lt-LT"/>
              </w:rPr>
              <w:t>8 %</w:t>
            </w:r>
          </w:p>
        </w:tc>
      </w:tr>
      <w:tr w:rsidR="0004508A" w:rsidRPr="0034666F" w14:paraId="31E7ABFB" w14:textId="77777777" w:rsidTr="000909FB">
        <w:tc>
          <w:tcPr>
            <w:tcW w:w="9576" w:type="dxa"/>
            <w:gridSpan w:val="4"/>
          </w:tcPr>
          <w:p w14:paraId="757AD284" w14:textId="77777777" w:rsidR="0004508A" w:rsidRPr="006F4F46" w:rsidRDefault="0004508A" w:rsidP="0004508A">
            <w:pPr>
              <w:autoSpaceDE w:val="0"/>
              <w:autoSpaceDN w:val="0"/>
              <w:adjustRightInd w:val="0"/>
              <w:spacing w:after="0" w:line="240" w:lineRule="auto"/>
              <w:rPr>
                <w:rFonts w:eastAsia="TimesNewRomanPS-BoldMT"/>
                <w:b/>
                <w:bCs/>
                <w:sz w:val="22"/>
                <w:szCs w:val="22"/>
                <w:lang w:val="lt-LT"/>
              </w:rPr>
            </w:pPr>
            <w:r w:rsidRPr="006F4F46">
              <w:rPr>
                <w:b/>
                <w:bCs/>
                <w:sz w:val="22"/>
                <w:szCs w:val="22"/>
                <w:vertAlign w:val="superscript"/>
                <w:lang w:val="lt-LT"/>
              </w:rPr>
              <w:t>1</w:t>
            </w:r>
            <w:r w:rsidRPr="006F4F46">
              <w:rPr>
                <w:rFonts w:eastAsia="TimesNewRomanPS-BoldMT"/>
                <w:b/>
                <w:bCs/>
                <w:sz w:val="22"/>
                <w:szCs w:val="22"/>
                <w:lang w:val="lt-LT"/>
              </w:rPr>
              <w:t xml:space="preserve">Hematologinio atsako kriterijai (visi atsakai turi būti patvirtinti po </w:t>
            </w:r>
            <w:r w:rsidR="00DA294F" w:rsidRPr="006F4F46">
              <w:rPr>
                <w:sz w:val="22"/>
                <w:szCs w:val="22"/>
                <w:lang w:val="lt-LT"/>
              </w:rPr>
              <w:t>≥</w:t>
            </w:r>
            <w:r w:rsidRPr="006F4F46">
              <w:rPr>
                <w:rFonts w:eastAsia="SymbolMT"/>
                <w:sz w:val="22"/>
                <w:szCs w:val="22"/>
                <w:lang w:val="lt-LT"/>
              </w:rPr>
              <w:t xml:space="preserve"> </w:t>
            </w:r>
            <w:r w:rsidRPr="006F4F46">
              <w:rPr>
                <w:b/>
                <w:bCs/>
                <w:sz w:val="22"/>
                <w:szCs w:val="22"/>
                <w:lang w:val="lt-LT"/>
              </w:rPr>
              <w:t xml:space="preserve">4 </w:t>
            </w:r>
            <w:r w:rsidRPr="006F4F46">
              <w:rPr>
                <w:rFonts w:eastAsia="TimesNewRomanPS-BoldMT"/>
                <w:b/>
                <w:bCs/>
                <w:sz w:val="22"/>
                <w:szCs w:val="22"/>
                <w:lang w:val="lt-LT"/>
              </w:rPr>
              <w:t>savaičių):</w:t>
            </w:r>
          </w:p>
          <w:p w14:paraId="03EB0366"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lang w:val="lt-LT"/>
              </w:rPr>
              <w:t>VHA</w:t>
            </w:r>
            <w:r w:rsidR="00DB798C" w:rsidRPr="006F4F46">
              <w:rPr>
                <w:sz w:val="22"/>
                <w:szCs w:val="22"/>
                <w:lang w:val="lt-LT"/>
              </w:rPr>
              <w:t>:</w:t>
            </w:r>
            <w:r w:rsidRPr="006F4F46">
              <w:rPr>
                <w:sz w:val="22"/>
                <w:szCs w:val="22"/>
                <w:lang w:val="lt-LT"/>
              </w:rPr>
              <w:t xml:space="preserve"> Tyrimas 0110 [BKK &lt; 10 x 109/l, trombocitų &lt; 450 x 109/l, mielocitų+metamielocitų &lt; 5 %</w:t>
            </w:r>
          </w:p>
          <w:p w14:paraId="69EE13D4" w14:textId="77777777" w:rsidR="0004508A" w:rsidRPr="006F4F46" w:rsidRDefault="00DB798C" w:rsidP="0004508A">
            <w:pPr>
              <w:autoSpaceDE w:val="0"/>
              <w:autoSpaceDN w:val="0"/>
              <w:adjustRightInd w:val="0"/>
              <w:spacing w:after="0" w:line="240" w:lineRule="auto"/>
              <w:rPr>
                <w:sz w:val="22"/>
                <w:szCs w:val="22"/>
                <w:lang w:val="lt-LT"/>
              </w:rPr>
            </w:pPr>
            <w:r w:rsidRPr="006F4F46">
              <w:rPr>
                <w:sz w:val="22"/>
                <w:szCs w:val="22"/>
                <w:lang w:val="lt-LT"/>
              </w:rPr>
              <w:t xml:space="preserve">           </w:t>
            </w:r>
            <w:r w:rsidR="0004508A" w:rsidRPr="006F4F46">
              <w:rPr>
                <w:sz w:val="22"/>
                <w:szCs w:val="22"/>
                <w:lang w:val="lt-LT"/>
              </w:rPr>
              <w:t>kraujyje, nėra blastų ir promielocitų kraujyje, bazofilų &lt; 20 %, nėra ekstramedulinių židinių] ir</w:t>
            </w:r>
          </w:p>
          <w:p w14:paraId="6D7B998F" w14:textId="77777777" w:rsidR="0004508A" w:rsidRPr="006F4F46" w:rsidRDefault="00DB798C" w:rsidP="0004508A">
            <w:pPr>
              <w:autoSpaceDE w:val="0"/>
              <w:autoSpaceDN w:val="0"/>
              <w:adjustRightInd w:val="0"/>
              <w:spacing w:after="0" w:line="240" w:lineRule="auto"/>
              <w:rPr>
                <w:sz w:val="22"/>
                <w:szCs w:val="22"/>
                <w:lang w:val="lt-LT"/>
              </w:rPr>
            </w:pPr>
            <w:r w:rsidRPr="006F4F46">
              <w:rPr>
                <w:sz w:val="22"/>
                <w:szCs w:val="22"/>
                <w:lang w:val="lt-LT"/>
              </w:rPr>
              <w:t xml:space="preserve">           </w:t>
            </w:r>
            <w:r w:rsidR="0004508A" w:rsidRPr="006F4F46">
              <w:rPr>
                <w:sz w:val="22"/>
                <w:szCs w:val="22"/>
                <w:lang w:val="lt-LT"/>
              </w:rPr>
              <w:t>tyrimuose 0102 bei 0109 [ANS</w:t>
            </w:r>
            <w:r w:rsidR="0004508A" w:rsidRPr="006F4F46">
              <w:rPr>
                <w:rFonts w:eastAsia="SymbolMT"/>
                <w:sz w:val="22"/>
                <w:szCs w:val="22"/>
                <w:lang w:val="lt-LT"/>
              </w:rPr>
              <w:t xml:space="preserve"> </w:t>
            </w:r>
            <w:r w:rsidR="0004508A" w:rsidRPr="004C04CC">
              <w:rPr>
                <w:lang w:val="lt-LT"/>
              </w:rPr>
              <w:t>≥</w:t>
            </w:r>
            <w:r w:rsidR="0004508A" w:rsidRPr="006F4F46">
              <w:rPr>
                <w:rFonts w:eastAsia="SymbolMT"/>
                <w:sz w:val="22"/>
                <w:szCs w:val="22"/>
                <w:lang w:val="lt-LT"/>
              </w:rPr>
              <w:t xml:space="preserve"> </w:t>
            </w:r>
            <w:r w:rsidR="0004508A" w:rsidRPr="006F4F46">
              <w:rPr>
                <w:sz w:val="22"/>
                <w:szCs w:val="22"/>
                <w:lang w:val="lt-LT"/>
              </w:rPr>
              <w:t>1,5 x 10</w:t>
            </w:r>
            <w:r w:rsidR="0004508A" w:rsidRPr="006F4F46">
              <w:rPr>
                <w:sz w:val="22"/>
                <w:szCs w:val="22"/>
                <w:vertAlign w:val="superscript"/>
                <w:lang w:val="lt-LT"/>
              </w:rPr>
              <w:t>9</w:t>
            </w:r>
            <w:r w:rsidR="0004508A" w:rsidRPr="006F4F46">
              <w:rPr>
                <w:sz w:val="22"/>
                <w:szCs w:val="22"/>
                <w:lang w:val="lt-LT"/>
              </w:rPr>
              <w:t xml:space="preserve">/l, trombocitų </w:t>
            </w:r>
            <w:r w:rsidR="0004508A" w:rsidRPr="004C04CC">
              <w:rPr>
                <w:lang w:val="lt-LT"/>
              </w:rPr>
              <w:t>≥</w:t>
            </w:r>
            <w:r w:rsidR="0004508A" w:rsidRPr="006F4F46">
              <w:rPr>
                <w:rFonts w:eastAsia="SymbolMT"/>
                <w:sz w:val="22"/>
                <w:szCs w:val="22"/>
                <w:lang w:val="lt-LT"/>
              </w:rPr>
              <w:t xml:space="preserve"> </w:t>
            </w:r>
            <w:r w:rsidR="0004508A" w:rsidRPr="006F4F46">
              <w:rPr>
                <w:sz w:val="22"/>
                <w:szCs w:val="22"/>
                <w:lang w:val="lt-LT"/>
              </w:rPr>
              <w:t>100 x 10</w:t>
            </w:r>
            <w:r w:rsidR="0004508A" w:rsidRPr="006F4F46">
              <w:rPr>
                <w:sz w:val="22"/>
                <w:szCs w:val="22"/>
                <w:vertAlign w:val="superscript"/>
                <w:lang w:val="lt-LT"/>
              </w:rPr>
              <w:t>9</w:t>
            </w:r>
            <w:r w:rsidR="0004508A" w:rsidRPr="006F4F46">
              <w:rPr>
                <w:sz w:val="22"/>
                <w:szCs w:val="22"/>
                <w:lang w:val="lt-LT"/>
              </w:rPr>
              <w:t>/l, nėra blastų kraujyje,</w:t>
            </w:r>
          </w:p>
          <w:p w14:paraId="39BEF238" w14:textId="77777777" w:rsidR="0004508A" w:rsidRPr="006F4F46" w:rsidRDefault="00DB798C" w:rsidP="0004508A">
            <w:pPr>
              <w:autoSpaceDE w:val="0"/>
              <w:autoSpaceDN w:val="0"/>
              <w:adjustRightInd w:val="0"/>
              <w:spacing w:after="0" w:line="240" w:lineRule="auto"/>
              <w:rPr>
                <w:sz w:val="22"/>
                <w:szCs w:val="22"/>
                <w:lang w:val="lt-LT"/>
              </w:rPr>
            </w:pPr>
            <w:r w:rsidRPr="006F4F46">
              <w:rPr>
                <w:sz w:val="22"/>
                <w:szCs w:val="22"/>
                <w:lang w:val="lt-LT"/>
              </w:rPr>
              <w:t xml:space="preserve">           </w:t>
            </w:r>
            <w:r w:rsidR="0004508A" w:rsidRPr="006F4F46">
              <w:rPr>
                <w:sz w:val="22"/>
                <w:szCs w:val="22"/>
                <w:lang w:val="lt-LT"/>
              </w:rPr>
              <w:t>blastų &lt; 5 % kaulų čiulpuose, nėra ekstramedulinės ligos]</w:t>
            </w:r>
          </w:p>
          <w:p w14:paraId="6D5F1E24"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lang w:val="lt-LT"/>
              </w:rPr>
              <w:t>NEL</w:t>
            </w:r>
            <w:r w:rsidR="00DB798C" w:rsidRPr="006F4F46">
              <w:rPr>
                <w:sz w:val="22"/>
                <w:szCs w:val="22"/>
                <w:lang w:val="lt-LT"/>
              </w:rPr>
              <w:t xml:space="preserve">: </w:t>
            </w:r>
            <w:r w:rsidRPr="006F4F46">
              <w:rPr>
                <w:sz w:val="22"/>
                <w:szCs w:val="22"/>
                <w:lang w:val="lt-LT"/>
              </w:rPr>
              <w:t xml:space="preserve"> Tokie pat kriterijai kaip VHA bet ANS </w:t>
            </w:r>
            <w:r w:rsidRPr="006F4F46">
              <w:rPr>
                <w:sz w:val="22"/>
                <w:szCs w:val="22"/>
              </w:rPr>
              <w:t>≥ </w:t>
            </w:r>
            <w:r w:rsidRPr="006F4F46">
              <w:rPr>
                <w:rFonts w:eastAsia="SymbolMT"/>
                <w:sz w:val="22"/>
                <w:szCs w:val="22"/>
                <w:lang w:val="lt-LT"/>
              </w:rPr>
              <w:t xml:space="preserve"> </w:t>
            </w:r>
            <w:r w:rsidRPr="006F4F46">
              <w:rPr>
                <w:sz w:val="22"/>
                <w:szCs w:val="22"/>
                <w:lang w:val="lt-LT"/>
              </w:rPr>
              <w:t>1 x 10</w:t>
            </w:r>
            <w:r w:rsidRPr="006F4F46">
              <w:rPr>
                <w:sz w:val="22"/>
                <w:szCs w:val="22"/>
                <w:vertAlign w:val="superscript"/>
                <w:lang w:val="lt-LT"/>
              </w:rPr>
              <w:t>9</w:t>
            </w:r>
            <w:r w:rsidRPr="006F4F46">
              <w:rPr>
                <w:sz w:val="22"/>
                <w:szCs w:val="22"/>
                <w:lang w:val="lt-LT"/>
              </w:rPr>
              <w:t xml:space="preserve">/l ir trombocitų </w:t>
            </w:r>
            <w:r w:rsidRPr="006F4F46">
              <w:rPr>
                <w:sz w:val="22"/>
                <w:szCs w:val="22"/>
              </w:rPr>
              <w:t>≥</w:t>
            </w:r>
            <w:r w:rsidRPr="006F4F46">
              <w:rPr>
                <w:rFonts w:eastAsia="SymbolMT"/>
                <w:sz w:val="22"/>
                <w:szCs w:val="22"/>
                <w:lang w:val="lt-LT"/>
              </w:rPr>
              <w:t xml:space="preserve"> </w:t>
            </w:r>
            <w:r w:rsidRPr="006F4F46">
              <w:rPr>
                <w:sz w:val="22"/>
                <w:szCs w:val="22"/>
                <w:lang w:val="lt-LT"/>
              </w:rPr>
              <w:t>20 x 10</w:t>
            </w:r>
            <w:r w:rsidRPr="006F4F46">
              <w:rPr>
                <w:sz w:val="22"/>
                <w:szCs w:val="22"/>
                <w:vertAlign w:val="superscript"/>
                <w:lang w:val="lt-LT"/>
              </w:rPr>
              <w:t>9</w:t>
            </w:r>
            <w:r w:rsidRPr="006F4F46">
              <w:rPr>
                <w:sz w:val="22"/>
                <w:szCs w:val="22"/>
                <w:lang w:val="lt-LT"/>
              </w:rPr>
              <w:t>/l (tik 0102 ir 0109)</w:t>
            </w:r>
          </w:p>
          <w:p w14:paraId="75143613"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lang w:val="lt-LT"/>
              </w:rPr>
              <w:t>GLF</w:t>
            </w:r>
            <w:r w:rsidR="00664808" w:rsidRPr="006F4F46">
              <w:rPr>
                <w:sz w:val="22"/>
                <w:szCs w:val="22"/>
                <w:lang w:val="lt-LT"/>
              </w:rPr>
              <w:t xml:space="preserve">: </w:t>
            </w:r>
            <w:r w:rsidRPr="006F4F46">
              <w:rPr>
                <w:sz w:val="22"/>
                <w:szCs w:val="22"/>
                <w:lang w:val="lt-LT"/>
              </w:rPr>
              <w:t>&lt; 15 % blastų KČ ir PK, &lt; 30 % blastų+promielocitų KČ ir PK, &lt; 20 % bazofilų PK, nėra</w:t>
            </w:r>
          </w:p>
          <w:p w14:paraId="236B5F6E"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lang w:val="lt-LT"/>
              </w:rPr>
              <w:t>kitos, išskyrus blužnies ir kepenų, ekstramedulinės ligos (tik 0102 ir 0109).</w:t>
            </w:r>
          </w:p>
          <w:p w14:paraId="6938C16C"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lang w:val="lt-LT"/>
              </w:rPr>
              <w:t>KČ = kaulų čiulpai, PK = periferinis kraujas</w:t>
            </w:r>
          </w:p>
          <w:p w14:paraId="41612A7F" w14:textId="77777777" w:rsidR="0004508A" w:rsidRPr="006F4F46" w:rsidRDefault="0004508A" w:rsidP="0004508A">
            <w:pPr>
              <w:autoSpaceDE w:val="0"/>
              <w:autoSpaceDN w:val="0"/>
              <w:adjustRightInd w:val="0"/>
              <w:spacing w:after="0" w:line="240" w:lineRule="auto"/>
              <w:rPr>
                <w:b/>
                <w:bCs/>
                <w:sz w:val="22"/>
                <w:szCs w:val="22"/>
                <w:lang w:val="lt-LT"/>
              </w:rPr>
            </w:pPr>
            <w:r w:rsidRPr="006F4F46">
              <w:rPr>
                <w:b/>
                <w:bCs/>
                <w:sz w:val="22"/>
                <w:szCs w:val="22"/>
                <w:vertAlign w:val="superscript"/>
                <w:lang w:val="lt-LT"/>
              </w:rPr>
              <w:t>2</w:t>
            </w:r>
            <w:r w:rsidRPr="006F4F46">
              <w:rPr>
                <w:b/>
                <w:bCs/>
                <w:sz w:val="22"/>
                <w:szCs w:val="22"/>
                <w:lang w:val="lt-LT"/>
              </w:rPr>
              <w:t>Citogenetinio atsako kriterijai:</w:t>
            </w:r>
          </w:p>
          <w:p w14:paraId="47A810F2"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lang w:val="lt-LT"/>
              </w:rPr>
              <w:t>Didįjį atsaką sudaro visiškas ir dalinis atsakas: visiškas (0 % Ph+ metafazių), dalinis (1–35 %)</w:t>
            </w:r>
          </w:p>
          <w:p w14:paraId="159EE058" w14:textId="77777777" w:rsidR="0004508A" w:rsidRPr="006F4F46" w:rsidRDefault="0004508A" w:rsidP="0004508A">
            <w:pPr>
              <w:autoSpaceDE w:val="0"/>
              <w:autoSpaceDN w:val="0"/>
              <w:adjustRightInd w:val="0"/>
              <w:spacing w:after="0" w:line="240" w:lineRule="auto"/>
              <w:rPr>
                <w:sz w:val="22"/>
                <w:szCs w:val="22"/>
                <w:lang w:val="lt-LT"/>
              </w:rPr>
            </w:pPr>
            <w:r w:rsidRPr="006F4F46">
              <w:rPr>
                <w:sz w:val="22"/>
                <w:szCs w:val="22"/>
                <w:vertAlign w:val="superscript"/>
                <w:lang w:val="lt-LT"/>
              </w:rPr>
              <w:t>3</w:t>
            </w:r>
            <w:r w:rsidRPr="006F4F46">
              <w:rPr>
                <w:sz w:val="22"/>
                <w:szCs w:val="22"/>
                <w:lang w:val="lt-LT"/>
              </w:rPr>
              <w:t>Visiškas citogenetinis atsakas patvirtinamas antrą kartą citogenetiškai vertinant kaulų čiulpus praėjus</w:t>
            </w:r>
          </w:p>
          <w:p w14:paraId="0B114DF0" w14:textId="77777777" w:rsidR="0004508A" w:rsidRPr="0049461C" w:rsidRDefault="0004508A" w:rsidP="0004508A">
            <w:pPr>
              <w:spacing w:after="0" w:line="240" w:lineRule="auto"/>
              <w:rPr>
                <w:b/>
                <w:color w:val="000000"/>
                <w:sz w:val="22"/>
                <w:szCs w:val="22"/>
                <w:lang w:val="lt-LT"/>
              </w:rPr>
            </w:pPr>
            <w:r w:rsidRPr="006F4F46">
              <w:rPr>
                <w:sz w:val="22"/>
                <w:szCs w:val="22"/>
                <w:lang w:val="lt-LT"/>
              </w:rPr>
              <w:t>mažiausiai vienam mėnesiui po pirminio kaulų čiulpų tyrimo.</w:t>
            </w:r>
          </w:p>
        </w:tc>
      </w:tr>
    </w:tbl>
    <w:p w14:paraId="1FBD9414" w14:textId="77777777" w:rsidR="00172FB4" w:rsidRPr="0049461C" w:rsidRDefault="00172FB4" w:rsidP="00173803">
      <w:pPr>
        <w:spacing w:after="0" w:line="240" w:lineRule="auto"/>
        <w:rPr>
          <w:rFonts w:ascii="Times New Roman" w:hAnsi="Times New Roman" w:cs="Times New Roman"/>
          <w:b/>
          <w:color w:val="000000"/>
          <w:lang w:val="lt-LT"/>
        </w:rPr>
      </w:pPr>
    </w:p>
    <w:p w14:paraId="46E6793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Vaikų populiacija</w:t>
      </w:r>
    </w:p>
    <w:p w14:paraId="12C5046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Iš viso 26 jaunesni kaip 18 metų vaikai ir paaugliai, kuriems buvo lėtinė LML fazė (n=11) ar LML blastinė krizė, ar Ph+ ūminė leukemiija (n=15), buvo įtraukti į dozės didinimo I fazės tyrimą. Tai buvo intensyviai gydytų vaikų populiacija: 46 % – buvo transplantuoti kaulų čiulpai, 73 % – buvo gavę kelių </w:t>
      </w:r>
      <w:r w:rsidRPr="00AB7860">
        <w:rPr>
          <w:rFonts w:ascii="Times New Roman" w:eastAsia="Times New Roman" w:hAnsi="Times New Roman" w:cs="Times New Roman"/>
          <w:lang w:val="lt-LT"/>
        </w:rPr>
        <w:t>vaistinių preparatų</w:t>
      </w:r>
      <w:r w:rsidRPr="00AB7860">
        <w:rPr>
          <w:rFonts w:ascii="Times New Roman" w:hAnsi="Times New Roman" w:cs="Times New Roman"/>
          <w:lang w:val="lt-LT"/>
        </w:rPr>
        <w:t xml:space="preserve"> chemoterapiją. Pacientams buvo skirta imatinibo po 260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(n=5), 340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(n=9), 440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(n=7), 570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(n=5). Iš 9 pacientų, kuriems buvo lėtinė LML fazė ir prieinami citogenetiniai rodikliai, 4 (44 %) ir 3 (33 %) buvo gautas atitinkamai visiškas ir dalinis citogenetinis atsakas, esant reikšmingo citogenino atsako (McyR) dažniui – 77 %.</w:t>
      </w:r>
    </w:p>
    <w:p w14:paraId="2B47B472" w14:textId="77777777" w:rsidR="00173803" w:rsidRPr="00AB7860" w:rsidRDefault="00173803" w:rsidP="00173803">
      <w:pPr>
        <w:spacing w:after="0" w:line="240" w:lineRule="auto"/>
        <w:rPr>
          <w:rFonts w:ascii="Times New Roman" w:hAnsi="Times New Roman" w:cs="Times New Roman"/>
          <w:lang w:val="lt-LT"/>
        </w:rPr>
      </w:pPr>
    </w:p>
    <w:p w14:paraId="78E25400"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II fazės atvirame, daugiacentriame, vienos grupės tyrime dalyvavo 51 vaikas, sergantis naujai diagnozuota ir negydyta lėtinės fazės LML. Pacientai buvo gydomi imatinibo 340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doze be pertraukų, nes nebuvo dozės ribojančio nepageidaujamo poveikio. Gydymas imatinibu sukėlė greitą atsaką vaikų, </w:t>
      </w:r>
      <w:r w:rsidRPr="00AB7860">
        <w:rPr>
          <w:rFonts w:ascii="Times New Roman" w:hAnsi="Times New Roman" w:cs="Times New Roman"/>
          <w:lang w:val="lt-LT"/>
        </w:rPr>
        <w:lastRenderedPageBreak/>
        <w:t>sergančių naujai diagnozuota LML su 78 % VHA, tarpe po 8 gydymo savaičių. Aukštas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 xml:space="preserve">VHA lygis yra susijęs su išsivysčiusiu 65 % visišku citogenetiniu atsaku (CCyR), kuris lygintinas su duomenimis suaugusiųjų tarpe. Be to, buvo stebimas 16 % dalinis citogenetinis atsakas (PCyR), kai MCyR dažnis – 81 %. Daugumai pacientų, pasiekusių CCyR, tarp 3 ir 10 mėnesių išsivystė CCyR su atsako trukmės mediana, remiantis </w:t>
      </w:r>
      <w:r w:rsidRPr="00AB7860">
        <w:rPr>
          <w:rFonts w:ascii="Times New Roman" w:hAnsi="Times New Roman" w:cs="Times New Roman"/>
          <w:i/>
          <w:lang w:val="lt-LT"/>
        </w:rPr>
        <w:t>Kaplan-Meier</w:t>
      </w:r>
      <w:r w:rsidRPr="00AB7860">
        <w:rPr>
          <w:rFonts w:ascii="Times New Roman" w:hAnsi="Times New Roman" w:cs="Times New Roman"/>
          <w:lang w:val="lt-LT"/>
        </w:rPr>
        <w:t xml:space="preserve"> 5,6 mėnesių išgyvenamumo rodikliu.</w:t>
      </w:r>
    </w:p>
    <w:p w14:paraId="1DBD74FF" w14:textId="77777777" w:rsidR="00173803" w:rsidRPr="00AB7860" w:rsidRDefault="00173803" w:rsidP="00173803">
      <w:pPr>
        <w:spacing w:after="0" w:line="240" w:lineRule="auto"/>
        <w:rPr>
          <w:rFonts w:ascii="Times New Roman" w:hAnsi="Times New Roman" w:cs="Times New Roman"/>
          <w:lang w:val="lt-LT"/>
        </w:rPr>
      </w:pPr>
    </w:p>
    <w:p w14:paraId="083E0AD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Europos vaistų agentūra atleido nuo įpareigojimo pateikti imatinibo, tyrimų su visais vaikų populiacijos pogrupiais sergantiesiems Filadelfijos chromosomai (bcr-abl translokacija) teigiama lėtine mieloidinė leukemija, duomenis (vartojimo vaikams informacija pateikiama 4.2 skyriuje).</w:t>
      </w:r>
    </w:p>
    <w:p w14:paraId="4F31C5E6" w14:textId="77777777" w:rsidR="00173803" w:rsidRPr="00AB7860" w:rsidRDefault="00173803" w:rsidP="00173803">
      <w:pPr>
        <w:spacing w:after="0" w:line="240" w:lineRule="auto"/>
        <w:rPr>
          <w:rFonts w:ascii="Times New Roman" w:hAnsi="Times New Roman" w:cs="Times New Roman"/>
          <w:lang w:val="lt-LT"/>
        </w:rPr>
      </w:pPr>
    </w:p>
    <w:p w14:paraId="4381D774"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Klinikiniai Ph+ ŪLL tyrimai</w:t>
      </w:r>
    </w:p>
    <w:p w14:paraId="6733613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Pirmą kartą diagnozuota Ph+ ŪLL</w:t>
      </w:r>
      <w:r w:rsidRPr="00AB7860">
        <w:rPr>
          <w:rFonts w:ascii="Times New Roman" w:hAnsi="Times New Roman" w:cs="Times New Roman"/>
          <w:lang w:val="lt-LT"/>
        </w:rPr>
        <w:t>: Kontroliuojamo (ADE10) tyrimo metu, kuriame imatinibas buvo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lygintas su pradine chemoterapija penkiasdešimt penkiems 55 metų ir vyresniems pacientams, kuriems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diagnozė nustatyta pirmą kartą, vartojant vieną imatinibą buvo gautas reikšmingai didesnis pilno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hematologinio atsako dažnis lyginant su chemoterapiją gavusiaisiais (96,3 % lyginant su 50 %;</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p=0,0001). Kai pacientams, kuriems nebuvo gautas atsakas ar gautas silpnas atsakas, buvo paskirtas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pagalbinis gydymas imatinibu, pilnas hematologinis atsakas buvo gautas 9 pacientams (81,8 %) iš 11.</w:t>
      </w:r>
    </w:p>
    <w:p w14:paraId="39267B2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Šis klinikinis efektas buvo susijęs su didesniu bcr-abl transkriptų sumažėjimu po 2 gydymo savaičių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imatinibą vartojusių pacientų grupėje (p=0,02) lyginant su chemoterapiją gavusiaisias. Po pradinio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 xml:space="preserve">gydymo visi pacientai gavo imatinibą bei papildomą chemoterapiją (žr. </w:t>
      </w:r>
      <w:r w:rsidR="0004508A" w:rsidRPr="00AB7860">
        <w:rPr>
          <w:rFonts w:ascii="Times New Roman" w:eastAsia="Times New Roman" w:hAnsi="Times New Roman" w:cs="Times New Roman"/>
          <w:lang w:val="lt-LT"/>
        </w:rPr>
        <w:t>4</w:t>
      </w:r>
      <w:r w:rsidRPr="00AB7860">
        <w:rPr>
          <w:rFonts w:ascii="Times New Roman" w:hAnsi="Times New Roman" w:cs="Times New Roman"/>
          <w:lang w:val="lt-LT"/>
        </w:rPr>
        <w:t xml:space="preserve"> lentelę), po 8 savaičių bcr-abl transkriptų kiekis buvo vienodas abiejose grupėse. Kaip ir tikėtasi planuojant tyrimą, skirtumo tarp</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remisijos trukmės, laiko be ligos ir gyvenimo trukmės nebuvo, nors pacientų, kuriems buvo pasiektas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pilnas molekulinis atsakas ir išliko minimali liekamoji liga, buvo geresni ir remisijos trukmės (p=0,01)</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ir laiko be ligos (p=0,02) rezultatai.</w:t>
      </w:r>
    </w:p>
    <w:p w14:paraId="144ED1F9" w14:textId="77777777" w:rsidR="00173803" w:rsidRPr="00AB7860" w:rsidRDefault="00173803" w:rsidP="00173803">
      <w:pPr>
        <w:spacing w:after="0" w:line="240" w:lineRule="auto"/>
        <w:rPr>
          <w:rFonts w:ascii="Times New Roman" w:hAnsi="Times New Roman" w:cs="Times New Roman"/>
          <w:lang w:val="lt-LT"/>
        </w:rPr>
      </w:pPr>
    </w:p>
    <w:p w14:paraId="2ED9F248"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Keturių nekontroliuojamų tyrimų (AAU02, ADE04, AJP01 ir AUS01), kuriuose dalyvavo 211</w:t>
      </w:r>
      <w:r w:rsidRPr="00AB7860">
        <w:rPr>
          <w:rFonts w:ascii="Times New Roman" w:eastAsia="Times New Roman" w:hAnsi="Times New Roman" w:cs="Times New Roman"/>
          <w:lang w:val="lt-LT"/>
        </w:rPr>
        <w:t xml:space="preserve"> pacientų, kuriems pirmą kartą diagnozuota Ph+ ŪLL, rezultatai atitinka aukščiau paminėto tyrimo rezultatus. </w:t>
      </w:r>
    </w:p>
    <w:p w14:paraId="7A30902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Skiriant imatinibą kartu su pradine chemoterapija (žr. </w:t>
      </w:r>
      <w:r w:rsidR="00FF191C" w:rsidRPr="00157904">
        <w:rPr>
          <w:rFonts w:ascii="Times New Roman" w:eastAsia="Times New Roman" w:hAnsi="Times New Roman" w:cs="Times New Roman"/>
          <w:lang w:val="lt-LT"/>
        </w:rPr>
        <w:t>4</w:t>
      </w:r>
      <w:r w:rsidRPr="00AB7860">
        <w:rPr>
          <w:rFonts w:ascii="Times New Roman" w:hAnsi="Times New Roman" w:cs="Times New Roman"/>
          <w:lang w:val="lt-LT"/>
        </w:rPr>
        <w:t xml:space="preserve"> lentelę) pilno hematologinio atsako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dažnis buvo 93 % (147 iš 158 pacientų, kuriuos buvo galima vertinti), o didžiojo citogenetinio atsako</w:t>
      </w:r>
      <w:r w:rsidRPr="00AB7860">
        <w:rPr>
          <w:rFonts w:ascii="Times New Roman" w:eastAsia="Times New Roman" w:hAnsi="Times New Roman" w:cs="Times New Roman"/>
          <w:lang w:val="lt-LT"/>
        </w:rPr>
        <w:t xml:space="preserve"> dažnis buvo 90 % (19 iš 21 paciento, kuriuos buvo galima įvertinti). Pilno molekulinio atsako dažnis buvo 48 % (49 iš 102 pacientų, kuriuos buvo galima vertinti). Laikas be ligos (DSF) ir gyvenimo trukmė (OS) pastoviai viršijo 1 metus ir buvo aukštesni kaip anksčiau nustatyti (DFS p&lt;0,001; OS p&lt;0,0001) dvejuose tyrimuose (AJP01 ir AUS01).</w:t>
      </w:r>
    </w:p>
    <w:p w14:paraId="34179D8F" w14:textId="77777777" w:rsidR="00173803" w:rsidRPr="00AB7860" w:rsidRDefault="00173803" w:rsidP="00173803">
      <w:pPr>
        <w:spacing w:after="0" w:line="240" w:lineRule="auto"/>
        <w:rPr>
          <w:rFonts w:ascii="Times New Roman" w:eastAsia="Times New Roman" w:hAnsi="Times New Roman" w:cs="Times New Roman"/>
          <w:b/>
          <w:bCs/>
          <w:lang w:val="lt-LT"/>
        </w:rPr>
      </w:pPr>
    </w:p>
    <w:p w14:paraId="09044BFF" w14:textId="77777777" w:rsidR="00173803" w:rsidRPr="00AB7860" w:rsidRDefault="0004508A" w:rsidP="00173803">
      <w:pPr>
        <w:spacing w:after="0" w:line="240" w:lineRule="auto"/>
        <w:rPr>
          <w:rFonts w:ascii="Times New Roman" w:hAnsi="Times New Roman" w:cs="Times New Roman"/>
          <w:lang w:val="lt-LT"/>
        </w:rPr>
      </w:pPr>
      <w:r w:rsidRPr="00AB7860">
        <w:rPr>
          <w:rFonts w:ascii="Times New Roman" w:eastAsia="Times New Roman" w:hAnsi="Times New Roman" w:cs="Times New Roman"/>
          <w:b/>
          <w:bCs/>
          <w:lang w:val="lt-LT"/>
        </w:rPr>
        <w:t>4</w:t>
      </w:r>
      <w:r w:rsidR="00173803" w:rsidRPr="00AB7860">
        <w:rPr>
          <w:rFonts w:ascii="Times New Roman" w:hAnsi="Times New Roman" w:cs="Times New Roman"/>
          <w:b/>
          <w:lang w:val="lt-LT"/>
        </w:rPr>
        <w:t xml:space="preserve"> lentelė</w:t>
      </w:r>
      <w:r w:rsidR="00173803" w:rsidRPr="00AB7860">
        <w:rPr>
          <w:rFonts w:ascii="Times New Roman" w:hAnsi="Times New Roman" w:cs="Times New Roman"/>
          <w:b/>
          <w:lang w:val="lt-LT"/>
        </w:rPr>
        <w:tab/>
        <w:t>Chemoterapijos gydymas, taikomas kartu su imatinibu</w:t>
      </w:r>
    </w:p>
    <w:p w14:paraId="04E42F56" w14:textId="77777777" w:rsidR="00173803" w:rsidRPr="00AB7860" w:rsidRDefault="00173803" w:rsidP="00173803">
      <w:pPr>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4530"/>
        <w:gridCol w:w="4530"/>
      </w:tblGrid>
      <w:tr w:rsidR="00173803" w:rsidRPr="00AB7860" w14:paraId="1DCA9292" w14:textId="77777777" w:rsidTr="00F5730F">
        <w:tc>
          <w:tcPr>
            <w:tcW w:w="9060" w:type="dxa"/>
            <w:gridSpan w:val="2"/>
          </w:tcPr>
          <w:p w14:paraId="40F8A479" w14:textId="77777777" w:rsidR="00173803" w:rsidRPr="00AB7860" w:rsidRDefault="00173803" w:rsidP="00F5730F">
            <w:pPr>
              <w:rPr>
                <w:sz w:val="22"/>
                <w:szCs w:val="22"/>
              </w:rPr>
            </w:pPr>
            <w:r w:rsidRPr="00AB7860">
              <w:rPr>
                <w:b/>
                <w:bCs/>
              </w:rPr>
              <w:t>ADE10 tyrimas</w:t>
            </w:r>
          </w:p>
        </w:tc>
      </w:tr>
      <w:tr w:rsidR="00173803" w:rsidRPr="00AB7860" w14:paraId="0F7C440F" w14:textId="77777777" w:rsidTr="00F5730F">
        <w:tc>
          <w:tcPr>
            <w:tcW w:w="4530" w:type="dxa"/>
          </w:tcPr>
          <w:p w14:paraId="7F65B1FE" w14:textId="77777777" w:rsidR="00173803" w:rsidRPr="00AB7860" w:rsidRDefault="00173803" w:rsidP="00F5730F">
            <w:pPr>
              <w:rPr>
                <w:sz w:val="22"/>
                <w:szCs w:val="22"/>
              </w:rPr>
            </w:pPr>
            <w:r w:rsidRPr="00AB7860">
              <w:rPr>
                <w:sz w:val="22"/>
                <w:szCs w:val="22"/>
              </w:rPr>
              <w:t>Prefazė</w:t>
            </w:r>
          </w:p>
        </w:tc>
        <w:tc>
          <w:tcPr>
            <w:tcW w:w="4530" w:type="dxa"/>
          </w:tcPr>
          <w:p w14:paraId="7B6A5DFF" w14:textId="77777777" w:rsidR="00173803" w:rsidRPr="00AB7860" w:rsidRDefault="00173803" w:rsidP="00F5730F">
            <w:pPr>
              <w:rPr>
                <w:sz w:val="22"/>
                <w:szCs w:val="22"/>
              </w:rPr>
            </w:pPr>
            <w:r w:rsidRPr="00AB7860">
              <w:t>Gerti DEX 10 mg/m</w:t>
            </w:r>
            <w:r w:rsidRPr="00AB7860">
              <w:rPr>
                <w:vertAlign w:val="superscript"/>
              </w:rPr>
              <w:t>2</w:t>
            </w:r>
            <w:r w:rsidRPr="00AB7860">
              <w:t xml:space="preserve">, 1-5 dienas; </w:t>
            </w:r>
          </w:p>
          <w:p w14:paraId="3AA5023D" w14:textId="77777777" w:rsidR="00173803" w:rsidRPr="00AB7860" w:rsidRDefault="00173803" w:rsidP="00F5730F">
            <w:pPr>
              <w:rPr>
                <w:sz w:val="22"/>
                <w:szCs w:val="22"/>
              </w:rPr>
            </w:pPr>
            <w:r w:rsidRPr="00AB7860">
              <w:t>CP 200 mg/m</w:t>
            </w:r>
            <w:r w:rsidRPr="00AB7860">
              <w:rPr>
                <w:vertAlign w:val="superscript"/>
              </w:rPr>
              <w:t>2</w:t>
            </w:r>
            <w:r w:rsidRPr="00AB7860">
              <w:t xml:space="preserve"> i.v., 3, 4, 5 dieną; </w:t>
            </w:r>
          </w:p>
          <w:p w14:paraId="6753A8B6" w14:textId="77777777" w:rsidR="00173803" w:rsidRPr="00AB7860" w:rsidRDefault="00173803" w:rsidP="00F5730F">
            <w:pPr>
              <w:rPr>
                <w:sz w:val="22"/>
                <w:szCs w:val="22"/>
              </w:rPr>
            </w:pPr>
            <w:r w:rsidRPr="00AB7860">
              <w:t>MTX 12 mg intratekaliai, 1 dieną</w:t>
            </w:r>
          </w:p>
        </w:tc>
      </w:tr>
      <w:tr w:rsidR="00173803" w:rsidRPr="00AB7860" w14:paraId="1AEA5DAB" w14:textId="77777777" w:rsidTr="00F5730F">
        <w:tc>
          <w:tcPr>
            <w:tcW w:w="4530" w:type="dxa"/>
          </w:tcPr>
          <w:p w14:paraId="2D4BA32E" w14:textId="77777777" w:rsidR="00173803" w:rsidRPr="00AB7860" w:rsidRDefault="00173803" w:rsidP="00F5730F">
            <w:pPr>
              <w:rPr>
                <w:sz w:val="22"/>
                <w:szCs w:val="22"/>
              </w:rPr>
            </w:pPr>
            <w:r w:rsidRPr="00AB7860">
              <w:rPr>
                <w:sz w:val="22"/>
                <w:szCs w:val="22"/>
              </w:rPr>
              <w:t>Remisijos sukėlimas</w:t>
            </w:r>
          </w:p>
        </w:tc>
        <w:tc>
          <w:tcPr>
            <w:tcW w:w="4530" w:type="dxa"/>
          </w:tcPr>
          <w:p w14:paraId="49BFEA3C" w14:textId="77777777" w:rsidR="00173803" w:rsidRPr="00AB7860" w:rsidRDefault="00173803" w:rsidP="00F5730F">
            <w:pPr>
              <w:rPr>
                <w:sz w:val="22"/>
                <w:szCs w:val="22"/>
              </w:rPr>
            </w:pPr>
            <w:r w:rsidRPr="00AB7860">
              <w:t>Gerti DEX 10 mg/m</w:t>
            </w:r>
            <w:r w:rsidRPr="00AB7860">
              <w:rPr>
                <w:vertAlign w:val="superscript"/>
              </w:rPr>
              <w:t>2</w:t>
            </w:r>
            <w:r w:rsidRPr="00AB7860">
              <w:t>, 6-7 dieną, 13-16 dieną;</w:t>
            </w:r>
          </w:p>
          <w:p w14:paraId="6289E76C" w14:textId="77777777" w:rsidR="00173803" w:rsidRPr="00AB7860" w:rsidRDefault="00173803" w:rsidP="00F5730F">
            <w:pPr>
              <w:rPr>
                <w:sz w:val="22"/>
                <w:szCs w:val="22"/>
              </w:rPr>
            </w:pPr>
            <w:r w:rsidRPr="00AB7860">
              <w:t xml:space="preserve">VCR 1 mg i.v., 7, 14 dieną; </w:t>
            </w:r>
          </w:p>
          <w:p w14:paraId="5F7FFC17" w14:textId="77777777" w:rsidR="00173803" w:rsidRPr="00AB7860" w:rsidRDefault="00173803" w:rsidP="00F5730F">
            <w:pPr>
              <w:rPr>
                <w:sz w:val="22"/>
                <w:szCs w:val="22"/>
              </w:rPr>
            </w:pPr>
            <w:r w:rsidRPr="00AB7860">
              <w:t>IDA 8 mg/m</w:t>
            </w:r>
            <w:r w:rsidRPr="00AB7860">
              <w:rPr>
                <w:vertAlign w:val="superscript"/>
              </w:rPr>
              <w:t>2</w:t>
            </w:r>
            <w:r w:rsidRPr="00AB7860">
              <w:t xml:space="preserve"> i.v. (0,5 valandos), 7, 8, 14, 15 dieną; </w:t>
            </w:r>
          </w:p>
          <w:p w14:paraId="4BF6E0BC" w14:textId="77777777" w:rsidR="00173803" w:rsidRPr="00AB7860" w:rsidRDefault="00173803" w:rsidP="00F5730F">
            <w:pPr>
              <w:rPr>
                <w:sz w:val="22"/>
                <w:szCs w:val="22"/>
              </w:rPr>
            </w:pPr>
            <w:r w:rsidRPr="00AB7860">
              <w:t>CP 500 mg/m</w:t>
            </w:r>
            <w:r w:rsidRPr="00AB7860">
              <w:rPr>
                <w:vertAlign w:val="superscript"/>
              </w:rPr>
              <w:t>2</w:t>
            </w:r>
            <w:r w:rsidRPr="00AB7860">
              <w:t xml:space="preserve"> i.v.(1 valanda) 1 dieną; </w:t>
            </w:r>
          </w:p>
          <w:p w14:paraId="59187917" w14:textId="77777777" w:rsidR="00173803" w:rsidRPr="00AB7860" w:rsidRDefault="00173803" w:rsidP="00F5730F">
            <w:pPr>
              <w:rPr>
                <w:sz w:val="22"/>
                <w:szCs w:val="22"/>
              </w:rPr>
            </w:pPr>
            <w:r w:rsidRPr="00AB7860">
              <w:t>Ara-C 60 mg/m</w:t>
            </w:r>
            <w:r w:rsidRPr="00AB7860">
              <w:rPr>
                <w:vertAlign w:val="superscript"/>
              </w:rPr>
              <w:t>2</w:t>
            </w:r>
            <w:r w:rsidRPr="00AB7860">
              <w:t xml:space="preserve"> i.v., 22-25, 29-32 dienas</w:t>
            </w:r>
          </w:p>
        </w:tc>
      </w:tr>
      <w:tr w:rsidR="00173803" w:rsidRPr="00AB7860" w14:paraId="1FCE56BD" w14:textId="77777777" w:rsidTr="00F5730F">
        <w:tc>
          <w:tcPr>
            <w:tcW w:w="4530" w:type="dxa"/>
          </w:tcPr>
          <w:p w14:paraId="2C183BB2" w14:textId="77777777" w:rsidR="00173803" w:rsidRPr="00AB7860" w:rsidRDefault="00173803" w:rsidP="00F5730F">
            <w:pPr>
              <w:rPr>
                <w:sz w:val="22"/>
                <w:szCs w:val="22"/>
              </w:rPr>
            </w:pPr>
            <w:r w:rsidRPr="00AB7860">
              <w:rPr>
                <w:sz w:val="22"/>
                <w:szCs w:val="22"/>
              </w:rPr>
              <w:lastRenderedPageBreak/>
              <w:t>Konsoliduojantis gydymas I, III, V</w:t>
            </w:r>
          </w:p>
        </w:tc>
        <w:tc>
          <w:tcPr>
            <w:tcW w:w="4530" w:type="dxa"/>
          </w:tcPr>
          <w:p w14:paraId="38B6D596" w14:textId="77777777" w:rsidR="00173803" w:rsidRPr="00AB7860" w:rsidRDefault="00173803" w:rsidP="00F5730F">
            <w:pPr>
              <w:rPr>
                <w:sz w:val="22"/>
                <w:szCs w:val="22"/>
              </w:rPr>
            </w:pPr>
            <w:r w:rsidRPr="00AB7860">
              <w:t>MTX 500 mg/m</w:t>
            </w:r>
            <w:r w:rsidRPr="00AB7860">
              <w:rPr>
                <w:vertAlign w:val="superscript"/>
              </w:rPr>
              <w:t>2</w:t>
            </w:r>
            <w:r w:rsidRPr="00AB7860">
              <w:t xml:space="preserve"> i.v. (24 valandos), 1, 15 dieną; </w:t>
            </w:r>
          </w:p>
          <w:p w14:paraId="592C9EA0" w14:textId="77777777" w:rsidR="00173803" w:rsidRPr="00AB7860" w:rsidRDefault="00173803" w:rsidP="00F5730F">
            <w:pPr>
              <w:rPr>
                <w:sz w:val="22"/>
                <w:szCs w:val="22"/>
              </w:rPr>
            </w:pPr>
            <w:r w:rsidRPr="00AB7860">
              <w:t>gerti 6-MP 25 mg/m</w:t>
            </w:r>
            <w:r w:rsidRPr="00AB7860">
              <w:rPr>
                <w:vertAlign w:val="superscript"/>
              </w:rPr>
              <w:t>2</w:t>
            </w:r>
            <w:r w:rsidRPr="00AB7860">
              <w:t>, 1-20 dieną</w:t>
            </w:r>
          </w:p>
        </w:tc>
      </w:tr>
      <w:tr w:rsidR="00173803" w:rsidRPr="00AB7860" w14:paraId="64A7100B" w14:textId="77777777" w:rsidTr="00F5730F">
        <w:tc>
          <w:tcPr>
            <w:tcW w:w="4530" w:type="dxa"/>
          </w:tcPr>
          <w:p w14:paraId="49E258BE" w14:textId="77777777" w:rsidR="00173803" w:rsidRPr="00B36BCA" w:rsidRDefault="00173803" w:rsidP="00F5730F">
            <w:pPr>
              <w:rPr>
                <w:sz w:val="22"/>
                <w:szCs w:val="22"/>
              </w:rPr>
            </w:pPr>
            <w:r w:rsidRPr="00AB7860">
              <w:rPr>
                <w:sz w:val="22"/>
                <w:szCs w:val="22"/>
              </w:rPr>
              <w:t>Konsoliduojantis gydymas</w:t>
            </w:r>
            <w:r w:rsidRPr="00B36BCA">
              <w:rPr>
                <w:sz w:val="22"/>
                <w:szCs w:val="22"/>
              </w:rPr>
              <w:t xml:space="preserve"> II, IV</w:t>
            </w:r>
          </w:p>
        </w:tc>
        <w:tc>
          <w:tcPr>
            <w:tcW w:w="4530" w:type="dxa"/>
          </w:tcPr>
          <w:p w14:paraId="0B7340D3" w14:textId="77777777" w:rsidR="00173803" w:rsidRPr="00AB7860" w:rsidRDefault="00173803" w:rsidP="00F5730F">
            <w:pPr>
              <w:rPr>
                <w:sz w:val="22"/>
                <w:szCs w:val="22"/>
              </w:rPr>
            </w:pPr>
            <w:r w:rsidRPr="00AB7860">
              <w:t>Ara-C 75 mg/m</w:t>
            </w:r>
            <w:r w:rsidRPr="00AB7860">
              <w:rPr>
                <w:vertAlign w:val="superscript"/>
              </w:rPr>
              <w:t>2</w:t>
            </w:r>
            <w:r w:rsidRPr="00AB7860">
              <w:t xml:space="preserve"> i.v. (1 valanda), 1-5 dienas;</w:t>
            </w:r>
          </w:p>
          <w:p w14:paraId="5F8AA349" w14:textId="77777777" w:rsidR="00173803" w:rsidRPr="00AB7860" w:rsidRDefault="00173803" w:rsidP="00F5730F">
            <w:pPr>
              <w:rPr>
                <w:sz w:val="22"/>
                <w:szCs w:val="22"/>
              </w:rPr>
            </w:pPr>
            <w:r w:rsidRPr="00AB7860">
              <w:t>VM26 60 mg/m</w:t>
            </w:r>
            <w:r w:rsidRPr="00AB7860">
              <w:rPr>
                <w:vertAlign w:val="superscript"/>
              </w:rPr>
              <w:t>2</w:t>
            </w:r>
            <w:r w:rsidRPr="00AB7860">
              <w:t xml:space="preserve"> i.v. (1 valanda), 1-5 dienas</w:t>
            </w:r>
          </w:p>
        </w:tc>
      </w:tr>
      <w:tr w:rsidR="00173803" w:rsidRPr="00AB7860" w14:paraId="66829CAD" w14:textId="77777777" w:rsidTr="00F5730F">
        <w:tc>
          <w:tcPr>
            <w:tcW w:w="9060" w:type="dxa"/>
            <w:gridSpan w:val="2"/>
          </w:tcPr>
          <w:p w14:paraId="781F5EBE" w14:textId="77777777" w:rsidR="00173803" w:rsidRPr="00B36BCA" w:rsidRDefault="00173803" w:rsidP="00F5730F">
            <w:pPr>
              <w:rPr>
                <w:sz w:val="22"/>
                <w:szCs w:val="22"/>
              </w:rPr>
            </w:pPr>
            <w:r w:rsidRPr="00AB7860">
              <w:rPr>
                <w:b/>
                <w:bCs/>
                <w:sz w:val="22"/>
                <w:szCs w:val="22"/>
              </w:rPr>
              <w:t>AAU02 tyrimas</w:t>
            </w:r>
          </w:p>
        </w:tc>
      </w:tr>
      <w:tr w:rsidR="00173803" w:rsidRPr="00AB7860" w14:paraId="5B785935" w14:textId="77777777" w:rsidTr="00F5730F">
        <w:tc>
          <w:tcPr>
            <w:tcW w:w="4530" w:type="dxa"/>
          </w:tcPr>
          <w:p w14:paraId="3BC18A37" w14:textId="77777777" w:rsidR="00173803" w:rsidRPr="00AB7860" w:rsidRDefault="00173803" w:rsidP="00F5730F">
            <w:pPr>
              <w:rPr>
                <w:sz w:val="22"/>
                <w:szCs w:val="22"/>
              </w:rPr>
            </w:pPr>
            <w:r w:rsidRPr="00AB7860">
              <w:rPr>
                <w:sz w:val="22"/>
                <w:szCs w:val="22"/>
              </w:rPr>
              <w:t>Pradinis gydymas (</w:t>
            </w:r>
            <w:r w:rsidRPr="00B36BCA">
              <w:rPr>
                <w:i/>
                <w:iCs/>
                <w:sz w:val="22"/>
                <w:szCs w:val="22"/>
              </w:rPr>
              <w:t xml:space="preserve">de novo </w:t>
            </w:r>
            <w:r w:rsidRPr="00AB7860">
              <w:t>Ph+ ŪLL)</w:t>
            </w:r>
          </w:p>
        </w:tc>
        <w:tc>
          <w:tcPr>
            <w:tcW w:w="4530" w:type="dxa"/>
          </w:tcPr>
          <w:p w14:paraId="0AE03301" w14:textId="77777777" w:rsidR="00173803" w:rsidRPr="00AB7860" w:rsidRDefault="00173803" w:rsidP="00F5730F">
            <w:pPr>
              <w:rPr>
                <w:sz w:val="22"/>
                <w:szCs w:val="22"/>
              </w:rPr>
            </w:pPr>
            <w:r w:rsidRPr="00AB7860">
              <w:t>Daunorubicinas 30 mg/m</w:t>
            </w:r>
            <w:r w:rsidRPr="00AB7860">
              <w:rPr>
                <w:vertAlign w:val="superscript"/>
              </w:rPr>
              <w:t>2</w:t>
            </w:r>
            <w:r w:rsidRPr="00AB7860">
              <w:t xml:space="preserve"> i.v., 1-3 dienas, 15-16 dienas; </w:t>
            </w:r>
          </w:p>
          <w:p w14:paraId="56116ABB" w14:textId="77777777" w:rsidR="00173803" w:rsidRPr="00AB7860" w:rsidRDefault="00173803" w:rsidP="00F5730F">
            <w:pPr>
              <w:rPr>
                <w:sz w:val="22"/>
                <w:szCs w:val="22"/>
              </w:rPr>
            </w:pPr>
            <w:r w:rsidRPr="00AB7860">
              <w:t xml:space="preserve">VCR bendra dozė 2 mg i.v., 1, 8, 15, 22 dieną; </w:t>
            </w:r>
          </w:p>
          <w:p w14:paraId="753858B4" w14:textId="77777777" w:rsidR="00173803" w:rsidRPr="00AB7860" w:rsidRDefault="00173803" w:rsidP="00F5730F">
            <w:pPr>
              <w:rPr>
                <w:sz w:val="22"/>
                <w:szCs w:val="22"/>
              </w:rPr>
            </w:pPr>
            <w:r w:rsidRPr="00AB7860">
              <w:t>CP 750 mg/m</w:t>
            </w:r>
            <w:r w:rsidRPr="00AB7860">
              <w:rPr>
                <w:vertAlign w:val="superscript"/>
              </w:rPr>
              <w:t>2</w:t>
            </w:r>
            <w:r w:rsidRPr="00AB7860">
              <w:t xml:space="preserve"> i.v., 1, 8 dieną;</w:t>
            </w:r>
          </w:p>
          <w:p w14:paraId="0DAFEA41" w14:textId="77777777" w:rsidR="00173803" w:rsidRPr="00AB7860" w:rsidRDefault="00173803" w:rsidP="00F5730F">
            <w:pPr>
              <w:rPr>
                <w:sz w:val="22"/>
                <w:szCs w:val="22"/>
              </w:rPr>
            </w:pPr>
            <w:r w:rsidRPr="00AB7860">
              <w:t>gerti prednizoloną 60 mg/m</w:t>
            </w:r>
            <w:r w:rsidRPr="00AB7860">
              <w:rPr>
                <w:vertAlign w:val="superscript"/>
              </w:rPr>
              <w:t>2</w:t>
            </w:r>
            <w:r w:rsidRPr="00AB7860">
              <w:t xml:space="preserve">, 1-7, 15-21 dienas; </w:t>
            </w:r>
          </w:p>
          <w:p w14:paraId="30BA72A4" w14:textId="77777777" w:rsidR="00173803" w:rsidRPr="00AB7860" w:rsidRDefault="00173803" w:rsidP="00F5730F">
            <w:pPr>
              <w:rPr>
                <w:sz w:val="22"/>
                <w:szCs w:val="22"/>
              </w:rPr>
            </w:pPr>
            <w:r w:rsidRPr="00AB7860">
              <w:t>gerti IDA 9 mg/m</w:t>
            </w:r>
            <w:r w:rsidRPr="00AB7860">
              <w:rPr>
                <w:vertAlign w:val="superscript"/>
              </w:rPr>
              <w:t>2</w:t>
            </w:r>
            <w:r w:rsidRPr="00AB7860">
              <w:t xml:space="preserve">, 1-28 dienas; </w:t>
            </w:r>
          </w:p>
          <w:p w14:paraId="7BCCCBCD" w14:textId="77777777" w:rsidR="00173803" w:rsidRPr="00AB7860" w:rsidRDefault="00173803" w:rsidP="00F5730F">
            <w:pPr>
              <w:rPr>
                <w:sz w:val="22"/>
                <w:szCs w:val="22"/>
              </w:rPr>
            </w:pPr>
            <w:r w:rsidRPr="00AB7860">
              <w:t xml:space="preserve">MTX 15 mg intratekaliai, 1, 8, 15, 22 dieną; </w:t>
            </w:r>
          </w:p>
          <w:p w14:paraId="7AB36996" w14:textId="77777777" w:rsidR="00173803" w:rsidRPr="00AB7860" w:rsidRDefault="00173803" w:rsidP="00F5730F">
            <w:pPr>
              <w:rPr>
                <w:sz w:val="22"/>
                <w:szCs w:val="22"/>
              </w:rPr>
            </w:pPr>
            <w:r w:rsidRPr="00AB7860">
              <w:t>Ara-C 40 mg intratekaliai, 1, 8, 15, 22 dieną;</w:t>
            </w:r>
          </w:p>
          <w:p w14:paraId="4FE691E8" w14:textId="77777777" w:rsidR="00173803" w:rsidRPr="00AB7860" w:rsidRDefault="00173803" w:rsidP="00F5730F">
            <w:pPr>
              <w:rPr>
                <w:sz w:val="22"/>
                <w:szCs w:val="22"/>
              </w:rPr>
            </w:pPr>
            <w:r w:rsidRPr="00AB7860">
              <w:t>metilprednizolonas 40 mg intratekaliai, 1, 8, 15, 22 dieną</w:t>
            </w:r>
          </w:p>
        </w:tc>
      </w:tr>
      <w:tr w:rsidR="00173803" w:rsidRPr="00AB7860" w14:paraId="2005A550" w14:textId="77777777" w:rsidTr="00F5730F">
        <w:tc>
          <w:tcPr>
            <w:tcW w:w="4530" w:type="dxa"/>
          </w:tcPr>
          <w:p w14:paraId="33031D9F" w14:textId="77777777" w:rsidR="00173803" w:rsidRPr="00AB7860" w:rsidRDefault="00173803" w:rsidP="00F5730F">
            <w:pPr>
              <w:rPr>
                <w:sz w:val="22"/>
                <w:szCs w:val="22"/>
              </w:rPr>
            </w:pPr>
            <w:r w:rsidRPr="00AB7860">
              <w:rPr>
                <w:sz w:val="22"/>
                <w:szCs w:val="22"/>
              </w:rPr>
              <w:t>Konsoliduojantis gydymas (</w:t>
            </w:r>
            <w:r w:rsidRPr="00B36BCA">
              <w:rPr>
                <w:i/>
                <w:iCs/>
                <w:sz w:val="22"/>
                <w:szCs w:val="22"/>
              </w:rPr>
              <w:t xml:space="preserve">de novo </w:t>
            </w:r>
            <w:r w:rsidRPr="00AB7860">
              <w:t>Ph+</w:t>
            </w:r>
          </w:p>
          <w:p w14:paraId="19942EA9" w14:textId="77777777" w:rsidR="00173803" w:rsidRPr="00AB7860" w:rsidRDefault="00173803" w:rsidP="00F5730F">
            <w:pPr>
              <w:rPr>
                <w:sz w:val="22"/>
                <w:szCs w:val="22"/>
              </w:rPr>
            </w:pPr>
            <w:r w:rsidRPr="00AB7860">
              <w:t>ŪLL)</w:t>
            </w:r>
          </w:p>
        </w:tc>
        <w:tc>
          <w:tcPr>
            <w:tcW w:w="4530" w:type="dxa"/>
          </w:tcPr>
          <w:p w14:paraId="64CED153" w14:textId="77777777" w:rsidR="00173803" w:rsidRPr="00AB7860" w:rsidRDefault="00173803" w:rsidP="00F5730F">
            <w:pPr>
              <w:rPr>
                <w:sz w:val="22"/>
                <w:szCs w:val="22"/>
              </w:rPr>
            </w:pPr>
            <w:r w:rsidRPr="00AB7860">
              <w:t>Ara-C 1 000 mg/m</w:t>
            </w:r>
            <w:r w:rsidRPr="00AB7860">
              <w:rPr>
                <w:vertAlign w:val="superscript"/>
              </w:rPr>
              <w:t>2</w:t>
            </w:r>
            <w:r w:rsidRPr="00AB7860">
              <w:t xml:space="preserve">/12 h i.v.(3 valandos), 1-4 dienas; </w:t>
            </w:r>
          </w:p>
          <w:p w14:paraId="6D414560" w14:textId="77777777" w:rsidR="00173803" w:rsidRPr="00AB7860" w:rsidRDefault="00173803" w:rsidP="00F5730F">
            <w:pPr>
              <w:rPr>
                <w:sz w:val="22"/>
                <w:szCs w:val="22"/>
              </w:rPr>
            </w:pPr>
            <w:r w:rsidRPr="00AB7860">
              <w:t>mitoksantronas 10 mg/m</w:t>
            </w:r>
            <w:r w:rsidRPr="00AB7860">
              <w:rPr>
                <w:vertAlign w:val="superscript"/>
              </w:rPr>
              <w:t>2</w:t>
            </w:r>
            <w:r w:rsidRPr="00AB7860">
              <w:t xml:space="preserve"> i.v. 3-5 dienas; </w:t>
            </w:r>
          </w:p>
          <w:p w14:paraId="7C0F671D" w14:textId="77777777" w:rsidR="00173803" w:rsidRPr="00AB7860" w:rsidRDefault="00173803" w:rsidP="00F5730F">
            <w:pPr>
              <w:rPr>
                <w:sz w:val="22"/>
                <w:szCs w:val="22"/>
              </w:rPr>
            </w:pPr>
            <w:r w:rsidRPr="00AB7860">
              <w:t>MTX 15 mg intratekaliai, 1 dieną;</w:t>
            </w:r>
          </w:p>
          <w:p w14:paraId="75F3AB75" w14:textId="77777777" w:rsidR="00173803" w:rsidRPr="00AB7860" w:rsidRDefault="00173803" w:rsidP="00F5730F">
            <w:pPr>
              <w:rPr>
                <w:sz w:val="22"/>
                <w:szCs w:val="22"/>
              </w:rPr>
            </w:pPr>
            <w:r w:rsidRPr="00AB7860">
              <w:t>metilprednizolonas 40 mg intratekaliai, 1 dieną</w:t>
            </w:r>
          </w:p>
        </w:tc>
      </w:tr>
      <w:tr w:rsidR="00173803" w:rsidRPr="00AB7860" w14:paraId="07567E5C" w14:textId="77777777" w:rsidTr="00F5730F">
        <w:tc>
          <w:tcPr>
            <w:tcW w:w="9060" w:type="dxa"/>
            <w:gridSpan w:val="2"/>
          </w:tcPr>
          <w:p w14:paraId="13A3A0A4" w14:textId="77777777" w:rsidR="00173803" w:rsidRPr="00B36BCA" w:rsidRDefault="00173803" w:rsidP="00F5730F">
            <w:pPr>
              <w:rPr>
                <w:sz w:val="22"/>
                <w:szCs w:val="22"/>
              </w:rPr>
            </w:pPr>
            <w:r w:rsidRPr="00AB7860">
              <w:rPr>
                <w:b/>
                <w:bCs/>
                <w:sz w:val="22"/>
                <w:szCs w:val="22"/>
              </w:rPr>
              <w:t>ADE04 tyrimas</w:t>
            </w:r>
          </w:p>
        </w:tc>
      </w:tr>
      <w:tr w:rsidR="00173803" w:rsidRPr="00AB7860" w14:paraId="29C6ECDF" w14:textId="77777777" w:rsidTr="00F5730F">
        <w:tc>
          <w:tcPr>
            <w:tcW w:w="4530" w:type="dxa"/>
          </w:tcPr>
          <w:p w14:paraId="1C3A4D8A" w14:textId="77777777" w:rsidR="00173803" w:rsidRPr="00AB7860" w:rsidRDefault="00173803" w:rsidP="00F5730F">
            <w:pPr>
              <w:rPr>
                <w:sz w:val="22"/>
                <w:szCs w:val="22"/>
              </w:rPr>
            </w:pPr>
            <w:r w:rsidRPr="00AB7860">
              <w:rPr>
                <w:sz w:val="22"/>
                <w:szCs w:val="22"/>
              </w:rPr>
              <w:t>Prefazė</w:t>
            </w:r>
          </w:p>
        </w:tc>
        <w:tc>
          <w:tcPr>
            <w:tcW w:w="4530" w:type="dxa"/>
          </w:tcPr>
          <w:p w14:paraId="03BD70DE" w14:textId="77777777" w:rsidR="00173803" w:rsidRPr="00AB7860" w:rsidRDefault="00173803" w:rsidP="00F5730F">
            <w:pPr>
              <w:rPr>
                <w:sz w:val="22"/>
                <w:szCs w:val="22"/>
              </w:rPr>
            </w:pPr>
            <w:r w:rsidRPr="00AB7860">
              <w:t>Gerti DEX 10 mg/m</w:t>
            </w:r>
            <w:r w:rsidRPr="00AB7860">
              <w:rPr>
                <w:vertAlign w:val="superscript"/>
              </w:rPr>
              <w:t>2</w:t>
            </w:r>
            <w:r w:rsidRPr="00AB7860">
              <w:t xml:space="preserve">, 1-5 dienas; </w:t>
            </w:r>
          </w:p>
          <w:p w14:paraId="159F9DF0" w14:textId="77777777" w:rsidR="00173803" w:rsidRPr="00AB7860" w:rsidRDefault="00173803" w:rsidP="00F5730F">
            <w:pPr>
              <w:rPr>
                <w:sz w:val="22"/>
                <w:szCs w:val="22"/>
              </w:rPr>
            </w:pPr>
            <w:r w:rsidRPr="00AB7860">
              <w:t>CP 200 mg/m</w:t>
            </w:r>
            <w:r w:rsidRPr="00AB7860">
              <w:rPr>
                <w:vertAlign w:val="superscript"/>
              </w:rPr>
              <w:t>2</w:t>
            </w:r>
            <w:r w:rsidRPr="00AB7860">
              <w:t xml:space="preserve"> i.v., 3-5 dienas; </w:t>
            </w:r>
          </w:p>
          <w:p w14:paraId="277AB6E3" w14:textId="77777777" w:rsidR="00173803" w:rsidRPr="00AB7860" w:rsidRDefault="00173803" w:rsidP="00F5730F">
            <w:pPr>
              <w:rPr>
                <w:sz w:val="22"/>
                <w:szCs w:val="22"/>
              </w:rPr>
            </w:pPr>
            <w:r w:rsidRPr="00AB7860">
              <w:t>MTX 15 mg intratekaliai, 1 dieną</w:t>
            </w:r>
          </w:p>
        </w:tc>
      </w:tr>
      <w:tr w:rsidR="00173803" w:rsidRPr="00AB7860" w14:paraId="3496FA7D" w14:textId="77777777" w:rsidTr="00F5730F">
        <w:tc>
          <w:tcPr>
            <w:tcW w:w="4530" w:type="dxa"/>
          </w:tcPr>
          <w:p w14:paraId="4F79E8A6" w14:textId="77777777" w:rsidR="00173803" w:rsidRPr="00AB7860" w:rsidRDefault="00173803" w:rsidP="00F5730F">
            <w:pPr>
              <w:rPr>
                <w:sz w:val="22"/>
                <w:szCs w:val="22"/>
              </w:rPr>
            </w:pPr>
            <w:r w:rsidRPr="00AB7860">
              <w:rPr>
                <w:sz w:val="22"/>
                <w:szCs w:val="22"/>
              </w:rPr>
              <w:t>Pradinis gydymas I</w:t>
            </w:r>
          </w:p>
        </w:tc>
        <w:tc>
          <w:tcPr>
            <w:tcW w:w="4530" w:type="dxa"/>
          </w:tcPr>
          <w:p w14:paraId="12DF06A4" w14:textId="77777777" w:rsidR="00173803" w:rsidRPr="00AB7860" w:rsidRDefault="00173803" w:rsidP="00F5730F">
            <w:pPr>
              <w:rPr>
                <w:sz w:val="22"/>
                <w:szCs w:val="22"/>
              </w:rPr>
            </w:pPr>
            <w:r w:rsidRPr="00AB7860">
              <w:t>Gerti DEX 10 mg/m</w:t>
            </w:r>
            <w:r w:rsidRPr="00AB7860">
              <w:rPr>
                <w:vertAlign w:val="superscript"/>
              </w:rPr>
              <w:t>2</w:t>
            </w:r>
            <w:r w:rsidRPr="00AB7860">
              <w:t xml:space="preserve">, 1-5 dienas; </w:t>
            </w:r>
          </w:p>
          <w:p w14:paraId="110E8F5B" w14:textId="77777777" w:rsidR="00173803" w:rsidRPr="00AB7860" w:rsidRDefault="00173803" w:rsidP="00F5730F">
            <w:pPr>
              <w:rPr>
                <w:sz w:val="22"/>
                <w:szCs w:val="22"/>
              </w:rPr>
            </w:pPr>
            <w:r w:rsidRPr="00AB7860">
              <w:t xml:space="preserve">VCR 2 mg i.v., 6, 13, 20 dieną; </w:t>
            </w:r>
          </w:p>
          <w:p w14:paraId="769E5E5D" w14:textId="77777777" w:rsidR="00173803" w:rsidRPr="00AB7860" w:rsidRDefault="00173803" w:rsidP="00F5730F">
            <w:pPr>
              <w:rPr>
                <w:sz w:val="22"/>
                <w:szCs w:val="22"/>
              </w:rPr>
            </w:pPr>
            <w:r w:rsidRPr="00AB7860">
              <w:t>daunorubicinas 45 mg/m</w:t>
            </w:r>
            <w:r w:rsidRPr="00AB7860">
              <w:rPr>
                <w:vertAlign w:val="superscript"/>
              </w:rPr>
              <w:t>2</w:t>
            </w:r>
            <w:r w:rsidRPr="00AB7860">
              <w:t xml:space="preserve"> i.v., 6-7, 13-14 dieną</w:t>
            </w:r>
          </w:p>
        </w:tc>
      </w:tr>
      <w:tr w:rsidR="00173803" w:rsidRPr="00AB7860" w14:paraId="65C0116F" w14:textId="77777777" w:rsidTr="00F5730F">
        <w:tc>
          <w:tcPr>
            <w:tcW w:w="4530" w:type="dxa"/>
          </w:tcPr>
          <w:p w14:paraId="1F146C0C" w14:textId="77777777" w:rsidR="00173803" w:rsidRPr="00AB7860" w:rsidRDefault="00173803" w:rsidP="00F5730F">
            <w:pPr>
              <w:rPr>
                <w:sz w:val="22"/>
                <w:szCs w:val="22"/>
              </w:rPr>
            </w:pPr>
            <w:r w:rsidRPr="00AB7860">
              <w:rPr>
                <w:sz w:val="22"/>
                <w:szCs w:val="22"/>
              </w:rPr>
              <w:t>Pradinis gydymas II</w:t>
            </w:r>
          </w:p>
        </w:tc>
        <w:tc>
          <w:tcPr>
            <w:tcW w:w="4530" w:type="dxa"/>
          </w:tcPr>
          <w:p w14:paraId="6D81CBA4" w14:textId="77777777" w:rsidR="00173803" w:rsidRPr="00AB7860" w:rsidRDefault="00173803" w:rsidP="00F5730F">
            <w:pPr>
              <w:rPr>
                <w:sz w:val="22"/>
                <w:szCs w:val="22"/>
              </w:rPr>
            </w:pPr>
            <w:r w:rsidRPr="00AB7860">
              <w:t>CP 1 g/m</w:t>
            </w:r>
            <w:r w:rsidRPr="00AB7860">
              <w:rPr>
                <w:vertAlign w:val="superscript"/>
              </w:rPr>
              <w:t>2</w:t>
            </w:r>
            <w:r w:rsidRPr="00AB7860">
              <w:t xml:space="preserve"> i.v. (1 valanda), 26, 46 dieną; </w:t>
            </w:r>
          </w:p>
          <w:p w14:paraId="276E5721" w14:textId="77777777" w:rsidR="00173803" w:rsidRPr="00AB7860" w:rsidRDefault="00173803" w:rsidP="00F5730F">
            <w:pPr>
              <w:rPr>
                <w:sz w:val="22"/>
                <w:szCs w:val="22"/>
              </w:rPr>
            </w:pPr>
            <w:r w:rsidRPr="00AB7860">
              <w:t>Ara-C 75 mg/m</w:t>
            </w:r>
            <w:r w:rsidRPr="00AB7860">
              <w:rPr>
                <w:vertAlign w:val="superscript"/>
              </w:rPr>
              <w:t>2</w:t>
            </w:r>
            <w:r w:rsidRPr="00AB7860">
              <w:t xml:space="preserve"> i.v. (1 valanda), 28-31, 35-38, 42-45 dienas; </w:t>
            </w:r>
          </w:p>
          <w:p w14:paraId="4F114CE7" w14:textId="77777777" w:rsidR="00173803" w:rsidRPr="00AB7860" w:rsidRDefault="00173803" w:rsidP="00F5730F">
            <w:pPr>
              <w:rPr>
                <w:sz w:val="22"/>
                <w:szCs w:val="22"/>
              </w:rPr>
            </w:pPr>
            <w:r w:rsidRPr="00AB7860">
              <w:t>gerti 6-MP 60 mg/m</w:t>
            </w:r>
            <w:r w:rsidRPr="00AB7860">
              <w:rPr>
                <w:vertAlign w:val="superscript"/>
              </w:rPr>
              <w:t>2</w:t>
            </w:r>
            <w:r w:rsidRPr="00AB7860">
              <w:t>, 26-46 dienas</w:t>
            </w:r>
          </w:p>
        </w:tc>
      </w:tr>
      <w:tr w:rsidR="00173803" w:rsidRPr="00AB7860" w14:paraId="54E4B9B4" w14:textId="77777777" w:rsidTr="00F5730F">
        <w:tc>
          <w:tcPr>
            <w:tcW w:w="4530" w:type="dxa"/>
          </w:tcPr>
          <w:p w14:paraId="1469AF29" w14:textId="77777777" w:rsidR="00173803" w:rsidRPr="00AB7860" w:rsidRDefault="00173803" w:rsidP="00F5730F">
            <w:pPr>
              <w:rPr>
                <w:sz w:val="22"/>
                <w:szCs w:val="22"/>
              </w:rPr>
            </w:pPr>
            <w:r w:rsidRPr="00AB7860">
              <w:rPr>
                <w:sz w:val="22"/>
                <w:szCs w:val="22"/>
              </w:rPr>
              <w:lastRenderedPageBreak/>
              <w:t>Konsoliduojantis gydymas</w:t>
            </w:r>
          </w:p>
        </w:tc>
        <w:tc>
          <w:tcPr>
            <w:tcW w:w="4530" w:type="dxa"/>
          </w:tcPr>
          <w:p w14:paraId="35717796" w14:textId="77777777" w:rsidR="00173803" w:rsidRPr="00AB7860" w:rsidRDefault="00173803" w:rsidP="00F5730F">
            <w:pPr>
              <w:rPr>
                <w:sz w:val="22"/>
                <w:szCs w:val="22"/>
              </w:rPr>
            </w:pPr>
            <w:r w:rsidRPr="00AB7860">
              <w:t>Gerti DEX 10 mg/m</w:t>
            </w:r>
            <w:r w:rsidRPr="00AB7860">
              <w:rPr>
                <w:vertAlign w:val="superscript"/>
              </w:rPr>
              <w:t>2</w:t>
            </w:r>
            <w:r w:rsidRPr="00AB7860">
              <w:t xml:space="preserve">, 1-5 dienas; </w:t>
            </w:r>
          </w:p>
          <w:p w14:paraId="5D05781A" w14:textId="77777777" w:rsidR="00173803" w:rsidRPr="00AB7860" w:rsidRDefault="00173803" w:rsidP="00F5730F">
            <w:pPr>
              <w:rPr>
                <w:sz w:val="22"/>
                <w:szCs w:val="22"/>
              </w:rPr>
            </w:pPr>
            <w:r w:rsidRPr="00AB7860">
              <w:t>vindezinas 3 mg/m</w:t>
            </w:r>
            <w:r w:rsidRPr="00AB7860">
              <w:rPr>
                <w:vertAlign w:val="superscript"/>
              </w:rPr>
              <w:t>2</w:t>
            </w:r>
            <w:r w:rsidRPr="00AB7860">
              <w:t xml:space="preserve"> i.v., 1 dieną; </w:t>
            </w:r>
          </w:p>
          <w:p w14:paraId="35DD69A5" w14:textId="77777777" w:rsidR="00173803" w:rsidRPr="00AB7860" w:rsidRDefault="00173803" w:rsidP="00F5730F">
            <w:pPr>
              <w:rPr>
                <w:sz w:val="22"/>
                <w:szCs w:val="22"/>
              </w:rPr>
            </w:pPr>
            <w:r w:rsidRPr="00AB7860">
              <w:t>MTX 1,5 g/m</w:t>
            </w:r>
            <w:r w:rsidRPr="00AB7860">
              <w:rPr>
                <w:vertAlign w:val="superscript"/>
              </w:rPr>
              <w:t>2</w:t>
            </w:r>
            <w:r w:rsidRPr="00AB7860">
              <w:t xml:space="preserve"> i.v. (24 valandos), 1 dieną; </w:t>
            </w:r>
          </w:p>
          <w:p w14:paraId="0A2A9D83" w14:textId="77777777" w:rsidR="00173803" w:rsidRPr="00AB7860" w:rsidRDefault="00173803" w:rsidP="00F5730F">
            <w:pPr>
              <w:rPr>
                <w:sz w:val="22"/>
                <w:szCs w:val="22"/>
              </w:rPr>
            </w:pPr>
            <w:r w:rsidRPr="00AB7860">
              <w:t>etopozidas 250 mg/m</w:t>
            </w:r>
            <w:r w:rsidRPr="00AB7860">
              <w:rPr>
                <w:vertAlign w:val="superscript"/>
              </w:rPr>
              <w:t>2</w:t>
            </w:r>
            <w:r w:rsidRPr="00AB7860">
              <w:t xml:space="preserve"> i.v. (1 valanda) 4-5 dienas; </w:t>
            </w:r>
          </w:p>
          <w:p w14:paraId="1FE95168" w14:textId="77777777" w:rsidR="00173803" w:rsidRPr="00AB7860" w:rsidRDefault="00173803" w:rsidP="00F5730F">
            <w:pPr>
              <w:rPr>
                <w:sz w:val="22"/>
                <w:szCs w:val="22"/>
              </w:rPr>
            </w:pPr>
            <w:r w:rsidRPr="00AB7860">
              <w:t>Ara-C 2x 2 g/m</w:t>
            </w:r>
            <w:r w:rsidRPr="00AB7860">
              <w:rPr>
                <w:vertAlign w:val="superscript"/>
              </w:rPr>
              <w:t>2</w:t>
            </w:r>
            <w:r w:rsidRPr="00AB7860">
              <w:t xml:space="preserve"> i.v. (3 valandos, 12 valandų), 5 dieną</w:t>
            </w:r>
          </w:p>
        </w:tc>
      </w:tr>
      <w:tr w:rsidR="00173803" w:rsidRPr="00AB7860" w14:paraId="6DDB67AA" w14:textId="77777777" w:rsidTr="00F5730F">
        <w:tc>
          <w:tcPr>
            <w:tcW w:w="9060" w:type="dxa"/>
            <w:gridSpan w:val="2"/>
          </w:tcPr>
          <w:p w14:paraId="65B50DB3" w14:textId="77777777" w:rsidR="00173803" w:rsidRPr="00B36BCA" w:rsidRDefault="00173803" w:rsidP="00F5730F">
            <w:pPr>
              <w:rPr>
                <w:sz w:val="22"/>
                <w:szCs w:val="22"/>
              </w:rPr>
            </w:pPr>
            <w:r w:rsidRPr="00AB7860">
              <w:rPr>
                <w:b/>
                <w:bCs/>
                <w:sz w:val="22"/>
                <w:szCs w:val="22"/>
              </w:rPr>
              <w:t>AJP01 tyrimas</w:t>
            </w:r>
          </w:p>
        </w:tc>
      </w:tr>
      <w:tr w:rsidR="00173803" w:rsidRPr="00AB7860" w14:paraId="148E0D60" w14:textId="77777777" w:rsidTr="00F5730F">
        <w:tc>
          <w:tcPr>
            <w:tcW w:w="4530" w:type="dxa"/>
          </w:tcPr>
          <w:p w14:paraId="1524C438" w14:textId="77777777" w:rsidR="00173803" w:rsidRPr="00AB7860" w:rsidRDefault="00173803" w:rsidP="00F5730F">
            <w:pPr>
              <w:rPr>
                <w:sz w:val="22"/>
                <w:szCs w:val="22"/>
              </w:rPr>
            </w:pPr>
            <w:r w:rsidRPr="00AB7860">
              <w:rPr>
                <w:sz w:val="22"/>
                <w:szCs w:val="22"/>
              </w:rPr>
              <w:t>Pradinis gydymas</w:t>
            </w:r>
          </w:p>
        </w:tc>
        <w:tc>
          <w:tcPr>
            <w:tcW w:w="4530" w:type="dxa"/>
          </w:tcPr>
          <w:p w14:paraId="3E885BB4" w14:textId="77777777" w:rsidR="00173803" w:rsidRPr="00AB7860" w:rsidRDefault="00173803" w:rsidP="00F5730F">
            <w:pPr>
              <w:rPr>
                <w:sz w:val="22"/>
                <w:szCs w:val="22"/>
              </w:rPr>
            </w:pPr>
            <w:r w:rsidRPr="00AB7860">
              <w:t>CP 1,2 g/m</w:t>
            </w:r>
            <w:r w:rsidRPr="00AB7860">
              <w:rPr>
                <w:vertAlign w:val="superscript"/>
              </w:rPr>
              <w:t>2</w:t>
            </w:r>
            <w:r w:rsidRPr="00AB7860">
              <w:t xml:space="preserve"> i.v. (3 valandos), 1 dieną;</w:t>
            </w:r>
          </w:p>
          <w:p w14:paraId="1032ED8C" w14:textId="77777777" w:rsidR="00173803" w:rsidRPr="00AB7860" w:rsidRDefault="00173803" w:rsidP="00F5730F">
            <w:pPr>
              <w:rPr>
                <w:sz w:val="22"/>
                <w:szCs w:val="22"/>
              </w:rPr>
            </w:pPr>
            <w:r w:rsidRPr="00AB7860">
              <w:t>daunorubicinas 60 mg/m</w:t>
            </w:r>
            <w:r w:rsidRPr="00AB7860">
              <w:rPr>
                <w:vertAlign w:val="superscript"/>
              </w:rPr>
              <w:t>2</w:t>
            </w:r>
            <w:r w:rsidRPr="00AB7860">
              <w:t xml:space="preserve"> i.v. (1 valanda), 1-3 dienas; </w:t>
            </w:r>
          </w:p>
          <w:p w14:paraId="0CCFCF95" w14:textId="77777777" w:rsidR="00173803" w:rsidRPr="00AB7860" w:rsidRDefault="00173803" w:rsidP="00F5730F">
            <w:pPr>
              <w:rPr>
                <w:sz w:val="22"/>
                <w:szCs w:val="22"/>
              </w:rPr>
            </w:pPr>
            <w:r w:rsidRPr="00AB7860">
              <w:t>vinkristinas 1,3 mg/m</w:t>
            </w:r>
            <w:r w:rsidRPr="00AB7860">
              <w:rPr>
                <w:vertAlign w:val="superscript"/>
              </w:rPr>
              <w:t>2</w:t>
            </w:r>
            <w:r w:rsidRPr="00AB7860">
              <w:t xml:space="preserve"> i.v., 1, 8, 15, 21 dieną; </w:t>
            </w:r>
          </w:p>
          <w:p w14:paraId="1B5B31B1" w14:textId="77777777" w:rsidR="00173803" w:rsidRPr="00AB7860" w:rsidRDefault="00173803" w:rsidP="00F5730F">
            <w:pPr>
              <w:rPr>
                <w:sz w:val="22"/>
                <w:szCs w:val="22"/>
              </w:rPr>
            </w:pPr>
            <w:r w:rsidRPr="00AB7860">
              <w:t>gerti prednizoloną 60 mg/m</w:t>
            </w:r>
            <w:r w:rsidRPr="00AB7860">
              <w:rPr>
                <w:vertAlign w:val="superscript"/>
              </w:rPr>
              <w:t>2</w:t>
            </w:r>
            <w:r w:rsidRPr="00AB7860">
              <w:t>/per parą</w:t>
            </w:r>
          </w:p>
        </w:tc>
      </w:tr>
      <w:tr w:rsidR="00173803" w:rsidRPr="00AB7860" w14:paraId="38ABF0A3" w14:textId="77777777" w:rsidTr="00F5730F">
        <w:tc>
          <w:tcPr>
            <w:tcW w:w="4530" w:type="dxa"/>
          </w:tcPr>
          <w:p w14:paraId="28A3C696" w14:textId="77777777" w:rsidR="00173803" w:rsidRPr="00AB7860" w:rsidRDefault="00173803" w:rsidP="00F5730F">
            <w:pPr>
              <w:rPr>
                <w:sz w:val="22"/>
                <w:szCs w:val="22"/>
              </w:rPr>
            </w:pPr>
            <w:r w:rsidRPr="00AB7860">
              <w:rPr>
                <w:sz w:val="22"/>
                <w:szCs w:val="22"/>
              </w:rPr>
              <w:t>Konsoliduojantis gydymas</w:t>
            </w:r>
          </w:p>
        </w:tc>
        <w:tc>
          <w:tcPr>
            <w:tcW w:w="4530" w:type="dxa"/>
          </w:tcPr>
          <w:p w14:paraId="2E063080" w14:textId="77777777" w:rsidR="00173803" w:rsidRPr="00AB7860" w:rsidRDefault="00173803" w:rsidP="00F5730F">
            <w:pPr>
              <w:rPr>
                <w:sz w:val="22"/>
                <w:szCs w:val="22"/>
              </w:rPr>
            </w:pPr>
            <w:r w:rsidRPr="00AB7860">
              <w:t>Pakaitinis chemoterapijos kursas: aukštos dozės chemoterapija su MTX 1 g/m</w:t>
            </w:r>
            <w:r w:rsidRPr="00AB7860">
              <w:rPr>
                <w:vertAlign w:val="superscript"/>
              </w:rPr>
              <w:t>2</w:t>
            </w:r>
            <w:r w:rsidRPr="00AB7860">
              <w:t xml:space="preserve"> i.v. (24 valandos), 1 dieną, ir Ara-C 2 g/m</w:t>
            </w:r>
            <w:r w:rsidRPr="00AB7860">
              <w:rPr>
                <w:vertAlign w:val="superscript"/>
              </w:rPr>
              <w:t>2</w:t>
            </w:r>
            <w:r w:rsidRPr="00AB7860">
              <w:t xml:space="preserve"> i.v. (12</w:t>
            </w:r>
          </w:p>
          <w:p w14:paraId="3E7F6755" w14:textId="77777777" w:rsidR="00173803" w:rsidRPr="00AB7860" w:rsidRDefault="00173803" w:rsidP="00F5730F">
            <w:pPr>
              <w:rPr>
                <w:sz w:val="22"/>
                <w:szCs w:val="22"/>
              </w:rPr>
            </w:pPr>
            <w:r w:rsidRPr="00AB7860">
              <w:t>valandų), 2-3 dieną, 4 kursus</w:t>
            </w:r>
          </w:p>
        </w:tc>
      </w:tr>
      <w:tr w:rsidR="00173803" w:rsidRPr="00AB7860" w14:paraId="0532EDCA" w14:textId="77777777" w:rsidTr="00F5730F">
        <w:tc>
          <w:tcPr>
            <w:tcW w:w="4530" w:type="dxa"/>
          </w:tcPr>
          <w:p w14:paraId="373B5F01" w14:textId="77777777" w:rsidR="00173803" w:rsidRPr="00AB7860" w:rsidRDefault="00173803" w:rsidP="00F5730F">
            <w:pPr>
              <w:rPr>
                <w:sz w:val="22"/>
                <w:szCs w:val="22"/>
              </w:rPr>
            </w:pPr>
            <w:r w:rsidRPr="00AB7860">
              <w:rPr>
                <w:sz w:val="22"/>
                <w:szCs w:val="22"/>
              </w:rPr>
              <w:t>Palaikomasis gydymas</w:t>
            </w:r>
          </w:p>
        </w:tc>
        <w:tc>
          <w:tcPr>
            <w:tcW w:w="4530" w:type="dxa"/>
          </w:tcPr>
          <w:p w14:paraId="7BB86F45" w14:textId="77777777" w:rsidR="00173803" w:rsidRPr="00AB7860" w:rsidRDefault="00173803" w:rsidP="00F5730F">
            <w:pPr>
              <w:rPr>
                <w:sz w:val="22"/>
                <w:szCs w:val="22"/>
              </w:rPr>
            </w:pPr>
            <w:r w:rsidRPr="00AB7860">
              <w:t>VCR 1,3 g/m</w:t>
            </w:r>
            <w:r w:rsidRPr="00AB7860">
              <w:rPr>
                <w:vertAlign w:val="superscript"/>
              </w:rPr>
              <w:t>2</w:t>
            </w:r>
            <w:r w:rsidRPr="00AB7860">
              <w:t xml:space="preserve"> i.v., 1 dieną; </w:t>
            </w:r>
          </w:p>
          <w:p w14:paraId="6D9195F6" w14:textId="77777777" w:rsidR="00173803" w:rsidRPr="00AB7860" w:rsidRDefault="00173803" w:rsidP="00F5730F">
            <w:pPr>
              <w:rPr>
                <w:sz w:val="22"/>
                <w:szCs w:val="22"/>
              </w:rPr>
            </w:pPr>
            <w:r w:rsidRPr="00AB7860">
              <w:t>gerti prednizoloną 60 mg/m</w:t>
            </w:r>
            <w:r w:rsidRPr="00AB7860">
              <w:rPr>
                <w:vertAlign w:val="superscript"/>
              </w:rPr>
              <w:t>2</w:t>
            </w:r>
            <w:r w:rsidRPr="00AB7860">
              <w:t>, 1-5 dienas</w:t>
            </w:r>
          </w:p>
        </w:tc>
      </w:tr>
      <w:tr w:rsidR="00173803" w:rsidRPr="00AB7860" w14:paraId="5C246FDE" w14:textId="77777777" w:rsidTr="00F5730F">
        <w:tc>
          <w:tcPr>
            <w:tcW w:w="9060" w:type="dxa"/>
            <w:gridSpan w:val="2"/>
          </w:tcPr>
          <w:p w14:paraId="0DD915C2" w14:textId="77777777" w:rsidR="00173803" w:rsidRPr="00B36BCA" w:rsidRDefault="00173803" w:rsidP="00F5730F">
            <w:pPr>
              <w:rPr>
                <w:sz w:val="22"/>
                <w:szCs w:val="22"/>
              </w:rPr>
            </w:pPr>
            <w:r w:rsidRPr="00AB7860">
              <w:rPr>
                <w:b/>
                <w:bCs/>
                <w:sz w:val="22"/>
                <w:szCs w:val="22"/>
              </w:rPr>
              <w:t>AUS01 tyrimas</w:t>
            </w:r>
          </w:p>
        </w:tc>
      </w:tr>
      <w:tr w:rsidR="00173803" w:rsidRPr="00AB7860" w14:paraId="7C0B8EC2" w14:textId="77777777" w:rsidTr="00F5730F">
        <w:tc>
          <w:tcPr>
            <w:tcW w:w="4530" w:type="dxa"/>
          </w:tcPr>
          <w:p w14:paraId="7CE480EB" w14:textId="77777777" w:rsidR="00173803" w:rsidRPr="00AB7860" w:rsidRDefault="00173803" w:rsidP="00F5730F">
            <w:pPr>
              <w:rPr>
                <w:sz w:val="22"/>
                <w:szCs w:val="22"/>
              </w:rPr>
            </w:pPr>
            <w:r w:rsidRPr="00AB7860">
              <w:rPr>
                <w:sz w:val="22"/>
                <w:szCs w:val="22"/>
              </w:rPr>
              <w:t>Pradinis- konsoliduojantis gydymas</w:t>
            </w:r>
          </w:p>
        </w:tc>
        <w:tc>
          <w:tcPr>
            <w:tcW w:w="4530" w:type="dxa"/>
          </w:tcPr>
          <w:p w14:paraId="6532BF70" w14:textId="77777777" w:rsidR="00173803" w:rsidRPr="00AB7860" w:rsidRDefault="00173803" w:rsidP="00F5730F">
            <w:pPr>
              <w:rPr>
                <w:sz w:val="22"/>
                <w:szCs w:val="22"/>
              </w:rPr>
            </w:pPr>
            <w:r w:rsidRPr="00AB7860">
              <w:t>Hiper-CVAD gydymas: CP 300 mg/m</w:t>
            </w:r>
            <w:r w:rsidRPr="00AB7860">
              <w:rPr>
                <w:vertAlign w:val="superscript"/>
              </w:rPr>
              <w:t>2</w:t>
            </w:r>
            <w:r w:rsidRPr="00AB7860">
              <w:t xml:space="preserve"> i.v. (3 valandos, 12 valandų), 1-3 dienas; vinkristinas 2 mg i.v., 4, 11 dieną; </w:t>
            </w:r>
          </w:p>
          <w:p w14:paraId="66E7267E" w14:textId="77777777" w:rsidR="00173803" w:rsidRPr="00AB7860" w:rsidRDefault="00173803" w:rsidP="00F5730F">
            <w:pPr>
              <w:rPr>
                <w:sz w:val="22"/>
                <w:szCs w:val="22"/>
              </w:rPr>
            </w:pPr>
            <w:r w:rsidRPr="00AB7860">
              <w:t>doksorubicinas 50 mg/m</w:t>
            </w:r>
            <w:r w:rsidRPr="00AB7860">
              <w:rPr>
                <w:vertAlign w:val="superscript"/>
              </w:rPr>
              <w:t>2</w:t>
            </w:r>
            <w:r w:rsidRPr="00AB7860">
              <w:t xml:space="preserve"> i.v. (24 valandos), 4 dieną; </w:t>
            </w:r>
          </w:p>
          <w:p w14:paraId="4CBCA4D0" w14:textId="77777777" w:rsidR="00173803" w:rsidRPr="00AB7860" w:rsidRDefault="00173803" w:rsidP="00F5730F">
            <w:pPr>
              <w:rPr>
                <w:sz w:val="22"/>
                <w:szCs w:val="22"/>
              </w:rPr>
            </w:pPr>
            <w:r w:rsidRPr="00AB7860">
              <w:t>DEX 40 mg/per parą 1-4 dienas ir 11-14 dienas, keičiamas MTX 1 g/m</w:t>
            </w:r>
            <w:r w:rsidRPr="00AB7860">
              <w:rPr>
                <w:vertAlign w:val="superscript"/>
              </w:rPr>
              <w:t>2</w:t>
            </w:r>
            <w:r w:rsidRPr="00AB7860">
              <w:t xml:space="preserve"> i.v. (24 valandos), 1 dieną, Ara-C 1 g/m</w:t>
            </w:r>
            <w:r w:rsidRPr="00AB7860">
              <w:rPr>
                <w:vertAlign w:val="superscript"/>
              </w:rPr>
              <w:t>2</w:t>
            </w:r>
            <w:r w:rsidRPr="00AB7860">
              <w:t xml:space="preserve"> i.v. (2 valandos, 12 valandų), 2-3 dieną (iš viso 8 kursai)</w:t>
            </w:r>
          </w:p>
        </w:tc>
      </w:tr>
      <w:tr w:rsidR="00173803" w:rsidRPr="00AB7860" w14:paraId="6BAD8663" w14:textId="77777777" w:rsidTr="00F5730F">
        <w:tc>
          <w:tcPr>
            <w:tcW w:w="4530" w:type="dxa"/>
          </w:tcPr>
          <w:p w14:paraId="6270A874" w14:textId="77777777" w:rsidR="00173803" w:rsidRPr="00AB7860" w:rsidRDefault="00173803" w:rsidP="00F5730F">
            <w:pPr>
              <w:rPr>
                <w:sz w:val="22"/>
                <w:szCs w:val="22"/>
              </w:rPr>
            </w:pPr>
            <w:r w:rsidRPr="00AB7860">
              <w:rPr>
                <w:sz w:val="22"/>
                <w:szCs w:val="22"/>
              </w:rPr>
              <w:t>Palaikomasis gydymas</w:t>
            </w:r>
          </w:p>
        </w:tc>
        <w:tc>
          <w:tcPr>
            <w:tcW w:w="4530" w:type="dxa"/>
          </w:tcPr>
          <w:p w14:paraId="16FB4D46" w14:textId="77777777" w:rsidR="00173803" w:rsidRPr="00AB7860" w:rsidRDefault="00173803" w:rsidP="00F5730F">
            <w:pPr>
              <w:rPr>
                <w:sz w:val="22"/>
                <w:szCs w:val="22"/>
              </w:rPr>
            </w:pPr>
            <w:r w:rsidRPr="00AB7860">
              <w:t xml:space="preserve">VCR 2 mg i.v. kas mėnesį 13 mėnesių; </w:t>
            </w:r>
          </w:p>
          <w:p w14:paraId="41D035D2" w14:textId="77777777" w:rsidR="00173803" w:rsidRPr="00AB7860" w:rsidRDefault="00173803" w:rsidP="00F5730F">
            <w:pPr>
              <w:rPr>
                <w:sz w:val="22"/>
                <w:szCs w:val="22"/>
              </w:rPr>
            </w:pPr>
            <w:r w:rsidRPr="00AB7860">
              <w:t>gerti prednizoloną po 200 mg, 5 dienas per mėnesį 13 mėnesių</w:t>
            </w:r>
          </w:p>
        </w:tc>
      </w:tr>
      <w:tr w:rsidR="00173803" w:rsidRPr="00AB7860" w14:paraId="36991D5F" w14:textId="77777777" w:rsidTr="00F5730F">
        <w:tc>
          <w:tcPr>
            <w:tcW w:w="9060" w:type="dxa"/>
            <w:gridSpan w:val="2"/>
          </w:tcPr>
          <w:p w14:paraId="7B0980A4" w14:textId="77777777" w:rsidR="00173803" w:rsidRPr="00AB7860" w:rsidRDefault="00173803" w:rsidP="00F5730F">
            <w:pPr>
              <w:rPr>
                <w:sz w:val="22"/>
                <w:szCs w:val="22"/>
              </w:rPr>
            </w:pPr>
            <w:r w:rsidRPr="00AB7860">
              <w:rPr>
                <w:sz w:val="22"/>
                <w:szCs w:val="22"/>
              </w:rPr>
              <w:t>Visi gydymo režimai taikomi vartojant steroidų CNS ligų profilaktikai.</w:t>
            </w:r>
          </w:p>
        </w:tc>
      </w:tr>
      <w:tr w:rsidR="00173803" w:rsidRPr="00AB7860" w14:paraId="3AFAEC6A" w14:textId="77777777" w:rsidTr="00F5730F">
        <w:tc>
          <w:tcPr>
            <w:tcW w:w="9060" w:type="dxa"/>
            <w:gridSpan w:val="2"/>
          </w:tcPr>
          <w:p w14:paraId="2B08A0DA" w14:textId="77777777" w:rsidR="00173803" w:rsidRPr="00AB7860" w:rsidRDefault="00173803" w:rsidP="00F5730F">
            <w:pPr>
              <w:rPr>
                <w:sz w:val="22"/>
                <w:szCs w:val="22"/>
              </w:rPr>
            </w:pPr>
            <w:r w:rsidRPr="00AB7860">
              <w:rPr>
                <w:sz w:val="22"/>
                <w:szCs w:val="22"/>
              </w:rPr>
              <w:t>Ara-C: citozino arabinozidas; CP: ciklofosfamidas; DEX: deksametazonas; MTX:</w:t>
            </w:r>
          </w:p>
          <w:p w14:paraId="050F8EC9" w14:textId="77777777" w:rsidR="00173803" w:rsidRPr="00AB7860" w:rsidRDefault="00173803" w:rsidP="00F5730F">
            <w:pPr>
              <w:rPr>
                <w:sz w:val="22"/>
                <w:szCs w:val="22"/>
              </w:rPr>
            </w:pPr>
            <w:r w:rsidRPr="00AB7860">
              <w:t>metotreksatas; 6-MP: 6-merkaptopurinas; VM26: tenipozidas; VCR: vinkristinas; IDA:</w:t>
            </w:r>
          </w:p>
          <w:p w14:paraId="40E5625A" w14:textId="77777777" w:rsidR="00173803" w:rsidRPr="00AB7860" w:rsidRDefault="00173803" w:rsidP="00F5730F">
            <w:pPr>
              <w:rPr>
                <w:sz w:val="22"/>
                <w:szCs w:val="22"/>
              </w:rPr>
            </w:pPr>
            <w:r w:rsidRPr="00AB7860">
              <w:lastRenderedPageBreak/>
              <w:t>idarubicinas; i.v.: vartoti į veną</w:t>
            </w:r>
          </w:p>
        </w:tc>
      </w:tr>
    </w:tbl>
    <w:p w14:paraId="474C708E" w14:textId="77777777" w:rsidR="00173803" w:rsidRPr="00AB7860" w:rsidRDefault="00173803" w:rsidP="00173803">
      <w:pPr>
        <w:spacing w:after="0" w:line="240" w:lineRule="auto"/>
        <w:rPr>
          <w:rFonts w:ascii="Times New Roman" w:hAnsi="Times New Roman" w:cs="Times New Roman"/>
          <w:lang w:val="lt-LT"/>
        </w:rPr>
      </w:pPr>
    </w:p>
    <w:p w14:paraId="5A86CD74"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i/>
          <w:lang w:val="lt-LT"/>
        </w:rPr>
        <w:t>Vaikų populiacija</w:t>
      </w:r>
    </w:p>
    <w:p w14:paraId="0084BB21"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lang w:val="lt-LT"/>
        </w:rPr>
        <w:t>Į atvirąjį, daugiacentrį, nuoseklių kohortų, ne atsitiktinių imčių, III fazės klinikinį tyrimą I2301 buvo įtraukta iš viso 93 vaikai, paaugliai ir jauni suaugę pacientai (nuo 1 iki 22 metų), kurie sirgo Ph+ ŪLL. Šio tyrimo metu pacientams po indukcinio gydymo buvo skiriamas imatinibas (po 340 mg/m</w:t>
      </w:r>
      <w:r w:rsidRPr="00AB7860">
        <w:rPr>
          <w:rFonts w:ascii="Times New Roman" w:eastAsia="Times New Roman" w:hAnsi="Times New Roman" w:cs="Times New Roman"/>
          <w:vertAlign w:val="superscript"/>
          <w:lang w:val="lt-LT"/>
        </w:rPr>
        <w:t>2</w:t>
      </w:r>
      <w:r w:rsidRPr="00AB7860">
        <w:rPr>
          <w:rFonts w:ascii="Times New Roman" w:eastAsia="Times New Roman" w:hAnsi="Times New Roman" w:cs="Times New Roman"/>
          <w:lang w:val="lt-LT"/>
        </w:rPr>
        <w:t xml:space="preserve"> per parą) kartu su intensyvia chemoterapija. 1-5 kohortų pacientams imatinibas buvo skiriamas netolygiai, skirtingose kohortose vaistinio praparato buvo skiriama didėjančia trukme ir gydymas buvo pradedamas anksčiau arba vėliau; 1-osios kohortos pacientams buvo skiriamas mažiausio intensyvumo gydymas, o 5-osios kohortos pacientams buvo skiriamas intensyviausias gydymas imatinibu (ilgiausia vartojimo trukmė dienomis ir tęstinis imatinibo dozavimas kasdien pirmųjų chemoterapijos kursų metu). Skiriant tęstinį gydymą imatinibu kasdien nuo pat chemoterapijos kursų pradžios, 5-osios kohortos pacientų (n=50) 4 metų trukmės išgyvenamumo be recidyvų (angl. event-free survival – EFS) rodiklis pagerėjo, lyginant su istoriniais duomenimis (n=120), kai pastaruoju atveju pacientams buvo skiriama standartinė chemoterapija be imatinibo (atitinkamai 69,6 %, lyginant su 31,6 %). Tikėtinas 4 metų trukmės bendrojo išgyvenamumo rodiklis 5-osios kohortos pacientams buvo 83,6 %, lyginant su 44,8 % istoriniais duomenimis. 20 iš 50 (40 %) 5-osios kohortos pacientų buvo atlikta hematopoetinių kamieninių ląstelių transplantacija.</w:t>
      </w:r>
    </w:p>
    <w:p w14:paraId="7F0B883F" w14:textId="77777777" w:rsidR="00173803" w:rsidRPr="00AB7860" w:rsidRDefault="00173803" w:rsidP="00173803">
      <w:pPr>
        <w:spacing w:after="0" w:line="240" w:lineRule="auto"/>
        <w:rPr>
          <w:rFonts w:ascii="Times New Roman" w:eastAsia="Times New Roman" w:hAnsi="Times New Roman" w:cs="Times New Roman"/>
          <w:lang w:val="lt-LT"/>
        </w:rPr>
      </w:pPr>
    </w:p>
    <w:p w14:paraId="7876DFFB" w14:textId="77777777" w:rsidR="00173803" w:rsidRPr="00AB7860" w:rsidRDefault="000909FB" w:rsidP="00173803">
      <w:pPr>
        <w:spacing w:after="0" w:line="240" w:lineRule="auto"/>
        <w:rPr>
          <w:rFonts w:ascii="Times New Roman" w:eastAsia="Times New Roman" w:hAnsi="Times New Roman" w:cs="Times New Roman"/>
          <w:b/>
          <w:lang w:val="lt-LT"/>
        </w:rPr>
      </w:pPr>
      <w:r w:rsidRPr="00AB7860">
        <w:rPr>
          <w:rFonts w:ascii="Times New Roman" w:eastAsia="Times New Roman" w:hAnsi="Times New Roman" w:cs="Times New Roman"/>
          <w:b/>
          <w:lang w:val="lt-LT"/>
        </w:rPr>
        <w:t>5</w:t>
      </w:r>
      <w:r w:rsidR="00173803" w:rsidRPr="00AB7860">
        <w:rPr>
          <w:rFonts w:ascii="Times New Roman" w:eastAsia="Times New Roman" w:hAnsi="Times New Roman" w:cs="Times New Roman"/>
          <w:b/>
          <w:lang w:val="lt-LT"/>
        </w:rPr>
        <w:t xml:space="preserve"> lentelė Chemoterapijos gydymas, skirtas kartu su imatinibu I2301 tyrimo metu</w:t>
      </w:r>
    </w:p>
    <w:p w14:paraId="037B98BF" w14:textId="77777777" w:rsidR="00173803" w:rsidRPr="00AB7860" w:rsidRDefault="00173803" w:rsidP="00173803">
      <w:pPr>
        <w:spacing w:after="0" w:line="240" w:lineRule="auto"/>
        <w:rPr>
          <w:rFonts w:ascii="Times New Roman" w:eastAsia="Times New Roman" w:hAnsi="Times New Roman" w:cs="Times New Roman"/>
          <w:lang w:val="lt-LT"/>
        </w:rPr>
      </w:pPr>
    </w:p>
    <w:tbl>
      <w:tblPr>
        <w:tblStyle w:val="Lentelstinklelis"/>
        <w:tblW w:w="0" w:type="auto"/>
        <w:tblLook w:val="04A0" w:firstRow="1" w:lastRow="0" w:firstColumn="1" w:lastColumn="0" w:noHBand="0" w:noVBand="1"/>
      </w:tblPr>
      <w:tblGrid>
        <w:gridCol w:w="4703"/>
        <w:gridCol w:w="4691"/>
      </w:tblGrid>
      <w:tr w:rsidR="00173803" w:rsidRPr="00AB7860" w14:paraId="49A5410A" w14:textId="77777777" w:rsidTr="00F5730F">
        <w:tc>
          <w:tcPr>
            <w:tcW w:w="4788" w:type="dxa"/>
          </w:tcPr>
          <w:p w14:paraId="379F94E7" w14:textId="77777777" w:rsidR="00173803" w:rsidRPr="00AB7860" w:rsidRDefault="00173803" w:rsidP="00F5730F">
            <w:pPr>
              <w:rPr>
                <w:sz w:val="22"/>
                <w:szCs w:val="22"/>
              </w:rPr>
            </w:pPr>
            <w:r w:rsidRPr="00AB7860">
              <w:t xml:space="preserve">Konsoliduojančio gydymo blokas 1 </w:t>
            </w:r>
          </w:p>
          <w:p w14:paraId="002040A2" w14:textId="77777777" w:rsidR="00173803" w:rsidRPr="00AB7860" w:rsidRDefault="00173803" w:rsidP="00F5730F">
            <w:pPr>
              <w:rPr>
                <w:sz w:val="22"/>
                <w:szCs w:val="22"/>
              </w:rPr>
            </w:pPr>
            <w:r w:rsidRPr="00AB7860">
              <w:t>(3 savaitės)</w:t>
            </w:r>
          </w:p>
        </w:tc>
        <w:tc>
          <w:tcPr>
            <w:tcW w:w="4788" w:type="dxa"/>
          </w:tcPr>
          <w:p w14:paraId="705C2ABD" w14:textId="77777777" w:rsidR="00173803" w:rsidRPr="00AB7860" w:rsidRDefault="00173803" w:rsidP="00F5730F">
            <w:pPr>
              <w:rPr>
                <w:sz w:val="22"/>
                <w:szCs w:val="22"/>
              </w:rPr>
            </w:pPr>
            <w:r w:rsidRPr="00AB7860">
              <w:t>VP-16 (100 mg/m</w:t>
            </w:r>
            <w:r w:rsidRPr="00AB7860">
              <w:rPr>
                <w:vertAlign w:val="superscript"/>
              </w:rPr>
              <w:t>2</w:t>
            </w:r>
            <w:r w:rsidRPr="00AB7860">
              <w:t xml:space="preserve"> per parą, IV): 1-5 dienos </w:t>
            </w:r>
          </w:p>
          <w:p w14:paraId="1AE09517" w14:textId="77777777" w:rsidR="00173803" w:rsidRPr="00AB7860" w:rsidRDefault="00173803" w:rsidP="00F5730F">
            <w:pPr>
              <w:rPr>
                <w:sz w:val="22"/>
                <w:szCs w:val="22"/>
              </w:rPr>
            </w:pPr>
            <w:r w:rsidRPr="00AB7860">
              <w:t>Ifosfamidas (1,8 g/m</w:t>
            </w:r>
            <w:r w:rsidRPr="00AB7860">
              <w:rPr>
                <w:vertAlign w:val="superscript"/>
              </w:rPr>
              <w:t>2</w:t>
            </w:r>
            <w:r w:rsidRPr="00AB7860">
              <w:t xml:space="preserve"> per parą, IV): 1-5 dienos </w:t>
            </w:r>
          </w:p>
          <w:p w14:paraId="34C461F5" w14:textId="77777777" w:rsidR="00173803" w:rsidRPr="00AB7860" w:rsidRDefault="00173803" w:rsidP="00F5730F">
            <w:pPr>
              <w:rPr>
                <w:sz w:val="22"/>
                <w:szCs w:val="22"/>
              </w:rPr>
            </w:pPr>
            <w:r w:rsidRPr="00AB7860">
              <w:t>MESNA (po 360 mg/m</w:t>
            </w:r>
            <w:r w:rsidRPr="00AB7860">
              <w:rPr>
                <w:vertAlign w:val="superscript"/>
              </w:rPr>
              <w:t>2</w:t>
            </w:r>
            <w:r w:rsidRPr="00AB7860">
              <w:t xml:space="preserve"> dozę q3h, 8 dozės per parą, IV): 1-5 dienos </w:t>
            </w:r>
          </w:p>
          <w:p w14:paraId="6CEEBC3B" w14:textId="77777777" w:rsidR="00173803" w:rsidRPr="00AB7860" w:rsidRDefault="00173803" w:rsidP="00F5730F">
            <w:pPr>
              <w:rPr>
                <w:sz w:val="22"/>
                <w:szCs w:val="22"/>
              </w:rPr>
            </w:pPr>
            <w:r w:rsidRPr="00AB7860">
              <w:t xml:space="preserve">G-CSF (5 μg/kg, SC): 6-15 dienos arba kol ANS bus &gt; 1500 nuo žemiausios reikšmės </w:t>
            </w:r>
          </w:p>
          <w:p w14:paraId="1DB82789" w14:textId="77777777" w:rsidR="00173803" w:rsidRPr="00AB7860" w:rsidRDefault="00173803" w:rsidP="00F5730F">
            <w:pPr>
              <w:rPr>
                <w:sz w:val="22"/>
                <w:szCs w:val="22"/>
              </w:rPr>
            </w:pPr>
            <w:r w:rsidRPr="00AB7860">
              <w:t xml:space="preserve">IT Metotreksatas (dozė priklausomai nuo amžiaus): TIK 1-ąją dieną </w:t>
            </w:r>
          </w:p>
          <w:p w14:paraId="3CD16F3D" w14:textId="77777777" w:rsidR="00173803" w:rsidRPr="00AB7860" w:rsidRDefault="00173803" w:rsidP="00F5730F">
            <w:pPr>
              <w:rPr>
                <w:sz w:val="22"/>
                <w:szCs w:val="22"/>
              </w:rPr>
            </w:pPr>
            <w:r w:rsidRPr="00AB7860">
              <w:t>Trigubas IT gydymas (dozė priklausomai nuo amžiaus): 8, 15 dienos</w:t>
            </w:r>
          </w:p>
        </w:tc>
      </w:tr>
      <w:tr w:rsidR="00173803" w:rsidRPr="00AB7860" w14:paraId="25A822E5" w14:textId="77777777" w:rsidTr="00F5730F">
        <w:tc>
          <w:tcPr>
            <w:tcW w:w="4788" w:type="dxa"/>
          </w:tcPr>
          <w:p w14:paraId="63BCFA37" w14:textId="77777777" w:rsidR="00173803" w:rsidRPr="00AB7860" w:rsidRDefault="00173803" w:rsidP="00F5730F">
            <w:pPr>
              <w:rPr>
                <w:sz w:val="22"/>
                <w:szCs w:val="22"/>
              </w:rPr>
            </w:pPr>
            <w:r w:rsidRPr="00AB7860">
              <w:rPr>
                <w:sz w:val="22"/>
                <w:szCs w:val="22"/>
              </w:rPr>
              <w:t xml:space="preserve">Konsoliduojančio gydymo blokas 2 </w:t>
            </w:r>
          </w:p>
          <w:p w14:paraId="63D80B29" w14:textId="77777777" w:rsidR="00173803" w:rsidRPr="00AB7860" w:rsidRDefault="00173803" w:rsidP="00F5730F">
            <w:pPr>
              <w:rPr>
                <w:sz w:val="22"/>
                <w:szCs w:val="22"/>
              </w:rPr>
            </w:pPr>
            <w:r w:rsidRPr="00AB7860">
              <w:t>(3 savaitės)</w:t>
            </w:r>
          </w:p>
        </w:tc>
        <w:tc>
          <w:tcPr>
            <w:tcW w:w="4788" w:type="dxa"/>
          </w:tcPr>
          <w:p w14:paraId="72311568" w14:textId="77777777" w:rsidR="00173803" w:rsidRPr="00AB7860" w:rsidRDefault="00173803" w:rsidP="00F5730F">
            <w:pPr>
              <w:rPr>
                <w:sz w:val="22"/>
                <w:szCs w:val="22"/>
              </w:rPr>
            </w:pPr>
            <w:r w:rsidRPr="00AB7860">
              <w:t>Metotreksatas (5 g/m</w:t>
            </w:r>
            <w:r w:rsidRPr="00AB7860">
              <w:rPr>
                <w:vertAlign w:val="superscript"/>
              </w:rPr>
              <w:t>2</w:t>
            </w:r>
            <w:r w:rsidRPr="00AB7860">
              <w:t xml:space="preserve"> per 24 valandas, IV): 1-ąją dieną </w:t>
            </w:r>
          </w:p>
          <w:p w14:paraId="600F3E1A" w14:textId="77777777" w:rsidR="00173803" w:rsidRPr="00AB7860" w:rsidRDefault="00173803" w:rsidP="00F5730F">
            <w:pPr>
              <w:rPr>
                <w:sz w:val="22"/>
                <w:szCs w:val="22"/>
              </w:rPr>
            </w:pPr>
            <w:r w:rsidRPr="00AB7860">
              <w:t>Leukovorinas (75 mg/m</w:t>
            </w:r>
            <w:r w:rsidRPr="00AB7860">
              <w:rPr>
                <w:vertAlign w:val="superscript"/>
              </w:rPr>
              <w:t>2</w:t>
            </w:r>
            <w:r w:rsidRPr="00AB7860">
              <w:t xml:space="preserve"> po 36 valandų, IV; 15 mg/m</w:t>
            </w:r>
            <w:r w:rsidRPr="00AB7860">
              <w:rPr>
                <w:vertAlign w:val="superscript"/>
              </w:rPr>
              <w:t>2</w:t>
            </w:r>
            <w:r w:rsidRPr="00AB7860">
              <w:t xml:space="preserve"> IV ar PO q6h x 6 dozės) iii: 2-ąją ir 3-iąją dienomis </w:t>
            </w:r>
          </w:p>
          <w:p w14:paraId="43CE4715" w14:textId="77777777" w:rsidR="00173803" w:rsidRPr="00AB7860" w:rsidRDefault="00173803" w:rsidP="00F5730F">
            <w:pPr>
              <w:rPr>
                <w:sz w:val="22"/>
                <w:szCs w:val="22"/>
              </w:rPr>
            </w:pPr>
            <w:r w:rsidRPr="00AB7860">
              <w:t xml:space="preserve">Trigubas IT gydymas (dozė priklausomai nuo amžiaus): 1-ąją dieną </w:t>
            </w:r>
          </w:p>
          <w:p w14:paraId="5B89D016" w14:textId="77777777" w:rsidR="00173803" w:rsidRPr="00AB7860" w:rsidRDefault="00173803" w:rsidP="00F5730F">
            <w:pPr>
              <w:rPr>
                <w:sz w:val="22"/>
                <w:szCs w:val="22"/>
              </w:rPr>
            </w:pPr>
            <w:r w:rsidRPr="00AB7860">
              <w:t>ARA-C (3 g/m</w:t>
            </w:r>
            <w:r w:rsidRPr="00AB7860">
              <w:rPr>
                <w:vertAlign w:val="superscript"/>
              </w:rPr>
              <w:t>2</w:t>
            </w:r>
            <w:r w:rsidRPr="00AB7860">
              <w:t xml:space="preserve"> dozė q12h x 4, IV): 2-ąją ir 3-iąją dienomis </w:t>
            </w:r>
          </w:p>
          <w:p w14:paraId="5100C591" w14:textId="77777777" w:rsidR="00173803" w:rsidRPr="00AB7860" w:rsidRDefault="00173803" w:rsidP="00F5730F">
            <w:pPr>
              <w:rPr>
                <w:sz w:val="22"/>
                <w:szCs w:val="22"/>
              </w:rPr>
            </w:pPr>
            <w:r w:rsidRPr="00AB7860">
              <w:t>G-CSF (5 μg/kg, SC): 4-13 dienos arba kol ANS bus &gt; 1500 nuo žemiausios reikšmės</w:t>
            </w:r>
          </w:p>
        </w:tc>
      </w:tr>
      <w:tr w:rsidR="00173803" w:rsidRPr="00AB7860" w14:paraId="37358601" w14:textId="77777777" w:rsidTr="00F5730F">
        <w:tc>
          <w:tcPr>
            <w:tcW w:w="4788" w:type="dxa"/>
          </w:tcPr>
          <w:p w14:paraId="3E4F6F27" w14:textId="77777777" w:rsidR="00173803" w:rsidRPr="00AB7860" w:rsidRDefault="00173803" w:rsidP="00F5730F">
            <w:pPr>
              <w:rPr>
                <w:sz w:val="22"/>
                <w:szCs w:val="22"/>
              </w:rPr>
            </w:pPr>
            <w:r w:rsidRPr="00AB7860">
              <w:rPr>
                <w:sz w:val="22"/>
                <w:szCs w:val="22"/>
              </w:rPr>
              <w:t xml:space="preserve">Reindukcinio gydymo blokas 1 </w:t>
            </w:r>
          </w:p>
          <w:p w14:paraId="0867FB58" w14:textId="77777777" w:rsidR="00173803" w:rsidRPr="00AB7860" w:rsidRDefault="00173803" w:rsidP="00F5730F">
            <w:pPr>
              <w:rPr>
                <w:sz w:val="22"/>
                <w:szCs w:val="22"/>
              </w:rPr>
            </w:pPr>
            <w:r w:rsidRPr="00AB7860">
              <w:t>(3 savaitės)</w:t>
            </w:r>
          </w:p>
        </w:tc>
        <w:tc>
          <w:tcPr>
            <w:tcW w:w="4788" w:type="dxa"/>
          </w:tcPr>
          <w:p w14:paraId="18222016" w14:textId="77777777" w:rsidR="00173803" w:rsidRPr="00AB7860" w:rsidRDefault="00173803" w:rsidP="00F5730F">
            <w:pPr>
              <w:rPr>
                <w:sz w:val="22"/>
                <w:szCs w:val="22"/>
              </w:rPr>
            </w:pPr>
            <w:r w:rsidRPr="00AB7860">
              <w:t>VCR (1,5 mg/m</w:t>
            </w:r>
            <w:r w:rsidRPr="00AB7860">
              <w:rPr>
                <w:vertAlign w:val="superscript"/>
              </w:rPr>
              <w:t>2</w:t>
            </w:r>
            <w:r w:rsidRPr="00AB7860">
              <w:t xml:space="preserve"> per parą, IV): 1, 8 ir 15 dienos </w:t>
            </w:r>
          </w:p>
          <w:p w14:paraId="7035998C" w14:textId="77777777" w:rsidR="00173803" w:rsidRPr="00AB7860" w:rsidRDefault="00173803" w:rsidP="00F5730F">
            <w:pPr>
              <w:rPr>
                <w:sz w:val="22"/>
                <w:szCs w:val="22"/>
              </w:rPr>
            </w:pPr>
            <w:r w:rsidRPr="00AB7860">
              <w:lastRenderedPageBreak/>
              <w:t>DAUN (45 mg/m</w:t>
            </w:r>
            <w:r w:rsidRPr="00AB7860">
              <w:rPr>
                <w:vertAlign w:val="superscript"/>
              </w:rPr>
              <w:t>2</w:t>
            </w:r>
            <w:r w:rsidRPr="00AB7860">
              <w:t xml:space="preserve"> per parą boliusu, IV): 1-ąją ir 2-ąją dienomis </w:t>
            </w:r>
          </w:p>
          <w:p w14:paraId="53507A7B" w14:textId="77777777" w:rsidR="00173803" w:rsidRPr="00AB7860" w:rsidRDefault="00173803" w:rsidP="00F5730F">
            <w:pPr>
              <w:rPr>
                <w:sz w:val="22"/>
                <w:szCs w:val="22"/>
              </w:rPr>
            </w:pPr>
            <w:r w:rsidRPr="00AB7860">
              <w:t>CPM (250 mg/m</w:t>
            </w:r>
            <w:r w:rsidRPr="00AB7860">
              <w:rPr>
                <w:vertAlign w:val="superscript"/>
              </w:rPr>
              <w:t>2</w:t>
            </w:r>
            <w:r w:rsidRPr="00AB7860">
              <w:t xml:space="preserve"> dozė q12h x 4 dozės, IV): 3-iąją ir 4-ąją dienomis </w:t>
            </w:r>
          </w:p>
          <w:p w14:paraId="5177ACCE" w14:textId="77777777" w:rsidR="00173803" w:rsidRPr="00AB7860" w:rsidRDefault="00173803" w:rsidP="00F5730F">
            <w:pPr>
              <w:rPr>
                <w:sz w:val="22"/>
                <w:szCs w:val="22"/>
              </w:rPr>
            </w:pPr>
            <w:r w:rsidRPr="00AB7860">
              <w:t>PEG-ASP (2500 TV/m</w:t>
            </w:r>
            <w:r w:rsidRPr="00AB7860">
              <w:rPr>
                <w:vertAlign w:val="superscript"/>
              </w:rPr>
              <w:t>2</w:t>
            </w:r>
            <w:r w:rsidRPr="00AB7860">
              <w:t xml:space="preserve">, IM): 4-ąją dieną </w:t>
            </w:r>
          </w:p>
          <w:p w14:paraId="772D38CB" w14:textId="77777777" w:rsidR="00173803" w:rsidRPr="00AB7860" w:rsidRDefault="00173803" w:rsidP="00F5730F">
            <w:pPr>
              <w:rPr>
                <w:sz w:val="22"/>
                <w:szCs w:val="22"/>
              </w:rPr>
            </w:pPr>
            <w:r w:rsidRPr="00AB7860">
              <w:t xml:space="preserve">G-CSF (5 μg/kg, SC): 5-14 dienos arba kol ANS bus &gt; 1500 nuo žemiausios reikšmės </w:t>
            </w:r>
          </w:p>
          <w:p w14:paraId="1CE8BB69" w14:textId="77777777" w:rsidR="00173803" w:rsidRPr="00AB7860" w:rsidRDefault="00173803" w:rsidP="00F5730F">
            <w:pPr>
              <w:rPr>
                <w:sz w:val="22"/>
                <w:szCs w:val="22"/>
              </w:rPr>
            </w:pPr>
            <w:r w:rsidRPr="00AB7860">
              <w:t xml:space="preserve">Trigubas IT gydymas (dozė priklausomai nuo amžiaus): 1-ąją ir 15-ąją dienomis </w:t>
            </w:r>
          </w:p>
          <w:p w14:paraId="276A61C5" w14:textId="77777777" w:rsidR="00173803" w:rsidRPr="00AB7860" w:rsidRDefault="00173803" w:rsidP="00F5730F">
            <w:pPr>
              <w:rPr>
                <w:sz w:val="22"/>
                <w:szCs w:val="22"/>
              </w:rPr>
            </w:pPr>
            <w:r w:rsidRPr="00AB7860">
              <w:t>DEX (6 mg/m</w:t>
            </w:r>
            <w:r w:rsidRPr="00AB7860">
              <w:rPr>
                <w:vertAlign w:val="superscript"/>
              </w:rPr>
              <w:t>2</w:t>
            </w:r>
            <w:r w:rsidRPr="00AB7860">
              <w:t xml:space="preserve"> per parą, PO): 1-7 dienos ir 15-21 dienos</w:t>
            </w:r>
          </w:p>
        </w:tc>
      </w:tr>
      <w:tr w:rsidR="00173803" w:rsidRPr="00AB7860" w14:paraId="79F6705D" w14:textId="77777777" w:rsidTr="00F5730F">
        <w:tc>
          <w:tcPr>
            <w:tcW w:w="4788" w:type="dxa"/>
          </w:tcPr>
          <w:p w14:paraId="1B629A20" w14:textId="77777777" w:rsidR="00173803" w:rsidRPr="00AB7860" w:rsidRDefault="00173803" w:rsidP="00F5730F">
            <w:pPr>
              <w:rPr>
                <w:sz w:val="22"/>
                <w:szCs w:val="22"/>
              </w:rPr>
            </w:pPr>
            <w:r w:rsidRPr="00AB7860">
              <w:rPr>
                <w:sz w:val="22"/>
                <w:szCs w:val="22"/>
              </w:rPr>
              <w:lastRenderedPageBreak/>
              <w:t xml:space="preserve">Intensyvinimo blokas 1 </w:t>
            </w:r>
          </w:p>
          <w:p w14:paraId="30BF7539" w14:textId="77777777" w:rsidR="00173803" w:rsidRPr="00AB7860" w:rsidRDefault="00173803" w:rsidP="00F5730F">
            <w:pPr>
              <w:rPr>
                <w:sz w:val="22"/>
                <w:szCs w:val="22"/>
              </w:rPr>
            </w:pPr>
            <w:r w:rsidRPr="00AB7860">
              <w:t>(9 savaitės)</w:t>
            </w:r>
          </w:p>
        </w:tc>
        <w:tc>
          <w:tcPr>
            <w:tcW w:w="4788" w:type="dxa"/>
          </w:tcPr>
          <w:p w14:paraId="3C00DD01" w14:textId="77777777" w:rsidR="00173803" w:rsidRPr="00AB7860" w:rsidRDefault="00173803" w:rsidP="00F5730F">
            <w:pPr>
              <w:rPr>
                <w:sz w:val="22"/>
                <w:szCs w:val="22"/>
              </w:rPr>
            </w:pPr>
            <w:r w:rsidRPr="00AB7860">
              <w:t>Metotreksatas (5 g/m</w:t>
            </w:r>
            <w:r w:rsidRPr="00AB7860">
              <w:rPr>
                <w:vertAlign w:val="superscript"/>
              </w:rPr>
              <w:t>2</w:t>
            </w:r>
            <w:r w:rsidRPr="00AB7860">
              <w:t xml:space="preserve"> per 24 valandas, IV): 1-ąją ir 15-ąją dienomis </w:t>
            </w:r>
          </w:p>
          <w:p w14:paraId="082B4C47" w14:textId="77777777" w:rsidR="00173803" w:rsidRPr="00AB7860" w:rsidRDefault="00173803" w:rsidP="00F5730F">
            <w:pPr>
              <w:rPr>
                <w:sz w:val="22"/>
                <w:szCs w:val="22"/>
              </w:rPr>
            </w:pPr>
            <w:r w:rsidRPr="00AB7860">
              <w:t>Leukovorinas (75 mg/m</w:t>
            </w:r>
            <w:r w:rsidRPr="00AB7860">
              <w:rPr>
                <w:vertAlign w:val="superscript"/>
              </w:rPr>
              <w:t>2</w:t>
            </w:r>
            <w:r w:rsidRPr="00AB7860">
              <w:t xml:space="preserve"> po 36 valandų, IV; 15 mg/m</w:t>
            </w:r>
            <w:r w:rsidRPr="00AB7860">
              <w:rPr>
                <w:vertAlign w:val="superscript"/>
              </w:rPr>
              <w:t>2</w:t>
            </w:r>
            <w:r w:rsidRPr="00AB7860">
              <w:t xml:space="preserve"> IV ar PO q6h x 6 dozės) iii: 2, 3, 16 ir 17 dienomis </w:t>
            </w:r>
          </w:p>
          <w:p w14:paraId="0019FC44" w14:textId="77777777" w:rsidR="00173803" w:rsidRPr="00AB7860" w:rsidRDefault="00173803" w:rsidP="00F5730F">
            <w:pPr>
              <w:rPr>
                <w:sz w:val="22"/>
                <w:szCs w:val="22"/>
              </w:rPr>
            </w:pPr>
            <w:r w:rsidRPr="00AB7860">
              <w:t xml:space="preserve">Trigubas IT gydymas (dozė priklausomai nuo amžiaus): 1-ąją ir 22-ąją dienomis </w:t>
            </w:r>
          </w:p>
          <w:p w14:paraId="7FEF6037" w14:textId="77777777" w:rsidR="00173803" w:rsidRPr="00AB7860" w:rsidRDefault="00173803" w:rsidP="00F5730F">
            <w:pPr>
              <w:rPr>
                <w:sz w:val="22"/>
                <w:szCs w:val="22"/>
              </w:rPr>
            </w:pPr>
            <w:r w:rsidRPr="00AB7860">
              <w:t>VP-16 (100 mg/m</w:t>
            </w:r>
            <w:r w:rsidRPr="00AB7860">
              <w:rPr>
                <w:vertAlign w:val="superscript"/>
              </w:rPr>
              <w:t>2</w:t>
            </w:r>
            <w:r w:rsidRPr="00AB7860">
              <w:t xml:space="preserve"> per parą, IV): 22-26 dienos </w:t>
            </w:r>
          </w:p>
          <w:p w14:paraId="1D4B21EF" w14:textId="77777777" w:rsidR="00173803" w:rsidRPr="00AB7860" w:rsidRDefault="00173803" w:rsidP="00F5730F">
            <w:pPr>
              <w:rPr>
                <w:sz w:val="22"/>
                <w:szCs w:val="22"/>
              </w:rPr>
            </w:pPr>
            <w:r w:rsidRPr="00AB7860">
              <w:t>CPM (300 mg/m</w:t>
            </w:r>
            <w:r w:rsidRPr="00AB7860">
              <w:rPr>
                <w:vertAlign w:val="superscript"/>
              </w:rPr>
              <w:t>2</w:t>
            </w:r>
            <w:r w:rsidRPr="00AB7860">
              <w:t xml:space="preserve"> per parą, IV): 22-26 dienos </w:t>
            </w:r>
          </w:p>
          <w:p w14:paraId="666189FD" w14:textId="77777777" w:rsidR="00173803" w:rsidRPr="00AB7860" w:rsidRDefault="00173803" w:rsidP="00F5730F">
            <w:pPr>
              <w:rPr>
                <w:sz w:val="22"/>
                <w:szCs w:val="22"/>
              </w:rPr>
            </w:pPr>
            <w:r w:rsidRPr="00AB7860">
              <w:t>MESNA (150 mg/m</w:t>
            </w:r>
            <w:r w:rsidRPr="00AB7860">
              <w:rPr>
                <w:vertAlign w:val="superscript"/>
              </w:rPr>
              <w:t>2</w:t>
            </w:r>
            <w:r w:rsidRPr="00AB7860">
              <w:t xml:space="preserve"> per parą, IV): 22-26 dienos </w:t>
            </w:r>
          </w:p>
          <w:p w14:paraId="46F7A9A5" w14:textId="77777777" w:rsidR="00173803" w:rsidRPr="00AB7860" w:rsidRDefault="00173803" w:rsidP="00F5730F">
            <w:pPr>
              <w:rPr>
                <w:sz w:val="22"/>
                <w:szCs w:val="22"/>
              </w:rPr>
            </w:pPr>
            <w:r w:rsidRPr="00AB7860">
              <w:t xml:space="preserve">G-CSF (5 μg/kg, SC): 27-36 dienos arba kol ANS bus &gt; 1500 nuo žemiausios reikšmės </w:t>
            </w:r>
          </w:p>
          <w:p w14:paraId="2633E6A6" w14:textId="77777777" w:rsidR="00173803" w:rsidRPr="00AB7860" w:rsidRDefault="00173803" w:rsidP="00F5730F">
            <w:pPr>
              <w:rPr>
                <w:sz w:val="22"/>
                <w:szCs w:val="22"/>
              </w:rPr>
            </w:pPr>
            <w:r w:rsidRPr="00AB7860">
              <w:t>ARA-C (3 g/m</w:t>
            </w:r>
            <w:r w:rsidRPr="00AB7860">
              <w:rPr>
                <w:vertAlign w:val="superscript"/>
              </w:rPr>
              <w:t>2</w:t>
            </w:r>
            <w:r w:rsidRPr="00AB7860">
              <w:t xml:space="preserve">, q12h, IV): 43, 44 dienomis </w:t>
            </w:r>
          </w:p>
          <w:p w14:paraId="302441A0" w14:textId="77777777" w:rsidR="00173803" w:rsidRPr="00AB7860" w:rsidRDefault="00173803" w:rsidP="00F5730F">
            <w:pPr>
              <w:rPr>
                <w:sz w:val="22"/>
                <w:szCs w:val="22"/>
              </w:rPr>
            </w:pPr>
            <w:r w:rsidRPr="00AB7860">
              <w:t>L-ASP (6000 TV/m</w:t>
            </w:r>
            <w:r w:rsidRPr="00AB7860">
              <w:rPr>
                <w:vertAlign w:val="superscript"/>
              </w:rPr>
              <w:t>2</w:t>
            </w:r>
            <w:r w:rsidRPr="00AB7860">
              <w:t>, IM): 44-ąją dieną</w:t>
            </w:r>
          </w:p>
        </w:tc>
      </w:tr>
      <w:tr w:rsidR="00173803" w:rsidRPr="00AB7860" w14:paraId="35C8C59E" w14:textId="77777777" w:rsidTr="00F5730F">
        <w:tc>
          <w:tcPr>
            <w:tcW w:w="4788" w:type="dxa"/>
          </w:tcPr>
          <w:p w14:paraId="7E41866F" w14:textId="77777777" w:rsidR="00173803" w:rsidRPr="00AB7860" w:rsidRDefault="00173803" w:rsidP="00F5730F">
            <w:pPr>
              <w:rPr>
                <w:sz w:val="22"/>
                <w:szCs w:val="22"/>
              </w:rPr>
            </w:pPr>
            <w:r w:rsidRPr="00AB7860">
              <w:rPr>
                <w:sz w:val="22"/>
                <w:szCs w:val="22"/>
              </w:rPr>
              <w:t xml:space="preserve">Reindukcinio gydymo blokas 2 </w:t>
            </w:r>
          </w:p>
          <w:p w14:paraId="32CF4AD5" w14:textId="77777777" w:rsidR="00173803" w:rsidRPr="00AB7860" w:rsidRDefault="00173803" w:rsidP="00F5730F">
            <w:pPr>
              <w:rPr>
                <w:sz w:val="22"/>
                <w:szCs w:val="22"/>
              </w:rPr>
            </w:pPr>
            <w:r w:rsidRPr="00AB7860">
              <w:t>(3 savaitės)</w:t>
            </w:r>
          </w:p>
        </w:tc>
        <w:tc>
          <w:tcPr>
            <w:tcW w:w="4788" w:type="dxa"/>
          </w:tcPr>
          <w:p w14:paraId="5576A69E" w14:textId="77777777" w:rsidR="00173803" w:rsidRPr="00AB7860" w:rsidRDefault="00173803" w:rsidP="00F5730F">
            <w:pPr>
              <w:rPr>
                <w:sz w:val="22"/>
                <w:szCs w:val="22"/>
              </w:rPr>
            </w:pPr>
            <w:r w:rsidRPr="00AB7860">
              <w:t>VCR (1,5 mg/m</w:t>
            </w:r>
            <w:r w:rsidRPr="00AB7860">
              <w:rPr>
                <w:vertAlign w:val="superscript"/>
              </w:rPr>
              <w:t>2</w:t>
            </w:r>
            <w:r w:rsidRPr="00AB7860">
              <w:t xml:space="preserve"> per parą, IV): 1, 8 ir 15 dienomis </w:t>
            </w:r>
          </w:p>
          <w:p w14:paraId="43E2E20D" w14:textId="77777777" w:rsidR="00173803" w:rsidRPr="00AB7860" w:rsidRDefault="00173803" w:rsidP="00F5730F">
            <w:pPr>
              <w:rPr>
                <w:sz w:val="22"/>
                <w:szCs w:val="22"/>
              </w:rPr>
            </w:pPr>
            <w:r w:rsidRPr="00AB7860">
              <w:t>DAUN (45 mg/m</w:t>
            </w:r>
            <w:r w:rsidRPr="00AB7860">
              <w:rPr>
                <w:vertAlign w:val="superscript"/>
              </w:rPr>
              <w:t>2</w:t>
            </w:r>
            <w:r w:rsidRPr="00AB7860">
              <w:t xml:space="preserve"> per parą boliusu, IV): 1-ąją ir 2-ąją dienomis </w:t>
            </w:r>
          </w:p>
          <w:p w14:paraId="7206E0B7" w14:textId="77777777" w:rsidR="00173803" w:rsidRPr="00AB7860" w:rsidRDefault="00173803" w:rsidP="00F5730F">
            <w:pPr>
              <w:rPr>
                <w:sz w:val="22"/>
                <w:szCs w:val="22"/>
              </w:rPr>
            </w:pPr>
            <w:r w:rsidRPr="00AB7860">
              <w:t>CPM (250 mg/m</w:t>
            </w:r>
            <w:r w:rsidRPr="00AB7860">
              <w:rPr>
                <w:vertAlign w:val="superscript"/>
              </w:rPr>
              <w:t>2</w:t>
            </w:r>
            <w:r w:rsidRPr="00AB7860">
              <w:t xml:space="preserve"> dozė q12h x 4 dozės, IV): 3-iąją ir 4-ąją dienomis </w:t>
            </w:r>
          </w:p>
          <w:p w14:paraId="0CE7BE13" w14:textId="77777777" w:rsidR="00173803" w:rsidRPr="00AB7860" w:rsidRDefault="00173803" w:rsidP="00F5730F">
            <w:pPr>
              <w:rPr>
                <w:sz w:val="22"/>
                <w:szCs w:val="22"/>
              </w:rPr>
            </w:pPr>
            <w:r w:rsidRPr="00AB7860">
              <w:t>PEG-ASP (2500 TV/m</w:t>
            </w:r>
            <w:r w:rsidRPr="00AB7860">
              <w:rPr>
                <w:vertAlign w:val="superscript"/>
              </w:rPr>
              <w:t>2</w:t>
            </w:r>
            <w:r w:rsidRPr="00AB7860">
              <w:t xml:space="preserve">, IM): 4-ąją dieną </w:t>
            </w:r>
          </w:p>
          <w:p w14:paraId="3173A077" w14:textId="77777777" w:rsidR="00173803" w:rsidRPr="00AB7860" w:rsidRDefault="00173803" w:rsidP="00F5730F">
            <w:pPr>
              <w:rPr>
                <w:sz w:val="22"/>
                <w:szCs w:val="22"/>
              </w:rPr>
            </w:pPr>
            <w:r w:rsidRPr="00AB7860">
              <w:t xml:space="preserve">G-CSF (5 μg/kg, SC): 5-14 dienos arba kol ANS bus &gt; 1500 nuo žemiausios reikšmės </w:t>
            </w:r>
          </w:p>
          <w:p w14:paraId="3BDFCC99" w14:textId="77777777" w:rsidR="00173803" w:rsidRPr="00AB7860" w:rsidRDefault="00173803" w:rsidP="00F5730F">
            <w:pPr>
              <w:rPr>
                <w:sz w:val="22"/>
                <w:szCs w:val="22"/>
              </w:rPr>
            </w:pPr>
            <w:r w:rsidRPr="00AB7860">
              <w:t xml:space="preserve">Trigubas IT gydymas (dozė priklausomai nuo amžiaus): 1-ąją ir 15-ąją dienomis </w:t>
            </w:r>
          </w:p>
          <w:p w14:paraId="13B8DB7B" w14:textId="77777777" w:rsidR="00173803" w:rsidRPr="00AB7860" w:rsidRDefault="00173803" w:rsidP="00F5730F">
            <w:pPr>
              <w:rPr>
                <w:sz w:val="22"/>
                <w:szCs w:val="22"/>
              </w:rPr>
            </w:pPr>
            <w:r w:rsidRPr="00AB7860">
              <w:lastRenderedPageBreak/>
              <w:t>DEX (6 mg/m</w:t>
            </w:r>
            <w:r w:rsidRPr="00AB7860">
              <w:rPr>
                <w:vertAlign w:val="superscript"/>
              </w:rPr>
              <w:t>2</w:t>
            </w:r>
            <w:r w:rsidRPr="00AB7860">
              <w:t xml:space="preserve"> per parą, PO): 1-7 dienos ir 15-21 dienos</w:t>
            </w:r>
          </w:p>
        </w:tc>
      </w:tr>
      <w:tr w:rsidR="00173803" w:rsidRPr="00AB7860" w14:paraId="2435293A" w14:textId="77777777" w:rsidTr="00F5730F">
        <w:tc>
          <w:tcPr>
            <w:tcW w:w="4788" w:type="dxa"/>
          </w:tcPr>
          <w:p w14:paraId="72520042" w14:textId="77777777" w:rsidR="00173803" w:rsidRPr="00AB7860" w:rsidRDefault="00173803" w:rsidP="00F5730F">
            <w:pPr>
              <w:rPr>
                <w:sz w:val="22"/>
                <w:szCs w:val="22"/>
              </w:rPr>
            </w:pPr>
            <w:r w:rsidRPr="00AB7860">
              <w:rPr>
                <w:sz w:val="22"/>
                <w:szCs w:val="22"/>
              </w:rPr>
              <w:lastRenderedPageBreak/>
              <w:t xml:space="preserve">Intensyvinimo blokas 2 </w:t>
            </w:r>
          </w:p>
          <w:p w14:paraId="4EE0D737" w14:textId="77777777" w:rsidR="00173803" w:rsidRPr="00AB7860" w:rsidRDefault="00173803" w:rsidP="00F5730F">
            <w:pPr>
              <w:rPr>
                <w:sz w:val="22"/>
                <w:szCs w:val="22"/>
              </w:rPr>
            </w:pPr>
            <w:r w:rsidRPr="00AB7860">
              <w:t>(9 savaitės)</w:t>
            </w:r>
          </w:p>
        </w:tc>
        <w:tc>
          <w:tcPr>
            <w:tcW w:w="4788" w:type="dxa"/>
          </w:tcPr>
          <w:p w14:paraId="22AD40E8" w14:textId="77777777" w:rsidR="00173803" w:rsidRPr="00AB7860" w:rsidRDefault="00173803" w:rsidP="00F5730F">
            <w:pPr>
              <w:rPr>
                <w:sz w:val="22"/>
                <w:szCs w:val="22"/>
              </w:rPr>
            </w:pPr>
            <w:r w:rsidRPr="00AB7860">
              <w:t>Metotreksatas (5 g/m</w:t>
            </w:r>
            <w:r w:rsidRPr="00AB7860">
              <w:rPr>
                <w:vertAlign w:val="superscript"/>
              </w:rPr>
              <w:t>2</w:t>
            </w:r>
            <w:r w:rsidRPr="00AB7860">
              <w:t xml:space="preserve"> per 24 valandas, IV): 1-ąją ir 15-ąją dienomis </w:t>
            </w:r>
          </w:p>
          <w:p w14:paraId="6B9FDBA5" w14:textId="77777777" w:rsidR="00173803" w:rsidRPr="00AB7860" w:rsidRDefault="00173803" w:rsidP="00F5730F">
            <w:pPr>
              <w:rPr>
                <w:sz w:val="22"/>
                <w:szCs w:val="22"/>
              </w:rPr>
            </w:pPr>
            <w:r w:rsidRPr="00AB7860">
              <w:t>Leukovorinas (75 mg/m</w:t>
            </w:r>
            <w:r w:rsidRPr="00AB7860">
              <w:rPr>
                <w:vertAlign w:val="superscript"/>
              </w:rPr>
              <w:t>2</w:t>
            </w:r>
            <w:r w:rsidRPr="00AB7860">
              <w:t xml:space="preserve"> po 36 valandų, IV; 15 mg/m</w:t>
            </w:r>
            <w:r w:rsidRPr="00AB7860">
              <w:rPr>
                <w:vertAlign w:val="superscript"/>
              </w:rPr>
              <w:t>2</w:t>
            </w:r>
            <w:r w:rsidRPr="00AB7860">
              <w:t xml:space="preserve"> IV ar PO q6h x 6 dozės) iii: 2, 3, 16 ir 17 dienomis </w:t>
            </w:r>
          </w:p>
          <w:p w14:paraId="6EBA4133" w14:textId="77777777" w:rsidR="00173803" w:rsidRPr="00AB7860" w:rsidRDefault="00173803" w:rsidP="00F5730F">
            <w:pPr>
              <w:rPr>
                <w:sz w:val="22"/>
                <w:szCs w:val="22"/>
              </w:rPr>
            </w:pPr>
            <w:r w:rsidRPr="00AB7860">
              <w:t xml:space="preserve">Trigubas IT gydymas (dozė priklausomai nuo amžiaus): 1-ąją ir 22-ąją dienomis </w:t>
            </w:r>
          </w:p>
          <w:p w14:paraId="7A642FE5" w14:textId="77777777" w:rsidR="00173803" w:rsidRPr="00AB7860" w:rsidRDefault="00173803" w:rsidP="00F5730F">
            <w:pPr>
              <w:rPr>
                <w:sz w:val="22"/>
                <w:szCs w:val="22"/>
              </w:rPr>
            </w:pPr>
            <w:r w:rsidRPr="00AB7860">
              <w:t>VP-16 (100 mg/m</w:t>
            </w:r>
            <w:r w:rsidRPr="00AB7860">
              <w:rPr>
                <w:vertAlign w:val="superscript"/>
              </w:rPr>
              <w:t>2</w:t>
            </w:r>
            <w:r w:rsidRPr="00AB7860">
              <w:t xml:space="preserve"> per parą, IV): 22-26 dienos </w:t>
            </w:r>
          </w:p>
          <w:p w14:paraId="708E5375" w14:textId="77777777" w:rsidR="00173803" w:rsidRPr="00AB7860" w:rsidRDefault="00173803" w:rsidP="00F5730F">
            <w:pPr>
              <w:rPr>
                <w:sz w:val="22"/>
                <w:szCs w:val="22"/>
              </w:rPr>
            </w:pPr>
            <w:r w:rsidRPr="00AB7860">
              <w:t>CPM (300 mg/m</w:t>
            </w:r>
            <w:r w:rsidRPr="00AB7860">
              <w:rPr>
                <w:vertAlign w:val="superscript"/>
              </w:rPr>
              <w:t>2</w:t>
            </w:r>
            <w:r w:rsidRPr="00AB7860">
              <w:t xml:space="preserve"> per parą, IV): 22-26 dienos </w:t>
            </w:r>
          </w:p>
          <w:p w14:paraId="1F24A5AB" w14:textId="77777777" w:rsidR="00173803" w:rsidRPr="00AB7860" w:rsidRDefault="00173803" w:rsidP="00F5730F">
            <w:pPr>
              <w:rPr>
                <w:sz w:val="22"/>
                <w:szCs w:val="22"/>
              </w:rPr>
            </w:pPr>
            <w:r w:rsidRPr="00AB7860">
              <w:t>MESNA (150 mg/m</w:t>
            </w:r>
            <w:r w:rsidRPr="00AB7860">
              <w:rPr>
                <w:vertAlign w:val="superscript"/>
              </w:rPr>
              <w:t>2</w:t>
            </w:r>
            <w:r w:rsidRPr="00AB7860">
              <w:t xml:space="preserve"> per parą, IV): 22-26 dienos </w:t>
            </w:r>
          </w:p>
          <w:p w14:paraId="5BF455D4" w14:textId="77777777" w:rsidR="00173803" w:rsidRPr="00AB7860" w:rsidRDefault="00173803" w:rsidP="00F5730F">
            <w:pPr>
              <w:rPr>
                <w:sz w:val="22"/>
                <w:szCs w:val="22"/>
              </w:rPr>
            </w:pPr>
            <w:r w:rsidRPr="00AB7860">
              <w:t xml:space="preserve">G-CSF (5 μg/kg, SC): 27-36 dienos arba kol ANS bus &gt; 1500 nuo žemiausios reikšmės </w:t>
            </w:r>
          </w:p>
          <w:p w14:paraId="478D9582" w14:textId="77777777" w:rsidR="00173803" w:rsidRPr="00AB7860" w:rsidRDefault="00173803" w:rsidP="00F5730F">
            <w:pPr>
              <w:rPr>
                <w:sz w:val="22"/>
                <w:szCs w:val="22"/>
              </w:rPr>
            </w:pPr>
            <w:r w:rsidRPr="00AB7860">
              <w:t>ARA-C (3 g/m</w:t>
            </w:r>
            <w:r w:rsidRPr="00AB7860">
              <w:rPr>
                <w:vertAlign w:val="superscript"/>
              </w:rPr>
              <w:t>2</w:t>
            </w:r>
            <w:r w:rsidRPr="00AB7860">
              <w:t xml:space="preserve">, q12h, IV): 43, 44 dienomis </w:t>
            </w:r>
          </w:p>
          <w:p w14:paraId="1DAD80DC" w14:textId="77777777" w:rsidR="00173803" w:rsidRPr="00AB7860" w:rsidRDefault="00173803" w:rsidP="00F5730F">
            <w:pPr>
              <w:rPr>
                <w:sz w:val="22"/>
                <w:szCs w:val="22"/>
              </w:rPr>
            </w:pPr>
            <w:r w:rsidRPr="00AB7860">
              <w:t>L-ASP (6000 TV/m</w:t>
            </w:r>
            <w:r w:rsidRPr="00AB7860">
              <w:rPr>
                <w:vertAlign w:val="superscript"/>
              </w:rPr>
              <w:t>2</w:t>
            </w:r>
            <w:r w:rsidRPr="00AB7860">
              <w:t>, IM): 44-ąją dieną</w:t>
            </w:r>
          </w:p>
        </w:tc>
      </w:tr>
      <w:tr w:rsidR="00173803" w:rsidRPr="00AB7860" w14:paraId="64C225DF" w14:textId="77777777" w:rsidTr="00F5730F">
        <w:tc>
          <w:tcPr>
            <w:tcW w:w="4788" w:type="dxa"/>
          </w:tcPr>
          <w:p w14:paraId="267B5D7B" w14:textId="77777777" w:rsidR="00173803" w:rsidRPr="00AB7860" w:rsidRDefault="00173803" w:rsidP="00F5730F">
            <w:pPr>
              <w:rPr>
                <w:sz w:val="22"/>
                <w:szCs w:val="22"/>
              </w:rPr>
            </w:pPr>
            <w:r w:rsidRPr="00AB7860">
              <w:rPr>
                <w:sz w:val="22"/>
                <w:szCs w:val="22"/>
              </w:rPr>
              <w:t xml:space="preserve">Palaikomasis gydymas </w:t>
            </w:r>
          </w:p>
          <w:p w14:paraId="65BDEF21" w14:textId="77777777" w:rsidR="00173803" w:rsidRPr="00AB7860" w:rsidRDefault="00173803" w:rsidP="00F5730F">
            <w:pPr>
              <w:rPr>
                <w:sz w:val="22"/>
                <w:szCs w:val="22"/>
              </w:rPr>
            </w:pPr>
            <w:r w:rsidRPr="00AB7860">
              <w:t xml:space="preserve">(8 savaičių trukmės ciklai) </w:t>
            </w:r>
          </w:p>
          <w:p w14:paraId="428BAEB6" w14:textId="77777777" w:rsidR="00173803" w:rsidRPr="00AB7860" w:rsidRDefault="00173803" w:rsidP="00F5730F">
            <w:pPr>
              <w:rPr>
                <w:sz w:val="22"/>
                <w:szCs w:val="22"/>
              </w:rPr>
            </w:pPr>
            <w:r w:rsidRPr="00AB7860">
              <w:t>1–4 ciklai</w:t>
            </w:r>
          </w:p>
        </w:tc>
        <w:tc>
          <w:tcPr>
            <w:tcW w:w="4788" w:type="dxa"/>
          </w:tcPr>
          <w:p w14:paraId="03BA6146" w14:textId="77777777" w:rsidR="00173803" w:rsidRPr="00AB7860" w:rsidRDefault="00173803" w:rsidP="00F5730F">
            <w:pPr>
              <w:rPr>
                <w:sz w:val="22"/>
                <w:szCs w:val="22"/>
              </w:rPr>
            </w:pPr>
            <w:r w:rsidRPr="00AB7860">
              <w:t>MTX (5 g/m</w:t>
            </w:r>
            <w:r w:rsidRPr="00AB7860">
              <w:rPr>
                <w:vertAlign w:val="superscript"/>
              </w:rPr>
              <w:t>2</w:t>
            </w:r>
            <w:r w:rsidRPr="00AB7860">
              <w:t xml:space="preserve"> per 24 valandas, IV): 1-ąją dieną </w:t>
            </w:r>
          </w:p>
          <w:p w14:paraId="20327626" w14:textId="77777777" w:rsidR="00173803" w:rsidRPr="00AB7860" w:rsidRDefault="00173803" w:rsidP="00F5730F">
            <w:pPr>
              <w:rPr>
                <w:sz w:val="22"/>
                <w:szCs w:val="22"/>
              </w:rPr>
            </w:pPr>
            <w:r w:rsidRPr="00AB7860">
              <w:t>Leukovorinas (75 mg/m</w:t>
            </w:r>
            <w:r w:rsidRPr="00AB7860">
              <w:rPr>
                <w:vertAlign w:val="superscript"/>
              </w:rPr>
              <w:t>2</w:t>
            </w:r>
            <w:r w:rsidRPr="00AB7860">
              <w:t xml:space="preserve"> po 36 valandų, IV; 15 mg/m</w:t>
            </w:r>
            <w:r w:rsidRPr="00AB7860">
              <w:rPr>
                <w:vertAlign w:val="superscript"/>
              </w:rPr>
              <w:t>2</w:t>
            </w:r>
            <w:r w:rsidRPr="00AB7860">
              <w:t xml:space="preserve"> IV ar PO q6h x 6 dozės) iii: 2-ąją ir 3-iąją dienomis </w:t>
            </w:r>
          </w:p>
          <w:p w14:paraId="4AEB60BA" w14:textId="77777777" w:rsidR="00173803" w:rsidRPr="00AB7860" w:rsidRDefault="00173803" w:rsidP="00F5730F">
            <w:pPr>
              <w:rPr>
                <w:sz w:val="22"/>
                <w:szCs w:val="22"/>
              </w:rPr>
            </w:pPr>
            <w:r w:rsidRPr="00AB7860">
              <w:t xml:space="preserve">Trigubas IT gydymas (dozė priklausomai nuo amžiaus): 1, 29 dienomis </w:t>
            </w:r>
          </w:p>
          <w:p w14:paraId="42EAA001" w14:textId="77777777" w:rsidR="00173803" w:rsidRPr="00AB7860" w:rsidRDefault="00173803" w:rsidP="00F5730F">
            <w:pPr>
              <w:rPr>
                <w:sz w:val="22"/>
                <w:szCs w:val="22"/>
              </w:rPr>
            </w:pPr>
            <w:r w:rsidRPr="00AB7860">
              <w:t>VCR (1,5 mg/m</w:t>
            </w:r>
            <w:r w:rsidRPr="00AB7860">
              <w:rPr>
                <w:vertAlign w:val="superscript"/>
              </w:rPr>
              <w:t>2</w:t>
            </w:r>
            <w:r w:rsidRPr="00AB7860">
              <w:t xml:space="preserve">, IV): 1, 29 dienomis </w:t>
            </w:r>
          </w:p>
          <w:p w14:paraId="3E091770" w14:textId="77777777" w:rsidR="00173803" w:rsidRPr="00AB7860" w:rsidRDefault="00173803" w:rsidP="00F5730F">
            <w:pPr>
              <w:rPr>
                <w:sz w:val="22"/>
                <w:szCs w:val="22"/>
              </w:rPr>
            </w:pPr>
            <w:r w:rsidRPr="00AB7860">
              <w:t>DEX (6 mg/m</w:t>
            </w:r>
            <w:r w:rsidRPr="00AB7860">
              <w:rPr>
                <w:vertAlign w:val="superscript"/>
              </w:rPr>
              <w:t>2</w:t>
            </w:r>
            <w:r w:rsidRPr="00AB7860">
              <w:t xml:space="preserve"> per parą, PO): 1-5 dienos; 29-33 dienos </w:t>
            </w:r>
          </w:p>
          <w:p w14:paraId="7DD4EBB1" w14:textId="77777777" w:rsidR="00173803" w:rsidRPr="00AB7860" w:rsidRDefault="00173803" w:rsidP="00F5730F">
            <w:pPr>
              <w:rPr>
                <w:sz w:val="22"/>
                <w:szCs w:val="22"/>
              </w:rPr>
            </w:pPr>
            <w:r w:rsidRPr="00AB7860">
              <w:t>6-MP (75 mg/m</w:t>
            </w:r>
            <w:r w:rsidRPr="00AB7860">
              <w:rPr>
                <w:vertAlign w:val="superscript"/>
              </w:rPr>
              <w:t>2</w:t>
            </w:r>
            <w:r w:rsidRPr="00AB7860">
              <w:t xml:space="preserve"> per parą, PO): 8-28 dienos </w:t>
            </w:r>
          </w:p>
          <w:p w14:paraId="6C62D47E" w14:textId="77777777" w:rsidR="00173803" w:rsidRPr="00AB7860" w:rsidRDefault="00173803" w:rsidP="00F5730F">
            <w:pPr>
              <w:rPr>
                <w:sz w:val="22"/>
                <w:szCs w:val="22"/>
              </w:rPr>
            </w:pPr>
            <w:r w:rsidRPr="00AB7860">
              <w:t>Metotreksatas (20 mg/m</w:t>
            </w:r>
            <w:r w:rsidRPr="00AB7860">
              <w:rPr>
                <w:vertAlign w:val="superscript"/>
              </w:rPr>
              <w:t>2</w:t>
            </w:r>
            <w:r w:rsidRPr="00AB7860">
              <w:t xml:space="preserve"> per savaitę, PO): 8, 15, 22 dienomis </w:t>
            </w:r>
          </w:p>
          <w:p w14:paraId="267ED4E5" w14:textId="77777777" w:rsidR="00173803" w:rsidRPr="00AB7860" w:rsidRDefault="00173803" w:rsidP="00F5730F">
            <w:pPr>
              <w:rPr>
                <w:sz w:val="22"/>
                <w:szCs w:val="22"/>
              </w:rPr>
            </w:pPr>
            <w:r w:rsidRPr="00AB7860">
              <w:t>VP-16 (100 mg/m</w:t>
            </w:r>
            <w:r w:rsidRPr="00AB7860">
              <w:rPr>
                <w:vertAlign w:val="superscript"/>
              </w:rPr>
              <w:t>2</w:t>
            </w:r>
            <w:r w:rsidRPr="00AB7860">
              <w:t xml:space="preserve">, IV): 29-33 dienos </w:t>
            </w:r>
          </w:p>
          <w:p w14:paraId="6ABA170D" w14:textId="77777777" w:rsidR="00173803" w:rsidRPr="00AB7860" w:rsidRDefault="00173803" w:rsidP="00F5730F">
            <w:pPr>
              <w:rPr>
                <w:sz w:val="22"/>
                <w:szCs w:val="22"/>
              </w:rPr>
            </w:pPr>
            <w:r w:rsidRPr="00AB7860">
              <w:t>CPM (300 mg/m</w:t>
            </w:r>
            <w:r w:rsidRPr="00AB7860">
              <w:rPr>
                <w:vertAlign w:val="superscript"/>
              </w:rPr>
              <w:t>2</w:t>
            </w:r>
            <w:r w:rsidRPr="00AB7860">
              <w:t xml:space="preserve">, IV): 29-33 dienos </w:t>
            </w:r>
          </w:p>
          <w:p w14:paraId="001340F7" w14:textId="77777777" w:rsidR="00173803" w:rsidRPr="00AB7860" w:rsidRDefault="00173803" w:rsidP="00F5730F">
            <w:pPr>
              <w:rPr>
                <w:sz w:val="22"/>
                <w:szCs w:val="22"/>
              </w:rPr>
            </w:pPr>
            <w:r w:rsidRPr="00AB7860">
              <w:t xml:space="preserve">MESNA IV 29-33 dienos </w:t>
            </w:r>
          </w:p>
          <w:p w14:paraId="7DB00524" w14:textId="77777777" w:rsidR="00173803" w:rsidRPr="00AB7860" w:rsidRDefault="00173803" w:rsidP="00F5730F">
            <w:pPr>
              <w:rPr>
                <w:sz w:val="22"/>
                <w:szCs w:val="22"/>
              </w:rPr>
            </w:pPr>
            <w:r w:rsidRPr="00AB7860">
              <w:t>G-CSF (5 μg/kg, SC): 34-43 dienos</w:t>
            </w:r>
          </w:p>
        </w:tc>
      </w:tr>
      <w:tr w:rsidR="00173803" w:rsidRPr="00AB7860" w14:paraId="7F9C2C67" w14:textId="77777777" w:rsidTr="00F5730F">
        <w:tc>
          <w:tcPr>
            <w:tcW w:w="4788" w:type="dxa"/>
          </w:tcPr>
          <w:p w14:paraId="0733C3F1" w14:textId="77777777" w:rsidR="00173803" w:rsidRPr="00AB7860" w:rsidRDefault="00173803" w:rsidP="00F5730F">
            <w:pPr>
              <w:rPr>
                <w:sz w:val="22"/>
                <w:szCs w:val="22"/>
              </w:rPr>
            </w:pPr>
            <w:r w:rsidRPr="00AB7860">
              <w:rPr>
                <w:sz w:val="22"/>
                <w:szCs w:val="22"/>
              </w:rPr>
              <w:t xml:space="preserve">Palaikomasis gydymas </w:t>
            </w:r>
          </w:p>
          <w:p w14:paraId="67F0A58D" w14:textId="77777777" w:rsidR="00173803" w:rsidRPr="00AB7860" w:rsidRDefault="00173803" w:rsidP="00F5730F">
            <w:pPr>
              <w:rPr>
                <w:sz w:val="22"/>
                <w:szCs w:val="22"/>
              </w:rPr>
            </w:pPr>
            <w:r w:rsidRPr="00AB7860">
              <w:t xml:space="preserve">(8 savaičių trukmės ciklai) </w:t>
            </w:r>
          </w:p>
          <w:p w14:paraId="160C0A7C" w14:textId="77777777" w:rsidR="00173803" w:rsidRPr="00AB7860" w:rsidRDefault="00173803" w:rsidP="00F5730F">
            <w:pPr>
              <w:rPr>
                <w:sz w:val="22"/>
                <w:szCs w:val="22"/>
              </w:rPr>
            </w:pPr>
            <w:r w:rsidRPr="00AB7860">
              <w:t>5-asis ciklas</w:t>
            </w:r>
          </w:p>
        </w:tc>
        <w:tc>
          <w:tcPr>
            <w:tcW w:w="4788" w:type="dxa"/>
          </w:tcPr>
          <w:p w14:paraId="66FAFEFA" w14:textId="77777777" w:rsidR="00173803" w:rsidRPr="00AB7860" w:rsidRDefault="00173803" w:rsidP="00F5730F">
            <w:pPr>
              <w:rPr>
                <w:sz w:val="22"/>
                <w:szCs w:val="22"/>
              </w:rPr>
            </w:pPr>
            <w:r w:rsidRPr="00AB7860">
              <w:t xml:space="preserve">Kaukolės švitinimas (tik 5-asis blokas) </w:t>
            </w:r>
          </w:p>
          <w:p w14:paraId="4614A50C" w14:textId="77777777" w:rsidR="00173803" w:rsidRPr="00AB7860" w:rsidRDefault="00173803" w:rsidP="00F5730F">
            <w:pPr>
              <w:rPr>
                <w:sz w:val="22"/>
                <w:szCs w:val="22"/>
              </w:rPr>
            </w:pPr>
            <w:r w:rsidRPr="00AB7860">
              <w:t xml:space="preserve">12 Gy per 8 frakcijas visiems pacientams, kuriems nustatyta CNS1 ir CNS2 diagnozė </w:t>
            </w:r>
          </w:p>
          <w:p w14:paraId="210C8A3D" w14:textId="77777777" w:rsidR="00173803" w:rsidRPr="00AB7860" w:rsidRDefault="00173803" w:rsidP="00F5730F">
            <w:pPr>
              <w:rPr>
                <w:sz w:val="22"/>
                <w:szCs w:val="22"/>
              </w:rPr>
            </w:pPr>
            <w:r w:rsidRPr="00AB7860">
              <w:lastRenderedPageBreak/>
              <w:t xml:space="preserve">18 Gy per 10 frakcijų pacientams, kuriems nustatyta CNS3 diagnozė </w:t>
            </w:r>
          </w:p>
          <w:p w14:paraId="79200792" w14:textId="77777777" w:rsidR="00173803" w:rsidRPr="00AB7860" w:rsidRDefault="00173803" w:rsidP="00F5730F">
            <w:pPr>
              <w:rPr>
                <w:sz w:val="22"/>
                <w:szCs w:val="22"/>
              </w:rPr>
            </w:pPr>
            <w:r w:rsidRPr="00AB7860">
              <w:t>VCR (1,5 mg/m</w:t>
            </w:r>
            <w:r w:rsidRPr="00AB7860">
              <w:rPr>
                <w:vertAlign w:val="superscript"/>
              </w:rPr>
              <w:t>2</w:t>
            </w:r>
            <w:r w:rsidRPr="00AB7860">
              <w:t xml:space="preserve"> per parą, IV): 1, 29 dienomis </w:t>
            </w:r>
          </w:p>
          <w:p w14:paraId="5CCF5BD5" w14:textId="77777777" w:rsidR="00173803" w:rsidRPr="00AB7860" w:rsidRDefault="00173803" w:rsidP="00F5730F">
            <w:pPr>
              <w:rPr>
                <w:sz w:val="22"/>
                <w:szCs w:val="22"/>
              </w:rPr>
            </w:pPr>
            <w:r w:rsidRPr="00AB7860">
              <w:t>DEX (6 mg/m</w:t>
            </w:r>
            <w:r w:rsidRPr="00AB7860">
              <w:rPr>
                <w:vertAlign w:val="superscript"/>
              </w:rPr>
              <w:t>2</w:t>
            </w:r>
            <w:r w:rsidRPr="00AB7860">
              <w:t xml:space="preserve"> per parą, PO): 1-5 dienos; 29-33 dienos </w:t>
            </w:r>
          </w:p>
          <w:p w14:paraId="1A02D485" w14:textId="77777777" w:rsidR="00173803" w:rsidRPr="00AB7860" w:rsidRDefault="00173803" w:rsidP="00F5730F">
            <w:pPr>
              <w:rPr>
                <w:sz w:val="22"/>
                <w:szCs w:val="22"/>
              </w:rPr>
            </w:pPr>
            <w:r w:rsidRPr="00AB7860">
              <w:t>6-MP (75 mg/m</w:t>
            </w:r>
            <w:r w:rsidRPr="00AB7860">
              <w:rPr>
                <w:vertAlign w:val="superscript"/>
              </w:rPr>
              <w:t>2</w:t>
            </w:r>
            <w:r w:rsidRPr="00AB7860">
              <w:t xml:space="preserve"> per parą, PO): 11-56 dienos (neskirti 6-MP 6-10-ąją dienomis, kai taikomas kaukolės švitinimas, pradedant nuo pirmosios 5-ojo ciklo dienos. Pradėti skirti 6-MP pirmąją dieną po kaukolės švitinimo pabaigos.) </w:t>
            </w:r>
          </w:p>
          <w:p w14:paraId="799FB97F" w14:textId="77777777" w:rsidR="00173803" w:rsidRPr="00AB7860" w:rsidRDefault="00173803" w:rsidP="00F5730F">
            <w:pPr>
              <w:rPr>
                <w:sz w:val="22"/>
                <w:szCs w:val="22"/>
              </w:rPr>
            </w:pPr>
            <w:r w:rsidRPr="00AB7860">
              <w:t>Metotreksatas (20 mg/m</w:t>
            </w:r>
            <w:r w:rsidRPr="00AB7860">
              <w:rPr>
                <w:vertAlign w:val="superscript"/>
              </w:rPr>
              <w:t>2</w:t>
            </w:r>
            <w:r w:rsidRPr="00AB7860">
              <w:t xml:space="preserve"> per savaitę, PO): 8, 15, 22, 29, 36, 43, 50 dienomis</w:t>
            </w:r>
          </w:p>
        </w:tc>
      </w:tr>
      <w:tr w:rsidR="00173803" w:rsidRPr="00AB7860" w14:paraId="236F4EE9" w14:textId="77777777" w:rsidTr="00F5730F">
        <w:tc>
          <w:tcPr>
            <w:tcW w:w="4788" w:type="dxa"/>
          </w:tcPr>
          <w:p w14:paraId="25606195" w14:textId="77777777" w:rsidR="00173803" w:rsidRPr="00B36BCA" w:rsidRDefault="00173803" w:rsidP="00F5730F">
            <w:pPr>
              <w:rPr>
                <w:sz w:val="22"/>
                <w:szCs w:val="22"/>
              </w:rPr>
            </w:pPr>
            <w:r w:rsidRPr="00AB7860">
              <w:rPr>
                <w:sz w:val="22"/>
                <w:szCs w:val="22"/>
              </w:rPr>
              <w:lastRenderedPageBreak/>
              <w:t>Palaikomasis</w:t>
            </w:r>
            <w:r w:rsidRPr="00B36BCA">
              <w:rPr>
                <w:sz w:val="22"/>
                <w:szCs w:val="22"/>
              </w:rPr>
              <w:t xml:space="preserve"> gydymas </w:t>
            </w:r>
          </w:p>
          <w:p w14:paraId="7D8C55D6" w14:textId="77777777" w:rsidR="00173803" w:rsidRPr="00AB7860" w:rsidRDefault="00173803" w:rsidP="00F5730F">
            <w:pPr>
              <w:rPr>
                <w:sz w:val="22"/>
                <w:szCs w:val="22"/>
              </w:rPr>
            </w:pPr>
            <w:r w:rsidRPr="00AB7860">
              <w:t xml:space="preserve">(8 savaičių trukmės ciklai) </w:t>
            </w:r>
          </w:p>
          <w:p w14:paraId="0BC5E23D" w14:textId="77777777" w:rsidR="00173803" w:rsidRPr="00AB7860" w:rsidRDefault="00173803" w:rsidP="00F5730F">
            <w:pPr>
              <w:rPr>
                <w:sz w:val="22"/>
                <w:szCs w:val="22"/>
              </w:rPr>
            </w:pPr>
            <w:r w:rsidRPr="00AB7860">
              <w:t>6-12 ciklai</w:t>
            </w:r>
          </w:p>
        </w:tc>
        <w:tc>
          <w:tcPr>
            <w:tcW w:w="4788" w:type="dxa"/>
          </w:tcPr>
          <w:p w14:paraId="4184FC6D" w14:textId="77777777" w:rsidR="00173803" w:rsidRPr="00AB7860" w:rsidRDefault="00173803" w:rsidP="00F5730F">
            <w:pPr>
              <w:rPr>
                <w:sz w:val="22"/>
                <w:szCs w:val="22"/>
              </w:rPr>
            </w:pPr>
            <w:r w:rsidRPr="00AB7860">
              <w:t>VCR (1,5 mg/m</w:t>
            </w:r>
            <w:r w:rsidRPr="00AB7860">
              <w:rPr>
                <w:vertAlign w:val="superscript"/>
              </w:rPr>
              <w:t>2</w:t>
            </w:r>
            <w:r w:rsidRPr="00AB7860">
              <w:t xml:space="preserve"> per parą, IV): 1, 29 dienomis </w:t>
            </w:r>
          </w:p>
          <w:p w14:paraId="25D4B944" w14:textId="77777777" w:rsidR="00173803" w:rsidRPr="00AB7860" w:rsidRDefault="00173803" w:rsidP="00F5730F">
            <w:pPr>
              <w:rPr>
                <w:sz w:val="22"/>
                <w:szCs w:val="22"/>
              </w:rPr>
            </w:pPr>
            <w:r w:rsidRPr="00AB7860">
              <w:t>DEX (6 mg/m</w:t>
            </w:r>
            <w:r w:rsidRPr="00AB7860">
              <w:rPr>
                <w:vertAlign w:val="superscript"/>
              </w:rPr>
              <w:t>2</w:t>
            </w:r>
            <w:r w:rsidRPr="00AB7860">
              <w:t xml:space="preserve"> per parą, PO): 1-5 dienos; 29-33 dienos </w:t>
            </w:r>
          </w:p>
          <w:p w14:paraId="6CD42D1B" w14:textId="77777777" w:rsidR="00173803" w:rsidRPr="00AB7860" w:rsidRDefault="00173803" w:rsidP="00F5730F">
            <w:pPr>
              <w:rPr>
                <w:sz w:val="22"/>
                <w:szCs w:val="22"/>
              </w:rPr>
            </w:pPr>
            <w:r w:rsidRPr="00AB7860">
              <w:t>6-MP (75 mg/m</w:t>
            </w:r>
            <w:r w:rsidRPr="00AB7860">
              <w:rPr>
                <w:vertAlign w:val="superscript"/>
              </w:rPr>
              <w:t>2</w:t>
            </w:r>
            <w:r w:rsidRPr="00AB7860">
              <w:t xml:space="preserve"> per parą, PO): 1-56 dienos </w:t>
            </w:r>
          </w:p>
          <w:p w14:paraId="22D368FC" w14:textId="77777777" w:rsidR="00173803" w:rsidRPr="00AB7860" w:rsidRDefault="00173803" w:rsidP="00F5730F">
            <w:pPr>
              <w:rPr>
                <w:sz w:val="22"/>
                <w:szCs w:val="22"/>
              </w:rPr>
            </w:pPr>
            <w:r w:rsidRPr="00AB7860">
              <w:t>Metotreksatas (20 mg/m</w:t>
            </w:r>
            <w:r w:rsidRPr="00AB7860">
              <w:rPr>
                <w:vertAlign w:val="superscript"/>
              </w:rPr>
              <w:t>2</w:t>
            </w:r>
            <w:r w:rsidRPr="00AB7860">
              <w:t xml:space="preserve"> per savaitę, PO): 1, 8, 15, 22, 29, 36, 43, 50 dienomis</w:t>
            </w:r>
          </w:p>
        </w:tc>
      </w:tr>
    </w:tbl>
    <w:p w14:paraId="0032FF70" w14:textId="77777777" w:rsidR="00173803" w:rsidRPr="00AB7860" w:rsidRDefault="00173803" w:rsidP="00173803">
      <w:pPr>
        <w:spacing w:after="0" w:line="240" w:lineRule="auto"/>
        <w:rPr>
          <w:rFonts w:ascii="Times New Roman" w:eastAsia="Times New Roman" w:hAnsi="Times New Roman" w:cs="Times New Roman"/>
          <w:lang w:val="lt-LT"/>
        </w:rPr>
      </w:pPr>
    </w:p>
    <w:p w14:paraId="3F7E2768"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lang w:val="lt-LT"/>
        </w:rPr>
        <w:t>G-CSF = granuliocitų kolonijas stimuliuojantis faktorius, VP-16 = etoposidas, MTX = metotreksatas, IV = į veną, SC = po oda, IT = intratekaliai (į povoratinklinę ertmę), PO = per burną, IM = į raumenis, ARA-C = citarabinas, CPM = ciklofosfamidas, VCR = vinkristinas, DEX = deksametazonas, DAUN = daunorubicinas, 6-MP = 6-merkaptopurinas, E.Coli L-ASP = L-asparaginazė, PEG-ASP = PEG asparaginazė, MESNA= 2-merkaptoetano natrio sulfonatas, iii= arba kol MTX koncentracija bus &lt; 0,1 μM, q6h = kas 6 valandas, Gy= Grėjus.</w:t>
      </w:r>
    </w:p>
    <w:p w14:paraId="65BA91B4" w14:textId="77777777" w:rsidR="00173803" w:rsidRPr="00AB7860" w:rsidRDefault="00173803" w:rsidP="00173803">
      <w:pPr>
        <w:spacing w:after="0" w:line="240" w:lineRule="auto"/>
        <w:rPr>
          <w:rFonts w:ascii="Times New Roman" w:eastAsia="Times New Roman" w:hAnsi="Times New Roman" w:cs="Times New Roman"/>
          <w:lang w:val="lt-LT"/>
        </w:rPr>
      </w:pPr>
    </w:p>
    <w:p w14:paraId="41749536"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lang w:val="lt-LT"/>
        </w:rPr>
        <w:t>Atliktas AIT07 tyrimas – daugiacentris, atviras, atsitiktinių imčių, II/III fazės tyrimas, į kurį buvo įtraukti 128 pacientai (nuo 1 iki &lt; 18 metų); pacientams buvo skiriamas gydymas imatinibu kartu su chemoterapija. Šio tyrimo metu gauti saugumo duomenys, atrodo, atitinka imatinibo saugumo savybes skiriant Ph+ ŪLL sergantiems pacientams.</w:t>
      </w:r>
    </w:p>
    <w:p w14:paraId="308D04E5" w14:textId="77777777" w:rsidR="00173803" w:rsidRPr="00AB7860" w:rsidRDefault="00173803" w:rsidP="00173803">
      <w:pPr>
        <w:spacing w:after="0" w:line="240" w:lineRule="auto"/>
        <w:rPr>
          <w:rFonts w:ascii="Times New Roman" w:eastAsia="Times New Roman" w:hAnsi="Times New Roman" w:cs="Times New Roman"/>
          <w:lang w:val="lt-LT"/>
        </w:rPr>
      </w:pPr>
    </w:p>
    <w:p w14:paraId="2D019B9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 xml:space="preserve">Recidyvavusi ar refrakterinė Ph+ ŪLL: </w:t>
      </w:r>
      <w:r w:rsidRPr="00AB7860">
        <w:rPr>
          <w:rFonts w:ascii="Times New Roman" w:hAnsi="Times New Roman" w:cs="Times New Roman"/>
          <w:lang w:val="lt-LT"/>
        </w:rPr>
        <w:t>53 pacientams iš 411, kuriuos buvo galima vertinti dėl atsako,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sergantiems recidyvuojančia ar refrakterine Ph+ ŪLL, vartojusiems vien tik imatinibą, hematologinio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atsako dažnis buvo 30 % (pilno – 9 %), o didžiojo citogenetinio atsako dažnis buvo 23 % (būtina</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pažymėti, kad 353 pacientai iš 411, dalyvavo išplėstinėje gydymo programoje ir nebuvo renkami</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pirminiai jų atsako duomenys). Laiko iki progresavimo mediana bendrojoje 411 pacientų, kuriems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buvo recidyvavusi ar refrakterinė Ph+ ŪLL, populiacijoje buvo nuo 2,6 iki 3,1 mėnesių, o 401</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paciento, kuriuos buvo galima įvertinti, gyvenimo trukmės mediana buvo nuo 4,9 iki 9 mėnesių.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Duomenys buvo panašūs, kai analizė buvo pakartota įtraukiant tik 55 metų amžiaus ar vyresnius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pacientus.</w:t>
      </w:r>
    </w:p>
    <w:p w14:paraId="31BA8D87" w14:textId="77777777" w:rsidR="00173803" w:rsidRPr="00AB7860" w:rsidRDefault="00173803" w:rsidP="00173803">
      <w:pPr>
        <w:spacing w:after="0" w:line="240" w:lineRule="auto"/>
        <w:rPr>
          <w:rFonts w:ascii="Times New Roman" w:hAnsi="Times New Roman" w:cs="Times New Roman"/>
          <w:lang w:val="lt-LT"/>
        </w:rPr>
      </w:pPr>
    </w:p>
    <w:p w14:paraId="5CD44B2F"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Klinikiniai MDS ir MPL tyrimai</w:t>
      </w:r>
    </w:p>
    <w:p w14:paraId="57552D6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Šių ligų gydymo imatinibu patirtis yra labai ribota ir remiasi hematologinio ir citogenetinio atsako</w:t>
      </w:r>
      <w:r w:rsidRPr="00AB7860">
        <w:rPr>
          <w:rFonts w:ascii="Times New Roman" w:eastAsia="Times New Roman" w:hAnsi="Times New Roman" w:cs="Times New Roman"/>
          <w:lang w:val="lt-LT"/>
        </w:rPr>
        <w:t xml:space="preserve"> dažniais. Kontroliuotų klinikinių tyrimų, rodančių klinikinį pranašumą arba padidėjusį išgyvenamumą, neatlikta. Viename atvirame, daugiacentriame, II fazės klinikiniame tyrime (tyrimas B2225) buvo tiriamas imatinibo efektyvumas įvairioms pacientų, sergančių gyvybei pavojingomis ligomis, susijusiomis su Abl, Kit ar PDGFR baltymų tirozinkinazėmis, grupėms. Tyrime dalyvavo 7 pacientai, sergantys MDS/MPL, kurie buvo gydomi imatinibo 400 mg per parą doze. Trys pacientai pasiekė visišką hematologinį atsaką </w:t>
      </w:r>
      <w:r w:rsidRPr="00AB7860">
        <w:rPr>
          <w:rFonts w:ascii="Times New Roman" w:eastAsia="Times New Roman" w:hAnsi="Times New Roman" w:cs="Times New Roman"/>
          <w:lang w:val="lt-LT"/>
        </w:rPr>
        <w:lastRenderedPageBreak/>
        <w:t xml:space="preserve">(VHA) ir vienas – dalinį hematologinį atsaką (DHA). Pradinio tyrimo metu trims iš keturių pacientų su nustatytais PDGFR genų pakitimais pasireiškė hematologinis atsakas (2 VHA ir 1 DHA). </w:t>
      </w:r>
      <w:r w:rsidRPr="00AB7860">
        <w:rPr>
          <w:rFonts w:ascii="Times New Roman" w:hAnsi="Times New Roman" w:cs="Times New Roman"/>
          <w:lang w:val="lt-LT"/>
        </w:rPr>
        <w:t xml:space="preserve">Šių pacientų amžius svyravo nuo 20 iki 72 metų. </w:t>
      </w:r>
    </w:p>
    <w:p w14:paraId="79BCA941" w14:textId="77777777" w:rsidR="00173803" w:rsidRPr="00AB7860" w:rsidRDefault="00173803" w:rsidP="00173803">
      <w:pPr>
        <w:spacing w:after="0" w:line="240" w:lineRule="auto"/>
        <w:rPr>
          <w:rFonts w:ascii="Times New Roman" w:eastAsia="Times New Roman" w:hAnsi="Times New Roman" w:cs="Times New Roman"/>
          <w:lang w:val="lt-LT"/>
        </w:rPr>
      </w:pPr>
    </w:p>
    <w:p w14:paraId="55B609B7" w14:textId="77777777" w:rsidR="00173803" w:rsidRPr="00AB7860" w:rsidRDefault="00173803" w:rsidP="00173803">
      <w:pPr>
        <w:spacing w:after="0" w:line="240" w:lineRule="auto"/>
        <w:rPr>
          <w:rFonts w:ascii="Times New Roman" w:eastAsia="Times New Roman" w:hAnsi="Times New Roman" w:cs="Times New Roman"/>
          <w:lang w:val="lt-LT"/>
        </w:rPr>
      </w:pPr>
      <w:r w:rsidRPr="00AB7860">
        <w:rPr>
          <w:rFonts w:ascii="Times New Roman" w:hAnsi="Times New Roman" w:cs="Times New Roman"/>
          <w:lang w:val="lt-LT"/>
        </w:rPr>
        <w:t xml:space="preserve">Duomenų stebėjimo registro (L2401 tyrimo) pildymo metu buvo renkami ilgalaikio imatinibo saugumo ir veiksmingumo duomenys pacientams, kuriems nustatyta mieloproliferacinių navikų ir PDGFR- </w:t>
      </w:r>
      <w:r w:rsidRPr="00AB7860">
        <w:rPr>
          <w:rFonts w:ascii="Times New Roman" w:hAnsi="Times New Roman" w:cs="Times New Roman"/>
        </w:rPr>
        <w:t>β</w:t>
      </w:r>
      <w:r w:rsidRPr="00AB7860">
        <w:rPr>
          <w:rFonts w:ascii="Times New Roman" w:hAnsi="Times New Roman" w:cs="Times New Roman"/>
          <w:lang w:val="lt-LT"/>
        </w:rPr>
        <w:t xml:space="preserve"> geno pakitimų bei kuriems buvo skiriamas gydymas imatinibu. Į šį registrą buvo įtraukti 23 pacientai, ir jiems skirtos imatinibo paros dozės mediana buvo 264 mg (svyravo nuo 100 mg iki 400 mg), o gydymo trukmės mediana buvo 7,2 metų (svyravo nuo 0,1 metų iki 12,7 metų). Kadangi tai buvo duomenų stebėjimo pobūdžio registras, hematologinio, citogenetinio ir molekulinio vertinimo duomenys buvo žinomi, atitinkamai, 22, 9 ir 17 iš 23 įtrauktų pacientų. Atsargiai tariant, kad tiems pacientams, kurių duomenų neturima, gydymo atsako nebuvo gauta, atitinkamai, VHA buvo pasiektas 20 iš 23 (87 %) pacientų, CCyR atsakas pasiektas 9 iš 23 (39,1 %) pacientų, o molekulinis atsakas - 11 iš 23 (47,8 %) pacientų. Kai atsako dažnis buvo apskaičiuotas tiems pacientams, kuriems buvo žinomas bent vienas pagrįstas įvertinimas, VHA, CCyR ir molekulinio atsakų dažniai, atitinkamai, buvo 20 iš 22 (90,9 %), 9 iš 9 (100 %) ir 11 iš 17 (64,7 %).</w:t>
      </w:r>
    </w:p>
    <w:p w14:paraId="439F88EC" w14:textId="77777777" w:rsidR="00173803" w:rsidRPr="00AB7860" w:rsidRDefault="00173803" w:rsidP="00173803">
      <w:pPr>
        <w:spacing w:after="0" w:line="240" w:lineRule="auto"/>
        <w:rPr>
          <w:rFonts w:ascii="Times New Roman" w:eastAsia="Times New Roman" w:hAnsi="Times New Roman" w:cs="Times New Roman"/>
          <w:lang w:val="lt-LT"/>
        </w:rPr>
      </w:pPr>
    </w:p>
    <w:p w14:paraId="5A549E9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Be to, kiti 24 pacientai, sergantys MDS/MPL, buvo aprašyti 13 straipsnių. 21 pacientas buvo gydomas imatinibo 400 mg doze, kiti 3 pacientai gavo mažesnes dozes. Vienuolikai pacientų buvo nustatyti PDGF genų pakitimai, 9 iš jų pasiekė VHA ir 1 DHA. Šių pacientų amžius svyravo nuo 2 iki 79 metų. Remiantis atnaujinta</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informacija apie 6 iš 11 pacientų nesename straipsnyje, paaiškėjo, jog jiems visiems citogenetinė</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remisija išliko (trukmė 32-38 mėnesiai). Tame pačiame straipsnyje aprašomi 12 pacientų, sergančių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MDS/MPL su PDGFR genų pakitimais (5 pacientai iš B2225 tyrimo) ilgalaikio stebėjimo duomenys.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Šie pacientai gavo imatinibą vidutiniškai 47 mėnesius (ribos 24 dienos – 60 mėnesių). 6 iš šių pacientų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dabar stebimi ilgiau kaip 4 metus. Vienuolika pacientų pasiekė greitą VHA; dešimčiai visiškai išnyko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citogenetiniai pokyčiai ir patikrinus RT-PGR, sumažėjo arba išnyko susijungusių transkriptų.</w:t>
      </w:r>
    </w:p>
    <w:p w14:paraId="7B553DC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Hematologinis ir citogenetinis atsakai buvo atitinkamai pastovūs vidutiniškai 49 mėnesius (ribos 19-60) ir 47 mėnesius (ribos 16-59). Patvirtinus diagnozę, bendras išgyvenamumas yra 65 mėnesiai (ribos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25-234). Imatinibo paskyrimas pacientams be genetinių translokacijų bendrai pagerėjimo nesukėlė.</w:t>
      </w:r>
    </w:p>
    <w:p w14:paraId="102EFDB7" w14:textId="77777777" w:rsidR="00173803" w:rsidRPr="00AB7860" w:rsidRDefault="00173803" w:rsidP="00173803">
      <w:pPr>
        <w:spacing w:after="0" w:line="240" w:lineRule="auto"/>
        <w:rPr>
          <w:rFonts w:ascii="Times New Roman" w:hAnsi="Times New Roman" w:cs="Times New Roman"/>
          <w:lang w:val="lt-LT"/>
        </w:rPr>
      </w:pPr>
    </w:p>
    <w:p w14:paraId="75C81ED5"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Vaikų populiacija</w:t>
      </w:r>
    </w:p>
    <w:p w14:paraId="1953CAEA"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Kontroliuojamųjų klinikinių tyrimų su MDS ir MPL sergančiais vaikais neatlikta. 4 literatūros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šaltiniuose aprašyti 5 pacientai, sirgę su PDGFR genų pakitimais susijusiomis MDS/MPL. Šių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pacientų amžius svyravo nuo 3 mėnesių iki 4 metų, jiems buvo skiriama 50 mg per parą imatinibo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dozė arba nuo 92,5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iki 340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kūno paviršiaus ploto per parą dozė. Visiems pacientams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pasiektas visiškas hematologinis atsakas, citogenetinis atsakas ir (arba) klinikinis atsakas.</w:t>
      </w:r>
    </w:p>
    <w:p w14:paraId="3E9C3E76" w14:textId="77777777" w:rsidR="00173803" w:rsidRPr="00AB7860" w:rsidRDefault="00173803" w:rsidP="00173803">
      <w:pPr>
        <w:spacing w:after="0" w:line="240" w:lineRule="auto"/>
        <w:rPr>
          <w:rFonts w:ascii="Times New Roman" w:hAnsi="Times New Roman" w:cs="Times New Roman"/>
          <w:lang w:val="lt-LT"/>
        </w:rPr>
      </w:pPr>
    </w:p>
    <w:p w14:paraId="0B150B57" w14:textId="77777777" w:rsidR="00173803" w:rsidRPr="0049461C" w:rsidRDefault="00173803" w:rsidP="00173803">
      <w:pPr>
        <w:spacing w:after="0" w:line="240" w:lineRule="auto"/>
        <w:rPr>
          <w:rFonts w:ascii="Times New Roman" w:hAnsi="Times New Roman" w:cs="Times New Roman"/>
          <w:u w:val="single"/>
          <w:lang w:val="lt-LT"/>
        </w:rPr>
      </w:pPr>
      <w:r w:rsidRPr="0049461C">
        <w:rPr>
          <w:rFonts w:ascii="Times New Roman" w:hAnsi="Times New Roman" w:cs="Times New Roman"/>
          <w:u w:val="single"/>
          <w:lang w:val="lt-LT"/>
        </w:rPr>
        <w:t>Klinikiniai HES/LEL tyrimai</w:t>
      </w:r>
    </w:p>
    <w:p w14:paraId="4160AD3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Viename atvirame, daugiacentriame, II fazės klinikiniame tyrime (tyrimas B2225) buvo tiriamas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imatinibo efektyvumas įvairioms pacientų, sergančių gyvybei pavojingomis ligomis, susijusiomis su</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Abl, Kit ar PDGFR baltymų tirozinkinazėmis, grupėms. Šio tyrimo metu 14 pacientų, sergantys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HES/LEL, buvo gydomi Imatinibo 100 mg – 1 000 mg dozėmis per parą. Kiti 162 pacientai, sergantys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HES/LEL, aprašyti 35 atvejų pranešimuose ir atvejų serijose gavo 75 mg – 800 mg Imatinibo per parą.</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117 iš bendros 176 pacientų populiacijos buvo nustatyti citogenetiniai pokyčiai. 61 iš 117 šių pacientų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nustatyta FIP1L1-PDGFRα lydima kinazė. Be to, keturiems HES sergantiems pacientams buvo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nustatyta teigiama FIP1L1-PDGFRα lydima kinazė kituose 3 aprašytuose atvejuose. Visi 65 pacientai</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su teigiama FIP1L1-PDGFRα lydima kinaze pasiekė pastovų VHA mėnesiams (nuo 1+ iki 44+</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mėnesių, tikrinta pranešimo metu). Kaip pranešama naujame straipsnyje, 21 iš šių 65 pacientų taip pat</w:t>
      </w:r>
      <w:r w:rsidRPr="00AB7860">
        <w:rPr>
          <w:rFonts w:ascii="Times New Roman" w:eastAsia="Times New Roman" w:hAnsi="Times New Roman" w:cs="Times New Roman"/>
          <w:lang w:val="lt-LT"/>
        </w:rPr>
        <w:t xml:space="preserve"> pasiekė pilną molekulinę remisiją vidutiniškai stebint 28 mėnesius (13-67 mėnesius). Šių pacientų amžius svyravo nuo 25 iki 72 metų. Tyrėjų atvejų pranešimuose papildomai buvo pranešta apie simptomų ir kitus organų funkcijų sutrikimų pagerėjimus. </w:t>
      </w:r>
    </w:p>
    <w:p w14:paraId="34E31CE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Pagerėjimai buvo nustatyti širdies, nervų,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odos/poodinio audinio, kvėpavimo/krūtinės/tarpuplaučio, griaučių/raumenų/jungiamojo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audinio/kraujagyslių ir virškinimo trakto organų sistemose.</w:t>
      </w:r>
    </w:p>
    <w:p w14:paraId="07D8D404" w14:textId="77777777" w:rsidR="00173803" w:rsidRPr="00AB7860" w:rsidRDefault="00173803" w:rsidP="00173803">
      <w:pPr>
        <w:spacing w:after="0" w:line="240" w:lineRule="auto"/>
        <w:rPr>
          <w:rFonts w:ascii="Times New Roman" w:hAnsi="Times New Roman" w:cs="Times New Roman"/>
          <w:lang w:val="lt-LT"/>
        </w:rPr>
      </w:pPr>
    </w:p>
    <w:p w14:paraId="244A47DD"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Vaikų populiacija</w:t>
      </w:r>
    </w:p>
    <w:p w14:paraId="50B3BBC8"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Kontroliuojamųjų klinikinių tyrimų su HES/LEL sergančiais vaikais neatlikta. 3 literatūros šaltiniuose</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aprašyti 3 pacientai, sirgę su PDGFR genų pakitimais susijusiais HES ir LEL. Šių pacientų amžius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svyravo nuo 2 metų iki 16 metų, jiems buvo skiriama 300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kūno paviršiaus ploto per parą arba</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nuo 200 mg iki 400 mg per parą imatinibo dozė. Visiems pacientams pasiektas visiškas hematologinis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atsakas, visiškas citogenetinis atsakas ir (arba) visiškas molekulinis atsakas.</w:t>
      </w:r>
    </w:p>
    <w:p w14:paraId="1A37C0F9" w14:textId="77777777" w:rsidR="00173803" w:rsidRPr="00AB7860" w:rsidRDefault="00173803" w:rsidP="00173803">
      <w:pPr>
        <w:spacing w:after="0" w:line="240" w:lineRule="auto"/>
        <w:rPr>
          <w:rFonts w:ascii="Times New Roman" w:hAnsi="Times New Roman" w:cs="Times New Roman"/>
          <w:lang w:val="lt-LT"/>
        </w:rPr>
      </w:pPr>
    </w:p>
    <w:p w14:paraId="67F2D7B6" w14:textId="77777777" w:rsidR="00173803" w:rsidRPr="00201510" w:rsidRDefault="00173803" w:rsidP="00173803">
      <w:pPr>
        <w:autoSpaceDE w:val="0"/>
        <w:autoSpaceDN w:val="0"/>
        <w:adjustRightInd w:val="0"/>
        <w:spacing w:after="0" w:line="240" w:lineRule="auto"/>
        <w:rPr>
          <w:rFonts w:ascii="Times New Roman" w:hAnsi="Times New Roman" w:cs="Times New Roman"/>
          <w:u w:val="single"/>
          <w:lang w:val="lt-LT"/>
        </w:rPr>
      </w:pPr>
      <w:r w:rsidRPr="00201510">
        <w:rPr>
          <w:rFonts w:ascii="Times New Roman" w:hAnsi="Times New Roman" w:cs="Times New Roman"/>
          <w:u w:val="single"/>
          <w:lang w:val="lt-LT"/>
        </w:rPr>
        <w:t>Klinikiniai tyrimai  nerezekuotino ir (ar) metastazavusioVTSN</w:t>
      </w:r>
    </w:p>
    <w:p w14:paraId="6A4A575A"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Vienas II fazės atviras, randomizuotas, nekontroliuojamas tarptautinis tyrimas buvo atliktas su pacientais, kuriems buvo nerezekuotinas ar metastazavęs piktybinis virškinimo trakto stromos navikas (VTSN). Šiame tyrime dalyvavo 147 pacientai, kurie buvo atsitiktinai suskirstyti gerti po 400 mg arba po 600 mg vieną kartą per parą iki 36 mėn. Šių pacientų amžius buvo nuo 18 iki 83 metų, jiems buvo nustatyta patologinė Kit+ piktybinio VTSN, kuris buvo nerezekuotinas ir (ar) metastazavęs, diagnozė. Rutiniškai buvo atliktas imunohistocheminis tyrimas su Kit antikūnais (A-4502, triušių polikloninis antiserumas, 1:100; DAKO Corporation, Carpinteria, CA) pagal avidino-biotino-peroksidazės komplekso metodo analizę po antigeno sugrąžinimo.</w:t>
      </w:r>
    </w:p>
    <w:p w14:paraId="410609A9" w14:textId="77777777" w:rsidR="00173803" w:rsidRPr="00AB7860" w:rsidRDefault="00173803" w:rsidP="00173803">
      <w:pPr>
        <w:spacing w:after="0" w:line="240" w:lineRule="auto"/>
        <w:rPr>
          <w:rFonts w:ascii="Times New Roman" w:hAnsi="Times New Roman" w:cs="Times New Roman"/>
          <w:lang w:val="lt-LT"/>
        </w:rPr>
      </w:pPr>
    </w:p>
    <w:p w14:paraId="1FAD7CCD"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Svarbiausias veiksmingumo įrodymas - objektyvus atsako dažnis. Buvo reikalaujama naviką išmatuoti bent vienoje vietoje. Atsakas apibūdintas pagal </w:t>
      </w:r>
      <w:r w:rsidRPr="00AB7860">
        <w:rPr>
          <w:rFonts w:ascii="Times New Roman" w:hAnsi="Times New Roman" w:cs="Times New Roman"/>
          <w:i/>
          <w:lang w:val="lt-LT"/>
        </w:rPr>
        <w:t xml:space="preserve">Southwestern Oncology Group (SWOG) </w:t>
      </w:r>
      <w:r w:rsidRPr="00AB7860">
        <w:rPr>
          <w:rFonts w:ascii="Times New Roman" w:hAnsi="Times New Roman" w:cs="Times New Roman"/>
          <w:lang w:val="lt-LT"/>
        </w:rPr>
        <w:t xml:space="preserve">kriterijus. Duomenys pateikti </w:t>
      </w:r>
      <w:r w:rsidR="000909FB" w:rsidRPr="00AB7860">
        <w:rPr>
          <w:rFonts w:ascii="Times New Roman" w:hAnsi="Times New Roman" w:cs="Times New Roman"/>
          <w:lang w:val="lt-LT"/>
        </w:rPr>
        <w:t>6</w:t>
      </w:r>
      <w:r w:rsidRPr="00AB7860">
        <w:rPr>
          <w:rFonts w:ascii="Times New Roman" w:hAnsi="Times New Roman" w:cs="Times New Roman"/>
          <w:lang w:val="lt-LT"/>
        </w:rPr>
        <w:t xml:space="preserve"> lentelėje.</w:t>
      </w:r>
    </w:p>
    <w:p w14:paraId="5D99873B" w14:textId="77777777" w:rsidR="005F3875" w:rsidRDefault="005F3875" w:rsidP="005F3875">
      <w:pPr>
        <w:autoSpaceDE w:val="0"/>
        <w:autoSpaceDN w:val="0"/>
        <w:adjustRightInd w:val="0"/>
        <w:spacing w:after="0" w:line="240" w:lineRule="auto"/>
        <w:rPr>
          <w:rFonts w:ascii="Times New Roman" w:hAnsi="Times New Roman" w:cs="Times New Roman"/>
          <w:b/>
          <w:lang w:val="lt-LT"/>
        </w:rPr>
      </w:pPr>
    </w:p>
    <w:p w14:paraId="65E5DC91" w14:textId="77777777" w:rsidR="00173803" w:rsidRPr="00AB7860" w:rsidRDefault="000909FB" w:rsidP="005F3875">
      <w:pPr>
        <w:autoSpaceDE w:val="0"/>
        <w:autoSpaceDN w:val="0"/>
        <w:adjustRightInd w:val="0"/>
        <w:spacing w:after="0" w:line="240" w:lineRule="auto"/>
        <w:rPr>
          <w:rFonts w:ascii="Times New Roman" w:hAnsi="Times New Roman" w:cs="Times New Roman"/>
          <w:b/>
          <w:lang w:val="lt-LT"/>
        </w:rPr>
      </w:pPr>
      <w:r w:rsidRPr="00AB7860">
        <w:rPr>
          <w:rFonts w:ascii="Times New Roman" w:hAnsi="Times New Roman" w:cs="Times New Roman"/>
          <w:b/>
          <w:lang w:val="lt-LT"/>
        </w:rPr>
        <w:t>6</w:t>
      </w:r>
      <w:r w:rsidR="00173803" w:rsidRPr="00AB7860">
        <w:rPr>
          <w:rFonts w:ascii="Times New Roman" w:hAnsi="Times New Roman" w:cs="Times New Roman"/>
          <w:b/>
          <w:lang w:val="lt-LT"/>
        </w:rPr>
        <w:t xml:space="preserve"> lentelė </w:t>
      </w:r>
      <w:r w:rsidR="00173803" w:rsidRPr="00AB7860">
        <w:rPr>
          <w:rFonts w:ascii="Times New Roman" w:hAnsi="Times New Roman" w:cs="Times New Roman"/>
          <w:b/>
          <w:lang w:val="lt-LT"/>
        </w:rPr>
        <w:tab/>
        <w:t>Geriausias naviko atsakas STIB2222 (VTSN) tyrimo metu</w:t>
      </w:r>
    </w:p>
    <w:p w14:paraId="3E4B835D" w14:textId="77777777" w:rsidR="00173803" w:rsidRPr="00AB7860" w:rsidRDefault="00173803" w:rsidP="00173803">
      <w:pPr>
        <w:spacing w:after="0" w:line="240" w:lineRule="auto"/>
        <w:rPr>
          <w:rFonts w:ascii="Times New Roman" w:hAnsi="Times New Roman" w:cs="Times New Roman"/>
          <w:lang w:val="lt-LT"/>
        </w:rPr>
      </w:pPr>
    </w:p>
    <w:tbl>
      <w:tblPr>
        <w:tblW w:w="0" w:type="auto"/>
        <w:tblInd w:w="108" w:type="dxa"/>
        <w:tblLook w:val="04A0" w:firstRow="1" w:lastRow="0" w:firstColumn="1" w:lastColumn="0" w:noHBand="0" w:noVBand="1"/>
      </w:tblPr>
      <w:tblGrid>
        <w:gridCol w:w="2835"/>
        <w:gridCol w:w="5812"/>
      </w:tblGrid>
      <w:tr w:rsidR="00173803" w:rsidRPr="00AB7860" w14:paraId="53BEF6AE" w14:textId="77777777" w:rsidTr="00F5730F">
        <w:tc>
          <w:tcPr>
            <w:tcW w:w="2835" w:type="dxa"/>
            <w:tcBorders>
              <w:top w:val="single" w:sz="4" w:space="0" w:color="auto"/>
              <w:bottom w:val="single" w:sz="4" w:space="0" w:color="auto"/>
            </w:tcBorders>
            <w:shd w:val="clear" w:color="auto" w:fill="auto"/>
            <w:vAlign w:val="bottom"/>
          </w:tcPr>
          <w:p w14:paraId="71FB54B5"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Geriausias atsakas </w:t>
            </w:r>
          </w:p>
          <w:p w14:paraId="51EDA05C" w14:textId="77777777" w:rsidR="00173803" w:rsidRPr="00AB7860" w:rsidRDefault="00173803" w:rsidP="00F5730F">
            <w:pPr>
              <w:spacing w:after="0" w:line="240" w:lineRule="auto"/>
              <w:rPr>
                <w:rFonts w:ascii="Times New Roman" w:hAnsi="Times New Roman" w:cs="Times New Roman"/>
                <w:lang w:val="lt-LT"/>
              </w:rPr>
            </w:pPr>
          </w:p>
        </w:tc>
        <w:tc>
          <w:tcPr>
            <w:tcW w:w="5812" w:type="dxa"/>
            <w:tcBorders>
              <w:top w:val="single" w:sz="4" w:space="0" w:color="auto"/>
              <w:bottom w:val="single" w:sz="4" w:space="0" w:color="auto"/>
            </w:tcBorders>
            <w:shd w:val="clear" w:color="auto" w:fill="auto"/>
            <w:vAlign w:val="bottom"/>
          </w:tcPr>
          <w:p w14:paraId="242DC5F6"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Visos dozės (n=147)</w:t>
            </w:r>
          </w:p>
          <w:p w14:paraId="0B102E5C"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400 mg (n=73)</w:t>
            </w:r>
          </w:p>
          <w:p w14:paraId="06CF378C"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600 mg (n=74)</w:t>
            </w:r>
          </w:p>
          <w:p w14:paraId="5692AB35"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n (%)</w:t>
            </w:r>
          </w:p>
        </w:tc>
      </w:tr>
      <w:tr w:rsidR="00173803" w:rsidRPr="00AB7860" w14:paraId="5BA73022" w14:textId="77777777" w:rsidTr="00F5730F">
        <w:tc>
          <w:tcPr>
            <w:tcW w:w="2835" w:type="dxa"/>
            <w:tcBorders>
              <w:top w:val="single" w:sz="4" w:space="0" w:color="auto"/>
            </w:tcBorders>
            <w:shd w:val="clear" w:color="auto" w:fill="auto"/>
            <w:vAlign w:val="bottom"/>
          </w:tcPr>
          <w:p w14:paraId="600A56AA" w14:textId="77777777" w:rsidR="00173803" w:rsidRPr="00B36BCA"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Visiška</w:t>
            </w:r>
            <w:r w:rsidRPr="00B36BCA">
              <w:rPr>
                <w:rFonts w:ascii="Times New Roman" w:hAnsi="Times New Roman" w:cs="Times New Roman"/>
                <w:lang w:val="lt-LT"/>
              </w:rPr>
              <w:t>s atsakas</w:t>
            </w:r>
          </w:p>
        </w:tc>
        <w:tc>
          <w:tcPr>
            <w:tcW w:w="5812" w:type="dxa"/>
            <w:tcBorders>
              <w:top w:val="single" w:sz="4" w:space="0" w:color="auto"/>
            </w:tcBorders>
            <w:shd w:val="clear" w:color="auto" w:fill="auto"/>
          </w:tcPr>
          <w:p w14:paraId="07AB8F5A"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1 (0,7)</w:t>
            </w:r>
          </w:p>
        </w:tc>
      </w:tr>
      <w:tr w:rsidR="00173803" w:rsidRPr="00AB7860" w14:paraId="7BC17E89" w14:textId="77777777" w:rsidTr="00F5730F">
        <w:tc>
          <w:tcPr>
            <w:tcW w:w="2835" w:type="dxa"/>
            <w:shd w:val="clear" w:color="auto" w:fill="auto"/>
            <w:vAlign w:val="bottom"/>
          </w:tcPr>
          <w:p w14:paraId="37EE6A49"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Dalinis atsakas</w:t>
            </w:r>
          </w:p>
        </w:tc>
        <w:tc>
          <w:tcPr>
            <w:tcW w:w="5812" w:type="dxa"/>
            <w:shd w:val="clear" w:color="auto" w:fill="auto"/>
          </w:tcPr>
          <w:p w14:paraId="50703581"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98 (66,7)</w:t>
            </w:r>
          </w:p>
        </w:tc>
      </w:tr>
      <w:tr w:rsidR="00173803" w:rsidRPr="00AB7860" w14:paraId="6E9B1243" w14:textId="77777777" w:rsidTr="00F5730F">
        <w:tc>
          <w:tcPr>
            <w:tcW w:w="2835" w:type="dxa"/>
            <w:shd w:val="clear" w:color="auto" w:fill="auto"/>
            <w:vAlign w:val="bottom"/>
          </w:tcPr>
          <w:p w14:paraId="49204475"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Stabili liga</w:t>
            </w:r>
          </w:p>
        </w:tc>
        <w:tc>
          <w:tcPr>
            <w:tcW w:w="5812" w:type="dxa"/>
            <w:shd w:val="clear" w:color="auto" w:fill="auto"/>
          </w:tcPr>
          <w:p w14:paraId="75EF0B8D"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23 (15,6)</w:t>
            </w:r>
          </w:p>
        </w:tc>
      </w:tr>
      <w:tr w:rsidR="00173803" w:rsidRPr="00AB7860" w14:paraId="7399830E" w14:textId="77777777" w:rsidTr="00F5730F">
        <w:tc>
          <w:tcPr>
            <w:tcW w:w="2835" w:type="dxa"/>
            <w:shd w:val="clear" w:color="auto" w:fill="auto"/>
            <w:vAlign w:val="bottom"/>
          </w:tcPr>
          <w:p w14:paraId="4E187FDD"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Progresuojanti liga</w:t>
            </w:r>
          </w:p>
        </w:tc>
        <w:tc>
          <w:tcPr>
            <w:tcW w:w="5812" w:type="dxa"/>
            <w:shd w:val="clear" w:color="auto" w:fill="auto"/>
          </w:tcPr>
          <w:p w14:paraId="1CEE0DF0"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18 (12,2)</w:t>
            </w:r>
          </w:p>
        </w:tc>
      </w:tr>
      <w:tr w:rsidR="00173803" w:rsidRPr="00AB7860" w14:paraId="711122BF" w14:textId="77777777" w:rsidTr="00F5730F">
        <w:tc>
          <w:tcPr>
            <w:tcW w:w="2835" w:type="dxa"/>
            <w:shd w:val="clear" w:color="auto" w:fill="auto"/>
            <w:vAlign w:val="bottom"/>
          </w:tcPr>
          <w:p w14:paraId="6345AC3E"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Neįvertinama </w:t>
            </w:r>
          </w:p>
        </w:tc>
        <w:tc>
          <w:tcPr>
            <w:tcW w:w="5812" w:type="dxa"/>
            <w:shd w:val="clear" w:color="auto" w:fill="auto"/>
          </w:tcPr>
          <w:p w14:paraId="02ED9F9E"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5 (3,4)</w:t>
            </w:r>
          </w:p>
        </w:tc>
      </w:tr>
      <w:tr w:rsidR="00173803" w:rsidRPr="00AB7860" w14:paraId="5323B43B" w14:textId="77777777" w:rsidTr="00F5730F">
        <w:tc>
          <w:tcPr>
            <w:tcW w:w="2835" w:type="dxa"/>
            <w:tcBorders>
              <w:bottom w:val="single" w:sz="4" w:space="0" w:color="auto"/>
            </w:tcBorders>
            <w:shd w:val="clear" w:color="auto" w:fill="auto"/>
            <w:vAlign w:val="bottom"/>
          </w:tcPr>
          <w:p w14:paraId="396EFBFD" w14:textId="77777777" w:rsidR="00173803" w:rsidRPr="00AB7860" w:rsidRDefault="00173803" w:rsidP="00F5730F">
            <w:pPr>
              <w:spacing w:after="0" w:line="240" w:lineRule="auto"/>
              <w:rPr>
                <w:rFonts w:ascii="Times New Roman" w:hAnsi="Times New Roman" w:cs="Times New Roman"/>
                <w:lang w:val="lt-LT"/>
              </w:rPr>
            </w:pPr>
            <w:r w:rsidRPr="00AB7860">
              <w:rPr>
                <w:rFonts w:ascii="Times New Roman" w:hAnsi="Times New Roman" w:cs="Times New Roman"/>
                <w:lang w:val="lt-LT"/>
              </w:rPr>
              <w:t>Nežinoma</w:t>
            </w:r>
          </w:p>
        </w:tc>
        <w:tc>
          <w:tcPr>
            <w:tcW w:w="5812" w:type="dxa"/>
            <w:tcBorders>
              <w:bottom w:val="single" w:sz="4" w:space="0" w:color="auto"/>
            </w:tcBorders>
            <w:shd w:val="clear" w:color="auto" w:fill="auto"/>
          </w:tcPr>
          <w:p w14:paraId="71C5FA64" w14:textId="77777777" w:rsidR="00173803" w:rsidRPr="00AB7860" w:rsidRDefault="00173803" w:rsidP="00F5730F">
            <w:pPr>
              <w:spacing w:after="0" w:line="240" w:lineRule="auto"/>
              <w:jc w:val="center"/>
              <w:rPr>
                <w:rFonts w:ascii="Times New Roman" w:hAnsi="Times New Roman" w:cs="Times New Roman"/>
                <w:lang w:val="lt-LT"/>
              </w:rPr>
            </w:pPr>
            <w:r w:rsidRPr="00AB7860">
              <w:rPr>
                <w:rFonts w:ascii="Times New Roman" w:hAnsi="Times New Roman" w:cs="Times New Roman"/>
                <w:lang w:val="lt-LT"/>
              </w:rPr>
              <w:t>2 (1,4)</w:t>
            </w:r>
          </w:p>
        </w:tc>
      </w:tr>
    </w:tbl>
    <w:p w14:paraId="1BC6167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1958EE0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Dviejų dozių grupių atsako dažnis nesiskyrė. Preliminariais duomenimis, reikšmingam skaičiui pacientų, kurių liga buvo stabili, ilgiau gydant buvo gautas dalinis atsakas (stebėjimo periodo mediana 31 mėnesių). Atsako trukmės mediana buvo 13 savaičių (95 % PI 12–23). Periodo iki gydymo nesekmės pacientams, kuriems buvo gautas atsakas, mediana buvo 122 savaitės (95 % PI 106–147), o bendroje tyrimo populiacijoje ji buvo 84 savaitės (95 % PI 71–109). Bendrojo išgyvenamumo mediana nebuvo gauta. Kaplan-Meier išgyvenamumo po 36 mėnesių stebėjimo periodo rodiklis buvo 68 %.</w:t>
      </w:r>
    </w:p>
    <w:p w14:paraId="03B08D17"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27215937"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Dviejų klinikinių tyrimų metu (tyrimas B2222 ir tarpgrupinis tyrimas S0033) imatinibo paros dozė buvo padidinta iki 800 mg pacientams, kurių liga progresavo vartojant mažesnes 400 mg ar 600 mg paros dozes. Iki 800 mg paros dozė buvo padidinta iš viso 103 pacientams; 6 pacientams buvo gautas dalinis atsakas, 21 pacientui po dozės padidinimo liga stabilizavosi, bendroji klinikinė nauda buvo 26 %. Remiantis turimais saugumo duomenimis, dozės didinimas nuo mažesnių 400 mg ar 600 mg dozių per parą iki 800 mg per parą imatinibo saugumo rodiklių, atrodo nepaveikė.</w:t>
      </w:r>
    </w:p>
    <w:p w14:paraId="45684CC0"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u w:val="single"/>
          <w:lang w:val="lt-LT"/>
        </w:rPr>
      </w:pPr>
    </w:p>
    <w:p w14:paraId="4D553D50"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u w:val="single"/>
          <w:lang w:val="lt-LT"/>
        </w:rPr>
      </w:pPr>
      <w:r w:rsidRPr="00AB7860">
        <w:rPr>
          <w:rFonts w:ascii="Times New Roman" w:hAnsi="Times New Roman" w:cs="Times New Roman"/>
          <w:color w:val="000000"/>
          <w:u w:val="single"/>
          <w:lang w:val="lt-LT"/>
        </w:rPr>
        <w:t xml:space="preserve">Klinikiniai adjuvantinio VTSN gydymo tyrimai </w:t>
      </w:r>
    </w:p>
    <w:p w14:paraId="5A1DFE8D"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lt-LT"/>
        </w:rPr>
      </w:pPr>
      <w:r w:rsidRPr="00AB7860">
        <w:rPr>
          <w:rFonts w:ascii="Times New Roman" w:hAnsi="Times New Roman" w:cs="Times New Roman"/>
          <w:color w:val="000000"/>
          <w:lang w:val="lt-LT"/>
        </w:rPr>
        <w:t xml:space="preserve">Pagalbiniam VTSN gydymui naudojamas imatinibas buvo tirtas daugiacentrio, dvigubai aklo, ilgalaikio gydymo, placebu kontroliuojamo III fazės klinikinio tyrimo (Z9001), kuriame dalyvavo 773 pacientai, metu. Šie pacientai buvo 18–91 metų amžiaus. Į tyrimą buvo įtraukti pacientai, kuriems histologiškai buvo </w:t>
      </w:r>
      <w:r w:rsidRPr="00AB7860">
        <w:rPr>
          <w:rFonts w:ascii="Times New Roman" w:hAnsi="Times New Roman" w:cs="Times New Roman"/>
          <w:color w:val="000000"/>
          <w:lang w:val="lt-LT"/>
        </w:rPr>
        <w:lastRenderedPageBreak/>
        <w:t xml:space="preserve">patvirtinta pirminio VTSN su imunocheminiu būdu nustatyta Kit baltymo ekspresija diagnozė ir kurių naviko didžiausias matmuo buvo ≥ 3 cm bei kuriems prieš 14-70 dienų iki įtraukimo į tyrimą buvo atlikta radikali pirminio VTSN rezekcija. Po pirminio VTSN rezekcijos pacientai atsitiktiniu būdu buvo suskirstyti į dvi gydymo grupes: imatinibas 400 mg per parą arba placebo grupes (gydymas buvo skiriamas vienerius metus). </w:t>
      </w:r>
    </w:p>
    <w:p w14:paraId="4BBB54EB"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lt-LT"/>
        </w:rPr>
      </w:pPr>
    </w:p>
    <w:p w14:paraId="6CB59236"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Pirminė vertinamoji klinikinio tyrimo baigtis buvo išgyvenamumas be ligos recidyvo (angl. recurrence-free survival – RFS), nustatomas kaip laikas nuo randomizacijos dienos iki recidyvo pasireiškimo dienos arba mirties dėl bet kokios priežasties. </w:t>
      </w:r>
    </w:p>
    <w:p w14:paraId="0CB70F77"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p>
    <w:p w14:paraId="65D906CB"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Imatinibas reikšmingai pailgino RFS rodiklį; 75 % pacientų, kuriems nepasireiškė ligos recidyvas 38 mėnesius, lyginant su 20 mėnesių laikotarpiu placebo grupėje (95 % PI, [30 - nevertintinas]; [14 - nevertintinas], atitinkamai); (rizikos santykis = 0,398 [0,259-0,610], p&lt;0,0001). Vertinant po vienerių gydymo metų, bendrojo RFS rodiklis imatinibo grupėje buvo reikšmingai geresnis lyginant su placebo grupe (atitinkamai 97,7 % ir 82,3 %; p&lt;0,0001). Taigi, ligos recidyvo atsiradimo rizika buvo sumažinta apytiksliai 89 %, lyginant su placebu (rizikos santykis = 0,113 [0,049-0,264]). </w:t>
      </w:r>
    </w:p>
    <w:p w14:paraId="51E68D49"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rPr>
      </w:pPr>
    </w:p>
    <w:p w14:paraId="14C706CF"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lt-LT"/>
        </w:rPr>
      </w:pPr>
      <w:r w:rsidRPr="00AB7860">
        <w:rPr>
          <w:rFonts w:ascii="Times New Roman" w:hAnsi="Times New Roman" w:cs="Times New Roman"/>
          <w:color w:val="000000"/>
          <w:lang w:val="lt-LT"/>
        </w:rPr>
        <w:t xml:space="preserve">Pacientams po pirminio VTSN operacinio gydymo ligos recidyvo rizika buvo įvertinta retrospektyviai, remiantis toliau nurodytais prognostiniais veiksniais: naviko dydžiu, mitozės indeksu ir naviko lokalizacija. Mitozės indekso duomenys surinkti 556 pacientams iš 713 atrinktos gydymui (angl. </w:t>
      </w:r>
      <w:r w:rsidRPr="00AB7860">
        <w:rPr>
          <w:rFonts w:ascii="Times New Roman" w:hAnsi="Times New Roman" w:cs="Times New Roman"/>
          <w:i/>
          <w:color w:val="000000"/>
          <w:lang w:val="lt-LT"/>
        </w:rPr>
        <w:t xml:space="preserve">intention-to-treat </w:t>
      </w:r>
      <w:r w:rsidRPr="00AB7860">
        <w:rPr>
          <w:rFonts w:ascii="Times New Roman" w:hAnsi="Times New Roman" w:cs="Times New Roman"/>
          <w:color w:val="000000"/>
          <w:lang w:val="lt-LT"/>
        </w:rPr>
        <w:t xml:space="preserve">– ITT) populiacijos asmenų. Remiantis Jungtinių valstijų sveikatos nacionalinio instituto (United States National Institutes of Health - NIH) ir Ginkluotųjų pajėgų patologijos instituto (Armed Forces Institute of Pathology – AFIP) sudaryta rizikos klasifikacija, pacientų pogrupių analizės rezultatai pateikti </w:t>
      </w:r>
      <w:r w:rsidR="00FF191C" w:rsidRPr="00157904">
        <w:rPr>
          <w:rFonts w:ascii="Times New Roman" w:hAnsi="Times New Roman" w:cs="Times New Roman"/>
          <w:color w:val="000000"/>
          <w:lang w:val="lt-LT"/>
        </w:rPr>
        <w:t>7</w:t>
      </w:r>
      <w:r w:rsidRPr="00AB7860">
        <w:rPr>
          <w:rFonts w:ascii="Times New Roman" w:hAnsi="Times New Roman" w:cs="Times New Roman"/>
          <w:color w:val="000000"/>
          <w:lang w:val="lt-LT"/>
        </w:rPr>
        <w:t xml:space="preserve"> lentelėje. Žemos ir labai žemos rizikos grupėje vaistinio preparato naudos nepastebėta. Bendram išgyvenamumui naudos nepastebėta. </w:t>
      </w:r>
    </w:p>
    <w:p w14:paraId="325CEC25"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lt-LT"/>
        </w:rPr>
      </w:pPr>
    </w:p>
    <w:p w14:paraId="31DC2314" w14:textId="77777777" w:rsidR="00173803" w:rsidRPr="00AB7860" w:rsidRDefault="000909FB"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7</w:t>
      </w:r>
      <w:r w:rsidR="00173803" w:rsidRPr="00AB7860">
        <w:rPr>
          <w:rFonts w:ascii="Times New Roman" w:hAnsi="Times New Roman" w:cs="Times New Roman"/>
          <w:b/>
          <w:lang w:val="lt-LT"/>
        </w:rPr>
        <w:t xml:space="preserve"> lentelė</w:t>
      </w:r>
      <w:r w:rsidR="00173803" w:rsidRPr="00AB7860">
        <w:rPr>
          <w:rFonts w:ascii="Times New Roman" w:hAnsi="Times New Roman" w:cs="Times New Roman"/>
          <w:b/>
          <w:lang w:val="lt-LT"/>
        </w:rPr>
        <w:tab/>
        <w:t>Z9001 klinikinio tyrimo RFS analizės pagal NIH ir AFIP rizikos klasifikacijas</w:t>
      </w:r>
    </w:p>
    <w:p w14:paraId="653A95B9" w14:textId="77777777" w:rsidR="00173803" w:rsidRPr="00AB7860" w:rsidRDefault="00173803" w:rsidP="00173803">
      <w:pPr>
        <w:spacing w:after="0" w:line="240" w:lineRule="auto"/>
        <w:rPr>
          <w:rFonts w:ascii="Times New Roman" w:hAnsi="Times New Roman" w:cs="Times New Roman"/>
          <w:b/>
          <w:lang w:val="lt-LT"/>
        </w:rPr>
      </w:pPr>
    </w:p>
    <w:tbl>
      <w:tblP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3"/>
        <w:gridCol w:w="1358"/>
        <w:gridCol w:w="1018"/>
        <w:gridCol w:w="1866"/>
        <w:gridCol w:w="1527"/>
        <w:gridCol w:w="1273"/>
        <w:gridCol w:w="1273"/>
      </w:tblGrid>
      <w:tr w:rsidR="00173803" w:rsidRPr="00AB7860" w14:paraId="2B14A184" w14:textId="77777777" w:rsidTr="0049461C">
        <w:trPr>
          <w:trHeight w:val="130"/>
        </w:trPr>
        <w:tc>
          <w:tcPr>
            <w:tcW w:w="1073" w:type="dxa"/>
            <w:vMerge w:val="restart"/>
          </w:tcPr>
          <w:p w14:paraId="138EC3C9"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color w:val="000000"/>
                <w:lang w:val="lt-LT"/>
              </w:rPr>
            </w:pPr>
            <w:r w:rsidRPr="00AB7860">
              <w:rPr>
                <w:rFonts w:ascii="Times New Roman" w:hAnsi="Times New Roman" w:cs="Times New Roman"/>
                <w:b/>
                <w:color w:val="000000"/>
                <w:lang w:val="lt-LT"/>
              </w:rPr>
              <w:t>Rizikos kriterijai</w:t>
            </w:r>
          </w:p>
        </w:tc>
        <w:tc>
          <w:tcPr>
            <w:tcW w:w="1358" w:type="dxa"/>
            <w:vMerge w:val="restart"/>
          </w:tcPr>
          <w:p w14:paraId="66F9A6DF"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color w:val="000000"/>
                <w:lang w:val="lt-LT"/>
              </w:rPr>
            </w:pPr>
            <w:r w:rsidRPr="00AB7860">
              <w:rPr>
                <w:rFonts w:ascii="Times New Roman" w:hAnsi="Times New Roman" w:cs="Times New Roman"/>
                <w:b/>
                <w:color w:val="000000"/>
                <w:lang w:val="lt-LT"/>
              </w:rPr>
              <w:t>Rizikos lygis</w:t>
            </w:r>
          </w:p>
        </w:tc>
        <w:tc>
          <w:tcPr>
            <w:tcW w:w="1018" w:type="dxa"/>
            <w:vMerge w:val="restart"/>
          </w:tcPr>
          <w:p w14:paraId="1283A357"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color w:val="000000"/>
                <w:lang w:val="lt-LT"/>
              </w:rPr>
            </w:pPr>
            <w:r w:rsidRPr="00AB7860">
              <w:rPr>
                <w:rFonts w:ascii="Times New Roman" w:hAnsi="Times New Roman" w:cs="Times New Roman"/>
                <w:b/>
                <w:color w:val="000000"/>
                <w:lang w:val="lt-LT"/>
              </w:rPr>
              <w:t xml:space="preserve">Pacientų skaičius% </w:t>
            </w:r>
          </w:p>
        </w:tc>
        <w:tc>
          <w:tcPr>
            <w:tcW w:w="1866" w:type="dxa"/>
            <w:vMerge w:val="restart"/>
          </w:tcPr>
          <w:p w14:paraId="5F1DEA6A"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Atvejų skaičius /</w:t>
            </w:r>
          </w:p>
          <w:p w14:paraId="19B6CBFD"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color w:val="000000"/>
                <w:lang w:val="lt-LT"/>
              </w:rPr>
            </w:pPr>
            <w:r w:rsidRPr="00AB7860">
              <w:rPr>
                <w:rFonts w:ascii="Times New Roman" w:hAnsi="Times New Roman" w:cs="Times New Roman"/>
                <w:b/>
                <w:color w:val="000000"/>
                <w:lang w:val="lt-LT"/>
              </w:rPr>
              <w:t>Pacientų skaičius</w:t>
            </w:r>
          </w:p>
        </w:tc>
        <w:tc>
          <w:tcPr>
            <w:tcW w:w="1527" w:type="dxa"/>
            <w:vMerge w:val="restart"/>
          </w:tcPr>
          <w:p w14:paraId="14BC5678"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rPr>
            </w:pPr>
            <w:r w:rsidRPr="00AB7860">
              <w:rPr>
                <w:rFonts w:ascii="Times New Roman" w:hAnsi="Times New Roman" w:cs="Times New Roman"/>
                <w:b/>
                <w:color w:val="000000"/>
                <w:lang w:val="lt-LT"/>
              </w:rPr>
              <w:t xml:space="preserve">Bendrasis rizikos santykis </w:t>
            </w:r>
          </w:p>
          <w:p w14:paraId="184DFDDB"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color w:val="000000"/>
                <w:lang w:val="lt-LT"/>
              </w:rPr>
            </w:pPr>
            <w:r w:rsidRPr="00AB7860">
              <w:rPr>
                <w:rFonts w:ascii="Times New Roman" w:hAnsi="Times New Roman" w:cs="Times New Roman"/>
                <w:b/>
                <w:color w:val="000000"/>
                <w:lang w:val="lt-LT"/>
              </w:rPr>
              <w:t xml:space="preserve"> (95% PI)*</w:t>
            </w:r>
          </w:p>
        </w:tc>
        <w:tc>
          <w:tcPr>
            <w:tcW w:w="2546" w:type="dxa"/>
            <w:gridSpan w:val="2"/>
          </w:tcPr>
          <w:p w14:paraId="0310803F"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RFS dažnis (%)</w:t>
            </w:r>
          </w:p>
        </w:tc>
      </w:tr>
      <w:tr w:rsidR="00173803" w:rsidRPr="00AB7860" w14:paraId="5AC5A540" w14:textId="77777777" w:rsidTr="0049461C">
        <w:trPr>
          <w:trHeight w:val="130"/>
        </w:trPr>
        <w:tc>
          <w:tcPr>
            <w:tcW w:w="1073" w:type="dxa"/>
            <w:vMerge/>
          </w:tcPr>
          <w:p w14:paraId="51851A5F"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358" w:type="dxa"/>
            <w:vMerge/>
          </w:tcPr>
          <w:p w14:paraId="7A51A20C"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018" w:type="dxa"/>
            <w:vMerge/>
          </w:tcPr>
          <w:p w14:paraId="28C2AA03"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866" w:type="dxa"/>
            <w:vMerge/>
          </w:tcPr>
          <w:p w14:paraId="4F00EE1C"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527" w:type="dxa"/>
            <w:vMerge/>
          </w:tcPr>
          <w:p w14:paraId="71BB8AC6"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273" w:type="dxa"/>
          </w:tcPr>
          <w:p w14:paraId="42C7CFA1"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12 mėn.</w:t>
            </w:r>
          </w:p>
        </w:tc>
        <w:tc>
          <w:tcPr>
            <w:tcW w:w="1272" w:type="dxa"/>
          </w:tcPr>
          <w:p w14:paraId="06753D84"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24 mėn.</w:t>
            </w:r>
          </w:p>
        </w:tc>
      </w:tr>
      <w:tr w:rsidR="00173803" w:rsidRPr="00AB7860" w14:paraId="4F4FDD74" w14:textId="77777777" w:rsidTr="0049461C">
        <w:trPr>
          <w:trHeight w:val="104"/>
        </w:trPr>
        <w:tc>
          <w:tcPr>
            <w:tcW w:w="1073" w:type="dxa"/>
            <w:vMerge/>
          </w:tcPr>
          <w:p w14:paraId="6B618035"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358" w:type="dxa"/>
            <w:vMerge/>
          </w:tcPr>
          <w:p w14:paraId="16806A0B"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018" w:type="dxa"/>
            <w:vMerge/>
          </w:tcPr>
          <w:p w14:paraId="5770D3FA"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866" w:type="dxa"/>
          </w:tcPr>
          <w:p w14:paraId="1E810F90"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Imatinibas lyginant su placebu</w:t>
            </w:r>
          </w:p>
        </w:tc>
        <w:tc>
          <w:tcPr>
            <w:tcW w:w="1527" w:type="dxa"/>
            <w:vMerge/>
          </w:tcPr>
          <w:p w14:paraId="583ED6CF"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p>
        </w:tc>
        <w:tc>
          <w:tcPr>
            <w:tcW w:w="1273" w:type="dxa"/>
          </w:tcPr>
          <w:p w14:paraId="7DC3B8AF"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Imatinibas lyginant su placebu</w:t>
            </w:r>
          </w:p>
        </w:tc>
        <w:tc>
          <w:tcPr>
            <w:tcW w:w="1272" w:type="dxa"/>
          </w:tcPr>
          <w:p w14:paraId="58910A95" w14:textId="77777777" w:rsidR="00173803" w:rsidRPr="00AB7860" w:rsidRDefault="00173803" w:rsidP="00F5730F">
            <w:pPr>
              <w:autoSpaceDE w:val="0"/>
              <w:autoSpaceDN w:val="0"/>
              <w:adjustRightInd w:val="0"/>
              <w:spacing w:after="0" w:line="240" w:lineRule="auto"/>
              <w:jc w:val="center"/>
              <w:rPr>
                <w:rFonts w:ascii="Times New Roman" w:hAnsi="Times New Roman" w:cs="Times New Roman"/>
                <w:b/>
                <w:color w:val="000000"/>
                <w:lang w:val="lt-LT"/>
              </w:rPr>
            </w:pPr>
            <w:r w:rsidRPr="00AB7860">
              <w:rPr>
                <w:rFonts w:ascii="Times New Roman" w:hAnsi="Times New Roman" w:cs="Times New Roman"/>
                <w:b/>
                <w:color w:val="000000"/>
                <w:lang w:val="lt-LT"/>
              </w:rPr>
              <w:t>Imatinibas lyginant su placebu</w:t>
            </w:r>
          </w:p>
        </w:tc>
      </w:tr>
      <w:tr w:rsidR="00173803" w:rsidRPr="00AB7860" w14:paraId="6DA2E898" w14:textId="77777777" w:rsidTr="0049461C">
        <w:trPr>
          <w:trHeight w:val="262"/>
        </w:trPr>
        <w:tc>
          <w:tcPr>
            <w:tcW w:w="1073" w:type="dxa"/>
            <w:vAlign w:val="center"/>
          </w:tcPr>
          <w:p w14:paraId="45EF977D"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NIH</w:t>
            </w:r>
          </w:p>
        </w:tc>
        <w:tc>
          <w:tcPr>
            <w:tcW w:w="1358" w:type="dxa"/>
          </w:tcPr>
          <w:p w14:paraId="139362E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Maža</w:t>
            </w:r>
          </w:p>
          <w:p w14:paraId="18466FF2"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6"/>
                <w:lang w:val="lt-LT"/>
              </w:rPr>
            </w:pPr>
            <w:r w:rsidRPr="00AB7860">
              <w:rPr>
                <w:rFonts w:ascii="Times New Roman" w:hAnsi="Times New Roman" w:cs="Times New Roman"/>
                <w:color w:val="000000"/>
                <w:lang w:val="lt-LT"/>
              </w:rPr>
              <w:t>Vidutinė</w:t>
            </w:r>
          </w:p>
          <w:p w14:paraId="61414E96"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Didelė</w:t>
            </w:r>
          </w:p>
        </w:tc>
        <w:tc>
          <w:tcPr>
            <w:tcW w:w="1018" w:type="dxa"/>
          </w:tcPr>
          <w:p w14:paraId="2170A8C3"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29,5</w:t>
            </w:r>
          </w:p>
          <w:p w14:paraId="7A06F343"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25,7</w:t>
            </w:r>
          </w:p>
          <w:p w14:paraId="77AF5AE8"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44,8</w:t>
            </w:r>
          </w:p>
        </w:tc>
        <w:tc>
          <w:tcPr>
            <w:tcW w:w="1866" w:type="dxa"/>
          </w:tcPr>
          <w:p w14:paraId="1D3F6301"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0/86 ir 2/90</w:t>
            </w:r>
          </w:p>
          <w:p w14:paraId="23C5E66C"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4/75 ir 6/78</w:t>
            </w:r>
          </w:p>
          <w:p w14:paraId="7A257487"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21/140  ir 51/127</w:t>
            </w:r>
          </w:p>
        </w:tc>
        <w:tc>
          <w:tcPr>
            <w:tcW w:w="1527" w:type="dxa"/>
          </w:tcPr>
          <w:p w14:paraId="09F46132"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N.R.</w:t>
            </w:r>
          </w:p>
          <w:p w14:paraId="7F418244"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0,59 (0,17;  2,10)</w:t>
            </w:r>
          </w:p>
          <w:p w14:paraId="0F2F795F"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0,29 (0,18; 0,49)</w:t>
            </w:r>
          </w:p>
        </w:tc>
        <w:tc>
          <w:tcPr>
            <w:tcW w:w="1273" w:type="dxa"/>
          </w:tcPr>
          <w:p w14:paraId="2B4FDEFF"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100 ir 98,7</w:t>
            </w:r>
          </w:p>
          <w:p w14:paraId="322A99EE"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100 ir 94,8</w:t>
            </w:r>
          </w:p>
          <w:p w14:paraId="27600944"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94,8  ir 64,0</w:t>
            </w:r>
          </w:p>
        </w:tc>
        <w:tc>
          <w:tcPr>
            <w:tcW w:w="1272" w:type="dxa"/>
          </w:tcPr>
          <w:p w14:paraId="2A504C52"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100 ir 95,5</w:t>
            </w:r>
          </w:p>
          <w:p w14:paraId="658CBEB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97,8 ir 89,5</w:t>
            </w:r>
          </w:p>
          <w:p w14:paraId="637DD6B6"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80,7 ir 46,6</w:t>
            </w:r>
          </w:p>
        </w:tc>
      </w:tr>
      <w:tr w:rsidR="00173803" w:rsidRPr="00AB7860" w14:paraId="0C32619F" w14:textId="77777777" w:rsidTr="0049461C">
        <w:trPr>
          <w:trHeight w:val="262"/>
        </w:trPr>
        <w:tc>
          <w:tcPr>
            <w:tcW w:w="1073" w:type="dxa"/>
            <w:vAlign w:val="center"/>
          </w:tcPr>
          <w:p w14:paraId="1DC1FF50"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AFIP</w:t>
            </w:r>
          </w:p>
        </w:tc>
        <w:tc>
          <w:tcPr>
            <w:tcW w:w="1358" w:type="dxa"/>
          </w:tcPr>
          <w:p w14:paraId="366C6FB6"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Labai maža</w:t>
            </w:r>
          </w:p>
          <w:p w14:paraId="7906762D"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Maža</w:t>
            </w:r>
          </w:p>
          <w:p w14:paraId="07F08D1E"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Vidutinė</w:t>
            </w:r>
          </w:p>
          <w:p w14:paraId="3262799D"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Didelė</w:t>
            </w:r>
          </w:p>
        </w:tc>
        <w:tc>
          <w:tcPr>
            <w:tcW w:w="1018" w:type="dxa"/>
          </w:tcPr>
          <w:p w14:paraId="06E03AFB"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20,7</w:t>
            </w:r>
          </w:p>
          <w:p w14:paraId="63435279"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25,0</w:t>
            </w:r>
          </w:p>
          <w:p w14:paraId="28BFDB01"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24,6</w:t>
            </w:r>
          </w:p>
          <w:p w14:paraId="6341702E"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29,7</w:t>
            </w:r>
          </w:p>
        </w:tc>
        <w:tc>
          <w:tcPr>
            <w:tcW w:w="1866" w:type="dxa"/>
          </w:tcPr>
          <w:p w14:paraId="6079851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0/52 ir 2/63</w:t>
            </w:r>
          </w:p>
          <w:p w14:paraId="30F421F8"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2/70 ir 0/69</w:t>
            </w:r>
          </w:p>
          <w:p w14:paraId="20C7F3AC"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2/70 ir 11/67</w:t>
            </w:r>
          </w:p>
          <w:p w14:paraId="31DBD963"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16/84 ir 39/81</w:t>
            </w:r>
          </w:p>
        </w:tc>
        <w:tc>
          <w:tcPr>
            <w:tcW w:w="1527" w:type="dxa"/>
          </w:tcPr>
          <w:p w14:paraId="5A2F84E1"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N.R.</w:t>
            </w:r>
          </w:p>
          <w:p w14:paraId="6C098460"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N.R.</w:t>
            </w:r>
          </w:p>
          <w:p w14:paraId="44285282"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6"/>
                <w:lang w:val="lt-LT"/>
              </w:rPr>
            </w:pPr>
            <w:r w:rsidRPr="00AB7860">
              <w:rPr>
                <w:rFonts w:ascii="Times New Roman" w:hAnsi="Times New Roman" w:cs="Times New Roman"/>
                <w:color w:val="000000"/>
                <w:spacing w:val="-18"/>
                <w:lang w:val="lt-LT"/>
              </w:rPr>
              <w:t>0,</w:t>
            </w:r>
            <w:r w:rsidRPr="00AB7860">
              <w:rPr>
                <w:rFonts w:ascii="Times New Roman" w:hAnsi="Times New Roman" w:cs="Times New Roman"/>
                <w:color w:val="000000"/>
                <w:spacing w:val="-16"/>
                <w:lang w:val="lt-LT"/>
              </w:rPr>
              <w:t>16 (0,03; 0,70)</w:t>
            </w:r>
          </w:p>
          <w:p w14:paraId="59F213F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0,27 (0,15; 0,48)</w:t>
            </w:r>
          </w:p>
        </w:tc>
        <w:tc>
          <w:tcPr>
            <w:tcW w:w="1273" w:type="dxa"/>
          </w:tcPr>
          <w:p w14:paraId="36F533FD"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100 ir 98,1</w:t>
            </w:r>
          </w:p>
          <w:p w14:paraId="77D84666"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100 ir 100</w:t>
            </w:r>
          </w:p>
          <w:p w14:paraId="3F11C0EC"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97,9  ir 90,8</w:t>
            </w:r>
          </w:p>
          <w:p w14:paraId="2722FFF8"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98,7 ir 56,1</w:t>
            </w:r>
          </w:p>
        </w:tc>
        <w:tc>
          <w:tcPr>
            <w:tcW w:w="1272" w:type="dxa"/>
          </w:tcPr>
          <w:p w14:paraId="04C28598"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100 ir 93,0</w:t>
            </w:r>
          </w:p>
          <w:p w14:paraId="358BCA0C"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97,8 ir 100</w:t>
            </w:r>
          </w:p>
          <w:p w14:paraId="4ED3002E"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97,9  ir 73,3</w:t>
            </w:r>
          </w:p>
          <w:p w14:paraId="0FBACC0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spacing w:val="-18"/>
                <w:lang w:val="lt-LT"/>
              </w:rPr>
            </w:pPr>
            <w:r w:rsidRPr="00AB7860">
              <w:rPr>
                <w:rFonts w:ascii="Times New Roman" w:hAnsi="Times New Roman" w:cs="Times New Roman"/>
                <w:color w:val="000000"/>
                <w:spacing w:val="-18"/>
                <w:lang w:val="lt-LT"/>
              </w:rPr>
              <w:t>79,9 ir 41,5</w:t>
            </w:r>
          </w:p>
        </w:tc>
      </w:tr>
    </w:tbl>
    <w:p w14:paraId="03D7B6E7"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en-GB"/>
        </w:rPr>
      </w:pPr>
      <w:r w:rsidRPr="00AB7860">
        <w:rPr>
          <w:rFonts w:ascii="Times New Roman" w:hAnsi="Times New Roman" w:cs="Times New Roman"/>
          <w:color w:val="000000"/>
          <w:lang w:val="en-GB"/>
        </w:rPr>
        <w:t xml:space="preserve">* </w:t>
      </w:r>
      <w:r w:rsidRPr="00B36BCA">
        <w:rPr>
          <w:rFonts w:ascii="Times New Roman" w:hAnsi="Times New Roman" w:cs="Times New Roman"/>
          <w:color w:val="000000"/>
          <w:lang w:val="lt-LT"/>
        </w:rPr>
        <w:t xml:space="preserve">Visas stebėjimo laikotarpis; </w:t>
      </w:r>
      <w:r w:rsidRPr="00AB7860">
        <w:rPr>
          <w:rFonts w:ascii="Times New Roman" w:eastAsia="Times New Roman" w:hAnsi="Times New Roman" w:cs="Times New Roman"/>
          <w:color w:val="000000"/>
          <w:lang w:val="lt-LT" w:eastAsia="lt-LT"/>
        </w:rPr>
        <w:t>N.R.</w:t>
      </w:r>
      <w:r w:rsidRPr="00AB7860">
        <w:rPr>
          <w:rFonts w:ascii="Times New Roman" w:hAnsi="Times New Roman" w:cs="Times New Roman"/>
          <w:color w:val="000000"/>
          <w:lang w:val="lt-LT"/>
        </w:rPr>
        <w:t xml:space="preserve"> – Nenustatytas </w:t>
      </w:r>
    </w:p>
    <w:p w14:paraId="059080DB"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en-GB"/>
        </w:rPr>
      </w:pPr>
    </w:p>
    <w:p w14:paraId="13AC093C"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lt-LT"/>
        </w:rPr>
      </w:pPr>
      <w:r w:rsidRPr="00AB7860">
        <w:rPr>
          <w:rFonts w:ascii="Times New Roman" w:hAnsi="Times New Roman" w:cs="Times New Roman"/>
          <w:color w:val="000000"/>
          <w:lang w:val="lt-LT"/>
        </w:rPr>
        <w:t xml:space="preserve">Atlikto antrojo daugiacentrio atvirojo III fazės tyrimo (SSG XVIII/AIO) metu buvo lyginamas VTSN sergančių pacientų po chirurginės naviko rezekcijos 12 mėnesių trukmės gydymas su 36 mėnesių trukmės gydymu 400 mg imatinibu paros doze, kai buvo viena iš toliau nurodytų sąlygų: naviko skersmuo &gt; 5 cm ir mitozių skaičius &gt; 5/50 didelės didinamosios galios laukų (DDGL); arba naviko skersmuo &gt; 10 cm ir bet koks mitozių skaičius; arba bet kokio skersmens navikas ir mitozių skaičius &gt; 10/50 DDGL; arba navikas plyšęs į pilvaplėvės ertmę. Tyrime sutiko dalyvauti ir buvo atrinkti iš viso 397 pacientai (199 pacientams skirtas 12 mėnesių trukmės gydymas, o 198 pacientams skirtas 36 mėnesių trukmės gydymas), jų amžiaus mediana buvo 61 metai (svyravo nuo 22 iki 84 metų). Vidutinė stebėjimo laikotarpio mediana buvo 54 mėnesiai (nuo randomizacijos dienos iki tyrimo pabaigos), nuo pirmojo paciento atrankos iki tyrimo pabaigos dienos praėjo iš viso 83 mėnesiai. </w:t>
      </w:r>
    </w:p>
    <w:p w14:paraId="49EAF4B3"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lang w:val="lt-LT"/>
        </w:rPr>
      </w:pPr>
    </w:p>
    <w:p w14:paraId="55BA4FD1"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lastRenderedPageBreak/>
        <w:t xml:space="preserve">Pirminė tyrimo vertinamoji baigtis buvo išgyvenamumas be ligos recidyvo (angl. </w:t>
      </w:r>
      <w:r w:rsidRPr="00AB7860">
        <w:rPr>
          <w:rFonts w:ascii="Times New Roman" w:hAnsi="Times New Roman" w:cs="Times New Roman"/>
          <w:i/>
          <w:color w:val="000000"/>
          <w:lang w:val="lt-LT"/>
        </w:rPr>
        <w:t>recurrence-free survival – RFS</w:t>
      </w:r>
      <w:r w:rsidRPr="00AB7860">
        <w:rPr>
          <w:rFonts w:ascii="Times New Roman" w:hAnsi="Times New Roman" w:cs="Times New Roman"/>
          <w:color w:val="000000"/>
          <w:lang w:val="lt-LT"/>
        </w:rPr>
        <w:t xml:space="preserve">), nustatomas kaip laikas nuo randomizacijos dienos iki recidyvo pasireiškimo dienos arba mirties dėl bet kokios priežasties. </w:t>
      </w:r>
    </w:p>
    <w:p w14:paraId="6794E821"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p>
    <w:p w14:paraId="569A26B5"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Trisdešimt šešių (36) mėnesių trukmės gydymas imatinibu reikšmingai pailgino RFS rodiklį, lyginant su 12 mėnesių trukmės gydymu imatinibu (bendrasis rizikos santykis (RS) lygus 0,46 [0,32, 0,65], p&lt;0,0001) (žr. </w:t>
      </w:r>
      <w:r w:rsidR="00FF191C" w:rsidRPr="00157904">
        <w:rPr>
          <w:rFonts w:ascii="Times New Roman" w:hAnsi="Times New Roman" w:cs="Times New Roman"/>
          <w:lang w:val="lt-LT"/>
        </w:rPr>
        <w:t>8</w:t>
      </w:r>
      <w:r w:rsidRPr="00AB7860">
        <w:rPr>
          <w:rFonts w:ascii="Times New Roman" w:hAnsi="Times New Roman" w:cs="Times New Roman"/>
          <w:lang w:val="lt-LT"/>
        </w:rPr>
        <w:t xml:space="preserve"> lentelę, 1 pav.). </w:t>
      </w:r>
    </w:p>
    <w:p w14:paraId="72CBDD18"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11EDDEC7"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Be to, trisdešimt šešių (36) mėnesių trukmės gydymas imatinibu reikšmingai pailgino bendrojo išgyvenamumo rodiklį, lyginant su 12 mėnesių trukmės gydymu imatinibu (RS = 0,45 [0,22, 0,89], p=0,0187) (žr. </w:t>
      </w:r>
      <w:r w:rsidR="000909FB" w:rsidRPr="00AB7860">
        <w:rPr>
          <w:rFonts w:ascii="Times New Roman" w:hAnsi="Times New Roman" w:cs="Times New Roman"/>
          <w:lang w:val="lt-LT"/>
        </w:rPr>
        <w:t>8</w:t>
      </w:r>
      <w:r w:rsidRPr="00AB7860">
        <w:rPr>
          <w:rFonts w:ascii="Times New Roman" w:hAnsi="Times New Roman" w:cs="Times New Roman"/>
          <w:lang w:val="lt-LT"/>
        </w:rPr>
        <w:t xml:space="preserve"> lentelę, 2 pav.). </w:t>
      </w:r>
    </w:p>
    <w:p w14:paraId="6D8831E9"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1CEFABA3"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Ilgesnė gydymo trukmė (&gt; 36 mėnesių) gali atitolinti kitų recidyvų pasireiškimo pradžią; tačiau šių duomenų reikšmė bendrajam išgyvenamumui iki šiol nežinoma. </w:t>
      </w:r>
    </w:p>
    <w:p w14:paraId="31984696"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39D8AF13"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12 mėnesių trukmės ir 36 mėnesių trukmės gydymo grupėse bendrasis mirčių atvejų skaičius buvo, atitinkamai, 25 ir 12. </w:t>
      </w:r>
    </w:p>
    <w:p w14:paraId="48C149CA"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3A3894B6"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 xml:space="preserve">Atlikus gydymui atrinktos populiacijos analizę (t. y., įtraukiant visos tyrimo populiacijos duomenis) nustatyta, kad 36 mėnesių trukmės gydymas imatinibu buvo veiksmingesnis nei 12 mėnesių trukmės gydymas. Atlikus planuotą pogrupių analizę pagal mutacijos tipą nustatyta, kad 36 mėnesius gydant pacientus, kuriems nustatytos 11 egzono mutacijos, RFS rodiklio rizikos santykis buvo 0,35 [95 % PI: 0,22, 0,56]. Kadangi pasireiškusių recidyvų skaičius buvo nedidelis, negalima pateikti jokių išvadų apie vaistinio preparato poveikį pacientų, kuriems nustatytos kitos retesnės mutacijos, pogrupiams. </w:t>
      </w:r>
    </w:p>
    <w:p w14:paraId="27ADEB27"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b/>
          <w:lang w:val="lt-LT"/>
        </w:rPr>
      </w:pPr>
    </w:p>
    <w:p w14:paraId="5622F342" w14:textId="77777777" w:rsidR="00173803" w:rsidRPr="00AB7860" w:rsidRDefault="000909FB"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8</w:t>
      </w:r>
      <w:r w:rsidR="00173803" w:rsidRPr="00AB7860">
        <w:rPr>
          <w:rFonts w:ascii="Times New Roman" w:hAnsi="Times New Roman" w:cs="Times New Roman"/>
          <w:b/>
          <w:lang w:val="lt-LT"/>
        </w:rPr>
        <w:t xml:space="preserve"> lentelė</w:t>
      </w:r>
      <w:r w:rsidR="00173803" w:rsidRPr="00AB7860">
        <w:rPr>
          <w:rFonts w:ascii="Times New Roman" w:hAnsi="Times New Roman" w:cs="Times New Roman"/>
          <w:b/>
          <w:lang w:val="lt-LT"/>
        </w:rPr>
        <w:tab/>
        <w:t xml:space="preserve">12 mėnesių ir 36 mėnesių trukmės gydymas imatinibu (SSGXVIII/AIO klinikinis tyrimas) </w:t>
      </w:r>
    </w:p>
    <w:p w14:paraId="15DB1EBE" w14:textId="77777777" w:rsidR="00173803" w:rsidRPr="00AB7860" w:rsidRDefault="00173803" w:rsidP="00173803">
      <w:pPr>
        <w:spacing w:after="0" w:line="240" w:lineRule="auto"/>
        <w:rPr>
          <w:rFonts w:ascii="Times New Roman" w:hAnsi="Times New Roman" w:cs="Times New Roman"/>
          <w:lang w:val="lt-LT"/>
        </w:rPr>
      </w:pPr>
    </w:p>
    <w:tbl>
      <w:tblPr>
        <w:tblW w:w="9747" w:type="dxa"/>
        <w:tblLayout w:type="fixed"/>
        <w:tblLook w:val="0000" w:firstRow="0" w:lastRow="0" w:firstColumn="0" w:lastColumn="0" w:noHBand="0" w:noVBand="0"/>
      </w:tblPr>
      <w:tblGrid>
        <w:gridCol w:w="2943"/>
        <w:gridCol w:w="3261"/>
        <w:gridCol w:w="3543"/>
      </w:tblGrid>
      <w:tr w:rsidR="00173803" w:rsidRPr="00AB7860" w14:paraId="21ED5420" w14:textId="77777777" w:rsidTr="00F5730F">
        <w:trPr>
          <w:trHeight w:val="98"/>
        </w:trPr>
        <w:tc>
          <w:tcPr>
            <w:tcW w:w="2943" w:type="dxa"/>
            <w:tcBorders>
              <w:top w:val="single" w:sz="4" w:space="0" w:color="auto"/>
            </w:tcBorders>
          </w:tcPr>
          <w:p w14:paraId="12372ADB"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p>
        </w:tc>
        <w:tc>
          <w:tcPr>
            <w:tcW w:w="3261" w:type="dxa"/>
            <w:tcBorders>
              <w:top w:val="single" w:sz="4" w:space="0" w:color="auto"/>
            </w:tcBorders>
          </w:tcPr>
          <w:p w14:paraId="6973C024"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12 mėnesių trukmės gydymo grupė</w:t>
            </w:r>
          </w:p>
        </w:tc>
        <w:tc>
          <w:tcPr>
            <w:tcW w:w="3543" w:type="dxa"/>
            <w:tcBorders>
              <w:top w:val="single" w:sz="4" w:space="0" w:color="auto"/>
            </w:tcBorders>
          </w:tcPr>
          <w:p w14:paraId="189F01D8" w14:textId="77777777" w:rsidR="00173803" w:rsidRPr="00AB7860" w:rsidRDefault="00173803" w:rsidP="00F5730F">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b/>
                <w:color w:val="000000"/>
                <w:lang w:val="lt-LT"/>
              </w:rPr>
              <w:t xml:space="preserve">36 mėnesių trukmės gydymo grupė </w:t>
            </w:r>
          </w:p>
          <w:p w14:paraId="27166A00"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p>
        </w:tc>
      </w:tr>
      <w:tr w:rsidR="00173803" w:rsidRPr="00AB7860" w14:paraId="36B92338" w14:textId="77777777" w:rsidTr="00F5730F">
        <w:trPr>
          <w:trHeight w:val="98"/>
        </w:trPr>
        <w:tc>
          <w:tcPr>
            <w:tcW w:w="2943" w:type="dxa"/>
          </w:tcPr>
          <w:p w14:paraId="28C1061A" w14:textId="77777777" w:rsidR="00173803" w:rsidRPr="00B36BCA"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color w:val="000000"/>
                <w:lang w:val="lt-LT"/>
              </w:rPr>
              <w:t>RFS rodiklis</w:t>
            </w:r>
          </w:p>
        </w:tc>
        <w:tc>
          <w:tcPr>
            <w:tcW w:w="3261" w:type="dxa"/>
          </w:tcPr>
          <w:p w14:paraId="1013C8F3"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color w:val="000000"/>
                <w:lang w:val="lt-LT"/>
              </w:rPr>
              <w:t>%(PI)</w:t>
            </w:r>
          </w:p>
        </w:tc>
        <w:tc>
          <w:tcPr>
            <w:tcW w:w="3543" w:type="dxa"/>
          </w:tcPr>
          <w:p w14:paraId="6210B9E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color w:val="000000"/>
                <w:lang w:val="lt-LT"/>
              </w:rPr>
              <w:t>%(PI)</w:t>
            </w:r>
          </w:p>
        </w:tc>
      </w:tr>
      <w:tr w:rsidR="00173803" w:rsidRPr="00AB7860" w14:paraId="33333935" w14:textId="77777777" w:rsidTr="00F5730F">
        <w:trPr>
          <w:trHeight w:val="100"/>
        </w:trPr>
        <w:tc>
          <w:tcPr>
            <w:tcW w:w="2943" w:type="dxa"/>
          </w:tcPr>
          <w:p w14:paraId="7788F3AE"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12 mėnesių</w:t>
            </w:r>
          </w:p>
        </w:tc>
        <w:tc>
          <w:tcPr>
            <w:tcW w:w="3261" w:type="dxa"/>
          </w:tcPr>
          <w:p w14:paraId="5BF96055"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93,7 (89,2-96,4) </w:t>
            </w:r>
          </w:p>
        </w:tc>
        <w:tc>
          <w:tcPr>
            <w:tcW w:w="3543" w:type="dxa"/>
          </w:tcPr>
          <w:p w14:paraId="08F17C1E"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95,9 (91,9-97,9) </w:t>
            </w:r>
          </w:p>
        </w:tc>
      </w:tr>
      <w:tr w:rsidR="00173803" w:rsidRPr="00AB7860" w14:paraId="3DE8CE9D" w14:textId="77777777" w:rsidTr="00F5730F">
        <w:trPr>
          <w:trHeight w:val="100"/>
        </w:trPr>
        <w:tc>
          <w:tcPr>
            <w:tcW w:w="2943" w:type="dxa"/>
          </w:tcPr>
          <w:p w14:paraId="4F266378"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24 mėnesiai</w:t>
            </w:r>
          </w:p>
        </w:tc>
        <w:tc>
          <w:tcPr>
            <w:tcW w:w="3261" w:type="dxa"/>
          </w:tcPr>
          <w:p w14:paraId="0EC2DBCC"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75,4 (68,6-81,0) </w:t>
            </w:r>
          </w:p>
        </w:tc>
        <w:tc>
          <w:tcPr>
            <w:tcW w:w="3543" w:type="dxa"/>
          </w:tcPr>
          <w:p w14:paraId="6476D57B"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90,7 (85,6-94,0) </w:t>
            </w:r>
          </w:p>
        </w:tc>
      </w:tr>
      <w:tr w:rsidR="00173803" w:rsidRPr="00AB7860" w14:paraId="1C3C0EC0" w14:textId="77777777" w:rsidTr="00F5730F">
        <w:trPr>
          <w:trHeight w:val="100"/>
        </w:trPr>
        <w:tc>
          <w:tcPr>
            <w:tcW w:w="2943" w:type="dxa"/>
          </w:tcPr>
          <w:p w14:paraId="274B2B56"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36 mėnesiai</w:t>
            </w:r>
          </w:p>
        </w:tc>
        <w:tc>
          <w:tcPr>
            <w:tcW w:w="3261" w:type="dxa"/>
          </w:tcPr>
          <w:p w14:paraId="09CA54F7"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60,1 (52,5-66,9) </w:t>
            </w:r>
          </w:p>
        </w:tc>
        <w:tc>
          <w:tcPr>
            <w:tcW w:w="3543" w:type="dxa"/>
          </w:tcPr>
          <w:p w14:paraId="322A4F96"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86,6 (80,8-90,8) </w:t>
            </w:r>
          </w:p>
        </w:tc>
      </w:tr>
      <w:tr w:rsidR="00173803" w:rsidRPr="00AB7860" w14:paraId="719CC79F" w14:textId="77777777" w:rsidTr="00F5730F">
        <w:trPr>
          <w:trHeight w:val="100"/>
        </w:trPr>
        <w:tc>
          <w:tcPr>
            <w:tcW w:w="2943" w:type="dxa"/>
          </w:tcPr>
          <w:p w14:paraId="470EACBF"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48 mėnesiai</w:t>
            </w:r>
          </w:p>
        </w:tc>
        <w:tc>
          <w:tcPr>
            <w:tcW w:w="3261" w:type="dxa"/>
          </w:tcPr>
          <w:p w14:paraId="190602C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52,3 (44,0-59,8) </w:t>
            </w:r>
          </w:p>
        </w:tc>
        <w:tc>
          <w:tcPr>
            <w:tcW w:w="3543" w:type="dxa"/>
          </w:tcPr>
          <w:p w14:paraId="16A5CC56"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78,3 (70,8-84,1) </w:t>
            </w:r>
          </w:p>
        </w:tc>
      </w:tr>
      <w:tr w:rsidR="00173803" w:rsidRPr="00AB7860" w14:paraId="07BB60C3" w14:textId="77777777" w:rsidTr="00F5730F">
        <w:trPr>
          <w:trHeight w:val="100"/>
        </w:trPr>
        <w:tc>
          <w:tcPr>
            <w:tcW w:w="2943" w:type="dxa"/>
          </w:tcPr>
          <w:p w14:paraId="26A30A70"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60 mėnesių</w:t>
            </w:r>
          </w:p>
        </w:tc>
        <w:tc>
          <w:tcPr>
            <w:tcW w:w="3261" w:type="dxa"/>
          </w:tcPr>
          <w:p w14:paraId="57D41EE9"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47,9 (39,0-56,3) </w:t>
            </w:r>
          </w:p>
        </w:tc>
        <w:tc>
          <w:tcPr>
            <w:tcW w:w="3543" w:type="dxa"/>
          </w:tcPr>
          <w:p w14:paraId="7FB2C1A2"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65,6 (56,1-73,4) </w:t>
            </w:r>
          </w:p>
        </w:tc>
      </w:tr>
      <w:tr w:rsidR="00173803" w:rsidRPr="00AB7860" w14:paraId="392F1E8C" w14:textId="77777777" w:rsidTr="00F5730F">
        <w:trPr>
          <w:trHeight w:val="98"/>
        </w:trPr>
        <w:tc>
          <w:tcPr>
            <w:tcW w:w="9747" w:type="dxa"/>
            <w:gridSpan w:val="3"/>
          </w:tcPr>
          <w:p w14:paraId="3A7BC486" w14:textId="77777777" w:rsidR="00173803" w:rsidRPr="00B36BCA"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color w:val="000000"/>
                <w:lang w:val="lt-LT"/>
              </w:rPr>
              <w:t>Išgyvenamumas</w:t>
            </w:r>
          </w:p>
        </w:tc>
      </w:tr>
      <w:tr w:rsidR="00173803" w:rsidRPr="00AB7860" w14:paraId="728669B8" w14:textId="77777777" w:rsidTr="00F5730F">
        <w:trPr>
          <w:trHeight w:val="100"/>
        </w:trPr>
        <w:tc>
          <w:tcPr>
            <w:tcW w:w="2943" w:type="dxa"/>
          </w:tcPr>
          <w:p w14:paraId="5FB3C0D7"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36 mėnesiai</w:t>
            </w:r>
          </w:p>
        </w:tc>
        <w:tc>
          <w:tcPr>
            <w:tcW w:w="3261" w:type="dxa"/>
          </w:tcPr>
          <w:p w14:paraId="0DF9EC19"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94</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0 (89</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5-96</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 xml:space="preserve">7) </w:t>
            </w:r>
          </w:p>
        </w:tc>
        <w:tc>
          <w:tcPr>
            <w:tcW w:w="3543" w:type="dxa"/>
          </w:tcPr>
          <w:p w14:paraId="47E33573"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96,3 (92,4-98,2) </w:t>
            </w:r>
          </w:p>
        </w:tc>
      </w:tr>
      <w:tr w:rsidR="00173803" w:rsidRPr="00AB7860" w14:paraId="281788AD" w14:textId="77777777" w:rsidTr="00F5730F">
        <w:trPr>
          <w:trHeight w:val="100"/>
        </w:trPr>
        <w:tc>
          <w:tcPr>
            <w:tcW w:w="2943" w:type="dxa"/>
          </w:tcPr>
          <w:p w14:paraId="2992BC18"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48 mėnesiai</w:t>
            </w:r>
          </w:p>
        </w:tc>
        <w:tc>
          <w:tcPr>
            <w:tcW w:w="3261" w:type="dxa"/>
          </w:tcPr>
          <w:p w14:paraId="7D46AF1E"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87</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9 (81</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1-92</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 xml:space="preserve">3) </w:t>
            </w:r>
          </w:p>
        </w:tc>
        <w:tc>
          <w:tcPr>
            <w:tcW w:w="3543" w:type="dxa"/>
          </w:tcPr>
          <w:p w14:paraId="1BB92044"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95,6 (91,2-97,8) </w:t>
            </w:r>
          </w:p>
        </w:tc>
      </w:tr>
      <w:tr w:rsidR="00173803" w:rsidRPr="00AB7860" w14:paraId="4C283464" w14:textId="77777777" w:rsidTr="00F5730F">
        <w:trPr>
          <w:trHeight w:val="100"/>
        </w:trPr>
        <w:tc>
          <w:tcPr>
            <w:tcW w:w="2943" w:type="dxa"/>
            <w:tcBorders>
              <w:bottom w:val="single" w:sz="4" w:space="0" w:color="auto"/>
            </w:tcBorders>
          </w:tcPr>
          <w:p w14:paraId="29E322A0" w14:textId="77777777" w:rsidR="00173803" w:rsidRPr="00AB7860" w:rsidRDefault="00173803" w:rsidP="00F5730F">
            <w:pPr>
              <w:autoSpaceDE w:val="0"/>
              <w:autoSpaceDN w:val="0"/>
              <w:adjustRightInd w:val="0"/>
              <w:spacing w:after="0" w:line="240" w:lineRule="auto"/>
              <w:ind w:left="142"/>
              <w:rPr>
                <w:rFonts w:ascii="Times New Roman" w:hAnsi="Times New Roman" w:cs="Times New Roman"/>
                <w:color w:val="000000"/>
                <w:lang w:val="lt-LT"/>
              </w:rPr>
            </w:pPr>
            <w:r w:rsidRPr="00AB7860">
              <w:rPr>
                <w:rFonts w:ascii="Times New Roman" w:hAnsi="Times New Roman" w:cs="Times New Roman"/>
                <w:color w:val="000000"/>
                <w:lang w:val="lt-LT"/>
              </w:rPr>
              <w:t>60 mėnesių</w:t>
            </w:r>
          </w:p>
        </w:tc>
        <w:tc>
          <w:tcPr>
            <w:tcW w:w="3261" w:type="dxa"/>
            <w:tcBorders>
              <w:bottom w:val="single" w:sz="4" w:space="0" w:color="auto"/>
            </w:tcBorders>
          </w:tcPr>
          <w:p w14:paraId="09B41C6F"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81</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7 (73</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0-87</w:t>
            </w:r>
            <w:r w:rsidRPr="00AB7860">
              <w:rPr>
                <w:rFonts w:ascii="Times New Roman" w:eastAsia="Times New Roman" w:hAnsi="Times New Roman" w:cs="Times New Roman"/>
                <w:color w:val="000000"/>
                <w:lang w:val="lt-LT"/>
              </w:rPr>
              <w:t>,</w:t>
            </w:r>
            <w:r w:rsidRPr="00AB7860">
              <w:rPr>
                <w:rFonts w:ascii="Times New Roman" w:hAnsi="Times New Roman" w:cs="Times New Roman"/>
                <w:color w:val="000000"/>
                <w:lang w:val="lt-LT"/>
              </w:rPr>
              <w:t xml:space="preserve">8) </w:t>
            </w:r>
          </w:p>
        </w:tc>
        <w:tc>
          <w:tcPr>
            <w:tcW w:w="3543" w:type="dxa"/>
            <w:tcBorders>
              <w:bottom w:val="single" w:sz="4" w:space="0" w:color="auto"/>
            </w:tcBorders>
          </w:tcPr>
          <w:p w14:paraId="5DB38CAA" w14:textId="77777777" w:rsidR="00173803" w:rsidRPr="00AB7860" w:rsidRDefault="00173803" w:rsidP="00F5730F">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92,0 (85,3-95,7) </w:t>
            </w:r>
          </w:p>
        </w:tc>
      </w:tr>
    </w:tbl>
    <w:p w14:paraId="3D6EC9FA" w14:textId="77777777" w:rsidR="00173803" w:rsidRPr="00AB7860" w:rsidRDefault="00173803" w:rsidP="00173803">
      <w:pPr>
        <w:spacing w:after="0" w:line="240" w:lineRule="auto"/>
        <w:rPr>
          <w:rFonts w:ascii="Times New Roman" w:hAnsi="Times New Roman" w:cs="Times New Roman"/>
          <w:b/>
          <w:color w:val="000000"/>
          <w:shd w:val="clear" w:color="auto" w:fill="FFFFFF"/>
          <w:lang w:val="lt-LT"/>
        </w:rPr>
      </w:pPr>
    </w:p>
    <w:p w14:paraId="5E475A01"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color w:val="000000"/>
          <w:shd w:val="clear" w:color="auto" w:fill="FFFFFF"/>
          <w:lang w:val="lt-LT"/>
        </w:rPr>
        <w:t xml:space="preserve">1 pav. </w:t>
      </w:r>
      <w:r w:rsidRPr="00AB7860">
        <w:rPr>
          <w:rFonts w:ascii="Times New Roman" w:hAnsi="Times New Roman" w:cs="Times New Roman"/>
          <w:b/>
          <w:lang w:val="lt-LT"/>
        </w:rPr>
        <w:t>Pirminės vertinamosios baigties išgyvenamumo be ligos recidyvo duomenys, Kaplan-Meier kreivė (ITT populiacija)</w:t>
      </w:r>
    </w:p>
    <w:p w14:paraId="7254BE90" w14:textId="77777777" w:rsidR="00173803" w:rsidRPr="00AB7860" w:rsidRDefault="00173803" w:rsidP="00173803">
      <w:pPr>
        <w:spacing w:after="0" w:line="240" w:lineRule="auto"/>
        <w:rPr>
          <w:rFonts w:ascii="Times New Roman" w:hAnsi="Times New Roman" w:cs="Times New Roman"/>
          <w:b/>
          <w:lang w:val="lt-LT"/>
        </w:rPr>
      </w:pPr>
    </w:p>
    <w:p w14:paraId="381F9139" w14:textId="77777777" w:rsidR="00173803" w:rsidRPr="00AB7860" w:rsidRDefault="00173803" w:rsidP="00173803">
      <w:pPr>
        <w:spacing w:after="0" w:line="240" w:lineRule="auto"/>
        <w:rPr>
          <w:rFonts w:ascii="Times New Roman" w:eastAsia="Times New Roman" w:hAnsi="Times New Roman" w:cs="Times New Roman"/>
          <w:b/>
          <w:bCs/>
        </w:rPr>
      </w:pPr>
      <w:r w:rsidRPr="00AB7860">
        <w:rPr>
          <w:rFonts w:ascii="Times New Roman" w:eastAsia="Times New Roman" w:hAnsi="Times New Roman" w:cs="Times New Roman"/>
          <w:noProof/>
          <w:lang w:val="lt-LT" w:eastAsia="lt-LT"/>
        </w:rPr>
        <w:lastRenderedPageBreak/>
        <w:drawing>
          <wp:inline distT="0" distB="0" distL="0" distR="0" wp14:anchorId="04BFC0BA" wp14:editId="4B514B07">
            <wp:extent cx="5753100" cy="2800350"/>
            <wp:effectExtent l="0" t="0" r="0" b="0"/>
            <wp:docPr id="1" name="Paveikslėlis 8"/>
            <wp:cNvGraphicFramePr/>
            <a:graphic xmlns:a="http://schemas.openxmlformats.org/drawingml/2006/main">
              <a:graphicData uri="http://schemas.openxmlformats.org/drawingml/2006/picture">
                <pic:pic xmlns:pic="http://schemas.openxmlformats.org/drawingml/2006/picture">
                  <pic:nvPicPr>
                    <pic:cNvPr id="6" name="Paveikslėlis 8"/>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3100" cy="2800350"/>
                    </a:xfrm>
                    <a:prstGeom prst="rect">
                      <a:avLst/>
                    </a:prstGeom>
                    <a:noFill/>
                    <a:ln>
                      <a:noFill/>
                    </a:ln>
                  </pic:spPr>
                </pic:pic>
              </a:graphicData>
            </a:graphic>
          </wp:inline>
        </w:drawing>
      </w:r>
    </w:p>
    <w:p w14:paraId="2E131BBD" w14:textId="77777777" w:rsidR="00173803" w:rsidRPr="00AB7860" w:rsidRDefault="00173803" w:rsidP="00173803">
      <w:pPr>
        <w:spacing w:after="0" w:line="240" w:lineRule="auto"/>
        <w:ind w:left="709" w:hanging="709"/>
        <w:rPr>
          <w:rFonts w:ascii="Times New Roman" w:eastAsia="Times New Roman" w:hAnsi="Times New Roman" w:cs="Times New Roman"/>
          <w:b/>
          <w:i/>
          <w:u w:val="single"/>
        </w:rPr>
      </w:pPr>
    </w:p>
    <w:p w14:paraId="2E1BE7F2" w14:textId="77777777" w:rsidR="00173803" w:rsidRPr="00AB7860" w:rsidRDefault="00173803" w:rsidP="00173803">
      <w:pPr>
        <w:spacing w:after="0" w:line="240" w:lineRule="auto"/>
        <w:ind w:left="709" w:hanging="709"/>
        <w:rPr>
          <w:rFonts w:ascii="Times New Roman" w:eastAsia="Times New Roman" w:hAnsi="Times New Roman" w:cs="Times New Roman"/>
          <w:b/>
          <w:i/>
          <w:u w:val="single"/>
        </w:rPr>
      </w:pPr>
      <w:r w:rsidRPr="00AB7860">
        <w:rPr>
          <w:rFonts w:ascii="Times New Roman" w:eastAsia="Times New Roman" w:hAnsi="Times New Roman" w:cs="Times New Roman"/>
          <w:noProof/>
          <w:lang w:val="lt-LT" w:eastAsia="lt-LT"/>
        </w:rPr>
        <w:drawing>
          <wp:inline distT="0" distB="0" distL="0" distR="0" wp14:anchorId="08B832DF" wp14:editId="1D845AFF">
            <wp:extent cx="5753100" cy="419100"/>
            <wp:effectExtent l="0" t="0" r="0" b="0"/>
            <wp:docPr id="2" name="Paveikslėlis 9"/>
            <wp:cNvGraphicFramePr/>
            <a:graphic xmlns:a="http://schemas.openxmlformats.org/drawingml/2006/main">
              <a:graphicData uri="http://schemas.openxmlformats.org/drawingml/2006/picture">
                <pic:pic xmlns:pic="http://schemas.openxmlformats.org/drawingml/2006/picture">
                  <pic:nvPicPr>
                    <pic:cNvPr id="7" name="Paveikslėlis 9"/>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100" cy="419100"/>
                    </a:xfrm>
                    <a:prstGeom prst="rect">
                      <a:avLst/>
                    </a:prstGeom>
                    <a:noFill/>
                    <a:ln>
                      <a:noFill/>
                    </a:ln>
                  </pic:spPr>
                </pic:pic>
              </a:graphicData>
            </a:graphic>
          </wp:inline>
        </w:drawing>
      </w:r>
    </w:p>
    <w:p w14:paraId="7F9DF0EC" w14:textId="77777777" w:rsidR="00173803" w:rsidRPr="00AB7860" w:rsidRDefault="00173803" w:rsidP="00173803">
      <w:pPr>
        <w:spacing w:after="0" w:line="240" w:lineRule="auto"/>
        <w:ind w:left="709" w:hanging="709"/>
        <w:rPr>
          <w:rFonts w:ascii="Times New Roman" w:eastAsia="Times New Roman" w:hAnsi="Times New Roman" w:cs="Times New Roman"/>
          <w:b/>
          <w:i/>
          <w:u w:val="single"/>
        </w:rPr>
      </w:pPr>
    </w:p>
    <w:p w14:paraId="69308EE9" w14:textId="77777777" w:rsidR="00173803" w:rsidRPr="00AB7860" w:rsidRDefault="00173803" w:rsidP="00173803">
      <w:pPr>
        <w:spacing w:after="0" w:line="240" w:lineRule="auto"/>
        <w:ind w:left="709" w:hanging="709"/>
        <w:rPr>
          <w:rFonts w:ascii="Times New Roman" w:hAnsi="Times New Roman" w:cs="Times New Roman"/>
          <w:b/>
          <w:lang w:val="lt-LT"/>
        </w:rPr>
      </w:pPr>
      <w:r w:rsidRPr="00AB7860">
        <w:rPr>
          <w:rFonts w:ascii="Times New Roman" w:hAnsi="Times New Roman" w:cs="Times New Roman"/>
          <w:b/>
          <w:lang w:val="lt-LT"/>
        </w:rPr>
        <w:t>2 pav.</w:t>
      </w:r>
      <w:r w:rsidRPr="00AB7860">
        <w:rPr>
          <w:rFonts w:ascii="Times New Roman" w:hAnsi="Times New Roman" w:cs="Times New Roman"/>
          <w:b/>
          <w:lang w:val="lt-LT"/>
        </w:rPr>
        <w:tab/>
        <w:t xml:space="preserve">Bendrojo išgyvenamumo duomenys, Kaplan-Meier kreivė (ITT populiacija) </w:t>
      </w:r>
    </w:p>
    <w:p w14:paraId="06E7602F" w14:textId="77777777" w:rsidR="00173803" w:rsidRPr="00AB7860" w:rsidRDefault="00173803" w:rsidP="00173803">
      <w:pPr>
        <w:spacing w:after="0" w:line="240" w:lineRule="auto"/>
        <w:rPr>
          <w:rFonts w:ascii="Times New Roman" w:hAnsi="Times New Roman" w:cs="Times New Roman"/>
          <w:b/>
        </w:rPr>
      </w:pPr>
    </w:p>
    <w:p w14:paraId="75618EE3" w14:textId="77777777" w:rsidR="00173803" w:rsidRPr="00AB7860" w:rsidRDefault="00173803" w:rsidP="00173803">
      <w:pPr>
        <w:spacing w:after="0" w:line="240" w:lineRule="auto"/>
        <w:rPr>
          <w:rFonts w:ascii="Times New Roman" w:eastAsia="Times New Roman" w:hAnsi="Times New Roman" w:cs="Times New Roman"/>
          <w:b/>
        </w:rPr>
      </w:pPr>
      <w:r w:rsidRPr="00AB7860">
        <w:rPr>
          <w:rFonts w:ascii="Times New Roman" w:eastAsia="Times New Roman" w:hAnsi="Times New Roman" w:cs="Times New Roman"/>
          <w:noProof/>
          <w:lang w:val="lt-LT" w:eastAsia="lt-LT"/>
        </w:rPr>
        <w:drawing>
          <wp:inline distT="0" distB="0" distL="0" distR="0" wp14:anchorId="79A3B523" wp14:editId="1868EB04">
            <wp:extent cx="5753100" cy="2714625"/>
            <wp:effectExtent l="0" t="0" r="0" b="9525"/>
            <wp:docPr id="3" name="Paveikslėlis 10"/>
            <wp:cNvGraphicFramePr/>
            <a:graphic xmlns:a="http://schemas.openxmlformats.org/drawingml/2006/main">
              <a:graphicData uri="http://schemas.openxmlformats.org/drawingml/2006/picture">
                <pic:pic xmlns:pic="http://schemas.openxmlformats.org/drawingml/2006/picture">
                  <pic:nvPicPr>
                    <pic:cNvPr id="8" name="Paveikslėlis 10"/>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100" cy="2714625"/>
                    </a:xfrm>
                    <a:prstGeom prst="rect">
                      <a:avLst/>
                    </a:prstGeom>
                    <a:noFill/>
                    <a:ln>
                      <a:noFill/>
                    </a:ln>
                  </pic:spPr>
                </pic:pic>
              </a:graphicData>
            </a:graphic>
          </wp:inline>
        </w:drawing>
      </w:r>
    </w:p>
    <w:p w14:paraId="3AB393ED" w14:textId="77777777" w:rsidR="00173803" w:rsidRPr="00AB7860" w:rsidRDefault="00173803" w:rsidP="00173803">
      <w:pPr>
        <w:spacing w:after="0" w:line="240" w:lineRule="auto"/>
        <w:rPr>
          <w:rFonts w:ascii="Times New Roman" w:eastAsia="Times New Roman" w:hAnsi="Times New Roman" w:cs="Times New Roman"/>
          <w:b/>
        </w:rPr>
      </w:pPr>
      <w:r w:rsidRPr="00AB7860">
        <w:rPr>
          <w:rFonts w:ascii="Times New Roman" w:eastAsia="Times New Roman" w:hAnsi="Times New Roman" w:cs="Times New Roman"/>
          <w:noProof/>
          <w:lang w:val="lt-LT" w:eastAsia="lt-LT"/>
        </w:rPr>
        <w:drawing>
          <wp:inline distT="0" distB="0" distL="0" distR="0" wp14:anchorId="0C0CB021" wp14:editId="5DCD93E4">
            <wp:extent cx="5759450" cy="447428"/>
            <wp:effectExtent l="0" t="0" r="0" b="0"/>
            <wp:docPr id="4" name="Paveikslėlis 11"/>
            <wp:cNvGraphicFramePr/>
            <a:graphic xmlns:a="http://schemas.openxmlformats.org/drawingml/2006/main">
              <a:graphicData uri="http://schemas.openxmlformats.org/drawingml/2006/picture">
                <pic:pic xmlns:pic="http://schemas.openxmlformats.org/drawingml/2006/picture">
                  <pic:nvPicPr>
                    <pic:cNvPr id="9" name="Paveikslėlis 1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59450" cy="447428"/>
                    </a:xfrm>
                    <a:prstGeom prst="rect">
                      <a:avLst/>
                    </a:prstGeom>
                    <a:noFill/>
                    <a:ln>
                      <a:noFill/>
                    </a:ln>
                  </pic:spPr>
                </pic:pic>
              </a:graphicData>
            </a:graphic>
          </wp:inline>
        </w:drawing>
      </w:r>
    </w:p>
    <w:p w14:paraId="163EAF83" w14:textId="77777777" w:rsidR="00173803" w:rsidRPr="00AB7860" w:rsidRDefault="00173803" w:rsidP="00173803">
      <w:pPr>
        <w:spacing w:after="0" w:line="240" w:lineRule="auto"/>
        <w:rPr>
          <w:rFonts w:ascii="Times New Roman" w:hAnsi="Times New Roman" w:cs="Times New Roman"/>
          <w:lang w:val="lt-LT"/>
        </w:rPr>
      </w:pPr>
    </w:p>
    <w:p w14:paraId="7DDFE1D8"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Vaikų populiacija</w:t>
      </w:r>
    </w:p>
    <w:p w14:paraId="10E8109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Kontroliuojamųjų klinikinių tyrimų su c-Kit teigiamais VTSN sergančiais vaikais neatlikta. 7 literatūros šaltiniuose aprašyta 17 pacientų, sirgusių VTSN (su nustatytomis Kit ir PDGFR genų mutacijomis arba be jų). Šių pacientų amžius svyravo nuo 8 metų iki 18 metų, jiems buvo skiriamos imatinibo (kaip adjuvanto arba metastazinės ligos gydymo sudėtinė dalis) dozės nuo 300 mg iki 800 mg per parą. Daugeliui vaikų, kurie buvo gydomi nuo VTSN, trūko duomenų apie nustatytas c-Kit arba PDGFR genų mutacijas, todėl tai galėjo lemti nevienalytes klinikines išeitis. </w:t>
      </w:r>
    </w:p>
    <w:p w14:paraId="31D0FA5F" w14:textId="77777777" w:rsidR="00173803" w:rsidRPr="00AB7860" w:rsidRDefault="00173803" w:rsidP="00173803">
      <w:pPr>
        <w:spacing w:after="0" w:line="240" w:lineRule="auto"/>
        <w:rPr>
          <w:rFonts w:ascii="Times New Roman" w:hAnsi="Times New Roman" w:cs="Times New Roman"/>
          <w:lang w:val="lt-LT"/>
        </w:rPr>
      </w:pPr>
    </w:p>
    <w:p w14:paraId="3921EAF9" w14:textId="77777777" w:rsidR="00173803" w:rsidRPr="00AB7860" w:rsidRDefault="00173803" w:rsidP="00173803">
      <w:pPr>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lastRenderedPageBreak/>
        <w:t>DFSP klinikiniai tyrimai</w:t>
      </w:r>
    </w:p>
    <w:p w14:paraId="654031D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Viename II fazės, atvirame, daugiacentriniame, klinikiniame tyrime (tyrimas B2225) dalyvavo 12</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DFSP sergančių pacientų, vartojusių 800 mg imatinibo per parą. DFSP sirgusių pacientų amžius buvo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nuo 23 iki 75 metų; įtraukimo į tyrimą metu pacientai sirgo metastazavusia DFSP, vietiškai</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recidyvavusia po pirminės rezekcijos ir, kai nebuvo tikimasi, kad kartotinė rezekcija bus naudinga.</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Pirminiai veiksmingumo duomenys rėmėsi objektyvaus atsako dažniu. Iš 12 tirtų pacientų 9 buvo</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gautas atsakas, vienam – pilnas, o 8 - dalinis. Trims pacientams iš tų, kuriems buvo gautas dalinis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atsakas, navikas pašalintas operacijos metu. Gydymo trukmės mediana B2225 tyrimo metu buvo 6,2</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mėnesio, o didžiausia trukmė - 24,3 mėnesio. Dar 6 DFSP sirgusių ir imatinibu gydytų pacientų ligos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istorijos nagrinėtos 5 paskelbtuose klinikinių atvejų aprašymuose, jų amžius svyravo nuo 18 mėnesių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iki 49 metų. Iš viso dėl DFSP buvo gydyta 18 pacientų, aštuoniems iš jų buvo metastazių. Literatūroje</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aprašyti suaugę pacientai vartojo arba 400 mg (4 atvejai), arba 800 mg (1 atvejis) imatinibo per parą. 5</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pacientams buvo gautas atsakas, 3 – pilnas, o 2 - dalinis. Literatūroje skelbtų atvejų gydymo trukmės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mediana buvo nuo 4 savaičių iki daugiau kaip 20 mėnesių. Translokacija t(17:22) [(q22:q13)] arba jos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genų produktas buvo beveik visuose atsakuose į imatinibo terapiją.</w:t>
      </w:r>
    </w:p>
    <w:p w14:paraId="6AC4E7B5" w14:textId="77777777" w:rsidR="00173803" w:rsidRPr="00AB7860" w:rsidRDefault="00173803" w:rsidP="00173803">
      <w:pPr>
        <w:spacing w:after="0" w:line="240" w:lineRule="auto"/>
        <w:rPr>
          <w:rFonts w:ascii="Times New Roman" w:hAnsi="Times New Roman" w:cs="Times New Roman"/>
          <w:lang w:val="lt-LT"/>
        </w:rPr>
      </w:pPr>
    </w:p>
    <w:p w14:paraId="1EFA0C75"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Vaikų populiacija</w:t>
      </w:r>
    </w:p>
    <w:p w14:paraId="79BCA82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Kontroliuojamųjų klinikinių tyrimų su DFSP sergančiais vaikais neatlikta. 3 literatūros šaltiniuose</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aprašyti 5 pacientai, kurie sirgo DFSP ir kuriems buvo nustatyta PDGFR genų pakitimų. Šių pacientų</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amžius svyravo nuo naujagimio iki 14 metų, jiems buvo skiriama 50 mg per parą imatinibo dozė arba</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nuo 400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iki 520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kūno paviršiaus ploto per parą dozė. Visiems pacientams pasiektas</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dalinis ir (arba) visiškas atsakas.</w:t>
      </w:r>
    </w:p>
    <w:p w14:paraId="558C2DEC" w14:textId="77777777" w:rsidR="00173803" w:rsidRPr="00AB7860" w:rsidRDefault="00173803" w:rsidP="00173803">
      <w:pPr>
        <w:spacing w:after="0" w:line="240" w:lineRule="auto"/>
        <w:rPr>
          <w:rFonts w:ascii="Times New Roman" w:hAnsi="Times New Roman" w:cs="Times New Roman"/>
          <w:lang w:val="lt-LT"/>
        </w:rPr>
      </w:pPr>
    </w:p>
    <w:p w14:paraId="7DCA887A"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5.2</w:t>
      </w:r>
      <w:r w:rsidRPr="00AB7860">
        <w:rPr>
          <w:rFonts w:ascii="Times New Roman" w:hAnsi="Times New Roman" w:cs="Times New Roman"/>
          <w:b/>
          <w:lang w:val="lt-LT"/>
        </w:rPr>
        <w:tab/>
        <w:t>Farmakokinetinės savybės</w:t>
      </w:r>
    </w:p>
    <w:p w14:paraId="5DE2B70A"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D94EB40"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rPr>
      </w:pPr>
      <w:r w:rsidRPr="00AB7860">
        <w:rPr>
          <w:rFonts w:ascii="Times New Roman" w:hAnsi="Times New Roman" w:cs="Times New Roman"/>
          <w:color w:val="000000"/>
          <w:u w:val="single"/>
          <w:lang w:val="lt-LT"/>
        </w:rPr>
        <w:t xml:space="preserve">Imatinibo farmakokinetika </w:t>
      </w:r>
    </w:p>
    <w:p w14:paraId="3511D051"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Imatinibo farmakokinetika tirta vartojant nuo 25 mg iki </w:t>
      </w:r>
      <w:r w:rsidRPr="00AB7860">
        <w:rPr>
          <w:rFonts w:ascii="Times New Roman" w:eastAsia="Times New Roman" w:hAnsi="Times New Roman" w:cs="Times New Roman"/>
          <w:lang w:val="lt-LT" w:eastAsia="de-DE"/>
        </w:rPr>
        <w:t>1000</w:t>
      </w:r>
      <w:r w:rsidRPr="00AB7860">
        <w:rPr>
          <w:rFonts w:ascii="Times New Roman" w:hAnsi="Times New Roman" w:cs="Times New Roman"/>
          <w:lang w:val="lt-LT"/>
        </w:rPr>
        <w:t xml:space="preserve"> mg dozes. Plazmos farmakokinetikos pobūdis buvo tiriamas 1-ąją dieną ir 7-ąją arba 28-ąją dieną, kai koncentracija plazmoje pasidaro pastovi.</w:t>
      </w:r>
    </w:p>
    <w:p w14:paraId="077173A5"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266E279B"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rPr>
      </w:pPr>
      <w:r w:rsidRPr="00AB7860">
        <w:rPr>
          <w:rFonts w:ascii="Times New Roman" w:hAnsi="Times New Roman" w:cs="Times New Roman"/>
          <w:color w:val="000000"/>
          <w:u w:val="single"/>
          <w:lang w:val="lt-LT"/>
        </w:rPr>
        <w:t xml:space="preserve">Absorbcija </w:t>
      </w:r>
    </w:p>
    <w:p w14:paraId="6AF234A8"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Vidutinis absoliutus imatinibo biologinis prieinamumas yra 98 %. Nustatyta didelis skirtingų pacientų plazmos imatinibo AUC reikšmės svyravimas po išgertos dozės. Vartojamo su riebiu maistu imatinibo absorbcijos greitis sumažėja minimaliai (C</w:t>
      </w:r>
      <w:r w:rsidRPr="00AB7860">
        <w:rPr>
          <w:rFonts w:ascii="Times New Roman" w:hAnsi="Times New Roman" w:cs="Times New Roman"/>
          <w:color w:val="000000"/>
          <w:vertAlign w:val="subscript"/>
          <w:lang w:val="lt-LT"/>
        </w:rPr>
        <w:t>max</w:t>
      </w:r>
      <w:r w:rsidRPr="00AB7860">
        <w:rPr>
          <w:rFonts w:ascii="Times New Roman" w:hAnsi="Times New Roman" w:cs="Times New Roman"/>
          <w:color w:val="000000"/>
          <w:lang w:val="lt-LT"/>
        </w:rPr>
        <w:t xml:space="preserve"> sumažėja 11 % ir t</w:t>
      </w:r>
      <w:r w:rsidRPr="00AB7860">
        <w:rPr>
          <w:rFonts w:ascii="Times New Roman" w:hAnsi="Times New Roman" w:cs="Times New Roman"/>
          <w:color w:val="000000"/>
          <w:vertAlign w:val="subscript"/>
          <w:lang w:val="lt-LT"/>
        </w:rPr>
        <w:t>max</w:t>
      </w:r>
      <w:r w:rsidRPr="00AB7860">
        <w:rPr>
          <w:rFonts w:ascii="Times New Roman" w:hAnsi="Times New Roman" w:cs="Times New Roman"/>
          <w:color w:val="000000"/>
          <w:lang w:val="lt-LT"/>
        </w:rPr>
        <w:t xml:space="preserve"> pailgėja 1,5 val.), taip pat šiek tiek sumažėja AUC (7,4 %) lyginant su vaistinio preparato vartojimu nevalgius. Anksčiau atliktos virškinimo trakto operacijos įtaka </w:t>
      </w:r>
      <w:r w:rsidRPr="00AB7860">
        <w:rPr>
          <w:rFonts w:ascii="Times New Roman" w:eastAsia="Times New Roman" w:hAnsi="Times New Roman" w:cs="Times New Roman"/>
          <w:color w:val="000000"/>
          <w:lang w:val="lt-LT" w:eastAsia="lt-LT"/>
        </w:rPr>
        <w:t>vaistinio preparato</w:t>
      </w:r>
      <w:r w:rsidRPr="00AB7860">
        <w:rPr>
          <w:rFonts w:ascii="Times New Roman" w:hAnsi="Times New Roman" w:cs="Times New Roman"/>
          <w:color w:val="000000"/>
          <w:lang w:val="lt-LT"/>
        </w:rPr>
        <w:t xml:space="preserve"> absorbcijai netirta. </w:t>
      </w:r>
    </w:p>
    <w:p w14:paraId="68DAF894"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p>
    <w:p w14:paraId="337F472B"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rPr>
      </w:pPr>
      <w:r w:rsidRPr="00AB7860">
        <w:rPr>
          <w:rFonts w:ascii="Times New Roman" w:hAnsi="Times New Roman" w:cs="Times New Roman"/>
          <w:color w:val="000000"/>
          <w:u w:val="single"/>
          <w:lang w:val="lt-LT"/>
        </w:rPr>
        <w:t xml:space="preserve">Pasiskirstymas </w:t>
      </w:r>
    </w:p>
    <w:p w14:paraId="34DA0AB3"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r w:rsidRPr="00AB7860">
        <w:rPr>
          <w:rFonts w:ascii="Times New Roman" w:hAnsi="Times New Roman" w:cs="Times New Roman"/>
          <w:color w:val="000000"/>
          <w:lang w:val="lt-LT"/>
        </w:rPr>
        <w:t xml:space="preserve">Kai susidaro kliniškai reikšminga imatinibo koncentracija, apie 95 % vaistinio preparato jungiasi su plazmos baltymais (pagal eksperimentus </w:t>
      </w:r>
      <w:r w:rsidRPr="00AB7860">
        <w:rPr>
          <w:rFonts w:ascii="Times New Roman" w:hAnsi="Times New Roman" w:cs="Times New Roman"/>
          <w:i/>
          <w:color w:val="000000"/>
          <w:lang w:val="lt-LT"/>
        </w:rPr>
        <w:t>in vitro</w:t>
      </w:r>
      <w:r w:rsidRPr="00AB7860">
        <w:rPr>
          <w:rFonts w:ascii="Times New Roman" w:hAnsi="Times New Roman" w:cs="Times New Roman"/>
          <w:color w:val="000000"/>
          <w:lang w:val="lt-LT"/>
        </w:rPr>
        <w:t>), daugiausia su albuminu ir alfa rūgščiuoju glikoproteinu ir labai mažai su lipoproteinu.</w:t>
      </w:r>
    </w:p>
    <w:p w14:paraId="2BD932D8" w14:textId="77777777" w:rsidR="00173803" w:rsidRPr="00AB7860" w:rsidRDefault="00173803" w:rsidP="00173803">
      <w:pPr>
        <w:autoSpaceDE w:val="0"/>
        <w:autoSpaceDN w:val="0"/>
        <w:adjustRightInd w:val="0"/>
        <w:spacing w:after="0" w:line="240" w:lineRule="auto"/>
        <w:rPr>
          <w:rFonts w:ascii="Times New Roman" w:hAnsi="Times New Roman" w:cs="Times New Roman"/>
        </w:rPr>
      </w:pPr>
    </w:p>
    <w:p w14:paraId="46805CB0" w14:textId="77777777" w:rsidR="00173803" w:rsidRPr="00AB7860" w:rsidRDefault="00173803" w:rsidP="00173803">
      <w:pPr>
        <w:autoSpaceDE w:val="0"/>
        <w:autoSpaceDN w:val="0"/>
        <w:adjustRightInd w:val="0"/>
        <w:spacing w:after="0" w:line="240" w:lineRule="auto"/>
        <w:rPr>
          <w:rFonts w:ascii="Times New Roman" w:hAnsi="Times New Roman" w:cs="Times New Roman"/>
          <w:u w:val="single"/>
        </w:rPr>
      </w:pPr>
      <w:r w:rsidRPr="00AB7860">
        <w:rPr>
          <w:rFonts w:ascii="Times New Roman" w:hAnsi="Times New Roman" w:cs="Times New Roman"/>
          <w:color w:val="000000"/>
          <w:u w:val="single"/>
          <w:lang w:val="lt-LT"/>
        </w:rPr>
        <w:t>Biotransformacija</w:t>
      </w:r>
    </w:p>
    <w:p w14:paraId="4570AC12"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Pagrindinis cirkuliuojantis metabolitas žmogaus organizme yra N-demetilintas piperazino </w:t>
      </w:r>
      <w:r w:rsidRPr="00AB7860">
        <w:rPr>
          <w:rFonts w:ascii="Times New Roman" w:hAnsi="Times New Roman" w:cs="Times New Roman"/>
          <w:color w:val="000000"/>
          <w:lang w:val="lt-LT"/>
        </w:rPr>
        <w:t>derivatas</w:t>
      </w:r>
      <w:r w:rsidRPr="00AB7860">
        <w:rPr>
          <w:rFonts w:ascii="Times New Roman" w:hAnsi="Times New Roman" w:cs="Times New Roman"/>
          <w:lang w:val="lt-LT"/>
        </w:rPr>
        <w:t xml:space="preserve">, kuris </w:t>
      </w:r>
      <w:r w:rsidRPr="00AB7860">
        <w:rPr>
          <w:rFonts w:ascii="Times New Roman" w:hAnsi="Times New Roman" w:cs="Times New Roman"/>
          <w:i/>
          <w:lang w:val="lt-LT"/>
        </w:rPr>
        <w:t>in vitro</w:t>
      </w:r>
      <w:r w:rsidRPr="00AB7860">
        <w:rPr>
          <w:rFonts w:ascii="Times New Roman" w:hAnsi="Times New Roman" w:cs="Times New Roman"/>
          <w:lang w:val="lt-LT"/>
        </w:rPr>
        <w:t xml:space="preserve"> veikia taip pat stipriai kaip ir jo pirmtakas. Šio metabolito plazmos AUC sudaro tik 16 % imatinibo AUC. N-demetilintas metabolitas jungiasi su plazmos baltymais panašiai kaip pagrindinis junginys.</w:t>
      </w:r>
    </w:p>
    <w:p w14:paraId="0E860A1B"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473E5FEF"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Imatinibas ir N-demetilintas metabolitas kartu sudaro 65 % cirkuliuojančio radioaktyvumo (AUC</w:t>
      </w:r>
      <w:r w:rsidRPr="00AB7860">
        <w:rPr>
          <w:rFonts w:ascii="Times New Roman" w:hAnsi="Times New Roman" w:cs="Times New Roman"/>
          <w:vertAlign w:val="subscript"/>
          <w:lang w:val="lt-LT"/>
        </w:rPr>
        <w:t>(0-48h)</w:t>
      </w:r>
      <w:r w:rsidRPr="00AB7860">
        <w:rPr>
          <w:rFonts w:ascii="Times New Roman" w:hAnsi="Times New Roman" w:cs="Times New Roman"/>
          <w:lang w:val="lt-LT"/>
        </w:rPr>
        <w:t>). Kitas cirkuliuojantis radioaktyvumas priklauso nuo kelių mažesnių metabolitų.</w:t>
      </w:r>
    </w:p>
    <w:p w14:paraId="3EF34185"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15256229"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Tyrimai </w:t>
      </w:r>
      <w:r w:rsidRPr="00AB7860">
        <w:rPr>
          <w:rFonts w:ascii="Times New Roman" w:hAnsi="Times New Roman" w:cs="Times New Roman"/>
          <w:i/>
          <w:lang w:val="lt-LT"/>
        </w:rPr>
        <w:t>in vitro</w:t>
      </w:r>
      <w:r w:rsidRPr="00AB7860">
        <w:rPr>
          <w:rFonts w:ascii="Times New Roman" w:hAnsi="Times New Roman" w:cs="Times New Roman"/>
          <w:lang w:val="lt-LT"/>
        </w:rPr>
        <w:t xml:space="preserve"> parodė, kad CYP3A4 yra pagrindinis žmogaus P450 fermentas, katalizuojantis imatinibo biotransformaciją. Iš daugelio kartu vartotų vaistinių preparatų (acetaminofeno, acikloviro, alopurinolio, amfotericino, citarabino, eritromicino, flukonazolo, hidroksišlapalo, norfloksacino, penicilino V) tik </w:t>
      </w:r>
      <w:r w:rsidRPr="00AB7860">
        <w:rPr>
          <w:rFonts w:ascii="Times New Roman" w:hAnsi="Times New Roman" w:cs="Times New Roman"/>
          <w:lang w:val="lt-LT"/>
        </w:rPr>
        <w:lastRenderedPageBreak/>
        <w:t>eritromicino (IC</w:t>
      </w:r>
      <w:r w:rsidRPr="00AB7860">
        <w:rPr>
          <w:rFonts w:ascii="Times New Roman" w:hAnsi="Times New Roman" w:cs="Times New Roman"/>
          <w:vertAlign w:val="subscript"/>
          <w:lang w:val="lt-LT"/>
        </w:rPr>
        <w:t>50</w:t>
      </w:r>
      <w:r w:rsidRPr="00AB7860">
        <w:rPr>
          <w:rFonts w:ascii="Times New Roman" w:hAnsi="Times New Roman" w:cs="Times New Roman"/>
          <w:lang w:val="lt-LT"/>
        </w:rPr>
        <w:t xml:space="preserve"> 50 μM) ir flukonazolo (IC</w:t>
      </w:r>
      <w:r w:rsidRPr="00AB7860">
        <w:rPr>
          <w:rFonts w:ascii="Times New Roman" w:hAnsi="Times New Roman" w:cs="Times New Roman"/>
          <w:vertAlign w:val="subscript"/>
          <w:lang w:val="lt-LT"/>
        </w:rPr>
        <w:t>50</w:t>
      </w:r>
      <w:r w:rsidRPr="00AB7860">
        <w:rPr>
          <w:rFonts w:ascii="Times New Roman" w:hAnsi="Times New Roman" w:cs="Times New Roman"/>
          <w:lang w:val="lt-LT"/>
        </w:rPr>
        <w:t xml:space="preserve"> 118 μM) slopinamas imatinibo metabolizmas gali būti kliniškai reikšmingas.</w:t>
      </w:r>
    </w:p>
    <w:p w14:paraId="56338660" w14:textId="77777777" w:rsidR="00173803" w:rsidRPr="00AB7860" w:rsidRDefault="00173803" w:rsidP="00173803">
      <w:pPr>
        <w:tabs>
          <w:tab w:val="center" w:pos="4819"/>
          <w:tab w:val="right" w:pos="9071"/>
        </w:tabs>
        <w:spacing w:after="0" w:line="240" w:lineRule="auto"/>
        <w:rPr>
          <w:rFonts w:ascii="Times New Roman" w:eastAsia="Times New Roman" w:hAnsi="Times New Roman" w:cs="Times New Roman"/>
          <w:i/>
          <w:lang w:val="lt-LT" w:eastAsia="de-DE"/>
        </w:rPr>
      </w:pPr>
    </w:p>
    <w:p w14:paraId="11B6F5A8"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i/>
          <w:lang w:val="lt-LT"/>
        </w:rPr>
        <w:t>In vitro</w:t>
      </w:r>
      <w:r w:rsidRPr="00AB7860">
        <w:rPr>
          <w:rFonts w:ascii="Times New Roman" w:hAnsi="Times New Roman" w:cs="Times New Roman"/>
          <w:lang w:val="lt-LT"/>
        </w:rPr>
        <w:t xml:space="preserve"> nustatyta, kad imatinibas yra konkurencinis CYP2C9, CYP2D6 ir CYP3A4/5 substratų inhibitorius. Žmogaus kepenų mikrosomų K</w:t>
      </w:r>
      <w:r w:rsidRPr="00AB7860">
        <w:rPr>
          <w:rFonts w:ascii="Times New Roman" w:hAnsi="Times New Roman" w:cs="Times New Roman"/>
          <w:vertAlign w:val="subscript"/>
          <w:lang w:val="lt-LT"/>
        </w:rPr>
        <w:t>i</w:t>
      </w:r>
      <w:r w:rsidRPr="00AB7860">
        <w:rPr>
          <w:rFonts w:ascii="Times New Roman" w:hAnsi="Times New Roman" w:cs="Times New Roman"/>
          <w:lang w:val="lt-LT"/>
        </w:rPr>
        <w:t xml:space="preserve"> rodmuo buvo atitinkamai 27, 7,5 ir 7,9 µmol/l. Didžiausia pacientų imatinibo koncentracija plazmoje yra 2–4 µmol/l, taigi galimas CYP2D6 ir (arba) CYP3A4/5 medijuojamo kartu vartojamų </w:t>
      </w:r>
      <w:r w:rsidRPr="00AB7860">
        <w:rPr>
          <w:rFonts w:ascii="Times New Roman" w:eastAsia="Times New Roman" w:hAnsi="Times New Roman" w:cs="Times New Roman"/>
          <w:lang w:val="lt-LT" w:eastAsia="de-DE"/>
        </w:rPr>
        <w:t>vaistinių preparatų</w:t>
      </w:r>
      <w:r w:rsidRPr="00AB7860">
        <w:rPr>
          <w:rFonts w:ascii="Times New Roman" w:hAnsi="Times New Roman" w:cs="Times New Roman"/>
          <w:lang w:val="lt-LT"/>
        </w:rPr>
        <w:t xml:space="preserve"> metabolizmo slopinimas. Imatinibas neturi įtakos 5-fluoruracilo biotransformacijai, tačiau slopina paklitakselio metabolizmą dėl konkurencinio CYP2C8 slopinimo (K</w:t>
      </w:r>
      <w:r w:rsidRPr="00AB7860">
        <w:rPr>
          <w:rFonts w:ascii="Times New Roman" w:hAnsi="Times New Roman" w:cs="Times New Roman"/>
          <w:vertAlign w:val="subscript"/>
          <w:lang w:val="lt-LT"/>
        </w:rPr>
        <w:t>i</w:t>
      </w:r>
      <w:r w:rsidRPr="00AB7860">
        <w:rPr>
          <w:rFonts w:ascii="Times New Roman" w:hAnsi="Times New Roman" w:cs="Times New Roman"/>
          <w:lang w:val="lt-LT"/>
        </w:rPr>
        <w:t xml:space="preserve"> = 34,7 µM). Šis K</w:t>
      </w:r>
      <w:r w:rsidRPr="00AB7860">
        <w:rPr>
          <w:rFonts w:ascii="Times New Roman" w:hAnsi="Times New Roman" w:cs="Times New Roman"/>
          <w:vertAlign w:val="subscript"/>
          <w:lang w:val="lt-LT"/>
        </w:rPr>
        <w:t xml:space="preserve">i </w:t>
      </w:r>
      <w:r w:rsidRPr="00AB7860">
        <w:rPr>
          <w:rFonts w:ascii="Times New Roman" w:hAnsi="Times New Roman" w:cs="Times New Roman"/>
          <w:lang w:val="lt-LT"/>
        </w:rPr>
        <w:t>rodmuo yra daug didesnis negu tikėtina imatinibo koncentracija pacientų plazmoje, todėl, imatinibą vartojant kartu su 5-fluoruracilu ar paklitakseliu, sąveikos neturėtų būti.</w:t>
      </w:r>
    </w:p>
    <w:p w14:paraId="32FAED46"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F6D5598"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Eliminacija</w:t>
      </w:r>
    </w:p>
    <w:p w14:paraId="007986C8"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Pagal junginio išsiskyrimą po išgertos </w:t>
      </w:r>
      <w:r w:rsidRPr="00AB7860">
        <w:rPr>
          <w:rFonts w:ascii="Times New Roman" w:hAnsi="Times New Roman" w:cs="Times New Roman"/>
          <w:vertAlign w:val="superscript"/>
          <w:lang w:val="lt-LT"/>
        </w:rPr>
        <w:t>14</w:t>
      </w:r>
      <w:r w:rsidRPr="00AB7860">
        <w:rPr>
          <w:rFonts w:ascii="Times New Roman" w:hAnsi="Times New Roman" w:cs="Times New Roman"/>
          <w:lang w:val="lt-LT"/>
        </w:rPr>
        <w:t>C-žymėto imatinibo dozės, maždaug 81 % dozės per 7 dienas išsiskiria su išmatomis (68 % dozės) ir šlapimu (13 % dozės). Nepakitęs imatinibas sudaro 25 % dozės (5 % šlapime, 20 % išmatose), kita dalis yra metabolitų pavidalu.</w:t>
      </w:r>
    </w:p>
    <w:p w14:paraId="513462F9"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p>
    <w:p w14:paraId="61C5CCC3" w14:textId="77777777" w:rsidR="00173803" w:rsidRPr="006F4F46" w:rsidRDefault="00173803" w:rsidP="00173803">
      <w:pPr>
        <w:spacing w:after="0"/>
        <w:rPr>
          <w:rFonts w:ascii="Times New Roman" w:hAnsi="Times New Roman" w:cs="Times New Roman"/>
          <w:u w:val="single"/>
          <w:lang w:val="lt-LT"/>
        </w:rPr>
      </w:pPr>
      <w:r w:rsidRPr="00D6313B">
        <w:rPr>
          <w:rFonts w:ascii="Times New Roman" w:hAnsi="Times New Roman" w:cs="Times New Roman"/>
          <w:noProof/>
          <w:u w:val="single"/>
          <w:lang w:val="lt-LT"/>
        </w:rPr>
        <w:t>T</w:t>
      </w:r>
      <w:r w:rsidRPr="006F4F46">
        <w:rPr>
          <w:rFonts w:ascii="Times New Roman" w:hAnsi="Times New Roman" w:cs="Times New Roman"/>
          <w:noProof/>
          <w:u w:val="single"/>
          <w:lang w:val="lt-LT"/>
        </w:rPr>
        <w:t>iesinis / netiesinis pobūdis</w:t>
      </w:r>
    </w:p>
    <w:p w14:paraId="7C4D4621"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Sveikiems savanoriams išgerto </w:t>
      </w:r>
      <w:r w:rsidRPr="00AB7860">
        <w:rPr>
          <w:rFonts w:ascii="Times New Roman" w:eastAsia="Times New Roman" w:hAnsi="Times New Roman" w:cs="Times New Roman"/>
          <w:lang w:val="lt-LT" w:eastAsia="de-DE"/>
        </w:rPr>
        <w:t>vaistinio preparato</w:t>
      </w:r>
      <w:r w:rsidRPr="00AB7860">
        <w:rPr>
          <w:rFonts w:ascii="Times New Roman" w:hAnsi="Times New Roman" w:cs="Times New Roman"/>
          <w:lang w:val="lt-LT"/>
        </w:rPr>
        <w:t xml:space="preserve"> t</w:t>
      </w:r>
      <w:r w:rsidRPr="00AB7860">
        <w:rPr>
          <w:rFonts w:ascii="Times New Roman" w:hAnsi="Times New Roman" w:cs="Times New Roman"/>
          <w:vertAlign w:val="subscript"/>
          <w:lang w:val="lt-LT"/>
        </w:rPr>
        <w:t>½</w:t>
      </w:r>
      <w:r w:rsidRPr="00AB7860">
        <w:rPr>
          <w:rFonts w:ascii="Times New Roman" w:hAnsi="Times New Roman" w:cs="Times New Roman"/>
          <w:lang w:val="lt-LT"/>
        </w:rPr>
        <w:t xml:space="preserve"> buvo maždaug 18 val., tai rodo, kad </w:t>
      </w:r>
      <w:r w:rsidRPr="00AB7860">
        <w:rPr>
          <w:rFonts w:ascii="Times New Roman" w:eastAsia="Times New Roman" w:hAnsi="Times New Roman" w:cs="Times New Roman"/>
          <w:lang w:val="lt-LT" w:eastAsia="de-DE"/>
        </w:rPr>
        <w:t>vaistinį preparatą</w:t>
      </w:r>
      <w:r w:rsidRPr="00AB7860">
        <w:rPr>
          <w:rFonts w:ascii="Times New Roman" w:hAnsi="Times New Roman" w:cs="Times New Roman"/>
          <w:lang w:val="lt-LT"/>
        </w:rPr>
        <w:t xml:space="preserve"> galima vartoti vieną kartą per parą. Geriant 25–1 000 mg imatinibo, vidutinio AUC didėjimas, didėjant dozei, buvo tiesinis ir proporcingas dozei. Kartotinomis dozėmis vartojamo imatinibo kinetika nepakito, o akumuliacija buvo 1,5–2,5 karto didesnė, tuo tarpu kaip, vartojant vieną kartą per parą, buvo pasiekta pastovi </w:t>
      </w:r>
      <w:r w:rsidRPr="00AB7860">
        <w:rPr>
          <w:rFonts w:ascii="Times New Roman" w:eastAsia="Times New Roman" w:hAnsi="Times New Roman" w:cs="Times New Roman"/>
          <w:lang w:val="lt-LT" w:eastAsia="de-DE"/>
        </w:rPr>
        <w:t>vaistinio preparato</w:t>
      </w:r>
      <w:r w:rsidRPr="00AB7860">
        <w:rPr>
          <w:rFonts w:ascii="Times New Roman" w:hAnsi="Times New Roman" w:cs="Times New Roman"/>
          <w:lang w:val="lt-LT"/>
        </w:rPr>
        <w:t xml:space="preserve"> koncentracija.</w:t>
      </w:r>
    </w:p>
    <w:p w14:paraId="3B885268"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77CE2157"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VTSN pacientų farmakokinetika</w:t>
      </w:r>
    </w:p>
    <w:p w14:paraId="39E20456" w14:textId="77777777" w:rsidR="00173803" w:rsidRPr="00AB7860" w:rsidRDefault="00173803" w:rsidP="00173803">
      <w:pPr>
        <w:widowControl w:val="0"/>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VTSN sergančių pacientų ekspozicija, kai koncentracija pastovi, buvo 1,5 karto didesnė negu LML sergančių pacientų, vartojančių tą pačią dozę (400 mg per parą). Preliminari VTSN sergančių pacientų populiacijos farmakokinetikos analizė parodė, kad trys kintamieji (albuminas, leukocitai ir bilirubinas) turi statistiškai patikimą ryšį su imatinibo farmakokinetika. Sumažėjęs albumino kiekis sąlygoja mažesnį klirensą (CL/f); didesnis leukocitų kiekis mažina CL/f. Tačiau šie ryšiai nėra pakankamai ryškūs, kad tektų koreguoti dozę. Šiems pacientams kepenų metastazės gali sąlygoti kepenų nepakankamumą ir susilpnėjusį metabolizmą.</w:t>
      </w:r>
    </w:p>
    <w:p w14:paraId="2ECD294A"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0FB5D1C1"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Populiacijos farmakokinetika</w:t>
      </w:r>
    </w:p>
    <w:p w14:paraId="4D3C92BC" w14:textId="3A5203C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LML pacientų populiacijos farmakokinetikos analizė rodo, kad amžius turi mažą įtaką pasiskirstymo tūriui (12</w:t>
      </w:r>
      <w:r w:rsidR="00A16405">
        <w:rPr>
          <w:rFonts w:ascii="Times New Roman" w:hAnsi="Times New Roman" w:cs="Times New Roman"/>
          <w:lang w:val="lt-LT"/>
        </w:rPr>
        <w:t> </w:t>
      </w:r>
      <w:r w:rsidRPr="00AB7860">
        <w:rPr>
          <w:rFonts w:ascii="Times New Roman" w:hAnsi="Times New Roman" w:cs="Times New Roman"/>
          <w:lang w:val="lt-LT"/>
        </w:rPr>
        <w:t>% padidėja vyresniems kaip 65 metų asmenims). Manoma, kad šis pokytis yra kliniškai nereikšmingas. Nustatyta kūno svorio įtaka imatinibo klirensui: pacientų, sveriančių 50 kg, vidutinis klirensas gali būti 8,5</w:t>
      </w:r>
      <w:r w:rsidR="00A16405">
        <w:rPr>
          <w:rFonts w:ascii="Times New Roman" w:hAnsi="Times New Roman" w:cs="Times New Roman"/>
          <w:lang w:val="lt-LT"/>
        </w:rPr>
        <w:t> </w:t>
      </w:r>
      <w:r w:rsidRPr="00AB7860">
        <w:rPr>
          <w:rFonts w:ascii="Times New Roman" w:hAnsi="Times New Roman" w:cs="Times New Roman"/>
          <w:lang w:val="lt-LT"/>
        </w:rPr>
        <w:t>l/</w:t>
      </w:r>
      <w:r w:rsidR="00A16405">
        <w:rPr>
          <w:rFonts w:ascii="Times New Roman" w:hAnsi="Times New Roman" w:cs="Times New Roman"/>
          <w:lang w:val="lt-LT"/>
        </w:rPr>
        <w:t>val</w:t>
      </w:r>
      <w:r w:rsidRPr="00AB7860">
        <w:rPr>
          <w:rFonts w:ascii="Times New Roman" w:hAnsi="Times New Roman" w:cs="Times New Roman"/>
          <w:lang w:val="lt-LT"/>
        </w:rPr>
        <w:t>, o, sveriančių 100 kg – padidėja iki 11,8</w:t>
      </w:r>
      <w:r w:rsidR="00A16405">
        <w:rPr>
          <w:rFonts w:ascii="Times New Roman" w:hAnsi="Times New Roman" w:cs="Times New Roman"/>
          <w:lang w:val="lt-LT"/>
        </w:rPr>
        <w:t> </w:t>
      </w:r>
      <w:r w:rsidRPr="00AB7860">
        <w:rPr>
          <w:rFonts w:ascii="Times New Roman" w:hAnsi="Times New Roman" w:cs="Times New Roman"/>
          <w:lang w:val="lt-LT"/>
        </w:rPr>
        <w:t>l/h</w:t>
      </w:r>
      <w:r w:rsidR="00A16405">
        <w:rPr>
          <w:rFonts w:ascii="Times New Roman" w:hAnsi="Times New Roman" w:cs="Times New Roman"/>
          <w:lang w:val="lt-LT"/>
        </w:rPr>
        <w:t>val</w:t>
      </w:r>
      <w:r w:rsidRPr="00AB7860">
        <w:rPr>
          <w:rFonts w:ascii="Times New Roman" w:hAnsi="Times New Roman" w:cs="Times New Roman"/>
          <w:lang w:val="lt-LT"/>
        </w:rPr>
        <w:t>. Tačiau dėl šių pokyčių dozės pagal kūno svorį koreguoti nereikia. Imatinibo kinetikai lytis reikšmės neturi.</w:t>
      </w:r>
    </w:p>
    <w:p w14:paraId="27D603ED"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8615577" w14:textId="77777777" w:rsidR="00173803" w:rsidRPr="00AB7860" w:rsidRDefault="00173803" w:rsidP="00173803">
      <w:pPr>
        <w:tabs>
          <w:tab w:val="center" w:pos="4819"/>
          <w:tab w:val="right" w:pos="9071"/>
        </w:tabs>
        <w:spacing w:after="0" w:line="240" w:lineRule="auto"/>
        <w:rPr>
          <w:rFonts w:ascii="Times New Roman" w:hAnsi="Times New Roman" w:cs="Times New Roman"/>
          <w:u w:val="single"/>
          <w:lang w:val="lt-LT"/>
        </w:rPr>
      </w:pPr>
      <w:r w:rsidRPr="00AB7860">
        <w:rPr>
          <w:rFonts w:ascii="Times New Roman" w:hAnsi="Times New Roman" w:cs="Times New Roman"/>
          <w:u w:val="single"/>
          <w:lang w:val="lt-LT"/>
        </w:rPr>
        <w:t>Vaikų populiacija</w:t>
      </w:r>
    </w:p>
    <w:p w14:paraId="2918A32E" w14:textId="0DF904C1"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Abiejų I ir II fazės tyrimų metu nustatyta, kad vaikų, kaip ir suaugusiųjų, organizme išgertas imatinibas greitai absorbuojamas. Skiriant vaikams po 260</w:t>
      </w:r>
      <w:r w:rsidR="000537B8">
        <w:rPr>
          <w:rFonts w:ascii="Times New Roman" w:hAnsi="Times New Roman" w:cs="Times New Roman"/>
          <w:lang w:val="lt-LT"/>
        </w:rPr>
        <w:t> </w:t>
      </w:r>
      <w:r w:rsidRPr="00AB7860">
        <w:rPr>
          <w:rFonts w:ascii="Times New Roman" w:hAnsi="Times New Roman" w:cs="Times New Roman"/>
          <w:lang w:val="lt-LT"/>
        </w:rPr>
        <w:t>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ir po 340</w:t>
      </w:r>
      <w:r w:rsidR="000537B8">
        <w:rPr>
          <w:rFonts w:ascii="Times New Roman" w:hAnsi="Times New Roman" w:cs="Times New Roman"/>
          <w:lang w:val="lt-LT"/>
        </w:rPr>
        <w:t> </w:t>
      </w:r>
      <w:r w:rsidRPr="00AB7860">
        <w:rPr>
          <w:rFonts w:ascii="Times New Roman" w:hAnsi="Times New Roman" w:cs="Times New Roman"/>
          <w:lang w:val="lt-LT"/>
        </w:rPr>
        <w:t>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gauta tokia pat ekspozicija kaip ir suaugusiesiems skiriant atitinkamai po 400</w:t>
      </w:r>
      <w:r w:rsidR="000537B8">
        <w:rPr>
          <w:rFonts w:ascii="Times New Roman" w:hAnsi="Times New Roman" w:cs="Times New Roman"/>
          <w:lang w:val="lt-LT"/>
        </w:rPr>
        <w:t> </w:t>
      </w:r>
      <w:r w:rsidRPr="00AB7860">
        <w:rPr>
          <w:rFonts w:ascii="Times New Roman" w:hAnsi="Times New Roman" w:cs="Times New Roman"/>
          <w:lang w:val="lt-LT"/>
        </w:rPr>
        <w:t>mg ir 600</w:t>
      </w:r>
      <w:r w:rsidR="000537B8">
        <w:rPr>
          <w:rFonts w:ascii="Times New Roman" w:hAnsi="Times New Roman" w:cs="Times New Roman"/>
          <w:lang w:val="lt-LT"/>
        </w:rPr>
        <w:t> </w:t>
      </w:r>
      <w:r w:rsidRPr="00AB7860">
        <w:rPr>
          <w:rFonts w:ascii="Times New Roman" w:hAnsi="Times New Roman" w:cs="Times New Roman"/>
          <w:lang w:val="lt-LT"/>
        </w:rPr>
        <w:t>mg per parą. Lyginant AUC</w:t>
      </w:r>
      <w:r w:rsidRPr="00AB7860">
        <w:rPr>
          <w:rFonts w:ascii="Times New Roman" w:hAnsi="Times New Roman" w:cs="Times New Roman"/>
          <w:vertAlign w:val="subscript"/>
          <w:lang w:val="lt-LT"/>
        </w:rPr>
        <w:t>(0-24)</w:t>
      </w:r>
      <w:r w:rsidRPr="00AB7860">
        <w:rPr>
          <w:rFonts w:ascii="Times New Roman" w:hAnsi="Times New Roman" w:cs="Times New Roman"/>
          <w:lang w:val="lt-LT"/>
        </w:rPr>
        <w:t xml:space="preserve"> 8-ąją ir 1-ąją dienomis, nustatyta, kad vartojant 340</w:t>
      </w:r>
      <w:r w:rsidR="000537B8">
        <w:rPr>
          <w:rFonts w:ascii="Times New Roman" w:hAnsi="Times New Roman" w:cs="Times New Roman"/>
          <w:lang w:val="lt-LT"/>
        </w:rPr>
        <w:t> </w:t>
      </w:r>
      <w:r w:rsidRPr="00AB7860">
        <w:rPr>
          <w:rFonts w:ascii="Times New Roman" w:hAnsi="Times New Roman" w:cs="Times New Roman"/>
          <w:lang w:val="lt-LT"/>
        </w:rPr>
        <w:t>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 per parą dozę būna 1,7 karto didesnė </w:t>
      </w:r>
      <w:r w:rsidRPr="00AB7860">
        <w:rPr>
          <w:rFonts w:ascii="Times New Roman" w:eastAsia="Times New Roman" w:hAnsi="Times New Roman" w:cs="Times New Roman"/>
          <w:lang w:val="lt-LT" w:eastAsia="de-DE"/>
        </w:rPr>
        <w:t>vaistinio preparato</w:t>
      </w:r>
      <w:r w:rsidRPr="00AB7860">
        <w:rPr>
          <w:rFonts w:ascii="Times New Roman" w:hAnsi="Times New Roman" w:cs="Times New Roman"/>
          <w:lang w:val="lt-LT"/>
        </w:rPr>
        <w:t xml:space="preserve"> kumuliacija po kartotinio vieną kartą per parą dozavimo.</w:t>
      </w:r>
    </w:p>
    <w:p w14:paraId="3138D33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6C0C6F20" w14:textId="0A498BDB"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Remiantis bendrąja populiacijos farmakokinetikos analize su vaikais, turinčiais hematologinių sutrikimų (LML, Ph + ŪLL, ar kiti hematologiniais sutrikimais, kurie gydomi imatinibu), imatinibo klirensas didėja didėjant kūno paviršiaus plotui (KPP). Pakoregavus dozę pagal KPP, kiti demografiniai duomenys, pavyzdžiui, amžius, kūno svoris ir kūno masės indeksas neturėjo kliniškai reikšmingo poveikio imatinibo ekspozicijai. Ši analizė patvirtino, kad imatinibo poveikis vaikams, kai jo vartojama 260</w:t>
      </w:r>
      <w:r w:rsidR="00646916">
        <w:rPr>
          <w:rFonts w:ascii="Times New Roman" w:hAnsi="Times New Roman" w:cs="Times New Roman"/>
          <w:lang w:val="lt-LT"/>
        </w:rPr>
        <w:t> </w:t>
      </w:r>
      <w:r w:rsidRPr="00AB7860">
        <w:rPr>
          <w:rFonts w:ascii="Times New Roman" w:hAnsi="Times New Roman" w:cs="Times New Roman"/>
          <w:lang w:val="lt-LT"/>
        </w:rPr>
        <w:t>mg/m</w:t>
      </w:r>
      <w:r w:rsidRPr="00AB7860">
        <w:rPr>
          <w:rFonts w:ascii="Times New Roman" w:hAnsi="Times New Roman" w:cs="Times New Roman"/>
          <w:vertAlign w:val="superscript"/>
          <w:lang w:val="lt-LT"/>
        </w:rPr>
        <w:t xml:space="preserve">2/ </w:t>
      </w:r>
      <w:r w:rsidRPr="00AB7860">
        <w:rPr>
          <w:rFonts w:ascii="Times New Roman" w:hAnsi="Times New Roman" w:cs="Times New Roman"/>
          <w:lang w:val="lt-LT"/>
        </w:rPr>
        <w:t>kūno paviršiaus ploto vieną kartą per parą (ne daugiau kaip 400</w:t>
      </w:r>
      <w:r w:rsidR="00646916">
        <w:rPr>
          <w:rFonts w:ascii="Times New Roman" w:hAnsi="Times New Roman" w:cs="Times New Roman"/>
          <w:lang w:val="lt-LT"/>
        </w:rPr>
        <w:t> </w:t>
      </w:r>
      <w:r w:rsidRPr="00AB7860">
        <w:rPr>
          <w:rFonts w:ascii="Times New Roman" w:hAnsi="Times New Roman" w:cs="Times New Roman"/>
          <w:lang w:val="lt-LT"/>
        </w:rPr>
        <w:t>mg vieną kartą per parą) arba 340</w:t>
      </w:r>
      <w:r w:rsidR="00646916">
        <w:rPr>
          <w:rFonts w:ascii="Times New Roman" w:hAnsi="Times New Roman" w:cs="Times New Roman"/>
          <w:lang w:val="lt-LT"/>
        </w:rPr>
        <w:t> </w:t>
      </w:r>
      <w:r w:rsidRPr="00AB7860">
        <w:rPr>
          <w:rFonts w:ascii="Times New Roman" w:hAnsi="Times New Roman" w:cs="Times New Roman"/>
          <w:lang w:val="lt-LT"/>
        </w:rPr>
        <w:t>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xml:space="preserve">/kūno </w:t>
      </w:r>
      <w:r w:rsidRPr="00AB7860">
        <w:rPr>
          <w:rFonts w:ascii="Times New Roman" w:hAnsi="Times New Roman" w:cs="Times New Roman"/>
          <w:lang w:val="lt-LT"/>
        </w:rPr>
        <w:lastRenderedPageBreak/>
        <w:t>paviršiaus ploto kartą per parą (ne daugiau kaip 600</w:t>
      </w:r>
      <w:r w:rsidR="00646916">
        <w:rPr>
          <w:rFonts w:ascii="Times New Roman" w:hAnsi="Times New Roman" w:cs="Times New Roman"/>
          <w:lang w:val="lt-LT"/>
        </w:rPr>
        <w:t> </w:t>
      </w:r>
      <w:r w:rsidRPr="00AB7860">
        <w:rPr>
          <w:rFonts w:ascii="Times New Roman" w:hAnsi="Times New Roman" w:cs="Times New Roman"/>
          <w:lang w:val="lt-LT"/>
        </w:rPr>
        <w:t>mg vieną kartą per parą) buvo panašus į  poveikį suaugusiesiems pacientams, kurie vartojo 400</w:t>
      </w:r>
      <w:r w:rsidR="00646916">
        <w:rPr>
          <w:rFonts w:ascii="Times New Roman" w:hAnsi="Times New Roman" w:cs="Times New Roman"/>
          <w:lang w:val="lt-LT"/>
        </w:rPr>
        <w:t> </w:t>
      </w:r>
      <w:r w:rsidRPr="00AB7860">
        <w:rPr>
          <w:rFonts w:ascii="Times New Roman" w:hAnsi="Times New Roman" w:cs="Times New Roman"/>
          <w:lang w:val="lt-LT"/>
        </w:rPr>
        <w:t>mg arba 600</w:t>
      </w:r>
      <w:r w:rsidR="00646916">
        <w:rPr>
          <w:rFonts w:ascii="Times New Roman" w:hAnsi="Times New Roman" w:cs="Times New Roman"/>
          <w:lang w:val="lt-LT"/>
        </w:rPr>
        <w:t> </w:t>
      </w:r>
      <w:r w:rsidRPr="00AB7860">
        <w:rPr>
          <w:rFonts w:ascii="Times New Roman" w:hAnsi="Times New Roman" w:cs="Times New Roman"/>
          <w:lang w:val="lt-LT"/>
        </w:rPr>
        <w:t>mg imatinibo vieną kartą per parą.</w:t>
      </w:r>
    </w:p>
    <w:p w14:paraId="340FFFA8"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64CFB28F" w14:textId="77777777" w:rsidR="00173803" w:rsidRPr="00AB7860" w:rsidRDefault="00173803" w:rsidP="00173803">
      <w:pPr>
        <w:spacing w:after="0" w:line="240" w:lineRule="auto"/>
        <w:outlineLvl w:val="0"/>
        <w:rPr>
          <w:rFonts w:ascii="Times New Roman" w:hAnsi="Times New Roman" w:cs="Times New Roman"/>
          <w:iCs/>
          <w:color w:val="000000"/>
          <w:u w:val="single"/>
          <w:lang w:val="lt-LT"/>
        </w:rPr>
      </w:pPr>
      <w:r w:rsidRPr="00AB7860">
        <w:rPr>
          <w:rFonts w:ascii="Times New Roman" w:hAnsi="Times New Roman" w:cs="Times New Roman"/>
          <w:iCs/>
          <w:color w:val="000000"/>
          <w:u w:val="single"/>
          <w:lang w:val="lt-LT"/>
        </w:rPr>
        <w:t>Sutrikusi inkstų funkcija</w:t>
      </w:r>
    </w:p>
    <w:p w14:paraId="0F0212AF"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Pro inkstus išsiskiria nedaug imatinibo ir jo metabolitų. Pacientams, kuriems yra lengvas ir vidutinis inkstų funkcijos sutrikimas, būdinga apytikriai 1,5-2 kartus didesnė ekspozicija plazmoje nei pacientams, kurių inkstų funkcija normali. Toks padidėjimas gretintinas su 1,5 karto didesniu stipriai imatinibą surišančio AGP kiekiu plazmoje. Tikriausiai laisvo imatinibo klirensas yra panašus ir </w:t>
      </w:r>
      <w:r w:rsidRPr="00AB7860">
        <w:rPr>
          <w:rFonts w:ascii="Times New Roman" w:eastAsia="Times New Roman" w:hAnsi="Times New Roman" w:cs="Times New Roman"/>
          <w:lang w:val="lt-LT" w:eastAsia="de-DE"/>
        </w:rPr>
        <w:t>vaistinį preparatą</w:t>
      </w:r>
      <w:r w:rsidRPr="00AB7860">
        <w:rPr>
          <w:rFonts w:ascii="Times New Roman" w:hAnsi="Times New Roman" w:cs="Times New Roman"/>
          <w:lang w:val="lt-LT"/>
        </w:rPr>
        <w:t xml:space="preserve"> vartojant pacientams, kurių inkstų funkcija susilpnėjusi, ir tiems, kurių inkstų funkcija normali, nes pro inkstus išsiskiria tik nedidelė imatinibo dalis (žr. 4.2 ir 4.4 skyrius).</w:t>
      </w:r>
    </w:p>
    <w:p w14:paraId="5D938B47"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00531C7B" w14:textId="77777777" w:rsidR="00173803" w:rsidRPr="00AB7860" w:rsidRDefault="00173803" w:rsidP="00173803">
      <w:pPr>
        <w:spacing w:after="0" w:line="240" w:lineRule="auto"/>
        <w:outlineLvl w:val="0"/>
        <w:rPr>
          <w:rFonts w:ascii="Times New Roman" w:hAnsi="Times New Roman" w:cs="Times New Roman"/>
          <w:iCs/>
          <w:color w:val="000000"/>
          <w:u w:val="single"/>
          <w:lang w:val="lt-LT"/>
        </w:rPr>
      </w:pPr>
      <w:r w:rsidRPr="00AB7860">
        <w:rPr>
          <w:rFonts w:ascii="Times New Roman" w:hAnsi="Times New Roman" w:cs="Times New Roman"/>
          <w:iCs/>
          <w:color w:val="000000"/>
          <w:u w:val="single"/>
          <w:lang w:val="lt-LT"/>
        </w:rPr>
        <w:t>Sutrikusi kepenų funkcija</w:t>
      </w:r>
    </w:p>
    <w:p w14:paraId="0F784D90"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Nors farmakokinetinės analizės duomenys parodė, kad galimi ryškūs svyravimai tarp atskirų asmenų, pacientams su įvairaus laipsnio kepenų nepakankamumu imatinibo ekspozicija nedidėja lyginant su pacientais, kurių kepenų funkcija normali (žr. 4.2, 4.4 ir 4.8 skyrius).</w:t>
      </w:r>
    </w:p>
    <w:p w14:paraId="15444D9B"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24" w:name="_Toc129243114"/>
      <w:bookmarkStart w:id="25" w:name="_Toc129243239"/>
    </w:p>
    <w:p w14:paraId="7861EF4E"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5.3 </w:t>
      </w:r>
      <w:r w:rsidRPr="00AB7860">
        <w:rPr>
          <w:rFonts w:ascii="Times New Roman" w:eastAsia="Times New Roman" w:hAnsi="Times New Roman" w:cs="Times New Roman"/>
          <w:b/>
          <w:lang w:val="lt-LT" w:eastAsia="de-DE"/>
        </w:rPr>
        <w:tab/>
      </w:r>
      <w:r w:rsidRPr="00AB7860">
        <w:rPr>
          <w:rFonts w:ascii="Times New Roman" w:hAnsi="Times New Roman" w:cs="Times New Roman"/>
          <w:b/>
          <w:lang w:val="lt-LT"/>
        </w:rPr>
        <w:t>Ikiklinikinių saugumo tyrimų duomenys</w:t>
      </w:r>
      <w:bookmarkEnd w:id="24"/>
      <w:bookmarkEnd w:id="25"/>
    </w:p>
    <w:p w14:paraId="602677FB" w14:textId="77777777" w:rsidR="00173803" w:rsidRPr="00AB7860" w:rsidRDefault="00173803" w:rsidP="00173803">
      <w:pPr>
        <w:spacing w:after="0" w:line="240" w:lineRule="auto"/>
        <w:rPr>
          <w:rFonts w:ascii="Times New Roman" w:hAnsi="Times New Roman" w:cs="Times New Roman"/>
          <w:lang w:val="lt-LT"/>
        </w:rPr>
      </w:pPr>
    </w:p>
    <w:p w14:paraId="3ED5B2C6"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Ikiklinikinis imatinibo saugumo pobūdis įvertintas žiurkėms, šunims, beždžionėms ir triušiams. </w:t>
      </w:r>
    </w:p>
    <w:p w14:paraId="2738208F"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2F45E47E"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Kartotinių dozių toksiškumo tyrimai atskleidė nesunkių ar vidutinio sunkumo hematologinių pokyčių žiurkėms, šunims ir beždžionėms bei kaulų čiulpų pokyčių žiurkėms ir šunims. </w:t>
      </w:r>
    </w:p>
    <w:p w14:paraId="275B87BF"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7D737948"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Kepenys buvo žiurkių ir šunų organas taikinys. Abiejų rūšių gyvūnams stebėta neryškiai ar vidutiniškai padidėjęs transaminazių aktyvumas ir šiek tiek sumažėjusi cholesterolio, trigliceridų, bendrojo baltymo ir albumino koncentracija. Jokių histopatologinių žiurkių kepenų pokyčių nenustatyta. Šunims, gydytiems 2 savaites, stebėtas sunkus kepenų toksiškumas, pasireiškęs padidėjusiu kepenų fermentų aktyvumu, kepenų ląstelių ir tulžies latakų nekroze bei tulžies latakų hiperplazija. </w:t>
      </w:r>
    </w:p>
    <w:p w14:paraId="5200C99F"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p>
    <w:p w14:paraId="0343CC6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Beždžionėms, gydytoms 2 savaites, stebėtas inkstų toksiškumas su židinine mineralizacija ir inkstų kanalėlių dilatacija bei tubuline nefroze. Kelioms beždžionėms nustatyta padidėjusi šlapalo ir kreatinino koncentracija kraujyje. 13 savaičių tyrimų metu, žiurkėms, gavusioms ≥ 6 mg/kg dozę, stebėta inkstų spenelių ir šlapimo pūslės pereinamojo epitelio hiperplazija be serumo ar šlapimo rodiklių pokyčių. Ilgai gydomiems imatinibu gyvūnams stebėtas padidėjęs oportunistinių infekcijų dažnis.</w:t>
      </w:r>
    </w:p>
    <w:p w14:paraId="5B046321" w14:textId="77777777" w:rsidR="00173803" w:rsidRPr="00AB7860" w:rsidRDefault="00173803" w:rsidP="00173803">
      <w:pPr>
        <w:spacing w:after="0" w:line="240" w:lineRule="auto"/>
        <w:rPr>
          <w:rFonts w:ascii="Times New Roman" w:hAnsi="Times New Roman" w:cs="Times New Roman"/>
          <w:lang w:val="lt-LT"/>
        </w:rPr>
      </w:pPr>
    </w:p>
    <w:p w14:paraId="525BC42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39 savaičių tyrimo metu beždžionėms, gavusioms mažiausią 15 mg/kg dozę, vidutiniškai trečdalį didžiausios 800 mg žmogaus dozės pagal kūno paviršiaus plotą, jokio NNPL (nepastebimo nepageidaujamo poveikio lygmens) nenustatyta. Gydymas pablogino šių gyvūnų normaliai slopinamą maliarijos infekciją.</w:t>
      </w:r>
    </w:p>
    <w:p w14:paraId="2581E55D" w14:textId="77777777" w:rsidR="00173803" w:rsidRPr="00AB7860" w:rsidRDefault="00173803" w:rsidP="00173803">
      <w:pPr>
        <w:spacing w:after="0" w:line="240" w:lineRule="auto"/>
        <w:rPr>
          <w:rFonts w:ascii="Times New Roman" w:hAnsi="Times New Roman" w:cs="Times New Roman"/>
          <w:lang w:val="lt-LT"/>
        </w:rPr>
      </w:pPr>
    </w:p>
    <w:p w14:paraId="0348F3A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Imatinibas nebuvo genotoksiškas </w:t>
      </w:r>
      <w:r w:rsidRPr="00AB7860">
        <w:rPr>
          <w:rFonts w:ascii="Times New Roman" w:hAnsi="Times New Roman" w:cs="Times New Roman"/>
          <w:i/>
          <w:lang w:val="lt-LT"/>
        </w:rPr>
        <w:t>in vitro</w:t>
      </w:r>
      <w:r w:rsidRPr="00AB7860">
        <w:rPr>
          <w:rFonts w:ascii="Times New Roman" w:hAnsi="Times New Roman" w:cs="Times New Roman"/>
          <w:lang w:val="lt-LT"/>
        </w:rPr>
        <w:t xml:space="preserve"> atliekant bakterijų ląstelių testus (</w:t>
      </w:r>
      <w:r w:rsidRPr="00AB7860">
        <w:rPr>
          <w:rFonts w:ascii="Times New Roman" w:hAnsi="Times New Roman" w:cs="Times New Roman"/>
          <w:i/>
          <w:lang w:val="lt-LT"/>
        </w:rPr>
        <w:t>Ames</w:t>
      </w:r>
      <w:r w:rsidRPr="00AB7860">
        <w:rPr>
          <w:rFonts w:ascii="Times New Roman" w:hAnsi="Times New Roman" w:cs="Times New Roman"/>
          <w:lang w:val="lt-LT"/>
        </w:rPr>
        <w:t xml:space="preserve"> testus), </w:t>
      </w:r>
      <w:r w:rsidRPr="00AB7860">
        <w:rPr>
          <w:rFonts w:ascii="Times New Roman" w:hAnsi="Times New Roman" w:cs="Times New Roman"/>
          <w:i/>
          <w:lang w:val="lt-LT"/>
        </w:rPr>
        <w:t>in vitro</w:t>
      </w:r>
      <w:r w:rsidRPr="00AB7860">
        <w:rPr>
          <w:rFonts w:ascii="Times New Roman" w:hAnsi="Times New Roman" w:cs="Times New Roman"/>
          <w:lang w:val="lt-LT"/>
        </w:rPr>
        <w:t xml:space="preserve"> žinduolių ląstelių tyrimus (pelių limfomos) ir </w:t>
      </w:r>
      <w:r w:rsidRPr="00AB7860">
        <w:rPr>
          <w:rFonts w:ascii="Times New Roman" w:hAnsi="Times New Roman" w:cs="Times New Roman"/>
          <w:i/>
          <w:lang w:val="lt-LT"/>
        </w:rPr>
        <w:t>in vivo</w:t>
      </w:r>
      <w:r w:rsidRPr="00AB7860">
        <w:rPr>
          <w:rFonts w:ascii="Times New Roman" w:hAnsi="Times New Roman" w:cs="Times New Roman"/>
          <w:lang w:val="lt-LT"/>
        </w:rPr>
        <w:t xml:space="preserve"> žiurkių mikrobranduolių testus. Teigiamas imatinibo genotoksinis poveikis stebėtas atliekant </w:t>
      </w:r>
      <w:r w:rsidRPr="00AB7860">
        <w:rPr>
          <w:rFonts w:ascii="Times New Roman" w:hAnsi="Times New Roman" w:cs="Times New Roman"/>
          <w:i/>
          <w:lang w:val="lt-LT"/>
        </w:rPr>
        <w:t>in vitro</w:t>
      </w:r>
      <w:r w:rsidRPr="00AB7860">
        <w:rPr>
          <w:rFonts w:ascii="Times New Roman" w:hAnsi="Times New Roman" w:cs="Times New Roman"/>
          <w:lang w:val="lt-LT"/>
        </w:rPr>
        <w:t xml:space="preserve"> žinduolių ląstelių (</w:t>
      </w:r>
      <w:r w:rsidRPr="00AB7860">
        <w:rPr>
          <w:rFonts w:ascii="Times New Roman" w:hAnsi="Times New Roman" w:cs="Times New Roman"/>
          <w:color w:val="000000"/>
          <w:lang w:val="lt-LT"/>
        </w:rPr>
        <w:t>kinų</w:t>
      </w:r>
      <w:r w:rsidRPr="00AB7860">
        <w:rPr>
          <w:rFonts w:ascii="Times New Roman" w:hAnsi="Times New Roman" w:cs="Times New Roman"/>
          <w:lang w:val="lt-LT"/>
        </w:rPr>
        <w:t xml:space="preserve"> žiurkėnų kiaušidžių) tyrimus klastogeniškumui (chromosomų </w:t>
      </w:r>
      <w:r w:rsidRPr="00AB7860">
        <w:rPr>
          <w:rFonts w:ascii="Times New Roman" w:hAnsi="Times New Roman" w:cs="Times New Roman"/>
          <w:color w:val="000000"/>
          <w:lang w:val="lt-LT"/>
        </w:rPr>
        <w:t>aberacijoms</w:t>
      </w:r>
      <w:r w:rsidRPr="00AB7860">
        <w:rPr>
          <w:rFonts w:ascii="Times New Roman" w:hAnsi="Times New Roman" w:cs="Times New Roman"/>
          <w:lang w:val="lt-LT"/>
        </w:rPr>
        <w:t xml:space="preserve">) nustatyti, kai buvo metabolinis aktyvinimas. Du gamybos proceso tarpiniai produktai, kurių yra ir galutiniame produkte, taip pat veikė mutageniškai </w:t>
      </w:r>
      <w:r w:rsidRPr="00AB7860">
        <w:rPr>
          <w:rFonts w:ascii="Times New Roman" w:hAnsi="Times New Roman" w:cs="Times New Roman"/>
          <w:i/>
          <w:lang w:val="lt-LT"/>
        </w:rPr>
        <w:t>Ames</w:t>
      </w:r>
      <w:r w:rsidRPr="00AB7860">
        <w:rPr>
          <w:rFonts w:ascii="Times New Roman" w:hAnsi="Times New Roman" w:cs="Times New Roman"/>
          <w:lang w:val="lt-LT"/>
        </w:rPr>
        <w:t xml:space="preserve"> testų metu. Vienas šių tarpinių produktų buvo teigiamas pelių limfomos tyrimų metu.</w:t>
      </w:r>
    </w:p>
    <w:p w14:paraId="20B849D4" w14:textId="77777777" w:rsidR="00173803" w:rsidRPr="00AB7860" w:rsidRDefault="00173803" w:rsidP="00173803">
      <w:pPr>
        <w:spacing w:after="0" w:line="240" w:lineRule="auto"/>
        <w:rPr>
          <w:rFonts w:ascii="Times New Roman" w:hAnsi="Times New Roman" w:cs="Times New Roman"/>
          <w:lang w:val="lt-LT"/>
        </w:rPr>
      </w:pPr>
    </w:p>
    <w:p w14:paraId="58F4FCAB" w14:textId="77777777" w:rsidR="00173803" w:rsidRPr="00AB7860" w:rsidRDefault="00173803" w:rsidP="00173803">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color w:val="000000"/>
          <w:lang w:val="lt-LT"/>
        </w:rPr>
        <w:t xml:space="preserve">Tiriant vaisingumą nustatyta, kad žiurkių patinų, prieš poravimąsi 70 dienų gavusių </w:t>
      </w:r>
      <w:r w:rsidRPr="00AB7860">
        <w:rPr>
          <w:rFonts w:ascii="Times New Roman" w:eastAsia="Times New Roman" w:hAnsi="Times New Roman" w:cs="Times New Roman"/>
          <w:color w:val="000000"/>
          <w:lang w:val="lt-LT" w:eastAsia="lt-LT"/>
        </w:rPr>
        <w:t>vaistinio preparato</w:t>
      </w:r>
      <w:r w:rsidRPr="00AB7860">
        <w:rPr>
          <w:rFonts w:ascii="Times New Roman" w:hAnsi="Times New Roman" w:cs="Times New Roman"/>
          <w:color w:val="000000"/>
          <w:lang w:val="lt-LT"/>
        </w:rPr>
        <w:t xml:space="preserve">, sėklidžių ir sėklidžių prielipo svoris bei judrių spermijų procentas sumažėjo po 60 mg/kg dozės, kuri atitinka didžiausią klinikinę 800 mg per parą dozę, apskaičiuotą pagal kūno paviršiaus plotą. Šito nestebėta vartojant ≤ 20 mg/kg dozę. Neryškiai ir vidutiniškai sumažėjusi spermatogenezė taip pat nustatyta šunims, gavusiems ≥ 30 mg/kg geriamąją dozę. 14 dienų prieš poravimąsi ir iki 6-osios nėštumo dienos žiurkių patelėms duodant </w:t>
      </w:r>
      <w:r w:rsidRPr="00AB7860">
        <w:rPr>
          <w:rFonts w:ascii="Times New Roman" w:eastAsia="Times New Roman" w:hAnsi="Times New Roman" w:cs="Times New Roman"/>
          <w:color w:val="000000"/>
          <w:lang w:val="lt-LT" w:eastAsia="lt-LT"/>
        </w:rPr>
        <w:t>vaistinio preparato</w:t>
      </w:r>
      <w:r w:rsidRPr="00AB7860">
        <w:rPr>
          <w:rFonts w:ascii="Times New Roman" w:hAnsi="Times New Roman" w:cs="Times New Roman"/>
          <w:color w:val="000000"/>
          <w:lang w:val="lt-LT"/>
        </w:rPr>
        <w:t xml:space="preserve">, poveikio poravimuisi ir nėščių patelių skaičiui </w:t>
      </w:r>
      <w:r w:rsidRPr="00AB7860">
        <w:rPr>
          <w:rFonts w:ascii="Times New Roman" w:hAnsi="Times New Roman" w:cs="Times New Roman"/>
          <w:color w:val="000000"/>
          <w:lang w:val="lt-LT"/>
        </w:rPr>
        <w:lastRenderedPageBreak/>
        <w:t xml:space="preserve">nenustatyta, o duodant 60 mg/kg dozę, ryškiai padaugėjo poimplantacinių vaisių netekimų ir sumažėjo gyvų vaisių skaičius. Šių reiškinių nestebėta skiriant ≤ 20 mg/kg dozę. </w:t>
      </w:r>
    </w:p>
    <w:p w14:paraId="498E14DF" w14:textId="77777777" w:rsidR="00173803" w:rsidRPr="00AB7860" w:rsidRDefault="00173803" w:rsidP="00173803">
      <w:pPr>
        <w:spacing w:after="0" w:line="240" w:lineRule="auto"/>
        <w:rPr>
          <w:rFonts w:ascii="Times New Roman" w:hAnsi="Times New Roman" w:cs="Times New Roman"/>
          <w:lang w:val="lt-LT"/>
        </w:rPr>
      </w:pPr>
    </w:p>
    <w:p w14:paraId="6AC3864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Geriamojo </w:t>
      </w:r>
      <w:r w:rsidRPr="00AB7860">
        <w:rPr>
          <w:rFonts w:ascii="Times New Roman" w:eastAsia="Times New Roman" w:hAnsi="Times New Roman" w:cs="Times New Roman"/>
          <w:lang w:val="lt-LT"/>
        </w:rPr>
        <w:t>vaistinio preparato</w:t>
      </w:r>
      <w:r w:rsidRPr="00AB7860">
        <w:rPr>
          <w:rFonts w:ascii="Times New Roman" w:hAnsi="Times New Roman" w:cs="Times New Roman"/>
          <w:lang w:val="lt-LT"/>
        </w:rPr>
        <w:t xml:space="preserve"> prenatalinės ir ponatalinės raidos tyrimų metu žiurkėms, gaunančioms 45 mg/kg per parą, 14-ąją ar 15-ąją nėštumo dieną stebėta raudonų išskyrų iš makšties. Duodant tą pačią dozę, nustatyta, kad padidėja </w:t>
      </w:r>
      <w:r w:rsidRPr="00AB7860">
        <w:rPr>
          <w:rFonts w:ascii="Times New Roman" w:hAnsi="Times New Roman" w:cs="Times New Roman"/>
          <w:color w:val="000000"/>
          <w:lang w:val="lt-LT"/>
        </w:rPr>
        <w:t>negyvagimių</w:t>
      </w:r>
      <w:r w:rsidRPr="00AB7860">
        <w:rPr>
          <w:rFonts w:ascii="Times New Roman" w:hAnsi="Times New Roman" w:cs="Times New Roman"/>
          <w:lang w:val="lt-LT"/>
        </w:rPr>
        <w:t xml:space="preserve"> ir 0–4 dienomis žuvusių palikuonių skaičius. F</w:t>
      </w:r>
      <w:r w:rsidRPr="00AB7860">
        <w:rPr>
          <w:rFonts w:ascii="Times New Roman" w:hAnsi="Times New Roman" w:cs="Times New Roman"/>
          <w:vertAlign w:val="subscript"/>
          <w:lang w:val="lt-LT"/>
        </w:rPr>
        <w:t>1</w:t>
      </w:r>
      <w:r w:rsidRPr="00AB7860">
        <w:rPr>
          <w:rFonts w:ascii="Times New Roman" w:hAnsi="Times New Roman" w:cs="Times New Roman"/>
          <w:lang w:val="lt-LT"/>
        </w:rPr>
        <w:t xml:space="preserve"> palikuonims, duodant tą pačią dozę, vidutinis kūno svoris buvo mažesnis nuo gimimo iki galutinio gyvavimo laiko ir šiek tiek mažesnis buvo jauniklių, pasiekusių apyvarpės atsiskyrimo kriterijus, skaičius. Kai buvo duodama 45 mg/kg per parą dozė, F</w:t>
      </w:r>
      <w:r w:rsidRPr="00AB7860">
        <w:rPr>
          <w:rFonts w:ascii="Times New Roman" w:hAnsi="Times New Roman" w:cs="Times New Roman"/>
          <w:vertAlign w:val="subscript"/>
          <w:lang w:val="lt-LT"/>
        </w:rPr>
        <w:t>1</w:t>
      </w:r>
      <w:r w:rsidRPr="00AB7860">
        <w:rPr>
          <w:rFonts w:ascii="Times New Roman" w:hAnsi="Times New Roman" w:cs="Times New Roman"/>
          <w:lang w:val="lt-LT"/>
        </w:rPr>
        <w:t xml:space="preserve"> vaisingumas buvo nepakitęs, o rezorbcijų skaičius padidėjo bei gyvybingų vaisių skaičius sumažėjo. Nepastebimo poveikio lygmens (NPL) dozė, gyvūnų tėvams ir F</w:t>
      </w:r>
      <w:r w:rsidRPr="00AB7860">
        <w:rPr>
          <w:rFonts w:ascii="Times New Roman" w:hAnsi="Times New Roman" w:cs="Times New Roman"/>
          <w:vertAlign w:val="subscript"/>
          <w:lang w:val="lt-LT"/>
        </w:rPr>
        <w:t>1</w:t>
      </w:r>
      <w:r w:rsidRPr="00AB7860">
        <w:rPr>
          <w:rFonts w:ascii="Times New Roman" w:hAnsi="Times New Roman" w:cs="Times New Roman"/>
          <w:lang w:val="lt-LT"/>
        </w:rPr>
        <w:t xml:space="preserve"> generacijai, buvo 15 mg/kg per parą (ketvirtis didžiausios žmogaus 800 mg dozės).</w:t>
      </w:r>
    </w:p>
    <w:p w14:paraId="6A042943" w14:textId="77777777" w:rsidR="00173803" w:rsidRPr="00AB7860" w:rsidRDefault="00173803" w:rsidP="00173803">
      <w:pPr>
        <w:spacing w:after="0" w:line="240" w:lineRule="auto"/>
        <w:rPr>
          <w:rFonts w:ascii="Times New Roman" w:hAnsi="Times New Roman" w:cs="Times New Roman"/>
          <w:lang w:val="lt-LT"/>
        </w:rPr>
      </w:pPr>
    </w:p>
    <w:p w14:paraId="3CAFE1C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Imatinibas, kurio organogenezės laikotarpiu buvo skiriama ≥ 100 mg/kg (maždaug atitinka pagal kūno paviršiaus plotą apskaičiuotą didžiausią klinikinę 800 mg per parą dozę), buvo teratogeniškas žiurkėms. Teratogeninis poveikis pasireiškė eksencefalija ar encefalocele, kaktikaulio nebuvimu ar sumažėjimu ir momenkaulio nebuvimu. Šių reiškinių nestebėta, kai dozė buvo ≤ 30 mg/kg.</w:t>
      </w:r>
    </w:p>
    <w:p w14:paraId="427490F7" w14:textId="77777777" w:rsidR="00173803" w:rsidRPr="00AB7860" w:rsidRDefault="00173803" w:rsidP="00173803">
      <w:pPr>
        <w:spacing w:after="0" w:line="240" w:lineRule="auto"/>
        <w:rPr>
          <w:rFonts w:ascii="Times New Roman" w:hAnsi="Times New Roman" w:cs="Times New Roman"/>
          <w:lang w:val="lt-LT"/>
        </w:rPr>
      </w:pPr>
    </w:p>
    <w:p w14:paraId="0CEA242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Naujų  organų taikinių nebuvo nustatyta atliekant toksiškumo tyrimus besivystančioms žiurkėms (10-70 dienų po gimdymo amžiaus), lyginant su žinomais organais taikiniais suaugusioms žiurkėms. Jauniklių toksiškumo tyrimuose buvo pastebėtas apytiksliai nuo 0,3 iki 2 kartų  didesnis nei vidutinis poveikis augimui, makšties atsidarymo bei apyvarpės atsiskyrimo vėlavimui, skiriant didžiausią rekomenduojamą dozę - 340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 Be to, maždaug 2 kartus didesnis nei vidutinis mirtingumas buvo stebimas tarp gyvūnų jauniklių (atjunkymo metu), skiriant didžiausią rekomenduojamą dozę - 340 mg/m</w:t>
      </w:r>
      <w:r w:rsidRPr="00AB7860">
        <w:rPr>
          <w:rFonts w:ascii="Times New Roman" w:hAnsi="Times New Roman" w:cs="Times New Roman"/>
          <w:vertAlign w:val="superscript"/>
          <w:lang w:val="lt-LT"/>
        </w:rPr>
        <w:t>2</w:t>
      </w:r>
      <w:r w:rsidRPr="00AB7860">
        <w:rPr>
          <w:rFonts w:ascii="Times New Roman" w:hAnsi="Times New Roman" w:cs="Times New Roman"/>
          <w:lang w:val="lt-LT"/>
        </w:rPr>
        <w:t>.</w:t>
      </w:r>
    </w:p>
    <w:p w14:paraId="0D78DC02" w14:textId="77777777" w:rsidR="00173803" w:rsidRPr="00AB7860" w:rsidRDefault="00173803" w:rsidP="00173803">
      <w:pPr>
        <w:spacing w:after="0" w:line="240" w:lineRule="auto"/>
        <w:rPr>
          <w:rFonts w:ascii="Times New Roman" w:hAnsi="Times New Roman" w:cs="Times New Roman"/>
          <w:lang w:val="lt-LT"/>
        </w:rPr>
      </w:pPr>
    </w:p>
    <w:p w14:paraId="709D0048"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Dviejų metų kancerogeniškumo tyrimų su žiurkėmis, gavusiomis 15 mg/kg, 30 mg/kg ir 60 mg/kg per parą imatinibo dozę, metu statistiškai reikšmingai sumažėjo patinų, gavusių 60 mg/kg per parą, ir patelių, gavusių ≥ 30 mg/kg per parą, gyvenimo trukmė. Kritusių gyvūnėlių histopatologinių tyrimų metu nustatytos pagrindinės gyvūnėlių žūties ar jų užmigdymo priežastys buvo: kardiomiopatija (abiems lytims), lėtinė progresuojanti nefropatija (patelėms) ir apyvarpės liaukų papiloma. Neoplastinio proceso organai taikiniai:  inkstai, šlapimo pūslė, šlaplė, </w:t>
      </w:r>
      <w:r w:rsidRPr="00AB7860">
        <w:rPr>
          <w:rFonts w:ascii="Times New Roman" w:hAnsi="Times New Roman" w:cs="Times New Roman"/>
          <w:color w:val="000000"/>
          <w:lang w:val="lt-LT"/>
        </w:rPr>
        <w:t>apyvarpė ir varputės liaukos,</w:t>
      </w:r>
      <w:r w:rsidRPr="00AB7860">
        <w:rPr>
          <w:rFonts w:ascii="Times New Roman" w:hAnsi="Times New Roman" w:cs="Times New Roman"/>
          <w:lang w:val="lt-LT"/>
        </w:rPr>
        <w:t xml:space="preserve"> plonasis žarnynas, prieskydinės liaukos, antinksčiai ir ne liaukinė skrandžio dalis.</w:t>
      </w:r>
    </w:p>
    <w:p w14:paraId="5220B5E7" w14:textId="77777777" w:rsidR="00173803" w:rsidRPr="00AB7860" w:rsidRDefault="00173803" w:rsidP="00173803">
      <w:pPr>
        <w:spacing w:after="0" w:line="240" w:lineRule="auto"/>
        <w:rPr>
          <w:rFonts w:ascii="Times New Roman" w:hAnsi="Times New Roman" w:cs="Times New Roman"/>
          <w:lang w:val="lt-LT"/>
        </w:rPr>
      </w:pPr>
    </w:p>
    <w:p w14:paraId="4BEF408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color w:val="000000"/>
          <w:lang w:val="lt-LT"/>
        </w:rPr>
        <w:t>Apyvarpės ar varputės</w:t>
      </w:r>
      <w:r w:rsidRPr="00AB7860">
        <w:rPr>
          <w:rFonts w:ascii="Times New Roman" w:hAnsi="Times New Roman" w:cs="Times New Roman"/>
          <w:lang w:val="lt-LT"/>
        </w:rPr>
        <w:t xml:space="preserve"> liaukų papilomos ar karcinomos </w:t>
      </w:r>
      <w:r w:rsidR="000909FB" w:rsidRPr="00AB7860">
        <w:rPr>
          <w:rFonts w:ascii="Times New Roman" w:hAnsi="Times New Roman" w:cs="Times New Roman"/>
          <w:lang w:val="lt-LT"/>
        </w:rPr>
        <w:t xml:space="preserve">buvo </w:t>
      </w:r>
      <w:r w:rsidRPr="00AB7860">
        <w:rPr>
          <w:rFonts w:ascii="Times New Roman" w:hAnsi="Times New Roman" w:cs="Times New Roman"/>
          <w:lang w:val="lt-LT"/>
        </w:rPr>
        <w:t xml:space="preserve">stebėtos žiurkėms, kurios gavo nuo 30 mg/kg per parą </w:t>
      </w:r>
      <w:r w:rsidRPr="00AB7860">
        <w:rPr>
          <w:rFonts w:ascii="Times New Roman" w:hAnsi="Times New Roman" w:cs="Times New Roman"/>
          <w:color w:val="000000"/>
          <w:lang w:val="lt-LT"/>
        </w:rPr>
        <w:t>dozę į priekį kas yra maždaug 0,5 arba 0,3 kartus didesnė ekspozicija (pagal AUC) negu žmonėms vartojant 400</w:t>
      </w:r>
      <w:r w:rsidRPr="00AB7860">
        <w:rPr>
          <w:rFonts w:ascii="Times New Roman" w:hAnsi="Times New Roman" w:cs="Times New Roman"/>
          <w:lang w:val="lt-LT"/>
        </w:rPr>
        <w:t xml:space="preserve"> mg arba 800 mg per parą atitinkamai ir 0,4 karto didesnė ekspozicija vaikams (pagal AUC) vartojant 340 mg/m² per parą. Nepastebimo poveikio lygmens (NPL) dozė buvo 15 mg/kg per parą. Inkstų adenoma ar karcinoma, šlapimo pūslės ir šlaplės papiloma, plonojo žarnyno adenokarcinoma, prieskydinių liaukų adenoma, gerybiniai ir piktybiniai antinksčių šerdinės dalies navikai bei ne liaukinės skrandžio dalies papiloma ar karcinoma stebėtos duodant 60 mg/kg per parą dozę kas yra maždaug 1,7 arba 1 kartus didesnė ekspozicija (pagal AUC) negu žmonėms vartojant 400 mg arba 800 mg per parą atitinkamai ir 1,2 karto didesnė ekspozicija vaikams (pagal AUC) vartojant 340 mg/m² per parą. Nepastebimo poveikio lygmens (NPL) dozė buvo 30 mg/kg per parą.</w:t>
      </w:r>
    </w:p>
    <w:p w14:paraId="348C2EB3" w14:textId="77777777" w:rsidR="00173803" w:rsidRPr="00AB7860" w:rsidRDefault="00173803" w:rsidP="00173803">
      <w:pPr>
        <w:spacing w:after="0" w:line="240" w:lineRule="auto"/>
        <w:rPr>
          <w:rFonts w:ascii="Times New Roman" w:hAnsi="Times New Roman" w:cs="Times New Roman"/>
          <w:lang w:val="lt-LT"/>
        </w:rPr>
      </w:pPr>
    </w:p>
    <w:p w14:paraId="00E85BD4"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Šių žiurkių kancerogeniškumo tyrimų radinių reikšmė ir mechanizmas žmonėms dar neaiškus.</w:t>
      </w:r>
    </w:p>
    <w:p w14:paraId="6D177C79" w14:textId="77777777" w:rsidR="00173803" w:rsidRPr="00AB7860" w:rsidRDefault="00173803" w:rsidP="00173803">
      <w:pPr>
        <w:spacing w:after="0" w:line="240" w:lineRule="auto"/>
        <w:rPr>
          <w:rFonts w:ascii="Times New Roman" w:hAnsi="Times New Roman" w:cs="Times New Roman"/>
          <w:lang w:val="lt-LT"/>
        </w:rPr>
      </w:pPr>
    </w:p>
    <w:p w14:paraId="390F317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Ankstesniuose tyrimuose nebuvo registruota kitų, ne neoplastinių širdies ir kraujagyslių sistemos, kasos, endokrininių liaukų ir dantų pažeidimų. Svarbiausi pakitimai buvo širdies hipertrofija ir dilatacija, dėl ko kai kuriems gyvūnėliams pasireiškė širdies nepakankamumo simptomai.</w:t>
      </w:r>
    </w:p>
    <w:p w14:paraId="16E9327E" w14:textId="77777777" w:rsidR="00173803" w:rsidRPr="00AB7860" w:rsidRDefault="00173803" w:rsidP="00173803">
      <w:pPr>
        <w:spacing w:after="0" w:line="240" w:lineRule="auto"/>
        <w:rPr>
          <w:rFonts w:ascii="Times New Roman" w:hAnsi="Times New Roman" w:cs="Times New Roman"/>
          <w:lang w:val="lt-LT"/>
        </w:rPr>
      </w:pPr>
    </w:p>
    <w:p w14:paraId="0B42CF36" w14:textId="77777777" w:rsidR="00173803" w:rsidRPr="0049461C" w:rsidRDefault="00173803" w:rsidP="00173803">
      <w:pPr>
        <w:spacing w:after="0" w:line="240" w:lineRule="auto"/>
        <w:rPr>
          <w:rFonts w:ascii="Times New Roman" w:hAnsi="Times New Roman" w:cs="Times New Roman"/>
          <w:u w:val="single"/>
          <w:lang w:val="lt-LT"/>
        </w:rPr>
      </w:pPr>
      <w:r w:rsidRPr="0049461C">
        <w:rPr>
          <w:rFonts w:ascii="Times New Roman" w:hAnsi="Times New Roman" w:cs="Times New Roman"/>
          <w:noProof/>
          <w:u w:val="single"/>
          <w:lang w:val="lt-LT"/>
        </w:rPr>
        <w:t>Pavojaus aplinkai vertinimas (PAV)</w:t>
      </w:r>
    </w:p>
    <w:p w14:paraId="1D14106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eastAsia="Times New Roman" w:hAnsi="Times New Roman" w:cs="Times New Roman"/>
          <w:lang w:val="lt-LT"/>
        </w:rPr>
        <w:t>Nustatyta, kad veiklioji</w:t>
      </w:r>
      <w:r w:rsidRPr="00AB7860">
        <w:rPr>
          <w:rFonts w:ascii="Times New Roman" w:hAnsi="Times New Roman" w:cs="Times New Roman"/>
          <w:lang w:val="lt-LT"/>
        </w:rPr>
        <w:t xml:space="preserve"> medžiaga imatinibas </w:t>
      </w:r>
      <w:r w:rsidRPr="00AB7860">
        <w:rPr>
          <w:rFonts w:ascii="Times New Roman" w:eastAsia="Times New Roman" w:hAnsi="Times New Roman" w:cs="Times New Roman"/>
          <w:lang w:val="lt-LT"/>
        </w:rPr>
        <w:t>kelia</w:t>
      </w:r>
      <w:r w:rsidRPr="00AB7860">
        <w:rPr>
          <w:rFonts w:ascii="Times New Roman" w:hAnsi="Times New Roman" w:cs="Times New Roman"/>
          <w:lang w:val="lt-LT"/>
        </w:rPr>
        <w:t xml:space="preserve"> pavojų </w:t>
      </w:r>
      <w:r w:rsidRPr="00AB7860">
        <w:rPr>
          <w:rFonts w:ascii="Times New Roman" w:eastAsia="Times New Roman" w:hAnsi="Times New Roman" w:cs="Times New Roman"/>
          <w:lang w:val="lt-LT"/>
        </w:rPr>
        <w:t>nuosėdose aptinkamiems</w:t>
      </w:r>
      <w:r w:rsidRPr="00AB7860">
        <w:rPr>
          <w:rFonts w:ascii="Times New Roman" w:hAnsi="Times New Roman" w:cs="Times New Roman"/>
          <w:lang w:val="lt-LT"/>
        </w:rPr>
        <w:t xml:space="preserve"> organizmams.</w:t>
      </w:r>
    </w:p>
    <w:p w14:paraId="25C510D6" w14:textId="77777777" w:rsidR="00173803" w:rsidRPr="00AB7860" w:rsidRDefault="00173803" w:rsidP="00173803">
      <w:pPr>
        <w:spacing w:after="0" w:line="240" w:lineRule="auto"/>
        <w:rPr>
          <w:rFonts w:ascii="Times New Roman" w:hAnsi="Times New Roman" w:cs="Times New Roman"/>
          <w:lang w:val="lt-LT"/>
        </w:rPr>
      </w:pPr>
    </w:p>
    <w:p w14:paraId="1423B30B" w14:textId="77777777" w:rsidR="00173803" w:rsidRPr="00AB7860" w:rsidRDefault="00173803" w:rsidP="00173803">
      <w:pPr>
        <w:spacing w:after="0" w:line="240" w:lineRule="auto"/>
        <w:rPr>
          <w:rFonts w:ascii="Times New Roman" w:hAnsi="Times New Roman" w:cs="Times New Roman"/>
          <w:b/>
          <w:lang w:val="lt-LT"/>
        </w:rPr>
      </w:pPr>
      <w:bookmarkStart w:id="26" w:name="_Toc129243115"/>
      <w:bookmarkStart w:id="27" w:name="_Toc129243240"/>
    </w:p>
    <w:p w14:paraId="3898638B"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lastRenderedPageBreak/>
        <w:t>6.</w:t>
      </w:r>
      <w:r w:rsidRPr="00AB7860">
        <w:rPr>
          <w:rFonts w:ascii="Times New Roman" w:hAnsi="Times New Roman" w:cs="Times New Roman"/>
          <w:b/>
          <w:lang w:val="lt-LT"/>
        </w:rPr>
        <w:tab/>
        <w:t>FARMACINĖ INFORMACIJA</w:t>
      </w:r>
      <w:bookmarkEnd w:id="26"/>
      <w:bookmarkEnd w:id="27"/>
    </w:p>
    <w:p w14:paraId="492FAE54" w14:textId="77777777" w:rsidR="00173803" w:rsidRPr="00AB7860" w:rsidRDefault="00173803" w:rsidP="00173803">
      <w:pPr>
        <w:spacing w:after="0" w:line="240" w:lineRule="auto"/>
        <w:rPr>
          <w:rFonts w:ascii="Times New Roman" w:hAnsi="Times New Roman" w:cs="Times New Roman"/>
          <w:lang w:val="lt-LT"/>
        </w:rPr>
      </w:pPr>
    </w:p>
    <w:p w14:paraId="453F9665"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28" w:name="_Toc129243116"/>
      <w:bookmarkStart w:id="29" w:name="_Toc129243241"/>
      <w:r w:rsidRPr="00AB7860">
        <w:rPr>
          <w:rFonts w:ascii="Times New Roman" w:hAnsi="Times New Roman" w:cs="Times New Roman"/>
          <w:b/>
          <w:lang w:val="lt-LT"/>
        </w:rPr>
        <w:t>6.1</w:t>
      </w:r>
      <w:r w:rsidRPr="00AB7860">
        <w:rPr>
          <w:rFonts w:ascii="Times New Roman" w:hAnsi="Times New Roman" w:cs="Times New Roman"/>
          <w:b/>
          <w:lang w:val="lt-LT"/>
        </w:rPr>
        <w:tab/>
        <w:t>Pagalbinių medžiagų sąrašas</w:t>
      </w:r>
      <w:bookmarkEnd w:id="28"/>
      <w:bookmarkEnd w:id="29"/>
    </w:p>
    <w:p w14:paraId="33797E47" w14:textId="77777777" w:rsidR="00173803" w:rsidRPr="00AB7860" w:rsidRDefault="00173803" w:rsidP="00173803">
      <w:pPr>
        <w:spacing w:after="0" w:line="240" w:lineRule="auto"/>
        <w:rPr>
          <w:rFonts w:ascii="Times New Roman" w:hAnsi="Times New Roman" w:cs="Times New Roman"/>
          <w:lang w:val="lt-LT"/>
        </w:rPr>
      </w:pPr>
    </w:p>
    <w:p w14:paraId="56EE3E9C" w14:textId="77777777" w:rsidR="00173803" w:rsidRPr="00AB7860" w:rsidRDefault="00173803" w:rsidP="00173803">
      <w:pPr>
        <w:spacing w:after="0" w:line="240" w:lineRule="auto"/>
        <w:rPr>
          <w:rFonts w:ascii="Times New Roman" w:hAnsi="Times New Roman" w:cs="Times New Roman"/>
          <w:i/>
          <w:lang w:val="lt-LT"/>
        </w:rPr>
      </w:pPr>
      <w:r w:rsidRPr="00AB7860">
        <w:rPr>
          <w:rFonts w:ascii="Times New Roman" w:hAnsi="Times New Roman" w:cs="Times New Roman"/>
          <w:i/>
          <w:lang w:val="lt-LT"/>
        </w:rPr>
        <w:t xml:space="preserve">Kapsulės turinys </w:t>
      </w:r>
    </w:p>
    <w:p w14:paraId="0CE4D831"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Mikrokristalinė celiuliozė</w:t>
      </w:r>
    </w:p>
    <w:p w14:paraId="42468A65"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Koloidinis bevandenis silicio dioksidas</w:t>
      </w:r>
    </w:p>
    <w:p w14:paraId="2738202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Krospovidonas</w:t>
      </w:r>
    </w:p>
    <w:p w14:paraId="2F37563C"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Talkas</w:t>
      </w:r>
    </w:p>
    <w:p w14:paraId="78F4073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Magnio stearatas</w:t>
      </w:r>
    </w:p>
    <w:p w14:paraId="44C6F8B8" w14:textId="77777777" w:rsidR="00173803" w:rsidRPr="00AB7860" w:rsidRDefault="00173803" w:rsidP="00173803">
      <w:pPr>
        <w:spacing w:after="0" w:line="240" w:lineRule="auto"/>
        <w:rPr>
          <w:rFonts w:ascii="Times New Roman" w:hAnsi="Times New Roman" w:cs="Times New Roman"/>
          <w:lang w:val="lt-LT"/>
        </w:rPr>
      </w:pPr>
    </w:p>
    <w:p w14:paraId="20407600" w14:textId="77777777" w:rsidR="00173803" w:rsidRPr="00AB7860" w:rsidRDefault="00173803" w:rsidP="00173803">
      <w:pPr>
        <w:spacing w:after="0" w:line="240" w:lineRule="auto"/>
        <w:rPr>
          <w:rFonts w:ascii="Times New Roman" w:hAnsi="Times New Roman" w:cs="Times New Roman"/>
          <w:i/>
          <w:color w:val="000000"/>
          <w:lang w:val="lt-LT"/>
        </w:rPr>
      </w:pPr>
      <w:r w:rsidRPr="00AB7860">
        <w:rPr>
          <w:rFonts w:ascii="Times New Roman" w:hAnsi="Times New Roman" w:cs="Times New Roman"/>
          <w:i/>
          <w:color w:val="000000"/>
          <w:lang w:val="lt-LT"/>
        </w:rPr>
        <w:t>Kietoji želatininė kapsulė (korpusas ir dangtelis)</w:t>
      </w:r>
    </w:p>
    <w:p w14:paraId="63FB9898"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Titano dioksidas (E171)</w:t>
      </w:r>
    </w:p>
    <w:p w14:paraId="4619DAB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Raudonasis geležies oksidas (E172)</w:t>
      </w:r>
    </w:p>
    <w:p w14:paraId="68E8234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Geltonasis geležies oksidas (E172)</w:t>
      </w:r>
    </w:p>
    <w:p w14:paraId="2C9E263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Želatina</w:t>
      </w:r>
    </w:p>
    <w:p w14:paraId="4A2E155B" w14:textId="77777777" w:rsidR="00173803" w:rsidRPr="00AB7860" w:rsidRDefault="00173803" w:rsidP="00173803">
      <w:pPr>
        <w:spacing w:after="0" w:line="240" w:lineRule="auto"/>
        <w:rPr>
          <w:rFonts w:ascii="Times New Roman" w:hAnsi="Times New Roman" w:cs="Times New Roman"/>
          <w:lang w:val="lt-LT"/>
        </w:rPr>
      </w:pPr>
    </w:p>
    <w:p w14:paraId="64F60F0F"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30" w:name="_Toc129243117"/>
      <w:bookmarkStart w:id="31" w:name="_Toc129243242"/>
      <w:r w:rsidRPr="00AB7860">
        <w:rPr>
          <w:rFonts w:ascii="Times New Roman" w:hAnsi="Times New Roman" w:cs="Times New Roman"/>
          <w:b/>
          <w:lang w:val="lt-LT"/>
        </w:rPr>
        <w:t>6.2</w:t>
      </w:r>
      <w:r w:rsidRPr="00AB7860">
        <w:rPr>
          <w:rFonts w:ascii="Times New Roman" w:hAnsi="Times New Roman" w:cs="Times New Roman"/>
          <w:b/>
          <w:lang w:val="lt-LT"/>
        </w:rPr>
        <w:tab/>
        <w:t>Nesuderinamumas</w:t>
      </w:r>
      <w:bookmarkEnd w:id="30"/>
      <w:bookmarkEnd w:id="31"/>
    </w:p>
    <w:p w14:paraId="4EACABD5" w14:textId="77777777" w:rsidR="00173803" w:rsidRPr="00AB7860" w:rsidRDefault="00173803" w:rsidP="00173803">
      <w:pPr>
        <w:spacing w:after="0" w:line="240" w:lineRule="auto"/>
        <w:rPr>
          <w:rFonts w:ascii="Times New Roman" w:hAnsi="Times New Roman" w:cs="Times New Roman"/>
          <w:lang w:val="lt-LT"/>
        </w:rPr>
      </w:pPr>
    </w:p>
    <w:p w14:paraId="5148EE1C"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Duomenys nebūtini.</w:t>
      </w:r>
    </w:p>
    <w:p w14:paraId="75E378F1" w14:textId="77777777" w:rsidR="00173803" w:rsidRPr="00AB7860" w:rsidRDefault="00173803" w:rsidP="00173803">
      <w:pPr>
        <w:spacing w:after="0" w:line="240" w:lineRule="auto"/>
        <w:rPr>
          <w:rFonts w:ascii="Times New Roman" w:hAnsi="Times New Roman" w:cs="Times New Roman"/>
          <w:lang w:val="lt-LT"/>
        </w:rPr>
      </w:pPr>
    </w:p>
    <w:p w14:paraId="32A3AE69"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32" w:name="_Toc129243118"/>
      <w:bookmarkStart w:id="33" w:name="_Toc129243243"/>
      <w:r w:rsidRPr="00AB7860">
        <w:rPr>
          <w:rFonts w:ascii="Times New Roman" w:hAnsi="Times New Roman" w:cs="Times New Roman"/>
          <w:b/>
          <w:lang w:val="lt-LT"/>
        </w:rPr>
        <w:t>6.3</w:t>
      </w:r>
      <w:r w:rsidRPr="00AB7860">
        <w:rPr>
          <w:rFonts w:ascii="Times New Roman" w:hAnsi="Times New Roman" w:cs="Times New Roman"/>
          <w:b/>
          <w:lang w:val="lt-LT"/>
        </w:rPr>
        <w:tab/>
        <w:t>Tinkamumo laikas</w:t>
      </w:r>
      <w:bookmarkEnd w:id="32"/>
      <w:bookmarkEnd w:id="33"/>
    </w:p>
    <w:p w14:paraId="4C66CB89" w14:textId="77777777" w:rsidR="00173803" w:rsidRPr="00AB7860" w:rsidRDefault="00173803" w:rsidP="00173803">
      <w:pPr>
        <w:spacing w:after="0" w:line="240" w:lineRule="auto"/>
        <w:rPr>
          <w:rFonts w:ascii="Times New Roman" w:hAnsi="Times New Roman" w:cs="Times New Roman"/>
          <w:lang w:val="lt-LT"/>
        </w:rPr>
      </w:pPr>
    </w:p>
    <w:p w14:paraId="1E9B14FF" w14:textId="77777777" w:rsidR="00173803" w:rsidRPr="00AB7860" w:rsidRDefault="007B6C80"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5</w:t>
      </w:r>
      <w:r w:rsidR="00173803" w:rsidRPr="00AB7860">
        <w:rPr>
          <w:rFonts w:ascii="Times New Roman" w:hAnsi="Times New Roman" w:cs="Times New Roman"/>
          <w:lang w:val="lt-LT"/>
        </w:rPr>
        <w:t xml:space="preserve"> metai</w:t>
      </w:r>
    </w:p>
    <w:p w14:paraId="3E814664" w14:textId="77777777" w:rsidR="00173803" w:rsidRPr="00AB7860" w:rsidRDefault="00173803" w:rsidP="00173803">
      <w:pPr>
        <w:spacing w:after="0" w:line="240" w:lineRule="auto"/>
        <w:rPr>
          <w:rFonts w:ascii="Times New Roman" w:hAnsi="Times New Roman" w:cs="Times New Roman"/>
          <w:lang w:val="lt-LT"/>
        </w:rPr>
      </w:pPr>
    </w:p>
    <w:p w14:paraId="0076364F"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34" w:name="_Toc129243119"/>
      <w:bookmarkStart w:id="35" w:name="_Toc129243244"/>
      <w:r w:rsidRPr="00AB7860">
        <w:rPr>
          <w:rFonts w:ascii="Times New Roman" w:hAnsi="Times New Roman" w:cs="Times New Roman"/>
          <w:b/>
          <w:lang w:val="lt-LT"/>
        </w:rPr>
        <w:t>6.4</w:t>
      </w:r>
      <w:r w:rsidRPr="00AB7860">
        <w:rPr>
          <w:rFonts w:ascii="Times New Roman" w:hAnsi="Times New Roman" w:cs="Times New Roman"/>
          <w:b/>
          <w:lang w:val="lt-LT"/>
        </w:rPr>
        <w:tab/>
        <w:t>Specialios laikymo sąlygos</w:t>
      </w:r>
      <w:bookmarkEnd w:id="34"/>
      <w:bookmarkEnd w:id="35"/>
    </w:p>
    <w:p w14:paraId="520E2F38" w14:textId="77777777" w:rsidR="00173803" w:rsidRPr="00AB7860" w:rsidRDefault="00173803" w:rsidP="00173803">
      <w:pPr>
        <w:spacing w:after="0" w:line="240" w:lineRule="auto"/>
        <w:rPr>
          <w:rFonts w:ascii="Times New Roman" w:hAnsi="Times New Roman" w:cs="Times New Roman"/>
          <w:color w:val="000000"/>
          <w:lang w:val="lt-LT"/>
        </w:rPr>
      </w:pPr>
    </w:p>
    <w:p w14:paraId="05364BDE"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Šiam vaistiniam preparatui specialių laikymo sąlygų nereikia.</w:t>
      </w:r>
    </w:p>
    <w:p w14:paraId="0F093E65" w14:textId="77777777" w:rsidR="00173803" w:rsidRPr="00AB7860" w:rsidRDefault="00173803" w:rsidP="00173803">
      <w:pPr>
        <w:spacing w:after="0" w:line="240" w:lineRule="auto"/>
        <w:rPr>
          <w:rFonts w:ascii="Times New Roman" w:hAnsi="Times New Roman" w:cs="Times New Roman"/>
          <w:color w:val="000000"/>
          <w:lang w:val="lt-LT"/>
        </w:rPr>
      </w:pPr>
    </w:p>
    <w:p w14:paraId="70AB6BC0"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36" w:name="_Toc129243120"/>
      <w:bookmarkStart w:id="37" w:name="_Toc129243245"/>
      <w:r w:rsidRPr="00AB7860">
        <w:rPr>
          <w:rFonts w:ascii="Times New Roman" w:hAnsi="Times New Roman" w:cs="Times New Roman"/>
          <w:b/>
          <w:lang w:val="lt-LT"/>
        </w:rPr>
        <w:t>6.5</w:t>
      </w:r>
      <w:r w:rsidRPr="00AB7860">
        <w:rPr>
          <w:rFonts w:ascii="Times New Roman" w:hAnsi="Times New Roman" w:cs="Times New Roman"/>
          <w:b/>
          <w:lang w:val="lt-LT"/>
        </w:rPr>
        <w:tab/>
        <w:t>Talpyklės pobūdis ir jos turinys</w:t>
      </w:r>
      <w:bookmarkEnd w:id="36"/>
      <w:bookmarkEnd w:id="37"/>
    </w:p>
    <w:p w14:paraId="7B519464"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03B6B30C"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Kapsulės yra supakuotos į PVC//PVDC/aliuminio lizdines plokšteles.</w:t>
      </w:r>
    </w:p>
    <w:p w14:paraId="12FF8A6F"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Lizdinėje plokštelėje yra 10 kapsulių.</w:t>
      </w:r>
    </w:p>
    <w:p w14:paraId="706E8B34"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p>
    <w:p w14:paraId="5BDF43A6"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Pakuotės dydžiai: 60 arba 120 kapsulių.</w:t>
      </w:r>
    </w:p>
    <w:p w14:paraId="1F331797" w14:textId="77777777" w:rsidR="00173803" w:rsidRPr="00AB7860" w:rsidRDefault="00173803" w:rsidP="00173803">
      <w:pPr>
        <w:tabs>
          <w:tab w:val="center" w:pos="4819"/>
          <w:tab w:val="right" w:pos="9071"/>
        </w:tabs>
        <w:spacing w:after="0" w:line="240" w:lineRule="auto"/>
        <w:rPr>
          <w:rFonts w:ascii="Times New Roman" w:hAnsi="Times New Roman" w:cs="Times New Roman"/>
          <w:lang w:val="lt-LT"/>
        </w:rPr>
      </w:pPr>
      <w:r w:rsidRPr="00AB7860">
        <w:rPr>
          <w:rFonts w:ascii="Times New Roman" w:hAnsi="Times New Roman" w:cs="Times New Roman"/>
          <w:lang w:val="lt-LT"/>
        </w:rPr>
        <w:t>Gali būti tiekiamos ne visų dydžių pakuotės.</w:t>
      </w:r>
    </w:p>
    <w:p w14:paraId="061CBEFF" w14:textId="77777777" w:rsidR="00173803" w:rsidRPr="00AB7860" w:rsidRDefault="00173803" w:rsidP="00173803">
      <w:pPr>
        <w:spacing w:after="0" w:line="240" w:lineRule="auto"/>
        <w:rPr>
          <w:rFonts w:ascii="Times New Roman" w:hAnsi="Times New Roman" w:cs="Times New Roman"/>
          <w:lang w:val="lt-LT"/>
        </w:rPr>
      </w:pPr>
    </w:p>
    <w:p w14:paraId="17D7E686"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38" w:name="_Toc129243121"/>
      <w:bookmarkStart w:id="39" w:name="_Toc129243246"/>
      <w:r w:rsidRPr="00AB7860">
        <w:rPr>
          <w:rFonts w:ascii="Times New Roman" w:hAnsi="Times New Roman" w:cs="Times New Roman"/>
          <w:b/>
          <w:lang w:val="lt-LT"/>
        </w:rPr>
        <w:t>6.6</w:t>
      </w:r>
      <w:r w:rsidRPr="00AB7860">
        <w:rPr>
          <w:rFonts w:ascii="Times New Roman" w:hAnsi="Times New Roman" w:cs="Times New Roman"/>
          <w:b/>
          <w:lang w:val="lt-LT"/>
        </w:rPr>
        <w:tab/>
        <w:t xml:space="preserve">Specialūs reikalavimai atliekoms tvarkyti </w:t>
      </w:r>
      <w:bookmarkEnd w:id="38"/>
      <w:bookmarkEnd w:id="39"/>
      <w:r w:rsidRPr="00AB7860">
        <w:rPr>
          <w:rFonts w:ascii="Times New Roman" w:hAnsi="Times New Roman" w:cs="Times New Roman"/>
          <w:b/>
          <w:lang w:val="lt-LT"/>
        </w:rPr>
        <w:t>ir vaistiniam preparatui ruošti</w:t>
      </w:r>
    </w:p>
    <w:p w14:paraId="50B36AC3" w14:textId="77777777" w:rsidR="00173803" w:rsidRPr="00AB7860" w:rsidRDefault="00173803" w:rsidP="00173803">
      <w:pPr>
        <w:spacing w:after="0" w:line="240" w:lineRule="auto"/>
        <w:rPr>
          <w:rFonts w:ascii="Times New Roman" w:hAnsi="Times New Roman" w:cs="Times New Roman"/>
          <w:lang w:val="lt-LT"/>
        </w:rPr>
      </w:pPr>
    </w:p>
    <w:p w14:paraId="0E138AA4" w14:textId="77777777" w:rsidR="00173803" w:rsidRPr="00AB7860" w:rsidRDefault="000909FB" w:rsidP="00173803">
      <w:pPr>
        <w:spacing w:after="0" w:line="240" w:lineRule="auto"/>
        <w:rPr>
          <w:rFonts w:ascii="Times New Roman" w:hAnsi="Times New Roman" w:cs="Times New Roman"/>
          <w:lang w:val="lt-LT"/>
        </w:rPr>
      </w:pPr>
      <w:r w:rsidRPr="0049461C">
        <w:rPr>
          <w:rFonts w:ascii="Times New Roman" w:hAnsi="Times New Roman" w:cs="Times New Roman"/>
          <w:noProof/>
          <w:snapToGrid w:val="0"/>
        </w:rPr>
        <w:t xml:space="preserve"> </w:t>
      </w:r>
      <w:r w:rsidRPr="00AB7860">
        <w:rPr>
          <w:rFonts w:ascii="Times New Roman" w:hAnsi="Times New Roman" w:cs="Times New Roman"/>
          <w:noProof/>
          <w:snapToGrid w:val="0"/>
        </w:rPr>
        <w:t>Nesuvartotą vaistinį</w:t>
      </w:r>
      <w:r w:rsidRPr="00B36BCA">
        <w:rPr>
          <w:rFonts w:ascii="Times New Roman" w:hAnsi="Times New Roman" w:cs="Times New Roman"/>
          <w:noProof/>
          <w:snapToGrid w:val="0"/>
        </w:rPr>
        <w:t xml:space="preserve"> preparatą ar atliekas reikia tvarkyti laikantis vietinių reikalavimų.</w:t>
      </w:r>
    </w:p>
    <w:p w14:paraId="1EBA7A37" w14:textId="77777777" w:rsidR="00173803" w:rsidRPr="00AB7860" w:rsidRDefault="00173803" w:rsidP="00173803">
      <w:pPr>
        <w:spacing w:after="0" w:line="240" w:lineRule="auto"/>
        <w:rPr>
          <w:rFonts w:ascii="Times New Roman" w:hAnsi="Times New Roman" w:cs="Times New Roman"/>
          <w:lang w:val="lt-LT"/>
        </w:rPr>
      </w:pPr>
    </w:p>
    <w:p w14:paraId="72EF5224" w14:textId="77777777" w:rsidR="00173803" w:rsidRPr="00AB7860" w:rsidRDefault="00173803" w:rsidP="00173803">
      <w:pPr>
        <w:spacing w:after="0" w:line="240" w:lineRule="auto"/>
        <w:ind w:left="567" w:hanging="567"/>
        <w:rPr>
          <w:rFonts w:ascii="Times New Roman" w:eastAsia="Times New Roman" w:hAnsi="Times New Roman" w:cs="Times New Roman"/>
          <w:b/>
          <w:lang w:val="lt-LT"/>
        </w:rPr>
      </w:pPr>
      <w:bookmarkStart w:id="40" w:name="_Toc129243122"/>
      <w:bookmarkStart w:id="41" w:name="_Toc129243247"/>
      <w:r w:rsidRPr="00AB7860">
        <w:rPr>
          <w:rFonts w:ascii="Times New Roman" w:eastAsia="Times New Roman" w:hAnsi="Times New Roman" w:cs="Times New Roman"/>
          <w:b/>
          <w:lang w:val="lt-LT"/>
        </w:rPr>
        <w:t>7.</w:t>
      </w:r>
      <w:r w:rsidRPr="00AB7860">
        <w:rPr>
          <w:rFonts w:ascii="Times New Roman" w:eastAsia="Times New Roman" w:hAnsi="Times New Roman" w:cs="Times New Roman"/>
          <w:b/>
          <w:lang w:val="lt-LT"/>
        </w:rPr>
        <w:tab/>
        <w:t>REGISTRUOTOJAS</w:t>
      </w:r>
      <w:bookmarkEnd w:id="40"/>
      <w:bookmarkEnd w:id="41"/>
    </w:p>
    <w:p w14:paraId="622F17D3" w14:textId="77777777" w:rsidR="00173803" w:rsidRPr="00AB7860" w:rsidRDefault="00173803" w:rsidP="00173803">
      <w:pPr>
        <w:spacing w:after="0" w:line="240" w:lineRule="auto"/>
        <w:rPr>
          <w:rFonts w:ascii="Times New Roman" w:hAnsi="Times New Roman" w:cs="Times New Roman"/>
          <w:lang w:val="lt-LT"/>
        </w:rPr>
      </w:pPr>
    </w:p>
    <w:p w14:paraId="43B1F77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AS GRINDEKS.</w:t>
      </w:r>
    </w:p>
    <w:p w14:paraId="1D6F1C5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Krustpils iela 53, Rīga, LV-1057, Latvija</w:t>
      </w:r>
    </w:p>
    <w:p w14:paraId="4AA02C5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Tel. +371 67083205</w:t>
      </w:r>
    </w:p>
    <w:p w14:paraId="7DD12E6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Faksas +371 67083505</w:t>
      </w:r>
    </w:p>
    <w:p w14:paraId="5CED7BAE"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lang w:val="lt-LT"/>
        </w:rPr>
        <w:t>El. paštas grindeks@grindeks.lv</w:t>
      </w:r>
    </w:p>
    <w:p w14:paraId="1DAEBBD2" w14:textId="77777777" w:rsidR="00173803" w:rsidRPr="00AB7860" w:rsidRDefault="00173803" w:rsidP="00173803">
      <w:pPr>
        <w:spacing w:after="0" w:line="240" w:lineRule="auto"/>
        <w:ind w:left="567" w:hanging="567"/>
        <w:rPr>
          <w:rFonts w:ascii="Times New Roman" w:hAnsi="Times New Roman" w:cs="Times New Roman"/>
          <w:b/>
          <w:lang w:val="lt-LT"/>
        </w:rPr>
      </w:pPr>
    </w:p>
    <w:p w14:paraId="5368398F" w14:textId="77777777" w:rsidR="00173803" w:rsidRPr="00AB7860" w:rsidRDefault="00173803" w:rsidP="00173803">
      <w:pPr>
        <w:spacing w:after="0" w:line="240" w:lineRule="auto"/>
        <w:ind w:left="567" w:hanging="567"/>
        <w:rPr>
          <w:rFonts w:ascii="Times New Roman" w:hAnsi="Times New Roman" w:cs="Times New Roman"/>
          <w:b/>
          <w:lang w:val="lt-LT"/>
        </w:rPr>
      </w:pPr>
    </w:p>
    <w:p w14:paraId="60750DB8"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8.</w:t>
      </w:r>
      <w:r w:rsidRPr="00AB7860">
        <w:rPr>
          <w:rFonts w:ascii="Times New Roman" w:hAnsi="Times New Roman" w:cs="Times New Roman"/>
          <w:b/>
          <w:lang w:val="lt-LT"/>
        </w:rPr>
        <w:tab/>
      </w:r>
      <w:r w:rsidRPr="00AB7860">
        <w:rPr>
          <w:rFonts w:ascii="Times New Roman" w:eastAsia="Times New Roman" w:hAnsi="Times New Roman" w:cs="Times New Roman"/>
          <w:b/>
          <w:lang w:val="lt-LT"/>
        </w:rPr>
        <w:t>REGISTRACIJOS</w:t>
      </w:r>
      <w:r w:rsidRPr="00AB7860">
        <w:rPr>
          <w:rFonts w:ascii="Times New Roman" w:hAnsi="Times New Roman" w:cs="Times New Roman"/>
          <w:b/>
          <w:lang w:val="lt-LT"/>
        </w:rPr>
        <w:t xml:space="preserve"> PAŽYMĖJIMO NUMERIS (-IAI)</w:t>
      </w:r>
    </w:p>
    <w:p w14:paraId="059C45D5" w14:textId="77777777" w:rsidR="00173803" w:rsidRPr="00AB7860" w:rsidRDefault="00173803" w:rsidP="00173803">
      <w:pPr>
        <w:spacing w:after="0" w:line="240" w:lineRule="auto"/>
        <w:rPr>
          <w:rFonts w:ascii="Times New Roman" w:hAnsi="Times New Roman" w:cs="Times New Roman"/>
          <w:lang w:val="lt-LT"/>
        </w:rPr>
      </w:pPr>
    </w:p>
    <w:p w14:paraId="572FA4C4" w14:textId="27804215"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LT/1/13/3421/001</w:t>
      </w:r>
      <w:r w:rsidR="008257B1" w:rsidRPr="00AB7860">
        <w:rPr>
          <w:rFonts w:ascii="Times New Roman" w:hAnsi="Times New Roman" w:cs="Times New Roman"/>
          <w:lang w:val="lt-LT"/>
        </w:rPr>
        <w:t xml:space="preserve"> –</w:t>
      </w:r>
      <w:r w:rsidR="008257B1" w:rsidRPr="008257B1">
        <w:rPr>
          <w:rFonts w:ascii="Times New Roman" w:hAnsi="Times New Roman" w:cs="Times New Roman"/>
          <w:lang w:val="lt-LT"/>
        </w:rPr>
        <w:t xml:space="preserve"> </w:t>
      </w:r>
      <w:r w:rsidR="008257B1" w:rsidRPr="00AB7860">
        <w:rPr>
          <w:rFonts w:ascii="Times New Roman" w:hAnsi="Times New Roman" w:cs="Times New Roman"/>
          <w:lang w:val="lt-LT"/>
        </w:rPr>
        <w:t>N60</w:t>
      </w:r>
    </w:p>
    <w:p w14:paraId="59D0C95F" w14:textId="70FED826"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LT/1/13/3421/002</w:t>
      </w:r>
      <w:r w:rsidR="008257B1" w:rsidRPr="00AB7860">
        <w:rPr>
          <w:rFonts w:ascii="Times New Roman" w:hAnsi="Times New Roman" w:cs="Times New Roman"/>
          <w:lang w:val="lt-LT"/>
        </w:rPr>
        <w:t xml:space="preserve"> –</w:t>
      </w:r>
      <w:r w:rsidR="008257B1" w:rsidRPr="008257B1">
        <w:rPr>
          <w:rFonts w:ascii="Times New Roman" w:hAnsi="Times New Roman" w:cs="Times New Roman"/>
          <w:lang w:val="lt-LT"/>
        </w:rPr>
        <w:t xml:space="preserve"> </w:t>
      </w:r>
      <w:r w:rsidR="008257B1" w:rsidRPr="00AB7860">
        <w:rPr>
          <w:rFonts w:ascii="Times New Roman" w:hAnsi="Times New Roman" w:cs="Times New Roman"/>
          <w:lang w:val="lt-LT"/>
        </w:rPr>
        <w:t>N120</w:t>
      </w:r>
    </w:p>
    <w:p w14:paraId="39CA1701" w14:textId="77777777" w:rsidR="00173803" w:rsidRPr="00AB7860" w:rsidRDefault="00173803" w:rsidP="00173803">
      <w:pPr>
        <w:spacing w:after="0" w:line="240" w:lineRule="auto"/>
        <w:rPr>
          <w:rFonts w:ascii="Times New Roman" w:hAnsi="Times New Roman" w:cs="Times New Roman"/>
          <w:lang w:val="lt-LT"/>
        </w:rPr>
      </w:pPr>
    </w:p>
    <w:p w14:paraId="18E164DF" w14:textId="77777777" w:rsidR="00173803" w:rsidRPr="00AB7860" w:rsidRDefault="00173803" w:rsidP="00173803">
      <w:pPr>
        <w:spacing w:after="0" w:line="240" w:lineRule="auto"/>
        <w:rPr>
          <w:rFonts w:ascii="Times New Roman" w:hAnsi="Times New Roman" w:cs="Times New Roman"/>
          <w:lang w:val="lt-LT"/>
        </w:rPr>
      </w:pPr>
    </w:p>
    <w:p w14:paraId="19E77AE2"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9.</w:t>
      </w:r>
      <w:r w:rsidRPr="00AB7860">
        <w:rPr>
          <w:rFonts w:ascii="Times New Roman" w:hAnsi="Times New Roman" w:cs="Times New Roman"/>
          <w:b/>
          <w:lang w:val="lt-LT"/>
        </w:rPr>
        <w:tab/>
      </w:r>
      <w:r w:rsidRPr="00AB7860">
        <w:rPr>
          <w:rFonts w:ascii="Times New Roman" w:eastAsia="Times New Roman" w:hAnsi="Times New Roman" w:cs="Times New Roman"/>
          <w:b/>
          <w:lang w:val="lt-LT"/>
        </w:rPr>
        <w:t>REGISTRAVIMO/PERREGISTRAVIMO</w:t>
      </w:r>
      <w:r w:rsidRPr="00AB7860">
        <w:rPr>
          <w:rFonts w:ascii="Times New Roman" w:hAnsi="Times New Roman" w:cs="Times New Roman"/>
          <w:b/>
          <w:lang w:val="lt-LT"/>
        </w:rPr>
        <w:t xml:space="preserve"> DATA</w:t>
      </w:r>
    </w:p>
    <w:p w14:paraId="6061E899" w14:textId="77777777" w:rsidR="00173803" w:rsidRPr="00AB7860" w:rsidRDefault="00173803" w:rsidP="00173803">
      <w:pPr>
        <w:spacing w:after="0" w:line="240" w:lineRule="auto"/>
        <w:rPr>
          <w:rFonts w:ascii="Times New Roman" w:hAnsi="Times New Roman" w:cs="Times New Roman"/>
          <w:lang w:val="lt-LT"/>
        </w:rPr>
      </w:pPr>
    </w:p>
    <w:p w14:paraId="27250DC6" w14:textId="77777777" w:rsidR="00173803" w:rsidRPr="00AB7860" w:rsidRDefault="00173803" w:rsidP="00173803">
      <w:pPr>
        <w:spacing w:after="0" w:line="240" w:lineRule="auto"/>
        <w:rPr>
          <w:rFonts w:ascii="Times New Roman" w:hAnsi="Times New Roman" w:cs="Times New Roman"/>
          <w:lang w:val="lt-LT"/>
        </w:rPr>
      </w:pPr>
      <w:r w:rsidRPr="00D6313B">
        <w:rPr>
          <w:rFonts w:ascii="Times New Roman" w:hAnsi="Times New Roman" w:cs="Times New Roman"/>
          <w:noProof/>
          <w:snapToGrid w:val="0"/>
          <w:lang w:val="lt-LT"/>
        </w:rPr>
        <w:t xml:space="preserve">Registravimo data </w:t>
      </w:r>
      <w:r w:rsidRPr="00AB7860">
        <w:rPr>
          <w:rFonts w:ascii="Times New Roman" w:hAnsi="Times New Roman" w:cs="Times New Roman"/>
          <w:lang w:val="lt-LT"/>
        </w:rPr>
        <w:t>2013 m. spalio 31 d.</w:t>
      </w:r>
    </w:p>
    <w:p w14:paraId="5E49E59B" w14:textId="77777777" w:rsidR="00BE743C" w:rsidRPr="00BE743C" w:rsidRDefault="00BE743C" w:rsidP="00BE743C">
      <w:pPr>
        <w:spacing w:after="0" w:line="240" w:lineRule="auto"/>
        <w:rPr>
          <w:rFonts w:ascii="Times New Roman" w:hAnsi="Times New Roman" w:cs="Times New Roman"/>
        </w:rPr>
      </w:pPr>
      <w:r w:rsidRPr="00BE743C">
        <w:rPr>
          <w:rFonts w:ascii="Times New Roman" w:hAnsi="Times New Roman" w:cs="Times New Roman"/>
        </w:rPr>
        <w:t>Paskutinio perregistravimo data 2022 m. gegužės 25 d.</w:t>
      </w:r>
    </w:p>
    <w:p w14:paraId="538E36C0" w14:textId="77777777" w:rsidR="00173803" w:rsidRPr="00BE743C" w:rsidRDefault="00173803" w:rsidP="00173803">
      <w:pPr>
        <w:spacing w:after="0" w:line="240" w:lineRule="auto"/>
        <w:rPr>
          <w:rFonts w:ascii="Times New Roman" w:hAnsi="Times New Roman" w:cs="Times New Roman"/>
        </w:rPr>
      </w:pPr>
    </w:p>
    <w:p w14:paraId="11D74B14" w14:textId="77777777" w:rsidR="00173803" w:rsidRPr="00AB7860" w:rsidRDefault="00173803" w:rsidP="00173803">
      <w:pPr>
        <w:spacing w:after="0" w:line="240" w:lineRule="auto"/>
        <w:rPr>
          <w:rFonts w:ascii="Times New Roman" w:hAnsi="Times New Roman" w:cs="Times New Roman"/>
          <w:lang w:val="lt-LT"/>
        </w:rPr>
      </w:pPr>
    </w:p>
    <w:p w14:paraId="0B680441"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t>10.</w:t>
      </w:r>
      <w:r w:rsidRPr="00AB7860">
        <w:rPr>
          <w:rFonts w:ascii="Times New Roman" w:hAnsi="Times New Roman" w:cs="Times New Roman"/>
          <w:b/>
          <w:lang w:val="lt-LT"/>
        </w:rPr>
        <w:tab/>
        <w:t>TEKSTO PERŽIŪROS DATA</w:t>
      </w:r>
    </w:p>
    <w:p w14:paraId="3077D7C1" w14:textId="77777777" w:rsidR="00173803" w:rsidRPr="00AB7860" w:rsidRDefault="00173803" w:rsidP="00173803">
      <w:pPr>
        <w:spacing w:after="0" w:line="240" w:lineRule="auto"/>
        <w:rPr>
          <w:rFonts w:ascii="Times New Roman" w:eastAsia="Times New Roman" w:hAnsi="Times New Roman" w:cs="Times New Roman"/>
          <w:lang w:val="lt-LT"/>
        </w:rPr>
      </w:pPr>
    </w:p>
    <w:p w14:paraId="009CCC0D" w14:textId="1F545B95" w:rsidR="008E647B" w:rsidRPr="00AB7860" w:rsidRDefault="006F1673" w:rsidP="00173803">
      <w:pPr>
        <w:spacing w:after="0" w:line="240" w:lineRule="auto"/>
        <w:rPr>
          <w:rFonts w:ascii="Times New Roman" w:hAnsi="Times New Roman" w:cs="Times New Roman"/>
          <w:lang w:val="lt-LT"/>
        </w:rPr>
      </w:pPr>
      <w:r>
        <w:rPr>
          <w:rFonts w:ascii="Times New Roman" w:hAnsi="Times New Roman" w:cs="Times New Roman"/>
          <w:lang w:val="lt-LT"/>
        </w:rPr>
        <w:t>2023 m. sausio 5 d.</w:t>
      </w:r>
    </w:p>
    <w:p w14:paraId="1A4CC666" w14:textId="77777777" w:rsidR="00173803" w:rsidRPr="00AB7860" w:rsidRDefault="00173803" w:rsidP="00173803">
      <w:pPr>
        <w:spacing w:after="0" w:line="240" w:lineRule="auto"/>
        <w:rPr>
          <w:rFonts w:ascii="Times New Roman" w:hAnsi="Times New Roman" w:cs="Times New Roman"/>
          <w:lang w:val="lt-LT"/>
        </w:rPr>
      </w:pPr>
    </w:p>
    <w:p w14:paraId="0E63E8F6" w14:textId="77777777" w:rsidR="00173803" w:rsidRPr="00AB7860" w:rsidRDefault="00173803" w:rsidP="00173803">
      <w:pPr>
        <w:tabs>
          <w:tab w:val="left" w:pos="5954"/>
          <w:tab w:val="left" w:pos="6237"/>
          <w:tab w:val="left" w:pos="6663"/>
          <w:tab w:val="left" w:pos="6946"/>
        </w:tabs>
        <w:spacing w:after="0" w:line="240" w:lineRule="auto"/>
        <w:rPr>
          <w:rFonts w:ascii="Times New Roman" w:hAnsi="Times New Roman" w:cs="Times New Roman"/>
          <w:lang w:val="lt-LT"/>
        </w:rPr>
      </w:pPr>
      <w:r w:rsidRPr="00AB7860">
        <w:rPr>
          <w:rFonts w:ascii="Times New Roman" w:eastAsia="Calibri" w:hAnsi="Times New Roman" w:cs="Times New Roman"/>
          <w:lang w:val="lt-LT"/>
        </w:rPr>
        <w:t>Išsami informacija apie šį vaistinį preparatą pateikiama Valstybinės vaistų kontrolės tarnybos prie Lietuvos Respublikos sveikatos apsaugos ministerijos tinklalapyje</w:t>
      </w:r>
      <w:r w:rsidRPr="00AB7860">
        <w:rPr>
          <w:rFonts w:ascii="Times New Roman" w:eastAsia="Calibri" w:hAnsi="Times New Roman" w:cs="Times New Roman"/>
          <w:i/>
          <w:lang w:val="lt-LT"/>
        </w:rPr>
        <w:t xml:space="preserve"> </w:t>
      </w:r>
      <w:hyperlink r:id="rId15" w:history="1">
        <w:r w:rsidRPr="00AB7860">
          <w:rPr>
            <w:rFonts w:ascii="Times New Roman" w:hAnsi="Times New Roman" w:cs="Times New Roman"/>
            <w:lang w:val="lt-LT"/>
          </w:rPr>
          <w:t>http://www.vvkt.lt</w:t>
        </w:r>
      </w:hyperlink>
    </w:p>
    <w:p w14:paraId="29ECE34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bookmarkStart w:id="42" w:name="_Toc129243128"/>
      <w:bookmarkStart w:id="43" w:name="_Toc129243253"/>
      <w:bookmarkEnd w:id="4"/>
      <w:bookmarkEnd w:id="5"/>
    </w:p>
    <w:p w14:paraId="7FD8A619"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568FA3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753EC38"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0999EAD3"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70D26941"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31CE330"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6449CF4"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146016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5B182B2"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5EFC72D"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2AB8BB0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0BEBBF6E"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6E1BA82A"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60F3EDB"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01EB2B1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35E1729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24F5E526"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0864A891"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18A37A46"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5296A0BA"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7A0DC7A"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1373D83"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F3FBAE8"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AF23AE8"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9CAD463"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542A86A"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5943CB2A"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18D5F03D"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26E0FCD"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3611BCB" w14:textId="77777777" w:rsidR="00BA7D11" w:rsidRPr="00AB7860" w:rsidRDefault="00BA7D11" w:rsidP="00173803">
      <w:pPr>
        <w:tabs>
          <w:tab w:val="left" w:pos="567"/>
        </w:tabs>
        <w:spacing w:after="0" w:line="240" w:lineRule="auto"/>
        <w:ind w:left="567" w:hanging="567"/>
        <w:jc w:val="center"/>
        <w:outlineLvl w:val="0"/>
        <w:rPr>
          <w:rFonts w:ascii="Times New Roman" w:hAnsi="Times New Roman" w:cs="Times New Roman"/>
          <w:b/>
          <w:caps/>
          <w:lang w:val="lt-LT"/>
        </w:rPr>
      </w:pPr>
    </w:p>
    <w:p w14:paraId="123C6D57"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0989F0F7"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FA95AFD"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2E078328"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29138786"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9212664"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442B55BE"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0868CAE0"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098AA7B2"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43750503"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CF09B60"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1FF9E30"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89688BA"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507A4256"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848FA1D"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5AD4ACDF"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0427790C"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45F41806"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051BDBC9"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4B1DB131"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52E71B7"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F132AA9"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BB79195"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D24D097"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166524C"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F812570"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2BCA46A8"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096DB9B8"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64ED9289"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7CA5A9B6" w14:textId="77777777" w:rsidR="00A93DDE" w:rsidRDefault="00A93DDE" w:rsidP="00173803">
      <w:pPr>
        <w:tabs>
          <w:tab w:val="left" w:pos="567"/>
        </w:tabs>
        <w:spacing w:after="0" w:line="240" w:lineRule="auto"/>
        <w:ind w:left="567" w:hanging="567"/>
        <w:jc w:val="center"/>
        <w:outlineLvl w:val="0"/>
        <w:rPr>
          <w:rFonts w:ascii="Times New Roman" w:hAnsi="Times New Roman" w:cs="Times New Roman"/>
          <w:b/>
          <w:caps/>
          <w:lang w:val="lt-LT"/>
        </w:rPr>
      </w:pPr>
    </w:p>
    <w:p w14:paraId="33D8D8A5" w14:textId="091B7008"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hAnsi="Times New Roman" w:cs="Times New Roman"/>
          <w:b/>
          <w:caps/>
          <w:lang w:val="lt-LT"/>
        </w:rPr>
        <w:t>II PRIEDAS</w:t>
      </w:r>
      <w:bookmarkEnd w:id="42"/>
      <w:bookmarkEnd w:id="43"/>
    </w:p>
    <w:p w14:paraId="20FC07F6"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7FCA2FE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eastAsia="Times New Roman" w:hAnsi="Times New Roman" w:cs="Times New Roman"/>
          <w:b/>
          <w:caps/>
          <w:lang w:val="lt-LT"/>
        </w:rPr>
        <w:t>REGISTRACIJOS</w:t>
      </w:r>
      <w:r w:rsidRPr="00AB7860">
        <w:rPr>
          <w:rFonts w:ascii="Times New Roman" w:hAnsi="Times New Roman" w:cs="Times New Roman"/>
          <w:b/>
          <w:caps/>
          <w:lang w:val="lt-LT"/>
        </w:rPr>
        <w:t xml:space="preserve"> SĄLYGOS</w:t>
      </w:r>
    </w:p>
    <w:p w14:paraId="0A9D5C7C" w14:textId="77777777" w:rsidR="00173803" w:rsidRPr="00AB7860" w:rsidRDefault="00173803" w:rsidP="00173803">
      <w:pPr>
        <w:spacing w:after="0" w:line="240" w:lineRule="auto"/>
        <w:rPr>
          <w:rFonts w:ascii="Times New Roman" w:hAnsi="Times New Roman" w:cs="Times New Roman"/>
          <w:lang w:val="lt-LT"/>
        </w:rPr>
      </w:pPr>
    </w:p>
    <w:p w14:paraId="51F1BC50"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A.</w:t>
      </w:r>
      <w:r w:rsidRPr="00AB7860">
        <w:rPr>
          <w:rFonts w:ascii="Times New Roman" w:hAnsi="Times New Roman" w:cs="Times New Roman"/>
          <w:lang w:val="lt-LT"/>
        </w:rPr>
        <w:tab/>
      </w:r>
      <w:r w:rsidRPr="00AB7860">
        <w:rPr>
          <w:rFonts w:ascii="Times New Roman" w:hAnsi="Times New Roman" w:cs="Times New Roman"/>
          <w:b/>
          <w:lang w:val="lt-LT"/>
        </w:rPr>
        <w:t>GAMINTOJAS (-AI), ATSAKINGAS (-I) UŽ SERIJŲ IŠLEIDIMĄ</w:t>
      </w:r>
    </w:p>
    <w:p w14:paraId="41D23CE7" w14:textId="77777777" w:rsidR="00173803" w:rsidRPr="00AB7860" w:rsidRDefault="00173803" w:rsidP="00173803">
      <w:pPr>
        <w:spacing w:after="0" w:line="240" w:lineRule="auto"/>
        <w:rPr>
          <w:rFonts w:ascii="Times New Roman" w:hAnsi="Times New Roman" w:cs="Times New Roman"/>
          <w:lang w:val="lt-LT"/>
        </w:rPr>
      </w:pPr>
    </w:p>
    <w:p w14:paraId="39773CB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b/>
          <w:lang w:val="lt-LT"/>
        </w:rPr>
        <w:t>B.</w:t>
      </w:r>
      <w:r w:rsidRPr="00AB7860">
        <w:rPr>
          <w:rFonts w:ascii="Times New Roman" w:hAnsi="Times New Roman" w:cs="Times New Roman"/>
          <w:b/>
          <w:lang w:val="lt-LT"/>
        </w:rPr>
        <w:tab/>
        <w:t>TIEKIMO IR VARTOJIMO SĄLYGOS AR APRIBOJIMAI</w:t>
      </w:r>
    </w:p>
    <w:p w14:paraId="2E61074E" w14:textId="77777777" w:rsidR="00173803" w:rsidRPr="00AB7860" w:rsidRDefault="00173803" w:rsidP="00173803">
      <w:pPr>
        <w:spacing w:after="0" w:line="240" w:lineRule="auto"/>
        <w:rPr>
          <w:rFonts w:ascii="Times New Roman" w:hAnsi="Times New Roman" w:cs="Times New Roman"/>
          <w:lang w:val="lt-LT"/>
        </w:rPr>
      </w:pPr>
    </w:p>
    <w:p w14:paraId="5B621878" w14:textId="77777777" w:rsidR="00173803" w:rsidRPr="00AB7860" w:rsidRDefault="00173803" w:rsidP="00173803">
      <w:pPr>
        <w:spacing w:after="0" w:line="240" w:lineRule="auto"/>
        <w:rPr>
          <w:rFonts w:ascii="Times New Roman" w:hAnsi="Times New Roman" w:cs="Times New Roman"/>
          <w:highlight w:val="yellow"/>
          <w:lang w:val="lt-LT"/>
        </w:rPr>
      </w:pPr>
    </w:p>
    <w:p w14:paraId="5D51AB54" w14:textId="77777777" w:rsidR="00173803" w:rsidRPr="00AB7860" w:rsidRDefault="00173803" w:rsidP="00173803">
      <w:pPr>
        <w:spacing w:after="0" w:line="240" w:lineRule="auto"/>
        <w:ind w:left="567" w:hanging="567"/>
        <w:rPr>
          <w:rFonts w:ascii="Times New Roman" w:hAnsi="Times New Roman" w:cs="Times New Roman"/>
          <w:b/>
          <w:lang w:val="lt-LT"/>
        </w:rPr>
      </w:pPr>
      <w:r w:rsidRPr="00AB7860">
        <w:rPr>
          <w:rFonts w:ascii="Times New Roman" w:hAnsi="Times New Roman" w:cs="Times New Roman"/>
          <w:b/>
          <w:lang w:val="lt-LT"/>
        </w:rPr>
        <w:br w:type="page"/>
      </w:r>
      <w:r w:rsidRPr="00AB7860">
        <w:rPr>
          <w:rFonts w:ascii="Times New Roman" w:hAnsi="Times New Roman" w:cs="Times New Roman"/>
          <w:b/>
          <w:lang w:val="lt-LT"/>
        </w:rPr>
        <w:lastRenderedPageBreak/>
        <w:t>A.</w:t>
      </w:r>
      <w:r w:rsidRPr="00AB7860">
        <w:rPr>
          <w:rFonts w:ascii="Times New Roman" w:hAnsi="Times New Roman" w:cs="Times New Roman"/>
          <w:b/>
          <w:lang w:val="lt-LT"/>
        </w:rPr>
        <w:tab/>
        <w:t>GAMINTOJAS (-AI), ATSAKINGAS (-I) UŽ SERIJŲ IŠLEIDIMĄ</w:t>
      </w:r>
    </w:p>
    <w:p w14:paraId="21269966" w14:textId="77777777" w:rsidR="00173803" w:rsidRPr="00AB7860" w:rsidRDefault="00173803" w:rsidP="00173803">
      <w:pPr>
        <w:spacing w:after="0" w:line="240" w:lineRule="auto"/>
        <w:rPr>
          <w:rFonts w:ascii="Times New Roman" w:hAnsi="Times New Roman" w:cs="Times New Roman"/>
          <w:highlight w:val="yellow"/>
          <w:lang w:val="lt-LT"/>
        </w:rPr>
      </w:pPr>
    </w:p>
    <w:p w14:paraId="60D7966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u w:val="single"/>
          <w:lang w:val="lt-LT"/>
        </w:rPr>
        <w:t>Gamintojo (-ų), atsakingo (-ų) už serijų išleidimą, pavadinimas (-ai) ir adresas (-ai)</w:t>
      </w:r>
    </w:p>
    <w:p w14:paraId="49B1B7AC" w14:textId="77777777" w:rsidR="00173803" w:rsidRPr="00AB7860" w:rsidRDefault="00173803" w:rsidP="00173803">
      <w:pPr>
        <w:spacing w:after="0" w:line="240" w:lineRule="auto"/>
        <w:rPr>
          <w:rFonts w:ascii="Times New Roman" w:hAnsi="Times New Roman" w:cs="Times New Roman"/>
          <w:lang w:val="lt-LT"/>
        </w:rPr>
      </w:pPr>
    </w:p>
    <w:p w14:paraId="41E01B8C"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AS GRINDEKS.</w:t>
      </w:r>
    </w:p>
    <w:p w14:paraId="4D8DB070"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Krustpils iela 53, Rīga, LV-1057, Latvija</w:t>
      </w:r>
    </w:p>
    <w:p w14:paraId="6C82FD90" w14:textId="77777777" w:rsidR="00173803" w:rsidRPr="00AB7860" w:rsidRDefault="00173803" w:rsidP="00173803">
      <w:pPr>
        <w:spacing w:after="0" w:line="240" w:lineRule="auto"/>
        <w:rPr>
          <w:rFonts w:ascii="Times New Roman" w:hAnsi="Times New Roman" w:cs="Times New Roman"/>
          <w:highlight w:val="yellow"/>
          <w:lang w:val="lt-LT"/>
        </w:rPr>
      </w:pPr>
    </w:p>
    <w:p w14:paraId="784663D0" w14:textId="77777777" w:rsidR="00173803" w:rsidRPr="00AB7860" w:rsidRDefault="00173803" w:rsidP="00173803">
      <w:pPr>
        <w:spacing w:after="0" w:line="240" w:lineRule="auto"/>
        <w:rPr>
          <w:rFonts w:ascii="Times New Roman" w:hAnsi="Times New Roman" w:cs="Times New Roman"/>
          <w:highlight w:val="yellow"/>
          <w:lang w:val="lt-LT"/>
        </w:rPr>
      </w:pPr>
    </w:p>
    <w:p w14:paraId="3F702610" w14:textId="77777777" w:rsidR="00173803" w:rsidRPr="00AB7860" w:rsidRDefault="00173803" w:rsidP="00173803">
      <w:pPr>
        <w:tabs>
          <w:tab w:val="left" w:pos="567"/>
          <w:tab w:val="center" w:pos="4819"/>
          <w:tab w:val="right" w:pos="9071"/>
        </w:tabs>
        <w:spacing w:after="0" w:line="240" w:lineRule="auto"/>
        <w:rPr>
          <w:rFonts w:ascii="Times New Roman" w:hAnsi="Times New Roman" w:cs="Times New Roman"/>
          <w:b/>
          <w:lang w:val="lt-LT"/>
        </w:rPr>
      </w:pPr>
      <w:bookmarkStart w:id="44" w:name="_Toc129243129"/>
      <w:bookmarkStart w:id="45" w:name="_Toc129243254"/>
      <w:r w:rsidRPr="00AB7860">
        <w:rPr>
          <w:rFonts w:ascii="Times New Roman" w:hAnsi="Times New Roman" w:cs="Times New Roman"/>
          <w:b/>
          <w:lang w:val="lt-LT"/>
        </w:rPr>
        <w:t>B.</w:t>
      </w:r>
      <w:r w:rsidRPr="00AB7860">
        <w:rPr>
          <w:rFonts w:ascii="Times New Roman" w:hAnsi="Times New Roman" w:cs="Times New Roman"/>
          <w:b/>
          <w:lang w:val="lt-LT"/>
        </w:rPr>
        <w:tab/>
        <w:t xml:space="preserve">TIEKIMO IR VARTOJIMO SĄLYGOS AR APRIBOJIMAI </w:t>
      </w:r>
      <w:bookmarkEnd w:id="44"/>
      <w:bookmarkEnd w:id="45"/>
    </w:p>
    <w:p w14:paraId="4C710542" w14:textId="77777777" w:rsidR="00173803" w:rsidRPr="00AB7860" w:rsidRDefault="00173803" w:rsidP="00173803">
      <w:pPr>
        <w:spacing w:after="0" w:line="240" w:lineRule="auto"/>
        <w:rPr>
          <w:rFonts w:ascii="Times New Roman" w:hAnsi="Times New Roman" w:cs="Times New Roman"/>
          <w:lang w:val="lt-LT"/>
        </w:rPr>
      </w:pPr>
    </w:p>
    <w:p w14:paraId="26E39FD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Receptinis vaistinis preparatas.</w:t>
      </w:r>
    </w:p>
    <w:p w14:paraId="05773C3F" w14:textId="77777777" w:rsidR="00173803" w:rsidRPr="00AB7860" w:rsidRDefault="00173803" w:rsidP="00173803">
      <w:pPr>
        <w:spacing w:after="0" w:line="240" w:lineRule="auto"/>
        <w:rPr>
          <w:rFonts w:ascii="Times New Roman" w:hAnsi="Times New Roman" w:cs="Times New Roman"/>
          <w:highlight w:val="yellow"/>
          <w:lang w:val="lt-LT"/>
        </w:rPr>
      </w:pPr>
    </w:p>
    <w:p w14:paraId="4A4EE12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br w:type="page"/>
      </w:r>
    </w:p>
    <w:p w14:paraId="4F206BB6" w14:textId="77777777" w:rsidR="00173803" w:rsidRPr="00AB7860" w:rsidRDefault="00173803" w:rsidP="00173803">
      <w:pPr>
        <w:spacing w:after="0" w:line="240" w:lineRule="auto"/>
        <w:rPr>
          <w:rFonts w:ascii="Times New Roman" w:hAnsi="Times New Roman" w:cs="Times New Roman"/>
          <w:lang w:val="lt-LT"/>
        </w:rPr>
      </w:pPr>
    </w:p>
    <w:p w14:paraId="29D0F717" w14:textId="77777777" w:rsidR="00173803" w:rsidRPr="00AB7860" w:rsidRDefault="00173803" w:rsidP="00173803">
      <w:pPr>
        <w:spacing w:after="0" w:line="240" w:lineRule="auto"/>
        <w:rPr>
          <w:rFonts w:ascii="Times New Roman" w:hAnsi="Times New Roman" w:cs="Times New Roman"/>
          <w:lang w:val="lt-LT"/>
        </w:rPr>
      </w:pPr>
    </w:p>
    <w:p w14:paraId="50A3FC41" w14:textId="77777777" w:rsidR="00173803" w:rsidRPr="00AB7860" w:rsidRDefault="00173803" w:rsidP="00173803">
      <w:pPr>
        <w:spacing w:after="0" w:line="240" w:lineRule="auto"/>
        <w:rPr>
          <w:rFonts w:ascii="Times New Roman" w:hAnsi="Times New Roman" w:cs="Times New Roman"/>
          <w:lang w:val="lt-LT"/>
        </w:rPr>
      </w:pPr>
    </w:p>
    <w:p w14:paraId="3E112DB8" w14:textId="77777777" w:rsidR="00173803" w:rsidRPr="00AB7860" w:rsidRDefault="00173803" w:rsidP="00173803">
      <w:pPr>
        <w:spacing w:after="0" w:line="240" w:lineRule="auto"/>
        <w:rPr>
          <w:rFonts w:ascii="Times New Roman" w:hAnsi="Times New Roman" w:cs="Times New Roman"/>
          <w:lang w:val="lt-LT"/>
        </w:rPr>
      </w:pPr>
    </w:p>
    <w:p w14:paraId="3413B919" w14:textId="77777777" w:rsidR="00173803" w:rsidRPr="00AB7860" w:rsidRDefault="00173803" w:rsidP="00173803">
      <w:pPr>
        <w:spacing w:after="0" w:line="240" w:lineRule="auto"/>
        <w:rPr>
          <w:rFonts w:ascii="Times New Roman" w:hAnsi="Times New Roman" w:cs="Times New Roman"/>
          <w:lang w:val="lt-LT"/>
        </w:rPr>
      </w:pPr>
    </w:p>
    <w:p w14:paraId="73B0B1F8" w14:textId="77777777" w:rsidR="00173803" w:rsidRPr="00AB7860" w:rsidRDefault="00173803" w:rsidP="00173803">
      <w:pPr>
        <w:spacing w:after="0" w:line="240" w:lineRule="auto"/>
        <w:rPr>
          <w:rFonts w:ascii="Times New Roman" w:hAnsi="Times New Roman" w:cs="Times New Roman"/>
          <w:lang w:val="lt-LT"/>
        </w:rPr>
      </w:pPr>
    </w:p>
    <w:p w14:paraId="5CA878A5" w14:textId="77777777" w:rsidR="00173803" w:rsidRPr="00AB7860" w:rsidRDefault="00173803" w:rsidP="00173803">
      <w:pPr>
        <w:spacing w:after="0" w:line="240" w:lineRule="auto"/>
        <w:rPr>
          <w:rFonts w:ascii="Times New Roman" w:hAnsi="Times New Roman" w:cs="Times New Roman"/>
          <w:lang w:val="lt-LT"/>
        </w:rPr>
      </w:pPr>
    </w:p>
    <w:p w14:paraId="46292E07" w14:textId="77777777" w:rsidR="00173803" w:rsidRPr="00AB7860" w:rsidRDefault="00173803" w:rsidP="00173803">
      <w:pPr>
        <w:spacing w:after="0" w:line="240" w:lineRule="auto"/>
        <w:rPr>
          <w:rFonts w:ascii="Times New Roman" w:hAnsi="Times New Roman" w:cs="Times New Roman"/>
          <w:lang w:val="lt-LT"/>
        </w:rPr>
      </w:pPr>
    </w:p>
    <w:p w14:paraId="34D7A573" w14:textId="77777777" w:rsidR="00173803" w:rsidRPr="00AB7860" w:rsidRDefault="00173803" w:rsidP="00173803">
      <w:pPr>
        <w:spacing w:after="0" w:line="240" w:lineRule="auto"/>
        <w:rPr>
          <w:rFonts w:ascii="Times New Roman" w:hAnsi="Times New Roman" w:cs="Times New Roman"/>
          <w:lang w:val="lt-LT"/>
        </w:rPr>
      </w:pPr>
    </w:p>
    <w:p w14:paraId="4FF2FDA0" w14:textId="77777777" w:rsidR="00173803" w:rsidRPr="00AB7860" w:rsidRDefault="00173803" w:rsidP="00173803">
      <w:pPr>
        <w:spacing w:after="0" w:line="240" w:lineRule="auto"/>
        <w:rPr>
          <w:rFonts w:ascii="Times New Roman" w:hAnsi="Times New Roman" w:cs="Times New Roman"/>
          <w:lang w:val="lt-LT"/>
        </w:rPr>
      </w:pPr>
    </w:p>
    <w:p w14:paraId="37F8BC97" w14:textId="77777777" w:rsidR="00173803" w:rsidRPr="00AB7860" w:rsidRDefault="00173803" w:rsidP="00173803">
      <w:pPr>
        <w:spacing w:after="0" w:line="240" w:lineRule="auto"/>
        <w:rPr>
          <w:rFonts w:ascii="Times New Roman" w:hAnsi="Times New Roman" w:cs="Times New Roman"/>
          <w:lang w:val="lt-LT"/>
        </w:rPr>
      </w:pPr>
    </w:p>
    <w:p w14:paraId="5C67C20C" w14:textId="77777777" w:rsidR="00173803" w:rsidRPr="00AB7860" w:rsidRDefault="00173803" w:rsidP="00173803">
      <w:pPr>
        <w:spacing w:after="0" w:line="240" w:lineRule="auto"/>
        <w:rPr>
          <w:rFonts w:ascii="Times New Roman" w:hAnsi="Times New Roman" w:cs="Times New Roman"/>
          <w:lang w:val="lt-LT"/>
        </w:rPr>
      </w:pPr>
    </w:p>
    <w:p w14:paraId="138C345B" w14:textId="77777777" w:rsidR="00173803" w:rsidRPr="00AB7860" w:rsidRDefault="00173803" w:rsidP="00173803">
      <w:pPr>
        <w:spacing w:after="0" w:line="240" w:lineRule="auto"/>
        <w:rPr>
          <w:rFonts w:ascii="Times New Roman" w:hAnsi="Times New Roman" w:cs="Times New Roman"/>
          <w:lang w:val="lt-LT"/>
        </w:rPr>
      </w:pPr>
    </w:p>
    <w:p w14:paraId="04C1536A" w14:textId="77777777" w:rsidR="00173803" w:rsidRPr="00AB7860" w:rsidRDefault="00173803" w:rsidP="00173803">
      <w:pPr>
        <w:spacing w:after="0" w:line="240" w:lineRule="auto"/>
        <w:rPr>
          <w:rFonts w:ascii="Times New Roman" w:hAnsi="Times New Roman" w:cs="Times New Roman"/>
          <w:lang w:val="lt-LT"/>
        </w:rPr>
      </w:pPr>
    </w:p>
    <w:p w14:paraId="07A9C082" w14:textId="77777777" w:rsidR="00173803" w:rsidRPr="00AB7860" w:rsidRDefault="00173803" w:rsidP="00173803">
      <w:pPr>
        <w:spacing w:after="0" w:line="240" w:lineRule="auto"/>
        <w:rPr>
          <w:rFonts w:ascii="Times New Roman" w:hAnsi="Times New Roman" w:cs="Times New Roman"/>
          <w:lang w:val="lt-LT"/>
        </w:rPr>
      </w:pPr>
    </w:p>
    <w:p w14:paraId="164AFB25" w14:textId="77777777" w:rsidR="00173803" w:rsidRPr="00AB7860" w:rsidRDefault="00173803" w:rsidP="00173803">
      <w:pPr>
        <w:spacing w:after="0" w:line="240" w:lineRule="auto"/>
        <w:rPr>
          <w:rFonts w:ascii="Times New Roman" w:hAnsi="Times New Roman" w:cs="Times New Roman"/>
          <w:lang w:val="lt-LT"/>
        </w:rPr>
      </w:pPr>
    </w:p>
    <w:p w14:paraId="55916B98" w14:textId="77777777" w:rsidR="00173803" w:rsidRPr="00AB7860" w:rsidRDefault="00173803" w:rsidP="00173803">
      <w:pPr>
        <w:spacing w:after="0" w:line="240" w:lineRule="auto"/>
        <w:rPr>
          <w:rFonts w:ascii="Times New Roman" w:hAnsi="Times New Roman" w:cs="Times New Roman"/>
          <w:lang w:val="lt-LT"/>
        </w:rPr>
      </w:pPr>
    </w:p>
    <w:p w14:paraId="46D9860D" w14:textId="77777777" w:rsidR="00173803" w:rsidRPr="00AB7860" w:rsidRDefault="00173803" w:rsidP="00173803">
      <w:pPr>
        <w:spacing w:after="0" w:line="240" w:lineRule="auto"/>
        <w:rPr>
          <w:rFonts w:ascii="Times New Roman" w:hAnsi="Times New Roman" w:cs="Times New Roman"/>
          <w:lang w:val="lt-LT"/>
        </w:rPr>
      </w:pPr>
    </w:p>
    <w:p w14:paraId="21F886C7" w14:textId="77777777" w:rsidR="00173803" w:rsidRPr="00AB7860" w:rsidRDefault="00173803" w:rsidP="00173803">
      <w:pPr>
        <w:spacing w:after="0" w:line="240" w:lineRule="auto"/>
        <w:rPr>
          <w:rFonts w:ascii="Times New Roman" w:hAnsi="Times New Roman" w:cs="Times New Roman"/>
          <w:lang w:val="lt-LT"/>
        </w:rPr>
      </w:pPr>
    </w:p>
    <w:p w14:paraId="565742E7" w14:textId="77777777" w:rsidR="00173803" w:rsidRPr="00AB7860" w:rsidRDefault="00173803" w:rsidP="00173803">
      <w:pPr>
        <w:spacing w:after="0" w:line="240" w:lineRule="auto"/>
        <w:rPr>
          <w:rFonts w:ascii="Times New Roman" w:hAnsi="Times New Roman" w:cs="Times New Roman"/>
          <w:lang w:val="lt-LT"/>
        </w:rPr>
      </w:pPr>
    </w:p>
    <w:p w14:paraId="6CAE841D" w14:textId="77777777" w:rsidR="00173803" w:rsidRPr="00AB7860" w:rsidRDefault="00173803" w:rsidP="00173803">
      <w:pPr>
        <w:spacing w:after="0" w:line="240" w:lineRule="auto"/>
        <w:rPr>
          <w:rFonts w:ascii="Times New Roman" w:hAnsi="Times New Roman" w:cs="Times New Roman"/>
          <w:lang w:val="lt-LT"/>
        </w:rPr>
      </w:pPr>
    </w:p>
    <w:p w14:paraId="7E0F3176" w14:textId="77777777" w:rsidR="00173803" w:rsidRPr="00AB7860" w:rsidRDefault="00173803" w:rsidP="00173803">
      <w:pPr>
        <w:spacing w:after="0" w:line="240" w:lineRule="auto"/>
        <w:rPr>
          <w:rFonts w:ascii="Times New Roman" w:hAnsi="Times New Roman" w:cs="Times New Roman"/>
          <w:lang w:val="lt-LT"/>
        </w:rPr>
      </w:pPr>
    </w:p>
    <w:p w14:paraId="27E96F7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bookmarkStart w:id="46" w:name="_Toc129243134"/>
      <w:bookmarkStart w:id="47" w:name="_Toc129243259"/>
    </w:p>
    <w:p w14:paraId="4166A603"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hAnsi="Times New Roman" w:cs="Times New Roman"/>
          <w:b/>
          <w:caps/>
          <w:lang w:val="lt-LT"/>
        </w:rPr>
        <w:t>III PRIEDAS</w:t>
      </w:r>
      <w:bookmarkEnd w:id="46"/>
      <w:bookmarkEnd w:id="47"/>
    </w:p>
    <w:p w14:paraId="19FBA340" w14:textId="77777777" w:rsidR="00173803" w:rsidRPr="00AB7860" w:rsidRDefault="00173803" w:rsidP="00173803">
      <w:pPr>
        <w:spacing w:after="0" w:line="240" w:lineRule="auto"/>
        <w:rPr>
          <w:rFonts w:ascii="Times New Roman" w:hAnsi="Times New Roman" w:cs="Times New Roman"/>
          <w:lang w:val="lt-LT"/>
        </w:rPr>
      </w:pPr>
    </w:p>
    <w:p w14:paraId="65B27FC7"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bookmarkStart w:id="48" w:name="_Toc129243135"/>
      <w:bookmarkStart w:id="49" w:name="_Toc129243260"/>
      <w:r w:rsidRPr="00AB7860">
        <w:rPr>
          <w:rFonts w:ascii="Times New Roman" w:hAnsi="Times New Roman" w:cs="Times New Roman"/>
          <w:b/>
          <w:caps/>
          <w:lang w:val="lt-LT"/>
        </w:rPr>
        <w:t>ŽENKLINIMAS IR PAKUOTĖS LAPELIS</w:t>
      </w:r>
      <w:bookmarkEnd w:id="48"/>
      <w:bookmarkEnd w:id="49"/>
    </w:p>
    <w:p w14:paraId="0BDCD19C"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br w:type="page"/>
      </w:r>
    </w:p>
    <w:p w14:paraId="3161F8C2" w14:textId="77777777" w:rsidR="00173803" w:rsidRPr="00AB7860" w:rsidRDefault="00173803" w:rsidP="00173803">
      <w:pPr>
        <w:spacing w:after="0" w:line="240" w:lineRule="auto"/>
        <w:rPr>
          <w:rFonts w:ascii="Times New Roman" w:hAnsi="Times New Roman" w:cs="Times New Roman"/>
          <w:lang w:val="lt-LT"/>
        </w:rPr>
      </w:pPr>
    </w:p>
    <w:p w14:paraId="1690EEF7" w14:textId="77777777" w:rsidR="00173803" w:rsidRPr="00AB7860" w:rsidRDefault="00173803" w:rsidP="00173803">
      <w:pPr>
        <w:spacing w:after="0" w:line="240" w:lineRule="auto"/>
        <w:rPr>
          <w:rFonts w:ascii="Times New Roman" w:hAnsi="Times New Roman" w:cs="Times New Roman"/>
          <w:lang w:val="lt-LT"/>
        </w:rPr>
      </w:pPr>
    </w:p>
    <w:p w14:paraId="512C2DF4" w14:textId="77777777" w:rsidR="00173803" w:rsidRPr="00AB7860" w:rsidRDefault="00173803" w:rsidP="00173803">
      <w:pPr>
        <w:spacing w:after="0" w:line="240" w:lineRule="auto"/>
        <w:rPr>
          <w:rFonts w:ascii="Times New Roman" w:hAnsi="Times New Roman" w:cs="Times New Roman"/>
          <w:lang w:val="lt-LT"/>
        </w:rPr>
      </w:pPr>
    </w:p>
    <w:p w14:paraId="26EBDAA2" w14:textId="77777777" w:rsidR="00173803" w:rsidRPr="00AB7860" w:rsidRDefault="00173803" w:rsidP="00173803">
      <w:pPr>
        <w:spacing w:after="0" w:line="240" w:lineRule="auto"/>
        <w:rPr>
          <w:rFonts w:ascii="Times New Roman" w:hAnsi="Times New Roman" w:cs="Times New Roman"/>
          <w:lang w:val="lt-LT"/>
        </w:rPr>
      </w:pPr>
    </w:p>
    <w:p w14:paraId="412F4F65" w14:textId="77777777" w:rsidR="00173803" w:rsidRPr="00AB7860" w:rsidRDefault="00173803" w:rsidP="00173803">
      <w:pPr>
        <w:spacing w:after="0" w:line="240" w:lineRule="auto"/>
        <w:rPr>
          <w:rFonts w:ascii="Times New Roman" w:hAnsi="Times New Roman" w:cs="Times New Roman"/>
          <w:lang w:val="lt-LT"/>
        </w:rPr>
      </w:pPr>
    </w:p>
    <w:p w14:paraId="4F05A7AA" w14:textId="77777777" w:rsidR="00173803" w:rsidRPr="00AB7860" w:rsidRDefault="00173803" w:rsidP="00173803">
      <w:pPr>
        <w:spacing w:after="0" w:line="240" w:lineRule="auto"/>
        <w:rPr>
          <w:rFonts w:ascii="Times New Roman" w:hAnsi="Times New Roman" w:cs="Times New Roman"/>
          <w:lang w:val="lt-LT"/>
        </w:rPr>
      </w:pPr>
    </w:p>
    <w:p w14:paraId="26FDF3A9" w14:textId="77777777" w:rsidR="00173803" w:rsidRPr="00AB7860" w:rsidRDefault="00173803" w:rsidP="00173803">
      <w:pPr>
        <w:spacing w:after="0" w:line="240" w:lineRule="auto"/>
        <w:rPr>
          <w:rFonts w:ascii="Times New Roman" w:hAnsi="Times New Roman" w:cs="Times New Roman"/>
          <w:lang w:val="lt-LT"/>
        </w:rPr>
      </w:pPr>
    </w:p>
    <w:p w14:paraId="77795822" w14:textId="77777777" w:rsidR="00173803" w:rsidRPr="00AB7860" w:rsidRDefault="00173803" w:rsidP="00173803">
      <w:pPr>
        <w:spacing w:after="0" w:line="240" w:lineRule="auto"/>
        <w:rPr>
          <w:rFonts w:ascii="Times New Roman" w:hAnsi="Times New Roman" w:cs="Times New Roman"/>
          <w:lang w:val="lt-LT"/>
        </w:rPr>
      </w:pPr>
    </w:p>
    <w:p w14:paraId="053703F8" w14:textId="77777777" w:rsidR="00173803" w:rsidRPr="00AB7860" w:rsidRDefault="00173803" w:rsidP="00173803">
      <w:pPr>
        <w:spacing w:after="0" w:line="240" w:lineRule="auto"/>
        <w:rPr>
          <w:rFonts w:ascii="Times New Roman" w:hAnsi="Times New Roman" w:cs="Times New Roman"/>
          <w:lang w:val="lt-LT"/>
        </w:rPr>
      </w:pPr>
    </w:p>
    <w:p w14:paraId="2A9FFF10" w14:textId="77777777" w:rsidR="00173803" w:rsidRPr="00AB7860" w:rsidRDefault="00173803" w:rsidP="00173803">
      <w:pPr>
        <w:spacing w:after="0" w:line="240" w:lineRule="auto"/>
        <w:rPr>
          <w:rFonts w:ascii="Times New Roman" w:hAnsi="Times New Roman" w:cs="Times New Roman"/>
          <w:lang w:val="lt-LT"/>
        </w:rPr>
      </w:pPr>
    </w:p>
    <w:p w14:paraId="5708C49B" w14:textId="77777777" w:rsidR="00173803" w:rsidRPr="00AB7860" w:rsidRDefault="00173803" w:rsidP="00173803">
      <w:pPr>
        <w:spacing w:after="0" w:line="240" w:lineRule="auto"/>
        <w:rPr>
          <w:rFonts w:ascii="Times New Roman" w:hAnsi="Times New Roman" w:cs="Times New Roman"/>
          <w:lang w:val="lt-LT"/>
        </w:rPr>
      </w:pPr>
    </w:p>
    <w:p w14:paraId="066B4634" w14:textId="77777777" w:rsidR="00173803" w:rsidRPr="00AB7860" w:rsidRDefault="00173803" w:rsidP="00173803">
      <w:pPr>
        <w:spacing w:after="0" w:line="240" w:lineRule="auto"/>
        <w:rPr>
          <w:rFonts w:ascii="Times New Roman" w:hAnsi="Times New Roman" w:cs="Times New Roman"/>
          <w:lang w:val="lt-LT"/>
        </w:rPr>
      </w:pPr>
    </w:p>
    <w:p w14:paraId="5C70EED6" w14:textId="77777777" w:rsidR="00173803" w:rsidRPr="00AB7860" w:rsidRDefault="00173803" w:rsidP="00173803">
      <w:pPr>
        <w:spacing w:after="0" w:line="240" w:lineRule="auto"/>
        <w:rPr>
          <w:rFonts w:ascii="Times New Roman" w:hAnsi="Times New Roman" w:cs="Times New Roman"/>
          <w:lang w:val="lt-LT"/>
        </w:rPr>
      </w:pPr>
    </w:p>
    <w:p w14:paraId="73877F8D" w14:textId="77777777" w:rsidR="00173803" w:rsidRPr="00AB7860" w:rsidRDefault="00173803" w:rsidP="00173803">
      <w:pPr>
        <w:spacing w:after="0" w:line="240" w:lineRule="auto"/>
        <w:rPr>
          <w:rFonts w:ascii="Times New Roman" w:hAnsi="Times New Roman" w:cs="Times New Roman"/>
          <w:lang w:val="lt-LT"/>
        </w:rPr>
      </w:pPr>
    </w:p>
    <w:p w14:paraId="30352F12" w14:textId="77777777" w:rsidR="00173803" w:rsidRPr="00AB7860" w:rsidRDefault="00173803" w:rsidP="00173803">
      <w:pPr>
        <w:spacing w:after="0" w:line="240" w:lineRule="auto"/>
        <w:rPr>
          <w:rFonts w:ascii="Times New Roman" w:hAnsi="Times New Roman" w:cs="Times New Roman"/>
          <w:lang w:val="lt-LT"/>
        </w:rPr>
      </w:pPr>
    </w:p>
    <w:p w14:paraId="035BA048" w14:textId="77777777" w:rsidR="00173803" w:rsidRPr="00AB7860" w:rsidRDefault="00173803" w:rsidP="00173803">
      <w:pPr>
        <w:spacing w:after="0" w:line="240" w:lineRule="auto"/>
        <w:rPr>
          <w:rFonts w:ascii="Times New Roman" w:hAnsi="Times New Roman" w:cs="Times New Roman"/>
          <w:lang w:val="lt-LT"/>
        </w:rPr>
      </w:pPr>
    </w:p>
    <w:p w14:paraId="6D209C5B" w14:textId="77777777" w:rsidR="00173803" w:rsidRPr="00AB7860" w:rsidRDefault="00173803" w:rsidP="00173803">
      <w:pPr>
        <w:spacing w:after="0" w:line="240" w:lineRule="auto"/>
        <w:rPr>
          <w:rFonts w:ascii="Times New Roman" w:hAnsi="Times New Roman" w:cs="Times New Roman"/>
          <w:lang w:val="lt-LT"/>
        </w:rPr>
      </w:pPr>
    </w:p>
    <w:p w14:paraId="171B43BA" w14:textId="77777777" w:rsidR="00173803" w:rsidRPr="00AB7860" w:rsidRDefault="00173803" w:rsidP="00173803">
      <w:pPr>
        <w:spacing w:after="0" w:line="240" w:lineRule="auto"/>
        <w:rPr>
          <w:rFonts w:ascii="Times New Roman" w:hAnsi="Times New Roman" w:cs="Times New Roman"/>
          <w:lang w:val="lt-LT"/>
        </w:rPr>
      </w:pPr>
    </w:p>
    <w:p w14:paraId="0C01E302" w14:textId="77777777" w:rsidR="00173803" w:rsidRPr="00AB7860" w:rsidRDefault="00173803" w:rsidP="00173803">
      <w:pPr>
        <w:spacing w:after="0" w:line="240" w:lineRule="auto"/>
        <w:rPr>
          <w:rFonts w:ascii="Times New Roman" w:hAnsi="Times New Roman" w:cs="Times New Roman"/>
          <w:lang w:val="lt-LT"/>
        </w:rPr>
      </w:pPr>
    </w:p>
    <w:p w14:paraId="3F6E6C30" w14:textId="77777777" w:rsidR="00173803" w:rsidRPr="00AB7860" w:rsidRDefault="00173803" w:rsidP="00173803">
      <w:pPr>
        <w:spacing w:after="0" w:line="240" w:lineRule="auto"/>
        <w:rPr>
          <w:rFonts w:ascii="Times New Roman" w:hAnsi="Times New Roman" w:cs="Times New Roman"/>
          <w:lang w:val="lt-LT"/>
        </w:rPr>
      </w:pPr>
    </w:p>
    <w:p w14:paraId="0A394A94" w14:textId="77777777" w:rsidR="00173803" w:rsidRPr="00AB7860" w:rsidRDefault="00173803" w:rsidP="00173803">
      <w:pPr>
        <w:spacing w:after="0" w:line="240" w:lineRule="auto"/>
        <w:rPr>
          <w:rFonts w:ascii="Times New Roman" w:hAnsi="Times New Roman" w:cs="Times New Roman"/>
          <w:lang w:val="lt-LT"/>
        </w:rPr>
      </w:pPr>
    </w:p>
    <w:p w14:paraId="52EEBAC6" w14:textId="77777777" w:rsidR="00173803" w:rsidRPr="00AB7860" w:rsidRDefault="00173803" w:rsidP="00173803">
      <w:pPr>
        <w:spacing w:after="0" w:line="240" w:lineRule="auto"/>
        <w:rPr>
          <w:rFonts w:ascii="Times New Roman" w:hAnsi="Times New Roman" w:cs="Times New Roman"/>
          <w:lang w:val="lt-LT"/>
        </w:rPr>
      </w:pPr>
    </w:p>
    <w:p w14:paraId="2B8021D0" w14:textId="77777777" w:rsidR="00173803" w:rsidRPr="00AB7860" w:rsidRDefault="00173803" w:rsidP="00173803">
      <w:pPr>
        <w:spacing w:after="0" w:line="240" w:lineRule="auto"/>
        <w:rPr>
          <w:rFonts w:ascii="Times New Roman" w:hAnsi="Times New Roman" w:cs="Times New Roman"/>
          <w:lang w:val="lt-LT"/>
        </w:rPr>
      </w:pPr>
    </w:p>
    <w:p w14:paraId="6D9DE0E8" w14:textId="77777777" w:rsidR="00173803" w:rsidRPr="00AB7860" w:rsidRDefault="00173803" w:rsidP="00173803">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0" w:name="_Toc129243136"/>
      <w:bookmarkStart w:id="51" w:name="_Toc129243261"/>
    </w:p>
    <w:p w14:paraId="5CCA14E6"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hAnsi="Times New Roman" w:cs="Times New Roman"/>
          <w:b/>
          <w:caps/>
          <w:lang w:val="lt-LT"/>
        </w:rPr>
        <w:t>A. ŽENKLINIMAS</w:t>
      </w:r>
      <w:bookmarkEnd w:id="50"/>
      <w:bookmarkEnd w:id="51"/>
    </w:p>
    <w:p w14:paraId="4F9095B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br w:type="page"/>
      </w:r>
    </w:p>
    <w:p w14:paraId="78CB94D8"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lastRenderedPageBreak/>
        <w:t>INFORMACIJA ANT IŠORINĖS PAKUOTĖS</w:t>
      </w:r>
    </w:p>
    <w:p w14:paraId="351A11BD"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44274F75"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eastAsia="Times New Roman" w:hAnsi="Times New Roman" w:cs="Times New Roman"/>
          <w:b/>
          <w:lang w:val="lt-LT"/>
        </w:rPr>
        <w:t>KARTONO</w:t>
      </w:r>
      <w:r w:rsidRPr="00AB7860">
        <w:rPr>
          <w:rFonts w:ascii="Times New Roman" w:hAnsi="Times New Roman" w:cs="Times New Roman"/>
          <w:b/>
          <w:lang w:val="lt-LT"/>
        </w:rPr>
        <w:t xml:space="preserve"> DĖŽUTĖ</w:t>
      </w:r>
    </w:p>
    <w:p w14:paraId="33202681" w14:textId="77777777" w:rsidR="00173803" w:rsidRPr="00AB7860" w:rsidRDefault="00173803" w:rsidP="00173803">
      <w:pPr>
        <w:spacing w:after="0" w:line="240" w:lineRule="auto"/>
        <w:rPr>
          <w:rFonts w:ascii="Times New Roman" w:hAnsi="Times New Roman" w:cs="Times New Roman"/>
          <w:lang w:val="lt-LT"/>
        </w:rPr>
      </w:pPr>
    </w:p>
    <w:p w14:paraId="7371E506" w14:textId="77777777" w:rsidR="00173803" w:rsidRPr="00AB7860" w:rsidRDefault="00173803" w:rsidP="00173803">
      <w:pPr>
        <w:spacing w:after="0" w:line="240" w:lineRule="auto"/>
        <w:rPr>
          <w:rFonts w:ascii="Times New Roman" w:hAnsi="Times New Roman" w:cs="Times New Roman"/>
          <w:lang w:val="lt-LT"/>
        </w:rPr>
      </w:pPr>
    </w:p>
    <w:p w14:paraId="736BFFED"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w:t>
      </w:r>
      <w:r w:rsidRPr="00AB7860">
        <w:rPr>
          <w:rFonts w:ascii="Times New Roman" w:hAnsi="Times New Roman" w:cs="Times New Roman"/>
          <w:b/>
          <w:lang w:val="lt-LT"/>
        </w:rPr>
        <w:tab/>
        <w:t>VAISTINIO PREPARATO PAVADINIMAS</w:t>
      </w:r>
    </w:p>
    <w:p w14:paraId="114624E8" w14:textId="77777777" w:rsidR="00173803" w:rsidRPr="00AB7860" w:rsidRDefault="00173803" w:rsidP="00173803">
      <w:pPr>
        <w:spacing w:after="0" w:line="240" w:lineRule="auto"/>
        <w:rPr>
          <w:rFonts w:ascii="Times New Roman" w:hAnsi="Times New Roman" w:cs="Times New Roman"/>
          <w:lang w:val="lt-LT"/>
        </w:rPr>
      </w:pPr>
    </w:p>
    <w:p w14:paraId="4B028ADC"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Imatinib Grindeks 100 mg kietosios kapsulės</w:t>
      </w:r>
    </w:p>
    <w:p w14:paraId="3B95E4B3" w14:textId="77777777" w:rsidR="00173803" w:rsidRPr="00AB7860" w:rsidRDefault="007D22B5" w:rsidP="00173803">
      <w:pPr>
        <w:spacing w:after="0" w:line="240" w:lineRule="auto"/>
        <w:rPr>
          <w:rFonts w:ascii="Times New Roman" w:hAnsi="Times New Roman" w:cs="Times New Roman"/>
          <w:color w:val="000000"/>
          <w:lang w:val="lt-LT"/>
        </w:rPr>
      </w:pPr>
      <w:r>
        <w:rPr>
          <w:rFonts w:ascii="Times New Roman" w:hAnsi="Times New Roman" w:cs="Times New Roman"/>
          <w:color w:val="000000"/>
          <w:lang w:val="lt-LT"/>
        </w:rPr>
        <w:t>i</w:t>
      </w:r>
      <w:r w:rsidR="00173803" w:rsidRPr="00AB7860">
        <w:rPr>
          <w:rFonts w:ascii="Times New Roman" w:hAnsi="Times New Roman" w:cs="Times New Roman"/>
          <w:color w:val="000000"/>
          <w:lang w:val="lt-LT"/>
        </w:rPr>
        <w:t>matinibum</w:t>
      </w:r>
    </w:p>
    <w:p w14:paraId="00738B83" w14:textId="77777777" w:rsidR="00173803" w:rsidRPr="00AB7860" w:rsidRDefault="00173803" w:rsidP="00173803">
      <w:pPr>
        <w:spacing w:after="0" w:line="240" w:lineRule="auto"/>
        <w:rPr>
          <w:rFonts w:ascii="Times New Roman" w:hAnsi="Times New Roman" w:cs="Times New Roman"/>
          <w:lang w:val="lt-LT"/>
        </w:rPr>
      </w:pPr>
    </w:p>
    <w:p w14:paraId="6BBBC3F4" w14:textId="77777777" w:rsidR="00173803" w:rsidRPr="00AB7860" w:rsidRDefault="00173803" w:rsidP="00173803">
      <w:pPr>
        <w:spacing w:after="0" w:line="240" w:lineRule="auto"/>
        <w:rPr>
          <w:rFonts w:ascii="Times New Roman" w:hAnsi="Times New Roman" w:cs="Times New Roman"/>
          <w:lang w:val="lt-LT"/>
        </w:rPr>
      </w:pPr>
    </w:p>
    <w:p w14:paraId="1D595DA8"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2.</w:t>
      </w:r>
      <w:r w:rsidRPr="00AB7860">
        <w:rPr>
          <w:rFonts w:ascii="Times New Roman" w:hAnsi="Times New Roman" w:cs="Times New Roman"/>
          <w:b/>
          <w:lang w:val="lt-LT"/>
        </w:rPr>
        <w:tab/>
        <w:t>VEIKLIOJI MEDŽIAGA IR JOS KIEKIS</w:t>
      </w:r>
    </w:p>
    <w:p w14:paraId="086AB859" w14:textId="77777777" w:rsidR="00173803" w:rsidRPr="00AB7860" w:rsidRDefault="00173803" w:rsidP="00173803">
      <w:pPr>
        <w:spacing w:after="0" w:line="240" w:lineRule="auto"/>
        <w:rPr>
          <w:rFonts w:ascii="Times New Roman" w:hAnsi="Times New Roman" w:cs="Times New Roman"/>
          <w:lang w:val="lt-LT"/>
        </w:rPr>
      </w:pPr>
    </w:p>
    <w:p w14:paraId="012ED84C"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Vienoje kietojoje kapsulėje yra imatinibo mesilato, atitinkančio 100 mg imatinibo.</w:t>
      </w:r>
    </w:p>
    <w:p w14:paraId="7D2C844B" w14:textId="77777777" w:rsidR="00173803" w:rsidRPr="00AB7860" w:rsidRDefault="00173803" w:rsidP="00173803">
      <w:pPr>
        <w:spacing w:after="0" w:line="240" w:lineRule="auto"/>
        <w:rPr>
          <w:rFonts w:ascii="Times New Roman" w:hAnsi="Times New Roman" w:cs="Times New Roman"/>
          <w:lang w:val="lt-LT"/>
        </w:rPr>
      </w:pPr>
    </w:p>
    <w:p w14:paraId="2FDC234A" w14:textId="77777777" w:rsidR="00173803" w:rsidRPr="00AB7860" w:rsidRDefault="00173803" w:rsidP="00173803">
      <w:pPr>
        <w:spacing w:after="0" w:line="240" w:lineRule="auto"/>
        <w:rPr>
          <w:rFonts w:ascii="Times New Roman" w:hAnsi="Times New Roman" w:cs="Times New Roman"/>
          <w:lang w:val="lt-LT"/>
        </w:rPr>
      </w:pPr>
    </w:p>
    <w:p w14:paraId="2B429E6F"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lang w:val="lt-LT"/>
        </w:rPr>
      </w:pPr>
      <w:r w:rsidRPr="00AB7860">
        <w:rPr>
          <w:rFonts w:ascii="Times New Roman" w:hAnsi="Times New Roman" w:cs="Times New Roman"/>
          <w:b/>
          <w:lang w:val="lt-LT"/>
        </w:rPr>
        <w:t>3.</w:t>
      </w:r>
      <w:r w:rsidRPr="00AB7860">
        <w:rPr>
          <w:rFonts w:ascii="Times New Roman" w:hAnsi="Times New Roman" w:cs="Times New Roman"/>
          <w:b/>
          <w:lang w:val="lt-LT"/>
        </w:rPr>
        <w:tab/>
        <w:t>PAGALBINIŲ MEDŽIAGŲ SĄRAŠAS</w:t>
      </w:r>
    </w:p>
    <w:p w14:paraId="35C4C5EB" w14:textId="77777777" w:rsidR="00173803" w:rsidRPr="00AB7860" w:rsidRDefault="00173803" w:rsidP="00173803">
      <w:pPr>
        <w:spacing w:after="0" w:line="240" w:lineRule="auto"/>
        <w:rPr>
          <w:rFonts w:ascii="Times New Roman" w:hAnsi="Times New Roman" w:cs="Times New Roman"/>
          <w:lang w:val="lt-LT"/>
        </w:rPr>
      </w:pPr>
    </w:p>
    <w:p w14:paraId="58E987AF" w14:textId="77777777" w:rsidR="00173803" w:rsidRPr="00AB7860" w:rsidRDefault="00173803" w:rsidP="00173803">
      <w:pPr>
        <w:spacing w:after="0" w:line="240" w:lineRule="auto"/>
        <w:rPr>
          <w:rFonts w:ascii="Times New Roman" w:hAnsi="Times New Roman" w:cs="Times New Roman"/>
          <w:lang w:val="lt-LT"/>
        </w:rPr>
      </w:pPr>
    </w:p>
    <w:p w14:paraId="12073113"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AB7860">
        <w:rPr>
          <w:rFonts w:ascii="Times New Roman" w:hAnsi="Times New Roman" w:cs="Times New Roman"/>
          <w:b/>
          <w:lang w:val="lt-LT"/>
        </w:rPr>
        <w:t>4.</w:t>
      </w:r>
      <w:r w:rsidRPr="00AB7860">
        <w:rPr>
          <w:rFonts w:ascii="Times New Roman" w:hAnsi="Times New Roman" w:cs="Times New Roman"/>
          <w:b/>
          <w:lang w:val="lt-LT"/>
        </w:rPr>
        <w:tab/>
        <w:t>FARMACINĖ FORMA IR KIEKIS PAKUOTĖJE</w:t>
      </w:r>
    </w:p>
    <w:p w14:paraId="38F259FA" w14:textId="77777777" w:rsidR="00173803" w:rsidRPr="00AB7860" w:rsidRDefault="00173803" w:rsidP="00173803">
      <w:pPr>
        <w:spacing w:after="0" w:line="240" w:lineRule="auto"/>
        <w:rPr>
          <w:rFonts w:ascii="Times New Roman" w:hAnsi="Times New Roman" w:cs="Times New Roman"/>
          <w:lang w:val="lt-LT"/>
        </w:rPr>
      </w:pPr>
    </w:p>
    <w:p w14:paraId="4472AEE0"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highlight w:val="lightGray"/>
          <w:lang w:val="lt-LT"/>
        </w:rPr>
        <w:t>Kietoji kapsulė</w:t>
      </w:r>
    </w:p>
    <w:p w14:paraId="7EABA628" w14:textId="77777777" w:rsidR="00173803" w:rsidRPr="00AB7860" w:rsidRDefault="00173803" w:rsidP="00173803">
      <w:pPr>
        <w:spacing w:after="0" w:line="240" w:lineRule="auto"/>
        <w:rPr>
          <w:rFonts w:ascii="Times New Roman" w:hAnsi="Times New Roman" w:cs="Times New Roman"/>
          <w:lang w:val="lt-LT"/>
        </w:rPr>
      </w:pPr>
    </w:p>
    <w:p w14:paraId="1A12441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60 kietųjų kapsulių</w:t>
      </w:r>
    </w:p>
    <w:p w14:paraId="49CC08D7" w14:textId="77777777" w:rsidR="00173803" w:rsidRPr="00AB7860" w:rsidRDefault="00173803" w:rsidP="00173803">
      <w:pPr>
        <w:spacing w:after="0" w:line="240" w:lineRule="auto"/>
        <w:rPr>
          <w:rFonts w:ascii="Times New Roman" w:hAnsi="Times New Roman" w:cs="Times New Roman"/>
          <w:highlight w:val="lightGray"/>
          <w:lang w:val="lt-LT"/>
        </w:rPr>
      </w:pPr>
      <w:r w:rsidRPr="00AB7860">
        <w:rPr>
          <w:rFonts w:ascii="Times New Roman" w:hAnsi="Times New Roman" w:cs="Times New Roman"/>
          <w:highlight w:val="lightGray"/>
          <w:lang w:val="lt-LT"/>
        </w:rPr>
        <w:t>120 kietųjų kapsulių</w:t>
      </w:r>
    </w:p>
    <w:p w14:paraId="337C070F" w14:textId="77777777" w:rsidR="00173803" w:rsidRPr="00AB7860" w:rsidRDefault="00173803" w:rsidP="00173803">
      <w:pPr>
        <w:spacing w:after="0" w:line="240" w:lineRule="auto"/>
        <w:rPr>
          <w:rFonts w:ascii="Times New Roman" w:hAnsi="Times New Roman" w:cs="Times New Roman"/>
          <w:lang w:val="lt-LT"/>
        </w:rPr>
      </w:pPr>
    </w:p>
    <w:p w14:paraId="382793F4" w14:textId="77777777" w:rsidR="00173803" w:rsidRPr="00AB7860" w:rsidRDefault="00173803" w:rsidP="00173803">
      <w:pPr>
        <w:spacing w:after="0" w:line="240" w:lineRule="auto"/>
        <w:rPr>
          <w:rFonts w:ascii="Times New Roman" w:hAnsi="Times New Roman" w:cs="Times New Roman"/>
          <w:lang w:val="lt-LT"/>
        </w:rPr>
      </w:pPr>
    </w:p>
    <w:p w14:paraId="6163D8BF"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rPr>
      </w:pPr>
      <w:r w:rsidRPr="00AB7860">
        <w:rPr>
          <w:rFonts w:ascii="Times New Roman" w:hAnsi="Times New Roman" w:cs="Times New Roman"/>
          <w:b/>
          <w:lang w:val="lt-LT"/>
        </w:rPr>
        <w:t>5.</w:t>
      </w:r>
      <w:r w:rsidRPr="00AB7860">
        <w:rPr>
          <w:rFonts w:ascii="Times New Roman" w:hAnsi="Times New Roman" w:cs="Times New Roman"/>
          <w:b/>
          <w:lang w:val="lt-LT"/>
        </w:rPr>
        <w:tab/>
        <w:t>VARTOJIMO METODAS IR BŪDAS (-AI)</w:t>
      </w:r>
    </w:p>
    <w:p w14:paraId="4E7F00CF" w14:textId="77777777" w:rsidR="00173803" w:rsidRPr="00AB7860" w:rsidRDefault="00173803" w:rsidP="00173803">
      <w:pPr>
        <w:spacing w:after="0" w:line="240" w:lineRule="auto"/>
        <w:rPr>
          <w:rFonts w:ascii="Times New Roman" w:hAnsi="Times New Roman" w:cs="Times New Roman"/>
          <w:lang w:val="lt-LT"/>
        </w:rPr>
      </w:pPr>
    </w:p>
    <w:p w14:paraId="794EF4D7"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Vartoti per burną.</w:t>
      </w:r>
    </w:p>
    <w:p w14:paraId="6513CEAB"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Prieš vartojimą perskaitykite pakuotės lapelį.</w:t>
      </w:r>
    </w:p>
    <w:p w14:paraId="43EC6BFC" w14:textId="77777777" w:rsidR="00173803" w:rsidRPr="00AB7860" w:rsidRDefault="00173803" w:rsidP="00173803">
      <w:pPr>
        <w:spacing w:after="0" w:line="240" w:lineRule="auto"/>
        <w:rPr>
          <w:rFonts w:ascii="Times New Roman" w:hAnsi="Times New Roman" w:cs="Times New Roman"/>
          <w:lang w:val="lt-LT"/>
        </w:rPr>
      </w:pPr>
    </w:p>
    <w:p w14:paraId="5FF771AB" w14:textId="77777777" w:rsidR="00173803" w:rsidRPr="00AB7860" w:rsidRDefault="00173803" w:rsidP="00173803">
      <w:pPr>
        <w:spacing w:after="0" w:line="240" w:lineRule="auto"/>
        <w:rPr>
          <w:rFonts w:ascii="Times New Roman" w:hAnsi="Times New Roman" w:cs="Times New Roman"/>
          <w:lang w:val="lt-LT"/>
        </w:rPr>
      </w:pPr>
    </w:p>
    <w:p w14:paraId="32D0A622"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AB7860">
        <w:rPr>
          <w:rFonts w:ascii="Times New Roman" w:hAnsi="Times New Roman" w:cs="Times New Roman"/>
          <w:b/>
          <w:lang w:val="lt-LT"/>
        </w:rPr>
        <w:t>6.</w:t>
      </w:r>
      <w:r w:rsidRPr="00AB7860">
        <w:rPr>
          <w:rFonts w:ascii="Times New Roman" w:hAnsi="Times New Roman" w:cs="Times New Roman"/>
          <w:b/>
          <w:lang w:val="lt-LT"/>
        </w:rPr>
        <w:tab/>
        <w:t>SPECIALUS ĮSPĖJIMAS, KAD VAISTINĮ PREPARATĄ BŪTINA LAIKYTI VAIKAMS NEPASTEBIMOJE IR NEPASIEKIAMOJE</w:t>
      </w:r>
      <w:r w:rsidRPr="00AB7860">
        <w:rPr>
          <w:rFonts w:ascii="Times New Roman" w:hAnsi="Times New Roman" w:cs="Times New Roman"/>
          <w:lang w:val="lt-LT"/>
        </w:rPr>
        <w:t xml:space="preserve"> </w:t>
      </w:r>
      <w:r w:rsidRPr="00AB7860">
        <w:rPr>
          <w:rFonts w:ascii="Times New Roman" w:hAnsi="Times New Roman" w:cs="Times New Roman"/>
          <w:b/>
          <w:lang w:val="lt-LT"/>
        </w:rPr>
        <w:t>VIETOJE</w:t>
      </w:r>
    </w:p>
    <w:p w14:paraId="0982273E" w14:textId="77777777" w:rsidR="00173803" w:rsidRPr="00AB7860" w:rsidRDefault="00173803" w:rsidP="00173803">
      <w:pPr>
        <w:spacing w:after="0" w:line="240" w:lineRule="auto"/>
        <w:rPr>
          <w:rFonts w:ascii="Times New Roman" w:hAnsi="Times New Roman" w:cs="Times New Roman"/>
          <w:lang w:val="lt-LT"/>
        </w:rPr>
      </w:pPr>
    </w:p>
    <w:p w14:paraId="61283489"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Laikyti vaikams nepastebimoje ir nepasiekiamoje vietoje.</w:t>
      </w:r>
    </w:p>
    <w:p w14:paraId="5E7462C1" w14:textId="77777777" w:rsidR="00173803" w:rsidRPr="00AB7860" w:rsidRDefault="00173803" w:rsidP="00173803">
      <w:pPr>
        <w:spacing w:after="0" w:line="240" w:lineRule="auto"/>
        <w:rPr>
          <w:rFonts w:ascii="Times New Roman" w:hAnsi="Times New Roman" w:cs="Times New Roman"/>
          <w:lang w:val="lt-LT"/>
        </w:rPr>
      </w:pPr>
    </w:p>
    <w:p w14:paraId="31FD710A" w14:textId="77777777" w:rsidR="00173803" w:rsidRPr="00AB7860" w:rsidRDefault="00173803" w:rsidP="00173803">
      <w:pPr>
        <w:spacing w:after="0" w:line="240" w:lineRule="auto"/>
        <w:rPr>
          <w:rFonts w:ascii="Times New Roman" w:hAnsi="Times New Roman" w:cs="Times New Roman"/>
          <w:lang w:val="lt-LT"/>
        </w:rPr>
      </w:pPr>
    </w:p>
    <w:p w14:paraId="62E647D3"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rPr>
      </w:pPr>
      <w:r w:rsidRPr="00AB7860">
        <w:rPr>
          <w:rFonts w:ascii="Times New Roman" w:hAnsi="Times New Roman" w:cs="Times New Roman"/>
          <w:b/>
          <w:lang w:val="lt-LT"/>
        </w:rPr>
        <w:t>7.</w:t>
      </w:r>
      <w:r w:rsidRPr="00AB7860">
        <w:rPr>
          <w:rFonts w:ascii="Times New Roman" w:hAnsi="Times New Roman" w:cs="Times New Roman"/>
          <w:b/>
          <w:lang w:val="lt-LT"/>
        </w:rPr>
        <w:tab/>
        <w:t>KITAS (-I) SPECIALUS (-ŪS) ĮSPĖJIMAS (-AI) (JEI REIKIA)</w:t>
      </w:r>
    </w:p>
    <w:p w14:paraId="375E5686" w14:textId="77777777" w:rsidR="00173803" w:rsidRPr="00AB7860" w:rsidRDefault="00173803" w:rsidP="00173803">
      <w:pPr>
        <w:spacing w:after="0" w:line="240" w:lineRule="auto"/>
        <w:rPr>
          <w:rFonts w:ascii="Times New Roman" w:hAnsi="Times New Roman" w:cs="Times New Roman"/>
          <w:lang w:val="lt-LT"/>
        </w:rPr>
      </w:pPr>
    </w:p>
    <w:p w14:paraId="392A2999"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Vartoti tik pagal gydytojo nurodymus.</w:t>
      </w:r>
    </w:p>
    <w:p w14:paraId="218AA109" w14:textId="77777777" w:rsidR="00173803" w:rsidRPr="00AB7860" w:rsidRDefault="00173803" w:rsidP="00173803">
      <w:pPr>
        <w:spacing w:after="0" w:line="240" w:lineRule="auto"/>
        <w:rPr>
          <w:rFonts w:ascii="Times New Roman" w:hAnsi="Times New Roman" w:cs="Times New Roman"/>
          <w:lang w:val="lt-LT"/>
        </w:rPr>
      </w:pPr>
    </w:p>
    <w:p w14:paraId="5E509090" w14:textId="77777777" w:rsidR="00173803" w:rsidRPr="00AB7860" w:rsidRDefault="00173803" w:rsidP="00173803">
      <w:pPr>
        <w:spacing w:after="0" w:line="240" w:lineRule="auto"/>
        <w:rPr>
          <w:rFonts w:ascii="Times New Roman" w:hAnsi="Times New Roman" w:cs="Times New Roman"/>
          <w:lang w:val="lt-LT"/>
        </w:rPr>
      </w:pPr>
    </w:p>
    <w:p w14:paraId="53C6CA4A"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highlight w:val="lightGray"/>
        </w:rPr>
      </w:pPr>
      <w:r w:rsidRPr="00AB7860">
        <w:rPr>
          <w:rFonts w:ascii="Times New Roman" w:hAnsi="Times New Roman" w:cs="Times New Roman"/>
          <w:b/>
          <w:lang w:val="lt-LT"/>
        </w:rPr>
        <w:t>8.</w:t>
      </w:r>
      <w:r w:rsidRPr="00AB7860">
        <w:rPr>
          <w:rFonts w:ascii="Times New Roman" w:hAnsi="Times New Roman" w:cs="Times New Roman"/>
          <w:b/>
          <w:lang w:val="lt-LT"/>
        </w:rPr>
        <w:tab/>
        <w:t>TINKAMUMO LAIKAS</w:t>
      </w:r>
    </w:p>
    <w:p w14:paraId="0C4B5AE4" w14:textId="77777777" w:rsidR="00173803" w:rsidRPr="00AB7860" w:rsidRDefault="00173803" w:rsidP="00173803">
      <w:pPr>
        <w:spacing w:after="0" w:line="240" w:lineRule="auto"/>
        <w:rPr>
          <w:rFonts w:ascii="Times New Roman" w:hAnsi="Times New Roman" w:cs="Times New Roman"/>
          <w:lang w:val="lt-LT"/>
        </w:rPr>
      </w:pPr>
    </w:p>
    <w:p w14:paraId="41EAA6C8"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EXP {mm MMMM}</w:t>
      </w:r>
    </w:p>
    <w:p w14:paraId="620D2B35" w14:textId="77777777" w:rsidR="00173803" w:rsidRPr="00AB7860" w:rsidRDefault="00173803" w:rsidP="00173803">
      <w:pPr>
        <w:spacing w:after="0" w:line="240" w:lineRule="auto"/>
        <w:rPr>
          <w:rFonts w:ascii="Times New Roman" w:hAnsi="Times New Roman" w:cs="Times New Roman"/>
          <w:lang w:val="lt-LT"/>
        </w:rPr>
      </w:pPr>
    </w:p>
    <w:p w14:paraId="2E3F8751" w14:textId="77777777" w:rsidR="00173803" w:rsidRPr="00AB7860" w:rsidRDefault="00173803" w:rsidP="00173803">
      <w:pPr>
        <w:spacing w:after="0" w:line="240" w:lineRule="auto"/>
        <w:rPr>
          <w:rFonts w:ascii="Times New Roman" w:hAnsi="Times New Roman" w:cs="Times New Roman"/>
          <w:lang w:val="lt-LT"/>
        </w:rPr>
      </w:pPr>
    </w:p>
    <w:p w14:paraId="5636F9F4"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9.</w:t>
      </w:r>
      <w:r w:rsidRPr="00AB7860">
        <w:rPr>
          <w:rFonts w:ascii="Times New Roman" w:hAnsi="Times New Roman" w:cs="Times New Roman"/>
          <w:b/>
          <w:lang w:val="lt-LT"/>
        </w:rPr>
        <w:tab/>
        <w:t>SPECIALIOS LAIKYMO SĄLYGOS</w:t>
      </w:r>
    </w:p>
    <w:p w14:paraId="161FE314"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lastRenderedPageBreak/>
        <w:t>10.</w:t>
      </w:r>
      <w:r w:rsidRPr="00AB7860">
        <w:rPr>
          <w:rFonts w:ascii="Times New Roman" w:hAnsi="Times New Roman" w:cs="Times New Roman"/>
          <w:b/>
          <w:lang w:val="lt-LT"/>
        </w:rPr>
        <w:tab/>
        <w:t>SPECIALIOS ATSARGUMO PRIEMONĖS DĖL NESUVARTOTO VAISTINIO PREPARATO AR JO ATLIEKŲ TVARKYMO (JEI REIKIA)</w:t>
      </w:r>
    </w:p>
    <w:p w14:paraId="60573D25" w14:textId="77777777" w:rsidR="00173803" w:rsidRPr="00AB7860" w:rsidRDefault="00173803" w:rsidP="00173803">
      <w:pPr>
        <w:spacing w:after="0" w:line="240" w:lineRule="auto"/>
        <w:rPr>
          <w:rFonts w:ascii="Times New Roman" w:hAnsi="Times New Roman" w:cs="Times New Roman"/>
          <w:lang w:val="lt-LT"/>
        </w:rPr>
      </w:pPr>
    </w:p>
    <w:p w14:paraId="0DD1AE34" w14:textId="77777777" w:rsidR="00173803" w:rsidRPr="00AB7860" w:rsidRDefault="00173803" w:rsidP="00173803">
      <w:pPr>
        <w:spacing w:after="0" w:line="240" w:lineRule="auto"/>
        <w:rPr>
          <w:rFonts w:ascii="Times New Roman" w:hAnsi="Times New Roman" w:cs="Times New Roman"/>
          <w:lang w:val="lt-LT"/>
        </w:rPr>
      </w:pPr>
    </w:p>
    <w:p w14:paraId="4014BABC"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11.</w:t>
      </w:r>
      <w:r w:rsidRPr="00AB7860">
        <w:rPr>
          <w:rFonts w:ascii="Times New Roman" w:hAnsi="Times New Roman" w:cs="Times New Roman"/>
          <w:b/>
          <w:lang w:val="lt-LT"/>
        </w:rPr>
        <w:tab/>
      </w:r>
      <w:r w:rsidRPr="00AB7860">
        <w:rPr>
          <w:rFonts w:ascii="Times New Roman" w:eastAsia="Times New Roman" w:hAnsi="Times New Roman" w:cs="Times New Roman"/>
          <w:b/>
          <w:lang w:val="lt-LT"/>
        </w:rPr>
        <w:t>REGISTRUOTOJO</w:t>
      </w:r>
      <w:r w:rsidRPr="00AB7860">
        <w:rPr>
          <w:rFonts w:ascii="Times New Roman" w:hAnsi="Times New Roman" w:cs="Times New Roman"/>
          <w:b/>
          <w:lang w:val="lt-LT"/>
        </w:rPr>
        <w:t xml:space="preserve"> PAVADINIMAS IR ADRESAS</w:t>
      </w:r>
    </w:p>
    <w:p w14:paraId="764CA0D3" w14:textId="77777777" w:rsidR="00173803" w:rsidRPr="00AB7860" w:rsidRDefault="00173803" w:rsidP="00173803">
      <w:pPr>
        <w:spacing w:after="0" w:line="240" w:lineRule="auto"/>
        <w:rPr>
          <w:rFonts w:ascii="Times New Roman" w:hAnsi="Times New Roman" w:cs="Times New Roman"/>
          <w:lang w:val="lt-LT"/>
        </w:rPr>
      </w:pPr>
    </w:p>
    <w:p w14:paraId="74C2B96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&lt;Logo&gt; </w:t>
      </w:r>
      <w:r w:rsidRPr="00AB7860">
        <w:rPr>
          <w:rFonts w:ascii="Times New Roman" w:eastAsia="Times New Roman" w:hAnsi="Times New Roman" w:cs="Times New Roman"/>
          <w:caps/>
          <w:noProof/>
          <w:color w:val="000000"/>
          <w:lang w:val="lt-LT" w:eastAsia="lt-LT"/>
        </w:rPr>
        <w:drawing>
          <wp:inline distT="0" distB="0" distL="0" distR="0" wp14:anchorId="32AF6A9F" wp14:editId="0E9A129B">
            <wp:extent cx="514350" cy="114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lum bright="18000" contrast="-6000"/>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p>
    <w:p w14:paraId="6D4ED2D2" w14:textId="77777777" w:rsidR="00173803" w:rsidRPr="00AB7860" w:rsidRDefault="00173803" w:rsidP="00173803">
      <w:pPr>
        <w:spacing w:after="0" w:line="240" w:lineRule="auto"/>
        <w:rPr>
          <w:rFonts w:ascii="Times New Roman" w:hAnsi="Times New Roman" w:cs="Times New Roman"/>
          <w:lang w:val="lt-LT"/>
        </w:rPr>
      </w:pPr>
    </w:p>
    <w:p w14:paraId="03FAA3A0"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AS GRINDEKS.</w:t>
      </w:r>
    </w:p>
    <w:p w14:paraId="4163E2C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Krustpils iela 53, Rīga, LV-1057, Latvija</w:t>
      </w:r>
    </w:p>
    <w:p w14:paraId="3000BCB9" w14:textId="77777777" w:rsidR="00173803" w:rsidRPr="00AB7860" w:rsidRDefault="00173803" w:rsidP="00173803">
      <w:pPr>
        <w:spacing w:after="0" w:line="240" w:lineRule="auto"/>
        <w:rPr>
          <w:rFonts w:ascii="Times New Roman" w:hAnsi="Times New Roman" w:cs="Times New Roman"/>
          <w:lang w:val="lt-LT"/>
        </w:rPr>
      </w:pPr>
    </w:p>
    <w:p w14:paraId="2754CE6A" w14:textId="77777777" w:rsidR="00173803" w:rsidRPr="00AB7860" w:rsidRDefault="00173803" w:rsidP="00173803">
      <w:pPr>
        <w:spacing w:after="0" w:line="240" w:lineRule="auto"/>
        <w:rPr>
          <w:rFonts w:ascii="Times New Roman" w:hAnsi="Times New Roman" w:cs="Times New Roman"/>
          <w:lang w:val="lt-LT"/>
        </w:rPr>
      </w:pPr>
    </w:p>
    <w:p w14:paraId="7B7F7DBD" w14:textId="77777777" w:rsidR="00173803" w:rsidRPr="00AB7860" w:rsidRDefault="00173803" w:rsidP="00173803">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12.</w:t>
      </w:r>
      <w:r w:rsidRPr="00AB7860">
        <w:rPr>
          <w:rFonts w:ascii="Times New Roman" w:hAnsi="Times New Roman" w:cs="Times New Roman"/>
          <w:b/>
          <w:lang w:val="lt-LT"/>
        </w:rPr>
        <w:tab/>
      </w:r>
      <w:r w:rsidRPr="00AB7860">
        <w:rPr>
          <w:rFonts w:ascii="Times New Roman" w:eastAsia="Times New Roman" w:hAnsi="Times New Roman" w:cs="Times New Roman"/>
          <w:b/>
          <w:lang w:val="lt-LT"/>
        </w:rPr>
        <w:t>REGISTRACIJOS</w:t>
      </w:r>
      <w:r w:rsidRPr="00AB7860">
        <w:rPr>
          <w:rFonts w:ascii="Times New Roman" w:hAnsi="Times New Roman" w:cs="Times New Roman"/>
          <w:b/>
          <w:lang w:val="lt-LT"/>
        </w:rPr>
        <w:t xml:space="preserve"> PAŽYMĖJIMO NUMERIS (-IAI)</w:t>
      </w:r>
    </w:p>
    <w:p w14:paraId="6507B591" w14:textId="77777777" w:rsidR="00173803" w:rsidRPr="00AB7860" w:rsidRDefault="00173803" w:rsidP="00173803">
      <w:pPr>
        <w:spacing w:after="0" w:line="240" w:lineRule="auto"/>
        <w:rPr>
          <w:rFonts w:ascii="Times New Roman" w:hAnsi="Times New Roman" w:cs="Times New Roman"/>
          <w:lang w:val="lt-LT"/>
        </w:rPr>
      </w:pPr>
    </w:p>
    <w:p w14:paraId="0CCC5463" w14:textId="77777777" w:rsidR="008E43E8" w:rsidRPr="00830451" w:rsidRDefault="008E43E8" w:rsidP="008E43E8">
      <w:pPr>
        <w:spacing w:after="0" w:line="240" w:lineRule="auto"/>
        <w:rPr>
          <w:rFonts w:ascii="Times New Roman" w:hAnsi="Times New Roman" w:cs="Times New Roman"/>
          <w:highlight w:val="lightGray"/>
          <w:lang w:val="lt-LT"/>
        </w:rPr>
      </w:pPr>
      <w:r w:rsidRPr="00830451">
        <w:rPr>
          <w:rFonts w:ascii="Times New Roman" w:hAnsi="Times New Roman" w:cs="Times New Roman"/>
          <w:lang w:val="lt-LT"/>
        </w:rPr>
        <w:t xml:space="preserve">LT/1/13/3421/001 </w:t>
      </w:r>
      <w:r w:rsidRPr="00830451">
        <w:rPr>
          <w:rFonts w:ascii="Times New Roman" w:hAnsi="Times New Roman" w:cs="Times New Roman"/>
          <w:highlight w:val="lightGray"/>
          <w:lang w:val="lt-LT"/>
        </w:rPr>
        <w:t>– N60</w:t>
      </w:r>
    </w:p>
    <w:p w14:paraId="15CE1F5A" w14:textId="77777777" w:rsidR="008E43E8" w:rsidRPr="00830451" w:rsidRDefault="008E43E8" w:rsidP="008E43E8">
      <w:pPr>
        <w:spacing w:after="0" w:line="240" w:lineRule="auto"/>
        <w:rPr>
          <w:rFonts w:ascii="Times New Roman" w:hAnsi="Times New Roman" w:cs="Times New Roman"/>
          <w:highlight w:val="lightGray"/>
          <w:lang w:val="lt-LT"/>
        </w:rPr>
      </w:pPr>
      <w:r w:rsidRPr="00830451">
        <w:rPr>
          <w:rFonts w:ascii="Times New Roman" w:hAnsi="Times New Roman" w:cs="Times New Roman"/>
          <w:highlight w:val="lightGray"/>
          <w:lang w:val="lt-LT"/>
        </w:rPr>
        <w:t>LT/1/13/3421/002 – N120</w:t>
      </w:r>
    </w:p>
    <w:p w14:paraId="667BA7EC" w14:textId="77777777" w:rsidR="00173803" w:rsidRPr="00AB7860" w:rsidRDefault="00173803" w:rsidP="00173803">
      <w:pPr>
        <w:spacing w:after="0" w:line="240" w:lineRule="auto"/>
        <w:rPr>
          <w:rFonts w:ascii="Times New Roman" w:hAnsi="Times New Roman" w:cs="Times New Roman"/>
          <w:lang w:val="lt-LT"/>
        </w:rPr>
      </w:pPr>
    </w:p>
    <w:p w14:paraId="30E5FE13" w14:textId="77777777" w:rsidR="00173803" w:rsidRPr="00AB7860" w:rsidRDefault="00173803" w:rsidP="00173803">
      <w:pPr>
        <w:spacing w:after="0" w:line="240" w:lineRule="auto"/>
        <w:rPr>
          <w:rFonts w:ascii="Times New Roman" w:hAnsi="Times New Roman" w:cs="Times New Roman"/>
          <w:lang w:val="lt-LT"/>
        </w:rPr>
      </w:pPr>
    </w:p>
    <w:p w14:paraId="0250E39E"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13.</w:t>
      </w:r>
      <w:r w:rsidRPr="00AB7860">
        <w:rPr>
          <w:rFonts w:ascii="Times New Roman" w:hAnsi="Times New Roman" w:cs="Times New Roman"/>
          <w:b/>
          <w:lang w:val="lt-LT"/>
        </w:rPr>
        <w:tab/>
        <w:t>SERIJOS NUMERIS</w:t>
      </w:r>
    </w:p>
    <w:p w14:paraId="7438C72A" w14:textId="77777777" w:rsidR="00173803" w:rsidRPr="00AB7860" w:rsidRDefault="00173803" w:rsidP="00173803">
      <w:pPr>
        <w:spacing w:after="0" w:line="240" w:lineRule="auto"/>
        <w:rPr>
          <w:rFonts w:ascii="Times New Roman" w:hAnsi="Times New Roman" w:cs="Times New Roman"/>
          <w:lang w:val="lt-LT"/>
        </w:rPr>
      </w:pPr>
    </w:p>
    <w:p w14:paraId="413D7AE4"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Lot</w:t>
      </w:r>
    </w:p>
    <w:p w14:paraId="6EA04522" w14:textId="77777777" w:rsidR="00173803" w:rsidRPr="00AB7860" w:rsidRDefault="00173803" w:rsidP="00173803">
      <w:pPr>
        <w:spacing w:after="0" w:line="240" w:lineRule="auto"/>
        <w:rPr>
          <w:rFonts w:ascii="Times New Roman" w:hAnsi="Times New Roman" w:cs="Times New Roman"/>
          <w:lang w:val="lt-LT"/>
        </w:rPr>
      </w:pPr>
    </w:p>
    <w:p w14:paraId="15890E0F" w14:textId="77777777" w:rsidR="00173803" w:rsidRPr="00AB7860" w:rsidRDefault="00173803" w:rsidP="00173803">
      <w:pPr>
        <w:spacing w:after="0" w:line="240" w:lineRule="auto"/>
        <w:rPr>
          <w:rFonts w:ascii="Times New Roman" w:hAnsi="Times New Roman" w:cs="Times New Roman"/>
          <w:lang w:val="lt-LT"/>
        </w:rPr>
      </w:pPr>
    </w:p>
    <w:p w14:paraId="45ED0DB8"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14.</w:t>
      </w:r>
      <w:r w:rsidRPr="00AB7860">
        <w:rPr>
          <w:rFonts w:ascii="Times New Roman" w:hAnsi="Times New Roman" w:cs="Times New Roman"/>
          <w:b/>
          <w:lang w:val="lt-LT"/>
        </w:rPr>
        <w:tab/>
        <w:t>PARDAVIMO (IŠDAVIMO) TVARKA</w:t>
      </w:r>
    </w:p>
    <w:p w14:paraId="3234357E" w14:textId="77777777" w:rsidR="00173803" w:rsidRPr="00AB7860" w:rsidRDefault="00173803" w:rsidP="00173803">
      <w:pPr>
        <w:spacing w:after="0" w:line="240" w:lineRule="auto"/>
        <w:rPr>
          <w:rFonts w:ascii="Times New Roman" w:hAnsi="Times New Roman" w:cs="Times New Roman"/>
          <w:lang w:val="lt-LT"/>
        </w:rPr>
      </w:pPr>
    </w:p>
    <w:p w14:paraId="17F500F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Receptinis </w:t>
      </w:r>
      <w:r w:rsidRPr="00AB7860">
        <w:rPr>
          <w:rFonts w:ascii="Times New Roman" w:eastAsia="Times New Roman" w:hAnsi="Times New Roman" w:cs="Times New Roman"/>
          <w:lang w:val="lt-LT"/>
        </w:rPr>
        <w:t>vaistas</w:t>
      </w:r>
      <w:r w:rsidRPr="00AB7860">
        <w:rPr>
          <w:rFonts w:ascii="Times New Roman" w:hAnsi="Times New Roman" w:cs="Times New Roman"/>
          <w:lang w:val="lt-LT"/>
        </w:rPr>
        <w:t>.</w:t>
      </w:r>
    </w:p>
    <w:p w14:paraId="2D329D35" w14:textId="77777777" w:rsidR="00173803" w:rsidRPr="00AB7860" w:rsidRDefault="00173803" w:rsidP="00173803">
      <w:pPr>
        <w:spacing w:after="0" w:line="240" w:lineRule="auto"/>
        <w:rPr>
          <w:rFonts w:ascii="Times New Roman" w:hAnsi="Times New Roman" w:cs="Times New Roman"/>
          <w:lang w:val="lt-LT"/>
        </w:rPr>
      </w:pPr>
    </w:p>
    <w:p w14:paraId="09C5CACE" w14:textId="77777777" w:rsidR="00173803" w:rsidRPr="00AB7860" w:rsidRDefault="00173803" w:rsidP="00173803">
      <w:pPr>
        <w:spacing w:after="0" w:line="240" w:lineRule="auto"/>
        <w:rPr>
          <w:rFonts w:ascii="Times New Roman" w:hAnsi="Times New Roman" w:cs="Times New Roman"/>
          <w:lang w:val="lt-LT"/>
        </w:rPr>
      </w:pPr>
    </w:p>
    <w:p w14:paraId="0401FE6E"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15.</w:t>
      </w:r>
      <w:r w:rsidRPr="00AB7860">
        <w:rPr>
          <w:rFonts w:ascii="Times New Roman" w:hAnsi="Times New Roman" w:cs="Times New Roman"/>
          <w:b/>
          <w:lang w:val="lt-LT"/>
        </w:rPr>
        <w:tab/>
        <w:t>VARTOJIMO INSTRUKCIJA</w:t>
      </w:r>
    </w:p>
    <w:p w14:paraId="5B8A8146" w14:textId="77777777" w:rsidR="00173803" w:rsidRPr="00AB7860" w:rsidRDefault="00173803" w:rsidP="00173803">
      <w:pPr>
        <w:spacing w:after="0" w:line="240" w:lineRule="auto"/>
        <w:rPr>
          <w:rFonts w:ascii="Times New Roman" w:hAnsi="Times New Roman" w:cs="Times New Roman"/>
          <w:lang w:val="lt-LT"/>
        </w:rPr>
      </w:pPr>
    </w:p>
    <w:p w14:paraId="6B8E46EC" w14:textId="77777777" w:rsidR="00173803" w:rsidRPr="00AB7860" w:rsidRDefault="00173803" w:rsidP="00173803">
      <w:pPr>
        <w:spacing w:after="0" w:line="240" w:lineRule="auto"/>
        <w:rPr>
          <w:rFonts w:ascii="Times New Roman" w:hAnsi="Times New Roman" w:cs="Times New Roman"/>
          <w:lang w:val="lt-LT"/>
        </w:rPr>
      </w:pPr>
    </w:p>
    <w:p w14:paraId="4C43CC89"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16.</w:t>
      </w:r>
      <w:r w:rsidRPr="00AB7860">
        <w:rPr>
          <w:rFonts w:ascii="Times New Roman" w:hAnsi="Times New Roman" w:cs="Times New Roman"/>
          <w:b/>
          <w:lang w:val="lt-LT"/>
        </w:rPr>
        <w:tab/>
        <w:t>INFORMACIJA BRAILIO RAŠTU</w:t>
      </w:r>
    </w:p>
    <w:p w14:paraId="600A86E6" w14:textId="77777777" w:rsidR="00173803" w:rsidRPr="00AB7860" w:rsidRDefault="00173803" w:rsidP="00173803">
      <w:pPr>
        <w:spacing w:after="0" w:line="240" w:lineRule="auto"/>
        <w:rPr>
          <w:rFonts w:ascii="Times New Roman" w:hAnsi="Times New Roman" w:cs="Times New Roman"/>
          <w:lang w:val="lt-LT"/>
        </w:rPr>
      </w:pPr>
    </w:p>
    <w:p w14:paraId="0EE60B50"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imatinib grindeks 100 mg </w:t>
      </w:r>
    </w:p>
    <w:p w14:paraId="2A4CA2CD" w14:textId="77777777" w:rsidR="00173803" w:rsidRPr="00AB7860" w:rsidRDefault="00173803" w:rsidP="00173803">
      <w:pPr>
        <w:spacing w:after="0" w:line="240" w:lineRule="auto"/>
        <w:rPr>
          <w:rFonts w:ascii="Times New Roman" w:eastAsia="Times New Roman" w:hAnsi="Times New Roman" w:cs="Times New Roman"/>
          <w:lang w:val="lt-LT"/>
        </w:rPr>
      </w:pPr>
    </w:p>
    <w:p w14:paraId="590E68CA" w14:textId="77777777" w:rsidR="00173803" w:rsidRPr="00AB7860" w:rsidRDefault="00173803" w:rsidP="00173803">
      <w:pPr>
        <w:spacing w:after="0"/>
        <w:rPr>
          <w:rFonts w:ascii="Times New Roman" w:hAnsi="Times New Roman" w:cs="Times New Roman"/>
          <w:noProof/>
          <w:shd w:val="clear" w:color="auto" w:fill="CCCCCC"/>
          <w:lang w:val="lt-LT"/>
        </w:rPr>
      </w:pPr>
    </w:p>
    <w:p w14:paraId="18D6F0D1" w14:textId="77777777" w:rsidR="00173803" w:rsidRPr="00AB7860" w:rsidRDefault="00173803" w:rsidP="00173803">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lang w:val="en-GB"/>
        </w:rPr>
      </w:pPr>
      <w:r w:rsidRPr="00AB7860">
        <w:rPr>
          <w:rFonts w:ascii="Times New Roman" w:hAnsi="Times New Roman" w:cs="Times New Roman"/>
          <w:b/>
          <w:noProof/>
        </w:rPr>
        <w:t>17.</w:t>
      </w:r>
      <w:r w:rsidRPr="00AB7860">
        <w:rPr>
          <w:rFonts w:ascii="Times New Roman" w:hAnsi="Times New Roman" w:cs="Times New Roman"/>
          <w:b/>
          <w:noProof/>
        </w:rPr>
        <w:tab/>
        <w:t>UNIKALUS IDENTIFIKATORIUS – 2D BRŪKŠNINIS KODAS</w:t>
      </w:r>
    </w:p>
    <w:p w14:paraId="08E136D4" w14:textId="77777777" w:rsidR="00173803" w:rsidRPr="00AB7860" w:rsidRDefault="00173803" w:rsidP="00173803">
      <w:pPr>
        <w:spacing w:after="0"/>
        <w:rPr>
          <w:rFonts w:ascii="Times New Roman" w:hAnsi="Times New Roman" w:cs="Times New Roman"/>
          <w:noProof/>
        </w:rPr>
      </w:pPr>
    </w:p>
    <w:p w14:paraId="43011FA2" w14:textId="77777777" w:rsidR="00173803" w:rsidRPr="00AB7860" w:rsidRDefault="00173803" w:rsidP="00173803">
      <w:pPr>
        <w:spacing w:after="0"/>
        <w:rPr>
          <w:rFonts w:ascii="Times New Roman" w:hAnsi="Times New Roman" w:cs="Times New Roman"/>
          <w:noProof/>
          <w:shd w:val="clear" w:color="auto" w:fill="CCCCCC"/>
        </w:rPr>
      </w:pPr>
      <w:r w:rsidRPr="00AB7860">
        <w:rPr>
          <w:rFonts w:ascii="Times New Roman" w:hAnsi="Times New Roman" w:cs="Times New Roman"/>
          <w:noProof/>
          <w:highlight w:val="lightGray"/>
        </w:rPr>
        <w:t>2D brūkšninis kodas su nurodytu unikaliu identifikatoriumi.</w:t>
      </w:r>
    </w:p>
    <w:p w14:paraId="1D2761AC" w14:textId="77777777" w:rsidR="00173803" w:rsidRPr="00AB7860" w:rsidRDefault="00173803" w:rsidP="00173803">
      <w:pPr>
        <w:spacing w:after="0"/>
        <w:rPr>
          <w:rFonts w:ascii="Times New Roman" w:hAnsi="Times New Roman" w:cs="Times New Roman"/>
          <w:noProof/>
          <w:shd w:val="clear" w:color="auto" w:fill="CCCCCC"/>
        </w:rPr>
      </w:pPr>
    </w:p>
    <w:p w14:paraId="0ADAB278" w14:textId="77777777" w:rsidR="00173803" w:rsidRPr="00AB7860" w:rsidRDefault="00173803" w:rsidP="00173803">
      <w:pPr>
        <w:spacing w:after="0"/>
        <w:rPr>
          <w:rFonts w:ascii="Times New Roman" w:hAnsi="Times New Roman" w:cs="Times New Roman"/>
          <w:noProof/>
        </w:rPr>
      </w:pPr>
    </w:p>
    <w:p w14:paraId="02FD54CD" w14:textId="77777777" w:rsidR="00173803" w:rsidRPr="00AB7860" w:rsidRDefault="00173803" w:rsidP="00173803">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rPr>
      </w:pPr>
      <w:r w:rsidRPr="00AB7860">
        <w:rPr>
          <w:rFonts w:ascii="Times New Roman" w:hAnsi="Times New Roman" w:cs="Times New Roman"/>
          <w:b/>
          <w:noProof/>
        </w:rPr>
        <w:t>18.</w:t>
      </w:r>
      <w:r w:rsidRPr="00AB7860">
        <w:rPr>
          <w:rFonts w:ascii="Times New Roman" w:hAnsi="Times New Roman" w:cs="Times New Roman"/>
          <w:b/>
          <w:noProof/>
        </w:rPr>
        <w:tab/>
        <w:t>UNIKALUS IDENTIFIKATORIUS – ŽMONĖMS SUPRANTAMI DUOMENYS</w:t>
      </w:r>
    </w:p>
    <w:p w14:paraId="4BAB0095" w14:textId="77777777" w:rsidR="00173803" w:rsidRPr="00AB7860" w:rsidRDefault="00173803" w:rsidP="00173803">
      <w:pPr>
        <w:spacing w:after="0"/>
        <w:rPr>
          <w:rFonts w:ascii="Times New Roman" w:hAnsi="Times New Roman" w:cs="Times New Roman"/>
          <w:noProof/>
        </w:rPr>
      </w:pPr>
    </w:p>
    <w:p w14:paraId="7A42323D" w14:textId="77777777" w:rsidR="00173803" w:rsidRPr="00AB7860" w:rsidRDefault="00173803" w:rsidP="00173803">
      <w:pPr>
        <w:spacing w:after="0"/>
        <w:rPr>
          <w:rFonts w:ascii="Times New Roman" w:hAnsi="Times New Roman" w:cs="Times New Roman"/>
        </w:rPr>
      </w:pPr>
      <w:r w:rsidRPr="00AB7860">
        <w:rPr>
          <w:rFonts w:ascii="Times New Roman" w:hAnsi="Times New Roman" w:cs="Times New Roman"/>
        </w:rPr>
        <w:t xml:space="preserve">PC: {numeris} </w:t>
      </w:r>
    </w:p>
    <w:p w14:paraId="588E4465" w14:textId="77777777" w:rsidR="00173803" w:rsidRPr="00AB7860" w:rsidRDefault="00173803" w:rsidP="00173803">
      <w:pPr>
        <w:spacing w:after="0"/>
        <w:rPr>
          <w:rFonts w:ascii="Times New Roman" w:hAnsi="Times New Roman" w:cs="Times New Roman"/>
        </w:rPr>
      </w:pPr>
      <w:r w:rsidRPr="00AB7860">
        <w:rPr>
          <w:rFonts w:ascii="Times New Roman" w:hAnsi="Times New Roman" w:cs="Times New Roman"/>
        </w:rPr>
        <w:t xml:space="preserve">SN: {numeris} </w:t>
      </w:r>
    </w:p>
    <w:p w14:paraId="64E2C8CE" w14:textId="77777777" w:rsidR="00173803" w:rsidRPr="00AB7860" w:rsidRDefault="00173803" w:rsidP="00173803">
      <w:pPr>
        <w:spacing w:after="0"/>
        <w:rPr>
          <w:rFonts w:ascii="Times New Roman" w:hAnsi="Times New Roman" w:cs="Times New Roman"/>
          <w:lang w:val="lt-LT"/>
        </w:rPr>
      </w:pPr>
      <w:r w:rsidRPr="00AB7860">
        <w:rPr>
          <w:rFonts w:ascii="Times New Roman" w:hAnsi="Times New Roman" w:cs="Times New Roman"/>
          <w:highlight w:val="lightGray"/>
        </w:rPr>
        <w:t xml:space="preserve">NN: {numeris} </w:t>
      </w:r>
    </w:p>
    <w:p w14:paraId="6B3E792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br w:type="page"/>
      </w:r>
    </w:p>
    <w:p w14:paraId="56BB943B"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lastRenderedPageBreak/>
        <w:t xml:space="preserve">MINIMALI </w:t>
      </w:r>
      <w:r w:rsidRPr="00AB7860">
        <w:rPr>
          <w:rFonts w:ascii="Times New Roman" w:hAnsi="Times New Roman" w:cs="Times New Roman"/>
          <w:b/>
          <w:caps/>
          <w:lang w:val="lt-LT"/>
        </w:rPr>
        <w:t xml:space="preserve">informacija ant </w:t>
      </w:r>
      <w:r w:rsidRPr="00AB7860">
        <w:rPr>
          <w:rFonts w:ascii="Times New Roman" w:hAnsi="Times New Roman" w:cs="Times New Roman"/>
          <w:b/>
          <w:lang w:val="lt-LT"/>
        </w:rPr>
        <w:t>LIZDINIŲ PLOKŠTELIŲ ARBA DVISLUOKSNIŲ JUOSTELIŲ</w:t>
      </w:r>
    </w:p>
    <w:p w14:paraId="75327006"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p>
    <w:p w14:paraId="2B009928"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LIZDINĖ PLOKŠTELĖ</w:t>
      </w:r>
    </w:p>
    <w:p w14:paraId="51005A7D" w14:textId="77777777" w:rsidR="00173803" w:rsidRPr="00AB7860" w:rsidRDefault="00173803" w:rsidP="00173803">
      <w:pPr>
        <w:spacing w:after="0" w:line="240" w:lineRule="auto"/>
        <w:rPr>
          <w:rFonts w:ascii="Times New Roman" w:hAnsi="Times New Roman" w:cs="Times New Roman"/>
          <w:lang w:val="lt-LT"/>
        </w:rPr>
      </w:pPr>
    </w:p>
    <w:p w14:paraId="159C47C7" w14:textId="77777777" w:rsidR="00173803" w:rsidRPr="00AB7860" w:rsidRDefault="00173803" w:rsidP="00173803">
      <w:pPr>
        <w:spacing w:after="0" w:line="240" w:lineRule="auto"/>
        <w:rPr>
          <w:rFonts w:ascii="Times New Roman" w:hAnsi="Times New Roman" w:cs="Times New Roman"/>
          <w:lang w:val="lt-LT"/>
        </w:rPr>
      </w:pPr>
    </w:p>
    <w:p w14:paraId="277A5305"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1.</w:t>
      </w:r>
      <w:r w:rsidRPr="00AB7860">
        <w:rPr>
          <w:rFonts w:ascii="Times New Roman" w:hAnsi="Times New Roman" w:cs="Times New Roman"/>
          <w:b/>
          <w:lang w:val="lt-LT"/>
        </w:rPr>
        <w:tab/>
        <w:t>VAISTINIO PREPARATO PAVADINIMAS</w:t>
      </w:r>
    </w:p>
    <w:p w14:paraId="1ACFA35C" w14:textId="77777777" w:rsidR="00173803" w:rsidRPr="00AB7860" w:rsidRDefault="00173803" w:rsidP="00173803">
      <w:pPr>
        <w:spacing w:after="0" w:line="240" w:lineRule="auto"/>
        <w:rPr>
          <w:rFonts w:ascii="Times New Roman" w:hAnsi="Times New Roman" w:cs="Times New Roman"/>
          <w:lang w:val="lt-LT"/>
        </w:rPr>
      </w:pPr>
    </w:p>
    <w:p w14:paraId="2ABAD14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Imatinib Grindeks 100 mg kietosios kapsulės</w:t>
      </w:r>
    </w:p>
    <w:p w14:paraId="5BFB1D88" w14:textId="3BF24F11" w:rsidR="00173803" w:rsidRPr="00AB7860" w:rsidRDefault="007D22B5" w:rsidP="00173803">
      <w:pPr>
        <w:spacing w:after="0" w:line="240" w:lineRule="auto"/>
        <w:rPr>
          <w:rFonts w:ascii="Times New Roman" w:hAnsi="Times New Roman" w:cs="Times New Roman"/>
          <w:lang w:val="lt-LT"/>
        </w:rPr>
      </w:pPr>
      <w:r>
        <w:rPr>
          <w:rFonts w:ascii="Times New Roman" w:hAnsi="Times New Roman" w:cs="Times New Roman"/>
          <w:lang w:val="lt-LT"/>
        </w:rPr>
        <w:t>i</w:t>
      </w:r>
      <w:r w:rsidR="00173803" w:rsidRPr="00AB7860">
        <w:rPr>
          <w:rFonts w:ascii="Times New Roman" w:hAnsi="Times New Roman" w:cs="Times New Roman"/>
          <w:lang w:val="lt-LT"/>
        </w:rPr>
        <w:t>matinibum</w:t>
      </w:r>
    </w:p>
    <w:p w14:paraId="4BA8BF99" w14:textId="77777777" w:rsidR="00173803" w:rsidRPr="00AB7860" w:rsidRDefault="00173803" w:rsidP="00173803">
      <w:pPr>
        <w:spacing w:after="0" w:line="240" w:lineRule="auto"/>
        <w:rPr>
          <w:rFonts w:ascii="Times New Roman" w:hAnsi="Times New Roman" w:cs="Times New Roman"/>
          <w:lang w:val="lt-LT"/>
        </w:rPr>
      </w:pPr>
    </w:p>
    <w:p w14:paraId="23CB3E94" w14:textId="77777777" w:rsidR="00173803" w:rsidRPr="00AB7860" w:rsidRDefault="00173803" w:rsidP="00173803">
      <w:pPr>
        <w:spacing w:after="0" w:line="240" w:lineRule="auto"/>
        <w:rPr>
          <w:rFonts w:ascii="Times New Roman" w:hAnsi="Times New Roman" w:cs="Times New Roman"/>
          <w:lang w:val="lt-LT"/>
        </w:rPr>
      </w:pPr>
    </w:p>
    <w:p w14:paraId="472C801E"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2.</w:t>
      </w:r>
      <w:r w:rsidRPr="00AB7860">
        <w:rPr>
          <w:rFonts w:ascii="Times New Roman" w:hAnsi="Times New Roman" w:cs="Times New Roman"/>
          <w:b/>
          <w:lang w:val="lt-LT"/>
        </w:rPr>
        <w:tab/>
      </w:r>
      <w:r w:rsidRPr="00AB7860">
        <w:rPr>
          <w:rFonts w:ascii="Times New Roman" w:eastAsia="Times New Roman" w:hAnsi="Times New Roman" w:cs="Times New Roman"/>
          <w:b/>
          <w:lang w:val="lt-LT"/>
        </w:rPr>
        <w:t>REGISTRUOTOJO</w:t>
      </w:r>
      <w:r w:rsidRPr="00AB7860">
        <w:rPr>
          <w:rFonts w:ascii="Times New Roman" w:hAnsi="Times New Roman" w:cs="Times New Roman"/>
          <w:b/>
          <w:lang w:val="lt-LT"/>
        </w:rPr>
        <w:t xml:space="preserve"> PAVADINIMAS</w:t>
      </w:r>
    </w:p>
    <w:p w14:paraId="113BDC43" w14:textId="77777777" w:rsidR="00173803" w:rsidRPr="00AB7860" w:rsidRDefault="00173803" w:rsidP="00173803">
      <w:pPr>
        <w:spacing w:after="0" w:line="240" w:lineRule="auto"/>
        <w:rPr>
          <w:rFonts w:ascii="Times New Roman" w:hAnsi="Times New Roman" w:cs="Times New Roman"/>
          <w:lang w:val="lt-LT"/>
        </w:rPr>
      </w:pPr>
    </w:p>
    <w:p w14:paraId="407DB64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&lt;Logo&gt; </w:t>
      </w:r>
      <w:r w:rsidRPr="00AB7860">
        <w:rPr>
          <w:rFonts w:ascii="Times New Roman" w:eastAsia="Times New Roman" w:hAnsi="Times New Roman" w:cs="Times New Roman"/>
          <w:caps/>
          <w:noProof/>
          <w:color w:val="000000"/>
          <w:lang w:val="lt-LT" w:eastAsia="lt-LT"/>
        </w:rPr>
        <w:drawing>
          <wp:inline distT="0" distB="0" distL="0" distR="0" wp14:anchorId="47C88AAB" wp14:editId="737C8B19">
            <wp:extent cx="51435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lum bright="18000" contrast="-6000"/>
                      <a:extLst>
                        <a:ext uri="{28A0092B-C50C-407E-A947-70E740481C1C}">
                          <a14:useLocalDpi xmlns:a14="http://schemas.microsoft.com/office/drawing/2010/main" val="0"/>
                        </a:ext>
                      </a:extLst>
                    </a:blip>
                    <a:srcRect/>
                    <a:stretch>
                      <a:fillRect/>
                    </a:stretch>
                  </pic:blipFill>
                  <pic:spPr bwMode="auto">
                    <a:xfrm>
                      <a:off x="0" y="0"/>
                      <a:ext cx="514350" cy="114300"/>
                    </a:xfrm>
                    <a:prstGeom prst="rect">
                      <a:avLst/>
                    </a:prstGeom>
                    <a:noFill/>
                    <a:ln>
                      <a:noFill/>
                    </a:ln>
                  </pic:spPr>
                </pic:pic>
              </a:graphicData>
            </a:graphic>
          </wp:inline>
        </w:drawing>
      </w:r>
    </w:p>
    <w:p w14:paraId="31C5B321" w14:textId="77777777" w:rsidR="00173803" w:rsidRPr="00AB7860" w:rsidRDefault="00173803" w:rsidP="00173803">
      <w:pPr>
        <w:spacing w:after="0" w:line="240" w:lineRule="auto"/>
        <w:rPr>
          <w:rFonts w:ascii="Times New Roman" w:hAnsi="Times New Roman" w:cs="Times New Roman"/>
          <w:lang w:val="lt-LT"/>
        </w:rPr>
      </w:pPr>
    </w:p>
    <w:p w14:paraId="0875D8D3" w14:textId="77777777" w:rsidR="00173803" w:rsidRPr="00AB7860" w:rsidRDefault="00173803" w:rsidP="00173803">
      <w:pPr>
        <w:spacing w:after="0" w:line="240" w:lineRule="auto"/>
        <w:rPr>
          <w:rFonts w:ascii="Times New Roman" w:hAnsi="Times New Roman" w:cs="Times New Roman"/>
          <w:lang w:val="lt-LT"/>
        </w:rPr>
      </w:pPr>
    </w:p>
    <w:p w14:paraId="2C0BD658"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3.</w:t>
      </w:r>
      <w:r w:rsidRPr="00AB7860">
        <w:rPr>
          <w:rFonts w:ascii="Times New Roman" w:hAnsi="Times New Roman" w:cs="Times New Roman"/>
          <w:b/>
          <w:lang w:val="lt-LT"/>
        </w:rPr>
        <w:tab/>
        <w:t>TINKAMUMO LAIKAS</w:t>
      </w:r>
    </w:p>
    <w:p w14:paraId="5D2AB094" w14:textId="77777777" w:rsidR="00173803" w:rsidRPr="00AB7860" w:rsidRDefault="00173803" w:rsidP="00173803">
      <w:pPr>
        <w:spacing w:after="0" w:line="240" w:lineRule="auto"/>
        <w:rPr>
          <w:rFonts w:ascii="Times New Roman" w:hAnsi="Times New Roman" w:cs="Times New Roman"/>
          <w:lang w:val="lt-LT"/>
        </w:rPr>
      </w:pPr>
    </w:p>
    <w:p w14:paraId="49C509F6"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highlight w:val="lightGray"/>
          <w:lang w:val="lt-LT"/>
        </w:rPr>
        <w:t xml:space="preserve">EXP </w:t>
      </w:r>
      <w:r w:rsidRPr="00AB7860">
        <w:rPr>
          <w:rFonts w:ascii="Times New Roman" w:hAnsi="Times New Roman" w:cs="Times New Roman"/>
          <w:color w:val="000000"/>
          <w:lang w:val="lt-LT"/>
        </w:rPr>
        <w:t>{mm MMMM}</w:t>
      </w:r>
    </w:p>
    <w:p w14:paraId="271C074C" w14:textId="77777777" w:rsidR="00173803" w:rsidRPr="00AB7860" w:rsidRDefault="00173803" w:rsidP="00173803">
      <w:pPr>
        <w:spacing w:after="0" w:line="240" w:lineRule="auto"/>
        <w:rPr>
          <w:rFonts w:ascii="Times New Roman" w:hAnsi="Times New Roman" w:cs="Times New Roman"/>
          <w:lang w:val="lt-LT"/>
        </w:rPr>
      </w:pPr>
    </w:p>
    <w:p w14:paraId="7950BBC8" w14:textId="77777777" w:rsidR="00173803" w:rsidRPr="00AB7860" w:rsidRDefault="00173803" w:rsidP="00173803">
      <w:pPr>
        <w:spacing w:after="0" w:line="240" w:lineRule="auto"/>
        <w:rPr>
          <w:rFonts w:ascii="Times New Roman" w:hAnsi="Times New Roman" w:cs="Times New Roman"/>
          <w:lang w:val="lt-LT"/>
        </w:rPr>
      </w:pPr>
    </w:p>
    <w:p w14:paraId="2940EB4F"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4.</w:t>
      </w:r>
      <w:r w:rsidRPr="00AB7860">
        <w:rPr>
          <w:rFonts w:ascii="Times New Roman" w:hAnsi="Times New Roman" w:cs="Times New Roman"/>
          <w:b/>
          <w:lang w:val="lt-LT"/>
        </w:rPr>
        <w:tab/>
        <w:t>SERIJOS NUMERIS</w:t>
      </w:r>
    </w:p>
    <w:p w14:paraId="3A8FEEB8" w14:textId="77777777" w:rsidR="00173803" w:rsidRPr="00AB7860" w:rsidRDefault="00173803" w:rsidP="00173803">
      <w:pPr>
        <w:spacing w:after="0" w:line="240" w:lineRule="auto"/>
        <w:rPr>
          <w:rFonts w:ascii="Times New Roman" w:hAnsi="Times New Roman" w:cs="Times New Roman"/>
          <w:lang w:val="lt-LT"/>
        </w:rPr>
      </w:pPr>
    </w:p>
    <w:p w14:paraId="3EC5EB73" w14:textId="77777777" w:rsidR="00173803" w:rsidRPr="00AB7860" w:rsidRDefault="00173803" w:rsidP="00173803">
      <w:pPr>
        <w:spacing w:after="0" w:line="240" w:lineRule="auto"/>
        <w:rPr>
          <w:rFonts w:ascii="Times New Roman" w:hAnsi="Times New Roman" w:cs="Times New Roman"/>
          <w:color w:val="000000"/>
          <w:highlight w:val="lightGray"/>
          <w:lang w:val="lt-LT"/>
        </w:rPr>
      </w:pPr>
      <w:r w:rsidRPr="00AB7860">
        <w:rPr>
          <w:rFonts w:ascii="Times New Roman" w:hAnsi="Times New Roman" w:cs="Times New Roman"/>
          <w:color w:val="000000"/>
          <w:highlight w:val="lightGray"/>
          <w:lang w:val="lt-LT"/>
        </w:rPr>
        <w:t>Lot</w:t>
      </w:r>
    </w:p>
    <w:p w14:paraId="49E6761D" w14:textId="77777777" w:rsidR="00173803" w:rsidRPr="00AB7860" w:rsidRDefault="00173803" w:rsidP="00173803">
      <w:pPr>
        <w:spacing w:after="0" w:line="240" w:lineRule="auto"/>
        <w:rPr>
          <w:rFonts w:ascii="Times New Roman" w:hAnsi="Times New Roman" w:cs="Times New Roman"/>
          <w:lang w:val="lt-LT"/>
        </w:rPr>
      </w:pPr>
    </w:p>
    <w:p w14:paraId="294E207C" w14:textId="77777777" w:rsidR="00173803" w:rsidRPr="00AB7860" w:rsidRDefault="00173803" w:rsidP="00173803">
      <w:pPr>
        <w:spacing w:after="0" w:line="240" w:lineRule="auto"/>
        <w:rPr>
          <w:rFonts w:ascii="Times New Roman" w:hAnsi="Times New Roman" w:cs="Times New Roman"/>
          <w:lang w:val="lt-LT"/>
        </w:rPr>
      </w:pPr>
    </w:p>
    <w:p w14:paraId="354108BE" w14:textId="77777777" w:rsidR="00173803" w:rsidRPr="00AB7860" w:rsidRDefault="00173803" w:rsidP="0017380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rPr>
      </w:pPr>
      <w:r w:rsidRPr="00AB7860">
        <w:rPr>
          <w:rFonts w:ascii="Times New Roman" w:hAnsi="Times New Roman" w:cs="Times New Roman"/>
          <w:b/>
          <w:lang w:val="lt-LT"/>
        </w:rPr>
        <w:t>5.</w:t>
      </w:r>
      <w:r w:rsidRPr="00AB7860">
        <w:rPr>
          <w:rFonts w:ascii="Times New Roman" w:hAnsi="Times New Roman" w:cs="Times New Roman"/>
          <w:b/>
          <w:lang w:val="lt-LT"/>
        </w:rPr>
        <w:tab/>
        <w:t>KITA</w:t>
      </w:r>
    </w:p>
    <w:p w14:paraId="1AF936BE" w14:textId="77777777" w:rsidR="00173803" w:rsidRPr="00AB7860" w:rsidRDefault="00173803" w:rsidP="00173803">
      <w:pPr>
        <w:spacing w:after="0" w:line="240" w:lineRule="auto"/>
        <w:rPr>
          <w:rFonts w:ascii="Times New Roman" w:hAnsi="Times New Roman" w:cs="Times New Roman"/>
          <w:lang w:val="lt-LT"/>
        </w:rPr>
      </w:pPr>
    </w:p>
    <w:p w14:paraId="65B5E911"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br w:type="page"/>
      </w:r>
    </w:p>
    <w:p w14:paraId="0EBB2D69" w14:textId="77777777" w:rsidR="00173803" w:rsidRPr="00AB7860" w:rsidRDefault="00173803" w:rsidP="00173803">
      <w:pPr>
        <w:spacing w:after="0" w:line="240" w:lineRule="auto"/>
        <w:rPr>
          <w:rFonts w:ascii="Times New Roman" w:hAnsi="Times New Roman" w:cs="Times New Roman"/>
          <w:lang w:val="lt-LT"/>
        </w:rPr>
      </w:pPr>
    </w:p>
    <w:p w14:paraId="3DC9CEC4" w14:textId="77777777" w:rsidR="00173803" w:rsidRPr="00AB7860" w:rsidRDefault="00173803" w:rsidP="00173803">
      <w:pPr>
        <w:spacing w:after="0" w:line="240" w:lineRule="auto"/>
        <w:rPr>
          <w:rFonts w:ascii="Times New Roman" w:hAnsi="Times New Roman" w:cs="Times New Roman"/>
          <w:lang w:val="lt-LT"/>
        </w:rPr>
      </w:pPr>
    </w:p>
    <w:p w14:paraId="020E02D5" w14:textId="77777777" w:rsidR="00173803" w:rsidRPr="00AB7860" w:rsidRDefault="00173803" w:rsidP="00173803">
      <w:pPr>
        <w:spacing w:after="0" w:line="240" w:lineRule="auto"/>
        <w:rPr>
          <w:rFonts w:ascii="Times New Roman" w:hAnsi="Times New Roman" w:cs="Times New Roman"/>
          <w:lang w:val="lt-LT"/>
        </w:rPr>
      </w:pPr>
    </w:p>
    <w:p w14:paraId="6E8F5FBF" w14:textId="77777777" w:rsidR="00173803" w:rsidRPr="00AB7860" w:rsidRDefault="00173803" w:rsidP="00173803">
      <w:pPr>
        <w:spacing w:after="0" w:line="240" w:lineRule="auto"/>
        <w:rPr>
          <w:rFonts w:ascii="Times New Roman" w:hAnsi="Times New Roman" w:cs="Times New Roman"/>
          <w:lang w:val="lt-LT"/>
        </w:rPr>
      </w:pPr>
    </w:p>
    <w:p w14:paraId="0D590F57" w14:textId="77777777" w:rsidR="00173803" w:rsidRPr="00AB7860" w:rsidRDefault="00173803" w:rsidP="00173803">
      <w:pPr>
        <w:spacing w:after="0" w:line="240" w:lineRule="auto"/>
        <w:rPr>
          <w:rFonts w:ascii="Times New Roman" w:hAnsi="Times New Roman" w:cs="Times New Roman"/>
          <w:lang w:val="lt-LT"/>
        </w:rPr>
      </w:pPr>
    </w:p>
    <w:p w14:paraId="2CAE24D8" w14:textId="77777777" w:rsidR="00173803" w:rsidRPr="00AB7860" w:rsidRDefault="00173803" w:rsidP="00173803">
      <w:pPr>
        <w:spacing w:after="0" w:line="240" w:lineRule="auto"/>
        <w:rPr>
          <w:rFonts w:ascii="Times New Roman" w:hAnsi="Times New Roman" w:cs="Times New Roman"/>
          <w:lang w:val="lt-LT"/>
        </w:rPr>
      </w:pPr>
    </w:p>
    <w:p w14:paraId="2FC83AB3" w14:textId="77777777" w:rsidR="00173803" w:rsidRPr="00AB7860" w:rsidRDefault="00173803" w:rsidP="00173803">
      <w:pPr>
        <w:spacing w:after="0" w:line="240" w:lineRule="auto"/>
        <w:rPr>
          <w:rFonts w:ascii="Times New Roman" w:hAnsi="Times New Roman" w:cs="Times New Roman"/>
          <w:lang w:val="lt-LT"/>
        </w:rPr>
      </w:pPr>
    </w:p>
    <w:p w14:paraId="2F80C2C4" w14:textId="77777777" w:rsidR="00173803" w:rsidRPr="00AB7860" w:rsidRDefault="00173803" w:rsidP="00173803">
      <w:pPr>
        <w:spacing w:after="0" w:line="240" w:lineRule="auto"/>
        <w:rPr>
          <w:rFonts w:ascii="Times New Roman" w:hAnsi="Times New Roman" w:cs="Times New Roman"/>
          <w:lang w:val="lt-LT"/>
        </w:rPr>
      </w:pPr>
    </w:p>
    <w:p w14:paraId="79BC9598" w14:textId="77777777" w:rsidR="00173803" w:rsidRPr="00AB7860" w:rsidRDefault="00173803" w:rsidP="00173803">
      <w:pPr>
        <w:spacing w:after="0" w:line="240" w:lineRule="auto"/>
        <w:rPr>
          <w:rFonts w:ascii="Times New Roman" w:hAnsi="Times New Roman" w:cs="Times New Roman"/>
          <w:lang w:val="lt-LT"/>
        </w:rPr>
      </w:pPr>
    </w:p>
    <w:p w14:paraId="52C3D17E" w14:textId="77777777" w:rsidR="00173803" w:rsidRPr="00AB7860" w:rsidRDefault="00173803" w:rsidP="00173803">
      <w:pPr>
        <w:spacing w:after="0" w:line="240" w:lineRule="auto"/>
        <w:rPr>
          <w:rFonts w:ascii="Times New Roman" w:hAnsi="Times New Roman" w:cs="Times New Roman"/>
          <w:lang w:val="lt-LT"/>
        </w:rPr>
      </w:pPr>
    </w:p>
    <w:p w14:paraId="3D48B08E" w14:textId="77777777" w:rsidR="00173803" w:rsidRPr="00AB7860" w:rsidRDefault="00173803" w:rsidP="00173803">
      <w:pPr>
        <w:spacing w:after="0" w:line="240" w:lineRule="auto"/>
        <w:rPr>
          <w:rFonts w:ascii="Times New Roman" w:hAnsi="Times New Roman" w:cs="Times New Roman"/>
          <w:lang w:val="lt-LT"/>
        </w:rPr>
      </w:pPr>
    </w:p>
    <w:p w14:paraId="28AA1300" w14:textId="77777777" w:rsidR="00173803" w:rsidRPr="00AB7860" w:rsidRDefault="00173803" w:rsidP="00173803">
      <w:pPr>
        <w:spacing w:after="0" w:line="240" w:lineRule="auto"/>
        <w:rPr>
          <w:rFonts w:ascii="Times New Roman" w:hAnsi="Times New Roman" w:cs="Times New Roman"/>
          <w:lang w:val="lt-LT"/>
        </w:rPr>
      </w:pPr>
    </w:p>
    <w:p w14:paraId="1FA7B18E" w14:textId="77777777" w:rsidR="00173803" w:rsidRPr="00AB7860" w:rsidRDefault="00173803" w:rsidP="00173803">
      <w:pPr>
        <w:spacing w:after="0" w:line="240" w:lineRule="auto"/>
        <w:rPr>
          <w:rFonts w:ascii="Times New Roman" w:hAnsi="Times New Roman" w:cs="Times New Roman"/>
          <w:lang w:val="lt-LT"/>
        </w:rPr>
      </w:pPr>
    </w:p>
    <w:p w14:paraId="7F536428" w14:textId="77777777" w:rsidR="00173803" w:rsidRPr="00AB7860" w:rsidRDefault="00173803" w:rsidP="00173803">
      <w:pPr>
        <w:spacing w:after="0" w:line="240" w:lineRule="auto"/>
        <w:rPr>
          <w:rFonts w:ascii="Times New Roman" w:hAnsi="Times New Roman" w:cs="Times New Roman"/>
          <w:lang w:val="lt-LT"/>
        </w:rPr>
      </w:pPr>
    </w:p>
    <w:p w14:paraId="3D364EFD" w14:textId="77777777" w:rsidR="00173803" w:rsidRPr="00AB7860" w:rsidRDefault="00173803" w:rsidP="00173803">
      <w:pPr>
        <w:spacing w:after="0" w:line="240" w:lineRule="auto"/>
        <w:rPr>
          <w:rFonts w:ascii="Times New Roman" w:hAnsi="Times New Roman" w:cs="Times New Roman"/>
          <w:lang w:val="lt-LT"/>
        </w:rPr>
      </w:pPr>
    </w:p>
    <w:p w14:paraId="67810E82" w14:textId="77777777" w:rsidR="00173803" w:rsidRPr="00AB7860" w:rsidRDefault="00173803" w:rsidP="00173803">
      <w:pPr>
        <w:spacing w:after="0" w:line="240" w:lineRule="auto"/>
        <w:rPr>
          <w:rFonts w:ascii="Times New Roman" w:hAnsi="Times New Roman" w:cs="Times New Roman"/>
          <w:lang w:val="lt-LT"/>
        </w:rPr>
      </w:pPr>
    </w:p>
    <w:p w14:paraId="5D167FD2" w14:textId="77777777" w:rsidR="00173803" w:rsidRPr="00AB7860" w:rsidRDefault="00173803" w:rsidP="00173803">
      <w:pPr>
        <w:spacing w:after="0" w:line="240" w:lineRule="auto"/>
        <w:rPr>
          <w:rFonts w:ascii="Times New Roman" w:hAnsi="Times New Roman" w:cs="Times New Roman"/>
          <w:lang w:val="lt-LT"/>
        </w:rPr>
      </w:pPr>
    </w:p>
    <w:p w14:paraId="43327906" w14:textId="77777777" w:rsidR="00173803" w:rsidRPr="00AB7860" w:rsidRDefault="00173803" w:rsidP="00173803">
      <w:pPr>
        <w:spacing w:after="0" w:line="240" w:lineRule="auto"/>
        <w:rPr>
          <w:rFonts w:ascii="Times New Roman" w:hAnsi="Times New Roman" w:cs="Times New Roman"/>
          <w:lang w:val="lt-LT"/>
        </w:rPr>
      </w:pPr>
    </w:p>
    <w:p w14:paraId="0259BDF0" w14:textId="77777777" w:rsidR="00173803" w:rsidRPr="00AB7860" w:rsidRDefault="00173803" w:rsidP="00173803">
      <w:pPr>
        <w:spacing w:after="0" w:line="240" w:lineRule="auto"/>
        <w:rPr>
          <w:rFonts w:ascii="Times New Roman" w:hAnsi="Times New Roman" w:cs="Times New Roman"/>
          <w:lang w:val="lt-LT"/>
        </w:rPr>
      </w:pPr>
    </w:p>
    <w:p w14:paraId="47D86319" w14:textId="77777777" w:rsidR="00173803" w:rsidRPr="00AB7860" w:rsidRDefault="00173803" w:rsidP="00173803">
      <w:pPr>
        <w:spacing w:after="0" w:line="240" w:lineRule="auto"/>
        <w:rPr>
          <w:rFonts w:ascii="Times New Roman" w:hAnsi="Times New Roman" w:cs="Times New Roman"/>
          <w:lang w:val="lt-LT"/>
        </w:rPr>
      </w:pPr>
    </w:p>
    <w:p w14:paraId="535E97CA" w14:textId="77777777" w:rsidR="00173803" w:rsidRPr="00AB7860" w:rsidRDefault="00173803" w:rsidP="00173803">
      <w:pPr>
        <w:spacing w:after="0" w:line="240" w:lineRule="auto"/>
        <w:rPr>
          <w:rFonts w:ascii="Times New Roman" w:hAnsi="Times New Roman" w:cs="Times New Roman"/>
          <w:lang w:val="lt-LT"/>
        </w:rPr>
      </w:pPr>
    </w:p>
    <w:p w14:paraId="6EF20BD4" w14:textId="77777777" w:rsidR="00173803" w:rsidRPr="00AB7860" w:rsidRDefault="00173803" w:rsidP="00173803">
      <w:pPr>
        <w:spacing w:after="0" w:line="240" w:lineRule="auto"/>
        <w:rPr>
          <w:rFonts w:ascii="Times New Roman" w:hAnsi="Times New Roman" w:cs="Times New Roman"/>
          <w:lang w:val="lt-LT"/>
        </w:rPr>
      </w:pPr>
    </w:p>
    <w:p w14:paraId="56BCAFFC"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bookmarkStart w:id="52" w:name="_Toc129243137"/>
      <w:bookmarkStart w:id="53" w:name="_Toc129243262"/>
    </w:p>
    <w:p w14:paraId="1FB84D03"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hAnsi="Times New Roman" w:cs="Times New Roman"/>
          <w:b/>
          <w:caps/>
          <w:lang w:val="lt-LT"/>
        </w:rPr>
        <w:t>B. PAKUOTĖS LAPELIS</w:t>
      </w:r>
      <w:bookmarkEnd w:id="52"/>
      <w:bookmarkEnd w:id="53"/>
    </w:p>
    <w:p w14:paraId="7C6F263B"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r w:rsidRPr="00AB7860">
        <w:rPr>
          <w:rFonts w:ascii="Times New Roman" w:hAnsi="Times New Roman" w:cs="Times New Roman"/>
          <w:b/>
          <w:caps/>
          <w:lang w:val="lt-LT"/>
        </w:rPr>
        <w:br w:type="page"/>
      </w:r>
      <w:bookmarkStart w:id="54" w:name="_Toc129243138"/>
      <w:bookmarkStart w:id="55" w:name="_Toc129243263"/>
      <w:r w:rsidRPr="00AB7860">
        <w:rPr>
          <w:rFonts w:ascii="Times New Roman" w:hAnsi="Times New Roman" w:cs="Times New Roman"/>
          <w:b/>
          <w:lang w:val="lt-LT"/>
        </w:rPr>
        <w:lastRenderedPageBreak/>
        <w:t>Pakuotės lapelis: informacija vartotojui</w:t>
      </w:r>
      <w:bookmarkEnd w:id="54"/>
      <w:bookmarkEnd w:id="55"/>
    </w:p>
    <w:p w14:paraId="4F1AA3D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C0C3311" w14:textId="77777777" w:rsidR="00173803" w:rsidRPr="00AB7860" w:rsidRDefault="00173803" w:rsidP="00173803">
      <w:pPr>
        <w:tabs>
          <w:tab w:val="left" w:pos="360"/>
        </w:tabs>
        <w:spacing w:after="0" w:line="240" w:lineRule="auto"/>
        <w:jc w:val="center"/>
        <w:rPr>
          <w:rFonts w:ascii="Times New Roman" w:hAnsi="Times New Roman" w:cs="Times New Roman"/>
          <w:b/>
          <w:lang w:val="lt-LT"/>
        </w:rPr>
      </w:pPr>
      <w:r w:rsidRPr="00AB7860">
        <w:rPr>
          <w:rFonts w:ascii="Times New Roman" w:hAnsi="Times New Roman" w:cs="Times New Roman"/>
          <w:b/>
          <w:lang w:val="lt-LT"/>
        </w:rPr>
        <w:t>Imatinib Grindeks 100 mg kietosios kapsulės</w:t>
      </w:r>
    </w:p>
    <w:p w14:paraId="0B0FE35A" w14:textId="77777777" w:rsidR="00173803" w:rsidRPr="00AB7860" w:rsidRDefault="007D22B5" w:rsidP="00173803">
      <w:pPr>
        <w:tabs>
          <w:tab w:val="left" w:pos="360"/>
        </w:tabs>
        <w:spacing w:after="0" w:line="240" w:lineRule="auto"/>
        <w:jc w:val="center"/>
        <w:rPr>
          <w:rFonts w:ascii="Times New Roman" w:hAnsi="Times New Roman" w:cs="Times New Roman"/>
          <w:lang w:val="lt-LT"/>
        </w:rPr>
      </w:pPr>
      <w:r>
        <w:rPr>
          <w:rFonts w:ascii="Times New Roman" w:hAnsi="Times New Roman" w:cs="Times New Roman"/>
          <w:lang w:val="lt-LT"/>
        </w:rPr>
        <w:t>i</w:t>
      </w:r>
      <w:r w:rsidR="00173803" w:rsidRPr="00AB7860">
        <w:rPr>
          <w:rFonts w:ascii="Times New Roman" w:hAnsi="Times New Roman" w:cs="Times New Roman"/>
          <w:lang w:val="lt-LT"/>
        </w:rPr>
        <w:t>matinibas</w:t>
      </w:r>
    </w:p>
    <w:p w14:paraId="7B91B4CE"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1FD23D1F"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Atidžiai perskaitykite visą šį lapelį, prieš pradėdami vartoti vaistą, nes jame pateikiama Jums svarbi informacija.</w:t>
      </w:r>
    </w:p>
    <w:p w14:paraId="5F7F9285" w14:textId="77777777" w:rsidR="00173803" w:rsidRPr="00AB7860" w:rsidRDefault="00173803" w:rsidP="00173803">
      <w:pPr>
        <w:numPr>
          <w:ilvl w:val="0"/>
          <w:numId w:val="20"/>
        </w:numPr>
        <w:spacing w:after="0" w:line="240" w:lineRule="auto"/>
        <w:rPr>
          <w:rFonts w:ascii="Times New Roman" w:hAnsi="Times New Roman" w:cs="Times New Roman"/>
          <w:lang w:val="lt-LT"/>
        </w:rPr>
      </w:pPr>
      <w:r w:rsidRPr="00AB7860">
        <w:rPr>
          <w:rFonts w:ascii="Times New Roman" w:hAnsi="Times New Roman" w:cs="Times New Roman"/>
          <w:lang w:val="lt-LT"/>
        </w:rPr>
        <w:t>Neišmeskite šio lapelio, nes vėl gali prireikti jį perskaityti.</w:t>
      </w:r>
    </w:p>
    <w:p w14:paraId="3C24E45D" w14:textId="77777777" w:rsidR="00173803" w:rsidRPr="00AB7860" w:rsidRDefault="00173803" w:rsidP="00173803">
      <w:pPr>
        <w:numPr>
          <w:ilvl w:val="0"/>
          <w:numId w:val="20"/>
        </w:numPr>
        <w:spacing w:after="0" w:line="240" w:lineRule="auto"/>
        <w:rPr>
          <w:rFonts w:ascii="Times New Roman" w:hAnsi="Times New Roman" w:cs="Times New Roman"/>
          <w:lang w:val="lt-LT"/>
        </w:rPr>
      </w:pPr>
      <w:r w:rsidRPr="00AB7860">
        <w:rPr>
          <w:rFonts w:ascii="Times New Roman" w:hAnsi="Times New Roman" w:cs="Times New Roman"/>
          <w:lang w:val="lt-LT"/>
        </w:rPr>
        <w:t>Jeigu kiltų daugiau klausimų, kreipkitės į gydytoją, vaistininką arba slaugytoją.</w:t>
      </w:r>
    </w:p>
    <w:p w14:paraId="6E599AC6" w14:textId="77777777" w:rsidR="00173803" w:rsidRPr="00AB7860" w:rsidRDefault="00173803" w:rsidP="00173803">
      <w:pPr>
        <w:numPr>
          <w:ilvl w:val="0"/>
          <w:numId w:val="20"/>
        </w:numPr>
        <w:spacing w:after="0" w:line="240" w:lineRule="auto"/>
        <w:rPr>
          <w:rFonts w:ascii="Times New Roman" w:hAnsi="Times New Roman" w:cs="Times New Roman"/>
          <w:lang w:val="lt-LT"/>
        </w:rPr>
      </w:pPr>
      <w:r w:rsidRPr="00AB7860">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7E9399B5" w14:textId="77777777" w:rsidR="00173803" w:rsidRPr="00AB7860" w:rsidRDefault="00173803" w:rsidP="00173803">
      <w:pPr>
        <w:numPr>
          <w:ilvl w:val="0"/>
          <w:numId w:val="20"/>
        </w:numPr>
        <w:spacing w:after="0" w:line="240" w:lineRule="auto"/>
        <w:rPr>
          <w:rFonts w:ascii="Times New Roman" w:hAnsi="Times New Roman" w:cs="Times New Roman"/>
          <w:lang w:val="lt-LT"/>
        </w:rPr>
      </w:pPr>
      <w:r w:rsidRPr="00AB7860">
        <w:rPr>
          <w:rFonts w:ascii="Times New Roman" w:hAnsi="Times New Roman" w:cs="Times New Roman"/>
          <w:lang w:val="lt-LT"/>
        </w:rPr>
        <w:t>Jeigu pasireiškė šalutinis poveikis (net jeigu jis šiame lapelyje nenurodytas), kreipkitės į gydytoją, vaistininką arba slaugytoją. Žr. 4 skyrių.</w:t>
      </w:r>
    </w:p>
    <w:p w14:paraId="7F7CB7A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6E9E6818" w14:textId="77777777" w:rsidR="00173803" w:rsidRPr="00AB7860" w:rsidRDefault="00173803" w:rsidP="00173803">
      <w:pPr>
        <w:keepNext/>
        <w:spacing w:after="0" w:line="240" w:lineRule="auto"/>
        <w:outlineLvl w:val="3"/>
        <w:rPr>
          <w:rFonts w:ascii="Times New Roman" w:hAnsi="Times New Roman" w:cs="Times New Roman"/>
          <w:lang w:val="lt-LT"/>
        </w:rPr>
      </w:pPr>
      <w:r w:rsidRPr="00AB7860">
        <w:rPr>
          <w:rFonts w:ascii="Times New Roman" w:hAnsi="Times New Roman" w:cs="Times New Roman"/>
          <w:b/>
          <w:lang w:val="lt-LT"/>
        </w:rPr>
        <w:t>Apie ką rašoma šiame lapelyje?</w:t>
      </w:r>
    </w:p>
    <w:p w14:paraId="4E0C463F" w14:textId="77777777" w:rsidR="00173803" w:rsidRPr="00AB7860" w:rsidRDefault="00173803" w:rsidP="00173803">
      <w:pPr>
        <w:spacing w:after="0" w:line="240" w:lineRule="auto"/>
        <w:rPr>
          <w:rFonts w:ascii="Times New Roman" w:hAnsi="Times New Roman" w:cs="Times New Roman"/>
          <w:lang w:val="lt-LT"/>
        </w:rPr>
      </w:pPr>
    </w:p>
    <w:p w14:paraId="47EFBD85"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1.</w:t>
      </w:r>
      <w:r w:rsidRPr="00AB7860">
        <w:rPr>
          <w:rFonts w:ascii="Times New Roman" w:hAnsi="Times New Roman" w:cs="Times New Roman"/>
          <w:lang w:val="lt-LT"/>
        </w:rPr>
        <w:tab/>
        <w:t>Kas yra Imatinib Grindeks ir kam jis vartojamas</w:t>
      </w:r>
    </w:p>
    <w:p w14:paraId="534680F7"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2.</w:t>
      </w:r>
      <w:r w:rsidRPr="00AB7860">
        <w:rPr>
          <w:rFonts w:ascii="Times New Roman" w:hAnsi="Times New Roman" w:cs="Times New Roman"/>
          <w:lang w:val="lt-LT"/>
        </w:rPr>
        <w:tab/>
        <w:t>Kas žinotina prieš vartojant Imatinib Grindeks</w:t>
      </w:r>
    </w:p>
    <w:p w14:paraId="52CE61EA"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3.</w:t>
      </w:r>
      <w:r w:rsidRPr="00AB7860">
        <w:rPr>
          <w:rFonts w:ascii="Times New Roman" w:hAnsi="Times New Roman" w:cs="Times New Roman"/>
          <w:lang w:val="lt-LT"/>
        </w:rPr>
        <w:tab/>
        <w:t>Kaip vartoti Imatinib Grindeks</w:t>
      </w:r>
    </w:p>
    <w:p w14:paraId="528F3436"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4.</w:t>
      </w:r>
      <w:r w:rsidRPr="00AB7860">
        <w:rPr>
          <w:rFonts w:ascii="Times New Roman" w:hAnsi="Times New Roman" w:cs="Times New Roman"/>
          <w:lang w:val="lt-LT"/>
        </w:rPr>
        <w:tab/>
        <w:t>Galimas šalutinis poveikis</w:t>
      </w:r>
    </w:p>
    <w:p w14:paraId="5AD2CC2A"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5.</w:t>
      </w:r>
      <w:r w:rsidRPr="00AB7860">
        <w:rPr>
          <w:rFonts w:ascii="Times New Roman" w:hAnsi="Times New Roman" w:cs="Times New Roman"/>
          <w:lang w:val="lt-LT"/>
        </w:rPr>
        <w:tab/>
        <w:t>Kaip laikyti Imatinib Grindeks</w:t>
      </w:r>
    </w:p>
    <w:p w14:paraId="63EF4B36"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6.</w:t>
      </w:r>
      <w:r w:rsidRPr="00AB7860">
        <w:rPr>
          <w:rFonts w:ascii="Times New Roman" w:hAnsi="Times New Roman" w:cs="Times New Roman"/>
          <w:lang w:val="lt-LT"/>
        </w:rPr>
        <w:tab/>
        <w:t>Pakuotės turinys ir kita informacija</w:t>
      </w:r>
    </w:p>
    <w:p w14:paraId="6E253C4B"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586F5BF"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58E5476" w14:textId="77777777" w:rsidR="00173803" w:rsidRPr="00AB7860" w:rsidRDefault="00173803" w:rsidP="00173803">
      <w:pPr>
        <w:tabs>
          <w:tab w:val="left" w:pos="567"/>
        </w:tabs>
        <w:spacing w:after="0" w:line="240" w:lineRule="auto"/>
        <w:ind w:left="567" w:hanging="567"/>
        <w:outlineLvl w:val="1"/>
        <w:rPr>
          <w:rFonts w:ascii="Times New Roman" w:hAnsi="Times New Roman" w:cs="Times New Roman"/>
          <w:b/>
          <w:lang w:val="lt-LT"/>
        </w:rPr>
      </w:pPr>
      <w:bookmarkStart w:id="56" w:name="_Toc129243139"/>
      <w:bookmarkStart w:id="57" w:name="_Toc129243264"/>
      <w:r w:rsidRPr="00AB7860">
        <w:rPr>
          <w:rFonts w:ascii="Times New Roman" w:hAnsi="Times New Roman" w:cs="Times New Roman"/>
          <w:b/>
          <w:lang w:val="lt-LT"/>
        </w:rPr>
        <w:t>1.</w:t>
      </w:r>
      <w:r w:rsidRPr="00AB7860">
        <w:rPr>
          <w:rFonts w:ascii="Times New Roman" w:hAnsi="Times New Roman" w:cs="Times New Roman"/>
          <w:b/>
          <w:lang w:val="lt-LT"/>
        </w:rPr>
        <w:tab/>
        <w:t>Kas yra Imatinib Grindeks ir kam jis vartojamas</w:t>
      </w:r>
      <w:bookmarkEnd w:id="56"/>
      <w:bookmarkEnd w:id="57"/>
    </w:p>
    <w:p w14:paraId="004B15ED"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5B94DD84"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 Grindeks yra vaistas, kurio sudėtyje yra veikliosios medžiagos imatinibo. Šis vaistas slopina nenormalių ląstelių augimą esant toliau </w:t>
      </w:r>
      <w:r w:rsidRPr="00AB7860">
        <w:rPr>
          <w:rFonts w:ascii="Times New Roman" w:eastAsia="Times New Roman" w:hAnsi="Times New Roman" w:cs="Times New Roman"/>
          <w:lang w:val="lt-LT"/>
        </w:rPr>
        <w:t>išvardytoms</w:t>
      </w:r>
      <w:r w:rsidRPr="00AB7860">
        <w:rPr>
          <w:rFonts w:ascii="Times New Roman" w:hAnsi="Times New Roman" w:cs="Times New Roman"/>
          <w:lang w:val="lt-LT"/>
        </w:rPr>
        <w:t xml:space="preserve"> ligoms</w:t>
      </w:r>
      <w:r w:rsidRPr="00AB7860">
        <w:rPr>
          <w:rFonts w:ascii="Times New Roman" w:eastAsia="Times New Roman" w:hAnsi="Times New Roman" w:cs="Times New Roman"/>
          <w:lang w:val="lt-LT"/>
        </w:rPr>
        <w:t>.</w:t>
      </w:r>
      <w:r w:rsidRPr="00AB7860">
        <w:rPr>
          <w:rFonts w:ascii="Times New Roman" w:hAnsi="Times New Roman" w:cs="Times New Roman"/>
        </w:rPr>
        <w:t xml:space="preserve"> </w:t>
      </w:r>
      <w:r w:rsidRPr="00AB7860">
        <w:rPr>
          <w:rFonts w:ascii="Times New Roman" w:eastAsia="Times New Roman" w:hAnsi="Times New Roman" w:cs="Times New Roman"/>
          <w:lang w:val="lt-LT"/>
        </w:rPr>
        <w:t>Jos</w:t>
      </w:r>
      <w:r w:rsidRPr="00AB7860">
        <w:rPr>
          <w:rFonts w:ascii="Times New Roman" w:hAnsi="Times New Roman" w:cs="Times New Roman"/>
          <w:lang w:val="lt-LT"/>
        </w:rPr>
        <w:t xml:space="preserve"> apima </w:t>
      </w:r>
      <w:r w:rsidRPr="00AB7860">
        <w:rPr>
          <w:rFonts w:ascii="Times New Roman" w:eastAsia="Times New Roman" w:hAnsi="Times New Roman" w:cs="Times New Roman"/>
          <w:lang w:val="lt-LT"/>
        </w:rPr>
        <w:t>ir kai kurių tipų vėžinius susirgimus.</w:t>
      </w:r>
    </w:p>
    <w:p w14:paraId="79030889"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046B7A77" w14:textId="77777777" w:rsidR="00173803" w:rsidRPr="00AB7860" w:rsidRDefault="00173803" w:rsidP="00173803">
      <w:pPr>
        <w:tabs>
          <w:tab w:val="left" w:pos="360"/>
        </w:tabs>
        <w:spacing w:after="0" w:line="240" w:lineRule="auto"/>
        <w:rPr>
          <w:rFonts w:ascii="Times New Roman" w:eastAsia="Times New Roman" w:hAnsi="Times New Roman" w:cs="Times New Roman"/>
          <w:b/>
          <w:lang w:val="lt-LT"/>
        </w:rPr>
      </w:pPr>
      <w:r w:rsidRPr="00AB7860">
        <w:rPr>
          <w:rFonts w:ascii="Times New Roman" w:hAnsi="Times New Roman" w:cs="Times New Roman"/>
          <w:b/>
          <w:lang w:val="lt-LT"/>
        </w:rPr>
        <w:t xml:space="preserve">Imatinib Grindeks vartojamas </w:t>
      </w:r>
      <w:r w:rsidRPr="00AB7860">
        <w:rPr>
          <w:rFonts w:ascii="Times New Roman" w:eastAsia="Times New Roman" w:hAnsi="Times New Roman" w:cs="Times New Roman"/>
          <w:b/>
          <w:lang w:val="lt-LT"/>
        </w:rPr>
        <w:t>gydyti</w:t>
      </w:r>
      <w:r w:rsidRPr="00AB7860">
        <w:rPr>
          <w:rFonts w:ascii="Times New Roman" w:hAnsi="Times New Roman" w:cs="Times New Roman"/>
          <w:b/>
          <w:lang w:val="lt-LT"/>
        </w:rPr>
        <w:t xml:space="preserve"> suaugusiųjų ir vaikų</w:t>
      </w:r>
      <w:r w:rsidRPr="00AB7860">
        <w:rPr>
          <w:rFonts w:ascii="Times New Roman" w:eastAsia="Times New Roman" w:hAnsi="Times New Roman" w:cs="Times New Roman"/>
          <w:b/>
          <w:lang w:val="lt-LT"/>
        </w:rPr>
        <w:t xml:space="preserve">: </w:t>
      </w:r>
    </w:p>
    <w:p w14:paraId="2A45E31A" w14:textId="77777777" w:rsidR="00173803" w:rsidRPr="00AB7860" w:rsidRDefault="00173803" w:rsidP="00173803">
      <w:pPr>
        <w:pStyle w:val="Sraopastraipa"/>
        <w:numPr>
          <w:ilvl w:val="0"/>
          <w:numId w:val="35"/>
        </w:numPr>
        <w:ind w:left="567" w:hanging="567"/>
        <w:rPr>
          <w:sz w:val="22"/>
          <w:szCs w:val="22"/>
        </w:rPr>
      </w:pPr>
      <w:r w:rsidRPr="00AB7860">
        <w:rPr>
          <w:b/>
          <w:sz w:val="22"/>
          <w:szCs w:val="22"/>
        </w:rPr>
        <w:t>Lėtinę mieloleukemiją (LML).</w:t>
      </w:r>
      <w:r w:rsidRPr="00AB7860">
        <w:rPr>
          <w:sz w:val="22"/>
          <w:szCs w:val="22"/>
        </w:rPr>
        <w:t xml:space="preserve"> Leukemija – tai baltųjų kraujo kūnelių vėžys. Paprastai šios baltosios ląstelės padeda organizmui kovoti su infekcija. Lėtinė mieloidinė leukemija yra tokia leukemijos forma, kai tam tikros nenormalios ląstelės (vadinamos mieloidinėmis ląstelėmis) pradeda nekontroliuojamai augti. </w:t>
      </w:r>
    </w:p>
    <w:p w14:paraId="562614F1" w14:textId="77777777" w:rsidR="00173803" w:rsidRPr="00AB7860" w:rsidRDefault="00173803" w:rsidP="00173803">
      <w:pPr>
        <w:pStyle w:val="Sraopastraipa"/>
        <w:numPr>
          <w:ilvl w:val="0"/>
          <w:numId w:val="35"/>
        </w:numPr>
        <w:ind w:left="567" w:hanging="567"/>
        <w:rPr>
          <w:sz w:val="22"/>
          <w:szCs w:val="22"/>
        </w:rPr>
      </w:pPr>
      <w:r w:rsidRPr="00AB7860">
        <w:rPr>
          <w:b/>
          <w:sz w:val="22"/>
          <w:szCs w:val="22"/>
        </w:rPr>
        <w:t>Filadelfija (</w:t>
      </w:r>
      <w:r w:rsidRPr="00AB7860">
        <w:rPr>
          <w:b/>
          <w:i/>
          <w:sz w:val="22"/>
          <w:szCs w:val="22"/>
        </w:rPr>
        <w:t xml:space="preserve">Philadelphia) </w:t>
      </w:r>
      <w:r w:rsidRPr="00AB7860">
        <w:rPr>
          <w:b/>
          <w:sz w:val="22"/>
          <w:szCs w:val="22"/>
        </w:rPr>
        <w:t xml:space="preserve">chromosomai </w:t>
      </w:r>
      <w:r w:rsidRPr="00AB7860">
        <w:rPr>
          <w:b/>
          <w:bCs/>
          <w:sz w:val="22"/>
          <w:szCs w:val="22"/>
        </w:rPr>
        <w:t>teigiamą ūminę limfoleukemiją</w:t>
      </w:r>
      <w:r w:rsidRPr="00AB7860">
        <w:rPr>
          <w:b/>
          <w:sz w:val="22"/>
          <w:szCs w:val="22"/>
        </w:rPr>
        <w:t xml:space="preserve"> (Ph teigiama ŪLL) . </w:t>
      </w:r>
      <w:r w:rsidRPr="00AB7860">
        <w:rPr>
          <w:sz w:val="22"/>
          <w:szCs w:val="22"/>
        </w:rPr>
        <w:t>Leukemija – tai baltųjų kraujo kūnelių vėžys. Paprastai šios baltosios ląstelės padeda</w:t>
      </w:r>
      <w:r w:rsidRPr="00AB7860">
        <w:rPr>
          <w:b/>
          <w:sz w:val="22"/>
          <w:szCs w:val="22"/>
        </w:rPr>
        <w:t xml:space="preserve"> </w:t>
      </w:r>
      <w:r w:rsidRPr="00AB7860">
        <w:rPr>
          <w:sz w:val="22"/>
          <w:szCs w:val="22"/>
        </w:rPr>
        <w:t>organizmui kovoti su infekcija. Ūminė limfoleukemija yra tokia leukemijos forma, kai tam tikros nenormalios ląstelės (vadinamos limfoblastais) pradeda nekontroliuojamai augti. Imatinib Grindeks slopina šių ląstelių augimą.</w:t>
      </w:r>
    </w:p>
    <w:p w14:paraId="0DFE39BF" w14:textId="77777777" w:rsidR="00173803" w:rsidRPr="00AB7860" w:rsidRDefault="00173803" w:rsidP="0049461C">
      <w:pPr>
        <w:spacing w:after="0" w:line="240" w:lineRule="auto"/>
        <w:rPr>
          <w:rFonts w:ascii="Times New Roman" w:hAnsi="Times New Roman" w:cs="Times New Roman"/>
          <w:lang w:val="lt-LT"/>
        </w:rPr>
      </w:pPr>
    </w:p>
    <w:p w14:paraId="6CF9FFD8" w14:textId="77777777" w:rsidR="00173803" w:rsidRPr="00AB7860" w:rsidRDefault="00173803">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b/>
          <w:lang w:val="lt-LT"/>
        </w:rPr>
        <w:t>Imatinib Grindeks taip pat vartojamas gydyti suaugusiųjų:</w:t>
      </w:r>
    </w:p>
    <w:p w14:paraId="4DD8E8CB" w14:textId="77777777" w:rsidR="00173803" w:rsidRPr="00AB7860" w:rsidRDefault="00173803" w:rsidP="00173803">
      <w:pPr>
        <w:pStyle w:val="Sraopastraipa"/>
        <w:numPr>
          <w:ilvl w:val="0"/>
          <w:numId w:val="37"/>
        </w:numPr>
        <w:ind w:left="567" w:hanging="567"/>
        <w:rPr>
          <w:sz w:val="22"/>
          <w:szCs w:val="22"/>
        </w:rPr>
      </w:pPr>
      <w:r w:rsidRPr="00AB7860">
        <w:rPr>
          <w:b/>
          <w:sz w:val="22"/>
          <w:szCs w:val="22"/>
        </w:rPr>
        <w:t xml:space="preserve">Mielodisplazinėms ar mieloproliferacinėms ligoms (MDS/MPL). </w:t>
      </w:r>
      <w:r w:rsidRPr="00AB7860">
        <w:rPr>
          <w:sz w:val="22"/>
          <w:szCs w:val="22"/>
        </w:rPr>
        <w:t>Tai kraujo ligos, kurių metu kai kurios kraujo ląstelės pradeda daugintis nekontroliuojamos. Imatinib Grindeks slopina šių ląstelių augimą, sergant tam tikrais šių ligų potipiais.</w:t>
      </w:r>
    </w:p>
    <w:p w14:paraId="1567A02C" w14:textId="77777777" w:rsidR="00173803" w:rsidRPr="00AB7860" w:rsidRDefault="00173803" w:rsidP="00173803">
      <w:pPr>
        <w:pStyle w:val="Sraopastraipa"/>
        <w:numPr>
          <w:ilvl w:val="0"/>
          <w:numId w:val="37"/>
        </w:numPr>
        <w:ind w:left="567" w:hanging="567"/>
        <w:rPr>
          <w:sz w:val="22"/>
          <w:szCs w:val="22"/>
        </w:rPr>
      </w:pPr>
      <w:r w:rsidRPr="00AB7860">
        <w:rPr>
          <w:b/>
          <w:bCs/>
          <w:sz w:val="22"/>
          <w:szCs w:val="22"/>
        </w:rPr>
        <w:t xml:space="preserve">Hipereozinofilijos sindromui (HES) ir (arba) lėtinei eozinofilinei leukemijai (LEL). </w:t>
      </w:r>
      <w:r w:rsidRPr="00AB7860">
        <w:rPr>
          <w:sz w:val="22"/>
          <w:szCs w:val="22"/>
        </w:rPr>
        <w:t>Tai yra kraujo ligos, kurių metu kai kurios kraujo ląstelės (vadinamos eozinofilais)</w:t>
      </w:r>
      <w:r w:rsidRPr="00AB7860">
        <w:rPr>
          <w:b/>
          <w:bCs/>
          <w:sz w:val="22"/>
          <w:szCs w:val="22"/>
        </w:rPr>
        <w:t xml:space="preserve"> </w:t>
      </w:r>
      <w:r w:rsidRPr="00AB7860">
        <w:rPr>
          <w:sz w:val="22"/>
          <w:szCs w:val="22"/>
        </w:rPr>
        <w:t>pradeda daugintis nekontroliuojamos. Imatinib Grindeks slopina šių ląstelių augimą, sergant tam</w:t>
      </w:r>
      <w:r w:rsidRPr="00AB7860">
        <w:rPr>
          <w:b/>
          <w:bCs/>
          <w:sz w:val="22"/>
          <w:szCs w:val="22"/>
        </w:rPr>
        <w:t xml:space="preserve"> </w:t>
      </w:r>
      <w:r w:rsidRPr="00AB7860">
        <w:rPr>
          <w:sz w:val="22"/>
          <w:szCs w:val="22"/>
        </w:rPr>
        <w:t>tikrais šių ligų potipiais.</w:t>
      </w:r>
    </w:p>
    <w:p w14:paraId="43786517" w14:textId="77777777" w:rsidR="00173803" w:rsidRPr="00AB7860" w:rsidRDefault="00173803" w:rsidP="00173803">
      <w:pPr>
        <w:pStyle w:val="Sraopastraipa"/>
        <w:numPr>
          <w:ilvl w:val="0"/>
          <w:numId w:val="37"/>
        </w:numPr>
        <w:autoSpaceDE w:val="0"/>
        <w:autoSpaceDN w:val="0"/>
        <w:adjustRightInd w:val="0"/>
        <w:ind w:left="567" w:hanging="567"/>
        <w:rPr>
          <w:rFonts w:eastAsia="Times New Roman,Bold"/>
          <w:sz w:val="22"/>
          <w:szCs w:val="22"/>
        </w:rPr>
      </w:pPr>
      <w:r w:rsidRPr="00AB7860">
        <w:rPr>
          <w:rFonts w:eastAsiaTheme="minorHAnsi"/>
          <w:b/>
          <w:sz w:val="22"/>
          <w:szCs w:val="22"/>
        </w:rPr>
        <w:t>Virškinimo trakto stromos navikui (VTSN)</w:t>
      </w:r>
      <w:r w:rsidRPr="00AB7860">
        <w:rPr>
          <w:rFonts w:eastAsiaTheme="minorHAnsi"/>
          <w:sz w:val="22"/>
          <w:szCs w:val="22"/>
        </w:rPr>
        <w:t>.</w:t>
      </w:r>
      <w:r w:rsidRPr="00AB7860">
        <w:rPr>
          <w:rFonts w:eastAsiaTheme="minorHAnsi"/>
          <w:b/>
          <w:sz w:val="22"/>
          <w:szCs w:val="22"/>
        </w:rPr>
        <w:t xml:space="preserve"> </w:t>
      </w:r>
      <w:r w:rsidRPr="00AB7860">
        <w:rPr>
          <w:rFonts w:eastAsiaTheme="minorHAnsi"/>
          <w:sz w:val="22"/>
          <w:szCs w:val="22"/>
        </w:rPr>
        <w:t>VTSN – tai skrandžio ir žarnyno vėžys. Jis</w:t>
      </w:r>
      <w:r w:rsidRPr="00AB7860">
        <w:rPr>
          <w:rFonts w:eastAsia="Times New Roman,Bold"/>
          <w:sz w:val="22"/>
          <w:szCs w:val="22"/>
        </w:rPr>
        <w:t xml:space="preserve"> atsiranda dėl nekontroliuojamo šių organų pagalbinio audinio ląstelių augimo.</w:t>
      </w:r>
    </w:p>
    <w:p w14:paraId="7CCB0A87" w14:textId="77777777" w:rsidR="00173803" w:rsidRPr="00AB7860" w:rsidRDefault="00173803" w:rsidP="00173803">
      <w:pPr>
        <w:pStyle w:val="Sraopastraipa"/>
        <w:numPr>
          <w:ilvl w:val="0"/>
          <w:numId w:val="37"/>
        </w:numPr>
        <w:ind w:left="567" w:hanging="567"/>
        <w:rPr>
          <w:sz w:val="22"/>
          <w:szCs w:val="22"/>
        </w:rPr>
      </w:pPr>
      <w:r w:rsidRPr="00AB7860">
        <w:rPr>
          <w:b/>
          <w:bCs/>
          <w:sz w:val="22"/>
          <w:szCs w:val="22"/>
        </w:rPr>
        <w:lastRenderedPageBreak/>
        <w:t xml:space="preserve">Iškiliajai dermatofibrosarkomai </w:t>
      </w:r>
      <w:r w:rsidRPr="00AB7860">
        <w:rPr>
          <w:i/>
          <w:iCs/>
          <w:sz w:val="22"/>
          <w:szCs w:val="22"/>
        </w:rPr>
        <w:t xml:space="preserve">(dermatofibrosarcoma protuberans </w:t>
      </w:r>
      <w:r w:rsidRPr="00AB7860">
        <w:rPr>
          <w:sz w:val="22"/>
          <w:szCs w:val="22"/>
        </w:rPr>
        <w:t xml:space="preserve">- </w:t>
      </w:r>
      <w:r w:rsidRPr="00AB7860">
        <w:rPr>
          <w:b/>
          <w:bCs/>
          <w:sz w:val="22"/>
          <w:szCs w:val="22"/>
        </w:rPr>
        <w:t>DFSP</w:t>
      </w:r>
      <w:r w:rsidRPr="00AB7860">
        <w:rPr>
          <w:sz w:val="22"/>
          <w:szCs w:val="22"/>
        </w:rPr>
        <w:t>). DFSP - tai po oda esančio audinio vėžys, kurio metu kai kurios ląstelės pradeda nekontroliuojamai augti. Imatinib Grindeks slopina šių ląstelių augimą.</w:t>
      </w:r>
    </w:p>
    <w:p w14:paraId="145FE1D2" w14:textId="77777777" w:rsidR="00173803" w:rsidRPr="00AB7860" w:rsidRDefault="00173803" w:rsidP="00173803">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Toliau šiame lapelyje apibūdinant minėtas ligas bus naudojamos nurodytos santrumpos.</w:t>
      </w:r>
    </w:p>
    <w:p w14:paraId="3D66E3AC"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2F3901AC"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Jei Jums kiltų kokių nors klausimų apie Imatinib Grindeks veikimą arba kodėl Jums jį paskyrė, klauskite gydytojo.</w:t>
      </w:r>
    </w:p>
    <w:p w14:paraId="3901E233"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184F99A5"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0C5FD9F" w14:textId="77777777" w:rsidR="00173803" w:rsidRPr="00AB7860" w:rsidRDefault="00173803" w:rsidP="00173803">
      <w:pPr>
        <w:tabs>
          <w:tab w:val="left" w:pos="567"/>
        </w:tabs>
        <w:spacing w:after="0" w:line="240" w:lineRule="auto"/>
        <w:ind w:left="567" w:hanging="567"/>
        <w:outlineLvl w:val="1"/>
        <w:rPr>
          <w:rFonts w:ascii="Times New Roman" w:hAnsi="Times New Roman" w:cs="Times New Roman"/>
          <w:b/>
          <w:lang w:val="lt-LT"/>
        </w:rPr>
      </w:pPr>
      <w:bookmarkStart w:id="58" w:name="_Toc129243140"/>
      <w:bookmarkStart w:id="59" w:name="_Toc129243265"/>
      <w:r w:rsidRPr="00AB7860">
        <w:rPr>
          <w:rFonts w:ascii="Times New Roman" w:hAnsi="Times New Roman" w:cs="Times New Roman"/>
          <w:b/>
          <w:lang w:val="lt-LT"/>
        </w:rPr>
        <w:t>2.</w:t>
      </w:r>
      <w:r w:rsidRPr="00AB7860">
        <w:rPr>
          <w:rFonts w:ascii="Times New Roman" w:hAnsi="Times New Roman" w:cs="Times New Roman"/>
          <w:b/>
          <w:lang w:val="lt-LT"/>
        </w:rPr>
        <w:tab/>
        <w:t xml:space="preserve">Kas žinotina prieš vartojant </w:t>
      </w:r>
      <w:bookmarkEnd w:id="58"/>
      <w:bookmarkEnd w:id="59"/>
      <w:r w:rsidRPr="00AB7860">
        <w:rPr>
          <w:rFonts w:ascii="Times New Roman" w:hAnsi="Times New Roman" w:cs="Times New Roman"/>
          <w:b/>
          <w:lang w:val="lt-LT"/>
        </w:rPr>
        <w:t>Imatinib Grindeks</w:t>
      </w:r>
    </w:p>
    <w:p w14:paraId="069F9CD3"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344FF8E2"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Imatinib Grindeks Jums paskirs tik gydytojas, turintis kraujo vėžio gydymo vaistais patirties.</w:t>
      </w:r>
    </w:p>
    <w:p w14:paraId="7B0BD2B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0F9F7D71"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Tiksliai laikykitės visų gydytojo nurodymų, net jei jie skiriasi nuo bendrosios šiame lapelyje esančios informacijos.</w:t>
      </w:r>
    </w:p>
    <w:p w14:paraId="749C0C20"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18A0AAF"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Imatinib Grindeks vartoti </w:t>
      </w:r>
      <w:r w:rsidR="00E3535F" w:rsidRPr="00AB7860">
        <w:rPr>
          <w:rFonts w:ascii="Times New Roman" w:hAnsi="Times New Roman" w:cs="Times New Roman"/>
          <w:b/>
          <w:lang w:val="lt-LT"/>
        </w:rPr>
        <w:t>draudžiama</w:t>
      </w:r>
      <w:r w:rsidRPr="00AB7860">
        <w:rPr>
          <w:rFonts w:ascii="Times New Roman" w:hAnsi="Times New Roman" w:cs="Times New Roman"/>
          <w:b/>
          <w:lang w:val="lt-LT"/>
        </w:rPr>
        <w:t>:</w:t>
      </w:r>
    </w:p>
    <w:p w14:paraId="47C89425" w14:textId="77777777" w:rsidR="00173803" w:rsidRPr="00AB7860" w:rsidRDefault="00173803" w:rsidP="00173803">
      <w:p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w:t>
      </w:r>
      <w:r w:rsidRPr="00AB7860">
        <w:rPr>
          <w:rFonts w:ascii="Times New Roman" w:hAnsi="Times New Roman" w:cs="Times New Roman"/>
          <w:lang w:val="lt-LT"/>
        </w:rPr>
        <w:tab/>
        <w:t>jeigu yra alergija imatinibui arba bet kuriai pagalbinei šio vaisto medžiagai (jos išvardytos 6 skyriuje).</w:t>
      </w:r>
    </w:p>
    <w:p w14:paraId="74E82E99"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Jeigu ši sąlyga Jums tinka, </w:t>
      </w:r>
      <w:r w:rsidRPr="00AB7860">
        <w:rPr>
          <w:rFonts w:ascii="Times New Roman" w:hAnsi="Times New Roman" w:cs="Times New Roman"/>
          <w:b/>
          <w:lang w:val="lt-LT"/>
        </w:rPr>
        <w:t xml:space="preserve">nevartokite Imatinib Grindeks ir apie tai pasakykite gydytojui. </w:t>
      </w:r>
    </w:p>
    <w:p w14:paraId="0A5097A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50D67CB7"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Jeigu manote, kad galite būti alergiškas, bet nesate tikras, </w:t>
      </w:r>
      <w:r w:rsidRPr="00AB7860">
        <w:rPr>
          <w:rFonts w:ascii="Times New Roman" w:hAnsi="Times New Roman" w:cs="Times New Roman"/>
          <w:color w:val="000000"/>
          <w:lang w:val="lt-LT"/>
        </w:rPr>
        <w:t>kreipkitės į gydytoją.</w:t>
      </w:r>
      <w:r w:rsidRPr="00AB7860">
        <w:rPr>
          <w:rFonts w:ascii="Times New Roman" w:hAnsi="Times New Roman" w:cs="Times New Roman"/>
          <w:lang w:val="lt-LT"/>
        </w:rPr>
        <w:t xml:space="preserve"> </w:t>
      </w:r>
    </w:p>
    <w:p w14:paraId="4F7B684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C5C1F91" w14:textId="77777777" w:rsidR="00173803" w:rsidRPr="00AB7860" w:rsidRDefault="00173803" w:rsidP="00173803">
      <w:pPr>
        <w:keepNext/>
        <w:spacing w:after="0" w:line="240" w:lineRule="auto"/>
        <w:outlineLvl w:val="3"/>
        <w:rPr>
          <w:rFonts w:ascii="Times New Roman" w:hAnsi="Times New Roman" w:cs="Times New Roman"/>
          <w:lang w:val="lt-LT"/>
        </w:rPr>
      </w:pPr>
      <w:r w:rsidRPr="00AB7860">
        <w:rPr>
          <w:rFonts w:ascii="Times New Roman" w:hAnsi="Times New Roman" w:cs="Times New Roman"/>
          <w:b/>
          <w:lang w:val="lt-LT"/>
        </w:rPr>
        <w:t xml:space="preserve">Įspėjimai ir atsargumo priemonės </w:t>
      </w:r>
    </w:p>
    <w:p w14:paraId="0533EB3A"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Pasitarkite su gydytoju, prieš pradėdami vartoti Imatinib Grindeks:</w:t>
      </w:r>
      <w:r w:rsidRPr="00AB7860">
        <w:rPr>
          <w:rFonts w:ascii="Times New Roman" w:hAnsi="Times New Roman" w:cs="Times New Roman"/>
          <w:b/>
          <w:lang w:val="lt-LT"/>
        </w:rPr>
        <w:t xml:space="preserve"> </w:t>
      </w:r>
    </w:p>
    <w:p w14:paraId="33D3B29D" w14:textId="77777777" w:rsidR="00173803" w:rsidRPr="00AB7860" w:rsidRDefault="00173803" w:rsidP="00173803">
      <w:pPr>
        <w:numPr>
          <w:ilvl w:val="0"/>
          <w:numId w:val="19"/>
        </w:numPr>
        <w:tabs>
          <w:tab w:val="clear" w:pos="1800"/>
        </w:tabs>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 xml:space="preserve">jeigu Jums yra ar kada nors yra buvę kepenų, inkstų ar širdies sutrikimų; </w:t>
      </w:r>
    </w:p>
    <w:p w14:paraId="5B7800C2" w14:textId="77777777" w:rsidR="00173803" w:rsidRPr="00AB7860" w:rsidRDefault="00173803" w:rsidP="00173803">
      <w:pPr>
        <w:numPr>
          <w:ilvl w:val="0"/>
          <w:numId w:val="19"/>
        </w:numPr>
        <w:tabs>
          <w:tab w:val="clear" w:pos="1800"/>
        </w:tabs>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jeigu Jums pašalinta skydliaukė ir vartojate vaistų, pavadinimu levotiroksinas</w:t>
      </w:r>
      <w:r w:rsidRPr="00AB7860">
        <w:rPr>
          <w:rFonts w:ascii="Times New Roman" w:eastAsia="Times New Roman" w:hAnsi="Times New Roman" w:cs="Times New Roman"/>
          <w:lang w:val="lt-LT"/>
        </w:rPr>
        <w:t>;</w:t>
      </w:r>
    </w:p>
    <w:p w14:paraId="25C1F682" w14:textId="77777777" w:rsidR="00173803" w:rsidRPr="00AB7860" w:rsidRDefault="00173803" w:rsidP="00173803">
      <w:pPr>
        <w:numPr>
          <w:ilvl w:val="0"/>
          <w:numId w:val="19"/>
        </w:numPr>
        <w:tabs>
          <w:tab w:val="clear" w:pos="1800"/>
        </w:tabs>
        <w:spacing w:after="0" w:line="240" w:lineRule="auto"/>
        <w:ind w:left="567" w:hanging="567"/>
        <w:rPr>
          <w:rFonts w:ascii="Times New Roman" w:eastAsia="Times New Roman" w:hAnsi="Times New Roman" w:cs="Times New Roman"/>
          <w:lang w:val="lt-LT"/>
        </w:rPr>
      </w:pPr>
      <w:r w:rsidRPr="00AB7860">
        <w:rPr>
          <w:rFonts w:ascii="Times New Roman" w:hAnsi="Times New Roman" w:cs="Times New Roman"/>
          <w:lang w:val="lt-LT"/>
        </w:rPr>
        <w:t xml:space="preserve">jeigu Jums kada nors buvo diagnozuota hepatito B infekcija arba šiuo metu galite būti užsikrėtę šiuo virusu. Tai būtina, nes Imatinib Grindeks gali vėl suaktyvinti hepatito B virusą, o kai kuriais atvejais tai gali būti mirtina. </w:t>
      </w:r>
      <w:r w:rsidRPr="00AB7860">
        <w:rPr>
          <w:rFonts w:ascii="Times New Roman" w:hAnsi="Times New Roman" w:cs="Times New Roman"/>
        </w:rPr>
        <w:t>Prieš pradedant gydymą, gydytojas atidžiai patikrins, ar pacientas neturi šios infekcijos požymių;</w:t>
      </w:r>
    </w:p>
    <w:p w14:paraId="1D1A9F83" w14:textId="77777777" w:rsidR="00173803" w:rsidRPr="00A82466" w:rsidRDefault="00173803" w:rsidP="0049461C">
      <w:pPr>
        <w:numPr>
          <w:ilvl w:val="0"/>
          <w:numId w:val="19"/>
        </w:numPr>
        <w:tabs>
          <w:tab w:val="clear" w:pos="1800"/>
        </w:tabs>
        <w:spacing w:after="0" w:line="240" w:lineRule="auto"/>
        <w:ind w:left="567" w:hanging="567"/>
        <w:rPr>
          <w:rFonts w:ascii="Times New Roman" w:eastAsia="Times New Roman" w:hAnsi="Times New Roman" w:cs="Times New Roman"/>
          <w:lang w:val="lt-LT"/>
        </w:rPr>
      </w:pPr>
      <w:r w:rsidRPr="00AB7860">
        <w:rPr>
          <w:rFonts w:ascii="Times New Roman" w:hAnsi="Times New Roman" w:cs="Times New Roman"/>
          <w:lang w:val="lt-LT"/>
        </w:rPr>
        <w:t>jeigu Jums vartojant Imatinib Grindeks susidaro kraujosruvų, pasireiškia kraujavimas, karščiavimas, nuovargis ir sumišimas, kreipkitės į gydytoją. Tai gali būti kraujagyslių pažaidos, vadinamos trombine mikroangiopatija (TMA), požymis.</w:t>
      </w:r>
    </w:p>
    <w:p w14:paraId="2166269B"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 šių sąlygų Jums tinka, </w:t>
      </w:r>
      <w:r w:rsidRPr="00AB7860">
        <w:rPr>
          <w:rFonts w:ascii="Times New Roman" w:hAnsi="Times New Roman" w:cs="Times New Roman"/>
          <w:b/>
          <w:lang w:val="lt-LT"/>
        </w:rPr>
        <w:t>prieš pradėdami vartoti Imatinib Grindeks, pasakykite gydytojui</w:t>
      </w:r>
      <w:r w:rsidRPr="00AB7860">
        <w:rPr>
          <w:rFonts w:ascii="Times New Roman" w:hAnsi="Times New Roman" w:cs="Times New Roman"/>
          <w:lang w:val="lt-LT"/>
        </w:rPr>
        <w:t>.</w:t>
      </w:r>
    </w:p>
    <w:p w14:paraId="66E3BCC2" w14:textId="77777777" w:rsidR="00173803" w:rsidRPr="00AB7860" w:rsidRDefault="00173803" w:rsidP="00173803">
      <w:pPr>
        <w:spacing w:after="0" w:line="240" w:lineRule="auto"/>
        <w:rPr>
          <w:rFonts w:ascii="Times New Roman" w:hAnsi="Times New Roman" w:cs="Times New Roman"/>
          <w:b/>
          <w:lang w:val="lt-LT"/>
        </w:rPr>
      </w:pPr>
    </w:p>
    <w:p w14:paraId="49CD3E03"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lang w:val="lt-LT"/>
        </w:rPr>
        <w:t>Imatinib Grindeks vartojimo metu galite tapti jautresnis saulės poveikiui. Svarbu apsaugoti atviras odos vietas nuo tiesioginių saulės spindulių ir naudoti preparatą nuo saulės nudegimo, kurio aukštas apsaugos faktorius(SPF). Šios atsargumo priemonės taip pat turi būti taikomos vaikams.</w:t>
      </w:r>
    </w:p>
    <w:p w14:paraId="61D0C344" w14:textId="77777777" w:rsidR="00173803" w:rsidRPr="00AB7860" w:rsidRDefault="00173803" w:rsidP="00173803">
      <w:pPr>
        <w:spacing w:after="0" w:line="240" w:lineRule="auto"/>
        <w:rPr>
          <w:rFonts w:ascii="Times New Roman" w:hAnsi="Times New Roman" w:cs="Times New Roman"/>
          <w:b/>
          <w:lang w:val="lt-LT"/>
        </w:rPr>
      </w:pPr>
    </w:p>
    <w:p w14:paraId="20E0012A"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Nedelsiant kreipkitės į gydytoją, jeigu Imatinib Grindeks vartojimo metu</w:t>
      </w:r>
      <w:r w:rsidRPr="00AB7860">
        <w:rPr>
          <w:rFonts w:ascii="Times New Roman" w:hAnsi="Times New Roman" w:cs="Times New Roman"/>
          <w:lang w:val="lt-LT"/>
        </w:rPr>
        <w:t xml:space="preserve"> Jums labai greitai padidėjo kūno svoris. Dėl Imatinib Grindeks poveikio Jūsų kūne gali kauptis skysčių (pasireikšti sunkus skysčių susilaikymas).</w:t>
      </w:r>
    </w:p>
    <w:p w14:paraId="4C996C98" w14:textId="77777777" w:rsidR="00173803" w:rsidRPr="00AB7860" w:rsidRDefault="00173803" w:rsidP="00173803">
      <w:pPr>
        <w:spacing w:after="0" w:line="240" w:lineRule="auto"/>
        <w:rPr>
          <w:rFonts w:ascii="Times New Roman" w:hAnsi="Times New Roman" w:cs="Times New Roman"/>
          <w:b/>
          <w:lang w:val="lt-LT"/>
        </w:rPr>
      </w:pPr>
    </w:p>
    <w:p w14:paraId="34E7CFD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Jums vartojant Imatinib Grindeks, gydytojas reguliariai tikrins, ar vaistas veikia. Jums taip pat reguliariai tirs kraują ir stebės kūno svorį.</w:t>
      </w:r>
    </w:p>
    <w:p w14:paraId="3C1E70E2" w14:textId="77777777" w:rsidR="00173803" w:rsidRPr="00AB7860" w:rsidRDefault="00173803" w:rsidP="00173803">
      <w:pPr>
        <w:spacing w:after="0" w:line="240" w:lineRule="auto"/>
        <w:rPr>
          <w:rFonts w:ascii="Times New Roman" w:hAnsi="Times New Roman" w:cs="Times New Roman"/>
          <w:lang w:val="lt-LT"/>
        </w:rPr>
      </w:pPr>
    </w:p>
    <w:p w14:paraId="76DD63E4"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Vaikams ir paaugliams</w:t>
      </w:r>
    </w:p>
    <w:p w14:paraId="264E213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Imatinib Grindeks taip pat gydomi vaikai, sergantys LML. Vartojimo patirties vaikams, jaunesniems kaip 2 metų ir sergantiems LML, nėra. </w:t>
      </w:r>
      <w:r w:rsidRPr="00AB7860">
        <w:rPr>
          <w:rFonts w:ascii="Times New Roman" w:eastAsia="Times New Roman" w:hAnsi="Times New Roman" w:cs="Times New Roman"/>
          <w:bCs/>
          <w:lang w:val="lt-LT"/>
        </w:rPr>
        <w:t>Vartojimo patirties vaikams, sergantiems Ph teigiama ŪLL, yra nedaug, o vartojimo</w:t>
      </w:r>
      <w:r w:rsidRPr="00AB7860">
        <w:rPr>
          <w:rFonts w:ascii="Times New Roman" w:hAnsi="Times New Roman" w:cs="Times New Roman"/>
          <w:lang w:val="lt-LT"/>
        </w:rPr>
        <w:t xml:space="preserve"> patirties vaikams, sergantiems MDS/MPL, DFSP, VTSN ir HES/LEL, yra labai nedaug.</w:t>
      </w:r>
    </w:p>
    <w:p w14:paraId="1E5CC001" w14:textId="77777777" w:rsidR="00173803" w:rsidRPr="00AB7860" w:rsidRDefault="00173803" w:rsidP="00173803">
      <w:pPr>
        <w:spacing w:after="0" w:line="240" w:lineRule="auto"/>
        <w:rPr>
          <w:rFonts w:ascii="Times New Roman" w:hAnsi="Times New Roman" w:cs="Times New Roman"/>
          <w:lang w:val="lt-LT"/>
        </w:rPr>
      </w:pPr>
    </w:p>
    <w:p w14:paraId="673EA05B"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 xml:space="preserve">Kai kurių vaikų ir paauglių, vartojančių Imatinib Grindeks, augimas gali būti lėtesnis nei įprasta. Todėl gydytojas tikrins augimą įprastų vizitų metu. </w:t>
      </w:r>
    </w:p>
    <w:p w14:paraId="689AB386" w14:textId="77777777" w:rsidR="00173803" w:rsidRPr="00AB7860" w:rsidRDefault="00173803" w:rsidP="00173803">
      <w:pPr>
        <w:tabs>
          <w:tab w:val="left" w:pos="360"/>
        </w:tabs>
        <w:spacing w:after="0" w:line="240" w:lineRule="auto"/>
        <w:rPr>
          <w:rFonts w:ascii="Times New Roman" w:hAnsi="Times New Roman" w:cs="Times New Roman"/>
          <w:b/>
          <w:lang w:val="lt-LT"/>
        </w:rPr>
      </w:pPr>
    </w:p>
    <w:p w14:paraId="11E60E2C"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Kiti vaistai ir</w:t>
      </w:r>
      <w:r w:rsidRPr="00AB7860" w:rsidDel="009E3A26">
        <w:rPr>
          <w:rFonts w:ascii="Times New Roman" w:hAnsi="Times New Roman" w:cs="Times New Roman"/>
          <w:b/>
          <w:lang w:val="lt-LT"/>
        </w:rPr>
        <w:t xml:space="preserve"> </w:t>
      </w:r>
      <w:r w:rsidRPr="00AB7860">
        <w:rPr>
          <w:rFonts w:ascii="Times New Roman" w:hAnsi="Times New Roman" w:cs="Times New Roman"/>
          <w:b/>
          <w:lang w:val="lt-LT"/>
        </w:rPr>
        <w:t>Imatinib Grindeks</w:t>
      </w:r>
    </w:p>
    <w:p w14:paraId="41BA7671"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Jeigu vartojate arba neseniai vartojote kitų vaistų arba dėl to nesate tikri, įskaitant įsigytus be recepto (tokių kaip paracetamolio) ir taip pat augalinių (tokių kaip paprastosios jonažolės preparatų) apie tai pasakykite gydytojui arba vaistininkui. Kai kurie vaistai, vartojami kartu su Imatinib Grindeks, gali sąveikauti. Jie gali padidinti arba sumažinti Imatinib Grindeks poveikį, padidindami nepageidaujamų reiškinių pasireiškimo dažnį, arba sumažindami Imatinib Grindeks veiksmingumą. Imatinib Grindeks gali panašiai veikti kai kuriuos kitus vaistus.</w:t>
      </w:r>
    </w:p>
    <w:p w14:paraId="295E9954"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D2D01E9" w14:textId="77777777" w:rsidR="00173803" w:rsidRPr="00AB7860" w:rsidRDefault="00173803" w:rsidP="00173803">
      <w:pPr>
        <w:numPr>
          <w:ilvl w:val="12"/>
          <w:numId w:val="0"/>
        </w:numPr>
        <w:tabs>
          <w:tab w:val="left" w:pos="567"/>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Pasakykite gydytojui, jeigu vartojate vaistų, kurie saugo nuo </w:t>
      </w:r>
      <w:r w:rsidRPr="00AB7860">
        <w:rPr>
          <w:rFonts w:ascii="Times New Roman" w:eastAsia="SimSun" w:hAnsi="Times New Roman" w:cs="Times New Roman"/>
          <w:lang w:val="lt-LT" w:eastAsia="zh-CN"/>
        </w:rPr>
        <w:t>kraujo</w:t>
      </w:r>
      <w:r w:rsidRPr="00AB7860">
        <w:rPr>
          <w:rFonts w:ascii="Times New Roman" w:hAnsi="Times New Roman" w:cs="Times New Roman"/>
          <w:lang w:val="lt-LT"/>
        </w:rPr>
        <w:t xml:space="preserve"> krešulių formavimosi.</w:t>
      </w:r>
    </w:p>
    <w:p w14:paraId="32AF0BAE"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005FE95B"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Nėštumas, žindymo laikotarpis ir vaisingumas</w:t>
      </w:r>
    </w:p>
    <w:p w14:paraId="7A88050C" w14:textId="77777777" w:rsidR="00173803" w:rsidRPr="00AB7860" w:rsidRDefault="00173803" w:rsidP="00173803">
      <w:pPr>
        <w:numPr>
          <w:ilvl w:val="0"/>
          <w:numId w:val="22"/>
        </w:num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Jeigu esate nėščia, žindote kūdikį, manote, kad galbūt esate nėščia, arba planuojate pastoti, tai prieš vartodama šį vaistą, pasitarkite su gydytoju.</w:t>
      </w:r>
    </w:p>
    <w:p w14:paraId="4F369805" w14:textId="77777777" w:rsidR="00173803" w:rsidRPr="00AB7860" w:rsidRDefault="00173803" w:rsidP="00173803">
      <w:pPr>
        <w:numPr>
          <w:ilvl w:val="0"/>
          <w:numId w:val="22"/>
        </w:num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 xml:space="preserve">Imatinib Grindeks nerekomenduojama vartoti nėštumo metu, nebent tai neišvengiama, nes tai gali pakenkti Jūsų kūdikiui. Gydytojas supažindins Jus su galima rizika, Imatinib Grindeks vartojant nėštumo laikotarpiu. </w:t>
      </w:r>
    </w:p>
    <w:p w14:paraId="7C72C703" w14:textId="77777777" w:rsidR="00173803" w:rsidRPr="0049461C" w:rsidRDefault="00173803" w:rsidP="00EA0320">
      <w:pPr>
        <w:numPr>
          <w:ilvl w:val="0"/>
          <w:numId w:val="22"/>
        </w:numPr>
        <w:spacing w:after="0" w:line="240" w:lineRule="auto"/>
        <w:ind w:left="567" w:hanging="567"/>
        <w:rPr>
          <w:rFonts w:ascii="Times New Roman" w:hAnsi="Times New Roman" w:cs="Times New Roman"/>
          <w:lang w:val="lt-LT"/>
        </w:rPr>
      </w:pPr>
      <w:r w:rsidRPr="00AB7860">
        <w:rPr>
          <w:rFonts w:ascii="Times New Roman" w:hAnsi="Times New Roman" w:cs="Times New Roman"/>
          <w:color w:val="000000"/>
          <w:lang w:val="lt-LT"/>
        </w:rPr>
        <w:t>Moterims, galinčioms pastoti, gydantis šiuo vaistu</w:t>
      </w:r>
      <w:r w:rsidR="00997749" w:rsidRPr="00AB7860">
        <w:rPr>
          <w:rFonts w:ascii="Times New Roman" w:hAnsi="Times New Roman" w:cs="Times New Roman"/>
          <w:color w:val="000000"/>
          <w:lang w:val="lt-LT"/>
        </w:rPr>
        <w:t xml:space="preserve"> </w:t>
      </w:r>
      <w:r w:rsidR="00997749" w:rsidRPr="00AB7860">
        <w:rPr>
          <w:rFonts w:ascii="Times New Roman" w:hAnsi="Times New Roman" w:cs="Times New Roman"/>
          <w:lang w:val="lt-LT"/>
        </w:rPr>
        <w:t>ir 15 dienų po gydymo pabaigos,</w:t>
      </w:r>
      <w:r w:rsidR="00EA0320" w:rsidRPr="00AB7860">
        <w:rPr>
          <w:rFonts w:ascii="Times New Roman" w:hAnsi="Times New Roman" w:cs="Times New Roman"/>
          <w:color w:val="000000"/>
          <w:lang w:val="lt-LT"/>
        </w:rPr>
        <w:t xml:space="preserve"> </w:t>
      </w:r>
      <w:r w:rsidRPr="00AB7860">
        <w:rPr>
          <w:rFonts w:ascii="Times New Roman" w:hAnsi="Times New Roman" w:cs="Times New Roman"/>
          <w:color w:val="000000"/>
          <w:lang w:val="lt-LT"/>
        </w:rPr>
        <w:t>rekomenduojama taikyti efektyvias kontracepcijos priemones.</w:t>
      </w:r>
      <w:r w:rsidRPr="00AB7860">
        <w:rPr>
          <w:rFonts w:ascii="Times New Roman" w:hAnsi="Times New Roman" w:cs="Times New Roman"/>
          <w:lang w:val="lt-LT"/>
        </w:rPr>
        <w:t>Vartodama Imatinib Grindeks</w:t>
      </w:r>
      <w:r w:rsidR="00EA0320" w:rsidRPr="00AB7860">
        <w:rPr>
          <w:rFonts w:ascii="Times New Roman" w:hAnsi="Times New Roman" w:cs="Times New Roman"/>
          <w:lang w:val="lt-LT"/>
        </w:rPr>
        <w:t xml:space="preserve"> ir 15 dienų po gydymo pabaigos</w:t>
      </w:r>
      <w:r w:rsidRPr="00AB7860">
        <w:rPr>
          <w:rFonts w:ascii="Times New Roman" w:hAnsi="Times New Roman" w:cs="Times New Roman"/>
          <w:lang w:val="lt-LT"/>
        </w:rPr>
        <w:t>, kūdikio krūtimi nemaitinkite</w:t>
      </w:r>
      <w:r w:rsidR="00EA0320" w:rsidRPr="00AB7860">
        <w:rPr>
          <w:rFonts w:ascii="Times New Roman" w:hAnsi="Times New Roman" w:cs="Times New Roman"/>
          <w:lang w:val="lt-LT"/>
        </w:rPr>
        <w:t>, nes tai gali pakenkti Jūsų kūdikiui</w:t>
      </w:r>
      <w:r w:rsidR="00EA0320" w:rsidRPr="00B36BCA">
        <w:rPr>
          <w:rFonts w:ascii="Times New Roman" w:hAnsi="Times New Roman" w:cs="Times New Roman"/>
          <w:lang w:val="lt-LT"/>
        </w:rPr>
        <w:t>.</w:t>
      </w:r>
    </w:p>
    <w:p w14:paraId="5A49BE11" w14:textId="77777777" w:rsidR="00173803" w:rsidRPr="00AB7860" w:rsidRDefault="00173803" w:rsidP="00173803">
      <w:pPr>
        <w:numPr>
          <w:ilvl w:val="0"/>
          <w:numId w:val="22"/>
        </w:num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Pacientai Imatinib Grindeks vartojimo laikotarpiu dėl savo vaisingumo turi konsultuotis su gydytoju.</w:t>
      </w:r>
    </w:p>
    <w:p w14:paraId="5A0D754E" w14:textId="77777777" w:rsidR="00173803" w:rsidRPr="00AB7860" w:rsidRDefault="00173803" w:rsidP="00173803">
      <w:pPr>
        <w:spacing w:after="0" w:line="240" w:lineRule="auto"/>
        <w:rPr>
          <w:rFonts w:ascii="Times New Roman" w:hAnsi="Times New Roman" w:cs="Times New Roman"/>
          <w:b/>
          <w:lang w:val="lt-LT"/>
        </w:rPr>
      </w:pPr>
    </w:p>
    <w:p w14:paraId="515A1716" w14:textId="77777777" w:rsidR="00173803" w:rsidRPr="00AB7860" w:rsidRDefault="00173803" w:rsidP="00173803">
      <w:pPr>
        <w:spacing w:after="0" w:line="240" w:lineRule="auto"/>
        <w:rPr>
          <w:rFonts w:ascii="Times New Roman" w:hAnsi="Times New Roman" w:cs="Times New Roman"/>
          <w:b/>
          <w:color w:val="000000"/>
          <w:lang w:val="lt-LT"/>
        </w:rPr>
      </w:pPr>
      <w:r w:rsidRPr="00AB7860">
        <w:rPr>
          <w:rFonts w:ascii="Times New Roman" w:hAnsi="Times New Roman" w:cs="Times New Roman"/>
          <w:b/>
          <w:color w:val="000000"/>
          <w:lang w:val="lt-LT"/>
        </w:rPr>
        <w:t>Vairavimas ir mechanizmų valdymas</w:t>
      </w:r>
    </w:p>
    <w:p w14:paraId="08349A76" w14:textId="77777777" w:rsidR="00173803" w:rsidRPr="00AB7860" w:rsidRDefault="00173803" w:rsidP="00173803">
      <w:pPr>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Vartojant šio vaisto, gali pasireikšti svaigulys, mieguistumas ar pablogėti regėjimas. Jeigu pasireiškia šie požymiai, nevairuokite ir nevaldykite bet kokios rūšies mechanizmų tol, kol vėl nepasijusite gerai.</w:t>
      </w:r>
    </w:p>
    <w:p w14:paraId="651650D2"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4276BB9"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175C4D1C" w14:textId="77777777" w:rsidR="00173803" w:rsidRPr="00AB7860" w:rsidRDefault="00173803" w:rsidP="00173803">
      <w:pPr>
        <w:tabs>
          <w:tab w:val="left" w:pos="567"/>
        </w:tabs>
        <w:spacing w:after="0" w:line="240" w:lineRule="auto"/>
        <w:ind w:left="567" w:hanging="567"/>
        <w:outlineLvl w:val="1"/>
        <w:rPr>
          <w:rFonts w:ascii="Times New Roman" w:hAnsi="Times New Roman" w:cs="Times New Roman"/>
          <w:b/>
          <w:lang w:val="lt-LT"/>
        </w:rPr>
      </w:pPr>
      <w:bookmarkStart w:id="60" w:name="_Toc129243141"/>
      <w:bookmarkStart w:id="61" w:name="_Toc129243266"/>
      <w:r w:rsidRPr="00AB7860">
        <w:rPr>
          <w:rFonts w:ascii="Times New Roman" w:hAnsi="Times New Roman" w:cs="Times New Roman"/>
          <w:b/>
          <w:lang w:val="lt-LT"/>
        </w:rPr>
        <w:t>3.</w:t>
      </w:r>
      <w:r w:rsidRPr="00AB7860">
        <w:rPr>
          <w:rFonts w:ascii="Times New Roman" w:hAnsi="Times New Roman" w:cs="Times New Roman"/>
          <w:b/>
          <w:lang w:val="lt-LT"/>
        </w:rPr>
        <w:tab/>
        <w:t xml:space="preserve">Kaip vartoti </w:t>
      </w:r>
      <w:bookmarkEnd w:id="60"/>
      <w:bookmarkEnd w:id="61"/>
      <w:r w:rsidRPr="00AB7860">
        <w:rPr>
          <w:rFonts w:ascii="Times New Roman" w:hAnsi="Times New Roman" w:cs="Times New Roman"/>
          <w:b/>
          <w:lang w:val="lt-LT"/>
        </w:rPr>
        <w:t>Imatinib Grindeks</w:t>
      </w:r>
    </w:p>
    <w:p w14:paraId="4B06E7CA"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62F70832"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Jūsų gydytojas Jums paskyrė Imatinib Grindeks, kadangi sergate sunkia liga. Imatinib Grindeks gali Jums padėti kovojant su šia būkle.</w:t>
      </w:r>
    </w:p>
    <w:p w14:paraId="3A0261DF"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08717D95"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Visada vartokite šį vaistą tiksliai kaip nurodė gydytojas arba vaistininkas. Svarbu, kad vaisto vartotumėte tiek laiko, kiek nurodė Jūsų gydytojas arba vaistininkas. Jeigu abejojate, kreipkitės į gydytoją arba  vaistininką.</w:t>
      </w:r>
    </w:p>
    <w:p w14:paraId="04EB813E"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59C9DF45"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Kokią Imatinib Grindeks dozę vartoti</w:t>
      </w:r>
    </w:p>
    <w:p w14:paraId="3087394D"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EAE13A4"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Vartojimas suaugusiesiems</w:t>
      </w:r>
    </w:p>
    <w:p w14:paraId="07345E29"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Gydytojas Jums tiksliai nurodys, kiek Imatinib Grindeks kapsulių gerti.</w:t>
      </w:r>
    </w:p>
    <w:p w14:paraId="7F0D0DBA"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32D499AC"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 gydoma LML:</w:t>
      </w:r>
    </w:p>
    <w:p w14:paraId="73E4F2EE" w14:textId="77777777" w:rsidR="00025FFE" w:rsidRPr="00AB7860" w:rsidRDefault="00025FFE" w:rsidP="00025FFE">
      <w:pPr>
        <w:autoSpaceDE w:val="0"/>
        <w:autoSpaceDN w:val="0"/>
        <w:adjustRightInd w:val="0"/>
        <w:spacing w:after="0" w:line="240" w:lineRule="auto"/>
        <w:rPr>
          <w:rFonts w:ascii="Times New Roman" w:hAnsi="Times New Roman" w:cs="Times New Roman"/>
          <w:lang w:val="lt-LT"/>
        </w:rPr>
      </w:pPr>
      <w:r w:rsidRPr="00AB7860">
        <w:rPr>
          <w:rFonts w:ascii="Times New Roman" w:hAnsi="Times New Roman" w:cs="Times New Roman"/>
          <w:lang w:val="lt-LT"/>
        </w:rPr>
        <w:t>Priklausomai nuo Jūsų būklės, įprasta pradinė dozė yra arba 400</w:t>
      </w:r>
      <w:r>
        <w:rPr>
          <w:rFonts w:ascii="Times New Roman" w:hAnsi="Times New Roman" w:cs="Times New Roman"/>
          <w:lang w:val="lt-LT"/>
        </w:rPr>
        <w:t> </w:t>
      </w:r>
      <w:r w:rsidRPr="00AB7860">
        <w:rPr>
          <w:rFonts w:ascii="Times New Roman" w:hAnsi="Times New Roman" w:cs="Times New Roman"/>
          <w:lang w:val="lt-LT"/>
        </w:rPr>
        <w:t>mg, arba 600</w:t>
      </w:r>
      <w:r>
        <w:rPr>
          <w:rFonts w:ascii="Times New Roman" w:hAnsi="Times New Roman" w:cs="Times New Roman"/>
          <w:lang w:val="lt-LT"/>
        </w:rPr>
        <w:t> </w:t>
      </w:r>
      <w:r w:rsidRPr="00AB7860">
        <w:rPr>
          <w:rFonts w:ascii="Times New Roman" w:hAnsi="Times New Roman" w:cs="Times New Roman"/>
          <w:lang w:val="lt-LT"/>
        </w:rPr>
        <w:t>mg:</w:t>
      </w:r>
    </w:p>
    <w:p w14:paraId="314898DC" w14:textId="77777777" w:rsidR="00025FFE" w:rsidRPr="00AB7860" w:rsidRDefault="00025FFE" w:rsidP="00025FFE">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bCs/>
          <w:lang w:val="lt-LT"/>
        </w:rPr>
        <w:t>400</w:t>
      </w:r>
      <w:r>
        <w:rPr>
          <w:rFonts w:ascii="Times New Roman" w:hAnsi="Times New Roman" w:cs="Times New Roman"/>
          <w:b/>
          <w:bCs/>
          <w:lang w:val="lt-LT"/>
        </w:rPr>
        <w:t> </w:t>
      </w:r>
      <w:r w:rsidRPr="00AB7860">
        <w:rPr>
          <w:rFonts w:ascii="Times New Roman" w:hAnsi="Times New Roman" w:cs="Times New Roman"/>
          <w:b/>
          <w:bCs/>
          <w:lang w:val="lt-LT"/>
        </w:rPr>
        <w:t>mg</w:t>
      </w:r>
      <w:r w:rsidRPr="00AB7860">
        <w:rPr>
          <w:rFonts w:ascii="Times New Roman" w:hAnsi="Times New Roman" w:cs="Times New Roman"/>
          <w:lang w:val="lt-LT"/>
        </w:rPr>
        <w:t xml:space="preserve">, vartojant po 4 kapsules </w:t>
      </w:r>
      <w:r w:rsidRPr="00AB7860">
        <w:rPr>
          <w:rFonts w:ascii="Times New Roman" w:eastAsia="TimesNewRomanPS-BoldMT" w:hAnsi="Times New Roman" w:cs="Times New Roman"/>
          <w:b/>
          <w:bCs/>
          <w:lang w:val="lt-LT"/>
        </w:rPr>
        <w:t xml:space="preserve">kartą </w:t>
      </w:r>
      <w:r w:rsidRPr="00AB7860">
        <w:rPr>
          <w:rFonts w:ascii="Times New Roman" w:hAnsi="Times New Roman" w:cs="Times New Roman"/>
          <w:lang w:val="lt-LT"/>
        </w:rPr>
        <w:t>per parą,</w:t>
      </w:r>
    </w:p>
    <w:p w14:paraId="491D0843" w14:textId="77777777" w:rsidR="00025FFE" w:rsidRPr="00AB7860" w:rsidRDefault="00025FFE" w:rsidP="00025FFE">
      <w:pPr>
        <w:tabs>
          <w:tab w:val="left" w:pos="360"/>
        </w:tabs>
        <w:spacing w:after="0" w:line="240" w:lineRule="auto"/>
        <w:rPr>
          <w:rFonts w:ascii="Times New Roman" w:eastAsia="Times New Roman" w:hAnsi="Times New Roman" w:cs="Times New Roman"/>
          <w:lang w:val="lt-LT"/>
        </w:rPr>
      </w:pPr>
      <w:r w:rsidRPr="00AB7860">
        <w:rPr>
          <w:rFonts w:ascii="Times New Roman" w:eastAsia="Times New Roman" w:hAnsi="Times New Roman" w:cs="Times New Roman"/>
          <w:lang w:val="lt-LT"/>
        </w:rPr>
        <w:t>Įprasta</w:t>
      </w:r>
      <w:r w:rsidRPr="00AB7860">
        <w:rPr>
          <w:rFonts w:ascii="Times New Roman" w:hAnsi="Times New Roman" w:cs="Times New Roman"/>
          <w:lang w:val="lt-LT"/>
        </w:rPr>
        <w:t xml:space="preserve"> pradinė dozė yra 600</w:t>
      </w:r>
      <w:r>
        <w:rPr>
          <w:rFonts w:ascii="Times New Roman" w:hAnsi="Times New Roman" w:cs="Times New Roman"/>
          <w:lang w:val="lt-LT"/>
        </w:rPr>
        <w:t> </w:t>
      </w:r>
      <w:r w:rsidRPr="00AB7860">
        <w:rPr>
          <w:rFonts w:ascii="Times New Roman" w:hAnsi="Times New Roman" w:cs="Times New Roman"/>
          <w:lang w:val="lt-LT"/>
        </w:rPr>
        <w:t xml:space="preserve">mg, </w:t>
      </w:r>
      <w:r w:rsidRPr="00AB7860">
        <w:rPr>
          <w:rFonts w:ascii="Times New Roman" w:hAnsi="Times New Roman" w:cs="Times New Roman"/>
          <w:color w:val="000000"/>
          <w:lang w:val="lt-LT"/>
        </w:rPr>
        <w:t xml:space="preserve">vartojant po 6 kapsules </w:t>
      </w:r>
      <w:r w:rsidRPr="00AB7860">
        <w:rPr>
          <w:rFonts w:ascii="Times New Roman" w:hAnsi="Times New Roman" w:cs="Times New Roman"/>
          <w:b/>
          <w:color w:val="000000"/>
          <w:lang w:val="lt-LT"/>
        </w:rPr>
        <w:t xml:space="preserve">kartą </w:t>
      </w:r>
      <w:r w:rsidRPr="00AB7860">
        <w:rPr>
          <w:rFonts w:ascii="Times New Roman" w:hAnsi="Times New Roman" w:cs="Times New Roman"/>
          <w:color w:val="000000"/>
          <w:lang w:val="lt-LT"/>
        </w:rPr>
        <w:t>per parą.</w:t>
      </w:r>
    </w:p>
    <w:p w14:paraId="07F31AFB" w14:textId="77777777" w:rsidR="00173803" w:rsidRPr="00AB7860" w:rsidRDefault="00173803" w:rsidP="00173803">
      <w:pPr>
        <w:numPr>
          <w:ilvl w:val="12"/>
          <w:numId w:val="0"/>
        </w:numPr>
        <w:spacing w:after="0" w:line="240" w:lineRule="auto"/>
        <w:ind w:firstLine="720"/>
        <w:rPr>
          <w:rFonts w:ascii="Times New Roman" w:hAnsi="Times New Roman" w:cs="Times New Roman"/>
          <w:lang w:val="lt-LT"/>
        </w:rPr>
      </w:pPr>
    </w:p>
    <w:p w14:paraId="145EC68F"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 gydoma VTSN:</w:t>
      </w:r>
    </w:p>
    <w:p w14:paraId="12F41858" w14:textId="77777777" w:rsidR="00173803" w:rsidRPr="00AB7860" w:rsidRDefault="00173803" w:rsidP="00173803">
      <w:pPr>
        <w:autoSpaceDE w:val="0"/>
        <w:autoSpaceDN w:val="0"/>
        <w:adjustRightInd w:val="0"/>
        <w:spacing w:after="0" w:line="240" w:lineRule="auto"/>
        <w:jc w:val="both"/>
        <w:rPr>
          <w:rFonts w:ascii="Times New Roman" w:hAnsi="Times New Roman" w:cs="Times New Roman"/>
        </w:rPr>
      </w:pPr>
      <w:r w:rsidRPr="00AB7860">
        <w:rPr>
          <w:rFonts w:ascii="Times New Roman" w:hAnsi="Times New Roman" w:cs="Times New Roman"/>
          <w:color w:val="000000"/>
          <w:lang w:val="lt-LT"/>
        </w:rPr>
        <w:t xml:space="preserve">Pradinė dozė yra 400 mg, vartojant po 4 kapsules </w:t>
      </w:r>
      <w:r w:rsidRPr="00AB7860">
        <w:rPr>
          <w:rFonts w:ascii="Times New Roman" w:hAnsi="Times New Roman" w:cs="Times New Roman"/>
          <w:b/>
          <w:color w:val="000000"/>
          <w:lang w:val="lt-LT"/>
        </w:rPr>
        <w:t xml:space="preserve">kartą </w:t>
      </w:r>
      <w:r w:rsidRPr="00AB7860">
        <w:rPr>
          <w:rFonts w:ascii="Times New Roman" w:hAnsi="Times New Roman" w:cs="Times New Roman"/>
          <w:color w:val="000000"/>
          <w:lang w:val="lt-LT"/>
        </w:rPr>
        <w:t>per parą.</w:t>
      </w:r>
      <w:r w:rsidRPr="00AB7860">
        <w:rPr>
          <w:rFonts w:ascii="Times New Roman" w:hAnsi="Times New Roman" w:cs="Times New Roman"/>
          <w:b/>
          <w:color w:val="000000"/>
          <w:lang w:val="lt-LT"/>
        </w:rPr>
        <w:t xml:space="preserve"> </w:t>
      </w:r>
    </w:p>
    <w:p w14:paraId="3956AAE1"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4CE65B72" w14:textId="77777777" w:rsidR="00173803" w:rsidRPr="00AB7860" w:rsidRDefault="00173803" w:rsidP="00173803">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Gydant LML ir VTSN, Jūsų gydytojas gali paskirti vartoti didesnę arba mažesnę dozę, atsižvelgdamas į Jūsų atsaką į gydymą. Jeigu vartojate 800 mg paros dozę (8 kapsules), reikia gerti 4 kapsules ryte ir 4 kapsules vakare.</w:t>
      </w:r>
    </w:p>
    <w:p w14:paraId="3C4EF8DC"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3CADDE99" w14:textId="77777777" w:rsidR="00173803" w:rsidRPr="00AB7860" w:rsidRDefault="00173803" w:rsidP="00173803">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Ph teigiama ŪLL:</w:t>
      </w:r>
    </w:p>
    <w:p w14:paraId="754162C7" w14:textId="77777777" w:rsidR="00173803" w:rsidRPr="00AB7860" w:rsidRDefault="00173803" w:rsidP="00173803">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Pradinė dozė yra 600 mg, vartojant po 6 kapsules </w:t>
      </w:r>
      <w:r w:rsidRPr="00AB7860">
        <w:rPr>
          <w:rFonts w:ascii="Times New Roman" w:hAnsi="Times New Roman" w:cs="Times New Roman"/>
          <w:b/>
          <w:lang w:val="lt-LT"/>
        </w:rPr>
        <w:t xml:space="preserve">kartą </w:t>
      </w:r>
      <w:r w:rsidRPr="00AB7860">
        <w:rPr>
          <w:rFonts w:ascii="Times New Roman" w:hAnsi="Times New Roman" w:cs="Times New Roman"/>
          <w:lang w:val="lt-LT"/>
        </w:rPr>
        <w:t>per parą.</w:t>
      </w:r>
    </w:p>
    <w:p w14:paraId="68776C45"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48817632" w14:textId="77777777" w:rsidR="00173803" w:rsidRPr="00AB7860" w:rsidRDefault="00173803" w:rsidP="00173803">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MDS/MPL:</w:t>
      </w:r>
    </w:p>
    <w:p w14:paraId="29A041EB" w14:textId="77777777" w:rsidR="00173803" w:rsidRPr="00AB7860" w:rsidRDefault="00173803" w:rsidP="00173803">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Pradinė dozė yra 400 mg, vartojant po 4 kapsules </w:t>
      </w:r>
      <w:r w:rsidRPr="00AB7860">
        <w:rPr>
          <w:rFonts w:ascii="Times New Roman" w:hAnsi="Times New Roman" w:cs="Times New Roman"/>
          <w:b/>
          <w:lang w:val="lt-LT"/>
        </w:rPr>
        <w:t xml:space="preserve">kartą </w:t>
      </w:r>
      <w:r w:rsidRPr="00AB7860">
        <w:rPr>
          <w:rFonts w:ascii="Times New Roman" w:hAnsi="Times New Roman" w:cs="Times New Roman"/>
          <w:lang w:val="lt-LT"/>
        </w:rPr>
        <w:t>per parą.</w:t>
      </w:r>
    </w:p>
    <w:p w14:paraId="040DA17A"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19F87547" w14:textId="77777777" w:rsidR="00173803" w:rsidRPr="00AB7860" w:rsidRDefault="00173803" w:rsidP="00173803">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HES/LEL:</w:t>
      </w:r>
    </w:p>
    <w:p w14:paraId="6BB7E1DB" w14:textId="77777777" w:rsidR="00173803" w:rsidRPr="00AB7860" w:rsidRDefault="00173803" w:rsidP="00173803">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Pradinė dozė yra 100 mg, t.y. vartojant po 1 kapsulę </w:t>
      </w:r>
      <w:r w:rsidRPr="00AB7860">
        <w:rPr>
          <w:rFonts w:ascii="Times New Roman" w:hAnsi="Times New Roman" w:cs="Times New Roman"/>
          <w:b/>
          <w:lang w:val="lt-LT"/>
        </w:rPr>
        <w:t xml:space="preserve">kartą </w:t>
      </w:r>
      <w:r w:rsidRPr="00AB7860">
        <w:rPr>
          <w:rFonts w:ascii="Times New Roman" w:hAnsi="Times New Roman" w:cs="Times New Roman"/>
          <w:lang w:val="lt-LT"/>
        </w:rPr>
        <w:t xml:space="preserve">per parą. Priklausomai nuo Jūsų atsako į gydymą, Jūsų gydytojas gali nuspręsti padidinti dozę iki 400 mg, vartojant po 4 kapsules </w:t>
      </w:r>
      <w:r w:rsidRPr="00AB7860">
        <w:rPr>
          <w:rFonts w:ascii="Times New Roman" w:hAnsi="Times New Roman" w:cs="Times New Roman"/>
          <w:b/>
          <w:lang w:val="lt-LT"/>
        </w:rPr>
        <w:t xml:space="preserve">kartą </w:t>
      </w:r>
      <w:r w:rsidRPr="00AB7860">
        <w:rPr>
          <w:rFonts w:ascii="Times New Roman" w:hAnsi="Times New Roman" w:cs="Times New Roman"/>
          <w:lang w:val="lt-LT"/>
        </w:rPr>
        <w:t>per parą.</w:t>
      </w:r>
    </w:p>
    <w:p w14:paraId="08609030"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7B883E33" w14:textId="77777777" w:rsidR="00173803" w:rsidRPr="00AB7860" w:rsidRDefault="00173803" w:rsidP="00173803">
      <w:pPr>
        <w:numPr>
          <w:ilvl w:val="12"/>
          <w:numId w:val="0"/>
        </w:numPr>
        <w:spacing w:after="0" w:line="240" w:lineRule="auto"/>
        <w:rPr>
          <w:rFonts w:ascii="Times New Roman" w:hAnsi="Times New Roman" w:cs="Times New Roman"/>
          <w:b/>
          <w:lang w:val="lt-LT"/>
        </w:rPr>
      </w:pPr>
      <w:r w:rsidRPr="00AB7860">
        <w:rPr>
          <w:rFonts w:ascii="Times New Roman" w:hAnsi="Times New Roman" w:cs="Times New Roman"/>
          <w:lang w:val="lt-LT"/>
        </w:rPr>
        <w:t xml:space="preserve">- </w:t>
      </w:r>
      <w:r w:rsidRPr="00AB7860">
        <w:rPr>
          <w:rFonts w:ascii="Times New Roman" w:hAnsi="Times New Roman" w:cs="Times New Roman"/>
          <w:b/>
          <w:lang w:val="lt-LT"/>
        </w:rPr>
        <w:t>Jeigu gydoma DFSP:</w:t>
      </w:r>
    </w:p>
    <w:p w14:paraId="34C736A5" w14:textId="77777777" w:rsidR="00173803" w:rsidRPr="00AB7860" w:rsidRDefault="00173803" w:rsidP="00173803">
      <w:pPr>
        <w:numPr>
          <w:ilvl w:val="12"/>
          <w:numId w:val="0"/>
        </w:numPr>
        <w:spacing w:after="0" w:line="240" w:lineRule="auto"/>
        <w:rPr>
          <w:rFonts w:ascii="Times New Roman" w:hAnsi="Times New Roman" w:cs="Times New Roman"/>
          <w:lang w:val="lt-LT"/>
        </w:rPr>
      </w:pPr>
      <w:r w:rsidRPr="00AB7860">
        <w:rPr>
          <w:rFonts w:ascii="Times New Roman" w:hAnsi="Times New Roman" w:cs="Times New Roman"/>
          <w:lang w:val="lt-LT"/>
        </w:rPr>
        <w:t>Dozė yra 800 mg per parą (8 kapsulės), vartojant po 4 kapsules ryte ir 4 kapsules vakare.</w:t>
      </w:r>
    </w:p>
    <w:p w14:paraId="59882531" w14:textId="77777777" w:rsidR="00173803" w:rsidRPr="00AB7860" w:rsidRDefault="00173803" w:rsidP="00173803">
      <w:pPr>
        <w:numPr>
          <w:ilvl w:val="12"/>
          <w:numId w:val="0"/>
        </w:numPr>
        <w:spacing w:after="0" w:line="240" w:lineRule="auto"/>
        <w:rPr>
          <w:rFonts w:ascii="Times New Roman" w:hAnsi="Times New Roman" w:cs="Times New Roman"/>
          <w:lang w:val="lt-LT"/>
        </w:rPr>
      </w:pPr>
    </w:p>
    <w:p w14:paraId="5707AD0E"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Vartojimas vaikams ir paaugliams</w:t>
      </w:r>
    </w:p>
    <w:p w14:paraId="5C86CD46"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Gydytojas Jums tiksliai nurodys, kiek Imatinib Grindeks kapsulių reikia duoti gerti Jūsų vaikui. Imatinib Grindeks dozė priklausys nuo Jūsų vaiko būklės, kūno svorio ir ūgio. </w:t>
      </w:r>
      <w:r w:rsidRPr="00AB7860">
        <w:rPr>
          <w:rFonts w:ascii="Times New Roman" w:eastAsia="Times New Roman" w:hAnsi="Times New Roman" w:cs="Times New Roman"/>
          <w:lang w:val="lt-LT"/>
        </w:rPr>
        <w:t>Bendroji vaikų, sergančių LML</w:t>
      </w:r>
      <w:r w:rsidRPr="00AB7860">
        <w:rPr>
          <w:rFonts w:ascii="Times New Roman" w:hAnsi="Times New Roman" w:cs="Times New Roman"/>
          <w:lang w:val="lt-LT"/>
        </w:rPr>
        <w:t xml:space="preserve"> paros dozė </w:t>
      </w:r>
      <w:r w:rsidRPr="00AB7860">
        <w:rPr>
          <w:rFonts w:ascii="Times New Roman" w:eastAsia="Times New Roman" w:hAnsi="Times New Roman" w:cs="Times New Roman"/>
          <w:lang w:val="lt-LT"/>
        </w:rPr>
        <w:t>neturi</w:t>
      </w:r>
      <w:r w:rsidRPr="00AB7860">
        <w:rPr>
          <w:rFonts w:ascii="Times New Roman" w:hAnsi="Times New Roman" w:cs="Times New Roman"/>
          <w:lang w:val="lt-LT"/>
        </w:rPr>
        <w:t xml:space="preserve"> būti didesnė kaip 800 mg</w:t>
      </w:r>
      <w:r w:rsidRPr="00AB7860">
        <w:rPr>
          <w:rFonts w:ascii="Times New Roman" w:eastAsia="Times New Roman" w:hAnsi="Times New Roman" w:cs="Times New Roman"/>
          <w:lang w:val="lt-LT"/>
        </w:rPr>
        <w:t xml:space="preserve"> ir 600 mg, sergančių Ph+ ŪLL</w:t>
      </w:r>
      <w:r w:rsidRPr="00AB7860">
        <w:rPr>
          <w:rFonts w:ascii="Times New Roman" w:hAnsi="Times New Roman" w:cs="Times New Roman"/>
          <w:lang w:val="lt-LT"/>
        </w:rPr>
        <w:t>. Vaistą galima vartoti vieną kartą per parą arba paros dozę padalyti į dvi dalis (pusę dozės vartoti ryte ir kitą pusę – vakare).</w:t>
      </w:r>
    </w:p>
    <w:p w14:paraId="3A7DD271" w14:textId="77777777" w:rsidR="00173803" w:rsidRPr="00AB7860" w:rsidRDefault="00173803" w:rsidP="00173803">
      <w:pPr>
        <w:tabs>
          <w:tab w:val="left" w:pos="360"/>
        </w:tabs>
        <w:spacing w:after="0" w:line="240" w:lineRule="auto"/>
        <w:rPr>
          <w:rFonts w:ascii="Times New Roman" w:hAnsi="Times New Roman" w:cs="Times New Roman"/>
          <w:b/>
          <w:lang w:val="lt-LT"/>
        </w:rPr>
      </w:pPr>
    </w:p>
    <w:p w14:paraId="07FF14FE"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Kada ir kaip vartoti Imatinib Grindeks</w:t>
      </w:r>
    </w:p>
    <w:p w14:paraId="5FD502E1" w14:textId="77777777" w:rsidR="00173803" w:rsidRPr="00AB7860" w:rsidRDefault="00173803" w:rsidP="00173803">
      <w:pPr>
        <w:spacing w:after="0" w:line="240" w:lineRule="auto"/>
        <w:ind w:left="567" w:hanging="567"/>
        <w:rPr>
          <w:rFonts w:ascii="Times New Roman" w:hAnsi="Times New Roman" w:cs="Times New Roman"/>
          <w:lang w:val="lt-LT"/>
        </w:rPr>
      </w:pPr>
      <w:r w:rsidRPr="00AB7860">
        <w:rPr>
          <w:rFonts w:ascii="Times New Roman" w:hAnsi="Times New Roman" w:cs="Times New Roman"/>
          <w:b/>
          <w:lang w:val="lt-LT"/>
        </w:rPr>
        <w:t>-</w:t>
      </w:r>
      <w:r w:rsidRPr="00AB7860">
        <w:rPr>
          <w:rFonts w:ascii="Times New Roman" w:hAnsi="Times New Roman" w:cs="Times New Roman"/>
          <w:b/>
          <w:lang w:val="lt-LT"/>
        </w:rPr>
        <w:tab/>
        <w:t>Imatinib Grindeks vartokite valgio metu</w:t>
      </w:r>
      <w:r w:rsidRPr="00AB7860">
        <w:rPr>
          <w:rFonts w:ascii="Times New Roman" w:hAnsi="Times New Roman" w:cs="Times New Roman"/>
          <w:lang w:val="lt-LT"/>
        </w:rPr>
        <w:t>. Tai padės išvengti skrandžio sutrikimų, galimų Imatinib Grindeks vartojimo metu.</w:t>
      </w:r>
    </w:p>
    <w:p w14:paraId="09DC4AD5" w14:textId="77777777" w:rsidR="00173803" w:rsidRPr="00AB7860" w:rsidRDefault="00173803" w:rsidP="00173803">
      <w:pPr>
        <w:tabs>
          <w:tab w:val="num" w:pos="0"/>
        </w:tabs>
        <w:spacing w:after="0" w:line="240" w:lineRule="auto"/>
        <w:ind w:left="567" w:hanging="567"/>
        <w:rPr>
          <w:rFonts w:ascii="Times New Roman" w:hAnsi="Times New Roman" w:cs="Times New Roman"/>
          <w:color w:val="000000"/>
          <w:lang w:val="lt-LT"/>
        </w:rPr>
      </w:pPr>
      <w:r w:rsidRPr="00AB7860">
        <w:rPr>
          <w:rFonts w:ascii="Times New Roman" w:hAnsi="Times New Roman" w:cs="Times New Roman"/>
          <w:b/>
          <w:lang w:val="lt-LT"/>
        </w:rPr>
        <w:t>-</w:t>
      </w:r>
      <w:r w:rsidRPr="00AB7860">
        <w:rPr>
          <w:rFonts w:ascii="Times New Roman" w:hAnsi="Times New Roman" w:cs="Times New Roman"/>
          <w:b/>
          <w:lang w:val="lt-LT"/>
        </w:rPr>
        <w:tab/>
        <w:t>Nurykite visą kapsulę užgerdami didele stikline vandens</w:t>
      </w:r>
      <w:r w:rsidRPr="00AB7860">
        <w:rPr>
          <w:rFonts w:ascii="Times New Roman" w:hAnsi="Times New Roman" w:cs="Times New Roman"/>
          <w:lang w:val="lt-LT"/>
        </w:rPr>
        <w:t xml:space="preserve">. </w:t>
      </w:r>
      <w:r w:rsidRPr="00AB7860">
        <w:rPr>
          <w:rFonts w:ascii="Times New Roman" w:hAnsi="Times New Roman" w:cs="Times New Roman"/>
          <w:color w:val="000000"/>
          <w:lang w:val="lt-LT"/>
        </w:rPr>
        <w:t>Kapsulės neatidarinėkite ir netraiškykite, nebent yra sunku ją praryti (pvz., vaikams).</w:t>
      </w:r>
    </w:p>
    <w:p w14:paraId="632F7FBB" w14:textId="77777777" w:rsidR="00173803" w:rsidRPr="00AB7860" w:rsidRDefault="00173803" w:rsidP="00173803">
      <w:pPr>
        <w:tabs>
          <w:tab w:val="num" w:pos="0"/>
        </w:tabs>
        <w:spacing w:after="0" w:line="240" w:lineRule="auto"/>
        <w:ind w:left="567" w:hanging="567"/>
        <w:rPr>
          <w:rFonts w:ascii="Times New Roman" w:hAnsi="Times New Roman" w:cs="Times New Roman"/>
          <w:lang w:val="lt-LT"/>
        </w:rPr>
      </w:pPr>
      <w:r w:rsidRPr="00AB7860">
        <w:rPr>
          <w:rFonts w:ascii="Times New Roman" w:hAnsi="Times New Roman" w:cs="Times New Roman"/>
          <w:b/>
          <w:lang w:val="lt-LT"/>
        </w:rPr>
        <w:t>-</w:t>
      </w:r>
      <w:r w:rsidRPr="00AB7860">
        <w:rPr>
          <w:rFonts w:ascii="Times New Roman" w:hAnsi="Times New Roman" w:cs="Times New Roman"/>
          <w:b/>
          <w:lang w:val="lt-LT"/>
        </w:rPr>
        <w:tab/>
      </w:r>
      <w:r w:rsidRPr="00AB7860">
        <w:rPr>
          <w:rFonts w:ascii="Times New Roman" w:hAnsi="Times New Roman" w:cs="Times New Roman"/>
          <w:lang w:val="lt-LT"/>
        </w:rPr>
        <w:t>Jeigu negalite nuryti kapsulės, galite ją atidaryti ir miltelius ištirpinti stiklinėje negazuoto vandens ar obuolių sulčių.</w:t>
      </w:r>
    </w:p>
    <w:p w14:paraId="3044052C" w14:textId="77777777" w:rsidR="00173803" w:rsidRPr="00AB7860" w:rsidRDefault="00173803" w:rsidP="00173803">
      <w:pPr>
        <w:spacing w:after="0" w:line="240" w:lineRule="auto"/>
        <w:ind w:left="567" w:hanging="567"/>
        <w:rPr>
          <w:rFonts w:ascii="Times New Roman" w:hAnsi="Times New Roman" w:cs="Times New Roman"/>
          <w:lang w:val="lt-LT"/>
        </w:rPr>
      </w:pPr>
      <w:r w:rsidRPr="00AB7860">
        <w:rPr>
          <w:rFonts w:ascii="Times New Roman" w:hAnsi="Times New Roman" w:cs="Times New Roman"/>
          <w:lang w:val="lt-LT"/>
        </w:rPr>
        <w:t>-</w:t>
      </w:r>
      <w:r w:rsidRPr="00AB7860">
        <w:rPr>
          <w:rFonts w:ascii="Times New Roman" w:hAnsi="Times New Roman" w:cs="Times New Roman"/>
          <w:lang w:val="lt-LT"/>
        </w:rPr>
        <w:tab/>
        <w:t>Jei esate ar galite būti nėščia ir ketinate atidaryti kapsulę, su jos turiniu turite elgtis labai atsargiai. Žiūrėkite, kad vaisto nepatektų ant odos, į akis ir kad jo neįkvėptumėte. Po kapsulės atidarymo nedelsdami nusiplaukite rankas.</w:t>
      </w:r>
    </w:p>
    <w:p w14:paraId="3C873377"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9CE24D6"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Kaip ilgai vartoti Imatinib Grindeks</w:t>
      </w:r>
    </w:p>
    <w:p w14:paraId="6467FFF4"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Imatinib Grindeks vartokite kasdien, tiek laiko, kiek nurodė Jūsų gydytojas.</w:t>
      </w:r>
    </w:p>
    <w:p w14:paraId="04D32828"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33B84B51" w14:textId="6AB6DC8C"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Ką daryti pavartojus per didelę Imatinib Grindeks dozę</w:t>
      </w:r>
    </w:p>
    <w:p w14:paraId="402E3286"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atsitiktinai išgėrėte per daug kapsulių, </w:t>
      </w:r>
      <w:r w:rsidRPr="00AB7860">
        <w:rPr>
          <w:rFonts w:ascii="Times New Roman" w:hAnsi="Times New Roman" w:cs="Times New Roman"/>
          <w:b/>
          <w:lang w:val="lt-LT"/>
        </w:rPr>
        <w:t>iš karto</w:t>
      </w:r>
      <w:r w:rsidRPr="00AB7860">
        <w:rPr>
          <w:rFonts w:ascii="Times New Roman" w:hAnsi="Times New Roman" w:cs="Times New Roman"/>
          <w:lang w:val="lt-LT"/>
        </w:rPr>
        <w:t xml:space="preserve"> kreipkitės į gydytoją. Jums gali prireikti medicininės pagalbos. Pasiimkite su savimi vaisto pakuotę.</w:t>
      </w:r>
    </w:p>
    <w:p w14:paraId="47551F30"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79A4C7B"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Pamiršus pavartoti Imatinib Grindeks</w:t>
      </w:r>
    </w:p>
    <w:p w14:paraId="6574CE91" w14:textId="77777777" w:rsidR="00173803" w:rsidRPr="00AB7860" w:rsidRDefault="00173803" w:rsidP="00173803">
      <w:pPr>
        <w:numPr>
          <w:ilvl w:val="0"/>
          <w:numId w:val="12"/>
        </w:numPr>
        <w:spacing w:after="0" w:line="240" w:lineRule="auto"/>
        <w:rPr>
          <w:rFonts w:ascii="Times New Roman" w:hAnsi="Times New Roman" w:cs="Times New Roman"/>
          <w:lang w:val="lt-LT"/>
        </w:rPr>
      </w:pPr>
      <w:r w:rsidRPr="00AB7860">
        <w:rPr>
          <w:rFonts w:ascii="Times New Roman" w:hAnsi="Times New Roman" w:cs="Times New Roman"/>
          <w:lang w:val="lt-LT"/>
        </w:rPr>
        <w:t>Pamiršus pavartoti vaisto dozę, ją išgerkite kai tik prisiminėte. Tačiau</w:t>
      </w:r>
      <w:r w:rsidRPr="00AB7860">
        <w:rPr>
          <w:rFonts w:ascii="Times New Roman" w:eastAsia="Times New Roman" w:hAnsi="Times New Roman" w:cs="Times New Roman"/>
          <w:bCs/>
          <w:lang w:val="lt-LT"/>
        </w:rPr>
        <w:t>,</w:t>
      </w:r>
      <w:r w:rsidRPr="00AB7860">
        <w:rPr>
          <w:rFonts w:ascii="Times New Roman" w:hAnsi="Times New Roman" w:cs="Times New Roman"/>
          <w:lang w:val="lt-LT"/>
        </w:rPr>
        <w:t xml:space="preserve"> jeigu jau beveik laikas gerti kitą dozę, praleistos dozės nevartokite.</w:t>
      </w:r>
    </w:p>
    <w:p w14:paraId="4D25803E" w14:textId="77777777" w:rsidR="00173803" w:rsidRPr="00AB7860" w:rsidRDefault="00173803" w:rsidP="00173803">
      <w:pPr>
        <w:numPr>
          <w:ilvl w:val="0"/>
          <w:numId w:val="12"/>
        </w:numPr>
        <w:spacing w:after="0" w:line="240" w:lineRule="auto"/>
        <w:rPr>
          <w:rFonts w:ascii="Times New Roman" w:hAnsi="Times New Roman" w:cs="Times New Roman"/>
          <w:lang w:val="lt-LT"/>
        </w:rPr>
      </w:pPr>
      <w:r w:rsidRPr="00AB7860">
        <w:rPr>
          <w:rFonts w:ascii="Times New Roman" w:hAnsi="Times New Roman" w:cs="Times New Roman"/>
          <w:lang w:val="lt-LT"/>
        </w:rPr>
        <w:t>Vėliau vaisto vartojimą tęskite įprastu režimu.</w:t>
      </w:r>
    </w:p>
    <w:p w14:paraId="32B5B61F" w14:textId="77777777" w:rsidR="00173803" w:rsidRPr="00AB7860" w:rsidRDefault="00173803" w:rsidP="00173803">
      <w:pPr>
        <w:numPr>
          <w:ilvl w:val="0"/>
          <w:numId w:val="12"/>
        </w:numPr>
        <w:spacing w:after="0" w:line="240" w:lineRule="auto"/>
        <w:rPr>
          <w:rFonts w:ascii="Times New Roman" w:hAnsi="Times New Roman" w:cs="Times New Roman"/>
          <w:lang w:val="lt-LT"/>
        </w:rPr>
      </w:pPr>
      <w:r w:rsidRPr="00AB7860">
        <w:rPr>
          <w:rFonts w:ascii="Times New Roman" w:hAnsi="Times New Roman" w:cs="Times New Roman"/>
          <w:lang w:val="lt-LT"/>
        </w:rPr>
        <w:t>Negalima vartoti dvigubos dozės norint kompensuoti praleistą dozę.</w:t>
      </w:r>
    </w:p>
    <w:p w14:paraId="001896D0" w14:textId="77777777" w:rsidR="00173803" w:rsidRPr="00AB7860" w:rsidRDefault="00173803" w:rsidP="00173803">
      <w:pPr>
        <w:spacing w:after="0" w:line="240" w:lineRule="auto"/>
        <w:rPr>
          <w:rFonts w:ascii="Times New Roman" w:hAnsi="Times New Roman" w:cs="Times New Roman"/>
          <w:lang w:val="lt-LT"/>
        </w:rPr>
      </w:pPr>
    </w:p>
    <w:p w14:paraId="4A5E4AFB" w14:textId="77777777" w:rsidR="00173803" w:rsidRPr="006F4F46" w:rsidRDefault="00173803" w:rsidP="00173803">
      <w:pPr>
        <w:pStyle w:val="Antrat4"/>
        <w:spacing w:before="0" w:after="0"/>
        <w:rPr>
          <w:rFonts w:ascii="Times New Roman" w:hAnsi="Times New Roman"/>
          <w:sz w:val="22"/>
          <w:szCs w:val="22"/>
          <w:lang w:val="lt-LT"/>
        </w:rPr>
      </w:pPr>
      <w:r w:rsidRPr="00D6313B">
        <w:rPr>
          <w:rFonts w:ascii="Times New Roman" w:hAnsi="Times New Roman"/>
          <w:sz w:val="22"/>
          <w:szCs w:val="22"/>
          <w:lang w:val="lt-LT"/>
        </w:rPr>
        <w:t>Nustojus vartoti Imatinib Grindeks</w:t>
      </w:r>
    </w:p>
    <w:p w14:paraId="1E6F597A"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Nenustokite vartoti Imatinib Grindeks tol, kol taip nelieps Jūsų gydytojas. Nedelsdami kreipkitės į gydytoją, jeigu negalite vartoti vaisto taip, kaip paskirta, arba manote, kad Imatinib Grindeks Jums daugiau nereikia.</w:t>
      </w:r>
    </w:p>
    <w:p w14:paraId="30C859B7"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11268465"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lang w:val="lt-LT"/>
        </w:rPr>
        <w:t>Jeigu kiltų daugiau klausimų dėl šio vaisto vartojimo, kreipkitės į gydytoją, vaistininką arba slaugytoją.</w:t>
      </w:r>
    </w:p>
    <w:p w14:paraId="0DB1D20A"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79D377B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0A47628" w14:textId="77777777" w:rsidR="00173803" w:rsidRPr="00AB7860" w:rsidRDefault="00173803" w:rsidP="00173803">
      <w:pPr>
        <w:tabs>
          <w:tab w:val="left" w:pos="567"/>
        </w:tabs>
        <w:spacing w:after="0" w:line="240" w:lineRule="auto"/>
        <w:ind w:left="567" w:hanging="567"/>
        <w:outlineLvl w:val="1"/>
        <w:rPr>
          <w:rFonts w:ascii="Times New Roman" w:hAnsi="Times New Roman" w:cs="Times New Roman"/>
          <w:b/>
          <w:lang w:val="lt-LT"/>
        </w:rPr>
      </w:pPr>
      <w:bookmarkStart w:id="62" w:name="_Toc129243142"/>
      <w:bookmarkStart w:id="63" w:name="_Toc129243267"/>
      <w:r w:rsidRPr="00AB7860">
        <w:rPr>
          <w:rFonts w:ascii="Times New Roman" w:hAnsi="Times New Roman" w:cs="Times New Roman"/>
          <w:b/>
          <w:lang w:val="lt-LT"/>
        </w:rPr>
        <w:t>4.</w:t>
      </w:r>
      <w:r w:rsidRPr="00AB7860">
        <w:rPr>
          <w:rFonts w:ascii="Times New Roman" w:hAnsi="Times New Roman" w:cs="Times New Roman"/>
          <w:b/>
          <w:lang w:val="lt-LT"/>
        </w:rPr>
        <w:tab/>
        <w:t>Galimas šalutinis poveikis</w:t>
      </w:r>
      <w:bookmarkEnd w:id="62"/>
      <w:bookmarkEnd w:id="63"/>
    </w:p>
    <w:p w14:paraId="0055ABE2"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71AFBE49"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Šis vaistas, kaip ir visi kiti, gali sukelti šalutinį poveikį, nors jis pasireiškia ne visiems žmonėms. Paprastai šalutinis poveikis būna nesunkus ar vidutinio sunkumo.</w:t>
      </w:r>
    </w:p>
    <w:p w14:paraId="7E23F7C5"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4E53588"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b/>
          <w:lang w:val="lt-LT"/>
        </w:rPr>
        <w:t xml:space="preserve">Kai kurie šalutiniai poveikiai gali būti sunkūs. </w:t>
      </w:r>
      <w:r w:rsidRPr="00AB7860">
        <w:rPr>
          <w:rFonts w:ascii="Times New Roman" w:eastAsia="Times New Roman" w:hAnsi="Times New Roman" w:cs="Times New Roman"/>
          <w:b/>
          <w:lang w:val="lt-LT"/>
        </w:rPr>
        <w:t>Nedelsdami</w:t>
      </w:r>
      <w:r w:rsidRPr="00AB7860">
        <w:rPr>
          <w:rFonts w:ascii="Times New Roman" w:hAnsi="Times New Roman" w:cs="Times New Roman"/>
          <w:b/>
          <w:lang w:val="lt-LT"/>
        </w:rPr>
        <w:t xml:space="preserve"> pasakykite gydytojui, jeigu Jums pasireikštų kuris nors iš toliau išvardytų reiškinių</w:t>
      </w:r>
      <w:r w:rsidRPr="00AB7860">
        <w:rPr>
          <w:rFonts w:ascii="Times New Roman" w:hAnsi="Times New Roman" w:cs="Times New Roman"/>
          <w:lang w:val="lt-LT"/>
        </w:rPr>
        <w:t>:</w:t>
      </w:r>
    </w:p>
    <w:p w14:paraId="28436AB7" w14:textId="77777777" w:rsidR="00173803" w:rsidRPr="00AB7860" w:rsidRDefault="00173803" w:rsidP="003D5BFB">
      <w:pPr>
        <w:tabs>
          <w:tab w:val="left" w:pos="360"/>
        </w:tabs>
        <w:spacing w:after="0" w:line="240" w:lineRule="auto"/>
        <w:rPr>
          <w:rFonts w:ascii="Times New Roman" w:hAnsi="Times New Roman" w:cs="Times New Roman"/>
          <w:lang w:val="lt-LT"/>
        </w:rPr>
      </w:pPr>
    </w:p>
    <w:p w14:paraId="3D61ACD2" w14:textId="77777777" w:rsidR="00173803" w:rsidRPr="00AB7860" w:rsidRDefault="003D5BFB" w:rsidP="00173803">
      <w:pPr>
        <w:tabs>
          <w:tab w:val="left" w:pos="360"/>
        </w:tabs>
        <w:spacing w:after="0" w:line="240" w:lineRule="auto"/>
        <w:rPr>
          <w:rFonts w:ascii="Times New Roman" w:hAnsi="Times New Roman" w:cs="Times New Roman"/>
          <w:lang w:val="lt-LT"/>
        </w:rPr>
      </w:pPr>
      <w:r w:rsidRPr="0049461C">
        <w:rPr>
          <w:rFonts w:ascii="Times New Roman" w:hAnsi="Times New Roman" w:cs="Times New Roman"/>
          <w:b/>
          <w:bCs/>
          <w:noProof/>
          <w:snapToGrid w:val="0"/>
          <w:lang w:val="lt-LT"/>
        </w:rPr>
        <w:t>Labai dažni šalutinio poveikio reiškiniai (</w:t>
      </w:r>
      <w:r w:rsidRPr="0049461C">
        <w:rPr>
          <w:rFonts w:ascii="Times New Roman" w:hAnsi="Times New Roman" w:cs="Times New Roman"/>
          <w:bCs/>
          <w:noProof/>
          <w:snapToGrid w:val="0"/>
          <w:lang w:val="lt-LT"/>
        </w:rPr>
        <w:t>gali pasireikšti ne rečiau kaip 1 iš 10 asmenų</w:t>
      </w:r>
      <w:r w:rsidRPr="0049461C">
        <w:rPr>
          <w:rFonts w:ascii="Times New Roman" w:hAnsi="Times New Roman" w:cs="Times New Roman"/>
          <w:b/>
          <w:bCs/>
          <w:noProof/>
          <w:snapToGrid w:val="0"/>
          <w:lang w:val="lt-LT"/>
        </w:rPr>
        <w:t>)</w:t>
      </w:r>
      <w:r w:rsidR="00173803" w:rsidRPr="00AB7860">
        <w:rPr>
          <w:rFonts w:ascii="Times New Roman" w:hAnsi="Times New Roman" w:cs="Times New Roman"/>
          <w:lang w:val="lt-LT"/>
        </w:rPr>
        <w:t xml:space="preserve"> ir</w:t>
      </w:r>
      <w:r w:rsidRPr="0049461C">
        <w:rPr>
          <w:rFonts w:ascii="Times New Roman" w:hAnsi="Times New Roman" w:cs="Times New Roman"/>
          <w:b/>
          <w:bCs/>
          <w:noProof/>
          <w:snapToGrid w:val="0"/>
          <w:lang w:val="lt-LT"/>
        </w:rPr>
        <w:t xml:space="preserve"> Dažni šalutinio poveikio reiškiniai </w:t>
      </w:r>
      <w:r w:rsidRPr="0049461C">
        <w:rPr>
          <w:rFonts w:ascii="Times New Roman" w:hAnsi="Times New Roman" w:cs="Times New Roman"/>
          <w:bCs/>
          <w:noProof/>
          <w:snapToGrid w:val="0"/>
          <w:lang w:val="lt-LT"/>
        </w:rPr>
        <w:t>(gali pasireikšti rečiau kaip 1 iš 10 asmenų)</w:t>
      </w:r>
      <w:r w:rsidR="00173803" w:rsidRPr="00AB7860">
        <w:rPr>
          <w:rFonts w:ascii="Times New Roman" w:hAnsi="Times New Roman" w:cs="Times New Roman"/>
          <w:lang w:val="lt-LT"/>
        </w:rPr>
        <w:t>:</w:t>
      </w:r>
    </w:p>
    <w:p w14:paraId="672FD2EC" w14:textId="77777777" w:rsidR="00173803" w:rsidRPr="00AB7860" w:rsidRDefault="00173803" w:rsidP="00173803">
      <w:pPr>
        <w:numPr>
          <w:ilvl w:val="0"/>
          <w:numId w:val="23"/>
        </w:numPr>
        <w:spacing w:after="0" w:line="240" w:lineRule="auto"/>
        <w:ind w:hanging="371"/>
        <w:contextualSpacing/>
        <w:rPr>
          <w:rFonts w:ascii="Times New Roman" w:hAnsi="Times New Roman" w:cs="Times New Roman"/>
          <w:lang w:val="lt-LT"/>
        </w:rPr>
      </w:pPr>
      <w:r w:rsidRPr="00AB7860">
        <w:rPr>
          <w:rFonts w:ascii="Times New Roman" w:hAnsi="Times New Roman" w:cs="Times New Roman"/>
          <w:lang w:val="lt-LT"/>
        </w:rPr>
        <w:t>Greitas svorio didėjimas. Vartojant Imatinib Grindeks organizme gali pradėti kauptis skysčiai (t.y. pasireikšti sunkus skysčių susilaikymas).</w:t>
      </w:r>
    </w:p>
    <w:p w14:paraId="30BB9162" w14:textId="77777777" w:rsidR="00173803" w:rsidRPr="00AB7860" w:rsidRDefault="00173803" w:rsidP="00173803">
      <w:pPr>
        <w:numPr>
          <w:ilvl w:val="0"/>
          <w:numId w:val="23"/>
        </w:numPr>
        <w:spacing w:after="0" w:line="240" w:lineRule="auto"/>
        <w:contextualSpacing/>
        <w:rPr>
          <w:rFonts w:ascii="Times New Roman" w:hAnsi="Times New Roman" w:cs="Times New Roman"/>
          <w:lang w:val="lt-LT"/>
        </w:rPr>
      </w:pPr>
      <w:r w:rsidRPr="00AB7860">
        <w:rPr>
          <w:rFonts w:ascii="Times New Roman" w:hAnsi="Times New Roman" w:cs="Times New Roman"/>
          <w:lang w:val="lt-LT"/>
        </w:rPr>
        <w:t>Infekcijos požymiai, tokie kaip: karščiavimas, stiprus šaltkrėtis, gerklės skausmas ar burnos išopėjimas. Imatinib Grindeks gali sumažinti baltųjų kraujo kūnelių skaičių, todėl lengviau galite užsikrėsti infekcinėmis ligomis.</w:t>
      </w:r>
    </w:p>
    <w:p w14:paraId="26C53ACA" w14:textId="77777777" w:rsidR="00173803" w:rsidRPr="00AB7860" w:rsidRDefault="00173803" w:rsidP="00173803">
      <w:pPr>
        <w:numPr>
          <w:ilvl w:val="0"/>
          <w:numId w:val="23"/>
        </w:numPr>
        <w:spacing w:after="0" w:line="240" w:lineRule="auto"/>
        <w:contextualSpacing/>
        <w:rPr>
          <w:rFonts w:ascii="Times New Roman" w:hAnsi="Times New Roman" w:cs="Times New Roman"/>
          <w:lang w:val="lt-LT"/>
        </w:rPr>
      </w:pPr>
      <w:r w:rsidRPr="00AB7860">
        <w:rPr>
          <w:rFonts w:ascii="Times New Roman" w:hAnsi="Times New Roman" w:cs="Times New Roman"/>
          <w:lang w:val="lt-LT"/>
        </w:rPr>
        <w:t>Netikėtas kraujavimas ar mėlynių susidarymas (kai nepatyrėte jokio sužeidimo).</w:t>
      </w:r>
    </w:p>
    <w:p w14:paraId="776D1738"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2F20B642" w14:textId="77777777" w:rsidR="00173803" w:rsidRPr="00AB7860" w:rsidRDefault="003D5BFB" w:rsidP="003D5BFB">
      <w:pPr>
        <w:tabs>
          <w:tab w:val="left" w:pos="567"/>
        </w:tabs>
        <w:spacing w:after="0"/>
        <w:rPr>
          <w:rFonts w:ascii="Times New Roman" w:hAnsi="Times New Roman" w:cs="Times New Roman"/>
          <w:b/>
          <w:lang w:val="lt-LT"/>
        </w:rPr>
      </w:pPr>
      <w:r w:rsidRPr="0049461C">
        <w:rPr>
          <w:rFonts w:ascii="Times New Roman" w:hAnsi="Times New Roman" w:cs="Times New Roman"/>
          <w:b/>
          <w:bCs/>
          <w:noProof/>
          <w:snapToGrid w:val="0"/>
          <w:lang w:val="lt-LT"/>
        </w:rPr>
        <w:t xml:space="preserve">Nedažni šalutinio poveikio reiškiniai </w:t>
      </w:r>
      <w:r w:rsidRPr="0049461C">
        <w:rPr>
          <w:rFonts w:ascii="Times New Roman" w:hAnsi="Times New Roman" w:cs="Times New Roman"/>
          <w:bCs/>
          <w:noProof/>
          <w:snapToGrid w:val="0"/>
          <w:lang w:val="lt-LT"/>
        </w:rPr>
        <w:t>(gali pasireikšti rečiau kaip 1 iš 100 asmenų)</w:t>
      </w:r>
      <w:r w:rsidRPr="0049461C">
        <w:rPr>
          <w:rFonts w:ascii="Times New Roman" w:hAnsi="Times New Roman" w:cs="Times New Roman"/>
          <w:b/>
          <w:bCs/>
          <w:noProof/>
          <w:snapToGrid w:val="0"/>
          <w:lang w:val="lt-LT"/>
        </w:rPr>
        <w:t xml:space="preserve"> </w:t>
      </w:r>
      <w:r w:rsidR="00173803" w:rsidRPr="00AB7860">
        <w:rPr>
          <w:rFonts w:ascii="Times New Roman" w:hAnsi="Times New Roman" w:cs="Times New Roman"/>
          <w:b/>
          <w:lang w:val="lt-LT"/>
        </w:rPr>
        <w:t>ir</w:t>
      </w:r>
      <w:r w:rsidRPr="0049461C">
        <w:rPr>
          <w:rFonts w:ascii="Times New Roman" w:hAnsi="Times New Roman" w:cs="Times New Roman"/>
          <w:b/>
          <w:bCs/>
          <w:noProof/>
          <w:snapToGrid w:val="0"/>
          <w:lang w:val="lt-LT"/>
        </w:rPr>
        <w:t xml:space="preserve"> reti šalutinio poveikio reiškiniai </w:t>
      </w:r>
      <w:r w:rsidRPr="0049461C">
        <w:rPr>
          <w:rFonts w:ascii="Times New Roman" w:hAnsi="Times New Roman" w:cs="Times New Roman"/>
          <w:bCs/>
          <w:noProof/>
          <w:snapToGrid w:val="0"/>
          <w:lang w:val="lt-LT"/>
        </w:rPr>
        <w:t>(gali pasireikšti rečiau kaip 1 iš 1 000 asmenų)</w:t>
      </w:r>
      <w:r w:rsidR="00173803" w:rsidRPr="00AB7860">
        <w:rPr>
          <w:rFonts w:ascii="Times New Roman" w:hAnsi="Times New Roman" w:cs="Times New Roman"/>
          <w:lang w:val="lt-LT"/>
        </w:rPr>
        <w:t>:</w:t>
      </w:r>
      <w:r w:rsidR="00173803" w:rsidRPr="00AB7860">
        <w:rPr>
          <w:rFonts w:ascii="Times New Roman" w:hAnsi="Times New Roman" w:cs="Times New Roman"/>
          <w:b/>
          <w:lang w:val="lt-LT"/>
        </w:rPr>
        <w:t xml:space="preserve"> </w:t>
      </w:r>
    </w:p>
    <w:p w14:paraId="14FCBFA5"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Skausmas krūtinėje, nereguliarus širdies plakimas (širdies funkcijos sutrikimo požymiai). </w:t>
      </w:r>
    </w:p>
    <w:p w14:paraId="3F50E339"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Kosulys, pasunkėjęs kvėpavimas arba skausmingas kvėpavimas (plaučių funkcijos sutrikimo požymiai). </w:t>
      </w:r>
    </w:p>
    <w:p w14:paraId="1D29EA16"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Apsvaigimo pojūtis, svaigulys ar alpimas (žemo kraujospūdžio požymiai). </w:t>
      </w:r>
    </w:p>
    <w:p w14:paraId="6C060271"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Šleikštulys (pykinimas), taip pat apetito praradimas, šlapimo patamsėjimas, pageltusi oda ar akių baltymai (kepenų funkcijos sutrikimų požymiai). </w:t>
      </w:r>
    </w:p>
    <w:p w14:paraId="3D988896"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Išbėrimas, odos paraudimas, taip pat pūslių atsiradimas ant lūpų, akių, odos arba burnos gleivinės, odos pleiskanojimas, karščiavimas, pakilę raudoni arba purpuriniai odos lopai, niežulys, deginimo pojūtis, pūslinis bėrimas (odos sutrikimų požymiai). </w:t>
      </w:r>
    </w:p>
    <w:p w14:paraId="1FBCACC0"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Stiprus pilvo skausmas, vėmimas, tuštinimasis ar šlapinimasis su kraujo priemaiša, juodos spalvos išmatos (virškinimo trakto sutrikimų požymiai). </w:t>
      </w:r>
    </w:p>
    <w:p w14:paraId="243BF574"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Labai sumažėjęs šlapimo kiekis, troškulys (inkstų sutrikimų požymiai). </w:t>
      </w:r>
    </w:p>
    <w:p w14:paraId="2B44235B"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Šleikštulys (pykinimas) kartu su viduriavimu ir vėmimu, pilvo skausmas ar karščiavimas (žarnų sutrikimų požymiai). </w:t>
      </w:r>
    </w:p>
    <w:p w14:paraId="700D2715"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Stiprus galvos skausmas, silpnumas arba galūnių ar veido paralyžius, pasunkėjusi kalba, staigus sąmonės praradimas (nervų sistemos sutrikimų požymiai,  pavyzdžiui, kraujavimo kaukolės ertmėje ar galvos smegenų patinimo, požymiai). </w:t>
      </w:r>
    </w:p>
    <w:p w14:paraId="43A14657"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Išblyškusi oda, nuovargis ir dusulys, tamsus šlapimas (raudonųjų kraujo ląstelių skaičiaus sumažėjimo požymiai). </w:t>
      </w:r>
    </w:p>
    <w:p w14:paraId="1D145F3C"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Akies skausmas ar pablogėjusi rega, kraujavimas akyse. </w:t>
      </w:r>
    </w:p>
    <w:p w14:paraId="31963C4B" w14:textId="77777777" w:rsidR="00D16508" w:rsidRPr="008D0710" w:rsidRDefault="00D16508" w:rsidP="00D16508">
      <w:pPr>
        <w:numPr>
          <w:ilvl w:val="0"/>
          <w:numId w:val="24"/>
        </w:numPr>
        <w:spacing w:after="0" w:line="240" w:lineRule="auto"/>
        <w:rPr>
          <w:rFonts w:ascii="Times New Roman" w:hAnsi="Times New Roman" w:cs="Times New Roman"/>
          <w:lang w:val="lt-LT"/>
        </w:rPr>
      </w:pPr>
      <w:r w:rsidRPr="008D0710">
        <w:rPr>
          <w:rFonts w:ascii="Times New Roman" w:hAnsi="Times New Roman" w:cs="Times New Roman"/>
        </w:rPr>
        <w:t xml:space="preserve">Skausmas kauluose arba sąnariuose (osteonekrozės požymiai). </w:t>
      </w:r>
    </w:p>
    <w:p w14:paraId="1F038823" w14:textId="77777777" w:rsidR="00D16508" w:rsidRPr="00AB7860" w:rsidRDefault="00D16508" w:rsidP="00D16508">
      <w:pPr>
        <w:numPr>
          <w:ilvl w:val="0"/>
          <w:numId w:val="24"/>
        </w:numPr>
        <w:spacing w:after="0" w:line="240" w:lineRule="auto"/>
        <w:rPr>
          <w:rFonts w:ascii="Times New Roman" w:hAnsi="Times New Roman" w:cs="Times New Roman"/>
          <w:lang w:val="lt-LT"/>
        </w:rPr>
      </w:pPr>
      <w:r w:rsidRPr="008D0710">
        <w:rPr>
          <w:rFonts w:ascii="Times New Roman" w:hAnsi="Times New Roman" w:cs="Times New Roman"/>
        </w:rPr>
        <w:t>Pūslės ant odos arba gleivinės (</w:t>
      </w:r>
      <w:r w:rsidRPr="005D31C2">
        <w:rPr>
          <w:rFonts w:ascii="Times New Roman" w:hAnsi="Times New Roman" w:cs="Times New Roman"/>
          <w:i/>
          <w:iCs/>
        </w:rPr>
        <w:t>pemfigus</w:t>
      </w:r>
      <w:r w:rsidRPr="008D0710">
        <w:rPr>
          <w:rFonts w:ascii="Times New Roman" w:hAnsi="Times New Roman" w:cs="Times New Roman"/>
        </w:rPr>
        <w:t xml:space="preserve"> požymiai).</w:t>
      </w:r>
    </w:p>
    <w:p w14:paraId="658A76A9"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Kojų ir rankų pirštų nutirpimas ar šalimas (Reino [</w:t>
      </w:r>
      <w:r w:rsidRPr="00AB7860">
        <w:rPr>
          <w:rFonts w:ascii="Times New Roman" w:hAnsi="Times New Roman" w:cs="Times New Roman"/>
          <w:i/>
        </w:rPr>
        <w:t>Raynaud</w:t>
      </w:r>
      <w:r w:rsidRPr="00AB7860">
        <w:rPr>
          <w:rFonts w:ascii="Times New Roman" w:hAnsi="Times New Roman" w:cs="Times New Roman"/>
          <w:lang w:val="lt-LT"/>
        </w:rPr>
        <w:t xml:space="preserve">] sindromo požymiai). </w:t>
      </w:r>
    </w:p>
    <w:p w14:paraId="0BF72A55"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Staigus odos patinimas ir paraudimas (odos infekcijos, vadinamos celiulitu, požymiai). </w:t>
      </w:r>
    </w:p>
    <w:p w14:paraId="241FB8CD"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Sutrikusi klausa. </w:t>
      </w:r>
    </w:p>
    <w:p w14:paraId="7001539B"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Raumenų silpnumas ir spazmas kartu su sutrikusiu širdies ritmu (pakitusio kalio kiekio Jūsų kraujyje požymiai). </w:t>
      </w:r>
    </w:p>
    <w:p w14:paraId="7DF157EB"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Mėlynės. </w:t>
      </w:r>
    </w:p>
    <w:p w14:paraId="2EC6C0E4"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Skrandžio skausmas kartu su šleikštuliu (pykinimu). </w:t>
      </w:r>
    </w:p>
    <w:p w14:paraId="19E2C1AC"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 xml:space="preserve">Raumenų spazmai su kartu pasireiškiančiu karščiavimu, raudonai rudos spalvos šlapimas, raumenų skausmas ar silpnumas (raumenų sutrikimų požymiai). </w:t>
      </w:r>
    </w:p>
    <w:p w14:paraId="2B2CAAF8" w14:textId="77777777" w:rsidR="00173803" w:rsidRPr="00AB7860" w:rsidRDefault="00173803" w:rsidP="00173803">
      <w:pPr>
        <w:numPr>
          <w:ilvl w:val="0"/>
          <w:numId w:val="24"/>
        </w:numPr>
        <w:spacing w:after="0" w:line="240" w:lineRule="auto"/>
        <w:rPr>
          <w:rFonts w:ascii="Times New Roman" w:hAnsi="Times New Roman" w:cs="Times New Roman"/>
          <w:lang w:val="lt-LT"/>
        </w:rPr>
      </w:pPr>
      <w:r w:rsidRPr="00AB7860">
        <w:rPr>
          <w:rFonts w:ascii="Times New Roman" w:hAnsi="Times New Roman" w:cs="Times New Roman"/>
          <w:lang w:val="lt-LT"/>
        </w:rPr>
        <w:t xml:space="preserve">Dubens srities skausmas, kartais kartu su pykinimu ir vėmimu, kartu su netikėtu kraujavimu iš makšties, svaiguliu ar alpimu dėl sumažėjusio kraujospūdžio (kiaušidžių ar gimdos sutrikimų požymiai). </w:t>
      </w:r>
    </w:p>
    <w:p w14:paraId="6BA7AA82" w14:textId="77777777" w:rsidR="00173803" w:rsidRPr="00AB7860" w:rsidRDefault="00173803" w:rsidP="00173803">
      <w:pPr>
        <w:numPr>
          <w:ilvl w:val="0"/>
          <w:numId w:val="24"/>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Pykinimas, oro trūkumas, nereguliarus širdies plakimas, drumstas šlapimas, nuovargis ir (arba) sąnarių diskomfortas susijęs su nenormaliais laboratorinių tyrimų rezultatais (pvz., didelis kalio, šlapimo rūgšties ir kalcio kiekis bei mažas fosforo kiekis  kraujyje). </w:t>
      </w:r>
    </w:p>
    <w:p w14:paraId="1A4522D5" w14:textId="77777777" w:rsidR="00173803" w:rsidRPr="00AB7860" w:rsidRDefault="00173803" w:rsidP="00173803">
      <w:pPr>
        <w:numPr>
          <w:ilvl w:val="0"/>
          <w:numId w:val="24"/>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Kraujų krešulių susidarymas smulkiose kraujagyslėse (trombinė mikroangiopatija).</w:t>
      </w:r>
    </w:p>
    <w:p w14:paraId="6956048B"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p>
    <w:p w14:paraId="23F9270F" w14:textId="77777777" w:rsidR="00173803" w:rsidRPr="00AB7860" w:rsidRDefault="003D5BFB"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bCs/>
          <w:noProof/>
          <w:snapToGrid w:val="0"/>
        </w:rPr>
        <w:t xml:space="preserve">Šalutinio poveikio reiškiniai, kurių dažnis nežinomas </w:t>
      </w:r>
      <w:r w:rsidRPr="00AB7860">
        <w:rPr>
          <w:rFonts w:ascii="Times New Roman" w:hAnsi="Times New Roman" w:cs="Times New Roman"/>
          <w:bCs/>
          <w:noProof/>
          <w:snapToGrid w:val="0"/>
        </w:rPr>
        <w:t>(negali būti apskaičiuotas pagal turimus duomenis)</w:t>
      </w:r>
      <w:r w:rsidR="00173803" w:rsidRPr="00AB7860">
        <w:rPr>
          <w:rFonts w:ascii="Times New Roman" w:eastAsia="Times New Roman" w:hAnsi="Times New Roman" w:cs="Times New Roman"/>
          <w:color w:val="000000"/>
          <w:lang w:val="lt-LT" w:eastAsia="lt-LT"/>
        </w:rPr>
        <w:t>:</w:t>
      </w:r>
    </w:p>
    <w:p w14:paraId="285C26C5" w14:textId="77777777" w:rsidR="00173803" w:rsidRPr="00AB7860" w:rsidRDefault="00173803" w:rsidP="00173803">
      <w:pPr>
        <w:pStyle w:val="Sraopastraipa"/>
        <w:numPr>
          <w:ilvl w:val="0"/>
          <w:numId w:val="34"/>
        </w:numPr>
        <w:autoSpaceDE w:val="0"/>
        <w:autoSpaceDN w:val="0"/>
        <w:adjustRightInd w:val="0"/>
        <w:rPr>
          <w:color w:val="000000"/>
          <w:sz w:val="22"/>
          <w:szCs w:val="22"/>
          <w:lang w:eastAsia="lt-LT"/>
        </w:rPr>
      </w:pPr>
      <w:r w:rsidRPr="00AB7860">
        <w:rPr>
          <w:color w:val="000000"/>
          <w:sz w:val="22"/>
          <w:szCs w:val="22"/>
          <w:lang w:eastAsia="lt-LT"/>
        </w:rPr>
        <w:t>Tokių požymių, kaip sunkus išplitęs bėrimas, pykinimas, karščiavimas, didelis kiekis tam tikrų baltųjų kraujo ląstelių, odos ar akių pageltimas (geltos požymiai) derinys, pasireiškiantis kartu su dusuliu,  krūtinės skausmu / diskomfortu, labai sumažėjusiu šlapimo kiekiu ir troškuliu ir kt. (su gydymu susijusios alerginės reakcijos požymiai).</w:t>
      </w:r>
    </w:p>
    <w:p w14:paraId="72480F82" w14:textId="77777777" w:rsidR="00173803" w:rsidRPr="00AB7860" w:rsidRDefault="00173803" w:rsidP="00173803">
      <w:pPr>
        <w:pStyle w:val="Sraopastraipa"/>
        <w:numPr>
          <w:ilvl w:val="0"/>
          <w:numId w:val="34"/>
        </w:numPr>
        <w:autoSpaceDE w:val="0"/>
        <w:autoSpaceDN w:val="0"/>
        <w:adjustRightInd w:val="0"/>
        <w:rPr>
          <w:color w:val="000000"/>
          <w:sz w:val="22"/>
          <w:szCs w:val="22"/>
          <w:lang w:eastAsia="lt-LT"/>
        </w:rPr>
      </w:pPr>
      <w:r w:rsidRPr="00AB7860">
        <w:rPr>
          <w:color w:val="000000"/>
          <w:sz w:val="22"/>
          <w:szCs w:val="22"/>
        </w:rPr>
        <w:t>Lėtinis inkstų nepakankamumas.</w:t>
      </w:r>
    </w:p>
    <w:p w14:paraId="5187D40E" w14:textId="77777777" w:rsidR="00173803" w:rsidRPr="00AB7860" w:rsidRDefault="00173803" w:rsidP="00173803">
      <w:pPr>
        <w:pStyle w:val="Sraopastraipa"/>
        <w:numPr>
          <w:ilvl w:val="0"/>
          <w:numId w:val="34"/>
        </w:numPr>
        <w:autoSpaceDE w:val="0"/>
        <w:autoSpaceDN w:val="0"/>
        <w:adjustRightInd w:val="0"/>
        <w:rPr>
          <w:color w:val="000000"/>
          <w:sz w:val="22"/>
          <w:szCs w:val="22"/>
        </w:rPr>
      </w:pPr>
      <w:r w:rsidRPr="00AB7860">
        <w:rPr>
          <w:color w:val="000000"/>
          <w:sz w:val="22"/>
          <w:szCs w:val="22"/>
        </w:rPr>
        <w:t xml:space="preserve">Hepatito B infekcijos atsinaujinimas (reaktyvacija), jeigu praeityje Jums buvo diagnozuotas hepatitas B (kepenų infekcija). </w:t>
      </w:r>
    </w:p>
    <w:p w14:paraId="62DEF13B" w14:textId="77777777" w:rsidR="00173803" w:rsidRPr="00AB7860" w:rsidRDefault="00173803" w:rsidP="00173803">
      <w:pPr>
        <w:pStyle w:val="Sraopastraipa"/>
        <w:autoSpaceDE w:val="0"/>
        <w:autoSpaceDN w:val="0"/>
        <w:adjustRightInd w:val="0"/>
        <w:rPr>
          <w:color w:val="000000"/>
          <w:sz w:val="22"/>
          <w:szCs w:val="22"/>
        </w:rPr>
      </w:pPr>
    </w:p>
    <w:p w14:paraId="1DD93D9A" w14:textId="77777777" w:rsidR="00173803" w:rsidRPr="00AB7860" w:rsidRDefault="00173803" w:rsidP="00173803">
      <w:pPr>
        <w:autoSpaceDE w:val="0"/>
        <w:autoSpaceDN w:val="0"/>
        <w:adjustRightInd w:val="0"/>
        <w:spacing w:after="0" w:line="240" w:lineRule="auto"/>
        <w:rPr>
          <w:rFonts w:ascii="Times New Roman" w:hAnsi="Times New Roman" w:cs="Times New Roman"/>
          <w:b/>
          <w:color w:val="000000"/>
          <w:lang w:val="lt-LT"/>
        </w:rPr>
      </w:pPr>
      <w:r w:rsidRPr="00AB7860">
        <w:rPr>
          <w:rFonts w:ascii="Times New Roman" w:hAnsi="Times New Roman" w:cs="Times New Roman"/>
          <w:color w:val="000000"/>
          <w:lang w:val="lt-LT"/>
        </w:rPr>
        <w:t xml:space="preserve">Jeigu Jums pasireikštų bet kuris iš anksčiau nurodytų poveikių, </w:t>
      </w:r>
      <w:r w:rsidRPr="00AB7860">
        <w:rPr>
          <w:rFonts w:ascii="Times New Roman" w:eastAsia="Times New Roman" w:hAnsi="Times New Roman" w:cs="Times New Roman"/>
          <w:b/>
          <w:bCs/>
          <w:color w:val="000000"/>
          <w:lang w:val="lt-LT" w:eastAsia="lt-LT"/>
        </w:rPr>
        <w:t>nedelsdami</w:t>
      </w:r>
      <w:r w:rsidRPr="00AB7860">
        <w:rPr>
          <w:rFonts w:ascii="Times New Roman" w:hAnsi="Times New Roman" w:cs="Times New Roman"/>
          <w:b/>
          <w:color w:val="000000"/>
          <w:lang w:val="lt-LT"/>
        </w:rPr>
        <w:t xml:space="preserve"> apie tai pasakykite savo gydytojui. </w:t>
      </w:r>
    </w:p>
    <w:p w14:paraId="321CF644"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p>
    <w:p w14:paraId="1C2066D2" w14:textId="42B1AFC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Taip pat gali pasireikšti kiti šalutini</w:t>
      </w:r>
      <w:r w:rsidR="000B61E7">
        <w:rPr>
          <w:rFonts w:ascii="Times New Roman" w:hAnsi="Times New Roman" w:cs="Times New Roman"/>
          <w:b/>
          <w:lang w:val="lt-LT"/>
        </w:rPr>
        <w:t>o</w:t>
      </w:r>
      <w:r w:rsidRPr="00AB7860">
        <w:rPr>
          <w:rFonts w:ascii="Times New Roman" w:hAnsi="Times New Roman" w:cs="Times New Roman"/>
          <w:b/>
          <w:lang w:val="lt-LT"/>
        </w:rPr>
        <w:t xml:space="preserve"> poveiki</w:t>
      </w:r>
      <w:r w:rsidR="000B61E7">
        <w:rPr>
          <w:rFonts w:ascii="Times New Roman" w:hAnsi="Times New Roman" w:cs="Times New Roman"/>
          <w:b/>
          <w:lang w:val="lt-LT"/>
        </w:rPr>
        <w:t>o rei</w:t>
      </w:r>
      <w:r w:rsidR="000B61E7">
        <w:rPr>
          <w:rFonts w:ascii="Times New Roman" w:hAnsi="Times New Roman" w:cs="Times New Roman"/>
          <w:b/>
          <w:lang w:val="lv-LV"/>
        </w:rPr>
        <w:t>š</w:t>
      </w:r>
      <w:r w:rsidR="000B61E7">
        <w:rPr>
          <w:rFonts w:ascii="Times New Roman" w:hAnsi="Times New Roman" w:cs="Times New Roman"/>
          <w:b/>
          <w:lang w:val="lt-LT"/>
        </w:rPr>
        <w:t>kiniai</w:t>
      </w:r>
      <w:r w:rsidRPr="00AB7860">
        <w:rPr>
          <w:rFonts w:ascii="Times New Roman" w:hAnsi="Times New Roman" w:cs="Times New Roman"/>
          <w:b/>
          <w:lang w:val="lt-LT"/>
        </w:rPr>
        <w:t>:</w:t>
      </w:r>
    </w:p>
    <w:p w14:paraId="22155125"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18F6A05B" w14:textId="77777777" w:rsidR="006E1409" w:rsidRPr="00AB7860" w:rsidRDefault="006E1409" w:rsidP="006E1409">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b/>
          <w:color w:val="000000"/>
          <w:lang w:val="lt-LT"/>
        </w:rPr>
        <w:t xml:space="preserve">Labai dažni </w:t>
      </w:r>
      <w:r>
        <w:rPr>
          <w:rFonts w:ascii="Times New Roman" w:hAnsi="Times New Roman" w:cs="Times New Roman"/>
          <w:b/>
          <w:color w:val="000000"/>
          <w:lang w:val="lt-LT"/>
        </w:rPr>
        <w:t xml:space="preserve">šalutinio poveikio reiškiniai </w:t>
      </w:r>
      <w:r w:rsidRPr="00AB7860">
        <w:rPr>
          <w:rFonts w:ascii="Times New Roman" w:hAnsi="Times New Roman" w:cs="Times New Roman"/>
          <w:lang w:val="lt-LT"/>
        </w:rPr>
        <w:t xml:space="preserve">(gali pasireikšti </w:t>
      </w:r>
      <w:r>
        <w:rPr>
          <w:rFonts w:ascii="Times New Roman" w:hAnsi="Times New Roman" w:cs="Times New Roman"/>
          <w:lang w:val="lt-LT"/>
        </w:rPr>
        <w:t>ne rečiau</w:t>
      </w:r>
      <w:r w:rsidRPr="00AB7860">
        <w:rPr>
          <w:rFonts w:ascii="Times New Roman" w:hAnsi="Times New Roman" w:cs="Times New Roman"/>
          <w:lang w:val="lt-LT"/>
        </w:rPr>
        <w:t xml:space="preserve"> kaip 1 iš 10</w:t>
      </w:r>
      <w:r>
        <w:rPr>
          <w:rFonts w:ascii="Times New Roman" w:hAnsi="Times New Roman" w:cs="Times New Roman"/>
          <w:lang w:val="lt-LT"/>
        </w:rPr>
        <w:t xml:space="preserve"> asmenų</w:t>
      </w:r>
      <w:r w:rsidRPr="00AB7860">
        <w:rPr>
          <w:rFonts w:ascii="Times New Roman" w:hAnsi="Times New Roman" w:cs="Times New Roman"/>
          <w:lang w:val="lt-LT"/>
        </w:rPr>
        <w:t>)</w:t>
      </w:r>
      <w:r w:rsidRPr="00AB7860">
        <w:rPr>
          <w:rFonts w:ascii="Times New Roman" w:hAnsi="Times New Roman" w:cs="Times New Roman"/>
          <w:b/>
          <w:color w:val="000000"/>
          <w:lang w:val="lt-LT"/>
        </w:rPr>
        <w:t xml:space="preserve">: </w:t>
      </w:r>
    </w:p>
    <w:p w14:paraId="1731A9A7" w14:textId="77777777" w:rsidR="00173803" w:rsidRPr="00AB7860" w:rsidRDefault="00173803" w:rsidP="00173803">
      <w:pPr>
        <w:numPr>
          <w:ilvl w:val="0"/>
          <w:numId w:val="25"/>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Galvos skausmas ar nuovargis. </w:t>
      </w:r>
    </w:p>
    <w:p w14:paraId="67463BB0" w14:textId="77777777" w:rsidR="00173803" w:rsidRPr="00AB7860" w:rsidRDefault="00173803" w:rsidP="00173803">
      <w:pPr>
        <w:numPr>
          <w:ilvl w:val="0"/>
          <w:numId w:val="25"/>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Šleikštulys (pykinimas), vėmimas, viduriavimas ar nevirškinimas. </w:t>
      </w:r>
    </w:p>
    <w:p w14:paraId="0C6CCED8" w14:textId="77777777" w:rsidR="00173803" w:rsidRPr="00AB7860" w:rsidRDefault="00173803" w:rsidP="00173803">
      <w:pPr>
        <w:numPr>
          <w:ilvl w:val="0"/>
          <w:numId w:val="25"/>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Išbėrimas. </w:t>
      </w:r>
    </w:p>
    <w:p w14:paraId="4547EA44" w14:textId="77777777" w:rsidR="00173803" w:rsidRPr="00AB7860" w:rsidRDefault="00173803" w:rsidP="0049461C">
      <w:pPr>
        <w:numPr>
          <w:ilvl w:val="0"/>
          <w:numId w:val="25"/>
        </w:numPr>
        <w:tabs>
          <w:tab w:val="left" w:pos="709"/>
        </w:tabs>
        <w:autoSpaceDE w:val="0"/>
        <w:autoSpaceDN w:val="0"/>
        <w:adjustRightInd w:val="0"/>
        <w:spacing w:after="0" w:line="240" w:lineRule="auto"/>
        <w:ind w:left="0" w:firstLine="284"/>
        <w:rPr>
          <w:rFonts w:ascii="Times New Roman" w:hAnsi="Times New Roman" w:cs="Times New Roman"/>
          <w:color w:val="000000"/>
          <w:lang w:val="lt-LT"/>
        </w:rPr>
      </w:pPr>
      <w:r w:rsidRPr="00AB7860">
        <w:rPr>
          <w:rFonts w:ascii="Times New Roman" w:hAnsi="Times New Roman" w:cs="Times New Roman"/>
          <w:color w:val="000000"/>
          <w:lang w:val="lt-LT"/>
        </w:rPr>
        <w:t>Mėšlungis arba sąnarių, raumenų ar kaulų skausmas, Imatinib Grindeks</w:t>
      </w:r>
      <w:r w:rsidRPr="00AB7860">
        <w:rPr>
          <w:rFonts w:ascii="Times New Roman" w:hAnsi="Times New Roman" w:cs="Times New Roman"/>
          <w:lang w:val="lt-LT"/>
        </w:rPr>
        <w:t xml:space="preserve"> gydymo metu arba nutraukus Imatinib Grindeks vartojimą</w:t>
      </w:r>
      <w:r w:rsidRPr="00AB7860">
        <w:rPr>
          <w:rFonts w:ascii="Times New Roman" w:hAnsi="Times New Roman" w:cs="Times New Roman"/>
          <w:color w:val="000000"/>
          <w:lang w:val="lt-LT"/>
        </w:rPr>
        <w:t xml:space="preserve">. </w:t>
      </w:r>
    </w:p>
    <w:p w14:paraId="72F31C93" w14:textId="77777777" w:rsidR="00173803" w:rsidRPr="00AB7860" w:rsidRDefault="00173803" w:rsidP="00173803">
      <w:pPr>
        <w:numPr>
          <w:ilvl w:val="0"/>
          <w:numId w:val="25"/>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Tinimas, pavyzdžiui, patinusios kulkšnys ar paburkę akių vokai. </w:t>
      </w:r>
    </w:p>
    <w:p w14:paraId="739C267D" w14:textId="77777777" w:rsidR="00173803" w:rsidRPr="00AB7860" w:rsidRDefault="00173803" w:rsidP="00173803">
      <w:pPr>
        <w:numPr>
          <w:ilvl w:val="0"/>
          <w:numId w:val="25"/>
        </w:num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 xml:space="preserve">Padidėjęs kūno svoris. </w:t>
      </w:r>
    </w:p>
    <w:p w14:paraId="487D899D"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kuris iš šių poveikių Jus vargina, </w:t>
      </w:r>
      <w:r w:rsidRPr="00AB7860">
        <w:rPr>
          <w:rFonts w:ascii="Times New Roman" w:hAnsi="Times New Roman" w:cs="Times New Roman"/>
          <w:b/>
          <w:lang w:val="lt-LT"/>
        </w:rPr>
        <w:t>pasakykite gydytojui</w:t>
      </w:r>
      <w:r w:rsidRPr="00AB7860">
        <w:rPr>
          <w:rFonts w:ascii="Times New Roman" w:hAnsi="Times New Roman" w:cs="Times New Roman"/>
          <w:lang w:val="lt-LT"/>
        </w:rPr>
        <w:t>.</w:t>
      </w:r>
    </w:p>
    <w:p w14:paraId="13151DC9"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5DBB0FD" w14:textId="77777777" w:rsidR="005856C5" w:rsidRPr="00AB7860" w:rsidRDefault="005856C5" w:rsidP="005856C5">
      <w:pPr>
        <w:tabs>
          <w:tab w:val="left" w:pos="360"/>
        </w:tabs>
        <w:spacing w:after="0" w:line="240" w:lineRule="auto"/>
        <w:rPr>
          <w:rFonts w:ascii="Times New Roman" w:hAnsi="Times New Roman" w:cs="Times New Roman"/>
          <w:lang w:val="lt-LT"/>
        </w:rPr>
      </w:pPr>
      <w:r w:rsidRPr="00AB7860">
        <w:rPr>
          <w:rFonts w:ascii="Times New Roman" w:hAnsi="Times New Roman" w:cs="Times New Roman"/>
          <w:b/>
          <w:lang w:val="lt-LT"/>
        </w:rPr>
        <w:t xml:space="preserve">Dažni </w:t>
      </w:r>
      <w:r>
        <w:rPr>
          <w:rFonts w:ascii="Times New Roman" w:hAnsi="Times New Roman" w:cs="Times New Roman"/>
          <w:b/>
          <w:color w:val="000000"/>
          <w:lang w:val="lt-LT"/>
        </w:rPr>
        <w:t xml:space="preserve">šalutinio poveikio reiškiniai </w:t>
      </w:r>
      <w:r w:rsidRPr="00AB7860">
        <w:rPr>
          <w:rFonts w:ascii="Times New Roman" w:hAnsi="Times New Roman" w:cs="Times New Roman"/>
          <w:lang w:val="lt-LT"/>
        </w:rPr>
        <w:t xml:space="preserve">(gali pasireikšti </w:t>
      </w:r>
      <w:r>
        <w:rPr>
          <w:rFonts w:ascii="Times New Roman" w:hAnsi="Times New Roman" w:cs="Times New Roman"/>
          <w:lang w:val="lt-LT"/>
        </w:rPr>
        <w:t>rečiau</w:t>
      </w:r>
      <w:r w:rsidRPr="00AB7860">
        <w:rPr>
          <w:rFonts w:ascii="Times New Roman" w:hAnsi="Times New Roman" w:cs="Times New Roman"/>
          <w:lang w:val="lt-LT"/>
        </w:rPr>
        <w:t xml:space="preserve"> kaip 1 iš 10</w:t>
      </w:r>
      <w:r>
        <w:rPr>
          <w:rFonts w:ascii="Times New Roman" w:hAnsi="Times New Roman" w:cs="Times New Roman"/>
          <w:lang w:val="lt-LT"/>
        </w:rPr>
        <w:t xml:space="preserve"> asmenų</w:t>
      </w:r>
      <w:r w:rsidRPr="00AB7860">
        <w:rPr>
          <w:rFonts w:ascii="Times New Roman" w:hAnsi="Times New Roman" w:cs="Times New Roman"/>
          <w:lang w:val="lt-LT"/>
        </w:rPr>
        <w:t>):</w:t>
      </w:r>
    </w:p>
    <w:p w14:paraId="0AD0FD90"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Apetito nebuvimas, sumažėjęs kūno svoris, sutrikęs skonio jutimas.</w:t>
      </w:r>
    </w:p>
    <w:p w14:paraId="0E9C2314"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Svaigulys, silpnumas.</w:t>
      </w:r>
    </w:p>
    <w:p w14:paraId="16FA7EB9"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Sunkumas užmiegant (nemiga).</w:t>
      </w:r>
    </w:p>
    <w:p w14:paraId="22DC4B7C"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Išskyros iš akies kartu su niežuliu, paraudimu ir patinimu (konjunktyvitas), ašarojimas, neryškus matymas.</w:t>
      </w:r>
    </w:p>
    <w:p w14:paraId="7848AA70"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Kraujavimas iš nosies.</w:t>
      </w:r>
    </w:p>
    <w:p w14:paraId="16BF7517"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Pilvo skausmas ar jo patinimo jausmas, vidurių pūtimas, rėmuo ar vidurių užkietėjimas.</w:t>
      </w:r>
    </w:p>
    <w:p w14:paraId="49FBA422"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Niežulys.</w:t>
      </w:r>
    </w:p>
    <w:p w14:paraId="55D48FB5"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Neįprastas plaukų slinkimas ar plonėjimas.</w:t>
      </w:r>
    </w:p>
    <w:p w14:paraId="5699E70C"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Plaštakų ar pėdų tirpimas.</w:t>
      </w:r>
    </w:p>
    <w:p w14:paraId="69419E75"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Burnos išopėjimas.</w:t>
      </w:r>
    </w:p>
    <w:p w14:paraId="1568EC50"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Sąnarių skausmas ir patinimas.</w:t>
      </w:r>
    </w:p>
    <w:p w14:paraId="753E6B90"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Burnos, odos ar akių džiūvimas.</w:t>
      </w:r>
    </w:p>
    <w:p w14:paraId="76B15D7C"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Sumažėjęs arba padidėjęs odos jautrumas.</w:t>
      </w:r>
    </w:p>
    <w:p w14:paraId="0D5C46BA" w14:textId="77777777" w:rsidR="00173803" w:rsidRPr="00AB7860" w:rsidRDefault="00173803" w:rsidP="00173803">
      <w:pPr>
        <w:numPr>
          <w:ilvl w:val="0"/>
          <w:numId w:val="26"/>
        </w:numPr>
        <w:spacing w:after="0" w:line="240" w:lineRule="auto"/>
        <w:rPr>
          <w:rFonts w:ascii="Times New Roman" w:hAnsi="Times New Roman" w:cs="Times New Roman"/>
          <w:lang w:val="lt-LT"/>
        </w:rPr>
      </w:pPr>
      <w:r w:rsidRPr="00AB7860">
        <w:rPr>
          <w:rFonts w:ascii="Times New Roman" w:hAnsi="Times New Roman" w:cs="Times New Roman"/>
          <w:lang w:val="lt-LT"/>
        </w:rPr>
        <w:t>Karščio pylimai, šaltkrėtis, naktinis prakaitavimas.</w:t>
      </w:r>
    </w:p>
    <w:p w14:paraId="2811F79B" w14:textId="77777777" w:rsidR="00173803"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lastRenderedPageBreak/>
        <w:t xml:space="preserve">Jei bet kuris iš šių reiškinių Jus vargina, </w:t>
      </w:r>
      <w:r w:rsidRPr="00AB7860">
        <w:rPr>
          <w:rFonts w:ascii="Times New Roman" w:hAnsi="Times New Roman" w:cs="Times New Roman"/>
          <w:b/>
          <w:lang w:val="lt-LT"/>
        </w:rPr>
        <w:t>pasakykite gydytojui</w:t>
      </w:r>
      <w:r w:rsidRPr="00AB7860">
        <w:rPr>
          <w:rFonts w:ascii="Times New Roman" w:hAnsi="Times New Roman" w:cs="Times New Roman"/>
          <w:lang w:val="lt-LT"/>
        </w:rPr>
        <w:t>.</w:t>
      </w:r>
    </w:p>
    <w:p w14:paraId="5454CB53" w14:textId="77777777" w:rsidR="00873B0A" w:rsidRPr="00AB7860" w:rsidRDefault="00873B0A" w:rsidP="00173803">
      <w:pPr>
        <w:tabs>
          <w:tab w:val="left" w:pos="360"/>
        </w:tabs>
        <w:spacing w:after="0" w:line="240" w:lineRule="auto"/>
        <w:rPr>
          <w:rFonts w:ascii="Times New Roman" w:hAnsi="Times New Roman" w:cs="Times New Roman"/>
          <w:lang w:val="lt-LT"/>
        </w:rPr>
      </w:pPr>
    </w:p>
    <w:p w14:paraId="2B8D2108" w14:textId="77777777" w:rsidR="00C0005E" w:rsidRPr="003777F2" w:rsidRDefault="00C0005E" w:rsidP="00C0005E">
      <w:pPr>
        <w:tabs>
          <w:tab w:val="left" w:pos="360"/>
        </w:tabs>
        <w:spacing w:after="0" w:line="240" w:lineRule="auto"/>
        <w:rPr>
          <w:rFonts w:ascii="Times New Roman" w:hAnsi="Times New Roman" w:cs="Times New Roman"/>
          <w:lang w:val="lt-LT"/>
        </w:rPr>
      </w:pPr>
      <w:r w:rsidRPr="003777F2">
        <w:rPr>
          <w:rFonts w:ascii="Times New Roman" w:hAnsi="Times New Roman" w:cs="Times New Roman"/>
          <w:b/>
          <w:lang w:val="lt-LT"/>
        </w:rPr>
        <w:t>Nedažni</w:t>
      </w:r>
      <w:r w:rsidRPr="003777F2">
        <w:rPr>
          <w:rFonts w:ascii="Times New Roman" w:hAnsi="Times New Roman" w:cs="Times New Roman"/>
          <w:lang w:val="lt-LT"/>
        </w:rPr>
        <w:t xml:space="preserve"> </w:t>
      </w:r>
      <w:r>
        <w:rPr>
          <w:rFonts w:ascii="Times New Roman" w:hAnsi="Times New Roman" w:cs="Times New Roman"/>
          <w:b/>
          <w:color w:val="000000"/>
          <w:lang w:val="lt-LT"/>
        </w:rPr>
        <w:t xml:space="preserve">šalutinio poveikio reiškiniai </w:t>
      </w:r>
      <w:r w:rsidRPr="003777F2">
        <w:rPr>
          <w:rFonts w:ascii="Times New Roman" w:hAnsi="Times New Roman" w:cs="Times New Roman"/>
          <w:lang w:val="lt-LT"/>
        </w:rPr>
        <w:t>(</w:t>
      </w:r>
      <w:r w:rsidRPr="003777F2">
        <w:rPr>
          <w:rFonts w:ascii="Times New Roman" w:hAnsi="Times New Roman" w:cs="Times New Roman"/>
          <w:bCs/>
          <w:lang w:val="lt-LT"/>
        </w:rPr>
        <w:t>gali pasireikšti rečiau kaip 1 iš 100 asmenų</w:t>
      </w:r>
      <w:r w:rsidRPr="003777F2">
        <w:rPr>
          <w:rFonts w:ascii="Times New Roman" w:hAnsi="Times New Roman" w:cs="Times New Roman"/>
          <w:lang w:val="lt-LT"/>
        </w:rPr>
        <w:t xml:space="preserve">): </w:t>
      </w:r>
    </w:p>
    <w:p w14:paraId="7CAD2748"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Skausmingi raudoni gumbeliai odoje, odos skausmas, odos paraudimas (po oda esančio riebalinio audinio uždegimas). </w:t>
      </w:r>
    </w:p>
    <w:p w14:paraId="19C8FD01"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Kosulys, sloga arba varvanti nosis, sunkumo ar skausmo pojūtis spaudžiant sritį virš akių arba nosies šonuose, užgulusi nosis, čiaudulys, gerklės skausmas lydintis galvos skausmo ar be jo (viršutinių kvėpavimo takų infekcijos požymiai). </w:t>
      </w:r>
    </w:p>
    <w:p w14:paraId="4E9ECEFA"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Stiprus galvos skausmas, pasireiškiantis tvinkčiojančiu skausmu arba pulsavimo pojūčiu, dažniausiai, vienoje galvos pusėje ir dažnai lydintis pykinimo, vėmimo ir jautrumo šviesai ar garsui (migrenos požymiai). </w:t>
      </w:r>
    </w:p>
    <w:p w14:paraId="3D772ED4"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Į gripą panašūs simptomai (peršalimas). </w:t>
      </w:r>
    </w:p>
    <w:p w14:paraId="204C44F9"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Skausmas ar deginimo pojūtis šlapinantis, pakilusi kūno temperatūra, skausmas kirkšnyje arba dubens srityje, raudonas arba rudas, arba drumstas šlapimas (šlapimo takų infekcijos požymiai). • Sąnarių skausmas ir patinimas (artralgijos požymiai). </w:t>
      </w:r>
    </w:p>
    <w:p w14:paraId="28FEC2A6"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Nuolatinis liūdesio ir apatijos jausmas, dėl kurių nebeužsiimate įprastine veikla (depresijos požymiai). </w:t>
      </w:r>
    </w:p>
    <w:p w14:paraId="507E2B00"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rPr>
        <w:t xml:space="preserve">Baimės ir nerimo jausmas kartu su fiziniais simptomais, tokiais kaip dažnas širdies plakimas, prakaitavimas, drebulys, burnos džiūvimas (nerimo požymiai). </w:t>
      </w:r>
    </w:p>
    <w:p w14:paraId="134490E5"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Nuovargis arba mieguistumas, arba pernelyg didelis mieguistumas. </w:t>
      </w:r>
    </w:p>
    <w:p w14:paraId="48775843"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Drebėjimas arba judesių sutrikimai (tremoras). </w:t>
      </w:r>
    </w:p>
    <w:p w14:paraId="2581EF96"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Atminties sutrikimas. </w:t>
      </w:r>
    </w:p>
    <w:p w14:paraId="04D120E4"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Intensyvus noras judinti kojas (neramių kojų sindromas). </w:t>
      </w:r>
    </w:p>
    <w:p w14:paraId="65E784AC"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Girdimas triukšmas ausyse (pvz., skambėjimas, dūzgimas), kuris neturi išorinio šaltinio (spengimas ausyse (ūžesys [</w:t>
      </w:r>
      <w:r w:rsidRPr="005D31C2">
        <w:rPr>
          <w:i/>
          <w:iCs/>
          <w:sz w:val="22"/>
          <w:szCs w:val="22"/>
          <w:lang w:val="en-US"/>
        </w:rPr>
        <w:t>tinnitus</w:t>
      </w:r>
      <w:r w:rsidRPr="003777F2">
        <w:rPr>
          <w:sz w:val="22"/>
          <w:szCs w:val="22"/>
          <w:lang w:val="en-US"/>
        </w:rPr>
        <w:t xml:space="preserve">]). </w:t>
      </w:r>
    </w:p>
    <w:p w14:paraId="7DD99D03"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Aukštas kraujospūdis (hipertenzija). </w:t>
      </w:r>
    </w:p>
    <w:p w14:paraId="206976D3"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Raugėjimas arba žiaukčiojimas. </w:t>
      </w:r>
    </w:p>
    <w:p w14:paraId="09004483"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Lūpų uždegimas. </w:t>
      </w:r>
    </w:p>
    <w:p w14:paraId="6A51107B"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Pasunkėjęs rijimas. </w:t>
      </w:r>
    </w:p>
    <w:p w14:paraId="42F2360B"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Padidėjęs prakaitavimas. </w:t>
      </w:r>
    </w:p>
    <w:p w14:paraId="61102B65"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Pakitusi odos spalva. </w:t>
      </w:r>
    </w:p>
    <w:p w14:paraId="445DB502"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Trapūs nagai. </w:t>
      </w:r>
    </w:p>
    <w:p w14:paraId="59F5D61B" w14:textId="77777777" w:rsidR="004B06A9" w:rsidRPr="003777F2" w:rsidRDefault="004B06A9" w:rsidP="004B06A9">
      <w:pPr>
        <w:pStyle w:val="Sraopastraipa"/>
        <w:numPr>
          <w:ilvl w:val="0"/>
          <w:numId w:val="26"/>
        </w:numPr>
        <w:tabs>
          <w:tab w:val="left" w:pos="360"/>
        </w:tabs>
        <w:rPr>
          <w:sz w:val="22"/>
          <w:szCs w:val="22"/>
        </w:rPr>
      </w:pPr>
      <w:r w:rsidRPr="004B06A9">
        <w:rPr>
          <w:sz w:val="22"/>
          <w:szCs w:val="22"/>
        </w:rPr>
        <w:t xml:space="preserve">Raudoni iškilimai arba baltagalviai spuogeliai aplink plaukų šaknis, galintys pasireikšti skausmu, niežėjimu ar deginimo pojūčiu (plaukų folikulų uždegimo, dar vadinamo folikulitu, požymiai). </w:t>
      </w:r>
    </w:p>
    <w:p w14:paraId="4723B57B"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Odos išbėrimas su pleiskanojimu ar lupimusi (eksfoliacinis dermatitas). </w:t>
      </w:r>
    </w:p>
    <w:p w14:paraId="3FF60A33" w14:textId="77777777" w:rsidR="004B06A9" w:rsidRPr="003777F2" w:rsidRDefault="004B06A9" w:rsidP="004B06A9">
      <w:pPr>
        <w:pStyle w:val="Sraopastraipa"/>
        <w:numPr>
          <w:ilvl w:val="0"/>
          <w:numId w:val="26"/>
        </w:numPr>
        <w:tabs>
          <w:tab w:val="left" w:pos="360"/>
        </w:tabs>
        <w:rPr>
          <w:sz w:val="22"/>
          <w:szCs w:val="22"/>
        </w:rPr>
      </w:pPr>
      <w:r w:rsidRPr="003777F2">
        <w:rPr>
          <w:sz w:val="22"/>
          <w:szCs w:val="22"/>
          <w:lang w:val="en-US"/>
        </w:rPr>
        <w:t xml:space="preserve">Krūtų padidėjimas (gali pasireikšti vyrams arba moterims). </w:t>
      </w:r>
    </w:p>
    <w:p w14:paraId="5CF20A30" w14:textId="77777777" w:rsidR="004B06A9" w:rsidRPr="006C5E03" w:rsidRDefault="004B06A9" w:rsidP="004B06A9">
      <w:pPr>
        <w:pStyle w:val="Sraopastraipa"/>
        <w:numPr>
          <w:ilvl w:val="0"/>
          <w:numId w:val="26"/>
        </w:numPr>
        <w:tabs>
          <w:tab w:val="left" w:pos="360"/>
        </w:tabs>
        <w:rPr>
          <w:sz w:val="22"/>
          <w:szCs w:val="22"/>
        </w:rPr>
      </w:pPr>
      <w:r w:rsidRPr="004B06A9">
        <w:rPr>
          <w:sz w:val="22"/>
          <w:szCs w:val="22"/>
        </w:rPr>
        <w:t xml:space="preserve">Bukas skausmas ir (arba) sunkumo jausmas sėklidėse arba pilvo apačioje, skausmas šlapinimosi, lytinių santykių ar ejakuliacijos metu, kraujas šlapime (sėklidžių edemos požymiai). </w:t>
      </w:r>
    </w:p>
    <w:p w14:paraId="4C7DAE1A"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rPr>
        <w:t xml:space="preserve">Nesugebėjimas pasiekti ar išlaikyti varpos erekcijos (erekcijos sutrikimas). </w:t>
      </w:r>
    </w:p>
    <w:p w14:paraId="0C8CED0C"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Gausios arba nereguliarios mėnesinės. </w:t>
      </w:r>
    </w:p>
    <w:p w14:paraId="156E916C" w14:textId="1E8AA991"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Negalėjimas pasiekti ar išlaikyti </w:t>
      </w:r>
      <w:r w:rsidR="00087148">
        <w:rPr>
          <w:sz w:val="22"/>
          <w:szCs w:val="22"/>
          <w:lang w:val="en-US"/>
        </w:rPr>
        <w:t>seksualinio susijaudinimo.</w:t>
      </w:r>
    </w:p>
    <w:p w14:paraId="4DCD8837"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Sumažėjęs seksualinis potraukis. </w:t>
      </w:r>
    </w:p>
    <w:p w14:paraId="60EF97B8"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Spenelių skausmas. </w:t>
      </w:r>
    </w:p>
    <w:p w14:paraId="629C63B4"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Bloga bendra savijauta (negalavimas). </w:t>
      </w:r>
    </w:p>
    <w:p w14:paraId="24A9E5E1"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Virusinė infekcija, pvz., pūslelinė. </w:t>
      </w:r>
    </w:p>
    <w:p w14:paraId="24E4BB63"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Apatinės nugaros dalies skausmas, atsirandantis dėl inkstų veiklos sutrikimo. </w:t>
      </w:r>
    </w:p>
    <w:p w14:paraId="75F585DA"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Padažnėjęs šlapinimasis. </w:t>
      </w:r>
    </w:p>
    <w:p w14:paraId="671CE192"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 xml:space="preserve">Apetito padidėjimas. </w:t>
      </w:r>
    </w:p>
    <w:p w14:paraId="5A069519" w14:textId="77777777" w:rsidR="004B06A9" w:rsidRPr="006C5E03" w:rsidRDefault="004B06A9" w:rsidP="004B06A9">
      <w:pPr>
        <w:pStyle w:val="Sraopastraipa"/>
        <w:numPr>
          <w:ilvl w:val="0"/>
          <w:numId w:val="26"/>
        </w:numPr>
        <w:tabs>
          <w:tab w:val="left" w:pos="360"/>
        </w:tabs>
        <w:rPr>
          <w:sz w:val="22"/>
          <w:szCs w:val="22"/>
        </w:rPr>
      </w:pPr>
      <w:r w:rsidRPr="004B06A9">
        <w:rPr>
          <w:sz w:val="22"/>
          <w:szCs w:val="22"/>
        </w:rPr>
        <w:t xml:space="preserve">Skausmas arba deginimo pojūtis viršutinėje pilvo dalyje ir (arba) krūtinėje (rėmuo), pykinimas, vėmimas, rūgšties atpylimas, pilnumo jausmas ir pilvo pūtimas, juodos išmatos (skrandžio opos požymiai). </w:t>
      </w:r>
    </w:p>
    <w:p w14:paraId="4992D1F9"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lastRenderedPageBreak/>
        <w:t xml:space="preserve">Sąnarių ir raumenų sustingimas. </w:t>
      </w:r>
    </w:p>
    <w:p w14:paraId="208E1AE5" w14:textId="77777777" w:rsidR="004B06A9" w:rsidRPr="006C5E03" w:rsidRDefault="004B06A9" w:rsidP="004B06A9">
      <w:pPr>
        <w:pStyle w:val="Sraopastraipa"/>
        <w:numPr>
          <w:ilvl w:val="0"/>
          <w:numId w:val="26"/>
        </w:numPr>
        <w:tabs>
          <w:tab w:val="left" w:pos="360"/>
        </w:tabs>
        <w:rPr>
          <w:sz w:val="22"/>
          <w:szCs w:val="22"/>
        </w:rPr>
      </w:pPr>
      <w:r w:rsidRPr="006C5E03">
        <w:rPr>
          <w:sz w:val="22"/>
          <w:szCs w:val="22"/>
          <w:lang w:val="en-US"/>
        </w:rPr>
        <w:t>Nenormalūs laboratorinių tyrimų rezultatai.</w:t>
      </w:r>
    </w:p>
    <w:p w14:paraId="06AA8A14" w14:textId="77777777" w:rsidR="004B06A9" w:rsidRPr="006C5E03" w:rsidRDefault="004B06A9" w:rsidP="004B06A9">
      <w:pPr>
        <w:tabs>
          <w:tab w:val="left" w:pos="360"/>
        </w:tabs>
        <w:spacing w:after="0" w:line="240" w:lineRule="auto"/>
        <w:rPr>
          <w:rFonts w:ascii="Times New Roman" w:hAnsi="Times New Roman" w:cs="Times New Roman"/>
          <w:lang w:val="lt-LT"/>
        </w:rPr>
      </w:pPr>
      <w:r w:rsidRPr="001F260D">
        <w:rPr>
          <w:rFonts w:ascii="Times New Roman" w:hAnsi="Times New Roman" w:cs="Times New Roman"/>
          <w:lang w:val="lt-LT"/>
        </w:rPr>
        <w:t>Jei bet kuris iš šių reiškinių Jus vargina</w:t>
      </w:r>
      <w:r w:rsidRPr="006C5E03">
        <w:rPr>
          <w:rFonts w:ascii="Times New Roman" w:hAnsi="Times New Roman" w:cs="Times New Roman"/>
          <w:lang w:val="lt-LT"/>
        </w:rPr>
        <w:t xml:space="preserve">, </w:t>
      </w:r>
      <w:r w:rsidRPr="006C5E03">
        <w:rPr>
          <w:rFonts w:ascii="Times New Roman" w:hAnsi="Times New Roman" w:cs="Times New Roman"/>
          <w:b/>
          <w:lang w:val="lt-LT"/>
        </w:rPr>
        <w:t>pasakykite gydytojui</w:t>
      </w:r>
      <w:r w:rsidRPr="006C5E03">
        <w:rPr>
          <w:rFonts w:ascii="Times New Roman" w:hAnsi="Times New Roman" w:cs="Times New Roman"/>
          <w:lang w:val="lt-LT"/>
        </w:rPr>
        <w:t>.</w:t>
      </w:r>
    </w:p>
    <w:p w14:paraId="577FCE4C" w14:textId="77777777" w:rsidR="004B06A9" w:rsidRDefault="004B06A9" w:rsidP="004B06A9">
      <w:pPr>
        <w:tabs>
          <w:tab w:val="left" w:pos="360"/>
        </w:tabs>
        <w:spacing w:after="0" w:line="240" w:lineRule="auto"/>
        <w:rPr>
          <w:rFonts w:ascii="Times New Roman" w:hAnsi="Times New Roman" w:cs="Times New Roman"/>
          <w:lang w:val="lt-LT"/>
        </w:rPr>
      </w:pPr>
    </w:p>
    <w:p w14:paraId="5D1A19D1" w14:textId="77777777" w:rsidR="004B06A9" w:rsidRDefault="004B06A9" w:rsidP="004B06A9">
      <w:pPr>
        <w:tabs>
          <w:tab w:val="left" w:pos="360"/>
        </w:tabs>
        <w:spacing w:after="0" w:line="240" w:lineRule="auto"/>
        <w:rPr>
          <w:rFonts w:ascii="Times New Roman" w:hAnsi="Times New Roman" w:cs="Times New Roman"/>
        </w:rPr>
      </w:pPr>
      <w:r w:rsidRPr="003777F2">
        <w:rPr>
          <w:rFonts w:ascii="Times New Roman" w:hAnsi="Times New Roman" w:cs="Times New Roman"/>
          <w:b/>
        </w:rPr>
        <w:t>Reti</w:t>
      </w:r>
      <w:r w:rsidRPr="003777F2">
        <w:rPr>
          <w:rFonts w:ascii="Times New Roman" w:hAnsi="Times New Roman" w:cs="Times New Roman"/>
        </w:rPr>
        <w:t xml:space="preserve"> (</w:t>
      </w:r>
      <w:r w:rsidRPr="003777F2">
        <w:rPr>
          <w:rFonts w:ascii="Times New Roman" w:hAnsi="Times New Roman" w:cs="Times New Roman"/>
          <w:bCs/>
          <w:lang w:val="lt-LT"/>
        </w:rPr>
        <w:t>gali pasireikšti rečiau kaip 1 iš 1 000 asmenų</w:t>
      </w:r>
      <w:r w:rsidRPr="003777F2">
        <w:rPr>
          <w:rFonts w:ascii="Times New Roman" w:hAnsi="Times New Roman" w:cs="Times New Roman"/>
        </w:rPr>
        <w:t xml:space="preserve">): </w:t>
      </w:r>
    </w:p>
    <w:p w14:paraId="4D5D4975" w14:textId="77777777" w:rsidR="004B06A9" w:rsidRPr="003777F2" w:rsidRDefault="004B06A9" w:rsidP="004B06A9">
      <w:pPr>
        <w:pStyle w:val="Sraopastraipa"/>
        <w:numPr>
          <w:ilvl w:val="0"/>
          <w:numId w:val="38"/>
        </w:numPr>
        <w:tabs>
          <w:tab w:val="left" w:pos="360"/>
        </w:tabs>
      </w:pPr>
      <w:r w:rsidRPr="003777F2">
        <w:t xml:space="preserve">Sumišimas. </w:t>
      </w:r>
    </w:p>
    <w:p w14:paraId="0ED7E1E0" w14:textId="77777777" w:rsidR="004B06A9" w:rsidRPr="00B710E5" w:rsidRDefault="004B06A9" w:rsidP="004B06A9">
      <w:pPr>
        <w:pStyle w:val="Sraopastraipa"/>
        <w:numPr>
          <w:ilvl w:val="0"/>
          <w:numId w:val="38"/>
        </w:numPr>
        <w:tabs>
          <w:tab w:val="left" w:pos="360"/>
        </w:tabs>
      </w:pPr>
      <w:r w:rsidRPr="00B710E5">
        <w:t>Pakitusi nagų spalva.</w:t>
      </w:r>
    </w:p>
    <w:p w14:paraId="0B011616" w14:textId="77777777" w:rsidR="00873B0A" w:rsidRPr="00873B0A" w:rsidRDefault="00873B0A" w:rsidP="00173803">
      <w:pPr>
        <w:tabs>
          <w:tab w:val="left" w:pos="360"/>
        </w:tabs>
        <w:spacing w:after="0" w:line="240" w:lineRule="auto"/>
        <w:rPr>
          <w:rFonts w:ascii="Times New Roman" w:hAnsi="Times New Roman" w:cs="Times New Roman"/>
          <w:lang w:val="lt-LT"/>
        </w:rPr>
      </w:pPr>
    </w:p>
    <w:p w14:paraId="43B8F6F3" w14:textId="4C488CB6" w:rsidR="00173803" w:rsidRPr="00AB7860" w:rsidRDefault="007A4958" w:rsidP="00173803">
      <w:pPr>
        <w:tabs>
          <w:tab w:val="left" w:pos="360"/>
        </w:tabs>
        <w:spacing w:after="0" w:line="240" w:lineRule="auto"/>
        <w:rPr>
          <w:rFonts w:ascii="Times New Roman" w:hAnsi="Times New Roman" w:cs="Times New Roman"/>
          <w:lang w:val="lt-LT"/>
        </w:rPr>
      </w:pPr>
      <w:r w:rsidRPr="007A4958">
        <w:rPr>
          <w:noProof/>
          <w:lang w:val="lt-LT" w:eastAsia="lt-LT"/>
        </w:rPr>
        <w:drawing>
          <wp:inline distT="0" distB="0" distL="0" distR="0" wp14:anchorId="3B9C787E" wp14:editId="7E9C4679">
            <wp:extent cx="5759450" cy="3213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0" cy="321310"/>
                    </a:xfrm>
                    <a:prstGeom prst="rect">
                      <a:avLst/>
                    </a:prstGeom>
                    <a:noFill/>
                    <a:ln>
                      <a:noFill/>
                    </a:ln>
                  </pic:spPr>
                </pic:pic>
              </a:graphicData>
            </a:graphic>
          </wp:inline>
        </w:drawing>
      </w:r>
    </w:p>
    <w:p w14:paraId="29E6A185" w14:textId="77777777" w:rsidR="00173803" w:rsidRPr="00AB7860" w:rsidRDefault="00173803" w:rsidP="00173803">
      <w:pPr>
        <w:numPr>
          <w:ilvl w:val="0"/>
          <w:numId w:val="27"/>
        </w:numPr>
        <w:spacing w:after="0" w:line="240" w:lineRule="auto"/>
        <w:rPr>
          <w:rFonts w:ascii="Times New Roman" w:hAnsi="Times New Roman" w:cs="Times New Roman"/>
          <w:lang w:val="lt-LT"/>
        </w:rPr>
      </w:pPr>
      <w:r w:rsidRPr="00AB7860">
        <w:rPr>
          <w:rFonts w:ascii="Times New Roman" w:hAnsi="Times New Roman" w:cs="Times New Roman"/>
          <w:lang w:val="lt-LT"/>
        </w:rPr>
        <w:t>Delnų ir padų paraudimas ir (arba) patinimas, kurie gali pasireikšti kartu su dilgčiojimo pojūčiu ir deginančiu skausmu.</w:t>
      </w:r>
    </w:p>
    <w:p w14:paraId="0FCF2B9C" w14:textId="77777777" w:rsidR="00173803" w:rsidRPr="00AB7860" w:rsidRDefault="00173803" w:rsidP="00173803">
      <w:pPr>
        <w:numPr>
          <w:ilvl w:val="0"/>
          <w:numId w:val="27"/>
        </w:numPr>
        <w:spacing w:after="0" w:line="240" w:lineRule="auto"/>
        <w:rPr>
          <w:rFonts w:ascii="Times New Roman" w:hAnsi="Times New Roman" w:cs="Times New Roman"/>
          <w:lang w:val="lt-LT"/>
        </w:rPr>
      </w:pPr>
      <w:r w:rsidRPr="00AB7860">
        <w:rPr>
          <w:rFonts w:ascii="Times New Roman" w:hAnsi="Times New Roman" w:cs="Times New Roman"/>
        </w:rPr>
        <w:t>Skausmingi ir (arba) pūsliniai odos pažeidimai.</w:t>
      </w:r>
    </w:p>
    <w:p w14:paraId="19C8AD4E" w14:textId="77777777" w:rsidR="00173803" w:rsidRPr="00AB7860" w:rsidRDefault="00173803" w:rsidP="00173803">
      <w:pPr>
        <w:numPr>
          <w:ilvl w:val="0"/>
          <w:numId w:val="27"/>
        </w:numPr>
        <w:spacing w:after="0" w:line="240" w:lineRule="auto"/>
        <w:rPr>
          <w:rFonts w:ascii="Times New Roman" w:hAnsi="Times New Roman" w:cs="Times New Roman"/>
          <w:lang w:val="lt-LT"/>
        </w:rPr>
      </w:pPr>
      <w:r w:rsidRPr="00AB7860">
        <w:rPr>
          <w:rFonts w:ascii="Times New Roman" w:hAnsi="Times New Roman" w:cs="Times New Roman"/>
          <w:lang w:val="lt-LT"/>
        </w:rPr>
        <w:t>Vaikų ir paauglių augimo sulėtėjimas.</w:t>
      </w:r>
    </w:p>
    <w:p w14:paraId="42AD5490"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 bet kuris iš šių reiškinių Jus vargina, </w:t>
      </w:r>
      <w:r w:rsidRPr="00AB7860">
        <w:rPr>
          <w:rFonts w:ascii="Times New Roman" w:hAnsi="Times New Roman" w:cs="Times New Roman"/>
          <w:b/>
          <w:lang w:val="lt-LT"/>
        </w:rPr>
        <w:t>pasakykite gydytojui</w:t>
      </w:r>
      <w:r w:rsidRPr="00AB7860">
        <w:rPr>
          <w:rFonts w:ascii="Times New Roman" w:hAnsi="Times New Roman" w:cs="Times New Roman"/>
          <w:lang w:val="lt-LT"/>
        </w:rPr>
        <w:t>.</w:t>
      </w:r>
    </w:p>
    <w:p w14:paraId="0E92003E"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121FFB88"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Pranešimas apie šalutinį poveikį</w:t>
      </w:r>
    </w:p>
    <w:p w14:paraId="70013BF0"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7A65547B" w14:textId="77777777" w:rsidR="00173803" w:rsidRPr="00AB7860" w:rsidRDefault="005B48D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snapToGrid w:val="0"/>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8" w:history="1">
        <w:r w:rsidRPr="00B36BCA">
          <w:rPr>
            <w:rStyle w:val="Hipersaitas"/>
            <w:rFonts w:ascii="Times New Roman" w:hAnsi="Times New Roman" w:cs="Times New Roman"/>
            <w:snapToGrid w:val="0"/>
            <w:lang w:val="lt-LT"/>
          </w:rPr>
          <w:t>https://vapris.vvkt.lt/vvkt-web/public/nrv</w:t>
        </w:r>
      </w:hyperlink>
      <w:r w:rsidRPr="00AB7860">
        <w:rPr>
          <w:rFonts w:ascii="Times New Roman" w:hAnsi="Times New Roman" w:cs="Times New Roman"/>
          <w:snapToGrid w:val="0"/>
          <w:lang w:val="lt-LT"/>
        </w:rPr>
        <w:t xml:space="preserve"> arba užpildant P</w:t>
      </w:r>
      <w:r w:rsidRPr="00B36BCA">
        <w:rPr>
          <w:rFonts w:ascii="Times New Roman" w:hAnsi="Times New Roman" w:cs="Times New Roman"/>
          <w:snapToGrid w:val="0"/>
          <w:lang w:val="lt-LT"/>
        </w:rPr>
        <w:t xml:space="preserve">aciento pranešimo apie įtariamą nepageidaujamą reakciją (ĮNR) formą, kuri skelbiama </w:t>
      </w:r>
      <w:hyperlink r:id="rId19" w:history="1">
        <w:r w:rsidRPr="00B36BCA">
          <w:rPr>
            <w:rStyle w:val="Hipersaitas"/>
            <w:rFonts w:ascii="Times New Roman" w:hAnsi="Times New Roman" w:cs="Times New Roman"/>
            <w:snapToGrid w:val="0"/>
            <w:lang w:val="lt-LT"/>
          </w:rPr>
          <w:t>https://www.vvkt.lt/index.php?4004286486</w:t>
        </w:r>
      </w:hyperlink>
      <w:r w:rsidRPr="00AB7860">
        <w:rPr>
          <w:rFonts w:ascii="Times New Roman" w:hAnsi="Times New Roman" w:cs="Times New Roman"/>
          <w:snapToGrid w:val="0"/>
          <w:lang w:val="lt-LT"/>
        </w:rPr>
        <w:t xml:space="preserve">, ir atsiunčiant elektroniniu paštu (adresu </w:t>
      </w:r>
      <w:hyperlink r:id="rId20" w:history="1">
        <w:r w:rsidRPr="00B36BCA">
          <w:rPr>
            <w:rStyle w:val="Hipersaitas"/>
            <w:rFonts w:ascii="Times New Roman" w:hAnsi="Times New Roman" w:cs="Times New Roman"/>
            <w:snapToGrid w:val="0"/>
            <w:lang w:val="lt-LT"/>
          </w:rPr>
          <w:t>NepageidaujamaR@vvkt.lt</w:t>
        </w:r>
      </w:hyperlink>
      <w:r w:rsidRPr="00AB7860">
        <w:rPr>
          <w:rFonts w:ascii="Times New Roman" w:hAnsi="Times New Roman" w:cs="Times New Roman"/>
          <w:snapToGrid w:val="0"/>
          <w:lang w:val="lt-LT"/>
        </w:rPr>
        <w:t>) arba nemokamu telefonu 8 800 73 568. Pranešdami apie šalutinį poveikį galite mums padėti gauti daugiau informacijos apie šio vaisto saugumą.</w:t>
      </w:r>
    </w:p>
    <w:p w14:paraId="1C66DAE9"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30E8E999" w14:textId="77777777" w:rsidR="005B48D3" w:rsidRPr="00AB7860" w:rsidRDefault="005B48D3" w:rsidP="00173803">
      <w:pPr>
        <w:tabs>
          <w:tab w:val="left" w:pos="360"/>
        </w:tabs>
        <w:spacing w:after="0" w:line="240" w:lineRule="auto"/>
        <w:rPr>
          <w:rFonts w:ascii="Times New Roman" w:hAnsi="Times New Roman" w:cs="Times New Roman"/>
          <w:lang w:val="lt-LT"/>
        </w:rPr>
      </w:pPr>
    </w:p>
    <w:p w14:paraId="72565AF6" w14:textId="77777777" w:rsidR="00173803" w:rsidRPr="00AB7860" w:rsidRDefault="00173803" w:rsidP="00173803">
      <w:pPr>
        <w:tabs>
          <w:tab w:val="left" w:pos="567"/>
        </w:tabs>
        <w:spacing w:after="0" w:line="240" w:lineRule="auto"/>
        <w:ind w:left="567" w:hanging="567"/>
        <w:outlineLvl w:val="1"/>
        <w:rPr>
          <w:rFonts w:ascii="Times New Roman" w:hAnsi="Times New Roman" w:cs="Times New Roman"/>
          <w:b/>
          <w:i/>
          <w:lang w:val="lt-LT"/>
        </w:rPr>
      </w:pPr>
      <w:r w:rsidRPr="00AB7860">
        <w:rPr>
          <w:rFonts w:ascii="Times New Roman" w:hAnsi="Times New Roman" w:cs="Times New Roman"/>
          <w:b/>
          <w:lang w:val="lt-LT"/>
        </w:rPr>
        <w:t>5.</w:t>
      </w:r>
      <w:r w:rsidRPr="00AB7860">
        <w:rPr>
          <w:rFonts w:ascii="Times New Roman" w:hAnsi="Times New Roman" w:cs="Times New Roman"/>
          <w:b/>
          <w:lang w:val="lt-LT"/>
        </w:rPr>
        <w:tab/>
        <w:t>Kaip laikyti Imatinib Grindeks</w:t>
      </w:r>
    </w:p>
    <w:p w14:paraId="75EC7B09" w14:textId="77777777" w:rsidR="00173803" w:rsidRPr="00AB7860" w:rsidRDefault="00173803" w:rsidP="00173803">
      <w:pPr>
        <w:spacing w:after="0" w:line="240" w:lineRule="auto"/>
        <w:rPr>
          <w:rFonts w:ascii="Times New Roman" w:hAnsi="Times New Roman" w:cs="Times New Roman"/>
          <w:lang w:val="lt-LT"/>
        </w:rPr>
      </w:pPr>
    </w:p>
    <w:p w14:paraId="0C39093A" w14:textId="77777777" w:rsidR="00173803" w:rsidRPr="00AB7860" w:rsidRDefault="00173803" w:rsidP="00173803">
      <w:pPr>
        <w:numPr>
          <w:ilvl w:val="12"/>
          <w:numId w:val="0"/>
        </w:numPr>
        <w:spacing w:after="0" w:line="240" w:lineRule="auto"/>
        <w:ind w:right="-2"/>
        <w:rPr>
          <w:rFonts w:ascii="Times New Roman" w:hAnsi="Times New Roman" w:cs="Times New Roman"/>
          <w:lang w:val="lt-LT"/>
        </w:rPr>
      </w:pPr>
      <w:r w:rsidRPr="00AB7860">
        <w:rPr>
          <w:rFonts w:ascii="Times New Roman" w:hAnsi="Times New Roman" w:cs="Times New Roman"/>
          <w:lang w:val="lt-LT"/>
        </w:rPr>
        <w:t>Šį vaistą laikykite vaikams nepastebimoje ir nepasiekiamoje vietoje.</w:t>
      </w:r>
    </w:p>
    <w:p w14:paraId="03239A6A" w14:textId="77777777" w:rsidR="002A46B4" w:rsidRDefault="002A46B4" w:rsidP="00173803">
      <w:pPr>
        <w:numPr>
          <w:ilvl w:val="12"/>
          <w:numId w:val="0"/>
        </w:numPr>
        <w:spacing w:after="0" w:line="240" w:lineRule="auto"/>
        <w:ind w:right="-2"/>
        <w:rPr>
          <w:rFonts w:ascii="Times New Roman" w:hAnsi="Times New Roman" w:cs="Times New Roman"/>
          <w:lang w:val="lt-LT"/>
        </w:rPr>
      </w:pPr>
    </w:p>
    <w:p w14:paraId="07E78BA9" w14:textId="77777777" w:rsidR="00173803" w:rsidRPr="00AB7860" w:rsidRDefault="00173803" w:rsidP="00173803">
      <w:pPr>
        <w:numPr>
          <w:ilvl w:val="12"/>
          <w:numId w:val="0"/>
        </w:numPr>
        <w:spacing w:after="0" w:line="240" w:lineRule="auto"/>
        <w:ind w:right="-2"/>
        <w:rPr>
          <w:rFonts w:ascii="Times New Roman" w:hAnsi="Times New Roman" w:cs="Times New Roman"/>
          <w:lang w:val="lt-LT"/>
        </w:rPr>
      </w:pPr>
      <w:r w:rsidRPr="00AB7860">
        <w:rPr>
          <w:rFonts w:ascii="Times New Roman" w:hAnsi="Times New Roman" w:cs="Times New Roman"/>
          <w:lang w:val="lt-LT"/>
        </w:rPr>
        <w:t>Ant dėžutės po „EXP“ ir lizdinės plokštelės nurodytam tinkamumo laikui pasibaigus, šio vaisto vartoti negalima. Vaistas tinkamas vartoti iki paskutinės nurodyto mėnesio dienos.</w:t>
      </w:r>
    </w:p>
    <w:p w14:paraId="58E579E2" w14:textId="77777777" w:rsidR="002A46B4" w:rsidRDefault="002A46B4" w:rsidP="00173803">
      <w:pPr>
        <w:spacing w:after="0" w:line="240" w:lineRule="auto"/>
        <w:rPr>
          <w:rFonts w:ascii="Times New Roman" w:hAnsi="Times New Roman" w:cs="Times New Roman"/>
          <w:lang w:val="lt-LT"/>
        </w:rPr>
      </w:pPr>
    </w:p>
    <w:p w14:paraId="7681B95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Šiam vaistui specialių laikymo sąlygų nereikia.</w:t>
      </w:r>
    </w:p>
    <w:p w14:paraId="69B139BE" w14:textId="77777777" w:rsidR="002A46B4" w:rsidRDefault="002A46B4" w:rsidP="00173803">
      <w:pPr>
        <w:autoSpaceDE w:val="0"/>
        <w:autoSpaceDN w:val="0"/>
        <w:adjustRightInd w:val="0"/>
        <w:spacing w:after="0" w:line="240" w:lineRule="auto"/>
        <w:rPr>
          <w:rFonts w:ascii="Times New Roman" w:hAnsi="Times New Roman" w:cs="Times New Roman"/>
          <w:color w:val="000000"/>
          <w:lang w:val="lt-LT"/>
        </w:rPr>
      </w:pPr>
    </w:p>
    <w:p w14:paraId="4F010BC2" w14:textId="77777777" w:rsidR="00173803" w:rsidRPr="00AB7860" w:rsidRDefault="00173803" w:rsidP="00173803">
      <w:pPr>
        <w:autoSpaceDE w:val="0"/>
        <w:autoSpaceDN w:val="0"/>
        <w:adjustRightInd w:val="0"/>
        <w:spacing w:after="0" w:line="240" w:lineRule="auto"/>
        <w:rPr>
          <w:rFonts w:ascii="Times New Roman" w:hAnsi="Times New Roman" w:cs="Times New Roman"/>
          <w:color w:val="000000"/>
          <w:lang w:val="lt-LT"/>
        </w:rPr>
      </w:pPr>
      <w:r w:rsidRPr="00AB7860">
        <w:rPr>
          <w:rFonts w:ascii="Times New Roman" w:hAnsi="Times New Roman" w:cs="Times New Roman"/>
          <w:color w:val="000000"/>
          <w:lang w:val="lt-LT"/>
        </w:rPr>
        <w:t>Negalima vartoti vaisto iš pakuotės, kuri yra pažeista ar yra sugedimo požymių.</w:t>
      </w:r>
    </w:p>
    <w:p w14:paraId="762CF43B"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35A264B5"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31FE5589"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05244430" w14:textId="77777777" w:rsidR="00173803" w:rsidRPr="00AB7860" w:rsidRDefault="00173803" w:rsidP="00173803">
      <w:pPr>
        <w:tabs>
          <w:tab w:val="left" w:pos="567"/>
        </w:tabs>
        <w:spacing w:after="0" w:line="240" w:lineRule="auto"/>
        <w:ind w:left="567" w:hanging="567"/>
        <w:outlineLvl w:val="1"/>
        <w:rPr>
          <w:rFonts w:ascii="Times New Roman" w:hAnsi="Times New Roman" w:cs="Times New Roman"/>
          <w:b/>
          <w:lang w:val="lt-LT"/>
        </w:rPr>
      </w:pPr>
      <w:r w:rsidRPr="00AB7860">
        <w:rPr>
          <w:rFonts w:ascii="Times New Roman" w:hAnsi="Times New Roman" w:cs="Times New Roman"/>
          <w:b/>
          <w:lang w:val="lt-LT"/>
        </w:rPr>
        <w:t>6.</w:t>
      </w:r>
      <w:r w:rsidRPr="00AB7860">
        <w:rPr>
          <w:rFonts w:ascii="Times New Roman" w:hAnsi="Times New Roman" w:cs="Times New Roman"/>
          <w:b/>
          <w:lang w:val="lt-LT"/>
        </w:rPr>
        <w:tab/>
        <w:t>Pakuotės turinys ir kita informacija</w:t>
      </w:r>
    </w:p>
    <w:p w14:paraId="5B5889A0"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6EA4B50F"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Imatinib Grindeks sudėtis</w:t>
      </w:r>
    </w:p>
    <w:p w14:paraId="3FC2FCE8" w14:textId="77777777" w:rsidR="00173803" w:rsidRPr="00AB7860" w:rsidRDefault="00173803" w:rsidP="00173803">
      <w:pPr>
        <w:numPr>
          <w:ilvl w:val="0"/>
          <w:numId w:val="21"/>
        </w:numPr>
        <w:spacing w:after="0" w:line="240" w:lineRule="auto"/>
        <w:ind w:left="709" w:hanging="426"/>
        <w:rPr>
          <w:rFonts w:ascii="Times New Roman" w:hAnsi="Times New Roman" w:cs="Times New Roman"/>
          <w:lang w:val="lt-LT"/>
        </w:rPr>
      </w:pPr>
      <w:r w:rsidRPr="00AB7860">
        <w:rPr>
          <w:rFonts w:ascii="Times New Roman" w:hAnsi="Times New Roman" w:cs="Times New Roman"/>
          <w:lang w:val="lt-LT"/>
        </w:rPr>
        <w:t>Veiklioji medžiaga yra imatinibas (mesilato pavidalu</w:t>
      </w:r>
      <w:r w:rsidRPr="00AB7860">
        <w:rPr>
          <w:rFonts w:ascii="Times New Roman" w:eastAsia="Times New Roman" w:hAnsi="Times New Roman" w:cs="Times New Roman"/>
          <w:lang w:val="lt-LT"/>
        </w:rPr>
        <w:t xml:space="preserve">). </w:t>
      </w:r>
      <w:r w:rsidRPr="00AB7860">
        <w:rPr>
          <w:rFonts w:ascii="Times New Roman" w:hAnsi="Times New Roman" w:cs="Times New Roman"/>
          <w:lang w:val="lt-LT"/>
        </w:rPr>
        <w:t>Kiekvienoje Imatinib Grindeks kapsulėje yra imatinibo mesilato, atitinkančio 100 mg imatinibo.</w:t>
      </w:r>
    </w:p>
    <w:p w14:paraId="366D1EE2" w14:textId="77777777" w:rsidR="00173803" w:rsidRPr="00AB7860" w:rsidRDefault="00173803" w:rsidP="00173803">
      <w:pPr>
        <w:numPr>
          <w:ilvl w:val="0"/>
          <w:numId w:val="21"/>
        </w:numPr>
        <w:spacing w:after="0" w:line="240" w:lineRule="auto"/>
        <w:ind w:left="709" w:hanging="426"/>
        <w:rPr>
          <w:rFonts w:ascii="Times New Roman" w:hAnsi="Times New Roman" w:cs="Times New Roman"/>
          <w:lang w:val="lt-LT"/>
        </w:rPr>
      </w:pPr>
      <w:r w:rsidRPr="00AB7860">
        <w:rPr>
          <w:rFonts w:ascii="Times New Roman" w:hAnsi="Times New Roman" w:cs="Times New Roman"/>
          <w:lang w:val="lt-LT"/>
        </w:rPr>
        <w:t>Pagalbinės medžiagos yra mikrokristalinė celiuliozė, koloidinis bevandenis silicio dioksidas, krospovidonas, talkas, magnio stearatas.</w:t>
      </w:r>
    </w:p>
    <w:p w14:paraId="13468C56" w14:textId="77777777" w:rsidR="00173803" w:rsidRPr="00AB7860" w:rsidRDefault="00173803" w:rsidP="00173803">
      <w:pPr>
        <w:spacing w:after="0" w:line="240" w:lineRule="auto"/>
        <w:rPr>
          <w:rFonts w:ascii="Times New Roman" w:hAnsi="Times New Roman" w:cs="Times New Roman"/>
          <w:lang w:val="lt-LT"/>
        </w:rPr>
      </w:pPr>
    </w:p>
    <w:p w14:paraId="1482769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i/>
          <w:lang w:val="lt-LT"/>
        </w:rPr>
        <w:t>Kietoji želatininė kapsulė (korpusas ir dangtelis)</w:t>
      </w:r>
      <w:r w:rsidRPr="00AB7860">
        <w:rPr>
          <w:rFonts w:ascii="Times New Roman" w:hAnsi="Times New Roman" w:cs="Times New Roman"/>
          <w:lang w:val="lt-LT"/>
        </w:rPr>
        <w:t>: titano dioksidas (E171), raudonasis geležies oksidas (E172), geltonasis geležies oksidas (E172), želatina.</w:t>
      </w:r>
    </w:p>
    <w:p w14:paraId="6C0D47CA"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5487F9A8"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hAnsi="Times New Roman" w:cs="Times New Roman"/>
          <w:b/>
          <w:lang w:val="lt-LT"/>
        </w:rPr>
        <w:t>Imatinib Grindeks išvaizda ir kiekis pakuotėje</w:t>
      </w:r>
    </w:p>
    <w:p w14:paraId="7F8183C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Imatinib Grindeks 100</w:t>
      </w:r>
      <w:r w:rsidRPr="00AB7860">
        <w:rPr>
          <w:rFonts w:ascii="Times New Roman" w:eastAsia="Times New Roman" w:hAnsi="Times New Roman" w:cs="Times New Roman"/>
          <w:bCs/>
          <w:lang w:val="lt-LT"/>
        </w:rPr>
        <w:t> mg</w:t>
      </w:r>
      <w:r w:rsidRPr="00AB7860">
        <w:rPr>
          <w:rFonts w:ascii="Times New Roman" w:hAnsi="Times New Roman" w:cs="Times New Roman"/>
          <w:lang w:val="lt-LT"/>
        </w:rPr>
        <w:t xml:space="preserve"> kietosios želatininės kapsulės yra rusvai oranžinės, 19 mm ilgio. Turinys – balti, gelsvi ar rusvai geltoni milteliai.</w:t>
      </w:r>
    </w:p>
    <w:p w14:paraId="26AA9DFA" w14:textId="77777777" w:rsidR="00173803" w:rsidRPr="00AB7860" w:rsidRDefault="00173803" w:rsidP="00173803">
      <w:pPr>
        <w:spacing w:after="0" w:line="240" w:lineRule="auto"/>
        <w:rPr>
          <w:rFonts w:ascii="Times New Roman" w:hAnsi="Times New Roman" w:cs="Times New Roman"/>
          <w:lang w:val="lt-LT"/>
        </w:rPr>
      </w:pPr>
    </w:p>
    <w:p w14:paraId="7A7B4A5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Kapsulės yra supakuotos į PVC/PVDC/aliuminio lizdines plokšteles.</w:t>
      </w:r>
    </w:p>
    <w:p w14:paraId="66E11472"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Lizdinėje plokštelėje yra 10 kapsulių.</w:t>
      </w:r>
    </w:p>
    <w:p w14:paraId="63DA560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Pakuotės dydžiai: 60 arba 120 kapsulių.</w:t>
      </w:r>
    </w:p>
    <w:p w14:paraId="4A22DA47" w14:textId="77777777" w:rsidR="00173803" w:rsidRPr="00AB7860" w:rsidRDefault="00173803" w:rsidP="00173803">
      <w:pPr>
        <w:spacing w:after="0" w:line="240" w:lineRule="auto"/>
        <w:rPr>
          <w:rFonts w:ascii="Times New Roman" w:hAnsi="Times New Roman" w:cs="Times New Roman"/>
          <w:lang w:val="lt-LT"/>
        </w:rPr>
      </w:pPr>
    </w:p>
    <w:p w14:paraId="361CB52D"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Gali būti tiekiamos ne visų dydžių pakuotės.</w:t>
      </w:r>
    </w:p>
    <w:p w14:paraId="065F61F5" w14:textId="77777777" w:rsidR="00173803" w:rsidRPr="00AB7860" w:rsidRDefault="00173803" w:rsidP="00173803">
      <w:pPr>
        <w:spacing w:after="0" w:line="240" w:lineRule="auto"/>
        <w:rPr>
          <w:rFonts w:ascii="Times New Roman" w:eastAsia="Times New Roman" w:hAnsi="Times New Roman" w:cs="Times New Roman"/>
          <w:b/>
          <w:bCs/>
          <w:lang w:val="lt-LT"/>
        </w:rPr>
      </w:pPr>
    </w:p>
    <w:p w14:paraId="143DA8FB" w14:textId="77777777" w:rsidR="00173803" w:rsidRPr="00AB7860" w:rsidRDefault="00173803" w:rsidP="00173803">
      <w:pPr>
        <w:spacing w:after="0" w:line="240" w:lineRule="auto"/>
        <w:rPr>
          <w:rFonts w:ascii="Times New Roman" w:hAnsi="Times New Roman" w:cs="Times New Roman"/>
          <w:b/>
          <w:lang w:val="lt-LT"/>
        </w:rPr>
      </w:pPr>
      <w:r w:rsidRPr="00AB7860">
        <w:rPr>
          <w:rFonts w:ascii="Times New Roman" w:eastAsia="Times New Roman" w:hAnsi="Times New Roman" w:cs="Times New Roman"/>
          <w:b/>
          <w:bCs/>
          <w:lang w:val="lt-LT"/>
        </w:rPr>
        <w:t>Registruotojas</w:t>
      </w:r>
      <w:r w:rsidRPr="00AB7860">
        <w:rPr>
          <w:rFonts w:ascii="Times New Roman" w:hAnsi="Times New Roman" w:cs="Times New Roman"/>
          <w:b/>
          <w:lang w:val="lt-LT"/>
        </w:rPr>
        <w:t xml:space="preserve"> ir gamintojas</w:t>
      </w:r>
    </w:p>
    <w:p w14:paraId="1C8868C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AS GRINDEKS.</w:t>
      </w:r>
    </w:p>
    <w:p w14:paraId="38282143"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Krustpils iela 53, Rīga, LV-1057, Latvija</w:t>
      </w:r>
    </w:p>
    <w:p w14:paraId="7690DD0E"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Tel. +371 67083205</w:t>
      </w:r>
    </w:p>
    <w:p w14:paraId="2E7D5A7F"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Faksas +371 67083505</w:t>
      </w:r>
    </w:p>
    <w:p w14:paraId="1A059015" w14:textId="77777777" w:rsidR="00173803" w:rsidRPr="00AB7860" w:rsidRDefault="00173803" w:rsidP="00173803">
      <w:pPr>
        <w:spacing w:after="0" w:line="240" w:lineRule="auto"/>
        <w:rPr>
          <w:rFonts w:ascii="Times New Roman" w:hAnsi="Times New Roman" w:cs="Times New Roman"/>
          <w:lang w:val="lt-LT"/>
        </w:rPr>
      </w:pPr>
      <w:r w:rsidRPr="00AB7860">
        <w:rPr>
          <w:rFonts w:ascii="Times New Roman" w:hAnsi="Times New Roman" w:cs="Times New Roman"/>
          <w:lang w:val="lt-LT"/>
        </w:rPr>
        <w:t>El. paštas grindeks@grindeks.lv</w:t>
      </w:r>
    </w:p>
    <w:p w14:paraId="62753637"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5ADCBD9" w14:textId="77777777" w:rsidR="00173803" w:rsidRPr="00AB7860" w:rsidRDefault="00173803" w:rsidP="00173803">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lt-LT"/>
        </w:rPr>
        <w:t xml:space="preserve">Jeigu apie šį vaistą norite sužinoti daugiau, kreipkitės į vietinį </w:t>
      </w:r>
      <w:r w:rsidRPr="00AB7860">
        <w:rPr>
          <w:rFonts w:ascii="Times New Roman" w:eastAsia="Times New Roman" w:hAnsi="Times New Roman" w:cs="Times New Roman"/>
          <w:lang w:val="lt-LT"/>
        </w:rPr>
        <w:t>registruotojo</w:t>
      </w:r>
      <w:r w:rsidRPr="00AB7860">
        <w:rPr>
          <w:rFonts w:ascii="Times New Roman" w:hAnsi="Times New Roman" w:cs="Times New Roman"/>
          <w:lang w:val="lt-LT"/>
        </w:rPr>
        <w:t xml:space="preserve"> atstovą.</w:t>
      </w:r>
    </w:p>
    <w:p w14:paraId="377224F1"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44701921" w14:textId="77777777" w:rsidR="00E211B3" w:rsidRPr="001F6FC4" w:rsidRDefault="00E211B3" w:rsidP="00E211B3">
      <w:pPr>
        <w:spacing w:after="0" w:line="240" w:lineRule="auto"/>
        <w:rPr>
          <w:rFonts w:ascii="Times New Roman" w:eastAsia="Times New Roman" w:hAnsi="Times New Roman"/>
        </w:rPr>
      </w:pPr>
      <w:r w:rsidRPr="001F6FC4">
        <w:rPr>
          <w:rFonts w:ascii="Times New Roman" w:eastAsia="Times New Roman" w:hAnsi="Times New Roman"/>
        </w:rPr>
        <w:t>„Grindeks Kalceks Lietuva“ UAB</w:t>
      </w:r>
    </w:p>
    <w:p w14:paraId="1B80DDAF" w14:textId="77777777" w:rsidR="00E211B3" w:rsidRPr="001F6FC4" w:rsidRDefault="00E211B3" w:rsidP="00E211B3">
      <w:pPr>
        <w:spacing w:after="0" w:line="240" w:lineRule="auto"/>
        <w:rPr>
          <w:rFonts w:ascii="Times New Roman" w:eastAsia="Times New Roman" w:hAnsi="Times New Roman"/>
        </w:rPr>
      </w:pPr>
      <w:r w:rsidRPr="001F6FC4">
        <w:rPr>
          <w:rFonts w:ascii="Times New Roman" w:eastAsia="Times New Roman" w:hAnsi="Times New Roman"/>
        </w:rPr>
        <w:t>Kalvarijų g. 300</w:t>
      </w:r>
    </w:p>
    <w:p w14:paraId="39C53C1F" w14:textId="77777777" w:rsidR="00E211B3" w:rsidRPr="001F6FC4" w:rsidRDefault="00E211B3" w:rsidP="00E211B3">
      <w:pPr>
        <w:spacing w:after="0" w:line="240" w:lineRule="auto"/>
        <w:rPr>
          <w:rFonts w:ascii="Times New Roman" w:eastAsia="Times New Roman" w:hAnsi="Times New Roman"/>
        </w:rPr>
      </w:pPr>
      <w:r w:rsidRPr="001F6FC4">
        <w:rPr>
          <w:rFonts w:ascii="Times New Roman" w:eastAsia="Times New Roman" w:hAnsi="Times New Roman"/>
        </w:rPr>
        <w:t xml:space="preserve">Vilnius, LT-08318 </w:t>
      </w:r>
    </w:p>
    <w:p w14:paraId="5EA037EB" w14:textId="77777777" w:rsidR="00E211B3" w:rsidRPr="001F6FC4" w:rsidRDefault="00E211B3" w:rsidP="00E211B3">
      <w:pPr>
        <w:spacing w:after="0"/>
        <w:rPr>
          <w:rFonts w:ascii="Times New Roman" w:eastAsia="Times New Roman" w:hAnsi="Times New Roman"/>
        </w:rPr>
      </w:pPr>
      <w:r w:rsidRPr="001F6FC4">
        <w:rPr>
          <w:rFonts w:ascii="Times New Roman" w:eastAsia="Times New Roman" w:hAnsi="Times New Roman"/>
        </w:rPr>
        <w:t>Tel. +370 5 2101401</w:t>
      </w:r>
    </w:p>
    <w:p w14:paraId="6B4C7D19" w14:textId="77777777" w:rsidR="002A46B4" w:rsidRDefault="002A46B4" w:rsidP="00173803">
      <w:pPr>
        <w:tabs>
          <w:tab w:val="left" w:pos="360"/>
        </w:tabs>
        <w:spacing w:after="0" w:line="240" w:lineRule="auto"/>
        <w:rPr>
          <w:rFonts w:ascii="Times New Roman" w:eastAsia="Times New Roman" w:hAnsi="Times New Roman" w:cs="Times New Roman"/>
          <w:b/>
          <w:lang w:val="lt-LT"/>
        </w:rPr>
      </w:pPr>
    </w:p>
    <w:p w14:paraId="706815ED" w14:textId="77777777"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eastAsia="Times New Roman" w:hAnsi="Times New Roman" w:cs="Times New Roman"/>
          <w:b/>
          <w:lang w:val="lt-LT"/>
        </w:rPr>
        <w:t>Ši</w:t>
      </w:r>
      <w:r w:rsidRPr="00B36BCA">
        <w:rPr>
          <w:rFonts w:ascii="Times New Roman" w:eastAsia="Times New Roman" w:hAnsi="Times New Roman" w:cs="Times New Roman"/>
          <w:b/>
          <w:lang w:val="lt-LT"/>
        </w:rPr>
        <w:t>s vaist</w:t>
      </w:r>
      <w:r w:rsidRPr="00AB7860">
        <w:rPr>
          <w:rFonts w:ascii="Times New Roman" w:eastAsia="Times New Roman" w:hAnsi="Times New Roman" w:cs="Times New Roman"/>
          <w:b/>
          <w:lang w:val="lt-LT"/>
        </w:rPr>
        <w:t>as</w:t>
      </w:r>
      <w:r w:rsidRPr="00AB7860">
        <w:rPr>
          <w:rFonts w:ascii="Times New Roman" w:hAnsi="Times New Roman" w:cs="Times New Roman"/>
          <w:b/>
          <w:lang w:val="lt-LT"/>
        </w:rPr>
        <w:t xml:space="preserve"> E</w:t>
      </w:r>
      <w:r w:rsidR="00542375" w:rsidRPr="00AB7860">
        <w:rPr>
          <w:rFonts w:ascii="Times New Roman" w:hAnsi="Times New Roman" w:cs="Times New Roman"/>
          <w:b/>
          <w:lang w:val="lt-LT"/>
        </w:rPr>
        <w:t>uropos ekonominės erdvės</w:t>
      </w:r>
      <w:r w:rsidRPr="00AB7860">
        <w:rPr>
          <w:rFonts w:ascii="Times New Roman" w:hAnsi="Times New Roman" w:cs="Times New Roman"/>
          <w:b/>
          <w:lang w:val="lt-LT"/>
        </w:rPr>
        <w:t xml:space="preserve"> valstybėse narėse </w:t>
      </w:r>
      <w:r w:rsidR="002A46B4" w:rsidRPr="002A46B4">
        <w:rPr>
          <w:rFonts w:ascii="Times New Roman" w:eastAsia="Calibri" w:hAnsi="Times New Roman" w:cs="Times New Roman"/>
          <w:b/>
          <w:lang w:val="lt-LT"/>
        </w:rPr>
        <w:t>ir Jungtinėje Karalystėje (Šiaurės Airijoje</w:t>
      </w:r>
      <w:r w:rsidR="002A46B4">
        <w:rPr>
          <w:rFonts w:ascii="Times New Roman" w:eastAsia="Calibri" w:hAnsi="Times New Roman" w:cs="Times New Roman"/>
          <w:b/>
          <w:lang w:val="lt-LT"/>
        </w:rPr>
        <w:t>)</w:t>
      </w:r>
      <w:r w:rsidR="002A46B4" w:rsidRPr="00AB7860">
        <w:rPr>
          <w:rFonts w:ascii="Times New Roman" w:eastAsia="Times New Roman" w:hAnsi="Times New Roman" w:cs="Times New Roman"/>
          <w:b/>
          <w:lang w:val="lt-LT"/>
        </w:rPr>
        <w:t xml:space="preserve"> </w:t>
      </w:r>
      <w:r w:rsidRPr="00AB7860">
        <w:rPr>
          <w:rFonts w:ascii="Times New Roman" w:eastAsia="Times New Roman" w:hAnsi="Times New Roman" w:cs="Times New Roman"/>
          <w:b/>
          <w:lang w:val="lt-LT"/>
        </w:rPr>
        <w:t>registruotas</w:t>
      </w:r>
      <w:r w:rsidRPr="00AB7860">
        <w:rPr>
          <w:rFonts w:ascii="Times New Roman" w:hAnsi="Times New Roman" w:cs="Times New Roman"/>
          <w:b/>
          <w:lang w:val="lt-LT"/>
        </w:rPr>
        <w:t xml:space="preserve"> tokiais pavadinimais:</w:t>
      </w:r>
    </w:p>
    <w:p w14:paraId="641E0A06"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6F737BCB" w14:textId="77777777" w:rsidR="0049461C" w:rsidRPr="00AB7860" w:rsidRDefault="0049461C" w:rsidP="0049461C">
      <w:pPr>
        <w:numPr>
          <w:ilvl w:val="12"/>
          <w:numId w:val="0"/>
        </w:numPr>
        <w:spacing w:after="0" w:line="240" w:lineRule="auto"/>
        <w:ind w:left="567" w:hanging="567"/>
        <w:rPr>
          <w:rFonts w:ascii="Times New Roman" w:hAnsi="Times New Roman" w:cs="Times New Roman"/>
        </w:rPr>
      </w:pPr>
      <w:r w:rsidRPr="00AB7860">
        <w:rPr>
          <w:rFonts w:ascii="Times New Roman" w:hAnsi="Times New Roman" w:cs="Times New Roman"/>
        </w:rPr>
        <w:t>Austrija</w:t>
      </w:r>
      <w:r w:rsidRPr="00AB7860">
        <w:rPr>
          <w:rFonts w:ascii="Times New Roman" w:hAnsi="Times New Roman" w:cs="Times New Roman"/>
        </w:rPr>
        <w:tab/>
        <w:t xml:space="preserve">   </w:t>
      </w:r>
      <w:r>
        <w:rPr>
          <w:rFonts w:ascii="Times New Roman" w:hAnsi="Times New Roman" w:cs="Times New Roman"/>
        </w:rPr>
        <w:tab/>
      </w:r>
      <w:r w:rsidRPr="00AB7860">
        <w:rPr>
          <w:rFonts w:ascii="Times New Roman" w:hAnsi="Times New Roman" w:cs="Times New Roman"/>
        </w:rPr>
        <w:t>Imatinib Grindeks 100 mg Hartkapseln</w:t>
      </w:r>
    </w:p>
    <w:p w14:paraId="3C60FF00" w14:textId="77777777" w:rsidR="0049461C" w:rsidRPr="00AB7860" w:rsidRDefault="0049461C" w:rsidP="0049461C">
      <w:pPr>
        <w:numPr>
          <w:ilvl w:val="12"/>
          <w:numId w:val="0"/>
        </w:numPr>
        <w:spacing w:after="0" w:line="240" w:lineRule="auto"/>
        <w:ind w:left="567" w:hanging="567"/>
        <w:rPr>
          <w:rFonts w:ascii="Times New Roman" w:hAnsi="Times New Roman" w:cs="Times New Roman"/>
          <w:lang w:val="lv-LV"/>
        </w:rPr>
      </w:pPr>
      <w:r w:rsidRPr="00AB7860">
        <w:rPr>
          <w:rFonts w:ascii="Times New Roman" w:hAnsi="Times New Roman" w:cs="Times New Roman"/>
        </w:rPr>
        <w:t>Belgija</w:t>
      </w:r>
      <w:r w:rsidRPr="00AB7860">
        <w:rPr>
          <w:rFonts w:ascii="Times New Roman" w:hAnsi="Times New Roman" w:cs="Times New Roman"/>
        </w:rPr>
        <w:tab/>
        <w:t xml:space="preserve">   </w:t>
      </w:r>
      <w:r>
        <w:rPr>
          <w:rFonts w:ascii="Times New Roman" w:hAnsi="Times New Roman" w:cs="Times New Roman"/>
        </w:rPr>
        <w:tab/>
      </w:r>
      <w:r w:rsidRPr="00AB7860">
        <w:rPr>
          <w:rFonts w:ascii="Times New Roman" w:hAnsi="Times New Roman" w:cs="Times New Roman"/>
        </w:rPr>
        <w:t xml:space="preserve">Imatinib Grindeks 100 mg </w:t>
      </w:r>
      <w:r w:rsidRPr="00AB7860">
        <w:rPr>
          <w:rFonts w:ascii="Times New Roman" w:hAnsi="Times New Roman" w:cs="Times New Roman"/>
          <w:lang w:val="lv-LV"/>
        </w:rPr>
        <w:t>harde capsules</w:t>
      </w:r>
    </w:p>
    <w:p w14:paraId="70237E56" w14:textId="77777777" w:rsidR="0049461C" w:rsidRPr="00AB7860" w:rsidRDefault="0049461C" w:rsidP="0049461C">
      <w:pPr>
        <w:numPr>
          <w:ilvl w:val="12"/>
          <w:numId w:val="0"/>
        </w:numPr>
        <w:spacing w:after="0" w:line="240" w:lineRule="auto"/>
        <w:ind w:hanging="567"/>
        <w:rPr>
          <w:rFonts w:ascii="Times New Roman" w:hAnsi="Times New Roman" w:cs="Times New Roman"/>
        </w:rPr>
      </w:pPr>
      <w:r w:rsidRPr="00AB7860">
        <w:rPr>
          <w:rFonts w:ascii="Times New Roman" w:hAnsi="Times New Roman" w:cs="Times New Roman"/>
        </w:rPr>
        <w:tab/>
        <w:t>Čekija</w:t>
      </w:r>
      <w:r w:rsidRPr="00AB7860">
        <w:rPr>
          <w:rFonts w:ascii="Times New Roman" w:hAnsi="Times New Roman" w:cs="Times New Roman"/>
        </w:rPr>
        <w:tab/>
        <w:t xml:space="preserve">   </w:t>
      </w:r>
      <w:r>
        <w:rPr>
          <w:rFonts w:ascii="Times New Roman" w:hAnsi="Times New Roman" w:cs="Times New Roman"/>
        </w:rPr>
        <w:tab/>
      </w:r>
      <w:r w:rsidRPr="00AB7860">
        <w:rPr>
          <w:rFonts w:ascii="Times New Roman" w:hAnsi="Times New Roman" w:cs="Times New Roman"/>
        </w:rPr>
        <w:t>Imatinib Grindeks</w:t>
      </w:r>
    </w:p>
    <w:p w14:paraId="1CB29331" w14:textId="77777777" w:rsidR="0049461C" w:rsidRPr="00AB7860" w:rsidRDefault="0049461C" w:rsidP="0049461C">
      <w:pPr>
        <w:pStyle w:val="Antrats"/>
        <w:tabs>
          <w:tab w:val="left" w:pos="1418"/>
        </w:tabs>
        <w:rPr>
          <w:sz w:val="22"/>
          <w:szCs w:val="22"/>
          <w:lang w:val="sv-SE"/>
        </w:rPr>
      </w:pPr>
      <w:r w:rsidRPr="00AB7860">
        <w:rPr>
          <w:bCs/>
          <w:sz w:val="22"/>
          <w:szCs w:val="22"/>
          <w:lang w:val="sv-SE"/>
        </w:rPr>
        <w:t>Estija</w:t>
      </w:r>
      <w:r w:rsidRPr="00AB7860">
        <w:rPr>
          <w:bCs/>
          <w:sz w:val="22"/>
          <w:szCs w:val="22"/>
          <w:lang w:val="sv-SE"/>
        </w:rPr>
        <w:tab/>
        <w:t xml:space="preserve"> </w:t>
      </w:r>
      <w:r>
        <w:rPr>
          <w:bCs/>
          <w:sz w:val="22"/>
          <w:szCs w:val="22"/>
          <w:lang w:val="sv-SE"/>
        </w:rPr>
        <w:t xml:space="preserve">                    </w:t>
      </w:r>
      <w:r w:rsidRPr="00AB7860">
        <w:rPr>
          <w:bCs/>
          <w:sz w:val="22"/>
          <w:szCs w:val="22"/>
          <w:lang w:val="sv-SE"/>
        </w:rPr>
        <w:t>Imatinib Grindeks</w:t>
      </w:r>
    </w:p>
    <w:p w14:paraId="09C592A6" w14:textId="77777777" w:rsidR="0049461C" w:rsidRPr="00AB7860" w:rsidRDefault="0049461C" w:rsidP="0049461C">
      <w:pPr>
        <w:numPr>
          <w:ilvl w:val="12"/>
          <w:numId w:val="0"/>
        </w:numPr>
        <w:spacing w:after="0" w:line="240" w:lineRule="auto"/>
        <w:ind w:hanging="567"/>
        <w:rPr>
          <w:rFonts w:ascii="Times New Roman" w:hAnsi="Times New Roman" w:cs="Times New Roman"/>
          <w:lang w:val="lv-LV"/>
        </w:rPr>
      </w:pPr>
      <w:r w:rsidRPr="00AB7860">
        <w:rPr>
          <w:rFonts w:ascii="Times New Roman" w:hAnsi="Times New Roman" w:cs="Times New Roman"/>
        </w:rPr>
        <w:tab/>
        <w:t>Prancūzija</w:t>
      </w:r>
      <w:r w:rsidRPr="00AB7860">
        <w:rPr>
          <w:rFonts w:ascii="Times New Roman" w:hAnsi="Times New Roman" w:cs="Times New Roman"/>
        </w:rPr>
        <w:tab/>
        <w:t xml:space="preserve">   </w:t>
      </w:r>
      <w:r>
        <w:rPr>
          <w:rFonts w:ascii="Times New Roman" w:hAnsi="Times New Roman" w:cs="Times New Roman"/>
        </w:rPr>
        <w:tab/>
      </w:r>
      <w:r w:rsidRPr="00AB7860">
        <w:rPr>
          <w:rFonts w:ascii="Times New Roman" w:hAnsi="Times New Roman" w:cs="Times New Roman"/>
        </w:rPr>
        <w:t>Imatinib Grindeks 100 mg</w:t>
      </w:r>
      <w:r w:rsidRPr="00AB7860">
        <w:rPr>
          <w:rFonts w:ascii="Times New Roman" w:hAnsi="Times New Roman" w:cs="Times New Roman"/>
          <w:lang w:val="lv-LV"/>
        </w:rPr>
        <w:t>, gélule</w:t>
      </w:r>
    </w:p>
    <w:p w14:paraId="7B97A798" w14:textId="77777777" w:rsidR="0049461C" w:rsidRPr="00AB7860" w:rsidRDefault="0049461C" w:rsidP="0049461C">
      <w:pPr>
        <w:numPr>
          <w:ilvl w:val="12"/>
          <w:numId w:val="0"/>
        </w:numPr>
        <w:spacing w:after="0" w:line="240" w:lineRule="auto"/>
        <w:rPr>
          <w:rFonts w:ascii="Times New Roman" w:hAnsi="Times New Roman" w:cs="Times New Roman"/>
          <w:lang w:val="lv-LV"/>
        </w:rPr>
      </w:pPr>
      <w:r w:rsidRPr="00AB7860">
        <w:rPr>
          <w:rFonts w:ascii="Times New Roman" w:hAnsi="Times New Roman" w:cs="Times New Roman"/>
          <w:lang w:val="lv-LV"/>
        </w:rPr>
        <w:t>Vengrija</w:t>
      </w:r>
      <w:r w:rsidRPr="00AB7860">
        <w:rPr>
          <w:rFonts w:ascii="Times New Roman" w:hAnsi="Times New Roman" w:cs="Times New Roman"/>
          <w:lang w:val="lv-LV"/>
        </w:rPr>
        <w:tab/>
        <w:t xml:space="preserve">   </w:t>
      </w:r>
      <w:r>
        <w:rPr>
          <w:rFonts w:ascii="Times New Roman" w:hAnsi="Times New Roman" w:cs="Times New Roman"/>
          <w:lang w:val="lv-LV"/>
        </w:rPr>
        <w:tab/>
      </w:r>
      <w:r w:rsidRPr="00AB7860">
        <w:rPr>
          <w:rFonts w:ascii="Times New Roman" w:hAnsi="Times New Roman" w:cs="Times New Roman"/>
        </w:rPr>
        <w:t xml:space="preserve">Imatinib Grindeks 100 mg </w:t>
      </w:r>
      <w:r w:rsidRPr="00AB7860">
        <w:rPr>
          <w:rFonts w:ascii="Times New Roman" w:hAnsi="Times New Roman" w:cs="Times New Roman"/>
          <w:lang w:val="lv-LV"/>
        </w:rPr>
        <w:t>kemény kapszula</w:t>
      </w:r>
    </w:p>
    <w:p w14:paraId="04056264" w14:textId="77777777" w:rsidR="0049461C" w:rsidRPr="00AB7860" w:rsidRDefault="0049461C" w:rsidP="0049461C">
      <w:pPr>
        <w:tabs>
          <w:tab w:val="left" w:pos="1418"/>
        </w:tabs>
        <w:spacing w:after="0" w:line="240" w:lineRule="auto"/>
        <w:rPr>
          <w:rFonts w:ascii="Times New Roman" w:hAnsi="Times New Roman" w:cs="Times New Roman"/>
          <w:bCs/>
          <w:lang w:val="sv-SE"/>
        </w:rPr>
      </w:pPr>
      <w:r w:rsidRPr="00AB7860">
        <w:rPr>
          <w:rFonts w:ascii="Times New Roman" w:hAnsi="Times New Roman" w:cs="Times New Roman"/>
          <w:lang w:val="sv-SE"/>
        </w:rPr>
        <w:t>Latvija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lang w:val="sv-SE"/>
        </w:rPr>
        <w:t>Imatinib Grindeks 100 mg cietās kapsulas</w:t>
      </w:r>
    </w:p>
    <w:p w14:paraId="5D9C46A8" w14:textId="77777777" w:rsidR="0049461C" w:rsidRPr="00AB7860" w:rsidRDefault="0049461C" w:rsidP="0049461C">
      <w:pPr>
        <w:tabs>
          <w:tab w:val="left" w:pos="1418"/>
        </w:tabs>
        <w:spacing w:after="0" w:line="240" w:lineRule="auto"/>
        <w:rPr>
          <w:rFonts w:ascii="Times New Roman" w:hAnsi="Times New Roman" w:cs="Times New Roman"/>
          <w:bCs/>
          <w:lang w:val="sv-SE"/>
        </w:rPr>
      </w:pPr>
      <w:r w:rsidRPr="00AB7860">
        <w:rPr>
          <w:rFonts w:ascii="Times New Roman" w:hAnsi="Times New Roman" w:cs="Times New Roman"/>
          <w:lang w:val="sv-SE"/>
        </w:rPr>
        <w:t>Lietuva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lang w:val="sv-SE"/>
        </w:rPr>
        <w:t>Imatinib Grindeks 100 mg kietosios kapsulės</w:t>
      </w:r>
    </w:p>
    <w:p w14:paraId="4F4F7AF0" w14:textId="77777777" w:rsidR="0049461C" w:rsidRPr="00AB7860" w:rsidRDefault="0049461C" w:rsidP="0049461C">
      <w:pPr>
        <w:tabs>
          <w:tab w:val="left" w:pos="1418"/>
        </w:tabs>
        <w:spacing w:after="0" w:line="240" w:lineRule="auto"/>
        <w:rPr>
          <w:rFonts w:ascii="Times New Roman" w:hAnsi="Times New Roman" w:cs="Times New Roman"/>
          <w:lang w:val="lv-LV"/>
        </w:rPr>
      </w:pPr>
      <w:r w:rsidRPr="00AB7860">
        <w:rPr>
          <w:rFonts w:ascii="Times New Roman" w:hAnsi="Times New Roman" w:cs="Times New Roman"/>
          <w:lang w:val="sv-SE"/>
        </w:rPr>
        <w:t>Rumunija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rPr>
        <w:t>Imatinib Grindeks 100 mg</w:t>
      </w:r>
      <w:r w:rsidRPr="00AB7860">
        <w:rPr>
          <w:rFonts w:ascii="Times New Roman" w:hAnsi="Times New Roman" w:cs="Times New Roman"/>
          <w:lang w:val="lv-LV"/>
        </w:rPr>
        <w:t xml:space="preserve"> capsule</w:t>
      </w:r>
    </w:p>
    <w:p w14:paraId="372C3636" w14:textId="77777777" w:rsidR="0049461C" w:rsidRPr="00AB7860" w:rsidRDefault="0049461C" w:rsidP="0049461C">
      <w:pPr>
        <w:tabs>
          <w:tab w:val="left" w:pos="1418"/>
        </w:tabs>
        <w:spacing w:after="0" w:line="240" w:lineRule="auto"/>
        <w:rPr>
          <w:rFonts w:ascii="Times New Roman" w:hAnsi="Times New Roman" w:cs="Times New Roman"/>
          <w:lang w:val="sv-SE"/>
        </w:rPr>
      </w:pPr>
      <w:r w:rsidRPr="00AB7860">
        <w:rPr>
          <w:rFonts w:ascii="Times New Roman" w:hAnsi="Times New Roman" w:cs="Times New Roman"/>
          <w:lang w:val="lv-LV"/>
        </w:rPr>
        <w:t>Slovakija</w:t>
      </w:r>
      <w:r w:rsidRPr="00AB7860">
        <w:rPr>
          <w:rFonts w:ascii="Times New Roman" w:hAnsi="Times New Roman" w:cs="Times New Roman"/>
          <w:lang w:val="lv-LV"/>
        </w:rPr>
        <w:tab/>
      </w:r>
      <w:r>
        <w:rPr>
          <w:rFonts w:ascii="Times New Roman" w:hAnsi="Times New Roman" w:cs="Times New Roman"/>
          <w:lang w:val="lv-LV"/>
        </w:rPr>
        <w:tab/>
      </w:r>
      <w:r w:rsidRPr="00AB7860">
        <w:rPr>
          <w:rFonts w:ascii="Times New Roman" w:hAnsi="Times New Roman" w:cs="Times New Roman"/>
        </w:rPr>
        <w:t xml:space="preserve">Imatinib Grindeks 100 mg </w:t>
      </w:r>
      <w:r w:rsidRPr="00AB7860">
        <w:rPr>
          <w:rFonts w:ascii="Times New Roman" w:hAnsi="Times New Roman" w:cs="Times New Roman"/>
          <w:lang w:val="lv-LV"/>
        </w:rPr>
        <w:t>tvrdé kapsuly</w:t>
      </w:r>
    </w:p>
    <w:p w14:paraId="3628741C" w14:textId="77777777" w:rsidR="0049461C" w:rsidRPr="00AB7860" w:rsidRDefault="0049461C" w:rsidP="0049461C">
      <w:pPr>
        <w:tabs>
          <w:tab w:val="left" w:pos="1418"/>
        </w:tabs>
        <w:spacing w:after="0" w:line="240" w:lineRule="auto"/>
        <w:rPr>
          <w:rFonts w:ascii="Times New Roman" w:hAnsi="Times New Roman" w:cs="Times New Roman"/>
          <w:lang w:val="lv-LV"/>
        </w:rPr>
      </w:pPr>
      <w:r w:rsidRPr="00AB7860">
        <w:rPr>
          <w:rFonts w:ascii="Times New Roman" w:hAnsi="Times New Roman" w:cs="Times New Roman"/>
        </w:rPr>
        <w:t>Ispanija</w:t>
      </w:r>
      <w:r w:rsidRPr="00AB7860">
        <w:rPr>
          <w:rFonts w:ascii="Times New Roman" w:hAnsi="Times New Roman" w:cs="Times New Roman"/>
        </w:rPr>
        <w:tab/>
      </w:r>
      <w:r>
        <w:rPr>
          <w:rFonts w:ascii="Times New Roman" w:hAnsi="Times New Roman" w:cs="Times New Roman"/>
        </w:rPr>
        <w:tab/>
      </w:r>
      <w:r w:rsidRPr="00AB7860">
        <w:rPr>
          <w:rFonts w:ascii="Times New Roman" w:hAnsi="Times New Roman" w:cs="Times New Roman"/>
        </w:rPr>
        <w:t xml:space="preserve">Imatinib Grindeks 100 mg </w:t>
      </w:r>
      <w:r w:rsidRPr="00AB7860">
        <w:rPr>
          <w:rFonts w:ascii="Times New Roman" w:hAnsi="Times New Roman" w:cs="Times New Roman"/>
          <w:lang w:val="lv-LV"/>
        </w:rPr>
        <w:t>cápsulas duras</w:t>
      </w:r>
    </w:p>
    <w:p w14:paraId="48FB1C61" w14:textId="77777777" w:rsidR="0049461C" w:rsidRPr="00AB7860" w:rsidRDefault="0049461C" w:rsidP="0049461C">
      <w:pPr>
        <w:tabs>
          <w:tab w:val="left" w:pos="1418"/>
        </w:tabs>
        <w:spacing w:after="0" w:line="240" w:lineRule="auto"/>
        <w:rPr>
          <w:rFonts w:ascii="Times New Roman" w:hAnsi="Times New Roman" w:cs="Times New Roman"/>
          <w:lang w:val="sv-SE"/>
        </w:rPr>
      </w:pPr>
      <w:r w:rsidRPr="00AB7860">
        <w:rPr>
          <w:rFonts w:ascii="Times New Roman" w:hAnsi="Times New Roman" w:cs="Times New Roman"/>
          <w:lang w:val="sv-SE"/>
        </w:rPr>
        <w:t>Švedija</w:t>
      </w:r>
      <w:r w:rsidRPr="00AB7860">
        <w:rPr>
          <w:rFonts w:ascii="Times New Roman" w:hAnsi="Times New Roman" w:cs="Times New Roman"/>
          <w:lang w:val="sv-SE"/>
        </w:rPr>
        <w:tab/>
      </w:r>
      <w:r>
        <w:rPr>
          <w:rFonts w:ascii="Times New Roman" w:hAnsi="Times New Roman" w:cs="Times New Roman"/>
          <w:lang w:val="sv-SE"/>
        </w:rPr>
        <w:tab/>
      </w:r>
      <w:r w:rsidRPr="00AB7860">
        <w:rPr>
          <w:rFonts w:ascii="Times New Roman" w:hAnsi="Times New Roman" w:cs="Times New Roman"/>
          <w:lang w:val="sv-SE"/>
        </w:rPr>
        <w:t>Imatinib Grindeks 100 mg hårda kapslar</w:t>
      </w:r>
    </w:p>
    <w:p w14:paraId="647C96A5" w14:textId="77777777" w:rsidR="0049461C" w:rsidRPr="00AB7860" w:rsidRDefault="0049461C" w:rsidP="0049461C">
      <w:pPr>
        <w:tabs>
          <w:tab w:val="left" w:pos="360"/>
        </w:tabs>
        <w:spacing w:after="0" w:line="240" w:lineRule="auto"/>
        <w:rPr>
          <w:rFonts w:ascii="Times New Roman" w:hAnsi="Times New Roman" w:cs="Times New Roman"/>
          <w:lang w:val="lt-LT"/>
        </w:rPr>
      </w:pPr>
      <w:r w:rsidRPr="00AB7860">
        <w:rPr>
          <w:rFonts w:ascii="Times New Roman" w:hAnsi="Times New Roman" w:cs="Times New Roman"/>
          <w:lang w:val="sv-SE"/>
        </w:rPr>
        <w:t>Jungtinė Karalystė</w:t>
      </w:r>
      <w:r>
        <w:rPr>
          <w:rFonts w:ascii="Times New Roman" w:hAnsi="Times New Roman" w:cs="Times New Roman"/>
          <w:lang w:val="sv-SE"/>
        </w:rPr>
        <w:t xml:space="preserve"> </w:t>
      </w:r>
      <w:r w:rsidRPr="00200467">
        <w:rPr>
          <w:rFonts w:ascii="Times New Roman" w:eastAsia="Calibri" w:hAnsi="Times New Roman" w:cs="Times New Roman"/>
          <w:lang w:val="lt-LT"/>
        </w:rPr>
        <w:t>(Šiaurės Airija)</w:t>
      </w:r>
      <w:r>
        <w:rPr>
          <w:rFonts w:ascii="Times New Roman" w:hAnsi="Times New Roman" w:cs="Times New Roman"/>
          <w:lang w:val="sv-SE"/>
        </w:rPr>
        <w:tab/>
      </w:r>
      <w:r w:rsidRPr="00AB7860">
        <w:rPr>
          <w:rFonts w:ascii="Times New Roman" w:hAnsi="Times New Roman" w:cs="Times New Roman"/>
        </w:rPr>
        <w:t xml:space="preserve">Imatinib Grindeks 100 mg </w:t>
      </w:r>
      <w:r w:rsidRPr="00AB7860">
        <w:rPr>
          <w:rFonts w:ascii="Times New Roman" w:hAnsi="Times New Roman" w:cs="Times New Roman"/>
          <w:iCs/>
          <w:lang w:val="lv-LV"/>
        </w:rPr>
        <w:t>hard Capsules</w:t>
      </w:r>
    </w:p>
    <w:p w14:paraId="1AAC16E1" w14:textId="77777777" w:rsidR="00173803" w:rsidRPr="00AB7860" w:rsidRDefault="00173803" w:rsidP="00173803">
      <w:pPr>
        <w:tabs>
          <w:tab w:val="left" w:pos="360"/>
        </w:tabs>
        <w:spacing w:after="0" w:line="240" w:lineRule="auto"/>
        <w:rPr>
          <w:rFonts w:ascii="Times New Roman" w:hAnsi="Times New Roman" w:cs="Times New Roman"/>
          <w:lang w:val="lt-LT"/>
        </w:rPr>
      </w:pPr>
    </w:p>
    <w:p w14:paraId="56F66E88" w14:textId="491D3623" w:rsidR="00173803" w:rsidRPr="00AB7860" w:rsidRDefault="00173803" w:rsidP="00173803">
      <w:pPr>
        <w:tabs>
          <w:tab w:val="left" w:pos="360"/>
        </w:tabs>
        <w:spacing w:after="0" w:line="240" w:lineRule="auto"/>
        <w:rPr>
          <w:rFonts w:ascii="Times New Roman" w:hAnsi="Times New Roman" w:cs="Times New Roman"/>
          <w:b/>
          <w:lang w:val="lt-LT"/>
        </w:rPr>
      </w:pPr>
      <w:r w:rsidRPr="00AB7860">
        <w:rPr>
          <w:rFonts w:ascii="Times New Roman" w:hAnsi="Times New Roman" w:cs="Times New Roman"/>
          <w:b/>
          <w:lang w:val="lt-LT"/>
        </w:rPr>
        <w:t xml:space="preserve"> Šis pakuotės lapelis paskutinį kartą peržiūrėtas </w:t>
      </w:r>
      <w:r w:rsidR="006F1673">
        <w:rPr>
          <w:rFonts w:ascii="Times New Roman" w:hAnsi="Times New Roman" w:cs="Times New Roman"/>
          <w:b/>
          <w:lang w:val="lt-LT"/>
        </w:rPr>
        <w:t>202</w:t>
      </w:r>
      <w:r w:rsidR="00E211B3">
        <w:rPr>
          <w:rFonts w:ascii="Times New Roman" w:hAnsi="Times New Roman" w:cs="Times New Roman"/>
          <w:b/>
          <w:lang w:val="lt-LT"/>
        </w:rPr>
        <w:t>4-11-04</w:t>
      </w:r>
      <w:r w:rsidRPr="00AB7860">
        <w:rPr>
          <w:rFonts w:ascii="Times New Roman" w:hAnsi="Times New Roman" w:cs="Times New Roman"/>
          <w:b/>
          <w:lang w:val="lt-LT"/>
        </w:rPr>
        <w:t>.</w:t>
      </w:r>
    </w:p>
    <w:p w14:paraId="46FB4B78" w14:textId="77777777" w:rsidR="00173803" w:rsidRPr="00AB7860" w:rsidRDefault="00173803" w:rsidP="00173803">
      <w:pPr>
        <w:tabs>
          <w:tab w:val="left" w:pos="360"/>
        </w:tabs>
        <w:spacing w:after="0" w:line="240" w:lineRule="auto"/>
        <w:rPr>
          <w:rFonts w:ascii="Times New Roman" w:hAnsi="Times New Roman" w:cs="Times New Roman"/>
          <w:b/>
          <w:lang w:val="lt-LT"/>
        </w:rPr>
      </w:pPr>
    </w:p>
    <w:p w14:paraId="318B224C" w14:textId="77777777" w:rsidR="00173803" w:rsidRPr="00AB7860" w:rsidRDefault="00173803" w:rsidP="00173803">
      <w:pPr>
        <w:tabs>
          <w:tab w:val="left" w:pos="360"/>
        </w:tabs>
        <w:spacing w:after="0" w:line="240" w:lineRule="auto"/>
        <w:rPr>
          <w:rFonts w:ascii="Times New Roman" w:hAnsi="Times New Roman" w:cs="Times New Roman"/>
          <w:b/>
          <w:lang w:val="lt-LT"/>
        </w:rPr>
      </w:pPr>
    </w:p>
    <w:p w14:paraId="41AF8012" w14:textId="77777777" w:rsidR="00173803" w:rsidRPr="00B36BCA" w:rsidRDefault="00173803" w:rsidP="00173803">
      <w:pPr>
        <w:numPr>
          <w:ilvl w:val="12"/>
          <w:numId w:val="0"/>
        </w:numPr>
        <w:spacing w:after="0" w:line="240" w:lineRule="auto"/>
        <w:ind w:right="-2"/>
        <w:rPr>
          <w:rFonts w:ascii="Times New Roman" w:hAnsi="Times New Roman" w:cs="Times New Roman"/>
          <w:lang w:val="lt-LT"/>
        </w:rPr>
      </w:pPr>
      <w:r w:rsidRPr="00AB7860">
        <w:rPr>
          <w:rFonts w:ascii="Times New Roman" w:hAnsi="Times New Roman" w:cs="Times New Roman"/>
          <w:lang w:val="lt-LT"/>
        </w:rPr>
        <w:t>Išsami informacija apie šį vaistą pateikiama Valstybinės vaistų kontrolės tarnybos prie Lietuvos Respublikos sveikatos apsaugos ministerijos tinklalapyje</w:t>
      </w:r>
      <w:r w:rsidRPr="00AB7860">
        <w:rPr>
          <w:rFonts w:ascii="Times New Roman" w:hAnsi="Times New Roman" w:cs="Times New Roman"/>
          <w:i/>
          <w:lang w:val="lt-LT"/>
        </w:rPr>
        <w:t xml:space="preserve"> </w:t>
      </w:r>
      <w:hyperlink r:id="rId21" w:history="1">
        <w:r w:rsidRPr="00AB7860">
          <w:rPr>
            <w:rFonts w:ascii="Times New Roman" w:hAnsi="Times New Roman" w:cs="Times New Roman"/>
            <w:color w:val="0000FF"/>
            <w:u w:val="single"/>
            <w:lang w:val="lt-LT"/>
          </w:rPr>
          <w:t>http://www.vvkt.lt/</w:t>
        </w:r>
      </w:hyperlink>
      <w:r w:rsidRPr="00AB7860">
        <w:rPr>
          <w:rFonts w:ascii="Times New Roman" w:hAnsi="Times New Roman" w:cs="Times New Roman"/>
          <w:lang w:val="lt-LT"/>
        </w:rPr>
        <w:t>.</w:t>
      </w:r>
    </w:p>
    <w:p w14:paraId="04D110CE" w14:textId="77777777" w:rsidR="00173803" w:rsidRPr="00AB7860" w:rsidRDefault="00173803" w:rsidP="00173803">
      <w:pPr>
        <w:numPr>
          <w:ilvl w:val="12"/>
          <w:numId w:val="0"/>
        </w:numPr>
        <w:spacing w:after="0" w:line="240" w:lineRule="auto"/>
        <w:ind w:right="-2"/>
        <w:rPr>
          <w:rFonts w:ascii="Times New Roman" w:hAnsi="Times New Roman" w:cs="Times New Roman"/>
          <w:lang w:val="lt-LT"/>
        </w:rPr>
      </w:pPr>
    </w:p>
    <w:p w14:paraId="637E4F47" w14:textId="77777777" w:rsidR="00173803" w:rsidRPr="00AB7860" w:rsidRDefault="00173803" w:rsidP="00173803">
      <w:pPr>
        <w:numPr>
          <w:ilvl w:val="12"/>
          <w:numId w:val="0"/>
        </w:numPr>
        <w:spacing w:after="0" w:line="240" w:lineRule="auto"/>
        <w:ind w:right="-2"/>
        <w:rPr>
          <w:rFonts w:ascii="Times New Roman" w:hAnsi="Times New Roman" w:cs="Times New Roman"/>
          <w:lang w:val="lt-LT"/>
        </w:rPr>
      </w:pPr>
      <w:bookmarkStart w:id="64" w:name="_GoBack"/>
      <w:bookmarkEnd w:id="64"/>
    </w:p>
    <w:p w14:paraId="7FB44994" w14:textId="77777777" w:rsidR="00173803" w:rsidRPr="00AB7860" w:rsidRDefault="00173803" w:rsidP="00173803">
      <w:pPr>
        <w:tabs>
          <w:tab w:val="left" w:pos="567"/>
        </w:tabs>
        <w:spacing w:after="0" w:line="240" w:lineRule="auto"/>
        <w:ind w:left="567" w:hanging="567"/>
        <w:jc w:val="center"/>
        <w:outlineLvl w:val="0"/>
        <w:rPr>
          <w:rFonts w:ascii="Times New Roman" w:hAnsi="Times New Roman" w:cs="Times New Roman"/>
          <w:lang w:val="lt-LT"/>
        </w:rPr>
      </w:pPr>
    </w:p>
    <w:p w14:paraId="4277BD75" w14:textId="77777777" w:rsidR="006C702B" w:rsidRPr="0049461C" w:rsidRDefault="006C702B">
      <w:pPr>
        <w:rPr>
          <w:rFonts w:ascii="Times New Roman" w:hAnsi="Times New Roman" w:cs="Times New Roman"/>
          <w:lang w:val="lt-LT"/>
        </w:rPr>
      </w:pPr>
    </w:p>
    <w:sectPr w:rsidR="006C702B" w:rsidRPr="0049461C" w:rsidSect="005D31C2">
      <w:pgSz w:w="12240" w:h="15840" w:code="1"/>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5626" w16cex:dateUtc="2022-11-28T13:45:00Z"/>
  <w16cex:commentExtensible w16cex:durableId="2790B6A9" w16cex:dateUtc="2023-02-10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56BD23" w16cid:durableId="272F5062"/>
  <w16cid:commentId w16cid:paraId="4CA2BC15" w16cid:durableId="272F5063"/>
  <w16cid:commentId w16cid:paraId="1A165FB4" w16cid:durableId="272F5064"/>
  <w16cid:commentId w16cid:paraId="67622958" w16cid:durableId="272F5065"/>
  <w16cid:commentId w16cid:paraId="3BD91492" w16cid:durableId="272F5066"/>
  <w16cid:commentId w16cid:paraId="4D88594B" w16cid:durableId="272F5067"/>
  <w16cid:commentId w16cid:paraId="02D683D7" w16cid:durableId="272F5068"/>
  <w16cid:commentId w16cid:paraId="65A703E4" w16cid:durableId="272F5626"/>
  <w16cid:commentId w16cid:paraId="7EBFC95C" w16cid:durableId="2790B6A9"/>
  <w16cid:commentId w16cid:paraId="7D96C77D" w16cid:durableId="272F50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32BA" w14:textId="77777777" w:rsidR="004C04CC" w:rsidRDefault="004C04CC" w:rsidP="000909FB">
      <w:pPr>
        <w:spacing w:after="0" w:line="240" w:lineRule="auto"/>
      </w:pPr>
      <w:r>
        <w:separator/>
      </w:r>
    </w:p>
  </w:endnote>
  <w:endnote w:type="continuationSeparator" w:id="0">
    <w:p w14:paraId="4AC48547" w14:textId="77777777" w:rsidR="004C04CC" w:rsidRDefault="004C04CC" w:rsidP="0009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Times New Roman,Bold">
    <w:altName w:val="MS Mincho"/>
    <w:panose1 w:val="00000000000000000000"/>
    <w:charset w:val="80"/>
    <w:family w:val="auto"/>
    <w:notTrueType/>
    <w:pitch w:val="default"/>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F6EE0" w14:textId="77777777" w:rsidR="004C04CC" w:rsidRDefault="004C04CC" w:rsidP="000909FB">
      <w:pPr>
        <w:spacing w:after="0" w:line="240" w:lineRule="auto"/>
      </w:pPr>
      <w:r>
        <w:separator/>
      </w:r>
    </w:p>
  </w:footnote>
  <w:footnote w:type="continuationSeparator" w:id="0">
    <w:p w14:paraId="28CC4FB4" w14:textId="77777777" w:rsidR="004C04CC" w:rsidRDefault="004C04CC" w:rsidP="0009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66725"/>
    <w:multiLevelType w:val="hybridMultilevel"/>
    <w:tmpl w:val="7E10ADD4"/>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9B6A52"/>
    <w:multiLevelType w:val="hybridMultilevel"/>
    <w:tmpl w:val="24D8F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1111D5"/>
    <w:multiLevelType w:val="hybridMultilevel"/>
    <w:tmpl w:val="944A48C0"/>
    <w:lvl w:ilvl="0" w:tplc="8A8698C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EE3FEE"/>
    <w:multiLevelType w:val="hybridMultilevel"/>
    <w:tmpl w:val="96D6070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4B4224"/>
    <w:multiLevelType w:val="hybridMultilevel"/>
    <w:tmpl w:val="E38C33D6"/>
    <w:lvl w:ilvl="0" w:tplc="65DE512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A955C0"/>
    <w:multiLevelType w:val="hybridMultilevel"/>
    <w:tmpl w:val="DEA857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0B2B88"/>
    <w:multiLevelType w:val="hybridMultilevel"/>
    <w:tmpl w:val="9A5663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EE0280"/>
    <w:multiLevelType w:val="hybridMultilevel"/>
    <w:tmpl w:val="20F00AE4"/>
    <w:lvl w:ilvl="0" w:tplc="633678F0">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15:restartNumberingAfterBreak="0">
    <w:nsid w:val="1E0B38D6"/>
    <w:multiLevelType w:val="hybridMultilevel"/>
    <w:tmpl w:val="CDD26EF0"/>
    <w:lvl w:ilvl="0" w:tplc="AD3453A4">
      <w:start w:val="1"/>
      <w:numFmt w:val="bullet"/>
      <w:lvlText w:val="-"/>
      <w:lvlJc w:val="left"/>
      <w:pPr>
        <w:ind w:left="72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E71031F"/>
    <w:multiLevelType w:val="hybridMultilevel"/>
    <w:tmpl w:val="CEDA2B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F5355"/>
    <w:multiLevelType w:val="hybridMultilevel"/>
    <w:tmpl w:val="5B1A7100"/>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6E55191"/>
    <w:multiLevelType w:val="hybridMultilevel"/>
    <w:tmpl w:val="B344C1EA"/>
    <w:lvl w:ilvl="0" w:tplc="811CA6D4">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E46B30"/>
    <w:multiLevelType w:val="hybridMultilevel"/>
    <w:tmpl w:val="AF46A5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A5569"/>
    <w:multiLevelType w:val="multilevel"/>
    <w:tmpl w:val="F334CEE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291EC1"/>
    <w:multiLevelType w:val="hybridMultilevel"/>
    <w:tmpl w:val="0EE4898C"/>
    <w:lvl w:ilvl="0" w:tplc="3718EEBC">
      <w:start w:val="1"/>
      <w:numFmt w:val="bullet"/>
      <w:lvlText w:val=""/>
      <w:lvlJc w:val="left"/>
      <w:pPr>
        <w:tabs>
          <w:tab w:val="num" w:pos="1800"/>
        </w:tabs>
        <w:ind w:left="1800" w:hanging="72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DF591E"/>
    <w:multiLevelType w:val="hybridMultilevel"/>
    <w:tmpl w:val="595466E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E0155"/>
    <w:multiLevelType w:val="hybridMultilevel"/>
    <w:tmpl w:val="750A7C3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C1A6920"/>
    <w:multiLevelType w:val="hybridMultilevel"/>
    <w:tmpl w:val="6E0649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3474E6A"/>
    <w:multiLevelType w:val="hybridMultilevel"/>
    <w:tmpl w:val="135E4B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CB5D8E"/>
    <w:multiLevelType w:val="hybridMultilevel"/>
    <w:tmpl w:val="B2B8DDB6"/>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A2836A8"/>
    <w:multiLevelType w:val="hybridMultilevel"/>
    <w:tmpl w:val="9FE8FD56"/>
    <w:lvl w:ilvl="0" w:tplc="6E58C5E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3A59FD"/>
    <w:multiLevelType w:val="hybridMultilevel"/>
    <w:tmpl w:val="23E69732"/>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413512"/>
    <w:multiLevelType w:val="hybridMultilevel"/>
    <w:tmpl w:val="6406BA9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121290C"/>
    <w:multiLevelType w:val="hybridMultilevel"/>
    <w:tmpl w:val="E46CB8A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66E10DE"/>
    <w:multiLevelType w:val="hybridMultilevel"/>
    <w:tmpl w:val="6BD2CE12"/>
    <w:lvl w:ilvl="0" w:tplc="AD3453A4">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9C22285"/>
    <w:multiLevelType w:val="hybridMultilevel"/>
    <w:tmpl w:val="026438B2"/>
    <w:lvl w:ilvl="0" w:tplc="75CA4D0C">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DE7209"/>
    <w:multiLevelType w:val="hybridMultilevel"/>
    <w:tmpl w:val="4B3CA1DA"/>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E7D32A4"/>
    <w:multiLevelType w:val="hybridMultilevel"/>
    <w:tmpl w:val="94F021F0"/>
    <w:lvl w:ilvl="0" w:tplc="7186905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037534"/>
    <w:multiLevelType w:val="hybridMultilevel"/>
    <w:tmpl w:val="4DEE1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156BB4"/>
    <w:multiLevelType w:val="hybridMultilevel"/>
    <w:tmpl w:val="4942F26E"/>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8C75AD8"/>
    <w:multiLevelType w:val="hybridMultilevel"/>
    <w:tmpl w:val="AEF475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B8F0AB4"/>
    <w:multiLevelType w:val="hybridMultilevel"/>
    <w:tmpl w:val="73B45D7C"/>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E7C6A6E"/>
    <w:multiLevelType w:val="hybridMultilevel"/>
    <w:tmpl w:val="8A008BB4"/>
    <w:lvl w:ilvl="0" w:tplc="19821AA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23B2271"/>
    <w:multiLevelType w:val="hybridMultilevel"/>
    <w:tmpl w:val="0406CD08"/>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5" w15:restartNumberingAfterBreak="0">
    <w:nsid w:val="72A85D73"/>
    <w:multiLevelType w:val="hybridMultilevel"/>
    <w:tmpl w:val="64BA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9EE04B7"/>
    <w:multiLevelType w:val="hybridMultilevel"/>
    <w:tmpl w:val="005E6AB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D603025"/>
    <w:multiLevelType w:val="hybridMultilevel"/>
    <w:tmpl w:val="1C3CB030"/>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35"/>
  </w:num>
  <w:num w:numId="4">
    <w:abstractNumId w:val="13"/>
  </w:num>
  <w:num w:numId="5">
    <w:abstractNumId w:val="19"/>
  </w:num>
  <w:num w:numId="6">
    <w:abstractNumId w:val="9"/>
  </w:num>
  <w:num w:numId="7">
    <w:abstractNumId w:val="29"/>
  </w:num>
  <w:num w:numId="8">
    <w:abstractNumId w:val="10"/>
  </w:num>
  <w:num w:numId="9">
    <w:abstractNumId w:val="24"/>
  </w:num>
  <w:num w:numId="10">
    <w:abstractNumId w:val="23"/>
  </w:num>
  <w:num w:numId="11">
    <w:abstractNumId w:val="17"/>
  </w:num>
  <w:num w:numId="12">
    <w:abstractNumId w:val="33"/>
  </w:num>
  <w:num w:numId="13">
    <w:abstractNumId w:val="27"/>
  </w:num>
  <w:num w:numId="14">
    <w:abstractNumId w:val="32"/>
  </w:num>
  <w:num w:numId="15">
    <w:abstractNumId w:val="3"/>
  </w:num>
  <w:num w:numId="16">
    <w:abstractNumId w:val="22"/>
  </w:num>
  <w:num w:numId="17">
    <w:abstractNumId w:val="30"/>
  </w:num>
  <w:num w:numId="18">
    <w:abstractNumId w:val="20"/>
  </w:num>
  <w:num w:numId="19">
    <w:abstractNumId w:val="15"/>
  </w:num>
  <w:num w:numId="20">
    <w:abstractNumId w:val="37"/>
  </w:num>
  <w:num w:numId="21">
    <w:abstractNumId w:val="7"/>
  </w:num>
  <w:num w:numId="22">
    <w:abstractNumId w:val="26"/>
  </w:num>
  <w:num w:numId="23">
    <w:abstractNumId w:val="36"/>
  </w:num>
  <w:num w:numId="24">
    <w:abstractNumId w:val="1"/>
  </w:num>
  <w:num w:numId="25">
    <w:abstractNumId w:val="12"/>
  </w:num>
  <w:num w:numId="26">
    <w:abstractNumId w:val="18"/>
  </w:num>
  <w:num w:numId="27">
    <w:abstractNumId w:val="6"/>
  </w:num>
  <w:num w:numId="28">
    <w:abstractNumId w:val="4"/>
  </w:num>
  <w:num w:numId="29">
    <w:abstractNumId w:val="8"/>
  </w:num>
  <w:num w:numId="30">
    <w:abstractNumId w:val="25"/>
  </w:num>
  <w:num w:numId="31">
    <w:abstractNumId w:val="34"/>
  </w:num>
  <w:num w:numId="32">
    <w:abstractNumId w:val="2"/>
  </w:num>
  <w:num w:numId="33">
    <w:abstractNumId w:val="21"/>
  </w:num>
  <w:num w:numId="34">
    <w:abstractNumId w:val="28"/>
  </w:num>
  <w:num w:numId="35">
    <w:abstractNumId w:val="16"/>
  </w:num>
  <w:num w:numId="36">
    <w:abstractNumId w:val="11"/>
  </w:num>
  <w:num w:numId="37">
    <w:abstractNumId w:val="0"/>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E2A"/>
    <w:rsid w:val="00025FFE"/>
    <w:rsid w:val="0004508A"/>
    <w:rsid w:val="00047934"/>
    <w:rsid w:val="000509A4"/>
    <w:rsid w:val="000537B8"/>
    <w:rsid w:val="000719D8"/>
    <w:rsid w:val="00087148"/>
    <w:rsid w:val="000909FB"/>
    <w:rsid w:val="00092EE2"/>
    <w:rsid w:val="000B61E7"/>
    <w:rsid w:val="00146B8C"/>
    <w:rsid w:val="00157904"/>
    <w:rsid w:val="001707FE"/>
    <w:rsid w:val="00172FB4"/>
    <w:rsid w:val="00173803"/>
    <w:rsid w:val="001F20BF"/>
    <w:rsid w:val="00200467"/>
    <w:rsid w:val="00201510"/>
    <w:rsid w:val="00210F53"/>
    <w:rsid w:val="0023506B"/>
    <w:rsid w:val="002353EF"/>
    <w:rsid w:val="00241E20"/>
    <w:rsid w:val="002500FA"/>
    <w:rsid w:val="00254FE4"/>
    <w:rsid w:val="00276475"/>
    <w:rsid w:val="002A46B4"/>
    <w:rsid w:val="002C48D7"/>
    <w:rsid w:val="00300AED"/>
    <w:rsid w:val="003111DD"/>
    <w:rsid w:val="00316EE8"/>
    <w:rsid w:val="0034666F"/>
    <w:rsid w:val="0035361A"/>
    <w:rsid w:val="00393FE5"/>
    <w:rsid w:val="003963CC"/>
    <w:rsid w:val="003C398C"/>
    <w:rsid w:val="003D5BFB"/>
    <w:rsid w:val="00402D49"/>
    <w:rsid w:val="004073AA"/>
    <w:rsid w:val="00417264"/>
    <w:rsid w:val="00431EB8"/>
    <w:rsid w:val="0044258C"/>
    <w:rsid w:val="00465A09"/>
    <w:rsid w:val="004753CE"/>
    <w:rsid w:val="00483662"/>
    <w:rsid w:val="00491073"/>
    <w:rsid w:val="0049461C"/>
    <w:rsid w:val="004B06A9"/>
    <w:rsid w:val="004B0BD3"/>
    <w:rsid w:val="004C04CC"/>
    <w:rsid w:val="004C3C04"/>
    <w:rsid w:val="005004AF"/>
    <w:rsid w:val="00511E2A"/>
    <w:rsid w:val="005276E2"/>
    <w:rsid w:val="00542375"/>
    <w:rsid w:val="00560929"/>
    <w:rsid w:val="00575C59"/>
    <w:rsid w:val="005856C5"/>
    <w:rsid w:val="005A31B1"/>
    <w:rsid w:val="005A596E"/>
    <w:rsid w:val="005A7C47"/>
    <w:rsid w:val="005B48D3"/>
    <w:rsid w:val="005D31C2"/>
    <w:rsid w:val="005D7516"/>
    <w:rsid w:val="005F3875"/>
    <w:rsid w:val="00616038"/>
    <w:rsid w:val="00617DEA"/>
    <w:rsid w:val="00646916"/>
    <w:rsid w:val="00664808"/>
    <w:rsid w:val="00666C0A"/>
    <w:rsid w:val="006A7F9F"/>
    <w:rsid w:val="006C24FB"/>
    <w:rsid w:val="006C702B"/>
    <w:rsid w:val="006D689F"/>
    <w:rsid w:val="006E1409"/>
    <w:rsid w:val="006F1673"/>
    <w:rsid w:val="006F4592"/>
    <w:rsid w:val="006F4F46"/>
    <w:rsid w:val="00711902"/>
    <w:rsid w:val="0072196B"/>
    <w:rsid w:val="00726C15"/>
    <w:rsid w:val="00732C26"/>
    <w:rsid w:val="007341A0"/>
    <w:rsid w:val="00744BD5"/>
    <w:rsid w:val="007A014B"/>
    <w:rsid w:val="007A4958"/>
    <w:rsid w:val="007B5DBE"/>
    <w:rsid w:val="007B6C80"/>
    <w:rsid w:val="007D22B5"/>
    <w:rsid w:val="007F4C21"/>
    <w:rsid w:val="00805CA9"/>
    <w:rsid w:val="008209F8"/>
    <w:rsid w:val="008240E4"/>
    <w:rsid w:val="008257B1"/>
    <w:rsid w:val="0084527C"/>
    <w:rsid w:val="00873B0A"/>
    <w:rsid w:val="008E2D93"/>
    <w:rsid w:val="008E43E8"/>
    <w:rsid w:val="008E647B"/>
    <w:rsid w:val="008F6588"/>
    <w:rsid w:val="00997749"/>
    <w:rsid w:val="009B00ED"/>
    <w:rsid w:val="009C2007"/>
    <w:rsid w:val="009C59EE"/>
    <w:rsid w:val="009F597C"/>
    <w:rsid w:val="00A15D03"/>
    <w:rsid w:val="00A16405"/>
    <w:rsid w:val="00A82466"/>
    <w:rsid w:val="00A91E1A"/>
    <w:rsid w:val="00A93DDE"/>
    <w:rsid w:val="00AB7860"/>
    <w:rsid w:val="00AC5526"/>
    <w:rsid w:val="00B00D06"/>
    <w:rsid w:val="00B10B2E"/>
    <w:rsid w:val="00B33A94"/>
    <w:rsid w:val="00B36BCA"/>
    <w:rsid w:val="00B47C64"/>
    <w:rsid w:val="00B97B75"/>
    <w:rsid w:val="00BA0730"/>
    <w:rsid w:val="00BA7D11"/>
    <w:rsid w:val="00BD3DA1"/>
    <w:rsid w:val="00BE743C"/>
    <w:rsid w:val="00BF4FB5"/>
    <w:rsid w:val="00C0005E"/>
    <w:rsid w:val="00C00D27"/>
    <w:rsid w:val="00C376FF"/>
    <w:rsid w:val="00CE66AE"/>
    <w:rsid w:val="00D15C21"/>
    <w:rsid w:val="00D16508"/>
    <w:rsid w:val="00D35ECF"/>
    <w:rsid w:val="00D5284C"/>
    <w:rsid w:val="00D60E65"/>
    <w:rsid w:val="00D6313B"/>
    <w:rsid w:val="00D72660"/>
    <w:rsid w:val="00D81EE7"/>
    <w:rsid w:val="00D95BB9"/>
    <w:rsid w:val="00DA294F"/>
    <w:rsid w:val="00DB798C"/>
    <w:rsid w:val="00DF5915"/>
    <w:rsid w:val="00E211B3"/>
    <w:rsid w:val="00E31A72"/>
    <w:rsid w:val="00E3535F"/>
    <w:rsid w:val="00E83DDB"/>
    <w:rsid w:val="00EA0320"/>
    <w:rsid w:val="00ED3702"/>
    <w:rsid w:val="00EF3AA1"/>
    <w:rsid w:val="00F54C89"/>
    <w:rsid w:val="00F55686"/>
    <w:rsid w:val="00F5730F"/>
    <w:rsid w:val="00F8652D"/>
    <w:rsid w:val="00FA152E"/>
    <w:rsid w:val="00FA31FC"/>
    <w:rsid w:val="00FA5B86"/>
    <w:rsid w:val="00FB7ACF"/>
    <w:rsid w:val="00FC615E"/>
    <w:rsid w:val="00FE1165"/>
    <w:rsid w:val="00FF19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1842"/>
  <w15:docId w15:val="{631937FD-37C0-4260-8DE7-65B23C846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73803"/>
    <w:pPr>
      <w:spacing w:after="200" w:line="276" w:lineRule="auto"/>
    </w:pPr>
    <w:rPr>
      <w:lang w:val="en-US"/>
    </w:rPr>
  </w:style>
  <w:style w:type="paragraph" w:styleId="Antrat1">
    <w:name w:val="heading 1"/>
    <w:basedOn w:val="prastasis"/>
    <w:next w:val="prastasis"/>
    <w:link w:val="Antrat1Diagrama"/>
    <w:qFormat/>
    <w:rsid w:val="00173803"/>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173803"/>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173803"/>
    <w:pPr>
      <w:keepNext/>
      <w:spacing w:before="240" w:after="60" w:line="240" w:lineRule="auto"/>
      <w:outlineLvl w:val="2"/>
    </w:pPr>
    <w:rPr>
      <w:rFonts w:ascii="Arial" w:eastAsia="Times New Roman" w:hAnsi="Arial" w:cs="Arial"/>
      <w:b/>
      <w:bCs/>
      <w:sz w:val="26"/>
      <w:szCs w:val="26"/>
      <w:lang w:val="lt-LT"/>
    </w:rPr>
  </w:style>
  <w:style w:type="paragraph" w:styleId="Antrat4">
    <w:name w:val="heading 4"/>
    <w:basedOn w:val="prastasis"/>
    <w:next w:val="prastasis"/>
    <w:link w:val="Antrat4Diagrama"/>
    <w:qFormat/>
    <w:rsid w:val="00173803"/>
    <w:pPr>
      <w:keepNext/>
      <w:spacing w:before="240" w:after="60" w:line="240" w:lineRule="auto"/>
      <w:outlineLvl w:val="3"/>
    </w:pPr>
    <w:rPr>
      <w:rFonts w:ascii="Calibri" w:eastAsia="Times New Roman" w:hAnsi="Calibri" w:cs="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3803"/>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173803"/>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173803"/>
    <w:rPr>
      <w:rFonts w:ascii="Arial" w:eastAsia="Times New Roman" w:hAnsi="Arial" w:cs="Arial"/>
      <w:b/>
      <w:bCs/>
      <w:sz w:val="26"/>
      <w:szCs w:val="26"/>
    </w:rPr>
  </w:style>
  <w:style w:type="character" w:customStyle="1" w:styleId="Antrat4Diagrama">
    <w:name w:val="Antraštė 4 Diagrama"/>
    <w:basedOn w:val="Numatytasispastraiposriftas"/>
    <w:link w:val="Antrat4"/>
    <w:rsid w:val="00173803"/>
    <w:rPr>
      <w:rFonts w:ascii="Calibri" w:eastAsia="Times New Roman" w:hAnsi="Calibri" w:cs="Times New Roman"/>
      <w:b/>
      <w:bCs/>
      <w:sz w:val="28"/>
      <w:szCs w:val="28"/>
      <w:lang w:val="en-US"/>
    </w:rPr>
  </w:style>
  <w:style w:type="numbering" w:customStyle="1" w:styleId="NoList1">
    <w:name w:val="No List1"/>
    <w:next w:val="Sraonra"/>
    <w:uiPriority w:val="99"/>
    <w:semiHidden/>
    <w:unhideWhenUsed/>
    <w:rsid w:val="00173803"/>
  </w:style>
  <w:style w:type="character" w:styleId="Hipersaitas">
    <w:name w:val="Hyperlink"/>
    <w:uiPriority w:val="99"/>
    <w:rsid w:val="00173803"/>
    <w:rPr>
      <w:color w:val="0000FF"/>
      <w:u w:val="single"/>
    </w:rPr>
  </w:style>
  <w:style w:type="paragraph" w:styleId="prastasiniatinklio">
    <w:name w:val="Normal (Web)"/>
    <w:basedOn w:val="prastasis"/>
    <w:rsid w:val="001738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I-1labEMEASMCA">
    <w:name w:val="PI-1_lab EMEA_SMCA"/>
    <w:basedOn w:val="prastasis"/>
    <w:link w:val="PI-1labEMEASMCAChar"/>
    <w:autoRedefine/>
    <w:rsid w:val="00173803"/>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173803"/>
    <w:rPr>
      <w:rFonts w:ascii="Times New Roman" w:eastAsia="Times New Roman" w:hAnsi="Times New Roman" w:cs="Times New Roman"/>
      <w:b/>
      <w:noProof/>
    </w:rPr>
  </w:style>
  <w:style w:type="paragraph" w:styleId="Porat">
    <w:name w:val="footer"/>
    <w:basedOn w:val="prastasis"/>
    <w:link w:val="PoratDiagrama"/>
    <w:uiPriority w:val="99"/>
    <w:rsid w:val="00173803"/>
    <w:pPr>
      <w:tabs>
        <w:tab w:val="center" w:pos="4819"/>
        <w:tab w:val="right" w:pos="9071"/>
      </w:tabs>
      <w:spacing w:after="0" w:line="240" w:lineRule="auto"/>
    </w:pPr>
    <w:rPr>
      <w:rFonts w:ascii="Times New Roman" w:eastAsia="Times New Roman" w:hAnsi="Times New Roman" w:cs="Times New Roman"/>
      <w:sz w:val="24"/>
      <w:szCs w:val="20"/>
      <w:lang w:val="de-DE" w:eastAsia="de-DE"/>
    </w:rPr>
  </w:style>
  <w:style w:type="character" w:customStyle="1" w:styleId="PoratDiagrama">
    <w:name w:val="Poraštė Diagrama"/>
    <w:basedOn w:val="Numatytasispastraiposriftas"/>
    <w:link w:val="Porat"/>
    <w:uiPriority w:val="99"/>
    <w:rsid w:val="00173803"/>
    <w:rPr>
      <w:rFonts w:ascii="Times New Roman" w:eastAsia="Times New Roman" w:hAnsi="Times New Roman" w:cs="Times New Roman"/>
      <w:sz w:val="24"/>
      <w:szCs w:val="20"/>
      <w:lang w:val="de-DE" w:eastAsia="de-DE"/>
    </w:rPr>
  </w:style>
  <w:style w:type="paragraph" w:customStyle="1" w:styleId="TTEMEASMCA">
    <w:name w:val="TT EMEA_SMCA"/>
    <w:basedOn w:val="Antrat1"/>
    <w:link w:val="TTEMEASMCAChar"/>
    <w:autoRedefine/>
    <w:rsid w:val="0017380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73803"/>
    <w:rPr>
      <w:rFonts w:ascii="Times New Roman" w:eastAsia="Times New Roman" w:hAnsi="Times New Roman" w:cs="Times New Roman"/>
      <w:b/>
      <w:caps/>
      <w:lang w:val="en-US"/>
    </w:rPr>
  </w:style>
  <w:style w:type="paragraph" w:customStyle="1" w:styleId="BT-EMEASMCA">
    <w:name w:val="BT- EMEA_SMCA"/>
    <w:basedOn w:val="prastasis"/>
    <w:autoRedefine/>
    <w:rsid w:val="00173803"/>
    <w:pPr>
      <w:numPr>
        <w:numId w:val="1"/>
      </w:numPr>
      <w:tabs>
        <w:tab w:val="clear" w:pos="720"/>
        <w:tab w:val="num" w:pos="360"/>
      </w:tabs>
      <w:spacing w:after="0" w:line="240" w:lineRule="auto"/>
      <w:ind w:left="0" w:firstLine="0"/>
    </w:pPr>
    <w:rPr>
      <w:rFonts w:ascii="Times New Roman" w:eastAsia="Times New Roman" w:hAnsi="Times New Roman" w:cs="Times New Roman"/>
      <w:sz w:val="24"/>
      <w:szCs w:val="24"/>
      <w:lang w:val="lt-LT"/>
    </w:rPr>
  </w:style>
  <w:style w:type="paragraph" w:customStyle="1" w:styleId="PI-3EMEASMCA">
    <w:name w:val="PI-3 EMEA_SMCA"/>
    <w:basedOn w:val="prastasis"/>
    <w:autoRedefine/>
    <w:rsid w:val="00173803"/>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rsid w:val="00173803"/>
    <w:pPr>
      <w:spacing w:after="0" w:line="240" w:lineRule="auto"/>
    </w:pPr>
    <w:rPr>
      <w:rFonts w:ascii="Times New Roman" w:eastAsia="Times New Roman" w:hAnsi="Times New Roman" w:cs="Times New Roman"/>
      <w:b/>
      <w:sz w:val="24"/>
      <w:szCs w:val="24"/>
      <w:lang w:val="lt-LT"/>
    </w:rPr>
  </w:style>
  <w:style w:type="paragraph" w:customStyle="1" w:styleId="BTbeEMEASMCA">
    <w:name w:val="BT(be) EMEA_SMCA"/>
    <w:basedOn w:val="prastasis"/>
    <w:autoRedefine/>
    <w:rsid w:val="00173803"/>
    <w:pPr>
      <w:spacing w:after="0" w:line="240" w:lineRule="auto"/>
      <w:jc w:val="center"/>
    </w:pPr>
    <w:rPr>
      <w:rFonts w:ascii="Times New Roman" w:eastAsia="Times New Roman" w:hAnsi="Times New Roman" w:cs="Times New Roman"/>
      <w:b/>
      <w:sz w:val="24"/>
      <w:szCs w:val="24"/>
      <w:lang w:val="lt-LT"/>
    </w:rPr>
  </w:style>
  <w:style w:type="paragraph" w:customStyle="1" w:styleId="BTeEMEASMCA">
    <w:name w:val="BT(e) EMEA_SMCA"/>
    <w:basedOn w:val="prastasis"/>
    <w:autoRedefine/>
    <w:rsid w:val="00173803"/>
    <w:pPr>
      <w:spacing w:after="0" w:line="240" w:lineRule="auto"/>
      <w:jc w:val="center"/>
    </w:pPr>
    <w:rPr>
      <w:rFonts w:ascii="Times New Roman" w:eastAsia="Times New Roman" w:hAnsi="Times New Roman" w:cs="Times New Roman"/>
      <w:sz w:val="24"/>
      <w:szCs w:val="24"/>
      <w:lang w:val="lt-LT"/>
    </w:rPr>
  </w:style>
  <w:style w:type="paragraph" w:customStyle="1" w:styleId="BTgEMEASMCA">
    <w:name w:val="BT(g) EMEA_SMCA"/>
    <w:basedOn w:val="prastasis"/>
    <w:link w:val="BTgEMEASMCAChar"/>
    <w:autoRedefine/>
    <w:rsid w:val="00173803"/>
    <w:pPr>
      <w:spacing w:after="0" w:line="240" w:lineRule="auto"/>
    </w:pPr>
    <w:rPr>
      <w:rFonts w:ascii="Times New Roman" w:eastAsia="Times New Roman" w:hAnsi="Times New Roman" w:cs="Times New Roman"/>
      <w:i/>
      <w:noProof/>
      <w:color w:val="008000"/>
      <w:lang w:val="lt-LT"/>
    </w:rPr>
  </w:style>
  <w:style w:type="character" w:customStyle="1" w:styleId="BTEMEASMCAChar">
    <w:name w:val="BT EMEA_SMCA Char"/>
    <w:rsid w:val="00173803"/>
    <w:rPr>
      <w:noProof/>
      <w:sz w:val="22"/>
      <w:szCs w:val="22"/>
    </w:rPr>
  </w:style>
  <w:style w:type="character" w:customStyle="1" w:styleId="BTgEMEASMCAChar">
    <w:name w:val="BT(g) EMEA_SMCA Char"/>
    <w:link w:val="BTgEMEASMCA"/>
    <w:rsid w:val="00173803"/>
    <w:rPr>
      <w:rFonts w:ascii="Times New Roman" w:eastAsia="Times New Roman" w:hAnsi="Times New Roman" w:cs="Times New Roman"/>
      <w:i/>
      <w:noProof/>
      <w:color w:val="008000"/>
    </w:rPr>
  </w:style>
  <w:style w:type="paragraph" w:customStyle="1" w:styleId="BTuEMEASMCA">
    <w:name w:val="BT(u) EMEA_SMCA"/>
    <w:basedOn w:val="prastasis"/>
    <w:autoRedefine/>
    <w:rsid w:val="00173803"/>
    <w:pPr>
      <w:spacing w:after="0" w:line="240" w:lineRule="auto"/>
    </w:pPr>
    <w:rPr>
      <w:rFonts w:ascii="Times New Roman" w:eastAsia="Times New Roman" w:hAnsi="Times New Roman" w:cs="Times New Roman"/>
      <w:sz w:val="24"/>
      <w:szCs w:val="24"/>
      <w:u w:val="single"/>
      <w:lang w:val="lt-LT"/>
    </w:rPr>
  </w:style>
  <w:style w:type="paragraph" w:styleId="Debesliotekstas">
    <w:name w:val="Balloon Text"/>
    <w:basedOn w:val="prastasis"/>
    <w:link w:val="DebesliotekstasDiagrama"/>
    <w:semiHidden/>
    <w:rsid w:val="00173803"/>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173803"/>
    <w:rPr>
      <w:rFonts w:ascii="Tahoma" w:eastAsia="Times New Roman" w:hAnsi="Tahoma" w:cs="Tahoma"/>
      <w:sz w:val="16"/>
      <w:szCs w:val="16"/>
    </w:rPr>
  </w:style>
  <w:style w:type="paragraph" w:styleId="Dokumentostruktra">
    <w:name w:val="Document Map"/>
    <w:basedOn w:val="prastasis"/>
    <w:link w:val="DokumentostruktraDiagrama"/>
    <w:semiHidden/>
    <w:rsid w:val="00173803"/>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173803"/>
    <w:rPr>
      <w:rFonts w:ascii="Tahoma" w:eastAsia="Times New Roman" w:hAnsi="Tahoma" w:cs="Tahoma"/>
      <w:sz w:val="20"/>
      <w:szCs w:val="20"/>
      <w:shd w:val="clear" w:color="auto" w:fill="000080"/>
    </w:rPr>
  </w:style>
  <w:style w:type="character" w:customStyle="1" w:styleId="shorttext">
    <w:name w:val="short_text"/>
    <w:basedOn w:val="Numatytasispastraiposriftas"/>
    <w:rsid w:val="00173803"/>
  </w:style>
  <w:style w:type="character" w:customStyle="1" w:styleId="hps">
    <w:name w:val="hps"/>
    <w:basedOn w:val="Numatytasispastraiposriftas"/>
    <w:rsid w:val="00173803"/>
  </w:style>
  <w:style w:type="character" w:customStyle="1" w:styleId="hpsatn">
    <w:name w:val="hps atn"/>
    <w:basedOn w:val="Numatytasispastraiposriftas"/>
    <w:rsid w:val="00173803"/>
  </w:style>
  <w:style w:type="character" w:customStyle="1" w:styleId="hpsalt-edited">
    <w:name w:val="hps alt-edited"/>
    <w:basedOn w:val="Numatytasispastraiposriftas"/>
    <w:rsid w:val="00173803"/>
  </w:style>
  <w:style w:type="character" w:customStyle="1" w:styleId="atn">
    <w:name w:val="atn"/>
    <w:basedOn w:val="Numatytasispastraiposriftas"/>
    <w:rsid w:val="00173803"/>
  </w:style>
  <w:style w:type="character" w:customStyle="1" w:styleId="alt-edited">
    <w:name w:val="alt-edited"/>
    <w:basedOn w:val="Numatytasispastraiposriftas"/>
    <w:rsid w:val="00173803"/>
  </w:style>
  <w:style w:type="table" w:styleId="Lentelstinklelis">
    <w:name w:val="Table Grid"/>
    <w:basedOn w:val="prastojilentel"/>
    <w:rsid w:val="0017380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380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Komentaronuoroda">
    <w:name w:val="annotation reference"/>
    <w:rsid w:val="00173803"/>
    <w:rPr>
      <w:sz w:val="16"/>
      <w:szCs w:val="16"/>
    </w:rPr>
  </w:style>
  <w:style w:type="paragraph" w:styleId="Komentarotekstas">
    <w:name w:val="annotation text"/>
    <w:basedOn w:val="prastasis"/>
    <w:link w:val="KomentarotekstasDiagrama"/>
    <w:rsid w:val="00173803"/>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17380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rsid w:val="00173803"/>
    <w:rPr>
      <w:b/>
      <w:bCs/>
    </w:rPr>
  </w:style>
  <w:style w:type="character" w:customStyle="1" w:styleId="KomentarotemaDiagrama">
    <w:name w:val="Komentaro tema Diagrama"/>
    <w:basedOn w:val="KomentarotekstasDiagrama"/>
    <w:link w:val="Komentarotema"/>
    <w:rsid w:val="00173803"/>
    <w:rPr>
      <w:rFonts w:ascii="Times New Roman" w:eastAsia="Times New Roman" w:hAnsi="Times New Roman" w:cs="Times New Roman"/>
      <w:b/>
      <w:bCs/>
      <w:sz w:val="20"/>
      <w:szCs w:val="20"/>
      <w:lang w:val="en-US"/>
    </w:rPr>
  </w:style>
  <w:style w:type="paragraph" w:styleId="Paprastasistekstas">
    <w:name w:val="Plain Text"/>
    <w:basedOn w:val="prastasis"/>
    <w:link w:val="PaprastasistekstasDiagrama"/>
    <w:uiPriority w:val="99"/>
    <w:unhideWhenUsed/>
    <w:rsid w:val="00173803"/>
    <w:pPr>
      <w:spacing w:after="0" w:line="240" w:lineRule="auto"/>
    </w:pPr>
    <w:rPr>
      <w:rFonts w:ascii="Calibri" w:eastAsia="Calibri" w:hAnsi="Calibri" w:cs="Times New Roman"/>
      <w:szCs w:val="21"/>
    </w:rPr>
  </w:style>
  <w:style w:type="character" w:customStyle="1" w:styleId="PaprastasistekstasDiagrama">
    <w:name w:val="Paprastasis tekstas Diagrama"/>
    <w:basedOn w:val="Numatytasispastraiposriftas"/>
    <w:link w:val="Paprastasistekstas"/>
    <w:uiPriority w:val="99"/>
    <w:rsid w:val="00173803"/>
    <w:rPr>
      <w:rFonts w:ascii="Calibri" w:eastAsia="Calibri" w:hAnsi="Calibri" w:cs="Times New Roman"/>
      <w:szCs w:val="21"/>
      <w:lang w:val="en-US"/>
    </w:rPr>
  </w:style>
  <w:style w:type="character" w:styleId="Emfaz">
    <w:name w:val="Emphasis"/>
    <w:uiPriority w:val="20"/>
    <w:qFormat/>
    <w:rsid w:val="00173803"/>
    <w:rPr>
      <w:i/>
      <w:iCs/>
    </w:rPr>
  </w:style>
  <w:style w:type="paragraph" w:styleId="Antrats">
    <w:name w:val="header"/>
    <w:basedOn w:val="prastasis"/>
    <w:link w:val="AntratsDiagrama"/>
    <w:rsid w:val="00173803"/>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rsid w:val="00173803"/>
    <w:rPr>
      <w:rFonts w:ascii="Times New Roman" w:eastAsia="Times New Roman" w:hAnsi="Times New Roman" w:cs="Times New Roman"/>
      <w:sz w:val="24"/>
      <w:szCs w:val="24"/>
    </w:rPr>
  </w:style>
  <w:style w:type="paragraph" w:styleId="Pagrindinistekstas">
    <w:name w:val="Body Text"/>
    <w:basedOn w:val="prastasis"/>
    <w:link w:val="PagrindinistekstasDiagrama"/>
    <w:semiHidden/>
    <w:unhideWhenUsed/>
    <w:rsid w:val="00173803"/>
    <w:pPr>
      <w:spacing w:after="120" w:line="240" w:lineRule="auto"/>
    </w:pPr>
    <w:rPr>
      <w:rFonts w:ascii="Times New Roman" w:eastAsia="Times New Roman" w:hAnsi="Times New Roman" w:cs="Times New Roman"/>
      <w:sz w:val="20"/>
      <w:szCs w:val="20"/>
      <w:lang w:val="lt-LT" w:eastAsia="lt-LT"/>
    </w:rPr>
  </w:style>
  <w:style w:type="character" w:customStyle="1" w:styleId="PagrindinistekstasDiagrama">
    <w:name w:val="Pagrindinis tekstas Diagrama"/>
    <w:basedOn w:val="Numatytasispastraiposriftas"/>
    <w:link w:val="Pagrindinistekstas"/>
    <w:semiHidden/>
    <w:rsid w:val="00173803"/>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173803"/>
    <w:pPr>
      <w:spacing w:after="0" w:line="240" w:lineRule="auto"/>
      <w:ind w:left="720"/>
      <w:contextualSpacing/>
    </w:pPr>
    <w:rPr>
      <w:rFonts w:ascii="Times New Roman" w:eastAsia="Times New Roman" w:hAnsi="Times New Roman" w:cs="Times New Roman"/>
      <w:sz w:val="24"/>
      <w:szCs w:val="24"/>
      <w:lang w:val="lt-LT"/>
    </w:rPr>
  </w:style>
  <w:style w:type="paragraph" w:styleId="Pataisymai">
    <w:name w:val="Revision"/>
    <w:hidden/>
    <w:uiPriority w:val="99"/>
    <w:semiHidden/>
    <w:rsid w:val="00092EE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34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image" Target="media/image3.png"/><Relationship Id="rId18" Type="http://schemas.openxmlformats.org/officeDocument/2006/relationships/hyperlink" Target="https://vapris.vvkt.lt/vvkt-web/public/nrv"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emf"/><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mailto:NepageidaujamaR@vvkt.lt" TargetMode="External"/><Relationship Id="rId19" Type="http://schemas.openxmlformats.org/officeDocument/2006/relationships/hyperlink" Target="https://www.vvkt.lt/index.php?4004286486" TargetMode="Externa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5A28-63EA-4F11-8B9D-9D927409B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89708</Words>
  <Characters>51134</Characters>
  <Application>Microsoft Office Word</Application>
  <DocSecurity>0</DocSecurity>
  <Lines>426</Lines>
  <Paragraphs>281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Grindeks</Company>
  <LinksUpToDate>false</LinksUpToDate>
  <CharactersWithSpaces>140561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Sadauskienė</dc:creator>
  <cp:lastModifiedBy>Albina Burkauskaitė</cp:lastModifiedBy>
  <cp:revision>3</cp:revision>
  <dcterms:created xsi:type="dcterms:W3CDTF">2024-11-04T14:07:00Z</dcterms:created>
  <dcterms:modified xsi:type="dcterms:W3CDTF">2024-11-04T14:08:00Z</dcterms:modified>
</cp:coreProperties>
</file>