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73" w:rsidRPr="00F45E7D" w:rsidRDefault="00E65073" w:rsidP="00E65073">
      <w:pPr>
        <w:widowControl w:val="0"/>
        <w:jc w:val="center"/>
        <w:outlineLvl w:val="1"/>
        <w:rPr>
          <w:b/>
        </w:rPr>
      </w:pPr>
      <w:r w:rsidRPr="00F45E7D">
        <w:rPr>
          <w:b/>
        </w:rPr>
        <w:t>Pakuotės lapelis: informacija vartotojui</w:t>
      </w:r>
    </w:p>
    <w:p w:rsidR="00E65073" w:rsidRPr="00F45E7D" w:rsidRDefault="00E65073" w:rsidP="00E65073">
      <w:pPr>
        <w:widowControl w:val="0"/>
        <w:numPr>
          <w:ilvl w:val="12"/>
          <w:numId w:val="0"/>
        </w:numPr>
        <w:shd w:val="clear" w:color="auto" w:fill="FFFFFF"/>
        <w:jc w:val="center"/>
      </w:pPr>
    </w:p>
    <w:p w:rsidR="00E65073" w:rsidRPr="00F45E7D" w:rsidRDefault="00E65073" w:rsidP="00E65073">
      <w:pPr>
        <w:widowControl w:val="0"/>
        <w:jc w:val="center"/>
        <w:rPr>
          <w:b/>
        </w:rPr>
      </w:pPr>
      <w:r w:rsidRPr="00F45E7D">
        <w:rPr>
          <w:b/>
        </w:rPr>
        <w:t>Septanazal 0</w:t>
      </w:r>
      <w:proofErr w:type="gramStart"/>
      <w:r w:rsidRPr="00F45E7D">
        <w:rPr>
          <w:b/>
        </w:rPr>
        <w:t>,5</w:t>
      </w:r>
      <w:proofErr w:type="gramEnd"/>
      <w:r w:rsidRPr="00F45E7D">
        <w:rPr>
          <w:b/>
        </w:rPr>
        <w:t> mg/50 mg/ml nosies purškalas (tirpalas), vaikams</w:t>
      </w:r>
    </w:p>
    <w:p w:rsidR="00E65073" w:rsidRPr="00F45E7D" w:rsidRDefault="00E65073" w:rsidP="00E65073">
      <w:pPr>
        <w:widowControl w:val="0"/>
        <w:numPr>
          <w:ilvl w:val="12"/>
          <w:numId w:val="0"/>
        </w:numPr>
        <w:jc w:val="center"/>
      </w:pPr>
      <w:proofErr w:type="gramStart"/>
      <w:r w:rsidRPr="00F45E7D">
        <w:t>ksilometazolino</w:t>
      </w:r>
      <w:proofErr w:type="gramEnd"/>
      <w:r w:rsidRPr="00F45E7D">
        <w:t xml:space="preserve"> hidrochloridas / dekspantenolis</w:t>
      </w:r>
    </w:p>
    <w:p w:rsidR="00E65073" w:rsidRPr="00F45E7D" w:rsidRDefault="00E65073" w:rsidP="00E65073">
      <w:pPr>
        <w:suppressAutoHyphens/>
        <w:ind w:left="142" w:hanging="142"/>
        <w:rPr>
          <w:b/>
        </w:rPr>
      </w:pPr>
    </w:p>
    <w:p w:rsidR="00E65073" w:rsidRPr="00F45E7D" w:rsidRDefault="00E65073" w:rsidP="00E65073">
      <w:pPr>
        <w:widowControl w:val="0"/>
        <w:numPr>
          <w:ilvl w:val="12"/>
          <w:numId w:val="0"/>
        </w:numPr>
        <w:ind w:right="-2"/>
        <w:rPr>
          <w:b/>
        </w:rPr>
      </w:pPr>
      <w:r w:rsidRPr="00F45E7D">
        <w:rPr>
          <w:b/>
        </w:rPr>
        <w:t>Atidžiai perskaitykite visą šį lapelį, prieš pradėdami vartoti šį vaistą, nes jame pateikiama Jums svarbi informacija.</w:t>
      </w:r>
    </w:p>
    <w:p w:rsidR="00E65073" w:rsidRPr="00F45E7D" w:rsidRDefault="00E65073" w:rsidP="00E65073">
      <w:pPr>
        <w:widowControl w:val="0"/>
        <w:numPr>
          <w:ilvl w:val="12"/>
          <w:numId w:val="0"/>
        </w:numPr>
      </w:pPr>
      <w:r w:rsidRPr="00F45E7D">
        <w:t>Visada vartokite šį vaistą tiksliai kaip aprašyta šiame lapelyje arba kaip nurodė gydytojas arba vaistininkas.</w:t>
      </w:r>
    </w:p>
    <w:p w:rsidR="00E65073" w:rsidRPr="00F45E7D" w:rsidRDefault="00E65073" w:rsidP="00E65073">
      <w:pPr>
        <w:widowControl w:val="0"/>
        <w:numPr>
          <w:ilvl w:val="0"/>
          <w:numId w:val="1"/>
        </w:numPr>
        <w:spacing w:line="240" w:lineRule="auto"/>
        <w:ind w:left="567" w:hanging="567"/>
      </w:pPr>
      <w:r w:rsidRPr="00F45E7D">
        <w:t>Neišmeskite šio lapelio, nes vėl gali prireikti jį perskaityti.</w:t>
      </w:r>
    </w:p>
    <w:p w:rsidR="00E65073" w:rsidRPr="00F45E7D" w:rsidRDefault="00E65073" w:rsidP="00E65073">
      <w:pPr>
        <w:widowControl w:val="0"/>
        <w:numPr>
          <w:ilvl w:val="0"/>
          <w:numId w:val="1"/>
        </w:numPr>
        <w:spacing w:line="240" w:lineRule="auto"/>
        <w:ind w:left="567" w:hanging="567"/>
      </w:pPr>
      <w:r w:rsidRPr="00F45E7D">
        <w:t>Jeigu norite sužinoti daugiau arba pasitarti, kreipkitės į vaistininką.</w:t>
      </w:r>
    </w:p>
    <w:p w:rsidR="00E65073" w:rsidRPr="00F45E7D" w:rsidRDefault="00E65073" w:rsidP="00E65073">
      <w:pPr>
        <w:widowControl w:val="0"/>
        <w:numPr>
          <w:ilvl w:val="0"/>
          <w:numId w:val="1"/>
        </w:numPr>
        <w:spacing w:line="240" w:lineRule="auto"/>
        <w:ind w:left="567" w:hanging="567"/>
      </w:pPr>
      <w:r w:rsidRPr="00F45E7D">
        <w:t>Jeigu pasireiškė šalutinis poveikis (net jeigu jis šiame lapelyje nenurodytas), kreipkitės į gydytoją arba vaistininką. Žr. 4 skyrių.</w:t>
      </w:r>
    </w:p>
    <w:p w:rsidR="00E65073" w:rsidRPr="00F45E7D" w:rsidRDefault="00E65073" w:rsidP="00E65073">
      <w:pPr>
        <w:widowControl w:val="0"/>
        <w:numPr>
          <w:ilvl w:val="0"/>
          <w:numId w:val="1"/>
        </w:numPr>
        <w:spacing w:line="240" w:lineRule="auto"/>
        <w:ind w:left="567" w:hanging="567"/>
      </w:pPr>
      <w:r w:rsidRPr="00F45E7D">
        <w:t xml:space="preserve">Jeigu per </w:t>
      </w:r>
      <w:proofErr w:type="gramStart"/>
      <w:r w:rsidRPr="00F45E7D">
        <w:t>3</w:t>
      </w:r>
      <w:proofErr w:type="gramEnd"/>
      <w:r w:rsidRPr="00F45E7D">
        <w:t> dienas Jūsų savijauta nepagerėjo arba net pablogėjo, kreipkitės į gydytoją.</w:t>
      </w:r>
    </w:p>
    <w:p w:rsidR="00E65073" w:rsidRPr="00F45E7D" w:rsidRDefault="00E65073" w:rsidP="00E65073">
      <w:pPr>
        <w:widowControl w:val="0"/>
        <w:ind w:right="-2"/>
      </w:pPr>
    </w:p>
    <w:p w:rsidR="00E65073" w:rsidRPr="00F45E7D" w:rsidRDefault="00E65073" w:rsidP="00E65073">
      <w:pPr>
        <w:widowControl w:val="0"/>
        <w:jc w:val="both"/>
        <w:outlineLvl w:val="3"/>
        <w:rPr>
          <w:b/>
        </w:rPr>
      </w:pPr>
      <w:r w:rsidRPr="00F45E7D">
        <w:rPr>
          <w:b/>
        </w:rPr>
        <w:t>Apie ką rašoma šiame lapelyje?</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left="567" w:right="-2" w:hanging="567"/>
      </w:pPr>
      <w:r w:rsidRPr="00F45E7D">
        <w:t>1.</w:t>
      </w:r>
      <w:r w:rsidRPr="00F45E7D">
        <w:tab/>
        <w:t>Kas yra Septanazal vaikams ir kam jis vartojamas</w:t>
      </w:r>
    </w:p>
    <w:p w:rsidR="00E65073" w:rsidRPr="00F45E7D" w:rsidRDefault="00E65073" w:rsidP="00E65073">
      <w:pPr>
        <w:widowControl w:val="0"/>
        <w:numPr>
          <w:ilvl w:val="12"/>
          <w:numId w:val="0"/>
        </w:numPr>
        <w:ind w:left="567" w:right="-2" w:hanging="567"/>
      </w:pPr>
      <w:r w:rsidRPr="00F45E7D">
        <w:t>2.</w:t>
      </w:r>
      <w:r w:rsidRPr="00F45E7D">
        <w:tab/>
        <w:t>Kas žinotina prieš vartojant Septanazal vaikams</w:t>
      </w:r>
    </w:p>
    <w:p w:rsidR="00E65073" w:rsidRPr="00F45E7D" w:rsidRDefault="00E65073" w:rsidP="00E65073">
      <w:pPr>
        <w:widowControl w:val="0"/>
        <w:numPr>
          <w:ilvl w:val="12"/>
          <w:numId w:val="0"/>
        </w:numPr>
        <w:ind w:left="567" w:right="-2" w:hanging="567"/>
      </w:pPr>
      <w:r w:rsidRPr="00F45E7D">
        <w:t>3.</w:t>
      </w:r>
      <w:r w:rsidRPr="00F45E7D">
        <w:tab/>
        <w:t>Kaip vartoti Septanazal vaikams</w:t>
      </w:r>
    </w:p>
    <w:p w:rsidR="00E65073" w:rsidRPr="00F45E7D" w:rsidRDefault="00E65073" w:rsidP="00E65073">
      <w:pPr>
        <w:widowControl w:val="0"/>
        <w:numPr>
          <w:ilvl w:val="12"/>
          <w:numId w:val="0"/>
        </w:numPr>
        <w:ind w:left="567" w:right="-2" w:hanging="567"/>
      </w:pPr>
      <w:r w:rsidRPr="00F45E7D">
        <w:t>4.</w:t>
      </w:r>
      <w:r w:rsidRPr="00F45E7D">
        <w:tab/>
        <w:t>Galimas šalutinis poveikis</w:t>
      </w:r>
    </w:p>
    <w:p w:rsidR="00E65073" w:rsidRPr="00F45E7D" w:rsidRDefault="00E65073" w:rsidP="00E65073">
      <w:pPr>
        <w:widowControl w:val="0"/>
        <w:numPr>
          <w:ilvl w:val="12"/>
          <w:numId w:val="0"/>
        </w:numPr>
        <w:tabs>
          <w:tab w:val="left" w:pos="709"/>
        </w:tabs>
        <w:ind w:left="567" w:right="-2" w:hanging="567"/>
      </w:pPr>
      <w:r w:rsidRPr="00F45E7D">
        <w:t>5.</w:t>
      </w:r>
      <w:r w:rsidRPr="00F45E7D">
        <w:tab/>
        <w:t xml:space="preserve">Kaip laikyti Septanazal </w:t>
      </w:r>
      <w:bookmarkStart w:id="0" w:name="OLE_LINK4"/>
      <w:bookmarkStart w:id="1" w:name="OLE_LINK5"/>
      <w:r w:rsidRPr="00F45E7D">
        <w:t>vaikams</w:t>
      </w:r>
      <w:bookmarkEnd w:id="0"/>
      <w:bookmarkEnd w:id="1"/>
    </w:p>
    <w:p w:rsidR="00E65073" w:rsidRPr="00F45E7D" w:rsidRDefault="00E65073" w:rsidP="00E65073">
      <w:pPr>
        <w:widowControl w:val="0"/>
        <w:numPr>
          <w:ilvl w:val="12"/>
          <w:numId w:val="0"/>
        </w:numPr>
        <w:ind w:left="567" w:right="-2" w:hanging="567"/>
      </w:pPr>
      <w:r w:rsidRPr="00F45E7D">
        <w:t>6.</w:t>
      </w:r>
      <w:r w:rsidRPr="00F45E7D">
        <w:tab/>
        <w:t>Pakuotės turinys ir kita informacija</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1.</w:t>
      </w:r>
      <w:r w:rsidRPr="00F45E7D">
        <w:rPr>
          <w:b/>
        </w:rPr>
        <w:tab/>
        <w:t>Kas yra Septanazal vaikams ir kam jis vartojamas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pPr>
      <w:r w:rsidRPr="00F45E7D">
        <w:t>Septanazal vaikams nosies purškale yra veikliųjų medžiagų ksilometazolino hidrochlorido ir dekspantenolio.</w:t>
      </w:r>
    </w:p>
    <w:p w:rsidR="00E65073" w:rsidRPr="00F45E7D" w:rsidRDefault="00E65073" w:rsidP="00E65073">
      <w:pPr>
        <w:widowControl w:val="0"/>
        <w:numPr>
          <w:ilvl w:val="12"/>
          <w:numId w:val="0"/>
        </w:numPr>
      </w:pPr>
      <w:r w:rsidRPr="00F45E7D">
        <w:t xml:space="preserve">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w:t>
      </w:r>
      <w:proofErr w:type="gramStart"/>
      <w:r w:rsidRPr="00F45E7D">
        <w:t>ją</w:t>
      </w:r>
      <w:proofErr w:type="gramEnd"/>
      <w:r w:rsidRPr="00F45E7D">
        <w:t xml:space="preserve"> apsaugantis.</w:t>
      </w:r>
    </w:p>
    <w:p w:rsidR="00E65073" w:rsidRPr="00F45E7D" w:rsidRDefault="00E65073" w:rsidP="00E65073">
      <w:pPr>
        <w:widowControl w:val="0"/>
        <w:numPr>
          <w:ilvl w:val="12"/>
          <w:numId w:val="0"/>
        </w:numPr>
      </w:pPr>
    </w:p>
    <w:p w:rsidR="00E65073" w:rsidRPr="00F45E7D" w:rsidRDefault="00E65073" w:rsidP="00E65073">
      <w:pPr>
        <w:widowControl w:val="0"/>
        <w:autoSpaceDE w:val="0"/>
        <w:autoSpaceDN w:val="0"/>
        <w:adjustRightInd w:val="0"/>
        <w:rPr>
          <w:i/>
        </w:rPr>
      </w:pPr>
      <w:r w:rsidRPr="00F45E7D">
        <w:t>Septanazal vaikams vartojamas:</w:t>
      </w:r>
    </w:p>
    <w:p w:rsidR="00E65073" w:rsidRPr="00F45E7D" w:rsidRDefault="00E65073" w:rsidP="00E65073">
      <w:pPr>
        <w:widowControl w:val="0"/>
        <w:numPr>
          <w:ilvl w:val="0"/>
          <w:numId w:val="2"/>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E65073" w:rsidRPr="00F45E7D" w:rsidRDefault="00E65073" w:rsidP="00E65073">
      <w:pPr>
        <w:widowControl w:val="0"/>
        <w:numPr>
          <w:ilvl w:val="0"/>
          <w:numId w:val="2"/>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E65073" w:rsidRPr="00F45E7D" w:rsidRDefault="00E65073" w:rsidP="00E65073">
      <w:pPr>
        <w:widowControl w:val="0"/>
        <w:numPr>
          <w:ilvl w:val="0"/>
          <w:numId w:val="2"/>
        </w:numPr>
        <w:tabs>
          <w:tab w:val="clear" w:pos="567"/>
        </w:tabs>
        <w:kinsoku w:val="0"/>
        <w:overflowPunct w:val="0"/>
        <w:spacing w:line="240" w:lineRule="auto"/>
        <w:ind w:left="567" w:hanging="567"/>
        <w:textAlignment w:val="baseline"/>
      </w:pPr>
      <w:proofErr w:type="gramStart"/>
      <w:r w:rsidRPr="00F45E7D">
        <w:t>kvėpavimo</w:t>
      </w:r>
      <w:proofErr w:type="gramEnd"/>
      <w:r w:rsidRPr="00F45E7D">
        <w:t xml:space="preserve"> pro nosį pasunkėjimui po nosies operacijos šalinti.</w:t>
      </w:r>
    </w:p>
    <w:p w:rsidR="00E65073" w:rsidRPr="00F45E7D" w:rsidRDefault="00E65073" w:rsidP="00E65073">
      <w:pPr>
        <w:widowControl w:val="0"/>
        <w:numPr>
          <w:ilvl w:val="12"/>
          <w:numId w:val="0"/>
        </w:numPr>
      </w:pPr>
    </w:p>
    <w:p w:rsidR="00E65073" w:rsidRPr="00F45E7D" w:rsidRDefault="00E65073" w:rsidP="00E65073">
      <w:pPr>
        <w:widowControl w:val="0"/>
      </w:pPr>
      <w:r w:rsidRPr="00F45E7D">
        <w:t>Šis vaistas skirtas vartoti 2</w:t>
      </w:r>
      <w:r w:rsidRPr="00F45E7D">
        <w:noBreakHyphen/>
        <w:t>6 metų vaikams.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2.</w:t>
      </w:r>
      <w:r w:rsidRPr="00F45E7D">
        <w:rPr>
          <w:b/>
        </w:rPr>
        <w:tab/>
        <w:t>Kas žinotina prieš vartojant Septanazal vaikams</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 xml:space="preserve">Septanazal vaikams vartoti </w:t>
      </w:r>
      <w:r>
        <w:rPr>
          <w:b/>
          <w:bCs/>
          <w:snapToGrid w:val="0"/>
          <w:lang w:eastAsia="x-none"/>
        </w:rPr>
        <w:t>draudžiama</w:t>
      </w:r>
      <w:r w:rsidRPr="00F45E7D">
        <w:rPr>
          <w:b/>
        </w:rPr>
        <w:t>:</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vaikui yra alergija ksilometazolino hidrochloridui, dekspantenoliui arba bet kuriai pagalbinei šio vaisto medžiagai (jos išvardytos 6 skyriuje);</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vaikui yra sausasis nosies gleivinės uždegimas ir atsiranda šašų (sausasis rinitas);</w:t>
      </w:r>
    </w:p>
    <w:p w:rsidR="00E65073" w:rsidRPr="00F45E7D" w:rsidRDefault="00E65073" w:rsidP="00E65073">
      <w:pPr>
        <w:widowControl w:val="0"/>
        <w:numPr>
          <w:ilvl w:val="0"/>
          <w:numId w:val="4"/>
        </w:numPr>
        <w:tabs>
          <w:tab w:val="clear" w:pos="567"/>
        </w:tabs>
        <w:spacing w:line="240" w:lineRule="auto"/>
        <w:ind w:left="567" w:hanging="567"/>
      </w:pPr>
      <w:proofErr w:type="gramStart"/>
      <w:r w:rsidRPr="00F45E7D">
        <w:t>jeigu</w:t>
      </w:r>
      <w:proofErr w:type="gramEnd"/>
      <w:r w:rsidRPr="00F45E7D">
        <w:t xml:space="preserve"> Jūsų vaikui buvo chirurginiu būdu pašalinta posmegininė liauka arba buvo atlikta kita operacija, susijusi su smegenų dangalais.</w:t>
      </w:r>
    </w:p>
    <w:p w:rsidR="00E65073" w:rsidRPr="00F45E7D" w:rsidRDefault="00E65073" w:rsidP="00E65073">
      <w:pPr>
        <w:widowControl w:val="0"/>
      </w:pPr>
      <w:r w:rsidRPr="00F45E7D">
        <w:t xml:space="preserve">Šio vaisto </w:t>
      </w:r>
      <w:r>
        <w:rPr>
          <w:lang w:eastAsia="zh-CN" w:bidi="lo-LA"/>
        </w:rPr>
        <w:t>draudžiama</w:t>
      </w:r>
      <w:r w:rsidRPr="00F45E7D">
        <w:t xml:space="preserve"> vartoti jaunesniems kaip 2 metų vaikams.</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pPr>
      <w:r w:rsidRPr="00F45E7D">
        <w:rPr>
          <w:b/>
        </w:rPr>
        <w:t>Įspėjimai ir atsargumo priemonės</w:t>
      </w:r>
    </w:p>
    <w:p w:rsidR="00E65073" w:rsidRPr="00F45E7D" w:rsidRDefault="00E65073" w:rsidP="00E65073">
      <w:pPr>
        <w:widowControl w:val="0"/>
        <w:numPr>
          <w:ilvl w:val="12"/>
          <w:numId w:val="0"/>
        </w:numPr>
        <w:ind w:right="-2"/>
      </w:pPr>
      <w:r w:rsidRPr="00F45E7D">
        <w:t>Pasitarkite su gydytoju arba vaistininku, prieš pradėdami vartoti Septanazal vaikams:</w:t>
      </w:r>
    </w:p>
    <w:p w:rsidR="00E65073" w:rsidRPr="00F45E7D" w:rsidRDefault="00E65073" w:rsidP="00E65073">
      <w:pPr>
        <w:widowControl w:val="0"/>
        <w:numPr>
          <w:ilvl w:val="0"/>
          <w:numId w:val="4"/>
        </w:numPr>
        <w:tabs>
          <w:tab w:val="clear" w:pos="567"/>
        </w:tabs>
        <w:spacing w:line="240" w:lineRule="auto"/>
        <w:ind w:left="567" w:hanging="567"/>
      </w:pPr>
      <w:r w:rsidRPr="00F45E7D">
        <w:t xml:space="preserve">jeigu Jūsų vaikas vartoja monoamino oksidazės inhibitorių (MAOI) ar kitokių kraujospūdį </w:t>
      </w:r>
      <w:r w:rsidRPr="00F45E7D">
        <w:lastRenderedPageBreak/>
        <w:t>didinti galinčių vaistų;</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vaiko akispūdis padidėjęs (yra glaukoma), ypač jei yra uždaro kampo glaukoma;</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vaikas serga sunkia širdies ir kraujagyslių sistemos liga (pvz., išemine širdies liga, didelio kraujospūdžio liga ar ilgo QT intervalo sindromas);</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vaikui yra antinksčių šerdinės dalies navikas (feochromocitoma);</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vaikas serga medžiagų apykaitos liga (pvz., yra skydliaukės aktyvumo padidėjimas, pasireiškiantis smarkiu prakaitavimu, kūno temperatūros padidėjimu ir širdies plakimo padažnėjimu, arba serga cukriniu diabetu);</w:t>
      </w:r>
    </w:p>
    <w:p w:rsidR="00E65073" w:rsidRPr="00F45E7D" w:rsidRDefault="00E65073" w:rsidP="00E65073">
      <w:pPr>
        <w:widowControl w:val="0"/>
        <w:numPr>
          <w:ilvl w:val="0"/>
          <w:numId w:val="4"/>
        </w:numPr>
        <w:tabs>
          <w:tab w:val="clear" w:pos="567"/>
        </w:tabs>
        <w:spacing w:line="240" w:lineRule="auto"/>
        <w:ind w:left="567" w:hanging="567"/>
      </w:pPr>
      <w:r w:rsidRPr="00F45E7D">
        <w:t>jeigu Jūsų vaikui yra medžiagų apykaitos sutrikimas, vadinamas porfirija;</w:t>
      </w:r>
    </w:p>
    <w:p w:rsidR="00E65073" w:rsidRPr="00F45E7D" w:rsidRDefault="00E65073" w:rsidP="00E65073">
      <w:pPr>
        <w:widowControl w:val="0"/>
        <w:numPr>
          <w:ilvl w:val="0"/>
          <w:numId w:val="4"/>
        </w:numPr>
        <w:tabs>
          <w:tab w:val="clear" w:pos="567"/>
        </w:tabs>
        <w:spacing w:line="240" w:lineRule="auto"/>
        <w:ind w:left="567" w:hanging="567"/>
      </w:pPr>
      <w:proofErr w:type="gramStart"/>
      <w:r w:rsidRPr="00F45E7D">
        <w:t>jeigu</w:t>
      </w:r>
      <w:proofErr w:type="gramEnd"/>
      <w:r w:rsidRPr="00F45E7D">
        <w:t xml:space="preserve"> Jūsų vaiko prostata yra padidėjusi.</w:t>
      </w:r>
    </w:p>
    <w:p w:rsidR="00E65073" w:rsidRPr="00F45E7D" w:rsidRDefault="00E65073" w:rsidP="00E65073">
      <w:pPr>
        <w:widowControl w:val="0"/>
        <w:kinsoku w:val="0"/>
        <w:overflowPunct w:val="0"/>
        <w:textAlignment w:val="baseline"/>
      </w:pPr>
    </w:p>
    <w:p w:rsidR="00E65073" w:rsidRPr="00F45E7D" w:rsidRDefault="00E65073" w:rsidP="00E65073">
      <w:pPr>
        <w:widowControl w:val="0"/>
        <w:kinsoku w:val="0"/>
        <w:overflowPunct w:val="0"/>
        <w:textAlignment w:val="baseline"/>
      </w:pPr>
      <w:r w:rsidRPr="00F45E7D">
        <w:t>Šio vaisto vartoti sergant lėtiniu rinitu galima tik prižiūrint medikui ir atsižvelgiant į nosies gleivinės atrofijos riziką.</w:t>
      </w:r>
    </w:p>
    <w:p w:rsidR="00E65073" w:rsidRPr="00F45E7D" w:rsidRDefault="00E65073" w:rsidP="00E65073">
      <w:pPr>
        <w:widowControl w:val="0"/>
      </w:pPr>
    </w:p>
    <w:p w:rsidR="00E65073" w:rsidRPr="00F45E7D" w:rsidRDefault="00E65073" w:rsidP="00E65073">
      <w:pPr>
        <w:widowControl w:val="0"/>
        <w:numPr>
          <w:ilvl w:val="12"/>
          <w:numId w:val="0"/>
        </w:numPr>
      </w:pPr>
      <w:r w:rsidRPr="00F45E7D">
        <w:t>Jei purškalo vartojama netinkamai ar per didelėmis dozėmis, gali pasireikšti sisteminis šalutinis poveikis, ypač vaikams (žr. 4 poskyrį).</w:t>
      </w:r>
    </w:p>
    <w:p w:rsidR="00E65073" w:rsidRPr="00F45E7D" w:rsidRDefault="00E65073" w:rsidP="00E65073">
      <w:pPr>
        <w:widowControl w:val="0"/>
        <w:kinsoku w:val="0"/>
        <w:overflowPunct w:val="0"/>
        <w:textAlignment w:val="baseline"/>
      </w:pPr>
    </w:p>
    <w:p w:rsidR="00E65073" w:rsidRPr="00F45E7D" w:rsidRDefault="00E65073" w:rsidP="00E65073">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E65073" w:rsidRPr="00F45E7D" w:rsidRDefault="00E65073" w:rsidP="00E65073">
      <w:pPr>
        <w:widowControl w:val="0"/>
        <w:kinsoku w:val="0"/>
        <w:overflowPunct w:val="0"/>
        <w:textAlignment w:val="baseline"/>
      </w:pPr>
    </w:p>
    <w:p w:rsidR="00E65073" w:rsidRPr="00F45E7D" w:rsidRDefault="00E65073" w:rsidP="00E65073">
      <w:pPr>
        <w:widowControl w:val="0"/>
      </w:pPr>
      <w:r w:rsidRPr="00F45E7D">
        <w:t>Šio vaisto Jūsų vaikui nerekomenduojama vartoti, jei jis jau vartoja:</w:t>
      </w:r>
    </w:p>
    <w:p w:rsidR="00E65073" w:rsidRPr="00F45E7D" w:rsidRDefault="00E65073" w:rsidP="00E65073">
      <w:pPr>
        <w:widowControl w:val="0"/>
        <w:numPr>
          <w:ilvl w:val="0"/>
          <w:numId w:val="4"/>
        </w:numPr>
        <w:tabs>
          <w:tab w:val="clear" w:pos="567"/>
        </w:tabs>
        <w:spacing w:line="240" w:lineRule="auto"/>
        <w:ind w:left="567" w:hanging="567"/>
      </w:pPr>
      <w:r w:rsidRPr="00F45E7D">
        <w:t>bet kokio kito vaisto gripui gydyti;</w:t>
      </w:r>
    </w:p>
    <w:p w:rsidR="00E65073" w:rsidRPr="00F45E7D" w:rsidRDefault="00E65073" w:rsidP="00E65073">
      <w:pPr>
        <w:widowControl w:val="0"/>
        <w:numPr>
          <w:ilvl w:val="0"/>
          <w:numId w:val="4"/>
        </w:numPr>
        <w:tabs>
          <w:tab w:val="clear" w:pos="567"/>
        </w:tabs>
        <w:spacing w:line="240" w:lineRule="auto"/>
        <w:ind w:left="567" w:hanging="567"/>
      </w:pPr>
      <w:proofErr w:type="gramStart"/>
      <w:r w:rsidRPr="00F45E7D">
        <w:t>bet</w:t>
      </w:r>
      <w:proofErr w:type="gramEnd"/>
      <w:r w:rsidRPr="00F45E7D">
        <w:t xml:space="preserve"> kokio kito kosuliui ir peršalimui gydyti skirto vaisto, kurio sudėtyje yra simpatikomimetikų (vaistų nosies užgulimui gydyti, pvz., pseudoefedrino, efedrino, fenilefrino, oksimetazolino, ksilometazolino, tramazolino, nafazolino, tuaminoheptano).</w:t>
      </w:r>
    </w:p>
    <w:p w:rsidR="00E65073" w:rsidRPr="00F45E7D" w:rsidRDefault="00E65073" w:rsidP="00E65073">
      <w:pPr>
        <w:widowControl w:val="0"/>
      </w:pPr>
      <w:r w:rsidRPr="00F45E7D">
        <w:t>Minėtų vaistų vartoti kartu su Septanazal vaikams nerekomenduojama, kadangi gali didėti su širdies ir kraujagyslių bei centrine nervų sistema susijusio šalutinio poveikio rizika.</w:t>
      </w:r>
    </w:p>
    <w:p w:rsidR="00E65073" w:rsidRPr="00F45E7D" w:rsidRDefault="00E65073" w:rsidP="00E65073">
      <w:pPr>
        <w:widowControl w:val="0"/>
      </w:pPr>
    </w:p>
    <w:p w:rsidR="00E65073" w:rsidRPr="00F45E7D" w:rsidRDefault="00E65073" w:rsidP="00E65073">
      <w:pPr>
        <w:widowControl w:val="0"/>
      </w:pPr>
      <w:r w:rsidRPr="00F45E7D">
        <w:t>Vaisto turi nepatekti tiesiogiai ant akių.</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Vaikams</w:t>
      </w:r>
    </w:p>
    <w:p w:rsidR="00E65073" w:rsidRPr="00F45E7D" w:rsidRDefault="00E65073" w:rsidP="00E65073">
      <w:pPr>
        <w:widowControl w:val="0"/>
      </w:pPr>
      <w:r w:rsidRPr="00F45E7D">
        <w:t>Neviršykite dozių, kurias rekomendavo gydytojas. Dėl vaiko gydymo trukmės ir vaisto vartojimo dažnio pasitarkite su gydytoju.</w:t>
      </w:r>
    </w:p>
    <w:p w:rsidR="00E65073" w:rsidRPr="00F45E7D" w:rsidRDefault="00E65073" w:rsidP="00E65073">
      <w:pPr>
        <w:widowControl w:val="0"/>
        <w:numPr>
          <w:ilvl w:val="12"/>
          <w:numId w:val="0"/>
        </w:numPr>
      </w:pPr>
      <w:r w:rsidRPr="00F45E7D">
        <w:t>Septanazal vaikams skirtas vartoti tik 2</w:t>
      </w:r>
      <w:r w:rsidRPr="00F45E7D">
        <w:noBreakHyphen/>
        <w:t xml:space="preserve"> 6 metų vaikams. Vyresniems kaip 6 metų vaikams tiekiamas Septanazal suaugusiesiems nosies purškalas, kuriame yra didesnės veikliųjų medžiagų dozės.</w:t>
      </w:r>
    </w:p>
    <w:p w:rsidR="00E65073" w:rsidRPr="00F45E7D" w:rsidRDefault="00E65073" w:rsidP="00E65073">
      <w:pPr>
        <w:widowControl w:val="0"/>
        <w:numPr>
          <w:ilvl w:val="12"/>
          <w:numId w:val="0"/>
        </w:numPr>
      </w:pPr>
      <w:r w:rsidRPr="00F45E7D">
        <w:t xml:space="preserve">Jeigu per </w:t>
      </w:r>
      <w:proofErr w:type="gramStart"/>
      <w:r w:rsidRPr="00F45E7D">
        <w:t>3</w:t>
      </w:r>
      <w:proofErr w:type="gramEnd"/>
      <w:r w:rsidRPr="00F45E7D">
        <w:t> dienas Jūsų vaiko savijauta nepagerėjo arba net pablogėjo, kreipkitės į gydytoją.</w:t>
      </w:r>
    </w:p>
    <w:p w:rsidR="00E65073" w:rsidRPr="00F45E7D" w:rsidRDefault="00E65073" w:rsidP="00E65073">
      <w:pPr>
        <w:widowControl w:val="0"/>
        <w:numPr>
          <w:ilvl w:val="12"/>
          <w:numId w:val="0"/>
        </w:numPr>
        <w:rPr>
          <w:b/>
        </w:rPr>
      </w:pPr>
    </w:p>
    <w:p w:rsidR="00E65073" w:rsidRPr="00F45E7D" w:rsidRDefault="00E65073" w:rsidP="00E65073">
      <w:pPr>
        <w:widowControl w:val="0"/>
        <w:jc w:val="both"/>
        <w:outlineLvl w:val="3"/>
        <w:rPr>
          <w:b/>
        </w:rPr>
      </w:pPr>
      <w:r w:rsidRPr="00F45E7D">
        <w:rPr>
          <w:b/>
        </w:rPr>
        <w:t>Kiti vaistai ir Septanazal vaikams</w:t>
      </w:r>
    </w:p>
    <w:p w:rsidR="00E65073" w:rsidRPr="00F45E7D" w:rsidRDefault="00E65073" w:rsidP="00E65073">
      <w:pPr>
        <w:widowControl w:val="0"/>
        <w:numPr>
          <w:ilvl w:val="12"/>
          <w:numId w:val="0"/>
        </w:numPr>
        <w:ind w:right="-2"/>
      </w:pPr>
      <w:r w:rsidRPr="00F45E7D">
        <w:t xml:space="preserve">Jeigu vartojate ar neseniai vartojote kitų vaistų arba </w:t>
      </w:r>
      <w:proofErr w:type="gramStart"/>
      <w:r w:rsidRPr="00F45E7D">
        <w:t>dėl</w:t>
      </w:r>
      <w:proofErr w:type="gramEnd"/>
      <w:r w:rsidRPr="00F45E7D">
        <w:t xml:space="preserve"> to nesate tikri, apie tai pasakykite gydytojui arba vaistininkui.</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Reikia vengti vartoti Septanazal vaikams kartu su antihipertenziniais vaistiniais preparatais (</w:t>
      </w:r>
      <w:proofErr w:type="gramStart"/>
      <w:r w:rsidRPr="00F45E7D">
        <w:t>pvz.,</w:t>
      </w:r>
      <w:proofErr w:type="gramEnd"/>
      <w:r w:rsidRPr="00F45E7D">
        <w:t xml:space="preserve"> methyldopa), dėl galimo ksilometazolino kraujospūdžiui didinimo poveikio.</w:t>
      </w:r>
    </w:p>
    <w:p w:rsidR="00E65073" w:rsidRPr="00F45E7D" w:rsidRDefault="00E65073" w:rsidP="00E65073">
      <w:pPr>
        <w:widowControl w:val="0"/>
        <w:numPr>
          <w:ilvl w:val="12"/>
          <w:numId w:val="0"/>
        </w:numPr>
        <w:ind w:right="-2"/>
      </w:pPr>
    </w:p>
    <w:p w:rsidR="00E65073" w:rsidRPr="00F45E7D" w:rsidRDefault="00E65073" w:rsidP="00E65073">
      <w:pPr>
        <w:widowControl w:val="0"/>
        <w:tabs>
          <w:tab w:val="left" w:pos="4610"/>
        </w:tabs>
        <w:ind w:right="-7"/>
      </w:pPr>
      <w:r w:rsidRPr="00F45E7D">
        <w:t xml:space="preserve">Septanazal vaikams nerekomenduojama vartoti kartu su kai kuriais vaistais nuo depresijos (tranilcipromino tipo monoamino oksidazės inhibitoriais ar tricikliais antidepresantais) bei kraujospūdį didinti galinčiais vaistais, kadangi </w:t>
      </w:r>
      <w:proofErr w:type="gramStart"/>
      <w:r w:rsidRPr="00F45E7D">
        <w:t>dėl</w:t>
      </w:r>
      <w:proofErr w:type="gramEnd"/>
      <w:r w:rsidRPr="00F45E7D">
        <w:t xml:space="preserve"> minėtų medžiagų poveikio gali didėti kraujospūdis.</w:t>
      </w:r>
    </w:p>
    <w:p w:rsidR="00E65073" w:rsidRPr="00F45E7D" w:rsidRDefault="00E65073" w:rsidP="00E65073">
      <w:pPr>
        <w:widowControl w:val="0"/>
        <w:tabs>
          <w:tab w:val="left" w:pos="4610"/>
        </w:tabs>
        <w:ind w:right="-7"/>
      </w:pPr>
    </w:p>
    <w:p w:rsidR="00E65073" w:rsidRPr="00F45E7D" w:rsidRDefault="00E65073" w:rsidP="00E65073">
      <w:pPr>
        <w:widowControl w:val="0"/>
      </w:pPr>
      <w:r w:rsidRPr="00F45E7D">
        <w:t xml:space="preserve">Septanazal vaikams vartojant kartu su kai kuriais vaistais gripui gydyti ar kitais kosuliui ir peršalimui gydyti skirtais vaistais, kurių sudėtyje yra simpatikomimetikų (vaistais nosies užgulimui gydyti, </w:t>
      </w:r>
      <w:proofErr w:type="gramStart"/>
      <w:r w:rsidRPr="00F45E7D">
        <w:t>pvz.,</w:t>
      </w:r>
      <w:proofErr w:type="gramEnd"/>
      <w:r w:rsidRPr="00F45E7D">
        <w:t xml:space="preserve"> pseudoefedrinu, efedrinu, fenilefrinu, oksimetazolinu, ksilometazolinu, tramazolinu, nafazolinu, tuaminoheptanu), gali didėti su širdies ir kraujagyslių bei centrine nervų sistema susijusio šalutinio poveikio rizika.</w:t>
      </w:r>
    </w:p>
    <w:p w:rsidR="00E65073" w:rsidRPr="00F45E7D" w:rsidRDefault="00E65073" w:rsidP="00E65073">
      <w:pPr>
        <w:widowControl w:val="0"/>
        <w:tabs>
          <w:tab w:val="left" w:pos="4610"/>
        </w:tabs>
        <w:ind w:right="-7"/>
        <w:jc w:val="both"/>
      </w:pPr>
    </w:p>
    <w:p w:rsidR="00E65073" w:rsidRPr="00F45E7D" w:rsidRDefault="00E65073" w:rsidP="00E65073">
      <w:pPr>
        <w:widowControl w:val="0"/>
        <w:numPr>
          <w:ilvl w:val="12"/>
          <w:numId w:val="0"/>
        </w:numPr>
        <w:ind w:right="-2"/>
        <w:outlineLvl w:val="0"/>
      </w:pPr>
      <w:r w:rsidRPr="00F45E7D">
        <w:t>Jei Jūsų vaikas vartoja bet kurių aukščiau minėtų vaistų, prieš Septanazal vaikams vartojimą būtina pasitarti su gydytoju.</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Septanazal vaikams vartojimas su maistu ir gėrimais</w:t>
      </w:r>
    </w:p>
    <w:p w:rsidR="00E65073" w:rsidRPr="00F45E7D" w:rsidRDefault="00E65073" w:rsidP="00E65073">
      <w:pPr>
        <w:widowControl w:val="0"/>
        <w:numPr>
          <w:ilvl w:val="12"/>
          <w:numId w:val="0"/>
        </w:numPr>
      </w:pPr>
      <w:r w:rsidRPr="00F45E7D">
        <w:t>Šį vaistą galima vartoti neatsižvelgiant į valgį.</w:t>
      </w:r>
    </w:p>
    <w:p w:rsidR="00E65073" w:rsidRPr="00F45E7D" w:rsidRDefault="00E65073" w:rsidP="00E65073">
      <w:pPr>
        <w:widowControl w:val="0"/>
        <w:numPr>
          <w:ilvl w:val="12"/>
          <w:numId w:val="0"/>
        </w:numPr>
      </w:pPr>
    </w:p>
    <w:p w:rsidR="00E65073" w:rsidRPr="00F45E7D" w:rsidRDefault="00E65073" w:rsidP="00E65073">
      <w:pPr>
        <w:widowControl w:val="0"/>
        <w:jc w:val="both"/>
        <w:outlineLvl w:val="3"/>
        <w:rPr>
          <w:b/>
        </w:rPr>
      </w:pPr>
      <w:r w:rsidRPr="00F45E7D">
        <w:rPr>
          <w:b/>
        </w:rPr>
        <w:t>Nėštumas, žindymo laikotarpis ir vaisingumas</w:t>
      </w:r>
    </w:p>
    <w:p w:rsidR="00E65073" w:rsidRPr="00F45E7D" w:rsidRDefault="00E65073" w:rsidP="00E65073">
      <w:pPr>
        <w:widowControl w:val="0"/>
        <w:numPr>
          <w:ilvl w:val="12"/>
          <w:numId w:val="0"/>
        </w:numPr>
      </w:pPr>
      <w:r w:rsidRPr="00F45E7D">
        <w:t xml:space="preserve">Jeigu esate nėščia, žindote kūdikį, manote, kad galbūt esate nėščia, arba planuojate pastoti, </w:t>
      </w:r>
      <w:proofErr w:type="gramStart"/>
      <w:r w:rsidRPr="00F45E7D">
        <w:t>tai</w:t>
      </w:r>
      <w:proofErr w:type="gramEnd"/>
      <w:r w:rsidRPr="00F45E7D">
        <w:t xml:space="preserve"> prieš vartodama šį vaistą, pasitarkite su gydytoju arba vaistininku.</w:t>
      </w:r>
    </w:p>
    <w:p w:rsidR="00E65073" w:rsidRPr="00F45E7D" w:rsidRDefault="00E65073" w:rsidP="00E65073">
      <w:pPr>
        <w:widowControl w:val="0"/>
        <w:kinsoku w:val="0"/>
        <w:overflowPunct w:val="0"/>
        <w:textAlignment w:val="baseline"/>
      </w:pPr>
      <w:r w:rsidRPr="00F45E7D">
        <w:t>Šio vaisto nėštumo laikotarpiu vartoti nerekomenduojama, kadangi duomenų apie nėščių moterų gydymo saugumą nėra.</w:t>
      </w:r>
    </w:p>
    <w:p w:rsidR="00E65073" w:rsidRPr="00F45E7D" w:rsidRDefault="00E65073" w:rsidP="00E65073">
      <w:pPr>
        <w:widowControl w:val="0"/>
        <w:kinsoku w:val="0"/>
        <w:overflowPunct w:val="0"/>
        <w:textAlignment w:val="baseline"/>
      </w:pPr>
      <w:r w:rsidRPr="00F45E7D">
        <w:t>Šio vaisto žindymo laikotarpiu vartoti nerekomenduojama, kadangi nežinoma, ar ksilometazolino hidrochlorido išsiskiria su motinos pienu.</w:t>
      </w:r>
    </w:p>
    <w:p w:rsidR="00E65073" w:rsidRPr="00F45E7D" w:rsidRDefault="00E65073" w:rsidP="00E65073">
      <w:pPr>
        <w:widowControl w:val="0"/>
        <w:numPr>
          <w:ilvl w:val="12"/>
          <w:numId w:val="0"/>
        </w:numPr>
      </w:pPr>
    </w:p>
    <w:p w:rsidR="00E65073" w:rsidRPr="00F45E7D" w:rsidRDefault="00E65073" w:rsidP="00E65073">
      <w:pPr>
        <w:widowControl w:val="0"/>
        <w:jc w:val="both"/>
        <w:outlineLvl w:val="3"/>
        <w:rPr>
          <w:b/>
        </w:rPr>
      </w:pPr>
      <w:r w:rsidRPr="00F45E7D">
        <w:rPr>
          <w:b/>
        </w:rPr>
        <w:t>Vairavimas ir mechanizmų valdymas</w:t>
      </w:r>
    </w:p>
    <w:p w:rsidR="00E65073" w:rsidRPr="00F45E7D" w:rsidRDefault="00E65073" w:rsidP="00E65073">
      <w:pPr>
        <w:widowControl w:val="0"/>
        <w:outlineLvl w:val="0"/>
      </w:pPr>
      <w:r w:rsidRPr="00F45E7D">
        <w:t>Jei šis vaistas vartojamas taip, kaip rekomenduojama, poveikis gebėjimui vairuoti ir valdyti mechanizmus nėra tikėtinas.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rPr>
          <w:b/>
        </w:rPr>
      </w:pPr>
      <w:r w:rsidRPr="00F45E7D">
        <w:rPr>
          <w:b/>
        </w:rPr>
        <w:t>Septanazal vaikams sudėtyje yra natrio</w:t>
      </w:r>
    </w:p>
    <w:p w:rsidR="00E65073" w:rsidRPr="00F45E7D" w:rsidRDefault="00E65073" w:rsidP="00E65073">
      <w:pPr>
        <w:widowControl w:val="0"/>
        <w:numPr>
          <w:ilvl w:val="12"/>
          <w:numId w:val="0"/>
        </w:numPr>
        <w:ind w:right="-2"/>
      </w:pPr>
      <w:r w:rsidRPr="00F45E7D">
        <w:t xml:space="preserve">Šio vaisto viename išpurškime yra mažiau kaip </w:t>
      </w:r>
      <w:proofErr w:type="gramStart"/>
      <w:r w:rsidRPr="00F45E7D">
        <w:t>1</w:t>
      </w:r>
      <w:proofErr w:type="gramEnd"/>
      <w:r w:rsidRPr="00F45E7D">
        <w:t> mmol (23 mg) natrio, t.y. jis beveik neturi reikšmės.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p>
    <w:p w:rsidR="00E65073" w:rsidRPr="00F45E7D" w:rsidRDefault="00E65073" w:rsidP="00E65073">
      <w:pPr>
        <w:widowControl w:val="0"/>
        <w:outlineLvl w:val="2"/>
        <w:rPr>
          <w:b/>
        </w:rPr>
      </w:pPr>
      <w:r w:rsidRPr="00F45E7D">
        <w:rPr>
          <w:b/>
        </w:rPr>
        <w:t>3.</w:t>
      </w:r>
      <w:r w:rsidRPr="00F45E7D">
        <w:rPr>
          <w:b/>
        </w:rPr>
        <w:tab/>
        <w:t>Kaip vartoti Septanazal vaikams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E65073" w:rsidRPr="00F45E7D" w:rsidRDefault="00E65073" w:rsidP="00E65073">
      <w:pPr>
        <w:widowControl w:val="0"/>
        <w:numPr>
          <w:ilvl w:val="12"/>
          <w:numId w:val="0"/>
        </w:numPr>
        <w:ind w:right="-2"/>
      </w:pPr>
    </w:p>
    <w:p w:rsidR="00E65073" w:rsidRPr="00F45E7D" w:rsidRDefault="00E65073" w:rsidP="00E65073">
      <w:pPr>
        <w:widowControl w:val="0"/>
      </w:pPr>
      <w:r w:rsidRPr="00F45E7D">
        <w:t>Rekomenduojama dozė 2</w:t>
      </w:r>
      <w:r w:rsidRPr="00F45E7D">
        <w:noBreakHyphen/>
        <w:t xml:space="preserve">6 metų vaikams yra po vieną įpurškimą į kiekvieną šnervę iki 3 kartų per parą (pagal poreikį). Dozė priklauso nuo individualaus jautrumo ir klinikinio veiksmingumo. </w:t>
      </w:r>
    </w:p>
    <w:p w:rsidR="00E65073" w:rsidRPr="00F45E7D" w:rsidRDefault="00E65073" w:rsidP="00E65073">
      <w:pPr>
        <w:widowControl w:val="0"/>
      </w:pPr>
    </w:p>
    <w:p w:rsidR="00E65073" w:rsidRPr="00F45E7D" w:rsidRDefault="00E65073" w:rsidP="00E65073">
      <w:pPr>
        <w:widowControl w:val="0"/>
        <w:rPr>
          <w:b/>
        </w:rPr>
      </w:pPr>
      <w:r w:rsidRPr="00F45E7D">
        <w:rPr>
          <w:b/>
        </w:rPr>
        <w:t>Gydymo trukmė</w:t>
      </w:r>
    </w:p>
    <w:p w:rsidR="00E65073" w:rsidRPr="00F45E7D" w:rsidRDefault="00E65073" w:rsidP="00E65073">
      <w:pPr>
        <w:widowControl w:val="0"/>
      </w:pPr>
      <w:r w:rsidRPr="00F45E7D">
        <w:t xml:space="preserve">Bendrai gydymas šiuo vaistu neturėtų trukti ilgiau kaip 7 dienas. Vis dėlto </w:t>
      </w:r>
      <w:proofErr w:type="gramStart"/>
      <w:r w:rsidRPr="00F45E7D">
        <w:t>dėl</w:t>
      </w:r>
      <w:proofErr w:type="gramEnd"/>
      <w:r w:rsidRPr="00F45E7D">
        <w:t xml:space="preserve"> gydymo šiuo vaistu trukmės visada pasitarkite su gydytoju.</w:t>
      </w:r>
    </w:p>
    <w:p w:rsidR="00E65073" w:rsidRPr="00F45E7D" w:rsidRDefault="00E65073" w:rsidP="00E65073">
      <w:pPr>
        <w:widowControl w:val="0"/>
      </w:pPr>
    </w:p>
    <w:p w:rsidR="00E65073" w:rsidRPr="00F45E7D" w:rsidRDefault="00E65073" w:rsidP="00E65073">
      <w:pPr>
        <w:widowControl w:val="0"/>
      </w:pPr>
      <w:r w:rsidRPr="00F45E7D">
        <w:t>Pakartotinai vartoti galima tik padarius kelių dienų pertrauką.</w:t>
      </w:r>
    </w:p>
    <w:p w:rsidR="00E65073" w:rsidRPr="00F45E7D" w:rsidRDefault="00E65073" w:rsidP="00E65073">
      <w:pPr>
        <w:widowControl w:val="0"/>
      </w:pPr>
    </w:p>
    <w:p w:rsidR="00E65073" w:rsidRPr="00F45E7D" w:rsidRDefault="00E65073" w:rsidP="00E65073">
      <w:pPr>
        <w:widowControl w:val="0"/>
        <w:rPr>
          <w:b/>
        </w:rPr>
      </w:pPr>
      <w:r w:rsidRPr="00F45E7D">
        <w:rPr>
          <w:b/>
        </w:rPr>
        <w:t>Vartojimo metodas</w:t>
      </w:r>
    </w:p>
    <w:p w:rsidR="00E65073" w:rsidRPr="00F45E7D" w:rsidRDefault="00E65073" w:rsidP="00E65073">
      <w:pPr>
        <w:widowControl w:val="0"/>
      </w:pPr>
      <w:r w:rsidRPr="00F45E7D">
        <w:t>Pirmiausia nuo purkštuvo reikia nuimti apsauginį dangtelį.</w:t>
      </w:r>
    </w:p>
    <w:p w:rsidR="00E65073" w:rsidRPr="00F45E7D" w:rsidRDefault="00E65073" w:rsidP="00E65073">
      <w:pPr>
        <w:widowControl w:val="0"/>
      </w:pPr>
      <w:r w:rsidRPr="00F45E7D">
        <w:t xml:space="preserve">Prieš pirmąjį vartojimą arba jei purškalas buvo ilgai nevartotas reikia kelis kartus paspausti purkštuvo viršutinę </w:t>
      </w:r>
      <w:proofErr w:type="gramStart"/>
      <w:r w:rsidRPr="00F45E7D">
        <w:t>dalį</w:t>
      </w:r>
      <w:proofErr w:type="gramEnd"/>
      <w:r w:rsidRPr="00F45E7D">
        <w:t>, kol bus išpurkšta smulkių lašelių.</w:t>
      </w:r>
    </w:p>
    <w:p w:rsidR="00E65073" w:rsidRPr="00F45E7D" w:rsidRDefault="00E65073" w:rsidP="00E65073">
      <w:pPr>
        <w:widowControl w:val="0"/>
      </w:pPr>
      <w:r>
        <w:rPr>
          <w:noProof/>
          <w:lang w:val="lt-LT" w:eastAsia="lt-LT"/>
        </w:rPr>
        <w:drawing>
          <wp:anchor distT="0" distB="0" distL="114300" distR="114300" simplePos="0" relativeHeight="251659264" behindDoc="0" locked="0" layoutInCell="1" allowOverlap="1" wp14:anchorId="313F683F" wp14:editId="688F04C9">
            <wp:simplePos x="0" y="0"/>
            <wp:positionH relativeFrom="margin">
              <wp:align>left</wp:align>
            </wp:positionH>
            <wp:positionV relativeFrom="paragraph">
              <wp:posOffset>206830</wp:posOffset>
            </wp:positionV>
            <wp:extent cx="1533525" cy="1524000"/>
            <wp:effectExtent l="0" t="0" r="9525" b="0"/>
            <wp:wrapTopAndBottom/>
            <wp:docPr id="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E65073" w:rsidRPr="006614F2" w:rsidRDefault="00E65073" w:rsidP="00E65073">
      <w:pPr>
        <w:widowControl w:val="0"/>
        <w:rPr>
          <w:lang w:eastAsia="sl-SI" w:bidi="lo-LA"/>
        </w:rPr>
      </w:pPr>
    </w:p>
    <w:p w:rsidR="00E65073" w:rsidRPr="00F45E7D" w:rsidRDefault="00E65073" w:rsidP="00E65073">
      <w:pPr>
        <w:widowControl w:val="0"/>
      </w:pPr>
      <w:r w:rsidRPr="00F45E7D">
        <w:t xml:space="preserve">Purkštuvo antgalį reikia įkišti kiek įmanoma statesnėje padėtyje į vieną šnervę ir tada vieną kartą reikia paspausti purkštuvo viršutinę </w:t>
      </w:r>
      <w:proofErr w:type="gramStart"/>
      <w:r w:rsidRPr="00F45E7D">
        <w:t>dalį</w:t>
      </w:r>
      <w:proofErr w:type="gramEnd"/>
      <w:r w:rsidRPr="00F45E7D">
        <w:t>. Purškimo metu vaikas turi švelniai įkvėpti pro nosį. Jei reikia, procedūra kartojama į kitą šnervę.</w:t>
      </w:r>
    </w:p>
    <w:p w:rsidR="00E65073" w:rsidRPr="00F45E7D" w:rsidRDefault="00E65073" w:rsidP="00E65073">
      <w:pPr>
        <w:widowControl w:val="0"/>
      </w:pPr>
      <w:r w:rsidRPr="00F45E7D">
        <w:t>Po kiekvieno panaudojimo purkštuvo antgalį reikia nuvalyti popieriniu rankšluosčiu ir vėl uždėti dangtelį.</w:t>
      </w:r>
    </w:p>
    <w:p w:rsidR="00E65073" w:rsidRPr="00F45E7D" w:rsidRDefault="00E65073" w:rsidP="00E65073">
      <w:pPr>
        <w:widowControl w:val="0"/>
      </w:pPr>
      <w:r>
        <w:rPr>
          <w:noProof/>
          <w:lang w:val="lt-LT" w:eastAsia="lt-LT"/>
        </w:rPr>
        <w:lastRenderedPageBreak/>
        <w:drawing>
          <wp:anchor distT="0" distB="0" distL="114300" distR="114300" simplePos="0" relativeHeight="251660288" behindDoc="0" locked="0" layoutInCell="1" allowOverlap="1" wp14:anchorId="51B7934C" wp14:editId="0A9AA341">
            <wp:simplePos x="0" y="0"/>
            <wp:positionH relativeFrom="margin">
              <wp:align>left</wp:align>
            </wp:positionH>
            <wp:positionV relativeFrom="paragraph">
              <wp:posOffset>186244</wp:posOffset>
            </wp:positionV>
            <wp:extent cx="1543050" cy="1457325"/>
            <wp:effectExtent l="0" t="0" r="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E65073" w:rsidRPr="006614F2" w:rsidRDefault="00E65073" w:rsidP="00E65073">
      <w:pPr>
        <w:widowControl w:val="0"/>
        <w:rPr>
          <w:lang w:eastAsia="sl-SI" w:bidi="lo-LA"/>
        </w:rPr>
      </w:pPr>
    </w:p>
    <w:p w:rsidR="00E65073" w:rsidRPr="00F45E7D" w:rsidRDefault="00E65073" w:rsidP="00E65073">
      <w:pPr>
        <w:widowControl w:val="0"/>
        <w:numPr>
          <w:ilvl w:val="12"/>
          <w:numId w:val="0"/>
        </w:numPr>
        <w:ind w:right="-2"/>
      </w:pPr>
      <w:r w:rsidRPr="00F45E7D">
        <w:t>Pacientai, kurių akispūdis padidėjęs (yra glaukoma), ypač sergantys siauro kampo glaukoma, prieš šio vaisto vartojimą turi pasitarti su gydytoju.</w:t>
      </w:r>
    </w:p>
    <w:p w:rsidR="00E65073" w:rsidRPr="00F45E7D" w:rsidRDefault="00E65073" w:rsidP="00E65073">
      <w:pPr>
        <w:widowControl w:val="0"/>
      </w:pPr>
    </w:p>
    <w:p w:rsidR="00E65073" w:rsidRPr="00F45E7D" w:rsidRDefault="00E65073" w:rsidP="00E65073">
      <w:pPr>
        <w:widowControl w:val="0"/>
        <w:jc w:val="both"/>
        <w:outlineLvl w:val="3"/>
        <w:rPr>
          <w:b/>
        </w:rPr>
      </w:pPr>
      <w:r w:rsidRPr="00F45E7D">
        <w:rPr>
          <w:b/>
        </w:rPr>
        <w:t>Ką daryti pavartojus per didelę Septanazal vaikams dozę</w:t>
      </w:r>
    </w:p>
    <w:p w:rsidR="00E65073" w:rsidRPr="00F45E7D" w:rsidRDefault="00E65073" w:rsidP="00E65073">
      <w:pPr>
        <w:widowControl w:val="0"/>
        <w:numPr>
          <w:ilvl w:val="12"/>
          <w:numId w:val="0"/>
        </w:numPr>
      </w:pPr>
      <w:proofErr w:type="gramStart"/>
      <w:r w:rsidRPr="00F45E7D">
        <w:t>Pavartojus didesnę šio vaisto dozę nei reikia arba netyčia nurijus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roofErr w:type="gramEnd"/>
    </w:p>
    <w:p w:rsidR="00E65073" w:rsidRPr="00F45E7D" w:rsidRDefault="00E65073" w:rsidP="00E65073">
      <w:pPr>
        <w:widowControl w:val="0"/>
        <w:numPr>
          <w:ilvl w:val="12"/>
          <w:numId w:val="0"/>
        </w:numPr>
      </w:pPr>
    </w:p>
    <w:p w:rsidR="00E65073" w:rsidRPr="00F45E7D" w:rsidRDefault="00E65073" w:rsidP="00E65073">
      <w:pPr>
        <w:widowControl w:val="0"/>
        <w:numPr>
          <w:ilvl w:val="12"/>
          <w:numId w:val="0"/>
        </w:numPr>
      </w:pPr>
      <w:r w:rsidRPr="00F45E7D">
        <w:t>Be to, gali pasireikšti apsnūdimas, sumažėti kūno temperatūra, suretėti širdies plakimas, sumažėti kraujospūdis, sustoti kvėpavimas ir ištikti koma.</w:t>
      </w:r>
    </w:p>
    <w:p w:rsidR="00E65073" w:rsidRPr="00F45E7D" w:rsidRDefault="00E65073" w:rsidP="00E65073">
      <w:pPr>
        <w:widowControl w:val="0"/>
        <w:numPr>
          <w:ilvl w:val="12"/>
          <w:numId w:val="0"/>
        </w:numPr>
      </w:pPr>
    </w:p>
    <w:p w:rsidR="00E65073" w:rsidRPr="00F45E7D" w:rsidRDefault="00E65073" w:rsidP="00E65073">
      <w:pPr>
        <w:widowControl w:val="0"/>
        <w:numPr>
          <w:ilvl w:val="12"/>
          <w:numId w:val="0"/>
        </w:numPr>
      </w:pPr>
      <w:r w:rsidRPr="00F45E7D">
        <w:t>Jeigu pastebėsite bet kurį iš minėtų simptomų, nedelsdami kreipkitės į gydytoją.</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Pamiršus pavartoti Septanazal vaikams</w:t>
      </w:r>
    </w:p>
    <w:p w:rsidR="00E65073" w:rsidRPr="00F45E7D" w:rsidRDefault="00E65073" w:rsidP="00E65073">
      <w:pPr>
        <w:widowControl w:val="0"/>
        <w:numPr>
          <w:ilvl w:val="12"/>
          <w:numId w:val="0"/>
        </w:numPr>
        <w:ind w:right="-2"/>
      </w:pPr>
      <w:r w:rsidRPr="00F45E7D">
        <w:t>Negalima vartoti dvigubos dozės norint kompensuoti praleistą dozę.</w:t>
      </w:r>
    </w:p>
    <w:p w:rsidR="00E65073" w:rsidRPr="00F45E7D" w:rsidRDefault="00E65073" w:rsidP="00E65073">
      <w:pPr>
        <w:widowControl w:val="0"/>
        <w:numPr>
          <w:ilvl w:val="12"/>
          <w:numId w:val="0"/>
        </w:numPr>
        <w:ind w:right="-29"/>
      </w:pPr>
    </w:p>
    <w:p w:rsidR="00E65073" w:rsidRPr="00F45E7D" w:rsidRDefault="00E65073" w:rsidP="00E65073">
      <w:pPr>
        <w:widowControl w:val="0"/>
        <w:numPr>
          <w:ilvl w:val="12"/>
          <w:numId w:val="0"/>
        </w:numPr>
        <w:ind w:right="-29"/>
      </w:pPr>
      <w:r w:rsidRPr="00F45E7D">
        <w:t xml:space="preserve">Jeigu kiltų daugiau klausimų </w:t>
      </w:r>
      <w:proofErr w:type="gramStart"/>
      <w:r w:rsidRPr="00F45E7D">
        <w:t>dėl</w:t>
      </w:r>
      <w:proofErr w:type="gramEnd"/>
      <w:r w:rsidRPr="00F45E7D">
        <w:t xml:space="preserve"> šio vaisto vartojimo, kreipkitės į gydytoją arba vaistininką.</w:t>
      </w:r>
    </w:p>
    <w:p w:rsidR="00E65073" w:rsidRPr="00F45E7D" w:rsidRDefault="00E65073" w:rsidP="00E65073">
      <w:pPr>
        <w:widowControl w:val="0"/>
        <w:numPr>
          <w:ilvl w:val="12"/>
          <w:numId w:val="0"/>
        </w:numPr>
      </w:pPr>
    </w:p>
    <w:p w:rsidR="00E65073" w:rsidRPr="00F45E7D" w:rsidRDefault="00E65073" w:rsidP="00E65073">
      <w:pPr>
        <w:widowControl w:val="0"/>
        <w:numPr>
          <w:ilvl w:val="12"/>
          <w:numId w:val="0"/>
        </w:numPr>
      </w:pPr>
    </w:p>
    <w:p w:rsidR="00E65073" w:rsidRPr="00F45E7D" w:rsidRDefault="00E65073" w:rsidP="00E65073">
      <w:pPr>
        <w:widowControl w:val="0"/>
        <w:outlineLvl w:val="2"/>
        <w:rPr>
          <w:b/>
        </w:rPr>
      </w:pPr>
      <w:r w:rsidRPr="00F45E7D">
        <w:rPr>
          <w:b/>
        </w:rPr>
        <w:t>4.</w:t>
      </w:r>
      <w:r w:rsidRPr="00F45E7D">
        <w:rPr>
          <w:b/>
        </w:rPr>
        <w:tab/>
        <w:t>Galimas šalutinis poveikis</w:t>
      </w:r>
    </w:p>
    <w:p w:rsidR="00E65073" w:rsidRPr="00F45E7D" w:rsidRDefault="00E65073" w:rsidP="00E65073">
      <w:pPr>
        <w:widowControl w:val="0"/>
        <w:numPr>
          <w:ilvl w:val="12"/>
          <w:numId w:val="0"/>
        </w:numPr>
      </w:pPr>
    </w:p>
    <w:p w:rsidR="00E65073" w:rsidRPr="00F45E7D" w:rsidRDefault="00E65073" w:rsidP="00E65073">
      <w:pPr>
        <w:widowControl w:val="0"/>
        <w:numPr>
          <w:ilvl w:val="12"/>
          <w:numId w:val="0"/>
        </w:numPr>
        <w:ind w:right="-29"/>
      </w:pPr>
      <w:r w:rsidRPr="00F45E7D">
        <w:t>Šis vaistas, kaip ir visi kiti, gali sukelti šalutinį poveikį, nors jis pasireiškia ne visiems žmonėms.</w:t>
      </w:r>
    </w:p>
    <w:p w:rsidR="00E65073" w:rsidRPr="00F45E7D" w:rsidRDefault="00E65073" w:rsidP="00E65073">
      <w:pPr>
        <w:widowControl w:val="0"/>
        <w:numPr>
          <w:ilvl w:val="12"/>
          <w:numId w:val="0"/>
        </w:numPr>
        <w:ind w:right="-29"/>
      </w:pPr>
    </w:p>
    <w:p w:rsidR="00E65073" w:rsidRPr="00F45E7D" w:rsidRDefault="00E65073" w:rsidP="00E65073">
      <w:pPr>
        <w:widowControl w:val="0"/>
        <w:numPr>
          <w:ilvl w:val="12"/>
          <w:numId w:val="0"/>
        </w:numPr>
        <w:outlineLvl w:val="0"/>
      </w:pPr>
      <w:r w:rsidRPr="006614F2">
        <w:rPr>
          <w:lang w:eastAsia="zh-CN" w:bidi="lo-LA"/>
        </w:rPr>
        <w:t>Nedažn</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r>
        <w:rPr>
          <w:lang w:eastAsia="sl-SI" w:bidi="lo-LA"/>
        </w:rPr>
        <w:t>pasireikšti</w:t>
      </w:r>
      <w:r w:rsidRPr="00F45E7D">
        <w:t xml:space="preserve"> rečiau kaip 1 iš 100</w:t>
      </w:r>
      <w:r>
        <w:rPr>
          <w:lang w:eastAsia="sl-SI" w:bidi="lo-LA"/>
        </w:rPr>
        <w:t xml:space="preserve"> asmenų</w:t>
      </w:r>
      <w:r w:rsidRPr="00F45E7D">
        <w:t>):</w:t>
      </w:r>
    </w:p>
    <w:p w:rsidR="00E65073" w:rsidRPr="00F45E7D" w:rsidRDefault="00E65073" w:rsidP="00E65073">
      <w:pPr>
        <w:widowControl w:val="0"/>
        <w:numPr>
          <w:ilvl w:val="0"/>
          <w:numId w:val="3"/>
        </w:numPr>
        <w:tabs>
          <w:tab w:val="clear" w:pos="567"/>
        </w:tabs>
        <w:spacing w:line="240" w:lineRule="auto"/>
        <w:ind w:left="567" w:hanging="567"/>
        <w:outlineLvl w:val="0"/>
      </w:pPr>
      <w:proofErr w:type="gramStart"/>
      <w:r w:rsidRPr="00F45E7D">
        <w:t>padidėjusio</w:t>
      </w:r>
      <w:proofErr w:type="gramEnd"/>
      <w:r w:rsidRPr="00F45E7D">
        <w:t xml:space="preserve"> jautrumo reakcija, pvz., odos ir gleivinės patinimas, odos išbėrimas, niežulys.</w:t>
      </w:r>
    </w:p>
    <w:p w:rsidR="00E65073" w:rsidRPr="00F45E7D" w:rsidRDefault="00E65073" w:rsidP="00E65073">
      <w:pPr>
        <w:widowControl w:val="0"/>
        <w:numPr>
          <w:ilvl w:val="12"/>
          <w:numId w:val="0"/>
        </w:numPr>
        <w:outlineLvl w:val="0"/>
      </w:pPr>
    </w:p>
    <w:p w:rsidR="00E65073" w:rsidRPr="00F45E7D" w:rsidRDefault="00E65073" w:rsidP="00E65073">
      <w:pPr>
        <w:widowControl w:val="0"/>
        <w:numPr>
          <w:ilvl w:val="12"/>
          <w:numId w:val="0"/>
        </w:numPr>
        <w:outlineLvl w:val="0"/>
      </w:pPr>
      <w:r w:rsidRPr="006614F2">
        <w:rPr>
          <w:lang w:eastAsia="zh-CN" w:bidi="lo-LA"/>
        </w:rPr>
        <w:t>Ret</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r>
        <w:rPr>
          <w:lang w:eastAsia="sl-SI" w:bidi="lo-LA"/>
        </w:rPr>
        <w:t>pasireikšti</w:t>
      </w:r>
      <w:r w:rsidRPr="00F45E7D">
        <w:t xml:space="preserve"> ne daugiau kaip 1 iš 1000</w:t>
      </w:r>
      <w:r>
        <w:rPr>
          <w:lang w:eastAsia="sl-SI" w:bidi="lo-LA"/>
        </w:rPr>
        <w:t xml:space="preserve"> asmenų</w:t>
      </w:r>
      <w:r w:rsidRPr="00F45E7D">
        <w:t>):</w:t>
      </w:r>
    </w:p>
    <w:p w:rsidR="00E65073" w:rsidRPr="00F45E7D" w:rsidRDefault="00E65073" w:rsidP="00E65073">
      <w:pPr>
        <w:widowControl w:val="0"/>
        <w:numPr>
          <w:ilvl w:val="0"/>
          <w:numId w:val="3"/>
        </w:numPr>
        <w:tabs>
          <w:tab w:val="clear" w:pos="567"/>
        </w:tabs>
        <w:autoSpaceDE w:val="0"/>
        <w:autoSpaceDN w:val="0"/>
        <w:adjustRightInd w:val="0"/>
        <w:spacing w:line="240" w:lineRule="auto"/>
        <w:ind w:left="567" w:hanging="567"/>
      </w:pPr>
      <w:proofErr w:type="gramStart"/>
      <w:r w:rsidRPr="00F45E7D">
        <w:t>palpitacija</w:t>
      </w:r>
      <w:proofErr w:type="gramEnd"/>
      <w:r w:rsidRPr="00F45E7D">
        <w:t xml:space="preserve"> (širdies plakimo pojūtis), tachikardija (dažnesnis širdies plakimas), hipertenzija (didelis kraujospūdis).</w:t>
      </w:r>
    </w:p>
    <w:p w:rsidR="00E65073" w:rsidRPr="00F45E7D" w:rsidRDefault="00E65073" w:rsidP="00E65073">
      <w:pPr>
        <w:widowControl w:val="0"/>
      </w:pPr>
    </w:p>
    <w:p w:rsidR="00E65073" w:rsidRPr="00F45E7D" w:rsidRDefault="00E65073" w:rsidP="00E65073">
      <w:pPr>
        <w:widowControl w:val="0"/>
        <w:numPr>
          <w:ilvl w:val="12"/>
          <w:numId w:val="0"/>
        </w:numPr>
        <w:outlineLvl w:val="0"/>
      </w:pPr>
      <w:r w:rsidRPr="00F45E7D">
        <w:t xml:space="preserve">Labai </w:t>
      </w:r>
      <w:r w:rsidRPr="006614F2">
        <w:rPr>
          <w:lang w:eastAsia="zh-CN" w:bidi="lo-LA"/>
        </w:rPr>
        <w:t>ret</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r>
        <w:rPr>
          <w:lang w:eastAsia="sl-SI" w:bidi="lo-LA"/>
        </w:rPr>
        <w:t>pasireikšti</w:t>
      </w:r>
      <w:r w:rsidRPr="00F45E7D">
        <w:t xml:space="preserve"> rečiau kaip 1 iš 10000</w:t>
      </w:r>
      <w:r>
        <w:rPr>
          <w:lang w:eastAsia="sl-SI" w:bidi="lo-LA"/>
        </w:rPr>
        <w:t xml:space="preserve"> asmenų</w:t>
      </w:r>
      <w:r w:rsidRPr="00F45E7D">
        <w:t>):</w:t>
      </w:r>
    </w:p>
    <w:p w:rsidR="00E65073" w:rsidRPr="00F45E7D" w:rsidRDefault="00E65073" w:rsidP="00E65073">
      <w:pPr>
        <w:widowControl w:val="0"/>
        <w:numPr>
          <w:ilvl w:val="0"/>
          <w:numId w:val="3"/>
        </w:numPr>
        <w:tabs>
          <w:tab w:val="clear" w:pos="567"/>
        </w:tabs>
        <w:spacing w:line="240" w:lineRule="auto"/>
        <w:ind w:left="567" w:hanging="567"/>
        <w:outlineLvl w:val="0"/>
      </w:pPr>
      <w:r w:rsidRPr="00F45E7D">
        <w:t>neramumas, miego sutrikimas, haliucinacijos (dažniausiai vaikams);</w:t>
      </w:r>
    </w:p>
    <w:p w:rsidR="00E65073" w:rsidRPr="00F45E7D" w:rsidRDefault="00E65073" w:rsidP="00E65073">
      <w:pPr>
        <w:widowControl w:val="0"/>
        <w:numPr>
          <w:ilvl w:val="0"/>
          <w:numId w:val="3"/>
        </w:numPr>
        <w:tabs>
          <w:tab w:val="clear" w:pos="567"/>
        </w:tabs>
        <w:spacing w:line="240" w:lineRule="auto"/>
        <w:ind w:left="567" w:hanging="567"/>
        <w:outlineLvl w:val="0"/>
      </w:pPr>
      <w:r w:rsidRPr="00F45E7D">
        <w:t>nuovargis (apsnūdimas, raminamasis poveikis), galvos skausmas;</w:t>
      </w:r>
    </w:p>
    <w:p w:rsidR="00E65073" w:rsidRPr="00F45E7D" w:rsidRDefault="00E65073" w:rsidP="00E65073">
      <w:pPr>
        <w:widowControl w:val="0"/>
        <w:numPr>
          <w:ilvl w:val="0"/>
          <w:numId w:val="3"/>
        </w:numPr>
        <w:tabs>
          <w:tab w:val="clear" w:pos="567"/>
        </w:tabs>
        <w:spacing w:line="240" w:lineRule="auto"/>
        <w:ind w:left="567" w:hanging="567"/>
        <w:outlineLvl w:val="0"/>
      </w:pPr>
      <w:r w:rsidRPr="00F45E7D">
        <w:t>širdies ritmo sutrikimai (aritmijos);</w:t>
      </w:r>
    </w:p>
    <w:p w:rsidR="00E65073" w:rsidRPr="00F45E7D" w:rsidRDefault="00E65073" w:rsidP="00E65073">
      <w:pPr>
        <w:widowControl w:val="0"/>
        <w:numPr>
          <w:ilvl w:val="0"/>
          <w:numId w:val="3"/>
        </w:numPr>
        <w:tabs>
          <w:tab w:val="clear" w:pos="567"/>
        </w:tabs>
        <w:spacing w:line="240" w:lineRule="auto"/>
        <w:ind w:left="567" w:hanging="567"/>
        <w:outlineLvl w:val="0"/>
      </w:pPr>
      <w:r w:rsidRPr="00F45E7D">
        <w:t>nosies gleivinės patinimas (nutraukus gydymą), kraujavimas iš nosies;</w:t>
      </w:r>
    </w:p>
    <w:p w:rsidR="00E65073" w:rsidRPr="00F45E7D" w:rsidRDefault="00E65073" w:rsidP="00E65073">
      <w:pPr>
        <w:widowControl w:val="0"/>
        <w:numPr>
          <w:ilvl w:val="0"/>
          <w:numId w:val="3"/>
        </w:numPr>
        <w:tabs>
          <w:tab w:val="clear" w:pos="567"/>
        </w:tabs>
        <w:spacing w:line="240" w:lineRule="auto"/>
        <w:ind w:left="567" w:hanging="567"/>
        <w:outlineLvl w:val="0"/>
      </w:pPr>
      <w:proofErr w:type="gramStart"/>
      <w:r w:rsidRPr="00F45E7D">
        <w:t>traukuliai</w:t>
      </w:r>
      <w:proofErr w:type="gramEnd"/>
      <w:r w:rsidRPr="00F45E7D">
        <w:t xml:space="preserve"> (priepuoliai, ypač vaikams).</w:t>
      </w:r>
    </w:p>
    <w:p w:rsidR="00E65073" w:rsidRPr="00F45E7D" w:rsidRDefault="00E65073" w:rsidP="00E65073">
      <w:pPr>
        <w:widowControl w:val="0"/>
        <w:outlineLvl w:val="0"/>
      </w:pPr>
    </w:p>
    <w:p w:rsidR="00E65073" w:rsidRPr="00F45E7D" w:rsidRDefault="00E65073" w:rsidP="00E65073">
      <w:pPr>
        <w:widowControl w:val="0"/>
        <w:ind w:left="540" w:hanging="540"/>
      </w:pPr>
      <w:r w:rsidRPr="00F45E7D">
        <w:t>Dažnis nežinomas (negali būti apskaičiuotas pagal turimus duomenis):</w:t>
      </w:r>
    </w:p>
    <w:p w:rsidR="00E65073" w:rsidRPr="00F45E7D" w:rsidRDefault="00E65073" w:rsidP="00E65073">
      <w:pPr>
        <w:widowControl w:val="0"/>
        <w:numPr>
          <w:ilvl w:val="0"/>
          <w:numId w:val="3"/>
        </w:numPr>
        <w:tabs>
          <w:tab w:val="clear" w:pos="567"/>
        </w:tabs>
        <w:spacing w:line="240" w:lineRule="auto"/>
        <w:ind w:left="567" w:hanging="567"/>
      </w:pPr>
      <w:proofErr w:type="gramStart"/>
      <w:r w:rsidRPr="00F45E7D">
        <w:t>nosies</w:t>
      </w:r>
      <w:proofErr w:type="gramEnd"/>
      <w:r w:rsidRPr="00F45E7D">
        <w:t xml:space="preserve"> gleivinės deginimas ir sausmė, čiaudulys.</w:t>
      </w:r>
    </w:p>
    <w:p w:rsidR="00E65073" w:rsidRPr="00F45E7D" w:rsidRDefault="00E65073" w:rsidP="00E65073">
      <w:pPr>
        <w:widowControl w:val="0"/>
        <w:rPr>
          <w:b/>
        </w:rPr>
      </w:pPr>
    </w:p>
    <w:p w:rsidR="00E65073" w:rsidRPr="00F45E7D" w:rsidRDefault="00E65073" w:rsidP="00E65073">
      <w:pPr>
        <w:widowControl w:val="0"/>
        <w:rPr>
          <w:b/>
        </w:rPr>
      </w:pPr>
      <w:r w:rsidRPr="00F45E7D">
        <w:rPr>
          <w:b/>
        </w:rPr>
        <w:t>Pranešimas apie šalutinį poveikį</w:t>
      </w:r>
    </w:p>
    <w:p w:rsidR="00E65073" w:rsidRPr="009A6143" w:rsidRDefault="00E65073" w:rsidP="00E65073">
      <w:pPr>
        <w:ind w:right="-1"/>
        <w:rPr>
          <w:lang w:val="lt-LT"/>
        </w:rPr>
      </w:pPr>
      <w:r w:rsidRPr="009A6143">
        <w:rPr>
          <w:lang w:val="lt-LT"/>
        </w:rPr>
        <w:lastRenderedPageBreak/>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7"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8"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9"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E65073" w:rsidRPr="00F45E7D" w:rsidRDefault="00E65073" w:rsidP="00E65073">
      <w:pPr>
        <w:widowControl w:val="0"/>
        <w:ind w:right="-449"/>
      </w:pPr>
    </w:p>
    <w:p w:rsidR="00E65073" w:rsidRPr="00F45E7D" w:rsidRDefault="00E65073" w:rsidP="00E65073">
      <w:pPr>
        <w:widowControl w:val="0"/>
        <w:ind w:right="-449"/>
      </w:pPr>
    </w:p>
    <w:p w:rsidR="00E65073" w:rsidRPr="00F45E7D" w:rsidRDefault="00E65073" w:rsidP="00E65073">
      <w:pPr>
        <w:widowControl w:val="0"/>
        <w:outlineLvl w:val="2"/>
        <w:rPr>
          <w:b/>
        </w:rPr>
      </w:pPr>
      <w:r w:rsidRPr="00F45E7D">
        <w:rPr>
          <w:b/>
        </w:rPr>
        <w:t>5.</w:t>
      </w:r>
      <w:r w:rsidRPr="00F45E7D">
        <w:rPr>
          <w:b/>
        </w:rPr>
        <w:tab/>
        <w:t>Kaip laikyti Septanazal vaikams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Šį vaistą laikykite vaikams nepastebimoje ir nepasiekiamoje vietoje.</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Ant pakuotės po „</w:t>
      </w:r>
      <w:r w:rsidRPr="00F45E7D">
        <w:rPr>
          <w:highlight w:val="lightGray"/>
        </w:rPr>
        <w:t>Tinka iki/</w:t>
      </w:r>
      <w:r w:rsidRPr="00F45E7D">
        <w:t>EXP</w:t>
      </w:r>
      <w:proofErr w:type="gramStart"/>
      <w:r w:rsidRPr="00F45E7D">
        <w:t>“ nurodytam</w:t>
      </w:r>
      <w:proofErr w:type="gramEnd"/>
      <w:r w:rsidRPr="00F45E7D">
        <w:t xml:space="preserve"> tinkamumo laikui pasibaigus, šio vaisto vartoti negalima. Vaistas tinkamas vartoti iki paskutinės nurodyto mėnesio dienos.</w:t>
      </w:r>
    </w:p>
    <w:p w:rsidR="00E65073" w:rsidRPr="00F45E7D" w:rsidRDefault="00E65073" w:rsidP="00E65073">
      <w:pPr>
        <w:widowControl w:val="0"/>
        <w:numPr>
          <w:ilvl w:val="12"/>
          <w:numId w:val="0"/>
        </w:numPr>
        <w:ind w:right="-2"/>
      </w:pPr>
    </w:p>
    <w:p w:rsidR="00E65073" w:rsidRPr="00F45E7D" w:rsidRDefault="00E65073" w:rsidP="00E65073">
      <w:pPr>
        <w:widowControl w:val="0"/>
      </w:pPr>
      <w:r w:rsidRPr="00F45E7D">
        <w:t xml:space="preserve">Šiam </w:t>
      </w:r>
      <w:r w:rsidRPr="00F45E7D">
        <w:rPr>
          <w:color w:val="0D0D0D"/>
        </w:rPr>
        <w:t>vaistui</w:t>
      </w:r>
      <w:r w:rsidRPr="00F45E7D">
        <w:t xml:space="preserve"> specialių laikymo sąlygų nereikia.</w:t>
      </w:r>
    </w:p>
    <w:p w:rsidR="00E65073" w:rsidRPr="00F45E7D" w:rsidRDefault="00E65073" w:rsidP="00E65073">
      <w:pPr>
        <w:widowControl w:val="0"/>
      </w:pPr>
    </w:p>
    <w:p w:rsidR="00E65073" w:rsidRPr="00F45E7D" w:rsidRDefault="00E65073" w:rsidP="00E65073">
      <w:pPr>
        <w:widowControl w:val="0"/>
      </w:pPr>
      <w:r w:rsidRPr="00F45E7D">
        <w:t>Po pirmojo talpyklės atidarymo vaistą galima vartoti 12 mėnesių.</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E65073" w:rsidRPr="00F45E7D" w:rsidRDefault="00E65073" w:rsidP="00E65073">
      <w:pPr>
        <w:widowControl w:val="0"/>
        <w:numPr>
          <w:ilvl w:val="12"/>
          <w:numId w:val="0"/>
        </w:numPr>
        <w:ind w:right="-2"/>
        <w:rPr>
          <w:i/>
        </w:rPr>
      </w:pPr>
    </w:p>
    <w:p w:rsidR="00E65073" w:rsidRPr="00F45E7D" w:rsidRDefault="00E65073" w:rsidP="00E65073">
      <w:pPr>
        <w:widowControl w:val="0"/>
        <w:numPr>
          <w:ilvl w:val="12"/>
          <w:numId w:val="0"/>
        </w:numPr>
        <w:ind w:right="-2"/>
      </w:pPr>
    </w:p>
    <w:p w:rsidR="00E65073" w:rsidRPr="00F45E7D" w:rsidRDefault="00E65073" w:rsidP="00E65073">
      <w:pPr>
        <w:widowControl w:val="0"/>
        <w:outlineLvl w:val="2"/>
        <w:rPr>
          <w:b/>
        </w:rPr>
      </w:pPr>
      <w:r w:rsidRPr="00F45E7D">
        <w:rPr>
          <w:b/>
        </w:rPr>
        <w:t>6.</w:t>
      </w:r>
      <w:r w:rsidRPr="00F45E7D">
        <w:tab/>
      </w:r>
      <w:r w:rsidRPr="00F45E7D">
        <w:rPr>
          <w:b/>
        </w:rPr>
        <w:t>Pakuotės turinys ir kita informacija</w:t>
      </w:r>
    </w:p>
    <w:p w:rsidR="00E65073" w:rsidRPr="00F45E7D" w:rsidRDefault="00E65073" w:rsidP="00E65073">
      <w:pPr>
        <w:widowControl w:val="0"/>
        <w:numPr>
          <w:ilvl w:val="12"/>
          <w:numId w:val="0"/>
        </w:numPr>
      </w:pPr>
    </w:p>
    <w:p w:rsidR="00E65073" w:rsidRPr="00F45E7D" w:rsidRDefault="00E65073" w:rsidP="00E65073">
      <w:pPr>
        <w:widowControl w:val="0"/>
        <w:jc w:val="both"/>
        <w:outlineLvl w:val="3"/>
      </w:pPr>
      <w:r w:rsidRPr="00F45E7D">
        <w:rPr>
          <w:b/>
        </w:rPr>
        <w:t>Septanazal vaikams sudėtis</w:t>
      </w:r>
    </w:p>
    <w:p w:rsidR="00E65073" w:rsidRPr="00F45E7D" w:rsidRDefault="00E65073" w:rsidP="00E65073">
      <w:pPr>
        <w:widowControl w:val="0"/>
        <w:numPr>
          <w:ilvl w:val="0"/>
          <w:numId w:val="1"/>
        </w:numPr>
        <w:tabs>
          <w:tab w:val="clear" w:pos="567"/>
        </w:tabs>
        <w:spacing w:line="240" w:lineRule="auto"/>
        <w:ind w:left="567" w:right="-2" w:hanging="567"/>
      </w:pPr>
      <w:r w:rsidRPr="00F45E7D">
        <w:t>Veikliosios medžiagos yra ksilometazolino hidrochloridas ir dekspantenolis.</w:t>
      </w:r>
    </w:p>
    <w:p w:rsidR="00E65073" w:rsidRPr="00F45E7D" w:rsidRDefault="00E65073" w:rsidP="00E65073">
      <w:pPr>
        <w:widowControl w:val="0"/>
        <w:autoSpaceDE w:val="0"/>
        <w:autoSpaceDN w:val="0"/>
        <w:adjustRightInd w:val="0"/>
      </w:pPr>
      <w:r w:rsidRPr="00F45E7D">
        <w:t>Kiekviename mililitre nosies purškalo (tirpalo) yra 0</w:t>
      </w:r>
      <w:proofErr w:type="gramStart"/>
      <w:r w:rsidRPr="00F45E7D">
        <w:t>,5</w:t>
      </w:r>
      <w:proofErr w:type="gramEnd"/>
      <w:r w:rsidRPr="00F45E7D">
        <w:t> mg ksilometazolino hidrochlorido ir 50 mg dekspantenolio.</w:t>
      </w:r>
    </w:p>
    <w:p w:rsidR="00E65073" w:rsidRPr="00F45E7D" w:rsidRDefault="00E65073" w:rsidP="00E65073">
      <w:pPr>
        <w:widowControl w:val="0"/>
        <w:autoSpaceDE w:val="0"/>
        <w:autoSpaceDN w:val="0"/>
        <w:adjustRightInd w:val="0"/>
      </w:pPr>
      <w:r w:rsidRPr="00F45E7D">
        <w:t>Viename išpurškime yra 0,1 ml nosies purškalo (tirpalo), kuriame yra 0,05 mg ksilometazolino hidrochlorido ir 5,0 mg dekspantenolio.</w:t>
      </w:r>
    </w:p>
    <w:p w:rsidR="00E65073" w:rsidRPr="00F45E7D" w:rsidRDefault="00E65073" w:rsidP="00E65073">
      <w:pPr>
        <w:widowControl w:val="0"/>
        <w:numPr>
          <w:ilvl w:val="0"/>
          <w:numId w:val="1"/>
        </w:numPr>
        <w:tabs>
          <w:tab w:val="clear" w:pos="567"/>
        </w:tabs>
        <w:spacing w:line="240" w:lineRule="auto"/>
        <w:ind w:left="567" w:right="-2" w:hanging="567"/>
        <w:rPr>
          <w:i/>
        </w:rPr>
      </w:pPr>
      <w:r w:rsidRPr="00F45E7D">
        <w:t>Pagalbinės medžiagos yra kalio-divandenilio fosfatas, dinatrio fosfatas dodekahidratas, išgrynintas vanduo.</w:t>
      </w:r>
      <w:r w:rsidRPr="007B479E">
        <w:t xml:space="preserve"> </w:t>
      </w:r>
      <w:r w:rsidRPr="00F45E7D">
        <w:t>Žr. 2 skyrių „Septanazal vaikams sudėtyje yra natrio“.</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Septanazal vaikams išvaizda ir kiekis pakuotėje</w:t>
      </w:r>
    </w:p>
    <w:p w:rsidR="00E65073" w:rsidRPr="00F45E7D" w:rsidRDefault="00E65073" w:rsidP="00E65073">
      <w:pPr>
        <w:widowControl w:val="0"/>
        <w:numPr>
          <w:ilvl w:val="12"/>
          <w:numId w:val="0"/>
        </w:numPr>
        <w:ind w:right="-2"/>
      </w:pPr>
      <w:r w:rsidRPr="00F45E7D">
        <w:t>Nosies purškalas (tirpalas) (nosies purškalas) yra skaidrus, bespalvis skystas tirpalas.</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 xml:space="preserve">Septanazal vaikams dėžutėje yra 10 ml nosies purškalo (tirpalo) plastikinėje purškalo talpyklėje su purškalo pompa. 10 ml nosies purškalo (tirpalo) pakanka </w:t>
      </w:r>
      <w:r>
        <w:rPr>
          <w:lang w:eastAsia="zh-CN" w:bidi="lo-LA"/>
        </w:rPr>
        <w:t>9</w:t>
      </w:r>
      <w:r w:rsidRPr="006614F2">
        <w:rPr>
          <w:lang w:eastAsia="zh-CN" w:bidi="lo-LA"/>
        </w:rPr>
        <w:t>0</w:t>
      </w:r>
      <w:r w:rsidRPr="00F45E7D">
        <w:t xml:space="preserve"> išpurškimų.</w:t>
      </w:r>
    </w:p>
    <w:p w:rsidR="00E65073" w:rsidRPr="00F45E7D" w:rsidRDefault="00E65073" w:rsidP="00E65073">
      <w:pPr>
        <w:widowControl w:val="0"/>
        <w:numPr>
          <w:ilvl w:val="12"/>
          <w:numId w:val="0"/>
        </w:numPr>
        <w:ind w:right="-2"/>
      </w:pPr>
    </w:p>
    <w:p w:rsidR="00E65073" w:rsidRPr="00F45E7D" w:rsidRDefault="00E65073" w:rsidP="00E65073">
      <w:pPr>
        <w:widowControl w:val="0"/>
        <w:jc w:val="both"/>
        <w:outlineLvl w:val="3"/>
        <w:rPr>
          <w:b/>
        </w:rPr>
      </w:pPr>
      <w:r w:rsidRPr="00F45E7D">
        <w:rPr>
          <w:b/>
        </w:rPr>
        <w:t>Registruotojas ir gamintojas</w:t>
      </w:r>
    </w:p>
    <w:p w:rsidR="00E65073" w:rsidRPr="00F45E7D" w:rsidRDefault="00E65073" w:rsidP="00E65073">
      <w:pPr>
        <w:widowControl w:val="0"/>
        <w:numPr>
          <w:ilvl w:val="12"/>
          <w:numId w:val="0"/>
        </w:numPr>
        <w:ind w:right="-2"/>
      </w:pPr>
    </w:p>
    <w:p w:rsidR="00E65073" w:rsidRPr="009A6143" w:rsidRDefault="00E65073" w:rsidP="00E65073">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E65073" w:rsidRPr="009A6143" w:rsidRDefault="00E65073" w:rsidP="00E65073">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E65073" w:rsidRPr="009A6143" w:rsidRDefault="00E65073" w:rsidP="00E65073">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E65073" w:rsidRPr="00F45E7D" w:rsidRDefault="00E65073" w:rsidP="00E65073">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t>Jeigu apie šį vaistą norite sužinoti daugiau, kreipkitės į vietinį registruotojo atstovą:</w:t>
      </w:r>
    </w:p>
    <w:p w:rsidR="00E65073" w:rsidRPr="00F45E7D" w:rsidRDefault="00E65073" w:rsidP="00E65073">
      <w:pPr>
        <w:widowControl w:val="0"/>
      </w:pPr>
    </w:p>
    <w:p w:rsidR="00E65073" w:rsidRPr="00F45E7D" w:rsidRDefault="00E65073" w:rsidP="00E65073">
      <w:pPr>
        <w:widowControl w:val="0"/>
        <w:rPr>
          <w:b/>
        </w:rPr>
      </w:pPr>
      <w:r w:rsidRPr="00F45E7D">
        <w:t>UAB Krka Lietuva</w:t>
      </w:r>
    </w:p>
    <w:p w:rsidR="00E65073" w:rsidRPr="00F45E7D" w:rsidRDefault="00E65073" w:rsidP="00E65073">
      <w:pPr>
        <w:widowControl w:val="0"/>
      </w:pPr>
      <w:r w:rsidRPr="00F45E7D">
        <w:t>Senasis Ukmergės kelias 4</w:t>
      </w:r>
    </w:p>
    <w:p w:rsidR="00E65073" w:rsidRPr="00F45E7D" w:rsidRDefault="00E65073" w:rsidP="00E65073">
      <w:pPr>
        <w:widowControl w:val="0"/>
      </w:pPr>
      <w:r w:rsidRPr="00F45E7D">
        <w:t>Užubalių km., Vilniaus r.</w:t>
      </w:r>
    </w:p>
    <w:p w:rsidR="00E65073" w:rsidRPr="00F45E7D" w:rsidRDefault="00E65073" w:rsidP="00E65073">
      <w:pPr>
        <w:widowControl w:val="0"/>
        <w:numPr>
          <w:ilvl w:val="12"/>
          <w:numId w:val="0"/>
        </w:numPr>
        <w:ind w:right="-2"/>
      </w:pPr>
      <w:r w:rsidRPr="00F45E7D">
        <w:t>LT -14013</w:t>
      </w:r>
    </w:p>
    <w:p w:rsidR="00E65073" w:rsidRPr="00F45E7D" w:rsidRDefault="00E65073" w:rsidP="00E65073">
      <w:pPr>
        <w:widowControl w:val="0"/>
        <w:numPr>
          <w:ilvl w:val="12"/>
          <w:numId w:val="0"/>
        </w:numPr>
        <w:ind w:right="-2"/>
      </w:pPr>
      <w:r w:rsidRPr="00F45E7D">
        <w:t>Tel.: + 370 5 236 27 40</w:t>
      </w:r>
    </w:p>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rPr>
          <w:b/>
        </w:rPr>
        <w:t xml:space="preserve">Šis vaistas </w:t>
      </w:r>
      <w:r w:rsidRPr="006614F2">
        <w:rPr>
          <w:b/>
          <w:lang w:eastAsia="zh-CN" w:bidi="lo-LA"/>
        </w:rPr>
        <w:t>E</w:t>
      </w:r>
      <w:r>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300"/>
      </w:tblGrid>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Čekija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děti</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Bulgarija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Септаназал за деца (Septanazal for children)</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Estija</w:t>
            </w:r>
          </w:p>
        </w:tc>
        <w:tc>
          <w:tcPr>
            <w:tcW w:w="6300" w:type="dxa"/>
            <w:shd w:val="clear" w:color="auto" w:fill="auto"/>
          </w:tcPr>
          <w:p w:rsidR="00E65073" w:rsidRPr="00F45E7D" w:rsidRDefault="00E65073" w:rsidP="00152B32">
            <w:pPr>
              <w:widowControl w:val="0"/>
              <w:rPr>
                <w:b/>
                <w:lang w:val="en-US"/>
              </w:rPr>
            </w:pPr>
            <w:r w:rsidRPr="009A6143">
              <w:rPr>
                <w:rFonts w:eastAsia="Calibri"/>
                <w:lang w:val="et-EE"/>
              </w:rPr>
              <w:t xml:space="preserve">Septanazal </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Vengrija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6614F2">
              <w:rPr>
                <w:lang w:val="cs-CZ"/>
              </w:rPr>
              <w:t>0,5 mg/1 ml + 50 mg/1 ml oldatos orrspray gyermekeknek</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Lietuva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0,5 mg/50 mg/ml nosies purškalas (tirpalas), </w:t>
            </w:r>
            <w:r w:rsidRPr="006614F2">
              <w:rPr>
                <w:lang w:val="cs-CZ"/>
              </w:rPr>
              <w:t>vaikams</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Latvija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0,5 mg/50 mg/ml deguna aerosols, šķīdums bērniem</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Lenkija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dzieci</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en-US"/>
              </w:rPr>
            </w:pPr>
            <w:r w:rsidRPr="00F45E7D">
              <w:rPr>
                <w:b/>
                <w:lang w:val="cs-CZ"/>
              </w:rPr>
              <w:t>Rumunija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pentru </w:t>
            </w:r>
            <w:r w:rsidRPr="006614F2">
              <w:rPr>
                <w:lang w:val="cs-CZ"/>
              </w:rPr>
              <w:t>copii</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cs-CZ"/>
              </w:rPr>
            </w:pPr>
            <w:r w:rsidRPr="00F45E7D">
              <w:rPr>
                <w:b/>
                <w:lang w:val="cs-CZ"/>
              </w:rPr>
              <w:t>Slovakija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deti</w:t>
            </w:r>
          </w:p>
        </w:tc>
      </w:tr>
      <w:tr w:rsidR="00E65073" w:rsidRPr="006614F2" w:rsidTr="00152B32">
        <w:tc>
          <w:tcPr>
            <w:tcW w:w="1859" w:type="dxa"/>
            <w:shd w:val="clear" w:color="auto" w:fill="auto"/>
          </w:tcPr>
          <w:p w:rsidR="00E65073" w:rsidRPr="00F45E7D" w:rsidRDefault="00E65073" w:rsidP="00152B32">
            <w:pPr>
              <w:widowControl w:val="0"/>
              <w:numPr>
                <w:ilvl w:val="12"/>
                <w:numId w:val="0"/>
              </w:numPr>
              <w:ind w:right="-2"/>
              <w:outlineLvl w:val="0"/>
              <w:rPr>
                <w:b/>
                <w:lang w:val="cs-CZ"/>
              </w:rPr>
            </w:pPr>
            <w:r w:rsidRPr="00F45E7D">
              <w:rPr>
                <w:b/>
                <w:lang w:val="cs-CZ"/>
              </w:rPr>
              <w:t>Slovėnija</w:t>
            </w:r>
          </w:p>
        </w:tc>
        <w:tc>
          <w:tcPr>
            <w:tcW w:w="6300" w:type="dxa"/>
            <w:shd w:val="clear" w:color="auto" w:fill="auto"/>
          </w:tcPr>
          <w:p w:rsidR="00E65073" w:rsidRPr="00F45E7D" w:rsidRDefault="00E65073" w:rsidP="00152B32">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otroke</w:t>
            </w:r>
          </w:p>
        </w:tc>
      </w:tr>
    </w:tbl>
    <w:p w:rsidR="00E65073" w:rsidRPr="00F45E7D" w:rsidRDefault="00E65073" w:rsidP="00E65073">
      <w:pPr>
        <w:widowControl w:val="0"/>
        <w:numPr>
          <w:ilvl w:val="12"/>
          <w:numId w:val="0"/>
        </w:numPr>
        <w:ind w:right="-2"/>
      </w:pPr>
    </w:p>
    <w:p w:rsidR="00E65073" w:rsidRPr="00F45E7D" w:rsidRDefault="00E65073" w:rsidP="00E65073">
      <w:pPr>
        <w:widowControl w:val="0"/>
        <w:numPr>
          <w:ilvl w:val="12"/>
          <w:numId w:val="0"/>
        </w:numPr>
        <w:ind w:right="-2"/>
      </w:pPr>
      <w:r w:rsidRPr="00F45E7D">
        <w:rPr>
          <w:b/>
        </w:rPr>
        <w:t xml:space="preserve">Šis pakuotės lapelis paskutinį kartą peržiūrėtas </w:t>
      </w:r>
      <w:r>
        <w:rPr>
          <w:b/>
          <w:lang w:eastAsia="zh-CN" w:bidi="lo-LA"/>
        </w:rPr>
        <w:t>2023-01-31</w:t>
      </w:r>
      <w:r w:rsidRPr="00F45E7D">
        <w:rPr>
          <w:b/>
        </w:rPr>
        <w:t>.</w:t>
      </w:r>
    </w:p>
    <w:p w:rsidR="00E65073" w:rsidRPr="00F45E7D" w:rsidRDefault="00E65073" w:rsidP="00E65073">
      <w:pPr>
        <w:widowControl w:val="0"/>
        <w:numPr>
          <w:ilvl w:val="12"/>
          <w:numId w:val="0"/>
        </w:numPr>
        <w:ind w:right="-2"/>
        <w:rPr>
          <w:i/>
        </w:rPr>
      </w:pPr>
    </w:p>
    <w:p w:rsidR="00E65073" w:rsidRPr="00F45E7D" w:rsidRDefault="00E65073" w:rsidP="00E65073">
      <w:pPr>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10" w:history="1">
        <w:r w:rsidRPr="009A6143">
          <w:rPr>
            <w:rFonts w:eastAsia="SimSun"/>
            <w:color w:val="0000FF"/>
            <w:u w:val="single"/>
          </w:rPr>
          <w:t>http://www.vvkt.lt/</w:t>
        </w:r>
      </w:hyperlink>
      <w:r w:rsidRPr="00F45E7D">
        <w:t>.</w:t>
      </w:r>
    </w:p>
    <w:p w:rsidR="00E65073" w:rsidRPr="004E5A77" w:rsidRDefault="00E65073" w:rsidP="00E65073"/>
    <w:p w:rsidR="009041DB" w:rsidRDefault="009041DB">
      <w:bookmarkStart w:id="2" w:name="_GoBack"/>
      <w:bookmarkEnd w:id="2"/>
    </w:p>
    <w:sectPr w:rsidR="009041DB" w:rsidSect="009A61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E650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E65073" w:rsidP="002F6271">
    <w:pPr>
      <w:pStyle w:val="Porat"/>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6</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Pr="002F6271" w:rsidRDefault="00E65073" w:rsidP="002F6271">
    <w:pPr>
      <w:pStyle w:val="Porat"/>
    </w:pPr>
    <w:r>
      <w:tab/>
    </w:r>
    <w:r>
      <w:tab/>
    </w:r>
    <w:r>
      <w:fldChar w:fldCharType="begin"/>
    </w:r>
    <w:r>
      <w:instrText xml:space="preserve"> EQ </w:instrText>
    </w:r>
    <w:r>
      <w:fldChar w:fldCharType="end"/>
    </w:r>
    <w:r>
      <w:tab/>
    </w:r>
    <w: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E650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9D" w:rsidRDefault="00E65073">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CEB" w:rsidRDefault="00E650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84999"/>
    <w:multiLevelType w:val="hybridMultilevel"/>
    <w:tmpl w:val="845E6804"/>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C4259D"/>
    <w:multiLevelType w:val="hybridMultilevel"/>
    <w:tmpl w:val="78DE6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7B761A"/>
    <w:multiLevelType w:val="hybridMultilevel"/>
    <w:tmpl w:val="8C3685A2"/>
    <w:lvl w:ilvl="0" w:tplc="966E6E3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73"/>
    <w:rsid w:val="00234094"/>
    <w:rsid w:val="002A211A"/>
    <w:rsid w:val="00344695"/>
    <w:rsid w:val="00356AB3"/>
    <w:rsid w:val="004216A4"/>
    <w:rsid w:val="005311B8"/>
    <w:rsid w:val="006860E9"/>
    <w:rsid w:val="009041DB"/>
    <w:rsid w:val="00975D35"/>
    <w:rsid w:val="00D9054B"/>
    <w:rsid w:val="00D95EFF"/>
    <w:rsid w:val="00E65073"/>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2AEB3-AEB0-48D8-9089-E8D1023A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073"/>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65073"/>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E65073"/>
    <w:rPr>
      <w:rFonts w:ascii="Arial" w:hAnsi="Arial" w:cs="Times New Roman"/>
      <w:noProof/>
      <w:sz w:val="16"/>
      <w:szCs w:val="20"/>
      <w:lang w:val="en-GB"/>
    </w:rPr>
  </w:style>
  <w:style w:type="paragraph" w:styleId="Antrats">
    <w:name w:val="header"/>
    <w:basedOn w:val="prastasis"/>
    <w:link w:val="AntratsDiagrama"/>
    <w:uiPriority w:val="99"/>
    <w:rsid w:val="00E65073"/>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E65073"/>
    <w:rPr>
      <w:rFonts w:ascii="Arial" w:hAnsi="Arial" w:cs="Times New Roman"/>
      <w:sz w:val="20"/>
      <w:szCs w:val="20"/>
      <w:lang w:val="en-GB"/>
    </w:rPr>
  </w:style>
  <w:style w:type="character" w:styleId="Puslapionumeris">
    <w:name w:val="page number"/>
    <w:basedOn w:val="Numatytasispastraiposriftas"/>
    <w:uiPriority w:val="99"/>
    <w:rsid w:val="00E6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8677</Words>
  <Characters>4946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2023-02-14T12:10:00Z</dcterms:created>
  <dcterms:modified xsi:type="dcterms:W3CDTF">2023-02-14T12:10:00Z</dcterms:modified>
</cp:coreProperties>
</file>