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90" w:rsidRPr="00B75D90" w:rsidRDefault="00B75D90" w:rsidP="00B75D90">
      <w:pPr>
        <w:widowControl w:val="0"/>
        <w:spacing w:after="0" w:line="240" w:lineRule="auto"/>
        <w:rPr>
          <w:rFonts w:ascii="Times New Roman" w:eastAsia="SimSun" w:hAnsi="Times New Roman" w:cs="Times New Roman"/>
        </w:rPr>
      </w:pPr>
      <w:bookmarkStart w:id="0" w:name="Tab"/>
      <w:bookmarkEnd w:id="0"/>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b/>
        </w:rPr>
      </w:pPr>
      <w:bookmarkStart w:id="1" w:name="_Toc129243096"/>
      <w:bookmarkStart w:id="2" w:name="_Toc129243221"/>
      <w:r w:rsidRPr="00B75D90">
        <w:rPr>
          <w:rFonts w:ascii="Times New Roman" w:eastAsia="SimSun" w:hAnsi="Times New Roman" w:cs="Times New Roman"/>
          <w:b/>
        </w:rPr>
        <w:t>I PRIEDAS</w:t>
      </w:r>
      <w:bookmarkEnd w:id="1"/>
      <w:bookmarkEnd w:id="2"/>
    </w:p>
    <w:p w:rsidR="00B75D90" w:rsidRPr="00B75D90" w:rsidRDefault="00B75D90" w:rsidP="00B75D90">
      <w:pPr>
        <w:widowControl w:val="0"/>
        <w:spacing w:after="0" w:line="240" w:lineRule="auto"/>
        <w:jc w:val="center"/>
        <w:rPr>
          <w:rFonts w:ascii="Times New Roman" w:eastAsia="SimSun" w:hAnsi="Times New Roman" w:cs="Times New Roman"/>
          <w:b/>
        </w:rPr>
      </w:pPr>
    </w:p>
    <w:p w:rsidR="00B75D90" w:rsidRPr="00B75D90" w:rsidRDefault="00B75D90" w:rsidP="00B75D90">
      <w:pPr>
        <w:widowControl w:val="0"/>
        <w:spacing w:after="0" w:line="240" w:lineRule="auto"/>
        <w:jc w:val="center"/>
        <w:rPr>
          <w:rFonts w:ascii="Times New Roman" w:eastAsia="SimSun" w:hAnsi="Times New Roman" w:cs="Times New Roman"/>
          <w:b/>
        </w:rPr>
      </w:pPr>
      <w:bookmarkStart w:id="3" w:name="_Toc129243097"/>
      <w:bookmarkStart w:id="4" w:name="_Toc129243222"/>
      <w:r w:rsidRPr="00B75D90">
        <w:rPr>
          <w:rFonts w:ascii="Times New Roman" w:eastAsia="SimSun" w:hAnsi="Times New Roman" w:cs="Times New Roman"/>
          <w:b/>
        </w:rPr>
        <w:t>PREPARATO CHARAKTERISTIKŲ SANTRAUKA</w:t>
      </w:r>
      <w:bookmarkEnd w:id="3"/>
      <w:bookmarkEnd w:id="4"/>
    </w:p>
    <w:p w:rsidR="00B75D90" w:rsidRPr="00B75D90" w:rsidRDefault="00B75D90" w:rsidP="00B75D90">
      <w:pPr>
        <w:widowControl w:val="0"/>
        <w:spacing w:after="0" w:line="240" w:lineRule="auto"/>
        <w:ind w:left="540" w:hanging="540"/>
        <w:rPr>
          <w:rFonts w:ascii="Times New Roman" w:eastAsia="SimSun" w:hAnsi="Times New Roman" w:cs="Times New Roman"/>
          <w:b/>
        </w:rPr>
      </w:pPr>
      <w:r w:rsidRPr="00B75D90">
        <w:rPr>
          <w:rFonts w:ascii="Times New Roman" w:eastAsia="SimSun" w:hAnsi="Times New Roman" w:cs="Times New Roman"/>
        </w:rPr>
        <w:br w:type="page"/>
      </w:r>
      <w:r w:rsidRPr="00B75D90">
        <w:rPr>
          <w:rFonts w:ascii="Times New Roman" w:eastAsia="SimSun" w:hAnsi="Times New Roman" w:cs="Times New Roman"/>
          <w:b/>
        </w:rPr>
        <w:lastRenderedPageBreak/>
        <w:t>1.</w:t>
      </w:r>
      <w:r w:rsidRPr="00B75D90">
        <w:rPr>
          <w:rFonts w:ascii="Times New Roman" w:eastAsia="SimSun" w:hAnsi="Times New Roman" w:cs="Times New Roman"/>
          <w:b/>
        </w:rPr>
        <w:tab/>
        <w:t>VAISTINIO PREPARATO PAVADINIMAS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Meapax 100 mg plėvele dengtos tabletės</w:t>
      </w: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Meapax 400 mg plėvele dengtos tabletės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r w:rsidRPr="00B75D90">
        <w:rPr>
          <w:rFonts w:ascii="Times New Roman" w:eastAsia="SimSun" w:hAnsi="Times New Roman" w:cs="Times New Roman"/>
          <w:b/>
        </w:rPr>
        <w:t>2.</w:t>
      </w:r>
      <w:r w:rsidRPr="00B75D90">
        <w:rPr>
          <w:rFonts w:ascii="Times New Roman" w:eastAsia="SimSun" w:hAnsi="Times New Roman" w:cs="Times New Roman"/>
          <w:b/>
        </w:rPr>
        <w:tab/>
        <w:t>KOKYBINĖ IR KIEKYBINĖ SUDĖTIS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Meapax 100 mg plėvele dengtos tabletės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Kiekvienoje plėvele dengtoje tabletėje yra 100 mg imatinibo, atitinkančio 119,50 mg imatinibo mesilato.</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u w:val="single"/>
        </w:rPr>
        <w:t>Pagalbinė medžiaga, kurios poveikis žinomas</w:t>
      </w:r>
      <w:r w:rsidRPr="00B75D90">
        <w:rPr>
          <w:rFonts w:ascii="Times New Roman" w:eastAsia="SimSun" w:hAnsi="Times New Roman" w:cs="Times New Roman"/>
        </w:rPr>
        <w:t>: laktozė monohidratas.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Kiekvienoje plėvele dengtoje tabletėje yra 114 mg laktozės.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Meapax 400 mg plėvele dengtos tabletės</w:t>
      </w: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Kiekvienoje plėvele dengtoje tabletėje yra 400 mg imatinibo, atitinkančio 478 mg imatinibo mesilato.</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u w:val="single"/>
        </w:rPr>
        <w:t>Pagalbinė medžiaga, kurios poveikis žinomas</w:t>
      </w:r>
      <w:r w:rsidRPr="00B75D90">
        <w:rPr>
          <w:rFonts w:ascii="Times New Roman" w:eastAsia="SimSun" w:hAnsi="Times New Roman" w:cs="Times New Roman"/>
          <w:highlight w:val="lightGray"/>
        </w:rPr>
        <w:t>: laktozė monohidratas.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highlight w:val="lightGray"/>
        </w:rPr>
        <w:t>Kiekvienoje plėvele dengtoje tabletėje yra 456 mg laktozės.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Visos pagalbinės medžiagos išvardytos 6.1 skyriuje.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r w:rsidRPr="00B75D90">
        <w:rPr>
          <w:rFonts w:ascii="Times New Roman" w:eastAsia="SimSun" w:hAnsi="Times New Roman" w:cs="Times New Roman"/>
          <w:b/>
        </w:rPr>
        <w:t>3.</w:t>
      </w:r>
      <w:r w:rsidRPr="00B75D90">
        <w:rPr>
          <w:rFonts w:ascii="Times New Roman" w:eastAsia="SimSun" w:hAnsi="Times New Roman" w:cs="Times New Roman"/>
          <w:b/>
        </w:rPr>
        <w:tab/>
        <w:t>FARMACINĖ FORMA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Plėvele dengta tabletė.</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rPr>
        <w:t>Meapax 100 mg plėvele dengtos tabletės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Rudai oranžinės spalvos, apvalios (</w:t>
      </w:r>
      <w:smartTag w:uri="urn:schemas-microsoft-com:office:smarttags" w:element="metricconverter">
        <w:smartTagPr>
          <w:attr w:name="ProductID" w:val="11 mm"/>
        </w:smartTagPr>
        <w:r w:rsidRPr="00B75D90">
          <w:rPr>
            <w:rFonts w:ascii="Times New Roman" w:eastAsia="SimSun" w:hAnsi="Times New Roman" w:cs="Times New Roman"/>
          </w:rPr>
          <w:t>11 mm</w:t>
        </w:r>
      </w:smartTag>
      <w:r w:rsidRPr="00B75D90">
        <w:rPr>
          <w:rFonts w:ascii="Times New Roman" w:eastAsia="SimSun" w:hAnsi="Times New Roman" w:cs="Times New Roman"/>
        </w:rPr>
        <w:t xml:space="preserve"> diametro), šiek tiek abipus išgaubtos plėvele dengtos tabletės nuožulniais kraštais ir su vagele vienoje pusėje. Tabletę galima padalyti į lygias dozes.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highlight w:val="lightGray"/>
          <w:lang w:val="cs-CZ"/>
        </w:rPr>
      </w:pPr>
      <w:r w:rsidRPr="00B75D90">
        <w:rPr>
          <w:rFonts w:ascii="Times New Roman" w:eastAsia="SimSun" w:hAnsi="Times New Roman" w:cs="Times New Roman"/>
          <w:highlight w:val="lightGray"/>
        </w:rPr>
        <w:t>Meapax 400 mg plėvele dengtos tabletės</w:t>
      </w: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 xml:space="preserve">Rudai oranžinės spalvos, ovalo formos, </w:t>
      </w:r>
      <w:smartTag w:uri="urn:schemas-microsoft-com:office:smarttags" w:element="metricconverter">
        <w:smartTagPr>
          <w:attr w:name="ProductID" w:val="22 mm"/>
        </w:smartTagPr>
        <w:r w:rsidRPr="00B75D90">
          <w:rPr>
            <w:rFonts w:ascii="Times New Roman" w:eastAsia="SimSun" w:hAnsi="Times New Roman" w:cs="Times New Roman"/>
            <w:highlight w:val="lightGray"/>
          </w:rPr>
          <w:t>22 mm</w:t>
        </w:r>
      </w:smartTag>
      <w:r w:rsidRPr="00B75D90">
        <w:rPr>
          <w:rFonts w:ascii="Times New Roman" w:eastAsia="SimSun" w:hAnsi="Times New Roman" w:cs="Times New Roman"/>
          <w:highlight w:val="lightGray"/>
        </w:rPr>
        <w:t xml:space="preserve"> ilgio ir </w:t>
      </w:r>
      <w:smartTag w:uri="urn:schemas-microsoft-com:office:smarttags" w:element="metricconverter">
        <w:smartTagPr>
          <w:attr w:name="ProductID" w:val="9 mm"/>
        </w:smartTagPr>
        <w:r w:rsidRPr="00B75D90">
          <w:rPr>
            <w:rFonts w:ascii="Times New Roman" w:eastAsia="SimSun" w:hAnsi="Times New Roman" w:cs="Times New Roman"/>
            <w:highlight w:val="lightGray"/>
          </w:rPr>
          <w:t>9 mm pločio,</w:t>
        </w:r>
      </w:smartTag>
      <w:r w:rsidRPr="00B75D90">
        <w:rPr>
          <w:rFonts w:ascii="Times New Roman" w:eastAsia="SimSun" w:hAnsi="Times New Roman" w:cs="Times New Roman"/>
          <w:highlight w:val="lightGray"/>
        </w:rPr>
        <w:t xml:space="preserve"> abipus išgaubtos plėvele dengtos tabletės.</w:t>
      </w:r>
    </w:p>
    <w:p w:rsidR="00B75D90" w:rsidRPr="00B75D90" w:rsidRDefault="00B75D90" w:rsidP="00B75D90">
      <w:pPr>
        <w:widowControl w:val="0"/>
        <w:spacing w:after="0" w:line="240" w:lineRule="auto"/>
        <w:ind w:left="567" w:hanging="567"/>
        <w:rPr>
          <w:rFonts w:ascii="Times New Roman" w:eastAsia="SimSun" w:hAnsi="Times New Roman" w:cs="Times New Roman"/>
        </w:rPr>
      </w:pPr>
    </w:p>
    <w:p w:rsidR="00B75D90" w:rsidRPr="00B75D90" w:rsidRDefault="00B75D90" w:rsidP="00B75D90">
      <w:pPr>
        <w:widowControl w:val="0"/>
        <w:spacing w:after="0" w:line="240" w:lineRule="auto"/>
        <w:ind w:left="567" w:hanging="567"/>
        <w:rPr>
          <w:rFonts w:ascii="Times New Roman" w:eastAsia="SimSun" w:hAnsi="Times New Roman" w:cs="Times New Roman"/>
        </w:rPr>
      </w:pPr>
    </w:p>
    <w:p w:rsidR="00B75D90" w:rsidRPr="00B75D90" w:rsidRDefault="00B75D90" w:rsidP="00B75D90">
      <w:pPr>
        <w:widowControl w:val="0"/>
        <w:spacing w:after="0" w:line="240" w:lineRule="auto"/>
        <w:ind w:left="567" w:hanging="567"/>
        <w:rPr>
          <w:rFonts w:ascii="Times New Roman" w:eastAsia="SimSun" w:hAnsi="Times New Roman" w:cs="Times New Roman"/>
          <w:b/>
        </w:rPr>
      </w:pPr>
      <w:r w:rsidRPr="00B75D90">
        <w:rPr>
          <w:rFonts w:ascii="Times New Roman" w:eastAsia="SimSun" w:hAnsi="Times New Roman" w:cs="Times New Roman"/>
          <w:b/>
        </w:rPr>
        <w:t>4.</w:t>
      </w:r>
      <w:r w:rsidRPr="00B75D90">
        <w:rPr>
          <w:rFonts w:ascii="Times New Roman" w:eastAsia="SimSun" w:hAnsi="Times New Roman" w:cs="Times New Roman"/>
          <w:b/>
        </w:rPr>
        <w:tab/>
        <w:t>KLINIKINĖ INFORMACIJA</w:t>
      </w:r>
    </w:p>
    <w:p w:rsidR="00B75D90" w:rsidRPr="00B75D90" w:rsidRDefault="00B75D90" w:rsidP="00B75D90">
      <w:pPr>
        <w:widowControl w:val="0"/>
        <w:spacing w:after="0" w:line="240" w:lineRule="auto"/>
        <w:ind w:left="567" w:hanging="567"/>
        <w:rPr>
          <w:rFonts w:ascii="Times New Roman" w:eastAsia="SimSun" w:hAnsi="Times New Roman" w:cs="Times New Roman"/>
        </w:rPr>
      </w:pPr>
    </w:p>
    <w:p w:rsidR="00B75D90" w:rsidRPr="00B75D90" w:rsidRDefault="00B75D90" w:rsidP="00B75D90">
      <w:pPr>
        <w:widowControl w:val="0"/>
        <w:spacing w:after="0" w:line="240" w:lineRule="auto"/>
        <w:ind w:left="567" w:hanging="567"/>
        <w:rPr>
          <w:rFonts w:ascii="Times New Roman" w:eastAsia="SimSun" w:hAnsi="Times New Roman" w:cs="Times New Roman"/>
          <w:b/>
        </w:rPr>
      </w:pPr>
      <w:r w:rsidRPr="00B75D90">
        <w:rPr>
          <w:rFonts w:ascii="Times New Roman" w:eastAsia="SimSun" w:hAnsi="Times New Roman" w:cs="Times New Roman"/>
          <w:b/>
        </w:rPr>
        <w:t>4.1</w:t>
      </w:r>
      <w:r w:rsidRPr="00B75D90">
        <w:rPr>
          <w:rFonts w:ascii="Times New Roman" w:eastAsia="SimSun" w:hAnsi="Times New Roman" w:cs="Times New Roman"/>
          <w:b/>
        </w:rPr>
        <w:tab/>
        <w:t>Terapinės indikacijos</w:t>
      </w:r>
    </w:p>
    <w:p w:rsidR="00B75D90" w:rsidRPr="00B75D90" w:rsidRDefault="00B75D90" w:rsidP="00B75D90">
      <w:pPr>
        <w:widowControl w:val="0"/>
        <w:spacing w:after="0" w:line="240" w:lineRule="auto"/>
        <w:ind w:left="567" w:hanging="567"/>
        <w:rPr>
          <w:rFonts w:ascii="Times New Roman" w:eastAsia="SimSun" w:hAnsi="Times New Roman" w:cs="Times New Roman"/>
        </w:rPr>
      </w:pPr>
    </w:p>
    <w:p w:rsidR="00B75D90" w:rsidRPr="00B75D90" w:rsidRDefault="00B75D90" w:rsidP="00B75D90">
      <w:pPr>
        <w:widowControl w:val="0"/>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Meapax skirtas gydyti:</w:t>
      </w:r>
    </w:p>
    <w:p w:rsidR="00B75D90" w:rsidRPr="00B75D90" w:rsidRDefault="00B75D90" w:rsidP="00B75D90">
      <w:pPr>
        <w:widowControl w:val="0"/>
        <w:numPr>
          <w:ilvl w:val="0"/>
          <w:numId w:val="23"/>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vaikus, kuriems naujai diagnozuota Filadelfijos (</w:t>
      </w:r>
      <w:r w:rsidRPr="00B75D90">
        <w:rPr>
          <w:rFonts w:ascii="Times New Roman" w:eastAsia="SimSun" w:hAnsi="Times New Roman" w:cs="Times New Roman"/>
          <w:i/>
        </w:rPr>
        <w:t>Philadelphia</w:t>
      </w:r>
      <w:r w:rsidRPr="00B75D90">
        <w:rPr>
          <w:rFonts w:ascii="Times New Roman" w:eastAsia="SimSun" w:hAnsi="Times New Roman" w:cs="Times New Roman"/>
        </w:rPr>
        <w:t>)</w:t>
      </w:r>
      <w:r w:rsidRPr="00B75D90">
        <w:rPr>
          <w:rFonts w:ascii="Times New Roman" w:eastAsia="SimSun" w:hAnsi="Times New Roman" w:cs="Times New Roman"/>
          <w:i/>
        </w:rPr>
        <w:t xml:space="preserve"> </w:t>
      </w:r>
      <w:r w:rsidRPr="00B75D90">
        <w:rPr>
          <w:rFonts w:ascii="Times New Roman" w:eastAsia="SimSun" w:hAnsi="Times New Roman" w:cs="Times New Roman"/>
        </w:rPr>
        <w:t>chromosomai (</w:t>
      </w:r>
      <w:r w:rsidRPr="00B75D90">
        <w:rPr>
          <w:rFonts w:ascii="Times New Roman" w:eastAsia="SimSun" w:hAnsi="Times New Roman" w:cs="Times New Roman"/>
          <w:i/>
        </w:rPr>
        <w:t>bcr-abl</w:t>
      </w:r>
      <w:r w:rsidRPr="00B75D90">
        <w:rPr>
          <w:rFonts w:ascii="Times New Roman" w:eastAsia="SimSun" w:hAnsi="Times New Roman" w:cs="Times New Roman"/>
        </w:rPr>
        <w:t>) teigiama (Ph+) lėtinė mieloleukemija (LML) ir kuriems kaulų čiulpų transplantacija nėra pirmojo pasirinkimo gydymas;</w:t>
      </w:r>
    </w:p>
    <w:p w:rsidR="00B75D90" w:rsidRPr="00B75D90" w:rsidRDefault="00B75D90" w:rsidP="00B75D90">
      <w:pPr>
        <w:widowControl w:val="0"/>
        <w:numPr>
          <w:ilvl w:val="0"/>
          <w:numId w:val="23"/>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vaikus, kuriems yra</w:t>
      </w:r>
      <w:r w:rsidRPr="00B75D90">
        <w:rPr>
          <w:rFonts w:ascii="Times New Roman" w:eastAsia="SimSun" w:hAnsi="Times New Roman" w:cs="Times New Roman"/>
          <w:szCs w:val="20"/>
          <w:lang w:val="cs-CZ"/>
        </w:rPr>
        <w:t xml:space="preserve"> </w:t>
      </w:r>
      <w:r w:rsidRPr="00B75D90">
        <w:rPr>
          <w:rFonts w:ascii="Times New Roman" w:eastAsia="SimSun" w:hAnsi="Times New Roman" w:cs="Times New Roman"/>
          <w:i/>
        </w:rPr>
        <w:t>Ph+</w:t>
      </w:r>
      <w:r w:rsidRPr="00B75D90">
        <w:rPr>
          <w:rFonts w:ascii="Times New Roman" w:eastAsia="SimSun" w:hAnsi="Times New Roman" w:cs="Times New Roman"/>
        </w:rPr>
        <w:t xml:space="preserve"> LML lėtinė fazė (po nesėkmingo gydymo interferonu alfa), akceleracijos fazė arba blastinė krizė;</w:t>
      </w:r>
    </w:p>
    <w:p w:rsidR="00B75D90" w:rsidRPr="00B75D90" w:rsidRDefault="00B75D90" w:rsidP="00B75D90">
      <w:pPr>
        <w:widowControl w:val="0"/>
        <w:numPr>
          <w:ilvl w:val="0"/>
          <w:numId w:val="3"/>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suaugusiuosius, kuriems yra Ph+ LML blastinė krizė;</w:t>
      </w:r>
    </w:p>
    <w:p w:rsidR="00B75D90" w:rsidRPr="00B75D90" w:rsidRDefault="00B75D90" w:rsidP="00B75D90">
      <w:pPr>
        <w:widowControl w:val="0"/>
        <w:numPr>
          <w:ilvl w:val="0"/>
          <w:numId w:val="23"/>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suaugusiuosius ir vaikus, kuriems naujai diagnozuota Filadelfijos chromosomai teigiama ūminė limfoblastinė leukemija (Ph+ ŪLL) (kartu skiriant ir kitą chemoterapiją);</w:t>
      </w:r>
    </w:p>
    <w:p w:rsidR="00B75D90" w:rsidRPr="00B75D90" w:rsidRDefault="00B75D90" w:rsidP="00B75D90">
      <w:pPr>
        <w:widowControl w:val="0"/>
        <w:numPr>
          <w:ilvl w:val="0"/>
          <w:numId w:val="23"/>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suaugusiuosius, sergančius recidyvine arba atsparia Ph+ ŪLL (monoterapija);</w:t>
      </w:r>
    </w:p>
    <w:p w:rsidR="00B75D90" w:rsidRPr="00B75D90" w:rsidRDefault="00B75D90" w:rsidP="00B75D90">
      <w:pPr>
        <w:widowControl w:val="0"/>
        <w:numPr>
          <w:ilvl w:val="0"/>
          <w:numId w:val="23"/>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 xml:space="preserve">suaugusiuosius, sergančius mielodisplazinėmis ar mieloproliferacinėmis ligomis (MDS, MPL), susijusiomis su trombocitų kilmės augimo faktoriaus receptoriaus (angl., </w:t>
      </w:r>
      <w:r w:rsidRPr="00B75D90">
        <w:rPr>
          <w:rFonts w:ascii="Times New Roman" w:eastAsia="SimSun" w:hAnsi="Times New Roman" w:cs="Times New Roman"/>
          <w:i/>
        </w:rPr>
        <w:t>platelet-derived growth factor receptor</w:t>
      </w:r>
      <w:r w:rsidRPr="00B75D90">
        <w:rPr>
          <w:rFonts w:ascii="Times New Roman" w:eastAsia="SimSun" w:hAnsi="Times New Roman" w:cs="Times New Roman"/>
        </w:rPr>
        <w:t>, PDGFR) genų pokyčiais;</w:t>
      </w:r>
    </w:p>
    <w:p w:rsidR="00B75D90" w:rsidRPr="00B75D90" w:rsidRDefault="00B75D90" w:rsidP="00B75D90">
      <w:pPr>
        <w:widowControl w:val="0"/>
        <w:numPr>
          <w:ilvl w:val="0"/>
          <w:numId w:val="23"/>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 xml:space="preserve">suaugusiuosius, sergančius progresavusiu hipereozinofilijos sindromu (HES) ir (arba) lėtine </w:t>
      </w:r>
      <w:r w:rsidRPr="00B75D90">
        <w:rPr>
          <w:rFonts w:ascii="Times New Roman" w:eastAsia="SimSun" w:hAnsi="Times New Roman" w:cs="Times New Roman"/>
        </w:rPr>
        <w:lastRenderedPageBreak/>
        <w:t>eozinofiline leukemija (LEL) su FIP1L1-PDGFRα pokyčiu.</w:t>
      </w:r>
    </w:p>
    <w:p w:rsidR="00B75D90" w:rsidRPr="00B75D90" w:rsidRDefault="00B75D90" w:rsidP="00B75D90">
      <w:pPr>
        <w:widowControl w:val="0"/>
        <w:spacing w:after="0" w:line="240" w:lineRule="auto"/>
        <w:ind w:left="567" w:hanging="567"/>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Imatinibo poveikis kaulų čiulpų transplantacijos rezultatams nenustatytas.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Be to, imatininbas skirtas:</w:t>
      </w:r>
    </w:p>
    <w:p w:rsidR="00B75D90" w:rsidRPr="00B75D90" w:rsidRDefault="00B75D90" w:rsidP="00B75D90">
      <w:pPr>
        <w:widowControl w:val="0"/>
        <w:numPr>
          <w:ilvl w:val="0"/>
          <w:numId w:val="5"/>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suaugusiesiems, kuriems yra Kit (CD 117) teigiamas nešalintinas ir (arba) metastazavęs piktybinis virškinimo trakto stromos navikas (VTSN);</w:t>
      </w:r>
    </w:p>
    <w:p w:rsidR="00B75D90" w:rsidRPr="00B75D90" w:rsidRDefault="00B75D90" w:rsidP="00B75D90">
      <w:pPr>
        <w:widowControl w:val="0"/>
        <w:numPr>
          <w:ilvl w:val="0"/>
          <w:numId w:val="5"/>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adjuvantiniam suaugusiųjų, kuriems po atlikto Kit (CD 117) teigiamo VTSN pašalinimo yra reikšmingai padidėjusi atkryčio rizika, gydymui. Pacientai, kuriems yra maža ar labai maža atkryčio rizika, neturėtų gauti adjuvantinio gydymo;</w:t>
      </w:r>
    </w:p>
    <w:p w:rsidR="00B75D90" w:rsidRPr="00B75D90" w:rsidRDefault="00B75D90" w:rsidP="00B75D90">
      <w:pPr>
        <w:widowControl w:val="0"/>
        <w:numPr>
          <w:ilvl w:val="0"/>
          <w:numId w:val="5"/>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 xml:space="preserve">suaugusiesiems, kuriems yra nešalintina iškilioji dermatofibrosarkoma (angl., </w:t>
      </w:r>
      <w:r w:rsidRPr="00B75D90">
        <w:rPr>
          <w:rFonts w:ascii="Times New Roman" w:eastAsia="SimSun" w:hAnsi="Times New Roman" w:cs="Times New Roman"/>
          <w:i/>
        </w:rPr>
        <w:t>dermatofibrosarcoma protuberans,</w:t>
      </w:r>
      <w:r w:rsidRPr="00B75D90">
        <w:rPr>
          <w:rFonts w:ascii="Times New Roman" w:eastAsia="SimSun" w:hAnsi="Times New Roman" w:cs="Times New Roman"/>
        </w:rPr>
        <w:t xml:space="preserve"> DFSP) arba pasikartojanti ir (arba) metastazavusi DFSP, jei netinka chirurginis gydymas.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Imatinibo veiksmingumas LML sergantiems vaikams ir suaugusiesiems grindžiamas bendruoju hematologinio ir citologinio atsako dažniu ir gyvenimo trukme be ligos progresavimo, hematologiniu ir citogenetiniu atsako dažniu, sergant Ph+ ŪLL ar MDS/MPL, hematologiniu atsako dažniu, kai yra HES ar LEL, objektyvaus atsako dažniu suaugusiesiems, sergantiems nešalintinu ir (arba) metastaziniu VTSN ir DFSP, ir išgyvenamumo be ligos atkryčio trukme, kai vaistinio preparato skiriama adjuvantiniam VTSN gydymui. Patirtis gydant imatinibu pacientus, sergančius MDS arba MPL, susijusia su PDGF geno pokyčiais, yra labai maža (žr. 5.1 skyrių). Kontroliuojamų tyrimų, kurie rodytų klinikinę naudą arba pailgėjusią gyvenimo trukmę gydant šias ligas, nėra.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r w:rsidRPr="00B75D90">
        <w:rPr>
          <w:rFonts w:ascii="Times New Roman" w:eastAsia="SimSun" w:hAnsi="Times New Roman" w:cs="Times New Roman"/>
          <w:b/>
        </w:rPr>
        <w:t>4.2</w:t>
      </w:r>
      <w:r w:rsidRPr="00B75D90">
        <w:rPr>
          <w:rFonts w:ascii="Times New Roman" w:eastAsia="SimSun" w:hAnsi="Times New Roman" w:cs="Times New Roman"/>
          <w:b/>
        </w:rPr>
        <w:tab/>
        <w:t>Dozavimas ir vartojimo metodas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Dozavimas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Gydymą pradėti gali tik gydytojas, turintis pacientų, sergančių piktybinėmis kraujo ligomis ar sarkomomis, gydymo patirties.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Skiriant 400 mg ar didesnes dozes (žr. toliau esančias dozavimo rekomendacijas), tiekiamos 400 mg tabletės (tabletė negali būti dalijama).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highlight w:val="lightGray"/>
        </w:rPr>
        <w:t>Kitokias kaip 400 mg ir 800 mg dozes (žr. toliau esančias dozavimo rekomendacijas) galima skirti tiekiamomis 100 mg tabletėmis (tabletes galima dalinti).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Dozavimas suaugusiems pacientams, kuriems diagnozuota LML</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Rekomenduojama Meapax dozė suaugusiesiems, kuriems pasireiškia blastinė krizė, yra 600 mg per parą. Blatinė krizė yra diagnozuojama, kai blastų kiekis kraujyje ar kaulų čiulpuose yra ≥ 30 % arba pacientas serga kitokia nei hepatosplenomegalija ekstrameduline liga.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Gydymo trukmė. Klinikinių tyrimų duomenimis, imatinibo vartojimas buvo tęstas tol, kol liga pradėjo progresuoti. Poveikis nutraukus gydymą po to, kai buvo pasiektas visiškas citogenetinis atsakas, netirtas.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Pacientams dozę galima apgalvotai padidinti nuo 600 mg iki didžiausios 800 mg dozės (skiriant vartoti po 400 mg du kartus per parą), kai yra blastinė krizė ir nėra sunkių nepageidaujamų vaistinio preparato reakcijų ar sunkios su leukemija susijusios neutropenijos ar trombocitopenijos, kai yra tokių aplinkybių: liga progresuoja (bet kuriuo laiku), nepasiekus reikiamo hematologinio atsako per ne trumpesnį kaip 3 mėnesių gydymo laikotarpį, nepasiekus citogenetinio atsako po 12 mėnesių gydymo arba išnykus buvusiam hematologiniam ir (arba) citogenetiniam atsakui. Padidinus dozę, pacientus reikia atidžiai stebėti dėl galimų nepageidaujamų reakcijų vartojant didesnes dozes.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Dozavimas vaikams, kuriems diagnozuota LML</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Dozę vaikams reikia apskaičiuoti pagal kūno paviršiaus plotą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Vaikams, kuriems yra diagnozuota LML lėtinė fazė arba progresavusi LML, rekomenduojama vartoti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dozę per </w:t>
      </w:r>
      <w:r w:rsidRPr="00B75D90">
        <w:rPr>
          <w:rFonts w:ascii="Times New Roman" w:eastAsia="SimSun" w:hAnsi="Times New Roman" w:cs="Times New Roman"/>
        </w:rPr>
        <w:lastRenderedPageBreak/>
        <w:t>parą (negalima vartoti didesnės kaip 800 mg bendros dozės). Galima skirti vienkartinę vaistinio preparato paros dozę arba paros dozę galima dalyti į dvi dalis ir vieną dozę išgerti ryte, kitą – vakare. Dabartinės dozavimo rekomendacijos pagrįstos nedidelio skaičiaus vaikų gydymo patirtimi (žr. 5.1 ir 5.2 skyrius).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Jaunesnių kaip 2 metų kūdikių gydymo patirties nėra.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Vaikams, kuriems neatsiranda sunkios reakcijos į vaistinį preparatą arba sunkių su leukemija nesusijusių neutropenijos ar trombocitopenijos, dozę galima padidinti nuo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iki 570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per parą (negalima vartoti didesnės kaip 800 mg bendros dozės), kai yra tokių aplinkybių: liga progresuoja (bet kuriuo laiku), nepasiekus reikiamo hematologinio atsako per ne trumpesnį kaip 3 mėnesių gydymo laikotarpį, nepasiekus citogenetinio atsako po 12 mėnesių gydymo arba išnykus buvusiam hematologiniam ir (arba) citogenetiniam atsakui. Padidinus dozę, pacientus reikia atidžiai stebėti dėl galimų nepageidaujamų reakcijų vartojant didesnes dozes.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Dozavimas, kai yra suaugusiųjų Ph+ ŪLL</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Ph+ ŪLL sergantiems suaugusiesiems pacientams rekomenduojama Meapax dozė yra 600 mg per parą.</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Visų fazių metu gydymui turi vadovauti hematologai, turintys šios ligos gydymo patirties.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Times New Roman" w:hAnsi="Times New Roman" w:cs="Times New Roman"/>
          <w:lang w:val="cs-CZ" w:eastAsia="sl-SI"/>
        </w:rPr>
      </w:pPr>
      <w:r w:rsidRPr="00B75D90">
        <w:rPr>
          <w:rFonts w:ascii="Times New Roman" w:eastAsia="SimSun" w:hAnsi="Times New Roman" w:cs="Times New Roman"/>
        </w:rPr>
        <w:t xml:space="preserve">Gydymo planas. Pagal turimus duomenis, Meapax 600 mg per parą dozė buvo efektyvi ir saugi kartu su chemoterapiniais vaistiniais preparatais pradinės, dozės didinimo ir palaikomosios chemoterapijos fazės metu suaugusiems pacientams, kuriems pirmą kartą diagnozuota Ph+ ŪLL (žr. 5.1 skyrių). </w:t>
      </w:r>
      <w:r w:rsidRPr="00B75D90">
        <w:rPr>
          <w:rFonts w:ascii="Times New Roman" w:eastAsia="Times New Roman" w:hAnsi="Times New Roman" w:cs="Times New Roman"/>
          <w:lang w:val="cs-CZ" w:eastAsia="sl-SI"/>
        </w:rPr>
        <w:t>Gydymo Meapax trukmė gali priklausyti nuo pasirinktos gydymo programos, bet dažniausiai ilgiau vartojant Meapax rezultatai buvo geresni.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Suaugusiesiems pacientams, kuriems yra recidyvas ar gydymui atspari Ph+ ŪLL, gydymas vien tik Meapax po 600 mg per parą yra saugus, efektyvus ir gali būti skiriamas, kol liga pradės progresuoti.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Dozavimas, kai yra vaikų Ph+ ŪLL</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Vaikams dozuojama pagal kūno paviršiaus plotą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Kai yra Ph+ ŪLL, vaikams rekomenduojama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paros dozė (bendros 600 mg dozės viršyti negalima).</w:t>
      </w:r>
    </w:p>
    <w:p w:rsidR="00B75D90" w:rsidRPr="00B75D90" w:rsidRDefault="00B75D90" w:rsidP="00B75D90">
      <w:pPr>
        <w:widowControl w:val="0"/>
        <w:spacing w:after="0" w:line="240" w:lineRule="auto"/>
        <w:rPr>
          <w:rFonts w:ascii="Times New Roman" w:eastAsia="SimSun" w:hAnsi="Times New Roman" w:cs="Times New Roman"/>
          <w:u w:val="single"/>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Dozavimas, kai yra MDS arba MPL</w:t>
      </w:r>
    </w:p>
    <w:p w:rsidR="00B75D90" w:rsidRPr="00B75D90" w:rsidRDefault="00B75D90" w:rsidP="00B75D90">
      <w:pPr>
        <w:widowControl w:val="0"/>
        <w:spacing w:after="0" w:line="240" w:lineRule="auto"/>
        <w:rPr>
          <w:rFonts w:ascii="Times New Roman" w:eastAsia="Times New Roman" w:hAnsi="Times New Roman" w:cs="Times New Roman"/>
          <w:lang w:val="cs-CZ" w:eastAsia="sl-SI"/>
        </w:rPr>
      </w:pPr>
      <w:r w:rsidRPr="00B75D90">
        <w:rPr>
          <w:rFonts w:ascii="Times New Roman" w:eastAsia="SimSun" w:hAnsi="Times New Roman" w:cs="Times New Roman"/>
        </w:rPr>
        <w:t xml:space="preserve">MDS ar MPL sergantiems suaugusiesiems pacientams rekomenduojama Meapax dozė yra 400 mg per </w:t>
      </w:r>
      <w:r w:rsidRPr="00B75D90">
        <w:rPr>
          <w:rFonts w:ascii="Times New Roman" w:eastAsia="Times New Roman" w:hAnsi="Times New Roman" w:cs="Times New Roman"/>
          <w:lang w:val="cs-CZ" w:eastAsia="sl-SI"/>
        </w:rPr>
        <w:t>parą.</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Gydymo trukmė. Klinikinio tyrimo, tęsiamo iki šiol, metu gydymas imatinibu buvo tęsiamas iki ligos progresavimo (žr. 5.1 skyrių). Tyrimo metu gydymo vidutinė trukmė buvo 47 mėnesiai (nuo 24 dienų iki 60 mėnesių).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Dozavimas, kai yra HES arba LEL</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Rekomenduojama Meapax dozė suaugusiesiems pacientams, sergantiems HES arba LEL, yra 100 mg per parą.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Galima didinti dozę nuo 100 mg iki 400 mg per parą, jei nėra nepageidaujamų reakcijų ir negaunama pakankamo atsako į gydymą.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Gydymą reikia tęsti tol, kol pacientui stebimas teigiamas poveikis.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Dozavimas pacientams, kuriems yra VTSN</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Rekomenduojama Meapax dozė suaugusiesiems pacientams, kuriems yra nerezekuotinas ir (ar) metastazavęs piktybinis VTSN, yra 400 mg per parą.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Dar mažai duomenų apie nuo 400 mg iki 600 mg ar 800 mg padidintos dozės poveikį pacientams, kuriems liga progresavo vartojant mažesnę dozę (žr. 5.1 skyrių).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Gydymo trukmė. Klinikinių tyrimų metu VTSN sergantys pacientai imatinibu buvo gydomi iki ligos progresavimo. Analizės metu nustatyta, kad vidutinė gydymo trukmė buvo 7 mėnesiai (nuo 7 dienų iki 13 mėnesių). Gydymo nutraukimo poveikis po gauto atsako netirtas.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Rekomenduojama Meapax dozė adjuvantiniam suaugusiųjų, kuriems atlikta VTSN rezekcija, gydymui yra 400 mg per parą. Optimali gydymo trukmė kol kas nenustatyta. Klinikinių tyrimų duomenimis gydymo trukmė šiai indikacijai truko 36 mėnesius (žr. 5.1 skyrių).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Dozavimas, kai yra DFSP</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DFSP sergantiems suaugusiesiems pacientams rekomenduojama Meapax dozė yra 800 mg per parą.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Dozės keitimas, pasireiškus nepageidaujamoms reakcijoms</w:t>
      </w:r>
    </w:p>
    <w:p w:rsidR="00B75D90" w:rsidRPr="00B75D90" w:rsidRDefault="00B75D90" w:rsidP="00B75D90">
      <w:pPr>
        <w:widowControl w:val="0"/>
        <w:spacing w:after="0" w:line="240" w:lineRule="auto"/>
        <w:rPr>
          <w:rFonts w:ascii="Times New Roman" w:eastAsia="SimSun" w:hAnsi="Times New Roman" w:cs="Times New Roman"/>
          <w:u w:val="single"/>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Nehematologinės nepageidaujamos reakcijos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Jeigu vartojant imatinibą pasireiškia sunki nehematologinė nepageidaujama reakcija, reikia nutraukti gydymą tol, kol šie reiškiniai išnyksta. Vėliau gydymą galima atnaujinti, atsižvelgiant į pradinį nepageidaujamų reiškinių sunkumą.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Jei bilirubino koncentracijos padidėjimas daugiau nei 3 kartus viršija viršutinę normos ribą (VNR) arba kepenų transaminazių suaktyvėjimas daugiau nei 5 kartus viršija VNR, reikia nutraukti imatinibo vartojimą tol, kol bilirubino koncentracijos vėl tampa mažesnė kaip 1,5 x VNR ar transaminazių aktyvumas mažesnis negu 2,5 VNR. Vėliau gydymą imatinibu galima atnaujinti, vartojant mažesnę paros dozę. Suaugusiesiems dozę reikia sumažinti nuo 400 mg iki 300 mg arba nuo 600 mg iki 400 mg, arba nuo 800 mg iki 600 mg, o vaikams – nuo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per parą iki 260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per parą.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Hematologinės nepageidaujamos reakcijos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Dozės mažinimo ir gydymo pertraukimo, pasireiškus sunkiai neutropenijai arba trombocitopenijai, rekomendacijos pateiktos toliau esančioje lentelėje.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Dozės keitimas dėl neutropenijos ir trombocitopenijos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967"/>
        <w:gridCol w:w="2967"/>
      </w:tblGrid>
      <w:tr w:rsidR="00B75D90" w:rsidRPr="00B75D90" w:rsidTr="00533723">
        <w:trPr>
          <w:trHeight w:val="1173"/>
        </w:trPr>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HES, LEL (pradinė dozė - 100 mg)</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ANS &lt; 1,0 x 10</w:t>
            </w:r>
            <w:r w:rsidRPr="00B75D90">
              <w:rPr>
                <w:rFonts w:ascii="Times New Roman" w:eastAsia="Times New Roman" w:hAnsi="Times New Roman" w:cs="Times New Roman"/>
                <w:noProof/>
                <w:color w:val="000000"/>
                <w:position w:val="-4"/>
                <w:szCs w:val="20"/>
                <w:lang w:eastAsia="lt-LT"/>
              </w:rPr>
              <w:drawing>
                <wp:inline distT="0" distB="0" distL="0" distR="0">
                  <wp:extent cx="76200" cy="180975"/>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B75D90">
              <w:rPr>
                <w:rFonts w:ascii="Times New Roman" w:eastAsia="SimSun" w:hAnsi="Times New Roman" w:cs="Times New Roman"/>
                <w:color w:val="000000"/>
                <w:szCs w:val="20"/>
                <w:lang w:val="sl-SI"/>
              </w:rPr>
              <w:t>/</w:t>
            </w:r>
            <w:r w:rsidRPr="00B75D90">
              <w:rPr>
                <w:rFonts w:ascii="Times New Roman" w:eastAsia="SimSun" w:hAnsi="Times New Roman" w:cs="Times New Roman"/>
                <w:color w:val="000000"/>
                <w:lang w:val="sl-SI"/>
              </w:rPr>
              <w:t>l ir (arba) trombocitų &lt; 50 x 10</w:t>
            </w:r>
            <w:r w:rsidRPr="00B75D90">
              <w:rPr>
                <w:rFonts w:ascii="Times New Roman" w:eastAsia="Times New Roman" w:hAnsi="Times New Roman" w:cs="Times New Roman"/>
                <w:noProof/>
                <w:color w:val="000000"/>
                <w:position w:val="-4"/>
                <w:szCs w:val="20"/>
                <w:lang w:eastAsia="lt-LT"/>
              </w:rPr>
              <w:drawing>
                <wp:inline distT="0" distB="0" distL="0" distR="0">
                  <wp:extent cx="76200" cy="18097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B75D90">
              <w:rPr>
                <w:rFonts w:ascii="Times New Roman" w:eastAsia="SimSun" w:hAnsi="Times New Roman" w:cs="Times New Roman"/>
                <w:color w:val="000000"/>
                <w:szCs w:val="20"/>
                <w:lang w:val="sl-SI"/>
              </w:rPr>
              <w:t>/</w:t>
            </w:r>
            <w:r w:rsidRPr="00B75D90">
              <w:rPr>
                <w:rFonts w:ascii="Times New Roman" w:eastAsia="SimSun" w:hAnsi="Times New Roman" w:cs="Times New Roman"/>
                <w:color w:val="000000"/>
                <w:lang w:val="sl-SI"/>
              </w:rPr>
              <w:t>l</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 Imatinibo vartojimą nutraukti, kol ANS bus ≥ 1,5 x 10</w:t>
            </w:r>
            <w:r w:rsidRPr="00B75D90">
              <w:rPr>
                <w:rFonts w:ascii="Times New Roman" w:eastAsia="Times New Roman" w:hAnsi="Times New Roman" w:cs="Times New Roman"/>
                <w:noProof/>
                <w:color w:val="000000"/>
                <w:position w:val="-4"/>
                <w:szCs w:val="20"/>
                <w:lang w:eastAsia="lt-LT"/>
              </w:rPr>
              <w:drawing>
                <wp:inline distT="0" distB="0" distL="0" distR="0">
                  <wp:extent cx="76200" cy="180975"/>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B75D90">
              <w:rPr>
                <w:rFonts w:ascii="Times New Roman" w:eastAsia="SimSun" w:hAnsi="Times New Roman" w:cs="Times New Roman"/>
                <w:color w:val="000000"/>
                <w:szCs w:val="20"/>
                <w:lang w:val="sl-SI"/>
              </w:rPr>
              <w:t>/</w:t>
            </w:r>
            <w:r w:rsidRPr="00B75D90">
              <w:rPr>
                <w:rFonts w:ascii="Times New Roman" w:eastAsia="SimSun" w:hAnsi="Times New Roman" w:cs="Times New Roman"/>
                <w:color w:val="000000"/>
                <w:lang w:val="sl-SI"/>
              </w:rPr>
              <w:t>l ir trombocitų ≥ 75 x 10</w:t>
            </w:r>
            <w:r w:rsidRPr="00B75D90">
              <w:rPr>
                <w:rFonts w:ascii="Times New Roman" w:eastAsia="Times New Roman" w:hAnsi="Times New Roman" w:cs="Times New Roman"/>
                <w:noProof/>
                <w:color w:val="000000"/>
                <w:position w:val="-4"/>
                <w:szCs w:val="20"/>
                <w:lang w:eastAsia="lt-LT"/>
              </w:rPr>
              <w:drawing>
                <wp:inline distT="0" distB="0" distL="0" distR="0">
                  <wp:extent cx="76200" cy="180975"/>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B75D90">
              <w:rPr>
                <w:rFonts w:ascii="Times New Roman" w:eastAsia="SimSun" w:hAnsi="Times New Roman" w:cs="Times New Roman"/>
                <w:color w:val="000000"/>
                <w:szCs w:val="20"/>
                <w:lang w:val="sl-SI"/>
              </w:rPr>
              <w:t>/</w:t>
            </w:r>
            <w:r w:rsidRPr="00B75D90">
              <w:rPr>
                <w:rFonts w:ascii="Times New Roman" w:eastAsia="SimSun" w:hAnsi="Times New Roman" w:cs="Times New Roman"/>
                <w:color w:val="000000"/>
                <w:lang w:val="sl-SI"/>
              </w:rPr>
              <w:t>l.</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 Gydymą imatinibu atnaujinti anksčiau vartota doze (t.y. ta, kuri buvo vartota prieš pasireiškiant stipriai nepageidaujamai reakcijai).</w:t>
            </w:r>
          </w:p>
        </w:tc>
      </w:tr>
      <w:tr w:rsidR="00B75D90" w:rsidRPr="00B75D90" w:rsidTr="00533723">
        <w:trPr>
          <w:trHeight w:val="1173"/>
        </w:trPr>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MDS, MPL ir VTSN (pradinė dozė – 400 mg)</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HES, LEL (400 mg dozė)</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ANS &lt; 1,0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(arba) trombocitų kiekis &lt; 50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 Nutraukti imatinibo vartojimą, kol ANS taps ≥ 1,5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trombocitų kiekis taps ≥ 75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 Atnaujinti gydymą anksčiau vartota imatinibo doze (t. y. doze, kuri buvo vartota prieš pasireiškiant sunkiai nepageidaujamai reakcijai).</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3. Jeigu ANS pakartotinai sumažėja &lt; 1,0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(arba) trombocitų kiekis sumažėja &lt; 50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kartoti 1 veiksmą, o atnaujinant gydymą, skirti mažesnę, 300 mg, imatinibo dozę.</w:t>
            </w:r>
          </w:p>
        </w:tc>
      </w:tr>
      <w:tr w:rsidR="00B75D90" w:rsidRPr="00B75D90" w:rsidTr="00533723">
        <w:trPr>
          <w:trHeight w:val="1173"/>
        </w:trPr>
        <w:tc>
          <w:tcPr>
            <w:tcW w:w="2967" w:type="dxa"/>
          </w:tcPr>
          <w:p w:rsidR="00B75D90" w:rsidRPr="00B75D90" w:rsidDel="00ED46C4"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lastRenderedPageBreak/>
              <w:t>Vaikų lėtinė LML fazė (340 mg/m</w:t>
            </w:r>
            <w:r w:rsidRPr="00B75D90">
              <w:rPr>
                <w:rFonts w:ascii="Times New Roman" w:eastAsia="SimSun" w:hAnsi="Times New Roman" w:cs="Times New Roman"/>
                <w:color w:val="000000"/>
                <w:vertAlign w:val="superscript"/>
                <w:lang w:val="sl-SI"/>
              </w:rPr>
              <w:t xml:space="preserve">2 </w:t>
            </w:r>
            <w:r w:rsidRPr="00B75D90">
              <w:rPr>
                <w:rFonts w:ascii="Times New Roman" w:eastAsia="SimSun" w:hAnsi="Times New Roman" w:cs="Times New Roman"/>
                <w:color w:val="000000"/>
                <w:lang w:val="sl-SI"/>
              </w:rPr>
              <w:t>dozė)</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ANS &lt; 1,0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(ar) trombocitų &lt; 50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 Imatinibo vartojimą nutraukti, kol ANS bus ≥1,5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trombocitų ≥75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 Gydymą imatinibu atnaujinti anksčiau vartota doze (t.y. ta, kuri buvo vartota prieš pasireiškiant stipriai nepageidaujamai reakcijai).</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3. Kartotinai sumažėjus ANS &lt; 1,0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trombocitų &lt; 50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kartoti nuo 1-ojo veiksmo ir gydymą imatinibu atnaujinti sumažinta 260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doze.</w:t>
            </w:r>
          </w:p>
        </w:tc>
      </w:tr>
      <w:tr w:rsidR="00B75D90" w:rsidRPr="00B75D90" w:rsidTr="00533723">
        <w:trPr>
          <w:trHeight w:val="1173"/>
        </w:trPr>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LML blastinė krizė ir Ph+ŪLL (pradinė dozė 600 mg)</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Times New Roman" w:hAnsi="Times New Roman" w:cs="Times New Roman"/>
                <w:noProof/>
                <w:color w:val="000000"/>
                <w:position w:val="-4"/>
                <w:szCs w:val="20"/>
                <w:lang w:eastAsia="lt-LT"/>
              </w:rPr>
              <w:drawing>
                <wp:inline distT="0" distB="0" distL="0" distR="0">
                  <wp:extent cx="76200" cy="180975"/>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B75D90">
              <w:rPr>
                <w:rFonts w:ascii="Times New Roman" w:eastAsia="SimSun" w:hAnsi="Times New Roman" w:cs="Times New Roman"/>
                <w:color w:val="000000"/>
                <w:lang w:val="sl-SI"/>
              </w:rPr>
              <w:t>ANS &lt; 0,5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(arba) trombocitų kiekis &lt; 10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 xml:space="preserve">/l </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 Patikrinti, ar citopenija nesusijusi su leukemija (kaulų čiulpų aspirantas ar biopsija).</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 Jeigu citopenija nesusijusi su leukemija, imatinibo dozę sumažinti iki 400 mg.</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3. Jeigu citopenija išsilaiko 2 savaites, dozę dar sumažinti iki 300 mg.</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4. Jeigu citopenija išsilaiko 4 savaites ir vis dar yra nesusijusi su leukemija, nutraukti imatinibo vartojimą, kol ANS taps ≥ 1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trombocitų kiekis taps ≥ 20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tada gydymą atnaujinti, skiriant vartoti 300 mg.</w:t>
            </w:r>
          </w:p>
        </w:tc>
      </w:tr>
      <w:tr w:rsidR="00B75D90" w:rsidRPr="00B75D90" w:rsidTr="00533723">
        <w:trPr>
          <w:trHeight w:val="1433"/>
        </w:trPr>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 xml:space="preserve">LML akceleracijos fazė ir blastinė krizė (pradinė dozė 340 mg) </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Times New Roman" w:hAnsi="Times New Roman" w:cs="Times New Roman"/>
                <w:noProof/>
                <w:color w:val="000000"/>
                <w:position w:val="-4"/>
                <w:szCs w:val="20"/>
                <w:lang w:eastAsia="lt-LT"/>
              </w:rPr>
              <w:drawing>
                <wp:inline distT="0" distB="0" distL="0" distR="0">
                  <wp:extent cx="76200" cy="18097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B75D90">
              <w:rPr>
                <w:rFonts w:ascii="Times New Roman" w:eastAsia="SimSun" w:hAnsi="Times New Roman" w:cs="Times New Roman"/>
                <w:color w:val="000000"/>
                <w:lang w:val="sl-SI"/>
              </w:rPr>
              <w:t>ANS &lt; 0,5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(arba) trombocitų kiekis &lt; 10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 xml:space="preserve">/l </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 Patikrinti, ar citopenija nesusijusi su leukemija (kaulų čiulpų aspirantas ar biopsija).</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 Jeigu citopenija nesusijusi su leukemija, imatinibo dozę sumažinti iki 260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3. Jeigu citopenija išsilaiko 2 savaites, dozę dar sumažinti iki 200 mg.</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4. Jeigu citopenija išsilaiko 4 savaites ir vis dar yra nesusijusi su leukemija, nutraukti imatinibo vartojimą, kol ANS taps ≥ 1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trombocitų kiekis taps ≥ 20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tada gydymą atnaujinti, vartojant 200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w:t>
            </w:r>
          </w:p>
        </w:tc>
      </w:tr>
      <w:tr w:rsidR="00B75D90" w:rsidRPr="00B75D90" w:rsidTr="00533723">
        <w:trPr>
          <w:trHeight w:val="1433"/>
        </w:trPr>
        <w:tc>
          <w:tcPr>
            <w:tcW w:w="2967" w:type="dxa"/>
          </w:tcPr>
          <w:p w:rsidR="00B75D90" w:rsidRPr="00B75D90" w:rsidDel="00586556"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lastRenderedPageBreak/>
              <w:t>DFSP (kai dozė - 800 mg)</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ANS &lt; 1,0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 xml:space="preserve"> /l ir (ar) trombocitų &lt; 50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 xml:space="preserve"> /l</w:t>
            </w:r>
          </w:p>
        </w:tc>
        <w:tc>
          <w:tcPr>
            <w:tcW w:w="2967"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 Imatinibo vartojimą nutraukti, kol ANS bus &gt;1,5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trombocitų &gt; 75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 Gydymą imatinibu atnaujinti 600 mg doze.</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3. Kartotinai sumažėjus ANS &lt; 1,0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ir (ar) trombocitų &lt; 50 x 10</w:t>
            </w:r>
            <w:r w:rsidRPr="00B75D90">
              <w:rPr>
                <w:rFonts w:ascii="Times New Roman" w:eastAsia="SimSun" w:hAnsi="Times New Roman" w:cs="Times New Roman"/>
                <w:color w:val="000000"/>
                <w:vertAlign w:val="superscript"/>
                <w:lang w:val="sl-SI"/>
              </w:rPr>
              <w:t>9</w:t>
            </w:r>
            <w:r w:rsidRPr="00B75D90">
              <w:rPr>
                <w:rFonts w:ascii="Times New Roman" w:eastAsia="SimSun" w:hAnsi="Times New Roman" w:cs="Times New Roman"/>
                <w:color w:val="000000"/>
                <w:lang w:val="sl-SI"/>
              </w:rPr>
              <w:t>/l, kartoti nuo 1-ojo veiksmo ir gydymą imatinibu atnaujinti sumažinta 400 mg doze.</w:t>
            </w:r>
          </w:p>
        </w:tc>
      </w:tr>
      <w:tr w:rsidR="00B75D90" w:rsidRPr="00B75D90" w:rsidTr="00533723">
        <w:trPr>
          <w:trHeight w:val="638"/>
        </w:trPr>
        <w:tc>
          <w:tcPr>
            <w:tcW w:w="8901" w:type="dxa"/>
            <w:gridSpan w:val="3"/>
          </w:tcPr>
          <w:tbl>
            <w:tblPr>
              <w:tblW w:w="0" w:type="auto"/>
              <w:tblLayout w:type="fixed"/>
              <w:tblLook w:val="0000" w:firstRow="0" w:lastRow="0" w:firstColumn="0" w:lastColumn="0" w:noHBand="0" w:noVBand="0"/>
            </w:tblPr>
            <w:tblGrid>
              <w:gridCol w:w="7325"/>
            </w:tblGrid>
            <w:tr w:rsidR="00B75D90" w:rsidRPr="00B75D90" w:rsidTr="00533723">
              <w:trPr>
                <w:trHeight w:val="103"/>
              </w:trPr>
              <w:tc>
                <w:tcPr>
                  <w:tcW w:w="7325"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ANK = absoliutus neutrofilų kiekis.</w:t>
                  </w:r>
                </w:p>
              </w:tc>
            </w:tr>
            <w:tr w:rsidR="00B75D90" w:rsidRPr="00B75D90" w:rsidTr="00533723">
              <w:trPr>
                <w:trHeight w:val="126"/>
              </w:trPr>
              <w:tc>
                <w:tcPr>
                  <w:tcW w:w="7325"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Times New Roman" w:hAnsi="Times New Roman" w:cs="Times New Roman"/>
                      <w:noProof/>
                      <w:color w:val="000000"/>
                      <w:position w:val="-4"/>
                      <w:szCs w:val="20"/>
                      <w:lang w:eastAsia="lt-LT"/>
                    </w:rPr>
                    <w:drawing>
                      <wp:inline distT="0" distB="0" distL="0" distR="0">
                        <wp:extent cx="76200" cy="18097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B75D90">
                    <w:rPr>
                      <w:rFonts w:ascii="Times New Roman" w:eastAsia="SimSun" w:hAnsi="Times New Roman" w:cs="Times New Roman"/>
                      <w:color w:val="000000"/>
                      <w:lang w:val="sl-SI"/>
                    </w:rPr>
                    <w:t xml:space="preserve"> pasireiškia praėjus ne anksčiau kaip po 1 gydymo mėnesio.</w:t>
                  </w:r>
                </w:p>
              </w:tc>
            </w:tr>
          </w:tbl>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tc>
      </w:tr>
    </w:tbl>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Times New Roman" w:hAnsi="Times New Roman" w:cs="Times New Roman"/>
          <w:u w:val="single"/>
          <w:lang w:val="cs-CZ" w:eastAsia="sl-SI"/>
        </w:rPr>
        <w:t>Ypatingos populiacijos</w:t>
      </w: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Times New Roman" w:hAnsi="Times New Roman" w:cs="Times New Roman"/>
          <w:i/>
          <w:lang w:val="cs-CZ" w:eastAsia="sl-SI"/>
        </w:rPr>
        <w:t>Vaikų populiacija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Vartojimo vaikams, jaunesniems kaip 2 metų ir sergantiems LML bei jaunesniems kaip 1 metų ir sergantiems Ph+ ŪLL, patirties nėra (žr. 5.1 skyrių). Vartojimo patirtis vaikams, sergantiems MDS ar MPL, DFSP, VTSN ir HES arba LEL, labai ribota.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Klinikinių tyrimų metu imatinibo saugumas ir veiksmingumas jaunesniems kaip 18 metų vaikams, sergantiems MDS ar MPL, DFSP, VTSN ir HES arba LEL, neištirti. Turimi literatūros duomenys apibendrinti 5.1 skyriuje, tačiau dozavimo rekomendacijų pateikti negalima.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Times New Roman" w:hAnsi="Times New Roman" w:cs="Times New Roman"/>
          <w:i/>
          <w:lang w:val="cs-CZ" w:eastAsia="sl-SI"/>
        </w:rPr>
      </w:pPr>
      <w:r w:rsidRPr="00B75D90">
        <w:rPr>
          <w:rFonts w:ascii="Times New Roman" w:eastAsia="Times New Roman" w:hAnsi="Times New Roman" w:cs="Times New Roman"/>
          <w:i/>
          <w:lang w:val="cs-CZ" w:eastAsia="sl-SI"/>
        </w:rPr>
        <w:t>Pacientams, kurių kepenų funkcija sutrikusi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Didžiausia dalis imatinibo metabolizuojama kepenyse. Pacientams, kuriems yra lengvas, vidutinio sunkumo ar sunkus kepenų funkcijos sutrikimas, mažiausia rekomenduojama dozė yra 400 mg per parą. Jeigu pacientas netoleruoja šios dozės, dozę galima sumažinti (žr. 4.4, 4.8 ir 5.2 skyrių).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Kepenų funkcijos sutrikimo klasifikacija</w:t>
      </w:r>
    </w:p>
    <w:p w:rsidR="00B75D90" w:rsidRPr="00B75D90" w:rsidRDefault="00B75D90" w:rsidP="00B75D90">
      <w:pPr>
        <w:widowControl w:val="0"/>
        <w:spacing w:after="0" w:line="240" w:lineRule="auto"/>
        <w:rPr>
          <w:rFonts w:ascii="Times New Roman" w:eastAsia="SimSu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5"/>
        <w:gridCol w:w="4292"/>
      </w:tblGrid>
      <w:tr w:rsidR="00B75D90" w:rsidRPr="00B75D90" w:rsidTr="00533723">
        <w:tc>
          <w:tcPr>
            <w:tcW w:w="4605" w:type="dxa"/>
          </w:tcPr>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rPr>
              <w:t>Kepenų funkcijos sutrikimas</w:t>
            </w:r>
          </w:p>
        </w:tc>
        <w:tc>
          <w:tcPr>
            <w:tcW w:w="4292" w:type="dxa"/>
          </w:tcPr>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rPr>
              <w:t>Kepenų funkcijos tyrimai</w:t>
            </w:r>
          </w:p>
        </w:tc>
      </w:tr>
      <w:tr w:rsidR="00B75D90" w:rsidRPr="00B75D90" w:rsidTr="00533723">
        <w:tc>
          <w:tcPr>
            <w:tcW w:w="4605" w:type="dxa"/>
          </w:tcPr>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rPr>
              <w:t>Lengvas</w:t>
            </w:r>
          </w:p>
        </w:tc>
        <w:tc>
          <w:tcPr>
            <w:tcW w:w="4292"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Bendro bilirubino koncentracija: = 1,5 VNR</w:t>
            </w: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rPr>
              <w:t>AST: &gt; VNR (gali būti normalus arba &lt; VNR, jeigu bendro bilirubino koncentracija yra &gt; VNR)</w:t>
            </w:r>
          </w:p>
        </w:tc>
      </w:tr>
      <w:tr w:rsidR="00B75D90" w:rsidRPr="00B75D90" w:rsidTr="00533723">
        <w:tc>
          <w:tcPr>
            <w:tcW w:w="4605" w:type="dxa"/>
          </w:tcPr>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rPr>
              <w:t>Vidutinio sunkumo</w:t>
            </w:r>
          </w:p>
        </w:tc>
        <w:tc>
          <w:tcPr>
            <w:tcW w:w="4292"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Bendro bilirubino koncentracija: &gt; 1,5</w:t>
            </w:r>
            <w:r w:rsidRPr="00B75D90">
              <w:rPr>
                <w:rFonts w:ascii="Times New Roman" w:eastAsia="SimSun" w:hAnsi="Times New Roman" w:cs="Times New Roman"/>
                <w:color w:val="000000"/>
                <w:lang w:val="sl-SI"/>
              </w:rPr>
              <w:noBreakHyphen/>
              <w:t>3,0 VNR</w:t>
            </w: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rPr>
              <w:t>AST: bet koks aktyvumas</w:t>
            </w:r>
          </w:p>
        </w:tc>
      </w:tr>
      <w:tr w:rsidR="00B75D90" w:rsidRPr="00B75D90" w:rsidTr="00533723">
        <w:tc>
          <w:tcPr>
            <w:tcW w:w="4605" w:type="dxa"/>
          </w:tcPr>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rPr>
              <w:t>Sunkus</w:t>
            </w:r>
          </w:p>
        </w:tc>
        <w:tc>
          <w:tcPr>
            <w:tcW w:w="4292"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Bendro bilirubino koncentracija: &gt; 3–10 VNR</w:t>
            </w: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rPr>
              <w:t>AST: bet koks aktyvumas</w:t>
            </w:r>
          </w:p>
        </w:tc>
      </w:tr>
    </w:tbl>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VNR = viršutinė normos riba institucijoje.</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u w:val="single"/>
          <w:lang w:val="sl-SI"/>
        </w:rPr>
      </w:pPr>
      <w:r w:rsidRPr="00B75D90">
        <w:rPr>
          <w:rFonts w:ascii="Times New Roman" w:eastAsia="SimSun" w:hAnsi="Times New Roman" w:cs="Times New Roman"/>
          <w:color w:val="000000"/>
          <w:lang w:val="sl-SI"/>
        </w:rPr>
        <w:t>AST = aspartataminotransferazė.</w:t>
      </w:r>
    </w:p>
    <w:p w:rsidR="00B75D90" w:rsidRPr="00B75D90" w:rsidRDefault="00B75D90" w:rsidP="00B75D90">
      <w:pPr>
        <w:widowControl w:val="0"/>
        <w:spacing w:after="0" w:line="240" w:lineRule="auto"/>
        <w:rPr>
          <w:rFonts w:ascii="Times New Roman" w:eastAsia="SimSun" w:hAnsi="Times New Roman" w:cs="Times New Roman"/>
          <w:u w:val="single"/>
        </w:rPr>
      </w:pPr>
    </w:p>
    <w:p w:rsidR="00B75D90" w:rsidRPr="00B75D90" w:rsidRDefault="00B75D90" w:rsidP="00B75D90">
      <w:pPr>
        <w:widowControl w:val="0"/>
        <w:spacing w:after="0" w:line="240" w:lineRule="auto"/>
        <w:rPr>
          <w:rFonts w:ascii="Times New Roman" w:eastAsia="Times New Roman" w:hAnsi="Times New Roman" w:cs="Times New Roman"/>
          <w:iCs/>
          <w:lang w:val="cs-CZ"/>
        </w:rPr>
      </w:pPr>
      <w:r w:rsidRPr="00B75D90">
        <w:rPr>
          <w:rFonts w:ascii="Times New Roman" w:eastAsia="Times New Roman" w:hAnsi="Times New Roman" w:cs="Times New Roman"/>
          <w:i/>
          <w:iCs/>
          <w:lang w:val="cs-CZ"/>
        </w:rPr>
        <w:t>Pacientams, kurių inkstų funkcija sutrikusi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Pacientams, kuriems yra inkstų funkcijos sutrikimas ar atliekamos dializės, iš pradžių turi būti skiriama mažiausia rekomenduojama 400 mg paros dozė. Tačiau rekomenduojama imtis atsargumo priemonių. Netoleruojamą dozę galima mažinti. Jei dozė yra neveiksminga – didinti (žr. 4.4 ir 5.2 skyrius).</w:t>
      </w:r>
    </w:p>
    <w:p w:rsidR="00B75D90" w:rsidRPr="00B75D90" w:rsidRDefault="00B75D90" w:rsidP="00B75D90">
      <w:pPr>
        <w:widowControl w:val="0"/>
        <w:spacing w:after="0" w:line="240" w:lineRule="auto"/>
        <w:rPr>
          <w:rFonts w:ascii="Times New Roman" w:eastAsia="SimSun" w:hAnsi="Times New Roman" w:cs="Times New Roman"/>
          <w:u w:val="single"/>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Senyviems pacientams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Imatinibo farmakokinetika senyvų pacientų organizme specialiai nebuvo tirta. Reikšmingų, nuo amžiaus priklausomų farmakokinetikos skirtumų suaugusių žmonių organizme klinikinių tyrimų, </w:t>
      </w:r>
      <w:r w:rsidRPr="00B75D90">
        <w:rPr>
          <w:rFonts w:ascii="Times New Roman" w:eastAsia="SimSun" w:hAnsi="Times New Roman" w:cs="Times New Roman"/>
        </w:rPr>
        <w:lastRenderedPageBreak/>
        <w:t>kuriuose dalyvavo daugiau kaip 20 % 65 metų ir vyresnių pacientų, metu nepastebėta. Senyviems pacientams specialios dozavimo rekomendacijos nebūtinos.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bookmarkStart w:id="5" w:name="_Toc129243104"/>
      <w:bookmarkStart w:id="6" w:name="_Toc129243229"/>
      <w:r w:rsidRPr="00B75D90">
        <w:rPr>
          <w:rFonts w:ascii="Times New Roman" w:eastAsia="SimSun" w:hAnsi="Times New Roman" w:cs="Times New Roman"/>
          <w:u w:val="single"/>
        </w:rPr>
        <w:t>Vartojimo metodas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Vartoti per burną.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Paskirtąją dozę reikia išgerti valgant, užsigeriant dideliu kiekiu vandens, kad būtų mažesnė virškinimo trakto dirginimo rizika. 400 mg ar 600 mg dozes reikia vartoti vieną kartą per parą, o 800 mg paros dozė turi būti suvartota per du kartus (po 400 mg ryte ir vakare).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Pacientams, kurie negali nuryti plėvele dengtų tablečių, tabletes galima ištirpinti stiklinėje negazuoto vandens ar obuolių sulčių. Reikiamą tablečių skaičių reikia įmesti į atitinkamą gėrimo kiekį (100 mg tabletę – maždaug į 50 ml ir 400 mg tabletę – į 200 ml) ir išmaišyti šaukštu. Kai tik tabletė (-ės) suyra, suspensiją reikia nedelsiant išgerti.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r w:rsidRPr="00B75D90">
        <w:rPr>
          <w:rFonts w:ascii="Times New Roman" w:eastAsia="SimSun" w:hAnsi="Times New Roman" w:cs="Times New Roman"/>
          <w:b/>
        </w:rPr>
        <w:t>4.3</w:t>
      </w:r>
      <w:r w:rsidRPr="00B75D90">
        <w:rPr>
          <w:rFonts w:ascii="Times New Roman" w:eastAsia="SimSun" w:hAnsi="Times New Roman" w:cs="Times New Roman"/>
          <w:b/>
        </w:rPr>
        <w:tab/>
        <w:t>Kontraindikacijos</w:t>
      </w:r>
      <w:bookmarkEnd w:id="5"/>
      <w:bookmarkEnd w:id="6"/>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Padidėjęs jautrumas veikliajai arba bet kuriai 6.1 skyriuje nurodytai pagalbinei medžiagai.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7" w:name="_Toc129243105"/>
      <w:bookmarkStart w:id="8" w:name="_Toc129243230"/>
      <w:r w:rsidRPr="00B75D90">
        <w:rPr>
          <w:rFonts w:ascii="Times New Roman" w:eastAsia="SimSun" w:hAnsi="Times New Roman" w:cs="Times New Roman"/>
          <w:b/>
        </w:rPr>
        <w:t>4.4</w:t>
      </w:r>
      <w:r w:rsidRPr="00B75D90">
        <w:rPr>
          <w:rFonts w:ascii="Times New Roman" w:eastAsia="SimSun" w:hAnsi="Times New Roman" w:cs="Times New Roman"/>
          <w:b/>
        </w:rPr>
        <w:tab/>
        <w:t>Specialūs įspėjimai ir atsargumo priemonės</w:t>
      </w:r>
      <w:bookmarkEnd w:id="7"/>
      <w:bookmarkEnd w:id="8"/>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Imatinibą vartojant kartu su kitais vaistiniais preparatais, atsiranda vaistinių preparatų sąveikos galimybė. Būtina laikytis atsargumo priemonių, kai imatinibo vartojama kartu su proteazės inhibitoriais, priešgrybeliniais azolo dariniais, tam tikrais makrolidais (žr. 4.2 skyrių), CYP3A4 substratais, kurių yra siaura terapinė platuma (pvz., ciklosporinu, pimozidu, takrolimuzu, sirolimuzu, ergotaminu, diergotaminu, fentaniliu, alfetaniliu, terfenadinu, bortezomibu, docetakseliu, chinidinu) ar varfarinu ir kitais kumarino junginiais (žr. 4.5 skyrių).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Imatinibą vartojant kartu su vaistiniais preparatais, kurie sužadina CYP3A4 (pvz., deksametazonu, fenitoinu, karbamazepinu, rifampicinu, fenobarbitaliu ar jonažolės [</w:t>
      </w:r>
      <w:r w:rsidRPr="00B75D90">
        <w:rPr>
          <w:rFonts w:ascii="Times New Roman" w:eastAsia="SimSun" w:hAnsi="Times New Roman" w:cs="Times New Roman"/>
          <w:i/>
        </w:rPr>
        <w:t>Hypericum perforatum</w:t>
      </w:r>
      <w:r w:rsidRPr="00B75D90">
        <w:rPr>
          <w:rFonts w:ascii="Times New Roman" w:eastAsia="SimSun" w:hAnsi="Times New Roman" w:cs="Times New Roman"/>
        </w:rPr>
        <w:t>] preparatais), gali reikšmingai sumažėti imatinibo ekspozicija ir gali padidėti gydymo neveiksmingumo rizika. Todėl reikia vengti imatinibą vartoti kartu su stipriais CYP3A4 induktoriais ((žr. 4.5 skyrių).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Hipotiroidizmas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Buvo pranešta apie klinikinius hipotirozės atvejus pacientams, kuriems pašalinta skydliaukė ir kuriems gydymo imatinibu metu buvo taikytas pakeičiamasis gydymas levotiroksinu (žr. 4.5 skyrių). Reikia atidžiai tirti tokių pacientų skydliaukės veiklą skatinančio hormono (TSH) koncentracijas.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Toksinis poveikis kepenims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Didžiausia dalis imatinibo metabolizuojama kepenyse ir tik 13 % jo šalinama per inkstus. Pacientams, kuriems yra kepenų funkcijos sutrikimas (lengvas, vidutinio sunkumo ar sunkus), reikia atidžiai stebėti ląstelių skaičių periferiniame kraujyje ir kepenų fermentų aktyvumą (žr. 4.2, 4.8 ir 5.2 skyrius). Reikia pažymėti, kad pacientams, kuriems diagnozuotas VTSN, gali būti metastazių kepenyse, kurios gali sukelti kepenų funkcijos sutrikimą.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Vartojant imatinibą, buvo stebėti kepenų pažeidimo atvejai, įskaitant kepenų funkcijos nepakankamumą ir kepenų nekrozę. Imatinibą skiriant kartu su didelėmis chemoterapinių vaistinių preparatų dozėmis, buvo nustatyta daugiau sunkių kepenų reakcijų. Imatinibą skiriant kartu su chemoterapiniais vaistiniais preparatais, kurie susiję su kepenų funkcijos sutrikimu, reikia atidžiai stebėti kepenų funkciją (žr. 4.5 ir 4.8 skyrius).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Skysčių susilaikymas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Maždaug 2,5 % imatinibą vartojančių pacientų, kuriems pirmą kartą buvo diagnozuota LML, pasireiškė sunkus skysčių susilaikymas (skystis pleuros ertmėje, edema, plaučių edema, ascitas, paviršinė edema). Todėl privalu pacientus reguliariai sverti. Kiekvienu atveju, kai kūno masė netikėtai </w:t>
      </w:r>
      <w:r w:rsidRPr="00B75D90">
        <w:rPr>
          <w:rFonts w:ascii="Times New Roman" w:eastAsia="SimSun" w:hAnsi="Times New Roman" w:cs="Times New Roman"/>
        </w:rPr>
        <w:lastRenderedPageBreak/>
        <w:t>greitai didėja, pacientus reikia atidžiai ištirti ir, prireikus, skirti atitinkamą palaikomąjį gydymą ir gydomąsias priemones. Klinikinių tyrimų duomenimis, šių reiškinių dažniau atsirado senyviems pacientams ir tiems, kuriems anksčiau buvo diagnozuota širdies liga. Todėl pacientus, kurių širdies funkcija yra sutrikusi, gydyti reikia atsargiai.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Pacientai, sergantys širdies ligomis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Pacientus, kurie serga širdies ligomis, turi širdies nepakankamumo rizikos veiksnių, ar buvo sirgę inkstų nepakankamumu, reikia atidžiai stebėti, o visus pacientus, kuriems atsiranda širdies nepakankamumo požymių ar simptomų, reikia ištirti ir gydyti.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Hipereozinofiliniu sindromu (HES) su slapta HES ląstelių infiltracija miokarde sergantiems pacientams registruoti pavieniai kardiogeninio šoko ar kairiojo skilvelio disfunkcijos atvejai, kurie buvo susiję su HES ląstelių degranuliacija po gydymo imatinibu pradžios. Būklė gerėjo gydant sisteminio veikimo steroidiniais hormonais, palaikant kraujotaką ir laikinai nutraukiant imatinibo vartojimą. Kadangi nedažnai buvo pranešama apie nepageidaujamus poveikius širdžiai, vartojant imatinibą, prieš pradedant gydyti imatinibu pacientus, sergančius HES ar LEL, turi būti atidžiai įvertintas gydymo imatinibu naudos ir rizikos santykis.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Sergant mielodisplazinėmis ar mieloproliferacinėmis ligomis su PDGFR genų pakitimais gali būti padidėjęs eozinofilų skaičius. Prieš skiriant imatinibą pacientams, sergantiems HES ar LEL ir pacientams, sergantiems MDS ar MDL, kuriems yra padidėjęs eozinofilų skaičius, reikalinga kardiologo konsultacija, taip pat reikia atlikti echokardiogramą ir ištirti troponino koncentraciją serume. Jei bent vieno šių tyrimų rezultatai neatitinka normos, pirmąsias vieną ar dvi gydymo savaites, stebint kardiologui, kartu su imatinibu profilaktiškai galima skirti sisteminio veikimo steroidų (1-2 mg/kg dozę).</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Kraujavimas iš virškinimo trakto</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Atlikto klinikinio tyrimo duomenimis, jame dalyvavusiems pacientams, kuriems buvo nerezekuotinas ir (ar) metastazavęs VTSN, pasitaikė ir virškinimo trakto bei vidunavikinių kraujavimų (žr. 4.8 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ir būdingi klinikinei VTSN eigai, todėl visiems pacientams būtina taikyti įprastines priemones ir procedūras kraujavimui stebėti ir gydyti.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Be to, vaistiniam preparatui patekus į rinką, buvo gauta pranešimų apie </w:t>
      </w:r>
      <w:r w:rsidRPr="00B75D90">
        <w:rPr>
          <w:rFonts w:ascii="Times New Roman" w:eastAsia="Times New Roman" w:hAnsi="Times New Roman" w:cs="Times New Roman"/>
          <w:lang w:eastAsia="sl-SI"/>
        </w:rPr>
        <w:t xml:space="preserve">skrandžio </w:t>
      </w:r>
      <w:r w:rsidRPr="00B75D90">
        <w:rPr>
          <w:rFonts w:ascii="Times New Roman" w:eastAsia="SimSun" w:hAnsi="Times New Roman" w:cs="Times New Roman"/>
        </w:rPr>
        <w:t xml:space="preserve">prievarčio </w:t>
      </w:r>
      <w:r w:rsidRPr="00B75D90">
        <w:rPr>
          <w:rFonts w:ascii="Times New Roman" w:eastAsia="Times New Roman" w:hAnsi="Times New Roman" w:cs="Times New Roman"/>
          <w:lang w:eastAsia="sl-SI"/>
        </w:rPr>
        <w:t xml:space="preserve">urvo </w:t>
      </w:r>
      <w:r w:rsidRPr="00B75D90">
        <w:rPr>
          <w:rFonts w:ascii="Times New Roman" w:eastAsia="SimSun" w:hAnsi="Times New Roman" w:cs="Times New Roman"/>
        </w:rPr>
        <w:t>kraujagyslių išsiplėtimą (</w:t>
      </w:r>
      <w:r w:rsidRPr="00B75D90">
        <w:rPr>
          <w:rFonts w:ascii="Times New Roman" w:eastAsia="Times New Roman" w:hAnsi="Times New Roman" w:cs="Times New Roman"/>
          <w:lang w:eastAsia="sl-SI"/>
        </w:rPr>
        <w:t xml:space="preserve">angl. </w:t>
      </w:r>
      <w:r w:rsidRPr="00B75D90">
        <w:rPr>
          <w:rFonts w:ascii="Times New Roman" w:eastAsia="Times New Roman" w:hAnsi="Times New Roman" w:cs="Times New Roman"/>
          <w:i/>
          <w:lang w:val="sl-SI" w:eastAsia="sl-SI"/>
        </w:rPr>
        <w:t>gastric antral vascular ectasia</w:t>
      </w:r>
      <w:r w:rsidRPr="00B75D90">
        <w:rPr>
          <w:rFonts w:ascii="Times New Roman" w:eastAsia="Times New Roman" w:hAnsi="Times New Roman" w:cs="Times New Roman"/>
          <w:lang w:val="sl-SI" w:eastAsia="sl-SI"/>
        </w:rPr>
        <w:t xml:space="preserve">, </w:t>
      </w:r>
      <w:r w:rsidRPr="00B75D90">
        <w:rPr>
          <w:rFonts w:ascii="Times New Roman" w:eastAsia="SimSun" w:hAnsi="Times New Roman" w:cs="Times New Roman"/>
        </w:rPr>
        <w:t xml:space="preserve">GAVE) – retą kraujavimo iš virškinimo trakto priežastį, pacientams, sergantiems LML, ŪLL ir kitomis ligomis (žr. 4.8 skyrių). Jei reikia, turi būti </w:t>
      </w:r>
      <w:r w:rsidRPr="00B75D90">
        <w:rPr>
          <w:rFonts w:ascii="Times New Roman" w:eastAsia="Times New Roman" w:hAnsi="Times New Roman" w:cs="Times New Roman"/>
          <w:lang w:eastAsia="sl-SI"/>
        </w:rPr>
        <w:t>apsvarstyta</w:t>
      </w:r>
      <w:r w:rsidRPr="00B75D90">
        <w:rPr>
          <w:rFonts w:ascii="Times New Roman" w:eastAsia="SimSun" w:hAnsi="Times New Roman" w:cs="Times New Roman"/>
        </w:rPr>
        <w:t xml:space="preserve"> gydymo imatinibu </w:t>
      </w:r>
      <w:r w:rsidRPr="00B75D90">
        <w:rPr>
          <w:rFonts w:ascii="Times New Roman" w:eastAsia="Times New Roman" w:hAnsi="Times New Roman" w:cs="Times New Roman"/>
          <w:lang w:eastAsia="sl-SI"/>
        </w:rPr>
        <w:t>nutraukimo galimybė</w:t>
      </w:r>
      <w:r w:rsidRPr="00B75D90">
        <w:rPr>
          <w:rFonts w:ascii="Times New Roman" w:eastAsia="SimSun" w:hAnsi="Times New Roman" w:cs="Times New Roman"/>
        </w:rPr>
        <w:t>.</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Naviko irimo sindromas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Gali pasireikšti naviko irimo sindromas (NIS), todėl prieš pradedant vartoti imatinibą, rekomenduojama koreguoti kliniškai reikšmingą dehidrataciją ir dideles šlapimo rūgšties koncentracijas (žr. 4.8 skyrių).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Times New Roman" w:hAnsi="Times New Roman" w:cs="Times New Roman"/>
          <w:snapToGrid w:val="0"/>
          <w:u w:val="single"/>
          <w:lang w:val="cs-CZ"/>
        </w:rPr>
      </w:pPr>
      <w:r w:rsidRPr="00B75D90">
        <w:rPr>
          <w:rFonts w:ascii="Times New Roman" w:eastAsia="Times New Roman" w:hAnsi="Times New Roman" w:cs="Times New Roman"/>
          <w:snapToGrid w:val="0"/>
          <w:u w:val="single"/>
          <w:lang w:val="cs-CZ"/>
        </w:rPr>
        <w:t>Hepatito B atsinaujinimas</w:t>
      </w:r>
    </w:p>
    <w:p w:rsidR="00B75D90" w:rsidRPr="00B75D90" w:rsidRDefault="00B75D90" w:rsidP="00B75D90">
      <w:pPr>
        <w:widowControl w:val="0"/>
        <w:spacing w:after="0" w:line="240" w:lineRule="auto"/>
        <w:rPr>
          <w:rFonts w:ascii="Times New Roman" w:eastAsia="Times New Roman" w:hAnsi="Times New Roman" w:cs="Times New Roman"/>
          <w:snapToGrid w:val="0"/>
          <w:lang w:val="cs-CZ"/>
        </w:rPr>
      </w:pPr>
      <w:r w:rsidRPr="00B75D90">
        <w:rPr>
          <w:rFonts w:ascii="Times New Roman" w:eastAsia="Times New Roman" w:hAnsi="Times New Roman" w:cs="Times New Roman"/>
          <w:snapToGrid w:val="0"/>
          <w:lang w:val="cs-CZ"/>
        </w:rPr>
        <w:t>Hepatito B atsinaujinimas pastebėtas pacientams, kurie yra lėtiniai šio viruso nešiotojai, po to, kai šie pacientai buvo gydomi BCR-ABL kinazės inhibitoriais. Kai kurie atvejai baigėsi ūminiu kepenų funkcijos nepakankamumu ar žaibišku hepatitu, dėl kurio teko persodinti kepenis arba pacientas mirė.</w:t>
      </w:r>
    </w:p>
    <w:p w:rsidR="00B75D90" w:rsidRPr="00B75D90" w:rsidRDefault="00B75D90" w:rsidP="00B75D90">
      <w:pPr>
        <w:widowControl w:val="0"/>
        <w:spacing w:after="0" w:line="240" w:lineRule="auto"/>
        <w:rPr>
          <w:rFonts w:ascii="Times New Roman" w:eastAsia="Times New Roman" w:hAnsi="Times New Roman" w:cs="Times New Roman"/>
          <w:snapToGrid w:val="0"/>
          <w:lang w:val="cs-CZ"/>
        </w:rPr>
      </w:pPr>
    </w:p>
    <w:p w:rsidR="00B75D90" w:rsidRPr="00B75D90" w:rsidRDefault="00B75D90" w:rsidP="00B75D90">
      <w:pPr>
        <w:widowControl w:val="0"/>
        <w:spacing w:after="0" w:line="240" w:lineRule="auto"/>
        <w:rPr>
          <w:rFonts w:ascii="Times New Roman" w:eastAsia="Times New Roman" w:hAnsi="Times New Roman" w:cs="Times New Roman"/>
          <w:snapToGrid w:val="0"/>
          <w:lang w:val="cs-CZ"/>
        </w:rPr>
      </w:pPr>
      <w:r w:rsidRPr="00B75D90">
        <w:rPr>
          <w:rFonts w:ascii="Times New Roman" w:eastAsia="Times New Roman" w:hAnsi="Times New Roman" w:cs="Times New Roman"/>
          <w:snapToGrid w:val="0"/>
          <w:lang w:val="cs-CZ"/>
        </w:rPr>
        <w:t xml:space="preserve">Pacientai turi būti tiriami dėl HBV infekcijos prieš pradedant gydymą Meapax. Su kepenų ligų ir hepatito B gydymo ekspertais turėtų būti konsultuojamasi prieš pradedant gydyti pacientus, kurių hepatito B serologinis tyrimas yra teigiamas (įskaitant ir su aktyvia ligos forma), ir pacientus, kurių HBV infekcijos tyrimas gydymo metu buvo teigiamas. HBV nešiotojai, kuriems reikalingas gydymas Meapax, turėtų būti atidžiai stebimi dėl aktyvios HBV infekcijos požymių ir simptomų gydymo metu </w:t>
      </w:r>
      <w:r w:rsidRPr="00B75D90">
        <w:rPr>
          <w:rFonts w:ascii="Times New Roman" w:eastAsia="Times New Roman" w:hAnsi="Times New Roman" w:cs="Times New Roman"/>
          <w:snapToGrid w:val="0"/>
          <w:lang w:val="cs-CZ"/>
        </w:rPr>
        <w:lastRenderedPageBreak/>
        <w:t>ir keletą mėnesių nutraukus gydymą (žr. 4.8 skyrių).</w:t>
      </w:r>
    </w:p>
    <w:p w:rsidR="00B75D90" w:rsidRPr="00B75D90" w:rsidRDefault="00B75D90" w:rsidP="00B75D90">
      <w:pPr>
        <w:widowControl w:val="0"/>
        <w:spacing w:after="0" w:line="240" w:lineRule="auto"/>
        <w:rPr>
          <w:rFonts w:ascii="Times New Roman" w:eastAsia="Times New Roman" w:hAnsi="Times New Roman" w:cs="Times New Roman"/>
          <w:lang w:val="cs-CZ" w:eastAsia="sl-SI"/>
        </w:rPr>
      </w:pPr>
    </w:p>
    <w:p w:rsidR="00B75D90" w:rsidRPr="00B75D90" w:rsidRDefault="00B75D90" w:rsidP="00B75D90">
      <w:pPr>
        <w:autoSpaceDE w:val="0"/>
        <w:autoSpaceDN w:val="0"/>
        <w:adjustRightInd w:val="0"/>
        <w:spacing w:after="0" w:line="240" w:lineRule="auto"/>
        <w:rPr>
          <w:rFonts w:ascii="Times New Roman" w:eastAsia="Times New Roman" w:hAnsi="Times New Roman" w:cs="Times New Roman"/>
          <w:u w:val="single"/>
          <w:lang w:val="cs-CZ" w:eastAsia="en-GB"/>
        </w:rPr>
      </w:pPr>
      <w:r w:rsidRPr="00B75D90">
        <w:rPr>
          <w:rFonts w:ascii="Times New Roman" w:eastAsia="Times New Roman" w:hAnsi="Times New Roman" w:cs="Times New Roman"/>
          <w:u w:val="single"/>
          <w:lang w:val="cs-CZ" w:eastAsia="en-GB"/>
        </w:rPr>
        <w:t>Fototoksiškumas</w:t>
      </w:r>
    </w:p>
    <w:p w:rsidR="00B75D90" w:rsidRPr="00B75D90" w:rsidRDefault="00B75D90" w:rsidP="00B75D90">
      <w:pPr>
        <w:autoSpaceDE w:val="0"/>
        <w:autoSpaceDN w:val="0"/>
        <w:adjustRightInd w:val="0"/>
        <w:spacing w:after="0" w:line="240" w:lineRule="auto"/>
        <w:rPr>
          <w:rFonts w:ascii="Times New Roman" w:eastAsia="Times New Roman" w:hAnsi="Times New Roman" w:cs="Times New Roman"/>
          <w:lang w:val="cs-CZ" w:eastAsia="en-GB"/>
        </w:rPr>
      </w:pPr>
      <w:r w:rsidRPr="00B75D90">
        <w:rPr>
          <w:rFonts w:ascii="Times New Roman" w:eastAsia="Times New Roman" w:hAnsi="Times New Roman" w:cs="Times New Roman"/>
          <w:lang w:val="cs-CZ" w:eastAsia="en-GB"/>
        </w:rPr>
        <w:t>Reikia vengti tiesioginių saulės spindulių ekspozicijos arba ją sumažinti iki minimumo dėl</w:t>
      </w:r>
    </w:p>
    <w:p w:rsidR="00B75D90" w:rsidRPr="00B75D90" w:rsidRDefault="00B75D90" w:rsidP="00B75D90">
      <w:pPr>
        <w:autoSpaceDE w:val="0"/>
        <w:autoSpaceDN w:val="0"/>
        <w:adjustRightInd w:val="0"/>
        <w:spacing w:after="0" w:line="240" w:lineRule="auto"/>
        <w:rPr>
          <w:rFonts w:ascii="Times New Roman" w:eastAsia="Times New Roman" w:hAnsi="Times New Roman" w:cs="Times New Roman"/>
          <w:lang w:val="cs-CZ" w:eastAsia="en-GB"/>
        </w:rPr>
      </w:pPr>
      <w:r w:rsidRPr="00B75D90">
        <w:rPr>
          <w:rFonts w:ascii="Times New Roman" w:eastAsia="Times New Roman" w:hAnsi="Times New Roman" w:cs="Times New Roman"/>
          <w:lang w:val="cs-CZ" w:eastAsia="en-GB"/>
        </w:rPr>
        <w:t>fototoksinio poveikio rizikos, susijusios su gydymu imatinibu. Pacientams reikia nurodyti naudoti</w:t>
      </w:r>
    </w:p>
    <w:p w:rsidR="00B75D90" w:rsidRPr="00B75D90" w:rsidRDefault="00B75D90" w:rsidP="00B75D90">
      <w:pPr>
        <w:widowControl w:val="0"/>
        <w:spacing w:after="0" w:line="240" w:lineRule="auto"/>
        <w:rPr>
          <w:rFonts w:ascii="Times New Roman" w:eastAsia="Times New Roman" w:hAnsi="Times New Roman" w:cs="Times New Roman"/>
          <w:lang w:val="cs-CZ" w:eastAsia="sl-SI"/>
        </w:rPr>
      </w:pPr>
      <w:r w:rsidRPr="00B75D90">
        <w:rPr>
          <w:rFonts w:ascii="Times New Roman" w:eastAsia="Times New Roman" w:hAnsi="Times New Roman" w:cs="Times New Roman"/>
          <w:lang w:val="cs-CZ" w:eastAsia="en-GB"/>
        </w:rPr>
        <w:t>apsauginius drabužius ir preparatą nuo saulės nudegimo, kurio aukštas apsaugos faktorius (SPF).</w:t>
      </w:r>
    </w:p>
    <w:p w:rsidR="00B75D90" w:rsidRPr="00B75D90" w:rsidRDefault="00B75D90" w:rsidP="00B75D90">
      <w:pPr>
        <w:widowControl w:val="0"/>
        <w:spacing w:after="0" w:line="240" w:lineRule="auto"/>
        <w:rPr>
          <w:rFonts w:ascii="Times New Roman" w:eastAsia="Times New Roman" w:hAnsi="Times New Roman" w:cs="Times New Roman"/>
          <w:lang w:val="cs-CZ" w:eastAsia="sl-SI"/>
        </w:rPr>
      </w:pPr>
    </w:p>
    <w:p w:rsidR="00B75D90" w:rsidRPr="00B75D90" w:rsidRDefault="00B75D90" w:rsidP="00B75D90">
      <w:pPr>
        <w:widowControl w:val="0"/>
        <w:spacing w:after="0" w:line="240" w:lineRule="auto"/>
        <w:rPr>
          <w:rFonts w:ascii="Times New Roman" w:eastAsia="Times New Roman" w:hAnsi="Times New Roman" w:cs="Times New Roman"/>
          <w:szCs w:val="20"/>
          <w:u w:val="single"/>
          <w:lang w:val="cs-CZ" w:eastAsia="sl-SI"/>
        </w:rPr>
      </w:pPr>
      <w:r w:rsidRPr="00B75D90">
        <w:rPr>
          <w:rFonts w:ascii="Times New Roman" w:eastAsia="Times New Roman" w:hAnsi="Times New Roman" w:cs="Times New Roman"/>
          <w:szCs w:val="20"/>
          <w:u w:val="single"/>
          <w:lang w:val="cs-CZ" w:eastAsia="sl-SI"/>
        </w:rPr>
        <w:t>Trombinė mikroangiopatija</w:t>
      </w:r>
    </w:p>
    <w:p w:rsidR="00B75D90" w:rsidRPr="00B75D90" w:rsidRDefault="00B75D90" w:rsidP="00B75D90">
      <w:pPr>
        <w:widowControl w:val="0"/>
        <w:spacing w:after="0" w:line="240" w:lineRule="auto"/>
        <w:rPr>
          <w:rFonts w:ascii="Times New Roman" w:eastAsia="Times New Roman" w:hAnsi="Times New Roman" w:cs="Times New Roman"/>
          <w:szCs w:val="20"/>
          <w:lang w:val="cs-CZ" w:eastAsia="sl-SI"/>
        </w:rPr>
      </w:pPr>
      <w:r w:rsidRPr="00B75D90">
        <w:rPr>
          <w:rFonts w:ascii="Times New Roman" w:eastAsia="Times New Roman" w:hAnsi="Times New Roman" w:cs="Times New Roman"/>
          <w:szCs w:val="20"/>
          <w:lang w:val="cs-CZ" w:eastAsia="sl-SI"/>
        </w:rPr>
        <w:t>BCR-ABL tirozinkinazės inhibitorių (TKI) vartojimas buvo susijęs su trombinės mikroangiopatijos (TMA) pasireiškimu, įskaitant pranešimus apie atskirus jos atvejus vartojant Meapax (žr. 4.8 skyrių). Jeigu Meapax vartojančiam pacientui nustatoma laboratorinių ar klinikinių duomenų, susijusių su TMA požymiais, gydymą reikia nutraukti, o paciento būklę išsamiai ištirti dėl TMA tikimybės, įskaitant ADAMTS13 aktyvumo vertinimą ir anti-ADAMTS13 antikūnų nustatymą. Jeigu nustatomas padidėjęs anti-ADAMTS13 antikūnų kiekis kartu su sumažėjusiu ADAMTS13 aktyvumu, gydymo meapax atnaujinti negalima.</w:t>
      </w:r>
    </w:p>
    <w:p w:rsidR="00B75D90" w:rsidRPr="00B75D90" w:rsidRDefault="00B75D90" w:rsidP="00B75D90">
      <w:pPr>
        <w:widowControl w:val="0"/>
        <w:spacing w:after="0" w:line="240" w:lineRule="auto"/>
        <w:rPr>
          <w:rFonts w:ascii="Times New Roman" w:eastAsia="Times New Roman" w:hAnsi="Times New Roman" w:cs="Times New Roman"/>
          <w:szCs w:val="20"/>
          <w:lang w:val="cs-CZ" w:eastAsia="sl-SI"/>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Laboratoriniai tyrimai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Gydymo imatinibu metu reikia reguliariai tirti visų kraujo ląstelių skaičių. LML sergančių pacientų gydymas imatinibu buvo susijęs su neutropenija ar trombocitopenija. Vis dėlto šių citopenijų atsiradimas gali būti susijęs su gydomos ligos stadija ir dažniau pasireikšti pacientams, kuriems yra LML akceleracijos fazė ar blastinė krizė, palyginti su tais, kuriems yra lėtinė LML fazė. Gydymas imatinibu gali būti pertrauktas arba gali būti sumažinta vaistinio preparato dozė taip, kaip rekomenduojama 4.2 skyriuje.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Reikia reguliariai vertinti imatinibą vartojančių pacientų kepenų funkciją (transaminazių aktyvumą, bilirubino koncentraciją, šarminės fosfatazės aktyvumą).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Atrodo, kad imatinibo ekspozicija pacientų, kurių inkstų funkcija yra sutrikusi, plazmoje yra didesnė nei pacientų, kurių inkstų funkcija normali. Tai greičiausiai susiję su didesnėmis imatinibą surišančio baltymo rūgščiojo alfa glikoproteino (AGP) koncentracijomis tokių pacientų plazmoje. Pacientus, kuriems yra inkstų funkcijos sutrikimas, gydyti reikia atsargiai. Jeigu gydymas netoleruojamas, dozę galima sumažinti (žr. 4.2 ir 5.2 skyrius).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Ilgalaikis gydymas imatinibu gali būti susijęs su kliniškai reikšmingai pablogėjusia inkstų funkcija. Prieš pradedant gydymą imatinibu, inkstų funkcija </w:t>
      </w:r>
      <w:r w:rsidRPr="00B75D90">
        <w:rPr>
          <w:rFonts w:ascii="Times New Roman" w:eastAsia="Times New Roman" w:hAnsi="Times New Roman" w:cs="Times New Roman"/>
          <w:lang w:eastAsia="sl-SI"/>
        </w:rPr>
        <w:t>turi</w:t>
      </w:r>
      <w:r w:rsidRPr="00B75D90">
        <w:rPr>
          <w:rFonts w:ascii="Times New Roman" w:eastAsia="SimSun" w:hAnsi="Times New Roman" w:cs="Times New Roman"/>
        </w:rPr>
        <w:t xml:space="preserve"> būti įvertinta </w:t>
      </w:r>
      <w:r w:rsidRPr="00B75D90">
        <w:rPr>
          <w:rFonts w:ascii="Times New Roman" w:eastAsia="Times New Roman" w:hAnsi="Times New Roman" w:cs="Times New Roman"/>
          <w:lang w:eastAsia="sl-SI"/>
        </w:rPr>
        <w:t xml:space="preserve">(įskaitant glomerulų filtracijos greitį (GFG) </w:t>
      </w:r>
      <w:r w:rsidRPr="00B75D90">
        <w:rPr>
          <w:rFonts w:ascii="Times New Roman" w:eastAsia="SimSun" w:hAnsi="Times New Roman" w:cs="Times New Roman"/>
        </w:rPr>
        <w:t xml:space="preserve">ir atidžiai </w:t>
      </w:r>
      <w:r w:rsidRPr="00B75D90">
        <w:rPr>
          <w:rFonts w:ascii="Times New Roman" w:eastAsia="Times New Roman" w:hAnsi="Times New Roman" w:cs="Times New Roman"/>
          <w:lang w:eastAsia="sl-SI"/>
        </w:rPr>
        <w:t xml:space="preserve">kas mėnesį </w:t>
      </w:r>
      <w:r w:rsidRPr="00B75D90">
        <w:rPr>
          <w:rFonts w:ascii="Times New Roman" w:eastAsia="SimSun" w:hAnsi="Times New Roman" w:cs="Times New Roman"/>
        </w:rPr>
        <w:t>stebima gydymo metu, ypač tų pacientų, kuriems yra rizikos veiksnių dėl inkstų funkcijos sutrikimo</w:t>
      </w:r>
      <w:r w:rsidRPr="00B75D90">
        <w:rPr>
          <w:rFonts w:ascii="Times New Roman" w:eastAsia="Times New Roman" w:hAnsi="Times New Roman" w:cs="Times New Roman"/>
          <w:lang w:eastAsia="sl-SI"/>
        </w:rPr>
        <w:t>, įskaitant GFG veikiančių vaistinių preparatų, pvz., diuretikų, angiotenzino receptorių blokatorių ir nesteroidinių vaistinių preparatų nuo uždegimo (NVNU) vartojimą</w:t>
      </w:r>
      <w:r w:rsidRPr="00B75D90">
        <w:rPr>
          <w:rFonts w:ascii="Times New Roman" w:eastAsia="SimSun" w:hAnsi="Times New Roman" w:cs="Times New Roman"/>
        </w:rPr>
        <w:t>. Jei nustatytas inkstų funkcijos sutrikimas, turi būti skiriamas reikiamas gydymas, laikantis standartinių gydymo rekomendacijų.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Vaikų populiacija</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rPr>
        <w:t xml:space="preserve">Gauta pranešimų apie imatinibą vartojančių vaikų ir vaikų prieš paauglystę augimo sulėtėjimo atvejus. </w:t>
      </w:r>
      <w:r w:rsidRPr="00B75D90">
        <w:rPr>
          <w:rFonts w:ascii="Times New Roman" w:eastAsia="SimSun" w:hAnsi="Times New Roman" w:cs="Times New Roman"/>
          <w:lang w:val="cs-CZ"/>
        </w:rPr>
        <w:t>LML sergančių vaikų populiacijoje, atlikto stebėjimo tyrimo duomenimis, buvo pastebėtas statistiškai</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lang w:val="cs-CZ"/>
        </w:rPr>
        <w:t>reikšmingas (bet neaiškios klinikinės reikšmės) ūgio standartinio nuokrypio balų medianos</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lang w:val="cs-CZ"/>
        </w:rPr>
        <w:t>sumažėjimas po 12 ir 24 gydymo mėnesių dviejuose mažuose pogrupiuose, nepriklausomai nuo lytinio</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lang w:val="cs-CZ"/>
        </w:rPr>
        <w:t>brendimo ar lyties. Gydymo</w:t>
      </w:r>
      <w:r w:rsidRPr="00B75D90">
        <w:rPr>
          <w:rFonts w:ascii="Times New Roman" w:eastAsia="SimSun" w:hAnsi="Times New Roman" w:cs="Times New Roman"/>
        </w:rPr>
        <w:t xml:space="preserve"> imatinibu metu rekomenduojama atidžiai stebėti vaikų augimą (žr. 4.8 skyrių).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Meapax sudėtyje yra laktozės. Šio vaistinio preparato negalima vartoti pacientams, kuriems nustatytas retas paveldimas sutrikimas – visiškas laktazės stygius arba gliukozės ir galaktozės malabsorbcija.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9" w:name="_Toc129243106"/>
      <w:bookmarkStart w:id="10" w:name="_Toc129243231"/>
      <w:r w:rsidRPr="00B75D90">
        <w:rPr>
          <w:rFonts w:ascii="Times New Roman" w:eastAsia="SimSun" w:hAnsi="Times New Roman" w:cs="Times New Roman"/>
          <w:b/>
        </w:rPr>
        <w:t>4.5</w:t>
      </w:r>
      <w:r w:rsidRPr="00B75D90">
        <w:rPr>
          <w:rFonts w:ascii="Times New Roman" w:eastAsia="SimSun" w:hAnsi="Times New Roman" w:cs="Times New Roman"/>
          <w:b/>
        </w:rPr>
        <w:tab/>
        <w:t>Sąveika su kitais vaistiniais preparatais ir kitokia sąveika</w:t>
      </w:r>
      <w:bookmarkEnd w:id="9"/>
      <w:bookmarkEnd w:id="10"/>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 xml:space="preserve">Veikliosios medžiagos, kurios gali </w:t>
      </w:r>
      <w:r w:rsidRPr="00B75D90">
        <w:rPr>
          <w:rFonts w:ascii="Times New Roman" w:eastAsia="SimSun" w:hAnsi="Times New Roman" w:cs="Times New Roman"/>
          <w:b/>
          <w:u w:val="single"/>
        </w:rPr>
        <w:t>didinti</w:t>
      </w:r>
      <w:r w:rsidRPr="00B75D90">
        <w:rPr>
          <w:rFonts w:ascii="Times New Roman" w:eastAsia="SimSun" w:hAnsi="Times New Roman" w:cs="Times New Roman"/>
          <w:u w:val="single"/>
        </w:rPr>
        <w:t xml:space="preserve"> imatinibo koncentraciją plazmoje</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lastRenderedPageBreak/>
        <w:t>Medžiagos, kurios slopina citochromo P450 CYP3A4 izofermentų aktyvumą (pvz., proteazės inhibitoriai, tokie kaip indinaviras, lopinaviras derinyje su ritonaviru, ritonaviras, sakvinaviras, telapreviras, nelfinaviras, bocepreviras; priešgrybeliniai azolo dariniai, įskaitant ketokonazolą, itrakonazolą, posakonazolą, vorikonazolą; tam tikri makrolidai, tokie kaip eritromicinas, klaritromicinas ir telitromicinas), gali slopinti imatinibo metabolizmą ir didinti imatinibo koncentracijas. Reikšmingai padidėjo imatinibo ekspozicija (vidutinės imatinibo C</w:t>
      </w:r>
      <w:r w:rsidRPr="00B75D90">
        <w:rPr>
          <w:rFonts w:ascii="Times New Roman" w:eastAsia="SimSun" w:hAnsi="Times New Roman" w:cs="Times New Roman"/>
          <w:vertAlign w:val="subscript"/>
        </w:rPr>
        <w:t>max</w:t>
      </w:r>
      <w:r w:rsidRPr="00B75D90">
        <w:rPr>
          <w:rFonts w:ascii="Times New Roman" w:eastAsia="SimSun" w:hAnsi="Times New Roman" w:cs="Times New Roman"/>
        </w:rPr>
        <w:t xml:space="preserve"> ir </w:t>
      </w:r>
      <w:r w:rsidRPr="00B75D90">
        <w:rPr>
          <w:rFonts w:ascii="Times New Roman" w:eastAsia="SimSun" w:hAnsi="Times New Roman" w:cs="Times New Roman"/>
          <w:i/>
        </w:rPr>
        <w:t>AUC</w:t>
      </w:r>
      <w:r w:rsidRPr="00B75D90">
        <w:rPr>
          <w:rFonts w:ascii="Times New Roman" w:eastAsia="SimSun" w:hAnsi="Times New Roman" w:cs="Times New Roman"/>
        </w:rPr>
        <w:t xml:space="preserve"> padidėjo atitinkamai 26 % ir 40 %) sveikų savanorių, kurie kartu pavartojo vienkartinę ketokonazolo (CYP3A4 inhibitoriaus) dozę, organizme. Imatinibą skirti kartu su CYP3A4 izofermentų inhibitoriais reikia atsargiai.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 xml:space="preserve">Veikliosios medžiagos, kurios gali </w:t>
      </w:r>
      <w:r w:rsidRPr="00B75D90">
        <w:rPr>
          <w:rFonts w:ascii="Times New Roman" w:eastAsia="SimSun" w:hAnsi="Times New Roman" w:cs="Times New Roman"/>
          <w:b/>
          <w:u w:val="single"/>
        </w:rPr>
        <w:t>mažinti</w:t>
      </w:r>
      <w:r w:rsidRPr="00B75D90">
        <w:rPr>
          <w:rFonts w:ascii="Times New Roman" w:eastAsia="SimSun" w:hAnsi="Times New Roman" w:cs="Times New Roman"/>
          <w:u w:val="single"/>
        </w:rPr>
        <w:t xml:space="preserve"> imatinibo koncentraciją plazmoje</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Medžiagos, kurios sužadina CYP3A4 aktyvumą (pvz., deksametazonas, fenitoinas, karbamazepinas, rifampicinas, fenobarbitalis, fosfenitoinas, primidonas arba jonažolės [</w:t>
      </w:r>
      <w:r w:rsidRPr="00B75D90">
        <w:rPr>
          <w:rFonts w:ascii="Times New Roman" w:eastAsia="SimSun" w:hAnsi="Times New Roman" w:cs="Times New Roman"/>
          <w:i/>
        </w:rPr>
        <w:t>Hypericum perforatum</w:t>
      </w:r>
      <w:r w:rsidRPr="00B75D90">
        <w:rPr>
          <w:rFonts w:ascii="Times New Roman" w:eastAsia="SimSun" w:hAnsi="Times New Roman" w:cs="Times New Roman"/>
        </w:rPr>
        <w:t>] preparatai), gali reikšmingai sumažinti imatinibo ekspoziciją ir didinti riziką, kad gydymas bus neveiksmingas. Pavartojus vienkartinę 400 mg imatinibo dozę po iš pradžių skirto gydymo kartotinėmis 600 mg rifampicino dozėmis, imatinibo C</w:t>
      </w:r>
      <w:r w:rsidRPr="00B75D90">
        <w:rPr>
          <w:rFonts w:ascii="Times New Roman" w:eastAsia="SimSun" w:hAnsi="Times New Roman" w:cs="Times New Roman"/>
          <w:vertAlign w:val="subscript"/>
        </w:rPr>
        <w:t>max</w:t>
      </w:r>
      <w:r w:rsidRPr="00B75D90">
        <w:rPr>
          <w:rFonts w:ascii="Times New Roman" w:eastAsia="SimSun" w:hAnsi="Times New Roman" w:cs="Times New Roman"/>
        </w:rPr>
        <w:t xml:space="preserve"> ir </w:t>
      </w:r>
      <w:r w:rsidRPr="00B75D90">
        <w:rPr>
          <w:rFonts w:ascii="Times New Roman" w:eastAsia="SimSun" w:hAnsi="Times New Roman" w:cs="Times New Roman"/>
          <w:i/>
        </w:rPr>
        <w:t>AUC</w:t>
      </w:r>
      <w:r w:rsidRPr="00B75D90">
        <w:rPr>
          <w:rFonts w:ascii="Times New Roman" w:eastAsia="SimSun" w:hAnsi="Times New Roman" w:cs="Times New Roman"/>
          <w:vertAlign w:val="subscript"/>
        </w:rPr>
        <w:t>(0-∞)</w:t>
      </w:r>
      <w:r w:rsidRPr="00B75D90">
        <w:rPr>
          <w:rFonts w:ascii="Times New Roman" w:eastAsia="SimSun" w:hAnsi="Times New Roman" w:cs="Times New Roman"/>
        </w:rPr>
        <w:t xml:space="preserve"> sumažėjo atitinkamai bent 54 % ir 74 %, palyginti su atitinkamais rodmenimis nevartojant rifampicino. Panašūs rezultatai buvo stebėti ir gydant imatinibu piktybines gliomas pacientams, kurie vartojo fermentus sužadinančių antiepilepsinių vaistinių preparatų (AEV), pavyzdžiui, karbamazepiną, oksakarbazepiną ir fenitoiną. Imatinibo </w:t>
      </w:r>
      <w:r w:rsidRPr="00B75D90">
        <w:rPr>
          <w:rFonts w:ascii="Times New Roman" w:eastAsia="SimSun" w:hAnsi="Times New Roman" w:cs="Times New Roman"/>
          <w:i/>
        </w:rPr>
        <w:t>AUC</w:t>
      </w:r>
      <w:r w:rsidRPr="00B75D90">
        <w:rPr>
          <w:rFonts w:ascii="Times New Roman" w:eastAsia="SimSun" w:hAnsi="Times New Roman" w:cs="Times New Roman"/>
        </w:rPr>
        <w:t xml:space="preserve"> plazmoje sumažėjo 73 %, palyginti su pacientų, kurie nevartojo AEV. Reikia vengti imatinibą vartoti kartu su rifampicinu arba kitais stipraus poveikio CYP3A4 sužadinančiais vaistiniais preparatais.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Veikliosios medžiagos, kurių koncentracija plazmoje vartojant imatinibą gali keistis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Imatinibas padidina simvastatino (CYP3A4 substrato) C</w:t>
      </w:r>
      <w:r w:rsidRPr="00B75D90">
        <w:rPr>
          <w:rFonts w:ascii="Times New Roman" w:eastAsia="SimSun" w:hAnsi="Times New Roman" w:cs="Times New Roman"/>
          <w:vertAlign w:val="subscript"/>
        </w:rPr>
        <w:t>max</w:t>
      </w:r>
      <w:r w:rsidRPr="00B75D90">
        <w:rPr>
          <w:rFonts w:ascii="Times New Roman" w:eastAsia="SimSun" w:hAnsi="Times New Roman" w:cs="Times New Roman"/>
        </w:rPr>
        <w:t xml:space="preserve"> ir </w:t>
      </w:r>
      <w:r w:rsidRPr="00B75D90">
        <w:rPr>
          <w:rFonts w:ascii="Times New Roman" w:eastAsia="SimSun" w:hAnsi="Times New Roman" w:cs="Times New Roman"/>
          <w:i/>
        </w:rPr>
        <w:t>AUC</w:t>
      </w:r>
      <w:r w:rsidRPr="00B75D90">
        <w:rPr>
          <w:rFonts w:ascii="Times New Roman" w:eastAsia="SimSun" w:hAnsi="Times New Roman" w:cs="Times New Roman"/>
        </w:rPr>
        <w:t xml:space="preserve"> atitinkamai 2 ir 3,5 karto. Tai rodo, kad imatinibas slopina CYP3A4. Todėl rekomenduojama imtis atsargumo priemonių, imatinibą skiriant vartoti kartu su CYP3A4 substratais, kurie turi siaurą terapinį langą (pvz., ciklosporinu, pimozidu, takrolimuzu, sirolimuzu, ergotaminu, diergotaminu, fentaniliu, alfetaniliu, terfenadinu, bortezomibu, docetakseliu ir chinidinu). Imatinibas gali didinti kitų CYP3A4 metabolizuojamų vaistinių preparatų (pvz., triazolų grupės benzodiazepinų, dihidropiridinų grupės kalcio kanalų blokatorių, kai kurių HMG-KoA reduktazės inhibitorių, t. y. statinų, ir kt.) koncentraciją plazmoje.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Dėl žinomos su imatinibo vartojimu susijusios padidėjusios kraujavimo (pvz., hemoragijos) rizikos</w:t>
      </w:r>
      <w:r w:rsidRPr="00B75D90" w:rsidDel="008E6EDC">
        <w:rPr>
          <w:rFonts w:ascii="Times New Roman" w:eastAsia="SimSun" w:hAnsi="Times New Roman" w:cs="Times New Roman"/>
        </w:rPr>
        <w:t xml:space="preserve"> </w:t>
      </w:r>
      <w:r w:rsidRPr="00B75D90">
        <w:rPr>
          <w:rFonts w:ascii="Times New Roman" w:eastAsia="SimSun" w:hAnsi="Times New Roman" w:cs="Times New Roman"/>
        </w:rPr>
        <w:t>pacientams, kuriuos reikia gydyti antikoaguliantais, vietoj kumarino darinių, tokių kaip varfarinas, reikia skirti mažos molekulinės masės arba įprastus heparino vaistinius preparatus.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Imatinibas slopina citochromo P450 CYP2D6 izofermento aktyvumą </w:t>
      </w:r>
      <w:r w:rsidRPr="00B75D90">
        <w:rPr>
          <w:rFonts w:ascii="Times New Roman" w:eastAsia="SimSun" w:hAnsi="Times New Roman" w:cs="Times New Roman"/>
          <w:i/>
        </w:rPr>
        <w:t>in vitro</w:t>
      </w:r>
      <w:r w:rsidRPr="00B75D90">
        <w:rPr>
          <w:rFonts w:ascii="Times New Roman" w:eastAsia="SimSun" w:hAnsi="Times New Roman" w:cs="Times New Roman"/>
        </w:rPr>
        <w:t>, kai jo koncentracijos yra panašios į tas, kurios veikia CYP3A4 aktyvumą. Vartojant 400 mg imatinibo dozę du kartus per parą, slopinamas CYP2D6 veikiamas metoprololio metabolizmas ir metoprololio C</w:t>
      </w:r>
      <w:r w:rsidRPr="00B75D90">
        <w:rPr>
          <w:rFonts w:ascii="Times New Roman" w:eastAsia="SimSun" w:hAnsi="Times New Roman" w:cs="Times New Roman"/>
          <w:vertAlign w:val="subscript"/>
        </w:rPr>
        <w:t>max</w:t>
      </w:r>
      <w:r w:rsidRPr="00B75D90">
        <w:rPr>
          <w:rFonts w:ascii="Times New Roman" w:eastAsia="SimSun" w:hAnsi="Times New Roman" w:cs="Times New Roman"/>
        </w:rPr>
        <w:t xml:space="preserve"> ir </w:t>
      </w:r>
      <w:r w:rsidRPr="00B75D90">
        <w:rPr>
          <w:rFonts w:ascii="Times New Roman" w:eastAsia="SimSun" w:hAnsi="Times New Roman" w:cs="Times New Roman"/>
          <w:i/>
        </w:rPr>
        <w:t>AUC</w:t>
      </w:r>
      <w:r w:rsidRPr="00B75D90">
        <w:rPr>
          <w:rFonts w:ascii="Times New Roman" w:eastAsia="SimSun" w:hAnsi="Times New Roman" w:cs="Times New Roman"/>
        </w:rPr>
        <w:t xml:space="preserve"> padidėja maždaug 23 % (90 % PI [1,16</w:t>
      </w:r>
      <w:r w:rsidRPr="00B75D90">
        <w:rPr>
          <w:rFonts w:ascii="Times New Roman" w:eastAsia="SimSun" w:hAnsi="Times New Roman" w:cs="Times New Roman"/>
        </w:rPr>
        <w:noBreakHyphen/>
        <w:t>1,30]). Atrodo, kad imatinibą vartojant kartu su CYP2D6 substratais, dozės keisti nebūtina, tačiau vartojant kartu CYP2D6 substratus, kurie turi siaurą terapinį langą (pvz., metoprololį), gydyti reikia atsargiai. Reikia stebėti metoprololiu gydomų pacientų klinikinę būklę.</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Imatinibas slopina paracetamolio O-gliukuronizaciją</w:t>
      </w:r>
      <w:r w:rsidRPr="00B75D90">
        <w:rPr>
          <w:rFonts w:ascii="Times New Roman" w:eastAsia="SimSun" w:hAnsi="Times New Roman" w:cs="Times New Roman"/>
          <w:i/>
        </w:rPr>
        <w:t xml:space="preserve"> in vitro</w:t>
      </w:r>
      <w:r w:rsidRPr="00B75D90">
        <w:rPr>
          <w:rFonts w:ascii="Times New Roman" w:eastAsia="SimSun" w:hAnsi="Times New Roman" w:cs="Times New Roman"/>
        </w:rPr>
        <w:t xml:space="preserve"> (Ki vertė yra 58,5 mikromolių/l). Pavartojus 400 mg imatinibo ir 1000 mg paracetamolio dozes, tokio slopinimo </w:t>
      </w:r>
      <w:r w:rsidRPr="00B75D90">
        <w:rPr>
          <w:rFonts w:ascii="Times New Roman" w:eastAsia="SimSun" w:hAnsi="Times New Roman" w:cs="Times New Roman"/>
          <w:i/>
        </w:rPr>
        <w:t>in vivo</w:t>
      </w:r>
      <w:r w:rsidRPr="00B75D90">
        <w:rPr>
          <w:rFonts w:ascii="Times New Roman" w:eastAsia="SimSun" w:hAnsi="Times New Roman" w:cs="Times New Roman"/>
        </w:rPr>
        <w:t xml:space="preserve"> nepastebėta. Didesnės imatinibo ir paracetamolio dozės netirtos. Todėl dideles imatinibo dozes vartojant kartu su paracetamoliu, gydyti reikia atsargiai.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Levotiroksinu po skydliaukės pašalinimo operacijos gydytiems pacientams kartu pavartojus imatinibo, gali sumažėti levotiroksino ekspozicija plazmoje (žr. 4.4 skyrių). Todėl gydyti rekomenduojama atsargiai. Vis dėlto stebėtos sąveikos mechanizmas iki šiol nežinomas.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Yra klinikinės patirties kartu vartojant imatinibą ir kitus chemoterapinius vaistinius preparatus pacientų, sergančiųjų Ph+ ŪLL, tarpe (žr. 5.1 skyrių), bet vaistinio preparato – vaistinio preparato sąveikos tarp imatinibo ir chemoterapinių vaistinių preparatų nėra gerai aprašytos. Imatinibo </w:t>
      </w:r>
      <w:r w:rsidRPr="00B75D90">
        <w:rPr>
          <w:rFonts w:ascii="Times New Roman" w:eastAsia="SimSun" w:hAnsi="Times New Roman" w:cs="Times New Roman"/>
        </w:rPr>
        <w:lastRenderedPageBreak/>
        <w:t>sukeliamų nepageidaujamų reiškinių, pvz., hepatotoksiškumo, kaulų čiulpų supresijos arba kitų, gali daugėti ir pranešta, kad kartu vartojant L-asparaginazės, gali padidėti hepatotoksiškumas (žr. 4.8 skyrių). Todėl, kartu su Meapax vartojant kitų vaistinių preparatų, reikia specialių atsargumo priemonių.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11" w:name="_Toc129243107"/>
      <w:bookmarkStart w:id="12" w:name="_Toc129243232"/>
      <w:r w:rsidRPr="00B75D90">
        <w:rPr>
          <w:rFonts w:ascii="Times New Roman" w:eastAsia="SimSun" w:hAnsi="Times New Roman" w:cs="Times New Roman"/>
          <w:b/>
        </w:rPr>
        <w:t>4.6</w:t>
      </w:r>
      <w:r w:rsidRPr="00B75D90">
        <w:rPr>
          <w:rFonts w:ascii="Times New Roman" w:eastAsia="SimSun" w:hAnsi="Times New Roman" w:cs="Times New Roman"/>
          <w:b/>
        </w:rPr>
        <w:tab/>
        <w:t>Vaisingumas, nėštumo ir žindymo laikotarpis</w:t>
      </w:r>
      <w:bookmarkEnd w:id="11"/>
      <w:bookmarkEnd w:id="12"/>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Times New Roman" w:hAnsi="Times New Roman" w:cs="Times New Roman"/>
          <w:u w:val="single"/>
          <w:lang w:eastAsia="sl-SI"/>
        </w:rPr>
        <w:t>Vaisingos</w:t>
      </w:r>
      <w:r w:rsidRPr="00B75D90">
        <w:rPr>
          <w:rFonts w:ascii="Times New Roman" w:eastAsia="SimSun" w:hAnsi="Times New Roman" w:cs="Times New Roman"/>
          <w:u w:val="single"/>
        </w:rPr>
        <w:t xml:space="preserve"> moterys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Times New Roman" w:hAnsi="Times New Roman" w:cs="Times New Roman"/>
          <w:lang w:eastAsia="sl-SI"/>
        </w:rPr>
        <w:t>Vaisingoms</w:t>
      </w:r>
      <w:r w:rsidRPr="00B75D90">
        <w:rPr>
          <w:rFonts w:ascii="Times New Roman" w:eastAsia="SimSun" w:hAnsi="Times New Roman" w:cs="Times New Roman"/>
        </w:rPr>
        <w:t xml:space="preserve"> moterims reikia patarti, kad gydymo metu naudotų veiksmingą kontracepcijos metodą.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Nėštumas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Reikiamų duomenų apie imatinibo vartojimą moterims nėštumo metu nepakanka. </w:t>
      </w:r>
      <w:r w:rsidRPr="00B75D90">
        <w:rPr>
          <w:rFonts w:ascii="Times New Roman" w:eastAsia="SimSun" w:hAnsi="Times New Roman" w:cs="Times New Roman"/>
          <w:lang w:val="cs-CZ"/>
        </w:rPr>
        <w:t xml:space="preserve">Vaistiniam preparatui patekus į rinką gauta pranešimų apie imatinibą vartojusioms moterims pasireiškusius savaiminių persileidimų atvejus ir įgimtas kūdikių anomalijas. </w:t>
      </w:r>
      <w:r w:rsidRPr="00B75D90">
        <w:rPr>
          <w:rFonts w:ascii="Times New Roman" w:eastAsia="SimSun" w:hAnsi="Times New Roman" w:cs="Times New Roman"/>
        </w:rPr>
        <w:t>Vis dėlto su gyvūnais atlikti tyrimai parodė toksinį poveikį reprodukcijai (žr. 5.3 skyrių), o galimas pavojus vaisiui nežinomas. Imatinibo nėštumo metu vartoti negalima, išskyrus neabejotinai būtinus atvejus. Jeigu imatinibas skiriamas vartoti nėštumo metu, pacientei reikia pasakyti apie galimą riziką vaisiui.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Žindymas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Duomenys apie imatinibo išsiskyrimą į motinos pieną yra riboti. Du tyrimai su žindyvėmis parodė, kad imatinibas ir jo veiklusis metabolitas gali išsiskirti į motinos pieną. Buvo nustatytas imatinibo ir jo metabolito koncentracijų piene ir plazmoje santykis vienai pacientei: atitinkamai 0,5 ir 0,9. Tai rodo, kad metabolito į pieną išsiskiria daugiau. Atsižvelgiant į suminę imatinibo ir jo metabolito koncentraciją bei didžiausią per parą kūdikio suvartojamą pieno kiekį, tikėtina, kad bendroji ekspozicija galėtų būti nedidelė (~10 % gydomosios dozės). Vis dėlto poveikis kūdikiui, susijęs su nedidelės imatinibo dozės ekspozicija, nežinomas, todėl imatinibą vartojančioms moterims žindyti negalima (žr. 5.3 skyrių).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Vaisingumas</w:t>
      </w:r>
    </w:p>
    <w:p w:rsidR="00B75D90" w:rsidRPr="00B75D90" w:rsidRDefault="00B75D90" w:rsidP="00B75D90">
      <w:pPr>
        <w:widowControl w:val="0"/>
        <w:spacing w:after="0" w:line="240" w:lineRule="auto"/>
        <w:rPr>
          <w:rFonts w:ascii="Times New Roman" w:eastAsia="Times New Roman" w:hAnsi="Times New Roman" w:cs="Times New Roman"/>
          <w:lang w:val="cs-CZ" w:eastAsia="sl-SI"/>
        </w:rPr>
      </w:pPr>
      <w:r w:rsidRPr="00B75D90">
        <w:rPr>
          <w:rFonts w:ascii="Times New Roman" w:eastAsia="SimSun" w:hAnsi="Times New Roman" w:cs="Times New Roman"/>
        </w:rPr>
        <w:t>Ikiklinikinių tyrimų metu žiurkių patinų ir patelių vaisingumas nepakito (žr. 5.3 skyrių). Nebuvo</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rPr>
        <w:t>atlikta tyrimų, imatinibo skiriant pacientams, taigi vaistinio preparato poveikis žmonių vaisingumui ir gametogenezei nebuvo ištirtas. Prieš pradedant gydymą imatinibu pacientą reikia informuoti dėl galimo poveikio vaisingumui.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13" w:name="_Toc129243108"/>
      <w:bookmarkStart w:id="14" w:name="_Toc129243233"/>
      <w:r w:rsidRPr="00B75D90">
        <w:rPr>
          <w:rFonts w:ascii="Times New Roman" w:eastAsia="SimSun" w:hAnsi="Times New Roman" w:cs="Times New Roman"/>
          <w:b/>
        </w:rPr>
        <w:t>4.7</w:t>
      </w:r>
      <w:r w:rsidRPr="00B75D90">
        <w:rPr>
          <w:rFonts w:ascii="Times New Roman" w:eastAsia="SimSun" w:hAnsi="Times New Roman" w:cs="Times New Roman"/>
          <w:b/>
        </w:rPr>
        <w:tab/>
        <w:t>Poveikis gebėjimui vairuoti ir valdyti mechanizmus</w:t>
      </w:r>
      <w:bookmarkEnd w:id="13"/>
      <w:bookmarkEnd w:id="14"/>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Meapax gebėjimą vairuoti ir valdyti mechanizmus veikia vidutiniškai.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Pacientams reikia paaiškinti, kad gydymo imatinibu metu gali pasireikšti nepageidaujamas poveikis, toks kaip galvos svaigimas, miglotas matymas ar mieguistumas. Todėl rekomenduojama būti atsargiems vairuojant automobilį ar valdant mechanizmus.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15" w:name="_Toc129243109"/>
      <w:bookmarkStart w:id="16" w:name="_Toc129243234"/>
      <w:r w:rsidRPr="00B75D90">
        <w:rPr>
          <w:rFonts w:ascii="Times New Roman" w:eastAsia="SimSun" w:hAnsi="Times New Roman" w:cs="Times New Roman"/>
          <w:b/>
        </w:rPr>
        <w:t>4.8</w:t>
      </w:r>
      <w:r w:rsidRPr="00B75D90">
        <w:rPr>
          <w:rFonts w:ascii="Times New Roman" w:eastAsia="SimSun" w:hAnsi="Times New Roman" w:cs="Times New Roman"/>
          <w:b/>
        </w:rPr>
        <w:tab/>
        <w:t>Nepageidaujamas poveikis</w:t>
      </w:r>
      <w:bookmarkEnd w:id="15"/>
      <w:bookmarkEnd w:id="16"/>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Times New Roman" w:hAnsi="Times New Roman" w:cs="Times New Roman"/>
          <w:u w:val="single"/>
          <w:lang w:val="cs-CZ" w:eastAsia="sl-SI"/>
        </w:rPr>
      </w:pPr>
      <w:r w:rsidRPr="00B75D90">
        <w:rPr>
          <w:rFonts w:ascii="Times New Roman" w:eastAsia="Times New Roman" w:hAnsi="Times New Roman" w:cs="Times New Roman"/>
          <w:u w:val="single"/>
          <w:lang w:val="cs-CZ" w:eastAsia="sl-SI"/>
        </w:rPr>
        <w:t>Saugumo duomenų santrauka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Pacientams, kuriems yra diagnozuotas vėlesnių stadijų piktybinis navikas, gali būti daug įtaką darančių medicininių aplinkybių, dėl kurių būna sunku įvertinti nepageidaujamų reakcijų priežastis dėl simptomų, susijusių su pagrindine liga, jos progresavimu ir kartu vartojamais įvairiais vaisiniais preparatais, įvairovės.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Klinikinių LML tyrimų duomenimis, vaistinio preparato vartojimą dėl nepageidaujamų reakcijų, susijusių su vaistiniu preparatu, nutraukė 2,4 % pacientų, kuriems liga buvo diagnozuota pirmą kartą, 4 % pacientų, kuriems buvo diagnozuota vėlyva lėtinė fazė po neveiksmingo gydymo interferonu, 4 % pacientų, kuriems buvo diagnozuota akceleracijos fazė po neveiksmingo gydymo interferonu, ir 5 % pacientų, kuriems buvo diagnozuota blastinė krizė po neveiksmingo gydymo interferonu. VTSN tyrimų metu dėl vaistinio preparato sukeltų nepageidaujamų reakcijų </w:t>
      </w:r>
      <w:r w:rsidRPr="00B75D90">
        <w:rPr>
          <w:rFonts w:ascii="Times New Roman" w:eastAsia="Times New Roman" w:hAnsi="Times New Roman" w:cs="Times New Roman"/>
          <w:lang w:val="cs-CZ" w:eastAsia="sl-SI"/>
        </w:rPr>
        <w:t>vaistinį preparatą</w:t>
      </w:r>
      <w:r w:rsidRPr="00B75D90">
        <w:rPr>
          <w:rFonts w:ascii="Times New Roman" w:eastAsia="SimSun" w:hAnsi="Times New Roman" w:cs="Times New Roman"/>
        </w:rPr>
        <w:t xml:space="preserve"> teko nutraukti </w:t>
      </w:r>
      <w:r w:rsidRPr="00B75D90">
        <w:rPr>
          <w:rFonts w:ascii="Times New Roman" w:eastAsia="SimSun" w:hAnsi="Times New Roman" w:cs="Times New Roman"/>
        </w:rPr>
        <w:lastRenderedPageBreak/>
        <w:t>4 % pacientų.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Nepageidaujamos reakcijos buvo panašios, vartojant vaistinį preparatą pagal visas indikacijas, išskyrus du atvejus. LML sergantiems pacientams pasireiškė stipresnis kaulų čiulpų funkcijos slopinimas nei pacientams, kuriems buvo diagnozuotas VTSN (greičiausiai dėl pagrindinės ligos). Klinikinio tyrimo duomenimis, iš jame dalyvavusių pacientų, kuriems buvo nerezekuotinas ir (ar) metastazavęs VTSN, 7 (5 %) pacientams buvo: CTC 3/4 laipsnio kraujavimas iš virškinimo trakto (3 pacientams), vidunavikinis kraujavimas (3 pacientams) ar abu požymiai (1 pacientui). Virškinimo trakte gali kraujuoti iš naviko (žr. 4.4 skyrių). Retkarčiais kraujavimas iš virškinimo trakto ar naviko gali būti mirtinas. Dažniausi (≥ 10 %) su vaistiniu preparatu susiję nepageidaujami reiškiniai abiem ligomis sergantiems pacientams buvo nestiprus pykinimas, vėmimas, viduriavimas, pilvo skausmas, nuovargis, mialgija, raumenų mėšlungis ir išbėrimas. Paviršinės edemos buvo dažnas reiškinys visuose tyrimuose ir visų pirma buvo aprašytos kaip periorbitalinės ar apatinių galūnių edemos. Vis dėlto šios edemos labai retais atvejais buvo sunkios ir gali būti gydomos diuretikais, kitomis pagalbinėmis priemonėmis arba sumažinant imatinibo dozę.</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Ph+ŪLL sergantiems pacientams, vartojusiems imatinibą kartu su didelėmis chemoterapinių vaistinių preparatų dozėmis, stebėtas laikinas toksinis poveikis kepenims, pasireiškęs transaminazių aktyvumo padidėjimu ir hiperbilirubinemija. Atsižvelgiant į ribotus turimus saugumo duomenis, vaikams pasireiškusių nepageidaujamų reiškinių, apie kuriuos pranešta, pobūdis atitinka žinomus saugumo savybių duomenis Ph+ ŪLL sergantiems suaugusiesiems. Turimi duomenys apie saugumo savybes Ph+ ŪLL sergantiems vaikams yra labai riboti, tačiau naujų nerimą keliančių saugumo duomenų nustatyta nebuvo.</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rPr>
        <w:t>Įvairios nepageidaujamos reakcijos, pavyzdžiui, skysčių kaupimasis pleuros ertmėje, ascitas, plaučių edema ir greitas kūno masės didėjimas, gali būti apibūdintos bendrai kaip,,skysčių susilaikymas“. Šias reakcijas paprastai galima gydyti laikinai pertraukiant gydymą imatinibu ir skiriant diuretikų ar kitas tinkamas palaikomojo gydymo priemones. Vis dėlto kai kurios iš šių reakcijų gali būti sunkios ar pavojingos gyvybei ir keletas pacientų, kuriems pasireiškė blastinė krizė ir turėjo sudėtingą klinikinę istoriją, kuri apėmė skysčių susikaupimą pleuros ertmėje, stazinį širdies nepakankamumą ir inkstų funkcijos nepakankamumą, mirė. Specialių saugumo duomenų, gautų klinikinių tyrimų su vaikais metu, nėra.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Nepageidaujamos reakcijos, apie kurias buvo pranešta dažniau nei pavieniais atvejais, išvardytos toliau pagal organų sistemų klases ir dažnį. </w:t>
      </w:r>
      <w:r w:rsidRPr="00B75D90">
        <w:rPr>
          <w:rFonts w:ascii="Times New Roman" w:eastAsia="Times New Roman" w:hAnsi="Times New Roman" w:cs="Times New Roman"/>
        </w:rPr>
        <w:t>Nepageidaujamo poveikio</w:t>
      </w:r>
      <w:r w:rsidRPr="00B75D90">
        <w:rPr>
          <w:rFonts w:ascii="Times New Roman" w:eastAsia="SimSun" w:hAnsi="Times New Roman" w:cs="Times New Roman"/>
        </w:rPr>
        <w:t xml:space="preserve"> dažnis </w:t>
      </w:r>
      <w:r w:rsidRPr="00B75D90">
        <w:rPr>
          <w:rFonts w:ascii="Times New Roman" w:eastAsia="Times New Roman" w:hAnsi="Times New Roman" w:cs="Times New Roman"/>
        </w:rPr>
        <w:t>apibūdinamas taip</w:t>
      </w:r>
      <w:r w:rsidRPr="00B75D90">
        <w:rPr>
          <w:rFonts w:ascii="Times New Roman" w:eastAsia="SimSun" w:hAnsi="Times New Roman" w:cs="Times New Roman"/>
        </w:rPr>
        <w:t xml:space="preserve">: labai </w:t>
      </w:r>
      <w:r w:rsidRPr="00B75D90">
        <w:rPr>
          <w:rFonts w:ascii="Times New Roman" w:eastAsia="Times New Roman" w:hAnsi="Times New Roman" w:cs="Times New Roman"/>
        </w:rPr>
        <w:t>dažnas (≥ </w:t>
      </w:r>
      <w:r w:rsidRPr="00B75D90">
        <w:rPr>
          <w:rFonts w:ascii="Times New Roman" w:eastAsia="SimSun" w:hAnsi="Times New Roman" w:cs="Times New Roman"/>
        </w:rPr>
        <w:t xml:space="preserve">1/10), </w:t>
      </w:r>
      <w:r w:rsidRPr="00B75D90">
        <w:rPr>
          <w:rFonts w:ascii="Times New Roman" w:eastAsia="Times New Roman" w:hAnsi="Times New Roman" w:cs="Times New Roman"/>
        </w:rPr>
        <w:t>dažnas</w:t>
      </w:r>
      <w:r w:rsidRPr="00B75D90">
        <w:rPr>
          <w:rFonts w:ascii="Times New Roman" w:eastAsia="SimSun" w:hAnsi="Times New Roman" w:cs="Times New Roman"/>
        </w:rPr>
        <w:t xml:space="preserve"> (nuo ≥</w:t>
      </w:r>
      <w:r w:rsidRPr="00B75D90">
        <w:rPr>
          <w:rFonts w:ascii="Times New Roman" w:eastAsia="Times New Roman" w:hAnsi="Times New Roman" w:cs="Times New Roman"/>
        </w:rPr>
        <w:t> </w:t>
      </w:r>
      <w:r w:rsidRPr="00B75D90">
        <w:rPr>
          <w:rFonts w:ascii="Times New Roman" w:eastAsia="SimSun" w:hAnsi="Times New Roman" w:cs="Times New Roman"/>
        </w:rPr>
        <w:t>1/100 iki &lt;</w:t>
      </w:r>
      <w:r w:rsidRPr="00B75D90">
        <w:rPr>
          <w:rFonts w:ascii="Times New Roman" w:eastAsia="Times New Roman" w:hAnsi="Times New Roman" w:cs="Times New Roman"/>
        </w:rPr>
        <w:t> </w:t>
      </w:r>
      <w:r w:rsidRPr="00B75D90">
        <w:rPr>
          <w:rFonts w:ascii="Times New Roman" w:eastAsia="SimSun" w:hAnsi="Times New Roman" w:cs="Times New Roman"/>
        </w:rPr>
        <w:t xml:space="preserve">1/10), </w:t>
      </w:r>
      <w:r w:rsidRPr="00B75D90">
        <w:rPr>
          <w:rFonts w:ascii="Times New Roman" w:eastAsia="Times New Roman" w:hAnsi="Times New Roman" w:cs="Times New Roman"/>
        </w:rPr>
        <w:t>nedažnas</w:t>
      </w:r>
      <w:r w:rsidRPr="00B75D90">
        <w:rPr>
          <w:rFonts w:ascii="Times New Roman" w:eastAsia="SimSun" w:hAnsi="Times New Roman" w:cs="Times New Roman"/>
        </w:rPr>
        <w:t xml:space="preserve"> (nuo ≥</w:t>
      </w:r>
      <w:r w:rsidRPr="00B75D90">
        <w:rPr>
          <w:rFonts w:ascii="Times New Roman" w:eastAsia="Times New Roman" w:hAnsi="Times New Roman" w:cs="Times New Roman"/>
        </w:rPr>
        <w:t> </w:t>
      </w:r>
      <w:r w:rsidRPr="00B75D90">
        <w:rPr>
          <w:rFonts w:ascii="Times New Roman" w:eastAsia="SimSun" w:hAnsi="Times New Roman" w:cs="Times New Roman"/>
        </w:rPr>
        <w:t>1/1000 iki &lt;</w:t>
      </w:r>
      <w:r w:rsidRPr="00B75D90">
        <w:rPr>
          <w:rFonts w:ascii="Times New Roman" w:eastAsia="Times New Roman" w:hAnsi="Times New Roman" w:cs="Times New Roman"/>
        </w:rPr>
        <w:t> </w:t>
      </w:r>
      <w:r w:rsidRPr="00B75D90">
        <w:rPr>
          <w:rFonts w:ascii="Times New Roman" w:eastAsia="SimSun" w:hAnsi="Times New Roman" w:cs="Times New Roman"/>
        </w:rPr>
        <w:t xml:space="preserve">1/100), </w:t>
      </w:r>
      <w:r w:rsidRPr="00B75D90">
        <w:rPr>
          <w:rFonts w:ascii="Times New Roman" w:eastAsia="Times New Roman" w:hAnsi="Times New Roman" w:cs="Times New Roman"/>
        </w:rPr>
        <w:t>retas</w:t>
      </w:r>
      <w:r w:rsidRPr="00B75D90">
        <w:rPr>
          <w:rFonts w:ascii="Times New Roman" w:eastAsia="SimSun" w:hAnsi="Times New Roman" w:cs="Times New Roman"/>
        </w:rPr>
        <w:t xml:space="preserve"> (nuo ≥</w:t>
      </w:r>
      <w:r w:rsidRPr="00B75D90">
        <w:rPr>
          <w:rFonts w:ascii="Times New Roman" w:eastAsia="Times New Roman" w:hAnsi="Times New Roman" w:cs="Times New Roman"/>
        </w:rPr>
        <w:t> </w:t>
      </w:r>
      <w:r w:rsidRPr="00B75D90">
        <w:rPr>
          <w:rFonts w:ascii="Times New Roman" w:eastAsia="SimSun" w:hAnsi="Times New Roman" w:cs="Times New Roman"/>
        </w:rPr>
        <w:t>1/10000 iki &lt;</w:t>
      </w:r>
      <w:r w:rsidRPr="00B75D90">
        <w:rPr>
          <w:rFonts w:ascii="Times New Roman" w:eastAsia="Times New Roman" w:hAnsi="Times New Roman" w:cs="Times New Roman"/>
        </w:rPr>
        <w:t> </w:t>
      </w:r>
      <w:r w:rsidRPr="00B75D90">
        <w:rPr>
          <w:rFonts w:ascii="Times New Roman" w:eastAsia="SimSun" w:hAnsi="Times New Roman" w:cs="Times New Roman"/>
        </w:rPr>
        <w:t xml:space="preserve">1/1000), labai </w:t>
      </w:r>
      <w:r w:rsidRPr="00B75D90">
        <w:rPr>
          <w:rFonts w:ascii="Times New Roman" w:eastAsia="Times New Roman" w:hAnsi="Times New Roman" w:cs="Times New Roman"/>
        </w:rPr>
        <w:t>retas (&lt; </w:t>
      </w:r>
      <w:r w:rsidRPr="00B75D90">
        <w:rPr>
          <w:rFonts w:ascii="Times New Roman" w:eastAsia="SimSun" w:hAnsi="Times New Roman" w:cs="Times New Roman"/>
        </w:rPr>
        <w:t>1/10000</w:t>
      </w:r>
      <w:r w:rsidRPr="00B75D90">
        <w:rPr>
          <w:rFonts w:ascii="Times New Roman" w:eastAsia="Times New Roman" w:hAnsi="Times New Roman" w:cs="Times New Roman"/>
        </w:rPr>
        <w:t>) ir</w:t>
      </w:r>
      <w:r w:rsidRPr="00B75D90">
        <w:rPr>
          <w:rFonts w:ascii="Times New Roman" w:eastAsia="SimSun" w:hAnsi="Times New Roman" w:cs="Times New Roman"/>
        </w:rPr>
        <w:t xml:space="preserve"> nežinomas (negali būti </w:t>
      </w:r>
      <w:r w:rsidRPr="00B75D90">
        <w:rPr>
          <w:rFonts w:ascii="Times New Roman" w:eastAsia="Times New Roman" w:hAnsi="Times New Roman" w:cs="Times New Roman"/>
        </w:rPr>
        <w:t>apskaičiuotas</w:t>
      </w:r>
      <w:r w:rsidRPr="00B75D90">
        <w:rPr>
          <w:rFonts w:ascii="Times New Roman" w:eastAsia="SimSun" w:hAnsi="Times New Roman" w:cs="Times New Roman"/>
        </w:rPr>
        <w:t xml:space="preserve"> pagal turimus duomenis).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Kiekvienoje dažnio grupėje nepageidaujamas poveikis pateikiamas mažėjančio sunkumo tvarka.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Nepageidaujamos reakcijos ir jų dažniai, nurodyti lentelėje Nr. 1</w:t>
      </w: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Lentelė Nr. 1. Nepageidaujamų reakcijų santrauka lentelėje</w:t>
      </w:r>
    </w:p>
    <w:p w:rsidR="00B75D90" w:rsidRPr="00B75D90" w:rsidRDefault="00B75D90" w:rsidP="00B75D90">
      <w:pPr>
        <w:widowControl w:val="0"/>
        <w:spacing w:after="0" w:line="240" w:lineRule="auto"/>
        <w:rPr>
          <w:rFonts w:ascii="Times New Roman" w:eastAsia="SimSun" w:hAnsi="Times New Roman"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0"/>
        <w:gridCol w:w="4826"/>
      </w:tblGrid>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Infekcijos ir infestacijos</w:t>
            </w:r>
          </w:p>
        </w:tc>
      </w:tr>
      <w:tr w:rsidR="00B75D90" w:rsidRPr="00B75D90" w:rsidTr="00533723">
        <w:trPr>
          <w:trHeight w:val="381"/>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Juosiančioji pūslelinė (</w:t>
            </w:r>
            <w:r w:rsidRPr="00B75D90">
              <w:rPr>
                <w:rFonts w:ascii="Times New Roman" w:eastAsia="SimSun" w:hAnsi="Times New Roman" w:cs="Times New Roman"/>
                <w:i/>
              </w:rPr>
              <w:t>herpes zoster</w:t>
            </w:r>
            <w:r w:rsidRPr="00B75D90">
              <w:rPr>
                <w:rFonts w:ascii="Times New Roman" w:eastAsia="SimSun" w:hAnsi="Times New Roman" w:cs="Times New Roman"/>
              </w:rPr>
              <w:t>), paprastoji pūslelinė (</w:t>
            </w:r>
            <w:r w:rsidRPr="00B75D90">
              <w:rPr>
                <w:rFonts w:ascii="Times New Roman" w:eastAsia="SimSun" w:hAnsi="Times New Roman" w:cs="Times New Roman"/>
                <w:i/>
              </w:rPr>
              <w:t>herpes simplex</w:t>
            </w:r>
            <w:r w:rsidRPr="00B75D90">
              <w:rPr>
                <w:rFonts w:ascii="Times New Roman" w:eastAsia="SimSun" w:hAnsi="Times New Roman" w:cs="Times New Roman"/>
              </w:rPr>
              <w:t xml:space="preserve">), nazofaringitas, pneumonija </w:t>
            </w:r>
            <w:r w:rsidRPr="00B75D90">
              <w:rPr>
                <w:rFonts w:ascii="Times New Roman" w:eastAsia="SimSun" w:hAnsi="Times New Roman" w:cs="Times New Roman"/>
                <w:vertAlign w:val="superscript"/>
              </w:rPr>
              <w:t>1</w:t>
            </w:r>
            <w:r w:rsidRPr="00B75D90">
              <w:rPr>
                <w:rFonts w:ascii="Times New Roman" w:eastAsia="SimSun" w:hAnsi="Times New Roman" w:cs="Times New Roman"/>
              </w:rPr>
              <w:t>, sinusitas, celiulitas, viršutinių kvėpavimo takų infekcinė liga, gripas, šlapimo takų infekcinė liga, gastroenteritas, sepsis.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Grybelių sukelta infekcinė liga.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Times New Roman" w:hAnsi="Times New Roman" w:cs="Times New Roman"/>
                <w:i/>
                <w:iCs/>
                <w:lang w:val="cs-CZ" w:eastAsia="sl-SI"/>
              </w:rPr>
            </w:pPr>
            <w:r w:rsidRPr="00B75D90">
              <w:rPr>
                <w:rFonts w:ascii="Times New Roman" w:eastAsia="Times New Roman" w:hAnsi="Times New Roman" w:cs="Times New Roman"/>
                <w:i/>
                <w:iCs/>
                <w:lang w:val="cs-CZ" w:eastAsia="sl-SI"/>
              </w:rPr>
              <w:t>Dažnis nežinomas</w:t>
            </w:r>
          </w:p>
        </w:tc>
        <w:tc>
          <w:tcPr>
            <w:tcW w:w="4826" w:type="dxa"/>
          </w:tcPr>
          <w:p w:rsidR="00B75D90" w:rsidRPr="00B75D90" w:rsidRDefault="00B75D90" w:rsidP="00B75D90">
            <w:pPr>
              <w:widowControl w:val="0"/>
              <w:spacing w:after="0" w:line="240" w:lineRule="auto"/>
              <w:rPr>
                <w:rFonts w:ascii="Times New Roman" w:eastAsia="Times New Roman" w:hAnsi="Times New Roman" w:cs="Times New Roman"/>
                <w:lang w:val="cs-CZ" w:eastAsia="sl-SI"/>
              </w:rPr>
            </w:pPr>
            <w:r w:rsidRPr="00B75D90">
              <w:rPr>
                <w:rFonts w:ascii="Times New Roman" w:eastAsia="Times New Roman" w:hAnsi="Times New Roman" w:cs="Times New Roman"/>
                <w:lang w:val="cs-CZ" w:eastAsia="sl-SI"/>
              </w:rPr>
              <w:t>Hepatito B atsinaujinimas</w:t>
            </w:r>
            <w:r w:rsidRPr="00B75D90">
              <w:rPr>
                <w:rFonts w:ascii="Times New Roman" w:eastAsia="SimSun" w:hAnsi="Times New Roman" w:cs="Times New Roman"/>
                <w:lang w:val="sl-SI"/>
              </w:rPr>
              <w:t>*</w:t>
            </w:r>
            <w:r w:rsidRPr="00B75D90">
              <w:rPr>
                <w:rFonts w:ascii="Times New Roman" w:eastAsia="Times New Roman" w:hAnsi="Times New Roman" w:cs="Times New Roman"/>
                <w:lang w:val="cs-CZ" w:eastAsia="sl-SI"/>
              </w:rPr>
              <w:t>.</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Gerybiniai, piktybiniai ir nepatikslinti navikai (tarp jų cistos ir polipai)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Naviko irimo sindromas.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lastRenderedPageBreak/>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Naviko kraujosruva, naviko nekrozė</w:t>
            </w:r>
            <w:r w:rsidRPr="00B75D90">
              <w:rPr>
                <w:rFonts w:ascii="Times New Roman" w:eastAsia="SimSun" w:hAnsi="Times New Roman" w:cs="Times New Roman"/>
                <w:lang w:val="sl-SI"/>
              </w:rPr>
              <w:t>*.</w:t>
            </w:r>
          </w:p>
        </w:tc>
      </w:tr>
      <w:tr w:rsidR="00B75D90" w:rsidRPr="00B75D90" w:rsidTr="00533723">
        <w:trPr>
          <w:trHeight w:val="100"/>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Imuninės sistemos sutrikimai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Anafilaksinis šokas</w:t>
            </w:r>
            <w:r w:rsidRPr="00B75D90">
              <w:rPr>
                <w:rFonts w:ascii="Times New Roman" w:eastAsia="SimSun" w:hAnsi="Times New Roman" w:cs="Times New Roman"/>
                <w:lang w:val="sl-SI"/>
              </w:rPr>
              <w:t>*.</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Kraujo ir limfinės sistemos sutrikimai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Labai 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Neutropenija, trombocitopenija, anemija.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Pancitopenija, febrilioji neutropenija.</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Trombocitemija, limfopenija, kaulų čiulpų funkcijos slopinimas, eozinofilija, limfadenopatija.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Hemolizinė anemija</w:t>
            </w:r>
            <w:r w:rsidRPr="00B75D90">
              <w:rPr>
                <w:rFonts w:ascii="Times New Roman" w:eastAsia="SimSun" w:hAnsi="Times New Roman" w:cs="Times New Roman"/>
                <w:szCs w:val="20"/>
                <w:lang w:val="cs-CZ"/>
              </w:rPr>
              <w:t>, trombinė mikroangiopatija</w:t>
            </w:r>
            <w:r w:rsidRPr="00B75D90">
              <w:rPr>
                <w:rFonts w:ascii="Times New Roman" w:eastAsia="SimSun" w:hAnsi="Times New Roman" w:cs="Times New Roman"/>
              </w:rPr>
              <w:t>.</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Metabolizmo ir mitybos sutrikimai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Anoreksija.</w:t>
            </w:r>
          </w:p>
        </w:tc>
      </w:tr>
      <w:tr w:rsidR="00B75D90" w:rsidRPr="00B75D90" w:rsidTr="00533723">
        <w:trPr>
          <w:trHeight w:val="359"/>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Hipokalemija, apetito padidėjimas, hipofosfatemija, apetito sumažėjimas, dehidratacija, podagra, hiperurikemija, hiperkalcemija, hiperglikemija, hiponatremija.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Hiperkalemija, hipomagnezemija.</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Psichikos sutrikimai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Nemiga.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Depresija, lytinio potraukio sumažėjimas, nerimas.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Sumišimo būklė.</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Nervų sistemos sutrikimai</w:t>
            </w:r>
          </w:p>
        </w:tc>
      </w:tr>
      <w:tr w:rsidR="00B75D90" w:rsidRPr="00B75D90" w:rsidTr="00533723">
        <w:trPr>
          <w:trHeight w:val="122"/>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Labai 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Galvos skausmas </w:t>
            </w:r>
            <w:r w:rsidRPr="00B75D90">
              <w:rPr>
                <w:rFonts w:ascii="Times New Roman" w:eastAsia="SimSun" w:hAnsi="Times New Roman" w:cs="Times New Roman"/>
                <w:vertAlign w:val="superscript"/>
              </w:rPr>
              <w:t>2</w:t>
            </w:r>
            <w:r w:rsidRPr="00B75D90">
              <w:rPr>
                <w:rFonts w:ascii="Times New Roman" w:eastAsia="SimSun" w:hAnsi="Times New Roman" w:cs="Times New Roman"/>
              </w:rPr>
              <w:t>.</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Galvos svaigimas, parestezija, skonio pojūčio sutrikimas, hipoestezija.</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Migrena, somnolencija, apalpimas, periferinė neuropatija, atminties sutrikimas, sėdmens nervo skausmas, neramių kojų sindromas, drebulys, kraujavimas į galvos smegenis.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Galvospūdžio padidėjimas, traukuliai, regos nervo neuritas.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Smegenų edema</w:t>
            </w:r>
            <w:r w:rsidRPr="00B75D90">
              <w:rPr>
                <w:rFonts w:ascii="Times New Roman" w:eastAsia="SimSun" w:hAnsi="Times New Roman" w:cs="Times New Roman"/>
                <w:lang w:val="sl-SI"/>
              </w:rPr>
              <w:t>*.</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Akių sutrikimai</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Akių vokų edema, ašarojimo sustiprėjimas, junginės kraujosruvos, akių sausmė, miglotas matymas.</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 xml:space="preserve">Nedažni: </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Akies dirginimas, akies skausmas, akiduobės edema, skleros kraujosruva, tinklainės kraujosruva, blefaritas, geltonosios dėmės edema.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 xml:space="preserve">Reti: </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Katarakta, glaukoma, regos nervo spenelio edema.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Stiklakūnio kraujosruva</w:t>
            </w:r>
            <w:r w:rsidRPr="00B75D90">
              <w:rPr>
                <w:rFonts w:ascii="Times New Roman" w:eastAsia="SimSun" w:hAnsi="Times New Roman" w:cs="Times New Roman"/>
                <w:lang w:val="sl-SI"/>
              </w:rPr>
              <w:t>*</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Ausų ir labirintų sutrikimai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Galvos sukimasis, spengimas ausyse, prikurtimas.</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Širdies sutrikimai</w:t>
            </w:r>
          </w:p>
        </w:tc>
      </w:tr>
      <w:tr w:rsidR="00B75D90" w:rsidRPr="00B75D90" w:rsidTr="00533723">
        <w:trPr>
          <w:trHeight w:val="122"/>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Palpitacijos, tachikardija, stazinis širdies nepakankamumas </w:t>
            </w:r>
            <w:r w:rsidRPr="00B75D90">
              <w:rPr>
                <w:rFonts w:ascii="Times New Roman" w:eastAsia="SimSun" w:hAnsi="Times New Roman" w:cs="Times New Roman"/>
                <w:vertAlign w:val="superscript"/>
              </w:rPr>
              <w:t>3</w:t>
            </w:r>
            <w:r w:rsidRPr="00B75D90">
              <w:rPr>
                <w:rFonts w:ascii="Times New Roman" w:eastAsia="SimSun" w:hAnsi="Times New Roman" w:cs="Times New Roman"/>
              </w:rPr>
              <w:t>, plaučių edema.</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Aritmija, prieširdžių virpėjimas, širdies sustojimas, miokardo infarktas, krūtinės angina, skysčio susikaupimas perikarde.</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Perikarditas</w:t>
            </w:r>
            <w:r w:rsidRPr="00B75D90">
              <w:rPr>
                <w:rFonts w:ascii="Times New Roman" w:eastAsia="SimSun" w:hAnsi="Times New Roman" w:cs="Times New Roman"/>
                <w:lang w:val="sl-SI"/>
              </w:rPr>
              <w:t>*</w:t>
            </w:r>
            <w:r w:rsidRPr="00B75D90">
              <w:rPr>
                <w:rFonts w:ascii="Times New Roman" w:eastAsia="SimSun" w:hAnsi="Times New Roman" w:cs="Times New Roman"/>
              </w:rPr>
              <w:t>, širdies tamponada</w:t>
            </w:r>
            <w:r w:rsidRPr="00B75D90">
              <w:rPr>
                <w:rFonts w:ascii="Times New Roman" w:eastAsia="SimSun" w:hAnsi="Times New Roman" w:cs="Times New Roman"/>
                <w:lang w:val="sl-SI"/>
              </w:rPr>
              <w:t>*.</w:t>
            </w:r>
          </w:p>
        </w:tc>
      </w:tr>
      <w:tr w:rsidR="00B75D90" w:rsidRPr="00B75D90" w:rsidTr="00533723">
        <w:trPr>
          <w:trHeight w:val="121"/>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 xml:space="preserve">Kraujagyslių sutrikimai </w:t>
            </w:r>
            <w:r w:rsidRPr="00B75D90">
              <w:rPr>
                <w:rFonts w:ascii="Times New Roman" w:eastAsia="SimSun" w:hAnsi="Times New Roman" w:cs="Times New Roman"/>
                <w:b/>
                <w:vertAlign w:val="superscript"/>
              </w:rPr>
              <w:t>4</w:t>
            </w:r>
            <w:r w:rsidRPr="00B75D90">
              <w:rPr>
                <w:rFonts w:ascii="Times New Roman" w:eastAsia="SimSun" w:hAnsi="Times New Roman" w:cs="Times New Roman"/>
                <w:b/>
              </w:rPr>
              <w:t xml:space="preserve"> </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Veido ir kaklo paraudimas, kraujavimas.</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Hipertenzija, hematoma, subdurinė hematoma, galūnių šaltumas, hipotenzija, Raynaud sindromas.</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Trombozė, embolija</w:t>
            </w:r>
            <w:r w:rsidRPr="00B75D90">
              <w:rPr>
                <w:rFonts w:ascii="Times New Roman" w:eastAsia="SimSun" w:hAnsi="Times New Roman" w:cs="Times New Roman"/>
                <w:lang w:val="sl-SI"/>
              </w:rPr>
              <w:t>*.</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lastRenderedPageBreak/>
              <w:t>Kvėpavimo sistemos, krūtinės ląstos ir tarpuplaučio sutrikimai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Dusulys, kraujavimas iš nosies, kosulys.</w:t>
            </w:r>
          </w:p>
        </w:tc>
      </w:tr>
      <w:tr w:rsidR="00B75D90" w:rsidRPr="00B75D90" w:rsidTr="00533723">
        <w:trPr>
          <w:trHeight w:val="122"/>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Skysčio susikaupimas pleuros ertmėje </w:t>
            </w:r>
            <w:r w:rsidRPr="00B75D90">
              <w:rPr>
                <w:rFonts w:ascii="Times New Roman" w:eastAsia="SimSun" w:hAnsi="Times New Roman" w:cs="Times New Roman"/>
                <w:vertAlign w:val="superscript"/>
              </w:rPr>
              <w:t>5</w:t>
            </w:r>
            <w:r w:rsidRPr="00B75D90">
              <w:rPr>
                <w:rFonts w:ascii="Times New Roman" w:eastAsia="SimSun" w:hAnsi="Times New Roman" w:cs="Times New Roman"/>
              </w:rPr>
              <w:t>, ryklės ir gerklų skausmas, faringitas.</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Pleuritinis skausmas, plaučių fibrozė, plautinė hipertenzija, kraujavimas iš plaučių.</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Ūminis kvėpavimo </w:t>
            </w:r>
            <w:r w:rsidRPr="00B75D90">
              <w:rPr>
                <w:rFonts w:ascii="Times New Roman" w:eastAsia="SimSun" w:hAnsi="Times New Roman" w:cs="Times New Roman"/>
                <w:lang w:val="cs-CZ"/>
              </w:rPr>
              <w:t>nepakankamumas</w:t>
            </w:r>
            <w:r w:rsidRPr="00B75D90">
              <w:rPr>
                <w:rFonts w:ascii="Times New Roman" w:eastAsia="SimSun" w:hAnsi="Times New Roman" w:cs="Times New Roman"/>
                <w:vertAlign w:val="superscript"/>
                <w:lang w:val="cs-CZ"/>
              </w:rPr>
              <w:t>11</w:t>
            </w:r>
            <w:r w:rsidRPr="00B75D90">
              <w:rPr>
                <w:rFonts w:ascii="Times New Roman" w:eastAsia="SimSun" w:hAnsi="Times New Roman" w:cs="Times New Roman"/>
                <w:lang w:val="sl-SI"/>
              </w:rPr>
              <w:t>*</w:t>
            </w:r>
            <w:r w:rsidRPr="00B75D90">
              <w:rPr>
                <w:rFonts w:ascii="Times New Roman" w:eastAsia="SimSun" w:hAnsi="Times New Roman" w:cs="Times New Roman"/>
              </w:rPr>
              <w:t>, intersticinė plaučių liga</w:t>
            </w:r>
            <w:r w:rsidRPr="00B75D90">
              <w:rPr>
                <w:rFonts w:ascii="Times New Roman" w:eastAsia="SimSun" w:hAnsi="Times New Roman" w:cs="Times New Roman"/>
                <w:lang w:val="sl-SI"/>
              </w:rPr>
              <w:t>*.</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Virškinimo trakto sutrikimai</w:t>
            </w:r>
          </w:p>
        </w:tc>
      </w:tr>
      <w:tr w:rsidR="00B75D90" w:rsidRPr="00B75D90" w:rsidTr="00533723">
        <w:trPr>
          <w:trHeight w:val="122"/>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Labai 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Pykinimas, viduriavimas, vėmimas, dispepsija, pilvo skausmas</w:t>
            </w:r>
            <w:r w:rsidRPr="00B75D90">
              <w:rPr>
                <w:rFonts w:ascii="Times New Roman" w:eastAsia="SimSun" w:hAnsi="Times New Roman" w:cs="Times New Roman"/>
                <w:vertAlign w:val="superscript"/>
              </w:rPr>
              <w:t>6</w:t>
            </w:r>
            <w:r w:rsidRPr="00B75D90">
              <w:rPr>
                <w:rFonts w:ascii="Times New Roman" w:eastAsia="SimSun" w:hAnsi="Times New Roman" w:cs="Times New Roman"/>
              </w:rPr>
              <w:t>.</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Dujų kaupimasis virškinimo trakte, pilvo pūtimas, gastroezofaginis refliuksas, vidurių užkietėjimas, burnos džiūvimas, gastritas.</w:t>
            </w:r>
          </w:p>
        </w:tc>
      </w:tr>
      <w:tr w:rsidR="00B75D90" w:rsidRPr="00B75D90" w:rsidTr="00533723">
        <w:trPr>
          <w:trHeight w:val="252"/>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Stomatitas, burnos išopėjimas, kraujavimas iš virškinimo trakto </w:t>
            </w:r>
            <w:r w:rsidRPr="00B75D90">
              <w:rPr>
                <w:rFonts w:ascii="Times New Roman" w:eastAsia="SimSun" w:hAnsi="Times New Roman" w:cs="Times New Roman"/>
                <w:vertAlign w:val="superscript"/>
              </w:rPr>
              <w:t>7</w:t>
            </w:r>
            <w:r w:rsidRPr="00B75D90">
              <w:rPr>
                <w:rFonts w:ascii="Times New Roman" w:eastAsia="SimSun" w:hAnsi="Times New Roman" w:cs="Times New Roman"/>
              </w:rPr>
              <w:t>, atsirūgimas, melena, ezofagitas, ascitas, skrandžio opa, vėmimas krauju, cheilitas, disfagija, pankreatitas.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Kolitas, žarnų nepraeinamumas, uždegiminė žarnų liga.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Žarnų nepraeinamumas, žarnų obstrukcija</w:t>
            </w:r>
            <w:r w:rsidRPr="00B75D90">
              <w:rPr>
                <w:rFonts w:ascii="Times New Roman" w:eastAsia="SimSun" w:hAnsi="Times New Roman" w:cs="Times New Roman"/>
                <w:lang w:val="sl-SI"/>
              </w:rPr>
              <w:t>*</w:t>
            </w:r>
            <w:r w:rsidRPr="00B75D90">
              <w:rPr>
                <w:rFonts w:ascii="Times New Roman" w:eastAsia="SimSun" w:hAnsi="Times New Roman" w:cs="Times New Roman"/>
              </w:rPr>
              <w:t>, virškinimo trakto perforacija</w:t>
            </w:r>
            <w:r w:rsidRPr="00B75D90">
              <w:rPr>
                <w:rFonts w:ascii="Times New Roman" w:eastAsia="SimSun" w:hAnsi="Times New Roman" w:cs="Times New Roman"/>
                <w:lang w:val="sl-SI"/>
              </w:rPr>
              <w:t>*</w:t>
            </w:r>
            <w:r w:rsidRPr="00B75D90">
              <w:rPr>
                <w:rFonts w:ascii="Times New Roman" w:eastAsia="SimSun" w:hAnsi="Times New Roman" w:cs="Times New Roman"/>
              </w:rPr>
              <w:t>, divertikulitas</w:t>
            </w:r>
            <w:r w:rsidRPr="00B75D90">
              <w:rPr>
                <w:rFonts w:ascii="Times New Roman" w:eastAsia="SimSun" w:hAnsi="Times New Roman" w:cs="Times New Roman"/>
                <w:lang w:val="sl-SI"/>
              </w:rPr>
              <w:t>*</w:t>
            </w:r>
            <w:r w:rsidRPr="00B75D90">
              <w:rPr>
                <w:rFonts w:ascii="Times New Roman" w:eastAsia="SimSun" w:hAnsi="Times New Roman" w:cs="Times New Roman"/>
              </w:rPr>
              <w:t xml:space="preserve">, </w:t>
            </w:r>
            <w:r w:rsidRPr="00B75D90">
              <w:rPr>
                <w:rFonts w:ascii="Times New Roman" w:eastAsia="Times New Roman" w:hAnsi="Times New Roman" w:cs="Times New Roman"/>
                <w:lang w:eastAsia="sl-SI"/>
              </w:rPr>
              <w:t xml:space="preserve">skrandžio </w:t>
            </w:r>
            <w:r w:rsidRPr="00B75D90">
              <w:rPr>
                <w:rFonts w:ascii="Times New Roman" w:eastAsia="SimSun" w:hAnsi="Times New Roman" w:cs="Times New Roman"/>
              </w:rPr>
              <w:t xml:space="preserve">prievarčio </w:t>
            </w:r>
            <w:r w:rsidRPr="00B75D90">
              <w:rPr>
                <w:rFonts w:ascii="Times New Roman" w:eastAsia="Times New Roman" w:hAnsi="Times New Roman" w:cs="Times New Roman"/>
                <w:lang w:eastAsia="sl-SI"/>
              </w:rPr>
              <w:t xml:space="preserve">urvo </w:t>
            </w:r>
            <w:r w:rsidRPr="00B75D90">
              <w:rPr>
                <w:rFonts w:ascii="Times New Roman" w:eastAsia="SimSun" w:hAnsi="Times New Roman" w:cs="Times New Roman"/>
              </w:rPr>
              <w:t>kraujagyslių išsiplėtimas (</w:t>
            </w:r>
            <w:r w:rsidRPr="00B75D90">
              <w:rPr>
                <w:rFonts w:ascii="Times New Roman" w:eastAsia="Times New Roman" w:hAnsi="Times New Roman" w:cs="Times New Roman"/>
                <w:lang w:eastAsia="sl-SI"/>
              </w:rPr>
              <w:t xml:space="preserve">angl. </w:t>
            </w:r>
            <w:r w:rsidRPr="00B75D90">
              <w:rPr>
                <w:rFonts w:ascii="Times New Roman" w:eastAsia="SimSun" w:hAnsi="Times New Roman" w:cs="Times New Roman"/>
              </w:rPr>
              <w:t>GAVE)</w:t>
            </w:r>
            <w:r w:rsidRPr="00B75D90">
              <w:rPr>
                <w:rFonts w:ascii="Times New Roman" w:eastAsia="SimSun" w:hAnsi="Times New Roman" w:cs="Times New Roman"/>
                <w:lang w:val="sl-SI"/>
              </w:rPr>
              <w:t xml:space="preserve"> *</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Kepenų, tulžies pūslės ir latakų sutrikimai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Kepenų fermentų suaktyvėjimas.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Hiperbilirubinemija, hepatitas, gelta.</w:t>
            </w:r>
          </w:p>
        </w:tc>
      </w:tr>
      <w:tr w:rsidR="00B75D90" w:rsidRPr="00B75D90" w:rsidTr="00533723">
        <w:trPr>
          <w:trHeight w:val="122"/>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Kepenų funkcijos nepakankamumas </w:t>
            </w:r>
            <w:r w:rsidRPr="00B75D90">
              <w:rPr>
                <w:rFonts w:ascii="Times New Roman" w:eastAsia="SimSun" w:hAnsi="Times New Roman" w:cs="Times New Roman"/>
                <w:vertAlign w:val="superscript"/>
              </w:rPr>
              <w:t>8</w:t>
            </w:r>
            <w:r w:rsidRPr="00B75D90">
              <w:rPr>
                <w:rFonts w:ascii="Times New Roman" w:eastAsia="SimSun" w:hAnsi="Times New Roman" w:cs="Times New Roman"/>
              </w:rPr>
              <w:t>, kepenų nekrozė.</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Odos ir poodinio audinio sutrikimai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Labai 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Periorbitalinė edema, dermatitas, egzema, išbėrimas.</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Niežulys, veido edema, odos sausmė, paraudimas, alopecija, naktinis prakaitavimas, padidėjusio jautrumo saulės šviesai reakcija.</w:t>
            </w:r>
          </w:p>
        </w:tc>
      </w:tr>
      <w:tr w:rsidR="00B75D90" w:rsidRPr="00B75D90" w:rsidTr="00533723">
        <w:trPr>
          <w:trHeight w:val="489"/>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Pustulinis išbėrimas, sumušimas, sustiprėjęs prakaitavimas, dilgėlinė, dėminės kraujosruvos, polinkio mėlynėms atsirasti padidėjimas, plaukuotumo sumažėjimas, odos pigmentacijos sumažėjimas, eksfoliacinis dermatitas, nagų lūžinėjimas, folikulitas, petechijos, žvynelinė, purpura, odos pigmentacijos padidėjimas, pūslinis išbėrimas.</w:t>
            </w:r>
          </w:p>
        </w:tc>
      </w:tr>
      <w:tr w:rsidR="00B75D90" w:rsidRPr="00B75D90" w:rsidTr="00533723">
        <w:trPr>
          <w:trHeight w:val="489"/>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Ūminė febrilioji neutrofilinė dermatozė (Sweet sindromas), nagų spalvos pokytis, angioneurozinė edema, vezikulinis išbėrimas, daugiaformė eritema, leukocitoklastinis vaskulitas, Stevens-Johnson sindromas, ūminė generalizuota egzanteminė pustuliozė (ŪGEP).</w:t>
            </w:r>
          </w:p>
        </w:tc>
      </w:tr>
      <w:tr w:rsidR="00B75D90" w:rsidRPr="00B75D90" w:rsidTr="00533723">
        <w:trPr>
          <w:trHeight w:val="489"/>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Delnų ir padų eritrodizestezijos sindromas</w:t>
            </w:r>
            <w:r w:rsidRPr="00B75D90">
              <w:rPr>
                <w:rFonts w:ascii="Times New Roman" w:eastAsia="SimSun" w:hAnsi="Times New Roman" w:cs="Times New Roman"/>
                <w:lang w:val="sl-SI"/>
              </w:rPr>
              <w:t>*</w:t>
            </w:r>
            <w:r w:rsidRPr="00B75D90">
              <w:rPr>
                <w:rFonts w:ascii="Times New Roman" w:eastAsia="SimSun" w:hAnsi="Times New Roman" w:cs="Times New Roman"/>
              </w:rPr>
              <w:t>, lichenoidinė keratozė</w:t>
            </w:r>
            <w:r w:rsidRPr="00B75D90">
              <w:rPr>
                <w:rFonts w:ascii="Times New Roman" w:eastAsia="SimSun" w:hAnsi="Times New Roman" w:cs="Times New Roman"/>
                <w:lang w:val="sl-SI"/>
              </w:rPr>
              <w:t>*</w:t>
            </w:r>
            <w:r w:rsidRPr="00B75D90">
              <w:rPr>
                <w:rFonts w:ascii="Times New Roman" w:eastAsia="SimSun" w:hAnsi="Times New Roman" w:cs="Times New Roman"/>
              </w:rPr>
              <w:t>, plokščioji kerpligė</w:t>
            </w:r>
            <w:r w:rsidRPr="00B75D90">
              <w:rPr>
                <w:rFonts w:ascii="Times New Roman" w:eastAsia="SimSun" w:hAnsi="Times New Roman" w:cs="Times New Roman"/>
                <w:lang w:val="sl-SI"/>
              </w:rPr>
              <w:t>*</w:t>
            </w:r>
            <w:r w:rsidRPr="00B75D90">
              <w:rPr>
                <w:rFonts w:ascii="Times New Roman" w:eastAsia="SimSun" w:hAnsi="Times New Roman" w:cs="Times New Roman"/>
              </w:rPr>
              <w:t>, toksinė epidermio nekrolizė</w:t>
            </w:r>
            <w:r w:rsidRPr="00B75D90">
              <w:rPr>
                <w:rFonts w:ascii="Times New Roman" w:eastAsia="SimSun" w:hAnsi="Times New Roman" w:cs="Times New Roman"/>
                <w:lang w:val="sl-SI"/>
              </w:rPr>
              <w:t>*</w:t>
            </w:r>
            <w:r w:rsidRPr="00B75D90">
              <w:rPr>
                <w:rFonts w:ascii="Times New Roman" w:eastAsia="SimSun" w:hAnsi="Times New Roman" w:cs="Times New Roman"/>
              </w:rPr>
              <w:t xml:space="preserve">, </w:t>
            </w:r>
            <w:r w:rsidRPr="00B75D90">
              <w:rPr>
                <w:rFonts w:ascii="Times New Roman" w:eastAsia="Times New Roman" w:hAnsi="Times New Roman" w:cs="Times New Roman"/>
                <w:lang w:eastAsia="sl-SI"/>
              </w:rPr>
              <w:t>vaistinių preparatų sukeltas</w:t>
            </w:r>
            <w:r w:rsidRPr="00B75D90">
              <w:rPr>
                <w:rFonts w:ascii="Times New Roman" w:eastAsia="SimSun" w:hAnsi="Times New Roman" w:cs="Times New Roman"/>
              </w:rPr>
              <w:t xml:space="preserve"> išbėrimas su eozinofilija ir sisteminiais simptomais (</w:t>
            </w:r>
            <w:r w:rsidRPr="00B75D90">
              <w:rPr>
                <w:rFonts w:ascii="Times New Roman" w:eastAsia="Times New Roman" w:hAnsi="Times New Roman" w:cs="Times New Roman"/>
                <w:lang w:eastAsia="sl-SI"/>
              </w:rPr>
              <w:t xml:space="preserve">angl. </w:t>
            </w:r>
            <w:r w:rsidRPr="00B75D90">
              <w:rPr>
                <w:rFonts w:ascii="Times New Roman" w:eastAsia="Times New Roman" w:hAnsi="Times New Roman" w:cs="Times New Roman"/>
                <w:i/>
                <w:lang w:val="sl-SI" w:eastAsia="sl-SI"/>
              </w:rPr>
              <w:t xml:space="preserve">drug rash with eosinophilia and systemic </w:t>
            </w:r>
            <w:r w:rsidRPr="00B75D90">
              <w:rPr>
                <w:rFonts w:ascii="Times New Roman" w:eastAsia="Times New Roman" w:hAnsi="Times New Roman" w:cs="Times New Roman"/>
                <w:i/>
                <w:lang w:val="sl-SI" w:eastAsia="sl-SI"/>
              </w:rPr>
              <w:lastRenderedPageBreak/>
              <w:t>symptoms</w:t>
            </w:r>
            <w:r w:rsidRPr="00B75D90">
              <w:rPr>
                <w:rFonts w:ascii="Times New Roman" w:eastAsia="Times New Roman" w:hAnsi="Times New Roman" w:cs="Times New Roman"/>
                <w:lang w:val="sl-SI" w:eastAsia="sl-SI"/>
              </w:rPr>
              <w:t xml:space="preserve">, </w:t>
            </w:r>
            <w:r w:rsidRPr="00B75D90">
              <w:rPr>
                <w:rFonts w:ascii="Times New Roman" w:eastAsia="SimSun" w:hAnsi="Times New Roman" w:cs="Times New Roman"/>
              </w:rPr>
              <w:t>DRESS)</w:t>
            </w:r>
            <w:r w:rsidRPr="00B75D90">
              <w:rPr>
                <w:rFonts w:ascii="Times New Roman" w:eastAsia="SimSun" w:hAnsi="Times New Roman" w:cs="Times New Roman"/>
                <w:lang w:val="sl-SI"/>
              </w:rPr>
              <w:t xml:space="preserve">*, </w:t>
            </w:r>
            <w:r w:rsidRPr="00B75D90">
              <w:rPr>
                <w:rFonts w:ascii="Times New Roman" w:eastAsia="Times New Roman" w:hAnsi="Times New Roman" w:cs="Times New Roman"/>
                <w:szCs w:val="20"/>
                <w:lang w:val="cs-CZ"/>
              </w:rPr>
              <w:t>pseudoporfirija*</w:t>
            </w:r>
            <w:r w:rsidRPr="00B75D90">
              <w:rPr>
                <w:rFonts w:ascii="Times New Roman" w:eastAsia="SimSun" w:hAnsi="Times New Roman" w:cs="Times New Roman"/>
                <w:lang w:val="sl-SI"/>
              </w:rPr>
              <w:t>.</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lastRenderedPageBreak/>
              <w:t>Skeleto, raumenų ir jungiamojo audinio sutrikimai</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Labai 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Raumenų spazmas ir mėšlungis, kaulų ir raumenų skausmas, įskaitant </w:t>
            </w:r>
            <w:r w:rsidRPr="00B75D90">
              <w:rPr>
                <w:rFonts w:ascii="Times New Roman" w:eastAsia="SimSun" w:hAnsi="Times New Roman" w:cs="Times New Roman"/>
                <w:lang w:val="cs-CZ"/>
              </w:rPr>
              <w:t>mialgiją</w:t>
            </w:r>
            <w:r w:rsidRPr="00B75D90">
              <w:rPr>
                <w:rFonts w:ascii="Times New Roman" w:eastAsia="Times New Roman" w:hAnsi="Times New Roman" w:cs="Times New Roman"/>
                <w:vertAlign w:val="superscript"/>
                <w:lang w:val="cs-CZ"/>
              </w:rPr>
              <w:t>9</w:t>
            </w:r>
            <w:r w:rsidRPr="00B75D90">
              <w:rPr>
                <w:rFonts w:ascii="Times New Roman" w:eastAsia="SimSun" w:hAnsi="Times New Roman" w:cs="Times New Roman"/>
              </w:rPr>
              <w:t xml:space="preserve">, artralgiją, kaulų skausmą </w:t>
            </w:r>
            <w:r w:rsidRPr="00B75D90">
              <w:rPr>
                <w:rFonts w:ascii="Times New Roman" w:eastAsia="SimSun" w:hAnsi="Times New Roman" w:cs="Times New Roman"/>
                <w:vertAlign w:val="superscript"/>
                <w:lang w:val="cs-CZ"/>
              </w:rPr>
              <w:t>10</w:t>
            </w:r>
            <w:r w:rsidRPr="00B75D90">
              <w:rPr>
                <w:rFonts w:ascii="Times New Roman" w:eastAsia="SimSun" w:hAnsi="Times New Roman" w:cs="Times New Roman"/>
              </w:rPr>
              <w:t>.</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Sąnarių patinimas.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Sąnarių ir raumenų sąstingis.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Raumenų silpnumas, artritas, rabdomiolizė, miopatija.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Times New Roman" w:hAnsi="Times New Roman" w:cs="Times New Roman"/>
                <w:i/>
              </w:rPr>
            </w:pPr>
            <w:r w:rsidRPr="00B75D90">
              <w:rPr>
                <w:rFonts w:ascii="Times New Roman" w:eastAsia="Times New Roma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Times New Roman" w:hAnsi="Times New Roman" w:cs="Times New Roman"/>
              </w:rPr>
            </w:pPr>
            <w:r w:rsidRPr="00B75D90">
              <w:rPr>
                <w:rFonts w:ascii="Times New Roman" w:eastAsia="Times New Roman" w:hAnsi="Times New Roman" w:cs="Times New Roman"/>
              </w:rPr>
              <w:t>Nevaskulinė nekrozė, šlaunikaulio galvutės nekrozė*, vaikų augimo sulėtėjimas*.</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Inkstų ir šlapimo takų sutrikimai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Inkstų skausmas, hematurija, ūminis inkstų funkcijos nepakankamumas, šlapinimosi padažnėjimas.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Dažnis nežinomas</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Lėtinis inkstų nepakankamumas.</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Lytinės sistemos ir krūties sutrikimai</w:t>
            </w:r>
          </w:p>
        </w:tc>
      </w:tr>
      <w:tr w:rsidR="00B75D90" w:rsidRPr="00B75D90" w:rsidTr="00533723">
        <w:trPr>
          <w:trHeight w:val="23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Ginekomastija, erekcijos funkcijos sutrikimas, menoragija, nereguliarios menstruacijos, lytinės funkcijos sutrikimas, spenelių skausmas, krūtų padidėjimas, kapšelio edema.</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Hemoraginis geltonkūnis, hemoraginė kiaušidžių cista.</w:t>
            </w:r>
          </w:p>
        </w:tc>
      </w:tr>
      <w:tr w:rsidR="00B75D90" w:rsidRPr="00B75D90" w:rsidTr="00533723">
        <w:trPr>
          <w:trHeight w:val="98"/>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Bendrieji sutrikimai ir vartojimo vietos pažeidimai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Labai 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Skysčių susikaupimas ir edema, nuovargis.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Silpnumas, karščiavimas, generalizuota edema, šaltkrėtis, sustingimas.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Krūtinės skausmas, negalavimas.</w:t>
            </w:r>
          </w:p>
        </w:tc>
      </w:tr>
      <w:tr w:rsidR="00B75D90" w:rsidRPr="00B75D90" w:rsidTr="00533723">
        <w:trPr>
          <w:trHeight w:val="256"/>
        </w:trPr>
        <w:tc>
          <w:tcPr>
            <w:tcW w:w="960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Tyrimai</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Labai 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Kūno masės padidėjimas.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Kūno masės sumažėjimas.</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Nedažni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Kreatinino koncentracijos kraujyje padidėjimas, kreatinfosfokinazės suaktyvėjimas kraujyje, laktatdehidrogenazės suaktyvėjimas kraujyje, šarminės fosfatazės suaktyvėjimas kraujyje.</w:t>
            </w:r>
          </w:p>
        </w:tc>
      </w:tr>
      <w:tr w:rsidR="00B75D90" w:rsidRPr="00B75D90" w:rsidTr="00533723">
        <w:trPr>
          <w:trHeight w:val="100"/>
        </w:trPr>
        <w:tc>
          <w:tcPr>
            <w:tcW w:w="4780" w:type="dxa"/>
          </w:tcPr>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Reti</w:t>
            </w:r>
          </w:p>
        </w:tc>
        <w:tc>
          <w:tcPr>
            <w:tcW w:w="482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Amilazės suaktyvėjimas kraujyje.</w:t>
            </w:r>
          </w:p>
        </w:tc>
      </w:tr>
    </w:tbl>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lang w:val="sl-SI"/>
        </w:rPr>
        <w:t>*</w:t>
      </w:r>
      <w:r w:rsidRPr="00B75D90">
        <w:rPr>
          <w:rFonts w:ascii="Times New Roman" w:eastAsia="SimSun" w:hAnsi="Times New Roman" w:cs="Times New Roman"/>
        </w:rPr>
        <w:t xml:space="preserve"> Apie išvardytų tipų reakcijas dažniau buvo pranešta po imatinibo </w:t>
      </w:r>
      <w:r w:rsidRPr="00B75D90">
        <w:rPr>
          <w:rFonts w:ascii="Times New Roman" w:eastAsia="Times New Roman" w:hAnsi="Times New Roman" w:cs="Times New Roman"/>
          <w:lang w:eastAsia="sl-SI"/>
        </w:rPr>
        <w:t>registracijos.</w:t>
      </w:r>
      <w:r w:rsidRPr="00B75D90">
        <w:rPr>
          <w:rFonts w:ascii="Times New Roman" w:eastAsia="SimSun" w:hAnsi="Times New Roman" w:cs="Times New Roman"/>
        </w:rPr>
        <w:t xml:space="preserve"> Sąrašas sudarytas remiantis </w:t>
      </w:r>
      <w:r w:rsidRPr="00B75D90">
        <w:rPr>
          <w:rFonts w:ascii="Times New Roman" w:eastAsia="Times New Roman" w:hAnsi="Times New Roman" w:cs="Times New Roman"/>
          <w:lang w:eastAsia="sl-SI"/>
        </w:rPr>
        <w:t>spontaniniais</w:t>
      </w:r>
      <w:r w:rsidRPr="00B75D90">
        <w:rPr>
          <w:rFonts w:ascii="Times New Roman" w:eastAsia="SimSun" w:hAnsi="Times New Roman" w:cs="Times New Roman"/>
        </w:rPr>
        <w:t xml:space="preserve"> pranešimais bei duomenimis apie nepageidaujamus reiškinius, gautais iš tebevykstančių tyrimų, išplėstinių programų, klinikinių farmakologinių tyrimų ir bandomųjų vartojimo pagal nepatvirtintas indikacijas tyrimų. Pranešimai apie šias reakcijas gauti iš nežinomo dydžio populiacijos, todėl ne visada galima tiksliai nustatyti jų dažnį arba priežastinį ryšį su imatinibo ekspozicija.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vertAlign w:val="superscript"/>
        </w:rPr>
        <w:t>1</w:t>
      </w:r>
      <w:r w:rsidRPr="00B75D90">
        <w:rPr>
          <w:rFonts w:ascii="Times New Roman" w:eastAsia="SimSun" w:hAnsi="Times New Roman" w:cs="Times New Roman"/>
        </w:rPr>
        <w:t xml:space="preserve"> Buvo dažnai pranešta apie pneumoniją pacientams, kuriems buvo diagnozuota transformuota LML arba VTSN.</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Galvos skausmas dažniausiai pasireiškė pacientams, kuriems buvo diagnozuotas VTSN.</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vertAlign w:val="superscript"/>
        </w:rPr>
        <w:t>3</w:t>
      </w:r>
      <w:r w:rsidRPr="00B75D90">
        <w:rPr>
          <w:rFonts w:ascii="Times New Roman" w:eastAsia="SimSun" w:hAnsi="Times New Roman" w:cs="Times New Roman"/>
        </w:rPr>
        <w:t xml:space="preserve"> Atsižvelgiant į pacientų amžių, širdies reiškiniai, įskaitant stazinį širdies nepakankamumą, dažniau pasireiškė pacientams, kuriems buvo diagnozuota transformuota LML, nei pacientams, kuriems buvo diagnozuota lėtinė LML.</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vertAlign w:val="superscript"/>
        </w:rPr>
        <w:t>4</w:t>
      </w:r>
      <w:r w:rsidRPr="00B75D90">
        <w:rPr>
          <w:rFonts w:ascii="Times New Roman" w:eastAsia="SimSun" w:hAnsi="Times New Roman" w:cs="Times New Roman"/>
        </w:rPr>
        <w:t xml:space="preserve"> Veido ir kaklo paraudimas dažniau pasireiškė pacientams, kuriems buvo diagnozuota VTSN, o kraujavimas (hematoma, kraujavimas) dažniau pasireiškė pacientams, kuriems buvo diagnozuoti VTSN ir transformuota LML (LML-AP ir LML-BC).</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vertAlign w:val="superscript"/>
        </w:rPr>
        <w:t>5</w:t>
      </w:r>
      <w:r w:rsidRPr="00B75D90">
        <w:rPr>
          <w:rFonts w:ascii="Times New Roman" w:eastAsia="SimSun" w:hAnsi="Times New Roman" w:cs="Times New Roman"/>
        </w:rPr>
        <w:t xml:space="preserve"> Buvo pranešta, kad skysčiai pleuros ertmėje dažniau kaupėsi pacientams, kuriems buvo diagnozuotas </w:t>
      </w:r>
      <w:r w:rsidRPr="00B75D90">
        <w:rPr>
          <w:rFonts w:ascii="Times New Roman" w:eastAsia="SimSun" w:hAnsi="Times New Roman" w:cs="Times New Roman"/>
        </w:rPr>
        <w:lastRenderedPageBreak/>
        <w:t>VTSN, ir pacientams, kuriems buvo diagnozuota transformuota LML (LML-AP ir LML-BC), nei pacientams, sergantiems lėtine LML.</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vertAlign w:val="superscript"/>
        </w:rPr>
        <w:t>6+7</w:t>
      </w:r>
      <w:r w:rsidRPr="00B75D90">
        <w:rPr>
          <w:rFonts w:ascii="Times New Roman" w:eastAsia="SimSun" w:hAnsi="Times New Roman" w:cs="Times New Roman"/>
        </w:rPr>
        <w:t xml:space="preserve"> Pilvo skausmas ir kraujavimas iš virškinimo trakto dažniausiai pasireiškė pacientams, kuriems buvo diagnozuota VTSN.</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vertAlign w:val="superscript"/>
        </w:rPr>
        <w:t>8</w:t>
      </w:r>
      <w:r w:rsidRPr="00B75D90">
        <w:rPr>
          <w:rFonts w:ascii="Times New Roman" w:eastAsia="SimSun" w:hAnsi="Times New Roman" w:cs="Times New Roman"/>
        </w:rPr>
        <w:t xml:space="preserve"> Buvo pranešta apie keletą mirtinų kepenų funkcijos nepakankamumo ir kepenų nekrozės atvejų.</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vertAlign w:val="superscript"/>
          <w:lang w:val="cs-CZ"/>
        </w:rPr>
        <w:t>9</w:t>
      </w:r>
      <w:r w:rsidRPr="00B75D90">
        <w:rPr>
          <w:rFonts w:ascii="Times New Roman" w:eastAsia="SimSun" w:hAnsi="Times New Roman" w:cs="Times New Roman"/>
          <w:lang w:val="cs-CZ"/>
        </w:rPr>
        <w:t xml:space="preserve"> Po vaistinio preparato registracijos, gauta pranešimų apie skeleto ir raumenų skausmo atvejus pacientams, kurie pastebėti gydymo imatinibu metu arba po jo vartojimo nutraukimo.</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vertAlign w:val="superscript"/>
          <w:lang w:val="cs-CZ"/>
        </w:rPr>
        <w:t>10.</w:t>
      </w:r>
      <w:r w:rsidRPr="00B75D90">
        <w:rPr>
          <w:rFonts w:ascii="Times New Roman" w:eastAsia="SimSun" w:hAnsi="Times New Roman" w:cs="Times New Roman"/>
        </w:rPr>
        <w:t xml:space="preserve"> Raumenų ir kaulų skausmas bei susiję reiškiniai dažniau pasireiškė pacientams, kuriems buvo diagnozuota LML, nei pacientams, kuriems buvo diagnozuotas VTSN.</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vertAlign w:val="superscript"/>
          <w:lang w:val="cs-CZ"/>
        </w:rPr>
        <w:t>11</w:t>
      </w:r>
      <w:r w:rsidRPr="00B75D90">
        <w:rPr>
          <w:rFonts w:ascii="Times New Roman" w:eastAsia="SimSun" w:hAnsi="Times New Roman" w:cs="Times New Roman"/>
        </w:rPr>
        <w:t xml:space="preserve"> Buvo pranešta apie mirtinus atvejus pacientams, kurie sirgo progresavusia liga, sunkiomis infekcinėmis ligomis, kuriems buvo sunki neutropenija ar kitų sunkių gretutinių būklių.</w:t>
      </w:r>
    </w:p>
    <w:p w:rsidR="00B75D90" w:rsidRPr="00B75D90" w:rsidRDefault="00B75D90" w:rsidP="00B75D90">
      <w:pPr>
        <w:widowControl w:val="0"/>
        <w:spacing w:after="0" w:line="240" w:lineRule="auto"/>
        <w:rPr>
          <w:rFonts w:ascii="Times New Roman" w:eastAsia="Times New Roman" w:hAnsi="Times New Roman" w:cs="Times New Roman"/>
          <w:lang w:val="cs-CZ" w:eastAsia="sl-SI"/>
        </w:rPr>
      </w:pPr>
    </w:p>
    <w:p w:rsidR="00B75D90" w:rsidRPr="00B75D90" w:rsidRDefault="00B75D90" w:rsidP="00B75D90">
      <w:pPr>
        <w:widowControl w:val="0"/>
        <w:tabs>
          <w:tab w:val="left" w:pos="567"/>
        </w:tabs>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Nenormalūs laboratorinių tyrimų rodmenys</w:t>
      </w:r>
    </w:p>
    <w:p w:rsidR="00B75D90" w:rsidRPr="00B75D90" w:rsidRDefault="00B75D90" w:rsidP="00B75D90">
      <w:pPr>
        <w:widowControl w:val="0"/>
        <w:tabs>
          <w:tab w:val="left" w:pos="567"/>
        </w:tabs>
        <w:spacing w:after="0" w:line="240" w:lineRule="auto"/>
        <w:rPr>
          <w:rFonts w:ascii="Times New Roman" w:eastAsia="SimSun" w:hAnsi="Times New Roman" w:cs="Times New Roman"/>
          <w:i/>
        </w:rPr>
      </w:pPr>
      <w:r w:rsidRPr="00B75D90">
        <w:rPr>
          <w:rFonts w:ascii="Times New Roman" w:eastAsia="SimSun" w:hAnsi="Times New Roman" w:cs="Times New Roman"/>
          <w:i/>
        </w:rPr>
        <w:t>Kraujo tyrimų rodmenys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LML tyrimų duomenimis, citopenijos, ypač neutropenija ir trombocitopenija, buvo nuolat diagnozuojamos visuose tyrimuose, ir buvo dažnesnės vartojant dideles (≥ 750 mg) dozes (I fazės tyrimuose). Vis dėlto citopenijų atsiradimas aiškiai priklausė nuo ligos stadijos: 3 ar 4 laipsnio neutropenijos (ANK &lt; 1,0 x 10</w:t>
      </w:r>
      <w:r w:rsidRPr="00B75D90">
        <w:rPr>
          <w:rFonts w:ascii="Times New Roman" w:eastAsia="SimSun" w:hAnsi="Times New Roman" w:cs="Times New Roman"/>
          <w:vertAlign w:val="superscript"/>
        </w:rPr>
        <w:t>9</w:t>
      </w:r>
      <w:r w:rsidRPr="00B75D90">
        <w:rPr>
          <w:rFonts w:ascii="Times New Roman" w:eastAsia="SimSun" w:hAnsi="Times New Roman" w:cs="Times New Roman"/>
        </w:rPr>
        <w:t>/l) ir trombocitopenijos (trombocitų kiekis &lt; 50 x 10</w:t>
      </w:r>
      <w:r w:rsidRPr="00B75D90">
        <w:rPr>
          <w:rFonts w:ascii="Times New Roman" w:eastAsia="SimSun" w:hAnsi="Times New Roman" w:cs="Times New Roman"/>
          <w:vertAlign w:val="superscript"/>
        </w:rPr>
        <w:t>9</w:t>
      </w:r>
      <w:r w:rsidRPr="00B75D90">
        <w:rPr>
          <w:rFonts w:ascii="Times New Roman" w:eastAsia="SimSun" w:hAnsi="Times New Roman" w:cs="Times New Roman"/>
        </w:rPr>
        <w:t>/l) buvo diagnozuotos nuo 4 iki 6 kartų dažniau blastinės krizės ir akceleracijos fazėje (neutropenija ir trombocitopenija – atitinkamai 59–64 % ir 44–63 %), palyginti su pacientais, kuriems pirmą kartą diagnozuota lėtinė LML fazė (neutropenija – 16,7 % ir trombocitopenija – 8,9 %). Pirmą kartą diagnozavus lėtinę LML fazę, 4 laipsnio neutropenija (ANK &lt; 0,5 x 10</w:t>
      </w:r>
      <w:r w:rsidRPr="00B75D90">
        <w:rPr>
          <w:rFonts w:ascii="Times New Roman" w:eastAsia="SimSun" w:hAnsi="Times New Roman" w:cs="Times New Roman"/>
          <w:vertAlign w:val="superscript"/>
        </w:rPr>
        <w:t>9</w:t>
      </w:r>
      <w:r w:rsidRPr="00B75D90">
        <w:rPr>
          <w:rFonts w:ascii="Times New Roman" w:eastAsia="SimSun" w:hAnsi="Times New Roman" w:cs="Times New Roman"/>
        </w:rPr>
        <w:t>/l) ir trombocitopenija (trombocitų kiekis &lt; 10 x 10</w:t>
      </w:r>
      <w:r w:rsidRPr="00B75D90">
        <w:rPr>
          <w:rFonts w:ascii="Times New Roman" w:eastAsia="SimSun" w:hAnsi="Times New Roman" w:cs="Times New Roman"/>
          <w:vertAlign w:val="superscript"/>
        </w:rPr>
        <w:t>9</w:t>
      </w:r>
      <w:r w:rsidRPr="00B75D90">
        <w:rPr>
          <w:rFonts w:ascii="Times New Roman" w:eastAsia="SimSun" w:hAnsi="Times New Roman" w:cs="Times New Roman"/>
        </w:rPr>
        <w:t>/l) buvo diagnozuotos atitinkamai 3,6 % ir &lt; 1 % pacientų. Neutropenijos ar trombocitopenijos epizodų vidutinė trukmė paprastai buvo atitinkamai nuo 2 iki 3 savaičių ir nuo 3 iki 4 savaičių. Gydant tokius reiškinius, paprastai buvo arba sumažinama imatinibo dozė, arba pertraukiamas gydymas imatinibu, bet retais atvejais gydymą gali tekti nutraukti visam laikui. Dažniausiai stebėtas toksinis poveikis LML sergantiems vaikams buvo 3 ar 4 laipsnio citopenijos, įskaitant neutropeniją, trombocitopeniją ir anemiją. Jos dažniausiai pasireiškė per pirmuosius kelis gydymo mėnesius.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Atlikto klinikinio tyrimo duomenimis, jame dalyvavusiems pacientams, kuriems buvo nerezekuotinas ir (ar) metastazavęs VTSN, III–IV laipsnio anemija pasitaikė atitinkamai 5,4 % ir 0,7 %. Ji gali būti susijusi su virškinimo trakto ir vidunavikiniu kraujavimu, bent jau kai kuriems pacientams. III–IV laipsnio neutropenija stebėta atitinkamai 7,5 % ir 2,7 % pacientų, o III laipsnio trombocitopenija – 0,7 % pacientų. Nė vienam pacientui nepasireiškė IV laipsnio trombocitopenija. Leukocitų (baltųjų kraujo kūnelių, BKK) ir neutrofilų daugiausia sumažėjo per pirmąsias šešias gydymo savaites, paskui jų skaičius santykinai nekito.</w:t>
      </w:r>
    </w:p>
    <w:p w:rsidR="00B75D90" w:rsidRPr="00B75D90" w:rsidRDefault="00B75D90" w:rsidP="00B75D90">
      <w:pPr>
        <w:widowControl w:val="0"/>
        <w:spacing w:after="0" w:line="240" w:lineRule="auto"/>
        <w:rPr>
          <w:rFonts w:ascii="Times New Roman" w:eastAsia="SimSun" w:hAnsi="Times New Roman" w:cs="Times New Roman"/>
          <w:i/>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Biocheminių tyrimų rodmenys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LML sergantiems pacientams pasireiškė sunkus transaminazių suaktyvėjimas (&lt; 5 %) ar bilirubino koncentracijos padidėjimas (&lt; 1 %), kuriuos gydant, paprastai buvo sumažinama dozė arba gydymas imatinibu pertraukiamas (tokie epizodai truko vidutiniškai maždaug vieną savaitę). Gydymas dėl nenormalių kepenų funkcijos tyrimų rodmenų buvo nutrauktas visam laikui mažiau kaip 1 % LML sergančių pacientų. 6,8 % VTSN sergančių pacientų (tyrimas B2222) buvo stebėtas 3 ar 4 laipsnio ALT (alanino aminotransferazių) koncentracijos padidėjimas ir 4,8 % - 3 ar 4 laipsnio AST (aspartataminotransferazių) padidėjimas. Bilirubino koncentracija didėjo mažiau kaip 3 %.</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Buvo citolizinio ar cholestazinio hepatito ir kepenų funkcijos nepakankamumo atvejų. Kai kurie iš jų baigėsi paciento mirtimi, įskaitant pacientus, kurie vartojo didelę paracetamolio dozę.</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outlineLvl w:val="0"/>
        <w:rPr>
          <w:rFonts w:ascii="Times New Roman" w:eastAsia="Times New Roman" w:hAnsi="Times New Roman" w:cs="Times New Roman"/>
          <w:snapToGrid w:val="0"/>
          <w:u w:val="single"/>
          <w:lang w:val="cs-CZ"/>
        </w:rPr>
      </w:pPr>
      <w:r w:rsidRPr="00B75D90">
        <w:rPr>
          <w:rFonts w:ascii="Times New Roman" w:eastAsia="Times New Roman" w:hAnsi="Times New Roman" w:cs="Times New Roman"/>
          <w:snapToGrid w:val="0"/>
          <w:u w:val="single"/>
          <w:lang w:val="cs-CZ"/>
        </w:rPr>
        <w:t>Atrinktų nepageidaujamų reakcijų apibūdinimas</w:t>
      </w:r>
    </w:p>
    <w:p w:rsidR="00B75D90" w:rsidRPr="00B75D90" w:rsidRDefault="00B75D90" w:rsidP="00B75D90">
      <w:pPr>
        <w:widowControl w:val="0"/>
        <w:spacing w:after="0" w:line="240" w:lineRule="auto"/>
        <w:rPr>
          <w:rFonts w:ascii="Times New Roman" w:eastAsia="SimSun" w:hAnsi="Times New Roman" w:cs="Times New Roman"/>
          <w:lang w:val="cs-CZ"/>
        </w:rPr>
      </w:pPr>
    </w:p>
    <w:p w:rsidR="00B75D90" w:rsidRPr="00B75D90" w:rsidRDefault="00B75D90" w:rsidP="00B75D90">
      <w:pPr>
        <w:widowControl w:val="0"/>
        <w:spacing w:after="0" w:line="240" w:lineRule="auto"/>
        <w:rPr>
          <w:rFonts w:ascii="Times New Roman" w:eastAsia="SimSun" w:hAnsi="Times New Roman" w:cs="Times New Roman"/>
          <w:i/>
          <w:lang w:val="cs-CZ"/>
        </w:rPr>
      </w:pPr>
      <w:r w:rsidRPr="00B75D90">
        <w:rPr>
          <w:rFonts w:ascii="Times New Roman" w:eastAsia="SimSun" w:hAnsi="Times New Roman" w:cs="Times New Roman"/>
          <w:i/>
          <w:lang w:val="cs-CZ"/>
        </w:rPr>
        <w:t>Hepatito B atsinaujinimas</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lang w:val="cs-CZ"/>
        </w:rPr>
        <w:t>Pranešta kad hepatito B atsinaujinimo atvejai buvo susiję su BCR-ABL tirozinkinazės inhibitorių (TKI) vartojimu. Kai kuriais atvejais tai sukėlė ūminį kepenų nepakankamumą arba žaibinį hepatitą,</w:t>
      </w:r>
    </w:p>
    <w:p w:rsidR="00B75D90" w:rsidRPr="00B75D90" w:rsidRDefault="00B75D90" w:rsidP="00B75D90">
      <w:pPr>
        <w:widowControl w:val="0"/>
        <w:spacing w:after="0" w:line="240" w:lineRule="auto"/>
        <w:outlineLvl w:val="0"/>
        <w:rPr>
          <w:rFonts w:ascii="Times New Roman" w:eastAsia="Times New Roman" w:hAnsi="Times New Roman" w:cs="Times New Roman"/>
          <w:snapToGrid w:val="0"/>
          <w:lang w:val="cs-CZ"/>
        </w:rPr>
      </w:pPr>
      <w:r w:rsidRPr="00B75D90">
        <w:rPr>
          <w:rFonts w:ascii="Times New Roman" w:eastAsia="SimSun" w:hAnsi="Times New Roman" w:cs="Times New Roman"/>
          <w:lang w:val="cs-CZ"/>
        </w:rPr>
        <w:lastRenderedPageBreak/>
        <w:t xml:space="preserve">dėl kurio pacientui teko persodinti kepenis arba pacientas mirė (žr. </w:t>
      </w:r>
      <w:r w:rsidRPr="00B75D90">
        <w:rPr>
          <w:rFonts w:ascii="Times New Roman" w:eastAsia="Times New Roman" w:hAnsi="Times New Roman" w:cs="Times New Roman"/>
          <w:snapToGrid w:val="0"/>
          <w:lang w:val="cs-CZ"/>
        </w:rPr>
        <w:t>4.4 skyrių).</w:t>
      </w:r>
    </w:p>
    <w:p w:rsidR="00B75D90" w:rsidRPr="00B75D90" w:rsidRDefault="00B75D90" w:rsidP="00B75D90">
      <w:pPr>
        <w:widowControl w:val="0"/>
        <w:spacing w:after="0" w:line="240" w:lineRule="auto"/>
        <w:rPr>
          <w:rFonts w:ascii="Times New Roman" w:eastAsia="SimSun" w:hAnsi="Times New Roman" w:cs="Times New Roman"/>
          <w:lang w:val="cs-CZ"/>
        </w:rPr>
      </w:pPr>
    </w:p>
    <w:p w:rsidR="00B75D90" w:rsidRPr="00B75D90" w:rsidRDefault="00B75D90" w:rsidP="00B75D90">
      <w:pPr>
        <w:widowControl w:val="0"/>
        <w:autoSpaceDE w:val="0"/>
        <w:autoSpaceDN w:val="0"/>
        <w:adjustRightInd w:val="0"/>
        <w:spacing w:after="0" w:line="240" w:lineRule="auto"/>
        <w:jc w:val="both"/>
        <w:rPr>
          <w:rFonts w:ascii="Times New Roman" w:eastAsia="SimSun" w:hAnsi="Times New Roman" w:cs="Times New Roman"/>
          <w:u w:val="single"/>
        </w:rPr>
      </w:pPr>
      <w:r w:rsidRPr="00B75D90">
        <w:rPr>
          <w:rFonts w:ascii="Times New Roman" w:eastAsia="SimSun" w:hAnsi="Times New Roman" w:cs="Times New Roman"/>
          <w:u w:val="single"/>
        </w:rPr>
        <w:t>Pranešimas apie įtariamas nepageidaujamas reakcijas</w:t>
      </w:r>
    </w:p>
    <w:p w:rsidR="00B75D90" w:rsidRPr="00B75D90" w:rsidRDefault="00B75D90" w:rsidP="00B75D90">
      <w:pPr>
        <w:widowControl w:val="0"/>
        <w:autoSpaceDE w:val="0"/>
        <w:autoSpaceDN w:val="0"/>
        <w:adjustRightInd w:val="0"/>
        <w:spacing w:after="0" w:line="240" w:lineRule="auto"/>
        <w:jc w:val="both"/>
        <w:rPr>
          <w:rFonts w:ascii="Times New Roman" w:eastAsia="SimSun" w:hAnsi="Times New Roman" w:cs="Times New Roman"/>
        </w:rPr>
      </w:pPr>
      <w:r w:rsidRPr="00B75D90">
        <w:rPr>
          <w:rFonts w:ascii="Times New Roman" w:eastAsia="SimSu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B75D90">
          <w:rPr>
            <w:rFonts w:ascii="Times New Roman" w:eastAsia="SimSun" w:hAnsi="Times New Roman" w:cs="Times New Roman"/>
            <w:u w:val="single"/>
          </w:rPr>
          <w:t>www.vvkt.lt</w:t>
        </w:r>
      </w:hyperlink>
      <w:r w:rsidRPr="00B75D90">
        <w:rPr>
          <w:rFonts w:ascii="Times New Roman" w:eastAsia="SimSu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B75D90">
          <w:rPr>
            <w:rFonts w:ascii="Times New Roman" w:eastAsia="SimSun" w:hAnsi="Times New Roman" w:cs="Times New Roman"/>
            <w:u w:val="single"/>
          </w:rPr>
          <w:t>NepageidaujamaR@vvkt.lt</w:t>
        </w:r>
      </w:hyperlink>
      <w:r w:rsidRPr="00B75D90">
        <w:rPr>
          <w:rFonts w:ascii="Times New Roman" w:eastAsia="SimSun" w:hAnsi="Times New Roman" w:cs="Times New Roman"/>
          <w:u w:val="single"/>
        </w:rPr>
        <w:t xml:space="preserve">), per </w:t>
      </w:r>
      <w:r w:rsidRPr="00B75D90">
        <w:rPr>
          <w:rFonts w:ascii="Times New Roman" w:eastAsia="SimSun" w:hAnsi="Times New Roman" w:cs="Times New Roman"/>
        </w:rPr>
        <w:t>interneto svetainę (adresu http://www.vvkt.lt).</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17" w:name="_Toc129243110"/>
      <w:bookmarkStart w:id="18" w:name="_Toc129243235"/>
      <w:bookmarkStart w:id="19" w:name="OLE_LINK1"/>
      <w:r w:rsidRPr="00B75D90">
        <w:rPr>
          <w:rFonts w:ascii="Times New Roman" w:eastAsia="SimSun" w:hAnsi="Times New Roman" w:cs="Times New Roman"/>
          <w:b/>
        </w:rPr>
        <w:t>4.9</w:t>
      </w:r>
      <w:r w:rsidRPr="00B75D90">
        <w:rPr>
          <w:rFonts w:ascii="Times New Roman" w:eastAsia="SimSun" w:hAnsi="Times New Roman" w:cs="Times New Roman"/>
          <w:b/>
        </w:rPr>
        <w:tab/>
        <w:t>Perdozavimas</w:t>
      </w:r>
      <w:bookmarkEnd w:id="17"/>
      <w:bookmarkEnd w:id="18"/>
    </w:p>
    <w:bookmarkEnd w:id="19"/>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Didesnių už rekomenduojamas dozių vartojimo patirtis yra ribota. Literatūroje yra duomenų apie pavienius imatinibo perdozavimo atvejus. Perdozavimo atveju pacientą reikia stebėti ir jam taikyti atitinkamą simptominį gydymą. Dažniausiai buvo pranešta, kad perdozavimo atveju paciento būklė pagerėjo arba pacientas atsigavo. Buvo pranešta apie nurodytų skirtingų dozių perdozavimą.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Suaugusiųjų populiacija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1200</w:t>
      </w:r>
      <w:r w:rsidRPr="00B75D90">
        <w:rPr>
          <w:rFonts w:ascii="Times New Roman" w:eastAsia="SimSun" w:hAnsi="Times New Roman" w:cs="Times New Roman"/>
        </w:rPr>
        <w:noBreakHyphen/>
        <w:t>1600 mg (vartojimo trukmė nuo 1 iki 10 parų). Pykinimas, vėmimas, viduriavimas, išbėrimas, eritema, edema, patinimas, nuovargis, raumenų spazmai, trombocitopenija, pancitopenija, pilvo skausmas, galvos skausmas, apetito sumažėjimas.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1800</w:t>
      </w:r>
      <w:r w:rsidRPr="00B75D90">
        <w:rPr>
          <w:rFonts w:ascii="Times New Roman" w:eastAsia="SimSun" w:hAnsi="Times New Roman" w:cs="Times New Roman"/>
        </w:rPr>
        <w:noBreakHyphen/>
        <w:t>3200 mg (taip pat 3200 mg paros dozės 6 paras). Silpnumas, mialgija, kreatinfosfokinazės suaktyvėjimas, bilirubino koncentracijos padidėjimas, pilvo skausmas.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6400 mg (vienkartinė dozė). Literatūroje aprašytu vienu atveju pacientui pasireiškė pykinimas, vėmimas, pilvo skausmas, karščiavimas, veido patinimas, neutrofilų kiekio sumažėjimas, transaminazių suaktyvėjimas.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8</w:t>
      </w:r>
      <w:r w:rsidRPr="00B75D90">
        <w:rPr>
          <w:rFonts w:ascii="Times New Roman" w:eastAsia="SimSun" w:hAnsi="Times New Roman" w:cs="Times New Roman"/>
        </w:rPr>
        <w:noBreakHyphen/>
        <w:t>10 g (vienkartinė dozė). Buvo pranešta apie vėmimą ir pilvo skausmą.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Vaikų populiacija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Vienam 3 metų berniukui, išgėrusiam vienkartinę 400 mg dozę, pasireiškė vėmimas, viduriavimas ir anoreksija, o kitam 3 metų berniukui, išgėrusiam vienkartinę 980 mg dozę, pasireiškė baltųjų kraujo ląstelių kiekio sumažėjimas ir viduriavimas.</w:t>
      </w:r>
    </w:p>
    <w:p w:rsidR="00B75D90" w:rsidRPr="00B75D90" w:rsidRDefault="00B75D90" w:rsidP="00B75D90">
      <w:pPr>
        <w:widowControl w:val="0"/>
        <w:spacing w:after="0" w:line="240" w:lineRule="auto"/>
        <w:rPr>
          <w:rFonts w:ascii="Times New Roman" w:eastAsia="Times New Roman" w:hAnsi="Times New Roman" w:cs="Times New Roman"/>
          <w:i/>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Perdozavimo atveju pacientą reikia stebėti ir skirti atitinkamą palaikomąjį gydymą.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b/>
        </w:rPr>
      </w:pPr>
      <w:bookmarkStart w:id="20" w:name="_Toc129243111"/>
      <w:bookmarkStart w:id="21" w:name="_Toc129243236"/>
      <w:r w:rsidRPr="00B75D90">
        <w:rPr>
          <w:rFonts w:ascii="Times New Roman" w:eastAsia="SimSun" w:hAnsi="Times New Roman" w:cs="Times New Roman"/>
          <w:b/>
        </w:rPr>
        <w:t>5.</w:t>
      </w:r>
      <w:r w:rsidRPr="00B75D90">
        <w:rPr>
          <w:rFonts w:ascii="Times New Roman" w:eastAsia="SimSun" w:hAnsi="Times New Roman" w:cs="Times New Roman"/>
          <w:b/>
        </w:rPr>
        <w:tab/>
        <w:t>FARMAKOLOGINĖS SAVYBĖS</w:t>
      </w:r>
      <w:bookmarkEnd w:id="20"/>
      <w:bookmarkEnd w:id="21"/>
    </w:p>
    <w:p w:rsidR="00B75D90" w:rsidRPr="00B75D90" w:rsidRDefault="00B75D90" w:rsidP="00B75D90">
      <w:pPr>
        <w:widowControl w:val="0"/>
        <w:tabs>
          <w:tab w:val="left" w:pos="567"/>
        </w:tabs>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b/>
        </w:rPr>
      </w:pPr>
      <w:bookmarkStart w:id="22" w:name="_Toc129243112"/>
      <w:bookmarkStart w:id="23" w:name="_Toc129243237"/>
      <w:r w:rsidRPr="00B75D90">
        <w:rPr>
          <w:rFonts w:ascii="Times New Roman" w:eastAsia="SimSun" w:hAnsi="Times New Roman" w:cs="Times New Roman"/>
          <w:b/>
        </w:rPr>
        <w:t>5.1</w:t>
      </w:r>
      <w:r w:rsidRPr="00B75D90">
        <w:rPr>
          <w:rFonts w:ascii="Times New Roman" w:eastAsia="SimSun" w:hAnsi="Times New Roman" w:cs="Times New Roman"/>
          <w:b/>
        </w:rPr>
        <w:tab/>
        <w:t>Farmakodinaminės savybės</w:t>
      </w:r>
      <w:bookmarkEnd w:id="22"/>
      <w:bookmarkEnd w:id="23"/>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Farmakoterapinė grupė - baltymo tirozinkinazės inhibitorius, ATC kodas – L01XE01.</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Veikimo mechanizmas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Imatinibas yra nedidelė baltymo tirozino kinazės inhibitoriaus molekulė, kuri stipriai slopina </w:t>
      </w:r>
      <w:r w:rsidRPr="00B75D90">
        <w:rPr>
          <w:rFonts w:ascii="Times New Roman" w:eastAsia="SimSun" w:hAnsi="Times New Roman" w:cs="Times New Roman"/>
          <w:i/>
        </w:rPr>
        <w:t>bcr-abl</w:t>
      </w:r>
      <w:r w:rsidRPr="00B75D90">
        <w:rPr>
          <w:rFonts w:ascii="Times New Roman" w:eastAsia="SimSun" w:hAnsi="Times New Roman" w:cs="Times New Roman"/>
        </w:rPr>
        <w:t xml:space="preserve"> tirozino kinazės (TK) aktyvumą, taip pat keleto TK receptorių aktyvumą: Kit, c-Kit proto-onkogeną koduojančio kamieninių ląstelių faktoriaus (angl. stem cell factor – SCF) receptorių, diskoidino domeno receptorius (DDR1 ir DDR2), kolonijas stimuliuojančio faktoriaus receptorių (angl. colony stimulating factor receptor – CSF-1R) bei trombocituose esančius augimo faktoriaus receptorius alfa ir beta (angl. platelet-derived growth factor receptors – PDGFR-alpha, PDGFR-beta). Imatinibas taip pat gali slopinti ląstelių procesus, kuriuos skatina šių receptorių kinazių aktyvinimas.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Farmakodinaminis poveikis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Imatinibas yra baltymo tirozino kinazės inhibitorius, kuris stipriai slopina </w:t>
      </w:r>
      <w:r w:rsidRPr="00B75D90">
        <w:rPr>
          <w:rFonts w:ascii="Times New Roman" w:eastAsia="SimSun" w:hAnsi="Times New Roman" w:cs="Times New Roman"/>
          <w:i/>
        </w:rPr>
        <w:t>bcr-abl</w:t>
      </w:r>
      <w:r w:rsidRPr="00B75D90">
        <w:rPr>
          <w:rFonts w:ascii="Times New Roman" w:eastAsia="SimSun" w:hAnsi="Times New Roman" w:cs="Times New Roman"/>
        </w:rPr>
        <w:t xml:space="preserve"> tirozino kinazę </w:t>
      </w:r>
      <w:r w:rsidRPr="00B75D90">
        <w:rPr>
          <w:rFonts w:ascii="Times New Roman" w:eastAsia="SimSun" w:hAnsi="Times New Roman" w:cs="Times New Roman"/>
          <w:i/>
        </w:rPr>
        <w:t>in vitro</w:t>
      </w:r>
      <w:r w:rsidRPr="00B75D90">
        <w:rPr>
          <w:rFonts w:ascii="Times New Roman" w:eastAsia="SimSun" w:hAnsi="Times New Roman" w:cs="Times New Roman"/>
        </w:rPr>
        <w:t xml:space="preserve">, ląstelėse ir </w:t>
      </w:r>
      <w:r w:rsidRPr="00B75D90">
        <w:rPr>
          <w:rFonts w:ascii="Times New Roman" w:eastAsia="SimSun" w:hAnsi="Times New Roman" w:cs="Times New Roman"/>
          <w:i/>
        </w:rPr>
        <w:t>in vivo</w:t>
      </w:r>
      <w:r w:rsidRPr="00B75D90">
        <w:rPr>
          <w:rFonts w:ascii="Times New Roman" w:eastAsia="SimSun" w:hAnsi="Times New Roman" w:cs="Times New Roman"/>
        </w:rPr>
        <w:t xml:space="preserve">. Šis junginys selektyviai slopina proliferaciją ir sužadina </w:t>
      </w:r>
      <w:r w:rsidRPr="00B75D90">
        <w:rPr>
          <w:rFonts w:ascii="Times New Roman" w:eastAsia="SimSun" w:hAnsi="Times New Roman" w:cs="Times New Roman"/>
          <w:i/>
        </w:rPr>
        <w:t>bcr-abl</w:t>
      </w:r>
      <w:r w:rsidRPr="00B75D90">
        <w:rPr>
          <w:rFonts w:ascii="Times New Roman" w:eastAsia="SimSun" w:hAnsi="Times New Roman" w:cs="Times New Roman"/>
        </w:rPr>
        <w:t xml:space="preserve"> teigiamų </w:t>
      </w:r>
      <w:r w:rsidRPr="00B75D90">
        <w:rPr>
          <w:rFonts w:ascii="Times New Roman" w:eastAsia="SimSun" w:hAnsi="Times New Roman" w:cs="Times New Roman"/>
        </w:rPr>
        <w:lastRenderedPageBreak/>
        <w:t xml:space="preserve">ląstelių linijos, o taip pat naujų leukeminių ląstelių, išskirtų iš LML su teigiama </w:t>
      </w:r>
      <w:r w:rsidRPr="00B75D90">
        <w:rPr>
          <w:rFonts w:ascii="Times New Roman" w:eastAsia="SimSun" w:hAnsi="Times New Roman" w:cs="Times New Roman"/>
          <w:i/>
        </w:rPr>
        <w:t>Philadelphia</w:t>
      </w:r>
      <w:r w:rsidRPr="00B75D90">
        <w:rPr>
          <w:rFonts w:ascii="Times New Roman" w:eastAsia="SimSun" w:hAnsi="Times New Roman" w:cs="Times New Roman"/>
        </w:rPr>
        <w:t xml:space="preserve"> chromosoma ir ūmine limfoblastine leukemija (ŪLL) sergančių pacientų, apoptozę.</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Medžiaga parodė antinavikinį aktyvumą </w:t>
      </w:r>
      <w:r w:rsidRPr="00B75D90">
        <w:rPr>
          <w:rFonts w:ascii="Times New Roman" w:eastAsia="SimSun" w:hAnsi="Times New Roman" w:cs="Times New Roman"/>
          <w:i/>
        </w:rPr>
        <w:t>in vivo</w:t>
      </w:r>
      <w:r w:rsidRPr="00B75D90">
        <w:rPr>
          <w:rFonts w:ascii="Times New Roman" w:eastAsia="SimSun" w:hAnsi="Times New Roman" w:cs="Times New Roman"/>
        </w:rPr>
        <w:t xml:space="preserve"> gyvūnų modeliuose su </w:t>
      </w:r>
      <w:r w:rsidRPr="00B75D90">
        <w:rPr>
          <w:rFonts w:ascii="Times New Roman" w:eastAsia="SimSun" w:hAnsi="Times New Roman" w:cs="Times New Roman"/>
          <w:i/>
        </w:rPr>
        <w:t>bcr-abl</w:t>
      </w:r>
      <w:r w:rsidRPr="00B75D90">
        <w:rPr>
          <w:rFonts w:ascii="Times New Roman" w:eastAsia="SimSun" w:hAnsi="Times New Roman" w:cs="Times New Roman"/>
        </w:rPr>
        <w:t xml:space="preserve"> teigiamomis naviko ląstelėmis.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Be to, imatinibas yra iš trombocitų išskirto augimo faktoriaus (angl., </w:t>
      </w:r>
      <w:r w:rsidRPr="00B75D90">
        <w:rPr>
          <w:rFonts w:ascii="Times New Roman" w:eastAsia="SimSun" w:hAnsi="Times New Roman" w:cs="Times New Roman"/>
          <w:i/>
        </w:rPr>
        <w:t>platelet-derived growth factor [PDGF]</w:t>
      </w:r>
      <w:r w:rsidRPr="00B75D90">
        <w:rPr>
          <w:rFonts w:ascii="Times New Roman" w:eastAsia="SimSun" w:hAnsi="Times New Roman" w:cs="Times New Roman"/>
        </w:rPr>
        <w:t xml:space="preserve">) </w:t>
      </w:r>
      <w:r w:rsidRPr="00B75D90">
        <w:rPr>
          <w:rFonts w:ascii="Times New Roman" w:eastAsia="SimSun" w:hAnsi="Times New Roman" w:cs="Times New Roman"/>
          <w:i/>
        </w:rPr>
        <w:t>PDGF-R</w:t>
      </w:r>
      <w:r w:rsidRPr="00B75D90">
        <w:rPr>
          <w:rFonts w:ascii="Times New Roman" w:eastAsia="SimSun" w:hAnsi="Times New Roman" w:cs="Times New Roman"/>
        </w:rPr>
        <w:t xml:space="preserve"> ir kamieninių ląstelių faktoriaus (angl., </w:t>
      </w:r>
      <w:r w:rsidRPr="00B75D90">
        <w:rPr>
          <w:rFonts w:ascii="Times New Roman" w:eastAsia="SimSun" w:hAnsi="Times New Roman" w:cs="Times New Roman"/>
          <w:i/>
        </w:rPr>
        <w:t>stem cell factor [SCF]</w:t>
      </w:r>
      <w:r w:rsidRPr="00B75D90">
        <w:rPr>
          <w:rFonts w:ascii="Times New Roman" w:eastAsia="SimSun" w:hAnsi="Times New Roman" w:cs="Times New Roman"/>
        </w:rPr>
        <w:t xml:space="preserve">) </w:t>
      </w:r>
      <w:r w:rsidRPr="00B75D90">
        <w:rPr>
          <w:rFonts w:ascii="Times New Roman" w:eastAsia="SimSun" w:hAnsi="Times New Roman" w:cs="Times New Roman"/>
          <w:i/>
        </w:rPr>
        <w:t>c-kit</w:t>
      </w:r>
      <w:r w:rsidRPr="00B75D90">
        <w:rPr>
          <w:rFonts w:ascii="Times New Roman" w:eastAsia="SimSun" w:hAnsi="Times New Roman" w:cs="Times New Roman"/>
        </w:rPr>
        <w:t xml:space="preserve"> tirozino kinazių receptorių inhibitorius bei slopina </w:t>
      </w:r>
      <w:r w:rsidRPr="00B75D90">
        <w:rPr>
          <w:rFonts w:ascii="Times New Roman" w:eastAsia="SimSun" w:hAnsi="Times New Roman" w:cs="Times New Roman"/>
          <w:i/>
        </w:rPr>
        <w:t>PDGF</w:t>
      </w:r>
      <w:r w:rsidRPr="00B75D90">
        <w:rPr>
          <w:rFonts w:ascii="Times New Roman" w:eastAsia="SimSun" w:hAnsi="Times New Roman" w:cs="Times New Roman"/>
        </w:rPr>
        <w:t xml:space="preserve"> ir </w:t>
      </w:r>
      <w:r w:rsidRPr="00B75D90">
        <w:rPr>
          <w:rFonts w:ascii="Times New Roman" w:eastAsia="SimSun" w:hAnsi="Times New Roman" w:cs="Times New Roman"/>
          <w:i/>
        </w:rPr>
        <w:t>SCF</w:t>
      </w:r>
      <w:r w:rsidRPr="00B75D90">
        <w:rPr>
          <w:rFonts w:ascii="Times New Roman" w:eastAsia="SimSun" w:hAnsi="Times New Roman" w:cs="Times New Roman"/>
        </w:rPr>
        <w:t xml:space="preserve"> veikiamus procesus ląstelėse. Imatinibas slopina proliferaciją </w:t>
      </w:r>
      <w:r w:rsidRPr="00B75D90">
        <w:rPr>
          <w:rFonts w:ascii="Times New Roman" w:eastAsia="SimSun" w:hAnsi="Times New Roman" w:cs="Times New Roman"/>
          <w:i/>
        </w:rPr>
        <w:t>in vitro</w:t>
      </w:r>
      <w:r w:rsidRPr="00B75D90">
        <w:rPr>
          <w:rFonts w:ascii="Times New Roman" w:eastAsia="SimSun" w:hAnsi="Times New Roman" w:cs="Times New Roman"/>
        </w:rPr>
        <w:t xml:space="preserve"> ir sukelia virškinimo trakto stromos naviko (VTSN) ląstelių, kurios ekspresuoja aktyvintą </w:t>
      </w:r>
      <w:r w:rsidRPr="00B75D90">
        <w:rPr>
          <w:rFonts w:ascii="Times New Roman" w:eastAsia="SimSun" w:hAnsi="Times New Roman" w:cs="Times New Roman"/>
          <w:i/>
        </w:rPr>
        <w:t>kit</w:t>
      </w:r>
      <w:r w:rsidRPr="00B75D90">
        <w:rPr>
          <w:rFonts w:ascii="Times New Roman" w:eastAsia="SimSun" w:hAnsi="Times New Roman" w:cs="Times New Roman"/>
        </w:rPr>
        <w:t xml:space="preserve"> mutaciją, apoptozę. MDS, MPS, HES, LEL ir DFSP patogenezė yra susijusi su esminiu </w:t>
      </w:r>
      <w:r w:rsidRPr="00B75D90">
        <w:rPr>
          <w:rFonts w:ascii="Times New Roman" w:eastAsia="SimSun" w:hAnsi="Times New Roman" w:cs="Times New Roman"/>
          <w:i/>
        </w:rPr>
        <w:t xml:space="preserve">PDGF </w:t>
      </w:r>
      <w:r w:rsidRPr="00B75D90">
        <w:rPr>
          <w:rFonts w:ascii="Times New Roman" w:eastAsia="SimSun" w:hAnsi="Times New Roman" w:cs="Times New Roman"/>
        </w:rPr>
        <w:t xml:space="preserve">receptorių ar </w:t>
      </w:r>
      <w:r w:rsidRPr="00B75D90">
        <w:rPr>
          <w:rFonts w:ascii="Times New Roman" w:eastAsia="SimSun" w:hAnsi="Times New Roman" w:cs="Times New Roman"/>
          <w:i/>
        </w:rPr>
        <w:t>abl</w:t>
      </w:r>
      <w:r w:rsidRPr="00B75D90">
        <w:rPr>
          <w:rFonts w:ascii="Times New Roman" w:eastAsia="SimSun" w:hAnsi="Times New Roman" w:cs="Times New Roman"/>
        </w:rPr>
        <w:t xml:space="preserve"> baltymo tirozino kinazės sužadinimu dėl įvairių susijusių baltymų ar esminės </w:t>
      </w:r>
      <w:r w:rsidRPr="00B75D90">
        <w:rPr>
          <w:rFonts w:ascii="Times New Roman" w:eastAsia="SimSun" w:hAnsi="Times New Roman" w:cs="Times New Roman"/>
          <w:i/>
        </w:rPr>
        <w:t>PDGF</w:t>
      </w:r>
      <w:r w:rsidRPr="00B75D90">
        <w:rPr>
          <w:rFonts w:ascii="Times New Roman" w:eastAsia="SimSun" w:hAnsi="Times New Roman" w:cs="Times New Roman"/>
        </w:rPr>
        <w:t xml:space="preserve"> sintezės. Imatinibas slopina signalų perdavimą ir ląstelių, atsiradusių dėl sutrikusios </w:t>
      </w:r>
      <w:r w:rsidRPr="00B75D90">
        <w:rPr>
          <w:rFonts w:ascii="Times New Roman" w:eastAsia="SimSun" w:hAnsi="Times New Roman" w:cs="Times New Roman"/>
          <w:i/>
        </w:rPr>
        <w:t>PDGF-R</w:t>
      </w:r>
      <w:r w:rsidRPr="00B75D90">
        <w:rPr>
          <w:rFonts w:ascii="Times New Roman" w:eastAsia="SimSun" w:hAnsi="Times New Roman" w:cs="Times New Roman"/>
        </w:rPr>
        <w:t xml:space="preserve"> ir abl kinazės aktyvumo reguliacijos, proliferaciją.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Klinikiniai lėtinės mieloleukemijos tyrimai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Imatinibo veiksmingumas buvo įrodytas bendra hematologinio ir citogenetinio atsako dalimi ir išgyvenimu be ligos progresavimo. Kontroliuojamųjų klinikinių tyrimų, kurie rodytų klinikinę naudą, pavyzdžiui, su liga susijusių simptomų išnykimą ar išgyvenimo pailgėjimą, nėra.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Atliktas didelis tarptautinis atviras nekontroliuojamas II fazės tyrimas su pacientais, kuriems buvo diagnozuota LML su teigiama </w:t>
      </w:r>
      <w:r w:rsidRPr="00B75D90">
        <w:rPr>
          <w:rFonts w:ascii="Times New Roman" w:eastAsia="SimSun" w:hAnsi="Times New Roman" w:cs="Times New Roman"/>
          <w:i/>
        </w:rPr>
        <w:t>Philadelphia</w:t>
      </w:r>
      <w:r w:rsidRPr="00B75D90">
        <w:rPr>
          <w:rFonts w:ascii="Times New Roman" w:eastAsia="SimSun" w:hAnsi="Times New Roman" w:cs="Times New Roman"/>
        </w:rPr>
        <w:t xml:space="preserve"> chromosoma (</w:t>
      </w:r>
      <w:r w:rsidRPr="00B75D90">
        <w:rPr>
          <w:rFonts w:ascii="Times New Roman" w:eastAsia="SimSun" w:hAnsi="Times New Roman" w:cs="Times New Roman"/>
          <w:i/>
        </w:rPr>
        <w:t>Ph+</w:t>
      </w:r>
      <w:r w:rsidRPr="00B75D90">
        <w:rPr>
          <w:rFonts w:ascii="Times New Roman" w:eastAsia="SimSun" w:hAnsi="Times New Roman" w:cs="Times New Roman"/>
        </w:rPr>
        <w:t>) blastinės krizės fazė. Be to, dviejų I fazės tyrimų ir vieno II fazės tyrimo metu buvo gydomi vaikai.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38 % klinikiniame tyrime dalyvavusių pacientų amžius buvo ≥ 60 metų, 12 % pacientų – ≥ 70 metų.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Mieloblastinė krizė</w:t>
      </w:r>
      <w:r w:rsidRPr="00B75D90">
        <w:rPr>
          <w:rFonts w:ascii="Times New Roman" w:eastAsia="SimSun" w:hAnsi="Times New Roman" w:cs="Times New Roman"/>
        </w:rPr>
        <w:t>. Tyrime dalyvavo 260 pacientų, kuriems buvo diagnozuota mieloblastinė krizė. 95 (37 %) pacientams pirmiau buvo taikyta chemoterapija arba dėl akceleracijos fazės, arba dėl blastinės krizės (,,anksčiau gydyti pacientai”) ir 165 (63 %) nebuvo gydyti (,,negydyti pacientai”). Pirmieji 37 pacientai pradėti gydyti 400 mg doze, vėliau protokolas buvo papildytas, kad būtų galima skirti didesnę dozę, todėl kiti 223 pacientai buvo pradėti gydyti 600 mg doze.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Svarbiausiasis veiksmingumo kintamasis buvo hematologinio atsako, apibūdinamo arba visišku hematologiniu atsaku, išnykusiais leukemijos požymiais, arba grįžimu į lėtinę LML fazę, dažnis. Šio tyrimo duomenimis, hematologinis atsakas buvo pasiektas 31 % pacientų (36 % anksčiau negydytų pacientų ir 22 % anksčiau gydytų pacientų). Atsako dažnis taip pat buvo didesnis pacientams, gydytiems 600 mg doze (33 %), palyginti su gydytais 400 mg doze (16 %, p = 0,0220). Nustatyta vidutinė anksčiau negydytų ir anksčiau gydytų pacientų išgyvenimo trukmė buvo atitinkamai 7,7 mėn. ir 4,7 mėn.</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Limfoblastinė krizė</w:t>
      </w:r>
      <w:r w:rsidRPr="00B75D90">
        <w:rPr>
          <w:rFonts w:ascii="Times New Roman" w:eastAsia="SimSun" w:hAnsi="Times New Roman" w:cs="Times New Roman"/>
        </w:rPr>
        <w:t>. Į I fazės tyrimą buvo įtrauktas ribotas skaičius pacientų (n = 10). Hematologinio atsako dažnis buvo 70 %, jo trukmė – 2–3 mėnesiai.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Lentelė Nr. 2. LML tyrimo suaugusiųjų tarpe atsakas</w:t>
      </w:r>
    </w:p>
    <w:tbl>
      <w:tblPr>
        <w:tblW w:w="0" w:type="auto"/>
        <w:tblLook w:val="0000" w:firstRow="0" w:lastRow="0" w:firstColumn="0" w:lastColumn="0" w:noHBand="0" w:noVBand="0"/>
      </w:tblPr>
      <w:tblGrid>
        <w:gridCol w:w="9041"/>
      </w:tblGrid>
      <w:tr w:rsidR="00B75D90" w:rsidRPr="00B75D90" w:rsidTr="00533723">
        <w:trPr>
          <w:trHeight w:val="92"/>
        </w:trPr>
        <w:tc>
          <w:tcPr>
            <w:tcW w:w="8472"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p>
          <w:tbl>
            <w:tblPr>
              <w:tblW w:w="8815" w:type="dxa"/>
              <w:tblLook w:val="0000" w:firstRow="0" w:lastRow="0" w:firstColumn="0" w:lastColumn="0" w:noHBand="0" w:noVBand="0"/>
            </w:tblPr>
            <w:tblGrid>
              <w:gridCol w:w="5182"/>
              <w:gridCol w:w="317"/>
              <w:gridCol w:w="317"/>
              <w:gridCol w:w="2999"/>
            </w:tblGrid>
            <w:tr w:rsidR="00B75D90" w:rsidRPr="00B75D90" w:rsidTr="00533723">
              <w:trPr>
                <w:trHeight w:val="1162"/>
              </w:trPr>
              <w:tc>
                <w:tcPr>
                  <w:tcW w:w="0" w:type="auto"/>
                  <w:tcBorders>
                    <w:top w:val="single" w:sz="4" w:space="0" w:color="auto"/>
                    <w:left w:val="single" w:sz="4" w:space="0" w:color="auto"/>
                    <w:bottom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tc>
              <w:tc>
                <w:tcPr>
                  <w:tcW w:w="0" w:type="auto"/>
                  <w:tcBorders>
                    <w:top w:val="single" w:sz="4" w:space="0" w:color="auto"/>
                    <w:left w:val="single" w:sz="4" w:space="0" w:color="auto"/>
                    <w:bottom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tc>
              <w:tc>
                <w:tcPr>
                  <w:tcW w:w="0" w:type="auto"/>
                  <w:tcBorders>
                    <w:top w:val="single" w:sz="4" w:space="0" w:color="auto"/>
                    <w:left w:val="single" w:sz="4" w:space="0" w:color="auto"/>
                    <w:bottom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ind w:firstLine="720"/>
                    <w:jc w:val="center"/>
                    <w:rPr>
                      <w:rFonts w:ascii="Times New Roman" w:eastAsia="SimSun" w:hAnsi="Times New Roman" w:cs="Times New Roman"/>
                      <w:color w:val="000000"/>
                      <w:lang w:val="sl-SI"/>
                    </w:rPr>
                  </w:pPr>
                </w:p>
              </w:tc>
              <w:tc>
                <w:tcPr>
                  <w:tcW w:w="2102" w:type="dxa"/>
                  <w:tcBorders>
                    <w:top w:val="single" w:sz="4" w:space="0" w:color="auto"/>
                    <w:left w:val="single" w:sz="4" w:space="0" w:color="auto"/>
                    <w:bottom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Tyrimas 0102</w:t>
                  </w: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38 mėn. duomenys</w:t>
                  </w: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Mieloblastinė krizė</w:t>
                  </w: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(n = 260)</w:t>
                  </w:r>
                </w:p>
              </w:tc>
            </w:tr>
            <w:tr w:rsidR="00B75D90" w:rsidRPr="00B75D90" w:rsidTr="00533723">
              <w:trPr>
                <w:trHeight w:val="107"/>
              </w:trPr>
              <w:tc>
                <w:tcPr>
                  <w:tcW w:w="8815" w:type="dxa"/>
                  <w:gridSpan w:val="4"/>
                  <w:tcBorders>
                    <w:top w:val="single" w:sz="4" w:space="0" w:color="auto"/>
                    <w:left w:val="single" w:sz="4" w:space="0" w:color="auto"/>
                    <w:bottom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 xml:space="preserve"> % pacientų (PI 95 %)</w:t>
                  </w:r>
                </w:p>
              </w:tc>
            </w:tr>
            <w:tr w:rsidR="00B75D90" w:rsidRPr="00B75D90" w:rsidTr="00533723">
              <w:trPr>
                <w:trHeight w:val="1184"/>
              </w:trPr>
              <w:tc>
                <w:tcPr>
                  <w:tcW w:w="0" w:type="auto"/>
                  <w:tcBorders>
                    <w:top w:val="single" w:sz="4" w:space="0" w:color="auto"/>
                    <w:left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vertAlign w:val="superscript"/>
                      <w:lang w:val="sl-SI"/>
                    </w:rPr>
                  </w:pPr>
                  <w:r w:rsidRPr="00B75D90">
                    <w:rPr>
                      <w:rFonts w:ascii="Times New Roman" w:eastAsia="SimSun" w:hAnsi="Times New Roman" w:cs="Times New Roman"/>
                      <w:color w:val="000000"/>
                      <w:lang w:val="sl-SI"/>
                    </w:rPr>
                    <w:t xml:space="preserve">Hematologinis atsakas </w:t>
                  </w:r>
                  <w:r w:rsidRPr="00B75D90">
                    <w:rPr>
                      <w:rFonts w:ascii="Times New Roman" w:eastAsia="SimSun" w:hAnsi="Times New Roman" w:cs="Times New Roman"/>
                      <w:color w:val="000000"/>
                      <w:vertAlign w:val="superscript"/>
                      <w:lang w:val="sl-SI"/>
                    </w:rPr>
                    <w:t>1</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Visiškas hematologinis atsakas (VHA)</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Išnykę leukemijos požymiai (ILP)</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 xml:space="preserve">Grįžimas į lėtinę fazę (GLF) </w:t>
                  </w:r>
                </w:p>
              </w:tc>
              <w:tc>
                <w:tcPr>
                  <w:tcW w:w="0" w:type="auto"/>
                  <w:tcBorders>
                    <w:top w:val="single" w:sz="4" w:space="0" w:color="auto"/>
                    <w:left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tc>
              <w:tc>
                <w:tcPr>
                  <w:tcW w:w="0" w:type="auto"/>
                  <w:tcBorders>
                    <w:top w:val="single" w:sz="4" w:space="0" w:color="auto"/>
                    <w:left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tc>
              <w:tc>
                <w:tcPr>
                  <w:tcW w:w="2102" w:type="dxa"/>
                  <w:tcBorders>
                    <w:top w:val="single" w:sz="4" w:space="0" w:color="auto"/>
                    <w:left w:val="single" w:sz="4" w:space="0" w:color="auto"/>
                    <w:bottom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31 % (25,2–36,8)</w:t>
                  </w: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8 %</w:t>
                  </w: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5 %</w:t>
                  </w: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18 %</w:t>
                  </w:r>
                </w:p>
              </w:tc>
            </w:tr>
            <w:tr w:rsidR="00B75D90" w:rsidRPr="00B75D90" w:rsidTr="00533723">
              <w:trPr>
                <w:trHeight w:val="988"/>
              </w:trPr>
              <w:tc>
                <w:tcPr>
                  <w:tcW w:w="0" w:type="auto"/>
                  <w:tcBorders>
                    <w:top w:val="single" w:sz="4" w:space="0" w:color="auto"/>
                    <w:left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lastRenderedPageBreak/>
                    <w:t xml:space="preserve">Didysis citogenetinis atsakas </w:t>
                  </w:r>
                  <w:r w:rsidRPr="00B75D90">
                    <w:rPr>
                      <w:rFonts w:ascii="Times New Roman" w:eastAsia="SimSun" w:hAnsi="Times New Roman" w:cs="Times New Roman"/>
                      <w:color w:val="000000"/>
                      <w:vertAlign w:val="superscript"/>
                      <w:lang w:val="sl-SI"/>
                    </w:rPr>
                    <w:t>2</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Visiškas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 xml:space="preserve">(Patvirtintas </w:t>
                  </w:r>
                  <w:r w:rsidRPr="00B75D90">
                    <w:rPr>
                      <w:rFonts w:ascii="Times New Roman" w:eastAsia="SimSun" w:hAnsi="Times New Roman" w:cs="Times New Roman"/>
                      <w:color w:val="000000"/>
                      <w:vertAlign w:val="superscript"/>
                      <w:lang w:val="sl-SI"/>
                    </w:rPr>
                    <w:t>3</w:t>
                  </w:r>
                  <w:r w:rsidRPr="00B75D90">
                    <w:rPr>
                      <w:rFonts w:ascii="Times New Roman" w:eastAsia="SimSun" w:hAnsi="Times New Roman" w:cs="Times New Roman"/>
                      <w:color w:val="000000"/>
                      <w:lang w:val="sl-SI"/>
                    </w:rPr>
                    <w:t>) [9 5% PI]</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Dalinis</w:t>
                  </w:r>
                </w:p>
              </w:tc>
              <w:tc>
                <w:tcPr>
                  <w:tcW w:w="0" w:type="auto"/>
                  <w:tcBorders>
                    <w:top w:val="single" w:sz="4" w:space="0" w:color="auto"/>
                    <w:left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tc>
              <w:tc>
                <w:tcPr>
                  <w:tcW w:w="0" w:type="auto"/>
                  <w:tcBorders>
                    <w:top w:val="single" w:sz="4" w:space="0" w:color="auto"/>
                    <w:left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tc>
              <w:tc>
                <w:tcPr>
                  <w:tcW w:w="2102" w:type="dxa"/>
                  <w:tcBorders>
                    <w:top w:val="single" w:sz="4" w:space="0" w:color="auto"/>
                    <w:left w:val="single" w:sz="4" w:space="0" w:color="auto"/>
                    <w:right w:val="single" w:sz="4" w:space="0" w:color="auto"/>
                  </w:tcBorders>
                </w:tcPr>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15 % (11,2–20,4)</w:t>
                  </w: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7 %</w:t>
                  </w: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(2 %) [0,6–4,4]</w:t>
                  </w:r>
                </w:p>
                <w:p w:rsidR="00B75D90" w:rsidRPr="00B75D90" w:rsidRDefault="00B75D90" w:rsidP="00B75D90">
                  <w:pPr>
                    <w:widowControl w:val="0"/>
                    <w:autoSpaceDE w:val="0"/>
                    <w:autoSpaceDN w:val="0"/>
                    <w:adjustRightInd w:val="0"/>
                    <w:spacing w:after="0" w:line="240" w:lineRule="auto"/>
                    <w:jc w:val="center"/>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8 %</w:t>
                  </w:r>
                </w:p>
              </w:tc>
            </w:tr>
            <w:tr w:rsidR="00B75D90" w:rsidRPr="00B75D90" w:rsidTr="00533723">
              <w:trPr>
                <w:trHeight w:val="638"/>
              </w:trPr>
              <w:tc>
                <w:tcPr>
                  <w:tcW w:w="8815" w:type="dxa"/>
                  <w:gridSpan w:val="4"/>
                  <w:tcBorders>
                    <w:top w:val="single" w:sz="4" w:space="0" w:color="auto"/>
                    <w:left w:val="single" w:sz="4" w:space="0" w:color="auto"/>
                    <w:bottom w:val="single" w:sz="4" w:space="0" w:color="auto"/>
                    <w:right w:val="single" w:sz="4" w:space="0" w:color="auto"/>
                  </w:tcBorders>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vertAlign w:val="superscript"/>
                    </w:rPr>
                    <w:t>1</w:t>
                  </w:r>
                  <w:r w:rsidRPr="00B75D90">
                    <w:rPr>
                      <w:rFonts w:ascii="Times New Roman" w:eastAsia="SimSun" w:hAnsi="Times New Roman" w:cs="Times New Roman"/>
                      <w:b/>
                    </w:rPr>
                    <w:t xml:space="preserve"> Hematologinio atsako kriterijai</w:t>
                  </w:r>
                  <w:r w:rsidRPr="00B75D90">
                    <w:rPr>
                      <w:rFonts w:ascii="Times New Roman" w:eastAsia="SimSun" w:hAnsi="Times New Roman" w:cs="Times New Roman"/>
                    </w:rPr>
                    <w:t xml:space="preserve"> </w:t>
                  </w:r>
                  <w:r w:rsidRPr="00B75D90">
                    <w:rPr>
                      <w:rFonts w:ascii="Times New Roman" w:eastAsia="SimSun" w:hAnsi="Times New Roman" w:cs="Times New Roman"/>
                      <w:b/>
                    </w:rPr>
                    <w:t>(bet koks atsakas turi būti patvirtintas po ≥ 4 savaičių)</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VHA. Tyrimo 0102 [ANS ≥ 1,5 x 10</w:t>
                  </w:r>
                  <w:r w:rsidRPr="00B75D90">
                    <w:rPr>
                      <w:rFonts w:ascii="Times New Roman" w:eastAsia="SimSun" w:hAnsi="Times New Roman" w:cs="Times New Roman"/>
                      <w:vertAlign w:val="superscript"/>
                    </w:rPr>
                    <w:t>9</w:t>
                  </w:r>
                  <w:r w:rsidRPr="00B75D90">
                    <w:rPr>
                      <w:rFonts w:ascii="Times New Roman" w:eastAsia="SimSun" w:hAnsi="Times New Roman" w:cs="Times New Roman"/>
                    </w:rPr>
                    <w:t>/l, trombocitų ≥ 100 x 10</w:t>
                  </w:r>
                  <w:r w:rsidRPr="00B75D90">
                    <w:rPr>
                      <w:rFonts w:ascii="Times New Roman" w:eastAsia="SimSun" w:hAnsi="Times New Roman" w:cs="Times New Roman"/>
                      <w:vertAlign w:val="superscript"/>
                    </w:rPr>
                    <w:t>9</w:t>
                  </w:r>
                  <w:r w:rsidRPr="00B75D90">
                    <w:rPr>
                      <w:rFonts w:ascii="Times New Roman" w:eastAsia="SimSun" w:hAnsi="Times New Roman" w:cs="Times New Roman"/>
                    </w:rPr>
                    <w:t>/l, kraujyje nėra blastų, kaulų čiulpuose blastų &lt; 5 % ir nėra ekstramedulinių židinių] duomenimis.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NEL. Tokie pat kriterijai kaip VHA, bet ANS ≥ 1 x 10</w:t>
                  </w:r>
                  <w:r w:rsidRPr="00B75D90">
                    <w:rPr>
                      <w:rFonts w:ascii="Times New Roman" w:eastAsia="SimSun" w:hAnsi="Times New Roman" w:cs="Times New Roman"/>
                      <w:vertAlign w:val="superscript"/>
                    </w:rPr>
                    <w:t>9</w:t>
                  </w:r>
                  <w:r w:rsidRPr="00B75D90">
                    <w:rPr>
                      <w:rFonts w:ascii="Times New Roman" w:eastAsia="SimSun" w:hAnsi="Times New Roman" w:cs="Times New Roman"/>
                    </w:rPr>
                    <w:t>/l ir trombocitų ≥ 20 x 10</w:t>
                  </w:r>
                  <w:r w:rsidRPr="00B75D90">
                    <w:rPr>
                      <w:rFonts w:ascii="Times New Roman" w:eastAsia="SimSun" w:hAnsi="Times New Roman" w:cs="Times New Roman"/>
                      <w:vertAlign w:val="superscript"/>
                    </w:rPr>
                    <w:t>9</w:t>
                  </w:r>
                  <w:r w:rsidRPr="00B75D90">
                    <w:rPr>
                      <w:rFonts w:ascii="Times New Roman" w:eastAsia="SimSun" w:hAnsi="Times New Roman" w:cs="Times New Roman"/>
                    </w:rPr>
                    <w:t>/l.</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GLF &lt; 15 % blastų KČ ir PK, &lt; 30 % blastų + promielocitų KČ ir PK, &lt; 20 % bazofilų PK, nėra kitos ekstramedulinės ligos, išskyrus blužnies ir kepenų ligas.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KČ = kaulų čiulpai, PK = periferinis kraujas.</w:t>
                  </w: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vertAlign w:val="superscript"/>
                    </w:rPr>
                    <w:t>2</w:t>
                  </w:r>
                  <w:r w:rsidRPr="00B75D90">
                    <w:rPr>
                      <w:rFonts w:ascii="Times New Roman" w:eastAsia="SimSun" w:hAnsi="Times New Roman" w:cs="Times New Roman"/>
                      <w:b/>
                    </w:rPr>
                    <w:t xml:space="preserve"> Citogenetinio atsako kriterijai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Didįjį atsaką sudaro visiškas ir dalinis atsakas: visiškas (0 % </w:t>
                  </w:r>
                  <w:r w:rsidRPr="00B75D90">
                    <w:rPr>
                      <w:rFonts w:ascii="Times New Roman" w:eastAsia="SimSun" w:hAnsi="Times New Roman" w:cs="Times New Roman"/>
                      <w:i/>
                    </w:rPr>
                    <w:t>Ph+</w:t>
                  </w:r>
                  <w:r w:rsidRPr="00B75D90">
                    <w:rPr>
                      <w:rFonts w:ascii="Times New Roman" w:eastAsia="SimSun" w:hAnsi="Times New Roman" w:cs="Times New Roman"/>
                    </w:rPr>
                    <w:t xml:space="preserve"> metafazių), dalinis (1–35 %).</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vertAlign w:val="superscript"/>
                      <w:lang w:val="sl-SI"/>
                    </w:rPr>
                    <w:t>3</w:t>
                  </w:r>
                  <w:r w:rsidRPr="00B75D90">
                    <w:rPr>
                      <w:rFonts w:ascii="Times New Roman" w:eastAsia="SimSun" w:hAnsi="Times New Roman" w:cs="Times New Roman"/>
                      <w:color w:val="000000"/>
                      <w:lang w:val="sl-SI"/>
                    </w:rPr>
                    <w:t xml:space="preserve"> Visiškas citogenetinis atsakas patvirtinamas antru citogenetiniu kaulų čiulpų tyrimu praėjus ne mažiau kaip vienam mėnesiui po pirminio kaulų čiulpų tyrimo.</w:t>
                  </w:r>
                </w:p>
              </w:tc>
            </w:tr>
          </w:tbl>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tc>
      </w:tr>
    </w:tbl>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Vaikai ir paaugliai</w:t>
      </w:r>
      <w:r w:rsidRPr="00B75D90">
        <w:rPr>
          <w:rFonts w:ascii="Times New Roman" w:eastAsia="SimSun" w:hAnsi="Times New Roman" w:cs="Times New Roman"/>
        </w:rPr>
        <w:t xml:space="preserve">. Į I fazės dozės didinimo tyrimą buvo priimta iš viso 26 jaunesni kaip 18 metų vaikai ir paaugliai, kuriems buvo diagnozuota lėtinė LML fazė (n = 11) arba LML blastinė krizė, arba ūminė leukemija su </w:t>
      </w:r>
      <w:r w:rsidRPr="00B75D90">
        <w:rPr>
          <w:rFonts w:ascii="Times New Roman" w:eastAsia="SimSun" w:hAnsi="Times New Roman" w:cs="Times New Roman"/>
          <w:i/>
        </w:rPr>
        <w:t>Ph+</w:t>
      </w:r>
      <w:r w:rsidRPr="00B75D90">
        <w:rPr>
          <w:rFonts w:ascii="Times New Roman" w:eastAsia="SimSun" w:hAnsi="Times New Roman" w:cs="Times New Roman"/>
        </w:rPr>
        <w:t xml:space="preserve"> (n = 15). Šios populiacijos pacientai buvo intensyviai gydyti: 46 % pirmiau buvo persodinti kaulų čiulpai, 73 % pirmiau buvo taikyta chemoterapija keliais vaistiniais preparatais. Pacientai buvo gydyti tokiomis imatinibo paros dozėmis: 260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(n = 5),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(n = 9), 440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(n = 7) ir 570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(n = 5). Iš 9 pacientų, kuriems buvo diagnozuota lėtinė LML fazė ir yra citogenetiniai rodmenys, 4 (44 %) ir 3 (33 %) buvo pasiektas atitinkamai visiškas ir dalinis citogenetinis atsakas (</w:t>
      </w:r>
      <w:r w:rsidRPr="00B75D90">
        <w:rPr>
          <w:rFonts w:ascii="Times New Roman" w:eastAsia="SimSun" w:hAnsi="Times New Roman" w:cs="Times New Roman"/>
          <w:i/>
        </w:rPr>
        <w:t>MCyR</w:t>
      </w:r>
      <w:r w:rsidRPr="00B75D90">
        <w:rPr>
          <w:rFonts w:ascii="Times New Roman" w:eastAsia="SimSun" w:hAnsi="Times New Roman" w:cs="Times New Roman"/>
        </w:rPr>
        <w:t xml:space="preserve"> dažnis – 77 %).</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Keliuose centruose atliktame II fazės atvirame vienos grupės tyrime dalyvavo 51 vaikas, kuriems buvo pirmą kartą diagnozuota ir negydyta lėtinė LML fazė. Pacientai buvo gydyti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imatinibo paros doze be pertraukų, nes nebuvo dozę ribojančio nepageidaujamo poveikio. Gydymas imatinibu sukėlė greitą atsaką vaikams, kuriems buvo pirmą kartą diagnozuota LML, VHA po 8 gydymo savaičių pasireiškė 78 % tiriamųjų. Didelis VHA dažnis buvo susijęs su visišku citogenetiniu atsaku (</w:t>
      </w:r>
      <w:r w:rsidRPr="00B75D90">
        <w:rPr>
          <w:rFonts w:ascii="Times New Roman" w:eastAsia="SimSun" w:hAnsi="Times New Roman" w:cs="Times New Roman"/>
          <w:i/>
        </w:rPr>
        <w:t>CCyR</w:t>
      </w:r>
      <w:r w:rsidRPr="00B75D90">
        <w:rPr>
          <w:rFonts w:ascii="Times New Roman" w:eastAsia="SimSun" w:hAnsi="Times New Roman" w:cs="Times New Roman"/>
        </w:rPr>
        <w:t>) 65 % tiriamųjų. Šie rezultatai atitinka suaugusiųjų duomenis. Be to, 16 % tiriamųjų buvo stebėtas dalinis citogenetinis atsakas (</w:t>
      </w:r>
      <w:r w:rsidRPr="00B75D90">
        <w:rPr>
          <w:rFonts w:ascii="Times New Roman" w:eastAsia="SimSun" w:hAnsi="Times New Roman" w:cs="Times New Roman"/>
          <w:i/>
        </w:rPr>
        <w:t>PCyR</w:t>
      </w:r>
      <w:r w:rsidRPr="00B75D90">
        <w:rPr>
          <w:rFonts w:ascii="Times New Roman" w:eastAsia="SimSun" w:hAnsi="Times New Roman" w:cs="Times New Roman"/>
        </w:rPr>
        <w:t xml:space="preserve">), o </w:t>
      </w:r>
      <w:r w:rsidRPr="00B75D90">
        <w:rPr>
          <w:rFonts w:ascii="Times New Roman" w:eastAsia="SimSun" w:hAnsi="Times New Roman" w:cs="Times New Roman"/>
          <w:i/>
        </w:rPr>
        <w:t>MCyR</w:t>
      </w:r>
      <w:r w:rsidRPr="00B75D90">
        <w:rPr>
          <w:rFonts w:ascii="Times New Roman" w:eastAsia="SimSun" w:hAnsi="Times New Roman" w:cs="Times New Roman"/>
        </w:rPr>
        <w:t xml:space="preserve"> pasireiškė 81 % tiriamųjų. Daugumai pacientų, kuriems buvo pasiektas </w:t>
      </w:r>
      <w:r w:rsidRPr="00B75D90">
        <w:rPr>
          <w:rFonts w:ascii="Times New Roman" w:eastAsia="SimSun" w:hAnsi="Times New Roman" w:cs="Times New Roman"/>
          <w:i/>
        </w:rPr>
        <w:t>CCyR</w:t>
      </w:r>
      <w:r w:rsidRPr="00B75D90">
        <w:rPr>
          <w:rFonts w:ascii="Times New Roman" w:eastAsia="SimSun" w:hAnsi="Times New Roman" w:cs="Times New Roman"/>
        </w:rPr>
        <w:t xml:space="preserve">, </w:t>
      </w:r>
      <w:r w:rsidRPr="00B75D90">
        <w:rPr>
          <w:rFonts w:ascii="Times New Roman" w:eastAsia="SimSun" w:hAnsi="Times New Roman" w:cs="Times New Roman"/>
          <w:i/>
        </w:rPr>
        <w:t>CCyR</w:t>
      </w:r>
      <w:r w:rsidRPr="00B75D90">
        <w:rPr>
          <w:rFonts w:ascii="Times New Roman" w:eastAsia="SimSun" w:hAnsi="Times New Roman" w:cs="Times New Roman"/>
        </w:rPr>
        <w:t xml:space="preserve"> pasireiškė per laikotarpį nuo 3 iki 10 mėnesių, laikotarpio, per kurį pasireiškė atsakas, mediana, remiantis Kaplan-Meier kriterijumi, buvo 5,6 mėn.</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Klinikiniai Ph+ ŪLL tyrimai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Pirmą kartą diagnozuota Ph+ ŪLL. Kontroliuojamo (ADE10) tyrimo metu, kuriame imatinibas buvo lygintas su pradine chemoterapija penkiasdešimt penkiems 55 metų ir vyresniems pacientams, kuriems diagnozė nustatyta pirmą kartą, vartojant vieną imatinibą buvo gautas reikšmingai didesnis visiško hematologinio atsako dažnis, lyginant su chemoterapiją gavusiaisias (96,3 % lyginant su 50 %; p=0,0001). Kai pacientams, kuriems nebuvo gautas atsakas ar gautas silpnas atsakas, buvo paskirtas pagalbinis gydymas imatinibu, visiškas hematologinis atsakas buvo gautas 9 pacientams (81,8 %) iš 11. Šis klinikinis efektas buvo susijęs su didesniu bcr-abl transkriptų sumažėjimu po 2 gydymo savaičių imatinibą vartojusių pacientų grupėje (p=0,02), lyginant su chemoterapiją gavusiaisias. Po pradinio gydymo visi pacientai gavo imatinibą bei papildomą chemoterapiją (žr. 3 lentelę), po 8 savaičių bcr-abl transkriptų kiekis buvo vienodas abiejose grupėse. Kaip ir tikėtasi planuojant tyrimą, skirtumo tarp remisijos trukmės, laiko be ligos ir gyvenimo trukmės nebuvo, nors pacientų, kuriems buvo pasiektas visiškas molekulinis atsakas ir išliko minimali liekamoji liga, buvo geresni ir remisijos trukmės (p=0,01) ir laiko be ligos (p=0,02) rezultatai.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Keturių nekontroliuojamų tyrimų (AAU02, ADE04, AJP01 ir AUS01), kuriuose dalyvavo 211 pacientų, kuriems pirmą kartą diagnozuota Ph+ ŪLL, rezultatai atitinka aukščiau paminėto tyrimo rezultatus. Skiriant imatinibą kartu su pradine chemoterapija (žr. 3 lentelę) visiško hematologinio atsako dažnis buvo 93 % (147 iš 158 pacientų, kuriuos buvo galima vertinti), o didžiojo citogenetinio atsako dažnis buvo 90 % (19 iš 21 paciento, kuriuos buvo galima įvertinti). Visiško molekulinio atsako dažnis buvo 48 % (49 iš 102 pacientų, kuriuos buvo galima vertinti). Laikas be ligos (DSF) ir gyvenimo trukmė (OS) pastoviai viršijo 1 metus ir buvo aukštesni kaip anksčiau nustatyti (DFS p&lt;0,001; OS p&lt;0,0001) dvejuose tyrimuose (AJP01 ir AUS01).</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3 lentelė Chemoterapijos gydymas, taikomas kartu su imatinibu</w:t>
      </w:r>
    </w:p>
    <w:p w:rsidR="00B75D90" w:rsidRPr="00B75D90" w:rsidRDefault="00B75D90" w:rsidP="00B75D90">
      <w:pPr>
        <w:widowControl w:val="0"/>
        <w:spacing w:after="0" w:line="240" w:lineRule="auto"/>
        <w:rPr>
          <w:rFonts w:ascii="Times New Roman" w:eastAsia="SimSun" w:hAnsi="Times New Roman" w:cs="Times New Roman"/>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3715"/>
        <w:gridCol w:w="5356"/>
      </w:tblGrid>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ADE10 tyrimas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Prefazė</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Gerti DEX 10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,1-5 dienas; CP 200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3, 4, 5 dieną; MTX 12 mg intratekaliai, 1 dieną</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Remisijos sukėlimas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Gerti DEX 10 mg/m, 6-7 dieną, 13-16 dieną; VCR 1 mg i.v., 7, 14 dieną; IDA 8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(0,5 valandos), 7, 8, 14, 15 dieną; CP 500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i.v.(1 valanda) 1 dieną; Ara-C 60 mg/ 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22-25, 29-32 dienas</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Konsoliduojantis gydymas I, III, V</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MTX 500 mg/m</w:t>
            </w:r>
            <w:r w:rsidRPr="00B75D90">
              <w:rPr>
                <w:rFonts w:ascii="Times New Roman" w:eastAsia="SimSun" w:hAnsi="Times New Roman" w:cs="Times New Roman"/>
                <w:vertAlign w:val="superscript"/>
              </w:rPr>
              <w:t xml:space="preserve">2 </w:t>
            </w:r>
            <w:r w:rsidRPr="00B75D90">
              <w:rPr>
                <w:rFonts w:ascii="Times New Roman" w:eastAsia="SimSun" w:hAnsi="Times New Roman" w:cs="Times New Roman"/>
              </w:rPr>
              <w:t>i.v. (24 valandos), 1, 15 dieną; gerti 6-MP 25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1-20 dieną</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Konsoliduojantis gydymas II, IV</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Ara-C 75 mg/ 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 valanda), 1-5 dienas; VM26 60 mg/m</w:t>
            </w:r>
            <w:r w:rsidRPr="00B75D90">
              <w:rPr>
                <w:rFonts w:ascii="Times New Roman" w:eastAsia="SimSun" w:hAnsi="Times New Roman" w:cs="Times New Roman"/>
                <w:vertAlign w:val="superscript"/>
              </w:rPr>
              <w:t xml:space="preserve">2 </w:t>
            </w:r>
            <w:r w:rsidRPr="00B75D90">
              <w:rPr>
                <w:rFonts w:ascii="Times New Roman" w:eastAsia="SimSun" w:hAnsi="Times New Roman" w:cs="Times New Roman"/>
              </w:rPr>
              <w:t>i.v. (1 valanda), 1-5 dienas</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AAU02 tyrimas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Pradinis gydymas (</w:t>
            </w:r>
            <w:r w:rsidRPr="00B75D90">
              <w:rPr>
                <w:rFonts w:ascii="Times New Roman" w:eastAsia="SimSun" w:hAnsi="Times New Roman" w:cs="Times New Roman"/>
                <w:i/>
              </w:rPr>
              <w:t>de novo</w:t>
            </w:r>
            <w:r w:rsidRPr="00B75D90">
              <w:rPr>
                <w:rFonts w:ascii="Times New Roman" w:eastAsia="SimSun" w:hAnsi="Times New Roman" w:cs="Times New Roman"/>
              </w:rPr>
              <w:t xml:space="preserve"> Ph+ ALL)</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Daunorubicinas 30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1-3 dienas, 15-16 dienas; VCR bendra dozė 2 mg i.v., 1, 8, 15, 22 dieną; CP 750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 8 dieną; gerti prednizoloną 60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1-7, 15-21 dienas; gerti IDA 9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1-28 dienas; MTX 15 mg intratekaliai, 1, 8, 15, 22 dieną; Ara-C 40 mg intratekaliai, 1, 8, 15, 22 dieną; metilprednizolonas 40 mg intratekaliai, 1, 8, 15, 22 dieną</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Konsoliduojantis gydymas (de novo Ph+ ALL)</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Ara-C 1 000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/12 h i.v.(3 valandos), 1-4 dienas; mitoksantronas 10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3-5 dienas; MTX 15 mg intratekaliai, 1 dieną; metilprednizolonas 40 mg intratekaliai, 1 dieną</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ADE04 tyrimas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Prefazė</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Gerti DEX 10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1-5 dienas; CP 200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3-5 dienas; MTX 15 mg intratekaliai, 1 dieną</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Pradinis gydymas I</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Gerti DEX 10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1-5 dienas; VCR 2 mg i.v., 6, 13, 20 dieną; daunorubicinas 45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6-7, 13-14 dieną</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Pradinis gydymas II</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CP 1 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 valanda), 26, 46 dieną; Ara-C 75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 valanda), 28-31, 35-38, 42-45 dienas; gerti 6-MP 60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26-46 dienas</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Konsoliduojantis gydymas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Gerti DEX 10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1-5 dienas; vindezinas 3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 dieną; MTX 1,5 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(24 valandos), 1 dieną; etopozidas 250 mg/m 2 i.v. (1 valanda) 4-5 dienas; Ara-C 2x 2 g/ 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(3 valandos, 12 valandų), 5 dieną</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AJP01 tyrimas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Pradinis gydymas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CP 1,2 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(3 valandos), 1 dieną; daunorubicinas 60mg/ 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 valanda), 1-3 dienas; vinkristinas 1,3 mg/ 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 8, 15, 21 dieną; gerti prednizoloną 60 mg/m 2 /per parą</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Konsoliduojantis gydymas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Pakaitinis chemoterapijos kursas: aukštos dozės chemoterapija su MTX 1 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(24 valandos), 1 dieną, ir Ara-C 2 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(12 valandų), 2-3 dieną, 4 kursus</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lastRenderedPageBreak/>
              <w:t>Palaikomasis gydymas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VCR 1,3 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1 dieną; gerti prednizoloną 60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1-5 dienas</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AUS01 tyrimas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Pradinis-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konsoliduojantis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gydymas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Hiper-CVAD gydymas: CP 300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(3 valandos, 12 valandų), 1-3 dienas; vinkristinas 2 mg i.v., 4, 11 dieną; doksorubicinas 50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(24 valandos), 4 dieną; DEX 40 mg/per parą 1-4 dienas ir 11-14 dienas, keičiamas MTX 1 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 (24 valandos), 1 dieną, Ara-C 1 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i.v.</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 valandos, 12 valandų), 2-3 dieną (iš viso 8 kursai)</w:t>
            </w:r>
          </w:p>
        </w:tc>
      </w:tr>
      <w:tr w:rsidR="00B75D90" w:rsidRPr="00B75D90" w:rsidTr="00533723">
        <w:tc>
          <w:tcPr>
            <w:tcW w:w="3794"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Palaikomasis gydymas</w:t>
            </w:r>
          </w:p>
        </w:tc>
        <w:tc>
          <w:tcPr>
            <w:tcW w:w="549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VCR 2 mg i.v. kas mėnesį 13 mėnesių; gerti prednizoloną po 200 mg, 5 dienas per mėnesį 13 mėnesių</w:t>
            </w:r>
          </w:p>
        </w:tc>
      </w:tr>
      <w:tr w:rsidR="00B75D90" w:rsidRPr="00B75D90" w:rsidTr="00533723">
        <w:tc>
          <w:tcPr>
            <w:tcW w:w="928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Visi gydymo režimai taikomi vartojant steroidų CNS ligų profilaktikai.</w:t>
            </w:r>
          </w:p>
        </w:tc>
      </w:tr>
      <w:tr w:rsidR="00B75D90" w:rsidRPr="00B75D90" w:rsidTr="00533723">
        <w:tc>
          <w:tcPr>
            <w:tcW w:w="9286" w:type="dxa"/>
            <w:gridSpan w:val="2"/>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Ara-C: citozino arabinozidas; CP: ciklofosfamidas; DEX: deksametazonas; MTX: metotreksatas; 6-MP: 6-merkaptopurinas; VM26: tenipozidas; VCR: vinkristinas; IDA: idarubicinas; i.v.: vartoti į veną</w:t>
            </w:r>
          </w:p>
        </w:tc>
      </w:tr>
    </w:tbl>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rPr>
      </w:pPr>
      <w:r w:rsidRPr="00B75D90">
        <w:rPr>
          <w:rFonts w:ascii="Times New Roman" w:eastAsia="SimSun" w:hAnsi="Times New Roman" w:cs="Times New Roman"/>
          <w:i/>
        </w:rPr>
        <w:t>Vaikai ir paaugliai</w:t>
      </w:r>
      <w:r w:rsidRPr="00B75D90">
        <w:rPr>
          <w:rFonts w:ascii="Times New Roman" w:eastAsia="SimSun" w:hAnsi="Times New Roman" w:cs="Times New Roman"/>
        </w:rPr>
        <w:t>. Į atvirąjį, daugiacentrį, nuoseklių kohortų, ne atsitiktinių imčių, III fazės klinikinį tyrimą I2301 iš viso buvo įtraukti 93 vaikai, paaugliai ir jauni suaugę pacientai (nuo 1 iki 22 metų), kurie sirgo Ph+ ŪLL. Šio tyrimo metu pacientams po indukcinio gydymo buvo skirta vartoti imatinibo (po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per parą) kartu su intensyvia chemoterapija. 1-5 kohortų pacientai imatinibo vartojo netolygiai, kiekvienoje kitoje kohortoje imatinibo buvo vartojama ilgiau ir gydymas pradedamas anksčiau. 1-osios kohortos pacientams buvo skiriamas mažiausio intensyvumo gydymas, o 5-osios kohortos pacientams buvo skiriamas intensyviausias gydymas imatinibu (ilgiausia vartojimo trukmė dienomis ir tęstinis imatinibo dozavimas kasdien pirmųjų chemoterapijos kursų metu). Skiriant tęstinį gydymą imatinibu kasdien (taikant gydymo kursus kartu su chemoterapija), 5-osios kohortos pacientų (n=50) 4 metų trukmės išgyvenamumo be recidyvų (angl. </w:t>
      </w:r>
      <w:r w:rsidRPr="00B75D90">
        <w:rPr>
          <w:rFonts w:ascii="Times New Roman" w:eastAsia="SimSun" w:hAnsi="Times New Roman" w:cs="Times New Roman"/>
          <w:i/>
        </w:rPr>
        <w:t>event-free survival</w:t>
      </w:r>
      <w:r w:rsidRPr="00B75D90">
        <w:rPr>
          <w:rFonts w:ascii="Times New Roman" w:eastAsia="SimSun" w:hAnsi="Times New Roman" w:cs="Times New Roman"/>
        </w:rPr>
        <w:t xml:space="preserve"> – EFS) dažnis padidėjo, palyginti su istoriniais duomenimis (n=120), kai pacientams buvo skiriama standartinė chemoterapija be imatinibo (atitinkamai 69,6 %, ir 31,6 %). Apskaičiuotasis 4 metų trukmės bendrojo išgyvenamumo dažnis 5-osios kohortos pacientams buvo 83,6 % (istoriniai duomenys - 44,8 %). 20 iš 50 (40 %) 5-osios kohortos pacientų buvo atlikta hematopoetinių kamieninių ląstelių transplantacija.</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rPr>
      </w:pPr>
      <w:r w:rsidRPr="00B75D90">
        <w:rPr>
          <w:rFonts w:ascii="Times New Roman" w:eastAsia="SimSun" w:hAnsi="Times New Roman" w:cs="Times New Roman"/>
          <w:b/>
        </w:rPr>
        <w:t>4 lentelė. Chemoterapijos schema, kai kartu vartota imatinibo, tyrimo I2301 metu</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4"/>
        <w:gridCol w:w="6177"/>
      </w:tblGrid>
      <w:tr w:rsidR="00B75D90" w:rsidRPr="00B75D90" w:rsidTr="00533723">
        <w:tc>
          <w:tcPr>
            <w:tcW w:w="2943"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1-asis konsoliduojančio gydymo blokas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(3 savaitės)</w:t>
            </w:r>
          </w:p>
        </w:tc>
        <w:tc>
          <w:tcPr>
            <w:tcW w:w="6601"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VP-16 (100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1-5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Ifosfamidas (1,8 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1-5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MESNA (360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dozė q3h, 8 dozės per parą, IV): 1-5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G-CSF (5 μg/kg, SC): 6-15 dienos arba kol ANS bus &gt;1500 nuo mažiausio rodmens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IT Metotreksatas (dozė koreguota pagal amžių): TIK 1-ąją dieną</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Trigubas IT gydymas (dozė koreguota pagal amžių): 8–ąją ir 15–ąją dienomis </w:t>
            </w:r>
          </w:p>
        </w:tc>
      </w:tr>
      <w:tr w:rsidR="00B75D90" w:rsidRPr="00B75D90" w:rsidTr="00533723">
        <w:tc>
          <w:tcPr>
            <w:tcW w:w="2943"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2-asis konsoliduojančio gydymo blokas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(3 savaitės) </w:t>
            </w:r>
          </w:p>
        </w:tc>
        <w:tc>
          <w:tcPr>
            <w:tcW w:w="6601"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Metotreksatas (5 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24 valandas, IV): 1-ąją dieną</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Leukovorinas (75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po 36 valandų, IV; 15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IV ar PO q6h x 6 dozės) iii: 2-ąją ir 3-iąją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Trigubas IT gydymas (dozė koreguota pagal amžių): 1-ąją dieną</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ARA-C (3 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dozė q12h x 4, IV): 2-ąją ir 3-iąją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G-CSF (5 μg/kg, SC): 4-13 dienomis arba kol ANS bus &gt;1500 nuo mažiausio rodmens </w:t>
            </w:r>
          </w:p>
        </w:tc>
      </w:tr>
      <w:tr w:rsidR="00B75D90" w:rsidRPr="00B75D90" w:rsidTr="00533723">
        <w:tc>
          <w:tcPr>
            <w:tcW w:w="2943"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1-asis reindukcinio gydymo blokas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(3 savaitės) </w:t>
            </w:r>
          </w:p>
        </w:tc>
        <w:tc>
          <w:tcPr>
            <w:tcW w:w="6601"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VCR (1,5 mg/m per parą, IV): 1-ąją, 8-ąją ir 15-ąją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DAUN (45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smūginė paros dozė, IV): 1-ąją ir 2-ąją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CPM (250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dozė q12h x 4 dozės, IV): 3-iąją ir 4-ąją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PEG-ASP (2500 TV/m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IM): 4-ąją dieną</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 xml:space="preserve">G-CSF (5 μg/kg, SC): 5-14 dienos arba kol ANS bus &gt; 1500 nuo </w:t>
            </w:r>
            <w:r w:rsidRPr="00B75D90">
              <w:rPr>
                <w:rFonts w:ascii="Times New Roman" w:eastAsia="SimSun" w:hAnsi="Times New Roman" w:cs="Times New Roman"/>
                <w:color w:val="000000"/>
                <w:lang w:val="sl-SI"/>
              </w:rPr>
              <w:lastRenderedPageBreak/>
              <w:t>mažiausio rodmens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Trigubas IT gydymas (dozė koreguota pagal amžių): 1-ąją ir 15-ąją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DEX (6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per parą, PO): 1-7 dienomis ir 15-21 dienomis </w:t>
            </w:r>
          </w:p>
        </w:tc>
      </w:tr>
      <w:tr w:rsidR="00B75D90" w:rsidRPr="00B75D90" w:rsidTr="00533723">
        <w:tc>
          <w:tcPr>
            <w:tcW w:w="2943"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lastRenderedPageBreak/>
              <w:t>1-asis intensyvinimo blokas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(9 savaitės) </w:t>
            </w:r>
          </w:p>
        </w:tc>
        <w:tc>
          <w:tcPr>
            <w:tcW w:w="6601"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Metotreksatas (5 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24 valandas, IV): 1-ąją ir 15-ąją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Leukovorinas (75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po 36 valandų, IV; 15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IV ar PO q6h x 6 dozės) iii: 2-ąją, 3-iąją, 16-ąją ir 17-ąją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Trigubas IT gydymas (dozė koreguota pagal amžių): 1-ąją ir 22-ąją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VP-16 (100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22-26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CPM (300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22-26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MESNA (150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22-26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G-CSF (5 μg/kg, SC): 27-36 dienos arba kol ANS bus &gt;1500 nuo mažiausio rodmens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ARA-C (3 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q12h, IV): 43-ąją ir 44-ąją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L-ASP (6000 TV/m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IM): 44-ąją dieną </w:t>
            </w:r>
          </w:p>
        </w:tc>
      </w:tr>
      <w:tr w:rsidR="00B75D90" w:rsidRPr="00B75D90" w:rsidTr="00533723">
        <w:tc>
          <w:tcPr>
            <w:tcW w:w="2943"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2-asis reindukcinio gydymo blokas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(3 savaitės) </w:t>
            </w:r>
          </w:p>
        </w:tc>
        <w:tc>
          <w:tcPr>
            <w:tcW w:w="6601"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VCR (1,5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1-ąją, 8-ąją ir 15-ąją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DAUN (45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smūginė paros dozė, IV): 1-ąją ir 2-ąją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CPM (250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dozė q12h x 4 dozės, IV): 3-iąją ir 4-ąją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PEG-ASP (2500 TV/m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IM): 4-ąją dieną</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G-CSF (5 μg/kg, SC): 5-14 dienomis arba kol ANS bus &gt;1500 nuo mažiausio rodmens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Trigubas IT gydymas (dozė koreguota pagal amžių): 1-ąją ir 15-ąją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DEX (6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per parą, PO): 1-7 dienomis ir 15-21 dienomis </w:t>
            </w:r>
          </w:p>
        </w:tc>
      </w:tr>
      <w:tr w:rsidR="00B75D90" w:rsidRPr="00B75D90" w:rsidTr="00533723">
        <w:tc>
          <w:tcPr>
            <w:tcW w:w="2943"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2-asis intensyvinimo blokas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(9 savaitės) </w:t>
            </w:r>
          </w:p>
        </w:tc>
        <w:tc>
          <w:tcPr>
            <w:tcW w:w="6601"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Metotreksatas (5 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24 valandas, IV): 1-ąją ir 15-ąją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Leukovorinas (75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po 36 valandų, IV; 15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IV ar PO q6h x 6 dozės) iii: 2-ąją, 3-iąją, 16-ąją ir 17-ąją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Trigubas IT gydymas (dozė koreguota pagal amžių): 1-ąją ir 22-ąją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VP-16 (100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22-26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CPM (300 mg/m2 per parą, IV): 22-26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MESNA (150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22-26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G-CSF (5 μg/kg, SC): 27-36 dienos arba kol ANS bus &gt; 1500 nuo mažiausio rodmens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ARA-C (3 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q12h, IV): 43-ąją ir 44-ąją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L-ASP (6000 TV/m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IM): 44-ąją dieną </w:t>
            </w:r>
          </w:p>
        </w:tc>
      </w:tr>
      <w:tr w:rsidR="00B75D90" w:rsidRPr="00B75D90" w:rsidTr="00533723">
        <w:tc>
          <w:tcPr>
            <w:tcW w:w="2943"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Palaikomasis gydymas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(8 savaičių trukmės ciklai)</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1–4 ciklai </w:t>
            </w:r>
          </w:p>
        </w:tc>
        <w:tc>
          <w:tcPr>
            <w:tcW w:w="6601"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MTX (5 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24 valandas, IV): 1-ąją dieną</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Leukovorinas (75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po 36 valandų, IV; 15 mg/m2 IV ar PO q6h x 6 dozės) iii: 2-ąją ir 3-iąją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Trigubas IT gydymas (dozė koreguota pagal amžių): 1-ąją ir 29-ąją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VCR (1,5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IV): 1-ąją ir 29-ąją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DEX (6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PO): 1-5 dienomis; 29-33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6-MP (75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PO): 8-28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Metotreksatas (20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savaitę, PO): 8-ąją, 15-ąją ir 22-ąją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VP-16 (100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IV): 29-33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CPM (300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IV): 29-33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MESNA IV 29-33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G-CSF (5 μg/kg, SC): 34-43 dienomis </w:t>
            </w:r>
          </w:p>
        </w:tc>
      </w:tr>
      <w:tr w:rsidR="00B75D90" w:rsidRPr="00B75D90" w:rsidTr="00533723">
        <w:tc>
          <w:tcPr>
            <w:tcW w:w="2943"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Palaikomasis gydymas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lastRenderedPageBreak/>
              <w:t>(8 savaičių trukmės ciklai)</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5-asis ciklas </w:t>
            </w:r>
          </w:p>
        </w:tc>
        <w:tc>
          <w:tcPr>
            <w:tcW w:w="6601"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lastRenderedPageBreak/>
              <w:t>Kaukolės švitinimas (tik 5-asis blokas)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lastRenderedPageBreak/>
              <w:t>12 Gy per 8 frakcijas visiems pacientams, kuriems nustatyta CNS1 ir CNS2 diagnozė</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18 Gy per 10 frakcijų pacientams, kuriems nustatyta CNS3 diagnozė</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VCR (1,5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1-ąją ir 29-ąją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DEX (6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PO): 1-5 dienomis; 29-33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6-MP (75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PO): 11-56 dienomis (6-MP neskiriamas 6-10 dienomis, kai taikomas kaukolės švitinimas, pradedant nuo 1-osios 5-ojo ciklo dienos. 6-MP pradedamas skirti pirmąją dieną po kaukolės švitinimo pabaigos.)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Metotreksatas (20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per savaitę, PO): 8-ąją, 15-ąją, 22-ąją, 29-ąją, 36-ąją, 43-iąją ir 50-ąją dienomis </w:t>
            </w:r>
          </w:p>
        </w:tc>
      </w:tr>
      <w:tr w:rsidR="00B75D90" w:rsidRPr="00B75D90" w:rsidTr="00533723">
        <w:tc>
          <w:tcPr>
            <w:tcW w:w="2943"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lastRenderedPageBreak/>
              <w:t>Palaikomasis gydymas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(8 savaičių trukmės ciklai)</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 xml:space="preserve">6-12 ciklai </w:t>
            </w:r>
          </w:p>
        </w:tc>
        <w:tc>
          <w:tcPr>
            <w:tcW w:w="6601" w:type="dxa"/>
          </w:tcPr>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VCR (1,5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IV): 1-ąją ir 29-ąją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DEX (6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PO): 1-5 dienomis; 29-33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6-MP (75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per parą, PO): 1-56 dienomis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rPr>
              <w:t>Metotreksatas (20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per savaitę, PO): 1-ąją, 8-ąją, 15-ąją, 22-ąją, 29-ąją, 36-ąją, 43-iąją ir 50-ąją dienomis </w:t>
            </w:r>
          </w:p>
        </w:tc>
      </w:tr>
    </w:tbl>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color w:val="000000"/>
        </w:rPr>
        <w:t>G-CSF = granuliocitų kolonijas stimuliuojantis faktorius, VP-16 = etopozidas, MTX = metotreksatas, IV = į veną, SC = po oda, IT =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μM, q6h = kas 6 valandas, Gy = grėjus.</w:t>
      </w:r>
    </w:p>
    <w:p w:rsidR="00B75D90" w:rsidRPr="00B75D90" w:rsidRDefault="00B75D90" w:rsidP="00B75D90">
      <w:pPr>
        <w:widowControl w:val="0"/>
        <w:spacing w:after="0" w:line="240" w:lineRule="auto"/>
        <w:rPr>
          <w:rFonts w:ascii="Times New Roman" w:eastAsia="SimSun" w:hAnsi="Times New Roman" w:cs="Times New Roman"/>
          <w:color w:val="000000"/>
        </w:rPr>
      </w:pPr>
    </w:p>
    <w:p w:rsidR="00B75D90" w:rsidRPr="00B75D90" w:rsidRDefault="00B75D90" w:rsidP="00B75D90">
      <w:pPr>
        <w:widowControl w:val="0"/>
        <w:spacing w:after="0" w:line="240" w:lineRule="auto"/>
        <w:rPr>
          <w:rFonts w:ascii="Times New Roman" w:eastAsia="SimSun" w:hAnsi="Times New Roman" w:cs="Times New Roman"/>
          <w:color w:val="000000"/>
        </w:rPr>
      </w:pPr>
      <w:r w:rsidRPr="00B75D90">
        <w:rPr>
          <w:rFonts w:ascii="Times New Roman" w:eastAsia="SimSun" w:hAnsi="Times New Roman" w:cs="Times New Roman"/>
          <w:color w:val="000000"/>
        </w:rPr>
        <w:t>AIT07 tyrimas buvo daugiacentris, atviras, atsitiktinių imčių, II-III fazės tyrimas, į kurį buvo įtraukti 128 pacientai (nuo 1 iki &lt;18 metų), kuriems buvo skiriamas gydymas imatinibu kartu su chemoterapija. Panašu, kad šio tyrimo metu gauti saugumo duomenys atitinka imatinibo saugumo savybes, šio vaistinio preparato skiriant Ph+ ŪLL sergantiems pacientams.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Recidyvavusi ar refrakterinė</w:t>
      </w:r>
      <w:r w:rsidRPr="00B75D90">
        <w:rPr>
          <w:rFonts w:ascii="Times New Roman" w:eastAsia="SimSun" w:hAnsi="Times New Roman" w:cs="Times New Roman"/>
        </w:rPr>
        <w:t xml:space="preserve"> </w:t>
      </w:r>
      <w:r w:rsidRPr="00B75D90">
        <w:rPr>
          <w:rFonts w:ascii="Times New Roman" w:eastAsia="SimSun" w:hAnsi="Times New Roman" w:cs="Times New Roman"/>
          <w:i/>
        </w:rPr>
        <w:t>Ph+ ŪLL</w:t>
      </w:r>
      <w:r w:rsidRPr="00B75D90">
        <w:rPr>
          <w:rFonts w:ascii="Times New Roman" w:eastAsia="SimSun" w:hAnsi="Times New Roman" w:cs="Times New Roman"/>
        </w:rPr>
        <w:t>. 53 pacientams iš 411, kuriuos buvo galima vertinti dėl atsako, sergantiems recidyvuojančia ar refrakterine Ph+ ŪLL, vartojusiems vien tik imatinibą, hematologinio atsako dažnis buvo 30 % (visiško – 9 %), o didžiojo citogenetinio atsako dažnis buvo 23 %. Reikia pažymėti, kad 353 pacientai iš 411 dalyvavo išplėstinėje gydymo programoje ir nebuvo renkami pirminiai jų atsako duomenys. Laiko iki progresavimo mediana bendrojoje 411 pacientų, kuriems buvo recidyvavusi ar refrakterinė Ph+ ŪLL, populiacijoje buvo nuo 2,6 iki 3,1 mėnesių, o 401 paciento, kuriuos buvo galima įvertinti, gyvenimo trukmės mediana buvo nuo 4,9 iki 9 mėnesių. Duomenys buvo panašūs, kai analizė buvo pakartota įtraukiant tik 55 metų amžiaus ar vyresnius pacientus.</w:t>
      </w:r>
    </w:p>
    <w:p w:rsidR="00B75D90" w:rsidRPr="00B75D90" w:rsidRDefault="00B75D90" w:rsidP="00B75D90">
      <w:pPr>
        <w:widowControl w:val="0"/>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Klinikiniai MDS ir MPL tyrimai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Šių ligų gydymo imatinibu patirtis yra labai ribota ir remiasi hematologinio ir citogenetinio atsako dažniais. Kontroliuotų klinikinių tyrimų, rodančių klinikinį pranašumą arba padidėjusį išgyvenamumą, neatlikta. Viename atvirame, daugiacentriame, II fazės klinikiniame tyrime (tyrimas B2225) buvo tiriamas imatinibo efektyvumas įvairioms pacientų, sergančių gyvybei pavojingomis ligomis, susijusiomis su Abl, Kit ar PDGFR baltymų tirozinkinazėmis, grupėms. Tyrime dalyvavo 7 pacientai, sergantys MDS ar MPL, kurie buvo gydomi imatinibu 400 mg per parą doze. Trys pacientai pasiekė visišką hematologinį atsaką (VHA) ir vienas – dalinį hematologinį atsaką (DHA). Pradinio tyrimo metu trims iš keturių pacientų su nustatytais PDGFR genų pakitimais pasireiškė hematologinis atsakas (2 VHA ir 1 DHA). Šių pacientų amžius svyravo nuo 20 iki 72 metų.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Times New Roman" w:hAnsi="Times New Roman" w:cs="Times New Roman"/>
          <w:lang w:val="cs-CZ"/>
        </w:rPr>
      </w:pPr>
      <w:r w:rsidRPr="00B75D90">
        <w:rPr>
          <w:rFonts w:ascii="Times New Roman" w:eastAsia="Times New Roman" w:hAnsi="Times New Roman" w:cs="Times New Roman"/>
          <w:lang w:val="cs-CZ"/>
        </w:rPr>
        <w:t xml:space="preserve">Duomenų stebėjimo registro (L2401 tyrimo) pildymo metu buvo renkami ilgalaikio imatinibo saugumo ir veiksmingumo duomenys pacientams, kuriems nustatyta mieloproliferacinių navikų ir PDGFR- β geno pakitimų bei kuriems buvo skiriamas gydymas imatinibu. Į šį registrą buvo įtraukti 23 pacientai, ir jiems skirtos imatinibo paros dozės mediana buvo 264 mg (svyravo nuo 100 mg iki 400 </w:t>
      </w:r>
      <w:r w:rsidRPr="00B75D90">
        <w:rPr>
          <w:rFonts w:ascii="Times New Roman" w:eastAsia="Times New Roman" w:hAnsi="Times New Roman" w:cs="Times New Roman"/>
          <w:lang w:val="cs-CZ"/>
        </w:rPr>
        <w:lastRenderedPageBreak/>
        <w:t>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(87 %) pacientų, CCyR atsakas pasiektas 9 iš 23 (39,1 %) pacientų, o molekulinis atsakas – 11 iš 23 (47,8 %) pacientų. Kai atsako dažnis buvo apskaičiuotas tiems pacientams, kuriems buvo žinomas bent vienas pagrįstas įvertinimas, VHA, CCyR ir molekulinio atsakų dažniai, atitinkamai, buvo 20 iš 22 (90,9 %), 9 iš 9 (100 %) ir 11 iš 17 (64,7 %).</w:t>
      </w:r>
    </w:p>
    <w:p w:rsidR="00B75D90" w:rsidRPr="00B75D90" w:rsidRDefault="00B75D90" w:rsidP="00B75D90">
      <w:pPr>
        <w:widowControl w:val="0"/>
        <w:spacing w:after="0" w:line="240" w:lineRule="auto"/>
        <w:rPr>
          <w:rFonts w:ascii="Times New Roman" w:eastAsia="SimSun" w:hAnsi="Times New Roman" w:cs="Times New Roman"/>
          <w:lang w:val="cs-CZ"/>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Be to, kiti 24 pacientai, sergantys MDS ar MPL, buvo aprašyti 13 straipsnių. 21 pacientas buvo gydomas imatinibo 400 mg doze, kiti 3 pacientai gavo mažesnes dozes. Vienuolikai pacientų buvo nustatyti PDGF genų pakitimai, 9 iš jų pasiekė VHA ir 1 DHA. Šių pacientų amžius svyravo nuo 2 iki 79 metų. Remiantis atnaujinta informacija apie 6 iš 11 pacientų nesename straipsnyje, paaiškėjo, jog jiems visiems citogenetinė remisija išliko (trukmė 32-38 mėnesiai). Tame pačiame straipsnyje aprašomi 12 pacientų, sergančių MDS ir MPL su PDGFR genų pakitimais (5 pacientai iš B2225 tyrimo) ilgalaikio stebėjimo duomenys. Šie pacientai gavo imatinibo vidutiniškai 47 mėnesius (ribos 24 dienos – 60 mėnesių). 6 iš šių pacientų dabar stebimi ilgiau kaip 4 metus. Vienuolika pacientų pasiekė greitą VHA, dešimčiai visiškai išnyko citogenetiniai pokyčiai ir patikrinus RT-PGR, sumažėjo arba išnyko susijungusių transkriptų. Hematologinis ir citogenetinis atsakai buvo atitinkamai pastovūs vidutiniškai 49 mėnesius (ribos 19-60) ir 47 mėnesius (ribos 16-59). Patvirtinus diagnozę, bendras išgyvenamumas yra 65 mėnesiai (ribos 25-234). Imatinibo paskyrimas pacientams be genetinių translokacijų bendrai pagerėjimo nesukėlė.</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Kontroliuojamųjų klinikinių tyrimų su MDS ir MPL sergančiais vaikais neatlikta. 4 paskelbtuose straipsniuose aprašyti penki (5 pacientai, sirgę su PDGFR genų pakitimais susijusiomis MDS ir MPL. Šių pacientų amžius svyravo nuo 3 mėnesių iki 4 metų, jiems buvo skiriama 50 mg imatinibo paros dozė arba 92,5</w:t>
      </w:r>
      <w:r w:rsidRPr="00B75D90">
        <w:rPr>
          <w:rFonts w:ascii="Times New Roman" w:eastAsia="SimSun" w:hAnsi="Times New Roman" w:cs="Times New Roman"/>
          <w:color w:val="000000"/>
          <w:lang w:val="sl-SI"/>
        </w:rPr>
        <w:noBreakHyphen/>
        <w:t>340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kūno paviršiaus ploto paros dozė. Visiems pacientams pasireiškė visiškas hematologinis atsakas, citogenetinis atsakas ir (arba) klinikinis atsakas.</w:t>
      </w:r>
    </w:p>
    <w:p w:rsidR="00B75D90" w:rsidRPr="00B75D90" w:rsidRDefault="00B75D90" w:rsidP="00B75D90">
      <w:pPr>
        <w:widowControl w:val="0"/>
        <w:spacing w:after="0" w:line="240" w:lineRule="auto"/>
        <w:rPr>
          <w:rFonts w:ascii="Times New Roman" w:eastAsia="SimSun" w:hAnsi="Times New Roman" w:cs="Times New Roman"/>
          <w:u w:val="single"/>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Klinikiniai HES ir LEL tyrimai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Viename atvirame, daugiacentriame, II fazės klinikiniame tyrime (tyrimas B2225) buvo tiriamas imatinibo efektyvumas įvairioms pacientų, sergančių gyvybei pavojingomis ligomis, susijusiomis su Abl, Kit ar PDGFR baltymų tirozinkinazėmis, grupėms. Šio tyrimo metu 14 pacientų, sergantys HES ar LEL, buvo gydomi imatinibu 100 mg – 1 000 mg dozėmis per parą. Kiti 162 pacientai, sergantys HES ar LEL ir aprašyti 35 atvejų pranešimuose ir atvejų serijose, gavo 75 mg – 800 mg imatinibo per parą. 117 iš bendros 176 pacientų populiacijos buvo nustatyti citogenetiniai pokyčiai. 61 iš 117 šių pacientų nustatyta FIP1L1-PDGFRα lydima kinazė. Be to, keturiems HES sergantiems pacientams buvo nustatyta teigiama FIP1L1-PDGFRα lydima kinazė kituose 3 aprašytuose atvejuose. Visi 65 pacientai su teigiama FIP1L1-PDGFRα lydima kinaze pasiekė pastovų VHA mėnesiams (nuo 1+ iki 44+ mėnesių, tikrinta pranešimo metu). Kaip pranešama naujame straipsnyje, 21 iš šių 65 pacientų taip pat pasiekė visišką molekulinę remisiją vidutiniškai stebint 28 mėnesius (13-67 mėnesius). Šių pacientų amžius svyravo nuo 25 iki 72 metų. Tyrėjų atvejų pranešimuose papildomai buvo pranešta apie simptomų ir kitus organų funkcijų sutrikimų pagerėjimus. Pagerėjimai buvo nustatyti širdies, nervų, odos, poodinio audinio, kvėpavimo, krūtinės, tarpuplaučio, griaučių, raumenų, jungiamojo audinio, kraujagyslių ir virškinimo trakto organų sistemose.</w:t>
      </w:r>
    </w:p>
    <w:p w:rsidR="00B75D90" w:rsidRPr="00B75D90" w:rsidRDefault="00B75D90" w:rsidP="00B75D90">
      <w:pPr>
        <w:widowControl w:val="0"/>
        <w:spacing w:after="0" w:line="240" w:lineRule="auto"/>
        <w:rPr>
          <w:rFonts w:ascii="Times New Roman" w:eastAsia="SimSun" w:hAnsi="Times New Roman" w:cs="Times New Roman"/>
          <w:highlight w:val="yellow"/>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Kontroliuojamųjų klinikinių tyrimų su HES ir LEL sergančiais vaikais neatlikta. 3 paskelbtuose straipsniuose aprašyti trys (3 pacientai, sirgę su PDGFR genų pakitimais susijusiais HES ir LEL. Šių pacientų amžius svyravo nuo 2 metų iki 16 metų, jiems buvo skiriama 300 mg/m</w:t>
      </w:r>
      <w:r w:rsidRPr="00B75D90">
        <w:rPr>
          <w:rFonts w:ascii="Times New Roman" w:eastAsia="SimSun" w:hAnsi="Times New Roman" w:cs="Times New Roman"/>
          <w:color w:val="000000"/>
          <w:vertAlign w:val="superscript"/>
          <w:lang w:val="sl-SI"/>
        </w:rPr>
        <w:t>2</w:t>
      </w:r>
      <w:r w:rsidRPr="00B75D90">
        <w:rPr>
          <w:rFonts w:ascii="Times New Roman" w:eastAsia="SimSun" w:hAnsi="Times New Roman" w:cs="Times New Roman"/>
          <w:color w:val="000000"/>
          <w:lang w:val="sl-SI"/>
        </w:rPr>
        <w:t xml:space="preserve"> kūno paviršiaus ploto imatinibo paros dozė arba 200</w:t>
      </w:r>
      <w:r w:rsidRPr="00B75D90">
        <w:rPr>
          <w:rFonts w:ascii="Times New Roman" w:eastAsia="SimSun" w:hAnsi="Times New Roman" w:cs="Times New Roman"/>
          <w:color w:val="000000"/>
          <w:lang w:val="sl-SI"/>
        </w:rPr>
        <w:noBreakHyphen/>
        <w:t>400 mg paros dozė. Visiems pacientams pasireiškė visiškas hematologinis atsakas, visiškas citogenetinis atsakas ir (arba) visiškas molekulinis atsakas.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Klinikiniai pacientų, kuriems buvo nerezekuotinas ir (ar) metastazavęs VTSN, tyrimai. Vienas II fazės atviras, randomizuotas, nekontroliuojamas tarptautinis tyrimas buvo atliktas su pacientais, kuriems buvo nerezekuotinas ar metastazavęs piktybinis virškinimo trakto stromos navikas (VTSN). Šiame </w:t>
      </w:r>
      <w:r w:rsidRPr="00B75D90">
        <w:rPr>
          <w:rFonts w:ascii="Times New Roman" w:eastAsia="SimSun" w:hAnsi="Times New Roman" w:cs="Times New Roman"/>
        </w:rPr>
        <w:lastRenderedPageBreak/>
        <w:t>tyrime dalyvavo 147 pacientai, kurie buvo atsitiktinai suskirstyti gerti po 400 mg arba po 600 mg vieną kartą per parą iki 36 mėn. Šių pacientų amžius buvo nuo 18 iki 83 metų, jiems buvo nustatyta patologinė Kiti+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w:t>
      </w:r>
    </w:p>
    <w:p w:rsidR="00B75D90" w:rsidRPr="00B75D90" w:rsidRDefault="00B75D90" w:rsidP="00B75D90">
      <w:pPr>
        <w:widowControl w:val="0"/>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Svarbiausias veiksmingumo įrodymas – objektyvus atsako dažnis. Buvo reikalaujama naviką išmatuoti bent vienoje vietoje. Atsakas apibūdintas pagal Southwestern Oncology Group (SWOG) kriterijus. Duomenys pateikti 5 lentelėje.</w:t>
      </w: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5 lentelė Geriausias naviko atsakas STIB2222 (VTSN) tyrimo metu</w:t>
      </w:r>
    </w:p>
    <w:p w:rsidR="00B75D90" w:rsidRPr="00B75D90" w:rsidRDefault="00B75D90" w:rsidP="00B75D90">
      <w:pPr>
        <w:widowControl w:val="0"/>
        <w:spacing w:after="0" w:line="240" w:lineRule="auto"/>
        <w:rPr>
          <w:rFonts w:ascii="Times New Roman" w:eastAsia="SimSun" w:hAnsi="Times New Roman" w:cs="Times New Roman"/>
          <w:b/>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4544"/>
        <w:gridCol w:w="4527"/>
      </w:tblGrid>
      <w:tr w:rsidR="00B75D90" w:rsidRPr="00B75D90" w:rsidTr="00533723">
        <w:tc>
          <w:tcPr>
            <w:tcW w:w="4643" w:type="dxa"/>
          </w:tcPr>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Geriausias atsakas</w:t>
            </w:r>
          </w:p>
        </w:tc>
        <w:tc>
          <w:tcPr>
            <w:tcW w:w="4643" w:type="dxa"/>
          </w:tcPr>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Visos dozės (n=147)</w:t>
            </w: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400 mg (n=73)</w:t>
            </w: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600 mg (n=74)</w:t>
            </w: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n (%)</w:t>
            </w:r>
          </w:p>
        </w:tc>
      </w:tr>
      <w:tr w:rsidR="00B75D90" w:rsidRPr="00B75D90" w:rsidTr="00533723">
        <w:tc>
          <w:tcPr>
            <w:tcW w:w="4643"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Visiškas atsakas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Dalinis atsakas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Stabili liga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Progresuojanti liga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Neįvertinama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Nežinoma</w:t>
            </w:r>
          </w:p>
        </w:tc>
        <w:tc>
          <w:tcPr>
            <w:tcW w:w="4643" w:type="dxa"/>
          </w:tcPr>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1 (0,7)</w:t>
            </w: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98 (66,7)</w:t>
            </w: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23 (15,6)</w:t>
            </w: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18 (12,2)</w:t>
            </w: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5 (3,4)</w:t>
            </w: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2 (1,4)</w:t>
            </w:r>
          </w:p>
        </w:tc>
      </w:tr>
    </w:tbl>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rsidR="00B75D90" w:rsidRPr="00B75D90" w:rsidRDefault="00B75D90" w:rsidP="00B75D90">
      <w:pPr>
        <w:widowControl w:val="0"/>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Dviejų klinikinių tyrimų metu (tyrimas B2222 ir tarpgrupinis tyrimas S0033) imatinibo paros dozė buvo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imatinibo saugumo rodiklių, atrodo, nepaveikė.</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Klinikiniai adjuvantinio VTSN gydymo tyrimai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Pagalbiniam VTSN gydymui naudojamas imatinibas buvo tirtas daugiacentrio, dvigubai aklo, ilgalaikio gydymo, placebu kontroliuojamo III fazės klinikinio tyrimo (Z9001), kuriame dalyvavo 773 pacientai, metu. Šie pacientai buvo 18–91 metų amžiaus. Į tyrimą buvo įtraukti pacientai, kuriems histologiškai buvo patvirtinta pirminio VTSN su imunocheminiu būdu nustatyta Kit baltymo ekspresija diagnozė ir kurių naviko didžiausias matmuo buvo ≥ 3 cm bei kuriems prieš 14-70 dienų iki įtraukimo į tyrimą buvo atlikta radikali pirminio VTSN rezekcija. Po pirminio VTSN rezekcijos pacientai atsitiktiniu būdu buvo suskirstyti į dvi gydymo grupes: imatinibo 400 mg per parą arba placebo grupes (gydymas buvo skiriamas vienerius metus).</w:t>
      </w:r>
    </w:p>
    <w:p w:rsidR="00B75D90" w:rsidRPr="00B75D90" w:rsidRDefault="00B75D90" w:rsidP="00B75D90">
      <w:pPr>
        <w:widowControl w:val="0"/>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Pirminė vertinamoji klinikinio tyrimo baigtis buvo išgyvenamumas be ligos recidyvo (angl. recurrence-free survival – RFS), nustatomas kaip laikas nuo randomizacijos dienos iki recidyvo pasireiškimo dienos arba mirties dėl bet kokios priežasties.</w:t>
      </w:r>
    </w:p>
    <w:p w:rsidR="00B75D90" w:rsidRPr="00B75D90" w:rsidRDefault="00B75D90" w:rsidP="00B75D90">
      <w:pPr>
        <w:widowControl w:val="0"/>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Imatinibas reikšmingai pailgino RFS rodiklį 75 % pacientų, kuriems nepasireiškė ligos recidyvas 38 mėnesius, lyginant su 20 mėnesių laikotarpiu placebo grupėje (95 % PI, [30 - nevertintinas]; [14 - nevertintinas], atitinkamai); (rizikos santykis = 0,398 [0,259-0,610], p&lt;0,0001). Vertinant po vienerių </w:t>
      </w:r>
      <w:r w:rsidRPr="00B75D90">
        <w:rPr>
          <w:rFonts w:ascii="Times New Roman" w:eastAsia="SimSun" w:hAnsi="Times New Roman" w:cs="Times New Roman"/>
        </w:rPr>
        <w:lastRenderedPageBreak/>
        <w:t>gydymo metų, bendrojo RFS rodiklis imatinibo grupėje buvo reikšmingai geresnis, lyginant su placebo grupe (atitinkamai 97,7 % ir 82,3 %; p&lt;0,0001). Taigi, ligos recidyvo atsiradimo rizika buvo sumažinta apytiksliai 89 %, lyginant su placebu (rizikos santykis = 0,113 [0,049-0,264]).</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intention-to-treat – ITT) populiacijos asmenų. Remiantis Jungtinių valstijų sveikatos nacionalinio instituto (angl. United States National Institutes of Health - NIH) ir Ginkluotųjų pajėgų patologijos instituto (angl. Armed Forces Institute of Pathology – AFIP) sudaryta rizikos klasifikacija, pacientų pogrupių analizės rezultatai pateikti 6 lentelėje. Žemos ir labai žemos rizikos grupėje vaistinio preparato naudos nepastebėta. Bendram išgyvenamumui naudos nepastebėta.</w:t>
      </w:r>
    </w:p>
    <w:p w:rsidR="00B75D90" w:rsidRPr="00B75D90" w:rsidRDefault="00B75D90" w:rsidP="00B75D90">
      <w:pPr>
        <w:widowControl w:val="0"/>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6 lentelė Z9001 klinikinio tyrimo RFS analizės pagal NIH ir AFIP rizikos klasifikacijas</w:t>
      </w: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Santrauka</w:t>
      </w:r>
    </w:p>
    <w:p w:rsidR="00B75D90" w:rsidRPr="00B75D90" w:rsidRDefault="00B75D90" w:rsidP="00B75D90">
      <w:pPr>
        <w:widowControl w:val="0"/>
        <w:spacing w:after="0" w:line="240" w:lineRule="auto"/>
        <w:rPr>
          <w:rFonts w:ascii="Times New Roman" w:eastAsia="SimSu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418"/>
        <w:gridCol w:w="850"/>
        <w:gridCol w:w="1701"/>
        <w:gridCol w:w="1942"/>
        <w:gridCol w:w="1231"/>
        <w:gridCol w:w="1327"/>
      </w:tblGrid>
      <w:tr w:rsidR="00B75D90" w:rsidRPr="00B75D90" w:rsidTr="00533723">
        <w:trPr>
          <w:trHeight w:val="160"/>
        </w:trPr>
        <w:tc>
          <w:tcPr>
            <w:tcW w:w="817" w:type="dxa"/>
            <w:vMerge w:val="restart"/>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Rizikos kriterijai</w:t>
            </w:r>
          </w:p>
        </w:tc>
        <w:tc>
          <w:tcPr>
            <w:tcW w:w="1418" w:type="dxa"/>
            <w:vMerge w:val="restart"/>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Rizikos lygis</w:t>
            </w:r>
          </w:p>
        </w:tc>
        <w:tc>
          <w:tcPr>
            <w:tcW w:w="850" w:type="dxa"/>
            <w:vMerge w:val="restart"/>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Pacientų skaičius</w:t>
            </w:r>
            <w:r w:rsidRPr="00B75D90">
              <w:rPr>
                <w:rFonts w:ascii="Times New Roman" w:eastAsia="SimSun" w:hAnsi="Times New Roman" w:cs="Times New Roman"/>
              </w:rPr>
              <w:t xml:space="preserve"> </w:t>
            </w:r>
            <w:r w:rsidRPr="00B75D90">
              <w:rPr>
                <w:rFonts w:ascii="Times New Roman" w:eastAsia="SimSun" w:hAnsi="Times New Roman" w:cs="Times New Roman"/>
                <w:b/>
              </w:rPr>
              <w:t>%</w:t>
            </w:r>
          </w:p>
        </w:tc>
        <w:tc>
          <w:tcPr>
            <w:tcW w:w="1701" w:type="dxa"/>
            <w:vMerge w:val="restart"/>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Atvejų skaičius/</w:t>
            </w: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Pacientų skaičius</w:t>
            </w:r>
          </w:p>
        </w:tc>
        <w:tc>
          <w:tcPr>
            <w:tcW w:w="1942" w:type="dxa"/>
            <w:vMerge w:val="restart"/>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Bendrasis rizikos santykis (95 % PI)</w:t>
            </w:r>
            <w:r w:rsidRPr="00B75D90">
              <w:rPr>
                <w:rFonts w:ascii="Times New Roman" w:eastAsia="SimSun" w:hAnsi="Times New Roman" w:cs="Times New Roman"/>
              </w:rPr>
              <w:t xml:space="preserve"> </w:t>
            </w:r>
            <w:r w:rsidRPr="00B75D90">
              <w:rPr>
                <w:rFonts w:ascii="Times New Roman" w:eastAsia="SimSun" w:hAnsi="Times New Roman" w:cs="Times New Roman"/>
                <w:b/>
              </w:rPr>
              <w:t>*</w:t>
            </w:r>
          </w:p>
        </w:tc>
        <w:tc>
          <w:tcPr>
            <w:tcW w:w="2558" w:type="dxa"/>
            <w:gridSpan w:val="2"/>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RFS dažnis (%)</w:t>
            </w:r>
          </w:p>
        </w:tc>
      </w:tr>
      <w:tr w:rsidR="00B75D90" w:rsidRPr="00B75D90" w:rsidTr="00533723">
        <w:trPr>
          <w:trHeight w:val="475"/>
        </w:trPr>
        <w:tc>
          <w:tcPr>
            <w:tcW w:w="817" w:type="dxa"/>
            <w:vMerge/>
          </w:tcPr>
          <w:p w:rsidR="00B75D90" w:rsidRPr="00B75D90" w:rsidRDefault="00B75D90" w:rsidP="00B75D90">
            <w:pPr>
              <w:widowControl w:val="0"/>
              <w:spacing w:after="0" w:line="240" w:lineRule="auto"/>
              <w:rPr>
                <w:rFonts w:ascii="Times New Roman" w:eastAsia="SimSun" w:hAnsi="Times New Roman" w:cs="Times New Roman"/>
                <w:b/>
              </w:rPr>
            </w:pPr>
          </w:p>
        </w:tc>
        <w:tc>
          <w:tcPr>
            <w:tcW w:w="1418" w:type="dxa"/>
            <w:vMerge/>
          </w:tcPr>
          <w:p w:rsidR="00B75D90" w:rsidRPr="00B75D90" w:rsidRDefault="00B75D90" w:rsidP="00B75D90">
            <w:pPr>
              <w:widowControl w:val="0"/>
              <w:spacing w:after="0" w:line="240" w:lineRule="auto"/>
              <w:rPr>
                <w:rFonts w:ascii="Times New Roman" w:eastAsia="SimSun" w:hAnsi="Times New Roman" w:cs="Times New Roman"/>
                <w:b/>
              </w:rPr>
            </w:pPr>
          </w:p>
        </w:tc>
        <w:tc>
          <w:tcPr>
            <w:tcW w:w="850" w:type="dxa"/>
            <w:vMerge/>
          </w:tcPr>
          <w:p w:rsidR="00B75D90" w:rsidRPr="00B75D90" w:rsidRDefault="00B75D90" w:rsidP="00B75D90">
            <w:pPr>
              <w:widowControl w:val="0"/>
              <w:spacing w:after="0" w:line="240" w:lineRule="auto"/>
              <w:rPr>
                <w:rFonts w:ascii="Times New Roman" w:eastAsia="SimSun" w:hAnsi="Times New Roman" w:cs="Times New Roman"/>
                <w:b/>
              </w:rPr>
            </w:pPr>
          </w:p>
        </w:tc>
        <w:tc>
          <w:tcPr>
            <w:tcW w:w="1701" w:type="dxa"/>
            <w:vMerge/>
          </w:tcPr>
          <w:p w:rsidR="00B75D90" w:rsidRPr="00B75D90" w:rsidRDefault="00B75D90" w:rsidP="00B75D90">
            <w:pPr>
              <w:widowControl w:val="0"/>
              <w:spacing w:after="0" w:line="240" w:lineRule="auto"/>
              <w:rPr>
                <w:rFonts w:ascii="Times New Roman" w:eastAsia="SimSun" w:hAnsi="Times New Roman" w:cs="Times New Roman"/>
                <w:b/>
              </w:rPr>
            </w:pPr>
          </w:p>
        </w:tc>
        <w:tc>
          <w:tcPr>
            <w:tcW w:w="1942" w:type="dxa"/>
            <w:vMerge/>
          </w:tcPr>
          <w:p w:rsidR="00B75D90" w:rsidRPr="00B75D90" w:rsidRDefault="00B75D90" w:rsidP="00B75D90">
            <w:pPr>
              <w:widowControl w:val="0"/>
              <w:spacing w:after="0" w:line="240" w:lineRule="auto"/>
              <w:rPr>
                <w:rFonts w:ascii="Times New Roman" w:eastAsia="SimSun" w:hAnsi="Times New Roman" w:cs="Times New Roman"/>
                <w:b/>
              </w:rPr>
            </w:pPr>
          </w:p>
        </w:tc>
        <w:tc>
          <w:tcPr>
            <w:tcW w:w="1231"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12 mėn.</w:t>
            </w:r>
          </w:p>
        </w:tc>
        <w:tc>
          <w:tcPr>
            <w:tcW w:w="1327"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24 mėn.</w:t>
            </w:r>
          </w:p>
        </w:tc>
      </w:tr>
      <w:tr w:rsidR="00B75D90" w:rsidRPr="00B75D90" w:rsidTr="00533723">
        <w:trPr>
          <w:trHeight w:val="200"/>
        </w:trPr>
        <w:tc>
          <w:tcPr>
            <w:tcW w:w="817" w:type="dxa"/>
            <w:vMerge/>
          </w:tcPr>
          <w:p w:rsidR="00B75D90" w:rsidRPr="00B75D90" w:rsidRDefault="00B75D90" w:rsidP="00B75D90">
            <w:pPr>
              <w:widowControl w:val="0"/>
              <w:spacing w:after="0" w:line="240" w:lineRule="auto"/>
              <w:rPr>
                <w:rFonts w:ascii="Times New Roman" w:eastAsia="SimSun" w:hAnsi="Times New Roman" w:cs="Times New Roman"/>
                <w:b/>
              </w:rPr>
            </w:pPr>
          </w:p>
        </w:tc>
        <w:tc>
          <w:tcPr>
            <w:tcW w:w="1418" w:type="dxa"/>
            <w:vMerge/>
          </w:tcPr>
          <w:p w:rsidR="00B75D90" w:rsidRPr="00B75D90" w:rsidRDefault="00B75D90" w:rsidP="00B75D90">
            <w:pPr>
              <w:widowControl w:val="0"/>
              <w:spacing w:after="0" w:line="240" w:lineRule="auto"/>
              <w:rPr>
                <w:rFonts w:ascii="Times New Roman" w:eastAsia="SimSun" w:hAnsi="Times New Roman" w:cs="Times New Roman"/>
                <w:b/>
              </w:rPr>
            </w:pPr>
          </w:p>
        </w:tc>
        <w:tc>
          <w:tcPr>
            <w:tcW w:w="850" w:type="dxa"/>
            <w:vMerge/>
          </w:tcPr>
          <w:p w:rsidR="00B75D90" w:rsidRPr="00B75D90" w:rsidRDefault="00B75D90" w:rsidP="00B75D90">
            <w:pPr>
              <w:widowControl w:val="0"/>
              <w:spacing w:after="0" w:line="240" w:lineRule="auto"/>
              <w:rPr>
                <w:rFonts w:ascii="Times New Roman" w:eastAsia="SimSun" w:hAnsi="Times New Roman" w:cs="Times New Roman"/>
                <w:b/>
              </w:rPr>
            </w:pPr>
          </w:p>
        </w:tc>
        <w:tc>
          <w:tcPr>
            <w:tcW w:w="1701"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Imatinibas lyginant su placebu</w:t>
            </w:r>
          </w:p>
        </w:tc>
        <w:tc>
          <w:tcPr>
            <w:tcW w:w="1942" w:type="dxa"/>
            <w:vMerge/>
          </w:tcPr>
          <w:p w:rsidR="00B75D90" w:rsidRPr="00B75D90" w:rsidRDefault="00B75D90" w:rsidP="00B75D90">
            <w:pPr>
              <w:widowControl w:val="0"/>
              <w:spacing w:after="0" w:line="240" w:lineRule="auto"/>
              <w:rPr>
                <w:rFonts w:ascii="Times New Roman" w:eastAsia="SimSun" w:hAnsi="Times New Roman" w:cs="Times New Roman"/>
                <w:b/>
              </w:rPr>
            </w:pPr>
          </w:p>
        </w:tc>
        <w:tc>
          <w:tcPr>
            <w:tcW w:w="1231"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Imatinibas lyginant su placebu</w:t>
            </w:r>
          </w:p>
        </w:tc>
        <w:tc>
          <w:tcPr>
            <w:tcW w:w="1327"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Imatinibas lyginant su placebu</w:t>
            </w:r>
          </w:p>
        </w:tc>
      </w:tr>
      <w:tr w:rsidR="00B75D90" w:rsidRPr="00B75D90" w:rsidTr="00533723">
        <w:tc>
          <w:tcPr>
            <w:tcW w:w="817"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NIH</w:t>
            </w:r>
          </w:p>
        </w:tc>
        <w:tc>
          <w:tcPr>
            <w:tcW w:w="1418"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Maža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Vidutinė</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Didelė</w:t>
            </w:r>
          </w:p>
        </w:tc>
        <w:tc>
          <w:tcPr>
            <w:tcW w:w="85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29,5</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25,7</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44,8</w:t>
            </w:r>
          </w:p>
        </w:tc>
        <w:tc>
          <w:tcPr>
            <w:tcW w:w="1701"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0/86 ir 2/90</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4/75 ir 6/78</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21/140 ir 51/127</w:t>
            </w:r>
          </w:p>
        </w:tc>
        <w:tc>
          <w:tcPr>
            <w:tcW w:w="194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N.R.</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0,59 (0,17; 2,10)</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0,29 (0,18; 0,49)</w:t>
            </w:r>
          </w:p>
        </w:tc>
        <w:tc>
          <w:tcPr>
            <w:tcW w:w="1231"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100 ir 98,7</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100 ir 94,8</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94,8 ir 64,0</w:t>
            </w:r>
          </w:p>
        </w:tc>
        <w:tc>
          <w:tcPr>
            <w:tcW w:w="1327"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100 ir 95,5</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97,8 ir 89,5</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80,7 ir 46,6</w:t>
            </w:r>
          </w:p>
        </w:tc>
      </w:tr>
      <w:tr w:rsidR="00B75D90" w:rsidRPr="00B75D90" w:rsidTr="00533723">
        <w:tc>
          <w:tcPr>
            <w:tcW w:w="817"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AFIP</w:t>
            </w:r>
          </w:p>
        </w:tc>
        <w:tc>
          <w:tcPr>
            <w:tcW w:w="1418"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Labai maža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Maža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Vidutinė</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Didelė</w:t>
            </w:r>
          </w:p>
        </w:tc>
        <w:tc>
          <w:tcPr>
            <w:tcW w:w="850"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20,7</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25,0</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24,6</w:t>
            </w:r>
          </w:p>
        </w:tc>
        <w:tc>
          <w:tcPr>
            <w:tcW w:w="1701"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0/52 ir 2/63</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2/70 ir 0/69</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2/70 ir 11/67</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16/84 ir 39/81</w:t>
            </w:r>
          </w:p>
        </w:tc>
        <w:tc>
          <w:tcPr>
            <w:tcW w:w="1942"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N.R.</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N.R.</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0,16 (0,03; 0,70)</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0,27 (0,15; 0,48)</w:t>
            </w:r>
          </w:p>
        </w:tc>
        <w:tc>
          <w:tcPr>
            <w:tcW w:w="1231"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100 ir 98,1</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100 ir 100</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97,9 ir 90,8</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98,7 ir 56,1</w:t>
            </w:r>
          </w:p>
        </w:tc>
        <w:tc>
          <w:tcPr>
            <w:tcW w:w="1327"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100 ir 93,0</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97,8 ir 100</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97,9 ir 73,3</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79,9 ir 41,5</w:t>
            </w:r>
          </w:p>
        </w:tc>
      </w:tr>
    </w:tbl>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*Visas stebėjimo laikotarpis; NR – Nenustatytas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Atlikto antrojo daugiacentrio atvirojo III fazės tyrimo (SSG XVIII/AIO) metu buvo lyginamas VTSN sergančių pacientų po chirurginės naviko rezekcijos 12 mėnesių trukmės gydymas su 36 mėnesių trukmės gydymu 400 mg imatinibo 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Pirminė tyrimo vertinamoji baigtis buvo išgyvenamumas be ligos recidyvo (angl. recurrence-free survival – RFS), nustatomas kaip laikas nuo randomizacijos dienos iki recidyvo pasireiškimo dienos arba mirties dėl bet kokios priežasties.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Trisdešimt šešių (36) mėnesių trukmės gydymas imatinibu reikšmingai pailgino RFS rodiklį, lyginant su 12 mėnesių trukmės gydymu imatinibu (bendrasis rizikos santykis (RS) lygus 0,46 [0,32, 0,65], p&lt;0,0001) (žr. 7 lentelę, 1 pav.).</w:t>
      </w:r>
    </w:p>
    <w:p w:rsidR="00B75D90" w:rsidRPr="00B75D90" w:rsidRDefault="00B75D90" w:rsidP="00B75D90">
      <w:pPr>
        <w:widowControl w:val="0"/>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Be to, trisdešimt šešių (36) mėnesių trukmės gydymas imatinibu reikšmingai pailgino bendrojo išgyvenamumo rodiklį, lyginant su 12 mėnesių trukmės gydymu imatinibu (RS = 0,45 [0,22, 0,89], p=0,0187) (žr. 7 lentelę, 2 pav.).</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Ilgesnė gydymo trukmė (&gt; 36 mėnesių) gali atitolinti kitų recidyvų pasireiškimo pradžią, tačiau šių duomenų reikšmė bendrajam išgyvenamumui iki šiol nežinoma.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12 mėnesių trukmės ir 36 mėnesių trukmės gydymo grupėse bendrasis mirčių atvejų skaičius buvo, atitinkamai, 25 ir 12.</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vaistinio preparato poveikį pacientų, kuriems nustatytos kitos retesnės mutacijos, pogrupiams.</w:t>
      </w:r>
    </w:p>
    <w:p w:rsidR="00B75D90" w:rsidRPr="00B75D90" w:rsidRDefault="00B75D90" w:rsidP="00B75D90">
      <w:pPr>
        <w:widowControl w:val="0"/>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7 lentelė 12 mėnesių ir 36 mėnesių trukmės gydymas imatinibu (SSGXVIII/AIO klinikinis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tyrimas)</w:t>
      </w:r>
    </w:p>
    <w:p w:rsidR="00B75D90" w:rsidRPr="00B75D90" w:rsidRDefault="00B75D90" w:rsidP="00B75D90">
      <w:pPr>
        <w:widowControl w:val="0"/>
        <w:spacing w:after="0" w:line="240" w:lineRule="auto"/>
        <w:rPr>
          <w:rFonts w:ascii="Times New Roman" w:eastAsia="SimSun" w:hAnsi="Times New Roman" w:cs="Times New Roman"/>
        </w:rPr>
      </w:pPr>
    </w:p>
    <w:tbl>
      <w:tblPr>
        <w:tblW w:w="0" w:type="auto"/>
        <w:tblBorders>
          <w:top w:val="single" w:sz="4" w:space="0" w:color="auto"/>
          <w:bottom w:val="single" w:sz="4" w:space="0" w:color="auto"/>
        </w:tblBorders>
        <w:tblLook w:val="00A0" w:firstRow="1" w:lastRow="0" w:firstColumn="1" w:lastColumn="0" w:noHBand="0" w:noVBand="0"/>
      </w:tblPr>
      <w:tblGrid>
        <w:gridCol w:w="3042"/>
        <w:gridCol w:w="3014"/>
        <w:gridCol w:w="3015"/>
      </w:tblGrid>
      <w:tr w:rsidR="00B75D90" w:rsidRPr="00B75D90" w:rsidTr="00533723">
        <w:tc>
          <w:tcPr>
            <w:tcW w:w="3095" w:type="dxa"/>
            <w:tcBorders>
              <w:top w:val="single" w:sz="4" w:space="0" w:color="auto"/>
            </w:tcBorders>
          </w:tcPr>
          <w:p w:rsidR="00B75D90" w:rsidRPr="00B75D90" w:rsidRDefault="00B75D90" w:rsidP="00B75D90">
            <w:pPr>
              <w:widowControl w:val="0"/>
              <w:spacing w:after="0" w:line="240" w:lineRule="auto"/>
              <w:rPr>
                <w:rFonts w:ascii="Times New Roman" w:eastAsia="SimSun" w:hAnsi="Times New Roman" w:cs="Times New Roman"/>
              </w:rPr>
            </w:pPr>
          </w:p>
        </w:tc>
        <w:tc>
          <w:tcPr>
            <w:tcW w:w="3095" w:type="dxa"/>
            <w:tcBorders>
              <w:top w:val="single" w:sz="4" w:space="0" w:color="auto"/>
            </w:tcBorders>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12 mėnesių trukmės gydymo</w:t>
            </w: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grupė</w:t>
            </w:r>
          </w:p>
        </w:tc>
        <w:tc>
          <w:tcPr>
            <w:tcW w:w="3096" w:type="dxa"/>
            <w:tcBorders>
              <w:top w:val="single" w:sz="4" w:space="0" w:color="auto"/>
            </w:tcBorders>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36 mėnesių trukmės gydymo</w:t>
            </w: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grupė</w:t>
            </w:r>
          </w:p>
        </w:tc>
      </w:tr>
      <w:tr w:rsidR="00B75D90" w:rsidRPr="00B75D90" w:rsidTr="00533723">
        <w:tc>
          <w:tcPr>
            <w:tcW w:w="3095"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RFS rodiklis</w:t>
            </w:r>
          </w:p>
        </w:tc>
        <w:tc>
          <w:tcPr>
            <w:tcW w:w="3095"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%(PI)</w:t>
            </w:r>
          </w:p>
        </w:tc>
        <w:tc>
          <w:tcPr>
            <w:tcW w:w="3096"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%(PI)</w:t>
            </w:r>
          </w:p>
        </w:tc>
      </w:tr>
      <w:tr w:rsidR="00B75D90" w:rsidRPr="00B75D90" w:rsidTr="00533723">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12 mėnesių</w:t>
            </w:r>
          </w:p>
        </w:tc>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93,7 (89,2-96,4)</w:t>
            </w:r>
          </w:p>
        </w:tc>
        <w:tc>
          <w:tcPr>
            <w:tcW w:w="309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95,9 (91,9-97,9)</w:t>
            </w:r>
          </w:p>
        </w:tc>
      </w:tr>
      <w:tr w:rsidR="00B75D90" w:rsidRPr="00B75D90" w:rsidTr="00533723">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24 mėnesiai</w:t>
            </w:r>
          </w:p>
        </w:tc>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75,4 (68,6-81,0)</w:t>
            </w:r>
          </w:p>
        </w:tc>
        <w:tc>
          <w:tcPr>
            <w:tcW w:w="309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90,7 (85,6-94,0)</w:t>
            </w:r>
          </w:p>
        </w:tc>
      </w:tr>
      <w:tr w:rsidR="00B75D90" w:rsidRPr="00B75D90" w:rsidTr="00533723">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36 mėnesiai</w:t>
            </w:r>
          </w:p>
        </w:tc>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60,1 (52,5-66,9)</w:t>
            </w:r>
          </w:p>
        </w:tc>
        <w:tc>
          <w:tcPr>
            <w:tcW w:w="309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86,6 (80,8-90,8)</w:t>
            </w:r>
          </w:p>
        </w:tc>
      </w:tr>
      <w:tr w:rsidR="00B75D90" w:rsidRPr="00B75D90" w:rsidTr="00533723">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48 mėnesiai</w:t>
            </w:r>
          </w:p>
        </w:tc>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52,3 (44,0-59,8)</w:t>
            </w:r>
          </w:p>
        </w:tc>
        <w:tc>
          <w:tcPr>
            <w:tcW w:w="309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78,3 (70,8-84,1)</w:t>
            </w:r>
          </w:p>
        </w:tc>
      </w:tr>
      <w:tr w:rsidR="00B75D90" w:rsidRPr="00B75D90" w:rsidTr="00533723">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60 mėnesių</w:t>
            </w:r>
          </w:p>
        </w:tc>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47,9 (39,0-56,3)</w:t>
            </w:r>
          </w:p>
        </w:tc>
        <w:tc>
          <w:tcPr>
            <w:tcW w:w="309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65,6 (56,1-73,4)</w:t>
            </w:r>
          </w:p>
        </w:tc>
      </w:tr>
      <w:tr w:rsidR="00B75D90" w:rsidRPr="00B75D90" w:rsidTr="00533723">
        <w:tc>
          <w:tcPr>
            <w:tcW w:w="3095" w:type="dxa"/>
          </w:tcPr>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Išgyvenamumas</w:t>
            </w:r>
          </w:p>
        </w:tc>
        <w:tc>
          <w:tcPr>
            <w:tcW w:w="3095" w:type="dxa"/>
          </w:tcPr>
          <w:p w:rsidR="00B75D90" w:rsidRPr="00B75D90" w:rsidRDefault="00B75D90" w:rsidP="00B75D90">
            <w:pPr>
              <w:widowControl w:val="0"/>
              <w:spacing w:after="0" w:line="240" w:lineRule="auto"/>
              <w:rPr>
                <w:rFonts w:ascii="Times New Roman" w:eastAsia="SimSun" w:hAnsi="Times New Roman" w:cs="Times New Roman"/>
              </w:rPr>
            </w:pPr>
          </w:p>
        </w:tc>
        <w:tc>
          <w:tcPr>
            <w:tcW w:w="3096" w:type="dxa"/>
          </w:tcPr>
          <w:p w:rsidR="00B75D90" w:rsidRPr="00B75D90" w:rsidRDefault="00B75D90" w:rsidP="00B75D90">
            <w:pPr>
              <w:widowControl w:val="0"/>
              <w:spacing w:after="0" w:line="240" w:lineRule="auto"/>
              <w:rPr>
                <w:rFonts w:ascii="Times New Roman" w:eastAsia="SimSun" w:hAnsi="Times New Roman" w:cs="Times New Roman"/>
              </w:rPr>
            </w:pPr>
          </w:p>
        </w:tc>
      </w:tr>
      <w:tr w:rsidR="00B75D90" w:rsidRPr="00B75D90" w:rsidTr="00533723">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36 mėnesiai</w:t>
            </w:r>
          </w:p>
        </w:tc>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94,0 (89,5-96,7)</w:t>
            </w:r>
          </w:p>
        </w:tc>
        <w:tc>
          <w:tcPr>
            <w:tcW w:w="309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96,3 (92,4-98,2)</w:t>
            </w:r>
          </w:p>
        </w:tc>
      </w:tr>
      <w:tr w:rsidR="00B75D90" w:rsidRPr="00B75D90" w:rsidTr="00533723">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48 mėnesiai</w:t>
            </w:r>
          </w:p>
        </w:tc>
        <w:tc>
          <w:tcPr>
            <w:tcW w:w="3095"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87,9 (81,1-92,3)</w:t>
            </w:r>
          </w:p>
        </w:tc>
        <w:tc>
          <w:tcPr>
            <w:tcW w:w="3096" w:type="dxa"/>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95,6 (91,2-97,8)</w:t>
            </w:r>
          </w:p>
        </w:tc>
      </w:tr>
      <w:tr w:rsidR="00B75D90" w:rsidRPr="00B75D90" w:rsidTr="00533723">
        <w:tc>
          <w:tcPr>
            <w:tcW w:w="3095" w:type="dxa"/>
            <w:tcBorders>
              <w:bottom w:val="single" w:sz="4" w:space="0" w:color="auto"/>
            </w:tcBorders>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60 mėnesiai</w:t>
            </w:r>
          </w:p>
        </w:tc>
        <w:tc>
          <w:tcPr>
            <w:tcW w:w="3095" w:type="dxa"/>
            <w:tcBorders>
              <w:bottom w:val="single" w:sz="4" w:space="0" w:color="auto"/>
            </w:tcBorders>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81,7 (73,0-87,8)</w:t>
            </w:r>
          </w:p>
        </w:tc>
        <w:tc>
          <w:tcPr>
            <w:tcW w:w="3096" w:type="dxa"/>
            <w:tcBorders>
              <w:bottom w:val="single" w:sz="4" w:space="0" w:color="auto"/>
            </w:tcBorders>
          </w:tcPr>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92,0 (85,3-95,7)</w:t>
            </w:r>
          </w:p>
        </w:tc>
      </w:tr>
    </w:tbl>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1 pav. Pirminės vertinamosios baigties išgyvenamumo be ligos recidyvo duomenys,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Kaplan-Meier kreivė (ITT populiacija)</w:t>
      </w:r>
    </w:p>
    <w:p w:rsidR="00B75D90" w:rsidRPr="00B75D90" w:rsidRDefault="00B75D90" w:rsidP="00B75D90">
      <w:pPr>
        <w:widowControl w:val="0"/>
        <w:spacing w:after="0" w:line="240" w:lineRule="auto"/>
        <w:rPr>
          <w:rFonts w:ascii="Times New Roman" w:eastAsia="Times New Roman" w:hAnsi="Times New Roman" w:cs="Times New Roman"/>
          <w:b/>
          <w:szCs w:val="20"/>
          <w:lang w:val="cs-CZ" w:eastAsia="sl-SI"/>
        </w:rPr>
      </w:pPr>
      <w:r w:rsidRPr="00B75D90">
        <w:rPr>
          <w:rFonts w:ascii="Times New Roman" w:eastAsia="Times New Roman" w:hAnsi="Times New Roman" w:cs="Times New Roman"/>
          <w:b/>
          <w:noProof/>
          <w:szCs w:val="20"/>
          <w:lang w:eastAsia="lt-LT"/>
        </w:rPr>
        <w:drawing>
          <wp:inline distT="0" distB="0" distL="0" distR="0">
            <wp:extent cx="5743575" cy="27813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2781300"/>
                    </a:xfrm>
                    <a:prstGeom prst="rect">
                      <a:avLst/>
                    </a:prstGeom>
                    <a:noFill/>
                    <a:ln>
                      <a:noFill/>
                    </a:ln>
                  </pic:spPr>
                </pic:pic>
              </a:graphicData>
            </a:graphic>
          </wp:inline>
        </w:drawing>
      </w:r>
    </w:p>
    <w:p w:rsidR="00B75D90" w:rsidRPr="00B75D90" w:rsidRDefault="00B75D90" w:rsidP="00B75D90">
      <w:pPr>
        <w:widowControl w:val="0"/>
        <w:spacing w:after="0" w:line="240" w:lineRule="auto"/>
        <w:rPr>
          <w:rFonts w:ascii="Times New Roman" w:eastAsia="Times New Roman" w:hAnsi="Times New Roman" w:cs="Times New Roman"/>
          <w:b/>
          <w:szCs w:val="20"/>
          <w:lang w:val="cs-CZ" w:eastAsia="sl-SI"/>
        </w:rPr>
      </w:pPr>
      <w:r w:rsidRPr="00B75D90">
        <w:rPr>
          <w:rFonts w:ascii="Times New Roman" w:eastAsia="Times New Roman" w:hAnsi="Times New Roman" w:cs="Times New Roman"/>
          <w:b/>
          <w:noProof/>
          <w:szCs w:val="20"/>
          <w:lang w:eastAsia="lt-LT"/>
        </w:rPr>
        <w:drawing>
          <wp:inline distT="0" distB="0" distL="0" distR="0">
            <wp:extent cx="5686425" cy="4095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409575"/>
                    </a:xfrm>
                    <a:prstGeom prst="rect">
                      <a:avLst/>
                    </a:prstGeom>
                    <a:noFill/>
                    <a:ln>
                      <a:noFill/>
                    </a:ln>
                  </pic:spPr>
                </pic:pic>
              </a:graphicData>
            </a:graphic>
          </wp:inline>
        </w:drawing>
      </w: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lastRenderedPageBreak/>
        <w:t>2 pav. Bendrojo išgyvenamumo duomenys, Kaplan-Meier kreivė (ITT populiacija)</w:t>
      </w:r>
    </w:p>
    <w:p w:rsidR="00B75D90" w:rsidRPr="00B75D90" w:rsidRDefault="00B75D90" w:rsidP="00B75D90">
      <w:pPr>
        <w:widowControl w:val="0"/>
        <w:spacing w:after="0" w:line="240" w:lineRule="auto"/>
        <w:rPr>
          <w:rFonts w:ascii="Times New Roman" w:eastAsia="Times New Roman" w:hAnsi="Times New Roman" w:cs="Times New Roman"/>
          <w:szCs w:val="20"/>
          <w:lang w:val="cs-CZ" w:eastAsia="sl-SI"/>
        </w:rPr>
      </w:pPr>
      <w:r w:rsidRPr="00B75D90">
        <w:rPr>
          <w:rFonts w:ascii="Times New Roman" w:eastAsia="Times New Roman" w:hAnsi="Times New Roman" w:cs="Times New Roman"/>
          <w:noProof/>
          <w:szCs w:val="20"/>
          <w:lang w:eastAsia="lt-LT"/>
        </w:rPr>
        <w:drawing>
          <wp:inline distT="0" distB="0" distL="0" distR="0">
            <wp:extent cx="5686425" cy="26384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6425" cy="2638425"/>
                    </a:xfrm>
                    <a:prstGeom prst="rect">
                      <a:avLst/>
                    </a:prstGeom>
                    <a:noFill/>
                    <a:ln>
                      <a:noFill/>
                    </a:ln>
                  </pic:spPr>
                </pic:pic>
              </a:graphicData>
            </a:graphic>
          </wp:inline>
        </w:drawing>
      </w:r>
    </w:p>
    <w:p w:rsidR="00B75D90" w:rsidRPr="00B75D90" w:rsidRDefault="00B75D90" w:rsidP="00B75D90">
      <w:pPr>
        <w:widowControl w:val="0"/>
        <w:spacing w:after="0" w:line="240" w:lineRule="auto"/>
        <w:rPr>
          <w:rFonts w:ascii="Times New Roman" w:eastAsia="Times New Roman" w:hAnsi="Times New Roman" w:cs="Times New Roman"/>
          <w:szCs w:val="20"/>
          <w:lang w:val="cs-CZ" w:eastAsia="sl-SI"/>
        </w:rPr>
      </w:pPr>
      <w:r w:rsidRPr="00B75D90">
        <w:rPr>
          <w:rFonts w:ascii="Times New Roman" w:eastAsia="Times New Roman" w:hAnsi="Times New Roman" w:cs="Times New Roman"/>
          <w:noProof/>
          <w:szCs w:val="20"/>
          <w:lang w:eastAsia="lt-LT"/>
        </w:rPr>
        <w:drawing>
          <wp:inline distT="0" distB="0" distL="0" distR="0">
            <wp:extent cx="5724525" cy="4572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457200"/>
                    </a:xfrm>
                    <a:prstGeom prst="rect">
                      <a:avLst/>
                    </a:prstGeom>
                    <a:noFill/>
                    <a:ln>
                      <a:noFill/>
                    </a:ln>
                  </pic:spPr>
                </pic:pic>
              </a:graphicData>
            </a:graphic>
          </wp:inline>
        </w:drawing>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Kontroliuojamųjų klinikinių tyrimų su c-Kit teigiamais VTSN sergančiais vaikais neatlikta. 7 paskelbtuose straipsniuose aprašyta septyniolika (17) pacientų, sirgusių VTSN (su nustatytomis Kit ir PDGFR genų mutacijomis arba be jų). Šių pacientų amžius svyravo nuo 8 metų iki 18 metų, jiems buvo skiriama 300</w:t>
      </w:r>
      <w:r w:rsidRPr="00B75D90">
        <w:rPr>
          <w:rFonts w:ascii="Times New Roman" w:eastAsia="SimSun" w:hAnsi="Times New Roman" w:cs="Times New Roman"/>
          <w:color w:val="000000"/>
          <w:lang w:val="sl-SI"/>
        </w:rPr>
        <w:noBreakHyphen/>
        <w:t>800 mg imatinibo paros dozė (adjuvantinio arba metastazinės ligos gydymo metu). Daugeliui vaikų, kurie buvo gydomi nuo VTSN, trūko duomenų apie nustatytas c-Kit arba PDGFR genų mutacijas, todėl tai galėjo lemti nevienalytes klinikines baigtis.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DFSP klinikiniai tyrimai</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Viename II fazės, atvirame, daugiacentriniame, klinikiniame tyrime (tyrimas B2225) dalyvavo 12 DFSP sergančių pacientų, vartojusių 800 mg imatinibo per parą. DFSP sirgusių pacientų amžius buvo nuo 23 iki 75 metų. Įtraukimo į tyrimą metu pacientai sirgo metastazavusia DFSP, vietiškai recidyvavusia po pirminės rezekcijos ir, kai nebuvo tikimasi, kad kartotinė rezekcija bus naudinga. Pirminiai veiksmingumo duomenys rėmėsi objektyvaus atsako dažniu. Iš 12 tirtų pacientų 9 buvo gautas atsakas, vienam – visiškas, o 8 - dalinis. Trims pacientams iš tų, kuriems buvo gautas dalinis atsakas, navikas pašalintas operacijos metu. Gydymo trukmės mediana B2225 tyrimo metu buvo 6,2 mėnesio, o didžiausia trukmė - 24,3 mėnesio. Dar 6 DFSP sirgusių ir imatinibu gydytų pacientų ligos istorijos nagrinėtos 5 paskelbtuose klinikinių atvejų aprašymuose, jų amžius svyravo nuo 18 mėnesių iki 49 metų. Iš viso dėl DFSP buvo gydyta 18 pacientų, aštuoniems iš jų buvo metastazių. Literatūroje aprašyti suaugę pacientai vartojo arba 400 mg (4 atvejai), arba 800 mg (1 atvejis) imatinibo per parą. </w:t>
      </w:r>
      <w:r w:rsidRPr="00B75D90">
        <w:rPr>
          <w:rFonts w:ascii="Times New Roman" w:eastAsia="SimSun" w:hAnsi="Times New Roman" w:cs="Times New Roman"/>
          <w:lang w:val="cs-CZ"/>
        </w:rPr>
        <w:t>Penkiems (</w:t>
      </w:r>
      <w:r w:rsidRPr="00B75D90">
        <w:rPr>
          <w:rFonts w:ascii="Times New Roman" w:eastAsia="SimSun" w:hAnsi="Times New Roman" w:cs="Times New Roman"/>
        </w:rPr>
        <w:t>5</w:t>
      </w:r>
      <w:r w:rsidRPr="00B75D90">
        <w:rPr>
          <w:rFonts w:ascii="Times New Roman" w:eastAsia="SimSun" w:hAnsi="Times New Roman" w:cs="Times New Roman"/>
          <w:lang w:val="cs-CZ"/>
        </w:rPr>
        <w:t>)</w:t>
      </w:r>
      <w:r w:rsidRPr="00B75D90">
        <w:rPr>
          <w:rFonts w:ascii="Times New Roman" w:eastAsia="SimSun" w:hAnsi="Times New Roman" w:cs="Times New Roman"/>
        </w:rPr>
        <w:t xml:space="preserve"> pacientams buvo gautas atsakas, 3 – visiškas, o 2 - dalinis. Literatūroje skelbtų atvejų gydymo trukmės mediana buvo nuo 4 savaičių iki daugiau kaip 20 mėnesių. Translokacija t(17:22)[(q22:q13)] arba jos genų produktas buvo beveik visuose atsakuose į imatinibo terapiją.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bookmarkStart w:id="24" w:name="_Toc129243113"/>
      <w:bookmarkStart w:id="25" w:name="_Toc129243238"/>
      <w:r w:rsidRPr="00B75D90">
        <w:rPr>
          <w:rFonts w:ascii="Times New Roman" w:eastAsia="SimSun" w:hAnsi="Times New Roman" w:cs="Times New Roman"/>
        </w:rPr>
        <w:t>Kontroliuojamųjų klinikinių tyrimų su DFSP sergančiais vaikais neatlikta. 3 paskelbtuose straipsniuose aprašyti penki (5) pacientai, kurie sirgo DFSP ir kuriems buvo nustatyta PDGFR genų pakitimų. Šių pacientų amžius svyravo nuo naujagimio iki 14 metų, jiems buvo skiriama 50 mg imatinibo paros dozė arba 400</w:t>
      </w:r>
      <w:r w:rsidRPr="00B75D90">
        <w:rPr>
          <w:rFonts w:ascii="Times New Roman" w:eastAsia="SimSun" w:hAnsi="Times New Roman" w:cs="Times New Roman"/>
        </w:rPr>
        <w:noBreakHyphen/>
        <w:t>520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kūno paviršiaus ploto paros dozė. Visiems pacientams pasireiškė dalinis ir (arba) visiškas atsakas.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r w:rsidRPr="00B75D90">
        <w:rPr>
          <w:rFonts w:ascii="Times New Roman" w:eastAsia="SimSun" w:hAnsi="Times New Roman" w:cs="Times New Roman"/>
          <w:b/>
        </w:rPr>
        <w:t>5.2</w:t>
      </w:r>
      <w:r w:rsidRPr="00B75D90">
        <w:rPr>
          <w:rFonts w:ascii="Times New Roman" w:eastAsia="SimSun" w:hAnsi="Times New Roman" w:cs="Times New Roman"/>
          <w:b/>
        </w:rPr>
        <w:tab/>
        <w:t>Farmakokinetinės savybės</w:t>
      </w:r>
      <w:bookmarkEnd w:id="24"/>
      <w:bookmarkEnd w:id="25"/>
    </w:p>
    <w:p w:rsidR="00B75D90" w:rsidRPr="00B75D90" w:rsidRDefault="00B75D90" w:rsidP="00B75D90">
      <w:pPr>
        <w:widowControl w:val="0"/>
        <w:spacing w:after="0" w:line="240" w:lineRule="auto"/>
        <w:rPr>
          <w:rFonts w:ascii="Times New Roman" w:eastAsia="SimSun" w:hAnsi="Times New Roman" w:cs="Times New Roman"/>
          <w:lang w:val="cs-CZ"/>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u w:val="single"/>
          <w:lang w:val="cs-CZ"/>
        </w:rPr>
        <w:t>Imatinibo farmakokinetika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Imatinibo farmakokinetinės savybės buvo tirtos 25 mg iki 1 000 mg dozių ribose. Farmakokinetinės savybės plazmoje buvo įvertintos 1-ą parą ir 7-ą, arba 28-ą parą, kai plazmoje pasiekiamos </w:t>
      </w:r>
      <w:r w:rsidRPr="00B75D90">
        <w:rPr>
          <w:rFonts w:ascii="Times New Roman" w:eastAsia="SimSun" w:hAnsi="Times New Roman" w:cs="Times New Roman"/>
        </w:rPr>
        <w:lastRenderedPageBreak/>
        <w:t>pusiausvyros apykaitos koncentracijos.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Absorbcija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Vidutinis absoliutus imatinibo biologinis prieinamumas yra 98 %. Išgėrus imatinibo dozę, skirtingų pacientų plazmoje buvo nustatytas didelis imatinibo </w:t>
      </w:r>
      <w:r w:rsidRPr="00B75D90">
        <w:rPr>
          <w:rFonts w:ascii="Times New Roman" w:eastAsia="SimSun" w:hAnsi="Times New Roman" w:cs="Times New Roman"/>
          <w:i/>
        </w:rPr>
        <w:t>AUC</w:t>
      </w:r>
      <w:r w:rsidRPr="00B75D90">
        <w:rPr>
          <w:rFonts w:ascii="Times New Roman" w:eastAsia="SimSun" w:hAnsi="Times New Roman" w:cs="Times New Roman"/>
        </w:rPr>
        <w:t xml:space="preserve"> kintamumas. Pavartojus vaistinį preparatą kartu su riebiu maistu, imatinibo absorbcijos greičio sumažėjimas buvo minimalus (C</w:t>
      </w:r>
      <w:r w:rsidRPr="00B75D90">
        <w:rPr>
          <w:rFonts w:ascii="Times New Roman" w:eastAsia="SimSun" w:hAnsi="Times New Roman" w:cs="Times New Roman"/>
          <w:vertAlign w:val="subscript"/>
        </w:rPr>
        <w:t>max</w:t>
      </w:r>
      <w:r w:rsidRPr="00B75D90">
        <w:rPr>
          <w:rFonts w:ascii="Times New Roman" w:eastAsia="SimSun" w:hAnsi="Times New Roman" w:cs="Times New Roman"/>
        </w:rPr>
        <w:t xml:space="preserve"> sumažėjo 11 %, o t</w:t>
      </w:r>
      <w:r w:rsidRPr="00B75D90">
        <w:rPr>
          <w:rFonts w:ascii="Times New Roman" w:eastAsia="SimSun" w:hAnsi="Times New Roman" w:cs="Times New Roman"/>
          <w:vertAlign w:val="subscript"/>
        </w:rPr>
        <w:t>max</w:t>
      </w:r>
      <w:r w:rsidRPr="00B75D90">
        <w:rPr>
          <w:rFonts w:ascii="Times New Roman" w:eastAsia="SimSun" w:hAnsi="Times New Roman" w:cs="Times New Roman"/>
        </w:rPr>
        <w:t xml:space="preserve"> pailgėjo 1,5 val.), nedaug sumažėjo </w:t>
      </w:r>
      <w:r w:rsidRPr="00B75D90">
        <w:rPr>
          <w:rFonts w:ascii="Times New Roman" w:eastAsia="SimSun" w:hAnsi="Times New Roman" w:cs="Times New Roman"/>
          <w:i/>
        </w:rPr>
        <w:t>AUC</w:t>
      </w:r>
      <w:r w:rsidRPr="00B75D90">
        <w:rPr>
          <w:rFonts w:ascii="Times New Roman" w:eastAsia="SimSun" w:hAnsi="Times New Roman" w:cs="Times New Roman"/>
        </w:rPr>
        <w:t xml:space="preserve"> (7,4 %), palyginti su vaistinio preparato vartojimu nevalgius. Pirmiau atliktos virškinimo trakto operacijos įtaka </w:t>
      </w:r>
      <w:r w:rsidRPr="00B75D90">
        <w:rPr>
          <w:rFonts w:ascii="Times New Roman" w:eastAsia="Times New Roman" w:hAnsi="Times New Roman" w:cs="Times New Roman"/>
          <w:lang w:val="cs-CZ" w:eastAsia="sl-SI"/>
        </w:rPr>
        <w:t>imatinibo</w:t>
      </w:r>
      <w:r w:rsidRPr="00B75D90">
        <w:rPr>
          <w:rFonts w:ascii="Times New Roman" w:eastAsia="SimSun" w:hAnsi="Times New Roman" w:cs="Times New Roman"/>
        </w:rPr>
        <w:t xml:space="preserve"> absorbcijai nebuvo tirta.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Pasiskirstymas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Kai imatinibo koncentracija yra kliniškai reikšminga, remiantis tyrimų </w:t>
      </w:r>
      <w:r w:rsidRPr="00B75D90">
        <w:rPr>
          <w:rFonts w:ascii="Times New Roman" w:eastAsia="SimSun" w:hAnsi="Times New Roman" w:cs="Times New Roman"/>
          <w:i/>
        </w:rPr>
        <w:t>in vitro</w:t>
      </w:r>
      <w:r w:rsidRPr="00B75D90">
        <w:rPr>
          <w:rFonts w:ascii="Times New Roman" w:eastAsia="SimSun" w:hAnsi="Times New Roman" w:cs="Times New Roman"/>
        </w:rPr>
        <w:t xml:space="preserve"> duomenimis, maždaug 95 % vaistinio preparato būna susijungę su plazmos baltymais, daugiausia albuminu ir rūgščiuoju alfa glikoproteinu, labai mažas kiekis - su lipoproteinu.</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Biotransformacija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Pagrindinis žmogaus kraujyje esantis metabolitas yra N-demetilintas piperazino darinys, kurio potencija </w:t>
      </w:r>
      <w:r w:rsidRPr="00B75D90">
        <w:rPr>
          <w:rFonts w:ascii="Times New Roman" w:eastAsia="SimSun" w:hAnsi="Times New Roman" w:cs="Times New Roman"/>
          <w:i/>
        </w:rPr>
        <w:t>in vitro</w:t>
      </w:r>
      <w:r w:rsidRPr="00B75D90">
        <w:rPr>
          <w:rFonts w:ascii="Times New Roman" w:eastAsia="SimSun" w:hAnsi="Times New Roman" w:cs="Times New Roman"/>
        </w:rPr>
        <w:t xml:space="preserve"> yra tokia pati kaip ir nepakitusios veikliosios medžiagos. Šio metabolito </w:t>
      </w:r>
      <w:r w:rsidRPr="00B75D90">
        <w:rPr>
          <w:rFonts w:ascii="Times New Roman" w:eastAsia="SimSun" w:hAnsi="Times New Roman" w:cs="Times New Roman"/>
          <w:i/>
        </w:rPr>
        <w:t>AUC</w:t>
      </w:r>
      <w:r w:rsidRPr="00B75D90">
        <w:rPr>
          <w:rFonts w:ascii="Times New Roman" w:eastAsia="SimSun" w:hAnsi="Times New Roman" w:cs="Times New Roman"/>
        </w:rPr>
        <w:t xml:space="preserve"> plazmoje sudaro tik 16 % imatinibo </w:t>
      </w:r>
      <w:r w:rsidRPr="00B75D90">
        <w:rPr>
          <w:rFonts w:ascii="Times New Roman" w:eastAsia="SimSun" w:hAnsi="Times New Roman" w:cs="Times New Roman"/>
          <w:i/>
        </w:rPr>
        <w:t>AUC</w:t>
      </w:r>
      <w:r w:rsidRPr="00B75D90">
        <w:rPr>
          <w:rFonts w:ascii="Times New Roman" w:eastAsia="SimSun" w:hAnsi="Times New Roman" w:cs="Times New Roman"/>
        </w:rPr>
        <w:t>. N-demetilintas metabolitas jungiasi su plazmos baltymais panašiai kaip nepakitusi veiklioji medžiaga.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Imatinibas ir N-demetilintas metabolitas kartu lėmė maždaug 65 % radioaktyvumo kraujyje (AUC</w:t>
      </w:r>
      <w:r w:rsidRPr="00B75D90">
        <w:rPr>
          <w:rFonts w:ascii="Times New Roman" w:eastAsia="SimSun" w:hAnsi="Times New Roman" w:cs="Times New Roman"/>
          <w:vertAlign w:val="subscript"/>
        </w:rPr>
        <w:t>0</w:t>
      </w:r>
      <w:r w:rsidRPr="00B75D90">
        <w:rPr>
          <w:rFonts w:ascii="Times New Roman" w:eastAsia="SimSun" w:hAnsi="Times New Roman" w:cs="Times New Roman"/>
          <w:vertAlign w:val="subscript"/>
        </w:rPr>
        <w:noBreakHyphen/>
        <w:t>48 val.</w:t>
      </w:r>
      <w:r w:rsidRPr="00B75D90">
        <w:rPr>
          <w:rFonts w:ascii="Times New Roman" w:eastAsia="SimSun" w:hAnsi="Times New Roman" w:cs="Times New Roman"/>
        </w:rPr>
        <w:t>). Kitas radioaktyvumas kraujyje priklausė nuo kelių metabolitų, kurie sudaro mažą dalį.</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Tyrimų </w:t>
      </w:r>
      <w:r w:rsidRPr="00B75D90">
        <w:rPr>
          <w:rFonts w:ascii="Times New Roman" w:eastAsia="SimSun" w:hAnsi="Times New Roman" w:cs="Times New Roman"/>
          <w:i/>
        </w:rPr>
        <w:t>in vitro</w:t>
      </w:r>
      <w:r w:rsidRPr="00B75D90">
        <w:rPr>
          <w:rFonts w:ascii="Times New Roman" w:eastAsia="SimSun" w:hAnsi="Times New Roman" w:cs="Times New Roman"/>
        </w:rPr>
        <w:t xml:space="preserve"> duomenys parodė, kad CYP3A4 yra pagrindinis žmogaus P450 fermentas, kuris veikia imatinibo biotransformaciją. Iš daugelio vaistinių preparatų, kurie gali būti vartojami kartu (acetaminofenas, acikloviras, alopurinolis, amfotericinas, citarabinas, eritromicinas, flukonazolas, hidrokarbamidas, norfloksacinas, penicilinas V), imatinibo metabolizmą kliniškai reikšmingai slopinti gali tik eritromicinas (IC</w:t>
      </w:r>
      <w:r w:rsidRPr="00B75D90">
        <w:rPr>
          <w:rFonts w:ascii="Times New Roman" w:eastAsia="SimSun" w:hAnsi="Times New Roman" w:cs="Times New Roman"/>
          <w:vertAlign w:val="subscript"/>
        </w:rPr>
        <w:t>50</w:t>
      </w:r>
      <w:r w:rsidRPr="00B75D90">
        <w:rPr>
          <w:rFonts w:ascii="Times New Roman" w:eastAsia="SimSun" w:hAnsi="Times New Roman" w:cs="Times New Roman"/>
        </w:rPr>
        <w:t xml:space="preserve"> 50 μmol) ir flukonazolas (IC</w:t>
      </w:r>
      <w:r w:rsidRPr="00B75D90">
        <w:rPr>
          <w:rFonts w:ascii="Times New Roman" w:eastAsia="SimSun" w:hAnsi="Times New Roman" w:cs="Times New Roman"/>
          <w:vertAlign w:val="subscript"/>
        </w:rPr>
        <w:t>50</w:t>
      </w:r>
      <w:r w:rsidRPr="00B75D90">
        <w:rPr>
          <w:rFonts w:ascii="Times New Roman" w:eastAsia="SimSun" w:hAnsi="Times New Roman" w:cs="Times New Roman"/>
        </w:rPr>
        <w:t xml:space="preserve"> 118 μmol).</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Tyrimai </w:t>
      </w:r>
      <w:r w:rsidRPr="00B75D90">
        <w:rPr>
          <w:rFonts w:ascii="Times New Roman" w:eastAsia="SimSun" w:hAnsi="Times New Roman" w:cs="Times New Roman"/>
          <w:i/>
        </w:rPr>
        <w:t>in vitro</w:t>
      </w:r>
      <w:r w:rsidRPr="00B75D90">
        <w:rPr>
          <w:rFonts w:ascii="Times New Roman" w:eastAsia="SimSun" w:hAnsi="Times New Roman" w:cs="Times New Roman"/>
        </w:rPr>
        <w:t xml:space="preserve"> parodė, kad imatinibas yra konkurencinis būdingų CYP2C9, CYP2D6 ir CYP3A4/5 substratų inhibitorius. K</w:t>
      </w:r>
      <w:r w:rsidRPr="00B75D90">
        <w:rPr>
          <w:rFonts w:ascii="Times New Roman" w:eastAsia="SimSun" w:hAnsi="Times New Roman" w:cs="Times New Roman"/>
          <w:vertAlign w:val="subscript"/>
        </w:rPr>
        <w:t>i</w:t>
      </w:r>
      <w:r w:rsidRPr="00B75D90">
        <w:rPr>
          <w:rFonts w:ascii="Times New Roman" w:eastAsia="SimSun" w:hAnsi="Times New Roman" w:cs="Times New Roman"/>
        </w:rPr>
        <w:t xml:space="preserve"> rodmuo žmogaus kepenų mikrosomose buvo atitinkamai 27, 7,5 ir 7,9 µmol/l. Didžiausia imatinibo koncentracija pacientų plazmoje yra 2–4 µmol/l, taigi galimas CYP2D6 ir (arba) CYP3A4/5 veikiamas kartu vartojamų vaistinių preparatų metabolizmo slopinimas. Imatinibas neveikė 5-fluorouracilo biotransformacijos, bet slopino paklitakselio metabolizmą dėl konkurencinio CYP2C8 slopinimo (K</w:t>
      </w:r>
      <w:r w:rsidRPr="00B75D90">
        <w:rPr>
          <w:rFonts w:ascii="Times New Roman" w:eastAsia="SimSun" w:hAnsi="Times New Roman" w:cs="Times New Roman"/>
          <w:vertAlign w:val="subscript"/>
        </w:rPr>
        <w:t>i</w:t>
      </w:r>
      <w:r w:rsidRPr="00B75D90">
        <w:rPr>
          <w:rFonts w:ascii="Times New Roman" w:eastAsia="SimSun" w:hAnsi="Times New Roman" w:cs="Times New Roman"/>
        </w:rPr>
        <w:t> = 34,7 µmol). Šis K</w:t>
      </w:r>
      <w:r w:rsidRPr="00B75D90">
        <w:rPr>
          <w:rFonts w:ascii="Times New Roman" w:eastAsia="SimSun" w:hAnsi="Times New Roman" w:cs="Times New Roman"/>
          <w:vertAlign w:val="subscript"/>
        </w:rPr>
        <w:t>i</w:t>
      </w:r>
      <w:r w:rsidRPr="00B75D90">
        <w:rPr>
          <w:rFonts w:ascii="Times New Roman" w:eastAsia="SimSun" w:hAnsi="Times New Roman" w:cs="Times New Roman"/>
        </w:rPr>
        <w:t xml:space="preserve"> rodmuo yra daug didesnis nei tikėtinos imatinibo koncentracijos pacientų plazmoje, todėl nesitikima, kad pasireikštų sąveika, imatinibą vartojant kartu su 5</w:t>
      </w:r>
      <w:r w:rsidRPr="00B75D90">
        <w:rPr>
          <w:rFonts w:ascii="Times New Roman" w:eastAsia="SimSun" w:hAnsi="Times New Roman" w:cs="Times New Roman"/>
        </w:rPr>
        <w:noBreakHyphen/>
        <w:t>fluorouracilu ar paklitakseliu.</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Eliminacija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Remiantis junginio (-ių) išsiskyrimo po išgertos </w:t>
      </w:r>
      <w:r w:rsidRPr="00B75D90">
        <w:rPr>
          <w:rFonts w:ascii="Times New Roman" w:eastAsia="SimSun" w:hAnsi="Times New Roman" w:cs="Times New Roman"/>
          <w:vertAlign w:val="superscript"/>
        </w:rPr>
        <w:t>14</w:t>
      </w:r>
      <w:r w:rsidRPr="00B75D90">
        <w:rPr>
          <w:rFonts w:ascii="Times New Roman" w:eastAsia="SimSun" w:hAnsi="Times New Roman" w:cs="Times New Roman"/>
        </w:rPr>
        <w:t>C</w:t>
      </w:r>
      <w:r w:rsidRPr="00B75D90" w:rsidDel="00807C55">
        <w:rPr>
          <w:rFonts w:ascii="Times New Roman" w:eastAsia="SimSun" w:hAnsi="Times New Roman" w:cs="Times New Roman"/>
        </w:rPr>
        <w:t xml:space="preserve"> </w:t>
      </w:r>
      <w:r w:rsidRPr="00B75D90">
        <w:rPr>
          <w:rFonts w:ascii="Times New Roman" w:eastAsia="SimSun" w:hAnsi="Times New Roman" w:cs="Times New Roman"/>
        </w:rPr>
        <w:t>-žymėtojo imatinibo dozės duomenimis, maždaug 81 % dozės per 7 paras pašalinama su išmatomis (68 % dozės) ir šlapimu (13 % dozės). Nepakitęs imatinibas sudaro 25 % dozės (5 % šlapime, 20 % išmatose), kita dalis – metabolitų pavidalu.</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Farmakokinetinės savybės plazmoje</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Sveikiems savanoriams išgėrus vaistinio preparato, t</w:t>
      </w:r>
      <w:r w:rsidRPr="00B75D90">
        <w:rPr>
          <w:rFonts w:ascii="Times New Roman" w:eastAsia="SimSun" w:hAnsi="Times New Roman" w:cs="Times New Roman"/>
          <w:vertAlign w:val="subscript"/>
        </w:rPr>
        <w:t>½</w:t>
      </w:r>
      <w:r w:rsidRPr="00B75D90">
        <w:rPr>
          <w:rFonts w:ascii="Times New Roman" w:eastAsia="SimSun" w:hAnsi="Times New Roman" w:cs="Times New Roman"/>
        </w:rPr>
        <w:t xml:space="preserve"> truko maždaug 18 val. Tai rodo, kad vaistinio preparato dozę galima vartoti vieną kartą per parą. Geriant 25</w:t>
      </w:r>
      <w:r w:rsidRPr="00B75D90">
        <w:rPr>
          <w:rFonts w:ascii="Times New Roman" w:eastAsia="SimSun" w:hAnsi="Times New Roman" w:cs="Times New Roman"/>
        </w:rPr>
        <w:noBreakHyphen/>
        <w:t xml:space="preserve">1 000 mg imatinibo dozes, didėjant dozei, vidutinio </w:t>
      </w:r>
      <w:r w:rsidRPr="00B75D90">
        <w:rPr>
          <w:rFonts w:ascii="Times New Roman" w:eastAsia="SimSun" w:hAnsi="Times New Roman" w:cs="Times New Roman"/>
          <w:i/>
        </w:rPr>
        <w:t>AUC</w:t>
      </w:r>
      <w:r w:rsidRPr="00B75D90">
        <w:rPr>
          <w:rFonts w:ascii="Times New Roman" w:eastAsia="SimSun" w:hAnsi="Times New Roman" w:cs="Times New Roman"/>
        </w:rPr>
        <w:t xml:space="preserve"> didėjimas buvo tiesinis ir proporcingas dozei. Vartojant kartotines imatinibo dozes, imatinibo kinetika nepakito, o kaupimasis vartojant vieną kartą per parą pusiausvyros apykaitos sąlygomis buvo 1,5–2,5 karto didesnis.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VTSN pacientų farmakokinetika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VTSN sergančių pacientų ekspozicija, kai koncentracija pastovi, buvo 1,5 karto didesnė negu LML sergančių pacientų, vartojančių tą pačią dozę (400 mg per parą). Preliminari VTSN sergančių pacientų populiacijos farmakokinetikos analizė parodė, kad trys kintamieji (albuminas, BKK ir bilirubinas) turi </w:t>
      </w:r>
      <w:r w:rsidRPr="00B75D90">
        <w:rPr>
          <w:rFonts w:ascii="Times New Roman" w:eastAsia="SimSun" w:hAnsi="Times New Roman" w:cs="Times New Roman"/>
        </w:rPr>
        <w:lastRenderedPageBreak/>
        <w:t>statistiškai patikimą ryšį su imatinibo farmakokinetika. Sumažėjęs albumino kiekis sąlygoja mažesnį klirensą (Cl/f); didesnis BKK skaičius mažina CL/f. Tačiau šie ryšiai nėra pakankamai ryškūs, kad tektų koreguoti dozę. Šiems pacientams kepenų metastazės gali sąlygoti kepenų nepakankamumą ir susilpnėjusį metabolizmą.</w:t>
      </w:r>
    </w:p>
    <w:p w:rsidR="00B75D90" w:rsidRPr="00B75D90" w:rsidRDefault="00B75D90" w:rsidP="00B75D90">
      <w:pPr>
        <w:widowControl w:val="0"/>
        <w:spacing w:after="0" w:line="240" w:lineRule="auto"/>
        <w:rPr>
          <w:rFonts w:ascii="Times New Roman" w:eastAsia="SimSun" w:hAnsi="Times New Roman" w:cs="Times New Roman"/>
          <w:u w:val="single"/>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Populiacijos farmakokinetinės savybės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Remiantis farmakokinetikos LML pacientų populiacijoje duomenimis, amžiaus įtaka pasiskirstymo tūriui buvo nedidelė (12 % padidėjimas vyresnių kaip 65 metų pacientų organizme). Manoma, kad toks pokytis yra kliniškai nereikšmingas. Kūno masės įtaka imatinibo klirensui yra tokia, kad vidutinis klirensas iš pacientų, kurių kūno masė yra 50 kg, organizmo gali būti 8,5 l/val., o iš pacientų, kurių kūno masė yra 100 kg, organizmo klirensas gali padidėti iki 11,8 l/val. Manoma, kad dėl tokių pokyčių dozės pagal kūno masę koreguoti nereikia. Lytis imatinibo kinetikos neveikia.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Farmakokinetinės savybės vaikų organizme</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Abiejų I ir II fazės tyrimų duomenimis, vaikų, kaip ir suaugusiųjų, organizme išgertas imatinibas greitai absorbuojamas. Vaikams vartojant 260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ir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dozes per parą, buvo pasiekta atitinkamai tokia pat ekspozicija, kaip ir suaugusių pacientų, vartojusių 400 mg ir 600 mg dozes, organizme. </w:t>
      </w:r>
      <w:r w:rsidRPr="00B75D90">
        <w:rPr>
          <w:rFonts w:ascii="Times New Roman" w:eastAsia="SimSun" w:hAnsi="Times New Roman" w:cs="Times New Roman"/>
          <w:i/>
        </w:rPr>
        <w:t>AUC</w:t>
      </w:r>
      <w:r w:rsidRPr="00B75D90">
        <w:rPr>
          <w:rFonts w:ascii="Times New Roman" w:eastAsia="SimSun" w:hAnsi="Times New Roman" w:cs="Times New Roman"/>
          <w:vertAlign w:val="subscript"/>
        </w:rPr>
        <w:t>(0-24)</w:t>
      </w:r>
      <w:r w:rsidRPr="00B75D90">
        <w:rPr>
          <w:rFonts w:ascii="Times New Roman" w:eastAsia="SimSun" w:hAnsi="Times New Roman" w:cs="Times New Roman"/>
        </w:rPr>
        <w:t xml:space="preserve"> 8-ą ir 1-ą paromis parodė, kad vartojant kartotines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paros dozes vieną kartą per parą, kaupimasis būna 1,7 karto didesnis.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Remiantis apibendrinta hematologinėmis ligomis (LML, Ph+ŪLL ar kitomis imatinibu gydomomis hematologinėmis ligomis) sergančių vaikų populiacijos farmakokinetikos duomenų analize, imatinibo klirensas didėja didėjant kūno paviršiaus plotui (KPP). Atsižvelgus į KPP poveikį, kiti demografiniai rodikliai (pvz., amžius, kūno svoris ir kūno masės indeksas) neturi kliniškai reikšmingos įtakos imatinibo ekspozicijai. Duomenų analizė patvirtino, kad imatinibo ekspozicija vaikų populiacijos pacientams, kurie vartojo po 260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dozę kartą per parą (neviršijant 400 mg dozės kartą per parą) arba po 340 mg/m</w:t>
      </w:r>
      <w:r w:rsidRPr="00B75D90">
        <w:rPr>
          <w:rFonts w:ascii="Times New Roman" w:eastAsia="SimSun" w:hAnsi="Times New Roman" w:cs="Times New Roman"/>
          <w:vertAlign w:val="superscript"/>
        </w:rPr>
        <w:t>2</w:t>
      </w:r>
      <w:r w:rsidRPr="00B75D90">
        <w:rPr>
          <w:rFonts w:ascii="Times New Roman" w:eastAsia="SimSun" w:hAnsi="Times New Roman" w:cs="Times New Roman"/>
        </w:rPr>
        <w:t xml:space="preserve"> dozę kartą per parą (neviršijant 600 mg dozės kartą per parą), buvo panaši į ekspoziciją, būnančią kartą per parą 400 mg arba 600 mg imatinibo dozę vartojančių suaugusiųjų organizme.</w:t>
      </w:r>
    </w:p>
    <w:p w:rsidR="00B75D90" w:rsidRPr="00B75D90" w:rsidRDefault="00B75D90" w:rsidP="00B75D90">
      <w:pPr>
        <w:widowControl w:val="0"/>
        <w:spacing w:after="0" w:line="240" w:lineRule="auto"/>
        <w:rPr>
          <w:rFonts w:ascii="Times New Roman" w:eastAsia="SimSun" w:hAnsi="Times New Roman" w:cs="Times New Roman"/>
          <w:u w:val="single"/>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Sutrikusi inkstų funkcija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Per inkstus išsiskiria nežymus imatinibo ir jo metabolitų kiekis. Nustatyta, kad pacientų, kuriems yra lengvas ir vidutinio sunkumo inkstų funkcijos sutrikimas, plazmoje būna didesnė ekspozicija nei pacientų, kurių inkstų funkcija yra normali. Ekspozicija padidėja maždaug 1,5</w:t>
      </w:r>
      <w:r w:rsidRPr="00B75D90">
        <w:rPr>
          <w:rFonts w:ascii="Times New Roman" w:eastAsia="SimSun" w:hAnsi="Times New Roman" w:cs="Times New Roman"/>
        </w:rPr>
        <w:noBreakHyphen/>
        <w:t>2 kartus, o tai atitinka maždaug 1,5 karto didesnį AGP, kuri stipriai prisijungia prie imatinibo, kiekį plazmoje. Laisvo imatinibo klirensas iš pacientų, kurių inkstų funkcija yra sutrikusi, ir pacientų, kurių inkstų funkcija yra normali, organizmo greičiausiai būna panašus, nes per inkstus šalinama tik nedidelė imatinibo dalis (žr. 4.2 ir 4.4 skyrius).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u w:val="single"/>
        </w:rPr>
        <w:t>Sutrikusi kepenų funkcija</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Nors farmakokinetinių savybių analizės duomenys parodė, kad galimas ryškus kintamumas skirtingų asmenų organizme, vidutinė imatinibo ekspozicija pacientų, kuriems yra įvairaus laipsnio kepenų funkcijos nepakankamumas, organizme nepadidėja, palyginti su pacientais, kurių kepenų funkcija yra normali (žr. 4.2, 4.4 ir 4.8 skyrius).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26" w:name="_Toc129243114"/>
      <w:bookmarkStart w:id="27" w:name="_Toc129243239"/>
      <w:r w:rsidRPr="00B75D90">
        <w:rPr>
          <w:rFonts w:ascii="Times New Roman" w:eastAsia="SimSun" w:hAnsi="Times New Roman" w:cs="Times New Roman"/>
          <w:b/>
        </w:rPr>
        <w:t>5.3</w:t>
      </w:r>
      <w:r w:rsidRPr="00B75D90">
        <w:rPr>
          <w:rFonts w:ascii="Times New Roman" w:eastAsia="SimSun" w:hAnsi="Times New Roman" w:cs="Times New Roman"/>
          <w:b/>
        </w:rPr>
        <w:tab/>
        <w:t>Ikiklinikinių saugumo tyrimų duomenys</w:t>
      </w:r>
      <w:bookmarkEnd w:id="26"/>
      <w:bookmarkEnd w:id="27"/>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Ikiklinikiniai imatinibo saugumo tyrimai buvo atlikti su žiurkėmis, šunimis, beždžionėmis ir triušiais.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Kartotinių dozių toksiškumo tyrimai parodė nesunkius ar vidutinio sunkumo hematologinius pokyčius žiurkėms, šunims ir beždžionėms bei kaulų čiulpų pokyčius žiurkėms ir šunims.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Kepenys buvo organas taikinys žiurkių ir šunų organizme. Abiejų rūšių gyvūnų organizme buvo stebėtas nedidelis arba vidutinis transaminazių suaktyvėjimas ir nedidelis cholesterolio, trigliceridų, bendrojo baltymo ir albumino koncentracijų sumažėjimas. Histopatologinių kepenų pokyčių žiurkėms nenustatyta. Dvi savaites gydytiems šunims buvo stebėtas sunkus toksinis poveikis kepenims, kuris </w:t>
      </w:r>
      <w:r w:rsidRPr="00B75D90">
        <w:rPr>
          <w:rFonts w:ascii="Times New Roman" w:eastAsia="SimSun" w:hAnsi="Times New Roman" w:cs="Times New Roman"/>
        </w:rPr>
        <w:lastRenderedPageBreak/>
        <w:t>pasireiškė kepenų fermentų suaktyvėjimu, kepenų ląstelių ir tulžies latakų nekroze bei tulžies latakų hiperplazija.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Dvi savaites gydytoms beždžionėms buvo stebėtas toksinis poveikis inkstams, kuris pasireiškė inkstų kanalėlių židinine mineralizacija ir dilatacija bei tubuline nefroze. Daugeliui šių gyvūnų buvo nustatytos padidėjusios kraujo šlapalo ir kreatinino koncentracijos kraujyje. 13 savaičių tyrimo duomenimis, žiurkėms vartojant ≥ 6 mg/kg dozes, buvo stebėta inkstų spenelių ir šlapimo pūslės pereinamojo epitelio hiperplazija be serumo ar šlapimo rodmenų pokyčių. Imatinibu gydant ilgą laiką, gyvūnams padažnėjo oportunistinių mikroorganizmų sukeltos infekcijos.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39 savaičių tyrimo su beždžionėmis duomenimis, vartojant mažiausią 15 mg/kg dozę (maždaug vieną trečdalį didžiausios 800 mg žmogaus dozės pagal kūno paviršiaus plotą), nepageidaujamo poveikio nesukeliančios koncentracijos (angl., </w:t>
      </w:r>
      <w:r w:rsidRPr="00B75D90">
        <w:rPr>
          <w:rFonts w:ascii="Times New Roman" w:eastAsia="SimSun" w:hAnsi="Times New Roman" w:cs="Times New Roman"/>
          <w:i/>
        </w:rPr>
        <w:t>no observed effects levels</w:t>
      </w:r>
      <w:r w:rsidRPr="00B75D90">
        <w:rPr>
          <w:rFonts w:ascii="Times New Roman" w:eastAsia="SimSun" w:hAnsi="Times New Roman" w:cs="Times New Roman"/>
        </w:rPr>
        <w:t xml:space="preserve"> </w:t>
      </w:r>
      <w:r w:rsidRPr="00B75D90">
        <w:rPr>
          <w:rFonts w:ascii="Times New Roman" w:eastAsia="SimSun" w:hAnsi="Times New Roman" w:cs="Times New Roman"/>
          <w:i/>
        </w:rPr>
        <w:t>[NOEL]</w:t>
      </w:r>
      <w:r w:rsidRPr="00B75D90">
        <w:rPr>
          <w:rFonts w:ascii="Times New Roman" w:eastAsia="SimSun" w:hAnsi="Times New Roman" w:cs="Times New Roman"/>
        </w:rPr>
        <w:t>) nebuvo nustatytos. Gydymas šiems gyvūnams sunkino normaliai slopinamą maliarijos infekciją.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Remiantis tyrimų </w:t>
      </w:r>
      <w:r w:rsidRPr="00B75D90">
        <w:rPr>
          <w:rFonts w:ascii="Times New Roman" w:eastAsia="SimSun" w:hAnsi="Times New Roman" w:cs="Times New Roman"/>
          <w:i/>
        </w:rPr>
        <w:t>in vitro</w:t>
      </w:r>
      <w:r w:rsidRPr="00B75D90">
        <w:rPr>
          <w:rFonts w:ascii="Times New Roman" w:eastAsia="SimSun" w:hAnsi="Times New Roman" w:cs="Times New Roman"/>
        </w:rPr>
        <w:t xml:space="preserve"> su bakterijų ląstelėmis (</w:t>
      </w:r>
      <w:r w:rsidRPr="00B75D90">
        <w:rPr>
          <w:rFonts w:ascii="Times New Roman" w:eastAsia="SimSun" w:hAnsi="Times New Roman" w:cs="Times New Roman"/>
          <w:i/>
        </w:rPr>
        <w:t>Ames</w:t>
      </w:r>
      <w:r w:rsidRPr="00B75D90">
        <w:rPr>
          <w:rFonts w:ascii="Times New Roman" w:eastAsia="SimSun" w:hAnsi="Times New Roman" w:cs="Times New Roman"/>
        </w:rPr>
        <w:t xml:space="preserve"> testas), žinduolių ląstelėmis </w:t>
      </w:r>
      <w:r w:rsidRPr="00B75D90">
        <w:rPr>
          <w:rFonts w:ascii="Times New Roman" w:eastAsia="SimSun" w:hAnsi="Times New Roman" w:cs="Times New Roman"/>
          <w:i/>
        </w:rPr>
        <w:t>in vitro</w:t>
      </w:r>
      <w:r w:rsidRPr="00B75D90">
        <w:rPr>
          <w:rFonts w:ascii="Times New Roman" w:eastAsia="SimSun" w:hAnsi="Times New Roman" w:cs="Times New Roman"/>
        </w:rPr>
        <w:t xml:space="preserve"> (pelių limfomos) ir žiurkių mikrobranduoliais</w:t>
      </w:r>
      <w:r w:rsidRPr="00B75D90">
        <w:rPr>
          <w:rFonts w:ascii="Times New Roman" w:eastAsia="SimSun" w:hAnsi="Times New Roman" w:cs="Times New Roman"/>
          <w:i/>
        </w:rPr>
        <w:t xml:space="preserve"> in vivo</w:t>
      </w:r>
      <w:r w:rsidRPr="00B75D90">
        <w:rPr>
          <w:rFonts w:ascii="Times New Roman" w:eastAsia="SimSun" w:hAnsi="Times New Roman" w:cs="Times New Roman"/>
        </w:rPr>
        <w:t xml:space="preserve"> duomenimis, manoma, kad imatinibas nesukelia genotoksinio poveikio. Metabolinio aktyvinimo sąlygomis klastogeniškumo tyrimuose su žinduolių (kinų žiurkėnų kiaušidžių) ląstelių mėginiais </w:t>
      </w:r>
      <w:r w:rsidRPr="00B75D90">
        <w:rPr>
          <w:rFonts w:ascii="Times New Roman" w:eastAsia="SimSun" w:hAnsi="Times New Roman" w:cs="Times New Roman"/>
          <w:i/>
        </w:rPr>
        <w:t>in vitro</w:t>
      </w:r>
      <w:r w:rsidRPr="00B75D90">
        <w:rPr>
          <w:rFonts w:ascii="Times New Roman" w:eastAsia="SimSun" w:hAnsi="Times New Roman" w:cs="Times New Roman"/>
        </w:rPr>
        <w:t xml:space="preserve"> (chromosomų aberacijoms nustatyti) buvo nustatytas teigiamas imatinibo genotoksinis poveikis. </w:t>
      </w:r>
      <w:r w:rsidRPr="00B75D90">
        <w:rPr>
          <w:rFonts w:ascii="Times New Roman" w:eastAsia="SimSun" w:hAnsi="Times New Roman" w:cs="Times New Roman"/>
          <w:i/>
        </w:rPr>
        <w:t xml:space="preserve">Ames </w:t>
      </w:r>
      <w:r w:rsidRPr="00B75D90">
        <w:rPr>
          <w:rFonts w:ascii="Times New Roman" w:eastAsia="SimSun" w:hAnsi="Times New Roman" w:cs="Times New Roman"/>
        </w:rPr>
        <w:t>mėginiais buvo nustatytas teigiamas dviejų gamybos proceso tarpinių produktų, kurių yra ir galutiniame vaistiniame preparate, mutageninis poveikis. Be to, vienas šių tarpinių produktų buvo teigiamas pelių limfomos mėginiuose.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Vaisingumo tyrimų duomenimis, žiurkių patinams vartojant vaistinį preparatą 70 parų prieš poravimąsi, sumažėjo sėklidžių ir sėklidžių prielipo masė bei judrių spermatozoidų procentinė dalis, vartojant 60 mg/kg dozę, kuri atitinka didžiausią gydomąją 800 mg per parą dozę, apskaičiuotą pagal kūno paviršiaus plotą. Tokio poveikio nepastebėta vartojant ≤ 20 mg/kg dozę. Nežymiai ir vidutiniškai sumažėjusi spermatogenezė taip pat stebėta šunims, kuriems buvo girdytos ≥ 30 mg/kg dozės. Vartojant vaistinį preparatą 14 dienų prieš poravimąsi ir iki 6-osios veisimosi dienos žiurkių patelėms, poveikio poravimuisi ir apvaisintų patelių skaičiui nenustatyta. Vartojant 60 mg/kg dozę, patelės prarado daugiau vaisių po implantacijos ir sumažėjo gyvų vaisių skaičius. Tokio poveikio nepastebėta vartojant ≤ 20 mg/kg dozę.</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Geriamojo vaistinio preparato poveikio prenataliniam ir ponataliniam vystymuisi tyrimų su žiurkėmis duomenimis, vartojant 45 mg/kg paros dozę, 14-ą ar 15-ą veisimosi parą buvo pastebėta raudonų išskyrų iš makšties. Vartojant tą pačią dozę, buvo atsivesta daugiau negyvų žiurkiukų bei daugiau jų žuvo 0 ir 4 paromis po atsivedimo. F</w:t>
      </w:r>
      <w:r w:rsidRPr="00B75D90">
        <w:rPr>
          <w:rFonts w:ascii="Times New Roman" w:eastAsia="SimSun" w:hAnsi="Times New Roman" w:cs="Times New Roman"/>
          <w:vertAlign w:val="subscript"/>
        </w:rPr>
        <w:t>1</w:t>
      </w:r>
      <w:r w:rsidRPr="00B75D90">
        <w:rPr>
          <w:rFonts w:ascii="Times New Roman" w:eastAsia="SimSun" w:hAnsi="Times New Roman" w:cs="Times New Roman"/>
        </w:rPr>
        <w:t xml:space="preserve"> kartos palikuonims vartojant tą pačią dozę, vidutinė kūno masė buvo mažesnė nuo gimimo iki žuvimo ir šiek tiek mažiau jauniklių pasiekė apyvarpės atsiskyrimo kriterijų. Vartojant 45 mg/kg dozę per parą, F</w:t>
      </w:r>
      <w:r w:rsidRPr="00B75D90">
        <w:rPr>
          <w:rFonts w:ascii="Times New Roman" w:eastAsia="SimSun" w:hAnsi="Times New Roman" w:cs="Times New Roman"/>
          <w:vertAlign w:val="subscript"/>
        </w:rPr>
        <w:t>1</w:t>
      </w:r>
      <w:r w:rsidRPr="00B75D90">
        <w:rPr>
          <w:rFonts w:ascii="Times New Roman" w:eastAsia="SimSun" w:hAnsi="Times New Roman" w:cs="Times New Roman"/>
        </w:rPr>
        <w:t xml:space="preserve"> kartos vaisingumas nebuvo paveiktas, bet padidėjo rezorbcijų skaičius bei sumažėjo gyvybingų vaisių skaičius. Nepageidaujamo poveikio nesukeliančios koncentracijos (</w:t>
      </w:r>
      <w:r w:rsidRPr="00B75D90">
        <w:rPr>
          <w:rFonts w:ascii="Times New Roman" w:eastAsia="SimSun" w:hAnsi="Times New Roman" w:cs="Times New Roman"/>
          <w:i/>
        </w:rPr>
        <w:t>NOEL</w:t>
      </w:r>
      <w:r w:rsidRPr="00B75D90">
        <w:rPr>
          <w:rFonts w:ascii="Times New Roman" w:eastAsia="SimSun" w:hAnsi="Times New Roman" w:cs="Times New Roman"/>
        </w:rPr>
        <w:t>) motininėms patelėms ir F</w:t>
      </w:r>
      <w:r w:rsidRPr="00B75D90">
        <w:rPr>
          <w:rFonts w:ascii="Times New Roman" w:eastAsia="SimSun" w:hAnsi="Times New Roman" w:cs="Times New Roman"/>
          <w:vertAlign w:val="subscript"/>
        </w:rPr>
        <w:t>1</w:t>
      </w:r>
      <w:r w:rsidRPr="00B75D90">
        <w:rPr>
          <w:rFonts w:ascii="Times New Roman" w:eastAsia="SimSun" w:hAnsi="Times New Roman" w:cs="Times New Roman"/>
        </w:rPr>
        <w:t xml:space="preserve"> kartos gyvūnams buvo 15 mg/kg per parą (sudarė vieną ketvirtį didžiausios 800 mg dozės žmogui).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Imatinibas sukėlė teratogeninį poveikį žiurkėms, kurioms organogenezės laikotarpiu buvo vartotos ≥ 100 mg/kg dozės (maždaug atitinka didžiausią gydomąją 800 mg paros dozę, apskaičiuotą pagal kūno paviršiaus plotą). Teratogeninis poveikis pasireiškė eksencefalija ar encefalocele, kaktikaulio nebuvimu ar sumažėjimu ir momenkaulio nebuvimu. Tokio poveikio nebuvo vartojant ≤ 30 mg/kg dozes.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Times New Roman" w:hAnsi="Times New Roman" w:cs="Times New Roman"/>
        </w:rPr>
        <w:t>Toksinio poveikio vystymuisi tyrimo, atlikto su žiurkių jaunikliais, metu (</w:t>
      </w:r>
      <w:r w:rsidRPr="00B75D90">
        <w:rPr>
          <w:rFonts w:ascii="Times New Roman" w:eastAsia="Times New Roman" w:hAnsi="Times New Roman" w:cs="Times New Roman"/>
          <w:lang w:eastAsia="sl-SI"/>
        </w:rPr>
        <w:t xml:space="preserve">vaistinio </w:t>
      </w:r>
      <w:r w:rsidRPr="00B75D90">
        <w:rPr>
          <w:rFonts w:ascii="Times New Roman" w:eastAsia="Times New Roman" w:hAnsi="Times New Roman" w:cs="Times New Roman"/>
        </w:rPr>
        <w:t>preparato skiriant nuo 10-osios iki 70-osios dienos po atsivedimo) naujų organų taikinių nenustatyta, lyginant su žinomais organais taikiniais suaugusioms žiurkėms. Toksinio poveikio jauniklių vystymuisi tyrimo metu poveikis augimui, vėlesniam makšties angos atsidarymui ir apyvarpės atsiskyrimui pastebėtas esant tokiai vaistinio preparato ekspozicijai, kuri maždaug 0,3-2 kartus viršija vidutinę ekspoziciją vaikų populiacijoje, skiriant didžiausią rekomenduojamą 340 mg/m</w:t>
      </w:r>
      <w:r w:rsidRPr="00B75D90">
        <w:rPr>
          <w:rFonts w:ascii="Times New Roman" w:eastAsia="Times New Roman" w:hAnsi="Times New Roman" w:cs="Times New Roman"/>
          <w:vertAlign w:val="superscript"/>
        </w:rPr>
        <w:t>2</w:t>
      </w:r>
      <w:r w:rsidRPr="00B75D90">
        <w:rPr>
          <w:rFonts w:ascii="Times New Roman" w:eastAsia="Times New Roman" w:hAnsi="Times New Roman" w:cs="Times New Roman"/>
        </w:rPr>
        <w:t xml:space="preserve"> kūno paviršiaus dozę. Be to, </w:t>
      </w:r>
      <w:r w:rsidRPr="00B75D90">
        <w:rPr>
          <w:rFonts w:ascii="Times New Roman" w:eastAsia="Times New Roman" w:hAnsi="Times New Roman" w:cs="Times New Roman"/>
        </w:rPr>
        <w:lastRenderedPageBreak/>
        <w:t xml:space="preserve">pastebėta gyvūnų jauniklių kritimo atvejų (maždaug nujunkymo fazėje) esant tokiai vaistinio preparato ekspozicijai, kuri maždaug 2 kartus viršija vidutinę ekspoziciją vaikų populiacijoje, skiriant </w:t>
      </w:r>
      <w:r w:rsidRPr="00B75D90">
        <w:rPr>
          <w:rFonts w:ascii="Times New Roman" w:eastAsia="Times New Roman" w:hAnsi="Times New Roman" w:cs="Times New Roman"/>
          <w:lang w:eastAsia="sl-SI"/>
        </w:rPr>
        <w:t>didžiausią rekomenduojamą 340</w:t>
      </w:r>
      <w:r w:rsidRPr="00B75D90">
        <w:rPr>
          <w:rFonts w:ascii="Times New Roman" w:eastAsia="Times New Roman" w:hAnsi="Times New Roman" w:cs="Times New Roman"/>
        </w:rPr>
        <w:t xml:space="preserve"> mg/m</w:t>
      </w:r>
      <w:r w:rsidRPr="00B75D90">
        <w:rPr>
          <w:rFonts w:ascii="Times New Roman" w:eastAsia="Times New Roman" w:hAnsi="Times New Roman" w:cs="Times New Roman"/>
          <w:vertAlign w:val="superscript"/>
        </w:rPr>
        <w:t>2</w:t>
      </w:r>
      <w:r w:rsidRPr="00B75D90">
        <w:rPr>
          <w:rFonts w:ascii="Times New Roman" w:eastAsia="Times New Roman" w:hAnsi="Times New Roman" w:cs="Times New Roman"/>
        </w:rPr>
        <w:t xml:space="preserve"> kūno paviršiaus dozę.</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Dvejus metus trukusių kancerogeniškumo tyrimų su žiurkėmis, kurioms buvo skirtos 15 mg/kg, 30 mg/kg ir 60 mg/kg imatinibo paros dozės, metu statistiškai reikšmingai sumažėjo patinų, kuriems buvo skirta 60 mg/kg dozė per parą, ir patelių, kurioms buvo skirta ≥ 30 mg/kg dozė per parą, gyvenimo trukmė. Kritusių gyvūnų histopatologiniai tyrimai parodė, kad pagrindinės gyvūnų žūties ar jų užmigdymo priežastys buvo: kardiomiopatija (abiems lytims), lėtinė progresuojanti nefropatija (patelėms) ir apyvarpės liaukų papiloma. Neoplazinių pokyčių organai taikiniai buvo inkstai, šlapimo pūslė, šlaplė, apyvarpė ir varputės liaukos, plonoji žarna, prieskydinės liaukos, antinksčiai ir ne liaukinė skrandžio dalis.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Apyvarpės ar varputės liaukų papilomos ar karcinomos stebėtos žiurkėms, kurioms buvo skirtos nuo 30 mg/kg ir didesnės paros dozės, kurias vartojant, ekspozicija būna maždaug 0,5 arba 0,3 kartus didesnė (atsižvelgiant į </w:t>
      </w:r>
      <w:r w:rsidRPr="00B75D90">
        <w:rPr>
          <w:rFonts w:ascii="Times New Roman" w:eastAsia="SimSun" w:hAnsi="Times New Roman" w:cs="Times New Roman"/>
          <w:i/>
        </w:rPr>
        <w:t>AUC</w:t>
      </w:r>
      <w:r w:rsidRPr="00B75D90">
        <w:rPr>
          <w:rFonts w:ascii="Times New Roman" w:eastAsia="SimSun" w:hAnsi="Times New Roman" w:cs="Times New Roman"/>
        </w:rPr>
        <w:t xml:space="preserve">) už esančią žmogaus, vartojančio atitinkamai 400 mg arba 800 mg dozes per parą, organizme ir 0,4 karto didesnė už ekspozicija vaikų (atsižvelgiant į </w:t>
      </w:r>
      <w:r w:rsidRPr="00B75D90">
        <w:rPr>
          <w:rFonts w:ascii="Times New Roman" w:eastAsia="SimSun" w:hAnsi="Times New Roman" w:cs="Times New Roman"/>
          <w:i/>
        </w:rPr>
        <w:t>AUC</w:t>
      </w:r>
      <w:r w:rsidRPr="00B75D90">
        <w:rPr>
          <w:rFonts w:ascii="Times New Roman" w:eastAsia="SimSun" w:hAnsi="Times New Roman" w:cs="Times New Roman"/>
        </w:rPr>
        <w:t>), vartojančių 340 mg/m² dozę per parą, organizme. Nepageidaujamo poveikio nesukeliančios koncentracijos (</w:t>
      </w:r>
      <w:r w:rsidRPr="00B75D90">
        <w:rPr>
          <w:rFonts w:ascii="Times New Roman" w:eastAsia="SimSun" w:hAnsi="Times New Roman" w:cs="Times New Roman"/>
          <w:i/>
        </w:rPr>
        <w:t>NOEL</w:t>
      </w:r>
      <w:r w:rsidRPr="00B75D90">
        <w:rPr>
          <w:rFonts w:ascii="Times New Roman" w:eastAsia="SimSun" w:hAnsi="Times New Roman" w:cs="Times New Roman"/>
        </w:rPr>
        <w:t xml:space="preserve">) buvo vartojant 15 mg/kg per parą. Inkstų adenoma ar karcinoma, šlapimo pūslės ir šlaplės papiloma, plonosios žarnos adenokarcinoma, prieskydinių liaukų adenoma, gerybiniai ir piktybiniai antinksčių šerdinės dalies navikai bei ne liaukinės skrandžio dalies papiloma ar karcinoma stebėtos, vartojant 60 mg/kg dozę per parą, kurią vartojant, ekspozicija būna maždaug 1,7 arba 1 kartą didesnė (atsižvelgiant į </w:t>
      </w:r>
      <w:r w:rsidRPr="00B75D90">
        <w:rPr>
          <w:rFonts w:ascii="Times New Roman" w:eastAsia="SimSun" w:hAnsi="Times New Roman" w:cs="Times New Roman"/>
          <w:i/>
        </w:rPr>
        <w:t>AUC</w:t>
      </w:r>
      <w:r w:rsidRPr="00B75D90">
        <w:rPr>
          <w:rFonts w:ascii="Times New Roman" w:eastAsia="SimSun" w:hAnsi="Times New Roman" w:cs="Times New Roman"/>
        </w:rPr>
        <w:t xml:space="preserve">) nei žmogaus, vartojančio atitinkamai 400 mg arba 800 mg per parą, organizme ir 1,2 karto didesnė nei ekspozicija vaikų (atsižvelgiant į </w:t>
      </w:r>
      <w:r w:rsidRPr="00B75D90">
        <w:rPr>
          <w:rFonts w:ascii="Times New Roman" w:eastAsia="SimSun" w:hAnsi="Times New Roman" w:cs="Times New Roman"/>
          <w:i/>
        </w:rPr>
        <w:t>AUC</w:t>
      </w:r>
      <w:r w:rsidRPr="00B75D90">
        <w:rPr>
          <w:rFonts w:ascii="Times New Roman" w:eastAsia="SimSun" w:hAnsi="Times New Roman" w:cs="Times New Roman"/>
        </w:rPr>
        <w:t>), vartojančių 340 mg/m² dozę per parą, organizme. Nepageidaujamo poveikio nesukeliančios koncentracijos (</w:t>
      </w:r>
      <w:r w:rsidRPr="00B75D90">
        <w:rPr>
          <w:rFonts w:ascii="Times New Roman" w:eastAsia="SimSun" w:hAnsi="Times New Roman" w:cs="Times New Roman"/>
          <w:i/>
        </w:rPr>
        <w:t>NOEL</w:t>
      </w:r>
      <w:r w:rsidRPr="00B75D90">
        <w:rPr>
          <w:rFonts w:ascii="Times New Roman" w:eastAsia="SimSun" w:hAnsi="Times New Roman" w:cs="Times New Roman"/>
        </w:rPr>
        <w:t>) buvo vartojant 30 mg/kg dozę per parą.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Šių žiurkių kancerogeniškumo tyrimų radinių reikšmė ir mechanizmas žmonėms dar neaiškus.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Ne neoplaziniai pažeidimai, kurie buvo nustatyti ankstesniuose ikiklinikiniuose tyrimuose, buvo kardiovaskulinės sistemos, kasos, endokrininių liaukų ir dantų pažeidimai. Svarbiausi pokyčiai buvo širdies hipertrofija ir išsiplėtimas, dėl ko kai kuriems gyvūnams atsirado širdies nepakankamumo požymių.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Nustatyta, kad veiklioji medžiaga imatinibas kelia pavojų nuosėdose aptinkamiems organizmams.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28" w:name="_Toc129243115"/>
      <w:bookmarkStart w:id="29" w:name="_Toc129243240"/>
      <w:r w:rsidRPr="00B75D90">
        <w:rPr>
          <w:rFonts w:ascii="Times New Roman" w:eastAsia="SimSun" w:hAnsi="Times New Roman" w:cs="Times New Roman"/>
          <w:b/>
        </w:rPr>
        <w:t>6.</w:t>
      </w:r>
      <w:r w:rsidRPr="00B75D90">
        <w:rPr>
          <w:rFonts w:ascii="Times New Roman" w:eastAsia="SimSun" w:hAnsi="Times New Roman" w:cs="Times New Roman"/>
          <w:b/>
        </w:rPr>
        <w:tab/>
        <w:t>FARMACINĖ INFORMACIJA</w:t>
      </w:r>
      <w:bookmarkEnd w:id="28"/>
      <w:bookmarkEnd w:id="29"/>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30" w:name="_Toc129243116"/>
      <w:bookmarkStart w:id="31" w:name="_Toc129243241"/>
      <w:r w:rsidRPr="00B75D90">
        <w:rPr>
          <w:rFonts w:ascii="Times New Roman" w:eastAsia="SimSun" w:hAnsi="Times New Roman" w:cs="Times New Roman"/>
          <w:b/>
        </w:rPr>
        <w:t>6.1</w:t>
      </w:r>
      <w:r w:rsidRPr="00B75D90">
        <w:rPr>
          <w:rFonts w:ascii="Times New Roman" w:eastAsia="SimSun" w:hAnsi="Times New Roman" w:cs="Times New Roman"/>
          <w:b/>
        </w:rPr>
        <w:tab/>
        <w:t>Pagalbinių medžiagų sąrašas</w:t>
      </w:r>
      <w:bookmarkEnd w:id="30"/>
      <w:bookmarkEnd w:id="31"/>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Tablečių branduolys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Laktozė monohidratas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Kukurūzų krakmolas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Hidroksipropilceliuliozė</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rPr>
        <w:t>Mikrokristalinė celiuliozė</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Krospovidonas (A tipas)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Bevandenis koloidinis silicio dioksidas</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rPr>
        <w:t>Magnio stearatas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Tablečių plėvelė</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Polivinilo alkoholis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Titano dioksidas (E171)</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Makrogolis 3000</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Talkas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lastRenderedPageBreak/>
        <w:t>Raudonasis geležies oksidas (E172)</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Geltonasis geležies oksidas (E172)</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32" w:name="_Toc129243117"/>
      <w:bookmarkStart w:id="33" w:name="_Toc129243242"/>
      <w:r w:rsidRPr="00B75D90">
        <w:rPr>
          <w:rFonts w:ascii="Times New Roman" w:eastAsia="SimSun" w:hAnsi="Times New Roman" w:cs="Times New Roman"/>
          <w:b/>
        </w:rPr>
        <w:t>6.2</w:t>
      </w:r>
      <w:r w:rsidRPr="00B75D90">
        <w:rPr>
          <w:rFonts w:ascii="Times New Roman" w:eastAsia="SimSun" w:hAnsi="Times New Roman" w:cs="Times New Roman"/>
          <w:b/>
        </w:rPr>
        <w:tab/>
        <w:t>Nesuderinamumas</w:t>
      </w:r>
      <w:bookmarkEnd w:id="32"/>
      <w:bookmarkEnd w:id="33"/>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Duomenys nebūtini.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34" w:name="_Toc129243118"/>
      <w:bookmarkStart w:id="35" w:name="_Toc129243243"/>
      <w:r w:rsidRPr="00B75D90">
        <w:rPr>
          <w:rFonts w:ascii="Times New Roman" w:eastAsia="SimSun" w:hAnsi="Times New Roman" w:cs="Times New Roman"/>
          <w:b/>
        </w:rPr>
        <w:t>6.3</w:t>
      </w:r>
      <w:r w:rsidRPr="00B75D90">
        <w:rPr>
          <w:rFonts w:ascii="Times New Roman" w:eastAsia="SimSun" w:hAnsi="Times New Roman" w:cs="Times New Roman"/>
          <w:b/>
        </w:rPr>
        <w:tab/>
        <w:t>Tinkamumo laikas</w:t>
      </w:r>
      <w:bookmarkEnd w:id="34"/>
      <w:bookmarkEnd w:id="35"/>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3 metai.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36" w:name="_Toc129243119"/>
      <w:bookmarkStart w:id="37" w:name="_Toc129243244"/>
      <w:r w:rsidRPr="00B75D90">
        <w:rPr>
          <w:rFonts w:ascii="Times New Roman" w:eastAsia="SimSun" w:hAnsi="Times New Roman" w:cs="Times New Roman"/>
          <w:b/>
        </w:rPr>
        <w:t>6.4</w:t>
      </w:r>
      <w:r w:rsidRPr="00B75D90">
        <w:rPr>
          <w:rFonts w:ascii="Times New Roman" w:eastAsia="SimSun" w:hAnsi="Times New Roman" w:cs="Times New Roman"/>
          <w:b/>
        </w:rPr>
        <w:tab/>
        <w:t>Specialios laikymo sąlygos</w:t>
      </w:r>
      <w:bookmarkEnd w:id="36"/>
      <w:bookmarkEnd w:id="37"/>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Šiam vaistiniam preparatui specialių laikymo sąlygų nereikia.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38" w:name="_Toc129243120"/>
      <w:bookmarkStart w:id="39" w:name="_Toc129243245"/>
      <w:r w:rsidRPr="00B75D90">
        <w:rPr>
          <w:rFonts w:ascii="Times New Roman" w:eastAsia="SimSun" w:hAnsi="Times New Roman" w:cs="Times New Roman"/>
          <w:b/>
        </w:rPr>
        <w:t>6.5</w:t>
      </w:r>
      <w:r w:rsidRPr="00B75D90">
        <w:rPr>
          <w:rFonts w:ascii="Times New Roman" w:eastAsia="SimSun" w:hAnsi="Times New Roman" w:cs="Times New Roman"/>
          <w:b/>
        </w:rPr>
        <w:tab/>
        <w:t>Talpyklės pobūdis ir jos turinys</w:t>
      </w:r>
      <w:bookmarkEnd w:id="38"/>
      <w:bookmarkEnd w:id="39"/>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i/>
          <w:highlight w:val="lightGray"/>
        </w:rPr>
      </w:pPr>
      <w:r w:rsidRPr="00B75D90">
        <w:rPr>
          <w:rFonts w:ascii="Times New Roman" w:eastAsia="SimSun" w:hAnsi="Times New Roman" w:cs="Times New Roman"/>
          <w:i/>
          <w:highlight w:val="lightGray"/>
        </w:rPr>
        <w:t>100 mg plėvele dengtos tabletės</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PVC/PVDC ir aliuminio folijos lizdinė plokštelė. Kartono dėžutėje yra 20, 30, 60, 90, 120 ar 180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PVC/PE/PVDC ir aliuminio folijos lizdinė plokštelė. Kartono dėžutėje yra 20, 30, 60, 90, 120 ar 180 plėvele dengtų tablečių.</w:t>
      </w:r>
    </w:p>
    <w:p w:rsidR="00B75D90" w:rsidRPr="00B75D90" w:rsidRDefault="00B75D90" w:rsidP="00B75D90">
      <w:pPr>
        <w:widowControl w:val="0"/>
        <w:autoSpaceDE w:val="0"/>
        <w:autoSpaceDN w:val="0"/>
        <w:spacing w:after="0" w:line="240" w:lineRule="auto"/>
        <w:rPr>
          <w:rFonts w:ascii="Times New Roman" w:eastAsia="SimSun" w:hAnsi="Times New Roman" w:cs="Times New Roman"/>
          <w:i/>
          <w:highlight w:val="lightGray"/>
        </w:rPr>
      </w:pPr>
    </w:p>
    <w:p w:rsidR="00B75D90" w:rsidRPr="00B75D90" w:rsidRDefault="00B75D90" w:rsidP="00B75D90">
      <w:pPr>
        <w:widowControl w:val="0"/>
        <w:spacing w:after="0" w:line="240" w:lineRule="auto"/>
        <w:rPr>
          <w:rFonts w:ascii="Times New Roman" w:eastAsia="SimSun" w:hAnsi="Times New Roman" w:cs="Times New Roman"/>
          <w:i/>
          <w:highlight w:val="lightGray"/>
        </w:rPr>
      </w:pPr>
      <w:r w:rsidRPr="00B75D90">
        <w:rPr>
          <w:rFonts w:ascii="Times New Roman" w:eastAsia="SimSun" w:hAnsi="Times New Roman" w:cs="Times New Roman"/>
          <w:i/>
          <w:highlight w:val="lightGray"/>
        </w:rPr>
        <w:t>400 mg plėvele dengtos tabletės</w:t>
      </w: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PVC/PVDC ir aliuminio folijos lizdinė plokštelė. Kartono dėžutėje yra 10, 30, 60 ar 90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highlight w:val="lightGray"/>
        </w:rPr>
        <w:t>PVC/PE/PVDC ir aliuminio folijos lizdinė plokštelė. Kartono dėžutėje yra 10, 30, 60 ar 90 plėvele dengtų tablečių.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Gali būti tiekiamos ne visų dydžių pakuotės.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40" w:name="_Toc129243121"/>
      <w:bookmarkStart w:id="41" w:name="_Toc129243246"/>
      <w:r w:rsidRPr="00B75D90">
        <w:rPr>
          <w:rFonts w:ascii="Times New Roman" w:eastAsia="SimSun" w:hAnsi="Times New Roman" w:cs="Times New Roman"/>
          <w:b/>
        </w:rPr>
        <w:t>6.6</w:t>
      </w:r>
      <w:r w:rsidRPr="00B75D90">
        <w:rPr>
          <w:rFonts w:ascii="Times New Roman" w:eastAsia="SimSun" w:hAnsi="Times New Roman" w:cs="Times New Roman"/>
          <w:b/>
        </w:rPr>
        <w:tab/>
        <w:t>Specialūs reikalavimai atliekoms tvarkyti</w:t>
      </w:r>
      <w:bookmarkEnd w:id="40"/>
      <w:bookmarkEnd w:id="41"/>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Specialių reikalavimų nėra.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42" w:name="_Toc129243122"/>
      <w:bookmarkStart w:id="43" w:name="_Toc129243247"/>
      <w:r w:rsidRPr="00B75D90">
        <w:rPr>
          <w:rFonts w:ascii="Times New Roman" w:eastAsia="SimSun" w:hAnsi="Times New Roman" w:cs="Times New Roman"/>
          <w:b/>
        </w:rPr>
        <w:t>7.</w:t>
      </w:r>
      <w:r w:rsidRPr="00B75D90">
        <w:rPr>
          <w:rFonts w:ascii="Times New Roman" w:eastAsia="SimSun" w:hAnsi="Times New Roman" w:cs="Times New Roman"/>
          <w:b/>
        </w:rPr>
        <w:tab/>
      </w:r>
      <w:bookmarkEnd w:id="42"/>
      <w:bookmarkEnd w:id="43"/>
      <w:r w:rsidRPr="00B75D90">
        <w:rPr>
          <w:rFonts w:ascii="Times New Roman" w:eastAsia="SimSun" w:hAnsi="Times New Roman" w:cs="Times New Roman"/>
          <w:b/>
        </w:rPr>
        <w:t>REGISTRUOTOJAS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lang w:val="cs-CZ"/>
        </w:rPr>
        <w:t>TAD Pharma GmbH</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lang w:val="cs-CZ"/>
        </w:rPr>
        <w:t>Heinz-Lohmann-Straße 5</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lang w:val="cs-CZ"/>
        </w:rPr>
        <w:t>27472 Cuxhaven</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lang w:val="cs-CZ"/>
        </w:rPr>
        <w:t>Vokietija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44" w:name="_Toc129243123"/>
      <w:bookmarkStart w:id="45" w:name="_Toc129243248"/>
      <w:r w:rsidRPr="00B75D90">
        <w:rPr>
          <w:rFonts w:ascii="Times New Roman" w:eastAsia="SimSun" w:hAnsi="Times New Roman" w:cs="Times New Roman"/>
          <w:b/>
        </w:rPr>
        <w:t>8.</w:t>
      </w:r>
      <w:r w:rsidRPr="00B75D90">
        <w:rPr>
          <w:rFonts w:ascii="Times New Roman" w:eastAsia="SimSun" w:hAnsi="Times New Roman" w:cs="Times New Roman"/>
          <w:b/>
        </w:rPr>
        <w:tab/>
        <w:t>REGISTRACIJOS PAŽYMĖJIMO NUMERIS</w:t>
      </w:r>
      <w:bookmarkEnd w:id="44"/>
      <w:bookmarkEnd w:id="45"/>
      <w:r w:rsidRPr="00B75D90">
        <w:rPr>
          <w:rFonts w:ascii="Times New Roman" w:eastAsia="SimSun" w:hAnsi="Times New Roman" w:cs="Times New Roman"/>
          <w:b/>
        </w:rPr>
        <w:t xml:space="preserve"> (-IAI)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sectPr w:rsidR="00B75D90" w:rsidRPr="00B75D90" w:rsidSect="0011264F">
          <w:headerReference w:type="default" r:id="rId16"/>
          <w:footerReference w:type="even" r:id="rId17"/>
          <w:footerReference w:type="default" r:id="rId18"/>
          <w:pgSz w:w="11907" w:h="16840" w:code="9"/>
          <w:pgMar w:top="1134" w:right="1418" w:bottom="1134" w:left="1418" w:header="1021" w:footer="709" w:gutter="0"/>
          <w:cols w:space="708"/>
          <w:formProt w:val="0"/>
          <w:docGrid w:linePitch="360"/>
        </w:sect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Meapax 100 mg</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N20 – LT/1/13/3206/001</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N30 – LT/1/13/3206/002</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N60 – LT/1/13/3206/003</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N90 – LT/1/13/3206/004</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N120 – LT/1/13/3206/005</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N180 – LT/1/13/3206/006</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Meapax 400 mg</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N10 – LT/1/13/3206/007</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N30 – LT/1/13/3206/008</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N60 – LT/1/13/3206/009</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N90 – LT/1/13/3206/010</w:t>
      </w:r>
    </w:p>
    <w:p w:rsidR="00B75D90" w:rsidRPr="00B75D90" w:rsidRDefault="00B75D90" w:rsidP="00B75D90">
      <w:pPr>
        <w:widowControl w:val="0"/>
        <w:spacing w:after="0" w:line="240" w:lineRule="auto"/>
        <w:rPr>
          <w:rFonts w:ascii="Times New Roman" w:eastAsia="SimSun" w:hAnsi="Times New Roman" w:cs="Times New Roman"/>
        </w:rPr>
        <w:sectPr w:rsidR="00B75D90" w:rsidRPr="00B75D90" w:rsidSect="00EA4111">
          <w:type w:val="continuous"/>
          <w:pgSz w:w="11907" w:h="16840" w:code="9"/>
          <w:pgMar w:top="1134" w:right="1418" w:bottom="1134" w:left="1418" w:header="1021" w:footer="709" w:gutter="0"/>
          <w:cols w:num="2" w:space="708"/>
          <w:formProt w:val="0"/>
          <w:docGrid w:linePitch="360"/>
        </w:sect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46" w:name="_Toc129243124"/>
      <w:bookmarkStart w:id="47" w:name="_Toc129243249"/>
      <w:r w:rsidRPr="00B75D90">
        <w:rPr>
          <w:rFonts w:ascii="Times New Roman" w:eastAsia="SimSun" w:hAnsi="Times New Roman" w:cs="Times New Roman"/>
          <w:b/>
        </w:rPr>
        <w:t>9.</w:t>
      </w:r>
      <w:r w:rsidRPr="00B75D90">
        <w:rPr>
          <w:rFonts w:ascii="Times New Roman" w:eastAsia="SimSun" w:hAnsi="Times New Roman" w:cs="Times New Roman"/>
          <w:b/>
        </w:rPr>
        <w:tab/>
        <w:t>REGISTRAVIMO / PERREGISTRAVIMO DATA</w:t>
      </w:r>
      <w:bookmarkEnd w:id="46"/>
      <w:bookmarkEnd w:id="47"/>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Registravimo data 2013 m. vasario 8 d.</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Paskutinio perregistravimo data 2017 m. </w:t>
      </w:r>
      <w:r w:rsidRPr="00B75D90">
        <w:rPr>
          <w:rFonts w:ascii="Times New Roman" w:eastAsia="Times New Roman" w:hAnsi="Times New Roman" w:cs="Times New Roman"/>
          <w:noProof/>
          <w:lang w:eastAsia="lt-LT"/>
        </w:rPr>
        <w:t>gruodžio 5</w:t>
      </w:r>
      <w:r w:rsidRPr="00B75D90">
        <w:rPr>
          <w:rFonts w:ascii="Times New Roman" w:eastAsia="SimSun" w:hAnsi="Times New Roman" w:cs="Times New Roman"/>
        </w:rPr>
        <w:t xml:space="preserve"> d.</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b/>
        </w:rPr>
      </w:pPr>
      <w:bookmarkStart w:id="48" w:name="_Toc129243125"/>
      <w:bookmarkStart w:id="49" w:name="_Toc129243250"/>
      <w:r w:rsidRPr="00B75D90">
        <w:rPr>
          <w:rFonts w:ascii="Times New Roman" w:eastAsia="SimSun" w:hAnsi="Times New Roman" w:cs="Times New Roman"/>
          <w:b/>
        </w:rPr>
        <w:t>10.</w:t>
      </w:r>
      <w:r w:rsidRPr="00B75D90">
        <w:rPr>
          <w:rFonts w:ascii="Times New Roman" w:eastAsia="SimSun" w:hAnsi="Times New Roman" w:cs="Times New Roman"/>
          <w:b/>
        </w:rPr>
        <w:tab/>
        <w:t>TEKSTO PERŽIŪROS DATA</w:t>
      </w:r>
      <w:bookmarkEnd w:id="48"/>
      <w:bookmarkEnd w:id="49"/>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Times New Roman" w:hAnsi="Times New Roman" w:cs="Times New Roman"/>
          <w:lang w:eastAsia="sl-SI"/>
        </w:rPr>
      </w:pPr>
      <w:r w:rsidRPr="00B75D90">
        <w:rPr>
          <w:rFonts w:ascii="Times New Roman" w:eastAsia="Times New Roman" w:hAnsi="Times New Roman" w:cs="Times New Roman"/>
          <w:lang w:eastAsia="sl-SI"/>
        </w:rPr>
        <w:t>201</w:t>
      </w:r>
      <w:r>
        <w:rPr>
          <w:rFonts w:ascii="Times New Roman" w:eastAsia="Times New Roman" w:hAnsi="Times New Roman" w:cs="Times New Roman"/>
          <w:lang w:eastAsia="sl-SI"/>
        </w:rPr>
        <w:t>9</w:t>
      </w:r>
      <w:r w:rsidRPr="00B75D90">
        <w:rPr>
          <w:rFonts w:ascii="Times New Roman" w:eastAsia="Times New Roman" w:hAnsi="Times New Roman" w:cs="Times New Roman"/>
          <w:lang w:eastAsia="sl-SI"/>
        </w:rPr>
        <w:t xml:space="preserve"> m. </w:t>
      </w:r>
      <w:r>
        <w:rPr>
          <w:rFonts w:ascii="Times New Roman" w:eastAsia="Times New Roman" w:hAnsi="Times New Roman" w:cs="Times New Roman"/>
          <w:lang w:eastAsia="sl-SI"/>
        </w:rPr>
        <w:t>spalio 7</w:t>
      </w:r>
      <w:r w:rsidRPr="00B75D90">
        <w:rPr>
          <w:rFonts w:ascii="Times New Roman" w:eastAsia="Times New Roman" w:hAnsi="Times New Roman" w:cs="Times New Roman"/>
          <w:lang w:eastAsia="sl-SI"/>
        </w:rPr>
        <w:t xml:space="preserve"> d.</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u w:val="single"/>
        </w:rPr>
      </w:pPr>
      <w:r w:rsidRPr="00B75D90">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B75D90">
        <w:rPr>
          <w:rFonts w:ascii="Times New Roman" w:eastAsia="SimSun" w:hAnsi="Times New Roman" w:cs="Times New Roman"/>
          <w:i/>
        </w:rPr>
        <w:t xml:space="preserve"> </w:t>
      </w:r>
      <w:hyperlink r:id="rId19" w:history="1">
        <w:r w:rsidRPr="00B75D90">
          <w:rPr>
            <w:rFonts w:ascii="Times New Roman" w:eastAsia="SimSun" w:hAnsi="Times New Roman" w:cs="Times New Roman"/>
            <w:u w:val="single"/>
          </w:rPr>
          <w:t>http://www.vvkt.lt/</w:t>
        </w:r>
      </w:hyperlink>
      <w:r w:rsidRPr="00B75D90">
        <w:rPr>
          <w:rFonts w:ascii="Times New Roman" w:eastAsia="SimSun" w:hAnsi="Times New Roman" w:cs="Times New Roman"/>
          <w:color w:val="3333FF"/>
        </w:rPr>
        <w:t>.</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4300"/>
          <w:tab w:val="left" w:pos="5940"/>
          <w:tab w:val="left" w:pos="8180"/>
        </w:tabs>
        <w:spacing w:after="0" w:line="240" w:lineRule="auto"/>
        <w:outlineLvl w:val="1"/>
        <w:rPr>
          <w:rFonts w:ascii="Times New Roman" w:eastAsia="SimSun" w:hAnsi="Times New Roman" w:cs="Times New Roman"/>
          <w:b/>
          <w:i/>
          <w:u w:val="single"/>
        </w:rPr>
      </w:pPr>
      <w:r w:rsidRPr="00B75D90">
        <w:rPr>
          <w:rFonts w:ascii="Times New Roman" w:eastAsia="SimSun" w:hAnsi="Times New Roman" w:cs="Times New Roman"/>
          <w:b/>
          <w:u w:val="single"/>
        </w:rPr>
        <w:br w:type="page"/>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rPr>
      </w:pPr>
      <w:r w:rsidRPr="00B75D90">
        <w:rPr>
          <w:rFonts w:ascii="Times New Roman" w:eastAsia="SimSun" w:hAnsi="Times New Roman" w:cs="Times New Roman"/>
          <w:b/>
        </w:rPr>
        <w:t>II PRIEDAS</w:t>
      </w:r>
    </w:p>
    <w:p w:rsidR="00B75D90" w:rsidRPr="00B75D90" w:rsidRDefault="00B75D90" w:rsidP="00B75D90">
      <w:pPr>
        <w:widowControl w:val="0"/>
        <w:spacing w:after="0" w:line="240" w:lineRule="auto"/>
        <w:rPr>
          <w:rFonts w:ascii="Times New Roman" w:eastAsia="SimSun" w:hAnsi="Times New Roman" w:cs="Times New Roman"/>
          <w:b/>
          <w:i/>
        </w:rPr>
      </w:pPr>
    </w:p>
    <w:p w:rsidR="00B75D90" w:rsidRPr="00B75D90" w:rsidRDefault="00B75D90" w:rsidP="00B75D90">
      <w:pPr>
        <w:widowControl w:val="0"/>
        <w:spacing w:after="0" w:line="240" w:lineRule="auto"/>
        <w:jc w:val="center"/>
        <w:rPr>
          <w:rFonts w:ascii="Times New Roman" w:eastAsia="SimSun" w:hAnsi="Times New Roman" w:cs="Times New Roman"/>
          <w:i/>
        </w:rPr>
      </w:pPr>
      <w:r w:rsidRPr="00B75D90">
        <w:rPr>
          <w:rFonts w:ascii="Times New Roman" w:eastAsia="SimSun" w:hAnsi="Times New Roman" w:cs="Times New Roman"/>
          <w:b/>
        </w:rPr>
        <w:t>REGISTRACIJOS SĄLYGOS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1701" w:right="1416" w:hanging="708"/>
        <w:rPr>
          <w:rFonts w:ascii="Times New Roman" w:eastAsia="SimSun" w:hAnsi="Times New Roman" w:cs="Times New Roman"/>
          <w:b/>
        </w:rPr>
      </w:pPr>
      <w:r w:rsidRPr="00B75D90">
        <w:rPr>
          <w:rFonts w:ascii="Times New Roman" w:eastAsia="SimSun" w:hAnsi="Times New Roman" w:cs="Times New Roman"/>
          <w:b/>
        </w:rPr>
        <w:t>A.</w:t>
      </w:r>
      <w:r w:rsidRPr="00B75D90">
        <w:rPr>
          <w:rFonts w:ascii="Times New Roman" w:eastAsia="SimSun" w:hAnsi="Times New Roman" w:cs="Times New Roman"/>
          <w:b/>
        </w:rPr>
        <w:tab/>
        <w:t>GAMINTOJAS, ATSAKINGAS UŽ SERIJŲ IŠLEIDIMĄ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1701" w:right="1416" w:hanging="708"/>
        <w:rPr>
          <w:rFonts w:ascii="Times New Roman" w:eastAsia="SimSun" w:hAnsi="Times New Roman" w:cs="Times New Roman"/>
        </w:rPr>
      </w:pPr>
      <w:r w:rsidRPr="00B75D90">
        <w:rPr>
          <w:rFonts w:ascii="Times New Roman" w:eastAsia="SimSun" w:hAnsi="Times New Roman" w:cs="Times New Roman"/>
          <w:b/>
        </w:rPr>
        <w:t>B.</w:t>
      </w:r>
      <w:r w:rsidRPr="00B75D90">
        <w:rPr>
          <w:rFonts w:ascii="Times New Roman" w:eastAsia="SimSun" w:hAnsi="Times New Roman" w:cs="Times New Roman"/>
          <w:b/>
        </w:rPr>
        <w:tab/>
        <w:t>TIEKIMO IR VARTOJIMO SĄLYGOS AR APRIBOJIMAI</w:t>
      </w:r>
    </w:p>
    <w:p w:rsidR="00B75D90" w:rsidRPr="00B75D90" w:rsidRDefault="00B75D90" w:rsidP="00B75D90">
      <w:pPr>
        <w:widowControl w:val="0"/>
        <w:tabs>
          <w:tab w:val="left" w:pos="567"/>
        </w:tabs>
        <w:spacing w:after="0" w:line="240" w:lineRule="auto"/>
        <w:rPr>
          <w:rFonts w:ascii="Times New Roman" w:eastAsia="SimSun" w:hAnsi="Times New Roman" w:cs="Times New Roman"/>
          <w:b/>
        </w:rPr>
      </w:pPr>
      <w:r w:rsidRPr="00B75D90">
        <w:rPr>
          <w:rFonts w:ascii="Times New Roman" w:eastAsia="SimSun" w:hAnsi="Times New Roman" w:cs="Times New Roman"/>
          <w:b/>
        </w:rPr>
        <w:br w:type="page"/>
      </w:r>
      <w:r w:rsidRPr="00B75D90">
        <w:rPr>
          <w:rFonts w:ascii="Times New Roman" w:eastAsia="SimSun" w:hAnsi="Times New Roman" w:cs="Times New Roman"/>
          <w:b/>
        </w:rPr>
        <w:lastRenderedPageBreak/>
        <w:t>A.</w:t>
      </w:r>
      <w:r w:rsidRPr="00B75D90">
        <w:rPr>
          <w:rFonts w:ascii="Times New Roman" w:eastAsia="SimSun" w:hAnsi="Times New Roman" w:cs="Times New Roman"/>
          <w:b/>
        </w:rPr>
        <w:tab/>
        <w:t>GAMINTOJAS (-AI), ATSAKINGAS (-I) UŽ SERIJŲ IŠLEIDIMĄ</w:t>
      </w:r>
    </w:p>
    <w:p w:rsidR="00B75D90" w:rsidRPr="00B75D90" w:rsidRDefault="00B75D90" w:rsidP="00B75D90">
      <w:pPr>
        <w:widowControl w:val="0"/>
        <w:spacing w:after="0" w:line="240" w:lineRule="auto"/>
        <w:jc w:val="both"/>
        <w:rPr>
          <w:rFonts w:ascii="Times New Roman" w:eastAsia="SimSun" w:hAnsi="Times New Roman" w:cs="Times New Roman"/>
          <w:u w:val="single"/>
        </w:rPr>
      </w:pPr>
    </w:p>
    <w:p w:rsidR="00B75D90" w:rsidRPr="00B75D90" w:rsidRDefault="00B75D90" w:rsidP="00B75D90">
      <w:pPr>
        <w:widowControl w:val="0"/>
        <w:spacing w:after="0" w:line="240" w:lineRule="auto"/>
        <w:jc w:val="both"/>
        <w:rPr>
          <w:rFonts w:ascii="Times New Roman" w:eastAsia="SimSun" w:hAnsi="Times New Roman" w:cs="Times New Roman"/>
        </w:rPr>
      </w:pPr>
      <w:r w:rsidRPr="00B75D90">
        <w:rPr>
          <w:rFonts w:ascii="Times New Roman" w:eastAsia="SimSun" w:hAnsi="Times New Roman" w:cs="Times New Roman"/>
          <w:u w:val="single"/>
        </w:rPr>
        <w:t>Gamintojo (-ų), atsakingo (-ų) už serijų išleidimą, pavadinimas (-ai) ir adresas (-ai)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SimSun" w:hAnsi="Times New Roman" w:cs="Times New Roman"/>
          <w:lang w:val="cs-CZ"/>
        </w:rPr>
        <w:t>TAD Pharma GmbH, Heinz-Lohmann-Straße 5, 27472 Cuxhaven, Vokietija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ind w:left="540" w:hanging="540"/>
        <w:rPr>
          <w:rFonts w:ascii="Times New Roman" w:eastAsia="SimSun" w:hAnsi="Times New Roman" w:cs="Times New Roman"/>
        </w:rPr>
      </w:pPr>
      <w:r w:rsidRPr="00B75D90">
        <w:rPr>
          <w:rFonts w:ascii="Times New Roman" w:eastAsia="SimSun" w:hAnsi="Times New Roman" w:cs="Times New Roman"/>
          <w:b/>
        </w:rPr>
        <w:t>B.</w:t>
      </w:r>
      <w:r w:rsidRPr="00B75D90">
        <w:rPr>
          <w:rFonts w:ascii="Times New Roman" w:eastAsia="SimSun" w:hAnsi="Times New Roman" w:cs="Times New Roman"/>
          <w:b/>
        </w:rPr>
        <w:tab/>
        <w:t>TIEKIMO IR VARTOJIMO SĄLYGOS AR APRIBOJIMAI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Receptinis vaistinis preparatas.</w:t>
      </w: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r w:rsidRPr="00B75D90">
        <w:rPr>
          <w:rFonts w:ascii="Times New Roman" w:eastAsia="SimSun" w:hAnsi="Times New Roman" w:cs="Times New Roman"/>
          <w:b/>
          <w:u w:val="single"/>
        </w:rPr>
        <w:br w:type="page"/>
      </w: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rPr>
      </w:pPr>
      <w:r w:rsidRPr="00B75D90">
        <w:rPr>
          <w:rFonts w:ascii="Times New Roman" w:eastAsia="SimSun" w:hAnsi="Times New Roman" w:cs="Times New Roman"/>
          <w:b/>
        </w:rPr>
        <w:t>III PRIEDAS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u w:val="single"/>
        </w:rPr>
      </w:pPr>
      <w:r w:rsidRPr="00B75D90">
        <w:rPr>
          <w:rFonts w:ascii="Times New Roman" w:eastAsia="SimSun" w:hAnsi="Times New Roman" w:cs="Times New Roman"/>
          <w:b/>
        </w:rPr>
        <w:t>ŽENKLINIMAS IR PAKUOTĖS LAPELIS</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br w:type="page"/>
      </w: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bookmarkStart w:id="50" w:name="_Toc129243136"/>
      <w:bookmarkStart w:id="51" w:name="_Toc129243261"/>
    </w:p>
    <w:p w:rsidR="00B75D90" w:rsidRPr="00B75D90" w:rsidRDefault="00B75D90" w:rsidP="00B75D90">
      <w:pPr>
        <w:widowControl w:val="0"/>
        <w:spacing w:after="0" w:line="240" w:lineRule="auto"/>
        <w:jc w:val="center"/>
        <w:rPr>
          <w:rFonts w:ascii="Times New Roman" w:eastAsia="SimSun" w:hAnsi="Times New Roman" w:cs="Times New Roman"/>
          <w:b/>
        </w:rPr>
      </w:pPr>
      <w:r w:rsidRPr="00B75D90">
        <w:rPr>
          <w:rFonts w:ascii="Times New Roman" w:eastAsia="SimSun" w:hAnsi="Times New Roman" w:cs="Times New Roman"/>
          <w:b/>
        </w:rPr>
        <w:t>A. ŽENKLINIMAS</w:t>
      </w:r>
      <w:bookmarkEnd w:id="50"/>
      <w:bookmarkEnd w:id="51"/>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rPr>
      </w:pPr>
      <w:r w:rsidRPr="00B75D90">
        <w:rPr>
          <w:rFonts w:ascii="Times New Roman" w:eastAsia="SimSun" w:hAnsi="Times New Roman" w:cs="Times New Roman"/>
          <w:b/>
        </w:rPr>
        <w:br w:type="page"/>
      </w:r>
      <w:r w:rsidRPr="00B75D90">
        <w:rPr>
          <w:rFonts w:ascii="Times New Roman" w:eastAsia="SimSun" w:hAnsi="Times New Roman" w:cs="Times New Roman"/>
          <w:b/>
        </w:rPr>
        <w:lastRenderedPageBreak/>
        <w:t>INFORMACIJA ANT IŠORINĖS PAKUOTĖS</w:t>
      </w: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lang w:val="cs-CZ"/>
        </w:rPr>
      </w:pPr>
      <w:r w:rsidRPr="00B75D90">
        <w:rPr>
          <w:rFonts w:ascii="Times New Roman" w:eastAsia="SimSun" w:hAnsi="Times New Roman" w:cs="Times New Roman"/>
          <w:b/>
        </w:rPr>
        <w:t>KARTONO DĖŽUTĖ</w:t>
      </w: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rPr>
      </w:pPr>
      <w:r w:rsidRPr="00B75D90">
        <w:rPr>
          <w:rFonts w:ascii="Times New Roman" w:eastAsia="SimSun" w:hAnsi="Times New Roman" w:cs="Times New Roman"/>
          <w:b/>
        </w:rPr>
        <w:t>1.</w:t>
      </w:r>
      <w:r w:rsidRPr="00B75D90">
        <w:rPr>
          <w:rFonts w:ascii="Times New Roman" w:eastAsia="SimSun" w:hAnsi="Times New Roman" w:cs="Times New Roman"/>
          <w:b/>
        </w:rPr>
        <w:tab/>
        <w:t>VAISTINIO PREPARATO PAVADINIMAS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Meapax 100 mg plėvele dengtos tabletės</w:t>
      </w: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Meapax 400 mg plėvele dengtos tabletės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rPr>
      </w:pPr>
      <w:r w:rsidRPr="00B75D90">
        <w:rPr>
          <w:rFonts w:ascii="Times New Roman" w:eastAsia="SimSun" w:hAnsi="Times New Roman" w:cs="Times New Roman"/>
          <w:b/>
        </w:rPr>
        <w:t>2.</w:t>
      </w:r>
      <w:r w:rsidRPr="00B75D90">
        <w:rPr>
          <w:rFonts w:ascii="Times New Roman" w:eastAsia="SimSun" w:hAnsi="Times New Roman" w:cs="Times New Roman"/>
          <w:b/>
        </w:rPr>
        <w:tab/>
        <w:t>VEIKLIOJI (-IOS) MEDŽIAGA (-OS) IR JOS (-Ų) KIEKIS (-IAI)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autoSpaceDE w:val="0"/>
        <w:autoSpaceDN w:val="0"/>
        <w:adjustRightInd w:val="0"/>
        <w:spacing w:after="0" w:line="240" w:lineRule="auto"/>
        <w:jc w:val="both"/>
        <w:rPr>
          <w:rFonts w:ascii="Times New Roman" w:eastAsia="SimSun" w:hAnsi="Times New Roman" w:cs="Times New Roman"/>
        </w:rPr>
      </w:pPr>
      <w:r w:rsidRPr="00B75D90">
        <w:rPr>
          <w:rFonts w:ascii="Times New Roman" w:eastAsia="SimSun" w:hAnsi="Times New Roman" w:cs="Times New Roman"/>
        </w:rPr>
        <w:t>Kiekvienoje plėvele dengtoje tabletėje yra 100 mg imatinibo, atitinkančio 119,50 mg imatinibo mesilato.</w:t>
      </w:r>
    </w:p>
    <w:p w:rsidR="00B75D90" w:rsidRPr="00B75D90" w:rsidRDefault="00B75D90" w:rsidP="00B75D90">
      <w:pPr>
        <w:widowControl w:val="0"/>
        <w:autoSpaceDE w:val="0"/>
        <w:autoSpaceDN w:val="0"/>
        <w:adjustRightInd w:val="0"/>
        <w:spacing w:after="0" w:line="240" w:lineRule="auto"/>
        <w:jc w:val="both"/>
        <w:rPr>
          <w:rFonts w:ascii="Times New Roman" w:eastAsia="SimSun" w:hAnsi="Times New Roman" w:cs="Times New Roman"/>
        </w:rPr>
      </w:pPr>
      <w:r w:rsidRPr="00B75D90">
        <w:rPr>
          <w:rFonts w:ascii="Times New Roman" w:eastAsia="SimSun" w:hAnsi="Times New Roman" w:cs="Times New Roman"/>
          <w:highlight w:val="lightGray"/>
        </w:rPr>
        <w:t>Kiekvienoje plėvele dengtoje tabletėje yra 400 mg imatinibo, atitinkančio 478 mg imatinibo mesilato.</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highlight w:val="lightGray"/>
        </w:rPr>
      </w:pPr>
      <w:r w:rsidRPr="00B75D90">
        <w:rPr>
          <w:rFonts w:ascii="Times New Roman" w:eastAsia="SimSun" w:hAnsi="Times New Roman" w:cs="Times New Roman"/>
          <w:b/>
        </w:rPr>
        <w:t>3.</w:t>
      </w:r>
      <w:r w:rsidRPr="00B75D90">
        <w:rPr>
          <w:rFonts w:ascii="Times New Roman" w:eastAsia="SimSun" w:hAnsi="Times New Roman" w:cs="Times New Roman"/>
          <w:b/>
        </w:rPr>
        <w:tab/>
        <w:t>PAGALBINIŲ MEDŽIAGŲ SĄRAŠAS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Sudėtyje yra laktozės monohidrato.</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Daugiau informacijos žr. pakuotės lapelyje.</w:t>
      </w:r>
    </w:p>
    <w:p w:rsidR="00B75D90" w:rsidRPr="00B75D90" w:rsidRDefault="00B75D90" w:rsidP="00B75D90">
      <w:pPr>
        <w:widowControl w:val="0"/>
        <w:spacing w:after="0" w:line="240" w:lineRule="auto"/>
        <w:rPr>
          <w:rFonts w:ascii="Times New Roman" w:eastAsia="SimSun" w:hAnsi="Times New Roman" w:cs="Times New Roman"/>
          <w:i/>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rPr>
      </w:pPr>
      <w:r w:rsidRPr="00B75D90">
        <w:rPr>
          <w:rFonts w:ascii="Times New Roman" w:eastAsia="SimSun" w:hAnsi="Times New Roman" w:cs="Times New Roman"/>
          <w:b/>
        </w:rPr>
        <w:t>4.</w:t>
      </w:r>
      <w:r w:rsidRPr="00B75D90">
        <w:rPr>
          <w:rFonts w:ascii="Times New Roman" w:eastAsia="SimSun" w:hAnsi="Times New Roman" w:cs="Times New Roman"/>
          <w:b/>
        </w:rPr>
        <w:tab/>
        <w:t>FARMACINĖ FORMA IR KIEKIS PAKUOTĖJE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Plėvele dengta tabletė</w:t>
      </w:r>
    </w:p>
    <w:p w:rsidR="00B75D90" w:rsidRPr="00B75D90" w:rsidRDefault="00B75D90" w:rsidP="00B75D90">
      <w:pPr>
        <w:widowControl w:val="0"/>
        <w:spacing w:after="0" w:line="240" w:lineRule="auto"/>
        <w:rPr>
          <w:rFonts w:ascii="Times New Roman" w:eastAsia="SimSun" w:hAnsi="Times New Roman" w:cs="Times New Roman"/>
          <w:highlight w:val="lightGray"/>
        </w:rPr>
      </w:pPr>
    </w:p>
    <w:p w:rsidR="00B75D90" w:rsidRPr="00B75D90" w:rsidRDefault="00B75D90" w:rsidP="00B75D90">
      <w:pPr>
        <w:widowControl w:val="0"/>
        <w:spacing w:after="0" w:line="240" w:lineRule="auto"/>
        <w:rPr>
          <w:rFonts w:ascii="Times New Roman" w:eastAsia="SimSun" w:hAnsi="Times New Roman" w:cs="Times New Roman"/>
          <w:i/>
          <w:highlight w:val="lightGray"/>
          <w:u w:val="single"/>
        </w:rPr>
      </w:pPr>
      <w:r w:rsidRPr="00B75D90">
        <w:rPr>
          <w:rFonts w:ascii="Times New Roman" w:eastAsia="SimSun" w:hAnsi="Times New Roman" w:cs="Times New Roman"/>
          <w:i/>
          <w:highlight w:val="lightGray"/>
          <w:u w:val="single"/>
        </w:rPr>
        <w:t>100 mg plėvele dengtos tabletės</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20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30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60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90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120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highlight w:val="lightGray"/>
        </w:rPr>
        <w:t>180 plėvele dengtų tablečių</w:t>
      </w:r>
    </w:p>
    <w:p w:rsidR="00B75D90" w:rsidRPr="00B75D90" w:rsidRDefault="00B75D90" w:rsidP="00B75D90">
      <w:pPr>
        <w:widowControl w:val="0"/>
        <w:autoSpaceDE w:val="0"/>
        <w:autoSpaceDN w:val="0"/>
        <w:spacing w:after="0" w:line="240" w:lineRule="auto"/>
        <w:rPr>
          <w:rFonts w:ascii="Times New Roman" w:eastAsia="SimSun" w:hAnsi="Times New Roman" w:cs="Times New Roman"/>
          <w:i/>
        </w:rPr>
      </w:pPr>
    </w:p>
    <w:p w:rsidR="00B75D90" w:rsidRPr="00B75D90" w:rsidRDefault="00B75D90" w:rsidP="00B75D90">
      <w:pPr>
        <w:widowControl w:val="0"/>
        <w:autoSpaceDE w:val="0"/>
        <w:autoSpaceDN w:val="0"/>
        <w:spacing w:after="0" w:line="240" w:lineRule="auto"/>
        <w:rPr>
          <w:rFonts w:ascii="Times New Roman" w:eastAsia="SimSun" w:hAnsi="Times New Roman" w:cs="Times New Roman"/>
          <w:i/>
          <w:highlight w:val="lightGray"/>
          <w:u w:val="single"/>
        </w:rPr>
      </w:pPr>
      <w:r w:rsidRPr="00B75D90">
        <w:rPr>
          <w:rFonts w:ascii="Times New Roman" w:eastAsia="SimSun" w:hAnsi="Times New Roman" w:cs="Times New Roman"/>
          <w:i/>
          <w:highlight w:val="lightGray"/>
          <w:u w:val="single"/>
        </w:rPr>
        <w:t>400 mg plėvele dengtos tabletės</w:t>
      </w:r>
    </w:p>
    <w:p w:rsidR="00B75D90" w:rsidRPr="00B75D90" w:rsidRDefault="00B75D90" w:rsidP="00B75D90">
      <w:pPr>
        <w:widowControl w:val="0"/>
        <w:tabs>
          <w:tab w:val="left" w:pos="567"/>
        </w:tabs>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10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30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60 plėvele dengtų tablečių</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highlight w:val="lightGray"/>
        </w:rPr>
        <w:t>90 plėvele dengtų tablečių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highlight w:val="lightGray"/>
        </w:rPr>
      </w:pPr>
      <w:r w:rsidRPr="00B75D90">
        <w:rPr>
          <w:rFonts w:ascii="Times New Roman" w:eastAsia="SimSun" w:hAnsi="Times New Roman" w:cs="Times New Roman"/>
          <w:b/>
        </w:rPr>
        <w:t>5.</w:t>
      </w:r>
      <w:r w:rsidRPr="00B75D90">
        <w:rPr>
          <w:rFonts w:ascii="Times New Roman" w:eastAsia="SimSun" w:hAnsi="Times New Roman" w:cs="Times New Roman"/>
          <w:b/>
        </w:rPr>
        <w:tab/>
        <w:t>VARTOJIMO METODAS IR BŪDAS (-AI)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Prieš vartojimą perskaitykite pakuotės lapelį.</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Vartoti per burną.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rPr>
      </w:pPr>
      <w:r w:rsidRPr="00B75D90">
        <w:rPr>
          <w:rFonts w:ascii="Times New Roman" w:eastAsia="SimSun" w:hAnsi="Times New Roman" w:cs="Times New Roman"/>
          <w:b/>
        </w:rPr>
        <w:t>6.</w:t>
      </w:r>
      <w:r w:rsidRPr="00B75D90">
        <w:rPr>
          <w:rFonts w:ascii="Times New Roman" w:eastAsia="SimSun" w:hAnsi="Times New Roman" w:cs="Times New Roman"/>
          <w:b/>
        </w:rPr>
        <w:tab/>
        <w:t>SPECIALUS ĮSPĖJIMAS, KAD VAISTINĮ PREPARATĄ BŪTINA LAIKYTI VAIKAMS NEPASTEBIMOJE IR NEPASIEKIAMOJE VIETOJE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Laikyti vaikams nepastebimoje ir nepasiekiamoje vietoje.</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highlight w:val="lightGray"/>
        </w:rPr>
      </w:pPr>
      <w:r w:rsidRPr="00B75D90">
        <w:rPr>
          <w:rFonts w:ascii="Times New Roman" w:eastAsia="SimSun" w:hAnsi="Times New Roman" w:cs="Times New Roman"/>
          <w:b/>
        </w:rPr>
        <w:t>7.</w:t>
      </w:r>
      <w:r w:rsidRPr="00B75D90">
        <w:rPr>
          <w:rFonts w:ascii="Times New Roman" w:eastAsia="SimSun" w:hAnsi="Times New Roman" w:cs="Times New Roman"/>
          <w:b/>
        </w:rPr>
        <w:tab/>
        <w:t>KITAS (-I) SPECIALUS (-ŪS) ĮSPĖJIMAS (-AI) (JEI REIKIA)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highlight w:val="lightGray"/>
        </w:rPr>
      </w:pPr>
      <w:r w:rsidRPr="00B75D90">
        <w:rPr>
          <w:rFonts w:ascii="Times New Roman" w:eastAsia="SimSun" w:hAnsi="Times New Roman" w:cs="Times New Roman"/>
          <w:b/>
        </w:rPr>
        <w:t>8.</w:t>
      </w:r>
      <w:r w:rsidRPr="00B75D90">
        <w:rPr>
          <w:rFonts w:ascii="Times New Roman" w:eastAsia="SimSun" w:hAnsi="Times New Roman" w:cs="Times New Roman"/>
          <w:b/>
        </w:rPr>
        <w:tab/>
        <w:t>TINKAMUMO LAIKAS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EXP (mm/MMMM)</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highlight w:val="lightGray"/>
        </w:rPr>
        <w:t>Tinka iki (mm/MMMM)</w:t>
      </w:r>
    </w:p>
    <w:p w:rsidR="00B75D90" w:rsidRPr="00B75D90" w:rsidRDefault="00B75D90" w:rsidP="00B75D90">
      <w:pPr>
        <w:widowControl w:val="0"/>
        <w:spacing w:after="0" w:line="240" w:lineRule="auto"/>
        <w:rPr>
          <w:rFonts w:ascii="Times New Roman" w:eastAsia="SimSun" w:hAnsi="Times New Roman" w:cs="Times New Roman"/>
          <w:highlight w:val="cy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rPr>
      </w:pPr>
      <w:r w:rsidRPr="00B75D90">
        <w:rPr>
          <w:rFonts w:ascii="Times New Roman" w:eastAsia="SimSun" w:hAnsi="Times New Roman" w:cs="Times New Roman"/>
          <w:b/>
        </w:rPr>
        <w:t>9.</w:t>
      </w:r>
      <w:r w:rsidRPr="00B75D90">
        <w:rPr>
          <w:rFonts w:ascii="Times New Roman" w:eastAsia="SimSun" w:hAnsi="Times New Roman" w:cs="Times New Roman"/>
          <w:b/>
        </w:rPr>
        <w:tab/>
        <w:t>SPECIALIOS LAIKYMO SĄLYGOS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rPr>
      </w:pPr>
      <w:r w:rsidRPr="00B75D90">
        <w:rPr>
          <w:rFonts w:ascii="Times New Roman" w:eastAsia="SimSun" w:hAnsi="Times New Roman" w:cs="Times New Roman"/>
          <w:b/>
        </w:rPr>
        <w:t>10.</w:t>
      </w:r>
      <w:r w:rsidRPr="00B75D90">
        <w:rPr>
          <w:rFonts w:ascii="Times New Roman" w:eastAsia="SimSun" w:hAnsi="Times New Roman" w:cs="Times New Roman"/>
          <w:b/>
        </w:rPr>
        <w:tab/>
        <w:t>SPECIALIOS ATSARGUMO PRIEMONĖS DĖL NESUVARTOTO VAISTINIO PREPARATO AR JO ATLIEKŲ TVARKYMO (JEI REIKIA)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rPr>
      </w:pPr>
      <w:r w:rsidRPr="00B75D90">
        <w:rPr>
          <w:rFonts w:ascii="Times New Roman" w:eastAsia="SimSun" w:hAnsi="Times New Roman" w:cs="Times New Roman"/>
          <w:b/>
        </w:rPr>
        <w:t>11.</w:t>
      </w:r>
      <w:r w:rsidRPr="00B75D90">
        <w:rPr>
          <w:rFonts w:ascii="Times New Roman" w:eastAsia="SimSun" w:hAnsi="Times New Roman" w:cs="Times New Roman"/>
          <w:b/>
        </w:rPr>
        <w:tab/>
      </w:r>
      <w:r w:rsidRPr="00B75D90">
        <w:rPr>
          <w:rFonts w:ascii="Times New Roman" w:eastAsia="SimSun" w:hAnsi="Times New Roman" w:cs="Times New Roman"/>
          <w:b/>
          <w:caps/>
        </w:rPr>
        <w:t>REGISTRUOTOJO PAVADINIMAS IR ADRESAS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Times New Roman" w:hAnsi="Times New Roman" w:cs="Times New Roman"/>
          <w:lang w:val="cs-CZ" w:eastAsia="sl-SI"/>
        </w:rPr>
        <w:t>TAD Pharma GmbH</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Times New Roman" w:hAnsi="Times New Roman" w:cs="Times New Roman"/>
          <w:lang w:val="cs-CZ" w:eastAsia="sl-SI"/>
        </w:rPr>
        <w:t>Heinz-Lohmann-Straße 5</w:t>
      </w: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Times New Roman" w:hAnsi="Times New Roman" w:cs="Times New Roman"/>
          <w:lang w:val="cs-CZ" w:eastAsia="sl-SI"/>
        </w:rPr>
        <w:t>27472 Cuxhaven</w:t>
      </w:r>
    </w:p>
    <w:p w:rsidR="00B75D90" w:rsidRPr="00B75D90" w:rsidRDefault="00B75D90" w:rsidP="00B75D90">
      <w:pPr>
        <w:widowControl w:val="0"/>
        <w:spacing w:after="0" w:line="240" w:lineRule="auto"/>
        <w:rPr>
          <w:rFonts w:ascii="Times New Roman" w:eastAsia="Times New Roman" w:hAnsi="Times New Roman" w:cs="Times New Roman"/>
          <w:lang w:val="cs-CZ" w:eastAsia="sl-SI"/>
        </w:rPr>
      </w:pPr>
      <w:r w:rsidRPr="00B75D90">
        <w:rPr>
          <w:rFonts w:ascii="Times New Roman" w:eastAsia="Times New Roman" w:hAnsi="Times New Roman" w:cs="Times New Roman"/>
          <w:lang w:val="cs-CZ" w:eastAsia="sl-SI"/>
        </w:rPr>
        <w:t>Vokietija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rPr>
      </w:pPr>
      <w:r w:rsidRPr="00B75D90">
        <w:rPr>
          <w:rFonts w:ascii="Times New Roman" w:eastAsia="SimSun" w:hAnsi="Times New Roman" w:cs="Times New Roman"/>
          <w:b/>
        </w:rPr>
        <w:t>12.</w:t>
      </w:r>
      <w:r w:rsidRPr="00B75D90">
        <w:rPr>
          <w:rFonts w:ascii="Times New Roman" w:eastAsia="SimSun" w:hAnsi="Times New Roman" w:cs="Times New Roman"/>
          <w:b/>
        </w:rPr>
        <w:tab/>
        <w:t>REGISTRACIJOS PAŽYMĖJIMO NUMERIS (-IAI)</w:t>
      </w:r>
    </w:p>
    <w:p w:rsidR="00B75D90" w:rsidRPr="00B75D90" w:rsidRDefault="00B75D90" w:rsidP="00B75D90">
      <w:pPr>
        <w:widowControl w:val="0"/>
        <w:spacing w:after="0" w:line="240" w:lineRule="auto"/>
        <w:outlineLvl w:val="0"/>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Meapax 100 mg</w:t>
      </w:r>
    </w:p>
    <w:p w:rsidR="00B75D90" w:rsidRPr="00B75D90" w:rsidRDefault="00B75D90" w:rsidP="00B75D90">
      <w:pPr>
        <w:widowControl w:val="0"/>
        <w:spacing w:after="0" w:line="240" w:lineRule="auto"/>
        <w:rPr>
          <w:rFonts w:ascii="Times New Roman" w:eastAsia="Times New Roman" w:hAnsi="Times New Roman" w:cs="Times New Roman"/>
        </w:rPr>
      </w:pPr>
      <w:r w:rsidRPr="00B75D90">
        <w:rPr>
          <w:rFonts w:ascii="Times New Roman" w:eastAsia="Times New Roman" w:hAnsi="Times New Roman" w:cs="Times New Roman"/>
          <w:highlight w:val="lightGray"/>
        </w:rPr>
        <w:t>N20 –</w:t>
      </w:r>
      <w:r w:rsidRPr="00B75D90">
        <w:rPr>
          <w:rFonts w:ascii="Times New Roman" w:eastAsia="Times New Roman" w:hAnsi="Times New Roman" w:cs="Times New Roman"/>
        </w:rPr>
        <w:t xml:space="preserve"> LT/1/13/3206/001</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N30 – LT/1/13/3206/002</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N60 – LT/1/13/3206/003</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N90 – LT/1/13/3206/004</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N120 – LT/1/13/3206/005</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N180 – LT/1/13/3206/006</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Meapax 400 mg</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N10 – LT/1/13/3206/007</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N30 – LT/1/13/3206/008</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N60 – LT/1/13/3206/009</w:t>
      </w:r>
    </w:p>
    <w:p w:rsidR="00B75D90" w:rsidRPr="00B75D90" w:rsidRDefault="00B75D90" w:rsidP="00B75D90">
      <w:pPr>
        <w:widowControl w:val="0"/>
        <w:spacing w:after="0" w:line="240" w:lineRule="auto"/>
        <w:rPr>
          <w:rFonts w:ascii="Times New Roman" w:eastAsia="Times New Roman" w:hAnsi="Times New Roman" w:cs="Times New Roman"/>
          <w:highlight w:val="lightGray"/>
        </w:rPr>
      </w:pPr>
      <w:r w:rsidRPr="00B75D90">
        <w:rPr>
          <w:rFonts w:ascii="Times New Roman" w:eastAsia="Times New Roman" w:hAnsi="Times New Roman" w:cs="Times New Roman"/>
          <w:highlight w:val="lightGray"/>
        </w:rPr>
        <w:t>N90 – LT/1/13/3206/010</w:t>
      </w:r>
    </w:p>
    <w:p w:rsidR="00B75D90" w:rsidRPr="00B75D90" w:rsidRDefault="00B75D90" w:rsidP="00B75D90">
      <w:pPr>
        <w:widowControl w:val="0"/>
        <w:spacing w:after="0" w:line="240" w:lineRule="auto"/>
        <w:outlineLvl w:val="0"/>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rPr>
      </w:pPr>
      <w:r w:rsidRPr="00B75D90">
        <w:rPr>
          <w:rFonts w:ascii="Times New Roman" w:eastAsia="SimSun" w:hAnsi="Times New Roman" w:cs="Times New Roman"/>
          <w:b/>
        </w:rPr>
        <w:t>13.</w:t>
      </w:r>
      <w:r w:rsidRPr="00B75D90">
        <w:rPr>
          <w:rFonts w:ascii="Times New Roman" w:eastAsia="SimSun" w:hAnsi="Times New Roman" w:cs="Times New Roman"/>
          <w:b/>
        </w:rPr>
        <w:tab/>
        <w:t>SERIJOS NUMERIS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Lot</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highlight w:val="lightGray"/>
        </w:rPr>
        <w:t>Serija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rPr>
      </w:pPr>
      <w:r w:rsidRPr="00B75D90">
        <w:rPr>
          <w:rFonts w:ascii="Times New Roman" w:eastAsia="SimSun" w:hAnsi="Times New Roman" w:cs="Times New Roman"/>
          <w:b/>
        </w:rPr>
        <w:t>14.</w:t>
      </w:r>
      <w:r w:rsidRPr="00B75D90">
        <w:rPr>
          <w:rFonts w:ascii="Times New Roman" w:eastAsia="SimSun" w:hAnsi="Times New Roman" w:cs="Times New Roman"/>
          <w:b/>
        </w:rPr>
        <w:tab/>
        <w:t>PARDAVIMO (IŠDAVIMO) TVARKA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Receptinis vaistas.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rPr>
      </w:pPr>
      <w:r w:rsidRPr="00B75D90">
        <w:rPr>
          <w:rFonts w:ascii="Times New Roman" w:eastAsia="SimSun" w:hAnsi="Times New Roman" w:cs="Times New Roman"/>
          <w:b/>
        </w:rPr>
        <w:t>15.</w:t>
      </w:r>
      <w:r w:rsidRPr="00B75D90">
        <w:rPr>
          <w:rFonts w:ascii="Times New Roman" w:eastAsia="SimSun" w:hAnsi="Times New Roman" w:cs="Times New Roman"/>
          <w:b/>
        </w:rPr>
        <w:tab/>
        <w:t>VARTOJIMO INSTRUKCIJA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rPr>
      </w:pPr>
      <w:r w:rsidRPr="00B75D90">
        <w:rPr>
          <w:rFonts w:ascii="Times New Roman" w:eastAsia="SimSun" w:hAnsi="Times New Roman" w:cs="Times New Roman"/>
          <w:b/>
        </w:rPr>
        <w:t>16.</w:t>
      </w:r>
      <w:r w:rsidRPr="00B75D90">
        <w:rPr>
          <w:rFonts w:ascii="Times New Roman" w:eastAsia="SimSun" w:hAnsi="Times New Roman" w:cs="Times New Roman"/>
          <w:b/>
        </w:rPr>
        <w:tab/>
        <w:t>INFORMACIJA BRAILIO RAŠTU</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Meapax 100 mg</w:t>
      </w: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Meapax 400 mg</w:t>
      </w:r>
    </w:p>
    <w:p w:rsidR="00B75D90" w:rsidRPr="00B75D90" w:rsidRDefault="00B75D90" w:rsidP="00B75D90">
      <w:pPr>
        <w:widowControl w:val="0"/>
        <w:spacing w:after="0" w:line="240" w:lineRule="auto"/>
        <w:rPr>
          <w:rFonts w:ascii="Times New Roman" w:eastAsia="SimSun" w:hAnsi="Times New Roman" w:cs="Times New Roman"/>
          <w:highlight w:val="lightGray"/>
        </w:rPr>
      </w:pPr>
    </w:p>
    <w:p w:rsidR="00B75D90" w:rsidRPr="00B75D90" w:rsidRDefault="00B75D90" w:rsidP="00B75D90">
      <w:pPr>
        <w:widowControl w:val="0"/>
        <w:spacing w:after="0" w:line="240" w:lineRule="auto"/>
        <w:rPr>
          <w:rFonts w:ascii="Times New Roman" w:eastAsia="SimSun" w:hAnsi="Times New Roman" w:cs="Times New Roman"/>
          <w:highlight w:val="lightGray"/>
          <w:lang w:val="cs-CZ"/>
        </w:rPr>
      </w:pPr>
    </w:p>
    <w:p w:rsidR="00B75D90" w:rsidRPr="00B75D90" w:rsidRDefault="00B75D90" w:rsidP="00B75D9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rPr>
      </w:pPr>
      <w:r w:rsidRPr="00B75D90">
        <w:rPr>
          <w:rFonts w:ascii="Times New Roman" w:eastAsia="Times New Roman" w:hAnsi="Times New Roman" w:cs="Times New Roman"/>
          <w:b/>
          <w:noProof/>
        </w:rPr>
        <w:t>17.</w:t>
      </w:r>
      <w:r w:rsidRPr="00B75D90">
        <w:rPr>
          <w:rFonts w:ascii="Times New Roman" w:eastAsia="Times New Roman" w:hAnsi="Times New Roman" w:cs="Times New Roman"/>
          <w:b/>
          <w:noProof/>
        </w:rPr>
        <w:tab/>
        <w:t>UNIKALUS IDENTIFIKATORIUS – 2D BRŪKŠNINIS KODAS</w:t>
      </w:r>
    </w:p>
    <w:p w:rsidR="00B75D90" w:rsidRPr="00B75D90" w:rsidRDefault="00B75D90" w:rsidP="00B75D90">
      <w:pPr>
        <w:widowControl w:val="0"/>
        <w:spacing w:after="0" w:line="240" w:lineRule="auto"/>
        <w:ind w:left="539" w:hanging="539"/>
        <w:rPr>
          <w:rFonts w:ascii="Times New Roman" w:eastAsia="Calibri" w:hAnsi="Times New Roman" w:cs="Times New Roman"/>
          <w:lang w:val="cs-CZ"/>
        </w:rPr>
      </w:pPr>
    </w:p>
    <w:p w:rsidR="00B75D90" w:rsidRPr="00B75D90" w:rsidRDefault="00B75D90" w:rsidP="00B75D90">
      <w:pPr>
        <w:widowControl w:val="0"/>
        <w:spacing w:after="0" w:line="240" w:lineRule="auto"/>
        <w:ind w:left="539" w:hanging="539"/>
        <w:rPr>
          <w:rFonts w:ascii="Times New Roman" w:eastAsia="Calibri" w:hAnsi="Times New Roman" w:cs="Times New Roman"/>
          <w:highlight w:val="lightGray"/>
          <w:lang w:val="cs-CZ"/>
        </w:rPr>
      </w:pPr>
      <w:r w:rsidRPr="00B75D90">
        <w:rPr>
          <w:rFonts w:ascii="Times New Roman" w:eastAsia="Calibri" w:hAnsi="Times New Roman" w:cs="Times New Roman"/>
          <w:highlight w:val="lightGray"/>
          <w:lang w:val="cs-CZ"/>
        </w:rPr>
        <w:t>2D brūkšninis kodas su nurodytu unikaliu identifikatoriumi.</w:t>
      </w:r>
    </w:p>
    <w:p w:rsidR="00B75D90" w:rsidRPr="00B75D90" w:rsidRDefault="00B75D90" w:rsidP="00B75D90">
      <w:pPr>
        <w:widowControl w:val="0"/>
        <w:spacing w:after="0" w:line="240" w:lineRule="auto"/>
        <w:ind w:left="539" w:hanging="539"/>
        <w:rPr>
          <w:rFonts w:ascii="Times New Roman" w:eastAsia="Calibri" w:hAnsi="Times New Roman" w:cs="Times New Roman"/>
          <w:lang w:val="cs-CZ"/>
        </w:rPr>
      </w:pPr>
    </w:p>
    <w:p w:rsidR="00B75D90" w:rsidRPr="00B75D90" w:rsidRDefault="00B75D90" w:rsidP="00B75D90">
      <w:pPr>
        <w:widowControl w:val="0"/>
        <w:tabs>
          <w:tab w:val="left" w:pos="567"/>
        </w:tabs>
        <w:spacing w:after="0" w:line="240" w:lineRule="auto"/>
        <w:ind w:left="539" w:hanging="539"/>
        <w:rPr>
          <w:rFonts w:ascii="Times New Roman" w:eastAsia="Times New Roman" w:hAnsi="Times New Roman" w:cs="Times New Roman"/>
          <w:snapToGrid w:val="0"/>
          <w:lang w:val="cs-CZ" w:eastAsia="zh-CN"/>
        </w:rPr>
      </w:pPr>
    </w:p>
    <w:p w:rsidR="00B75D90" w:rsidRPr="00B75D90" w:rsidRDefault="00B75D90" w:rsidP="00B75D90">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fi-FI"/>
        </w:rPr>
      </w:pPr>
      <w:r w:rsidRPr="00B75D90">
        <w:rPr>
          <w:rFonts w:ascii="Times New Roman" w:eastAsia="Times New Roman" w:hAnsi="Times New Roman" w:cs="Times New Roman"/>
          <w:b/>
          <w:noProof/>
          <w:lang w:val="fi-FI"/>
        </w:rPr>
        <w:t>18.</w:t>
      </w:r>
      <w:r w:rsidRPr="00B75D90">
        <w:rPr>
          <w:rFonts w:ascii="Times New Roman" w:eastAsia="Times New Roman" w:hAnsi="Times New Roman" w:cs="Times New Roman"/>
          <w:b/>
          <w:noProof/>
          <w:lang w:val="fi-FI"/>
        </w:rPr>
        <w:tab/>
        <w:t>UNIKALUS IDENTIFIKATORIUS – ŽMONĖMS SUPRANTAMI DUOMENYS</w:t>
      </w:r>
    </w:p>
    <w:p w:rsidR="00B75D90" w:rsidRPr="00B75D90" w:rsidRDefault="00B75D90" w:rsidP="00B75D90">
      <w:pPr>
        <w:widowControl w:val="0"/>
        <w:spacing w:after="0" w:line="240" w:lineRule="auto"/>
        <w:ind w:left="539" w:hanging="539"/>
        <w:rPr>
          <w:rFonts w:ascii="Times New Roman" w:eastAsia="Calibri" w:hAnsi="Times New Roman" w:cs="Times New Roman"/>
          <w:lang w:val="cs-CZ"/>
        </w:rPr>
      </w:pPr>
    </w:p>
    <w:p w:rsidR="00B75D90" w:rsidRPr="00B75D90" w:rsidRDefault="00B75D90" w:rsidP="00B75D90">
      <w:pPr>
        <w:widowControl w:val="0"/>
        <w:spacing w:after="0" w:line="240" w:lineRule="auto"/>
        <w:ind w:left="539" w:hanging="539"/>
        <w:rPr>
          <w:rFonts w:ascii="Times New Roman" w:eastAsia="Calibri" w:hAnsi="Times New Roman" w:cs="Times New Roman"/>
          <w:lang w:val="cs-CZ"/>
        </w:rPr>
      </w:pPr>
      <w:r w:rsidRPr="00B75D90">
        <w:rPr>
          <w:rFonts w:ascii="Times New Roman" w:eastAsia="Calibri" w:hAnsi="Times New Roman" w:cs="Times New Roman"/>
          <w:lang w:val="cs-CZ"/>
        </w:rPr>
        <w:t>PC:</w:t>
      </w:r>
    </w:p>
    <w:p w:rsidR="00B75D90" w:rsidRPr="00B75D90" w:rsidRDefault="00B75D90" w:rsidP="00B75D90">
      <w:pPr>
        <w:widowControl w:val="0"/>
        <w:spacing w:after="0" w:line="240" w:lineRule="auto"/>
        <w:ind w:left="539" w:hanging="539"/>
        <w:rPr>
          <w:rFonts w:ascii="Times New Roman" w:eastAsia="Calibri" w:hAnsi="Times New Roman" w:cs="Times New Roman"/>
          <w:lang w:val="cs-CZ"/>
        </w:rPr>
      </w:pPr>
      <w:r w:rsidRPr="00B75D90">
        <w:rPr>
          <w:rFonts w:ascii="Times New Roman" w:eastAsia="Calibri" w:hAnsi="Times New Roman" w:cs="Times New Roman"/>
          <w:lang w:val="cs-CZ"/>
        </w:rPr>
        <w:t>SN:</w:t>
      </w:r>
    </w:p>
    <w:p w:rsidR="00B75D90" w:rsidRPr="00B75D90" w:rsidRDefault="00B75D90" w:rsidP="00B75D90">
      <w:pPr>
        <w:widowControl w:val="0"/>
        <w:spacing w:after="0" w:line="240" w:lineRule="auto"/>
        <w:ind w:left="539" w:hanging="539"/>
        <w:rPr>
          <w:rFonts w:ascii="Times New Roman" w:eastAsia="Calibri" w:hAnsi="Times New Roman" w:cs="Times New Roman"/>
          <w:highlight w:val="lightGray"/>
          <w:lang w:val="cs-CZ"/>
        </w:rPr>
      </w:pPr>
      <w:r w:rsidRPr="00B75D90">
        <w:rPr>
          <w:rFonts w:ascii="Times New Roman" w:eastAsia="Calibri" w:hAnsi="Times New Roman" w:cs="Times New Roman"/>
          <w:highlight w:val="lightGray"/>
          <w:lang w:val="cs-CZ"/>
        </w:rPr>
        <w:t>NN:</w:t>
      </w:r>
    </w:p>
    <w:p w:rsidR="00B75D90" w:rsidRPr="00B75D90" w:rsidRDefault="00B75D90" w:rsidP="00B75D90">
      <w:pPr>
        <w:widowControl w:val="0"/>
        <w:spacing w:after="0" w:line="240" w:lineRule="auto"/>
        <w:rPr>
          <w:rFonts w:ascii="Times New Roman" w:eastAsia="SimSun" w:hAnsi="Times New Roman" w:cs="Times New Roman"/>
          <w:highlight w:val="lightGray"/>
          <w:lang w:val="cs-CZ"/>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br w:type="page"/>
      </w: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highlight w:val="cyan"/>
        </w:rPr>
      </w:pPr>
      <w:r w:rsidRPr="00B75D90">
        <w:rPr>
          <w:rFonts w:ascii="Times New Roman" w:eastAsia="SimSun" w:hAnsi="Times New Roman" w:cs="Times New Roman"/>
          <w:b/>
        </w:rPr>
        <w:lastRenderedPageBreak/>
        <w:t>MINIMALI INFORMACIJA ANT LIZDINIŲ PLOKŠTELIŲ ARBA DVISLUOKSNIŲ JUOSTELIŲ</w:t>
      </w: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highlight w:val="cy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lang w:val="cs-CZ"/>
        </w:rPr>
      </w:pPr>
      <w:r w:rsidRPr="00B75D90">
        <w:rPr>
          <w:rFonts w:ascii="Times New Roman" w:eastAsia="SimSun" w:hAnsi="Times New Roman" w:cs="Times New Roman"/>
          <w:b/>
        </w:rPr>
        <w:t>LIZDINĖ PLOKŠTELĖ</w:t>
      </w: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b/>
        </w:rPr>
        <w:t>1.</w:t>
      </w:r>
      <w:r w:rsidRPr="00B75D90">
        <w:rPr>
          <w:rFonts w:ascii="Times New Roman" w:eastAsia="SimSun" w:hAnsi="Times New Roman" w:cs="Times New Roman"/>
          <w:b/>
        </w:rPr>
        <w:tab/>
      </w:r>
      <w:r w:rsidRPr="00B75D90">
        <w:rPr>
          <w:rFonts w:ascii="Times New Roman" w:eastAsia="SimSun" w:hAnsi="Times New Roman" w:cs="Times New Roman"/>
          <w:b/>
          <w:caps/>
        </w:rPr>
        <w:t>VAISTINIO</w:t>
      </w:r>
      <w:r w:rsidRPr="00B75D90">
        <w:rPr>
          <w:rFonts w:ascii="Times New Roman" w:eastAsia="SimSun" w:hAnsi="Times New Roman" w:cs="Times New Roman"/>
          <w:b/>
        </w:rPr>
        <w:t xml:space="preserve"> PREPARATO PAVADINIMAS</w:t>
      </w:r>
    </w:p>
    <w:p w:rsidR="00B75D90" w:rsidRPr="00B75D90" w:rsidRDefault="00B75D90" w:rsidP="00B75D90">
      <w:pPr>
        <w:widowControl w:val="0"/>
        <w:spacing w:after="0" w:line="240" w:lineRule="auto"/>
        <w:rPr>
          <w:rFonts w:ascii="Times New Roman" w:eastAsia="SimSun" w:hAnsi="Times New Roman" w:cs="Times New Roman"/>
          <w:highlight w:val="cy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Meapax 100 mg plėvele dengtos tabletės</w:t>
      </w: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Meapax 400 mg plėvele dengtos tabletės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Imatinibas</w:t>
      </w: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sidRPr="00B75D90">
        <w:rPr>
          <w:rFonts w:ascii="Times New Roman" w:eastAsia="SimSun" w:hAnsi="Times New Roman" w:cs="Times New Roman"/>
          <w:b/>
        </w:rPr>
        <w:t>2.</w:t>
      </w:r>
      <w:r w:rsidRPr="00B75D90">
        <w:rPr>
          <w:rFonts w:ascii="Times New Roman" w:eastAsia="SimSun" w:hAnsi="Times New Roman" w:cs="Times New Roman"/>
          <w:b/>
        </w:rPr>
        <w:tab/>
      </w:r>
      <w:r w:rsidRPr="00B75D90">
        <w:rPr>
          <w:rFonts w:ascii="Times New Roman" w:eastAsia="SimSun" w:hAnsi="Times New Roman" w:cs="Times New Roman"/>
          <w:b/>
          <w:caps/>
        </w:rPr>
        <w:t>REGISTRUOTOJO pavadinimas</w:t>
      </w:r>
    </w:p>
    <w:p w:rsidR="00B75D90" w:rsidRPr="00B75D90" w:rsidRDefault="00B75D90" w:rsidP="00B75D90">
      <w:pPr>
        <w:widowControl w:val="0"/>
        <w:tabs>
          <w:tab w:val="left" w:pos="567"/>
        </w:tabs>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lang w:val="cs-CZ"/>
        </w:rPr>
      </w:pPr>
      <w:r w:rsidRPr="00B75D90">
        <w:rPr>
          <w:rFonts w:ascii="Times New Roman" w:eastAsia="Calibri" w:hAnsi="Times New Roman" w:cs="Times New Roman"/>
          <w:lang w:val="sl-SI" w:eastAsia="sl-SI"/>
        </w:rPr>
        <w:t>TAD Pharma GmbH</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rPr>
      </w:pPr>
      <w:r w:rsidRPr="00B75D90">
        <w:rPr>
          <w:rFonts w:ascii="Times New Roman" w:eastAsia="SimSun" w:hAnsi="Times New Roman" w:cs="Times New Roman"/>
          <w:b/>
        </w:rPr>
        <w:t>3.</w:t>
      </w:r>
      <w:r w:rsidRPr="00B75D90">
        <w:rPr>
          <w:rFonts w:ascii="Times New Roman" w:eastAsia="SimSun" w:hAnsi="Times New Roman" w:cs="Times New Roman"/>
          <w:b/>
        </w:rPr>
        <w:tab/>
        <w:t>TINKAMUMO LAIKAS</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EXP (mm/MMMM)</w:t>
      </w: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right="113"/>
        <w:rPr>
          <w:rFonts w:ascii="Times New Roman" w:eastAsia="SimSun" w:hAnsi="Times New Roman" w:cs="Times New Roman"/>
        </w:rPr>
      </w:pPr>
      <w:r w:rsidRPr="00B75D90">
        <w:rPr>
          <w:rFonts w:ascii="Times New Roman" w:eastAsia="SimSun" w:hAnsi="Times New Roman" w:cs="Times New Roman"/>
          <w:b/>
        </w:rPr>
        <w:t>4.</w:t>
      </w:r>
      <w:r w:rsidRPr="00B75D90">
        <w:rPr>
          <w:rFonts w:ascii="Times New Roman" w:eastAsia="SimSun" w:hAnsi="Times New Roman" w:cs="Times New Roman"/>
          <w:b/>
        </w:rPr>
        <w:tab/>
        <w:t>SERIJOS NUMERIS</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Lot</w:t>
      </w:r>
    </w:p>
    <w:p w:rsidR="00B75D90" w:rsidRPr="00B75D90" w:rsidRDefault="00B75D90" w:rsidP="00B75D90">
      <w:pPr>
        <w:widowControl w:val="0"/>
        <w:spacing w:after="0" w:line="240" w:lineRule="auto"/>
        <w:ind w:right="113"/>
        <w:rPr>
          <w:rFonts w:ascii="Times New Roman" w:eastAsia="SimSun" w:hAnsi="Times New Roman" w:cs="Times New Roman"/>
        </w:rPr>
      </w:pPr>
    </w:p>
    <w:p w:rsidR="00B75D90" w:rsidRPr="00B75D90" w:rsidRDefault="00B75D90" w:rsidP="00B75D90">
      <w:pPr>
        <w:widowControl w:val="0"/>
        <w:spacing w:after="0" w:line="240" w:lineRule="auto"/>
        <w:ind w:right="113"/>
        <w:rPr>
          <w:rFonts w:ascii="Times New Roman" w:eastAsia="SimSun" w:hAnsi="Times New Roman" w:cs="Times New Roman"/>
        </w:rPr>
      </w:pPr>
    </w:p>
    <w:p w:rsidR="00B75D90" w:rsidRPr="00B75D90" w:rsidRDefault="00B75D90" w:rsidP="00B75D90">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right="113"/>
        <w:rPr>
          <w:rFonts w:ascii="Times New Roman" w:eastAsia="SimSun" w:hAnsi="Times New Roman" w:cs="Times New Roman"/>
        </w:rPr>
      </w:pPr>
      <w:r w:rsidRPr="00B75D90">
        <w:rPr>
          <w:rFonts w:ascii="Times New Roman" w:eastAsia="SimSun" w:hAnsi="Times New Roman" w:cs="Times New Roman"/>
          <w:b/>
        </w:rPr>
        <w:t>5.</w:t>
      </w:r>
      <w:r w:rsidRPr="00B75D90">
        <w:rPr>
          <w:rFonts w:ascii="Times New Roman" w:eastAsia="SimSun" w:hAnsi="Times New Roman" w:cs="Times New Roman"/>
          <w:b/>
        </w:rPr>
        <w:tab/>
        <w:t>KITA</w:t>
      </w:r>
    </w:p>
    <w:p w:rsidR="00B75D90" w:rsidRPr="00B75D90" w:rsidRDefault="00B75D90" w:rsidP="00B75D90">
      <w:pPr>
        <w:widowControl w:val="0"/>
        <w:spacing w:after="0" w:line="240" w:lineRule="auto"/>
        <w:rPr>
          <w:rFonts w:ascii="Times New Roman" w:eastAsia="SimSun" w:hAnsi="Times New Roman" w:cs="Times New Roman"/>
          <w:highlight w:val="red"/>
        </w:rPr>
      </w:pP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i/>
          <w:color w:val="008000"/>
        </w:rPr>
        <w:br w:type="page"/>
      </w: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tabs>
          <w:tab w:val="left" w:pos="4300"/>
          <w:tab w:val="left" w:pos="5940"/>
          <w:tab w:val="left" w:pos="8180"/>
        </w:tabs>
        <w:spacing w:after="0" w:line="240" w:lineRule="auto"/>
        <w:jc w:val="center"/>
        <w:outlineLvl w:val="1"/>
        <w:rPr>
          <w:rFonts w:ascii="Times New Roman" w:eastAsia="SimSun" w:hAnsi="Times New Roman" w:cs="Times New Roman"/>
          <w:b/>
          <w:i/>
        </w:rPr>
      </w:pPr>
      <w:r w:rsidRPr="00B75D90">
        <w:rPr>
          <w:rFonts w:ascii="Times New Roman" w:eastAsia="SimSun" w:hAnsi="Times New Roman" w:cs="Times New Roman"/>
          <w:b/>
        </w:rPr>
        <w:t>B. PAKUOTĖS LAPELIS</w:t>
      </w:r>
    </w:p>
    <w:p w:rsidR="00B75D90" w:rsidRPr="00B75D90" w:rsidRDefault="00B75D90" w:rsidP="00B75D90">
      <w:pPr>
        <w:widowControl w:val="0"/>
        <w:spacing w:after="0" w:line="240" w:lineRule="auto"/>
        <w:jc w:val="center"/>
        <w:outlineLvl w:val="0"/>
        <w:rPr>
          <w:rFonts w:ascii="Times New Roman" w:eastAsia="SimSun" w:hAnsi="Times New Roman" w:cs="Times New Roman"/>
          <w:b/>
        </w:rPr>
      </w:pPr>
      <w:r w:rsidRPr="00B75D90">
        <w:rPr>
          <w:rFonts w:ascii="Times New Roman" w:eastAsia="SimSun" w:hAnsi="Times New Roman" w:cs="Times New Roman"/>
          <w:b/>
        </w:rPr>
        <w:br w:type="page"/>
      </w:r>
      <w:r w:rsidRPr="00B75D90">
        <w:rPr>
          <w:rFonts w:ascii="Times New Roman" w:eastAsia="SimSun" w:hAnsi="Times New Roman" w:cs="Times New Roman"/>
          <w:b/>
        </w:rPr>
        <w:lastRenderedPageBreak/>
        <w:t>Pakuotės lapelis: informacija pacientui</w:t>
      </w:r>
    </w:p>
    <w:p w:rsidR="00B75D90" w:rsidRPr="00B75D90" w:rsidRDefault="00B75D90" w:rsidP="00B75D90">
      <w:pPr>
        <w:widowControl w:val="0"/>
        <w:spacing w:after="0" w:line="240" w:lineRule="auto"/>
        <w:jc w:val="center"/>
        <w:outlineLvl w:val="0"/>
        <w:rPr>
          <w:rFonts w:ascii="Times New Roman" w:eastAsia="SimSun" w:hAnsi="Times New Roman" w:cs="Times New Roman"/>
          <w:b/>
        </w:rPr>
      </w:pPr>
    </w:p>
    <w:p w:rsidR="00B75D90" w:rsidRPr="00B75D90" w:rsidRDefault="00B75D90" w:rsidP="00B75D90">
      <w:pPr>
        <w:widowControl w:val="0"/>
        <w:spacing w:after="0" w:line="240" w:lineRule="auto"/>
        <w:jc w:val="center"/>
        <w:rPr>
          <w:rFonts w:ascii="Times New Roman" w:eastAsia="SimSun" w:hAnsi="Times New Roman" w:cs="Times New Roman"/>
          <w:b/>
        </w:rPr>
      </w:pPr>
      <w:r w:rsidRPr="00B75D90">
        <w:rPr>
          <w:rFonts w:ascii="Times New Roman" w:eastAsia="SimSun" w:hAnsi="Times New Roman" w:cs="Times New Roman"/>
          <w:b/>
        </w:rPr>
        <w:t>Meapax 100 mg plėvele dengtos tabletės</w:t>
      </w:r>
    </w:p>
    <w:p w:rsidR="00B75D90" w:rsidRPr="00B75D90" w:rsidRDefault="00B75D90" w:rsidP="00B75D90">
      <w:pPr>
        <w:widowControl w:val="0"/>
        <w:spacing w:after="0" w:line="240" w:lineRule="auto"/>
        <w:jc w:val="center"/>
        <w:rPr>
          <w:rFonts w:ascii="Times New Roman" w:eastAsia="SimSun" w:hAnsi="Times New Roman" w:cs="Times New Roman"/>
          <w:b/>
          <w:highlight w:val="lightGray"/>
        </w:rPr>
      </w:pPr>
      <w:r w:rsidRPr="00B75D90">
        <w:rPr>
          <w:rFonts w:ascii="Times New Roman" w:eastAsia="SimSun" w:hAnsi="Times New Roman" w:cs="Times New Roman"/>
          <w:b/>
          <w:highlight w:val="lightGray"/>
        </w:rPr>
        <w:t>Meapax 400 mg plėvele dengtos tabletės</w:t>
      </w:r>
    </w:p>
    <w:p w:rsidR="00B75D90" w:rsidRPr="00B75D90" w:rsidRDefault="00B75D90" w:rsidP="00B75D90">
      <w:pPr>
        <w:widowControl w:val="0"/>
        <w:spacing w:after="0" w:line="240" w:lineRule="auto"/>
        <w:jc w:val="center"/>
        <w:rPr>
          <w:rFonts w:ascii="Times New Roman" w:eastAsia="SimSun" w:hAnsi="Times New Roman" w:cs="Times New Roman"/>
        </w:rPr>
      </w:pPr>
      <w:r w:rsidRPr="00B75D90">
        <w:rPr>
          <w:rFonts w:ascii="Times New Roman" w:eastAsia="SimSun" w:hAnsi="Times New Roman" w:cs="Times New Roman"/>
        </w:rPr>
        <w:t>Imatinibas</w:t>
      </w:r>
    </w:p>
    <w:p w:rsidR="00B75D90" w:rsidRPr="00B75D90" w:rsidRDefault="00B75D90" w:rsidP="00B75D90">
      <w:pPr>
        <w:widowControl w:val="0"/>
        <w:spacing w:after="0" w:line="240" w:lineRule="auto"/>
        <w:jc w:val="center"/>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b/>
        </w:rPr>
        <w:t>Atidžiai perskaitykite visą šį lapelį, prieš pradėdami vartoti vaistą, nes jame pateikiama Jums svarbi informacija.</w:t>
      </w:r>
    </w:p>
    <w:p w:rsidR="00B75D90" w:rsidRPr="00B75D90" w:rsidRDefault="00B75D90" w:rsidP="00B75D90">
      <w:pPr>
        <w:widowControl w:val="0"/>
        <w:numPr>
          <w:ilvl w:val="0"/>
          <w:numId w:val="12"/>
        </w:numPr>
        <w:spacing w:after="0" w:line="240" w:lineRule="auto"/>
        <w:ind w:left="567" w:right="-2" w:hanging="567"/>
        <w:rPr>
          <w:rFonts w:ascii="Times New Roman" w:eastAsia="SimSun" w:hAnsi="Times New Roman" w:cs="Times New Roman"/>
        </w:rPr>
      </w:pPr>
      <w:r w:rsidRPr="00B75D90">
        <w:rPr>
          <w:rFonts w:ascii="Times New Roman" w:eastAsia="SimSun" w:hAnsi="Times New Roman" w:cs="Times New Roman"/>
        </w:rPr>
        <w:t>Neišmeskite šio lapelio, nes vėl gali prireikti jį perskaityti.</w:t>
      </w:r>
    </w:p>
    <w:p w:rsidR="00B75D90" w:rsidRPr="00B75D90" w:rsidRDefault="00B75D90" w:rsidP="00B75D90">
      <w:pPr>
        <w:widowControl w:val="0"/>
        <w:numPr>
          <w:ilvl w:val="0"/>
          <w:numId w:val="12"/>
        </w:numPr>
        <w:spacing w:after="0" w:line="240" w:lineRule="auto"/>
        <w:ind w:left="567" w:right="-2" w:hanging="567"/>
        <w:rPr>
          <w:rFonts w:ascii="Times New Roman" w:eastAsia="SimSun" w:hAnsi="Times New Roman" w:cs="Times New Roman"/>
        </w:rPr>
      </w:pPr>
      <w:r w:rsidRPr="00B75D90">
        <w:rPr>
          <w:rFonts w:ascii="Times New Roman" w:eastAsia="SimSun" w:hAnsi="Times New Roman" w:cs="Times New Roman"/>
        </w:rPr>
        <w:t>Jeigu kiltų daugiau klausimų, kreipkitės į gydytoją arba vaistininką.</w:t>
      </w:r>
    </w:p>
    <w:p w:rsidR="00B75D90" w:rsidRPr="00B75D90" w:rsidRDefault="00B75D90" w:rsidP="00B75D90">
      <w:pPr>
        <w:widowControl w:val="0"/>
        <w:numPr>
          <w:ilvl w:val="0"/>
          <w:numId w:val="12"/>
        </w:numPr>
        <w:spacing w:after="0" w:line="240" w:lineRule="auto"/>
        <w:ind w:left="567" w:right="-2" w:hanging="567"/>
        <w:rPr>
          <w:rFonts w:ascii="Times New Roman" w:eastAsia="SimSun" w:hAnsi="Times New Roman" w:cs="Times New Roman"/>
        </w:rPr>
      </w:pPr>
      <w:r w:rsidRPr="00B75D90">
        <w:rPr>
          <w:rFonts w:ascii="Times New Roman" w:eastAsia="SimSun" w:hAnsi="Times New Roman" w:cs="Times New Roman"/>
        </w:rPr>
        <w:t>Šis vaistas skirtas tik Jums, todėl kitiems žmonėms jo duoti negalima. Vaistas gali jiems pakenkti (net tiems, kurių ligos požymiai yra tokie patys kaip Jūsų).</w:t>
      </w:r>
    </w:p>
    <w:p w:rsidR="00B75D90" w:rsidRPr="00B75D90" w:rsidRDefault="00B75D90" w:rsidP="00B75D90">
      <w:pPr>
        <w:widowControl w:val="0"/>
        <w:numPr>
          <w:ilvl w:val="0"/>
          <w:numId w:val="12"/>
        </w:numPr>
        <w:tabs>
          <w:tab w:val="left" w:pos="567"/>
        </w:tabs>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Jeigu pasireiškė šalutinis poveikis (net jeigu jis šiame lapelyje nenurodytas), kreipkitės į gydytoją arba vaistininką. Žr. 4 skyrių.</w:t>
      </w:r>
    </w:p>
    <w:p w:rsidR="00B75D90" w:rsidRPr="00B75D90" w:rsidRDefault="00B75D90" w:rsidP="00B75D90">
      <w:pPr>
        <w:widowControl w:val="0"/>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b/>
        </w:rPr>
      </w:pPr>
      <w:r w:rsidRPr="00B75D90">
        <w:rPr>
          <w:rFonts w:ascii="Times New Roman" w:eastAsia="SimSun" w:hAnsi="Times New Roman" w:cs="Times New Roman"/>
          <w:b/>
        </w:rPr>
        <w:t>Apie ką rašoma šiame lapelyje?</w:t>
      </w: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rPr>
      </w:pPr>
    </w:p>
    <w:p w:rsidR="00B75D90" w:rsidRPr="00B75D90" w:rsidRDefault="00B75D90" w:rsidP="00B75D90">
      <w:pPr>
        <w:widowControl w:val="0"/>
        <w:tabs>
          <w:tab w:val="left" w:pos="567"/>
        </w:tabs>
        <w:spacing w:after="0" w:line="240" w:lineRule="auto"/>
        <w:ind w:right="-2"/>
        <w:outlineLvl w:val="0"/>
        <w:rPr>
          <w:rFonts w:ascii="Times New Roman" w:eastAsia="SimSun" w:hAnsi="Times New Roman" w:cs="Times New Roman"/>
        </w:rPr>
      </w:pPr>
      <w:r w:rsidRPr="00B75D90">
        <w:rPr>
          <w:rFonts w:ascii="Times New Roman" w:eastAsia="SimSun" w:hAnsi="Times New Roman" w:cs="Times New Roman"/>
        </w:rPr>
        <w:t>1.</w:t>
      </w:r>
      <w:r w:rsidRPr="00B75D90">
        <w:rPr>
          <w:rFonts w:ascii="Times New Roman" w:eastAsia="SimSun" w:hAnsi="Times New Roman" w:cs="Times New Roman"/>
        </w:rPr>
        <w:tab/>
        <w:t>Kas yra Meapax ir kam jis vartojamas</w:t>
      </w:r>
    </w:p>
    <w:p w:rsidR="00B75D90" w:rsidRPr="00B75D90" w:rsidRDefault="00B75D90" w:rsidP="00B75D90">
      <w:pPr>
        <w:widowControl w:val="0"/>
        <w:tabs>
          <w:tab w:val="left" w:pos="567"/>
        </w:tabs>
        <w:spacing w:after="0" w:line="240" w:lineRule="auto"/>
        <w:ind w:right="-29"/>
        <w:rPr>
          <w:rFonts w:ascii="Times New Roman" w:eastAsia="SimSun" w:hAnsi="Times New Roman" w:cs="Times New Roman"/>
        </w:rPr>
      </w:pPr>
      <w:r w:rsidRPr="00B75D90">
        <w:rPr>
          <w:rFonts w:ascii="Times New Roman" w:eastAsia="SimSun" w:hAnsi="Times New Roman" w:cs="Times New Roman"/>
        </w:rPr>
        <w:t>2.</w:t>
      </w:r>
      <w:r w:rsidRPr="00B75D90">
        <w:rPr>
          <w:rFonts w:ascii="Times New Roman" w:eastAsia="SimSun" w:hAnsi="Times New Roman" w:cs="Times New Roman"/>
        </w:rPr>
        <w:tab/>
        <w:t>Kas žinotina prieš vartojant Meapax</w:t>
      </w:r>
    </w:p>
    <w:p w:rsidR="00B75D90" w:rsidRPr="00B75D90" w:rsidRDefault="00B75D90" w:rsidP="00B75D90">
      <w:pPr>
        <w:widowControl w:val="0"/>
        <w:tabs>
          <w:tab w:val="left" w:pos="567"/>
        </w:tabs>
        <w:spacing w:after="0" w:line="240" w:lineRule="auto"/>
        <w:ind w:right="-29"/>
        <w:rPr>
          <w:rFonts w:ascii="Times New Roman" w:eastAsia="SimSun" w:hAnsi="Times New Roman" w:cs="Times New Roman"/>
        </w:rPr>
      </w:pPr>
      <w:r w:rsidRPr="00B75D90">
        <w:rPr>
          <w:rFonts w:ascii="Times New Roman" w:eastAsia="SimSun" w:hAnsi="Times New Roman" w:cs="Times New Roman"/>
        </w:rPr>
        <w:t>3.</w:t>
      </w:r>
      <w:r w:rsidRPr="00B75D90">
        <w:rPr>
          <w:rFonts w:ascii="Times New Roman" w:eastAsia="SimSun" w:hAnsi="Times New Roman" w:cs="Times New Roman"/>
        </w:rPr>
        <w:tab/>
        <w:t>Kaip vartoti Meapax</w:t>
      </w:r>
    </w:p>
    <w:p w:rsidR="00B75D90" w:rsidRPr="00B75D90" w:rsidRDefault="00B75D90" w:rsidP="00B75D90">
      <w:pPr>
        <w:widowControl w:val="0"/>
        <w:tabs>
          <w:tab w:val="left" w:pos="567"/>
        </w:tabs>
        <w:spacing w:after="0" w:line="240" w:lineRule="auto"/>
        <w:ind w:right="-29"/>
        <w:rPr>
          <w:rFonts w:ascii="Times New Roman" w:eastAsia="SimSun" w:hAnsi="Times New Roman" w:cs="Times New Roman"/>
        </w:rPr>
      </w:pPr>
      <w:r w:rsidRPr="00B75D90">
        <w:rPr>
          <w:rFonts w:ascii="Times New Roman" w:eastAsia="SimSun" w:hAnsi="Times New Roman" w:cs="Times New Roman"/>
        </w:rPr>
        <w:t>4.</w:t>
      </w:r>
      <w:r w:rsidRPr="00B75D90">
        <w:rPr>
          <w:rFonts w:ascii="Times New Roman" w:eastAsia="SimSun" w:hAnsi="Times New Roman" w:cs="Times New Roman"/>
        </w:rPr>
        <w:tab/>
        <w:t>Galimas šalutinis poveikis</w:t>
      </w:r>
    </w:p>
    <w:p w:rsidR="00B75D90" w:rsidRPr="00B75D90" w:rsidRDefault="00B75D90" w:rsidP="00B75D90">
      <w:pPr>
        <w:widowControl w:val="0"/>
        <w:tabs>
          <w:tab w:val="left" w:pos="567"/>
        </w:tabs>
        <w:spacing w:after="0" w:line="240" w:lineRule="auto"/>
        <w:ind w:right="-29"/>
        <w:rPr>
          <w:rFonts w:ascii="Times New Roman" w:eastAsia="SimSun" w:hAnsi="Times New Roman" w:cs="Times New Roman"/>
        </w:rPr>
      </w:pPr>
      <w:r w:rsidRPr="00B75D90">
        <w:rPr>
          <w:rFonts w:ascii="Times New Roman" w:eastAsia="SimSun" w:hAnsi="Times New Roman" w:cs="Times New Roman"/>
        </w:rPr>
        <w:t>5.</w:t>
      </w:r>
      <w:r w:rsidRPr="00B75D90">
        <w:rPr>
          <w:rFonts w:ascii="Times New Roman" w:eastAsia="SimSun" w:hAnsi="Times New Roman" w:cs="Times New Roman"/>
        </w:rPr>
        <w:tab/>
        <w:t>Kaip laikyti Meapax</w:t>
      </w:r>
    </w:p>
    <w:p w:rsidR="00B75D90" w:rsidRPr="00B75D90" w:rsidRDefault="00B75D90" w:rsidP="00B75D90">
      <w:pPr>
        <w:widowControl w:val="0"/>
        <w:tabs>
          <w:tab w:val="left" w:pos="567"/>
        </w:tabs>
        <w:spacing w:after="0" w:line="240" w:lineRule="auto"/>
        <w:ind w:right="-29"/>
        <w:rPr>
          <w:rFonts w:ascii="Times New Roman" w:eastAsia="SimSun" w:hAnsi="Times New Roman" w:cs="Times New Roman"/>
        </w:rPr>
      </w:pPr>
      <w:r w:rsidRPr="00B75D90">
        <w:rPr>
          <w:rFonts w:ascii="Times New Roman" w:eastAsia="SimSun" w:hAnsi="Times New Roman" w:cs="Times New Roman"/>
        </w:rPr>
        <w:t>6.</w:t>
      </w:r>
      <w:r w:rsidRPr="00B75D90">
        <w:rPr>
          <w:rFonts w:ascii="Times New Roman" w:eastAsia="SimSun" w:hAnsi="Times New Roman" w:cs="Times New Roman"/>
        </w:rPr>
        <w:tab/>
        <w:t>Pakuotės turinys ir kita informacija</w:t>
      </w:r>
    </w:p>
    <w:p w:rsidR="00B75D90" w:rsidRPr="00B75D90" w:rsidRDefault="00B75D90" w:rsidP="00B75D90">
      <w:pPr>
        <w:widowControl w:val="0"/>
        <w:numPr>
          <w:ilvl w:val="12"/>
          <w:numId w:val="0"/>
        </w:numPr>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b/>
        </w:rPr>
      </w:pPr>
      <w:r w:rsidRPr="00B75D90">
        <w:rPr>
          <w:rFonts w:ascii="Times New Roman" w:eastAsia="SimSun" w:hAnsi="Times New Roman" w:cs="Times New Roman"/>
          <w:b/>
        </w:rPr>
        <w:t>1.</w:t>
      </w:r>
      <w:r w:rsidRPr="00B75D90">
        <w:rPr>
          <w:rFonts w:ascii="Times New Roman" w:eastAsia="SimSun" w:hAnsi="Times New Roman" w:cs="Times New Roman"/>
          <w:b/>
        </w:rPr>
        <w:tab/>
        <w:t>Kas yra Meapax ir kam jis vartojamas</w:t>
      </w:r>
    </w:p>
    <w:p w:rsidR="00B75D90" w:rsidRPr="00B75D90" w:rsidRDefault="00B75D90" w:rsidP="00B75D90">
      <w:pPr>
        <w:widowControl w:val="0"/>
        <w:numPr>
          <w:ilvl w:val="12"/>
          <w:numId w:val="0"/>
        </w:numPr>
        <w:spacing w:after="0" w:line="240" w:lineRule="auto"/>
        <w:rPr>
          <w:rFonts w:ascii="Times New Roman" w:eastAsia="SimSun" w:hAnsi="Times New Roman" w:cs="Times New Roman"/>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Meapax yra vaistas, kurio sudėtyje yra veikliosios medžiagos imatinibo. Šis vaistas veikia slopindamas nenormalių ląstelių augimą sergant toliau išvardytomis ligomis, tarp jų ir kai kurių rūšių vėžiu.</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r w:rsidRPr="00B75D90">
        <w:rPr>
          <w:rFonts w:ascii="Times New Roman" w:eastAsia="SimSun" w:hAnsi="Times New Roman" w:cs="Times New Roman"/>
          <w:b/>
          <w:color w:val="000000"/>
          <w:lang w:val="sl-SI"/>
        </w:rPr>
        <w:t>Meapax vartojamas gydyti suaugusiųjų ir vaikų:</w:t>
      </w:r>
    </w:p>
    <w:p w:rsidR="00B75D90" w:rsidRPr="00B75D90" w:rsidRDefault="00B75D90" w:rsidP="00B75D90">
      <w:pPr>
        <w:widowControl w:val="0"/>
        <w:numPr>
          <w:ilvl w:val="0"/>
          <w:numId w:val="10"/>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b/>
          <w:color w:val="000000"/>
          <w:lang w:val="sl-SI"/>
        </w:rPr>
        <w:t xml:space="preserve">Lėtinę mieloleukemiją (LML). </w:t>
      </w:r>
      <w:r w:rsidRPr="00B75D90">
        <w:rPr>
          <w:rFonts w:ascii="Times New Roman" w:eastAsia="SimSun" w:hAnsi="Times New Roman" w:cs="Times New Roman"/>
          <w:color w:val="000000"/>
          <w:lang w:val="sl-SI"/>
        </w:rPr>
        <w:t>Leukemija yra baltųjų kraujo ląstelių vėžys. Šios baltosios kraujo ląstelės padeda organizmui gintis nuo infekcijų. Lėtinė mieloidinė leukemija yra tokia leukemijos forma, kuria sergant, pradeda nekontroliuojamai daugintis tam tikros nenormalios baltosios ląstelės (vadinamos mieloidinėmis ląstelėmis).</w:t>
      </w:r>
    </w:p>
    <w:p w:rsidR="00B75D90" w:rsidRPr="00B75D90" w:rsidRDefault="00B75D90" w:rsidP="00B75D90">
      <w:pPr>
        <w:widowControl w:val="0"/>
        <w:autoSpaceDE w:val="0"/>
        <w:autoSpaceDN w:val="0"/>
        <w:adjustRightInd w:val="0"/>
        <w:spacing w:after="0" w:line="240" w:lineRule="auto"/>
        <w:ind w:left="567"/>
        <w:rPr>
          <w:rFonts w:ascii="Times New Roman" w:eastAsia="SimSun" w:hAnsi="Times New Roman" w:cs="Times New Roman"/>
          <w:color w:val="000000"/>
          <w:lang w:val="sl-SI"/>
        </w:rPr>
      </w:pPr>
      <w:r w:rsidRPr="00B75D90">
        <w:rPr>
          <w:rFonts w:ascii="Times New Roman" w:eastAsia="SimSun" w:hAnsi="Times New Roman" w:cs="Times New Roman"/>
          <w:color w:val="000000"/>
        </w:rPr>
        <w:t xml:space="preserve">Suaugusiesiems pacientams </w:t>
      </w:r>
      <w:r w:rsidRPr="00B75D90">
        <w:rPr>
          <w:rFonts w:ascii="Times New Roman" w:eastAsia="SimSun" w:hAnsi="Times New Roman" w:cs="Times New Roman"/>
        </w:rPr>
        <w:t xml:space="preserve">Meapax </w:t>
      </w:r>
      <w:r w:rsidRPr="00B75D90">
        <w:rPr>
          <w:rFonts w:ascii="Times New Roman" w:eastAsia="SimSun" w:hAnsi="Times New Roman" w:cs="Times New Roman"/>
          <w:color w:val="000000"/>
        </w:rPr>
        <w:t>skiriama vartoti vėlyvajai</w:t>
      </w:r>
      <w:r w:rsidRPr="00B75D90">
        <w:rPr>
          <w:rFonts w:ascii="Times New Roman" w:eastAsia="SimSun" w:hAnsi="Times New Roman" w:cs="Times New Roman"/>
        </w:rPr>
        <w:t xml:space="preserve"> lėtinės mieloidinės leukemijos fazei, kuri vadinama blastine krize, gydyti. Vaikams ir paaugliams šio vaisto galima skirti vartoti bet kuriai ligos fazei gydyti;</w:t>
      </w:r>
    </w:p>
    <w:p w:rsidR="00B75D90" w:rsidRPr="00B75D90" w:rsidRDefault="00B75D90" w:rsidP="00B75D90">
      <w:pPr>
        <w:widowControl w:val="0"/>
        <w:numPr>
          <w:ilvl w:val="0"/>
          <w:numId w:val="10"/>
        </w:numPr>
        <w:autoSpaceDE w:val="0"/>
        <w:autoSpaceDN w:val="0"/>
        <w:adjustRightInd w:val="0"/>
        <w:spacing w:after="0" w:line="240" w:lineRule="auto"/>
        <w:ind w:left="567" w:hanging="567"/>
        <w:rPr>
          <w:rFonts w:ascii="Times New Roman" w:eastAsia="SimSun" w:hAnsi="Times New Roman" w:cs="Times New Roman"/>
          <w:b/>
          <w:color w:val="000000"/>
          <w:lang w:val="sl-SI"/>
        </w:rPr>
      </w:pPr>
      <w:r w:rsidRPr="00B75D90">
        <w:rPr>
          <w:rFonts w:ascii="Times New Roman" w:eastAsia="SimSun" w:hAnsi="Times New Roman" w:cs="Times New Roman"/>
          <w:b/>
          <w:i/>
          <w:color w:val="000000"/>
          <w:lang w:val="sl-SI"/>
        </w:rPr>
        <w:t>Philadelphia</w:t>
      </w:r>
      <w:r w:rsidRPr="00B75D90">
        <w:rPr>
          <w:rFonts w:ascii="Times New Roman" w:eastAsia="SimSun" w:hAnsi="Times New Roman" w:cs="Times New Roman"/>
          <w:b/>
          <w:color w:val="000000"/>
          <w:lang w:val="sl-SI"/>
        </w:rPr>
        <w:t xml:space="preserve"> chromosomai teigiamą ūminę limfoleukemiją (Ph teigiama ŪLL).</w:t>
      </w:r>
    </w:p>
    <w:p w:rsidR="00B75D90" w:rsidRPr="00B75D90" w:rsidRDefault="00B75D90" w:rsidP="00B75D90">
      <w:pPr>
        <w:widowControl w:val="0"/>
        <w:autoSpaceDE w:val="0"/>
        <w:autoSpaceDN w:val="0"/>
        <w:adjustRightInd w:val="0"/>
        <w:spacing w:after="0" w:line="240" w:lineRule="auto"/>
        <w:ind w:left="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Leukemija – tai baltųjų kraujo kūnelių vėžys. Paprastai šios baltosios ląstelės padeda organizmui kovoti su infekcija. Ūminė limfoleukemija yra tokia leukemijos forma, kai tam tikros nenormalios ląstelės (vadinamos limfoblastais) pradeda nekontroliuojamai augti. Meapax slopina šių ląstelių augimą.</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b/>
          <w:color w:val="000000"/>
          <w:lang w:val="sl-SI"/>
        </w:rPr>
        <w:t>Meapax taip pat vartojama suaugusiesiems:</w:t>
      </w:r>
    </w:p>
    <w:p w:rsidR="00B75D90" w:rsidRPr="00B75D90" w:rsidRDefault="00B75D90" w:rsidP="00B75D90">
      <w:pPr>
        <w:widowControl w:val="0"/>
        <w:autoSpaceDE w:val="0"/>
        <w:autoSpaceDN w:val="0"/>
        <w:adjustRightInd w:val="0"/>
        <w:spacing w:after="0" w:line="240" w:lineRule="auto"/>
        <w:ind w:left="567"/>
        <w:rPr>
          <w:rFonts w:ascii="Times New Roman" w:eastAsia="SimSun" w:hAnsi="Times New Roman" w:cs="Times New Roman"/>
          <w:color w:val="000000"/>
          <w:lang w:val="sl-SI"/>
        </w:rPr>
      </w:pPr>
      <w:r w:rsidRPr="00B75D90">
        <w:rPr>
          <w:rFonts w:ascii="Times New Roman" w:eastAsia="SimSun" w:hAnsi="Times New Roman" w:cs="Times New Roman"/>
          <w:b/>
          <w:color w:val="000000"/>
          <w:lang w:val="sl-SI"/>
        </w:rPr>
        <w:t>Mielodisplazinėms ar mieloproliferacinėms ligoms (MDS ir MPL) gydyti.</w:t>
      </w:r>
      <w:r w:rsidRPr="00B75D90">
        <w:rPr>
          <w:rFonts w:ascii="Times New Roman" w:eastAsia="SimSun" w:hAnsi="Times New Roman" w:cs="Times New Roman"/>
          <w:color w:val="000000"/>
          <w:lang w:val="sl-SI"/>
        </w:rPr>
        <w:t xml:space="preserve"> Tai kraujo ligos, kurių metu kai kurios kraujo ląstelės pradeda daugintis nekontroliuojamos. Meapax slopina šių ląstelių augimą, sergant tam tikrais šių ligų potipiais.</w:t>
      </w:r>
    </w:p>
    <w:p w:rsidR="00B75D90" w:rsidRPr="00B75D90" w:rsidRDefault="00B75D90" w:rsidP="00B75D90">
      <w:pPr>
        <w:widowControl w:val="0"/>
        <w:numPr>
          <w:ilvl w:val="0"/>
          <w:numId w:val="11"/>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b/>
          <w:color w:val="000000"/>
          <w:lang w:val="sl-SI"/>
        </w:rPr>
        <w:t xml:space="preserve">Hipereozinofilijos sindromui (HES) ir (arba) lėtinei eozinofilinei leukemijai (LEL) gydyti. </w:t>
      </w:r>
      <w:r w:rsidRPr="00B75D90">
        <w:rPr>
          <w:rFonts w:ascii="Times New Roman" w:eastAsia="SimSun" w:hAnsi="Times New Roman" w:cs="Times New Roman"/>
          <w:color w:val="000000"/>
          <w:lang w:val="sl-SI"/>
        </w:rPr>
        <w:t>Tai yra kraujo ligos, kurių metu kai kurios kraujo ląstelės (vadinamos eozinofilais) pradeda daugintis nekontroliuojamos. Meapax slopina šių ląstelių augimą, sergant tam tikrais šių ligų potipiais.</w:t>
      </w:r>
    </w:p>
    <w:p w:rsidR="00B75D90" w:rsidRPr="00B75D90" w:rsidRDefault="00B75D90" w:rsidP="00B75D90">
      <w:pPr>
        <w:widowControl w:val="0"/>
        <w:numPr>
          <w:ilvl w:val="0"/>
          <w:numId w:val="11"/>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b/>
          <w:color w:val="000000"/>
          <w:lang w:val="sl-SI"/>
        </w:rPr>
        <w:t xml:space="preserve">Virškinimo trakto stromos naviką (VTSN). </w:t>
      </w:r>
      <w:r w:rsidRPr="00B75D90">
        <w:rPr>
          <w:rFonts w:ascii="Times New Roman" w:eastAsia="SimSun" w:hAnsi="Times New Roman" w:cs="Times New Roman"/>
          <w:color w:val="000000"/>
          <w:lang w:val="sl-SI"/>
        </w:rPr>
        <w:t>VTSN – tai skrandžio ir žarnyno vėžys. Jis atsiranda dėl nekontroliuojamo šių organų pagalbinio audinio ląstelių augimo.</w:t>
      </w:r>
    </w:p>
    <w:p w:rsidR="00B75D90" w:rsidRPr="00B75D90" w:rsidRDefault="00B75D90" w:rsidP="00B75D90">
      <w:pPr>
        <w:widowControl w:val="0"/>
        <w:numPr>
          <w:ilvl w:val="0"/>
          <w:numId w:val="11"/>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b/>
          <w:color w:val="000000"/>
          <w:lang w:val="sl-SI"/>
        </w:rPr>
        <w:lastRenderedPageBreak/>
        <w:t>Iškiliajai dermatofibrosarkomai (dermatofibrosarcoma protuberans - DFSP) gydyti.</w:t>
      </w:r>
      <w:r w:rsidRPr="00B75D90">
        <w:rPr>
          <w:rFonts w:ascii="Times New Roman" w:eastAsia="SimSun" w:hAnsi="Times New Roman" w:cs="Times New Roman"/>
          <w:color w:val="000000"/>
          <w:lang w:val="sl-SI"/>
        </w:rPr>
        <w:t xml:space="preserve"> DFSP - tai po oda esančio audinio vėžys, kurio metu kai kurios ląstelės pradeda nekontroliuojamai augti. Meapax slopina šių ląstelių augimą.</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Toliau bus vartojamos šių ligų santrumpos.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numPr>
          <w:ilvl w:val="12"/>
          <w:numId w:val="0"/>
        </w:numPr>
        <w:spacing w:after="0" w:line="240" w:lineRule="auto"/>
        <w:rPr>
          <w:rFonts w:ascii="Times New Roman" w:eastAsia="SimSun" w:hAnsi="Times New Roman" w:cs="Times New Roman"/>
        </w:rPr>
      </w:pPr>
      <w:r w:rsidRPr="00B75D90">
        <w:rPr>
          <w:rFonts w:ascii="Times New Roman" w:eastAsia="SimSun" w:hAnsi="Times New Roman" w:cs="Times New Roman"/>
        </w:rPr>
        <w:t>Jeigu kiltų daugiau klausimų dėl Meapax vartojimo arba kodėl šis vaistas buvo skirtas Jums, kreipkitės į savo gydytoją.</w:t>
      </w:r>
    </w:p>
    <w:p w:rsidR="00B75D90" w:rsidRPr="00B75D90" w:rsidRDefault="00B75D90" w:rsidP="00B75D90">
      <w:pPr>
        <w:widowControl w:val="0"/>
        <w:numPr>
          <w:ilvl w:val="12"/>
          <w:numId w:val="0"/>
        </w:numPr>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b/>
        </w:rPr>
      </w:pPr>
      <w:r w:rsidRPr="00B75D90">
        <w:rPr>
          <w:rFonts w:ascii="Times New Roman" w:eastAsia="SimSun" w:hAnsi="Times New Roman" w:cs="Times New Roman"/>
          <w:b/>
        </w:rPr>
        <w:t>2.</w:t>
      </w:r>
      <w:r w:rsidRPr="00B75D90">
        <w:rPr>
          <w:rFonts w:ascii="Times New Roman" w:eastAsia="SimSun" w:hAnsi="Times New Roman" w:cs="Times New Roman"/>
          <w:b/>
        </w:rPr>
        <w:tab/>
        <w:t>Kas žinotina prieš vartojant</w:t>
      </w:r>
      <w:r w:rsidRPr="00B75D90">
        <w:rPr>
          <w:rFonts w:ascii="Times New Roman" w:eastAsia="SimSun" w:hAnsi="Times New Roman" w:cs="Times New Roman"/>
        </w:rPr>
        <w:t xml:space="preserve"> </w:t>
      </w:r>
      <w:r w:rsidRPr="00B75D90">
        <w:rPr>
          <w:rFonts w:ascii="Times New Roman" w:eastAsia="SimSun" w:hAnsi="Times New Roman" w:cs="Times New Roman"/>
          <w:b/>
        </w:rPr>
        <w:t>Meapax</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Meapax Jums paskirs gydytojas, turintis kraujo vėžio ar sarkomų gydymo patirties.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Atidžiai vykdykite visus savo gydytojo nurodymus, net jeigu jie skiriasi nuo šiame lapelyje esančios bendros informacijos.</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tabs>
          <w:tab w:val="left" w:pos="567"/>
        </w:tabs>
        <w:spacing w:after="0" w:line="240" w:lineRule="auto"/>
        <w:outlineLvl w:val="0"/>
        <w:rPr>
          <w:rFonts w:ascii="Times New Roman" w:eastAsia="SimSun" w:hAnsi="Times New Roman" w:cs="Times New Roman"/>
          <w:b/>
        </w:rPr>
      </w:pPr>
      <w:r w:rsidRPr="00B75D90">
        <w:rPr>
          <w:rFonts w:ascii="Times New Roman" w:eastAsia="SimSun" w:hAnsi="Times New Roman" w:cs="Times New Roman"/>
          <w:b/>
        </w:rPr>
        <w:t>Meapax</w:t>
      </w:r>
      <w:r w:rsidRPr="00B75D90">
        <w:rPr>
          <w:rFonts w:ascii="Times New Roman" w:eastAsia="SimSun" w:hAnsi="Times New Roman" w:cs="Times New Roman"/>
        </w:rPr>
        <w:t xml:space="preserve"> </w:t>
      </w:r>
      <w:r w:rsidRPr="00B75D90">
        <w:rPr>
          <w:rFonts w:ascii="Times New Roman" w:eastAsia="SimSun" w:hAnsi="Times New Roman" w:cs="Times New Roman"/>
          <w:b/>
        </w:rPr>
        <w:t>vartoti negalima:</w:t>
      </w:r>
    </w:p>
    <w:p w:rsidR="00B75D90" w:rsidRPr="00B75D90" w:rsidRDefault="00B75D90" w:rsidP="00B75D90">
      <w:pPr>
        <w:widowControl w:val="0"/>
        <w:numPr>
          <w:ilvl w:val="0"/>
          <w:numId w:val="1"/>
        </w:numPr>
        <w:tabs>
          <w:tab w:val="left" w:pos="567"/>
        </w:tabs>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jeigu yra alergija imatinibui arba bet kuriai pagalbinei šio vaisto medžiagai (jos išvardytos 6 skyriuje).</w:t>
      </w:r>
    </w:p>
    <w:p w:rsidR="00B75D90" w:rsidRPr="00B75D90" w:rsidRDefault="00B75D90" w:rsidP="00B75D90">
      <w:pPr>
        <w:widowControl w:val="0"/>
        <w:tabs>
          <w:tab w:val="center" w:pos="4320"/>
          <w:tab w:val="right" w:pos="8640"/>
        </w:tabs>
        <w:spacing w:after="0" w:line="240" w:lineRule="auto"/>
        <w:rPr>
          <w:rFonts w:ascii="Times New Roman" w:eastAsia="SimSun" w:hAnsi="Times New Roman" w:cs="Times New Roman"/>
          <w:lang w:val="sl-SI"/>
        </w:rPr>
      </w:pPr>
    </w:p>
    <w:p w:rsidR="00B75D90" w:rsidRPr="00B75D90" w:rsidRDefault="00B75D90" w:rsidP="00B75D90">
      <w:pPr>
        <w:widowControl w:val="0"/>
        <w:tabs>
          <w:tab w:val="center" w:pos="4320"/>
          <w:tab w:val="right" w:pos="8640"/>
        </w:tabs>
        <w:spacing w:after="0" w:line="240" w:lineRule="auto"/>
        <w:rPr>
          <w:rFonts w:ascii="Times New Roman" w:eastAsia="SimSun" w:hAnsi="Times New Roman" w:cs="Times New Roman"/>
          <w:lang w:val="sl-SI"/>
        </w:rPr>
      </w:pPr>
      <w:r w:rsidRPr="00B75D90">
        <w:rPr>
          <w:rFonts w:ascii="Times New Roman" w:eastAsia="SimSun" w:hAnsi="Times New Roman" w:cs="Times New Roman"/>
          <w:lang w:val="sl-SI"/>
        </w:rPr>
        <w:t>Jeigu galvojate, kad galite būti alergiški, bet dėl to nesate tikri, klauskite gydytojo.</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tabs>
          <w:tab w:val="left" w:pos="567"/>
        </w:tabs>
        <w:spacing w:after="0" w:line="240" w:lineRule="auto"/>
        <w:rPr>
          <w:rFonts w:ascii="Times New Roman" w:eastAsia="SimSun" w:hAnsi="Times New Roman" w:cs="Times New Roman"/>
          <w:b/>
        </w:rPr>
      </w:pPr>
      <w:r w:rsidRPr="00B75D90">
        <w:rPr>
          <w:rFonts w:ascii="Times New Roman" w:eastAsia="SimSun" w:hAnsi="Times New Roman" w:cs="Times New Roman"/>
          <w:b/>
        </w:rPr>
        <w:t>Įspėjimai ir atsargumo priemonės</w:t>
      </w:r>
    </w:p>
    <w:p w:rsidR="00B75D90" w:rsidRPr="00B75D90" w:rsidRDefault="00B75D90" w:rsidP="00B75D90">
      <w:pPr>
        <w:widowControl w:val="0"/>
        <w:numPr>
          <w:ilvl w:val="12"/>
          <w:numId w:val="0"/>
        </w:numPr>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Pasitarkite su gydytoju arba vaistininku, prieš pradėdami vartoti Meapax:</w:t>
      </w:r>
    </w:p>
    <w:p w:rsidR="00B75D90" w:rsidRPr="00B75D90" w:rsidRDefault="00B75D90" w:rsidP="00B75D90">
      <w:pPr>
        <w:widowControl w:val="0"/>
        <w:numPr>
          <w:ilvl w:val="0"/>
          <w:numId w:val="20"/>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jeigu yra arba kada nors buvo sutrikusi kepenų, inkstų ar širdies veikla,</w:t>
      </w:r>
    </w:p>
    <w:p w:rsidR="00B75D90" w:rsidRPr="00B75D90" w:rsidRDefault="00B75D90" w:rsidP="00B75D90">
      <w:pPr>
        <w:widowControl w:val="0"/>
        <w:numPr>
          <w:ilvl w:val="0"/>
          <w:numId w:val="20"/>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jeigu vartojate vaistą levotiroksiną, nes yra pašalinta Jūsų skydliaukė,</w:t>
      </w:r>
    </w:p>
    <w:p w:rsidR="00B75D90" w:rsidRPr="00B75D90" w:rsidRDefault="00B75D90" w:rsidP="00B75D90">
      <w:pPr>
        <w:widowControl w:val="0"/>
        <w:numPr>
          <w:ilvl w:val="0"/>
          <w:numId w:val="20"/>
        </w:numPr>
        <w:spacing w:after="0" w:line="240" w:lineRule="auto"/>
        <w:ind w:left="567" w:hanging="567"/>
        <w:rPr>
          <w:rFonts w:ascii="Times New Roman" w:eastAsia="Times New Roman" w:hAnsi="Times New Roman" w:cs="Times New Roman"/>
          <w:noProof/>
          <w:snapToGrid w:val="0"/>
          <w:lang w:val="cs-CZ"/>
        </w:rPr>
      </w:pPr>
      <w:r w:rsidRPr="00B75D90">
        <w:rPr>
          <w:rFonts w:ascii="Times New Roman" w:eastAsia="Times New Roman" w:hAnsi="Times New Roman" w:cs="Times New Roman"/>
          <w:noProof/>
          <w:snapToGrid w:val="0"/>
          <w:lang w:val="cs-CZ"/>
        </w:rPr>
        <w:t>jeigu Jūs kada nors sirgote arba dabar galite būti užsikrėtę hepatito B viruso infekcija. Tai svarbu, nes Meapax gali vėl suaktyvinti hepatito B virusą, o kai kuriais atvejais tai gali būti mirtina. Pacientai bus atidžiai patikrinti gydytojo dėl šios infekcijos požymių prieš pradedant gydymą</w:t>
      </w:r>
      <w:r w:rsidRPr="00B75D90">
        <w:rPr>
          <w:rFonts w:ascii="Times New Roman" w:eastAsia="Times New Roman" w:hAnsi="Times New Roman" w:cs="Times New Roman"/>
          <w:noProof/>
          <w:snapToGrid w:val="0"/>
          <w:szCs w:val="20"/>
          <w:lang w:val="cs-CZ"/>
        </w:rPr>
        <w:t>,</w:t>
      </w:r>
    </w:p>
    <w:p w:rsidR="00B75D90" w:rsidRPr="00B75D90" w:rsidRDefault="00B75D90" w:rsidP="00B75D90">
      <w:pPr>
        <w:widowControl w:val="0"/>
        <w:numPr>
          <w:ilvl w:val="0"/>
          <w:numId w:val="20"/>
        </w:numPr>
        <w:spacing w:after="0" w:line="240" w:lineRule="auto"/>
        <w:ind w:left="567" w:hanging="567"/>
        <w:rPr>
          <w:rFonts w:ascii="Times New Roman" w:eastAsia="Times New Roman" w:hAnsi="Times New Roman" w:cs="Times New Roman"/>
          <w:noProof/>
          <w:snapToGrid w:val="0"/>
          <w:szCs w:val="20"/>
          <w:lang w:val="cs-CZ"/>
        </w:rPr>
      </w:pPr>
      <w:r w:rsidRPr="00B75D90">
        <w:rPr>
          <w:rFonts w:ascii="Times New Roman" w:eastAsia="Times New Roman" w:hAnsi="Times New Roman" w:cs="Times New Roman"/>
          <w:szCs w:val="20"/>
          <w:lang w:val="cs-CZ"/>
        </w:rPr>
        <w:t>jeigu Jums vartojant Meapax susidaro kraujosruvų, pasireiškia kraujavimas, karščiavimas, nuovargis ir sumišimas, kreipkitės į gydytoją. Tai gali būti kraujagyslių pažaidos, vadinamos trombine mikroangiopatija (TMA), požymis.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Times New Roman" w:hAnsi="Times New Roman" w:cs="Times New Roman"/>
          <w:szCs w:val="20"/>
          <w:lang w:val="cs-CZ"/>
        </w:rPr>
      </w:pPr>
      <w:r w:rsidRPr="00B75D90">
        <w:rPr>
          <w:rFonts w:ascii="Times New Roman" w:eastAsia="Times New Roman" w:hAnsi="Times New Roman" w:cs="Times New Roman"/>
          <w:szCs w:val="20"/>
          <w:lang w:val="cs-CZ"/>
        </w:rPr>
        <w:t>Meapax vartojimo metu galite tapti jautresnis saulės poveikiui. Svarbu apsaugoti atviras odos vietas nuo tiesioginių saulės spindulių ir naudoti preparatą nuo saulės nudegimo, kurio aukštas apsaugos faktorius (SPF). Šios atsargumo priemonės taip pat turi būti taikomos vaikams.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b/>
          <w:color w:val="000000"/>
          <w:lang w:val="sl-SI"/>
        </w:rPr>
        <w:t>Gydymo Meapax metu iš karto pasakykite gydytojui</w:t>
      </w:r>
      <w:r w:rsidRPr="00B75D90">
        <w:rPr>
          <w:rFonts w:ascii="Times New Roman" w:eastAsia="SimSun" w:hAnsi="Times New Roman" w:cs="Times New Roman"/>
          <w:color w:val="000000"/>
          <w:lang w:val="sl-SI"/>
        </w:rPr>
        <w:t>, jeigu pernelyg greitai didėja kūno masė, pasunkėja kvėpavimas ar atsiranda dusulys, didėja pilvo apimtis. Meapax gali skatinti skysčių kaupimąsi organizme. Tai dažniau pasireiškia vyresniems pacientams ir sergantiems širdies ligomis.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Vartojant Meapax, Jūsų gydytojas reguliariai tikrins, ar vaistas veiksmingas. Be to, bus tiriamas Jūsų kraujas ir turėsite reguliariai svertis.</w:t>
      </w:r>
    </w:p>
    <w:p w:rsidR="00B75D90" w:rsidRPr="00B75D90" w:rsidRDefault="00B75D90" w:rsidP="00B75D90">
      <w:pPr>
        <w:widowControl w:val="0"/>
        <w:numPr>
          <w:ilvl w:val="12"/>
          <w:numId w:val="0"/>
        </w:numPr>
        <w:tabs>
          <w:tab w:val="left" w:pos="567"/>
        </w:tabs>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rPr>
          <w:rFonts w:ascii="Times New Roman" w:eastAsia="SimSun" w:hAnsi="Times New Roman" w:cs="Times New Roman"/>
          <w:b/>
        </w:rPr>
      </w:pPr>
      <w:r w:rsidRPr="00B75D90">
        <w:rPr>
          <w:rFonts w:ascii="Times New Roman" w:eastAsia="SimSun" w:hAnsi="Times New Roman" w:cs="Times New Roman"/>
          <w:b/>
        </w:rPr>
        <w:t>Vaikams ir paaugliams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Meapax gali būti gydomi vaikai, kurie serga LML. Jaunesnių kaip 2 metų kūdikių ir vaikų, sergančių LML, gydymo patirties nėra. Vartojimo patirties vaikams, sergantiems Ph teigiama ŪLL, yra nedaug, o vartojimo patirties vaikams, sergantiems MDS, MPL, DFSP, VTSN ir HES bei LEL, yra labai nedaug.</w:t>
      </w:r>
    </w:p>
    <w:p w:rsidR="00B75D90" w:rsidRPr="00B75D90" w:rsidRDefault="00B75D90" w:rsidP="00B75D90">
      <w:pPr>
        <w:widowControl w:val="0"/>
        <w:numPr>
          <w:ilvl w:val="12"/>
          <w:numId w:val="0"/>
        </w:numPr>
        <w:tabs>
          <w:tab w:val="left" w:pos="567"/>
        </w:tabs>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Vartojant Meapax gali sulėtėti kai kurių vaikų ir paauglių augimas. Gydytojas tikrins augimą reguliarių apsilankymų metu.</w:t>
      </w:r>
    </w:p>
    <w:p w:rsidR="00B75D90" w:rsidRPr="00B75D90" w:rsidRDefault="00B75D90" w:rsidP="00B75D90">
      <w:pPr>
        <w:widowControl w:val="0"/>
        <w:numPr>
          <w:ilvl w:val="12"/>
          <w:numId w:val="0"/>
        </w:numPr>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b/>
        </w:rPr>
      </w:pPr>
      <w:r w:rsidRPr="00B75D90">
        <w:rPr>
          <w:rFonts w:ascii="Times New Roman" w:eastAsia="SimSun" w:hAnsi="Times New Roman" w:cs="Times New Roman"/>
          <w:b/>
        </w:rPr>
        <w:lastRenderedPageBreak/>
        <w:t>Kiti vaistai ir Meapax</w:t>
      </w: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highlight w:val="yellow"/>
        </w:rPr>
      </w:pPr>
      <w:r w:rsidRPr="00B75D90">
        <w:rPr>
          <w:rFonts w:ascii="Times New Roman" w:eastAsia="SimSun" w:hAnsi="Times New Roman" w:cs="Times New Roman"/>
        </w:rPr>
        <w:t>Jeigu vartojate ar neseniai vartojote kitų vaistų arba dėl to nesate tikri, įskaitant be recepto įsigytus vaistus (pvz., paracetamolį) ir vaistažolių (pvz., jonažolės) preparatus, apie tai pasakykite gydytojui arba vaistininkui. Kai kurie kartu vartojami vaistai gali sąveikauti su Meapax. Jie gali sustiprinti arba sumažinti Meapax poveikį, sustiprinti šalutinį poveikį arba mažinti Meapax veiksmingumą. Meapax tokį pat poveikį gali daryti kitiems vaistams.</w:t>
      </w: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rPr>
      </w:pPr>
      <w:r w:rsidRPr="00B75D90">
        <w:rPr>
          <w:rFonts w:ascii="Times New Roman" w:eastAsia="SimSun" w:hAnsi="Times New Roman" w:cs="Times New Roman"/>
        </w:rPr>
        <w:t>Pasakykite gydytojui, jei vartojate vaistų, kurie apsaugo nuo kraujo krešulių susidarymo.</w:t>
      </w: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b/>
        </w:rPr>
      </w:pP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b/>
        </w:rPr>
      </w:pPr>
      <w:r w:rsidRPr="00B75D90">
        <w:rPr>
          <w:rFonts w:ascii="Times New Roman" w:eastAsia="SimSun" w:hAnsi="Times New Roman" w:cs="Times New Roman"/>
          <w:b/>
        </w:rPr>
        <w:t>Nėštumas, žindymo laikotarpis ir vaisingumas</w:t>
      </w: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rPr>
      </w:pPr>
      <w:r w:rsidRPr="00B75D90">
        <w:rPr>
          <w:rFonts w:ascii="Times New Roman" w:eastAsia="SimSun" w:hAnsi="Times New Roman" w:cs="Times New Roman"/>
        </w:rPr>
        <w:t>Jeigu esate nėščia, žindote kūdikį, manote, kad galbūt esate nėščia, arba planuojate pastoti, tai prieš vartodama šį vaistą, pasitarkite su gydytoju.</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numPr>
          <w:ilvl w:val="0"/>
          <w:numId w:val="1"/>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Meapax nerekomenduojama vartoti nėštumo metu, išskyrus atvejus, kai tai neabejotinai būtina, nes tai gali pakenkti Jūsų kūdikiui. Gydytojas aptars su Jumis galimą riziką, susijusią su Meapax vartojimu nėštumo metu.</w:t>
      </w:r>
    </w:p>
    <w:p w:rsidR="00B75D90" w:rsidRPr="00B75D90" w:rsidRDefault="00B75D90" w:rsidP="00B75D90">
      <w:pPr>
        <w:widowControl w:val="0"/>
        <w:numPr>
          <w:ilvl w:val="0"/>
          <w:numId w:val="1"/>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Galinčioms pastoti moterims gydymo metu rekomenduojama naudoti veiksmingą kontracepciją.</w:t>
      </w:r>
    </w:p>
    <w:p w:rsidR="00B75D90" w:rsidRPr="00B75D90" w:rsidRDefault="00B75D90" w:rsidP="00B75D90">
      <w:pPr>
        <w:widowControl w:val="0"/>
        <w:numPr>
          <w:ilvl w:val="0"/>
          <w:numId w:val="1"/>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Gydymo Meapax metu negalima žindyti.</w:t>
      </w:r>
    </w:p>
    <w:p w:rsidR="00B75D90" w:rsidRPr="00B75D90" w:rsidRDefault="00B75D90" w:rsidP="00B75D90">
      <w:pPr>
        <w:widowControl w:val="0"/>
        <w:numPr>
          <w:ilvl w:val="0"/>
          <w:numId w:val="1"/>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Pacientai Meapax vartojimo laikotarpiu dėl savo vaisingumo turi konsultuotis su gydytoju.</w:t>
      </w: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highlight w:val="yellow"/>
        </w:rPr>
      </w:pP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b/>
        </w:rPr>
      </w:pPr>
      <w:r w:rsidRPr="00B75D90">
        <w:rPr>
          <w:rFonts w:ascii="Times New Roman" w:eastAsia="SimSun" w:hAnsi="Times New Roman" w:cs="Times New Roman"/>
          <w:b/>
        </w:rPr>
        <w:t>Vairavimas ir mechanizmų valdymas</w:t>
      </w: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b/>
        </w:rPr>
      </w:pPr>
      <w:r w:rsidRPr="00B75D90">
        <w:rPr>
          <w:rFonts w:ascii="Times New Roman" w:eastAsia="SimSun" w:hAnsi="Times New Roman" w:cs="Times New Roman"/>
        </w:rPr>
        <w:t>Vartodami šį vaistą, galite justi galvos svaigimą ar mieguistumą arba matyti lyg per miglą. Jeigu pasireiškia toks poveikis, vairuoti ir mechanizmų valdyti negalima tol, kol vėl nepradėsite gerai jaustis.</w:t>
      </w:r>
    </w:p>
    <w:p w:rsidR="00B75D90" w:rsidRPr="00B75D90" w:rsidRDefault="00B75D90" w:rsidP="00B75D90">
      <w:pPr>
        <w:widowControl w:val="0"/>
        <w:numPr>
          <w:ilvl w:val="12"/>
          <w:numId w:val="0"/>
        </w:numPr>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b/>
        </w:rPr>
      </w:pPr>
      <w:r w:rsidRPr="00B75D90">
        <w:rPr>
          <w:rFonts w:ascii="Times New Roman" w:eastAsia="SimSun" w:hAnsi="Times New Roman" w:cs="Times New Roman"/>
          <w:b/>
        </w:rPr>
        <w:t>Meapax sudėtyje yra laktozės</w:t>
      </w:r>
    </w:p>
    <w:p w:rsidR="00B75D90" w:rsidRPr="00B75D90" w:rsidRDefault="00B75D90" w:rsidP="00B75D90">
      <w:pPr>
        <w:widowControl w:val="0"/>
        <w:numPr>
          <w:ilvl w:val="12"/>
          <w:numId w:val="0"/>
        </w:numPr>
        <w:spacing w:after="0" w:line="240" w:lineRule="auto"/>
        <w:ind w:right="-2"/>
        <w:outlineLvl w:val="0"/>
        <w:rPr>
          <w:rFonts w:ascii="Times New Roman" w:eastAsia="SimSun" w:hAnsi="Times New Roman" w:cs="Times New Roman"/>
        </w:rPr>
      </w:pPr>
      <w:r w:rsidRPr="00B75D90">
        <w:rPr>
          <w:rFonts w:ascii="Times New Roman" w:eastAsia="SimSun" w:hAnsi="Times New Roman" w:cs="Times New Roman"/>
        </w:rPr>
        <w:t>Jeigu gydytojas Jums yra sakęs, kad netoleruojate kokių nors angliavandenių, kreipkitės į jį prieš pradėdami vartoti šį vaistą.</w:t>
      </w:r>
    </w:p>
    <w:p w:rsidR="00B75D90" w:rsidRPr="00B75D90" w:rsidRDefault="00B75D90" w:rsidP="00B75D90">
      <w:pPr>
        <w:widowControl w:val="0"/>
        <w:numPr>
          <w:ilvl w:val="12"/>
          <w:numId w:val="0"/>
        </w:numPr>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b/>
        </w:rPr>
      </w:pPr>
      <w:r w:rsidRPr="00B75D90">
        <w:rPr>
          <w:rFonts w:ascii="Times New Roman" w:eastAsia="SimSun" w:hAnsi="Times New Roman" w:cs="Times New Roman"/>
          <w:b/>
        </w:rPr>
        <w:t>3.</w:t>
      </w:r>
      <w:r w:rsidRPr="00B75D90">
        <w:rPr>
          <w:rFonts w:ascii="Times New Roman" w:eastAsia="SimSun" w:hAnsi="Times New Roman" w:cs="Times New Roman"/>
          <w:b/>
        </w:rPr>
        <w:tab/>
        <w:t>Kaip vartoti Meapax</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r w:rsidRPr="00B75D90">
        <w:rPr>
          <w:rFonts w:ascii="Times New Roman" w:eastAsia="SimSun" w:hAnsi="Times New Roman" w:cs="Times New Roman"/>
        </w:rPr>
        <w:t>Jūsų gydytojas Jums paskyrė Meapax, kadangi sergate sunkia liga. Meapax gali Jums padėti kovojant su šia būkle.</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r w:rsidRPr="00B75D90">
        <w:rPr>
          <w:rFonts w:ascii="Times New Roman" w:eastAsia="SimSun" w:hAnsi="Times New Roman" w:cs="Times New Roman"/>
        </w:rPr>
        <w:t>Visada vartokite šį vaistą tiksliai kaip nurodė gydytojas. Svarbu, kad vaisto vartotumėte tiek laiko, kiek nurodė Jūsų gydytojas. Jeigu abejojate, kreipkitės į gydytoją.</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lang w:val="sl-SI"/>
        </w:rPr>
      </w:pPr>
      <w:r w:rsidRPr="00B75D90">
        <w:rPr>
          <w:rFonts w:ascii="Times New Roman" w:eastAsia="SimSun" w:hAnsi="Times New Roman" w:cs="Times New Roman"/>
        </w:rPr>
        <w:t xml:space="preserve">Nenustokite vartoti Meapax, nebent taip nurodytų Jūsų gydytojas. </w:t>
      </w:r>
      <w:r w:rsidRPr="00B75D90">
        <w:rPr>
          <w:rFonts w:ascii="Times New Roman" w:eastAsia="SimSun" w:hAnsi="Times New Roman" w:cs="Times New Roman"/>
          <w:lang w:val="sl-SI"/>
        </w:rPr>
        <w:t>Nedelsdami kreipkitės į gydytoją, jeigu negalite vartoti vaisto taip, kaip paskyrė gydytojas, arba jaučiate, kad šio vaisto Jums daugiau nereikia.</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r w:rsidRPr="00B75D90">
        <w:rPr>
          <w:rFonts w:ascii="Times New Roman" w:eastAsia="SimSun" w:hAnsi="Times New Roman" w:cs="Times New Roman"/>
          <w:b/>
          <w:color w:val="000000"/>
          <w:lang w:val="sl-SI"/>
        </w:rPr>
        <w:t>Kiek Meapax vartoti</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r w:rsidRPr="00B75D90">
        <w:rPr>
          <w:rFonts w:ascii="Times New Roman" w:eastAsia="SimSun" w:hAnsi="Times New Roman" w:cs="Times New Roman"/>
          <w:b/>
          <w:color w:val="000000"/>
          <w:lang w:val="sl-SI"/>
        </w:rPr>
        <w:t>Vartojimas suaugusiesiems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Jūsų gydytojas pasakys, kiek Meapax tablečių turite išgerti.</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b/>
          <w:color w:val="000000"/>
          <w:lang w:val="sl-SI"/>
        </w:rPr>
      </w:pPr>
      <w:r w:rsidRPr="00B75D90">
        <w:rPr>
          <w:rFonts w:ascii="Times New Roman" w:eastAsia="SimSun" w:hAnsi="Times New Roman" w:cs="Times New Roman"/>
          <w:b/>
          <w:color w:val="000000"/>
          <w:lang w:val="sl-SI"/>
        </w:rPr>
        <w:t>Jeigu gydoma LML</w:t>
      </w:r>
    </w:p>
    <w:p w:rsidR="00B75D90" w:rsidRPr="00B75D90" w:rsidRDefault="00B75D90" w:rsidP="00B75D90">
      <w:pPr>
        <w:widowControl w:val="0"/>
        <w:autoSpaceDE w:val="0"/>
        <w:autoSpaceDN w:val="0"/>
        <w:adjustRightInd w:val="0"/>
        <w:spacing w:after="0" w:line="240" w:lineRule="auto"/>
        <w:ind w:left="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Priklausomai nuo Jūsų būklės, skiriama įprasta pradinė 600 mg dozė:</w:t>
      </w:r>
    </w:p>
    <w:p w:rsidR="00B75D90" w:rsidRPr="00B75D90" w:rsidRDefault="00B75D90" w:rsidP="00B75D90">
      <w:pPr>
        <w:widowControl w:val="0"/>
        <w:numPr>
          <w:ilvl w:val="0"/>
          <w:numId w:val="7"/>
        </w:numPr>
        <w:autoSpaceDE w:val="0"/>
        <w:autoSpaceDN w:val="0"/>
        <w:adjustRightInd w:val="0"/>
        <w:spacing w:after="0" w:line="240" w:lineRule="auto"/>
        <w:ind w:left="1134" w:hanging="425"/>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 xml:space="preserve">vartojant </w:t>
      </w:r>
      <w:r w:rsidRPr="00B75D90">
        <w:rPr>
          <w:rFonts w:ascii="Times New Roman" w:eastAsia="SimSun" w:hAnsi="Times New Roman" w:cs="Times New Roman"/>
          <w:b/>
          <w:color w:val="000000"/>
          <w:lang w:val="sl-SI"/>
        </w:rPr>
        <w:t xml:space="preserve">600 mg </w:t>
      </w:r>
      <w:r w:rsidRPr="00B75D90">
        <w:rPr>
          <w:rFonts w:ascii="Times New Roman" w:eastAsia="SimSun" w:hAnsi="Times New Roman" w:cs="Times New Roman"/>
          <w:color w:val="000000"/>
          <w:lang w:val="sl-SI"/>
        </w:rPr>
        <w:t xml:space="preserve">dozę, reikia išgerti 6 tabletes </w:t>
      </w:r>
      <w:r w:rsidRPr="00B75D90">
        <w:rPr>
          <w:rFonts w:ascii="Times New Roman" w:eastAsia="SimSun" w:hAnsi="Times New Roman" w:cs="Times New Roman"/>
          <w:b/>
          <w:color w:val="000000"/>
          <w:lang w:val="sl-SI"/>
        </w:rPr>
        <w:t>vieną kartą</w:t>
      </w:r>
      <w:r w:rsidRPr="00B75D90">
        <w:rPr>
          <w:rFonts w:ascii="Times New Roman" w:eastAsia="SimSun" w:hAnsi="Times New Roman" w:cs="Times New Roman"/>
          <w:color w:val="000000"/>
          <w:lang w:val="sl-SI"/>
        </w:rPr>
        <w:t xml:space="preserve"> per parą.</w:t>
      </w:r>
    </w:p>
    <w:p w:rsidR="00B75D90" w:rsidRPr="00B75D90" w:rsidRDefault="00B75D90" w:rsidP="00B75D90">
      <w:pPr>
        <w:widowControl w:val="0"/>
        <w:numPr>
          <w:ilvl w:val="0"/>
          <w:numId w:val="7"/>
        </w:numPr>
        <w:spacing w:after="0" w:line="240" w:lineRule="auto"/>
        <w:ind w:left="1134" w:hanging="425"/>
        <w:rPr>
          <w:rFonts w:ascii="Times New Roman" w:eastAsia="SimSun" w:hAnsi="Times New Roman" w:cs="Times New Roman"/>
          <w:highlight w:val="lightGray"/>
        </w:rPr>
      </w:pPr>
      <w:r w:rsidRPr="00B75D90">
        <w:rPr>
          <w:rFonts w:ascii="Times New Roman" w:eastAsia="SimSun" w:hAnsi="Times New Roman" w:cs="Times New Roman"/>
          <w:highlight w:val="lightGray"/>
        </w:rPr>
        <w:t xml:space="preserve">vartojant </w:t>
      </w:r>
      <w:r w:rsidRPr="00B75D90">
        <w:rPr>
          <w:rFonts w:ascii="Times New Roman" w:eastAsia="SimSun" w:hAnsi="Times New Roman" w:cs="Times New Roman"/>
          <w:b/>
          <w:highlight w:val="lightGray"/>
        </w:rPr>
        <w:t>600 mg</w:t>
      </w:r>
      <w:r w:rsidRPr="00B75D90">
        <w:rPr>
          <w:rFonts w:ascii="Times New Roman" w:eastAsia="SimSun" w:hAnsi="Times New Roman" w:cs="Times New Roman"/>
          <w:highlight w:val="lightGray"/>
        </w:rPr>
        <w:t xml:space="preserve"> dozę, reikia išgerti vieną 400 mg tabletę ir dar dvi 100 mg tabletes </w:t>
      </w:r>
      <w:r w:rsidRPr="00B75D90">
        <w:rPr>
          <w:rFonts w:ascii="Times New Roman" w:eastAsia="SimSun" w:hAnsi="Times New Roman" w:cs="Times New Roman"/>
          <w:b/>
          <w:highlight w:val="lightGray"/>
        </w:rPr>
        <w:t>vieną kartą</w:t>
      </w:r>
      <w:r w:rsidRPr="00B75D90">
        <w:rPr>
          <w:rFonts w:ascii="Times New Roman" w:eastAsia="SimSun" w:hAnsi="Times New Roman" w:cs="Times New Roman"/>
          <w:highlight w:val="lightGray"/>
        </w:rPr>
        <w:t xml:space="preserve"> per parą.</w:t>
      </w:r>
    </w:p>
    <w:p w:rsidR="00B75D90" w:rsidRPr="00B75D90" w:rsidRDefault="00B75D90" w:rsidP="00B75D90">
      <w:pPr>
        <w:widowControl w:val="0"/>
        <w:spacing w:after="0" w:line="240" w:lineRule="auto"/>
        <w:ind w:left="540" w:hanging="540"/>
        <w:rPr>
          <w:rFonts w:ascii="Times New Roman" w:eastAsia="SimSun" w:hAnsi="Times New Roman" w:cs="Times New Roman"/>
        </w:rPr>
      </w:pPr>
    </w:p>
    <w:p w:rsidR="00B75D90" w:rsidRPr="00B75D90" w:rsidRDefault="00B75D90" w:rsidP="00B75D90">
      <w:pPr>
        <w:widowControl w:val="0"/>
        <w:numPr>
          <w:ilvl w:val="0"/>
          <w:numId w:val="6"/>
        </w:numPr>
        <w:autoSpaceDE w:val="0"/>
        <w:autoSpaceDN w:val="0"/>
        <w:adjustRightInd w:val="0"/>
        <w:spacing w:after="0" w:line="240" w:lineRule="auto"/>
        <w:ind w:left="567" w:hanging="567"/>
        <w:rPr>
          <w:rFonts w:ascii="Times New Roman" w:eastAsia="SimSun" w:hAnsi="Times New Roman" w:cs="Times New Roman"/>
          <w:b/>
          <w:color w:val="000000"/>
          <w:lang w:val="sl-SI"/>
        </w:rPr>
      </w:pPr>
      <w:r w:rsidRPr="00B75D90">
        <w:rPr>
          <w:rFonts w:ascii="Times New Roman" w:eastAsia="SimSun" w:hAnsi="Times New Roman" w:cs="Times New Roman"/>
          <w:b/>
          <w:color w:val="000000"/>
          <w:lang w:val="sl-SI"/>
        </w:rPr>
        <w:t>Jei gydoma VTSN</w:t>
      </w:r>
    </w:p>
    <w:p w:rsidR="00B75D90" w:rsidRPr="00B75D90" w:rsidRDefault="00B75D90" w:rsidP="00B75D90">
      <w:pPr>
        <w:widowControl w:val="0"/>
        <w:spacing w:after="0" w:line="240" w:lineRule="auto"/>
        <w:ind w:left="567"/>
        <w:rPr>
          <w:rFonts w:ascii="Times New Roman" w:eastAsia="SimSun" w:hAnsi="Times New Roman" w:cs="Times New Roman"/>
        </w:rPr>
      </w:pPr>
      <w:r w:rsidRPr="00B75D90">
        <w:rPr>
          <w:rFonts w:ascii="Times New Roman" w:eastAsia="SimSun" w:hAnsi="Times New Roman" w:cs="Times New Roman"/>
        </w:rPr>
        <w:t xml:space="preserve">Pradinė dozė yra 400 mg, vartojant po 4 tabletes </w:t>
      </w:r>
      <w:r w:rsidRPr="00B75D90">
        <w:rPr>
          <w:rFonts w:ascii="Times New Roman" w:eastAsia="SimSun" w:hAnsi="Times New Roman" w:cs="Times New Roman"/>
          <w:b/>
        </w:rPr>
        <w:t>kartą</w:t>
      </w:r>
      <w:r w:rsidRPr="00B75D90">
        <w:rPr>
          <w:rFonts w:ascii="Times New Roman" w:eastAsia="SimSun" w:hAnsi="Times New Roman" w:cs="Times New Roman"/>
        </w:rPr>
        <w:t xml:space="preserve"> per parą.</w:t>
      </w:r>
    </w:p>
    <w:p w:rsidR="00B75D90" w:rsidRPr="00B75D90" w:rsidRDefault="00B75D90" w:rsidP="00B75D90">
      <w:pPr>
        <w:widowControl w:val="0"/>
        <w:spacing w:after="0" w:line="240" w:lineRule="auto"/>
        <w:ind w:left="567"/>
        <w:rPr>
          <w:rFonts w:ascii="Times New Roman" w:eastAsia="SimSun" w:hAnsi="Times New Roman" w:cs="Times New Roman"/>
          <w:highlight w:val="lightGray"/>
        </w:rPr>
      </w:pPr>
      <w:r w:rsidRPr="00B75D90">
        <w:rPr>
          <w:rFonts w:ascii="Times New Roman" w:eastAsia="SimSun" w:hAnsi="Times New Roman" w:cs="Times New Roman"/>
          <w:highlight w:val="lightGray"/>
        </w:rPr>
        <w:t xml:space="preserve">Pradinė dozė yra 400 mg, vartojant po vieną tabletę </w:t>
      </w:r>
      <w:r w:rsidRPr="00B75D90">
        <w:rPr>
          <w:rFonts w:ascii="Times New Roman" w:eastAsia="SimSun" w:hAnsi="Times New Roman" w:cs="Times New Roman"/>
          <w:b/>
          <w:highlight w:val="lightGray"/>
        </w:rPr>
        <w:t>kartą</w:t>
      </w:r>
      <w:r w:rsidRPr="00B75D90">
        <w:rPr>
          <w:rFonts w:ascii="Times New Roman" w:eastAsia="SimSun" w:hAnsi="Times New Roman" w:cs="Times New Roman"/>
          <w:highlight w:val="lightGray"/>
        </w:rPr>
        <w:t xml:space="preserve"> per parą.</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Gydant LML ar VTSN, Jūsų gydytojas skirs didesnę arba mažesnę dozę, atsižvelgdamas į tai, kaip Jūsų organizmas reaguoja į gydymą. Jeigu Jums skirta 800 mg paros dozė (8 tabletės), reikia išgerti 4 tabletes ryte ir 4 tabletes vakare.</w:t>
      </w: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Gydant LML ar VTSN, Jūsų gydytojas skirs didesnę arba mažesnę dozę, atsižvelgdamas į tai, kaip Jūsų organizmas reaguoja į gydymą. Jeigu Jums skirta 800 mg paros dozė (2 tabletės), reikia išgerti vieną tabletę ryte, o kitą – vakare.</w:t>
      </w:r>
    </w:p>
    <w:p w:rsidR="00B75D90" w:rsidRPr="00B75D90" w:rsidRDefault="00B75D90" w:rsidP="00B75D90">
      <w:pPr>
        <w:widowControl w:val="0"/>
        <w:numPr>
          <w:ilvl w:val="12"/>
          <w:numId w:val="0"/>
        </w:numPr>
        <w:tabs>
          <w:tab w:val="left" w:pos="567"/>
        </w:tabs>
        <w:spacing w:after="0" w:line="240" w:lineRule="auto"/>
        <w:ind w:right="-2"/>
        <w:rPr>
          <w:rFonts w:ascii="Times New Roman" w:eastAsia="SimSun" w:hAnsi="Times New Roman" w:cs="Times New Roman"/>
          <w:b/>
          <w:highlight w:val="yellow"/>
        </w:rPr>
      </w:pPr>
    </w:p>
    <w:p w:rsidR="00B75D90" w:rsidRPr="00B75D90" w:rsidRDefault="00B75D90" w:rsidP="00B75D90">
      <w:pPr>
        <w:widowControl w:val="0"/>
        <w:numPr>
          <w:ilvl w:val="0"/>
          <w:numId w:val="8"/>
        </w:numPr>
        <w:spacing w:after="0" w:line="240" w:lineRule="auto"/>
        <w:ind w:left="567" w:right="-2" w:hanging="567"/>
        <w:rPr>
          <w:rFonts w:ascii="Times New Roman" w:eastAsia="SimSun" w:hAnsi="Times New Roman" w:cs="Times New Roman"/>
          <w:b/>
        </w:rPr>
      </w:pPr>
      <w:r w:rsidRPr="00B75D90">
        <w:rPr>
          <w:rFonts w:ascii="Times New Roman" w:eastAsia="SimSun" w:hAnsi="Times New Roman" w:cs="Times New Roman"/>
          <w:b/>
        </w:rPr>
        <w:t>Jeigu gydoma Ph teigiama ŪLL:</w:t>
      </w:r>
    </w:p>
    <w:p w:rsidR="00B75D90" w:rsidRPr="00B75D90" w:rsidRDefault="00B75D90" w:rsidP="00B75D90">
      <w:pPr>
        <w:widowControl w:val="0"/>
        <w:spacing w:after="0" w:line="240" w:lineRule="auto"/>
        <w:ind w:left="567" w:right="-2"/>
        <w:rPr>
          <w:rFonts w:ascii="Times New Roman" w:eastAsia="SimSun" w:hAnsi="Times New Roman" w:cs="Times New Roman"/>
          <w:b/>
        </w:rPr>
      </w:pPr>
      <w:r w:rsidRPr="00B75D90">
        <w:rPr>
          <w:rFonts w:ascii="Times New Roman" w:eastAsia="SimSun" w:hAnsi="Times New Roman" w:cs="Times New Roman"/>
        </w:rPr>
        <w:t>Pradinė dozė yra 600 mg, vartojant po 6 tabletes</w:t>
      </w:r>
      <w:r w:rsidRPr="00B75D90">
        <w:rPr>
          <w:rFonts w:ascii="Times New Roman" w:eastAsia="SimSun" w:hAnsi="Times New Roman" w:cs="Times New Roman"/>
          <w:b/>
        </w:rPr>
        <w:t xml:space="preserve"> kartą </w:t>
      </w:r>
      <w:r w:rsidRPr="00B75D90">
        <w:rPr>
          <w:rFonts w:ascii="Times New Roman" w:eastAsia="SimSun" w:hAnsi="Times New Roman" w:cs="Times New Roman"/>
        </w:rPr>
        <w:t>per parą.</w:t>
      </w:r>
    </w:p>
    <w:p w:rsidR="00B75D90" w:rsidRPr="00B75D90" w:rsidRDefault="00B75D90" w:rsidP="00B75D90">
      <w:pPr>
        <w:widowControl w:val="0"/>
        <w:spacing w:after="0" w:line="240" w:lineRule="auto"/>
        <w:ind w:left="567" w:right="-2"/>
        <w:rPr>
          <w:rFonts w:ascii="Times New Roman" w:eastAsia="SimSun" w:hAnsi="Times New Roman" w:cs="Times New Roman"/>
        </w:rPr>
      </w:pPr>
      <w:r w:rsidRPr="00B75D90">
        <w:rPr>
          <w:rFonts w:ascii="Times New Roman" w:eastAsia="SimSun" w:hAnsi="Times New Roman" w:cs="Times New Roman"/>
          <w:highlight w:val="lightGray"/>
        </w:rPr>
        <w:t>Pradinė dozė yra 600 mg, vartojant po vieną 400 mg tabletę</w:t>
      </w:r>
      <w:r w:rsidRPr="00B75D90">
        <w:rPr>
          <w:rFonts w:ascii="Times New Roman" w:eastAsia="SimSun" w:hAnsi="Times New Roman" w:cs="Times New Roman"/>
          <w:b/>
          <w:highlight w:val="lightGray"/>
        </w:rPr>
        <w:t xml:space="preserve"> </w:t>
      </w:r>
      <w:r w:rsidRPr="00B75D90">
        <w:rPr>
          <w:rFonts w:ascii="Times New Roman" w:eastAsia="SimSun" w:hAnsi="Times New Roman" w:cs="Times New Roman"/>
          <w:highlight w:val="lightGray"/>
        </w:rPr>
        <w:t>ir dvi 100 mg tabletes</w:t>
      </w:r>
      <w:r w:rsidRPr="00B75D90">
        <w:rPr>
          <w:rFonts w:ascii="Times New Roman" w:eastAsia="SimSun" w:hAnsi="Times New Roman" w:cs="Times New Roman"/>
          <w:b/>
          <w:highlight w:val="lightGray"/>
        </w:rPr>
        <w:t xml:space="preserve"> kartą </w:t>
      </w:r>
      <w:r w:rsidRPr="00B75D90">
        <w:rPr>
          <w:rFonts w:ascii="Times New Roman" w:eastAsia="SimSun" w:hAnsi="Times New Roman" w:cs="Times New Roman"/>
          <w:highlight w:val="lightGray"/>
        </w:rPr>
        <w:t>per parą.</w:t>
      </w:r>
    </w:p>
    <w:p w:rsidR="00B75D90" w:rsidRPr="00B75D90" w:rsidRDefault="00B75D90" w:rsidP="00B75D90">
      <w:pPr>
        <w:widowControl w:val="0"/>
        <w:tabs>
          <w:tab w:val="left" w:pos="567"/>
        </w:tabs>
        <w:spacing w:after="0" w:line="240" w:lineRule="auto"/>
        <w:ind w:right="-2"/>
        <w:rPr>
          <w:rFonts w:ascii="Times New Roman" w:eastAsia="SimSun" w:hAnsi="Times New Roman" w:cs="Times New Roman"/>
          <w:b/>
        </w:rPr>
      </w:pPr>
    </w:p>
    <w:p w:rsidR="00B75D90" w:rsidRPr="00B75D90" w:rsidRDefault="00B75D90" w:rsidP="00B75D90">
      <w:pPr>
        <w:widowControl w:val="0"/>
        <w:numPr>
          <w:ilvl w:val="0"/>
          <w:numId w:val="8"/>
        </w:numPr>
        <w:spacing w:after="0" w:line="240" w:lineRule="auto"/>
        <w:ind w:left="567" w:right="-2" w:hanging="567"/>
        <w:rPr>
          <w:rFonts w:ascii="Times New Roman" w:eastAsia="SimSun" w:hAnsi="Times New Roman" w:cs="Times New Roman"/>
          <w:b/>
        </w:rPr>
      </w:pPr>
      <w:r w:rsidRPr="00B75D90">
        <w:rPr>
          <w:rFonts w:ascii="Times New Roman" w:eastAsia="SimSun" w:hAnsi="Times New Roman" w:cs="Times New Roman"/>
          <w:b/>
        </w:rPr>
        <w:t>Jeigu gydoma MDS</w:t>
      </w:r>
      <w:r w:rsidRPr="00B75D90">
        <w:rPr>
          <w:rFonts w:ascii="Times New Roman" w:eastAsia="SimSun" w:hAnsi="Times New Roman" w:cs="Times New Roman"/>
        </w:rPr>
        <w:t xml:space="preserve"> arba </w:t>
      </w:r>
      <w:r w:rsidRPr="00B75D90">
        <w:rPr>
          <w:rFonts w:ascii="Times New Roman" w:eastAsia="SimSun" w:hAnsi="Times New Roman" w:cs="Times New Roman"/>
          <w:b/>
        </w:rPr>
        <w:t>MPL:</w:t>
      </w:r>
    </w:p>
    <w:p w:rsidR="00B75D90" w:rsidRPr="00B75D90" w:rsidRDefault="00B75D90" w:rsidP="00B75D90">
      <w:pPr>
        <w:widowControl w:val="0"/>
        <w:spacing w:after="0" w:line="240" w:lineRule="auto"/>
        <w:ind w:left="567" w:right="-2"/>
        <w:rPr>
          <w:rFonts w:ascii="Times New Roman" w:eastAsia="SimSun" w:hAnsi="Times New Roman" w:cs="Times New Roman"/>
        </w:rPr>
      </w:pPr>
      <w:r w:rsidRPr="00B75D90">
        <w:rPr>
          <w:rFonts w:ascii="Times New Roman" w:eastAsia="SimSun" w:hAnsi="Times New Roman" w:cs="Times New Roman"/>
        </w:rPr>
        <w:t xml:space="preserve">Pradinė dozė yra 400 mg, vartojant po 4 tabletes </w:t>
      </w:r>
      <w:r w:rsidRPr="00B75D90">
        <w:rPr>
          <w:rFonts w:ascii="Times New Roman" w:eastAsia="SimSun" w:hAnsi="Times New Roman" w:cs="Times New Roman"/>
          <w:b/>
        </w:rPr>
        <w:t>kartą</w:t>
      </w:r>
      <w:r w:rsidRPr="00B75D90">
        <w:rPr>
          <w:rFonts w:ascii="Times New Roman" w:eastAsia="SimSun" w:hAnsi="Times New Roman" w:cs="Times New Roman"/>
        </w:rPr>
        <w:t xml:space="preserve"> per parą.</w:t>
      </w:r>
    </w:p>
    <w:p w:rsidR="00B75D90" w:rsidRPr="00B75D90" w:rsidRDefault="00B75D90" w:rsidP="00B75D90">
      <w:pPr>
        <w:widowControl w:val="0"/>
        <w:spacing w:after="0" w:line="240" w:lineRule="auto"/>
        <w:ind w:left="567" w:right="-2"/>
        <w:rPr>
          <w:rFonts w:ascii="Times New Roman" w:eastAsia="SimSun" w:hAnsi="Times New Roman" w:cs="Times New Roman"/>
        </w:rPr>
      </w:pPr>
      <w:r w:rsidRPr="00B75D90">
        <w:rPr>
          <w:rFonts w:ascii="Times New Roman" w:eastAsia="SimSun" w:hAnsi="Times New Roman" w:cs="Times New Roman"/>
          <w:highlight w:val="lightGray"/>
        </w:rPr>
        <w:t xml:space="preserve">Pradinė dozė yra 400 mg, vartojant po vieną tabletę </w:t>
      </w:r>
      <w:r w:rsidRPr="00B75D90">
        <w:rPr>
          <w:rFonts w:ascii="Times New Roman" w:eastAsia="SimSun" w:hAnsi="Times New Roman" w:cs="Times New Roman"/>
          <w:b/>
          <w:highlight w:val="lightGray"/>
        </w:rPr>
        <w:t>kartą</w:t>
      </w:r>
      <w:r w:rsidRPr="00B75D90">
        <w:rPr>
          <w:rFonts w:ascii="Times New Roman" w:eastAsia="SimSun" w:hAnsi="Times New Roman" w:cs="Times New Roman"/>
          <w:highlight w:val="lightGray"/>
        </w:rPr>
        <w:t xml:space="preserve"> per parą.</w:t>
      </w:r>
    </w:p>
    <w:p w:rsidR="00B75D90" w:rsidRPr="00B75D90" w:rsidRDefault="00B75D90" w:rsidP="00B75D90">
      <w:pPr>
        <w:widowControl w:val="0"/>
        <w:spacing w:after="0" w:line="240" w:lineRule="auto"/>
        <w:ind w:left="567" w:right="-2" w:hanging="567"/>
        <w:rPr>
          <w:rFonts w:ascii="Times New Roman" w:eastAsia="SimSun" w:hAnsi="Times New Roman" w:cs="Times New Roman"/>
          <w:i/>
        </w:rPr>
      </w:pPr>
    </w:p>
    <w:p w:rsidR="00B75D90" w:rsidRPr="00B75D90" w:rsidRDefault="00B75D90" w:rsidP="00B75D90">
      <w:pPr>
        <w:widowControl w:val="0"/>
        <w:numPr>
          <w:ilvl w:val="0"/>
          <w:numId w:val="8"/>
        </w:numPr>
        <w:spacing w:after="0" w:line="240" w:lineRule="auto"/>
        <w:ind w:left="567" w:right="-2" w:hanging="567"/>
        <w:rPr>
          <w:rFonts w:ascii="Times New Roman" w:eastAsia="SimSun" w:hAnsi="Times New Roman" w:cs="Times New Roman"/>
          <w:b/>
        </w:rPr>
      </w:pPr>
      <w:r w:rsidRPr="00B75D90">
        <w:rPr>
          <w:rFonts w:ascii="Times New Roman" w:eastAsia="SimSun" w:hAnsi="Times New Roman" w:cs="Times New Roman"/>
          <w:b/>
        </w:rPr>
        <w:t>Jeigu gydoma HES</w:t>
      </w:r>
      <w:r w:rsidRPr="00B75D90">
        <w:rPr>
          <w:rFonts w:ascii="Times New Roman" w:eastAsia="SimSun" w:hAnsi="Times New Roman" w:cs="Times New Roman"/>
        </w:rPr>
        <w:t xml:space="preserve"> arba </w:t>
      </w:r>
      <w:r w:rsidRPr="00B75D90">
        <w:rPr>
          <w:rFonts w:ascii="Times New Roman" w:eastAsia="SimSun" w:hAnsi="Times New Roman" w:cs="Times New Roman"/>
          <w:b/>
        </w:rPr>
        <w:t>LEL:</w:t>
      </w:r>
    </w:p>
    <w:p w:rsidR="00B75D90" w:rsidRPr="00B75D90" w:rsidRDefault="00B75D90" w:rsidP="00B75D90">
      <w:pPr>
        <w:widowControl w:val="0"/>
        <w:spacing w:after="0" w:line="240" w:lineRule="auto"/>
        <w:ind w:left="567" w:right="-2"/>
        <w:rPr>
          <w:rFonts w:ascii="Times New Roman" w:eastAsia="SimSun" w:hAnsi="Times New Roman" w:cs="Times New Roman"/>
        </w:rPr>
      </w:pPr>
      <w:r w:rsidRPr="00B75D90">
        <w:rPr>
          <w:rFonts w:ascii="Times New Roman" w:eastAsia="SimSun" w:hAnsi="Times New Roman" w:cs="Times New Roman"/>
        </w:rPr>
        <w:t xml:space="preserve">Pradinė dozė yra 100 mg, vartojant vieną 100 mg tabletę </w:t>
      </w:r>
      <w:r w:rsidRPr="00B75D90">
        <w:rPr>
          <w:rFonts w:ascii="Times New Roman" w:eastAsia="SimSun" w:hAnsi="Times New Roman" w:cs="Times New Roman"/>
          <w:b/>
        </w:rPr>
        <w:t>kartą</w:t>
      </w:r>
      <w:r w:rsidRPr="00B75D90">
        <w:rPr>
          <w:rFonts w:ascii="Times New Roman" w:eastAsia="SimSun" w:hAnsi="Times New Roman" w:cs="Times New Roman"/>
        </w:rPr>
        <w:t xml:space="preserve"> per parą. Priklausomai nuo Jūsų atsako į gydymą, Jūsų gydytojas gali nuspręsti padidinti dozę iki 400 mg, vartojant po 4 tabletes </w:t>
      </w:r>
      <w:r w:rsidRPr="00B75D90">
        <w:rPr>
          <w:rFonts w:ascii="Times New Roman" w:eastAsia="SimSun" w:hAnsi="Times New Roman" w:cs="Times New Roman"/>
          <w:b/>
        </w:rPr>
        <w:t>kartą</w:t>
      </w:r>
      <w:r w:rsidRPr="00B75D90">
        <w:rPr>
          <w:rFonts w:ascii="Times New Roman" w:eastAsia="SimSun" w:hAnsi="Times New Roman" w:cs="Times New Roman"/>
        </w:rPr>
        <w:t xml:space="preserve"> per parą.</w:t>
      </w:r>
    </w:p>
    <w:p w:rsidR="00B75D90" w:rsidRPr="00B75D90" w:rsidRDefault="00B75D90" w:rsidP="00B75D90">
      <w:pPr>
        <w:widowControl w:val="0"/>
        <w:spacing w:after="0" w:line="240" w:lineRule="auto"/>
        <w:ind w:left="567" w:right="-2"/>
        <w:rPr>
          <w:rFonts w:ascii="Times New Roman" w:eastAsia="SimSun" w:hAnsi="Times New Roman" w:cs="Times New Roman"/>
        </w:rPr>
      </w:pPr>
      <w:r w:rsidRPr="00B75D90">
        <w:rPr>
          <w:rFonts w:ascii="Times New Roman" w:eastAsia="SimSun" w:hAnsi="Times New Roman" w:cs="Times New Roman"/>
          <w:highlight w:val="lightGray"/>
        </w:rPr>
        <w:t xml:space="preserve">Priklausomai nuo Jūsų atsako į gydymą, Jūsų gydytojas gali nuspręsti padidinti dozę iki 400 mg, vartojant po vieną 400 mg tabletę </w:t>
      </w:r>
      <w:r w:rsidRPr="00B75D90">
        <w:rPr>
          <w:rFonts w:ascii="Times New Roman" w:eastAsia="SimSun" w:hAnsi="Times New Roman" w:cs="Times New Roman"/>
          <w:b/>
          <w:highlight w:val="lightGray"/>
        </w:rPr>
        <w:t>kartą</w:t>
      </w:r>
      <w:r w:rsidRPr="00B75D90">
        <w:rPr>
          <w:rFonts w:ascii="Times New Roman" w:eastAsia="SimSun" w:hAnsi="Times New Roman" w:cs="Times New Roman"/>
          <w:highlight w:val="lightGray"/>
        </w:rPr>
        <w:t xml:space="preserve"> per parą.</w:t>
      </w:r>
    </w:p>
    <w:p w:rsidR="00B75D90" w:rsidRPr="00B75D90" w:rsidRDefault="00B75D90" w:rsidP="00B75D90">
      <w:pPr>
        <w:widowControl w:val="0"/>
        <w:spacing w:after="0" w:line="240" w:lineRule="auto"/>
        <w:ind w:left="567" w:right="-2" w:hanging="567"/>
        <w:rPr>
          <w:rFonts w:ascii="Times New Roman" w:eastAsia="SimSun" w:hAnsi="Times New Roman" w:cs="Times New Roman"/>
        </w:rPr>
      </w:pPr>
    </w:p>
    <w:p w:rsidR="00B75D90" w:rsidRPr="00B75D90" w:rsidRDefault="00B75D90" w:rsidP="00B75D90">
      <w:pPr>
        <w:widowControl w:val="0"/>
        <w:numPr>
          <w:ilvl w:val="0"/>
          <w:numId w:val="8"/>
        </w:numPr>
        <w:spacing w:after="0" w:line="240" w:lineRule="auto"/>
        <w:ind w:left="567" w:right="-2" w:hanging="567"/>
        <w:rPr>
          <w:rFonts w:ascii="Times New Roman" w:eastAsia="SimSun" w:hAnsi="Times New Roman" w:cs="Times New Roman"/>
          <w:b/>
        </w:rPr>
      </w:pPr>
      <w:r w:rsidRPr="00B75D90">
        <w:rPr>
          <w:rFonts w:ascii="Times New Roman" w:eastAsia="SimSun" w:hAnsi="Times New Roman" w:cs="Times New Roman"/>
          <w:b/>
        </w:rPr>
        <w:t>Jeigu gydoma DFSP:</w:t>
      </w:r>
    </w:p>
    <w:p w:rsidR="00B75D90" w:rsidRPr="00B75D90" w:rsidRDefault="00B75D90" w:rsidP="00B75D90">
      <w:pPr>
        <w:widowControl w:val="0"/>
        <w:spacing w:after="0" w:line="240" w:lineRule="auto"/>
        <w:ind w:left="567" w:right="-2"/>
        <w:rPr>
          <w:rFonts w:ascii="Times New Roman" w:eastAsia="SimSun" w:hAnsi="Times New Roman" w:cs="Times New Roman"/>
        </w:rPr>
      </w:pPr>
      <w:r w:rsidRPr="00B75D90">
        <w:rPr>
          <w:rFonts w:ascii="Times New Roman" w:eastAsia="SimSun" w:hAnsi="Times New Roman" w:cs="Times New Roman"/>
        </w:rPr>
        <w:t>Dozė yra 800 mg per parą (8 tabletės), vartojant po 4 tabletes ryte ir 4 tabletes vakare.</w:t>
      </w:r>
    </w:p>
    <w:p w:rsidR="00B75D90" w:rsidRPr="00B75D90" w:rsidRDefault="00B75D90" w:rsidP="00B75D90">
      <w:pPr>
        <w:widowControl w:val="0"/>
        <w:spacing w:after="0" w:line="240" w:lineRule="auto"/>
        <w:ind w:left="567" w:right="-2"/>
        <w:rPr>
          <w:rFonts w:ascii="Times New Roman" w:eastAsia="SimSun" w:hAnsi="Times New Roman" w:cs="Times New Roman"/>
        </w:rPr>
      </w:pPr>
      <w:r w:rsidRPr="00B75D90">
        <w:rPr>
          <w:rFonts w:ascii="Times New Roman" w:eastAsia="SimSun" w:hAnsi="Times New Roman" w:cs="Times New Roman"/>
          <w:highlight w:val="lightGray"/>
        </w:rPr>
        <w:t>Dozė yra 800 mg per parą (2 tabletės), vartojant po vieną tabletę ryte ir antrą tabletę vakare.</w:t>
      </w:r>
    </w:p>
    <w:p w:rsidR="00B75D90" w:rsidRPr="00B75D90" w:rsidRDefault="00B75D90" w:rsidP="00B75D90">
      <w:pPr>
        <w:widowControl w:val="0"/>
        <w:tabs>
          <w:tab w:val="left" w:pos="567"/>
        </w:tabs>
        <w:spacing w:after="0" w:line="240" w:lineRule="auto"/>
        <w:ind w:left="360" w:right="-2"/>
        <w:rPr>
          <w:rFonts w:ascii="Times New Roman" w:eastAsia="SimSun" w:hAnsi="Times New Roman" w:cs="Times New Roman"/>
        </w:rPr>
      </w:pPr>
    </w:p>
    <w:p w:rsidR="00B75D90" w:rsidRPr="00B75D90" w:rsidRDefault="00B75D90" w:rsidP="00B75D90">
      <w:pPr>
        <w:widowControl w:val="0"/>
        <w:numPr>
          <w:ilvl w:val="12"/>
          <w:numId w:val="0"/>
        </w:numPr>
        <w:tabs>
          <w:tab w:val="left" w:pos="567"/>
        </w:tabs>
        <w:spacing w:after="0" w:line="240" w:lineRule="auto"/>
        <w:ind w:right="-2"/>
        <w:rPr>
          <w:rFonts w:ascii="Times New Roman" w:eastAsia="SimSun" w:hAnsi="Times New Roman" w:cs="Times New Roman"/>
          <w:b/>
        </w:rPr>
      </w:pPr>
      <w:r w:rsidRPr="00B75D90">
        <w:rPr>
          <w:rFonts w:ascii="Times New Roman" w:eastAsia="SimSun" w:hAnsi="Times New Roman" w:cs="Times New Roman"/>
          <w:b/>
        </w:rPr>
        <w:t>Vartojimas vaikams ir paaugliams</w:t>
      </w:r>
    </w:p>
    <w:p w:rsidR="00B75D90" w:rsidRPr="00B75D90" w:rsidRDefault="00B75D90" w:rsidP="00B75D90">
      <w:pPr>
        <w:widowControl w:val="0"/>
        <w:numPr>
          <w:ilvl w:val="12"/>
          <w:numId w:val="0"/>
        </w:numPr>
        <w:tabs>
          <w:tab w:val="left" w:pos="567"/>
        </w:tabs>
        <w:spacing w:after="0" w:line="240" w:lineRule="auto"/>
        <w:ind w:right="-2"/>
        <w:rPr>
          <w:rFonts w:ascii="Times New Roman" w:eastAsia="SimSun" w:hAnsi="Times New Roman" w:cs="Times New Roman"/>
        </w:rPr>
      </w:pPr>
      <w:r w:rsidRPr="00B75D90">
        <w:rPr>
          <w:rFonts w:ascii="Times New Roman" w:eastAsia="SimSun" w:hAnsi="Times New Roman" w:cs="Times New Roman"/>
        </w:rPr>
        <w:t>Gydytojas pasakys, kiek Meapax tablečių reikia sugirdyti Jūsų vaikui. Skiriama Meapax dozė priklauso nuo Jūsų vaiko būklės, kūno masės ir ūgio. Visa paros dozė vaikui negali būti didesnė kaip 800 mg, gydant LML, ir 600 mg, gydant Ph teigiamą ŪLL. Galima sugirdyti iš karto visą paros dozę arba paros dozę padalyti į dvi dalis ir suvartoti per du kartus (vieną pusę dozės ryte, kitą – vakare).</w:t>
      </w:r>
    </w:p>
    <w:p w:rsidR="00B75D90" w:rsidRPr="00B75D90" w:rsidRDefault="00B75D90" w:rsidP="00B75D90">
      <w:pPr>
        <w:widowControl w:val="0"/>
        <w:numPr>
          <w:ilvl w:val="12"/>
          <w:numId w:val="0"/>
        </w:numPr>
        <w:tabs>
          <w:tab w:val="left" w:pos="567"/>
        </w:tabs>
        <w:spacing w:after="0" w:line="240" w:lineRule="auto"/>
        <w:ind w:right="-2"/>
        <w:rPr>
          <w:rFonts w:ascii="Times New Roman" w:eastAsia="SimSun" w:hAnsi="Times New Roman" w:cs="Times New Roman"/>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r w:rsidRPr="00B75D90">
        <w:rPr>
          <w:rFonts w:ascii="Times New Roman" w:eastAsia="SimSun" w:hAnsi="Times New Roman" w:cs="Times New Roman"/>
          <w:b/>
          <w:color w:val="000000"/>
          <w:lang w:val="sl-SI"/>
        </w:rPr>
        <w:t>Kada ir kaip vartoti Meapax?</w:t>
      </w:r>
    </w:p>
    <w:p w:rsidR="00B75D90" w:rsidRPr="00B75D90" w:rsidRDefault="00B75D90" w:rsidP="00B75D90">
      <w:pPr>
        <w:widowControl w:val="0"/>
        <w:numPr>
          <w:ilvl w:val="0"/>
          <w:numId w:val="4"/>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Meapax vartokite valgydami. Tai padės išvengti skrandžio sutrikimų vartojant Meapax.</w:t>
      </w:r>
    </w:p>
    <w:p w:rsidR="00B75D90" w:rsidRPr="00B75D90" w:rsidRDefault="00B75D90" w:rsidP="00B75D90">
      <w:pPr>
        <w:widowControl w:val="0"/>
        <w:numPr>
          <w:ilvl w:val="0"/>
          <w:numId w:val="4"/>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Nurykite visą tabletę užsigerdami didele stikline vandens.</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Jeigu negalite nuryti tablečių, jas galima ištirpinti stiklinėje paprasto vandens arba obuolių sulčių:</w:t>
      </w:r>
    </w:p>
    <w:p w:rsidR="00B75D90" w:rsidRPr="00B75D90" w:rsidRDefault="00B75D90" w:rsidP="00B75D90">
      <w:pPr>
        <w:widowControl w:val="0"/>
        <w:numPr>
          <w:ilvl w:val="0"/>
          <w:numId w:val="13"/>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Kiekvieną 100 mg tabletę reikia ištirpinti maždaug 50 ml.</w:t>
      </w:r>
    </w:p>
    <w:p w:rsidR="00B75D90" w:rsidRPr="00B75D90" w:rsidRDefault="00B75D90" w:rsidP="00B75D90">
      <w:pPr>
        <w:widowControl w:val="0"/>
        <w:numPr>
          <w:ilvl w:val="0"/>
          <w:numId w:val="13"/>
        </w:numPr>
        <w:spacing w:after="0" w:line="240" w:lineRule="auto"/>
        <w:ind w:left="567" w:hanging="567"/>
        <w:rPr>
          <w:rFonts w:ascii="Times New Roman" w:eastAsia="SimSun" w:hAnsi="Times New Roman" w:cs="Times New Roman"/>
          <w:highlight w:val="lightGray"/>
        </w:rPr>
      </w:pPr>
      <w:r w:rsidRPr="00B75D90">
        <w:rPr>
          <w:rFonts w:ascii="Times New Roman" w:eastAsia="SimSun" w:hAnsi="Times New Roman" w:cs="Times New Roman"/>
          <w:highlight w:val="lightGray"/>
        </w:rPr>
        <w:t>Kiekvieną 400 mg tabletę reikia ištirpinti maždaug 200 ml.</w:t>
      </w:r>
    </w:p>
    <w:p w:rsidR="00B75D90" w:rsidRPr="00B75D90" w:rsidRDefault="00B75D90" w:rsidP="00B75D90">
      <w:pPr>
        <w:widowControl w:val="0"/>
        <w:numPr>
          <w:ilvl w:val="0"/>
          <w:numId w:val="13"/>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Maišyti šaukštu, kol tabletė visiškai suyra.</w:t>
      </w:r>
    </w:p>
    <w:p w:rsidR="00B75D90" w:rsidRPr="00B75D90" w:rsidRDefault="00B75D90" w:rsidP="00B75D90">
      <w:pPr>
        <w:widowControl w:val="0"/>
        <w:numPr>
          <w:ilvl w:val="0"/>
          <w:numId w:val="13"/>
        </w:numPr>
        <w:autoSpaceDE w:val="0"/>
        <w:autoSpaceDN w:val="0"/>
        <w:adjustRightInd w:val="0"/>
        <w:spacing w:after="0" w:line="240" w:lineRule="auto"/>
        <w:ind w:left="567" w:hanging="567"/>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Kai tik tabletė suyra, visą stiklinės turinį reikia nedelsiant išgerti. Ant stiklinės gali likti suirusios tabletės likučių.</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color w:val="000000"/>
          <w:lang w:val="sl-SI"/>
        </w:rPr>
      </w:pPr>
      <w:r w:rsidRPr="00B75D90">
        <w:rPr>
          <w:rFonts w:ascii="Times New Roman" w:eastAsia="SimSun" w:hAnsi="Times New Roman" w:cs="Times New Roman"/>
          <w:b/>
          <w:color w:val="000000"/>
          <w:lang w:val="sl-SI"/>
        </w:rPr>
        <w:t>Kiek laiko vartoti Meapax?</w:t>
      </w:r>
    </w:p>
    <w:p w:rsidR="00B75D90" w:rsidRPr="00B75D90" w:rsidRDefault="00B75D90" w:rsidP="00B75D90">
      <w:pPr>
        <w:widowControl w:val="0"/>
        <w:numPr>
          <w:ilvl w:val="12"/>
          <w:numId w:val="0"/>
        </w:numPr>
        <w:tabs>
          <w:tab w:val="left" w:pos="567"/>
        </w:tabs>
        <w:spacing w:after="0" w:line="240" w:lineRule="auto"/>
        <w:ind w:right="-2"/>
        <w:rPr>
          <w:rFonts w:ascii="Times New Roman" w:eastAsia="SimSun" w:hAnsi="Times New Roman" w:cs="Times New Roman"/>
          <w:b/>
        </w:rPr>
      </w:pPr>
      <w:r w:rsidRPr="00B75D90">
        <w:rPr>
          <w:rFonts w:ascii="Times New Roman" w:eastAsia="SimSun" w:hAnsi="Times New Roman" w:cs="Times New Roman"/>
        </w:rPr>
        <w:t>Vartokite Meapax kiekvieną dieną, kol gydytojas nurodys baigti gydymą.</w:t>
      </w:r>
    </w:p>
    <w:p w:rsidR="00B75D90" w:rsidRPr="00B75D90" w:rsidRDefault="00B75D90" w:rsidP="00B75D90">
      <w:pPr>
        <w:widowControl w:val="0"/>
        <w:numPr>
          <w:ilvl w:val="12"/>
          <w:numId w:val="0"/>
        </w:numPr>
        <w:spacing w:after="0" w:line="240" w:lineRule="auto"/>
        <w:rPr>
          <w:rFonts w:ascii="Times New Roman" w:eastAsia="SimSun" w:hAnsi="Times New Roman" w:cs="Times New Roman"/>
          <w:b/>
        </w:rPr>
      </w:pPr>
    </w:p>
    <w:p w:rsidR="00B75D90" w:rsidRPr="00B75D90" w:rsidRDefault="00B75D90" w:rsidP="00B75D90">
      <w:pPr>
        <w:widowControl w:val="0"/>
        <w:numPr>
          <w:ilvl w:val="12"/>
          <w:numId w:val="0"/>
        </w:numPr>
        <w:tabs>
          <w:tab w:val="left" w:pos="567"/>
        </w:tabs>
        <w:spacing w:after="0" w:line="240" w:lineRule="auto"/>
        <w:ind w:right="-2"/>
        <w:outlineLvl w:val="0"/>
        <w:rPr>
          <w:rFonts w:ascii="Times New Roman" w:eastAsia="SimSun" w:hAnsi="Times New Roman" w:cs="Times New Roman"/>
          <w:b/>
        </w:rPr>
      </w:pPr>
      <w:r w:rsidRPr="00B75D90">
        <w:rPr>
          <w:rFonts w:ascii="Times New Roman" w:eastAsia="SimSun" w:hAnsi="Times New Roman" w:cs="Times New Roman"/>
          <w:b/>
        </w:rPr>
        <w:t>Ką daryti pavartojus per didelę Meapax dozę?</w:t>
      </w:r>
    </w:p>
    <w:p w:rsidR="00B75D90" w:rsidRPr="00B75D90" w:rsidRDefault="00B75D90" w:rsidP="00B75D90">
      <w:pPr>
        <w:widowControl w:val="0"/>
        <w:numPr>
          <w:ilvl w:val="12"/>
          <w:numId w:val="0"/>
        </w:numPr>
        <w:tabs>
          <w:tab w:val="left" w:pos="567"/>
        </w:tabs>
        <w:spacing w:after="0" w:line="240" w:lineRule="auto"/>
        <w:ind w:right="-2"/>
        <w:outlineLvl w:val="0"/>
        <w:rPr>
          <w:rFonts w:ascii="Times New Roman" w:eastAsia="SimSun" w:hAnsi="Times New Roman" w:cs="Times New Roman"/>
          <w:b/>
        </w:rPr>
      </w:pPr>
      <w:r w:rsidRPr="00B75D90">
        <w:rPr>
          <w:rFonts w:ascii="Times New Roman" w:eastAsia="SimSun" w:hAnsi="Times New Roman" w:cs="Times New Roman"/>
        </w:rPr>
        <w:t xml:space="preserve">Atsitiktinai nurijus per daug tablečių, </w:t>
      </w:r>
      <w:r w:rsidRPr="00B75D90">
        <w:rPr>
          <w:rFonts w:ascii="Times New Roman" w:eastAsia="SimSun" w:hAnsi="Times New Roman" w:cs="Times New Roman"/>
          <w:b/>
        </w:rPr>
        <w:t>iš karto</w:t>
      </w:r>
      <w:r w:rsidRPr="00B75D90">
        <w:rPr>
          <w:rFonts w:ascii="Times New Roman" w:eastAsia="SimSun" w:hAnsi="Times New Roman" w:cs="Times New Roman"/>
        </w:rPr>
        <w:t xml:space="preserve"> kreipkitės į gydytoją. Jums gali prireikti medicininės pagalbos. Su savimi pasiimkite vaisto pakuotę.</w:t>
      </w:r>
    </w:p>
    <w:p w:rsidR="00B75D90" w:rsidRPr="00B75D90" w:rsidRDefault="00B75D90" w:rsidP="00B75D90">
      <w:pPr>
        <w:widowControl w:val="0"/>
        <w:numPr>
          <w:ilvl w:val="12"/>
          <w:numId w:val="0"/>
        </w:numPr>
        <w:tabs>
          <w:tab w:val="left" w:pos="567"/>
        </w:tabs>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tabs>
          <w:tab w:val="left" w:pos="567"/>
        </w:tabs>
        <w:spacing w:after="0" w:line="240" w:lineRule="auto"/>
        <w:ind w:right="-2"/>
        <w:outlineLvl w:val="0"/>
        <w:rPr>
          <w:rFonts w:ascii="Times New Roman" w:eastAsia="SimSun" w:hAnsi="Times New Roman" w:cs="Times New Roman"/>
          <w:b/>
        </w:rPr>
      </w:pPr>
      <w:r w:rsidRPr="00B75D90">
        <w:rPr>
          <w:rFonts w:ascii="Times New Roman" w:eastAsia="SimSun" w:hAnsi="Times New Roman" w:cs="Times New Roman"/>
          <w:b/>
        </w:rPr>
        <w:t>Pamiršus pavartoti Meapax</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t>Jeigu pamiršote išgerti dozę, padarykite tai iš karto prisiminę. Vis dėlto jeigu jau arti kitos dozės vartojimo laikas, pamirštąją dozę praleiskite. Toliau vaistą vartokite įprasta tvarka.</w:t>
      </w: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color w:val="000000"/>
          <w:lang w:val="sl-SI"/>
        </w:rPr>
      </w:pPr>
      <w:r w:rsidRPr="00B75D90">
        <w:rPr>
          <w:rFonts w:ascii="Times New Roman" w:eastAsia="SimSun" w:hAnsi="Times New Roman" w:cs="Times New Roman"/>
          <w:color w:val="000000"/>
          <w:lang w:val="sl-SI"/>
        </w:rPr>
        <w:lastRenderedPageBreak/>
        <w:t>Negalima vartoti dvigubos dozės norint kompensuoti praleistą dozę.</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tabs>
          <w:tab w:val="left" w:pos="567"/>
        </w:tabs>
        <w:spacing w:after="0" w:line="240" w:lineRule="auto"/>
        <w:ind w:right="-2"/>
        <w:rPr>
          <w:rFonts w:ascii="Times New Roman" w:eastAsia="SimSun" w:hAnsi="Times New Roman" w:cs="Times New Roman"/>
        </w:rPr>
      </w:pPr>
      <w:r w:rsidRPr="00B75D90">
        <w:rPr>
          <w:rFonts w:ascii="Times New Roman" w:eastAsia="SimSun" w:hAnsi="Times New Roman" w:cs="Times New Roman"/>
        </w:rPr>
        <w:t>Jeigu kiltų daugiau klausimų dėl šio vaisto vartojimo, kreipkitės į gydytoją arba vaistininką.</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tabs>
          <w:tab w:val="left" w:pos="567"/>
        </w:tabs>
        <w:spacing w:after="0" w:line="240" w:lineRule="auto"/>
        <w:rPr>
          <w:rFonts w:ascii="Times New Roman" w:eastAsia="SimSun" w:hAnsi="Times New Roman" w:cs="Times New Roman"/>
          <w:b/>
        </w:rPr>
      </w:pPr>
      <w:r w:rsidRPr="00B75D90">
        <w:rPr>
          <w:rFonts w:ascii="Times New Roman" w:eastAsia="SimSun" w:hAnsi="Times New Roman" w:cs="Times New Roman"/>
          <w:b/>
        </w:rPr>
        <w:t>4.</w:t>
      </w:r>
      <w:r w:rsidRPr="00B75D90">
        <w:rPr>
          <w:rFonts w:ascii="Times New Roman" w:eastAsia="SimSun" w:hAnsi="Times New Roman" w:cs="Times New Roman"/>
          <w:b/>
        </w:rPr>
        <w:tab/>
        <w:t>Galimas šalutinis poveikis</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9"/>
        <w:rPr>
          <w:rFonts w:ascii="Times New Roman" w:eastAsia="SimSun" w:hAnsi="Times New Roman" w:cs="Times New Roman"/>
        </w:rPr>
      </w:pPr>
      <w:r w:rsidRPr="00B75D90">
        <w:rPr>
          <w:rFonts w:ascii="Times New Roman" w:eastAsia="SimSun" w:hAnsi="Times New Roman" w:cs="Times New Roman"/>
        </w:rPr>
        <w:t>Šis vaistas, kaip ir visi kiti, gali sukelti šalutinį poveikį, nors jis pasireiškia ne visiems žmonėms. Toks poveikis dažniausiai būna lengvas arba vidutinio sunkumo.</w:t>
      </w:r>
    </w:p>
    <w:p w:rsidR="00B75D90" w:rsidRPr="00B75D90" w:rsidRDefault="00B75D90" w:rsidP="00B75D90">
      <w:pPr>
        <w:widowControl w:val="0"/>
        <w:numPr>
          <w:ilvl w:val="12"/>
          <w:numId w:val="0"/>
        </w:numPr>
        <w:spacing w:after="0" w:line="240" w:lineRule="auto"/>
        <w:ind w:right="-29"/>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Kai kuris šalutinis poveikis gali būti sunkus. Iš karto pasakykite gydytojui, jeigu pasireiškia kuris nors iš toliau išvardytų reiškinių.</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 xml:space="preserve">Labai dažnas </w:t>
      </w:r>
      <w:r w:rsidRPr="00B75D90">
        <w:rPr>
          <w:rFonts w:ascii="Times New Roman" w:eastAsia="SimSun" w:hAnsi="Times New Roman" w:cs="Times New Roman"/>
        </w:rPr>
        <w:t>(gali pasireikšti dažniau kaip 1 iš 10 vaisto vartojusiųjų)</w:t>
      </w:r>
      <w:r w:rsidRPr="00B75D90">
        <w:rPr>
          <w:rFonts w:ascii="Times New Roman" w:eastAsia="SimSun" w:hAnsi="Times New Roman" w:cs="Times New Roman"/>
          <w:i/>
        </w:rPr>
        <w:t xml:space="preserve"> ar dažnas </w:t>
      </w:r>
      <w:r w:rsidRPr="00B75D90">
        <w:rPr>
          <w:rFonts w:ascii="Times New Roman" w:eastAsia="SimSun" w:hAnsi="Times New Roman" w:cs="Times New Roman"/>
        </w:rPr>
        <w:t xml:space="preserve">(gali pasireikšti </w:t>
      </w:r>
      <w:r w:rsidRPr="00B75D90">
        <w:rPr>
          <w:rFonts w:ascii="Times New Roman" w:eastAsia="Times New Roman" w:hAnsi="Times New Roman" w:cs="Times New Roman"/>
          <w:lang w:eastAsia="sl-SI"/>
        </w:rPr>
        <w:t>rečiau</w:t>
      </w:r>
      <w:r w:rsidRPr="00B75D90">
        <w:rPr>
          <w:rFonts w:ascii="Times New Roman" w:eastAsia="SimSun" w:hAnsi="Times New Roman" w:cs="Times New Roman"/>
        </w:rPr>
        <w:t xml:space="preserve"> kaip 1 iš 10 vaisto vartojusiųjų)</w:t>
      </w:r>
      <w:r w:rsidRPr="00B75D90">
        <w:rPr>
          <w:rFonts w:ascii="Times New Roman" w:eastAsia="SimSun" w:hAnsi="Times New Roman" w:cs="Times New Roman"/>
          <w:i/>
        </w:rPr>
        <w:t xml:space="preserve"> šalutinis poveikis:</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Greitas kūno masės didėjimas. Meapax gali skatinti vandens kaupimąsi organizme (sunkų skysčių kaupimąsi).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Infekcinės ligos požymiai, pavyzdžiui: karščiavimas, sunkus šaltkrėtis, gerklės skausmas ar burnos opos. Meapax gali mažinti baltųjų kraujo ląstelių kiekį, todėl galite greičiau susirgti infekcinėmis ligomis.</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Netikėtas kraujavimas arba mėlynių atsiradimas (neužsigavus).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 xml:space="preserve">Nedažnas </w:t>
      </w:r>
      <w:r w:rsidRPr="00B75D90">
        <w:rPr>
          <w:rFonts w:ascii="Times New Roman" w:eastAsia="SimSun" w:hAnsi="Times New Roman" w:cs="Times New Roman"/>
        </w:rPr>
        <w:t xml:space="preserve">(gali pasireikšti </w:t>
      </w:r>
      <w:r w:rsidRPr="00B75D90">
        <w:rPr>
          <w:rFonts w:ascii="Times New Roman" w:eastAsia="Times New Roman" w:hAnsi="Times New Roman" w:cs="Times New Roman"/>
          <w:lang w:eastAsia="sl-SI"/>
        </w:rPr>
        <w:t>rečiau</w:t>
      </w:r>
      <w:r w:rsidRPr="00B75D90">
        <w:rPr>
          <w:rFonts w:ascii="Times New Roman" w:eastAsia="SimSun" w:hAnsi="Times New Roman" w:cs="Times New Roman"/>
        </w:rPr>
        <w:t xml:space="preserve"> kaip 1 iš 100 vaisto vartojusiųjų)</w:t>
      </w:r>
      <w:r w:rsidRPr="00B75D90">
        <w:rPr>
          <w:rFonts w:ascii="Times New Roman" w:eastAsia="SimSun" w:hAnsi="Times New Roman" w:cs="Times New Roman"/>
          <w:i/>
        </w:rPr>
        <w:t xml:space="preserve"> ar retas </w:t>
      </w:r>
      <w:r w:rsidRPr="00B75D90">
        <w:rPr>
          <w:rFonts w:ascii="Times New Roman" w:eastAsia="SimSun" w:hAnsi="Times New Roman" w:cs="Times New Roman"/>
        </w:rPr>
        <w:t xml:space="preserve">(gali pasireikšti </w:t>
      </w:r>
      <w:r w:rsidRPr="00B75D90">
        <w:rPr>
          <w:rFonts w:ascii="Times New Roman" w:eastAsia="Times New Roman" w:hAnsi="Times New Roman" w:cs="Times New Roman"/>
          <w:lang w:eastAsia="sl-SI"/>
        </w:rPr>
        <w:t>rečiau</w:t>
      </w:r>
      <w:r w:rsidRPr="00B75D90">
        <w:rPr>
          <w:rFonts w:ascii="Times New Roman" w:eastAsia="SimSun" w:hAnsi="Times New Roman" w:cs="Times New Roman"/>
        </w:rPr>
        <w:t xml:space="preserve"> kaip 1 iš 1 000 vaisto vartojusiųjų)</w:t>
      </w:r>
      <w:r w:rsidRPr="00B75D90">
        <w:rPr>
          <w:rFonts w:ascii="Times New Roman" w:eastAsia="SimSun" w:hAnsi="Times New Roman" w:cs="Times New Roman"/>
          <w:i/>
        </w:rPr>
        <w:t xml:space="preserve"> šalutinis poveikis:</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Krūtinės skausmas, neritmiškas širdies plakimas (širdies sutrikimų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Kosulys, kvėpavimo pasunkėjimas arba skausmingas kvėpavimas (plaučių sutrikimo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Apsvaigimo pojūtis, svaigulys arba alpimas (sumažėjusio kraujospūdžio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Šleikštulys (pykinimas) su apetito sumažėjimu, tamsios spalvos šlapimo išsiskyrimu, geltona odos ir akių spalva (kepenų veiklos sutrikimo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Išbėrimas, raudona oda su pūslėmis ant lūpų, akių, odos ar burnoje, odos lupimasis, karščiavimas, iškilūs raudoni arba purpuriniai odos lopai, niežulys, deginimo pojūtis, pūslinis išbėrimas (odos sutrikimų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Stiprus pilvo skausmas, vėmimas su krauju, kraujas išmatose ar šlapime, juodos spalvos išmatos (virškinimo trakto sutrikimų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Labai sumažėjęs šlapimo kiekis, troškulys (inkstų veiklos sutrikimų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Šleikštulys (pykinimas) su viduriavimu ir vėmimu, pilvo skausmu ar karščiavimu (žarnyno veiklos sutrikimų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Sunkus galvos skausmas, galūnių arba veido silpnumas arba paralyžius, sunkumas kalbant, staigus sąmonės netekimas (nervų sistemos sutrikimų, pavyzdžiui, kraujavimo kaukolės ertmėje ar galvos smegenų patinimo,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Odos blyškumas, nuovargio jutimas ir dusulys bei tamsios spalvos šlapimo išsiskyrimas (mažo raudonųjų kraujo ląstelių kiekio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Akies skausmas ar regėjimo pablogėjimas, kraujavimas į akies vidų.</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Klubo skausmas arba vaikščiojimo sunkumai.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Kojų ir rankų pirštų nutirpimas arba šalimas (</w:t>
      </w:r>
      <w:r w:rsidRPr="00B75D90">
        <w:rPr>
          <w:rFonts w:ascii="Times New Roman" w:eastAsia="SimSun" w:hAnsi="Times New Roman" w:cs="Times New Roman"/>
          <w:i/>
        </w:rPr>
        <w:t>Raynaud</w:t>
      </w:r>
      <w:r w:rsidRPr="00B75D90">
        <w:rPr>
          <w:rFonts w:ascii="Times New Roman" w:eastAsia="SimSun" w:hAnsi="Times New Roman" w:cs="Times New Roman"/>
        </w:rPr>
        <w:t xml:space="preserve"> sindromo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Staigus odos patinimas ir paraudimas (infekcinės odos ligos, vadinamos celiulitu,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Klausos pablogėjimas.</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Raumenų silpnumas ir spazmai su nenormaliu širdies plakimu (kalio koncentracijos kraujyje pokyčio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Kraujosruvos.</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Pilvo skausmas su šleikštuliu (pykinimu).</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Raumenų spazmai su karščiavimu, raudonai rudos spalvos šlapimo išsiskyrimu, raumenų skausmu ar silpnumu (raumenų sutrikimų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 xml:space="preserve">Dubens skausmas, kartais pasireiškiantis su pykinimu ir vėmimu, netikėtu kraujavimu iš </w:t>
      </w:r>
      <w:r w:rsidRPr="00B75D90">
        <w:rPr>
          <w:rFonts w:ascii="Times New Roman" w:eastAsia="SimSun" w:hAnsi="Times New Roman" w:cs="Times New Roman"/>
        </w:rPr>
        <w:lastRenderedPageBreak/>
        <w:t>makšties, svaigulio jutimu arba alpimu dėl pernelyg sumažėjusio kraujospūdžio (kiaušidžių arba gimdos sutrikimų požymiai).</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Pykinimas, dusulys, neritmiškas širdies plakimas, drumsto šlapimo išsiskyrimas, nuovargis ir (arba) sąnarių diskomfortas, susijęs su nenormaliais laboratorinių tyrimų rodmenimis (pvz., didelės kalio, šlapimo rūgšties ir kalcio koncentracijos bei maža fosforo koncentracija kraujyje).</w:t>
      </w:r>
    </w:p>
    <w:p w:rsidR="00B75D90" w:rsidRPr="00B75D90" w:rsidRDefault="00B75D90" w:rsidP="00B75D90">
      <w:pPr>
        <w:widowControl w:val="0"/>
        <w:numPr>
          <w:ilvl w:val="0"/>
          <w:numId w:val="14"/>
        </w:numPr>
        <w:spacing w:after="0" w:line="240" w:lineRule="auto"/>
        <w:ind w:left="567" w:hanging="567"/>
        <w:rPr>
          <w:rFonts w:ascii="Times New Roman" w:eastAsia="SimSun" w:hAnsi="Times New Roman" w:cs="Times New Roman"/>
        </w:rPr>
      </w:pPr>
      <w:r w:rsidRPr="00B75D90">
        <w:rPr>
          <w:rFonts w:ascii="Times New Roman" w:eastAsia="Times New Roman" w:hAnsi="Times New Roman" w:cs="Times New Roman"/>
          <w:szCs w:val="20"/>
          <w:lang w:val="cs-CZ"/>
        </w:rPr>
        <w:t>Kraujo krešulių susidarymas smulkiose kraujagyslėse (trombinė mikroangiopatija).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i/>
        </w:rPr>
        <w:t>Dažnis nežinomas</w:t>
      </w:r>
      <w:r w:rsidRPr="00B75D90">
        <w:rPr>
          <w:rFonts w:ascii="Times New Roman" w:eastAsia="SimSun" w:hAnsi="Times New Roman" w:cs="Times New Roman"/>
        </w:rPr>
        <w:t xml:space="preserve"> (negali būti apskaičiuotas pagal turimus duomenis):</w:t>
      </w:r>
    </w:p>
    <w:p w:rsidR="00B75D90" w:rsidRPr="00B75D90" w:rsidRDefault="00B75D90" w:rsidP="00B75D90">
      <w:pPr>
        <w:widowControl w:val="0"/>
        <w:numPr>
          <w:ilvl w:val="0"/>
          <w:numId w:val="21"/>
        </w:numPr>
        <w:spacing w:after="0" w:line="240" w:lineRule="auto"/>
        <w:ind w:left="567" w:hanging="567"/>
        <w:contextualSpacing/>
        <w:rPr>
          <w:rFonts w:ascii="Times New Roman" w:eastAsia="SimSun" w:hAnsi="Times New Roman" w:cs="Times New Roman"/>
        </w:rPr>
      </w:pPr>
      <w:r w:rsidRPr="00B75D90">
        <w:rPr>
          <w:rFonts w:ascii="Times New Roman" w:eastAsia="SimSun" w:hAnsi="Times New Roman" w:cs="Times New Roman"/>
        </w:rPr>
        <w:t>Plačiai išplitęs odos išbėrimas kartu su pykinimu, karščiavimu, kai kurių baltųjų kraujo kūnelių skaičiaus padidėjimu arba odos ir akių pageltimu (geltos požymiai), lydimas dusulio, krūtinės skausmo ar diskomforto, labai sumažėjusio šlapimo išsiskyrimo bei troškulio ir kitų simptomų (alerginės reakcijos požymiai).</w:t>
      </w:r>
    </w:p>
    <w:p w:rsidR="00B75D90" w:rsidRPr="00B75D90" w:rsidRDefault="00B75D90" w:rsidP="00B75D90">
      <w:pPr>
        <w:widowControl w:val="0"/>
        <w:numPr>
          <w:ilvl w:val="0"/>
          <w:numId w:val="21"/>
        </w:numPr>
        <w:spacing w:after="0" w:line="240" w:lineRule="auto"/>
        <w:ind w:left="567" w:hanging="567"/>
        <w:contextualSpacing/>
        <w:rPr>
          <w:rFonts w:ascii="Times New Roman" w:eastAsia="SimSun" w:hAnsi="Times New Roman" w:cs="Times New Roman"/>
        </w:rPr>
      </w:pPr>
      <w:r w:rsidRPr="00B75D90">
        <w:rPr>
          <w:rFonts w:ascii="Times New Roman" w:eastAsia="SimSun" w:hAnsi="Times New Roman" w:cs="Times New Roman"/>
        </w:rPr>
        <w:t>Lėtinis inkstų nepakankamumas.</w:t>
      </w:r>
    </w:p>
    <w:p w:rsidR="00B75D90" w:rsidRPr="00B75D90" w:rsidRDefault="00B75D90" w:rsidP="00B75D90">
      <w:pPr>
        <w:widowControl w:val="0"/>
        <w:numPr>
          <w:ilvl w:val="0"/>
          <w:numId w:val="21"/>
        </w:numPr>
        <w:autoSpaceDE w:val="0"/>
        <w:autoSpaceDN w:val="0"/>
        <w:adjustRightInd w:val="0"/>
        <w:spacing w:after="0" w:line="240" w:lineRule="auto"/>
        <w:ind w:left="567" w:hanging="567"/>
        <w:rPr>
          <w:rFonts w:ascii="Times New Roman" w:eastAsia="Calibri" w:hAnsi="Times New Roman" w:cs="Times New Roman"/>
          <w:lang w:val="cs-CZ" w:eastAsia="lt-LT"/>
        </w:rPr>
      </w:pPr>
      <w:r w:rsidRPr="00B75D90">
        <w:rPr>
          <w:rFonts w:ascii="Times New Roman" w:eastAsia="Calibri" w:hAnsi="Times New Roman" w:cs="Times New Roman"/>
          <w:lang w:val="cs-CZ" w:eastAsia="lt-LT"/>
        </w:rPr>
        <w:t>Hepatito B infekcijos pasikartojimas (atsinaujinimas), jei praeityje Jums yra buvęs hepatitas B (virusinė kepenų infekcija).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Jeigu atsiranda kuris nors iš anksčiau išvardintų požymių, iš karto pasakykite savo gydytojui.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b/>
        </w:rPr>
      </w:pPr>
      <w:r w:rsidRPr="00B75D90">
        <w:rPr>
          <w:rFonts w:ascii="Times New Roman" w:eastAsia="SimSun" w:hAnsi="Times New Roman" w:cs="Times New Roman"/>
          <w:b/>
        </w:rPr>
        <w:t>Kitas šalutinis poveikis</w:t>
      </w:r>
    </w:p>
    <w:p w:rsidR="00B75D90" w:rsidRPr="00B75D90" w:rsidRDefault="00B75D90" w:rsidP="00B75D90">
      <w:pPr>
        <w:widowControl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 xml:space="preserve">Labai dažnas šalutinis poveikis </w:t>
      </w:r>
      <w:r w:rsidRPr="00B75D90">
        <w:rPr>
          <w:rFonts w:ascii="Times New Roman" w:eastAsia="SimSun" w:hAnsi="Times New Roman" w:cs="Times New Roman"/>
        </w:rPr>
        <w:t>(gali pasireikšti dažniau kaip 1 iš 10 vaisto vartojusiųjų):</w:t>
      </w:r>
    </w:p>
    <w:p w:rsidR="00B75D90" w:rsidRPr="00B75D90" w:rsidRDefault="00B75D90" w:rsidP="00B75D90">
      <w:pPr>
        <w:widowControl w:val="0"/>
        <w:numPr>
          <w:ilvl w:val="0"/>
          <w:numId w:val="15"/>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Galvos skausmas ar nuovargio jutimas.</w:t>
      </w:r>
    </w:p>
    <w:p w:rsidR="00B75D90" w:rsidRPr="00B75D90" w:rsidRDefault="00B75D90" w:rsidP="00B75D90">
      <w:pPr>
        <w:widowControl w:val="0"/>
        <w:numPr>
          <w:ilvl w:val="0"/>
          <w:numId w:val="15"/>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Šleikštulys (pykinimas ar vėmimas), viduriavimas arba nevirškinimas.</w:t>
      </w:r>
    </w:p>
    <w:p w:rsidR="00B75D90" w:rsidRPr="00B75D90" w:rsidRDefault="00B75D90" w:rsidP="00B75D90">
      <w:pPr>
        <w:widowControl w:val="0"/>
        <w:numPr>
          <w:ilvl w:val="0"/>
          <w:numId w:val="15"/>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Išbėrimas.</w:t>
      </w:r>
    </w:p>
    <w:p w:rsidR="00B75D90" w:rsidRPr="00B75D90" w:rsidRDefault="00B75D90" w:rsidP="00B75D90">
      <w:pPr>
        <w:widowControl w:val="0"/>
        <w:numPr>
          <w:ilvl w:val="0"/>
          <w:numId w:val="15"/>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Raumenų mėšlungis arba sąnarių, raumenų ar kaulų skausmas</w:t>
      </w:r>
      <w:r w:rsidRPr="00B75D90">
        <w:rPr>
          <w:rFonts w:ascii="Times New Roman" w:eastAsia="SimSun" w:hAnsi="Times New Roman" w:cs="Times New Roman"/>
          <w:lang w:val="cs-CZ"/>
        </w:rPr>
        <w:t xml:space="preserve"> gydymo metu arba nutraukus gydymą</w:t>
      </w:r>
      <w:r w:rsidRPr="00B75D90">
        <w:rPr>
          <w:rFonts w:ascii="Times New Roman" w:eastAsia="SimSun" w:hAnsi="Times New Roman" w:cs="Times New Roman"/>
        </w:rPr>
        <w:t>.</w:t>
      </w:r>
    </w:p>
    <w:p w:rsidR="00B75D90" w:rsidRPr="00B75D90" w:rsidRDefault="00B75D90" w:rsidP="00B75D90">
      <w:pPr>
        <w:widowControl w:val="0"/>
        <w:numPr>
          <w:ilvl w:val="0"/>
          <w:numId w:val="15"/>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Patinimas, pavyzdžiui, aplink kulkšnis, arba pabrinkimas apie akis.</w:t>
      </w:r>
    </w:p>
    <w:p w:rsidR="00B75D90" w:rsidRPr="00B75D90" w:rsidRDefault="00B75D90" w:rsidP="00B75D90">
      <w:pPr>
        <w:widowControl w:val="0"/>
        <w:numPr>
          <w:ilvl w:val="0"/>
          <w:numId w:val="15"/>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Kūno masės didėjimas.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Jeigu kuris nors šis poveikis yra sunkus, pasakykite savo gydytojui.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 xml:space="preserve">Dažnas šalutinis poveikis </w:t>
      </w:r>
      <w:r w:rsidRPr="00B75D90">
        <w:rPr>
          <w:rFonts w:ascii="Times New Roman" w:eastAsia="SimSun" w:hAnsi="Times New Roman" w:cs="Times New Roman"/>
        </w:rPr>
        <w:t xml:space="preserve">(gali pasireikšti </w:t>
      </w:r>
      <w:r w:rsidRPr="00B75D90">
        <w:rPr>
          <w:rFonts w:ascii="Times New Roman" w:eastAsia="Times New Roman" w:hAnsi="Times New Roman" w:cs="Times New Roman"/>
          <w:lang w:eastAsia="sl-SI"/>
        </w:rPr>
        <w:t>rečiau</w:t>
      </w:r>
      <w:r w:rsidRPr="00B75D90">
        <w:rPr>
          <w:rFonts w:ascii="Times New Roman" w:eastAsia="SimSun" w:hAnsi="Times New Roman" w:cs="Times New Roman"/>
        </w:rPr>
        <w:t xml:space="preserve"> kaip 1 iš 10 vaisto vartojusiųjų):</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Anoreksija, kūno masės mažėjimas arba skonio pojūčio sutrikimas.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Apsvaigimo arba silpnumo pojūtis.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Negalėjimas miegoti (nemiga).</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Išskyros iš akių su niežuliu, paraudimu ir patinimu (konjunktyvitas), akių ašarojimas arba miglotas matymas.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Kraujavimas iš nosies.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Pilvo skausmas arba patinimas, dujų kaupimasis virškinimo trakte, rėmuo arba vidurių užkietėjimas.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Niežulys.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Neįprastas plaukų slinkimas arba retėjimas.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Rankų ar kojų nutirpimas.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Burnos opos.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Sąnario skausmas su patinimu.</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Burnos džiūvimas, odos sausumas arba akių sausmė.</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Odos jautrumo sumažėjimas arba padidėjimas.</w:t>
      </w:r>
    </w:p>
    <w:p w:rsidR="00B75D90" w:rsidRPr="00B75D90" w:rsidRDefault="00B75D90" w:rsidP="00B75D90">
      <w:pPr>
        <w:widowControl w:val="0"/>
        <w:numPr>
          <w:ilvl w:val="0"/>
          <w:numId w:val="16"/>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Veido ir kaklo paraudimas, šaltkrėtis arba naktinis prakaitavimas.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Jeigu kuris nors šis poveikis yra sunkus, pasakykite savo gydytojui.</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i/>
        </w:rPr>
      </w:pPr>
      <w:r w:rsidRPr="00B75D90">
        <w:rPr>
          <w:rFonts w:ascii="Times New Roman" w:eastAsia="SimSun" w:hAnsi="Times New Roman" w:cs="Times New Roman"/>
          <w:i/>
        </w:rPr>
        <w:t xml:space="preserve">Dažnis nežinomas </w:t>
      </w:r>
      <w:r w:rsidRPr="00B75D90">
        <w:rPr>
          <w:rFonts w:ascii="Times New Roman" w:eastAsia="SimSun" w:hAnsi="Times New Roman" w:cs="Times New Roman"/>
        </w:rPr>
        <w:t>(negali būti apskaičiuotas pagal turimus duomenis):</w:t>
      </w:r>
    </w:p>
    <w:p w:rsidR="00B75D90" w:rsidRPr="00B75D90" w:rsidRDefault="00B75D90" w:rsidP="00B75D90">
      <w:pPr>
        <w:widowControl w:val="0"/>
        <w:numPr>
          <w:ilvl w:val="0"/>
          <w:numId w:val="17"/>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Rankų delnų ir kojų padų paraudimas ir (arba) patinimas, kuris gali būti susijęs su dilgčiojimo ir deginančio skausmo jutimu.</w:t>
      </w:r>
    </w:p>
    <w:p w:rsidR="00B75D90" w:rsidRPr="00B75D90" w:rsidRDefault="00B75D90" w:rsidP="00B75D90">
      <w:pPr>
        <w:widowControl w:val="0"/>
        <w:numPr>
          <w:ilvl w:val="0"/>
          <w:numId w:val="17"/>
        </w:numPr>
        <w:spacing w:after="0" w:line="240" w:lineRule="auto"/>
        <w:ind w:left="567" w:hanging="567"/>
        <w:rPr>
          <w:rFonts w:ascii="Times New Roman" w:eastAsia="SimSun" w:hAnsi="Times New Roman" w:cs="Times New Roman"/>
        </w:rPr>
      </w:pPr>
      <w:r w:rsidRPr="00B75D90">
        <w:rPr>
          <w:rFonts w:ascii="Times New Roman" w:eastAsia="Times New Roman" w:hAnsi="Times New Roman" w:cs="Times New Roman"/>
          <w:szCs w:val="20"/>
          <w:lang w:val="cs-CZ"/>
        </w:rPr>
        <w:lastRenderedPageBreak/>
        <w:t>Skausmingi ir (arba) pūsliniai odos pažeidimai.</w:t>
      </w:r>
    </w:p>
    <w:p w:rsidR="00B75D90" w:rsidRPr="00B75D90" w:rsidRDefault="00B75D90" w:rsidP="00B75D90">
      <w:pPr>
        <w:widowControl w:val="0"/>
        <w:numPr>
          <w:ilvl w:val="0"/>
          <w:numId w:val="17"/>
        </w:numPr>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Vaikų ir paauglių augimo sulėtėjimas.</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Jeigu kuris nors šis poveikis yra sunkus, pasakykite savo gydytojui.</w:t>
      </w:r>
    </w:p>
    <w:p w:rsidR="00B75D90" w:rsidRPr="00B75D90" w:rsidRDefault="00B75D90" w:rsidP="00B75D90">
      <w:pPr>
        <w:widowControl w:val="0"/>
        <w:spacing w:after="0" w:line="240" w:lineRule="auto"/>
        <w:ind w:right="57"/>
        <w:rPr>
          <w:rFonts w:ascii="Times New Roman" w:eastAsia="SimSun" w:hAnsi="Times New Roman" w:cs="Times New Roman"/>
        </w:rPr>
      </w:pPr>
    </w:p>
    <w:p w:rsidR="00B75D90" w:rsidRPr="00B75D90" w:rsidRDefault="00B75D90" w:rsidP="00B75D90">
      <w:pPr>
        <w:widowControl w:val="0"/>
        <w:spacing w:after="0" w:line="240" w:lineRule="auto"/>
        <w:ind w:right="57"/>
        <w:rPr>
          <w:rFonts w:ascii="Times New Roman" w:eastAsia="SimSun" w:hAnsi="Times New Roman" w:cs="Times New Roman"/>
          <w:b/>
        </w:rPr>
      </w:pPr>
      <w:r w:rsidRPr="00B75D90">
        <w:rPr>
          <w:rFonts w:ascii="Times New Roman" w:eastAsia="SimSun" w:hAnsi="Times New Roman" w:cs="Times New Roman"/>
          <w:b/>
        </w:rPr>
        <w:t>Pranešimas apie šalutinį poveikį</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 xml:space="preserve">Jeigu pasireiškė šalutinis poveikis, įskaitant šiame lapelyje nenurodytą, pasakykite gydytojui, vaistininkui arba </w:t>
      </w:r>
      <w:r w:rsidRPr="00B75D90">
        <w:rPr>
          <w:rFonts w:ascii="Times New Roman" w:eastAsia="Times New Roman" w:hAnsi="Times New Roman" w:cs="Times New Roman"/>
          <w:lang w:eastAsia="sl-SI"/>
        </w:rPr>
        <w:t>slaugytojui</w:t>
      </w:r>
      <w:r w:rsidRPr="00B75D90">
        <w:rPr>
          <w:rFonts w:ascii="Times New Roman" w:eastAsia="SimSun" w:hAnsi="Times New Roman" w:cs="Times New Roman"/>
        </w:rPr>
        <w:t>. Apie šalutinį poveikį taip pat galite pranešti Valstybinei vaistų kontrolės tarnybai prie Lietuvos Respublikos sveikatos apsaugos ministerijos</w:t>
      </w:r>
      <w:r w:rsidRPr="00B75D90">
        <w:rPr>
          <w:rFonts w:ascii="Times New Roman" w:eastAsia="Times New Roman" w:hAnsi="Times New Roman" w:cs="Times New Roman"/>
        </w:rPr>
        <w:t xml:space="preserve"> nemokamu telefonu 8 800 73568 arba užpildyti interneto svetainėje </w:t>
      </w:r>
      <w:hyperlink r:id="rId20" w:history="1">
        <w:r w:rsidRPr="00B75D90">
          <w:rPr>
            <w:rFonts w:ascii="Times New Roman" w:eastAsia="SimSun" w:hAnsi="Times New Roman" w:cs="Times New Roman"/>
            <w:snapToGrid w:val="0"/>
            <w:color w:val="0000FF"/>
            <w:u w:val="single"/>
          </w:rPr>
          <w:t>www.vvkt.lt</w:t>
        </w:r>
      </w:hyperlink>
      <w:r w:rsidRPr="00B75D90">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w:t>
      </w:r>
      <w:r w:rsidRPr="00B75D90">
        <w:rPr>
          <w:rFonts w:ascii="Times New Roman" w:eastAsia="SimSun" w:hAnsi="Times New Roman" w:cs="Times New Roman"/>
        </w:rPr>
        <w:t>Žirmūnų g. 139A, LT</w:t>
      </w:r>
      <w:r w:rsidRPr="00B75D90">
        <w:rPr>
          <w:rFonts w:ascii="Times New Roman" w:eastAsia="Times New Roman" w:hAnsi="Times New Roman" w:cs="Times New Roman"/>
        </w:rPr>
        <w:t>-</w:t>
      </w:r>
      <w:r w:rsidRPr="00B75D90">
        <w:rPr>
          <w:rFonts w:ascii="Times New Roman" w:eastAsia="SimSun" w:hAnsi="Times New Roman" w:cs="Times New Roman"/>
        </w:rPr>
        <w:t>09120 Vilnius</w:t>
      </w:r>
      <w:r w:rsidRPr="00B75D90">
        <w:rPr>
          <w:rFonts w:ascii="Times New Roman" w:eastAsia="Times New Roman" w:hAnsi="Times New Roman" w:cs="Times New Roman"/>
        </w:rPr>
        <w:t>),</w:t>
      </w:r>
      <w:r w:rsidRPr="00B75D90">
        <w:rPr>
          <w:rFonts w:ascii="Times New Roman" w:eastAsia="SimSun" w:hAnsi="Times New Roman" w:cs="Times New Roman"/>
        </w:rPr>
        <w:t xml:space="preserve"> nemokamu fakso numeriu </w:t>
      </w:r>
      <w:r w:rsidRPr="00B75D90">
        <w:rPr>
          <w:rFonts w:ascii="Times New Roman" w:eastAsia="Calibri" w:hAnsi="Times New Roman" w:cs="Times New Roman"/>
        </w:rPr>
        <w:t xml:space="preserve">8 </w:t>
      </w:r>
      <w:r w:rsidRPr="00B75D90">
        <w:rPr>
          <w:rFonts w:ascii="Times New Roman" w:eastAsia="Times New Roman" w:hAnsi="Times New Roman" w:cs="Times New Roman"/>
        </w:rPr>
        <w:t>800 20131,</w:t>
      </w:r>
      <w:r w:rsidRPr="00B75D90">
        <w:rPr>
          <w:rFonts w:ascii="Times New Roman" w:eastAsia="Calibri" w:hAnsi="Times New Roman" w:cs="Times New Roman"/>
        </w:rPr>
        <w:t xml:space="preserve"> </w:t>
      </w:r>
      <w:r w:rsidRPr="00B75D90">
        <w:rPr>
          <w:rFonts w:ascii="Times New Roman" w:eastAsia="SimSun" w:hAnsi="Times New Roman" w:cs="Times New Roman"/>
        </w:rPr>
        <w:t xml:space="preserve">el. paštu </w:t>
      </w:r>
      <w:hyperlink r:id="rId21" w:history="1">
        <w:r w:rsidRPr="00B75D90">
          <w:rPr>
            <w:rFonts w:ascii="Times New Roman" w:eastAsia="SimSun" w:hAnsi="Times New Roman" w:cs="Times New Roman"/>
            <w:snapToGrid w:val="0"/>
            <w:color w:val="0000FF"/>
            <w:u w:val="single"/>
          </w:rPr>
          <w:t>NepageidaujamaR@vvkt.lt</w:t>
        </w:r>
      </w:hyperlink>
      <w:r w:rsidRPr="00B75D90">
        <w:rPr>
          <w:rFonts w:ascii="Times New Roman" w:eastAsia="Times New Roman" w:hAnsi="Times New Roman" w:cs="Times New Roman"/>
          <w:snapToGrid w:val="0"/>
        </w:rPr>
        <w:t>,</w:t>
      </w:r>
      <w:r w:rsidRPr="00B75D90">
        <w:rPr>
          <w:rFonts w:ascii="Times New Roman" w:eastAsia="Times New Roman" w:hAnsi="Times New Roman" w:cs="Times New Roman"/>
        </w:rPr>
        <w:t xml:space="preserve"> taip pat</w:t>
      </w:r>
      <w:r w:rsidRPr="00B75D90">
        <w:rPr>
          <w:rFonts w:ascii="Times New Roman" w:eastAsia="SimSun" w:hAnsi="Times New Roman" w:cs="Times New Roman"/>
        </w:rPr>
        <w:t xml:space="preserve"> per Valstybinės vaistų kontrolės tarnybos prie Lietuvos Respublikos sveikatos apsaugos ministerijos interneto svetainę (adresu </w:t>
      </w:r>
      <w:hyperlink r:id="rId22" w:history="1">
        <w:r w:rsidRPr="00B75D90">
          <w:rPr>
            <w:rFonts w:ascii="Times New Roman" w:eastAsia="SimSun" w:hAnsi="Times New Roman" w:cs="Times New Roman"/>
            <w:snapToGrid w:val="0"/>
            <w:color w:val="0000FF"/>
            <w:u w:val="single"/>
          </w:rPr>
          <w:t>http://www.vvkt.lt</w:t>
        </w:r>
      </w:hyperlink>
      <w:r w:rsidRPr="00B75D90">
        <w:rPr>
          <w:rFonts w:ascii="Times New Roman" w:eastAsia="Times New Roman" w:hAnsi="Times New Roman" w:cs="Times New Roman"/>
          <w:snapToGrid w:val="0"/>
        </w:rPr>
        <w:t>).</w:t>
      </w:r>
      <w:r w:rsidRPr="00B75D90">
        <w:rPr>
          <w:rFonts w:ascii="Times New Roman" w:eastAsia="SimSun" w:hAnsi="Times New Roman" w:cs="Times New Roman"/>
        </w:rPr>
        <w:t xml:space="preserve"> Pranešdami apie šalutinį poveikį galite mums padėti gauti daugiau informacijos apie šio vaisto saugumą.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b/>
        </w:rPr>
        <w:t>5.</w:t>
      </w:r>
      <w:r w:rsidRPr="00B75D90">
        <w:rPr>
          <w:rFonts w:ascii="Times New Roman" w:eastAsia="SimSun" w:hAnsi="Times New Roman" w:cs="Times New Roman"/>
          <w:b/>
        </w:rPr>
        <w:tab/>
        <w:t>Kaip laikyti Meapax</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Šį vaistą laikykite vaikams nepastebimoje ir nepasiekiamoje vietoje.</w:t>
      </w:r>
    </w:p>
    <w:p w:rsidR="00B75D90" w:rsidRPr="00B75D90" w:rsidRDefault="00B75D90" w:rsidP="00B75D90">
      <w:pPr>
        <w:widowControl w:val="0"/>
        <w:tabs>
          <w:tab w:val="left" w:pos="567"/>
        </w:tabs>
        <w:spacing w:after="0" w:line="240" w:lineRule="auto"/>
        <w:rPr>
          <w:rFonts w:ascii="Times New Roman" w:eastAsia="SimSun" w:hAnsi="Times New Roman" w:cs="Times New Roman"/>
        </w:rPr>
      </w:pPr>
    </w:p>
    <w:p w:rsidR="00B75D90" w:rsidRPr="00B75D90" w:rsidRDefault="00B75D90" w:rsidP="00B75D90">
      <w:pPr>
        <w:widowControl w:val="0"/>
        <w:tabs>
          <w:tab w:val="left" w:pos="567"/>
        </w:tabs>
        <w:spacing w:after="0" w:line="240" w:lineRule="auto"/>
        <w:rPr>
          <w:rFonts w:ascii="Times New Roman" w:eastAsia="SimSun" w:hAnsi="Times New Roman" w:cs="Times New Roman"/>
        </w:rPr>
      </w:pPr>
      <w:r w:rsidRPr="00B75D90">
        <w:rPr>
          <w:rFonts w:ascii="Times New Roman" w:eastAsia="SimSun" w:hAnsi="Times New Roman" w:cs="Times New Roman"/>
        </w:rPr>
        <w:t>Ant kartono dėžutės ir lizdinės plokštelės po</w:t>
      </w:r>
      <w:r w:rsidRPr="00B75D90">
        <w:rPr>
          <w:rFonts w:ascii="Times New Roman" w:eastAsia="SimSun" w:hAnsi="Times New Roman" w:cs="Times New Roman"/>
          <w:szCs w:val="20"/>
          <w:lang w:val="cs-CZ"/>
        </w:rPr>
        <w:t>,</w:t>
      </w:r>
      <w:r w:rsidRPr="00B75D90">
        <w:rPr>
          <w:rFonts w:ascii="Times New Roman" w:eastAsia="SimSun" w:hAnsi="Times New Roman" w:cs="Times New Roman"/>
          <w:highlight w:val="lightGray"/>
        </w:rPr>
        <w:t>,Tinka iki”</w:t>
      </w:r>
      <w:r w:rsidRPr="00B75D90">
        <w:rPr>
          <w:rFonts w:ascii="Times New Roman" w:eastAsia="SimSun" w:hAnsi="Times New Roman" w:cs="Times New Roman"/>
        </w:rPr>
        <w:t>/</w:t>
      </w:r>
      <w:r w:rsidRPr="00B75D90">
        <w:rPr>
          <w:rFonts w:ascii="Times New Roman" w:eastAsia="SimSun" w:hAnsi="Times New Roman" w:cs="Times New Roman"/>
          <w:lang w:val="cs-CZ"/>
        </w:rPr>
        <w:t>,</w:t>
      </w:r>
      <w:r w:rsidRPr="00B75D90">
        <w:rPr>
          <w:rFonts w:ascii="Times New Roman" w:eastAsia="SimSun" w:hAnsi="Times New Roman" w:cs="Times New Roman"/>
        </w:rPr>
        <w:t>,EXP“ nurodytam tinkamumo laikui pasibaigus, šio vaisto vartoti negalima. Vaistas tinkamas vartoti iki paskutinės nurodyto mėnesio dienos.</w:t>
      </w:r>
    </w:p>
    <w:p w:rsidR="00B75D90" w:rsidRPr="00B75D90" w:rsidRDefault="00B75D90" w:rsidP="00B75D90">
      <w:pPr>
        <w:widowControl w:val="0"/>
        <w:tabs>
          <w:tab w:val="left" w:pos="567"/>
        </w:tabs>
        <w:spacing w:after="0" w:line="240" w:lineRule="auto"/>
        <w:rPr>
          <w:rFonts w:ascii="Times New Roman" w:eastAsia="SimSun" w:hAnsi="Times New Roman" w:cs="Times New Roman"/>
          <w:highlight w:val="yellow"/>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Šiam vaistui specialių laikymo sąlygų nereikia.</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Vaistų negalima išmesti į kanalizaciją arba su buitinėmis atliekomis. Kaip išmesti nereikalingus vaistus, klauskite vaistininko. Šios priemonės padės apsaugoti aplinką.</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tabs>
          <w:tab w:val="left" w:pos="567"/>
        </w:tabs>
        <w:spacing w:after="0" w:line="240" w:lineRule="auto"/>
        <w:rPr>
          <w:rFonts w:ascii="Times New Roman" w:eastAsia="SimSun" w:hAnsi="Times New Roman" w:cs="Times New Roman"/>
          <w:b/>
        </w:rPr>
      </w:pPr>
      <w:r w:rsidRPr="00B75D90">
        <w:rPr>
          <w:rFonts w:ascii="Times New Roman" w:eastAsia="SimSun" w:hAnsi="Times New Roman" w:cs="Times New Roman"/>
          <w:b/>
        </w:rPr>
        <w:t>6.</w:t>
      </w:r>
      <w:r w:rsidRPr="00B75D90">
        <w:rPr>
          <w:rFonts w:ascii="Times New Roman" w:eastAsia="SimSun" w:hAnsi="Times New Roman" w:cs="Times New Roman"/>
          <w:b/>
        </w:rPr>
        <w:tab/>
        <w:t>Pakuotės turinys ir kita informacija</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b/>
        </w:rPr>
      </w:pPr>
      <w:r w:rsidRPr="00B75D90">
        <w:rPr>
          <w:rFonts w:ascii="Times New Roman" w:eastAsia="SimSun" w:hAnsi="Times New Roman" w:cs="Times New Roman"/>
          <w:b/>
        </w:rPr>
        <w:t>Meapax sudėtis</w:t>
      </w:r>
    </w:p>
    <w:p w:rsidR="00B75D90" w:rsidRPr="00B75D90" w:rsidRDefault="00B75D90" w:rsidP="00B75D90">
      <w:pPr>
        <w:widowControl w:val="0"/>
        <w:numPr>
          <w:ilvl w:val="0"/>
          <w:numId w:val="22"/>
        </w:numPr>
        <w:autoSpaceDE w:val="0"/>
        <w:autoSpaceDN w:val="0"/>
        <w:adjustRightInd w:val="0"/>
        <w:spacing w:after="0" w:line="240" w:lineRule="auto"/>
        <w:ind w:left="567" w:hanging="567"/>
        <w:rPr>
          <w:rFonts w:ascii="Times New Roman" w:eastAsia="SimSun" w:hAnsi="Times New Roman" w:cs="Times New Roman"/>
        </w:rPr>
      </w:pPr>
      <w:r w:rsidRPr="00B75D90">
        <w:rPr>
          <w:rFonts w:ascii="Times New Roman" w:eastAsia="SimSun" w:hAnsi="Times New Roman" w:cs="Times New Roman"/>
        </w:rPr>
        <w:t>Veiklioji medžiaga yra imatinibas.</w:t>
      </w:r>
    </w:p>
    <w:p w:rsidR="00B75D90" w:rsidRPr="00B75D90" w:rsidRDefault="00B75D90" w:rsidP="00B75D90">
      <w:pPr>
        <w:widowControl w:val="0"/>
        <w:autoSpaceDE w:val="0"/>
        <w:autoSpaceDN w:val="0"/>
        <w:adjustRightInd w:val="0"/>
        <w:spacing w:after="0" w:line="240" w:lineRule="auto"/>
        <w:ind w:left="567"/>
        <w:rPr>
          <w:rFonts w:ascii="Times New Roman" w:eastAsia="SimSun" w:hAnsi="Times New Roman" w:cs="Times New Roman"/>
        </w:rPr>
      </w:pPr>
      <w:r w:rsidRPr="00B75D90">
        <w:rPr>
          <w:rFonts w:ascii="Times New Roman" w:eastAsia="SimSun" w:hAnsi="Times New Roman" w:cs="Times New Roman"/>
        </w:rPr>
        <w:t>Kiekvienoje plėvele dengtoje tabletėje yra 100 mg imatinibo, atitinkančio 119,50 mg imatinibo mesilato.</w:t>
      </w:r>
    </w:p>
    <w:p w:rsidR="00B75D90" w:rsidRPr="00B75D90" w:rsidRDefault="00B75D90" w:rsidP="00B75D90">
      <w:pPr>
        <w:widowControl w:val="0"/>
        <w:spacing w:after="0" w:line="240" w:lineRule="auto"/>
        <w:ind w:left="567"/>
        <w:rPr>
          <w:rFonts w:ascii="Times New Roman" w:eastAsia="SimSun" w:hAnsi="Times New Roman" w:cs="Times New Roman"/>
          <w:highlight w:val="lightGray"/>
        </w:rPr>
      </w:pPr>
      <w:r w:rsidRPr="00B75D90">
        <w:rPr>
          <w:rFonts w:ascii="Times New Roman" w:eastAsia="SimSun" w:hAnsi="Times New Roman" w:cs="Times New Roman"/>
          <w:highlight w:val="lightGray"/>
        </w:rPr>
        <w:t>Kiekvienoje plėvele dengtoje tabletėje yra 400 mg imatinibo, atitinkančio 478 mg imatinibo mesilato.</w:t>
      </w:r>
    </w:p>
    <w:p w:rsidR="00B75D90" w:rsidRPr="00B75D90" w:rsidRDefault="00B75D90" w:rsidP="00B75D90">
      <w:pPr>
        <w:widowControl w:val="0"/>
        <w:numPr>
          <w:ilvl w:val="0"/>
          <w:numId w:val="22"/>
        </w:numPr>
        <w:autoSpaceDE w:val="0"/>
        <w:autoSpaceDN w:val="0"/>
        <w:adjustRightInd w:val="0"/>
        <w:spacing w:after="0" w:line="240" w:lineRule="auto"/>
        <w:ind w:left="567" w:hanging="567"/>
        <w:outlineLvl w:val="0"/>
        <w:rPr>
          <w:rFonts w:ascii="Times New Roman" w:eastAsia="SimSun" w:hAnsi="Times New Roman" w:cs="Times New Roman"/>
        </w:rPr>
      </w:pPr>
      <w:r w:rsidRPr="00B75D90">
        <w:rPr>
          <w:rFonts w:ascii="Times New Roman" w:eastAsia="SimSun" w:hAnsi="Times New Roman" w:cs="Times New Roman"/>
        </w:rPr>
        <w:t>Pagalbinės medžiagos. Tabletės branduolyje yra laktozė monohidratas, kukurūzų krakmolas, hidroksipropilceliuliozė, mikrokristalinė celiuliozė, krospovidonas (A tipas), bevandenis koloidinis silicio dioksidas ir magnio stearatas. Tabletės plėvelėje yra polivinilo alkoholis, titano dioksidas (E171), makrogolis 3000, talkas, raudonasis geležies oksidas (E172) ir geltonasis geležies oksidas (E172).</w:t>
      </w:r>
    </w:p>
    <w:p w:rsidR="00B75D90" w:rsidRPr="00B75D90" w:rsidRDefault="00B75D90" w:rsidP="00B75D90">
      <w:pPr>
        <w:widowControl w:val="0"/>
        <w:spacing w:after="0" w:line="240" w:lineRule="auto"/>
        <w:ind w:right="-2"/>
        <w:rPr>
          <w:rFonts w:ascii="Times New Roman" w:eastAsia="SimSun" w:hAnsi="Times New Roman" w:cs="Times New Roman"/>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b/>
        </w:rPr>
      </w:pPr>
      <w:r w:rsidRPr="00B75D90">
        <w:rPr>
          <w:rFonts w:ascii="Times New Roman" w:eastAsia="SimSun" w:hAnsi="Times New Roman" w:cs="Times New Roman"/>
          <w:b/>
        </w:rPr>
        <w:t>Meapax išvaizda ir kiekis pakuotėje</w:t>
      </w: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highlight w:val="lightGray"/>
        </w:rPr>
        <w:t>100 mg</w:t>
      </w:r>
      <w:r w:rsidRPr="00B75D90">
        <w:rPr>
          <w:rFonts w:ascii="Times New Roman" w:eastAsia="SimSun" w:hAnsi="Times New Roman" w:cs="Times New Roman"/>
        </w:rPr>
        <w:t>. Plėvele dengtos tabletės yra rudai oranžinės spalvos, apvalios (11 mm diametro), šiek tiek abipus išgaubtos, nuožulniais kraštais ir su vagele vienoje pusėje. Tabletę galima padalyti į lygias dozes.</w:t>
      </w:r>
    </w:p>
    <w:p w:rsidR="00B75D90" w:rsidRPr="00B75D90" w:rsidRDefault="00B75D90" w:rsidP="00B75D90">
      <w:pPr>
        <w:widowControl w:val="0"/>
        <w:spacing w:after="0" w:line="240" w:lineRule="auto"/>
        <w:rPr>
          <w:rFonts w:ascii="Times New Roman" w:eastAsia="SimSun" w:hAnsi="Times New Roman" w:cs="Times New Roman"/>
          <w:highlight w:val="lightGray"/>
        </w:rPr>
      </w:pPr>
      <w:r w:rsidRPr="00B75D90">
        <w:rPr>
          <w:rFonts w:ascii="Times New Roman" w:eastAsia="SimSun" w:hAnsi="Times New Roman" w:cs="Times New Roman"/>
          <w:highlight w:val="lightGray"/>
        </w:rPr>
        <w:t>400 mg. Plėvele dengtos tabletės yra rudai oranžinės spalvos, ovalo formos, 22 mm ilgio ir 9 mm pločio, abipus išgaubtos.</w:t>
      </w:r>
    </w:p>
    <w:p w:rsidR="00B75D90" w:rsidRPr="00B75D90" w:rsidRDefault="00B75D90" w:rsidP="00B75D90">
      <w:pPr>
        <w:widowControl w:val="0"/>
        <w:autoSpaceDE w:val="0"/>
        <w:autoSpaceDN w:val="0"/>
        <w:spacing w:after="0" w:line="240" w:lineRule="auto"/>
        <w:rPr>
          <w:rFonts w:ascii="Times New Roman" w:eastAsia="SimSun" w:hAnsi="Times New Roman" w:cs="Times New Roman"/>
        </w:rPr>
      </w:pPr>
    </w:p>
    <w:p w:rsidR="00B75D90" w:rsidRPr="00B75D90" w:rsidRDefault="00B75D90" w:rsidP="00B75D90">
      <w:pPr>
        <w:widowControl w:val="0"/>
        <w:autoSpaceDE w:val="0"/>
        <w:autoSpaceDN w:val="0"/>
        <w:spacing w:after="0" w:line="240" w:lineRule="auto"/>
        <w:rPr>
          <w:rFonts w:ascii="Times New Roman" w:eastAsia="SimSun" w:hAnsi="Times New Roman" w:cs="Times New Roman"/>
          <w:i/>
          <w:u w:val="single"/>
        </w:rPr>
      </w:pPr>
      <w:r w:rsidRPr="00B75D90">
        <w:rPr>
          <w:rFonts w:ascii="Times New Roman" w:eastAsia="SimSun" w:hAnsi="Times New Roman" w:cs="Times New Roman"/>
          <w:i/>
          <w:highlight w:val="lightGray"/>
          <w:u w:val="single"/>
        </w:rPr>
        <w:t>100 mg plėvele dengtos tabletės</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r w:rsidRPr="00B75D90">
        <w:rPr>
          <w:rFonts w:ascii="Times New Roman" w:eastAsia="SimSun" w:hAnsi="Times New Roman" w:cs="Times New Roman"/>
        </w:rPr>
        <w:t xml:space="preserve">Meapax tiekiamas kartono dėžutėse, kuriose yra 20, 30, 60, 90, 120 ar 180 plėvele dengtų tablečių </w:t>
      </w:r>
      <w:r w:rsidRPr="00B75D90">
        <w:rPr>
          <w:rFonts w:ascii="Times New Roman" w:eastAsia="SimSun" w:hAnsi="Times New Roman" w:cs="Times New Roman"/>
        </w:rPr>
        <w:lastRenderedPageBreak/>
        <w:t>lizdinėse plokštelėse.</w:t>
      </w:r>
    </w:p>
    <w:p w:rsidR="00B75D90" w:rsidRPr="00B75D90" w:rsidRDefault="00B75D90" w:rsidP="00B75D90">
      <w:pPr>
        <w:widowControl w:val="0"/>
        <w:autoSpaceDE w:val="0"/>
        <w:autoSpaceDN w:val="0"/>
        <w:spacing w:after="0" w:line="240" w:lineRule="auto"/>
        <w:rPr>
          <w:rFonts w:ascii="Times New Roman" w:eastAsia="SimSun" w:hAnsi="Times New Roman" w:cs="Times New Roman"/>
          <w:i/>
        </w:rPr>
      </w:pPr>
    </w:p>
    <w:p w:rsidR="00B75D90" w:rsidRPr="00B75D90" w:rsidRDefault="00B75D90" w:rsidP="00B75D90">
      <w:pPr>
        <w:widowControl w:val="0"/>
        <w:autoSpaceDE w:val="0"/>
        <w:autoSpaceDN w:val="0"/>
        <w:spacing w:after="0" w:line="240" w:lineRule="auto"/>
        <w:rPr>
          <w:rFonts w:ascii="Times New Roman" w:eastAsia="SimSun" w:hAnsi="Times New Roman" w:cs="Times New Roman"/>
          <w:i/>
          <w:highlight w:val="lightGray"/>
          <w:u w:val="single"/>
        </w:rPr>
      </w:pPr>
      <w:r w:rsidRPr="00B75D90">
        <w:rPr>
          <w:rFonts w:ascii="Times New Roman" w:eastAsia="SimSun" w:hAnsi="Times New Roman" w:cs="Times New Roman"/>
          <w:i/>
          <w:highlight w:val="lightGray"/>
          <w:u w:val="single"/>
        </w:rPr>
        <w:t>400 mg plėvele dengtos tabletės</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r w:rsidRPr="00B75D90">
        <w:rPr>
          <w:rFonts w:ascii="Times New Roman" w:eastAsia="SimSun" w:hAnsi="Times New Roman" w:cs="Times New Roman"/>
          <w:highlight w:val="lightGray"/>
        </w:rPr>
        <w:t>Meapax tiekiamas kartono dėžutėse, kuriose yra 10, 30, 60 ar 90 plėvele dengtų tablečių lizdinėse plokštelėse.</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highlight w:val="yellow"/>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rPr>
      </w:pPr>
      <w:r w:rsidRPr="00B75D90">
        <w:rPr>
          <w:rFonts w:ascii="Times New Roman" w:eastAsia="SimSun" w:hAnsi="Times New Roman" w:cs="Times New Roman"/>
        </w:rPr>
        <w:t>Gali būti tiekiamos ne visų dydžių pakuotės.</w:t>
      </w: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b/>
        </w:rPr>
      </w:pPr>
    </w:p>
    <w:p w:rsidR="00B75D90" w:rsidRPr="00B75D90" w:rsidRDefault="00B75D90" w:rsidP="00B75D90">
      <w:pPr>
        <w:widowControl w:val="0"/>
        <w:numPr>
          <w:ilvl w:val="12"/>
          <w:numId w:val="0"/>
        </w:numPr>
        <w:spacing w:after="0" w:line="240" w:lineRule="auto"/>
        <w:ind w:right="-2"/>
        <w:rPr>
          <w:rFonts w:ascii="Times New Roman" w:eastAsia="SimSun" w:hAnsi="Times New Roman" w:cs="Times New Roman"/>
          <w:b/>
        </w:rPr>
      </w:pPr>
      <w:r w:rsidRPr="00B75D90">
        <w:rPr>
          <w:rFonts w:ascii="Times New Roman" w:eastAsia="SimSun" w:hAnsi="Times New Roman" w:cs="Times New Roman"/>
          <w:b/>
        </w:rPr>
        <w:t>Registruotojas ir gamintojas</w:t>
      </w:r>
    </w:p>
    <w:p w:rsidR="00B75D90" w:rsidRPr="00B75D90" w:rsidRDefault="00B75D90" w:rsidP="00B75D90">
      <w:pPr>
        <w:widowControl w:val="0"/>
        <w:spacing w:after="0" w:line="240" w:lineRule="auto"/>
        <w:rPr>
          <w:rFonts w:ascii="Times New Roman" w:eastAsia="Times New Roman" w:hAnsi="Times New Roman" w:cs="Times New Roman"/>
          <w:i/>
          <w:iCs/>
          <w:lang w:val="cs-CZ" w:eastAsia="sl-SI"/>
        </w:rPr>
      </w:pPr>
    </w:p>
    <w:p w:rsidR="00B75D90" w:rsidRPr="00B75D90" w:rsidRDefault="00B75D90" w:rsidP="00B75D90">
      <w:pPr>
        <w:widowControl w:val="0"/>
        <w:spacing w:after="0" w:line="240" w:lineRule="auto"/>
        <w:rPr>
          <w:rFonts w:ascii="Times New Roman" w:eastAsia="Times New Roman" w:hAnsi="Times New Roman" w:cs="Times New Roman"/>
          <w:lang w:val="cs-CZ" w:eastAsia="sl-SI"/>
        </w:rPr>
      </w:pPr>
      <w:r w:rsidRPr="00B75D90">
        <w:rPr>
          <w:rFonts w:ascii="Times New Roman" w:eastAsia="Times New Roman" w:hAnsi="Times New Roman" w:cs="Times New Roman"/>
          <w:lang w:val="cs-CZ" w:eastAsia="sl-SI"/>
        </w:rPr>
        <w:t>TAD Pharma GmbH, Heinz-Lohmann-Straße 5, 27472 Cuxhaven, Vokietija</w:t>
      </w:r>
    </w:p>
    <w:p w:rsidR="00B75D90" w:rsidRPr="00B75D90" w:rsidRDefault="00B75D90" w:rsidP="00B75D90">
      <w:pPr>
        <w:widowControl w:val="0"/>
        <w:tabs>
          <w:tab w:val="left" w:pos="567"/>
        </w:tabs>
        <w:spacing w:after="0" w:line="240" w:lineRule="auto"/>
        <w:rPr>
          <w:rFonts w:ascii="Times New Roman" w:eastAsia="SimSun" w:hAnsi="Times New Roman" w:cs="Times New Roman"/>
          <w:b/>
        </w:rPr>
      </w:pPr>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rPr>
      </w:pPr>
      <w:r w:rsidRPr="00B75D90">
        <w:rPr>
          <w:rFonts w:ascii="Times New Roman" w:eastAsia="SimSun" w:hAnsi="Times New Roman" w:cs="Times New Roman"/>
          <w:b/>
        </w:rPr>
        <w:t>Šis pakuotės lapelis paskutinį kartą peržiūrėtas 201</w:t>
      </w:r>
      <w:r>
        <w:rPr>
          <w:rFonts w:ascii="Times New Roman" w:eastAsia="SimSun" w:hAnsi="Times New Roman" w:cs="Times New Roman"/>
          <w:b/>
        </w:rPr>
        <w:t>9-10-07.</w:t>
      </w:r>
      <w:bookmarkStart w:id="52" w:name="_GoBack"/>
      <w:bookmarkEnd w:id="52"/>
    </w:p>
    <w:p w:rsidR="00B75D90" w:rsidRPr="00B75D90" w:rsidRDefault="00B75D90" w:rsidP="00B75D90">
      <w:pPr>
        <w:widowControl w:val="0"/>
        <w:autoSpaceDE w:val="0"/>
        <w:autoSpaceDN w:val="0"/>
        <w:adjustRightInd w:val="0"/>
        <w:spacing w:after="0" w:line="240" w:lineRule="auto"/>
        <w:rPr>
          <w:rFonts w:ascii="Times New Roman" w:eastAsia="SimSun" w:hAnsi="Times New Roman" w:cs="Times New Roman"/>
          <w:b/>
        </w:rPr>
      </w:pPr>
    </w:p>
    <w:p w:rsidR="00B75D90" w:rsidRPr="00B75D90" w:rsidRDefault="00B75D90" w:rsidP="00B75D90">
      <w:pPr>
        <w:widowControl w:val="0"/>
        <w:spacing w:after="0" w:line="240" w:lineRule="auto"/>
        <w:rPr>
          <w:rFonts w:ascii="Times New Roman" w:eastAsia="SimSun" w:hAnsi="Times New Roman" w:cs="Times New Roman"/>
        </w:rPr>
      </w:pPr>
      <w:r w:rsidRPr="00B75D90">
        <w:rPr>
          <w:rFonts w:ascii="Times New Roman" w:eastAsia="SimSun" w:hAnsi="Times New Roman" w:cs="Times New Roman"/>
        </w:rPr>
        <w:t>Išsami informacija apie šį vaistą pateikiama Valstybinės vaistų kontrolės tarnybos prie Lietuvos Respublikos sveikatos apsaugos ministerijos tinklalapyje</w:t>
      </w:r>
      <w:r w:rsidRPr="00B75D90">
        <w:rPr>
          <w:rFonts w:ascii="Times New Roman" w:eastAsia="SimSun" w:hAnsi="Times New Roman" w:cs="Times New Roman"/>
          <w:i/>
        </w:rPr>
        <w:t xml:space="preserve"> </w:t>
      </w:r>
      <w:hyperlink r:id="rId23" w:history="1">
        <w:r w:rsidRPr="00B75D90">
          <w:rPr>
            <w:rFonts w:ascii="Times New Roman" w:eastAsia="SimSun" w:hAnsi="Times New Roman" w:cs="Times New Roman"/>
            <w:u w:val="single"/>
          </w:rPr>
          <w:t>http://www.vvkt.lt/</w:t>
        </w:r>
      </w:hyperlink>
      <w:r w:rsidRPr="00B75D90">
        <w:rPr>
          <w:rFonts w:ascii="Times New Roman" w:eastAsia="SimSun" w:hAnsi="Times New Roman" w:cs="Times New Roman"/>
        </w:rPr>
        <w:t>.</w:t>
      </w: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B75D90" w:rsidRPr="00B75D90" w:rsidRDefault="00B75D90" w:rsidP="00B75D90">
      <w:pPr>
        <w:widowControl w:val="0"/>
        <w:spacing w:after="0" w:line="240" w:lineRule="auto"/>
        <w:rPr>
          <w:rFonts w:ascii="Times New Roman" w:eastAsia="SimSun" w:hAnsi="Times New Roman" w:cs="Times New Roman"/>
        </w:rPr>
      </w:pPr>
    </w:p>
    <w:p w:rsidR="00AA1D8D" w:rsidRDefault="00AA1D8D"/>
    <w:sectPr w:rsidR="00AA1D8D" w:rsidSect="0011264F">
      <w:headerReference w:type="even" r:id="rId24"/>
      <w:headerReference w:type="default" r:id="rId25"/>
      <w:footerReference w:type="even" r:id="rId26"/>
      <w:footerReference w:type="default" r:id="rId27"/>
      <w:headerReference w:type="first" r:id="rId28"/>
      <w:footerReference w:type="first" r:id="rId2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D90" w:rsidRDefault="00B75D90" w:rsidP="00B75D90">
      <w:pPr>
        <w:spacing w:after="0" w:line="240" w:lineRule="auto"/>
      </w:pPr>
      <w:r>
        <w:separator/>
      </w:r>
    </w:p>
  </w:endnote>
  <w:endnote w:type="continuationSeparator" w:id="0">
    <w:p w:rsidR="00B75D90" w:rsidRDefault="00B75D90" w:rsidP="00B75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altName w:val="Tahoma"/>
    <w:charset w:val="00"/>
    <w:family w:val="swiss"/>
    <w:pitch w:val="variable"/>
    <w:sig w:usb0="00000000" w:usb1="00000000" w:usb2="00000000" w:usb3="00000000" w:csb0="0001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111" w:rsidRDefault="00C96AF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4111" w:rsidRDefault="00C96AF8"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111" w:rsidRPr="00AE4C0A" w:rsidRDefault="00C96AF8">
    <w:pPr>
      <w:pStyle w:val="Porat"/>
      <w:jc w:val="center"/>
      <w:rPr>
        <w:sz w:val="22"/>
      </w:rPr>
    </w:pPr>
    <w:r w:rsidRPr="00AE4C0A">
      <w:rPr>
        <w:sz w:val="22"/>
      </w:rPr>
      <w:fldChar w:fldCharType="begin"/>
    </w:r>
    <w:r w:rsidRPr="00AE4C0A">
      <w:rPr>
        <w:sz w:val="22"/>
      </w:rPr>
      <w:instrText>PAGE   \* MERGEFORMAT</w:instrText>
    </w:r>
    <w:r w:rsidRPr="00AE4C0A">
      <w:rPr>
        <w:sz w:val="22"/>
      </w:rPr>
      <w:fldChar w:fldCharType="separate"/>
    </w:r>
    <w:r w:rsidRPr="00C96AF8">
      <w:rPr>
        <w:noProof/>
        <w:sz w:val="22"/>
        <w:lang w:val="lt-LT"/>
      </w:rPr>
      <w:t>34</w:t>
    </w:r>
    <w:r w:rsidRPr="00AE4C0A">
      <w:rPr>
        <w:sz w:val="22"/>
      </w:rPr>
      <w:fldChar w:fldCharType="end"/>
    </w:r>
  </w:p>
  <w:p w:rsidR="00EA4111" w:rsidRDefault="00C96A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2B" w:rsidRDefault="00C96AF8"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8322B" w:rsidRDefault="00C96AF8" w:rsidP="00AE4202">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2B" w:rsidRDefault="00C96AF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2B" w:rsidRDefault="00C96A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D90" w:rsidRDefault="00B75D90" w:rsidP="00B75D90">
      <w:pPr>
        <w:spacing w:after="0" w:line="240" w:lineRule="auto"/>
      </w:pPr>
      <w:r>
        <w:separator/>
      </w:r>
    </w:p>
  </w:footnote>
  <w:footnote w:type="continuationSeparator" w:id="0">
    <w:p w:rsidR="00B75D90" w:rsidRDefault="00B75D90" w:rsidP="00B75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111" w:rsidRDefault="00C96AF8" w:rsidP="00C05838">
    <w:pPr>
      <w:spacing w:line="20" w:lineRule="exact"/>
    </w:pPr>
  </w:p>
  <w:p w:rsidR="00EA4111" w:rsidRDefault="00C96A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2B" w:rsidRDefault="00C96AF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2B" w:rsidRDefault="00C96AF8" w:rsidP="00C05838">
    <w:pPr>
      <w:spacing w:line="20" w:lineRule="exact"/>
    </w:pPr>
  </w:p>
  <w:p w:rsidR="0018322B" w:rsidRDefault="00C96AF8">
    <w:pPr>
      <w:pStyle w:val="Antrats"/>
    </w:pPr>
    <w:bookmarkStart w:id="53" w:name="TableTag1"/>
    <w:bookmarkEnd w:id="53"/>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22B" w:rsidRDefault="00C96A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9C4C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8E1391"/>
    <w:multiLevelType w:val="hybridMultilevel"/>
    <w:tmpl w:val="BFD4ACC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F1825"/>
    <w:multiLevelType w:val="hybridMultilevel"/>
    <w:tmpl w:val="D58CE8AE"/>
    <w:lvl w:ilvl="0" w:tplc="9FC0074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D754AB"/>
    <w:multiLevelType w:val="hybridMultilevel"/>
    <w:tmpl w:val="E8EA0C8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4D090D"/>
    <w:multiLevelType w:val="hybridMultilevel"/>
    <w:tmpl w:val="1B68D9D2"/>
    <w:lvl w:ilvl="0" w:tplc="CF963492">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875CB3"/>
    <w:multiLevelType w:val="hybridMultilevel"/>
    <w:tmpl w:val="2F9E19C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D2E61"/>
    <w:multiLevelType w:val="hybridMultilevel"/>
    <w:tmpl w:val="DEBC516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A708F"/>
    <w:multiLevelType w:val="hybridMultilevel"/>
    <w:tmpl w:val="DC14790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D631E1"/>
    <w:multiLevelType w:val="hybridMultilevel"/>
    <w:tmpl w:val="696AA4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41347"/>
    <w:multiLevelType w:val="hybridMultilevel"/>
    <w:tmpl w:val="6C8837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432C7"/>
    <w:multiLevelType w:val="hybridMultilevel"/>
    <w:tmpl w:val="6A04A9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51499"/>
    <w:multiLevelType w:val="hybridMultilevel"/>
    <w:tmpl w:val="E1BA58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440DC"/>
    <w:multiLevelType w:val="hybridMultilevel"/>
    <w:tmpl w:val="FA2402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2381E"/>
    <w:multiLevelType w:val="hybridMultilevel"/>
    <w:tmpl w:val="17B6F6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578BC"/>
    <w:multiLevelType w:val="hybridMultilevel"/>
    <w:tmpl w:val="2DD0EF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574A6"/>
    <w:multiLevelType w:val="hybridMultilevel"/>
    <w:tmpl w:val="B78E6F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515E3"/>
    <w:multiLevelType w:val="hybridMultilevel"/>
    <w:tmpl w:val="E5F0BD4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5A74B8"/>
    <w:multiLevelType w:val="hybridMultilevel"/>
    <w:tmpl w:val="2A4891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C2651"/>
    <w:multiLevelType w:val="hybridMultilevel"/>
    <w:tmpl w:val="316443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04962"/>
    <w:multiLevelType w:val="hybridMultilevel"/>
    <w:tmpl w:val="D3505A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A24359"/>
    <w:multiLevelType w:val="hybridMultilevel"/>
    <w:tmpl w:val="E29E4880"/>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A50BB"/>
    <w:multiLevelType w:val="hybridMultilevel"/>
    <w:tmpl w:val="B87875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34AD3"/>
    <w:multiLevelType w:val="hybridMultilevel"/>
    <w:tmpl w:val="972AD588"/>
    <w:lvl w:ilvl="0" w:tplc="2F2033A2">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8D6BD2"/>
    <w:multiLevelType w:val="hybridMultilevel"/>
    <w:tmpl w:val="2766DCC2"/>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6B3131C"/>
    <w:multiLevelType w:val="hybridMultilevel"/>
    <w:tmpl w:val="AAD2B33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0"/>
  </w:num>
  <w:num w:numId="4">
    <w:abstractNumId w:val="22"/>
  </w:num>
  <w:num w:numId="5">
    <w:abstractNumId w:val="24"/>
  </w:num>
  <w:num w:numId="6">
    <w:abstractNumId w:val="15"/>
  </w:num>
  <w:num w:numId="7">
    <w:abstractNumId w:val="10"/>
  </w:num>
  <w:num w:numId="8">
    <w:abstractNumId w:val="5"/>
  </w:num>
  <w:num w:numId="9">
    <w:abstractNumId w:val="8"/>
  </w:num>
  <w:num w:numId="10">
    <w:abstractNumId w:val="9"/>
  </w:num>
  <w:num w:numId="11">
    <w:abstractNumId w:val="1"/>
  </w:num>
  <w:num w:numId="12">
    <w:abstractNumId w:val="19"/>
  </w:num>
  <w:num w:numId="13">
    <w:abstractNumId w:val="11"/>
  </w:num>
  <w:num w:numId="14">
    <w:abstractNumId w:val="14"/>
  </w:num>
  <w:num w:numId="15">
    <w:abstractNumId w:val="18"/>
  </w:num>
  <w:num w:numId="16">
    <w:abstractNumId w:val="21"/>
  </w:num>
  <w:num w:numId="17">
    <w:abstractNumId w:val="17"/>
  </w:num>
  <w:num w:numId="18">
    <w:abstractNumId w:val="3"/>
  </w:num>
  <w:num w:numId="19">
    <w:abstractNumId w:val="23"/>
  </w:num>
  <w:num w:numId="20">
    <w:abstractNumId w:val="13"/>
  </w:num>
  <w:num w:numId="21">
    <w:abstractNumId w:val="12"/>
  </w:num>
  <w:num w:numId="22">
    <w:abstractNumId w:val="6"/>
  </w:num>
  <w:num w:numId="23">
    <w:abstractNumId w:val="2"/>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532"/>
    <w:rsid w:val="003F4532"/>
    <w:rsid w:val="007D2E28"/>
    <w:rsid w:val="00AA1D8D"/>
    <w:rsid w:val="00B75D90"/>
    <w:rsid w:val="00C96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F385F6"/>
  <w15:chartTrackingRefBased/>
  <w15:docId w15:val="{C0D74279-3F2A-40A8-9949-E2C422B3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Title A"/>
    <w:basedOn w:val="prastasis"/>
    <w:next w:val="prastasis"/>
    <w:link w:val="Antrat1Diagrama"/>
    <w:qFormat/>
    <w:rsid w:val="00B75D90"/>
    <w:pPr>
      <w:keepNext/>
      <w:spacing w:after="0" w:line="240" w:lineRule="auto"/>
      <w:jc w:val="center"/>
      <w:outlineLvl w:val="0"/>
    </w:pPr>
    <w:rPr>
      <w:rFonts w:ascii="Times New Roman" w:eastAsia="Times New Roman" w:hAnsi="Times New Roman" w:cs="Times New Roman"/>
      <w:b/>
      <w:bCs/>
      <w:kern w:val="32"/>
      <w:szCs w:val="32"/>
      <w:lang w:val="cs-CZ"/>
    </w:rPr>
  </w:style>
  <w:style w:type="paragraph" w:styleId="Antrat2">
    <w:name w:val="heading 2"/>
    <w:aliases w:val="Title B"/>
    <w:basedOn w:val="prastasis"/>
    <w:next w:val="prastasis"/>
    <w:link w:val="Antrat2Diagrama"/>
    <w:unhideWhenUsed/>
    <w:qFormat/>
    <w:rsid w:val="00B75D90"/>
    <w:pPr>
      <w:keepNext/>
      <w:spacing w:after="0" w:line="240" w:lineRule="auto"/>
      <w:outlineLvl w:val="1"/>
    </w:pPr>
    <w:rPr>
      <w:rFonts w:ascii="Times New Roman" w:eastAsia="Times New Roman" w:hAnsi="Times New Roman" w:cs="Times New Roman"/>
      <w:b/>
      <w:bCs/>
      <w:iCs/>
      <w:szCs w:val="28"/>
      <w:lang w:val="cs-CZ"/>
    </w:rPr>
  </w:style>
  <w:style w:type="paragraph" w:styleId="Antrat3">
    <w:name w:val="heading 3"/>
    <w:basedOn w:val="prastasis"/>
    <w:next w:val="prastasis"/>
    <w:link w:val="Antrat3Diagrama"/>
    <w:qFormat/>
    <w:rsid w:val="00B75D90"/>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B75D90"/>
    <w:pPr>
      <w:keepNext/>
      <w:spacing w:before="240" w:after="60" w:line="240" w:lineRule="auto"/>
      <w:outlineLvl w:val="3"/>
    </w:pPr>
    <w:rPr>
      <w:rFonts w:ascii="Times New Roman" w:eastAsia="Times New Roman" w:hAnsi="Times New Roman" w:cs="Times New Roman"/>
      <w:b/>
      <w:bCs/>
      <w:sz w:val="28"/>
      <w:szCs w:val="28"/>
      <w:lang w:val="cs-CZ"/>
    </w:rPr>
  </w:style>
  <w:style w:type="paragraph" w:styleId="Antrat6">
    <w:name w:val="heading 6"/>
    <w:basedOn w:val="prastasis"/>
    <w:next w:val="prastasis"/>
    <w:link w:val="Antrat6Diagrama"/>
    <w:qFormat/>
    <w:rsid w:val="00B75D90"/>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qFormat/>
    <w:rsid w:val="00B75D90"/>
    <w:pPr>
      <w:keepNext/>
      <w:tabs>
        <w:tab w:val="left" w:pos="-720"/>
        <w:tab w:val="left" w:pos="4536"/>
      </w:tabs>
      <w:suppressAutoHyphens/>
      <w:spacing w:after="0" w:line="240" w:lineRule="auto"/>
      <w:jc w:val="both"/>
      <w:outlineLvl w:val="6"/>
    </w:pPr>
    <w:rPr>
      <w:rFonts w:ascii="Times New Roman" w:eastAsia="Times New Roman" w:hAnsi="Times New Roman" w:cs="Times New Roman"/>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itle A Diagrama"/>
    <w:basedOn w:val="Numatytasispastraiposriftas"/>
    <w:link w:val="Antrat1"/>
    <w:rsid w:val="00B75D90"/>
    <w:rPr>
      <w:rFonts w:ascii="Times New Roman" w:eastAsia="Times New Roman" w:hAnsi="Times New Roman" w:cs="Times New Roman"/>
      <w:b/>
      <w:bCs/>
      <w:kern w:val="32"/>
      <w:szCs w:val="32"/>
      <w:lang w:val="cs-CZ"/>
    </w:rPr>
  </w:style>
  <w:style w:type="character" w:customStyle="1" w:styleId="Antrat2Diagrama">
    <w:name w:val="Antraštė 2 Diagrama"/>
    <w:aliases w:val="Title B Diagrama"/>
    <w:basedOn w:val="Numatytasispastraiposriftas"/>
    <w:link w:val="Antrat2"/>
    <w:rsid w:val="00B75D90"/>
    <w:rPr>
      <w:rFonts w:ascii="Times New Roman" w:eastAsia="Times New Roman" w:hAnsi="Times New Roman" w:cs="Times New Roman"/>
      <w:b/>
      <w:bCs/>
      <w:iCs/>
      <w:szCs w:val="28"/>
      <w:lang w:val="cs-CZ"/>
    </w:rPr>
  </w:style>
  <w:style w:type="character" w:customStyle="1" w:styleId="Antrat3Diagrama">
    <w:name w:val="Antraštė 3 Diagrama"/>
    <w:basedOn w:val="Numatytasispastraiposriftas"/>
    <w:link w:val="Antrat3"/>
    <w:rsid w:val="00B75D90"/>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B75D90"/>
    <w:rPr>
      <w:rFonts w:ascii="Times New Roman" w:eastAsia="Times New Roman" w:hAnsi="Times New Roman" w:cs="Times New Roman"/>
      <w:b/>
      <w:bCs/>
      <w:sz w:val="28"/>
      <w:szCs w:val="28"/>
      <w:lang w:val="cs-CZ"/>
    </w:rPr>
  </w:style>
  <w:style w:type="character" w:customStyle="1" w:styleId="Antrat6Diagrama">
    <w:name w:val="Antraštė 6 Diagrama"/>
    <w:basedOn w:val="Numatytasispastraiposriftas"/>
    <w:link w:val="Antrat6"/>
    <w:rsid w:val="00B75D90"/>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sid w:val="00B75D90"/>
    <w:rPr>
      <w:rFonts w:ascii="Times New Roman" w:eastAsia="Times New Roman" w:hAnsi="Times New Roman" w:cs="Times New Roman"/>
      <w:i/>
      <w:szCs w:val="20"/>
      <w:lang w:val="cs-CZ"/>
    </w:rPr>
  </w:style>
  <w:style w:type="numbering" w:customStyle="1" w:styleId="Sraonra1">
    <w:name w:val="Sąrašo nėra1"/>
    <w:next w:val="Sraonra"/>
    <w:uiPriority w:val="99"/>
    <w:semiHidden/>
    <w:rsid w:val="00B75D90"/>
  </w:style>
  <w:style w:type="paragraph" w:styleId="Antrats">
    <w:name w:val="header"/>
    <w:basedOn w:val="prastasis"/>
    <w:link w:val="AntratsDiagrama"/>
    <w:rsid w:val="00B75D9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B75D90"/>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B75D9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B75D90"/>
    <w:rPr>
      <w:rFonts w:ascii="Times New Roman" w:eastAsia="Times New Roman" w:hAnsi="Times New Roman" w:cs="Times New Roman"/>
      <w:sz w:val="24"/>
      <w:szCs w:val="20"/>
      <w:lang w:val="sl-SI" w:eastAsia="sl-SI"/>
    </w:rPr>
  </w:style>
  <w:style w:type="table" w:styleId="Lentelstinklelis">
    <w:name w:val="Table Grid"/>
    <w:basedOn w:val="prastojilentel"/>
    <w:rsid w:val="00B75D9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B75D90"/>
  </w:style>
  <w:style w:type="character" w:styleId="Hipersaitas">
    <w:name w:val="Hyperlink"/>
    <w:rsid w:val="00B75D90"/>
    <w:rPr>
      <w:rFonts w:ascii="Times New Roman" w:hAnsi="Times New Roman"/>
      <w:color w:val="auto"/>
      <w:sz w:val="24"/>
      <w:szCs w:val="24"/>
      <w:u w:val="single"/>
      <w:lang w:val="en-US"/>
    </w:rPr>
  </w:style>
  <w:style w:type="character" w:styleId="Perirtashipersaitas">
    <w:name w:val="FollowedHyperlink"/>
    <w:rsid w:val="00B75D90"/>
    <w:rPr>
      <w:color w:val="800080"/>
      <w:u w:val="single"/>
    </w:rPr>
  </w:style>
  <w:style w:type="paragraph" w:styleId="Paprastasistekstas">
    <w:name w:val="Plain Text"/>
    <w:basedOn w:val="prastasis"/>
    <w:link w:val="PaprastasistekstasDiagrama"/>
    <w:rsid w:val="00B75D90"/>
    <w:pPr>
      <w:spacing w:after="0" w:line="240" w:lineRule="auto"/>
    </w:pPr>
    <w:rPr>
      <w:rFonts w:ascii="Courier New" w:eastAsia="Times New Roman" w:hAnsi="Courier New" w:cs="Times New Roman"/>
      <w:sz w:val="20"/>
      <w:szCs w:val="20"/>
      <w:lang w:val="en-GB"/>
    </w:rPr>
  </w:style>
  <w:style w:type="character" w:customStyle="1" w:styleId="PaprastasistekstasDiagrama">
    <w:name w:val="Paprastasis tekstas Diagrama"/>
    <w:basedOn w:val="Numatytasispastraiposriftas"/>
    <w:link w:val="Paprastasistekstas"/>
    <w:rsid w:val="00B75D90"/>
    <w:rPr>
      <w:rFonts w:ascii="Courier New" w:eastAsia="Times New Roman" w:hAnsi="Courier New" w:cs="Times New Roman"/>
      <w:sz w:val="20"/>
      <w:szCs w:val="20"/>
      <w:lang w:val="en-GB"/>
    </w:rPr>
  </w:style>
  <w:style w:type="paragraph" w:styleId="Antrat">
    <w:name w:val="caption"/>
    <w:basedOn w:val="prastasis"/>
    <w:next w:val="prastasis"/>
    <w:qFormat/>
    <w:rsid w:val="00B75D90"/>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B75D90"/>
    <w:pPr>
      <w:jc w:val="left"/>
    </w:pPr>
    <w:rPr>
      <w:bCs w:val="0"/>
      <w:kern w:val="0"/>
      <w:szCs w:val="20"/>
      <w:u w:val="single"/>
      <w:lang w:val="sl-SI" w:eastAsia="sl-SI"/>
    </w:rPr>
  </w:style>
  <w:style w:type="paragraph" w:styleId="Turinys1">
    <w:name w:val="toc 1"/>
    <w:basedOn w:val="prastasis"/>
    <w:next w:val="prastasis"/>
    <w:autoRedefine/>
    <w:semiHidden/>
    <w:rsid w:val="00B75D90"/>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B75D90"/>
    <w:pPr>
      <w:numPr>
        <w:ilvl w:val="12"/>
      </w:numPr>
      <w:tabs>
        <w:tab w:val="left" w:pos="8505"/>
      </w:tabs>
      <w:spacing w:after="0" w:line="240" w:lineRule="auto"/>
      <w:ind w:right="-2"/>
    </w:pPr>
    <w:rPr>
      <w:rFonts w:ascii="Times New Roman" w:eastAsia="Times New Roman" w:hAnsi="Times New Roman" w:cs="Times New Roman"/>
      <w:szCs w:val="20"/>
      <w:lang w:val="cs-CZ"/>
    </w:rPr>
  </w:style>
  <w:style w:type="character" w:customStyle="1" w:styleId="PagrindinistekstasDiagrama">
    <w:name w:val="Pagrindinis tekstas Diagrama"/>
    <w:basedOn w:val="Numatytasispastraiposriftas"/>
    <w:link w:val="Pagrindinistekstas"/>
    <w:rsid w:val="00B75D90"/>
    <w:rPr>
      <w:rFonts w:ascii="Times New Roman" w:eastAsia="Times New Roman" w:hAnsi="Times New Roman" w:cs="Times New Roman"/>
      <w:szCs w:val="20"/>
      <w:lang w:val="cs-CZ"/>
    </w:rPr>
  </w:style>
  <w:style w:type="paragraph" w:styleId="Pagrindinistekstas2">
    <w:name w:val="Body Text 2"/>
    <w:basedOn w:val="prastasis"/>
    <w:link w:val="Pagrindinistekstas2Diagrama"/>
    <w:rsid w:val="00B75D90"/>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B75D90"/>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B75D90"/>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B75D90"/>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B75D90"/>
  </w:style>
  <w:style w:type="paragraph" w:styleId="Debesliotekstas">
    <w:name w:val="Balloon Text"/>
    <w:basedOn w:val="prastasis"/>
    <w:link w:val="DebesliotekstasDiagrama"/>
    <w:rsid w:val="00B75D90"/>
    <w:pPr>
      <w:spacing w:after="0" w:line="240" w:lineRule="auto"/>
    </w:pPr>
    <w:rPr>
      <w:rFonts w:ascii="Tahoma" w:eastAsia="SimSun" w:hAnsi="Tahoma" w:cs="Times New Roman"/>
      <w:sz w:val="16"/>
      <w:szCs w:val="16"/>
      <w:lang w:eastAsia="lt-LT"/>
    </w:rPr>
  </w:style>
  <w:style w:type="character" w:customStyle="1" w:styleId="DebesliotekstasDiagrama">
    <w:name w:val="Debesėlio tekstas Diagrama"/>
    <w:basedOn w:val="Numatytasispastraiposriftas"/>
    <w:link w:val="Debesliotekstas"/>
    <w:rsid w:val="00B75D90"/>
    <w:rPr>
      <w:rFonts w:ascii="Tahoma" w:eastAsia="SimSun" w:hAnsi="Tahoma" w:cs="Times New Roman"/>
      <w:sz w:val="16"/>
      <w:szCs w:val="16"/>
      <w:lang w:eastAsia="lt-LT"/>
    </w:rPr>
  </w:style>
  <w:style w:type="paragraph" w:styleId="Puslapioinaostekstas">
    <w:name w:val="footnote text"/>
    <w:basedOn w:val="prastasis"/>
    <w:link w:val="PuslapioinaostekstasDiagrama"/>
    <w:rsid w:val="00B75D90"/>
    <w:pPr>
      <w:spacing w:after="0" w:line="240" w:lineRule="auto"/>
    </w:pPr>
    <w:rPr>
      <w:rFonts w:ascii="Times New Roman" w:eastAsia="SimSu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rsid w:val="00B75D90"/>
    <w:rPr>
      <w:rFonts w:ascii="Times New Roman" w:eastAsia="SimSun" w:hAnsi="Times New Roman" w:cs="Times New Roman"/>
      <w:sz w:val="20"/>
      <w:szCs w:val="20"/>
      <w:lang w:eastAsia="lt-LT"/>
    </w:rPr>
  </w:style>
  <w:style w:type="character" w:styleId="Puslapioinaosnuoroda">
    <w:name w:val="footnote reference"/>
    <w:rsid w:val="00B75D90"/>
    <w:rPr>
      <w:rFonts w:cs="Times New Roman"/>
      <w:vertAlign w:val="superscript"/>
    </w:rPr>
  </w:style>
  <w:style w:type="paragraph" w:styleId="Dokumentoinaostekstas">
    <w:name w:val="endnote text"/>
    <w:basedOn w:val="prastasis"/>
    <w:link w:val="DokumentoinaostekstasDiagrama"/>
    <w:rsid w:val="00B75D90"/>
    <w:pPr>
      <w:spacing w:after="0" w:line="240" w:lineRule="auto"/>
    </w:pPr>
    <w:rPr>
      <w:rFonts w:ascii="Times New Roman" w:eastAsia="SimSun" w:hAnsi="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B75D90"/>
    <w:rPr>
      <w:rFonts w:ascii="Times New Roman" w:eastAsia="SimSun" w:hAnsi="Times New Roman" w:cs="Times New Roman"/>
      <w:sz w:val="20"/>
      <w:szCs w:val="20"/>
      <w:lang w:eastAsia="lt-LT"/>
    </w:rPr>
  </w:style>
  <w:style w:type="character" w:styleId="Dokumentoinaosnumeris">
    <w:name w:val="endnote reference"/>
    <w:rsid w:val="00B75D90"/>
    <w:rPr>
      <w:rFonts w:cs="Times New Roman"/>
      <w:vertAlign w:val="superscript"/>
    </w:rPr>
  </w:style>
  <w:style w:type="table" w:customStyle="1" w:styleId="Tabelamrea1">
    <w:name w:val="Tabela – mreža1"/>
    <w:basedOn w:val="prastojilentel"/>
    <w:next w:val="Lentelstinklelis"/>
    <w:rsid w:val="00B75D90"/>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B75D90"/>
    <w:rPr>
      <w:rFonts w:cs="Times New Roman"/>
      <w:sz w:val="16"/>
    </w:rPr>
  </w:style>
  <w:style w:type="paragraph" w:styleId="Komentarotekstas">
    <w:name w:val="annotation text"/>
    <w:basedOn w:val="prastasis"/>
    <w:link w:val="KomentarotekstasDiagrama"/>
    <w:rsid w:val="00B75D90"/>
    <w:pPr>
      <w:spacing w:after="0" w:line="240" w:lineRule="auto"/>
    </w:pPr>
    <w:rPr>
      <w:rFonts w:ascii="Times New Roman" w:eastAsia="SimSu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B75D90"/>
    <w:rPr>
      <w:rFonts w:ascii="Times New Roman" w:eastAsia="SimSun" w:hAnsi="Times New Roman" w:cs="Times New Roman"/>
      <w:sz w:val="20"/>
      <w:szCs w:val="20"/>
      <w:lang w:eastAsia="lt-LT"/>
    </w:rPr>
  </w:style>
  <w:style w:type="paragraph" w:styleId="Komentarotema">
    <w:name w:val="annotation subject"/>
    <w:basedOn w:val="Komentarotekstas"/>
    <w:next w:val="Komentarotekstas"/>
    <w:link w:val="KomentarotemaDiagrama"/>
    <w:rsid w:val="00B75D90"/>
    <w:rPr>
      <w:b/>
      <w:bCs/>
    </w:rPr>
  </w:style>
  <w:style w:type="character" w:customStyle="1" w:styleId="KomentarotemaDiagrama">
    <w:name w:val="Komentaro tema Diagrama"/>
    <w:basedOn w:val="KomentarotekstasDiagrama"/>
    <w:link w:val="Komentarotema"/>
    <w:rsid w:val="00B75D90"/>
    <w:rPr>
      <w:rFonts w:ascii="Times New Roman" w:eastAsia="SimSun" w:hAnsi="Times New Roman" w:cs="Times New Roman"/>
      <w:b/>
      <w:bCs/>
      <w:sz w:val="20"/>
      <w:szCs w:val="20"/>
      <w:lang w:eastAsia="lt-LT"/>
    </w:rPr>
  </w:style>
  <w:style w:type="paragraph" w:customStyle="1" w:styleId="Pataisymai1">
    <w:name w:val="Pataisymai1"/>
    <w:hidden/>
    <w:semiHidden/>
    <w:rsid w:val="00B75D90"/>
    <w:pPr>
      <w:spacing w:after="0" w:line="240" w:lineRule="auto"/>
    </w:pPr>
    <w:rPr>
      <w:rFonts w:ascii="Times New Roman" w:eastAsia="SimSun" w:hAnsi="Times New Roman" w:cs="Times New Roman"/>
      <w:sz w:val="24"/>
      <w:szCs w:val="24"/>
      <w:lang w:eastAsia="lt-LT"/>
    </w:rPr>
  </w:style>
  <w:style w:type="character" w:customStyle="1" w:styleId="hps">
    <w:name w:val="hps"/>
    <w:rsid w:val="00B75D90"/>
  </w:style>
  <w:style w:type="character" w:customStyle="1" w:styleId="hpsalt-edited">
    <w:name w:val="hps alt-edited"/>
    <w:rsid w:val="00B75D90"/>
  </w:style>
  <w:style w:type="character" w:styleId="Emfaz">
    <w:name w:val="Emphasis"/>
    <w:qFormat/>
    <w:rsid w:val="00B75D90"/>
    <w:rPr>
      <w:rFonts w:cs="Times New Roman"/>
      <w:i/>
    </w:rPr>
  </w:style>
  <w:style w:type="paragraph" w:styleId="prastasiniatinklio">
    <w:name w:val="Normal (Web)"/>
    <w:basedOn w:val="prastasis"/>
    <w:rsid w:val="00B75D90"/>
    <w:pPr>
      <w:spacing w:before="100" w:beforeAutospacing="1" w:after="100" w:afterAutospacing="1" w:line="240" w:lineRule="auto"/>
    </w:pPr>
    <w:rPr>
      <w:rFonts w:ascii="Times New Roman" w:eastAsia="SimSun" w:hAnsi="Times New Roman" w:cs="Times New Roman"/>
      <w:sz w:val="24"/>
      <w:szCs w:val="24"/>
      <w:lang w:val="en-US"/>
    </w:rPr>
  </w:style>
  <w:style w:type="paragraph" w:styleId="Sraopastraipa">
    <w:name w:val="List Paragraph"/>
    <w:basedOn w:val="prastasis"/>
    <w:uiPriority w:val="34"/>
    <w:qFormat/>
    <w:rsid w:val="00B75D90"/>
    <w:pPr>
      <w:spacing w:after="200" w:line="276" w:lineRule="auto"/>
      <w:ind w:left="720"/>
      <w:contextualSpacing/>
    </w:pPr>
    <w:rPr>
      <w:rFonts w:ascii="Calibri" w:eastAsia="SimSun" w:hAnsi="Calibri" w:cs="DokChampa"/>
      <w:lang w:val="en-US" w:eastAsia="zh-CN" w:bidi="lo-LA"/>
    </w:rPr>
  </w:style>
  <w:style w:type="paragraph" w:styleId="Pavadinimas">
    <w:name w:val="Title"/>
    <w:basedOn w:val="prastasis"/>
    <w:link w:val="PavadinimasDiagrama"/>
    <w:qFormat/>
    <w:rsid w:val="00B75D90"/>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B75D90"/>
    <w:rPr>
      <w:rFonts w:ascii="Times New Roman" w:eastAsia="Times New Roma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NepageidaujamaR@vvkt.lt" TargetMode="Externa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vvkt.lt/"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www.ema.europa.eu" TargetMode="External"/><Relationship Id="rId28" Type="http://schemas.openxmlformats.org/officeDocument/2006/relationships/header" Target="header4.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hyperlink" Target="http://www.vvkt.lt"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82117</Words>
  <Characters>46808</Characters>
  <Application>Microsoft Office Word</Application>
  <DocSecurity>0</DocSecurity>
  <Lines>390</Lines>
  <Paragraphs>257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2019-10-07T11:34:00Z</dcterms:created>
  <dcterms:modified xsi:type="dcterms:W3CDTF">2019-10-07T11:34:00Z</dcterms:modified>
</cp:coreProperties>
</file>