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8C011C" w:rsidRDefault="00A028B6" w:rsidP="00A028B6">
      <w:pPr>
        <w:pStyle w:val="Antrat2"/>
        <w:spacing w:before="0" w:after="0" w:line="240" w:lineRule="auto"/>
        <w:jc w:val="center"/>
        <w:rPr>
          <w:rFonts w:ascii="Times New Roman" w:hAnsi="Times New Roman"/>
          <w:i w:val="0"/>
          <w:sz w:val="22"/>
          <w:lang w:val="lt-LT"/>
        </w:rPr>
      </w:pPr>
      <w:r w:rsidRPr="008C011C">
        <w:rPr>
          <w:rFonts w:ascii="Times New Roman" w:hAnsi="Times New Roman"/>
          <w:i w:val="0"/>
          <w:sz w:val="22"/>
          <w:lang w:val="lt-LT"/>
        </w:rPr>
        <w:t>I PRIEDAS</w:t>
      </w:r>
    </w:p>
    <w:p w:rsidR="00A028B6" w:rsidRPr="00E23246" w:rsidRDefault="00A028B6" w:rsidP="00A028B6">
      <w:pPr>
        <w:spacing w:line="240" w:lineRule="auto"/>
        <w:rPr>
          <w:szCs w:val="22"/>
        </w:rPr>
      </w:pPr>
    </w:p>
    <w:p w:rsidR="00A028B6" w:rsidRPr="00E23246" w:rsidRDefault="00A028B6" w:rsidP="00A028B6">
      <w:pPr>
        <w:tabs>
          <w:tab w:val="left" w:pos="-1440"/>
          <w:tab w:val="left" w:pos="-720"/>
        </w:tabs>
        <w:spacing w:line="240" w:lineRule="auto"/>
        <w:jc w:val="center"/>
        <w:rPr>
          <w:b/>
          <w:szCs w:val="22"/>
        </w:rPr>
      </w:pPr>
      <w:r w:rsidRPr="00E23246">
        <w:rPr>
          <w:b/>
          <w:szCs w:val="22"/>
        </w:rPr>
        <w:t>PREPARATO CHARAKTERISTIKŲ SANTRAUKA</w:t>
      </w:r>
    </w:p>
    <w:p w:rsidR="00A028B6" w:rsidRPr="00E23246" w:rsidRDefault="00A028B6" w:rsidP="00A028B6">
      <w:pPr>
        <w:tabs>
          <w:tab w:val="left" w:pos="-1440"/>
          <w:tab w:val="left" w:pos="-720"/>
        </w:tabs>
        <w:spacing w:line="240" w:lineRule="auto"/>
        <w:rPr>
          <w:bCs/>
          <w:szCs w:val="22"/>
        </w:rPr>
      </w:pPr>
      <w:r w:rsidRPr="00E23246">
        <w:rPr>
          <w:szCs w:val="22"/>
          <w:lang w:eastAsia="zh-CN"/>
        </w:rPr>
        <w:br w:type="page"/>
      </w:r>
    </w:p>
    <w:p w:rsidR="00A028B6" w:rsidRPr="008C011C" w:rsidRDefault="00A028B6" w:rsidP="00A028B6">
      <w:pPr>
        <w:pStyle w:val="Antrat3"/>
        <w:spacing w:before="0" w:after="0" w:line="240" w:lineRule="auto"/>
        <w:rPr>
          <w:rFonts w:ascii="Times New Roman" w:hAnsi="Times New Roman"/>
          <w:sz w:val="22"/>
          <w:lang w:val="lt-LT"/>
        </w:rPr>
      </w:pPr>
      <w:r w:rsidRPr="008C011C">
        <w:rPr>
          <w:rFonts w:ascii="Times New Roman" w:hAnsi="Times New Roman"/>
          <w:sz w:val="22"/>
          <w:lang w:val="lt-LT"/>
        </w:rPr>
        <w:lastRenderedPageBreak/>
        <w:t>1.</w:t>
      </w:r>
      <w:r w:rsidRPr="008C011C">
        <w:rPr>
          <w:rFonts w:ascii="Times New Roman" w:hAnsi="Times New Roman"/>
          <w:sz w:val="22"/>
          <w:lang w:val="lt-LT"/>
        </w:rPr>
        <w:tab/>
        <w:t>VAISTINIO PREPARATO PAVADINIMAS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2.</w:t>
      </w:r>
      <w:r w:rsidRPr="00E23246">
        <w:rPr>
          <w:rFonts w:ascii="Times New Roman" w:hAnsi="Times New Roman"/>
          <w:sz w:val="22"/>
          <w:szCs w:val="22"/>
          <w:lang w:val="lt-LT"/>
        </w:rPr>
        <w:tab/>
        <w:t>KOKYBINĖ IR KIEKYBINĖ SUDĖTIS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sudėtyje yra 200 </w:t>
      </w:r>
      <w:proofErr w:type="spellStart"/>
      <w:r w:rsidRPr="00E23246">
        <w:rPr>
          <w:szCs w:val="22"/>
        </w:rPr>
        <w:t>mikrogramų</w:t>
      </w:r>
      <w:proofErr w:type="spellEnd"/>
      <w:r w:rsidRPr="00E23246">
        <w:rPr>
          <w:szCs w:val="22"/>
        </w:rPr>
        <w:t xml:space="preserve"> </w:t>
      </w:r>
      <w:proofErr w:type="spellStart"/>
      <w:r w:rsidRPr="00E23246">
        <w:rPr>
          <w:szCs w:val="22"/>
        </w:rPr>
        <w:t>mizoprostolio</w:t>
      </w:r>
      <w:proofErr w:type="spellEnd"/>
      <w:r w:rsidRPr="00E23246">
        <w:rPr>
          <w:szCs w:val="22"/>
        </w:rPr>
        <w:t>.</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i/>
          <w:szCs w:val="22"/>
        </w:rPr>
        <w:t>In</w:t>
      </w:r>
      <w:proofErr w:type="spellEnd"/>
      <w:r w:rsidRPr="00E23246">
        <w:rPr>
          <w:i/>
          <w:szCs w:val="22"/>
        </w:rPr>
        <w:t xml:space="preserve"> </w:t>
      </w:r>
      <w:proofErr w:type="spellStart"/>
      <w:r w:rsidRPr="00E23246">
        <w:rPr>
          <w:i/>
          <w:szCs w:val="22"/>
        </w:rPr>
        <w:t>vivo</w:t>
      </w:r>
      <w:proofErr w:type="spellEnd"/>
      <w:r w:rsidRPr="00E23246">
        <w:rPr>
          <w:szCs w:val="22"/>
        </w:rPr>
        <w:t xml:space="preserve"> </w:t>
      </w:r>
      <w:proofErr w:type="spellStart"/>
      <w:r w:rsidRPr="00E23246">
        <w:rPr>
          <w:szCs w:val="22"/>
        </w:rPr>
        <w:t>mizoprostolis</w:t>
      </w:r>
      <w:proofErr w:type="spellEnd"/>
      <w:r w:rsidRPr="00E23246">
        <w:rPr>
          <w:szCs w:val="22"/>
        </w:rPr>
        <w:t xml:space="preserve"> atpalaiduojamas 24 val. vidutiniškai maždaug 7 </w:t>
      </w:r>
      <w:proofErr w:type="spellStart"/>
      <w:r w:rsidRPr="00E23246">
        <w:rPr>
          <w:szCs w:val="22"/>
        </w:rPr>
        <w:t>mikrogramų</w:t>
      </w:r>
      <w:proofErr w:type="spellEnd"/>
      <w:r w:rsidRPr="00E23246">
        <w:rPr>
          <w:szCs w:val="22"/>
        </w:rPr>
        <w:t xml:space="preserve">/val. greičiu. Veikliosios medžiagos atlaidavimas tęsiasi tol, kol </w:t>
      </w:r>
      <w:proofErr w:type="spellStart"/>
      <w:r w:rsidRPr="00E23246">
        <w:rPr>
          <w:szCs w:val="22"/>
        </w:rPr>
        <w:t>Misodel</w:t>
      </w:r>
      <w:proofErr w:type="spellEnd"/>
      <w:r w:rsidRPr="00E23246">
        <w:rPr>
          <w:szCs w:val="22"/>
        </w:rPr>
        <w:t xml:space="preserve"> yra makštyje.</w:t>
      </w:r>
    </w:p>
    <w:p w:rsidR="00A028B6" w:rsidRPr="00E23246" w:rsidRDefault="00A028B6" w:rsidP="00A028B6">
      <w:pPr>
        <w:spacing w:line="240" w:lineRule="auto"/>
        <w:rPr>
          <w:szCs w:val="22"/>
        </w:rPr>
      </w:pPr>
    </w:p>
    <w:p w:rsidR="00A028B6" w:rsidRPr="00E23246" w:rsidRDefault="00A028B6" w:rsidP="00A028B6">
      <w:pPr>
        <w:spacing w:line="240" w:lineRule="auto"/>
        <w:rPr>
          <w:szCs w:val="22"/>
          <w:u w:val="single"/>
        </w:rPr>
      </w:pPr>
      <w:r w:rsidRPr="00E23246">
        <w:rPr>
          <w:szCs w:val="22"/>
          <w:u w:val="single"/>
        </w:rPr>
        <w:t>Pagalbinė medžiaga, kurios poveikis žinomas:</w:t>
      </w:r>
      <w:r w:rsidRPr="00E23246">
        <w:rPr>
          <w:szCs w:val="22"/>
        </w:rPr>
        <w:t xml:space="preserve"> vienoje dozėje yra 0,13 mg </w:t>
      </w:r>
      <w:proofErr w:type="spellStart"/>
      <w:r w:rsidRPr="00E23246">
        <w:rPr>
          <w:szCs w:val="22"/>
        </w:rPr>
        <w:t>butilhidroksianizolo</w:t>
      </w:r>
      <w:proofErr w:type="spellEnd"/>
      <w:r w:rsidRPr="00E23246">
        <w:rPr>
          <w:szCs w:val="22"/>
        </w:rPr>
        <w:t xml:space="preserve"> (žr. 4.4 skyrių).</w:t>
      </w:r>
    </w:p>
    <w:p w:rsidR="00A028B6" w:rsidRPr="00E23246" w:rsidRDefault="00A028B6" w:rsidP="00A028B6">
      <w:pPr>
        <w:spacing w:line="240" w:lineRule="auto"/>
        <w:rPr>
          <w:szCs w:val="22"/>
          <w:u w:val="single"/>
        </w:rPr>
      </w:pPr>
    </w:p>
    <w:p w:rsidR="00A028B6" w:rsidRPr="00E23246" w:rsidRDefault="00A028B6" w:rsidP="00A028B6">
      <w:pPr>
        <w:spacing w:line="240" w:lineRule="auto"/>
        <w:rPr>
          <w:szCs w:val="22"/>
        </w:rPr>
      </w:pPr>
      <w:r w:rsidRPr="00E23246">
        <w:rPr>
          <w:szCs w:val="22"/>
        </w:rPr>
        <w:t>Visos pagalbinės medžiagos išvardytos 6.1 skyriuje.</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3.</w:t>
      </w:r>
      <w:r w:rsidRPr="00E23246">
        <w:rPr>
          <w:rFonts w:ascii="Times New Roman" w:hAnsi="Times New Roman"/>
          <w:sz w:val="22"/>
          <w:szCs w:val="22"/>
          <w:lang w:val="lt-LT"/>
        </w:rPr>
        <w:tab/>
        <w:t>FARMACINĖ FORMA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Vartojimo į makštį sistema.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Polimerinis įdėklas yra ištraukimo sistemoje, kurią sudaro inertiškas austinio poliesterio maišelis ir siūlas. Polimerinis įdėklas yra stačiakampio formos, užapvalintais kampais, tamsiai geltonos spalvos, pusiau permatomas, biologinėje aplinkoje nesuyra. Jo ilgis yra maždaug 30 mm, plotis – 10 mm ir storis – 0,8 mm. Drėgnoje aplinkoje </w:t>
      </w:r>
      <w:proofErr w:type="spellStart"/>
      <w:r w:rsidRPr="00E23246">
        <w:rPr>
          <w:szCs w:val="22"/>
        </w:rPr>
        <w:t>Misodel</w:t>
      </w:r>
      <w:proofErr w:type="spellEnd"/>
      <w:r w:rsidRPr="00E23246">
        <w:rPr>
          <w:szCs w:val="22"/>
        </w:rPr>
        <w:t xml:space="preserve"> išbrinksta.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4.</w:t>
      </w:r>
      <w:r w:rsidRPr="00E23246">
        <w:rPr>
          <w:rFonts w:ascii="Times New Roman" w:hAnsi="Times New Roman"/>
          <w:sz w:val="22"/>
          <w:szCs w:val="22"/>
          <w:lang w:val="lt-LT"/>
        </w:rPr>
        <w:tab/>
        <w:t>KLINIKINĖ INFORMACIJA</w:t>
      </w:r>
    </w:p>
    <w:p w:rsidR="00A028B6" w:rsidRPr="00E23246" w:rsidRDefault="00A028B6" w:rsidP="00A028B6">
      <w:pPr>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4.1</w:t>
      </w:r>
      <w:r w:rsidRPr="00E23246">
        <w:rPr>
          <w:rFonts w:ascii="Times New Roman" w:hAnsi="Times New Roman"/>
          <w:sz w:val="22"/>
          <w:szCs w:val="22"/>
          <w:lang w:val="lt-LT"/>
        </w:rPr>
        <w:tab/>
        <w:t>Terapinės indikacijos</w:t>
      </w:r>
    </w:p>
    <w:p w:rsidR="00A028B6" w:rsidRPr="00E23246" w:rsidRDefault="00A028B6" w:rsidP="00A028B6">
      <w:pPr>
        <w:spacing w:line="240" w:lineRule="auto"/>
        <w:rPr>
          <w:szCs w:val="22"/>
        </w:rPr>
      </w:pPr>
    </w:p>
    <w:p w:rsidR="00A028B6" w:rsidRPr="00E23246" w:rsidRDefault="00A028B6" w:rsidP="00A028B6">
      <w:pPr>
        <w:tabs>
          <w:tab w:val="clear" w:pos="567"/>
          <w:tab w:val="left" w:pos="0"/>
        </w:tabs>
        <w:spacing w:line="240" w:lineRule="auto"/>
        <w:rPr>
          <w:iCs/>
          <w:color w:val="000000"/>
          <w:szCs w:val="22"/>
        </w:rPr>
      </w:pPr>
      <w:proofErr w:type="spellStart"/>
      <w:r w:rsidRPr="00E23246">
        <w:rPr>
          <w:szCs w:val="22"/>
        </w:rPr>
        <w:t>Misodel</w:t>
      </w:r>
      <w:proofErr w:type="spellEnd"/>
      <w:r w:rsidRPr="00E23246">
        <w:rPr>
          <w:szCs w:val="22"/>
        </w:rPr>
        <w:t xml:space="preserve"> vartojamas norint paskatinti prasidėti gimdymą praėjus ne mažiau kaip 36 nėštumo savaitėms, jei gimdos kaklelis nėra subrendęs ir yra klinikinė indikacija skatinti prasidėti gimdymą.</w:t>
      </w:r>
    </w:p>
    <w:p w:rsidR="00A028B6" w:rsidRPr="00E23246" w:rsidRDefault="00A028B6" w:rsidP="00A028B6">
      <w:pPr>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4.2</w:t>
      </w:r>
      <w:r w:rsidRPr="00E23246">
        <w:rPr>
          <w:rFonts w:ascii="Times New Roman" w:hAnsi="Times New Roman"/>
          <w:sz w:val="22"/>
          <w:szCs w:val="22"/>
          <w:lang w:val="lt-LT"/>
        </w:rPr>
        <w:tab/>
        <w:t>Dozavimas ir vartojimo metodas</w:t>
      </w:r>
    </w:p>
    <w:p w:rsidR="00A028B6" w:rsidRPr="00E23246" w:rsidRDefault="00A028B6" w:rsidP="00A028B6">
      <w:pPr>
        <w:spacing w:line="240" w:lineRule="auto"/>
        <w:rPr>
          <w:szCs w:val="22"/>
        </w:rPr>
      </w:pPr>
    </w:p>
    <w:p w:rsidR="00A028B6" w:rsidRPr="00E23246" w:rsidRDefault="00A028B6" w:rsidP="00A028B6">
      <w:pPr>
        <w:spacing w:line="240" w:lineRule="auto"/>
        <w:rPr>
          <w:szCs w:val="22"/>
          <w:u w:val="single"/>
        </w:rPr>
      </w:pPr>
      <w:r w:rsidRPr="00E23246">
        <w:rPr>
          <w:szCs w:val="22"/>
          <w:u w:val="single"/>
        </w:rPr>
        <w:t>Dozavimas</w:t>
      </w:r>
    </w:p>
    <w:p w:rsidR="00A028B6" w:rsidRPr="00E23246" w:rsidRDefault="00A028B6" w:rsidP="00A028B6">
      <w:pPr>
        <w:tabs>
          <w:tab w:val="clear" w:pos="567"/>
        </w:tabs>
        <w:spacing w:line="240" w:lineRule="auto"/>
        <w:rPr>
          <w:szCs w:val="22"/>
        </w:rPr>
      </w:pPr>
      <w:proofErr w:type="spellStart"/>
      <w:r w:rsidRPr="00E23246">
        <w:rPr>
          <w:szCs w:val="22"/>
        </w:rPr>
        <w:t>Misodel</w:t>
      </w:r>
      <w:proofErr w:type="spellEnd"/>
      <w:r w:rsidRPr="00E23246">
        <w:rPr>
          <w:szCs w:val="22"/>
        </w:rPr>
        <w:t xml:space="preserve"> 200 </w:t>
      </w:r>
      <w:proofErr w:type="spellStart"/>
      <w:r w:rsidRPr="00E23246">
        <w:rPr>
          <w:szCs w:val="22"/>
        </w:rPr>
        <w:t>mikrogramų</w:t>
      </w:r>
      <w:proofErr w:type="spellEnd"/>
      <w:r w:rsidRPr="00E23246">
        <w:rPr>
          <w:szCs w:val="22"/>
        </w:rPr>
        <w:t xml:space="preserve"> – tai kontroliuojamo atpalaidavimo farmacinė forma, iš kurios </w:t>
      </w:r>
      <w:proofErr w:type="spellStart"/>
      <w:r w:rsidRPr="00E23246">
        <w:rPr>
          <w:szCs w:val="22"/>
        </w:rPr>
        <w:t>mizoprostolis</w:t>
      </w:r>
      <w:proofErr w:type="spellEnd"/>
      <w:r w:rsidRPr="00E23246">
        <w:rPr>
          <w:szCs w:val="22"/>
        </w:rPr>
        <w:t xml:space="preserve"> atpalaiduojamas 24 val. maždaug 7 </w:t>
      </w:r>
      <w:proofErr w:type="spellStart"/>
      <w:r w:rsidRPr="00E23246">
        <w:rPr>
          <w:szCs w:val="22"/>
        </w:rPr>
        <w:t>mikrogramų</w:t>
      </w:r>
      <w:proofErr w:type="spellEnd"/>
      <w:r w:rsidRPr="00E23246">
        <w:rPr>
          <w:szCs w:val="22"/>
        </w:rPr>
        <w:t xml:space="preserve"> per valandą greičiu.</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 xml:space="preserve">Didžiausia rekomenduojama dozė yra viena </w:t>
      </w:r>
      <w:proofErr w:type="spellStart"/>
      <w:r w:rsidRPr="00E23246">
        <w:rPr>
          <w:szCs w:val="22"/>
        </w:rPr>
        <w:t>Misodel</w:t>
      </w:r>
      <w:proofErr w:type="spellEnd"/>
      <w:r w:rsidRPr="00E23246">
        <w:rPr>
          <w:szCs w:val="22"/>
        </w:rPr>
        <w:t xml:space="preserve"> vartojimo į makštį sistema (200 </w:t>
      </w:r>
      <w:proofErr w:type="spellStart"/>
      <w:r w:rsidRPr="00E23246">
        <w:rPr>
          <w:szCs w:val="22"/>
        </w:rPr>
        <w:t>mikrogramų</w:t>
      </w:r>
      <w:proofErr w:type="spellEnd"/>
      <w:r w:rsidRPr="00E23246">
        <w:rPr>
          <w:szCs w:val="22"/>
        </w:rPr>
        <w:t>).</w:t>
      </w:r>
    </w:p>
    <w:p w:rsidR="00A028B6" w:rsidRPr="00E23246" w:rsidRDefault="00A028B6" w:rsidP="00A028B6">
      <w:pPr>
        <w:tabs>
          <w:tab w:val="clear" w:pos="567"/>
        </w:tabs>
        <w:spacing w:line="240" w:lineRule="auto"/>
        <w:rPr>
          <w:szCs w:val="22"/>
        </w:rPr>
      </w:pPr>
      <w:proofErr w:type="spellStart"/>
      <w:r w:rsidRPr="00E23246">
        <w:rPr>
          <w:szCs w:val="22"/>
        </w:rPr>
        <w:t>Misodel</w:t>
      </w:r>
      <w:proofErr w:type="spellEnd"/>
      <w:r w:rsidRPr="00E23246">
        <w:rPr>
          <w:szCs w:val="22"/>
        </w:rPr>
        <w:t xml:space="preserve"> reikia ištraukti:</w:t>
      </w:r>
    </w:p>
    <w:p w:rsidR="00A028B6" w:rsidRDefault="00A028B6" w:rsidP="00A028B6">
      <w:pPr>
        <w:numPr>
          <w:ilvl w:val="0"/>
          <w:numId w:val="3"/>
        </w:numPr>
        <w:tabs>
          <w:tab w:val="clear" w:pos="567"/>
        </w:tabs>
        <w:spacing w:line="240" w:lineRule="auto"/>
        <w:rPr>
          <w:szCs w:val="22"/>
        </w:rPr>
      </w:pPr>
      <w:r w:rsidRPr="00E23246">
        <w:rPr>
          <w:szCs w:val="22"/>
        </w:rPr>
        <w:t>prasidėjus gimdymo veiklai</w:t>
      </w:r>
      <w:r>
        <w:rPr>
          <w:szCs w:val="22"/>
        </w:rPr>
        <w:t>:</w:t>
      </w:r>
    </w:p>
    <w:p w:rsidR="00A028B6" w:rsidRPr="00E23246" w:rsidRDefault="00A028B6" w:rsidP="00A028B6">
      <w:pPr>
        <w:numPr>
          <w:ilvl w:val="1"/>
          <w:numId w:val="3"/>
        </w:numPr>
        <w:tabs>
          <w:tab w:val="clear" w:pos="567"/>
        </w:tabs>
        <w:spacing w:line="240" w:lineRule="auto"/>
        <w:rPr>
          <w:szCs w:val="22"/>
        </w:rPr>
      </w:pPr>
      <w:r w:rsidRPr="00E23246">
        <w:rPr>
          <w:szCs w:val="22"/>
        </w:rPr>
        <w:t xml:space="preserve">kai gimdos susitraukimai kartojasi </w:t>
      </w:r>
      <w:r>
        <w:rPr>
          <w:szCs w:val="22"/>
        </w:rPr>
        <w:t>(</w:t>
      </w:r>
      <w:r w:rsidRPr="00E23246">
        <w:rPr>
          <w:szCs w:val="22"/>
        </w:rPr>
        <w:t>3</w:t>
      </w:r>
      <w:r>
        <w:rPr>
          <w:szCs w:val="22"/>
        </w:rPr>
        <w:t xml:space="preserve"> ar daugiau</w:t>
      </w:r>
      <w:r w:rsidRPr="00E23246">
        <w:rPr>
          <w:szCs w:val="22"/>
        </w:rPr>
        <w:t xml:space="preserve"> kart</w:t>
      </w:r>
      <w:r>
        <w:rPr>
          <w:szCs w:val="22"/>
        </w:rPr>
        <w:t>ų</w:t>
      </w:r>
      <w:r w:rsidRPr="00E23246">
        <w:rPr>
          <w:szCs w:val="22"/>
        </w:rPr>
        <w:t xml:space="preserve"> per 10 min.</w:t>
      </w:r>
      <w:r>
        <w:rPr>
          <w:szCs w:val="22"/>
        </w:rPr>
        <w:t>)</w:t>
      </w:r>
      <w:r w:rsidRPr="00E23246">
        <w:rPr>
          <w:szCs w:val="22"/>
        </w:rPr>
        <w:t xml:space="preserve">, </w:t>
      </w:r>
      <w:r>
        <w:rPr>
          <w:szCs w:val="22"/>
        </w:rPr>
        <w:t xml:space="preserve">yra </w:t>
      </w:r>
      <w:r w:rsidRPr="00E23246">
        <w:rPr>
          <w:szCs w:val="22"/>
        </w:rPr>
        <w:t>stiprūs, reikiamos kokybės</w:t>
      </w:r>
      <w:r w:rsidRPr="00E23246" w:rsidDel="004812CF">
        <w:rPr>
          <w:szCs w:val="22"/>
        </w:rPr>
        <w:t xml:space="preserve"> </w:t>
      </w:r>
      <w:r>
        <w:rPr>
          <w:szCs w:val="22"/>
        </w:rPr>
        <w:t xml:space="preserve">ir </w:t>
      </w:r>
      <w:r w:rsidRPr="00E23246">
        <w:rPr>
          <w:szCs w:val="22"/>
        </w:rPr>
        <w:t xml:space="preserve">keičia gimdos kaklelį </w:t>
      </w:r>
      <w:r>
        <w:rPr>
          <w:szCs w:val="22"/>
        </w:rPr>
        <w:t xml:space="preserve">ir / arba vėliausiai, kai </w:t>
      </w:r>
      <w:r w:rsidRPr="00E23246">
        <w:rPr>
          <w:szCs w:val="22"/>
        </w:rPr>
        <w:t>gimdos kaklelis pasiekia 4</w:t>
      </w:r>
      <w:r>
        <w:rPr>
          <w:szCs w:val="22"/>
        </w:rPr>
        <w:t> </w:t>
      </w:r>
      <w:r w:rsidRPr="00E23246">
        <w:rPr>
          <w:szCs w:val="22"/>
        </w:rPr>
        <w:t>cm</w:t>
      </w:r>
      <w:r>
        <w:rPr>
          <w:szCs w:val="22"/>
        </w:rPr>
        <w:t>;</w:t>
      </w:r>
    </w:p>
    <w:p w:rsidR="00A028B6" w:rsidRDefault="00A028B6" w:rsidP="00A028B6">
      <w:pPr>
        <w:numPr>
          <w:ilvl w:val="0"/>
          <w:numId w:val="3"/>
        </w:numPr>
        <w:tabs>
          <w:tab w:val="clear" w:pos="567"/>
        </w:tabs>
        <w:spacing w:line="240" w:lineRule="auto"/>
        <w:rPr>
          <w:szCs w:val="22"/>
        </w:rPr>
      </w:pPr>
      <w:r w:rsidRPr="00E23246">
        <w:rPr>
          <w:szCs w:val="22"/>
        </w:rPr>
        <w:t>jeigu gimdos susitraukimai pasidaro per stiprūs</w:t>
      </w:r>
      <w:r>
        <w:rPr>
          <w:szCs w:val="22"/>
        </w:rPr>
        <w:t>:</w:t>
      </w:r>
    </w:p>
    <w:p w:rsidR="00A028B6" w:rsidRDefault="00A028B6" w:rsidP="00A028B6">
      <w:pPr>
        <w:numPr>
          <w:ilvl w:val="1"/>
          <w:numId w:val="3"/>
        </w:numPr>
        <w:tabs>
          <w:tab w:val="clear" w:pos="567"/>
        </w:tabs>
        <w:spacing w:line="240" w:lineRule="auto"/>
        <w:rPr>
          <w:szCs w:val="22"/>
        </w:rPr>
      </w:pPr>
      <w:proofErr w:type="spellStart"/>
      <w:r>
        <w:rPr>
          <w:szCs w:val="22"/>
        </w:rPr>
        <w:lastRenderedPageBreak/>
        <w:t>tachisitolija</w:t>
      </w:r>
      <w:proofErr w:type="spellEnd"/>
      <w:r>
        <w:rPr>
          <w:szCs w:val="22"/>
        </w:rPr>
        <w:t xml:space="preserve">: daugiau kaip </w:t>
      </w:r>
      <w:r>
        <w:rPr>
          <w:szCs w:val="22"/>
          <w:lang w:val="en-US"/>
        </w:rPr>
        <w:t>5</w:t>
      </w:r>
      <w:r>
        <w:rPr>
          <w:szCs w:val="22"/>
        </w:rPr>
        <w:t xml:space="preserve"> gimdos susitraukimai per </w:t>
      </w:r>
      <w:r>
        <w:rPr>
          <w:szCs w:val="22"/>
          <w:lang w:val="en-US"/>
        </w:rPr>
        <w:t xml:space="preserve">10 </w:t>
      </w:r>
      <w:r>
        <w:rPr>
          <w:szCs w:val="22"/>
        </w:rPr>
        <w:t xml:space="preserve">minučių, vidutiniškai per </w:t>
      </w:r>
      <w:r>
        <w:rPr>
          <w:szCs w:val="22"/>
          <w:lang w:val="en-US"/>
        </w:rPr>
        <w:t xml:space="preserve">30 </w:t>
      </w:r>
      <w:r>
        <w:rPr>
          <w:szCs w:val="22"/>
        </w:rPr>
        <w:t>minučių laikotarpį;</w:t>
      </w:r>
    </w:p>
    <w:p w:rsidR="00A028B6" w:rsidRDefault="00A028B6" w:rsidP="00A028B6">
      <w:pPr>
        <w:numPr>
          <w:ilvl w:val="1"/>
          <w:numId w:val="3"/>
        </w:numPr>
        <w:tabs>
          <w:tab w:val="clear" w:pos="567"/>
        </w:tabs>
        <w:spacing w:line="240" w:lineRule="auto"/>
        <w:rPr>
          <w:szCs w:val="22"/>
        </w:rPr>
      </w:pPr>
      <w:r>
        <w:rPr>
          <w:szCs w:val="22"/>
        </w:rPr>
        <w:t xml:space="preserve">pailgėję gimdos susitraukimai: atskiri gimdos susitraukimai, trunkantys </w:t>
      </w:r>
      <w:r>
        <w:rPr>
          <w:szCs w:val="22"/>
          <w:lang w:val="en-US"/>
        </w:rPr>
        <w:t xml:space="preserve">2 </w:t>
      </w:r>
      <w:r>
        <w:rPr>
          <w:szCs w:val="22"/>
        </w:rPr>
        <w:t>minutes ir ilgiau;</w:t>
      </w:r>
    </w:p>
    <w:p w:rsidR="00A028B6" w:rsidRPr="00E23246" w:rsidRDefault="00A028B6" w:rsidP="00A028B6">
      <w:pPr>
        <w:numPr>
          <w:ilvl w:val="1"/>
          <w:numId w:val="3"/>
        </w:numPr>
        <w:tabs>
          <w:tab w:val="clear" w:pos="567"/>
        </w:tabs>
        <w:spacing w:line="240" w:lineRule="auto"/>
        <w:rPr>
          <w:szCs w:val="22"/>
        </w:rPr>
      </w:pPr>
      <w:proofErr w:type="spellStart"/>
      <w:r>
        <w:rPr>
          <w:szCs w:val="22"/>
        </w:rPr>
        <w:t>hipertoniniai</w:t>
      </w:r>
      <w:proofErr w:type="spellEnd"/>
      <w:r>
        <w:rPr>
          <w:szCs w:val="22"/>
        </w:rPr>
        <w:t xml:space="preserve"> gimdos susitraukimai: gimdos susitraukimai yra per dažni ir aukštas gimdos tonusas poilsio metu;</w:t>
      </w:r>
    </w:p>
    <w:p w:rsidR="00A028B6" w:rsidRPr="00E23246" w:rsidRDefault="00A028B6" w:rsidP="00A028B6">
      <w:pPr>
        <w:numPr>
          <w:ilvl w:val="0"/>
          <w:numId w:val="3"/>
        </w:numPr>
        <w:tabs>
          <w:tab w:val="clear" w:pos="567"/>
        </w:tabs>
        <w:spacing w:line="240" w:lineRule="auto"/>
        <w:rPr>
          <w:szCs w:val="22"/>
        </w:rPr>
      </w:pPr>
      <w:r>
        <w:rPr>
          <w:szCs w:val="22"/>
        </w:rPr>
        <w:t>kliniškai įtariamas pavojus nėščiajai ir (arba) vaisiui</w:t>
      </w:r>
      <w:r w:rsidRPr="00E23246">
        <w:rPr>
          <w:szCs w:val="22"/>
        </w:rPr>
        <w:t>;</w:t>
      </w:r>
    </w:p>
    <w:p w:rsidR="00A028B6" w:rsidRPr="00E23246" w:rsidRDefault="00A028B6" w:rsidP="00A028B6">
      <w:pPr>
        <w:numPr>
          <w:ilvl w:val="0"/>
          <w:numId w:val="3"/>
        </w:numPr>
        <w:tabs>
          <w:tab w:val="clear" w:pos="567"/>
        </w:tabs>
        <w:spacing w:line="240" w:lineRule="auto"/>
        <w:rPr>
          <w:szCs w:val="22"/>
        </w:rPr>
      </w:pPr>
      <w:r w:rsidRPr="00E23246">
        <w:rPr>
          <w:szCs w:val="22"/>
        </w:rPr>
        <w:t>po įkišimo praėjus 24 val.</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proofErr w:type="spellStart"/>
      <w:r w:rsidRPr="00E23246">
        <w:rPr>
          <w:szCs w:val="22"/>
        </w:rPr>
        <w:t>Misodel</w:t>
      </w:r>
      <w:proofErr w:type="spellEnd"/>
      <w:r w:rsidRPr="00E23246">
        <w:rPr>
          <w:szCs w:val="22"/>
        </w:rPr>
        <w:t xml:space="preserve"> iškritus, vėl jo įkišti negalima.</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 xml:space="preserve">Jeigu vėliau vartojama </w:t>
      </w:r>
      <w:proofErr w:type="spellStart"/>
      <w:r w:rsidRPr="00E23246">
        <w:rPr>
          <w:szCs w:val="22"/>
        </w:rPr>
        <w:t>oksitocino</w:t>
      </w:r>
      <w:proofErr w:type="spellEnd"/>
      <w:r w:rsidRPr="00E23246">
        <w:rPr>
          <w:szCs w:val="22"/>
        </w:rPr>
        <w:t>, tai ištraukus šią vartojimo į makštį sistemą rekomenduojama palaukti bent 30 min. (žr. 4.5 skyrių).</w:t>
      </w:r>
    </w:p>
    <w:p w:rsidR="00A028B6" w:rsidRDefault="00A028B6" w:rsidP="00A028B6">
      <w:pPr>
        <w:spacing w:line="240" w:lineRule="auto"/>
        <w:rPr>
          <w:szCs w:val="22"/>
        </w:rPr>
      </w:pPr>
    </w:p>
    <w:p w:rsidR="00A028B6" w:rsidRDefault="00A028B6" w:rsidP="00A028B6">
      <w:pPr>
        <w:spacing w:line="240" w:lineRule="auto"/>
        <w:rPr>
          <w:szCs w:val="22"/>
        </w:rPr>
      </w:pPr>
      <w:r>
        <w:rPr>
          <w:szCs w:val="22"/>
        </w:rPr>
        <w:t>N</w:t>
      </w:r>
      <w:r w:rsidRPr="00804E3F">
        <w:rPr>
          <w:szCs w:val="22"/>
        </w:rPr>
        <w:t xml:space="preserve">esubrendęs gimdos kaklelis (modifikuotas </w:t>
      </w:r>
      <w:proofErr w:type="spellStart"/>
      <w:r w:rsidRPr="00804E3F">
        <w:rPr>
          <w:szCs w:val="22"/>
        </w:rPr>
        <w:t>Bishop</w:t>
      </w:r>
      <w:proofErr w:type="spellEnd"/>
      <w:r w:rsidRPr="00804E3F">
        <w:rPr>
          <w:szCs w:val="22"/>
        </w:rPr>
        <w:t xml:space="preserve"> rodiklis ≤ 4)</w:t>
      </w:r>
      <w:r>
        <w:rPr>
          <w:szCs w:val="22"/>
        </w:rPr>
        <w:t xml:space="preserve"> buvo įtraukimo kriterijus atliekant pagrindinį III fazės klinikinį tyrimą.</w:t>
      </w:r>
    </w:p>
    <w:p w:rsidR="00A028B6" w:rsidRPr="00E23246" w:rsidRDefault="00A028B6" w:rsidP="00A028B6">
      <w:pPr>
        <w:spacing w:line="240" w:lineRule="auto"/>
        <w:rPr>
          <w:szCs w:val="22"/>
        </w:rPr>
      </w:pPr>
    </w:p>
    <w:p w:rsidR="00A028B6" w:rsidRPr="00E23246" w:rsidRDefault="00A028B6" w:rsidP="00A028B6">
      <w:pPr>
        <w:spacing w:line="240" w:lineRule="auto"/>
        <w:rPr>
          <w:i/>
          <w:szCs w:val="22"/>
        </w:rPr>
      </w:pPr>
      <w:r w:rsidRPr="00E23246">
        <w:rPr>
          <w:i/>
          <w:szCs w:val="22"/>
        </w:rPr>
        <w:t>Vaikų populiacija</w:t>
      </w:r>
    </w:p>
    <w:p w:rsidR="00A028B6" w:rsidRPr="00E23246" w:rsidRDefault="00A028B6" w:rsidP="00A028B6">
      <w:pPr>
        <w:spacing w:line="240" w:lineRule="auto"/>
        <w:rPr>
          <w:szCs w:val="22"/>
        </w:rPr>
      </w:pPr>
      <w:proofErr w:type="spellStart"/>
      <w:r w:rsidRPr="00E23246">
        <w:rPr>
          <w:bCs/>
          <w:iCs/>
          <w:szCs w:val="22"/>
        </w:rPr>
        <w:t>Misodel</w:t>
      </w:r>
      <w:proofErr w:type="spellEnd"/>
      <w:r w:rsidRPr="00E23246">
        <w:rPr>
          <w:bCs/>
          <w:iCs/>
          <w:szCs w:val="22"/>
        </w:rPr>
        <w:t xml:space="preserve"> </w:t>
      </w:r>
      <w:r w:rsidRPr="00E23246">
        <w:rPr>
          <w:szCs w:val="22"/>
        </w:rPr>
        <w:t>saugumas ir veiksmingumas nėščioms moterims iki 18 metų dar neištirti. Duomenų nėra.</w:t>
      </w:r>
    </w:p>
    <w:p w:rsidR="00A028B6" w:rsidRPr="00E23246" w:rsidRDefault="00A028B6" w:rsidP="00A028B6">
      <w:pPr>
        <w:spacing w:line="240" w:lineRule="auto"/>
        <w:rPr>
          <w:szCs w:val="22"/>
        </w:rPr>
      </w:pPr>
    </w:p>
    <w:p w:rsidR="00A028B6" w:rsidRPr="00E23246" w:rsidRDefault="00A028B6" w:rsidP="00A028B6">
      <w:pPr>
        <w:spacing w:line="240" w:lineRule="auto"/>
        <w:rPr>
          <w:szCs w:val="22"/>
          <w:u w:val="single"/>
        </w:rPr>
      </w:pPr>
      <w:r w:rsidRPr="00E23246">
        <w:rPr>
          <w:szCs w:val="22"/>
          <w:u w:val="single"/>
        </w:rPr>
        <w:t xml:space="preserve">Vartojimo metodas </w:t>
      </w:r>
    </w:p>
    <w:p w:rsidR="00A028B6" w:rsidRPr="00E23246" w:rsidRDefault="00A028B6" w:rsidP="00A028B6">
      <w:pPr>
        <w:tabs>
          <w:tab w:val="clear" w:pos="567"/>
          <w:tab w:val="left" w:pos="0"/>
        </w:tabs>
        <w:spacing w:line="240" w:lineRule="auto"/>
        <w:rPr>
          <w:szCs w:val="22"/>
        </w:rPr>
      </w:pPr>
      <w:proofErr w:type="spellStart"/>
      <w:r w:rsidRPr="00E23246">
        <w:rPr>
          <w:szCs w:val="22"/>
        </w:rPr>
        <w:t>Misodel</w:t>
      </w:r>
      <w:proofErr w:type="spellEnd"/>
      <w:r w:rsidRPr="00E23246">
        <w:rPr>
          <w:szCs w:val="22"/>
        </w:rPr>
        <w:t xml:space="preserve"> turi įkišti įgudęs akušerijos specialistas stacionare, kuriame yra priemonių vaisiaus būklei ir gimdos veiklai nuolat stebėti. Prieš vartojant </w:t>
      </w:r>
      <w:proofErr w:type="spellStart"/>
      <w:r w:rsidRPr="00E23246">
        <w:rPr>
          <w:szCs w:val="22"/>
        </w:rPr>
        <w:t>Misodel</w:t>
      </w:r>
      <w:proofErr w:type="spellEnd"/>
      <w:r w:rsidRPr="00E23246">
        <w:rPr>
          <w:szCs w:val="22"/>
        </w:rPr>
        <w:t>, reikia kruopščiai įvertinti gimdos kaklelio būklę. Šį preparatą įkišus</w:t>
      </w:r>
      <w:r>
        <w:rPr>
          <w:szCs w:val="22"/>
        </w:rPr>
        <w:t>,</w:t>
      </w:r>
      <w:r w:rsidRPr="00E23246">
        <w:rPr>
          <w:szCs w:val="22"/>
        </w:rPr>
        <w:t xml:space="preserve"> vaisiaus būklę ir gimdos veiklą</w:t>
      </w:r>
      <w:r w:rsidRPr="008C3269">
        <w:rPr>
          <w:szCs w:val="22"/>
        </w:rPr>
        <w:t xml:space="preserve"> </w:t>
      </w:r>
      <w:r>
        <w:rPr>
          <w:szCs w:val="22"/>
        </w:rPr>
        <w:t xml:space="preserve">turi </w:t>
      </w:r>
      <w:r w:rsidRPr="00E23246">
        <w:rPr>
          <w:szCs w:val="22"/>
        </w:rPr>
        <w:t>nuolat tikrinti</w:t>
      </w:r>
      <w:r>
        <w:rPr>
          <w:szCs w:val="22"/>
        </w:rPr>
        <w:t xml:space="preserve"> </w:t>
      </w:r>
      <w:proofErr w:type="spellStart"/>
      <w:r w:rsidRPr="008C3269">
        <w:rPr>
          <w:szCs w:val="22"/>
        </w:rPr>
        <w:t>kardiotokografijos</w:t>
      </w:r>
      <w:proofErr w:type="spellEnd"/>
      <w:r>
        <w:rPr>
          <w:szCs w:val="22"/>
        </w:rPr>
        <w:t xml:space="preserve"> duomenis skaityti išmokytas personalas</w:t>
      </w:r>
      <w:r w:rsidRPr="00E23246">
        <w:rPr>
          <w:szCs w:val="22"/>
        </w:rPr>
        <w:t>.</w:t>
      </w:r>
      <w:r>
        <w:rPr>
          <w:szCs w:val="22"/>
        </w:rPr>
        <w:t xml:space="preserve"> </w:t>
      </w:r>
      <w:proofErr w:type="spellStart"/>
      <w:r w:rsidRPr="00E23246">
        <w:rPr>
          <w:szCs w:val="22"/>
        </w:rPr>
        <w:t>Misodel</w:t>
      </w:r>
      <w:proofErr w:type="spellEnd"/>
      <w:r>
        <w:rPr>
          <w:szCs w:val="22"/>
        </w:rPr>
        <w:t xml:space="preserve"> gali būti vartojamas tik ligoninėse, kuriose yra galimybė atlikti skubią Cezario pjūvio operaciją.</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s>
        <w:spacing w:line="240" w:lineRule="auto"/>
        <w:rPr>
          <w:bCs/>
          <w:iCs/>
          <w:szCs w:val="22"/>
        </w:rPr>
      </w:pPr>
      <w:proofErr w:type="spellStart"/>
      <w:r w:rsidRPr="00E23246">
        <w:rPr>
          <w:bCs/>
          <w:iCs/>
          <w:szCs w:val="22"/>
        </w:rPr>
        <w:t>Misodel</w:t>
      </w:r>
      <w:proofErr w:type="spellEnd"/>
      <w:r w:rsidRPr="00E23246">
        <w:rPr>
          <w:bCs/>
          <w:iCs/>
          <w:szCs w:val="22"/>
        </w:rPr>
        <w:t xml:space="preserve"> tiekiamas atskiruose aliuminio folijos paketėliuose, kuriuos reikia laikyti šaldiklyje. Prieš vartojimą atšildyti nereikia.</w:t>
      </w:r>
    </w:p>
    <w:p w:rsidR="00A028B6" w:rsidRPr="00E23246" w:rsidRDefault="00A028B6" w:rsidP="00A028B6">
      <w:pPr>
        <w:tabs>
          <w:tab w:val="clear" w:pos="567"/>
        </w:tabs>
        <w:spacing w:line="240" w:lineRule="auto"/>
        <w:rPr>
          <w:bCs/>
          <w:iCs/>
          <w:szCs w:val="22"/>
        </w:rPr>
      </w:pPr>
    </w:p>
    <w:p w:rsidR="00A028B6" w:rsidRPr="00E23246" w:rsidRDefault="00A028B6" w:rsidP="00A028B6">
      <w:pPr>
        <w:tabs>
          <w:tab w:val="clear" w:pos="567"/>
        </w:tabs>
        <w:spacing w:line="240" w:lineRule="auto"/>
        <w:rPr>
          <w:i/>
          <w:szCs w:val="22"/>
        </w:rPr>
      </w:pPr>
      <w:r w:rsidRPr="00E23246">
        <w:rPr>
          <w:bCs/>
          <w:iCs/>
          <w:szCs w:val="22"/>
        </w:rPr>
        <w:t>Vienoje folijos paketėlio pusėje (viršuje) yra jam perplėšti skirta žyma. Atplėškite pakuotę išilgai jos. Nenaudokite žirklių ar kitų aštrių priemonių, kad nepažeistumėte preparatui ištraukti skirtos sistemos</w:t>
      </w:r>
      <w:r w:rsidRPr="00E23246">
        <w:rPr>
          <w:szCs w:val="22"/>
        </w:rPr>
        <w:t>.</w:t>
      </w:r>
    </w:p>
    <w:p w:rsidR="00A028B6" w:rsidRPr="008C011C" w:rsidRDefault="00A028B6" w:rsidP="00A028B6">
      <w:pPr>
        <w:pStyle w:val="Pagrindinistekstas"/>
        <w:rPr>
          <w:i w:val="0"/>
          <w:color w:val="auto"/>
          <w:sz w:val="22"/>
          <w:lang w:val="lt-LT"/>
        </w:rPr>
      </w:pPr>
    </w:p>
    <w:p w:rsidR="00A028B6" w:rsidRPr="00E23246" w:rsidRDefault="00A028B6" w:rsidP="00A028B6">
      <w:pPr>
        <w:tabs>
          <w:tab w:val="clear" w:pos="567"/>
        </w:tabs>
        <w:spacing w:line="240" w:lineRule="auto"/>
        <w:rPr>
          <w:bCs/>
          <w:iCs/>
          <w:szCs w:val="22"/>
        </w:rPr>
      </w:pPr>
      <w:r w:rsidRPr="00E23246">
        <w:rPr>
          <w:bCs/>
          <w:iCs/>
          <w:szCs w:val="22"/>
        </w:rPr>
        <w:t xml:space="preserve">Įkiškite </w:t>
      </w:r>
      <w:proofErr w:type="spellStart"/>
      <w:r w:rsidRPr="00E23246">
        <w:rPr>
          <w:bCs/>
          <w:iCs/>
          <w:szCs w:val="22"/>
        </w:rPr>
        <w:t>Misodel</w:t>
      </w:r>
      <w:proofErr w:type="spellEnd"/>
      <w:r w:rsidRPr="00E23246">
        <w:rPr>
          <w:bCs/>
          <w:iCs/>
          <w:szCs w:val="22"/>
        </w:rPr>
        <w:t xml:space="preserve"> giliai į užpakalinį makšties skliautą (A pav.). Kad </w:t>
      </w:r>
      <w:proofErr w:type="spellStart"/>
      <w:r w:rsidRPr="00E23246">
        <w:rPr>
          <w:bCs/>
          <w:iCs/>
          <w:szCs w:val="22"/>
        </w:rPr>
        <w:t>Misodel</w:t>
      </w:r>
      <w:proofErr w:type="spellEnd"/>
      <w:r w:rsidRPr="00E23246">
        <w:rPr>
          <w:bCs/>
          <w:iCs/>
          <w:szCs w:val="22"/>
        </w:rPr>
        <w:t xml:space="preserve"> liktų ten, kur įkištas, pasukite jį 90</w:t>
      </w:r>
      <w:r w:rsidRPr="00E23246">
        <w:rPr>
          <w:bCs/>
          <w:iCs/>
          <w:szCs w:val="22"/>
          <w:vertAlign w:val="superscript"/>
        </w:rPr>
        <w:t>o</w:t>
      </w:r>
      <w:r w:rsidRPr="00E23246">
        <w:rPr>
          <w:bCs/>
          <w:iCs/>
          <w:szCs w:val="22"/>
        </w:rPr>
        <w:t xml:space="preserve"> kampu, </w:t>
      </w:r>
      <w:proofErr w:type="spellStart"/>
      <w:r w:rsidRPr="00E23246">
        <w:rPr>
          <w:bCs/>
          <w:iCs/>
          <w:szCs w:val="22"/>
        </w:rPr>
        <w:t>t.y</w:t>
      </w:r>
      <w:proofErr w:type="spellEnd"/>
      <w:r w:rsidRPr="00E23246">
        <w:rPr>
          <w:bCs/>
          <w:iCs/>
          <w:szCs w:val="22"/>
        </w:rPr>
        <w:t xml:space="preserve">. skersai užpakaliniam makšties skliautui (B pav.). Prireikus įkišimą galima palengvinti vandenyje tirpiu </w:t>
      </w:r>
      <w:proofErr w:type="spellStart"/>
      <w:r w:rsidRPr="00E23246">
        <w:rPr>
          <w:bCs/>
          <w:iCs/>
          <w:szCs w:val="22"/>
        </w:rPr>
        <w:t>lubrikantu</w:t>
      </w:r>
      <w:proofErr w:type="spellEnd"/>
      <w:r w:rsidRPr="00E23246">
        <w:rPr>
          <w:bCs/>
          <w:iCs/>
          <w:szCs w:val="22"/>
        </w:rPr>
        <w:t>.</w:t>
      </w:r>
    </w:p>
    <w:p w:rsidR="00A028B6" w:rsidRPr="00E23246" w:rsidRDefault="00A028B6" w:rsidP="00A028B6">
      <w:pPr>
        <w:tabs>
          <w:tab w:val="clear" w:pos="567"/>
        </w:tabs>
        <w:spacing w:line="240" w:lineRule="auto"/>
        <w:rPr>
          <w:bCs/>
          <w:iCs/>
          <w:szCs w:val="22"/>
        </w:rPr>
      </w:pPr>
    </w:p>
    <w:p w:rsidR="00A028B6" w:rsidRPr="00E23246" w:rsidRDefault="00A028B6" w:rsidP="00A028B6">
      <w:pPr>
        <w:tabs>
          <w:tab w:val="clear" w:pos="567"/>
        </w:tabs>
        <w:spacing w:line="240" w:lineRule="auto"/>
        <w:jc w:val="center"/>
        <w:rPr>
          <w:bCs/>
          <w:iCs/>
          <w:szCs w:val="22"/>
        </w:rPr>
      </w:pPr>
      <w:r>
        <w:rPr>
          <w:b/>
          <w:bCs/>
          <w:iCs/>
          <w:noProof/>
          <w:szCs w:val="22"/>
          <w:lang w:eastAsia="lt-LT"/>
        </w:rPr>
        <w:drawing>
          <wp:inline distT="0" distB="0" distL="0" distR="0" wp14:anchorId="0740216C" wp14:editId="424EF3A4">
            <wp:extent cx="2560320" cy="1341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a:ln>
                      <a:noFill/>
                    </a:ln>
                  </pic:spPr>
                </pic:pic>
              </a:graphicData>
            </a:graphic>
          </wp:inline>
        </w:drawing>
      </w:r>
      <w:r w:rsidRPr="00E23246">
        <w:rPr>
          <w:bCs/>
          <w:iCs/>
          <w:szCs w:val="22"/>
        </w:rPr>
        <w:t xml:space="preserve"> </w:t>
      </w:r>
      <w:r>
        <w:rPr>
          <w:bCs/>
          <w:iCs/>
          <w:noProof/>
          <w:szCs w:val="22"/>
          <w:lang w:eastAsia="lt-LT"/>
        </w:rPr>
        <w:drawing>
          <wp:inline distT="0" distB="0" distL="0" distR="0" wp14:anchorId="69E5B863" wp14:editId="2CDF97B1">
            <wp:extent cx="1211580" cy="13792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79220"/>
                    </a:xfrm>
                    <a:prstGeom prst="rect">
                      <a:avLst/>
                    </a:prstGeom>
                    <a:noFill/>
                    <a:ln>
                      <a:noFill/>
                    </a:ln>
                  </pic:spPr>
                </pic:pic>
              </a:graphicData>
            </a:graphic>
          </wp:inline>
        </w:drawing>
      </w:r>
    </w:p>
    <w:tbl>
      <w:tblPr>
        <w:tblW w:w="0" w:type="auto"/>
        <w:tblLook w:val="00A0" w:firstRow="1" w:lastRow="0" w:firstColumn="1" w:lastColumn="0" w:noHBand="0" w:noVBand="0"/>
      </w:tblPr>
      <w:tblGrid>
        <w:gridCol w:w="1418"/>
        <w:gridCol w:w="2126"/>
        <w:gridCol w:w="1843"/>
        <w:gridCol w:w="2064"/>
      </w:tblGrid>
      <w:tr w:rsidR="00A028B6" w:rsidRPr="00E23246" w:rsidTr="001B46CB">
        <w:tc>
          <w:tcPr>
            <w:tcW w:w="1418" w:type="dxa"/>
          </w:tcPr>
          <w:p w:rsidR="00A028B6" w:rsidRPr="00E23246" w:rsidRDefault="00A028B6" w:rsidP="001B46CB">
            <w:pPr>
              <w:spacing w:line="240" w:lineRule="auto"/>
              <w:jc w:val="center"/>
              <w:rPr>
                <w:szCs w:val="22"/>
              </w:rPr>
            </w:pPr>
          </w:p>
        </w:tc>
        <w:tc>
          <w:tcPr>
            <w:tcW w:w="2126" w:type="dxa"/>
          </w:tcPr>
          <w:p w:rsidR="00A028B6" w:rsidRPr="00E23246" w:rsidRDefault="00A028B6" w:rsidP="001B46CB">
            <w:pPr>
              <w:spacing w:line="240" w:lineRule="auto"/>
              <w:jc w:val="both"/>
              <w:rPr>
                <w:szCs w:val="22"/>
              </w:rPr>
            </w:pPr>
            <w:r w:rsidRPr="00E23246">
              <w:rPr>
                <w:szCs w:val="22"/>
              </w:rPr>
              <w:t>A pav.</w:t>
            </w:r>
          </w:p>
        </w:tc>
        <w:tc>
          <w:tcPr>
            <w:tcW w:w="1843" w:type="dxa"/>
          </w:tcPr>
          <w:p w:rsidR="00A028B6" w:rsidRPr="00E23246" w:rsidRDefault="00A028B6" w:rsidP="001B46CB">
            <w:pPr>
              <w:spacing w:line="240" w:lineRule="auto"/>
              <w:rPr>
                <w:szCs w:val="22"/>
              </w:rPr>
            </w:pPr>
            <w:r w:rsidRPr="00E23246">
              <w:rPr>
                <w:szCs w:val="22"/>
              </w:rPr>
              <w:t>B pav.</w:t>
            </w:r>
          </w:p>
        </w:tc>
        <w:tc>
          <w:tcPr>
            <w:tcW w:w="2064" w:type="dxa"/>
          </w:tcPr>
          <w:p w:rsidR="00A028B6" w:rsidRPr="00E23246" w:rsidRDefault="00A028B6" w:rsidP="001B46CB">
            <w:pPr>
              <w:spacing w:line="240" w:lineRule="auto"/>
              <w:rPr>
                <w:szCs w:val="22"/>
              </w:rPr>
            </w:pPr>
            <w:r w:rsidRPr="00E23246">
              <w:rPr>
                <w:szCs w:val="22"/>
              </w:rPr>
              <w:t>C pav.</w:t>
            </w:r>
          </w:p>
        </w:tc>
      </w:tr>
    </w:tbl>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lastRenderedPageBreak/>
        <w:t xml:space="preserve">Įkišus vartojimo į makštį sistemą, ištraukimo siūlą galima nukirpti žirklėmis, tačiau būtina palikti pakankamai jo išsikišusio iš makšties, kad paskui būtų galima ištraukti sistemą. </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Po įkišimo pacientė turi pagulėti 30 min., o paskui jai galima vaikščioti. Apsiplauti ir tirti per makštį reikia atsargiai, kad netyčia nebūtų ištrauktas </w:t>
      </w:r>
      <w:proofErr w:type="spellStart"/>
      <w:r w:rsidRPr="00E23246">
        <w:rPr>
          <w:szCs w:val="22"/>
        </w:rPr>
        <w:t>Misodel</w:t>
      </w:r>
      <w:proofErr w:type="spellEnd"/>
      <w:r w:rsidRPr="00E23246">
        <w:rPr>
          <w:szCs w:val="22"/>
        </w:rPr>
        <w:t>.</w:t>
      </w:r>
    </w:p>
    <w:p w:rsidR="00A028B6" w:rsidRPr="00E23246" w:rsidRDefault="00A028B6" w:rsidP="00A028B6">
      <w:pPr>
        <w:spacing w:line="240" w:lineRule="auto"/>
        <w:rPr>
          <w:szCs w:val="22"/>
        </w:rPr>
      </w:pPr>
    </w:p>
    <w:p w:rsidR="00A028B6" w:rsidRPr="00E23246" w:rsidRDefault="00A028B6" w:rsidP="00A028B6">
      <w:pPr>
        <w:spacing w:line="240" w:lineRule="auto"/>
        <w:rPr>
          <w:i/>
          <w:szCs w:val="22"/>
        </w:rPr>
      </w:pPr>
      <w:r w:rsidRPr="00E23246">
        <w:rPr>
          <w:i/>
          <w:szCs w:val="22"/>
        </w:rPr>
        <w:t>Ištraukimas</w:t>
      </w: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ištraukiamas švelniai traukiant ištraukimo sistemos siūlo galą (C pav.).</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Vartojimo į makštį sistemos NEGALIMA atskirti nuo jai ištraukti skirtos sistemos.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yra kontroliuojamo atpalaidavimo preparatas, kuris drėgnoje aplinkoje išbrinksta ir atpalaiduoja veikliąją medžiagą. Įkištas </w:t>
      </w:r>
      <w:proofErr w:type="spellStart"/>
      <w:r w:rsidRPr="00E23246">
        <w:rPr>
          <w:szCs w:val="22"/>
        </w:rPr>
        <w:t>Misodel</w:t>
      </w:r>
      <w:proofErr w:type="spellEnd"/>
      <w:r w:rsidRPr="00E23246">
        <w:rPr>
          <w:szCs w:val="22"/>
        </w:rPr>
        <w:t xml:space="preserve"> padidėja dvigubai ar trigubai ir pasidaro lankstus. Jį pašalinę patikrinkite, ar iš makšties ištraukėte visą preparatą (įdėklą ir jo ištraukimo sistemą).</w:t>
      </w:r>
    </w:p>
    <w:p w:rsidR="00A028B6" w:rsidRPr="00E23246" w:rsidRDefault="00A028B6" w:rsidP="00A028B6">
      <w:pPr>
        <w:spacing w:line="240" w:lineRule="auto"/>
        <w:rPr>
          <w:szCs w:val="22"/>
        </w:rPr>
      </w:pPr>
    </w:p>
    <w:p w:rsidR="00A028B6" w:rsidRPr="008C011C" w:rsidRDefault="00A028B6" w:rsidP="00A028B6">
      <w:pPr>
        <w:pStyle w:val="Antrat4"/>
        <w:spacing w:line="240" w:lineRule="auto"/>
        <w:rPr>
          <w:rFonts w:ascii="Times New Roman" w:hAnsi="Times New Roman"/>
          <w:sz w:val="22"/>
          <w:lang w:val="lt-LT"/>
        </w:rPr>
      </w:pPr>
      <w:r w:rsidRPr="008C011C">
        <w:rPr>
          <w:rFonts w:ascii="Times New Roman" w:hAnsi="Times New Roman"/>
          <w:sz w:val="22"/>
          <w:lang w:val="lt-LT"/>
        </w:rPr>
        <w:t>4.3</w:t>
      </w:r>
      <w:r w:rsidRPr="008C011C">
        <w:rPr>
          <w:rFonts w:ascii="Times New Roman" w:hAnsi="Times New Roman"/>
          <w:sz w:val="22"/>
          <w:lang w:val="lt-LT"/>
        </w:rPr>
        <w:tab/>
        <w:t>Kontraindikacijos</w:t>
      </w:r>
    </w:p>
    <w:p w:rsidR="00A028B6" w:rsidRPr="00E23246" w:rsidRDefault="00A028B6" w:rsidP="00A028B6">
      <w:pPr>
        <w:spacing w:line="240" w:lineRule="auto"/>
        <w:rPr>
          <w:szCs w:val="22"/>
        </w:rPr>
      </w:pPr>
    </w:p>
    <w:p w:rsidR="00A028B6" w:rsidRPr="00E23246" w:rsidRDefault="00A028B6" w:rsidP="00A028B6">
      <w:pPr>
        <w:spacing w:line="240" w:lineRule="auto"/>
        <w:ind w:left="567" w:hanging="567"/>
        <w:rPr>
          <w:szCs w:val="22"/>
        </w:rPr>
      </w:pPr>
      <w:proofErr w:type="spellStart"/>
      <w:r w:rsidRPr="00E23246">
        <w:rPr>
          <w:szCs w:val="22"/>
        </w:rPr>
        <w:t>Misodel</w:t>
      </w:r>
      <w:proofErr w:type="spellEnd"/>
      <w:r w:rsidRPr="00E23246">
        <w:rPr>
          <w:szCs w:val="22"/>
        </w:rPr>
        <w:t xml:space="preserve"> vartoti negalima:</w:t>
      </w:r>
    </w:p>
    <w:p w:rsidR="00A028B6" w:rsidRPr="00E23246" w:rsidRDefault="00A028B6" w:rsidP="00A028B6">
      <w:pPr>
        <w:numPr>
          <w:ilvl w:val="0"/>
          <w:numId w:val="3"/>
        </w:numPr>
        <w:tabs>
          <w:tab w:val="clear" w:pos="567"/>
        </w:tabs>
        <w:spacing w:line="240" w:lineRule="auto"/>
        <w:rPr>
          <w:szCs w:val="22"/>
        </w:rPr>
      </w:pPr>
      <w:r w:rsidRPr="00E23246">
        <w:rPr>
          <w:szCs w:val="22"/>
        </w:rPr>
        <w:t>jeigu padidėjęs jautrumas veikliajai arba bet kuriai 6.1 skyriuje nurodytai pagalbinei medžiagai;</w:t>
      </w:r>
    </w:p>
    <w:p w:rsidR="00A028B6" w:rsidRPr="00E23246" w:rsidRDefault="00A028B6" w:rsidP="00A028B6">
      <w:pPr>
        <w:numPr>
          <w:ilvl w:val="0"/>
          <w:numId w:val="3"/>
        </w:numPr>
        <w:tabs>
          <w:tab w:val="clear" w:pos="567"/>
        </w:tabs>
        <w:spacing w:line="240" w:lineRule="auto"/>
        <w:rPr>
          <w:szCs w:val="22"/>
        </w:rPr>
      </w:pPr>
      <w:r w:rsidRPr="00E23246">
        <w:rPr>
          <w:szCs w:val="22"/>
        </w:rPr>
        <w:t>prasidėjus gimdymui;</w:t>
      </w:r>
    </w:p>
    <w:p w:rsidR="00A028B6" w:rsidRPr="00E23246" w:rsidRDefault="00A028B6" w:rsidP="00A028B6">
      <w:pPr>
        <w:numPr>
          <w:ilvl w:val="0"/>
          <w:numId w:val="3"/>
        </w:numPr>
        <w:tabs>
          <w:tab w:val="clear" w:pos="567"/>
        </w:tabs>
        <w:spacing w:line="240" w:lineRule="auto"/>
        <w:rPr>
          <w:szCs w:val="22"/>
        </w:rPr>
      </w:pPr>
      <w:r w:rsidRPr="00E23246">
        <w:rPr>
          <w:szCs w:val="22"/>
        </w:rPr>
        <w:t xml:space="preserve">jeigu prieš skatinant gimdymą įtariama arba nustatoma pablogėjusi vaisiaus būklė (pvz., nepalankus nestresinio arba stresinio testo rezultatas, </w:t>
      </w:r>
      <w:proofErr w:type="spellStart"/>
      <w:r w:rsidRPr="00E23246">
        <w:rPr>
          <w:szCs w:val="22"/>
        </w:rPr>
        <w:t>mekonijaus</w:t>
      </w:r>
      <w:proofErr w:type="spellEnd"/>
      <w:r w:rsidRPr="00E23246">
        <w:rPr>
          <w:szCs w:val="22"/>
        </w:rPr>
        <w:t xml:space="preserve"> dėmės arba esama ar </w:t>
      </w:r>
      <w:proofErr w:type="spellStart"/>
      <w:r w:rsidRPr="00E23246">
        <w:rPr>
          <w:szCs w:val="22"/>
        </w:rPr>
        <w:t>anamnezėje</w:t>
      </w:r>
      <w:proofErr w:type="spellEnd"/>
      <w:r w:rsidRPr="00E23246">
        <w:rPr>
          <w:szCs w:val="22"/>
        </w:rPr>
        <w:t xml:space="preserve"> užfiksuota sutrikusi vaisiaus būklė);</w:t>
      </w:r>
    </w:p>
    <w:p w:rsidR="00A028B6" w:rsidRPr="00E23246" w:rsidRDefault="00A028B6" w:rsidP="00A028B6">
      <w:pPr>
        <w:numPr>
          <w:ilvl w:val="0"/>
          <w:numId w:val="3"/>
        </w:numPr>
        <w:tabs>
          <w:tab w:val="clear" w:pos="567"/>
        </w:tabs>
        <w:spacing w:line="240" w:lineRule="auto"/>
        <w:rPr>
          <w:szCs w:val="22"/>
        </w:rPr>
      </w:pPr>
      <w:r w:rsidRPr="00E23246">
        <w:rPr>
          <w:szCs w:val="22"/>
        </w:rPr>
        <w:t>kartu su kitais gimdymą lengvinančiais ir (arba) jį prasidėti skatinančiais vaistiniais preparatais (žr. 4.4 skyrių);</w:t>
      </w:r>
    </w:p>
    <w:p w:rsidR="00A028B6" w:rsidRPr="00E23246" w:rsidRDefault="00A028B6" w:rsidP="00A028B6">
      <w:pPr>
        <w:numPr>
          <w:ilvl w:val="0"/>
          <w:numId w:val="3"/>
        </w:numPr>
        <w:tabs>
          <w:tab w:val="clear" w:pos="567"/>
        </w:tabs>
        <w:spacing w:line="240" w:lineRule="auto"/>
        <w:rPr>
          <w:szCs w:val="22"/>
        </w:rPr>
      </w:pPr>
      <w:r w:rsidRPr="00E23246">
        <w:rPr>
          <w:szCs w:val="22"/>
        </w:rPr>
        <w:t>jeigu žinoma arba įtariama, kad gimdoje yra randas po ankstesnės gimdos arba jos kaklelio operacijos, pvz., cezario pjūvio;</w:t>
      </w:r>
    </w:p>
    <w:p w:rsidR="00A028B6" w:rsidRPr="00E23246" w:rsidRDefault="00A028B6" w:rsidP="00A028B6">
      <w:pPr>
        <w:numPr>
          <w:ilvl w:val="0"/>
          <w:numId w:val="3"/>
        </w:numPr>
        <w:tabs>
          <w:tab w:val="clear" w:pos="567"/>
        </w:tabs>
        <w:spacing w:line="240" w:lineRule="auto"/>
        <w:rPr>
          <w:szCs w:val="22"/>
        </w:rPr>
      </w:pPr>
      <w:r w:rsidRPr="00E23246">
        <w:rPr>
          <w:szCs w:val="22"/>
        </w:rPr>
        <w:t>jeigu gimda apsigimusi (pvz., dviragė);</w:t>
      </w:r>
    </w:p>
    <w:p w:rsidR="00A028B6" w:rsidRPr="00E23246" w:rsidRDefault="00A028B6" w:rsidP="00A028B6">
      <w:pPr>
        <w:numPr>
          <w:ilvl w:val="0"/>
          <w:numId w:val="3"/>
        </w:numPr>
        <w:tabs>
          <w:tab w:val="clear" w:pos="567"/>
        </w:tabs>
        <w:spacing w:line="240" w:lineRule="auto"/>
        <w:rPr>
          <w:szCs w:val="22"/>
        </w:rPr>
      </w:pPr>
      <w:r w:rsidRPr="00E23246">
        <w:rPr>
          <w:szCs w:val="22"/>
        </w:rPr>
        <w:t xml:space="preserve">jeigu yra placentos </w:t>
      </w:r>
      <w:proofErr w:type="spellStart"/>
      <w:r w:rsidRPr="00E23246">
        <w:rPr>
          <w:szCs w:val="22"/>
        </w:rPr>
        <w:t>pirmeiga</w:t>
      </w:r>
      <w:proofErr w:type="spellEnd"/>
      <w:r w:rsidRPr="00E23246">
        <w:rPr>
          <w:szCs w:val="22"/>
        </w:rPr>
        <w:t xml:space="preserve"> arba buvo kraujavimas iš makšties dėl neaiškios priežasties po 24 šio nėštumo savaičių;</w:t>
      </w:r>
    </w:p>
    <w:p w:rsidR="00A028B6" w:rsidRPr="00E23246" w:rsidRDefault="00A028B6" w:rsidP="00A028B6">
      <w:pPr>
        <w:numPr>
          <w:ilvl w:val="0"/>
          <w:numId w:val="3"/>
        </w:numPr>
        <w:tabs>
          <w:tab w:val="clear" w:pos="567"/>
        </w:tabs>
        <w:spacing w:line="240" w:lineRule="auto"/>
        <w:rPr>
          <w:szCs w:val="22"/>
        </w:rPr>
      </w:pPr>
      <w:r w:rsidRPr="00E23246">
        <w:rPr>
          <w:szCs w:val="22"/>
        </w:rPr>
        <w:t>jeigu vaisiaus padėtis netinkama;</w:t>
      </w:r>
    </w:p>
    <w:p w:rsidR="00A028B6" w:rsidRPr="00E23246" w:rsidRDefault="00A028B6" w:rsidP="00A028B6">
      <w:pPr>
        <w:numPr>
          <w:ilvl w:val="0"/>
          <w:numId w:val="3"/>
        </w:numPr>
        <w:tabs>
          <w:tab w:val="clear" w:pos="567"/>
        </w:tabs>
        <w:spacing w:line="240" w:lineRule="auto"/>
        <w:rPr>
          <w:szCs w:val="22"/>
        </w:rPr>
      </w:pPr>
      <w:r w:rsidRPr="00E23246">
        <w:rPr>
          <w:szCs w:val="22"/>
        </w:rPr>
        <w:t xml:space="preserve">jeigu yra </w:t>
      </w:r>
      <w:proofErr w:type="spellStart"/>
      <w:r w:rsidRPr="00E23246">
        <w:rPr>
          <w:szCs w:val="22"/>
        </w:rPr>
        <w:t>chorioamnionito</w:t>
      </w:r>
      <w:proofErr w:type="spellEnd"/>
      <w:r w:rsidRPr="00E23246">
        <w:rPr>
          <w:szCs w:val="22"/>
        </w:rPr>
        <w:t xml:space="preserve"> požymių arba simptomų (išskyrus atvejį, kai jau pradėtas atitinkamas gydymas);</w:t>
      </w:r>
    </w:p>
    <w:p w:rsidR="00A028B6" w:rsidRPr="00E23246" w:rsidRDefault="00A028B6" w:rsidP="00A028B6">
      <w:pPr>
        <w:numPr>
          <w:ilvl w:val="0"/>
          <w:numId w:val="3"/>
        </w:numPr>
        <w:tabs>
          <w:tab w:val="clear" w:pos="567"/>
        </w:tabs>
        <w:spacing w:line="240" w:lineRule="auto"/>
        <w:rPr>
          <w:szCs w:val="22"/>
        </w:rPr>
      </w:pPr>
      <w:r w:rsidRPr="00E23246">
        <w:rPr>
          <w:szCs w:val="22"/>
        </w:rPr>
        <w:t>nepraėjus 36 nėštumo savaitėms.</w:t>
      </w:r>
    </w:p>
    <w:p w:rsidR="00A028B6" w:rsidRPr="00E23246" w:rsidRDefault="00A028B6" w:rsidP="00A028B6">
      <w:pPr>
        <w:spacing w:line="240" w:lineRule="auto"/>
        <w:rPr>
          <w:szCs w:val="22"/>
        </w:rPr>
      </w:pPr>
    </w:p>
    <w:p w:rsidR="00A028B6" w:rsidRPr="008C011C" w:rsidRDefault="00A028B6" w:rsidP="00A028B6">
      <w:pPr>
        <w:pStyle w:val="Antrat4"/>
        <w:spacing w:line="240" w:lineRule="auto"/>
        <w:rPr>
          <w:rFonts w:ascii="Times New Roman" w:hAnsi="Times New Roman"/>
          <w:sz w:val="22"/>
          <w:lang w:val="lt-LT"/>
        </w:rPr>
      </w:pPr>
      <w:r w:rsidRPr="008C011C">
        <w:rPr>
          <w:rFonts w:ascii="Times New Roman" w:hAnsi="Times New Roman"/>
          <w:sz w:val="22"/>
          <w:lang w:val="lt-LT"/>
        </w:rPr>
        <w:t>4.4</w:t>
      </w:r>
      <w:r w:rsidRPr="008C011C">
        <w:rPr>
          <w:rFonts w:ascii="Times New Roman" w:hAnsi="Times New Roman"/>
          <w:sz w:val="22"/>
          <w:lang w:val="lt-LT"/>
        </w:rPr>
        <w:tab/>
        <w:t>Specialūs įspėjimai ir atsargumo priemonės</w:t>
      </w:r>
    </w:p>
    <w:p w:rsidR="00A028B6" w:rsidRPr="00E23246" w:rsidRDefault="00A028B6" w:rsidP="00A028B6">
      <w:pPr>
        <w:spacing w:line="240" w:lineRule="auto"/>
        <w:rPr>
          <w:szCs w:val="22"/>
        </w:rPr>
      </w:pPr>
    </w:p>
    <w:p w:rsidR="00A028B6" w:rsidRDefault="00A028B6" w:rsidP="00A028B6">
      <w:pPr>
        <w:tabs>
          <w:tab w:val="clear" w:pos="567"/>
          <w:tab w:val="left" w:pos="0"/>
        </w:tabs>
        <w:spacing w:line="240" w:lineRule="auto"/>
        <w:rPr>
          <w:szCs w:val="22"/>
        </w:rPr>
      </w:pPr>
      <w:proofErr w:type="spellStart"/>
      <w:r w:rsidRPr="0035376E">
        <w:rPr>
          <w:szCs w:val="22"/>
        </w:rPr>
        <w:t>Misodel</w:t>
      </w:r>
      <w:proofErr w:type="spellEnd"/>
      <w:r w:rsidRPr="0035376E">
        <w:rPr>
          <w:szCs w:val="22"/>
        </w:rPr>
        <w:t xml:space="preserve"> gali sukelti per stiprią</w:t>
      </w:r>
      <w:r>
        <w:rPr>
          <w:szCs w:val="22"/>
        </w:rPr>
        <w:t xml:space="preserve">, gydymui </w:t>
      </w:r>
      <w:r w:rsidRPr="00E23246">
        <w:rPr>
          <w:szCs w:val="22"/>
        </w:rPr>
        <w:t>gimdymo veiklą</w:t>
      </w:r>
      <w:r>
        <w:rPr>
          <w:szCs w:val="22"/>
        </w:rPr>
        <w:t xml:space="preserve"> slopinančiais vaistiniais preparatais</w:t>
      </w:r>
      <w:r w:rsidRPr="0035376E">
        <w:rPr>
          <w:szCs w:val="22"/>
        </w:rPr>
        <w:t xml:space="preserve"> </w:t>
      </w:r>
      <w:r>
        <w:rPr>
          <w:szCs w:val="22"/>
        </w:rPr>
        <w:t xml:space="preserve">nepasiduodančią </w:t>
      </w:r>
      <w:r w:rsidRPr="0035376E">
        <w:rPr>
          <w:szCs w:val="22"/>
        </w:rPr>
        <w:t xml:space="preserve">gimdos </w:t>
      </w:r>
      <w:proofErr w:type="spellStart"/>
      <w:r>
        <w:rPr>
          <w:szCs w:val="22"/>
        </w:rPr>
        <w:t>tachisistoliją</w:t>
      </w:r>
      <w:proofErr w:type="spellEnd"/>
      <w:r>
        <w:rPr>
          <w:szCs w:val="22"/>
        </w:rPr>
        <w:t xml:space="preserve">, kuri gali nesusilpnėti iki gimdymo. </w:t>
      </w:r>
      <w:r w:rsidRPr="00E23246">
        <w:rPr>
          <w:szCs w:val="22"/>
        </w:rPr>
        <w:t xml:space="preserve">Prasidėjus gimdymo veiklai neištrauktas </w:t>
      </w:r>
      <w:proofErr w:type="spellStart"/>
      <w:r w:rsidRPr="00E23246">
        <w:rPr>
          <w:szCs w:val="22"/>
        </w:rPr>
        <w:t>Misodel</w:t>
      </w:r>
      <w:proofErr w:type="spellEnd"/>
      <w:r w:rsidRPr="00E23246">
        <w:rPr>
          <w:szCs w:val="22"/>
        </w:rPr>
        <w:t xml:space="preserve"> </w:t>
      </w:r>
      <w:r>
        <w:rPr>
          <w:szCs w:val="22"/>
        </w:rPr>
        <w:t xml:space="preserve">taip pat </w:t>
      </w:r>
      <w:r w:rsidRPr="00E23246">
        <w:rPr>
          <w:szCs w:val="22"/>
        </w:rPr>
        <w:t>gali sukelti per stiprią gimdos stimuliaciją (žr. 4.9 skyrių).</w:t>
      </w:r>
    </w:p>
    <w:p w:rsidR="00A028B6" w:rsidRDefault="00A028B6" w:rsidP="00A028B6">
      <w:pPr>
        <w:tabs>
          <w:tab w:val="clear" w:pos="567"/>
          <w:tab w:val="left" w:pos="0"/>
        </w:tabs>
        <w:spacing w:line="240" w:lineRule="auto"/>
        <w:rPr>
          <w:szCs w:val="22"/>
        </w:rPr>
      </w:pPr>
    </w:p>
    <w:p w:rsidR="00A028B6" w:rsidRPr="00A91CFB" w:rsidRDefault="00A028B6" w:rsidP="00A028B6">
      <w:pPr>
        <w:tabs>
          <w:tab w:val="clear" w:pos="567"/>
          <w:tab w:val="left" w:pos="0"/>
        </w:tabs>
        <w:spacing w:line="240" w:lineRule="auto"/>
        <w:rPr>
          <w:szCs w:val="22"/>
        </w:rPr>
      </w:pPr>
      <w:r>
        <w:rPr>
          <w:szCs w:val="22"/>
        </w:rPr>
        <w:t xml:space="preserve">Todėl </w:t>
      </w:r>
      <w:r w:rsidRPr="00E23246">
        <w:rPr>
          <w:szCs w:val="22"/>
        </w:rPr>
        <w:t>vartojimo į makštį sistem</w:t>
      </w:r>
      <w:r>
        <w:rPr>
          <w:szCs w:val="22"/>
        </w:rPr>
        <w:t xml:space="preserve">ą būtina nedelsiant išimti (žr. </w:t>
      </w:r>
      <w:r w:rsidRPr="0078162C">
        <w:rPr>
          <w:szCs w:val="22"/>
        </w:rPr>
        <w:t xml:space="preserve">4.2 </w:t>
      </w:r>
      <w:r>
        <w:rPr>
          <w:szCs w:val="22"/>
        </w:rPr>
        <w:t>skyrių):</w:t>
      </w:r>
    </w:p>
    <w:p w:rsidR="00A028B6" w:rsidRDefault="00A028B6" w:rsidP="00A028B6">
      <w:pPr>
        <w:tabs>
          <w:tab w:val="clear" w:pos="567"/>
          <w:tab w:val="left" w:pos="0"/>
        </w:tabs>
        <w:spacing w:line="240" w:lineRule="auto"/>
        <w:rPr>
          <w:szCs w:val="22"/>
        </w:rPr>
      </w:pPr>
    </w:p>
    <w:p w:rsidR="00A028B6" w:rsidRDefault="00A028B6" w:rsidP="00A028B6">
      <w:pPr>
        <w:numPr>
          <w:ilvl w:val="0"/>
          <w:numId w:val="3"/>
        </w:numPr>
        <w:tabs>
          <w:tab w:val="clear" w:pos="567"/>
        </w:tabs>
        <w:spacing w:line="240" w:lineRule="auto"/>
        <w:rPr>
          <w:szCs w:val="22"/>
        </w:rPr>
      </w:pPr>
      <w:r w:rsidRPr="00E23246">
        <w:rPr>
          <w:szCs w:val="22"/>
        </w:rPr>
        <w:t>prasidėjus gimdymo veiklai</w:t>
      </w:r>
      <w:r>
        <w:rPr>
          <w:szCs w:val="22"/>
        </w:rPr>
        <w:t xml:space="preserve">, </w:t>
      </w:r>
      <w:r w:rsidRPr="00E23246">
        <w:rPr>
          <w:szCs w:val="22"/>
        </w:rPr>
        <w:t>kai gimdos susitraukimai kartojasi</w:t>
      </w:r>
      <w:r w:rsidRPr="00117D4F">
        <w:rPr>
          <w:szCs w:val="22"/>
        </w:rPr>
        <w:t xml:space="preserve"> </w:t>
      </w:r>
      <w:r>
        <w:rPr>
          <w:szCs w:val="22"/>
        </w:rPr>
        <w:t xml:space="preserve">yra </w:t>
      </w:r>
      <w:r w:rsidRPr="00E23246">
        <w:rPr>
          <w:szCs w:val="22"/>
        </w:rPr>
        <w:t>stiprūs, reikiamos kokybės</w:t>
      </w:r>
      <w:r w:rsidRPr="00E23246" w:rsidDel="004812CF">
        <w:rPr>
          <w:szCs w:val="22"/>
        </w:rPr>
        <w:t xml:space="preserve"> </w:t>
      </w:r>
      <w:r>
        <w:rPr>
          <w:szCs w:val="22"/>
        </w:rPr>
        <w:t xml:space="preserve">ir </w:t>
      </w:r>
      <w:r w:rsidRPr="00E23246">
        <w:rPr>
          <w:szCs w:val="22"/>
        </w:rPr>
        <w:t xml:space="preserve">keičia gimdos kaklelį </w:t>
      </w:r>
      <w:r>
        <w:rPr>
          <w:szCs w:val="22"/>
        </w:rPr>
        <w:t xml:space="preserve">ir / arba vėliausiai, kai </w:t>
      </w:r>
      <w:r w:rsidRPr="00E23246">
        <w:rPr>
          <w:szCs w:val="22"/>
        </w:rPr>
        <w:t>gimdos kaklelis pasiekia 4</w:t>
      </w:r>
      <w:r>
        <w:rPr>
          <w:szCs w:val="22"/>
        </w:rPr>
        <w:t> </w:t>
      </w:r>
      <w:r w:rsidRPr="00E23246">
        <w:rPr>
          <w:szCs w:val="22"/>
        </w:rPr>
        <w:t>cm</w:t>
      </w:r>
      <w:r>
        <w:rPr>
          <w:szCs w:val="22"/>
        </w:rPr>
        <w:t>, kadangi gali prasidėti pernelyg stiprūs gimdos susitraukimai;</w:t>
      </w:r>
    </w:p>
    <w:p w:rsidR="00A028B6" w:rsidRDefault="00A028B6" w:rsidP="00A028B6">
      <w:pPr>
        <w:numPr>
          <w:ilvl w:val="0"/>
          <w:numId w:val="3"/>
        </w:numPr>
        <w:tabs>
          <w:tab w:val="clear" w:pos="567"/>
        </w:tabs>
        <w:spacing w:line="240" w:lineRule="auto"/>
        <w:rPr>
          <w:szCs w:val="22"/>
        </w:rPr>
      </w:pPr>
      <w:r w:rsidRPr="00E23246">
        <w:rPr>
          <w:szCs w:val="22"/>
        </w:rPr>
        <w:t xml:space="preserve">jeigu gimdos susitraukimai pasidaro per </w:t>
      </w:r>
      <w:r>
        <w:rPr>
          <w:szCs w:val="22"/>
        </w:rPr>
        <w:t xml:space="preserve">ilgi arba per </w:t>
      </w:r>
      <w:r w:rsidRPr="00E23246">
        <w:rPr>
          <w:szCs w:val="22"/>
        </w:rPr>
        <w:t>stiprūs</w:t>
      </w:r>
      <w:r>
        <w:rPr>
          <w:szCs w:val="22"/>
        </w:rPr>
        <w:t>;</w:t>
      </w:r>
    </w:p>
    <w:p w:rsidR="00A028B6" w:rsidRPr="00E23246" w:rsidRDefault="00A028B6" w:rsidP="00A028B6">
      <w:pPr>
        <w:numPr>
          <w:ilvl w:val="0"/>
          <w:numId w:val="3"/>
        </w:numPr>
        <w:tabs>
          <w:tab w:val="clear" w:pos="567"/>
        </w:tabs>
        <w:spacing w:line="240" w:lineRule="auto"/>
        <w:rPr>
          <w:szCs w:val="22"/>
        </w:rPr>
      </w:pPr>
      <w:r>
        <w:rPr>
          <w:szCs w:val="22"/>
        </w:rPr>
        <w:t>kliniškai įtariamas pavojus nėščiajai ir (arba) vaisiui</w:t>
      </w:r>
      <w:r w:rsidRPr="00E23246">
        <w:rPr>
          <w:szCs w:val="22"/>
        </w:rPr>
        <w:t>;</w:t>
      </w:r>
    </w:p>
    <w:p w:rsidR="00A028B6" w:rsidRPr="00E23246" w:rsidRDefault="00A028B6" w:rsidP="00A028B6">
      <w:pPr>
        <w:numPr>
          <w:ilvl w:val="0"/>
          <w:numId w:val="3"/>
        </w:numPr>
        <w:tabs>
          <w:tab w:val="clear" w:pos="567"/>
        </w:tabs>
        <w:spacing w:line="240" w:lineRule="auto"/>
        <w:rPr>
          <w:szCs w:val="22"/>
        </w:rPr>
      </w:pPr>
      <w:r w:rsidRPr="00E23246">
        <w:rPr>
          <w:szCs w:val="22"/>
        </w:rPr>
        <w:t>po įkišimo praėjus 24 val.</w:t>
      </w:r>
    </w:p>
    <w:p w:rsidR="00A028B6" w:rsidRPr="00E23246" w:rsidRDefault="00A028B6" w:rsidP="00A028B6">
      <w:pPr>
        <w:tabs>
          <w:tab w:val="clear" w:pos="567"/>
          <w:tab w:val="left" w:pos="0"/>
        </w:tabs>
        <w:spacing w:line="240" w:lineRule="auto"/>
        <w:rPr>
          <w:szCs w:val="22"/>
        </w:rPr>
      </w:pPr>
    </w:p>
    <w:p w:rsidR="00A028B6" w:rsidRDefault="00A028B6" w:rsidP="00A028B6">
      <w:pPr>
        <w:tabs>
          <w:tab w:val="clear" w:pos="567"/>
          <w:tab w:val="left" w:pos="0"/>
        </w:tabs>
        <w:spacing w:line="240" w:lineRule="auto"/>
        <w:rPr>
          <w:szCs w:val="22"/>
        </w:rPr>
      </w:pPr>
      <w:r>
        <w:rPr>
          <w:szCs w:val="22"/>
        </w:rPr>
        <w:t xml:space="preserve">Rekomenduojama būti pasiruošus taikyti gydymą </w:t>
      </w:r>
      <w:r w:rsidRPr="00E23246">
        <w:rPr>
          <w:szCs w:val="22"/>
        </w:rPr>
        <w:t>gimdymo veiklą</w:t>
      </w:r>
      <w:r>
        <w:rPr>
          <w:szCs w:val="22"/>
        </w:rPr>
        <w:t xml:space="preserve"> slopinančiais vaistiniais preparatais; jei reikia, gydymą galima taikyti nedelsiant po </w:t>
      </w:r>
      <w:proofErr w:type="spellStart"/>
      <w:r>
        <w:rPr>
          <w:szCs w:val="22"/>
        </w:rPr>
        <w:t>Misodel</w:t>
      </w:r>
      <w:proofErr w:type="spellEnd"/>
      <w:r>
        <w:rPr>
          <w:szCs w:val="22"/>
        </w:rPr>
        <w:t xml:space="preserve"> ištraukimo.</w:t>
      </w:r>
    </w:p>
    <w:p w:rsidR="00A028B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Moteriai diagnozavus </w:t>
      </w:r>
      <w:proofErr w:type="spellStart"/>
      <w:r w:rsidRPr="00E23246">
        <w:rPr>
          <w:szCs w:val="22"/>
        </w:rPr>
        <w:t>preeklampsiją</w:t>
      </w:r>
      <w:proofErr w:type="spellEnd"/>
      <w:r w:rsidRPr="00E23246">
        <w:rPr>
          <w:szCs w:val="22"/>
        </w:rPr>
        <w:t xml:space="preserve"> būtina ištirti, ar nėra duomenų, kurie rodytų pablogėjusią vaisiaus būklę arba leistų ją įtarti (žr. 4.3 skyrių). Į pagrindinį III fazės tyrimą (Miso-Obs-303 – EXPEDITE) nebuvo įtraukta nėščių moterų, sergančių sunkia </w:t>
      </w:r>
      <w:proofErr w:type="spellStart"/>
      <w:r w:rsidRPr="00E23246">
        <w:rPr>
          <w:szCs w:val="22"/>
        </w:rPr>
        <w:t>preeklampsija</w:t>
      </w:r>
      <w:proofErr w:type="spellEnd"/>
      <w:r w:rsidRPr="00E23246">
        <w:rPr>
          <w:szCs w:val="22"/>
        </w:rPr>
        <w:t>, pasireiškusia hemolizinės anemijos, padidėjusio kepenų fermentų aktyvumo ir sumažėjusio trombocitų kiekio (</w:t>
      </w:r>
      <w:proofErr w:type="spellStart"/>
      <w:r w:rsidRPr="00E23246">
        <w:rPr>
          <w:szCs w:val="22"/>
        </w:rPr>
        <w:t>ang</w:t>
      </w:r>
      <w:proofErr w:type="spellEnd"/>
      <w:r w:rsidRPr="00E23246">
        <w:rPr>
          <w:szCs w:val="22"/>
        </w:rPr>
        <w:t>. HELLP ) sindromu, kitų organų pažeidimu arba centrinės nervų sistemos (CNS) sutrikimais (išskyrus silpną galvos skausmą).</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Netirtas </w:t>
      </w:r>
      <w:proofErr w:type="spellStart"/>
      <w:r w:rsidRPr="00E23246">
        <w:rPr>
          <w:szCs w:val="22"/>
        </w:rPr>
        <w:t>Misodel</w:t>
      </w:r>
      <w:proofErr w:type="spellEnd"/>
      <w:r w:rsidRPr="00E23246">
        <w:rPr>
          <w:szCs w:val="22"/>
        </w:rPr>
        <w:t xml:space="preserve"> poveikis moterims, kurių vaisių dangalai plyšo daugiau kaip 48 val. iki šio vaistinio preparato įkišimo.</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Jei dėl teigiamo B grupės streptokokų testo moteriai reikia profilaktikos antibiotikais, tai būtina kruopščiai parinkti jos laiką, kad apsauga</w:t>
      </w:r>
      <w:r>
        <w:rPr>
          <w:szCs w:val="22"/>
        </w:rPr>
        <w:t xml:space="preserve"> naujagimiams</w:t>
      </w:r>
      <w:r w:rsidRPr="00E23246">
        <w:rPr>
          <w:szCs w:val="22"/>
        </w:rPr>
        <w:t xml:space="preserve"> būtų optimali. Pagrindinio III fazės tyrimo (Miso-Obs-303 – EXPEDITE) metu trumpiausias laikas iki gimdymo bet kuriuo būdu buvo 2,95 val.</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Prieš leidžiant </w:t>
      </w:r>
      <w:proofErr w:type="spellStart"/>
      <w:r w:rsidRPr="00E23246">
        <w:rPr>
          <w:szCs w:val="22"/>
        </w:rPr>
        <w:t>oksitocino</w:t>
      </w:r>
      <w:proofErr w:type="spellEnd"/>
      <w:r w:rsidRPr="00E23246">
        <w:rPr>
          <w:szCs w:val="22"/>
        </w:rPr>
        <w:t xml:space="preserve">, reikia pašalinti </w:t>
      </w:r>
      <w:proofErr w:type="spellStart"/>
      <w:r w:rsidRPr="00E23246">
        <w:rPr>
          <w:szCs w:val="22"/>
        </w:rPr>
        <w:t>Misodel</w:t>
      </w:r>
      <w:proofErr w:type="spellEnd"/>
      <w:r w:rsidRPr="00E23246">
        <w:rPr>
          <w:szCs w:val="22"/>
        </w:rPr>
        <w:t xml:space="preserve"> ir paskui palaukti bent 30 min. (žr. 4.2, 4.3 ir 4.5 skyrius).</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sidRPr="00E23246">
        <w:rPr>
          <w:szCs w:val="22"/>
        </w:rPr>
        <w:t>Misodel</w:t>
      </w:r>
      <w:proofErr w:type="spellEnd"/>
      <w:r w:rsidRPr="00E23246">
        <w:rPr>
          <w:szCs w:val="22"/>
        </w:rPr>
        <w:t xml:space="preserve"> poveikis tirtas tik esant vieno vaisiaus nėštumui ir galvinei </w:t>
      </w:r>
      <w:proofErr w:type="spellStart"/>
      <w:r w:rsidRPr="00E23246">
        <w:rPr>
          <w:szCs w:val="22"/>
        </w:rPr>
        <w:t>pirmeigai</w:t>
      </w:r>
      <w:proofErr w:type="spellEnd"/>
      <w:r w:rsidRPr="00E23246">
        <w:rPr>
          <w:szCs w:val="22"/>
        </w:rPr>
        <w:t xml:space="preserve">. Poveikis esant daugiavaisiam nėštumui netirtas. Taip pat netirtas </w:t>
      </w:r>
      <w:proofErr w:type="spellStart"/>
      <w:r w:rsidRPr="00E23246">
        <w:rPr>
          <w:szCs w:val="22"/>
        </w:rPr>
        <w:t>Misodel</w:t>
      </w:r>
      <w:proofErr w:type="spellEnd"/>
      <w:r w:rsidRPr="00E23246">
        <w:rPr>
          <w:szCs w:val="22"/>
        </w:rPr>
        <w:t xml:space="preserve"> poveikis moterims, anksčiau per makštį pagimdžiusioms daugiau kaip 3 vaikus po 24 nėštumo savaičių.</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left" w:pos="0"/>
        </w:tabs>
        <w:spacing w:line="240" w:lineRule="auto"/>
        <w:rPr>
          <w:szCs w:val="22"/>
        </w:rPr>
      </w:pPr>
      <w:proofErr w:type="spellStart"/>
      <w:r w:rsidRPr="00E23246">
        <w:rPr>
          <w:szCs w:val="22"/>
        </w:rPr>
        <w:t>Misodel</w:t>
      </w:r>
      <w:proofErr w:type="spellEnd"/>
      <w:r w:rsidRPr="00E23246">
        <w:rPr>
          <w:szCs w:val="22"/>
        </w:rPr>
        <w:t xml:space="preserve"> vartotinas tik kai yra klinikinė indikacija gimdymui sužadinti.</w:t>
      </w:r>
    </w:p>
    <w:p w:rsidR="00A028B6" w:rsidRPr="00E23246" w:rsidRDefault="00A028B6" w:rsidP="00A028B6">
      <w:pPr>
        <w:tabs>
          <w:tab w:val="left" w:pos="0"/>
        </w:tabs>
        <w:spacing w:line="240" w:lineRule="auto"/>
        <w:rPr>
          <w:szCs w:val="22"/>
        </w:rPr>
      </w:pPr>
    </w:p>
    <w:p w:rsidR="00A028B6" w:rsidRPr="00E23246" w:rsidRDefault="00A028B6" w:rsidP="00A028B6">
      <w:pPr>
        <w:tabs>
          <w:tab w:val="left" w:pos="0"/>
        </w:tabs>
        <w:spacing w:line="240" w:lineRule="auto"/>
        <w:rPr>
          <w:szCs w:val="22"/>
        </w:rPr>
      </w:pPr>
      <w:r w:rsidRPr="00E23246">
        <w:rPr>
          <w:szCs w:val="22"/>
        </w:rPr>
        <w:t xml:space="preserve">Jeigu modifikuotas </w:t>
      </w:r>
      <w:proofErr w:type="spellStart"/>
      <w:r w:rsidRPr="00E23246">
        <w:rPr>
          <w:szCs w:val="22"/>
        </w:rPr>
        <w:t>Bishop</w:t>
      </w:r>
      <w:proofErr w:type="spellEnd"/>
      <w:r w:rsidRPr="00E23246">
        <w:rPr>
          <w:szCs w:val="22"/>
        </w:rPr>
        <w:t xml:space="preserve"> rodiklis (</w:t>
      </w:r>
      <w:proofErr w:type="spellStart"/>
      <w:r w:rsidRPr="00E23246">
        <w:rPr>
          <w:szCs w:val="22"/>
        </w:rPr>
        <w:t>mBS</w:t>
      </w:r>
      <w:proofErr w:type="spellEnd"/>
      <w:r w:rsidRPr="00E23246">
        <w:rPr>
          <w:szCs w:val="22"/>
        </w:rPr>
        <w:t xml:space="preserve">) yra &gt; 4, </w:t>
      </w:r>
      <w:proofErr w:type="spellStart"/>
      <w:r w:rsidRPr="00E23246">
        <w:rPr>
          <w:szCs w:val="22"/>
        </w:rPr>
        <w:t>Misodel</w:t>
      </w:r>
      <w:proofErr w:type="spellEnd"/>
      <w:r w:rsidRPr="00E23246">
        <w:rPr>
          <w:szCs w:val="22"/>
        </w:rPr>
        <w:t xml:space="preserve"> skiriama atsargiai.</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Antros </w:t>
      </w:r>
      <w:proofErr w:type="spellStart"/>
      <w:r w:rsidRPr="00E23246">
        <w:rPr>
          <w:szCs w:val="22"/>
        </w:rPr>
        <w:t>Misodel</w:t>
      </w:r>
      <w:proofErr w:type="spellEnd"/>
      <w:r w:rsidRPr="00E23246">
        <w:rPr>
          <w:szCs w:val="22"/>
        </w:rPr>
        <w:t xml:space="preserve"> dozės vartoti nerekomenduojama, nes jos poveikis netirtas.</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Aprašyta padidėjusi </w:t>
      </w:r>
      <w:proofErr w:type="spellStart"/>
      <w:r w:rsidRPr="00E23246">
        <w:rPr>
          <w:szCs w:val="22"/>
        </w:rPr>
        <w:t>diseminuotos</w:t>
      </w:r>
      <w:proofErr w:type="spellEnd"/>
      <w:r w:rsidRPr="00E23246">
        <w:rPr>
          <w:szCs w:val="22"/>
        </w:rPr>
        <w:t xml:space="preserve"> </w:t>
      </w:r>
      <w:proofErr w:type="spellStart"/>
      <w:r w:rsidRPr="00E23246">
        <w:rPr>
          <w:szCs w:val="22"/>
        </w:rPr>
        <w:t>intravazalinės</w:t>
      </w:r>
      <w:proofErr w:type="spellEnd"/>
      <w:r w:rsidRPr="00E23246">
        <w:rPr>
          <w:szCs w:val="22"/>
        </w:rPr>
        <w:t xml:space="preserve"> </w:t>
      </w:r>
      <w:proofErr w:type="spellStart"/>
      <w:r w:rsidRPr="00E23246">
        <w:rPr>
          <w:szCs w:val="22"/>
        </w:rPr>
        <w:t>koaguliacijos</w:t>
      </w:r>
      <w:proofErr w:type="spellEnd"/>
      <w:r w:rsidRPr="00E23246">
        <w:rPr>
          <w:szCs w:val="22"/>
        </w:rPr>
        <w:t xml:space="preserve"> rizika sužadinus gimdymą bet kuriuo fiziologiniu ar farmakologiniu metodu.</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sidRPr="00E23246">
        <w:rPr>
          <w:szCs w:val="22"/>
        </w:rPr>
        <w:t>Butilhidroksianizolas</w:t>
      </w:r>
      <w:proofErr w:type="spellEnd"/>
      <w:r w:rsidRPr="00E23246">
        <w:rPr>
          <w:szCs w:val="22"/>
        </w:rPr>
        <w:t xml:space="preserve"> naudojamas kaip kryžminio </w:t>
      </w:r>
      <w:proofErr w:type="spellStart"/>
      <w:r w:rsidRPr="00E23246">
        <w:rPr>
          <w:szCs w:val="22"/>
        </w:rPr>
        <w:t>hidrogelio</w:t>
      </w:r>
      <w:proofErr w:type="spellEnd"/>
      <w:r w:rsidRPr="00E23246">
        <w:rPr>
          <w:szCs w:val="22"/>
        </w:rPr>
        <w:t xml:space="preserve"> polimero antioksidantas. Galutinio vaistinio preparato sudėtyje jo yra tik pėdsakų. </w:t>
      </w:r>
      <w:proofErr w:type="spellStart"/>
      <w:r w:rsidRPr="00E23246">
        <w:rPr>
          <w:szCs w:val="22"/>
        </w:rPr>
        <w:t>Butilhidroksianizolas</w:t>
      </w:r>
      <w:proofErr w:type="spellEnd"/>
      <w:r w:rsidRPr="00E23246">
        <w:rPr>
          <w:szCs w:val="22"/>
        </w:rPr>
        <w:t xml:space="preserve"> gali sukelti odos reakcijų (pvz., kontaktinį dermatitą), sudirginti akis ir gleivinę.</w:t>
      </w:r>
    </w:p>
    <w:p w:rsidR="00A028B6" w:rsidRPr="00E23246" w:rsidRDefault="00A028B6" w:rsidP="00A028B6">
      <w:pPr>
        <w:spacing w:line="240" w:lineRule="auto"/>
        <w:rPr>
          <w:szCs w:val="22"/>
        </w:rPr>
      </w:pPr>
    </w:p>
    <w:p w:rsidR="00A028B6" w:rsidRPr="008C011C" w:rsidRDefault="00A028B6" w:rsidP="00A028B6">
      <w:pPr>
        <w:pStyle w:val="Antrat4"/>
        <w:spacing w:line="240" w:lineRule="auto"/>
        <w:rPr>
          <w:rFonts w:ascii="Times New Roman" w:hAnsi="Times New Roman"/>
          <w:sz w:val="22"/>
          <w:lang w:val="lt-LT"/>
        </w:rPr>
      </w:pPr>
      <w:r w:rsidRPr="008C011C">
        <w:rPr>
          <w:rFonts w:ascii="Times New Roman" w:hAnsi="Times New Roman"/>
          <w:sz w:val="22"/>
          <w:lang w:val="lt-LT"/>
        </w:rPr>
        <w:t>4.5</w:t>
      </w:r>
      <w:r w:rsidRPr="008C011C">
        <w:rPr>
          <w:rFonts w:ascii="Times New Roman" w:hAnsi="Times New Roman"/>
          <w:sz w:val="22"/>
          <w:lang w:val="lt-LT"/>
        </w:rPr>
        <w:tab/>
        <w:t>Sąveika su kitais vaistiniais preparatais ir kitokia sąveika</w:t>
      </w:r>
    </w:p>
    <w:p w:rsidR="00A028B6" w:rsidRPr="00E23246" w:rsidRDefault="00A028B6" w:rsidP="00A028B6">
      <w:pPr>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sidRPr="00E23246">
        <w:rPr>
          <w:szCs w:val="22"/>
        </w:rPr>
        <w:t>Misodel</w:t>
      </w:r>
      <w:proofErr w:type="spellEnd"/>
      <w:r w:rsidRPr="00E23246">
        <w:rPr>
          <w:szCs w:val="22"/>
        </w:rPr>
        <w:t xml:space="preserve"> sąveikos tyrimų neatlikta.</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sidRPr="00E23246">
        <w:rPr>
          <w:szCs w:val="22"/>
        </w:rPr>
        <w:t>Misodel</w:t>
      </w:r>
      <w:proofErr w:type="spellEnd"/>
      <w:r w:rsidRPr="00E23246">
        <w:rPr>
          <w:szCs w:val="22"/>
        </w:rPr>
        <w:t xml:space="preserve"> negalima vartoti kartu su kitais gimdymą lengvinančiais ir (arba) jį prasidėti skatinančiais vaistiniais preparatais, nes gali per daug sustiprėti gimdą stimuliuojantis poveikis (žr. 4.2, 4.3 ir 4.4 skyrius).</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Klinikinių tyrimų metu praėjus valandai po </w:t>
      </w:r>
      <w:proofErr w:type="spellStart"/>
      <w:r w:rsidRPr="00E23246">
        <w:rPr>
          <w:szCs w:val="22"/>
        </w:rPr>
        <w:t>Misodel</w:t>
      </w:r>
      <w:proofErr w:type="spellEnd"/>
      <w:r w:rsidRPr="00E23246">
        <w:rPr>
          <w:szCs w:val="22"/>
        </w:rPr>
        <w:t xml:space="preserve"> pašalinimo esant reikalui buvo skiriama kitų prostaglandinų preparatų. Kenksmingo poveikio nepastebėta.</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4.6</w:t>
      </w:r>
      <w:r w:rsidRPr="00E23246">
        <w:rPr>
          <w:rFonts w:ascii="Times New Roman" w:hAnsi="Times New Roman"/>
          <w:sz w:val="22"/>
          <w:szCs w:val="22"/>
          <w:lang w:val="lt-LT"/>
        </w:rPr>
        <w:tab/>
        <w:t>Vaisingumas, nėštumo ir žindymo laikotarpis</w:t>
      </w:r>
    </w:p>
    <w:p w:rsidR="00A028B6" w:rsidRPr="00E23246" w:rsidRDefault="00A028B6" w:rsidP="00A028B6">
      <w:pPr>
        <w:spacing w:line="240" w:lineRule="auto"/>
        <w:rPr>
          <w:szCs w:val="22"/>
        </w:rPr>
      </w:pPr>
    </w:p>
    <w:p w:rsidR="00A028B6" w:rsidRPr="00E23246" w:rsidRDefault="00A028B6" w:rsidP="00A028B6">
      <w:pPr>
        <w:spacing w:line="240" w:lineRule="auto"/>
        <w:rPr>
          <w:color w:val="0D0D0D"/>
          <w:szCs w:val="22"/>
        </w:rPr>
      </w:pPr>
      <w:r w:rsidRPr="00E23246">
        <w:rPr>
          <w:color w:val="0D0D0D"/>
          <w:szCs w:val="22"/>
          <w:u w:val="single"/>
        </w:rPr>
        <w:t>Vaisingumas</w:t>
      </w:r>
    </w:p>
    <w:p w:rsidR="00A028B6" w:rsidRPr="00E23246" w:rsidRDefault="00A028B6" w:rsidP="00A028B6">
      <w:pPr>
        <w:spacing w:line="240" w:lineRule="auto"/>
        <w:rPr>
          <w:szCs w:val="22"/>
        </w:rPr>
      </w:pPr>
      <w:r w:rsidRPr="00E23246">
        <w:rPr>
          <w:szCs w:val="22"/>
        </w:rPr>
        <w:lastRenderedPageBreak/>
        <w:t xml:space="preserve">Poveikio žiurkių vaisingumui ir ankstyvajam embriono vystymuisi tyrimai parodė galimą nepageidaujamą </w:t>
      </w:r>
      <w:proofErr w:type="spellStart"/>
      <w:r w:rsidRPr="00E23246">
        <w:rPr>
          <w:szCs w:val="22"/>
        </w:rPr>
        <w:t>mizoprostolio</w:t>
      </w:r>
      <w:proofErr w:type="spellEnd"/>
      <w:r w:rsidRPr="00E23246">
        <w:rPr>
          <w:szCs w:val="22"/>
        </w:rPr>
        <w:t xml:space="preserve"> poveikį implantacijai, tačiau klinikiniam </w:t>
      </w:r>
      <w:proofErr w:type="spellStart"/>
      <w:r w:rsidRPr="00E23246">
        <w:rPr>
          <w:szCs w:val="22"/>
        </w:rPr>
        <w:t>Misodel</w:t>
      </w:r>
      <w:proofErr w:type="spellEnd"/>
      <w:r w:rsidRPr="00E23246">
        <w:rPr>
          <w:szCs w:val="22"/>
        </w:rPr>
        <w:t xml:space="preserve"> vartojimui pagal indikaciją tai neturi reikšmės (žr. 5.3 skyrių).</w:t>
      </w:r>
    </w:p>
    <w:p w:rsidR="00A028B6" w:rsidRPr="00E23246" w:rsidRDefault="00A028B6" w:rsidP="00A028B6">
      <w:pPr>
        <w:spacing w:line="240" w:lineRule="auto"/>
        <w:rPr>
          <w:color w:val="0D0D0D"/>
          <w:szCs w:val="22"/>
        </w:rPr>
      </w:pPr>
    </w:p>
    <w:p w:rsidR="00A028B6" w:rsidRPr="00E23246" w:rsidRDefault="00A028B6" w:rsidP="00A028B6">
      <w:pPr>
        <w:spacing w:line="240" w:lineRule="auto"/>
        <w:rPr>
          <w:b/>
          <w:i/>
          <w:color w:val="0D0D0D"/>
          <w:szCs w:val="22"/>
        </w:rPr>
      </w:pPr>
      <w:r w:rsidRPr="00E23246">
        <w:rPr>
          <w:color w:val="0D0D0D"/>
          <w:szCs w:val="22"/>
          <w:u w:val="single"/>
        </w:rPr>
        <w:t>Nėštumas</w:t>
      </w: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poveikis ištirtas praėjus 36 nėštumo savaitėms ar daugiau.</w:t>
      </w:r>
    </w:p>
    <w:p w:rsidR="00A028B6" w:rsidRPr="00E23246" w:rsidRDefault="00A028B6" w:rsidP="00A028B6">
      <w:pPr>
        <w:spacing w:line="240" w:lineRule="auto"/>
        <w:rPr>
          <w:szCs w:val="22"/>
        </w:rPr>
      </w:pPr>
      <w:r w:rsidRPr="00E23246">
        <w:rPr>
          <w:szCs w:val="22"/>
        </w:rPr>
        <w:t xml:space="preserve">Nepraėjus 36 nėštumo savaitėms </w:t>
      </w:r>
      <w:proofErr w:type="spellStart"/>
      <w:r w:rsidRPr="00E23246">
        <w:rPr>
          <w:szCs w:val="22"/>
        </w:rPr>
        <w:t>Misodel</w:t>
      </w:r>
      <w:proofErr w:type="spellEnd"/>
      <w:r w:rsidRPr="00E23246">
        <w:rPr>
          <w:szCs w:val="22"/>
        </w:rPr>
        <w:t xml:space="preserve"> vartoti negalima (žr. 4.3 skyrių).</w:t>
      </w:r>
    </w:p>
    <w:p w:rsidR="00A028B6" w:rsidRPr="00E23246" w:rsidRDefault="00A028B6" w:rsidP="00A028B6">
      <w:pPr>
        <w:spacing w:line="240" w:lineRule="auto"/>
        <w:rPr>
          <w:szCs w:val="22"/>
        </w:rPr>
      </w:pPr>
    </w:p>
    <w:p w:rsidR="00A028B6" w:rsidRPr="00E23246" w:rsidRDefault="00A028B6" w:rsidP="00A028B6">
      <w:pPr>
        <w:spacing w:line="240" w:lineRule="auto"/>
        <w:rPr>
          <w:b/>
          <w:i/>
          <w:color w:val="0D0D0D"/>
          <w:szCs w:val="22"/>
        </w:rPr>
      </w:pPr>
      <w:r w:rsidRPr="00E23246">
        <w:rPr>
          <w:color w:val="0D0D0D"/>
          <w:szCs w:val="22"/>
          <w:u w:val="single"/>
        </w:rPr>
        <w:t>Žindymas</w:t>
      </w:r>
    </w:p>
    <w:p w:rsidR="00A028B6" w:rsidRPr="00E23246" w:rsidRDefault="00A028B6" w:rsidP="00A028B6">
      <w:pPr>
        <w:spacing w:line="240" w:lineRule="auto"/>
        <w:rPr>
          <w:szCs w:val="22"/>
        </w:rPr>
      </w:pPr>
      <w:r w:rsidRPr="00E23246">
        <w:rPr>
          <w:szCs w:val="22"/>
        </w:rPr>
        <w:t xml:space="preserve">Kiek </w:t>
      </w:r>
      <w:proofErr w:type="spellStart"/>
      <w:r w:rsidRPr="00E23246">
        <w:rPr>
          <w:szCs w:val="22"/>
        </w:rPr>
        <w:t>mizoprostolio</w:t>
      </w:r>
      <w:proofErr w:type="spellEnd"/>
      <w:r w:rsidRPr="00E23246">
        <w:rPr>
          <w:szCs w:val="22"/>
        </w:rPr>
        <w:t xml:space="preserve"> rūgšties patenka į </w:t>
      </w:r>
      <w:proofErr w:type="spellStart"/>
      <w:r w:rsidRPr="00E23246">
        <w:rPr>
          <w:szCs w:val="22"/>
        </w:rPr>
        <w:t>priešpienį</w:t>
      </w:r>
      <w:proofErr w:type="spellEnd"/>
      <w:r w:rsidRPr="00E23246">
        <w:rPr>
          <w:szCs w:val="22"/>
        </w:rPr>
        <w:t xml:space="preserve"> ar pieną pavartojus </w:t>
      </w:r>
      <w:proofErr w:type="spellStart"/>
      <w:r w:rsidRPr="00E23246">
        <w:rPr>
          <w:szCs w:val="22"/>
        </w:rPr>
        <w:t>Misodel</w:t>
      </w:r>
      <w:proofErr w:type="spellEnd"/>
      <w:r w:rsidRPr="00E23246">
        <w:rPr>
          <w:szCs w:val="22"/>
        </w:rPr>
        <w:t>, netirta.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Mizoprostolio</w:t>
      </w:r>
      <w:proofErr w:type="spellEnd"/>
      <w:r w:rsidRPr="00E23246">
        <w:rPr>
          <w:szCs w:val="22"/>
        </w:rPr>
        <w:t xml:space="preserve"> rūgšties rasta </w:t>
      </w:r>
      <w:proofErr w:type="spellStart"/>
      <w:r w:rsidRPr="00E23246">
        <w:rPr>
          <w:szCs w:val="22"/>
        </w:rPr>
        <w:t>mizoprostolio</w:t>
      </w:r>
      <w:proofErr w:type="spellEnd"/>
      <w:r w:rsidRPr="00E23246">
        <w:rPr>
          <w:szCs w:val="22"/>
        </w:rPr>
        <w:t xml:space="preserve"> tablečių gėrusių moterų piene. </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Pašalinus </w:t>
      </w:r>
      <w:proofErr w:type="spellStart"/>
      <w:r w:rsidRPr="00E23246">
        <w:rPr>
          <w:szCs w:val="22"/>
        </w:rPr>
        <w:t>Misodel</w:t>
      </w:r>
      <w:proofErr w:type="spellEnd"/>
      <w:r w:rsidRPr="00E23246">
        <w:rPr>
          <w:szCs w:val="22"/>
        </w:rPr>
        <w:t xml:space="preserve">, </w:t>
      </w:r>
      <w:proofErr w:type="spellStart"/>
      <w:r w:rsidRPr="00E23246">
        <w:rPr>
          <w:szCs w:val="22"/>
        </w:rPr>
        <w:t>mizoprostolio</w:t>
      </w:r>
      <w:proofErr w:type="spellEnd"/>
      <w:r w:rsidRPr="00E23246">
        <w:rPr>
          <w:szCs w:val="22"/>
        </w:rPr>
        <w:t xml:space="preserve"> rūgšties pusinio periodo plazmoje mediana būna maždaug 40 min. Praėjus 5 pusiniams periodams (apie 3 val.), </w:t>
      </w:r>
      <w:proofErr w:type="spellStart"/>
      <w:r w:rsidRPr="00E23246">
        <w:rPr>
          <w:szCs w:val="22"/>
        </w:rPr>
        <w:t>mizoprostolio</w:t>
      </w:r>
      <w:proofErr w:type="spellEnd"/>
      <w:r w:rsidRPr="00E23246">
        <w:rPr>
          <w:szCs w:val="22"/>
        </w:rPr>
        <w:t xml:space="preserve"> rūgšties koncentracija moters plazmoje lieka nereikšminga. </w:t>
      </w:r>
      <w:proofErr w:type="spellStart"/>
      <w:r w:rsidRPr="00E23246">
        <w:rPr>
          <w:szCs w:val="22"/>
        </w:rPr>
        <w:t>Mizoprostolio</w:t>
      </w:r>
      <w:proofErr w:type="spellEnd"/>
      <w:r w:rsidRPr="00E23246">
        <w:rPr>
          <w:szCs w:val="22"/>
        </w:rPr>
        <w:t xml:space="preserve"> rūgšties gali išsiskirti į </w:t>
      </w:r>
      <w:proofErr w:type="spellStart"/>
      <w:r w:rsidRPr="00E23246">
        <w:rPr>
          <w:szCs w:val="22"/>
        </w:rPr>
        <w:t>priešpienį</w:t>
      </w:r>
      <w:proofErr w:type="spellEnd"/>
      <w:r w:rsidRPr="00E23246">
        <w:rPr>
          <w:szCs w:val="22"/>
        </w:rPr>
        <w:t xml:space="preserve"> ir pieną, tačiau tikėtina, kad labai nedaug ir trumpai, todėl tai neturi būti kliūtis žindymui. Vykdant </w:t>
      </w:r>
      <w:proofErr w:type="spellStart"/>
      <w:r w:rsidRPr="00E23246">
        <w:rPr>
          <w:szCs w:val="22"/>
        </w:rPr>
        <w:t>Misodel</w:t>
      </w:r>
      <w:proofErr w:type="spellEnd"/>
      <w:r w:rsidRPr="00E23246">
        <w:rPr>
          <w:szCs w:val="22"/>
        </w:rPr>
        <w:t xml:space="preserve"> klinikinių tyrimų programą, jo poveikio žindomiems naujagimiams nenustatyta.</w:t>
      </w:r>
    </w:p>
    <w:p w:rsidR="00A028B6" w:rsidRPr="00E23246" w:rsidRDefault="00A028B6" w:rsidP="00A028B6">
      <w:pPr>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4.7</w:t>
      </w:r>
      <w:r w:rsidRPr="00E23246">
        <w:rPr>
          <w:rFonts w:ascii="Times New Roman" w:hAnsi="Times New Roman"/>
          <w:sz w:val="22"/>
          <w:szCs w:val="22"/>
          <w:lang w:val="lt-LT"/>
        </w:rPr>
        <w:tab/>
        <w:t>Poveikis gebėjimui vairuoti ir valdyti mechanizmus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Duomenys neaktualūs.</w:t>
      </w:r>
    </w:p>
    <w:p w:rsidR="00A028B6" w:rsidRPr="00E23246" w:rsidRDefault="00A028B6" w:rsidP="00A028B6">
      <w:pPr>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4.8</w:t>
      </w:r>
      <w:r w:rsidRPr="00E23246">
        <w:rPr>
          <w:rFonts w:ascii="Times New Roman" w:hAnsi="Times New Roman"/>
          <w:sz w:val="22"/>
          <w:szCs w:val="22"/>
          <w:lang w:val="lt-LT"/>
        </w:rPr>
        <w:tab/>
        <w:t>Nepageidaujamas poveikis</w:t>
      </w:r>
    </w:p>
    <w:p w:rsidR="00A028B6" w:rsidRPr="00E23246" w:rsidRDefault="00A028B6" w:rsidP="00A028B6">
      <w:pPr>
        <w:tabs>
          <w:tab w:val="clear" w:pos="567"/>
        </w:tabs>
        <w:autoSpaceDE w:val="0"/>
        <w:spacing w:line="240" w:lineRule="auto"/>
        <w:contextualSpacing/>
        <w:rPr>
          <w:szCs w:val="22"/>
        </w:rPr>
      </w:pPr>
    </w:p>
    <w:p w:rsidR="00A028B6" w:rsidRPr="00E23246" w:rsidRDefault="00A028B6" w:rsidP="00A028B6">
      <w:pPr>
        <w:spacing w:line="240" w:lineRule="auto"/>
        <w:rPr>
          <w:szCs w:val="22"/>
        </w:rPr>
      </w:pPr>
      <w:r w:rsidRPr="00E23246">
        <w:rPr>
          <w:szCs w:val="22"/>
        </w:rPr>
        <w:t>Klinikinių tyrimų duomenys</w:t>
      </w:r>
    </w:p>
    <w:p w:rsidR="00A028B6" w:rsidRPr="00E23246" w:rsidRDefault="00A028B6" w:rsidP="00A028B6">
      <w:pPr>
        <w:spacing w:line="240" w:lineRule="auto"/>
        <w:rPr>
          <w:szCs w:val="22"/>
        </w:rPr>
      </w:pPr>
    </w:p>
    <w:p w:rsidR="00A028B6" w:rsidRPr="00E23246" w:rsidRDefault="00A028B6" w:rsidP="00A028B6">
      <w:pPr>
        <w:tabs>
          <w:tab w:val="clear" w:pos="567"/>
        </w:tabs>
        <w:autoSpaceDE w:val="0"/>
        <w:spacing w:line="240" w:lineRule="auto"/>
        <w:contextualSpacing/>
        <w:rPr>
          <w:i/>
          <w:szCs w:val="22"/>
        </w:rPr>
      </w:pPr>
      <w:r w:rsidRPr="00E23246">
        <w:rPr>
          <w:i/>
          <w:szCs w:val="22"/>
        </w:rPr>
        <w:t>Saugumo duomenų santrauka</w:t>
      </w:r>
    </w:p>
    <w:p w:rsidR="00A028B6" w:rsidRPr="00E23246" w:rsidRDefault="00A028B6" w:rsidP="00A028B6">
      <w:pPr>
        <w:spacing w:line="240" w:lineRule="auto"/>
        <w:rPr>
          <w:b/>
          <w:szCs w:val="22"/>
        </w:rPr>
      </w:pPr>
      <w:r w:rsidRPr="00E23246">
        <w:rPr>
          <w:szCs w:val="22"/>
        </w:rPr>
        <w:t xml:space="preserve">Nepageidaujamos reakcijos 1 lentelėje nurodytos remiantis 5 </w:t>
      </w:r>
      <w:proofErr w:type="spellStart"/>
      <w:r w:rsidRPr="00E23246">
        <w:rPr>
          <w:szCs w:val="22"/>
        </w:rPr>
        <w:t>Misodel</w:t>
      </w:r>
      <w:proofErr w:type="spellEnd"/>
      <w:r w:rsidRPr="00E23246">
        <w:rPr>
          <w:szCs w:val="22"/>
        </w:rPr>
        <w:t xml:space="preserve"> klinikinių tyrimų duomenimis (juose dalyvavo 874 nėščios moterys, kurioms buvo laikas gimdyti). Dažniausios nepageidaujamos reakcijos buvo nenormalūs gimdos susitraukimai, sutrikęs vaisiaus širdies susitraukimų dažnis ir nenormalus gimdymas, turėjęs įtakos vaisiaus būklei. </w:t>
      </w:r>
    </w:p>
    <w:p w:rsidR="00A028B6" w:rsidRPr="00E23246" w:rsidRDefault="00A028B6" w:rsidP="00A028B6">
      <w:pPr>
        <w:spacing w:line="240" w:lineRule="auto"/>
        <w:rPr>
          <w:b/>
          <w:szCs w:val="22"/>
        </w:rPr>
      </w:pPr>
    </w:p>
    <w:p w:rsidR="00A028B6" w:rsidRPr="00E23246" w:rsidRDefault="00A028B6" w:rsidP="00A028B6">
      <w:pPr>
        <w:spacing w:line="240" w:lineRule="auto"/>
        <w:rPr>
          <w:b/>
          <w:szCs w:val="22"/>
        </w:rPr>
      </w:pPr>
      <w:r w:rsidRPr="00E23246">
        <w:rPr>
          <w:b/>
          <w:szCs w:val="22"/>
        </w:rPr>
        <w:t>1 lentelė. Nepageidaujamos reakcijos, užfiksuotos klinikinių tyrimų metu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1535"/>
        <w:gridCol w:w="3048"/>
        <w:gridCol w:w="3048"/>
      </w:tblGrid>
      <w:tr w:rsidR="00A028B6" w:rsidRPr="00E23246" w:rsidTr="001B46CB">
        <w:trPr>
          <w:tblHeader/>
        </w:trPr>
        <w:tc>
          <w:tcPr>
            <w:tcW w:w="1975" w:type="dxa"/>
          </w:tcPr>
          <w:p w:rsidR="00A028B6" w:rsidRPr="00E23246" w:rsidRDefault="00A028B6" w:rsidP="001B46CB">
            <w:pPr>
              <w:tabs>
                <w:tab w:val="clear" w:pos="567"/>
              </w:tabs>
              <w:spacing w:line="240" w:lineRule="auto"/>
              <w:rPr>
                <w:b/>
                <w:szCs w:val="22"/>
                <w:lang w:eastAsia="da-DK"/>
              </w:rPr>
            </w:pPr>
            <w:r w:rsidRPr="00E23246">
              <w:rPr>
                <w:b/>
                <w:szCs w:val="22"/>
                <w:lang w:eastAsia="da-DK"/>
              </w:rPr>
              <w:t>Organų sistemų grupė</w:t>
            </w:r>
          </w:p>
        </w:tc>
        <w:tc>
          <w:tcPr>
            <w:tcW w:w="1535" w:type="dxa"/>
          </w:tcPr>
          <w:p w:rsidR="00A028B6" w:rsidRPr="00E23246" w:rsidRDefault="00A028B6" w:rsidP="001B46CB">
            <w:pPr>
              <w:tabs>
                <w:tab w:val="clear" w:pos="567"/>
              </w:tabs>
              <w:spacing w:line="240" w:lineRule="auto"/>
              <w:jc w:val="center"/>
              <w:rPr>
                <w:b/>
                <w:szCs w:val="22"/>
                <w:lang w:eastAsia="da-DK"/>
              </w:rPr>
            </w:pPr>
            <w:r w:rsidRPr="00E23246">
              <w:rPr>
                <w:b/>
                <w:szCs w:val="22"/>
                <w:lang w:eastAsia="da-DK"/>
              </w:rPr>
              <w:t>Labai dažnos (</w:t>
            </w:r>
            <w:r w:rsidRPr="00E23246">
              <w:rPr>
                <w:b/>
                <w:szCs w:val="22"/>
                <w:lang w:eastAsia="da-DK"/>
              </w:rPr>
              <w:sym w:font="Symbol" w:char="F0B3"/>
            </w:r>
            <w:r w:rsidRPr="00E23246">
              <w:rPr>
                <w:b/>
                <w:szCs w:val="22"/>
                <w:lang w:eastAsia="da-DK"/>
              </w:rPr>
              <w:t> 1/10)</w:t>
            </w:r>
          </w:p>
        </w:tc>
        <w:tc>
          <w:tcPr>
            <w:tcW w:w="3048" w:type="dxa"/>
          </w:tcPr>
          <w:p w:rsidR="00A028B6" w:rsidRPr="00E23246" w:rsidRDefault="00A028B6" w:rsidP="001B46CB">
            <w:pPr>
              <w:tabs>
                <w:tab w:val="clear" w:pos="567"/>
              </w:tabs>
              <w:spacing w:line="240" w:lineRule="auto"/>
              <w:jc w:val="center"/>
              <w:rPr>
                <w:b/>
                <w:szCs w:val="22"/>
                <w:lang w:eastAsia="da-DK"/>
              </w:rPr>
            </w:pPr>
            <w:r w:rsidRPr="00E23246">
              <w:rPr>
                <w:b/>
                <w:szCs w:val="22"/>
                <w:lang w:eastAsia="da-DK"/>
              </w:rPr>
              <w:t>Dažnos</w:t>
            </w:r>
          </w:p>
          <w:p w:rsidR="00A028B6" w:rsidRPr="00E23246" w:rsidRDefault="00A028B6" w:rsidP="001B46CB">
            <w:pPr>
              <w:tabs>
                <w:tab w:val="clear" w:pos="567"/>
              </w:tabs>
              <w:spacing w:line="240" w:lineRule="auto"/>
              <w:jc w:val="center"/>
              <w:rPr>
                <w:b/>
                <w:szCs w:val="22"/>
                <w:lang w:eastAsia="da-DK"/>
              </w:rPr>
            </w:pPr>
            <w:r w:rsidRPr="00E23246">
              <w:rPr>
                <w:b/>
                <w:szCs w:val="22"/>
                <w:lang w:eastAsia="da-DK"/>
              </w:rPr>
              <w:t xml:space="preserve">(nuo </w:t>
            </w:r>
            <w:r w:rsidRPr="00E23246">
              <w:rPr>
                <w:b/>
                <w:szCs w:val="22"/>
                <w:lang w:eastAsia="da-DK"/>
              </w:rPr>
              <w:sym w:font="Symbol" w:char="F0B3"/>
            </w:r>
            <w:r w:rsidRPr="00E23246">
              <w:rPr>
                <w:b/>
                <w:szCs w:val="22"/>
                <w:lang w:eastAsia="da-DK"/>
              </w:rPr>
              <w:t> 1/100 iki &lt; 1/10)</w:t>
            </w:r>
          </w:p>
        </w:tc>
        <w:tc>
          <w:tcPr>
            <w:tcW w:w="3048" w:type="dxa"/>
          </w:tcPr>
          <w:p w:rsidR="00A028B6" w:rsidRPr="00E23246" w:rsidRDefault="00A028B6" w:rsidP="001B46CB">
            <w:pPr>
              <w:tabs>
                <w:tab w:val="clear" w:pos="567"/>
              </w:tabs>
              <w:spacing w:line="240" w:lineRule="auto"/>
              <w:jc w:val="center"/>
              <w:rPr>
                <w:b/>
                <w:szCs w:val="22"/>
                <w:lang w:eastAsia="da-DK"/>
              </w:rPr>
            </w:pPr>
            <w:r w:rsidRPr="00E23246">
              <w:rPr>
                <w:b/>
                <w:szCs w:val="22"/>
                <w:lang w:eastAsia="da-DK"/>
              </w:rPr>
              <w:t>Nedažnos</w:t>
            </w:r>
          </w:p>
          <w:p w:rsidR="00A028B6" w:rsidRPr="00E23246" w:rsidRDefault="00A028B6" w:rsidP="001B46CB">
            <w:pPr>
              <w:tabs>
                <w:tab w:val="clear" w:pos="567"/>
              </w:tabs>
              <w:spacing w:line="240" w:lineRule="auto"/>
              <w:jc w:val="center"/>
              <w:rPr>
                <w:b/>
                <w:szCs w:val="22"/>
                <w:lang w:eastAsia="da-DK"/>
              </w:rPr>
            </w:pPr>
            <w:r w:rsidRPr="00E23246">
              <w:rPr>
                <w:b/>
                <w:szCs w:val="22"/>
                <w:lang w:eastAsia="da-DK"/>
              </w:rPr>
              <w:t xml:space="preserve">(nuo </w:t>
            </w:r>
            <w:r w:rsidRPr="00E23246">
              <w:rPr>
                <w:b/>
                <w:szCs w:val="22"/>
                <w:lang w:eastAsia="da-DK"/>
              </w:rPr>
              <w:sym w:font="Symbol" w:char="F0B3"/>
            </w:r>
            <w:r w:rsidRPr="00E23246">
              <w:rPr>
                <w:b/>
                <w:szCs w:val="22"/>
                <w:lang w:eastAsia="da-DK"/>
              </w:rPr>
              <w:t> 1/1000 iki &lt; 1/100)</w:t>
            </w: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Nervų sistemos sutrikimai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roofErr w:type="spellStart"/>
            <w:r w:rsidRPr="00E23246">
              <w:rPr>
                <w:szCs w:val="22"/>
                <w:lang w:eastAsia="da-DK"/>
              </w:rPr>
              <w:t>hipoksinė</w:t>
            </w:r>
            <w:proofErr w:type="spellEnd"/>
            <w:r w:rsidRPr="00E23246">
              <w:rPr>
                <w:szCs w:val="22"/>
                <w:lang w:eastAsia="da-DK"/>
              </w:rPr>
              <w:t xml:space="preserve">-išeminė </w:t>
            </w:r>
            <w:proofErr w:type="spellStart"/>
            <w:r w:rsidRPr="00E23246">
              <w:rPr>
                <w:szCs w:val="22"/>
                <w:lang w:eastAsia="da-DK"/>
              </w:rPr>
              <w:t>encefalopatija</w:t>
            </w:r>
            <w:proofErr w:type="spellEnd"/>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Širdies sutrikimai</w:t>
            </w:r>
          </w:p>
        </w:tc>
        <w:tc>
          <w:tcPr>
            <w:tcW w:w="1535" w:type="dxa"/>
          </w:tcPr>
          <w:p w:rsidR="00A028B6" w:rsidRPr="00E23246" w:rsidRDefault="00A028B6" w:rsidP="001B46CB">
            <w:pPr>
              <w:tabs>
                <w:tab w:val="clear" w:pos="567"/>
              </w:tabs>
              <w:spacing w:line="240" w:lineRule="auto"/>
              <w:rPr>
                <w:szCs w:val="22"/>
                <w:lang w:eastAsia="da-DK"/>
              </w:rPr>
            </w:pPr>
            <w:r w:rsidRPr="00E23246">
              <w:rPr>
                <w:szCs w:val="22"/>
              </w:rPr>
              <w:t>sutrikęs vaisiaus širdies susitraukimų dažnis</w:t>
            </w:r>
            <w:r w:rsidRPr="00E23246">
              <w:rPr>
                <w:szCs w:val="22"/>
                <w:lang w:eastAsia="da-DK"/>
              </w:rPr>
              <w:t> </w:t>
            </w:r>
            <w:r w:rsidRPr="00E23246">
              <w:rPr>
                <w:color w:val="000000"/>
                <w:szCs w:val="22"/>
                <w:vertAlign w:val="superscript"/>
                <w:lang w:eastAsia="da-DK"/>
              </w:rPr>
              <w:t>†</w:t>
            </w: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Kvėpavimo sistemos, krūtinės ląstos ir tarpuplaučio sutrikimai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Default="00A028B6" w:rsidP="001B46CB">
            <w:pPr>
              <w:tabs>
                <w:tab w:val="clear" w:pos="567"/>
              </w:tabs>
              <w:spacing w:line="240" w:lineRule="auto"/>
              <w:rPr>
                <w:szCs w:val="22"/>
                <w:lang w:eastAsia="da-DK"/>
              </w:rPr>
            </w:pPr>
            <w:r w:rsidRPr="00E23246">
              <w:rPr>
                <w:szCs w:val="22"/>
                <w:lang w:eastAsia="da-DK"/>
              </w:rPr>
              <w:t>sus</w:t>
            </w:r>
            <w:r>
              <w:rPr>
                <w:szCs w:val="22"/>
                <w:lang w:eastAsia="da-DK"/>
              </w:rPr>
              <w:t>ilpnėjęs naujagimio kvėpavimas</w:t>
            </w:r>
            <w:r w:rsidRPr="00E23246">
              <w:rPr>
                <w:szCs w:val="22"/>
                <w:lang w:eastAsia="da-DK"/>
              </w:rPr>
              <w:t>,</w:t>
            </w:r>
          </w:p>
          <w:p w:rsidR="00A028B6" w:rsidRPr="00E23246" w:rsidRDefault="00A028B6" w:rsidP="001B46CB">
            <w:pPr>
              <w:tabs>
                <w:tab w:val="clear" w:pos="567"/>
              </w:tabs>
              <w:spacing w:line="240" w:lineRule="auto"/>
              <w:rPr>
                <w:szCs w:val="22"/>
                <w:lang w:eastAsia="da-DK"/>
              </w:rPr>
            </w:pPr>
          </w:p>
          <w:p w:rsidR="00A028B6" w:rsidRPr="00E23246" w:rsidRDefault="00A028B6" w:rsidP="001B46CB">
            <w:pPr>
              <w:tabs>
                <w:tab w:val="clear" w:pos="567"/>
              </w:tabs>
              <w:spacing w:line="240" w:lineRule="auto"/>
              <w:rPr>
                <w:szCs w:val="22"/>
                <w:lang w:eastAsia="da-DK"/>
              </w:rPr>
            </w:pPr>
            <w:r w:rsidRPr="00E23246">
              <w:rPr>
                <w:szCs w:val="22"/>
                <w:lang w:eastAsia="da-DK"/>
              </w:rPr>
              <w:t>tr</w:t>
            </w:r>
            <w:r>
              <w:rPr>
                <w:szCs w:val="22"/>
                <w:lang w:eastAsia="da-DK"/>
              </w:rPr>
              <w:t xml:space="preserve">umpalaikė naujagimio </w:t>
            </w:r>
            <w:proofErr w:type="spellStart"/>
            <w:r>
              <w:rPr>
                <w:szCs w:val="22"/>
                <w:lang w:eastAsia="da-DK"/>
              </w:rPr>
              <w:t>tachipnėja</w:t>
            </w:r>
            <w:proofErr w:type="spellEnd"/>
          </w:p>
        </w:tc>
        <w:tc>
          <w:tcPr>
            <w:tcW w:w="3048" w:type="dxa"/>
          </w:tcPr>
          <w:p w:rsidR="00A028B6" w:rsidRPr="00E23246" w:rsidRDefault="00A028B6" w:rsidP="001B46CB">
            <w:pPr>
              <w:tabs>
                <w:tab w:val="clear" w:pos="567"/>
              </w:tabs>
              <w:spacing w:line="240" w:lineRule="auto"/>
              <w:rPr>
                <w:szCs w:val="22"/>
                <w:vertAlign w:val="superscript"/>
                <w:lang w:eastAsia="da-DK"/>
              </w:rPr>
            </w:pP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Virškinimo trakto sutrikimai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sidRPr="00E23246">
              <w:rPr>
                <w:szCs w:val="22"/>
                <w:lang w:eastAsia="da-DK"/>
              </w:rPr>
              <w:t>pykinimas,</w:t>
            </w:r>
          </w:p>
          <w:p w:rsidR="00A028B6" w:rsidRPr="00E23246" w:rsidRDefault="00A028B6" w:rsidP="001B46CB">
            <w:pPr>
              <w:tabs>
                <w:tab w:val="clear" w:pos="567"/>
              </w:tabs>
              <w:spacing w:line="240" w:lineRule="auto"/>
              <w:rPr>
                <w:szCs w:val="22"/>
                <w:lang w:eastAsia="da-DK"/>
              </w:rPr>
            </w:pPr>
            <w:r w:rsidRPr="00E23246">
              <w:rPr>
                <w:szCs w:val="22"/>
                <w:lang w:eastAsia="da-DK"/>
              </w:rPr>
              <w:t>vėmimas</w:t>
            </w: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Odos ir poodinio audinio sutrikimai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sidRPr="00E23246">
              <w:rPr>
                <w:szCs w:val="22"/>
                <w:lang w:eastAsia="da-DK"/>
              </w:rPr>
              <w:t>išbėrimas</w:t>
            </w: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lastRenderedPageBreak/>
              <w:t>Būklės nėštumo, pogimdyminiu ir perinataliniu laikotarpiu</w:t>
            </w:r>
          </w:p>
        </w:tc>
        <w:tc>
          <w:tcPr>
            <w:tcW w:w="1535" w:type="dxa"/>
          </w:tcPr>
          <w:p w:rsidR="00A028B6" w:rsidRDefault="00A028B6" w:rsidP="001B46CB">
            <w:pPr>
              <w:tabs>
                <w:tab w:val="clear" w:pos="567"/>
              </w:tabs>
              <w:spacing w:line="240" w:lineRule="auto"/>
              <w:rPr>
                <w:szCs w:val="22"/>
                <w:lang w:eastAsia="da-DK"/>
              </w:rPr>
            </w:pPr>
            <w:proofErr w:type="spellStart"/>
            <w:r w:rsidRPr="00E23246">
              <w:rPr>
                <w:szCs w:val="22"/>
                <w:lang w:eastAsia="da-DK"/>
              </w:rPr>
              <w:t>mekonijus</w:t>
            </w:r>
            <w:proofErr w:type="spellEnd"/>
            <w:r w:rsidRPr="00E23246">
              <w:rPr>
                <w:szCs w:val="22"/>
                <w:lang w:eastAsia="da-DK"/>
              </w:rPr>
              <w:t xml:space="preserve"> </w:t>
            </w:r>
            <w:proofErr w:type="spellStart"/>
            <w:r w:rsidRPr="00E23246">
              <w:rPr>
                <w:szCs w:val="22"/>
                <w:lang w:eastAsia="da-DK"/>
              </w:rPr>
              <w:t>amniono</w:t>
            </w:r>
            <w:proofErr w:type="spellEnd"/>
            <w:r w:rsidRPr="00E23246">
              <w:rPr>
                <w:szCs w:val="22"/>
                <w:lang w:eastAsia="da-DK"/>
              </w:rPr>
              <w:t xml:space="preserve"> skystyje, </w:t>
            </w:r>
          </w:p>
          <w:p w:rsidR="00A028B6" w:rsidRDefault="00A028B6" w:rsidP="001B46CB">
            <w:pPr>
              <w:tabs>
                <w:tab w:val="clear" w:pos="567"/>
              </w:tabs>
              <w:spacing w:line="240" w:lineRule="auto"/>
              <w:rPr>
                <w:szCs w:val="22"/>
                <w:lang w:eastAsia="da-DK"/>
              </w:rPr>
            </w:pPr>
          </w:p>
          <w:p w:rsidR="00A028B6" w:rsidRDefault="00A028B6" w:rsidP="001B46CB">
            <w:pPr>
              <w:tabs>
                <w:tab w:val="clear" w:pos="567"/>
              </w:tabs>
              <w:spacing w:line="240" w:lineRule="auto"/>
              <w:rPr>
                <w:szCs w:val="22"/>
                <w:lang w:eastAsia="da-DK"/>
              </w:rPr>
            </w:pPr>
            <w:r>
              <w:rPr>
                <w:szCs w:val="22"/>
                <w:lang w:eastAsia="da-DK"/>
              </w:rPr>
              <w:t>nenormalūs gimdos susitraukimai,</w:t>
            </w:r>
          </w:p>
          <w:p w:rsidR="00A028B6" w:rsidRDefault="00A028B6" w:rsidP="001B46CB">
            <w:pPr>
              <w:tabs>
                <w:tab w:val="clear" w:pos="567"/>
              </w:tabs>
              <w:spacing w:line="240" w:lineRule="auto"/>
              <w:rPr>
                <w:szCs w:val="22"/>
                <w:lang w:eastAsia="da-DK"/>
              </w:rPr>
            </w:pPr>
          </w:p>
          <w:p w:rsidR="00A028B6" w:rsidRPr="00E23246" w:rsidRDefault="00A028B6" w:rsidP="001B46CB">
            <w:pPr>
              <w:tabs>
                <w:tab w:val="clear" w:pos="567"/>
              </w:tabs>
              <w:spacing w:line="240" w:lineRule="auto"/>
              <w:rPr>
                <w:szCs w:val="22"/>
                <w:lang w:eastAsia="da-DK"/>
              </w:rPr>
            </w:pPr>
            <w:r w:rsidRPr="00E23246">
              <w:rPr>
                <w:szCs w:val="22"/>
              </w:rPr>
              <w:t>nenormalus gimdymas, turintis įtakos vaisiaus būklei</w:t>
            </w:r>
          </w:p>
        </w:tc>
        <w:tc>
          <w:tcPr>
            <w:tcW w:w="3048" w:type="dxa"/>
          </w:tcPr>
          <w:p w:rsidR="00A028B6" w:rsidRPr="00E23246" w:rsidRDefault="00A028B6" w:rsidP="001B46CB">
            <w:pPr>
              <w:tabs>
                <w:tab w:val="clear" w:pos="567"/>
              </w:tabs>
              <w:spacing w:line="240" w:lineRule="auto"/>
              <w:rPr>
                <w:szCs w:val="22"/>
                <w:lang w:eastAsia="da-DK"/>
              </w:rPr>
            </w:pPr>
            <w:r>
              <w:rPr>
                <w:szCs w:val="22"/>
                <w:lang w:eastAsia="da-DK"/>
              </w:rPr>
              <w:t xml:space="preserve">vaisiaus </w:t>
            </w:r>
            <w:proofErr w:type="spellStart"/>
            <w:r>
              <w:rPr>
                <w:szCs w:val="22"/>
                <w:lang w:eastAsia="da-DK"/>
              </w:rPr>
              <w:t>acidozė</w:t>
            </w:r>
            <w:proofErr w:type="spellEnd"/>
            <w:r w:rsidRPr="00E23246">
              <w:rPr>
                <w:szCs w:val="22"/>
                <w:lang w:eastAsia="da-DK"/>
              </w:rPr>
              <w:t>,</w:t>
            </w:r>
          </w:p>
          <w:p w:rsidR="00A028B6" w:rsidRDefault="00A028B6" w:rsidP="001B46CB">
            <w:pPr>
              <w:tabs>
                <w:tab w:val="clear" w:pos="567"/>
              </w:tabs>
              <w:spacing w:line="240" w:lineRule="auto"/>
              <w:rPr>
                <w:szCs w:val="22"/>
                <w:lang w:eastAsia="da-DK"/>
              </w:rPr>
            </w:pPr>
          </w:p>
          <w:p w:rsidR="00A028B6" w:rsidRPr="00E23246" w:rsidRDefault="00A028B6" w:rsidP="001B46CB">
            <w:pPr>
              <w:tabs>
                <w:tab w:val="clear" w:pos="567"/>
              </w:tabs>
              <w:spacing w:line="240" w:lineRule="auto"/>
              <w:rPr>
                <w:szCs w:val="22"/>
                <w:lang w:eastAsia="da-DK"/>
              </w:rPr>
            </w:pPr>
            <w:r w:rsidRPr="00E23246">
              <w:rPr>
                <w:szCs w:val="22"/>
                <w:lang w:eastAsia="da-DK"/>
              </w:rPr>
              <w:t>pogimdyminis kraujavimas,</w:t>
            </w:r>
          </w:p>
          <w:p w:rsidR="00A028B6" w:rsidRDefault="00A028B6" w:rsidP="001B46CB">
            <w:pPr>
              <w:tabs>
                <w:tab w:val="clear" w:pos="567"/>
              </w:tabs>
              <w:spacing w:line="240" w:lineRule="auto"/>
              <w:rPr>
                <w:szCs w:val="22"/>
                <w:lang w:eastAsia="da-DK"/>
              </w:rPr>
            </w:pPr>
          </w:p>
          <w:p w:rsidR="00A028B6" w:rsidRPr="00E23246" w:rsidRDefault="00A028B6" w:rsidP="001B46CB">
            <w:pPr>
              <w:tabs>
                <w:tab w:val="clear" w:pos="567"/>
              </w:tabs>
              <w:spacing w:line="240" w:lineRule="auto"/>
              <w:rPr>
                <w:szCs w:val="22"/>
                <w:lang w:eastAsia="da-DK"/>
              </w:rPr>
            </w:pPr>
            <w:r w:rsidRPr="00E23246">
              <w:rPr>
                <w:szCs w:val="22"/>
                <w:lang w:eastAsia="da-DK"/>
              </w:rPr>
              <w:t>gimdos hipertonija</w:t>
            </w:r>
          </w:p>
        </w:tc>
        <w:tc>
          <w:tcPr>
            <w:tcW w:w="3048" w:type="dxa"/>
          </w:tcPr>
          <w:p w:rsidR="00A028B6" w:rsidRDefault="00A028B6" w:rsidP="001B46CB">
            <w:pPr>
              <w:tabs>
                <w:tab w:val="clear" w:pos="567"/>
              </w:tabs>
              <w:spacing w:line="240" w:lineRule="auto"/>
              <w:rPr>
                <w:szCs w:val="22"/>
                <w:lang w:eastAsia="da-DK"/>
              </w:rPr>
            </w:pPr>
            <w:proofErr w:type="spellStart"/>
            <w:r w:rsidRPr="00E23246">
              <w:rPr>
                <w:szCs w:val="22"/>
                <w:lang w:eastAsia="da-DK"/>
              </w:rPr>
              <w:t>priešgimdyminis</w:t>
            </w:r>
            <w:proofErr w:type="spellEnd"/>
            <w:r w:rsidRPr="00E23246">
              <w:rPr>
                <w:szCs w:val="22"/>
                <w:lang w:eastAsia="da-DK"/>
              </w:rPr>
              <w:t xml:space="preserve"> kraujavimas,</w:t>
            </w:r>
          </w:p>
          <w:p w:rsidR="00A028B6" w:rsidRPr="00E23246" w:rsidRDefault="00A028B6" w:rsidP="001B46CB">
            <w:pPr>
              <w:tabs>
                <w:tab w:val="clear" w:pos="567"/>
              </w:tabs>
              <w:spacing w:line="240" w:lineRule="auto"/>
              <w:rPr>
                <w:szCs w:val="22"/>
                <w:lang w:eastAsia="da-DK"/>
              </w:rPr>
            </w:pPr>
          </w:p>
          <w:p w:rsidR="00A028B6" w:rsidRPr="00E23246" w:rsidRDefault="00A028B6" w:rsidP="001B46CB">
            <w:pPr>
              <w:tabs>
                <w:tab w:val="clear" w:pos="567"/>
              </w:tabs>
              <w:spacing w:line="240" w:lineRule="auto"/>
              <w:rPr>
                <w:szCs w:val="22"/>
                <w:lang w:eastAsia="da-DK"/>
              </w:rPr>
            </w:pPr>
            <w:r w:rsidRPr="00E23246">
              <w:rPr>
                <w:szCs w:val="22"/>
                <w:lang w:eastAsia="da-DK"/>
              </w:rPr>
              <w:t>priešlaikinis placentos atsiskyrimas</w:t>
            </w:r>
          </w:p>
          <w:p w:rsidR="00A028B6" w:rsidRPr="00E23246" w:rsidRDefault="00A028B6" w:rsidP="001B46CB">
            <w:pPr>
              <w:tabs>
                <w:tab w:val="clear" w:pos="567"/>
              </w:tabs>
              <w:spacing w:line="240" w:lineRule="auto"/>
              <w:rPr>
                <w:szCs w:val="22"/>
                <w:lang w:eastAsia="da-DK"/>
              </w:rPr>
            </w:pP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Lytinės sistemos ir krūties sutrikimai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sidRPr="00E23246">
              <w:rPr>
                <w:szCs w:val="22"/>
                <w:lang w:eastAsia="da-DK"/>
              </w:rPr>
              <w:t>lytinių organų niežėjimas</w:t>
            </w: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Tyrimai</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Pr>
                <w:szCs w:val="22"/>
                <w:lang w:eastAsia="da-DK"/>
              </w:rPr>
              <w:t xml:space="preserve">žemas </w:t>
            </w:r>
            <w:proofErr w:type="spellStart"/>
            <w:r>
              <w:rPr>
                <w:szCs w:val="22"/>
                <w:lang w:eastAsia="da-DK"/>
              </w:rPr>
              <w:t>Apgar</w:t>
            </w:r>
            <w:proofErr w:type="spellEnd"/>
            <w:r>
              <w:rPr>
                <w:szCs w:val="22"/>
                <w:lang w:eastAsia="da-DK"/>
              </w:rPr>
              <w:t xml:space="preserve"> rodiklis</w:t>
            </w:r>
          </w:p>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sidRPr="00E23246">
              <w:rPr>
                <w:szCs w:val="22"/>
                <w:lang w:eastAsia="da-DK"/>
              </w:rPr>
              <w:t>padidėjęs kraujospūdis</w:t>
            </w:r>
          </w:p>
        </w:tc>
      </w:tr>
      <w:tr w:rsidR="00A028B6" w:rsidRPr="00E23246" w:rsidTr="001B46CB">
        <w:tc>
          <w:tcPr>
            <w:tcW w:w="1975" w:type="dxa"/>
          </w:tcPr>
          <w:p w:rsidR="00A028B6" w:rsidRPr="00E23246" w:rsidRDefault="00A028B6" w:rsidP="001B46CB">
            <w:pPr>
              <w:tabs>
                <w:tab w:val="clear" w:pos="567"/>
              </w:tabs>
              <w:spacing w:line="240" w:lineRule="auto"/>
              <w:rPr>
                <w:szCs w:val="22"/>
                <w:lang w:eastAsia="da-DK"/>
              </w:rPr>
            </w:pPr>
            <w:r w:rsidRPr="00E23246">
              <w:rPr>
                <w:szCs w:val="22"/>
                <w:lang w:eastAsia="da-DK"/>
              </w:rPr>
              <w:t>Sužalojimai, apsinuodijimai ir procedūrų komplikacijos</w:t>
            </w:r>
          </w:p>
        </w:tc>
        <w:tc>
          <w:tcPr>
            <w:tcW w:w="1535"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p>
        </w:tc>
        <w:tc>
          <w:tcPr>
            <w:tcW w:w="3048" w:type="dxa"/>
          </w:tcPr>
          <w:p w:rsidR="00A028B6" w:rsidRPr="00E23246" w:rsidRDefault="00A028B6" w:rsidP="001B46CB">
            <w:pPr>
              <w:tabs>
                <w:tab w:val="clear" w:pos="567"/>
              </w:tabs>
              <w:spacing w:line="240" w:lineRule="auto"/>
              <w:rPr>
                <w:szCs w:val="22"/>
                <w:lang w:eastAsia="da-DK"/>
              </w:rPr>
            </w:pPr>
            <w:r w:rsidRPr="00E23246">
              <w:rPr>
                <w:szCs w:val="22"/>
                <w:lang w:eastAsia="da-DK"/>
              </w:rPr>
              <w:t>gimdos plyšimas</w:t>
            </w:r>
          </w:p>
        </w:tc>
      </w:tr>
    </w:tbl>
    <w:p w:rsidR="00A028B6" w:rsidRPr="0029344B" w:rsidRDefault="00A028B6" w:rsidP="00A028B6">
      <w:pPr>
        <w:spacing w:line="240" w:lineRule="auto"/>
        <w:rPr>
          <w:sz w:val="18"/>
        </w:rPr>
      </w:pPr>
      <w:r w:rsidRPr="00605230">
        <w:rPr>
          <w:sz w:val="18"/>
          <w:vertAlign w:val="superscript"/>
        </w:rPr>
        <w:t>† </w:t>
      </w:r>
      <w:r w:rsidRPr="00605230">
        <w:rPr>
          <w:sz w:val="18"/>
        </w:rPr>
        <w:t>Terminas „sutrikęs</w:t>
      </w:r>
      <w:r w:rsidRPr="0029344B">
        <w:rPr>
          <w:sz w:val="18"/>
        </w:rPr>
        <w:t xml:space="preserve"> vaisiaus širdies susitraukimų dažnis</w:t>
      </w:r>
      <w:r w:rsidRPr="00605230">
        <w:rPr>
          <w:sz w:val="18"/>
        </w:rPr>
        <w:t>“</w:t>
      </w:r>
      <w:r w:rsidRPr="0029344B">
        <w:rPr>
          <w:sz w:val="18"/>
        </w:rPr>
        <w:t xml:space="preserve"> apima </w:t>
      </w:r>
      <w:r w:rsidRPr="00605230">
        <w:rPr>
          <w:sz w:val="18"/>
        </w:rPr>
        <w:t xml:space="preserve">įvairius nenormalius </w:t>
      </w:r>
      <w:r w:rsidRPr="0029344B">
        <w:rPr>
          <w:sz w:val="18"/>
        </w:rPr>
        <w:t xml:space="preserve">vaisiaus širdies susitraukimų </w:t>
      </w:r>
      <w:r w:rsidRPr="00605230">
        <w:rPr>
          <w:sz w:val="18"/>
        </w:rPr>
        <w:t>dažnius</w:t>
      </w:r>
      <w:r w:rsidRPr="0029344B">
        <w:rPr>
          <w:sz w:val="18"/>
        </w:rPr>
        <w:t>.</w:t>
      </w:r>
    </w:p>
    <w:p w:rsidR="00A028B6" w:rsidRDefault="00A028B6" w:rsidP="00A028B6">
      <w:pPr>
        <w:spacing w:line="240" w:lineRule="auto"/>
      </w:pPr>
    </w:p>
    <w:p w:rsidR="00A028B6" w:rsidRPr="00E23246" w:rsidRDefault="00A028B6" w:rsidP="00A028B6">
      <w:pPr>
        <w:tabs>
          <w:tab w:val="clear" w:pos="567"/>
          <w:tab w:val="left" w:pos="0"/>
        </w:tabs>
        <w:spacing w:line="240" w:lineRule="auto"/>
        <w:rPr>
          <w:szCs w:val="22"/>
        </w:rPr>
      </w:pPr>
      <w:r w:rsidRPr="00E23246">
        <w:rPr>
          <w:szCs w:val="22"/>
        </w:rPr>
        <w:t xml:space="preserve">Pagrindinio </w:t>
      </w:r>
      <w:proofErr w:type="spellStart"/>
      <w:r w:rsidRPr="00E23246">
        <w:rPr>
          <w:szCs w:val="22"/>
        </w:rPr>
        <w:t>Misodel</w:t>
      </w:r>
      <w:proofErr w:type="spellEnd"/>
      <w:r w:rsidRPr="00E23246">
        <w:rPr>
          <w:szCs w:val="22"/>
        </w:rPr>
        <w:t xml:space="preserve"> tyrimo (Miso-Obs-303 – EXPEDITE) metu pirmąjį mėnesį po gimdymo tirtos naujagimių </w:t>
      </w:r>
      <w:proofErr w:type="spellStart"/>
      <w:r w:rsidRPr="00E23246">
        <w:rPr>
          <w:szCs w:val="22"/>
        </w:rPr>
        <w:t>hospitalizacijos</w:t>
      </w:r>
      <w:proofErr w:type="spellEnd"/>
      <w:r w:rsidRPr="00E23246">
        <w:rPr>
          <w:szCs w:val="22"/>
        </w:rPr>
        <w:t xml:space="preserve"> ir vizitai į skubios pagalvos skyrių. Išrašius iš stacionaro nepageidaujamų reakcijų neužfiksuota.</w:t>
      </w:r>
    </w:p>
    <w:p w:rsidR="00A028B6" w:rsidRPr="00E23246" w:rsidRDefault="00A028B6" w:rsidP="00A028B6">
      <w:pPr>
        <w:tabs>
          <w:tab w:val="clear" w:pos="567"/>
        </w:tabs>
        <w:autoSpaceDE w:val="0"/>
        <w:spacing w:line="240" w:lineRule="auto"/>
        <w:contextualSpacing/>
        <w:rPr>
          <w:szCs w:val="22"/>
        </w:rPr>
      </w:pPr>
    </w:p>
    <w:p w:rsidR="00A028B6" w:rsidRPr="00E23246" w:rsidRDefault="00A028B6" w:rsidP="00A028B6">
      <w:pPr>
        <w:autoSpaceDE w:val="0"/>
        <w:autoSpaceDN w:val="0"/>
        <w:adjustRightInd w:val="0"/>
        <w:spacing w:line="240" w:lineRule="auto"/>
        <w:rPr>
          <w:szCs w:val="22"/>
          <w:u w:val="single"/>
        </w:rPr>
      </w:pPr>
      <w:r w:rsidRPr="00E23246">
        <w:rPr>
          <w:szCs w:val="22"/>
          <w:u w:val="single"/>
        </w:rPr>
        <w:t>Pranešimas apie įtariamas nepageidaujamas reakcijas</w:t>
      </w:r>
    </w:p>
    <w:p w:rsidR="00A028B6" w:rsidRDefault="00A028B6" w:rsidP="00A028B6">
      <w:pPr>
        <w:spacing w:line="240" w:lineRule="auto"/>
        <w:rPr>
          <w:noProof/>
          <w:szCs w:val="22"/>
        </w:rPr>
      </w:pPr>
      <w:r w:rsidRPr="00491EAD">
        <w:rPr>
          <w:noProof/>
          <w:szCs w:val="22"/>
        </w:rPr>
        <w:t>Svarbu pranešti apie įtariamas nepageidaujamas reakcijas, pastebėtas po vaistinio preparato registracijos, nes tai leidžia nuolat stebėti vaistinio preparato naudos ir rizikos santykį.</w:t>
      </w:r>
      <w:r w:rsidRPr="00491EAD">
        <w:rPr>
          <w:szCs w:val="22"/>
        </w:rPr>
        <w:t xml:space="preserve"> </w:t>
      </w:r>
      <w:r w:rsidRPr="00491EAD">
        <w:rPr>
          <w:noProof/>
          <w:szCs w:val="22"/>
        </w:rPr>
        <w:t>Sveikatos priežiūros specialistai turi pranešti apie bet kokias įtariamas nepageidaujamas reakcijas, užpildę interneto svetainėje http://</w:t>
      </w:r>
      <w:hyperlink r:id="rId9" w:history="1">
        <w:r w:rsidRPr="00491EAD">
          <w:rPr>
            <w:rStyle w:val="Hipersaitas"/>
            <w:rFonts w:eastAsia="SimSun"/>
            <w:noProof/>
            <w:szCs w:val="22"/>
          </w:rPr>
          <w:t>www.vvkt.lt</w:t>
        </w:r>
      </w:hyperlink>
      <w:r w:rsidRPr="00491EAD">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491EAD">
          <w:rPr>
            <w:rStyle w:val="Hipersaitas"/>
            <w:rFonts w:eastAsia="SimSun"/>
            <w:noProof/>
            <w:szCs w:val="22"/>
          </w:rPr>
          <w:t>NepageidaujamaR@vvkt.lt</w:t>
        </w:r>
      </w:hyperlink>
      <w:r w:rsidRPr="00491EAD">
        <w:rPr>
          <w:noProof/>
          <w:szCs w:val="22"/>
        </w:rPr>
        <w:t xml:space="preserve">), per interneto svetainę (adresu </w:t>
      </w:r>
      <w:hyperlink r:id="rId11" w:history="1">
        <w:r w:rsidRPr="00947CEC">
          <w:rPr>
            <w:rStyle w:val="Hipersaitas"/>
            <w:noProof/>
            <w:szCs w:val="22"/>
          </w:rPr>
          <w:t>http://www.vvkt.lt</w:t>
        </w:r>
      </w:hyperlink>
      <w:r w:rsidRPr="00491EAD">
        <w:rPr>
          <w:noProof/>
          <w:szCs w:val="22"/>
        </w:rPr>
        <w:t>)</w:t>
      </w:r>
    </w:p>
    <w:p w:rsidR="00A028B6" w:rsidRPr="00E23246" w:rsidRDefault="00A028B6" w:rsidP="00A028B6">
      <w:pPr>
        <w:spacing w:line="240" w:lineRule="auto"/>
        <w:rPr>
          <w:szCs w:val="22"/>
        </w:rPr>
      </w:pPr>
    </w:p>
    <w:p w:rsidR="00A028B6" w:rsidRPr="00E23246" w:rsidRDefault="00A028B6" w:rsidP="00A028B6">
      <w:pPr>
        <w:pStyle w:val="Antrat4"/>
        <w:spacing w:line="240" w:lineRule="auto"/>
        <w:jc w:val="left"/>
        <w:rPr>
          <w:rFonts w:ascii="Times New Roman" w:hAnsi="Times New Roman"/>
          <w:sz w:val="22"/>
          <w:szCs w:val="22"/>
          <w:lang w:val="lt-LT"/>
        </w:rPr>
      </w:pPr>
      <w:r w:rsidRPr="00E23246">
        <w:rPr>
          <w:rFonts w:ascii="Times New Roman" w:hAnsi="Times New Roman"/>
          <w:sz w:val="22"/>
          <w:szCs w:val="22"/>
          <w:lang w:val="lt-LT"/>
        </w:rPr>
        <w:t>4.9</w:t>
      </w:r>
      <w:r w:rsidRPr="00E23246">
        <w:rPr>
          <w:rFonts w:ascii="Times New Roman" w:hAnsi="Times New Roman"/>
          <w:sz w:val="22"/>
          <w:szCs w:val="22"/>
          <w:lang w:val="lt-LT"/>
        </w:rPr>
        <w:tab/>
        <w:t>Perdozavimas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Daugiau kaip vienos </w:t>
      </w:r>
      <w:proofErr w:type="spellStart"/>
      <w:r w:rsidRPr="00E23246">
        <w:rPr>
          <w:szCs w:val="22"/>
        </w:rPr>
        <w:t>Misodel</w:t>
      </w:r>
      <w:proofErr w:type="spellEnd"/>
      <w:r w:rsidRPr="00E23246">
        <w:rPr>
          <w:szCs w:val="22"/>
        </w:rPr>
        <w:t xml:space="preserve"> sistemos pavartojimo duomenų nėra. Riziką perdozuoti mažina kontroliuojamo atpalaidavimo farmacinė forma ir galimybė pašalinti </w:t>
      </w:r>
      <w:proofErr w:type="spellStart"/>
      <w:r w:rsidRPr="00E23246">
        <w:rPr>
          <w:szCs w:val="22"/>
        </w:rPr>
        <w:t>Misodel</w:t>
      </w:r>
      <w:proofErr w:type="spellEnd"/>
      <w:r w:rsidRPr="00E23246">
        <w:rPr>
          <w:szCs w:val="22"/>
        </w:rPr>
        <w:t xml:space="preserve"> tokiu būdu nutraukiant </w:t>
      </w:r>
      <w:proofErr w:type="spellStart"/>
      <w:r w:rsidRPr="00E23246">
        <w:rPr>
          <w:szCs w:val="22"/>
        </w:rPr>
        <w:t>mizoprostolio</w:t>
      </w:r>
      <w:proofErr w:type="spellEnd"/>
      <w:r w:rsidRPr="00E23246">
        <w:rPr>
          <w:szCs w:val="22"/>
        </w:rPr>
        <w:t xml:space="preserve"> patekimą į organizmą. Netyčia palikus </w:t>
      </w:r>
      <w:proofErr w:type="spellStart"/>
      <w:r w:rsidRPr="00E23246">
        <w:rPr>
          <w:szCs w:val="22"/>
        </w:rPr>
        <w:t>Misodel</w:t>
      </w:r>
      <w:proofErr w:type="spellEnd"/>
      <w:r w:rsidRPr="00E23246">
        <w:rPr>
          <w:szCs w:val="22"/>
        </w:rPr>
        <w:t xml:space="preserve"> vartojimo vietoje po to, kai prasideda gimdymo veikla, gali pasireikšti prostaglandinų perdozavimui būdingų simptomų (per stipri gimdos stimuliacija). Taip atsitikus reikia pašalinti </w:t>
      </w:r>
      <w:proofErr w:type="spellStart"/>
      <w:r w:rsidRPr="00E23246">
        <w:rPr>
          <w:szCs w:val="22"/>
        </w:rPr>
        <w:t>Misodel</w:t>
      </w:r>
      <w:proofErr w:type="spellEnd"/>
      <w:r w:rsidRPr="00E23246">
        <w:rPr>
          <w:szCs w:val="22"/>
        </w:rPr>
        <w:t xml:space="preserve"> ir gydyti vadovaujantis vietinėmis metodikomis.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5.</w:t>
      </w:r>
      <w:r w:rsidRPr="00E23246">
        <w:rPr>
          <w:rFonts w:ascii="Times New Roman" w:hAnsi="Times New Roman"/>
          <w:sz w:val="22"/>
          <w:szCs w:val="22"/>
          <w:lang w:val="lt-LT"/>
        </w:rPr>
        <w:tab/>
        <w:t>FARMAKOLOGINĖS SAVYBĖS</w:t>
      </w:r>
    </w:p>
    <w:p w:rsidR="00A028B6" w:rsidRPr="00E23246" w:rsidRDefault="00A028B6" w:rsidP="00A028B6">
      <w:pPr>
        <w:spacing w:line="240" w:lineRule="auto"/>
        <w:rPr>
          <w:szCs w:val="22"/>
        </w:rPr>
      </w:pPr>
    </w:p>
    <w:p w:rsidR="00A028B6" w:rsidRPr="00E23246" w:rsidRDefault="00A028B6" w:rsidP="00A028B6">
      <w:pPr>
        <w:pStyle w:val="Antrat4"/>
        <w:spacing w:line="240" w:lineRule="auto"/>
        <w:jc w:val="left"/>
        <w:rPr>
          <w:rFonts w:ascii="Times New Roman" w:hAnsi="Times New Roman"/>
          <w:sz w:val="22"/>
          <w:szCs w:val="22"/>
          <w:lang w:val="lt-LT"/>
        </w:rPr>
      </w:pPr>
      <w:r w:rsidRPr="00E23246">
        <w:rPr>
          <w:rFonts w:ascii="Times New Roman" w:hAnsi="Times New Roman"/>
          <w:sz w:val="22"/>
          <w:szCs w:val="22"/>
          <w:lang w:val="lt-LT"/>
        </w:rPr>
        <w:t>5.1</w:t>
      </w:r>
      <w:r w:rsidRPr="00E23246">
        <w:rPr>
          <w:rFonts w:ascii="Times New Roman" w:hAnsi="Times New Roman"/>
          <w:bCs w:val="0"/>
          <w:sz w:val="22"/>
          <w:szCs w:val="22"/>
          <w:lang w:val="lt-LT"/>
        </w:rPr>
        <w:t xml:space="preserve"> </w:t>
      </w:r>
      <w:r w:rsidRPr="00E23246">
        <w:rPr>
          <w:rFonts w:ascii="Times New Roman" w:hAnsi="Times New Roman"/>
          <w:sz w:val="22"/>
          <w:szCs w:val="22"/>
          <w:lang w:val="lt-LT"/>
        </w:rPr>
        <w:tab/>
      </w:r>
      <w:proofErr w:type="spellStart"/>
      <w:r w:rsidRPr="00E23246">
        <w:rPr>
          <w:rFonts w:ascii="Times New Roman" w:hAnsi="Times New Roman"/>
          <w:sz w:val="22"/>
          <w:szCs w:val="22"/>
          <w:lang w:val="lt-LT"/>
        </w:rPr>
        <w:t>Farmakodinaminės</w:t>
      </w:r>
      <w:proofErr w:type="spellEnd"/>
      <w:r w:rsidRPr="00E23246">
        <w:rPr>
          <w:rFonts w:ascii="Times New Roman" w:hAnsi="Times New Roman"/>
          <w:sz w:val="22"/>
          <w:szCs w:val="22"/>
          <w:lang w:val="lt-LT"/>
        </w:rPr>
        <w:t xml:space="preserve"> savybės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Farmakoterapinė</w:t>
      </w:r>
      <w:proofErr w:type="spellEnd"/>
      <w:r w:rsidRPr="00E23246">
        <w:rPr>
          <w:szCs w:val="22"/>
        </w:rPr>
        <w:t xml:space="preserve"> grupė – kiti ginekologiniai, gimdymą prasidėti skatinantys vaistiniai preparatai, prostaglandinai, ATC kodas – G02AD06.</w:t>
      </w:r>
    </w:p>
    <w:p w:rsidR="00A028B6" w:rsidRPr="00E23246" w:rsidRDefault="00A028B6" w:rsidP="00A028B6">
      <w:pPr>
        <w:spacing w:line="240" w:lineRule="auto"/>
        <w:rPr>
          <w:szCs w:val="22"/>
        </w:rPr>
      </w:pPr>
    </w:p>
    <w:p w:rsidR="00A028B6" w:rsidRPr="00E23246" w:rsidRDefault="00A028B6" w:rsidP="00A028B6">
      <w:pPr>
        <w:spacing w:line="240" w:lineRule="auto"/>
        <w:rPr>
          <w:szCs w:val="22"/>
          <w:u w:val="single"/>
        </w:rPr>
      </w:pPr>
      <w:r w:rsidRPr="00E23246">
        <w:rPr>
          <w:szCs w:val="22"/>
          <w:u w:val="single"/>
        </w:rPr>
        <w:t>Veikimo mechanizmas</w:t>
      </w:r>
    </w:p>
    <w:p w:rsidR="00A028B6" w:rsidRPr="00E23246" w:rsidRDefault="00A028B6" w:rsidP="00A028B6">
      <w:pPr>
        <w:tabs>
          <w:tab w:val="clear" w:pos="567"/>
        </w:tabs>
        <w:autoSpaceDE w:val="0"/>
        <w:autoSpaceDN w:val="0"/>
        <w:adjustRightInd w:val="0"/>
        <w:spacing w:line="240" w:lineRule="auto"/>
        <w:rPr>
          <w:szCs w:val="22"/>
        </w:rPr>
      </w:pPr>
      <w:proofErr w:type="spellStart"/>
      <w:r w:rsidRPr="00E23246">
        <w:rPr>
          <w:szCs w:val="22"/>
        </w:rPr>
        <w:t>Mizoprostolis</w:t>
      </w:r>
      <w:proofErr w:type="spellEnd"/>
      <w:r w:rsidRPr="00E23246">
        <w:rPr>
          <w:szCs w:val="22"/>
        </w:rPr>
        <w:t xml:space="preserve"> yra natūralios gimdymą lengvinančios medžiagos – prostaglandino E</w:t>
      </w:r>
      <w:r w:rsidRPr="00E23246">
        <w:rPr>
          <w:szCs w:val="22"/>
          <w:vertAlign w:val="subscript"/>
        </w:rPr>
        <w:t>1</w:t>
      </w:r>
      <w:r w:rsidRPr="00E23246">
        <w:rPr>
          <w:szCs w:val="22"/>
        </w:rPr>
        <w:t xml:space="preserve"> (PGE</w:t>
      </w:r>
      <w:r w:rsidRPr="00E23246">
        <w:rPr>
          <w:szCs w:val="22"/>
          <w:vertAlign w:val="subscript"/>
        </w:rPr>
        <w:t>1</w:t>
      </w:r>
      <w:r w:rsidRPr="00E23246">
        <w:rPr>
          <w:szCs w:val="22"/>
        </w:rPr>
        <w:t xml:space="preserve">) – sintetinis analogas. Nustatyta, kad F ir E grupių prostaglandinai aktyvina triušių gimdos kaklelio fibroblastų </w:t>
      </w:r>
      <w:proofErr w:type="spellStart"/>
      <w:r w:rsidRPr="00E23246">
        <w:rPr>
          <w:szCs w:val="22"/>
        </w:rPr>
        <w:t>kolagenazę</w:t>
      </w:r>
      <w:proofErr w:type="spellEnd"/>
      <w:r w:rsidRPr="00E23246">
        <w:rPr>
          <w:i/>
          <w:iCs/>
          <w:szCs w:val="22"/>
        </w:rPr>
        <w:t xml:space="preserve"> </w:t>
      </w:r>
      <w:proofErr w:type="spellStart"/>
      <w:r w:rsidRPr="00E23246">
        <w:rPr>
          <w:i/>
          <w:iCs/>
          <w:szCs w:val="22"/>
        </w:rPr>
        <w:t>in</w:t>
      </w:r>
      <w:proofErr w:type="spellEnd"/>
      <w:r w:rsidRPr="00E23246">
        <w:rPr>
          <w:i/>
          <w:iCs/>
          <w:szCs w:val="22"/>
        </w:rPr>
        <w:t xml:space="preserve"> </w:t>
      </w:r>
      <w:proofErr w:type="spellStart"/>
      <w:r w:rsidRPr="00E23246">
        <w:rPr>
          <w:i/>
          <w:iCs/>
          <w:szCs w:val="22"/>
        </w:rPr>
        <w:t>vitro</w:t>
      </w:r>
      <w:proofErr w:type="spellEnd"/>
      <w:r w:rsidRPr="00E23246">
        <w:rPr>
          <w:szCs w:val="22"/>
        </w:rPr>
        <w:t xml:space="preserve"> bei sukelia gimdos kaklelio atsidarymą ir gimdos </w:t>
      </w:r>
      <w:proofErr w:type="spellStart"/>
      <w:r w:rsidRPr="00E23246">
        <w:rPr>
          <w:szCs w:val="22"/>
        </w:rPr>
        <w:t>susitraukimus</w:t>
      </w:r>
      <w:proofErr w:type="spellEnd"/>
      <w:r w:rsidRPr="00E23246">
        <w:rPr>
          <w:szCs w:val="22"/>
        </w:rPr>
        <w:t xml:space="preserve"> </w:t>
      </w:r>
      <w:proofErr w:type="spellStart"/>
      <w:r w:rsidRPr="00E23246">
        <w:rPr>
          <w:i/>
          <w:szCs w:val="22"/>
        </w:rPr>
        <w:t>in</w:t>
      </w:r>
      <w:proofErr w:type="spellEnd"/>
      <w:r w:rsidRPr="00E23246">
        <w:rPr>
          <w:i/>
          <w:szCs w:val="22"/>
        </w:rPr>
        <w:t xml:space="preserve"> </w:t>
      </w:r>
      <w:proofErr w:type="spellStart"/>
      <w:r w:rsidRPr="00E23246">
        <w:rPr>
          <w:i/>
          <w:szCs w:val="22"/>
        </w:rPr>
        <w:t>vivo</w:t>
      </w:r>
      <w:proofErr w:type="spellEnd"/>
      <w:r w:rsidRPr="00E23246">
        <w:rPr>
          <w:szCs w:val="22"/>
        </w:rPr>
        <w:t xml:space="preserve">. Šie </w:t>
      </w:r>
      <w:proofErr w:type="spellStart"/>
      <w:r w:rsidRPr="00E23246">
        <w:rPr>
          <w:szCs w:val="22"/>
        </w:rPr>
        <w:t>farmakodinaminiai</w:t>
      </w:r>
      <w:proofErr w:type="spellEnd"/>
      <w:r w:rsidRPr="00E23246">
        <w:rPr>
          <w:szCs w:val="22"/>
        </w:rPr>
        <w:t xml:space="preserve"> poveikiai laikomi </w:t>
      </w:r>
      <w:proofErr w:type="spellStart"/>
      <w:r w:rsidRPr="00E23246">
        <w:rPr>
          <w:szCs w:val="22"/>
        </w:rPr>
        <w:t>Misodel</w:t>
      </w:r>
      <w:proofErr w:type="spellEnd"/>
      <w:r w:rsidRPr="00E23246">
        <w:rPr>
          <w:szCs w:val="22"/>
        </w:rPr>
        <w:t xml:space="preserve"> klinikiniam poveikiui svarbiu veikimo mechanizmu.</w:t>
      </w:r>
    </w:p>
    <w:p w:rsidR="00A028B6" w:rsidRPr="00E23246" w:rsidRDefault="00A028B6" w:rsidP="00A028B6">
      <w:pPr>
        <w:tabs>
          <w:tab w:val="clear" w:pos="567"/>
        </w:tabs>
        <w:autoSpaceDE w:val="0"/>
        <w:autoSpaceDN w:val="0"/>
        <w:adjustRightInd w:val="0"/>
        <w:spacing w:line="240" w:lineRule="auto"/>
        <w:rPr>
          <w:szCs w:val="22"/>
        </w:rPr>
      </w:pPr>
    </w:p>
    <w:p w:rsidR="00A028B6" w:rsidRPr="00E23246" w:rsidRDefault="00A028B6" w:rsidP="00A028B6">
      <w:pPr>
        <w:tabs>
          <w:tab w:val="clear" w:pos="567"/>
        </w:tabs>
        <w:autoSpaceDE w:val="0"/>
        <w:autoSpaceDN w:val="0"/>
        <w:adjustRightInd w:val="0"/>
        <w:spacing w:line="240" w:lineRule="auto"/>
        <w:rPr>
          <w:szCs w:val="22"/>
        </w:rPr>
      </w:pPr>
      <w:r w:rsidRPr="00E23246">
        <w:rPr>
          <w:szCs w:val="22"/>
        </w:rPr>
        <w:t xml:space="preserve">Be to, PGE analogai sukelia įvairių kitokių poveikių, pvz., atpalaiduoja bronchų ir trachėjos raumenis, didina gleivių bei mažina rūgšties ir pepsino sekreciją skrandyje, gerina inkstų kraujotaką, didina </w:t>
      </w:r>
      <w:proofErr w:type="spellStart"/>
      <w:r w:rsidRPr="00E23246">
        <w:rPr>
          <w:szCs w:val="22"/>
        </w:rPr>
        <w:t>adrenokortikotropinio</w:t>
      </w:r>
      <w:proofErr w:type="spellEnd"/>
      <w:r w:rsidRPr="00E23246">
        <w:rPr>
          <w:szCs w:val="22"/>
        </w:rPr>
        <w:t xml:space="preserve"> hormono ir prolaktino koncentraciją kraujyje. Vis dėlto manoma, kad trumpalaikiam gydymui šie </w:t>
      </w:r>
      <w:proofErr w:type="spellStart"/>
      <w:r w:rsidRPr="00E23246">
        <w:rPr>
          <w:szCs w:val="22"/>
        </w:rPr>
        <w:t>farmakodinaminiai</w:t>
      </w:r>
      <w:proofErr w:type="spellEnd"/>
      <w:r w:rsidRPr="00E23246">
        <w:rPr>
          <w:szCs w:val="22"/>
        </w:rPr>
        <w:t xml:space="preserve"> poveikiai neturi klinikinės reikšmės.</w:t>
      </w:r>
    </w:p>
    <w:p w:rsidR="00A028B6" w:rsidRPr="00E23246" w:rsidRDefault="00A028B6" w:rsidP="00A028B6">
      <w:pPr>
        <w:spacing w:line="240" w:lineRule="auto"/>
        <w:rPr>
          <w:szCs w:val="22"/>
        </w:rPr>
      </w:pPr>
    </w:p>
    <w:p w:rsidR="00A028B6" w:rsidRPr="00E23246" w:rsidRDefault="00A028B6" w:rsidP="00A028B6">
      <w:pPr>
        <w:spacing w:line="240" w:lineRule="auto"/>
        <w:rPr>
          <w:szCs w:val="22"/>
          <w:u w:val="single"/>
        </w:rPr>
      </w:pPr>
      <w:r w:rsidRPr="00E23246">
        <w:rPr>
          <w:szCs w:val="22"/>
          <w:u w:val="single"/>
        </w:rPr>
        <w:t>Klinikinis veiksmingumas ir saugumas</w:t>
      </w:r>
    </w:p>
    <w:p w:rsidR="00A028B6" w:rsidRPr="00E23246" w:rsidRDefault="00A028B6" w:rsidP="00A028B6">
      <w:pPr>
        <w:tabs>
          <w:tab w:val="clear" w:pos="567"/>
        </w:tabs>
        <w:autoSpaceDE w:val="0"/>
        <w:autoSpaceDN w:val="0"/>
        <w:adjustRightInd w:val="0"/>
        <w:spacing w:line="240" w:lineRule="auto"/>
        <w:rPr>
          <w:szCs w:val="22"/>
        </w:rPr>
      </w:pPr>
      <w:r w:rsidRPr="00E23246">
        <w:rPr>
          <w:szCs w:val="22"/>
        </w:rPr>
        <w:t xml:space="preserve">III fazės pagrindinis tyrimas (Miso-Obs-303 – EXPEDITE) buvo dvigubai aklas, atsitiktinės atrankos, atliktas daugelyje centrų JAV, jame dalyvavo 1 358 nėščios moterys. Šio tyrimo metu lygintas </w:t>
      </w:r>
      <w:proofErr w:type="spellStart"/>
      <w:r w:rsidRPr="00E23246">
        <w:rPr>
          <w:szCs w:val="22"/>
        </w:rPr>
        <w:t>Misodel</w:t>
      </w:r>
      <w:proofErr w:type="spellEnd"/>
      <w:r w:rsidRPr="00E23246">
        <w:rPr>
          <w:szCs w:val="22"/>
        </w:rPr>
        <w:t xml:space="preserve"> bei </w:t>
      </w:r>
      <w:proofErr w:type="spellStart"/>
      <w:r w:rsidRPr="00E23246">
        <w:rPr>
          <w:szCs w:val="22"/>
        </w:rPr>
        <w:t>dinoprostono</w:t>
      </w:r>
      <w:proofErr w:type="spellEnd"/>
      <w:r w:rsidRPr="00E23246">
        <w:rPr>
          <w:szCs w:val="22"/>
        </w:rPr>
        <w:t xml:space="preserve"> 10 mg į makštį vartojamos sistemos (PROPESS</w:t>
      </w:r>
      <w:r w:rsidRPr="00E23246">
        <w:rPr>
          <w:szCs w:val="22"/>
          <w:vertAlign w:val="superscript"/>
        </w:rPr>
        <w:t>®</w:t>
      </w:r>
      <w:r w:rsidRPr="00E23246">
        <w:rPr>
          <w:szCs w:val="22"/>
        </w:rPr>
        <w:t xml:space="preserve">) saugumas ir veiksmingumas. Anksčiau negimdžiusios ir gimdžiusios moterys, kurių gimdos kaklelis buvo nesubrendęs (modifikuotas </w:t>
      </w:r>
      <w:proofErr w:type="spellStart"/>
      <w:r w:rsidRPr="00E23246">
        <w:rPr>
          <w:szCs w:val="22"/>
        </w:rPr>
        <w:t>Bishop</w:t>
      </w:r>
      <w:proofErr w:type="spellEnd"/>
      <w:r w:rsidRPr="00E23246">
        <w:rPr>
          <w:szCs w:val="22"/>
        </w:rPr>
        <w:t xml:space="preserve"> rodiklis ≤ 4), atsitiktinai įtrauktos į </w:t>
      </w:r>
      <w:proofErr w:type="spellStart"/>
      <w:r w:rsidRPr="00E23246">
        <w:rPr>
          <w:szCs w:val="22"/>
        </w:rPr>
        <w:t>Misodel</w:t>
      </w:r>
      <w:proofErr w:type="spellEnd"/>
      <w:r w:rsidRPr="00E23246">
        <w:rPr>
          <w:szCs w:val="22"/>
        </w:rPr>
        <w:t xml:space="preserve"> arba PROPESS</w:t>
      </w:r>
      <w:r w:rsidRPr="00E23246">
        <w:rPr>
          <w:szCs w:val="22"/>
          <w:vertAlign w:val="superscript"/>
        </w:rPr>
        <w:t>®</w:t>
      </w:r>
      <w:r w:rsidRPr="00E23246">
        <w:rPr>
          <w:szCs w:val="22"/>
        </w:rPr>
        <w:t xml:space="preserve"> grupę ir gydytos iki 24 val. Pagrindinis veiksmingumo rodiklis šio tyrimo metu buvo laikas iki pagimdymo per makštį, o pagrindinis saugumo rodiklis – gimdymų atlikus cezario pjūvį skaičius.</w:t>
      </w:r>
    </w:p>
    <w:p w:rsidR="00A028B6" w:rsidRPr="00E23246" w:rsidRDefault="00A028B6" w:rsidP="00A028B6">
      <w:pPr>
        <w:tabs>
          <w:tab w:val="clear" w:pos="567"/>
        </w:tabs>
        <w:autoSpaceDE w:val="0"/>
        <w:autoSpaceDN w:val="0"/>
        <w:adjustRightInd w:val="0"/>
        <w:spacing w:line="240" w:lineRule="auto"/>
        <w:rPr>
          <w:szCs w:val="22"/>
        </w:rPr>
      </w:pPr>
    </w:p>
    <w:p w:rsidR="00A028B6" w:rsidRPr="00E23246" w:rsidRDefault="00A028B6" w:rsidP="00A028B6">
      <w:pPr>
        <w:tabs>
          <w:tab w:val="clear" w:pos="567"/>
        </w:tabs>
        <w:autoSpaceDE w:val="0"/>
        <w:autoSpaceDN w:val="0"/>
        <w:adjustRightInd w:val="0"/>
        <w:spacing w:line="240" w:lineRule="auto"/>
        <w:rPr>
          <w:szCs w:val="22"/>
        </w:rPr>
      </w:pPr>
      <w:r w:rsidRPr="00E23246">
        <w:rPr>
          <w:szCs w:val="22"/>
        </w:rPr>
        <w:t>Svarbiausi pagrindiniai ir antriniai šio tyrimo duomenys pateikiami 2 lentelėje.</w:t>
      </w:r>
    </w:p>
    <w:p w:rsidR="00A028B6" w:rsidRPr="00E23246" w:rsidRDefault="00A028B6" w:rsidP="00A028B6">
      <w:pPr>
        <w:tabs>
          <w:tab w:val="clear" w:pos="567"/>
        </w:tabs>
        <w:autoSpaceDE w:val="0"/>
        <w:autoSpaceDN w:val="0"/>
        <w:adjustRightInd w:val="0"/>
        <w:spacing w:line="240" w:lineRule="auto"/>
        <w:rPr>
          <w:szCs w:val="22"/>
        </w:rPr>
      </w:pPr>
    </w:p>
    <w:p w:rsidR="00A028B6" w:rsidRPr="00E23246" w:rsidRDefault="00A028B6" w:rsidP="00A028B6">
      <w:pPr>
        <w:tabs>
          <w:tab w:val="clear" w:pos="567"/>
        </w:tabs>
        <w:autoSpaceDE w:val="0"/>
        <w:autoSpaceDN w:val="0"/>
        <w:adjustRightInd w:val="0"/>
        <w:spacing w:line="240" w:lineRule="auto"/>
        <w:rPr>
          <w:b/>
          <w:szCs w:val="22"/>
        </w:rPr>
      </w:pPr>
      <w:r w:rsidRPr="00E23246">
        <w:rPr>
          <w:b/>
          <w:szCs w:val="22"/>
        </w:rPr>
        <w:t>2 lentelė. Pagrindiniai Miso-Obs-303 – EXPEDITE tyrimo duomenys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1794"/>
        <w:gridCol w:w="1796"/>
        <w:gridCol w:w="1796"/>
      </w:tblGrid>
      <w:tr w:rsidR="00A028B6" w:rsidRPr="00E23246" w:rsidTr="001B46CB">
        <w:tc>
          <w:tcPr>
            <w:tcW w:w="2286" w:type="pct"/>
            <w:vAlign w:val="center"/>
          </w:tcPr>
          <w:p w:rsidR="00A028B6" w:rsidRPr="00E23246" w:rsidRDefault="00A028B6" w:rsidP="001B46CB">
            <w:pPr>
              <w:tabs>
                <w:tab w:val="clear" w:pos="567"/>
                <w:tab w:val="left" w:pos="360"/>
              </w:tabs>
              <w:suppressAutoHyphens/>
              <w:spacing w:line="240" w:lineRule="auto"/>
              <w:rPr>
                <w:b/>
                <w:bCs/>
                <w:szCs w:val="22"/>
              </w:rPr>
            </w:pPr>
          </w:p>
        </w:tc>
        <w:tc>
          <w:tcPr>
            <w:tcW w:w="904" w:type="pct"/>
            <w:vAlign w:val="center"/>
          </w:tcPr>
          <w:p w:rsidR="00A028B6" w:rsidRPr="00E23246" w:rsidRDefault="00A028B6" w:rsidP="001B46CB">
            <w:pPr>
              <w:tabs>
                <w:tab w:val="clear" w:pos="567"/>
                <w:tab w:val="left" w:pos="360"/>
              </w:tabs>
              <w:suppressAutoHyphens/>
              <w:spacing w:line="240" w:lineRule="auto"/>
              <w:jc w:val="center"/>
              <w:rPr>
                <w:b/>
                <w:bCs/>
                <w:szCs w:val="22"/>
              </w:rPr>
            </w:pPr>
            <w:proofErr w:type="spellStart"/>
            <w:r w:rsidRPr="00E23246">
              <w:rPr>
                <w:b/>
                <w:bCs/>
                <w:szCs w:val="22"/>
              </w:rPr>
              <w:t>Misodel</w:t>
            </w:r>
            <w:proofErr w:type="spellEnd"/>
          </w:p>
          <w:p w:rsidR="00A028B6" w:rsidRPr="00E23246" w:rsidRDefault="00A028B6" w:rsidP="001B46CB">
            <w:pPr>
              <w:tabs>
                <w:tab w:val="clear" w:pos="567"/>
                <w:tab w:val="left" w:pos="360"/>
              </w:tabs>
              <w:suppressAutoHyphens/>
              <w:spacing w:line="240" w:lineRule="auto"/>
              <w:jc w:val="center"/>
              <w:rPr>
                <w:b/>
                <w:bCs/>
                <w:szCs w:val="22"/>
              </w:rPr>
            </w:pPr>
            <w:r w:rsidRPr="00E23246">
              <w:rPr>
                <w:b/>
                <w:bCs/>
                <w:szCs w:val="22"/>
              </w:rPr>
              <w:t>200 </w:t>
            </w:r>
            <w:proofErr w:type="spellStart"/>
            <w:r w:rsidRPr="00E23246">
              <w:rPr>
                <w:b/>
                <w:bCs/>
                <w:szCs w:val="22"/>
              </w:rPr>
              <w:t>mcg</w:t>
            </w:r>
            <w:proofErr w:type="spellEnd"/>
          </w:p>
          <w:p w:rsidR="00A028B6" w:rsidRPr="00E23246" w:rsidRDefault="00A028B6" w:rsidP="001B46CB">
            <w:pPr>
              <w:tabs>
                <w:tab w:val="clear" w:pos="567"/>
                <w:tab w:val="left" w:pos="360"/>
              </w:tabs>
              <w:suppressAutoHyphens/>
              <w:spacing w:line="240" w:lineRule="auto"/>
              <w:jc w:val="center"/>
              <w:rPr>
                <w:b/>
                <w:bCs/>
                <w:szCs w:val="22"/>
              </w:rPr>
            </w:pPr>
            <w:r w:rsidRPr="00E23246">
              <w:rPr>
                <w:b/>
                <w:bCs/>
                <w:szCs w:val="22"/>
              </w:rPr>
              <w:t>(N = 678)</w:t>
            </w:r>
          </w:p>
        </w:tc>
        <w:tc>
          <w:tcPr>
            <w:tcW w:w="905" w:type="pct"/>
            <w:vAlign w:val="center"/>
          </w:tcPr>
          <w:p w:rsidR="00A028B6" w:rsidRPr="00E23246" w:rsidRDefault="00A028B6" w:rsidP="001B46CB">
            <w:pPr>
              <w:tabs>
                <w:tab w:val="clear" w:pos="567"/>
                <w:tab w:val="left" w:pos="360"/>
              </w:tabs>
              <w:suppressAutoHyphens/>
              <w:spacing w:line="240" w:lineRule="auto"/>
              <w:jc w:val="center"/>
              <w:rPr>
                <w:b/>
                <w:bCs/>
                <w:szCs w:val="22"/>
              </w:rPr>
            </w:pPr>
            <w:r w:rsidRPr="00E23246">
              <w:rPr>
                <w:b/>
                <w:szCs w:val="22"/>
              </w:rPr>
              <w:t>PROPESS</w:t>
            </w:r>
            <w:r w:rsidRPr="00E23246">
              <w:rPr>
                <w:b/>
                <w:szCs w:val="22"/>
                <w:vertAlign w:val="superscript"/>
              </w:rPr>
              <w:t>®</w:t>
            </w:r>
            <w:r w:rsidRPr="00E23246">
              <w:rPr>
                <w:b/>
                <w:bCs/>
                <w:szCs w:val="22"/>
              </w:rPr>
              <w:t xml:space="preserve"> 10 mg </w:t>
            </w:r>
          </w:p>
          <w:p w:rsidR="00A028B6" w:rsidRPr="00E23246" w:rsidRDefault="00A028B6" w:rsidP="001B46CB">
            <w:pPr>
              <w:tabs>
                <w:tab w:val="clear" w:pos="567"/>
                <w:tab w:val="left" w:pos="360"/>
              </w:tabs>
              <w:suppressAutoHyphens/>
              <w:spacing w:line="240" w:lineRule="auto"/>
              <w:jc w:val="center"/>
              <w:rPr>
                <w:b/>
                <w:bCs/>
                <w:szCs w:val="22"/>
              </w:rPr>
            </w:pPr>
            <w:r w:rsidRPr="00E23246">
              <w:rPr>
                <w:b/>
                <w:bCs/>
                <w:szCs w:val="22"/>
              </w:rPr>
              <w:t>(N = 680)</w:t>
            </w:r>
          </w:p>
        </w:tc>
        <w:tc>
          <w:tcPr>
            <w:tcW w:w="905" w:type="pct"/>
            <w:vAlign w:val="center"/>
          </w:tcPr>
          <w:p w:rsidR="00A028B6" w:rsidRPr="00E23246" w:rsidRDefault="00A028B6" w:rsidP="001B46CB">
            <w:pPr>
              <w:tabs>
                <w:tab w:val="clear" w:pos="567"/>
                <w:tab w:val="left" w:pos="360"/>
              </w:tabs>
              <w:suppressAutoHyphens/>
              <w:spacing w:line="240" w:lineRule="auto"/>
              <w:jc w:val="center"/>
              <w:rPr>
                <w:b/>
                <w:bCs/>
                <w:szCs w:val="22"/>
              </w:rPr>
            </w:pPr>
            <w:r w:rsidRPr="00E23246">
              <w:rPr>
                <w:b/>
                <w:bCs/>
                <w:szCs w:val="22"/>
              </w:rPr>
              <w:t>p reikšmė</w:t>
            </w:r>
          </w:p>
        </w:tc>
      </w:tr>
      <w:tr w:rsidR="00A028B6" w:rsidRPr="00E23246" w:rsidTr="001B46CB">
        <w:tc>
          <w:tcPr>
            <w:tcW w:w="2286"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rPr>
                <w:color w:val="000000"/>
                <w:szCs w:val="22"/>
              </w:rPr>
            </w:pPr>
            <w:r w:rsidRPr="00E23246">
              <w:rPr>
                <w:color w:val="000000"/>
                <w:szCs w:val="22"/>
              </w:rPr>
              <w:t>Laiko iki pagimdymo per makštį mediana, val.</w:t>
            </w:r>
            <w:r w:rsidRPr="00E23246">
              <w:rPr>
                <w:color w:val="000000"/>
                <w:szCs w:val="22"/>
                <w:vertAlign w:val="superscript"/>
              </w:rPr>
              <w:t>*</w:t>
            </w:r>
          </w:p>
        </w:tc>
        <w:tc>
          <w:tcPr>
            <w:tcW w:w="904"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21,5 val.</w:t>
            </w:r>
            <w:r w:rsidRPr="00E23246">
              <w:rPr>
                <w:color w:val="000000"/>
                <w:szCs w:val="22"/>
                <w:vertAlign w:val="superscript"/>
              </w:rPr>
              <w:t>**</w:t>
            </w:r>
          </w:p>
        </w:tc>
        <w:tc>
          <w:tcPr>
            <w:tcW w:w="905"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32,8 val.</w:t>
            </w:r>
            <w:r w:rsidRPr="00E23246">
              <w:rPr>
                <w:color w:val="000000"/>
                <w:szCs w:val="22"/>
                <w:vertAlign w:val="superscript"/>
              </w:rPr>
              <w:t>**</w:t>
            </w:r>
          </w:p>
        </w:tc>
        <w:tc>
          <w:tcPr>
            <w:tcW w:w="905"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r w:rsidR="00A028B6" w:rsidRPr="00E23246" w:rsidTr="001B46CB">
        <w:tc>
          <w:tcPr>
            <w:tcW w:w="2286" w:type="pct"/>
            <w:tcBorders>
              <w:top w:val="dashSmallGap" w:sz="4" w:space="0" w:color="auto"/>
              <w:bottom w:val="dashSmallGap" w:sz="4" w:space="0" w:color="auto"/>
            </w:tcBorders>
            <w:vAlign w:val="center"/>
          </w:tcPr>
          <w:p w:rsidR="00A028B6" w:rsidRPr="00E23246" w:rsidRDefault="00A028B6" w:rsidP="001B46CB">
            <w:pPr>
              <w:tabs>
                <w:tab w:val="clear" w:pos="567"/>
                <w:tab w:val="left" w:pos="360"/>
              </w:tabs>
              <w:suppressAutoHyphens/>
              <w:spacing w:line="240" w:lineRule="auto"/>
              <w:ind w:left="318"/>
              <w:rPr>
                <w:color w:val="000000"/>
                <w:szCs w:val="22"/>
              </w:rPr>
            </w:pPr>
            <w:r w:rsidRPr="00E23246">
              <w:rPr>
                <w:color w:val="000000"/>
                <w:szCs w:val="22"/>
              </w:rPr>
              <w:t>Anksčiau negimdžiusios moterys</w:t>
            </w:r>
          </w:p>
        </w:tc>
        <w:tc>
          <w:tcPr>
            <w:tcW w:w="904" w:type="pct"/>
            <w:tcBorders>
              <w:top w:val="dashSmallGap" w:sz="4" w:space="0" w:color="auto"/>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29,2 val. (n = 441)</w:t>
            </w:r>
          </w:p>
        </w:tc>
        <w:tc>
          <w:tcPr>
            <w:tcW w:w="905" w:type="pct"/>
            <w:tcBorders>
              <w:top w:val="dashSmallGap" w:sz="4" w:space="0" w:color="auto"/>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43,1 val. (n = 451)</w:t>
            </w:r>
          </w:p>
        </w:tc>
        <w:tc>
          <w:tcPr>
            <w:tcW w:w="905" w:type="pct"/>
            <w:tcBorders>
              <w:top w:val="dashSmallGap" w:sz="4" w:space="0" w:color="auto"/>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r w:rsidR="00A028B6" w:rsidRPr="00E23246" w:rsidTr="001B46CB">
        <w:tc>
          <w:tcPr>
            <w:tcW w:w="2286"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ind w:left="318"/>
              <w:rPr>
                <w:color w:val="000000"/>
                <w:szCs w:val="22"/>
              </w:rPr>
            </w:pPr>
            <w:r w:rsidRPr="00E23246">
              <w:rPr>
                <w:color w:val="000000"/>
                <w:szCs w:val="22"/>
              </w:rPr>
              <w:t>Anksčiau gimdžiusios moterys</w:t>
            </w:r>
          </w:p>
        </w:tc>
        <w:tc>
          <w:tcPr>
            <w:tcW w:w="904"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13,4 val. (n = 237)</w:t>
            </w:r>
          </w:p>
        </w:tc>
        <w:tc>
          <w:tcPr>
            <w:tcW w:w="905"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20,1 val. (n = 229)</w:t>
            </w:r>
          </w:p>
        </w:tc>
        <w:tc>
          <w:tcPr>
            <w:tcW w:w="905"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r w:rsidR="00A028B6" w:rsidRPr="00E23246" w:rsidTr="001B46CB">
        <w:tc>
          <w:tcPr>
            <w:tcW w:w="2286"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rPr>
                <w:color w:val="000000"/>
                <w:szCs w:val="22"/>
              </w:rPr>
            </w:pPr>
            <w:r w:rsidRPr="00E23246">
              <w:rPr>
                <w:color w:val="000000"/>
                <w:szCs w:val="22"/>
              </w:rPr>
              <w:t>Cezario pjūvių skaičius, n (%)</w:t>
            </w:r>
          </w:p>
        </w:tc>
        <w:tc>
          <w:tcPr>
            <w:tcW w:w="904"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176 (26,0 %)</w:t>
            </w:r>
          </w:p>
        </w:tc>
        <w:tc>
          <w:tcPr>
            <w:tcW w:w="905" w:type="pct"/>
            <w:tcBorders>
              <w:bottom w:val="dashSmallGap" w:sz="4" w:space="0" w:color="auto"/>
            </w:tcBorders>
            <w:vAlign w:val="center"/>
          </w:tcPr>
          <w:p w:rsidR="00A028B6" w:rsidRPr="00E23246" w:rsidRDefault="00A028B6" w:rsidP="001B46CB">
            <w:pPr>
              <w:tabs>
                <w:tab w:val="clear" w:pos="567"/>
              </w:tabs>
              <w:spacing w:line="240" w:lineRule="auto"/>
              <w:jc w:val="center"/>
              <w:rPr>
                <w:color w:val="000000"/>
                <w:szCs w:val="22"/>
              </w:rPr>
            </w:pPr>
            <w:r w:rsidRPr="00E23246">
              <w:rPr>
                <w:szCs w:val="22"/>
              </w:rPr>
              <w:t>184 (27,1 %)</w:t>
            </w:r>
          </w:p>
        </w:tc>
        <w:tc>
          <w:tcPr>
            <w:tcW w:w="905" w:type="pct"/>
            <w:tcBorders>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 0,646</w:t>
            </w:r>
          </w:p>
        </w:tc>
      </w:tr>
      <w:tr w:rsidR="00A028B6" w:rsidRPr="00E23246" w:rsidTr="001B46CB">
        <w:tc>
          <w:tcPr>
            <w:tcW w:w="2286" w:type="pct"/>
            <w:tcBorders>
              <w:top w:val="dashSmallGap" w:sz="4" w:space="0" w:color="auto"/>
              <w:bottom w:val="dashSmallGap" w:sz="4" w:space="0" w:color="auto"/>
              <w:right w:val="dashSmallGap" w:sz="4" w:space="0" w:color="auto"/>
            </w:tcBorders>
            <w:vAlign w:val="center"/>
          </w:tcPr>
          <w:p w:rsidR="00A028B6" w:rsidRPr="00E23246" w:rsidRDefault="00A028B6" w:rsidP="001B46CB">
            <w:pPr>
              <w:tabs>
                <w:tab w:val="clear" w:pos="567"/>
                <w:tab w:val="left" w:pos="360"/>
              </w:tabs>
              <w:suppressAutoHyphens/>
              <w:spacing w:line="240" w:lineRule="auto"/>
              <w:ind w:left="318"/>
              <w:rPr>
                <w:color w:val="000000"/>
                <w:szCs w:val="22"/>
              </w:rPr>
            </w:pPr>
            <w:r w:rsidRPr="00E23246">
              <w:rPr>
                <w:color w:val="000000"/>
                <w:szCs w:val="22"/>
              </w:rPr>
              <w:t>Anksčiau negimdžiusios moterys</w:t>
            </w:r>
          </w:p>
        </w:tc>
        <w:tc>
          <w:tcPr>
            <w:tcW w:w="904" w:type="pct"/>
            <w:tcBorders>
              <w:top w:val="dashSmallGap" w:sz="4" w:space="0" w:color="auto"/>
              <w:left w:val="dashSmallGap" w:sz="4" w:space="0" w:color="auto"/>
              <w:bottom w:val="dashSmallGap" w:sz="4" w:space="0" w:color="auto"/>
              <w:right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152 (34,5 %)</w:t>
            </w:r>
          </w:p>
        </w:tc>
        <w:tc>
          <w:tcPr>
            <w:tcW w:w="905" w:type="pct"/>
            <w:tcBorders>
              <w:top w:val="dashSmallGap" w:sz="4" w:space="0" w:color="auto"/>
              <w:left w:val="dashSmallGap" w:sz="4" w:space="0" w:color="auto"/>
              <w:bottom w:val="dashSmallGap" w:sz="4" w:space="0" w:color="auto"/>
              <w:right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szCs w:val="22"/>
              </w:rPr>
            </w:pPr>
            <w:r w:rsidRPr="00E23246">
              <w:rPr>
                <w:color w:val="000000"/>
                <w:szCs w:val="22"/>
              </w:rPr>
              <w:t>168 (37,3 %)</w:t>
            </w:r>
          </w:p>
        </w:tc>
        <w:tc>
          <w:tcPr>
            <w:tcW w:w="905" w:type="pct"/>
            <w:tcBorders>
              <w:top w:val="dashSmallGap" w:sz="4" w:space="0" w:color="auto"/>
              <w:left w:val="dashSmallGap" w:sz="4" w:space="0" w:color="auto"/>
              <w:bottom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 0,386</w:t>
            </w:r>
          </w:p>
        </w:tc>
      </w:tr>
      <w:tr w:rsidR="00A028B6" w:rsidRPr="00E23246" w:rsidTr="001B46CB">
        <w:tc>
          <w:tcPr>
            <w:tcW w:w="2286"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ind w:left="318"/>
              <w:rPr>
                <w:color w:val="000000"/>
                <w:szCs w:val="22"/>
              </w:rPr>
            </w:pPr>
            <w:r w:rsidRPr="00E23246">
              <w:rPr>
                <w:color w:val="000000"/>
                <w:szCs w:val="22"/>
              </w:rPr>
              <w:t>Anksčiau gimdžiusios moterys</w:t>
            </w:r>
          </w:p>
        </w:tc>
        <w:tc>
          <w:tcPr>
            <w:tcW w:w="904"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24 (10,1 %)</w:t>
            </w:r>
          </w:p>
        </w:tc>
        <w:tc>
          <w:tcPr>
            <w:tcW w:w="905" w:type="pct"/>
            <w:tcBorders>
              <w:top w:val="dashSmallGap" w:sz="4" w:space="0" w:color="auto"/>
            </w:tcBorders>
            <w:vAlign w:val="center"/>
          </w:tcPr>
          <w:p w:rsidR="00A028B6" w:rsidRPr="00E23246" w:rsidRDefault="00A028B6" w:rsidP="001B46CB">
            <w:pPr>
              <w:tabs>
                <w:tab w:val="clear" w:pos="567"/>
              </w:tabs>
              <w:spacing w:line="240" w:lineRule="auto"/>
              <w:jc w:val="center"/>
              <w:rPr>
                <w:szCs w:val="22"/>
              </w:rPr>
            </w:pPr>
            <w:r w:rsidRPr="00E23246">
              <w:rPr>
                <w:color w:val="000000"/>
                <w:szCs w:val="22"/>
              </w:rPr>
              <w:t>16 (7,0 %)</w:t>
            </w:r>
          </w:p>
        </w:tc>
        <w:tc>
          <w:tcPr>
            <w:tcW w:w="905" w:type="pct"/>
            <w:tcBorders>
              <w:top w:val="dashSmallGap" w:sz="4" w:space="0" w:color="auto"/>
            </w:tcBorders>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 0,226</w:t>
            </w:r>
          </w:p>
        </w:tc>
      </w:tr>
      <w:tr w:rsidR="00A028B6" w:rsidRPr="00E23246" w:rsidTr="001B46CB">
        <w:tc>
          <w:tcPr>
            <w:tcW w:w="2286" w:type="pct"/>
            <w:vAlign w:val="center"/>
          </w:tcPr>
          <w:p w:rsidR="00A028B6" w:rsidRPr="00E23246" w:rsidRDefault="00A028B6" w:rsidP="001B46CB">
            <w:pPr>
              <w:tabs>
                <w:tab w:val="clear" w:pos="567"/>
                <w:tab w:val="left" w:pos="360"/>
              </w:tabs>
              <w:suppressAutoHyphens/>
              <w:spacing w:line="240" w:lineRule="auto"/>
              <w:rPr>
                <w:color w:val="000000"/>
                <w:szCs w:val="22"/>
              </w:rPr>
            </w:pPr>
            <w:r w:rsidRPr="00E23246">
              <w:rPr>
                <w:color w:val="000000"/>
                <w:szCs w:val="22"/>
              </w:rPr>
              <w:t xml:space="preserve">Laiko iki pagimdymo (per makštį arba po cezario pjūvio) bendra mediana, val. </w:t>
            </w:r>
            <w:r w:rsidRPr="00E23246">
              <w:rPr>
                <w:color w:val="000000"/>
                <w:szCs w:val="22"/>
                <w:vertAlign w:val="superscript"/>
              </w:rPr>
              <w:t>*</w:t>
            </w:r>
          </w:p>
        </w:tc>
        <w:tc>
          <w:tcPr>
            <w:tcW w:w="904"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18,3 val.</w:t>
            </w:r>
            <w:r w:rsidRPr="00E23246">
              <w:rPr>
                <w:color w:val="000000"/>
                <w:szCs w:val="22"/>
                <w:vertAlign w:val="superscript"/>
              </w:rPr>
              <w:t>†</w:t>
            </w:r>
          </w:p>
        </w:tc>
        <w:tc>
          <w:tcPr>
            <w:tcW w:w="905"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27,3 val.</w:t>
            </w:r>
            <w:r w:rsidRPr="00E23246">
              <w:rPr>
                <w:color w:val="000000"/>
                <w:szCs w:val="22"/>
                <w:vertAlign w:val="superscript"/>
              </w:rPr>
              <w:t>†</w:t>
            </w:r>
          </w:p>
        </w:tc>
        <w:tc>
          <w:tcPr>
            <w:tcW w:w="905"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r w:rsidR="00A028B6" w:rsidRPr="00E23246" w:rsidTr="001B46CB">
        <w:tc>
          <w:tcPr>
            <w:tcW w:w="2286" w:type="pct"/>
            <w:vAlign w:val="center"/>
          </w:tcPr>
          <w:p w:rsidR="00A028B6" w:rsidRPr="00E23246" w:rsidRDefault="00A028B6" w:rsidP="001B46CB">
            <w:pPr>
              <w:tabs>
                <w:tab w:val="clear" w:pos="567"/>
                <w:tab w:val="left" w:pos="360"/>
              </w:tabs>
              <w:suppressAutoHyphens/>
              <w:spacing w:line="240" w:lineRule="auto"/>
              <w:rPr>
                <w:color w:val="000000"/>
                <w:szCs w:val="22"/>
              </w:rPr>
            </w:pPr>
            <w:r w:rsidRPr="00E23246">
              <w:rPr>
                <w:color w:val="000000"/>
                <w:szCs w:val="22"/>
              </w:rPr>
              <w:t>Laiko iki gimdymo veiklos pradžios bendra mediana, val. </w:t>
            </w:r>
            <w:r w:rsidRPr="00E23246">
              <w:rPr>
                <w:color w:val="000000"/>
                <w:szCs w:val="22"/>
                <w:vertAlign w:val="superscript"/>
              </w:rPr>
              <w:t>*</w:t>
            </w:r>
          </w:p>
        </w:tc>
        <w:tc>
          <w:tcPr>
            <w:tcW w:w="904"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12,1 val.</w:t>
            </w:r>
            <w:r w:rsidRPr="00E23246">
              <w:rPr>
                <w:color w:val="000000"/>
                <w:szCs w:val="22"/>
                <w:vertAlign w:val="superscript"/>
              </w:rPr>
              <w:t>††</w:t>
            </w:r>
          </w:p>
        </w:tc>
        <w:tc>
          <w:tcPr>
            <w:tcW w:w="905" w:type="pct"/>
            <w:vAlign w:val="center"/>
          </w:tcPr>
          <w:p w:rsidR="00A028B6" w:rsidRPr="00E23246" w:rsidRDefault="00A028B6" w:rsidP="001B46CB">
            <w:pPr>
              <w:tabs>
                <w:tab w:val="clear" w:pos="567"/>
              </w:tabs>
              <w:spacing w:line="240" w:lineRule="auto"/>
              <w:jc w:val="center"/>
              <w:rPr>
                <w:szCs w:val="22"/>
              </w:rPr>
            </w:pPr>
            <w:r w:rsidRPr="00E23246">
              <w:rPr>
                <w:color w:val="000000"/>
                <w:szCs w:val="22"/>
              </w:rPr>
              <w:t>18,6 val.</w:t>
            </w:r>
            <w:r w:rsidRPr="00E23246">
              <w:rPr>
                <w:color w:val="000000"/>
                <w:szCs w:val="22"/>
                <w:vertAlign w:val="superscript"/>
              </w:rPr>
              <w:t>††</w:t>
            </w:r>
          </w:p>
        </w:tc>
        <w:tc>
          <w:tcPr>
            <w:tcW w:w="905"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r w:rsidR="00A028B6" w:rsidRPr="00E23246" w:rsidTr="001B46CB">
        <w:tc>
          <w:tcPr>
            <w:tcW w:w="2286" w:type="pct"/>
            <w:vAlign w:val="center"/>
          </w:tcPr>
          <w:p w:rsidR="00A028B6" w:rsidRPr="00E23246" w:rsidRDefault="00A028B6" w:rsidP="001B46CB">
            <w:pPr>
              <w:tabs>
                <w:tab w:val="clear" w:pos="567"/>
                <w:tab w:val="left" w:pos="360"/>
              </w:tabs>
              <w:suppressAutoHyphens/>
              <w:spacing w:line="240" w:lineRule="auto"/>
              <w:rPr>
                <w:color w:val="000000"/>
                <w:szCs w:val="22"/>
              </w:rPr>
            </w:pPr>
            <w:r w:rsidRPr="00E23246">
              <w:rPr>
                <w:color w:val="000000"/>
                <w:szCs w:val="22"/>
              </w:rPr>
              <w:t xml:space="preserve">Bendras pacienčių, kurios prieš pagimdant suleista </w:t>
            </w:r>
            <w:proofErr w:type="spellStart"/>
            <w:r w:rsidRPr="00E23246">
              <w:rPr>
                <w:color w:val="000000"/>
                <w:szCs w:val="22"/>
              </w:rPr>
              <w:t>oksitocino</w:t>
            </w:r>
            <w:proofErr w:type="spellEnd"/>
            <w:r w:rsidRPr="00E23246">
              <w:rPr>
                <w:color w:val="000000"/>
                <w:szCs w:val="22"/>
              </w:rPr>
              <w:t>, skaičius, n ( %)</w:t>
            </w:r>
          </w:p>
        </w:tc>
        <w:tc>
          <w:tcPr>
            <w:tcW w:w="904" w:type="pct"/>
            <w:vAlign w:val="center"/>
          </w:tcPr>
          <w:p w:rsidR="00A028B6" w:rsidRPr="00E23246" w:rsidRDefault="00A028B6" w:rsidP="001B46CB">
            <w:pPr>
              <w:pStyle w:val="TableText"/>
              <w:keepNext w:val="0"/>
              <w:keepLines w:val="0"/>
              <w:spacing w:before="0" w:after="0" w:line="240" w:lineRule="auto"/>
              <w:jc w:val="center"/>
              <w:rPr>
                <w:color w:val="000000"/>
                <w:sz w:val="22"/>
                <w:szCs w:val="22"/>
                <w:lang w:val="lt-LT"/>
              </w:rPr>
            </w:pPr>
            <w:r w:rsidRPr="00E23246">
              <w:rPr>
                <w:color w:val="000000"/>
                <w:sz w:val="22"/>
                <w:szCs w:val="22"/>
                <w:lang w:val="lt-LT"/>
              </w:rPr>
              <w:t>324 (48,1 %)</w:t>
            </w:r>
          </w:p>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(N = 674)</w:t>
            </w:r>
          </w:p>
        </w:tc>
        <w:tc>
          <w:tcPr>
            <w:tcW w:w="905" w:type="pct"/>
            <w:vAlign w:val="center"/>
          </w:tcPr>
          <w:p w:rsidR="00A028B6" w:rsidRPr="00E23246" w:rsidRDefault="00A028B6" w:rsidP="001B46CB">
            <w:pPr>
              <w:pStyle w:val="tabletext0"/>
              <w:spacing w:before="0" w:beforeAutospacing="0" w:after="0" w:afterAutospacing="0"/>
              <w:jc w:val="center"/>
              <w:rPr>
                <w:color w:val="000000"/>
                <w:sz w:val="22"/>
                <w:szCs w:val="22"/>
                <w:lang w:val="lt-LT"/>
              </w:rPr>
            </w:pPr>
            <w:r w:rsidRPr="00E23246">
              <w:rPr>
                <w:color w:val="000000"/>
                <w:sz w:val="22"/>
                <w:szCs w:val="22"/>
                <w:lang w:val="lt-LT"/>
              </w:rPr>
              <w:t>497 (74,1 %)</w:t>
            </w:r>
          </w:p>
          <w:p w:rsidR="00A028B6" w:rsidRPr="00E23246" w:rsidRDefault="00A028B6" w:rsidP="001B46CB">
            <w:pPr>
              <w:tabs>
                <w:tab w:val="clear" w:pos="567"/>
              </w:tabs>
              <w:spacing w:line="240" w:lineRule="auto"/>
              <w:jc w:val="center"/>
              <w:rPr>
                <w:color w:val="000000"/>
                <w:szCs w:val="22"/>
              </w:rPr>
            </w:pPr>
            <w:r w:rsidRPr="00E23246">
              <w:rPr>
                <w:color w:val="000000"/>
                <w:szCs w:val="22"/>
              </w:rPr>
              <w:t>(N = 671)</w:t>
            </w:r>
          </w:p>
        </w:tc>
        <w:tc>
          <w:tcPr>
            <w:tcW w:w="905" w:type="pct"/>
            <w:vAlign w:val="center"/>
          </w:tcPr>
          <w:p w:rsidR="00A028B6" w:rsidRPr="00E23246" w:rsidRDefault="00A028B6" w:rsidP="001B46CB">
            <w:pPr>
              <w:tabs>
                <w:tab w:val="clear" w:pos="567"/>
                <w:tab w:val="left" w:pos="360"/>
              </w:tabs>
              <w:suppressAutoHyphens/>
              <w:spacing w:line="240" w:lineRule="auto"/>
              <w:jc w:val="center"/>
              <w:rPr>
                <w:color w:val="000000"/>
                <w:szCs w:val="22"/>
              </w:rPr>
            </w:pPr>
            <w:r w:rsidRPr="00E23246">
              <w:rPr>
                <w:color w:val="000000"/>
                <w:szCs w:val="22"/>
              </w:rPr>
              <w:t>p &lt; 0,001</w:t>
            </w:r>
          </w:p>
        </w:tc>
      </w:tr>
    </w:tbl>
    <w:p w:rsidR="00A028B6" w:rsidRPr="00E23246" w:rsidRDefault="00A028B6" w:rsidP="00A028B6">
      <w:pPr>
        <w:spacing w:line="240" w:lineRule="auto"/>
        <w:rPr>
          <w:bCs/>
          <w:iCs/>
          <w:szCs w:val="22"/>
        </w:rPr>
      </w:pPr>
      <w:r w:rsidRPr="00E23246">
        <w:rPr>
          <w:bCs/>
          <w:iCs/>
          <w:szCs w:val="22"/>
        </w:rPr>
        <w:t xml:space="preserve">* Moterų, kurios pagimdė po cezario pjūvio, buvo išrašytos iki gimdymo arba pirmosios </w:t>
      </w:r>
      <w:proofErr w:type="spellStart"/>
      <w:r w:rsidRPr="00E23246">
        <w:rPr>
          <w:bCs/>
          <w:iCs/>
          <w:szCs w:val="22"/>
        </w:rPr>
        <w:t>hospitalizacijos</w:t>
      </w:r>
      <w:proofErr w:type="spellEnd"/>
      <w:r w:rsidRPr="00E23246">
        <w:rPr>
          <w:bCs/>
          <w:iCs/>
          <w:szCs w:val="22"/>
        </w:rPr>
        <w:t xml:space="preserve"> metu atsisakė toliau dalyvauti tyrime, duomenys pašalinti paėmus ilgiausią laiko intervalą nuo tiriamojo vaistinio preparato įkišimo iki cezario pjūvio, gimdymo veiklos pradžios arba išrašymo (</w:t>
      </w:r>
      <w:proofErr w:type="spellStart"/>
      <w:r w:rsidRPr="00E23246">
        <w:rPr>
          <w:bCs/>
          <w:iCs/>
          <w:szCs w:val="22"/>
        </w:rPr>
        <w:t>Kaplan</w:t>
      </w:r>
      <w:proofErr w:type="spellEnd"/>
      <w:r w:rsidRPr="00E23246">
        <w:rPr>
          <w:bCs/>
          <w:iCs/>
          <w:szCs w:val="22"/>
        </w:rPr>
        <w:t xml:space="preserve"> </w:t>
      </w:r>
      <w:proofErr w:type="spellStart"/>
      <w:r w:rsidRPr="00E23246">
        <w:rPr>
          <w:bCs/>
          <w:iCs/>
          <w:szCs w:val="22"/>
        </w:rPr>
        <w:t>Meier</w:t>
      </w:r>
      <w:proofErr w:type="spellEnd"/>
      <w:r w:rsidRPr="00E23246">
        <w:rPr>
          <w:bCs/>
          <w:iCs/>
          <w:szCs w:val="22"/>
        </w:rPr>
        <w:t xml:space="preserve"> metodu).</w:t>
      </w:r>
    </w:p>
    <w:p w:rsidR="00A028B6" w:rsidRPr="00E23246" w:rsidRDefault="00A028B6" w:rsidP="00A028B6">
      <w:pPr>
        <w:spacing w:line="240" w:lineRule="auto"/>
        <w:rPr>
          <w:bCs/>
          <w:iCs/>
          <w:szCs w:val="22"/>
        </w:rPr>
      </w:pPr>
      <w:r w:rsidRPr="00E23246">
        <w:rPr>
          <w:bCs/>
          <w:iCs/>
          <w:szCs w:val="22"/>
        </w:rPr>
        <w:t xml:space="preserve">** </w:t>
      </w:r>
      <w:r w:rsidRPr="00E23246">
        <w:rPr>
          <w:color w:val="000000"/>
          <w:szCs w:val="22"/>
        </w:rPr>
        <w:t>Laiko iki pagimdymo per makštį bendra mediana</w:t>
      </w:r>
      <w:r w:rsidRPr="00E23246">
        <w:rPr>
          <w:bCs/>
          <w:iCs/>
          <w:szCs w:val="22"/>
        </w:rPr>
        <w:t xml:space="preserve"> moterims, pavartojusioms 200 </w:t>
      </w:r>
      <w:proofErr w:type="spellStart"/>
      <w:r w:rsidRPr="00E23246">
        <w:rPr>
          <w:bCs/>
          <w:iCs/>
          <w:szCs w:val="22"/>
        </w:rPr>
        <w:t>mikrogramų</w:t>
      </w:r>
      <w:proofErr w:type="spellEnd"/>
      <w:r w:rsidRPr="00E23246">
        <w:rPr>
          <w:bCs/>
          <w:iCs/>
          <w:szCs w:val="22"/>
        </w:rPr>
        <w:t xml:space="preserve"> </w:t>
      </w:r>
      <w:proofErr w:type="spellStart"/>
      <w:r w:rsidRPr="00E23246">
        <w:rPr>
          <w:bCs/>
          <w:iCs/>
          <w:szCs w:val="22"/>
        </w:rPr>
        <w:t>Misodel</w:t>
      </w:r>
      <w:proofErr w:type="spellEnd"/>
      <w:r w:rsidRPr="00E23246">
        <w:rPr>
          <w:bCs/>
          <w:iCs/>
          <w:szCs w:val="22"/>
        </w:rPr>
        <w:t xml:space="preserve"> – 16,6 val., pavartojusioms 10 mg PROPESS</w:t>
      </w:r>
      <w:r w:rsidRPr="00E23246">
        <w:rPr>
          <w:bCs/>
          <w:iCs/>
          <w:szCs w:val="22"/>
          <w:vertAlign w:val="superscript"/>
        </w:rPr>
        <w:t>®</w:t>
      </w:r>
      <w:r w:rsidRPr="00E23246">
        <w:rPr>
          <w:bCs/>
          <w:iCs/>
          <w:szCs w:val="22"/>
        </w:rPr>
        <w:t xml:space="preserve"> – 25,1 val.</w:t>
      </w:r>
    </w:p>
    <w:p w:rsidR="00A028B6" w:rsidRPr="00E23246" w:rsidRDefault="00A028B6" w:rsidP="00A028B6">
      <w:pPr>
        <w:spacing w:line="240" w:lineRule="auto"/>
        <w:rPr>
          <w:bCs/>
          <w:iCs/>
          <w:szCs w:val="22"/>
        </w:rPr>
      </w:pPr>
      <w:r w:rsidRPr="00E23246">
        <w:rPr>
          <w:bCs/>
          <w:iCs/>
          <w:szCs w:val="22"/>
        </w:rPr>
        <w:t xml:space="preserve">† </w:t>
      </w:r>
      <w:r w:rsidRPr="00E23246">
        <w:rPr>
          <w:color w:val="000000"/>
          <w:szCs w:val="22"/>
        </w:rPr>
        <w:t>Laiko iki pagimdymo bet kuriuo būdu bendra mediana</w:t>
      </w:r>
      <w:r w:rsidRPr="00E23246">
        <w:rPr>
          <w:bCs/>
          <w:iCs/>
          <w:szCs w:val="22"/>
        </w:rPr>
        <w:t xml:space="preserve"> moterims, pavartojusioms 200 </w:t>
      </w:r>
      <w:proofErr w:type="spellStart"/>
      <w:r w:rsidRPr="00E23246">
        <w:rPr>
          <w:bCs/>
          <w:iCs/>
          <w:szCs w:val="22"/>
        </w:rPr>
        <w:t>mikrogramų</w:t>
      </w:r>
      <w:proofErr w:type="spellEnd"/>
      <w:r w:rsidRPr="00E23246">
        <w:rPr>
          <w:bCs/>
          <w:iCs/>
          <w:szCs w:val="22"/>
        </w:rPr>
        <w:t xml:space="preserve"> </w:t>
      </w:r>
      <w:proofErr w:type="spellStart"/>
      <w:r w:rsidRPr="00E23246">
        <w:rPr>
          <w:bCs/>
          <w:iCs/>
          <w:szCs w:val="22"/>
        </w:rPr>
        <w:t>Misodel</w:t>
      </w:r>
      <w:proofErr w:type="spellEnd"/>
      <w:r w:rsidRPr="00E23246">
        <w:rPr>
          <w:bCs/>
          <w:iCs/>
          <w:szCs w:val="22"/>
        </w:rPr>
        <w:t xml:space="preserve"> – 18,2 val., pavartojusioms 10 mg PROPESS</w:t>
      </w:r>
      <w:r w:rsidRPr="00E23246">
        <w:rPr>
          <w:bCs/>
          <w:iCs/>
          <w:szCs w:val="22"/>
          <w:vertAlign w:val="superscript"/>
        </w:rPr>
        <w:t>®</w:t>
      </w:r>
      <w:r w:rsidRPr="00E23246">
        <w:rPr>
          <w:bCs/>
          <w:iCs/>
          <w:szCs w:val="22"/>
        </w:rPr>
        <w:t xml:space="preserve"> – 27,2 val.</w:t>
      </w:r>
    </w:p>
    <w:p w:rsidR="00A028B6" w:rsidRPr="00E23246" w:rsidRDefault="00A028B6" w:rsidP="00A028B6">
      <w:pPr>
        <w:spacing w:line="240" w:lineRule="auto"/>
        <w:rPr>
          <w:bCs/>
          <w:iCs/>
          <w:szCs w:val="22"/>
        </w:rPr>
      </w:pPr>
      <w:r w:rsidRPr="00E23246">
        <w:rPr>
          <w:bCs/>
          <w:iCs/>
          <w:szCs w:val="22"/>
        </w:rPr>
        <w:t xml:space="preserve">†† </w:t>
      </w:r>
      <w:r w:rsidRPr="00E23246">
        <w:rPr>
          <w:color w:val="000000"/>
          <w:szCs w:val="22"/>
        </w:rPr>
        <w:t>Laiko iki gimdymo veiklos pradžios bendra mediana</w:t>
      </w:r>
      <w:r w:rsidRPr="00E23246">
        <w:rPr>
          <w:bCs/>
          <w:iCs/>
          <w:szCs w:val="22"/>
        </w:rPr>
        <w:t xml:space="preserve"> moterims, pavartojusioms 200 </w:t>
      </w:r>
      <w:proofErr w:type="spellStart"/>
      <w:r w:rsidRPr="00E23246">
        <w:rPr>
          <w:bCs/>
          <w:iCs/>
          <w:szCs w:val="22"/>
        </w:rPr>
        <w:t>mikrogramų</w:t>
      </w:r>
      <w:proofErr w:type="spellEnd"/>
      <w:r w:rsidRPr="00E23246">
        <w:rPr>
          <w:bCs/>
          <w:iCs/>
          <w:szCs w:val="22"/>
        </w:rPr>
        <w:t xml:space="preserve"> </w:t>
      </w:r>
      <w:proofErr w:type="spellStart"/>
      <w:r w:rsidRPr="00E23246">
        <w:rPr>
          <w:bCs/>
          <w:iCs/>
          <w:szCs w:val="22"/>
        </w:rPr>
        <w:t>Misodel</w:t>
      </w:r>
      <w:proofErr w:type="spellEnd"/>
      <w:r w:rsidRPr="00E23246">
        <w:rPr>
          <w:bCs/>
          <w:iCs/>
          <w:szCs w:val="22"/>
        </w:rPr>
        <w:t xml:space="preserve"> – 12 val., pavartojusioms 10 mg PROPESS</w:t>
      </w:r>
      <w:r w:rsidRPr="00E23246">
        <w:rPr>
          <w:bCs/>
          <w:iCs/>
          <w:szCs w:val="22"/>
          <w:vertAlign w:val="superscript"/>
        </w:rPr>
        <w:t>®</w:t>
      </w:r>
      <w:r w:rsidRPr="00E23246">
        <w:rPr>
          <w:bCs/>
          <w:iCs/>
          <w:szCs w:val="22"/>
        </w:rPr>
        <w:t xml:space="preserve"> – 18 val.</w:t>
      </w:r>
    </w:p>
    <w:p w:rsidR="00A028B6" w:rsidRPr="00E23246" w:rsidRDefault="00A028B6" w:rsidP="00A028B6">
      <w:pPr>
        <w:spacing w:line="240" w:lineRule="auto"/>
        <w:rPr>
          <w:szCs w:val="22"/>
        </w:rPr>
      </w:pPr>
    </w:p>
    <w:p w:rsidR="00A028B6" w:rsidRPr="00E23246" w:rsidRDefault="00A028B6" w:rsidP="00A028B6">
      <w:pPr>
        <w:spacing w:line="240" w:lineRule="auto"/>
        <w:rPr>
          <w:i/>
          <w:szCs w:val="22"/>
        </w:rPr>
      </w:pPr>
      <w:r w:rsidRPr="00E23246">
        <w:rPr>
          <w:i/>
          <w:szCs w:val="22"/>
        </w:rPr>
        <w:t>Vaikų populiacija</w:t>
      </w:r>
    </w:p>
    <w:p w:rsidR="00A028B6" w:rsidRPr="00E23246" w:rsidRDefault="00A028B6" w:rsidP="00A028B6">
      <w:pPr>
        <w:tabs>
          <w:tab w:val="clear" w:pos="567"/>
        </w:tabs>
        <w:spacing w:line="240" w:lineRule="auto"/>
        <w:rPr>
          <w:szCs w:val="22"/>
        </w:rPr>
      </w:pPr>
      <w:r w:rsidRPr="00E23246">
        <w:rPr>
          <w:szCs w:val="22"/>
        </w:rPr>
        <w:t xml:space="preserve">Europos vaistų agentūra atleido nuo įpareigojimo pateikti </w:t>
      </w:r>
      <w:proofErr w:type="spellStart"/>
      <w:r w:rsidRPr="00E23246">
        <w:rPr>
          <w:szCs w:val="22"/>
        </w:rPr>
        <w:t>Misodel</w:t>
      </w:r>
      <w:proofErr w:type="spellEnd"/>
      <w:r w:rsidRPr="00E23246">
        <w:rPr>
          <w:szCs w:val="22"/>
        </w:rPr>
        <w:t xml:space="preserve"> klinikinių tyrimų su </w:t>
      </w:r>
      <w:r w:rsidR="009E558E">
        <w:rPr>
          <w:szCs w:val="22"/>
        </w:rPr>
        <w:t>vienu ar daugiau</w:t>
      </w:r>
      <w:r w:rsidR="009E558E" w:rsidRPr="00E23246">
        <w:rPr>
          <w:szCs w:val="22"/>
        </w:rPr>
        <w:t xml:space="preserve"> </w:t>
      </w:r>
      <w:r w:rsidRPr="00E23246">
        <w:rPr>
          <w:szCs w:val="22"/>
        </w:rPr>
        <w:t>vaikų populiacijos pogrupiais duomenis patvirtintai indikacijai paskatinti prasidėti gimdymą (vartojimo vaikams informacija pateikiama 4.2 skyriuje).</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jc w:val="left"/>
        <w:rPr>
          <w:rFonts w:ascii="Times New Roman" w:hAnsi="Times New Roman"/>
          <w:sz w:val="22"/>
          <w:szCs w:val="22"/>
          <w:lang w:val="lt-LT"/>
        </w:rPr>
      </w:pPr>
      <w:r w:rsidRPr="00E23246">
        <w:rPr>
          <w:rFonts w:ascii="Times New Roman" w:hAnsi="Times New Roman"/>
          <w:sz w:val="22"/>
          <w:szCs w:val="22"/>
          <w:lang w:val="lt-LT"/>
        </w:rPr>
        <w:t>5.2</w:t>
      </w:r>
      <w:r w:rsidRPr="00E23246">
        <w:rPr>
          <w:rFonts w:ascii="Times New Roman" w:hAnsi="Times New Roman"/>
          <w:sz w:val="22"/>
          <w:szCs w:val="22"/>
          <w:lang w:val="lt-LT"/>
        </w:rPr>
        <w:tab/>
      </w:r>
      <w:proofErr w:type="spellStart"/>
      <w:r w:rsidRPr="00E23246">
        <w:rPr>
          <w:rFonts w:ascii="Times New Roman" w:hAnsi="Times New Roman"/>
          <w:sz w:val="22"/>
          <w:szCs w:val="22"/>
          <w:lang w:val="lt-LT"/>
        </w:rPr>
        <w:t>Farmakokinetinės</w:t>
      </w:r>
      <w:proofErr w:type="spellEnd"/>
      <w:r w:rsidRPr="00E23246">
        <w:rPr>
          <w:rFonts w:ascii="Times New Roman" w:hAnsi="Times New Roman"/>
          <w:sz w:val="22"/>
          <w:szCs w:val="22"/>
          <w:lang w:val="lt-LT"/>
        </w:rPr>
        <w:t xml:space="preserve"> savybės</w:t>
      </w:r>
    </w:p>
    <w:p w:rsidR="00A028B6" w:rsidRPr="00E23246" w:rsidRDefault="00A028B6" w:rsidP="00A028B6">
      <w:pPr>
        <w:tabs>
          <w:tab w:val="clear" w:pos="567"/>
        </w:tabs>
        <w:spacing w:line="240" w:lineRule="auto"/>
        <w:rPr>
          <w:szCs w:val="22"/>
        </w:rPr>
      </w:pPr>
    </w:p>
    <w:p w:rsidR="00A028B6" w:rsidRPr="00E23246" w:rsidRDefault="00A028B6" w:rsidP="00A028B6">
      <w:pPr>
        <w:spacing w:line="240" w:lineRule="auto"/>
        <w:rPr>
          <w:bCs/>
          <w:iCs/>
          <w:szCs w:val="22"/>
        </w:rPr>
      </w:pPr>
      <w:proofErr w:type="spellStart"/>
      <w:r w:rsidRPr="00E23246">
        <w:rPr>
          <w:bCs/>
          <w:iCs/>
          <w:szCs w:val="22"/>
        </w:rPr>
        <w:t>Mizoprostolis</w:t>
      </w:r>
      <w:proofErr w:type="spellEnd"/>
      <w:r w:rsidRPr="00E23246">
        <w:rPr>
          <w:bCs/>
          <w:iCs/>
          <w:szCs w:val="22"/>
        </w:rPr>
        <w:t xml:space="preserve"> yra esteris, greitai </w:t>
      </w:r>
      <w:proofErr w:type="spellStart"/>
      <w:r w:rsidRPr="00E23246">
        <w:rPr>
          <w:bCs/>
          <w:iCs/>
          <w:szCs w:val="22"/>
        </w:rPr>
        <w:t>metabolizuojamas</w:t>
      </w:r>
      <w:proofErr w:type="spellEnd"/>
      <w:r w:rsidRPr="00E23246">
        <w:rPr>
          <w:bCs/>
          <w:iCs/>
          <w:szCs w:val="22"/>
        </w:rPr>
        <w:t xml:space="preserve"> į aktyvų metabolitą – </w:t>
      </w:r>
      <w:proofErr w:type="spellStart"/>
      <w:r w:rsidRPr="00E23246">
        <w:rPr>
          <w:bCs/>
          <w:iCs/>
          <w:szCs w:val="22"/>
        </w:rPr>
        <w:t>mizoprostolio</w:t>
      </w:r>
      <w:proofErr w:type="spellEnd"/>
      <w:r w:rsidRPr="00E23246">
        <w:rPr>
          <w:bCs/>
          <w:iCs/>
          <w:szCs w:val="22"/>
        </w:rPr>
        <w:t xml:space="preserve"> rūgštį. Plazmoje randama tik </w:t>
      </w:r>
      <w:proofErr w:type="spellStart"/>
      <w:r w:rsidRPr="00E23246">
        <w:rPr>
          <w:bCs/>
          <w:iCs/>
          <w:szCs w:val="22"/>
        </w:rPr>
        <w:t>mizoprostolio</w:t>
      </w:r>
      <w:proofErr w:type="spellEnd"/>
      <w:r w:rsidRPr="00E23246">
        <w:rPr>
          <w:bCs/>
          <w:iCs/>
          <w:szCs w:val="22"/>
        </w:rPr>
        <w:t xml:space="preserve"> rūgšties. Ji </w:t>
      </w:r>
      <w:proofErr w:type="spellStart"/>
      <w:r w:rsidRPr="00E23246">
        <w:rPr>
          <w:bCs/>
          <w:iCs/>
          <w:szCs w:val="22"/>
        </w:rPr>
        <w:t>metabolizuojama</w:t>
      </w:r>
      <w:proofErr w:type="spellEnd"/>
      <w:r w:rsidRPr="00E23246">
        <w:rPr>
          <w:bCs/>
          <w:iCs/>
          <w:szCs w:val="22"/>
        </w:rPr>
        <w:t xml:space="preserve"> į neaktyvius </w:t>
      </w:r>
      <w:proofErr w:type="spellStart"/>
      <w:r w:rsidRPr="00E23246">
        <w:rPr>
          <w:bCs/>
          <w:iCs/>
          <w:szCs w:val="22"/>
        </w:rPr>
        <w:t>dinor</w:t>
      </w:r>
      <w:proofErr w:type="spellEnd"/>
      <w:r w:rsidRPr="00E23246">
        <w:rPr>
          <w:bCs/>
          <w:iCs/>
          <w:szCs w:val="22"/>
        </w:rPr>
        <w:t xml:space="preserve"> ir </w:t>
      </w:r>
      <w:proofErr w:type="spellStart"/>
      <w:r w:rsidRPr="00E23246">
        <w:rPr>
          <w:bCs/>
          <w:iCs/>
          <w:szCs w:val="22"/>
        </w:rPr>
        <w:t>tetranor</w:t>
      </w:r>
      <w:proofErr w:type="spellEnd"/>
      <w:r w:rsidRPr="00E23246">
        <w:rPr>
          <w:bCs/>
          <w:iCs/>
          <w:szCs w:val="22"/>
        </w:rPr>
        <w:t xml:space="preserve"> rūgšties metabolitus, kurie vėliau išskiriami su šlapimu.</w:t>
      </w:r>
    </w:p>
    <w:p w:rsidR="00A028B6" w:rsidRPr="00E23246" w:rsidRDefault="00A028B6" w:rsidP="00A028B6">
      <w:pPr>
        <w:spacing w:line="240" w:lineRule="auto"/>
        <w:rPr>
          <w:bCs/>
          <w:iCs/>
          <w:szCs w:val="22"/>
        </w:rPr>
      </w:pPr>
    </w:p>
    <w:p w:rsidR="00A028B6" w:rsidRPr="00E23246" w:rsidRDefault="00A028B6" w:rsidP="00A028B6">
      <w:pPr>
        <w:spacing w:line="240" w:lineRule="auto"/>
        <w:rPr>
          <w:bCs/>
          <w:iCs/>
          <w:szCs w:val="22"/>
        </w:rPr>
      </w:pPr>
      <w:r w:rsidRPr="00E23246">
        <w:rPr>
          <w:bCs/>
          <w:iCs/>
          <w:szCs w:val="22"/>
        </w:rPr>
        <w:t xml:space="preserve">Ne nėščioms moterims įkištos </w:t>
      </w:r>
      <w:proofErr w:type="spellStart"/>
      <w:r w:rsidRPr="00E23246">
        <w:rPr>
          <w:bCs/>
          <w:iCs/>
          <w:szCs w:val="22"/>
        </w:rPr>
        <w:t>Misodel</w:t>
      </w:r>
      <w:proofErr w:type="spellEnd"/>
      <w:r w:rsidRPr="00E23246">
        <w:rPr>
          <w:bCs/>
          <w:iCs/>
          <w:szCs w:val="22"/>
        </w:rPr>
        <w:t xml:space="preserve"> vartojimo į makštį sistemos (</w:t>
      </w:r>
      <w:proofErr w:type="spellStart"/>
      <w:r w:rsidRPr="00E23246">
        <w:rPr>
          <w:bCs/>
          <w:i/>
          <w:szCs w:val="22"/>
        </w:rPr>
        <w:t>in</w:t>
      </w:r>
      <w:proofErr w:type="spellEnd"/>
      <w:r w:rsidRPr="00E23246">
        <w:rPr>
          <w:bCs/>
          <w:i/>
          <w:szCs w:val="22"/>
        </w:rPr>
        <w:t xml:space="preserve"> </w:t>
      </w:r>
      <w:proofErr w:type="spellStart"/>
      <w:r w:rsidRPr="00E23246">
        <w:rPr>
          <w:bCs/>
          <w:i/>
          <w:szCs w:val="22"/>
        </w:rPr>
        <w:t>vivo</w:t>
      </w:r>
      <w:proofErr w:type="spellEnd"/>
      <w:r w:rsidRPr="00E23246">
        <w:rPr>
          <w:bCs/>
          <w:iCs/>
          <w:szCs w:val="22"/>
        </w:rPr>
        <w:t xml:space="preserve">) </w:t>
      </w:r>
      <w:proofErr w:type="spellStart"/>
      <w:r w:rsidRPr="00E23246">
        <w:rPr>
          <w:szCs w:val="22"/>
        </w:rPr>
        <w:t>mizoprostolis</w:t>
      </w:r>
      <w:proofErr w:type="spellEnd"/>
      <w:r w:rsidRPr="00E23246">
        <w:rPr>
          <w:szCs w:val="22"/>
        </w:rPr>
        <w:t xml:space="preserve"> </w:t>
      </w:r>
      <w:r w:rsidRPr="00E23246">
        <w:rPr>
          <w:bCs/>
          <w:iCs/>
          <w:szCs w:val="22"/>
        </w:rPr>
        <w:t xml:space="preserve">atpalaiduojamas </w:t>
      </w:r>
      <w:r w:rsidRPr="00E23246">
        <w:rPr>
          <w:szCs w:val="22"/>
        </w:rPr>
        <w:t xml:space="preserve">24 val. </w:t>
      </w:r>
      <w:r w:rsidRPr="00E23246">
        <w:rPr>
          <w:bCs/>
          <w:iCs/>
          <w:szCs w:val="22"/>
        </w:rPr>
        <w:t xml:space="preserve">kontroliuojamu vidutiniu </w:t>
      </w:r>
      <w:r w:rsidRPr="00E23246">
        <w:rPr>
          <w:szCs w:val="22"/>
        </w:rPr>
        <w:t xml:space="preserve">maždaug 7 </w:t>
      </w:r>
      <w:proofErr w:type="spellStart"/>
      <w:r w:rsidRPr="00E23246">
        <w:rPr>
          <w:szCs w:val="22"/>
        </w:rPr>
        <w:t>mikrogramų</w:t>
      </w:r>
      <w:proofErr w:type="spellEnd"/>
      <w:r w:rsidRPr="00E23246">
        <w:rPr>
          <w:szCs w:val="22"/>
        </w:rPr>
        <w:t>/val. greičiu.</w:t>
      </w:r>
      <w:r w:rsidRPr="00E23246">
        <w:rPr>
          <w:bCs/>
          <w:iCs/>
          <w:szCs w:val="22"/>
        </w:rPr>
        <w:t xml:space="preserve"> Tiriant 24 nėščias moteris, kurioms buvo laikas gimdyti, </w:t>
      </w:r>
      <w:proofErr w:type="spellStart"/>
      <w:r w:rsidRPr="00E23246">
        <w:rPr>
          <w:bCs/>
          <w:iCs/>
          <w:szCs w:val="22"/>
        </w:rPr>
        <w:t>C</w:t>
      </w:r>
      <w:r w:rsidRPr="00E23246">
        <w:rPr>
          <w:bCs/>
          <w:iCs/>
          <w:szCs w:val="22"/>
          <w:vertAlign w:val="subscript"/>
        </w:rPr>
        <w:t>max</w:t>
      </w:r>
      <w:proofErr w:type="spellEnd"/>
      <w:r w:rsidRPr="00E23246">
        <w:rPr>
          <w:bCs/>
          <w:iCs/>
          <w:szCs w:val="22"/>
        </w:rPr>
        <w:t xml:space="preserve"> mediana buvo 45,8 </w:t>
      </w:r>
      <w:proofErr w:type="spellStart"/>
      <w:r w:rsidRPr="00E23246">
        <w:rPr>
          <w:bCs/>
          <w:iCs/>
          <w:szCs w:val="22"/>
        </w:rPr>
        <w:t>pg</w:t>
      </w:r>
      <w:proofErr w:type="spellEnd"/>
      <w:r w:rsidRPr="00E23246">
        <w:rPr>
          <w:bCs/>
          <w:iCs/>
          <w:szCs w:val="22"/>
        </w:rPr>
        <w:t xml:space="preserve">/ml, o </w:t>
      </w:r>
      <w:proofErr w:type="spellStart"/>
      <w:r w:rsidRPr="00E23246">
        <w:rPr>
          <w:bCs/>
          <w:iCs/>
          <w:szCs w:val="22"/>
        </w:rPr>
        <w:t>T</w:t>
      </w:r>
      <w:r w:rsidRPr="00E23246">
        <w:rPr>
          <w:bCs/>
          <w:iCs/>
          <w:szCs w:val="22"/>
          <w:vertAlign w:val="subscript"/>
        </w:rPr>
        <w:t>max</w:t>
      </w:r>
      <w:proofErr w:type="spellEnd"/>
      <w:r w:rsidRPr="00E23246">
        <w:rPr>
          <w:szCs w:val="22"/>
        </w:rPr>
        <w:t xml:space="preserve"> </w:t>
      </w:r>
      <w:r w:rsidRPr="00E23246">
        <w:rPr>
          <w:bCs/>
          <w:iCs/>
          <w:szCs w:val="22"/>
        </w:rPr>
        <w:t xml:space="preserve">– 4 val. Terminalinio pusinio periodo (pašalinus įdėklą) mediana buvo maždaug 40 min. </w:t>
      </w:r>
    </w:p>
    <w:p w:rsidR="00A028B6" w:rsidRPr="00E23246" w:rsidRDefault="00A028B6" w:rsidP="00A028B6">
      <w:pPr>
        <w:spacing w:line="240" w:lineRule="auto"/>
        <w:rPr>
          <w:bCs/>
          <w:iCs/>
          <w:szCs w:val="22"/>
        </w:rPr>
      </w:pPr>
    </w:p>
    <w:p w:rsidR="00A028B6" w:rsidRPr="00E23246" w:rsidRDefault="00A028B6" w:rsidP="00A028B6">
      <w:pPr>
        <w:spacing w:line="240" w:lineRule="auto"/>
        <w:rPr>
          <w:bCs/>
          <w:iCs/>
          <w:szCs w:val="22"/>
        </w:rPr>
      </w:pPr>
      <w:r w:rsidRPr="00E23246">
        <w:rPr>
          <w:bCs/>
          <w:iCs/>
          <w:szCs w:val="22"/>
        </w:rPr>
        <w:t xml:space="preserve">Mažiau kaip 90 % </w:t>
      </w:r>
      <w:proofErr w:type="spellStart"/>
      <w:r w:rsidRPr="00E23246">
        <w:rPr>
          <w:bCs/>
          <w:iCs/>
          <w:szCs w:val="22"/>
        </w:rPr>
        <w:t>mizoprostolio</w:t>
      </w:r>
      <w:proofErr w:type="spellEnd"/>
      <w:r w:rsidRPr="00E23246">
        <w:rPr>
          <w:bCs/>
          <w:iCs/>
          <w:szCs w:val="22"/>
        </w:rPr>
        <w:t xml:space="preserve"> rūgšties būna prisijungusios prie serumo baltymų (vartojant terapinę dozę, šis procentas nuo koncentracijos nepriklauso).</w:t>
      </w:r>
    </w:p>
    <w:p w:rsidR="00A028B6" w:rsidRPr="00E23246" w:rsidRDefault="00A028B6" w:rsidP="00A028B6">
      <w:pPr>
        <w:tabs>
          <w:tab w:val="clear" w:pos="567"/>
        </w:tabs>
        <w:spacing w:line="240" w:lineRule="auto"/>
        <w:ind w:right="-142"/>
        <w:rPr>
          <w:szCs w:val="22"/>
        </w:rPr>
      </w:pPr>
    </w:p>
    <w:p w:rsidR="00A028B6" w:rsidRPr="00E23246" w:rsidRDefault="00A028B6" w:rsidP="00A028B6">
      <w:pPr>
        <w:pStyle w:val="Antrat4"/>
        <w:spacing w:line="240" w:lineRule="auto"/>
        <w:jc w:val="left"/>
        <w:rPr>
          <w:rFonts w:ascii="Times New Roman" w:hAnsi="Times New Roman"/>
          <w:sz w:val="22"/>
          <w:szCs w:val="22"/>
          <w:lang w:val="lt-LT"/>
        </w:rPr>
      </w:pPr>
      <w:r w:rsidRPr="00E23246">
        <w:rPr>
          <w:rFonts w:ascii="Times New Roman" w:hAnsi="Times New Roman"/>
          <w:sz w:val="22"/>
          <w:szCs w:val="22"/>
          <w:lang w:val="lt-LT"/>
        </w:rPr>
        <w:t>5.3</w:t>
      </w:r>
      <w:r w:rsidRPr="00E23246">
        <w:rPr>
          <w:rFonts w:ascii="Times New Roman" w:hAnsi="Times New Roman"/>
          <w:sz w:val="22"/>
          <w:szCs w:val="22"/>
          <w:lang w:val="lt-LT"/>
        </w:rPr>
        <w:tab/>
        <w:t>Ikiklinikinių saugumo tyrimų duomenys</w:t>
      </w:r>
    </w:p>
    <w:p w:rsidR="00A028B6" w:rsidRPr="00E23246" w:rsidRDefault="00A028B6" w:rsidP="00A028B6">
      <w:pPr>
        <w:tabs>
          <w:tab w:val="clear" w:pos="567"/>
        </w:tabs>
        <w:spacing w:line="240" w:lineRule="auto"/>
        <w:ind w:right="-142"/>
        <w:rPr>
          <w:szCs w:val="22"/>
        </w:rPr>
      </w:pPr>
    </w:p>
    <w:p w:rsidR="00A028B6" w:rsidRPr="00E23246" w:rsidRDefault="00A028B6" w:rsidP="00A028B6">
      <w:pPr>
        <w:tabs>
          <w:tab w:val="clear" w:pos="567"/>
        </w:tabs>
        <w:spacing w:line="240" w:lineRule="auto"/>
        <w:ind w:right="-142"/>
        <w:rPr>
          <w:szCs w:val="22"/>
        </w:rPr>
      </w:pPr>
      <w:r w:rsidRPr="00E23246">
        <w:rPr>
          <w:szCs w:val="22"/>
        </w:rPr>
        <w:t xml:space="preserve">Įprastų </w:t>
      </w:r>
      <w:proofErr w:type="spellStart"/>
      <w:r w:rsidRPr="00E23246">
        <w:rPr>
          <w:szCs w:val="22"/>
        </w:rPr>
        <w:t>mizoprostolio</w:t>
      </w:r>
      <w:proofErr w:type="spellEnd"/>
      <w:r w:rsidRPr="00E23246">
        <w:rPr>
          <w:szCs w:val="22"/>
        </w:rPr>
        <w:t xml:space="preserve"> (</w:t>
      </w:r>
      <w:proofErr w:type="spellStart"/>
      <w:r w:rsidRPr="00E23246">
        <w:rPr>
          <w:szCs w:val="22"/>
        </w:rPr>
        <w:t>Misodel</w:t>
      </w:r>
      <w:proofErr w:type="spellEnd"/>
      <w:r w:rsidRPr="00E23246">
        <w:rPr>
          <w:szCs w:val="22"/>
        </w:rPr>
        <w:t xml:space="preserve"> veikliosios medžiagos) farmakologinio saugumo, kartotinių dozių </w:t>
      </w:r>
      <w:proofErr w:type="spellStart"/>
      <w:r w:rsidRPr="00E23246">
        <w:rPr>
          <w:szCs w:val="22"/>
        </w:rPr>
        <w:t>toksiškumo</w:t>
      </w:r>
      <w:proofErr w:type="spellEnd"/>
      <w:r w:rsidRPr="00E23246">
        <w:rPr>
          <w:szCs w:val="22"/>
        </w:rPr>
        <w:t xml:space="preserve">, </w:t>
      </w:r>
      <w:proofErr w:type="spellStart"/>
      <w:r w:rsidRPr="00E23246">
        <w:rPr>
          <w:szCs w:val="22"/>
        </w:rPr>
        <w:t>genotoksiškumo</w:t>
      </w:r>
      <w:proofErr w:type="spellEnd"/>
      <w:r w:rsidRPr="00E23246">
        <w:rPr>
          <w:szCs w:val="22"/>
        </w:rPr>
        <w:t xml:space="preserve"> ir </w:t>
      </w:r>
      <w:proofErr w:type="spellStart"/>
      <w:r w:rsidRPr="00E23246">
        <w:rPr>
          <w:szCs w:val="22"/>
        </w:rPr>
        <w:t>kancerogeniškumo</w:t>
      </w:r>
      <w:proofErr w:type="spellEnd"/>
      <w:r w:rsidRPr="00E23246">
        <w:rPr>
          <w:szCs w:val="22"/>
        </w:rPr>
        <w:t xml:space="preserve"> tyrimų duomenys specifinio pavojaus žmogui nerodo.</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Iki 10 mg/kg per parą </w:t>
      </w:r>
      <w:proofErr w:type="spellStart"/>
      <w:r w:rsidRPr="00E23246">
        <w:rPr>
          <w:szCs w:val="22"/>
        </w:rPr>
        <w:t>mizoprostolio</w:t>
      </w:r>
      <w:proofErr w:type="spellEnd"/>
      <w:r w:rsidRPr="00E23246">
        <w:rPr>
          <w:szCs w:val="22"/>
        </w:rPr>
        <w:t xml:space="preserve"> dozių </w:t>
      </w:r>
      <w:proofErr w:type="spellStart"/>
      <w:r w:rsidRPr="00E23246">
        <w:rPr>
          <w:szCs w:val="22"/>
        </w:rPr>
        <w:t>teratogeninio</w:t>
      </w:r>
      <w:proofErr w:type="spellEnd"/>
      <w:r w:rsidRPr="00E23246">
        <w:rPr>
          <w:szCs w:val="22"/>
        </w:rPr>
        <w:t xml:space="preserve"> poveikio žiurkėms nenustatyta. Triušių, gavusių 1 mg/kg per parą, vaisiai dažniau turėdavo papildomų šonkaulių (tikriausiai šis pokytis susijęs su toksiniu poveikiu vaikingai patelei). Artima mirtinai pelių vaisiams dozė jiems sukėlė įvairių apsigimimų. Gauta galimą nepageidaujamą </w:t>
      </w:r>
      <w:proofErr w:type="spellStart"/>
      <w:r w:rsidRPr="00E23246">
        <w:rPr>
          <w:szCs w:val="22"/>
        </w:rPr>
        <w:t>mizoprostolio</w:t>
      </w:r>
      <w:proofErr w:type="spellEnd"/>
      <w:r w:rsidRPr="00E23246">
        <w:rPr>
          <w:szCs w:val="22"/>
        </w:rPr>
        <w:t xml:space="preserve"> poveikį implantacijai rodančių duomenų, o poveikio žiurkių vaisingumui ir ankstyvajam embriono vystymuisi tyrimai parodė, kad nepageidaujamo poveikio nesukelia 0,4 mg/kg paros dozė. Aukščiau nurodyti pelių ir žiurkių pokyčiai nėra svarbūs </w:t>
      </w:r>
      <w:proofErr w:type="spellStart"/>
      <w:r w:rsidRPr="00E23246">
        <w:rPr>
          <w:szCs w:val="22"/>
        </w:rPr>
        <w:t>Misodel</w:t>
      </w:r>
      <w:proofErr w:type="spellEnd"/>
      <w:r w:rsidRPr="00E23246">
        <w:rPr>
          <w:szCs w:val="22"/>
        </w:rPr>
        <w:t>, kadangi per pirmąsias 36 nėštumo savaites jo vartoti negalima.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Toksinio poveikio žiurkėms perinataliniu ir </w:t>
      </w:r>
      <w:proofErr w:type="spellStart"/>
      <w:r w:rsidRPr="00E23246">
        <w:rPr>
          <w:szCs w:val="22"/>
        </w:rPr>
        <w:t>ponataliu</w:t>
      </w:r>
      <w:proofErr w:type="spellEnd"/>
      <w:r w:rsidRPr="00E23246">
        <w:rPr>
          <w:szCs w:val="22"/>
        </w:rPr>
        <w:t xml:space="preserve"> laikotarpiu tyrimai parodė, kad poveikio reprodukcijos rodikliams nesukelia 1 mg/kg </w:t>
      </w:r>
      <w:proofErr w:type="spellStart"/>
      <w:r w:rsidRPr="00E23246">
        <w:rPr>
          <w:szCs w:val="22"/>
        </w:rPr>
        <w:t>mizoprostolio</w:t>
      </w:r>
      <w:proofErr w:type="spellEnd"/>
      <w:r w:rsidRPr="00E23246">
        <w:rPr>
          <w:szCs w:val="22"/>
        </w:rPr>
        <w:t xml:space="preserve"> paros dozė per burną. Kinetikos žiurkių ir žmonių organizme tyrimų metu palyginus ekspoziciją nustatyta, kad </w:t>
      </w:r>
      <w:proofErr w:type="spellStart"/>
      <w:r w:rsidRPr="00E23246">
        <w:rPr>
          <w:szCs w:val="22"/>
        </w:rPr>
        <w:t>mizoprostolio</w:t>
      </w:r>
      <w:proofErr w:type="spellEnd"/>
      <w:r w:rsidRPr="00E23246">
        <w:rPr>
          <w:szCs w:val="22"/>
        </w:rPr>
        <w:t xml:space="preserve"> 200 </w:t>
      </w:r>
      <w:proofErr w:type="spellStart"/>
      <w:r w:rsidRPr="00E23246">
        <w:rPr>
          <w:szCs w:val="22"/>
        </w:rPr>
        <w:t>mikrogramų</w:t>
      </w:r>
      <w:proofErr w:type="spellEnd"/>
      <w:r w:rsidRPr="00E23246">
        <w:rPr>
          <w:szCs w:val="22"/>
        </w:rPr>
        <w:t xml:space="preserve"> dozės saugumo faktorius miniatiūrinei </w:t>
      </w:r>
      <w:proofErr w:type="spellStart"/>
      <w:r w:rsidRPr="00E23246">
        <w:rPr>
          <w:szCs w:val="22"/>
        </w:rPr>
        <w:t>Misodel</w:t>
      </w:r>
      <w:proofErr w:type="spellEnd"/>
      <w:r w:rsidRPr="00E23246">
        <w:rPr>
          <w:szCs w:val="22"/>
        </w:rPr>
        <w:t xml:space="preserve"> vartojimo į makštį sistemai yra 20.</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kišant vaikingoms žiurkėms, lokalų makšties ar gimdos kaklelio sudirginimą rodančių duomenų negauta.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Įprastų testų </w:t>
      </w:r>
      <w:proofErr w:type="spellStart"/>
      <w:r w:rsidRPr="00E23246">
        <w:rPr>
          <w:i/>
          <w:szCs w:val="22"/>
        </w:rPr>
        <w:t>in</w:t>
      </w:r>
      <w:proofErr w:type="spellEnd"/>
      <w:r w:rsidRPr="00E23246">
        <w:rPr>
          <w:i/>
          <w:szCs w:val="22"/>
        </w:rPr>
        <w:t xml:space="preserve"> </w:t>
      </w:r>
      <w:proofErr w:type="spellStart"/>
      <w:r w:rsidRPr="00E23246">
        <w:rPr>
          <w:i/>
          <w:szCs w:val="22"/>
        </w:rPr>
        <w:t>vitro</w:t>
      </w:r>
      <w:proofErr w:type="spellEnd"/>
      <w:r w:rsidRPr="00E23246">
        <w:rPr>
          <w:szCs w:val="22"/>
        </w:rPr>
        <w:t xml:space="preserve"> ir </w:t>
      </w:r>
      <w:proofErr w:type="spellStart"/>
      <w:r w:rsidRPr="00E23246">
        <w:rPr>
          <w:i/>
          <w:szCs w:val="22"/>
        </w:rPr>
        <w:t>in</w:t>
      </w:r>
      <w:proofErr w:type="spellEnd"/>
      <w:r w:rsidRPr="00E23246">
        <w:rPr>
          <w:i/>
          <w:szCs w:val="22"/>
        </w:rPr>
        <w:t xml:space="preserve"> </w:t>
      </w:r>
      <w:proofErr w:type="spellStart"/>
      <w:r w:rsidRPr="00E23246">
        <w:rPr>
          <w:i/>
          <w:szCs w:val="22"/>
        </w:rPr>
        <w:t>vivo</w:t>
      </w:r>
      <w:proofErr w:type="spellEnd"/>
      <w:r w:rsidRPr="00E23246">
        <w:rPr>
          <w:szCs w:val="22"/>
        </w:rPr>
        <w:t xml:space="preserve"> bei publikuotais toksinio poveikio duomenimis, </w:t>
      </w:r>
      <w:proofErr w:type="spellStart"/>
      <w:r w:rsidRPr="00E23246">
        <w:rPr>
          <w:szCs w:val="22"/>
        </w:rPr>
        <w:t>hidrogelio</w:t>
      </w:r>
      <w:proofErr w:type="spellEnd"/>
      <w:r w:rsidRPr="00E23246">
        <w:rPr>
          <w:szCs w:val="22"/>
        </w:rPr>
        <w:t xml:space="preserve"> polimerai, poliesterio sistema preparatui ištraukti ir pagalbinės medžiagos sisteminio toksinio poveikio pavojaus žmogui nekelia. Taip pat pažymėtina, kad </w:t>
      </w:r>
      <w:proofErr w:type="spellStart"/>
      <w:r w:rsidRPr="00E23246">
        <w:rPr>
          <w:szCs w:val="22"/>
        </w:rPr>
        <w:t>hidrogelio</w:t>
      </w:r>
      <w:proofErr w:type="spellEnd"/>
      <w:r w:rsidRPr="00E23246">
        <w:rPr>
          <w:szCs w:val="22"/>
        </w:rPr>
        <w:t xml:space="preserve"> polimerai ir poliesterio sistema preparatui ištraukti yra pagaminti iš inertiškų medžiagų, kurių lokalus toleravimas yra geras.</w:t>
      </w:r>
    </w:p>
    <w:p w:rsidR="00A028B6" w:rsidRPr="00E23246" w:rsidRDefault="00A028B6" w:rsidP="00A028B6">
      <w:pPr>
        <w:tabs>
          <w:tab w:val="clear" w:pos="567"/>
        </w:tabs>
        <w:spacing w:line="240" w:lineRule="auto"/>
        <w:ind w:right="-142"/>
        <w:rPr>
          <w:szCs w:val="22"/>
        </w:rPr>
      </w:pPr>
    </w:p>
    <w:p w:rsidR="00A028B6" w:rsidRPr="00E23246" w:rsidRDefault="00A028B6" w:rsidP="00A028B6">
      <w:pPr>
        <w:tabs>
          <w:tab w:val="clear" w:pos="567"/>
        </w:tabs>
        <w:spacing w:line="240" w:lineRule="auto"/>
        <w:ind w:right="-142"/>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lastRenderedPageBreak/>
        <w:t>6.</w:t>
      </w:r>
      <w:r w:rsidRPr="00E23246">
        <w:rPr>
          <w:rFonts w:ascii="Times New Roman" w:hAnsi="Times New Roman"/>
          <w:sz w:val="22"/>
          <w:szCs w:val="22"/>
          <w:lang w:val="lt-LT"/>
        </w:rPr>
        <w:tab/>
        <w:t>FARMACINĖ INFORMACIJA</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6.1</w:t>
      </w:r>
      <w:r w:rsidRPr="00E23246">
        <w:rPr>
          <w:rFonts w:ascii="Times New Roman" w:hAnsi="Times New Roman"/>
          <w:sz w:val="22"/>
          <w:szCs w:val="22"/>
          <w:lang w:val="lt-LT"/>
        </w:rPr>
        <w:tab/>
        <w:t>Pagalbinių medžiagų sąrašas</w:t>
      </w:r>
    </w:p>
    <w:p w:rsidR="00A028B6" w:rsidRPr="00E23246" w:rsidRDefault="00A028B6" w:rsidP="00A028B6">
      <w:pPr>
        <w:tabs>
          <w:tab w:val="clear" w:pos="567"/>
        </w:tabs>
        <w:spacing w:line="240" w:lineRule="auto"/>
        <w:ind w:right="-142"/>
        <w:rPr>
          <w:szCs w:val="22"/>
        </w:rPr>
      </w:pPr>
    </w:p>
    <w:p w:rsidR="00A028B6" w:rsidRPr="00E23246" w:rsidRDefault="00A028B6" w:rsidP="00A028B6">
      <w:pPr>
        <w:spacing w:line="240" w:lineRule="auto"/>
        <w:rPr>
          <w:szCs w:val="22"/>
        </w:rPr>
      </w:pPr>
      <w:r w:rsidRPr="00E23246">
        <w:rPr>
          <w:szCs w:val="22"/>
        </w:rPr>
        <w:t xml:space="preserve">Kryžminių jungčių </w:t>
      </w:r>
      <w:proofErr w:type="spellStart"/>
      <w:r w:rsidRPr="00E23246">
        <w:rPr>
          <w:szCs w:val="22"/>
        </w:rPr>
        <w:t>hidrogelio</w:t>
      </w:r>
      <w:proofErr w:type="spellEnd"/>
      <w:r w:rsidRPr="00E23246">
        <w:rPr>
          <w:szCs w:val="22"/>
        </w:rPr>
        <w:t xml:space="preserve"> polimeras, kurį sudaro </w:t>
      </w:r>
      <w:proofErr w:type="spellStart"/>
      <w:r w:rsidRPr="00E23246">
        <w:rPr>
          <w:szCs w:val="22"/>
        </w:rPr>
        <w:t>makrogolis</w:t>
      </w:r>
      <w:proofErr w:type="spellEnd"/>
      <w:r w:rsidRPr="00E23246">
        <w:rPr>
          <w:szCs w:val="22"/>
        </w:rPr>
        <w:t>, 1,2,6-heksanetriolis ir dicikloheksil-metano-4,4’-diizocianatas</w:t>
      </w:r>
    </w:p>
    <w:p w:rsidR="00A028B6" w:rsidRPr="00E23246" w:rsidRDefault="00A028B6" w:rsidP="00A028B6">
      <w:pPr>
        <w:spacing w:line="240" w:lineRule="auto"/>
        <w:rPr>
          <w:szCs w:val="22"/>
        </w:rPr>
      </w:pPr>
      <w:proofErr w:type="spellStart"/>
      <w:r w:rsidRPr="00E23246">
        <w:rPr>
          <w:szCs w:val="22"/>
        </w:rPr>
        <w:t>Butilhidroksianizolas</w:t>
      </w:r>
      <w:proofErr w:type="spellEnd"/>
    </w:p>
    <w:p w:rsidR="00A028B6" w:rsidRPr="00E23246" w:rsidRDefault="00A028B6" w:rsidP="00A028B6">
      <w:pPr>
        <w:spacing w:line="240" w:lineRule="auto"/>
        <w:rPr>
          <w:szCs w:val="22"/>
        </w:rPr>
      </w:pPr>
      <w:r w:rsidRPr="00E23246">
        <w:rPr>
          <w:szCs w:val="22"/>
        </w:rPr>
        <w:t>Poliesterio sistema ištraukimui (megztas poliesterio siūlas)</w:t>
      </w:r>
    </w:p>
    <w:p w:rsidR="00A028B6" w:rsidRPr="00E23246" w:rsidRDefault="00A028B6" w:rsidP="00A028B6">
      <w:pPr>
        <w:tabs>
          <w:tab w:val="clear" w:pos="567"/>
        </w:tabs>
        <w:spacing w:line="240" w:lineRule="auto"/>
        <w:ind w:right="-14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6.2</w:t>
      </w:r>
      <w:r w:rsidRPr="00E23246">
        <w:rPr>
          <w:rFonts w:ascii="Times New Roman" w:hAnsi="Times New Roman"/>
          <w:sz w:val="22"/>
          <w:szCs w:val="22"/>
          <w:lang w:val="lt-LT"/>
        </w:rPr>
        <w:tab/>
        <w:t>Nesuderinamumas</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Duomenys nebūtini.</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6.3</w:t>
      </w:r>
      <w:r w:rsidRPr="00E23246">
        <w:rPr>
          <w:rFonts w:ascii="Times New Roman" w:hAnsi="Times New Roman"/>
          <w:sz w:val="22"/>
          <w:szCs w:val="22"/>
          <w:lang w:val="lt-LT"/>
        </w:rPr>
        <w:tab/>
        <w:t>Tinkamumo laikas</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3 metai</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6.4</w:t>
      </w:r>
      <w:r w:rsidRPr="00E23246">
        <w:rPr>
          <w:rFonts w:ascii="Times New Roman" w:hAnsi="Times New Roman"/>
          <w:sz w:val="22"/>
          <w:szCs w:val="22"/>
          <w:lang w:val="lt-LT"/>
        </w:rPr>
        <w:tab/>
        <w:t>Specialios laikymo sąlygos</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color w:val="0D0D0D"/>
          <w:szCs w:val="22"/>
        </w:rPr>
      </w:pPr>
      <w:r w:rsidRPr="00E23246">
        <w:rPr>
          <w:szCs w:val="22"/>
        </w:rPr>
        <w:t>Laikyti šaldiklyje (nuo – 10 °C iki – 25 °C temperatūroje). Prieš vartojimą atšildyti nereikia.</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6.5</w:t>
      </w:r>
      <w:r w:rsidRPr="00E23246">
        <w:rPr>
          <w:rFonts w:ascii="Times New Roman" w:hAnsi="Times New Roman"/>
          <w:sz w:val="22"/>
          <w:szCs w:val="22"/>
          <w:lang w:val="lt-LT"/>
        </w:rPr>
        <w:tab/>
      </w:r>
      <w:proofErr w:type="spellStart"/>
      <w:r w:rsidRPr="00E23246">
        <w:rPr>
          <w:rFonts w:ascii="Times New Roman" w:hAnsi="Times New Roman"/>
          <w:sz w:val="22"/>
          <w:szCs w:val="22"/>
          <w:lang w:val="lt-LT"/>
        </w:rPr>
        <w:t>Talpyklės</w:t>
      </w:r>
      <w:proofErr w:type="spellEnd"/>
      <w:r w:rsidRPr="00E23246">
        <w:rPr>
          <w:rFonts w:ascii="Times New Roman" w:hAnsi="Times New Roman"/>
          <w:sz w:val="22"/>
          <w:szCs w:val="22"/>
          <w:lang w:val="lt-LT"/>
        </w:rPr>
        <w:t xml:space="preserve"> pobūdis ir jos turinys</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 xml:space="preserve">1 x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tabs>
          <w:tab w:val="clear" w:pos="567"/>
        </w:tabs>
        <w:spacing w:line="240" w:lineRule="auto"/>
        <w:rPr>
          <w:szCs w:val="22"/>
        </w:rPr>
      </w:pPr>
      <w:r w:rsidRPr="00E23246">
        <w:rPr>
          <w:szCs w:val="22"/>
        </w:rPr>
        <w:t xml:space="preserve">5 x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tabs>
          <w:tab w:val="clear" w:pos="567"/>
        </w:tabs>
        <w:spacing w:line="240" w:lineRule="auto"/>
        <w:rPr>
          <w:szCs w:val="22"/>
        </w:rPr>
      </w:pPr>
      <w:r w:rsidRPr="00E23246">
        <w:rPr>
          <w:szCs w:val="22"/>
        </w:rPr>
        <w:t xml:space="preserve">5 x 200 </w:t>
      </w:r>
      <w:proofErr w:type="spellStart"/>
      <w:r w:rsidRPr="00E23246">
        <w:rPr>
          <w:szCs w:val="22"/>
        </w:rPr>
        <w:t>mikrogramų</w:t>
      </w:r>
      <w:proofErr w:type="spellEnd"/>
      <w:r w:rsidRPr="00E23246">
        <w:rPr>
          <w:szCs w:val="22"/>
        </w:rPr>
        <w:t xml:space="preserve"> vartojimo į makštį sistema (sudėtinė pakuotė).</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Kiekviena vartojimo į makštį sistema supakuota atskirame folijos paketėlyje (jis pagamintas iš aliuminio folija laminuotos juostelės), kuriame taip pat yra džioviklio. Folijos paketėlis yra dėžutėje.</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Gali būti tiekiamos ne visų dydžių pakuotės.</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bookmarkStart w:id="0" w:name="OLE_LINK1"/>
      <w:r w:rsidRPr="00E23246">
        <w:rPr>
          <w:rFonts w:ascii="Times New Roman" w:hAnsi="Times New Roman"/>
          <w:sz w:val="22"/>
          <w:szCs w:val="22"/>
          <w:lang w:val="lt-LT"/>
        </w:rPr>
        <w:t>6.6</w:t>
      </w:r>
      <w:r w:rsidRPr="00E23246">
        <w:rPr>
          <w:rFonts w:ascii="Times New Roman" w:hAnsi="Times New Roman"/>
          <w:sz w:val="22"/>
          <w:szCs w:val="22"/>
          <w:lang w:val="lt-LT"/>
        </w:rPr>
        <w:tab/>
        <w:t>Specialūs reikalavimai atliekoms tvarkyti ir vaistiniam preparatui ruošti</w:t>
      </w:r>
    </w:p>
    <w:bookmarkEnd w:id="0"/>
    <w:p w:rsidR="00A028B6" w:rsidRPr="00E23246" w:rsidRDefault="00A028B6" w:rsidP="00A028B6">
      <w:pPr>
        <w:tabs>
          <w:tab w:val="clear" w:pos="567"/>
        </w:tabs>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reikia išimti iš šaldiklio ir ištraukti iš aliuminio folija laminuoto paketėlio prieš pat jį įkišant.</w:t>
      </w:r>
    </w:p>
    <w:p w:rsidR="00A028B6" w:rsidRPr="00E23246" w:rsidRDefault="00A028B6" w:rsidP="00A028B6">
      <w:pPr>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Nesuvartotą vaistinį preparatą ar atliekas reikia tvarkyti laikantis vietinių reikalavimų. Preparatą ištraukus iš makšties, išmesti reikia jį visą.</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p>
    <w:p w:rsidR="00A028B6" w:rsidRDefault="00A028B6" w:rsidP="00A028B6">
      <w:pPr>
        <w:pStyle w:val="Antrat3"/>
        <w:spacing w:before="0" w:after="0" w:line="240" w:lineRule="auto"/>
        <w:rPr>
          <w:szCs w:val="22"/>
        </w:rPr>
      </w:pPr>
      <w:r w:rsidRPr="00E23246">
        <w:rPr>
          <w:rFonts w:ascii="Times New Roman" w:hAnsi="Times New Roman"/>
          <w:sz w:val="22"/>
          <w:szCs w:val="22"/>
          <w:lang w:val="lt-LT"/>
        </w:rPr>
        <w:t>7.</w:t>
      </w:r>
      <w:r w:rsidRPr="00E23246">
        <w:rPr>
          <w:rFonts w:ascii="Times New Roman" w:hAnsi="Times New Roman"/>
          <w:sz w:val="22"/>
          <w:szCs w:val="22"/>
          <w:lang w:val="lt-LT"/>
        </w:rPr>
        <w:tab/>
      </w:r>
      <w:r>
        <w:rPr>
          <w:rFonts w:ascii="Times New Roman" w:hAnsi="Times New Roman"/>
          <w:sz w:val="22"/>
          <w:szCs w:val="22"/>
          <w:lang w:val="lt-LT"/>
        </w:rPr>
        <w:t>REGISTRUOTOJAS</w:t>
      </w:r>
    </w:p>
    <w:p w:rsidR="00A028B6" w:rsidRPr="0047569C" w:rsidRDefault="00A028B6" w:rsidP="00A028B6">
      <w:pPr>
        <w:rPr>
          <w:lang w:eastAsia="lt-LT"/>
        </w:rPr>
      </w:pPr>
    </w:p>
    <w:p w:rsidR="00A028B6" w:rsidRPr="00C1611D" w:rsidRDefault="00A028B6" w:rsidP="00A028B6">
      <w:pPr>
        <w:rPr>
          <w:rFonts w:eastAsia="MS Mincho"/>
          <w:szCs w:val="22"/>
        </w:rPr>
      </w:pPr>
      <w:proofErr w:type="spellStart"/>
      <w:r w:rsidRPr="00C1611D">
        <w:rPr>
          <w:rFonts w:eastAsia="MS Mincho"/>
          <w:szCs w:val="22"/>
        </w:rPr>
        <w:t>Ferring</w:t>
      </w:r>
      <w:proofErr w:type="spellEnd"/>
      <w:r w:rsidRPr="00C1611D">
        <w:rPr>
          <w:rFonts w:eastAsia="MS Mincho"/>
          <w:szCs w:val="22"/>
        </w:rPr>
        <w:t xml:space="preserve"> </w:t>
      </w:r>
      <w:proofErr w:type="spellStart"/>
      <w:r w:rsidRPr="00C1611D">
        <w:rPr>
          <w:rFonts w:eastAsia="MS Mincho"/>
          <w:szCs w:val="22"/>
        </w:rPr>
        <w:t>GmbH</w:t>
      </w:r>
      <w:proofErr w:type="spellEnd"/>
    </w:p>
    <w:p w:rsidR="00A028B6" w:rsidRPr="00C1611D" w:rsidRDefault="00A028B6" w:rsidP="00A028B6">
      <w:pPr>
        <w:rPr>
          <w:rFonts w:eastAsia="MS Mincho"/>
          <w:szCs w:val="22"/>
        </w:rPr>
      </w:pPr>
      <w:proofErr w:type="spellStart"/>
      <w:r w:rsidRPr="00C1611D">
        <w:rPr>
          <w:rFonts w:eastAsia="MS Mincho"/>
          <w:szCs w:val="22"/>
        </w:rPr>
        <w:t>Wittland</w:t>
      </w:r>
      <w:proofErr w:type="spellEnd"/>
      <w:r w:rsidRPr="00C1611D">
        <w:rPr>
          <w:rFonts w:eastAsia="MS Mincho"/>
          <w:szCs w:val="22"/>
        </w:rPr>
        <w:t xml:space="preserve"> 11</w:t>
      </w:r>
    </w:p>
    <w:p w:rsidR="00A028B6" w:rsidRPr="00C1611D" w:rsidRDefault="00A028B6" w:rsidP="00A028B6">
      <w:pPr>
        <w:rPr>
          <w:rFonts w:eastAsia="MS Mincho"/>
          <w:szCs w:val="22"/>
        </w:rPr>
      </w:pPr>
      <w:r w:rsidRPr="00C1611D">
        <w:rPr>
          <w:rFonts w:eastAsia="MS Mincho"/>
          <w:szCs w:val="22"/>
        </w:rPr>
        <w:t xml:space="preserve">D-24109 </w:t>
      </w:r>
      <w:proofErr w:type="spellStart"/>
      <w:r w:rsidRPr="00C1611D">
        <w:rPr>
          <w:rFonts w:eastAsia="MS Mincho"/>
          <w:szCs w:val="22"/>
        </w:rPr>
        <w:t>Kiel</w:t>
      </w:r>
      <w:proofErr w:type="spellEnd"/>
    </w:p>
    <w:p w:rsidR="00A028B6" w:rsidRPr="00E23246" w:rsidRDefault="00A028B6" w:rsidP="00A028B6">
      <w:pPr>
        <w:spacing w:line="240" w:lineRule="auto"/>
        <w:rPr>
          <w:szCs w:val="22"/>
        </w:rPr>
      </w:pPr>
      <w:r w:rsidRPr="00C1611D">
        <w:rPr>
          <w:rFonts w:eastAsia="MS Mincho"/>
          <w:szCs w:val="22"/>
        </w:rPr>
        <w:t>Vokietija</w:t>
      </w:r>
    </w:p>
    <w:p w:rsidR="00A028B6" w:rsidRPr="00E23246" w:rsidRDefault="00A028B6" w:rsidP="00A028B6">
      <w:pPr>
        <w:spacing w:line="240" w:lineRule="auto"/>
        <w:rPr>
          <w:b/>
          <w:szCs w:val="22"/>
        </w:rPr>
      </w:pPr>
    </w:p>
    <w:p w:rsidR="00A028B6" w:rsidRPr="00E23246" w:rsidRDefault="00A028B6" w:rsidP="00A028B6">
      <w:pPr>
        <w:tabs>
          <w:tab w:val="clear" w:pos="567"/>
        </w:tabs>
        <w:spacing w:line="240" w:lineRule="auto"/>
        <w:rPr>
          <w:szCs w:val="22"/>
        </w:rPr>
      </w:pPr>
    </w:p>
    <w:p w:rsidR="00A028B6" w:rsidRPr="008C011C" w:rsidRDefault="00A028B6" w:rsidP="00A028B6">
      <w:pPr>
        <w:pStyle w:val="Antrat3"/>
        <w:spacing w:before="0" w:after="0" w:line="240" w:lineRule="auto"/>
        <w:rPr>
          <w:rFonts w:ascii="Times New Roman" w:hAnsi="Times New Roman"/>
          <w:sz w:val="22"/>
          <w:lang w:val="lt-LT"/>
        </w:rPr>
      </w:pPr>
      <w:r w:rsidRPr="008C011C">
        <w:rPr>
          <w:rFonts w:ascii="Times New Roman" w:hAnsi="Times New Roman"/>
          <w:sz w:val="22"/>
          <w:lang w:val="lt-LT"/>
        </w:rPr>
        <w:t>8.</w:t>
      </w:r>
      <w:r w:rsidRPr="008C011C">
        <w:rPr>
          <w:rFonts w:ascii="Times New Roman" w:hAnsi="Times New Roman"/>
          <w:sz w:val="22"/>
          <w:lang w:val="lt-LT"/>
        </w:rPr>
        <w:tab/>
      </w:r>
      <w:r w:rsidRPr="0047569C">
        <w:rPr>
          <w:rFonts w:ascii="Times New Roman" w:hAnsi="Times New Roman"/>
          <w:sz w:val="22"/>
          <w:szCs w:val="22"/>
        </w:rPr>
        <w:t>REGISTRACIJOS PAŽYMĖJIMO NUMERIS (-IAI)</w:t>
      </w:r>
    </w:p>
    <w:p w:rsidR="00A028B6" w:rsidRDefault="00A028B6" w:rsidP="00A028B6">
      <w:pPr>
        <w:tabs>
          <w:tab w:val="clear" w:pos="567"/>
        </w:tabs>
        <w:spacing w:line="240" w:lineRule="auto"/>
        <w:rPr>
          <w:szCs w:val="22"/>
        </w:rPr>
      </w:pPr>
    </w:p>
    <w:p w:rsidR="00A028B6" w:rsidRDefault="00A028B6" w:rsidP="00A028B6">
      <w:pPr>
        <w:tabs>
          <w:tab w:val="clear" w:pos="567"/>
        </w:tabs>
        <w:spacing w:line="240" w:lineRule="auto"/>
        <w:rPr>
          <w:szCs w:val="22"/>
        </w:rPr>
      </w:pPr>
      <w:r>
        <w:rPr>
          <w:szCs w:val="22"/>
        </w:rPr>
        <w:lastRenderedPageBreak/>
        <w:t>N1 – LT/1/13/3442/001</w:t>
      </w:r>
    </w:p>
    <w:p w:rsidR="00A028B6" w:rsidRDefault="00A028B6" w:rsidP="00A028B6">
      <w:pPr>
        <w:tabs>
          <w:tab w:val="clear" w:pos="567"/>
        </w:tabs>
        <w:spacing w:line="240" w:lineRule="auto"/>
        <w:rPr>
          <w:szCs w:val="22"/>
        </w:rPr>
      </w:pPr>
      <w:r>
        <w:rPr>
          <w:szCs w:val="22"/>
        </w:rPr>
        <w:t>N5 – LT/1/13/3442/002</w:t>
      </w:r>
    </w:p>
    <w:p w:rsidR="00A028B6" w:rsidRDefault="00A028B6" w:rsidP="00A028B6">
      <w:pPr>
        <w:tabs>
          <w:tab w:val="clear" w:pos="567"/>
        </w:tabs>
        <w:spacing w:line="240" w:lineRule="auto"/>
        <w:rPr>
          <w:szCs w:val="22"/>
        </w:rPr>
      </w:pPr>
      <w:r>
        <w:rPr>
          <w:szCs w:val="22"/>
        </w:rPr>
        <w:t>N5 (sudėtinė pakuotė) – LT/1/13/3442/003</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p>
    <w:p w:rsidR="00A028B6" w:rsidRPr="00D11A1D"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9.</w:t>
      </w:r>
      <w:r w:rsidRPr="00E23246">
        <w:rPr>
          <w:rFonts w:ascii="Times New Roman" w:hAnsi="Times New Roman"/>
          <w:sz w:val="22"/>
          <w:szCs w:val="22"/>
          <w:lang w:val="lt-LT"/>
        </w:rPr>
        <w:tab/>
      </w:r>
      <w:r w:rsidRPr="0047569C">
        <w:rPr>
          <w:rFonts w:ascii="Times New Roman" w:hAnsi="Times New Roman"/>
          <w:sz w:val="22"/>
          <w:szCs w:val="22"/>
        </w:rPr>
        <w:t>REGISTRAVIMO / PERREGISTRAVIMO DATA</w:t>
      </w:r>
    </w:p>
    <w:p w:rsidR="00A028B6" w:rsidRPr="00E23246" w:rsidRDefault="00A028B6" w:rsidP="00A028B6">
      <w:pPr>
        <w:tabs>
          <w:tab w:val="clear" w:pos="567"/>
        </w:tabs>
        <w:spacing w:line="240" w:lineRule="auto"/>
        <w:rPr>
          <w:szCs w:val="22"/>
        </w:rPr>
      </w:pPr>
    </w:p>
    <w:p w:rsidR="00A028B6" w:rsidRPr="002974A6" w:rsidRDefault="00A028B6" w:rsidP="00A028B6">
      <w:pPr>
        <w:tabs>
          <w:tab w:val="clear" w:pos="567"/>
        </w:tabs>
        <w:spacing w:line="240" w:lineRule="auto"/>
        <w:rPr>
          <w:szCs w:val="24"/>
        </w:rPr>
      </w:pPr>
      <w:r>
        <w:rPr>
          <w:szCs w:val="22"/>
        </w:rPr>
        <w:t>Registravimo data</w:t>
      </w:r>
      <w:r w:rsidRPr="002974A6">
        <w:rPr>
          <w:szCs w:val="24"/>
        </w:rPr>
        <w:t xml:space="preserve"> </w:t>
      </w:r>
      <w:r>
        <w:rPr>
          <w:szCs w:val="24"/>
        </w:rPr>
        <w:t>2013 m. lapkričio mėn. 22 d.</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10.</w:t>
      </w:r>
      <w:r w:rsidRPr="00E23246">
        <w:rPr>
          <w:rFonts w:ascii="Times New Roman" w:hAnsi="Times New Roman"/>
          <w:sz w:val="22"/>
          <w:szCs w:val="22"/>
          <w:lang w:val="lt-LT"/>
        </w:rPr>
        <w:tab/>
        <w:t>TEKSTO PERŽIŪROS DATA</w:t>
      </w:r>
    </w:p>
    <w:p w:rsidR="00A028B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Pr>
          <w:szCs w:val="22"/>
        </w:rPr>
        <w:t>201</w:t>
      </w:r>
      <w:r w:rsidR="001B46CB">
        <w:rPr>
          <w:szCs w:val="22"/>
        </w:rPr>
        <w:t>8</w:t>
      </w:r>
      <w:r>
        <w:rPr>
          <w:szCs w:val="22"/>
        </w:rPr>
        <w:t xml:space="preserve"> m. </w:t>
      </w:r>
      <w:r w:rsidR="001B46CB">
        <w:rPr>
          <w:szCs w:val="22"/>
        </w:rPr>
        <w:t>sausio 16</w:t>
      </w:r>
      <w:r>
        <w:rPr>
          <w:szCs w:val="22"/>
        </w:rPr>
        <w:t xml:space="preserve"> d.</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Išsami informacija apie šį vaistinį preparatą pateikiama Valstybinės vaistų kontrolės tarnybos prie Lietuvos Respublikos sveikatos apsaugos ministerijos tinklalapyje</w:t>
      </w:r>
      <w:r w:rsidRPr="00E23246">
        <w:rPr>
          <w:i/>
          <w:szCs w:val="22"/>
        </w:rPr>
        <w:t xml:space="preserve"> </w:t>
      </w:r>
      <w:hyperlink r:id="rId12" w:history="1">
        <w:r w:rsidRPr="00E23246">
          <w:rPr>
            <w:rStyle w:val="Hipersaitas"/>
            <w:szCs w:val="22"/>
          </w:rPr>
          <w:t>http://www.vvkt.lt</w:t>
        </w:r>
      </w:hyperlink>
    </w:p>
    <w:p w:rsidR="00A028B6" w:rsidRPr="00E23246" w:rsidRDefault="00A028B6" w:rsidP="00A028B6">
      <w:pPr>
        <w:tabs>
          <w:tab w:val="left" w:pos="-1440"/>
          <w:tab w:val="left" w:pos="-720"/>
        </w:tabs>
        <w:spacing w:line="240" w:lineRule="auto"/>
        <w:rPr>
          <w:bCs/>
          <w:szCs w:val="22"/>
        </w:rPr>
      </w:pPr>
      <w:r w:rsidRPr="00E23246">
        <w:rPr>
          <w:szCs w:val="22"/>
        </w:rPr>
        <w:br w:type="page"/>
      </w: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pStyle w:val="Paprastasistekstas"/>
        <w:tabs>
          <w:tab w:val="left" w:pos="5954"/>
          <w:tab w:val="left" w:pos="6237"/>
          <w:tab w:val="left" w:pos="6663"/>
          <w:tab w:val="left" w:pos="6946"/>
        </w:tabs>
        <w:jc w:val="center"/>
        <w:rPr>
          <w:rFonts w:ascii="Times New Roman" w:hAnsi="Times New Roman"/>
          <w:b/>
          <w:sz w:val="22"/>
          <w:szCs w:val="22"/>
          <w:lang w:val="lt-LT"/>
        </w:rPr>
      </w:pPr>
      <w:r w:rsidRPr="00E23246">
        <w:rPr>
          <w:rFonts w:ascii="Times New Roman" w:hAnsi="Times New Roman"/>
          <w:b/>
          <w:sz w:val="22"/>
          <w:szCs w:val="22"/>
          <w:lang w:val="lt-LT"/>
        </w:rPr>
        <w:t>II PRIEDAS</w:t>
      </w:r>
    </w:p>
    <w:p w:rsidR="00A028B6" w:rsidRPr="00E23246" w:rsidRDefault="00A028B6" w:rsidP="00A028B6">
      <w:pPr>
        <w:spacing w:line="240" w:lineRule="auto"/>
        <w:ind w:left="1701" w:right="1416" w:hanging="567"/>
        <w:rPr>
          <w:szCs w:val="22"/>
        </w:rPr>
      </w:pPr>
    </w:p>
    <w:p w:rsidR="00A028B6" w:rsidRPr="00E23246" w:rsidRDefault="00A028B6" w:rsidP="00A028B6">
      <w:pPr>
        <w:spacing w:line="240" w:lineRule="auto"/>
        <w:jc w:val="center"/>
        <w:rPr>
          <w:i/>
          <w:szCs w:val="22"/>
        </w:rPr>
      </w:pPr>
      <w:r w:rsidRPr="0047569C">
        <w:rPr>
          <w:b/>
        </w:rPr>
        <w:t>REGISTRACIJOS</w:t>
      </w:r>
      <w:r w:rsidRPr="00E23246">
        <w:rPr>
          <w:b/>
          <w:szCs w:val="22"/>
        </w:rPr>
        <w:t xml:space="preserve"> SĄLYGOS</w:t>
      </w:r>
    </w:p>
    <w:p w:rsidR="00A028B6" w:rsidRPr="00E23246" w:rsidRDefault="00A028B6" w:rsidP="00A028B6">
      <w:pPr>
        <w:spacing w:line="240" w:lineRule="auto"/>
        <w:rPr>
          <w:szCs w:val="22"/>
        </w:rPr>
      </w:pPr>
    </w:p>
    <w:p w:rsidR="00A028B6" w:rsidRPr="00E23246" w:rsidRDefault="00A028B6" w:rsidP="00A028B6">
      <w:pPr>
        <w:tabs>
          <w:tab w:val="clear" w:pos="567"/>
          <w:tab w:val="left" w:pos="1701"/>
        </w:tabs>
        <w:spacing w:line="240" w:lineRule="auto"/>
        <w:ind w:left="1701" w:right="567" w:hanging="567"/>
        <w:rPr>
          <w:b/>
          <w:szCs w:val="22"/>
        </w:rPr>
      </w:pPr>
      <w:r w:rsidRPr="00E23246">
        <w:rPr>
          <w:b/>
          <w:szCs w:val="22"/>
        </w:rPr>
        <w:t>A.</w:t>
      </w:r>
      <w:r w:rsidRPr="00E23246">
        <w:rPr>
          <w:b/>
          <w:szCs w:val="22"/>
        </w:rPr>
        <w:tab/>
        <w:t>GAMINTOJAS (-AI), ATSAKINGAS (-I) UŽ SERIJŲ IŠLEIDIMĄ</w:t>
      </w:r>
    </w:p>
    <w:p w:rsidR="00A028B6" w:rsidRPr="00E23246" w:rsidRDefault="00A028B6" w:rsidP="00A028B6">
      <w:pPr>
        <w:tabs>
          <w:tab w:val="clear" w:pos="567"/>
          <w:tab w:val="left" w:pos="1701"/>
        </w:tabs>
        <w:spacing w:line="240" w:lineRule="auto"/>
        <w:ind w:left="567" w:right="567" w:hanging="567"/>
        <w:rPr>
          <w:szCs w:val="22"/>
        </w:rPr>
      </w:pPr>
    </w:p>
    <w:p w:rsidR="00A028B6" w:rsidRPr="00E23246" w:rsidRDefault="00A028B6" w:rsidP="00A028B6">
      <w:pPr>
        <w:tabs>
          <w:tab w:val="clear" w:pos="567"/>
          <w:tab w:val="left" w:pos="1701"/>
        </w:tabs>
        <w:spacing w:line="240" w:lineRule="auto"/>
        <w:ind w:left="1701" w:right="567" w:hanging="567"/>
        <w:rPr>
          <w:b/>
          <w:szCs w:val="22"/>
        </w:rPr>
      </w:pPr>
      <w:r w:rsidRPr="00E23246">
        <w:rPr>
          <w:b/>
          <w:szCs w:val="22"/>
        </w:rPr>
        <w:t>B.</w:t>
      </w:r>
      <w:r w:rsidRPr="00E23246">
        <w:rPr>
          <w:b/>
          <w:szCs w:val="22"/>
        </w:rPr>
        <w:tab/>
        <w:t>TIEKIMO IR VARTOJIMO SĄLYGOS AR APRIBOJIMAI</w:t>
      </w:r>
    </w:p>
    <w:p w:rsidR="00A028B6" w:rsidRPr="00E23246" w:rsidRDefault="00A028B6" w:rsidP="00A028B6">
      <w:pPr>
        <w:spacing w:line="240" w:lineRule="auto"/>
        <w:rPr>
          <w:b/>
          <w:szCs w:val="22"/>
        </w:rPr>
      </w:pPr>
      <w:r w:rsidRPr="00E23246">
        <w:rPr>
          <w:szCs w:val="22"/>
        </w:rPr>
        <w:br w:type="page"/>
      </w:r>
      <w:r w:rsidRPr="00E23246">
        <w:rPr>
          <w:b/>
          <w:szCs w:val="22"/>
        </w:rPr>
        <w:lastRenderedPageBreak/>
        <w:t>A.</w:t>
      </w:r>
      <w:r w:rsidRPr="00E23246">
        <w:rPr>
          <w:b/>
          <w:szCs w:val="22"/>
        </w:rPr>
        <w:tab/>
        <w:t>GAMINTOJAS (-AI), ATSAKINGAS (-I) UŽ SERIJŲ IŠLEIDIMĄ</w:t>
      </w:r>
    </w:p>
    <w:p w:rsidR="00A028B6" w:rsidRPr="00E23246" w:rsidRDefault="00A028B6" w:rsidP="00A028B6">
      <w:pPr>
        <w:spacing w:line="240" w:lineRule="auto"/>
        <w:rPr>
          <w:szCs w:val="22"/>
        </w:rPr>
      </w:pPr>
    </w:p>
    <w:p w:rsidR="00A028B6" w:rsidRPr="00E23246" w:rsidRDefault="00A028B6" w:rsidP="00A028B6">
      <w:pPr>
        <w:spacing w:line="240" w:lineRule="auto"/>
        <w:jc w:val="both"/>
        <w:rPr>
          <w:szCs w:val="22"/>
        </w:rPr>
      </w:pPr>
      <w:r w:rsidRPr="00E23246">
        <w:rPr>
          <w:szCs w:val="22"/>
          <w:u w:val="single"/>
        </w:rPr>
        <w:t>Gamintojo (-ų), atsakingo (-ų) už serijų išleidimą, pavadinimas (-ai) ir adresas (-ai)</w:t>
      </w:r>
    </w:p>
    <w:p w:rsidR="00A028B6" w:rsidRPr="00E23246" w:rsidRDefault="00A028B6" w:rsidP="00A028B6">
      <w:pPr>
        <w:spacing w:line="240" w:lineRule="auto"/>
        <w:rPr>
          <w:szCs w:val="22"/>
        </w:rPr>
      </w:pPr>
    </w:p>
    <w:p w:rsidR="00A028B6" w:rsidRPr="00E23246" w:rsidRDefault="00A028B6" w:rsidP="00A028B6">
      <w:pPr>
        <w:numPr>
          <w:ilvl w:val="12"/>
          <w:numId w:val="0"/>
        </w:numPr>
        <w:spacing w:line="240" w:lineRule="auto"/>
        <w:ind w:right="-2"/>
        <w:rPr>
          <w:szCs w:val="22"/>
        </w:rPr>
      </w:pPr>
      <w:proofErr w:type="spellStart"/>
      <w:r w:rsidRPr="00E23246">
        <w:rPr>
          <w:szCs w:val="22"/>
        </w:rPr>
        <w:t>Ferring</w:t>
      </w:r>
      <w:proofErr w:type="spellEnd"/>
      <w:r w:rsidRPr="00E23246">
        <w:rPr>
          <w:szCs w:val="22"/>
        </w:rPr>
        <w:t xml:space="preserve"> </w:t>
      </w:r>
      <w:proofErr w:type="spellStart"/>
      <w:r w:rsidRPr="00E23246">
        <w:rPr>
          <w:szCs w:val="22"/>
        </w:rPr>
        <w:t>Controlled</w:t>
      </w:r>
      <w:proofErr w:type="spellEnd"/>
      <w:r w:rsidRPr="00E23246">
        <w:rPr>
          <w:szCs w:val="22"/>
        </w:rPr>
        <w:t xml:space="preserve"> </w:t>
      </w:r>
      <w:proofErr w:type="spellStart"/>
      <w:r w:rsidRPr="00E23246">
        <w:rPr>
          <w:szCs w:val="22"/>
        </w:rPr>
        <w:t>Therapeutics</w:t>
      </w:r>
      <w:proofErr w:type="spellEnd"/>
      <w:r w:rsidRPr="00E23246">
        <w:rPr>
          <w:szCs w:val="22"/>
        </w:rPr>
        <w:t xml:space="preserve"> </w:t>
      </w:r>
      <w:proofErr w:type="spellStart"/>
      <w:r w:rsidRPr="00E23246">
        <w:rPr>
          <w:szCs w:val="22"/>
        </w:rPr>
        <w:t>Limited</w:t>
      </w:r>
      <w:proofErr w:type="spellEnd"/>
    </w:p>
    <w:p w:rsidR="00A028B6" w:rsidRPr="00E23246" w:rsidRDefault="00A028B6" w:rsidP="00A028B6">
      <w:pPr>
        <w:numPr>
          <w:ilvl w:val="12"/>
          <w:numId w:val="0"/>
        </w:numPr>
        <w:spacing w:line="240" w:lineRule="auto"/>
        <w:ind w:right="-2"/>
        <w:rPr>
          <w:szCs w:val="22"/>
        </w:rPr>
      </w:pPr>
      <w:r w:rsidRPr="00E23246">
        <w:rPr>
          <w:szCs w:val="22"/>
        </w:rPr>
        <w:t xml:space="preserve">1 </w:t>
      </w:r>
      <w:proofErr w:type="spellStart"/>
      <w:r w:rsidRPr="00E23246">
        <w:rPr>
          <w:szCs w:val="22"/>
        </w:rPr>
        <w:t>Redwood</w:t>
      </w:r>
      <w:proofErr w:type="spellEnd"/>
      <w:r w:rsidRPr="00E23246">
        <w:rPr>
          <w:szCs w:val="22"/>
        </w:rPr>
        <w:t xml:space="preserve"> </w:t>
      </w:r>
      <w:proofErr w:type="spellStart"/>
      <w:r w:rsidRPr="00E23246">
        <w:rPr>
          <w:szCs w:val="22"/>
        </w:rPr>
        <w:t>Place</w:t>
      </w:r>
      <w:proofErr w:type="spellEnd"/>
    </w:p>
    <w:p w:rsidR="00A028B6" w:rsidRPr="00E23246" w:rsidRDefault="00A028B6" w:rsidP="00A028B6">
      <w:pPr>
        <w:numPr>
          <w:ilvl w:val="12"/>
          <w:numId w:val="0"/>
        </w:numPr>
        <w:spacing w:line="240" w:lineRule="auto"/>
        <w:ind w:right="-2"/>
        <w:rPr>
          <w:szCs w:val="22"/>
        </w:rPr>
      </w:pPr>
      <w:proofErr w:type="spellStart"/>
      <w:r w:rsidRPr="00E23246">
        <w:rPr>
          <w:szCs w:val="22"/>
        </w:rPr>
        <w:t>Peel</w:t>
      </w:r>
      <w:proofErr w:type="spellEnd"/>
      <w:r w:rsidRPr="00E23246">
        <w:rPr>
          <w:szCs w:val="22"/>
        </w:rPr>
        <w:t xml:space="preserve"> </w:t>
      </w:r>
      <w:proofErr w:type="spellStart"/>
      <w:r w:rsidRPr="00E23246">
        <w:rPr>
          <w:szCs w:val="22"/>
        </w:rPr>
        <w:t>Park</w:t>
      </w:r>
      <w:proofErr w:type="spellEnd"/>
      <w:r w:rsidRPr="00E23246">
        <w:rPr>
          <w:szCs w:val="22"/>
        </w:rPr>
        <w:t xml:space="preserve"> </w:t>
      </w:r>
      <w:proofErr w:type="spellStart"/>
      <w:r w:rsidRPr="00E23246">
        <w:rPr>
          <w:szCs w:val="22"/>
        </w:rPr>
        <w:t>Campus</w:t>
      </w:r>
      <w:proofErr w:type="spellEnd"/>
    </w:p>
    <w:p w:rsidR="00A028B6" w:rsidRPr="00E23246" w:rsidRDefault="00A028B6" w:rsidP="00A028B6">
      <w:pPr>
        <w:numPr>
          <w:ilvl w:val="12"/>
          <w:numId w:val="0"/>
        </w:numPr>
        <w:spacing w:line="240" w:lineRule="auto"/>
        <w:ind w:right="-2"/>
        <w:rPr>
          <w:szCs w:val="22"/>
        </w:rPr>
      </w:pPr>
      <w:proofErr w:type="spellStart"/>
      <w:r w:rsidRPr="00E23246">
        <w:rPr>
          <w:szCs w:val="22"/>
        </w:rPr>
        <w:t>East</w:t>
      </w:r>
      <w:proofErr w:type="spellEnd"/>
      <w:r w:rsidRPr="00E23246">
        <w:rPr>
          <w:szCs w:val="22"/>
        </w:rPr>
        <w:t xml:space="preserve"> </w:t>
      </w:r>
      <w:proofErr w:type="spellStart"/>
      <w:r w:rsidRPr="00E23246">
        <w:rPr>
          <w:szCs w:val="22"/>
        </w:rPr>
        <w:t>Kilbriden</w:t>
      </w:r>
      <w:proofErr w:type="spellEnd"/>
      <w:r w:rsidRPr="00E23246">
        <w:rPr>
          <w:szCs w:val="22"/>
        </w:rPr>
        <w:t xml:space="preserve"> </w:t>
      </w:r>
    </w:p>
    <w:p w:rsidR="00A028B6" w:rsidRPr="00E23246" w:rsidRDefault="00A028B6" w:rsidP="00A028B6">
      <w:pPr>
        <w:numPr>
          <w:ilvl w:val="12"/>
          <w:numId w:val="0"/>
        </w:numPr>
        <w:spacing w:line="240" w:lineRule="auto"/>
        <w:ind w:right="-2"/>
        <w:rPr>
          <w:szCs w:val="22"/>
        </w:rPr>
      </w:pPr>
      <w:proofErr w:type="spellStart"/>
      <w:r w:rsidRPr="00E23246">
        <w:rPr>
          <w:szCs w:val="22"/>
        </w:rPr>
        <w:t>Scotland</w:t>
      </w:r>
      <w:proofErr w:type="spellEnd"/>
      <w:r w:rsidRPr="00E23246">
        <w:rPr>
          <w:szCs w:val="22"/>
        </w:rPr>
        <w:t xml:space="preserve"> G74 5PB</w:t>
      </w:r>
    </w:p>
    <w:p w:rsidR="00A028B6" w:rsidRPr="00E23246" w:rsidRDefault="00A028B6" w:rsidP="00A028B6">
      <w:pPr>
        <w:numPr>
          <w:ilvl w:val="12"/>
          <w:numId w:val="0"/>
        </w:numPr>
        <w:spacing w:line="240" w:lineRule="auto"/>
        <w:ind w:right="-2"/>
        <w:rPr>
          <w:szCs w:val="22"/>
        </w:rPr>
      </w:pPr>
      <w:r w:rsidRPr="00E23246">
        <w:rPr>
          <w:szCs w:val="22"/>
        </w:rPr>
        <w:t>Jungtinė Karalystė</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spacing w:line="240" w:lineRule="auto"/>
        <w:ind w:left="567" w:hanging="567"/>
        <w:rPr>
          <w:szCs w:val="22"/>
        </w:rPr>
      </w:pPr>
      <w:r w:rsidRPr="00E23246">
        <w:rPr>
          <w:b/>
          <w:szCs w:val="22"/>
        </w:rPr>
        <w:t>B.</w:t>
      </w:r>
      <w:r w:rsidRPr="00E23246">
        <w:rPr>
          <w:b/>
          <w:szCs w:val="22"/>
        </w:rPr>
        <w:tab/>
        <w:t>TIEKIMO IR VARTOJIMO SĄLYGOS AR APRIBOJIMAI</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Receptinis vaistinis preparatas.</w:t>
      </w:r>
    </w:p>
    <w:p w:rsidR="00A028B6" w:rsidRPr="00E23246" w:rsidRDefault="00A028B6" w:rsidP="00A028B6">
      <w:pPr>
        <w:tabs>
          <w:tab w:val="left" w:pos="-1440"/>
          <w:tab w:val="left" w:pos="-720"/>
        </w:tabs>
        <w:spacing w:line="240" w:lineRule="auto"/>
        <w:rPr>
          <w:bCs/>
          <w:szCs w:val="22"/>
        </w:rPr>
      </w:pPr>
      <w:r w:rsidRPr="00E23246">
        <w:rPr>
          <w:b/>
          <w:szCs w:val="22"/>
        </w:rPr>
        <w:br w:type="page"/>
      </w: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pStyle w:val="Antrat2"/>
        <w:spacing w:before="0" w:after="0" w:line="240" w:lineRule="auto"/>
        <w:jc w:val="center"/>
        <w:rPr>
          <w:rFonts w:ascii="Times New Roman" w:hAnsi="Times New Roman"/>
          <w:bCs w:val="0"/>
          <w:i w:val="0"/>
          <w:iCs w:val="0"/>
          <w:sz w:val="22"/>
          <w:szCs w:val="22"/>
          <w:lang w:val="lt-LT"/>
        </w:rPr>
      </w:pPr>
      <w:r w:rsidRPr="00E23246">
        <w:rPr>
          <w:rFonts w:ascii="Times New Roman" w:hAnsi="Times New Roman"/>
          <w:i w:val="0"/>
          <w:sz w:val="22"/>
          <w:szCs w:val="22"/>
          <w:lang w:val="lt-LT"/>
        </w:rPr>
        <w:t>III PRIEDAS</w:t>
      </w:r>
    </w:p>
    <w:p w:rsidR="00A028B6" w:rsidRPr="00E23246" w:rsidRDefault="00A028B6" w:rsidP="00A028B6">
      <w:pPr>
        <w:spacing w:line="240" w:lineRule="auto"/>
        <w:rPr>
          <w:szCs w:val="22"/>
        </w:rPr>
      </w:pPr>
    </w:p>
    <w:p w:rsidR="00A028B6" w:rsidRPr="00E23246" w:rsidRDefault="00A028B6" w:rsidP="00A028B6">
      <w:pPr>
        <w:pStyle w:val="Antrat2"/>
        <w:spacing w:before="0" w:after="0" w:line="240" w:lineRule="auto"/>
        <w:jc w:val="center"/>
        <w:rPr>
          <w:rFonts w:ascii="Times New Roman" w:hAnsi="Times New Roman"/>
          <w:bCs w:val="0"/>
          <w:i w:val="0"/>
          <w:iCs w:val="0"/>
          <w:sz w:val="22"/>
          <w:szCs w:val="22"/>
          <w:lang w:val="lt-LT"/>
        </w:rPr>
      </w:pPr>
      <w:r w:rsidRPr="00E23246">
        <w:rPr>
          <w:rFonts w:ascii="Times New Roman" w:hAnsi="Times New Roman"/>
          <w:i w:val="0"/>
          <w:sz w:val="22"/>
          <w:szCs w:val="22"/>
          <w:lang w:val="lt-LT"/>
        </w:rPr>
        <w:t>ŽENKLINIMAS IR PAKUOTĖS LAPELIS</w:t>
      </w:r>
    </w:p>
    <w:p w:rsidR="00A028B6" w:rsidRPr="00E23246" w:rsidRDefault="00A028B6" w:rsidP="00A028B6">
      <w:pPr>
        <w:tabs>
          <w:tab w:val="left" w:pos="-1440"/>
          <w:tab w:val="left" w:pos="-720"/>
        </w:tabs>
        <w:spacing w:line="240" w:lineRule="auto"/>
        <w:rPr>
          <w:bCs/>
          <w:szCs w:val="22"/>
        </w:rPr>
      </w:pPr>
      <w:r w:rsidRPr="00E23246">
        <w:rPr>
          <w:szCs w:val="22"/>
        </w:rPr>
        <w:br w:type="page"/>
      </w: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pStyle w:val="Antrat2"/>
        <w:spacing w:before="0" w:after="0" w:line="240" w:lineRule="auto"/>
        <w:jc w:val="center"/>
        <w:rPr>
          <w:rFonts w:ascii="Times New Roman" w:hAnsi="Times New Roman"/>
          <w:bCs w:val="0"/>
          <w:i w:val="0"/>
          <w:iCs w:val="0"/>
          <w:sz w:val="22"/>
          <w:szCs w:val="22"/>
          <w:lang w:val="lt-LT"/>
        </w:rPr>
      </w:pPr>
      <w:r w:rsidRPr="00E23246">
        <w:rPr>
          <w:rFonts w:ascii="Times New Roman" w:hAnsi="Times New Roman"/>
          <w:i w:val="0"/>
          <w:sz w:val="22"/>
          <w:szCs w:val="22"/>
          <w:lang w:val="lt-LT"/>
        </w:rPr>
        <w:t>A. ŽENKLINIMAS</w:t>
      </w:r>
    </w:p>
    <w:p w:rsidR="00A028B6" w:rsidRPr="00E23246" w:rsidRDefault="00A028B6" w:rsidP="00A028B6">
      <w:pPr>
        <w:spacing w:line="240" w:lineRule="auto"/>
        <w:rPr>
          <w:szCs w:val="22"/>
        </w:rPr>
      </w:pPr>
      <w:r w:rsidRPr="00E23246">
        <w:rPr>
          <w:szCs w:val="22"/>
        </w:rPr>
        <w:br w:type="page"/>
      </w: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rPr>
          <w:b/>
          <w:szCs w:val="22"/>
        </w:rPr>
      </w:pPr>
      <w:r w:rsidRPr="00E23246">
        <w:rPr>
          <w:b/>
          <w:szCs w:val="22"/>
        </w:rPr>
        <w:lastRenderedPageBreak/>
        <w:t>INFORMACIJA ANT IŠORINĖS PAKUOTĖS</w:t>
      </w: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rPr>
          <w:b/>
          <w:szCs w:val="22"/>
        </w:rPr>
      </w:pPr>
      <w:r w:rsidRPr="00E23246">
        <w:rPr>
          <w:b/>
          <w:szCs w:val="22"/>
        </w:rPr>
        <w:t>KARTONO DĖŽUTĖ</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1.</w:t>
      </w:r>
      <w:r w:rsidRPr="00E23246">
        <w:rPr>
          <w:b/>
          <w:szCs w:val="22"/>
        </w:rPr>
        <w:tab/>
      </w:r>
      <w:r w:rsidRPr="00E23246">
        <w:rPr>
          <w:b/>
          <w:caps/>
          <w:szCs w:val="22"/>
        </w:rPr>
        <w:t>VAISTINIO</w:t>
      </w:r>
      <w:r w:rsidRPr="00E23246">
        <w:rPr>
          <w:b/>
          <w:szCs w:val="22"/>
        </w:rPr>
        <w:t xml:space="preserve"> PREPARATO PAVADINIMAS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spacing w:line="240" w:lineRule="auto"/>
        <w:rPr>
          <w:szCs w:val="22"/>
        </w:rPr>
      </w:pPr>
      <w:proofErr w:type="spellStart"/>
      <w:r w:rsidRPr="00E23246">
        <w:rPr>
          <w:szCs w:val="22"/>
        </w:rPr>
        <w:t>Mizoprostolis</w:t>
      </w:r>
      <w:proofErr w:type="spellEnd"/>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23246">
        <w:rPr>
          <w:b/>
          <w:szCs w:val="22"/>
        </w:rPr>
        <w:t>2.</w:t>
      </w:r>
      <w:r w:rsidRPr="00E23246">
        <w:rPr>
          <w:b/>
          <w:szCs w:val="22"/>
        </w:rPr>
        <w:tab/>
        <w:t>VEIKLIOJI (-IOS) MEDŽIAGA (-OS) IR JOS (-Ų) KIEKIS (-IAI)</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Kiekvienoje vartojimo į makštį sistemoje yra 200 </w:t>
      </w:r>
      <w:proofErr w:type="spellStart"/>
      <w:r w:rsidRPr="00E23246">
        <w:rPr>
          <w:szCs w:val="22"/>
        </w:rPr>
        <w:t>mikrogramų</w:t>
      </w:r>
      <w:proofErr w:type="spellEnd"/>
      <w:r w:rsidRPr="00E23246">
        <w:rPr>
          <w:szCs w:val="22"/>
        </w:rPr>
        <w:t xml:space="preserve"> </w:t>
      </w:r>
      <w:proofErr w:type="spellStart"/>
      <w:r w:rsidRPr="00E23246">
        <w:rPr>
          <w:szCs w:val="22"/>
        </w:rPr>
        <w:t>mizoprostolio</w:t>
      </w:r>
      <w:proofErr w:type="spellEnd"/>
      <w:r w:rsidRPr="00E23246">
        <w:rPr>
          <w:szCs w:val="22"/>
        </w:rPr>
        <w:t xml:space="preserve">, kuris atpalaiduojamas 24 val. vidutiniškai maždaug 7 </w:t>
      </w:r>
      <w:proofErr w:type="spellStart"/>
      <w:r w:rsidRPr="00E23246">
        <w:rPr>
          <w:szCs w:val="22"/>
        </w:rPr>
        <w:t>mikrogramų</w:t>
      </w:r>
      <w:proofErr w:type="spellEnd"/>
      <w:r w:rsidRPr="00E23246">
        <w:rPr>
          <w:szCs w:val="22"/>
        </w:rPr>
        <w:t>/val. greičiu.</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3.</w:t>
      </w:r>
      <w:r w:rsidRPr="00E23246">
        <w:rPr>
          <w:b/>
          <w:szCs w:val="22"/>
        </w:rPr>
        <w:tab/>
        <w:t>PAGALBINIŲ MEDŽIAGŲ SĄRAŠAS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Kryžminių jungčių </w:t>
      </w:r>
      <w:proofErr w:type="spellStart"/>
      <w:r w:rsidRPr="00E23246">
        <w:rPr>
          <w:szCs w:val="22"/>
        </w:rPr>
        <w:t>hidrogelio</w:t>
      </w:r>
      <w:proofErr w:type="spellEnd"/>
      <w:r w:rsidRPr="00E23246">
        <w:rPr>
          <w:szCs w:val="22"/>
        </w:rPr>
        <w:t xml:space="preserve"> polimeras, </w:t>
      </w:r>
      <w:proofErr w:type="spellStart"/>
      <w:r w:rsidRPr="00E23246">
        <w:rPr>
          <w:szCs w:val="22"/>
        </w:rPr>
        <w:t>butilhidroksianizolas</w:t>
      </w:r>
      <w:proofErr w:type="spellEnd"/>
      <w:r w:rsidRPr="00E23246">
        <w:rPr>
          <w:szCs w:val="22"/>
        </w:rPr>
        <w:t xml:space="preserve"> ir poliesterio sistema ištraukimui. Daugiau informacijos pateikiama pakuotės lapelyje.</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4.</w:t>
      </w:r>
      <w:r w:rsidRPr="00E23246">
        <w:rPr>
          <w:b/>
          <w:szCs w:val="22"/>
        </w:rPr>
        <w:tab/>
        <w:t>FARMACINĖ FORMA IR KIEKIS PAKUOTĖJE</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Vartojimo į makštį sistema</w:t>
      </w:r>
    </w:p>
    <w:p w:rsidR="00A028B6" w:rsidRPr="00E2324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 xml:space="preserve">1 x 200 </w:t>
      </w:r>
      <w:proofErr w:type="spellStart"/>
      <w:r w:rsidRPr="00E23246">
        <w:rPr>
          <w:szCs w:val="22"/>
        </w:rPr>
        <w:t>mikrogramų</w:t>
      </w:r>
      <w:proofErr w:type="spellEnd"/>
    </w:p>
    <w:p w:rsidR="00A028B6" w:rsidRPr="00063279" w:rsidRDefault="00A028B6" w:rsidP="00A028B6">
      <w:pPr>
        <w:tabs>
          <w:tab w:val="clear" w:pos="567"/>
        </w:tabs>
        <w:spacing w:line="240" w:lineRule="auto"/>
        <w:rPr>
          <w:szCs w:val="22"/>
          <w:highlight w:val="lightGray"/>
        </w:rPr>
      </w:pPr>
      <w:r w:rsidRPr="00063279">
        <w:rPr>
          <w:szCs w:val="22"/>
          <w:highlight w:val="lightGray"/>
        </w:rPr>
        <w:t xml:space="preserve">5 x 200 </w:t>
      </w:r>
      <w:proofErr w:type="spellStart"/>
      <w:r w:rsidRPr="00063279">
        <w:rPr>
          <w:szCs w:val="22"/>
          <w:highlight w:val="lightGray"/>
        </w:rPr>
        <w:t>mikrogramų</w:t>
      </w:r>
      <w:proofErr w:type="spellEnd"/>
    </w:p>
    <w:p w:rsidR="00A028B6" w:rsidRPr="00E23246" w:rsidRDefault="00A028B6" w:rsidP="00A028B6">
      <w:pPr>
        <w:tabs>
          <w:tab w:val="clear" w:pos="567"/>
        </w:tabs>
        <w:spacing w:line="240" w:lineRule="auto"/>
        <w:rPr>
          <w:szCs w:val="22"/>
        </w:rPr>
      </w:pPr>
      <w:r w:rsidRPr="00063279">
        <w:rPr>
          <w:szCs w:val="22"/>
          <w:highlight w:val="lightGray"/>
        </w:rPr>
        <w:t xml:space="preserve">5 x 200 </w:t>
      </w:r>
      <w:proofErr w:type="spellStart"/>
      <w:r w:rsidRPr="00063279">
        <w:rPr>
          <w:szCs w:val="22"/>
          <w:highlight w:val="lightGray"/>
        </w:rPr>
        <w:t>mikrogramų</w:t>
      </w:r>
      <w:proofErr w:type="spellEnd"/>
      <w:r w:rsidRPr="00063279">
        <w:rPr>
          <w:szCs w:val="22"/>
          <w:highlight w:val="lightGray"/>
        </w:rPr>
        <w:t xml:space="preserve"> (sudėtinė pakuotė)</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5.</w:t>
      </w:r>
      <w:r w:rsidRPr="00E23246">
        <w:rPr>
          <w:b/>
          <w:szCs w:val="22"/>
        </w:rPr>
        <w:tab/>
        <w:t>VARTOJIMO METODAS IR BŪDAS (-AI)</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Turi įkišti sveikatos priežiūros specialistas.</w:t>
      </w:r>
    </w:p>
    <w:p w:rsidR="00A028B6" w:rsidRPr="00E23246" w:rsidRDefault="00A028B6" w:rsidP="00A028B6">
      <w:pPr>
        <w:spacing w:line="240" w:lineRule="auto"/>
        <w:rPr>
          <w:szCs w:val="22"/>
        </w:rPr>
      </w:pPr>
      <w:r w:rsidRPr="00E23246">
        <w:rPr>
          <w:szCs w:val="22"/>
        </w:rPr>
        <w:t>Prieš vartojimą perskaitykite pakuotės lapelį.</w:t>
      </w:r>
    </w:p>
    <w:p w:rsidR="00A028B6" w:rsidRPr="00E23246" w:rsidRDefault="00A028B6" w:rsidP="00A028B6">
      <w:pPr>
        <w:spacing w:line="240" w:lineRule="auto"/>
        <w:rPr>
          <w:szCs w:val="22"/>
        </w:rPr>
      </w:pPr>
      <w:r w:rsidRPr="00E23246">
        <w:rPr>
          <w:szCs w:val="22"/>
        </w:rPr>
        <w:t>Vartoti į makštį.</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6.</w:t>
      </w:r>
      <w:r w:rsidRPr="00E23246">
        <w:rPr>
          <w:b/>
          <w:szCs w:val="22"/>
        </w:rPr>
        <w:tab/>
        <w:t>SPECIALUS ĮSPĖJIMAS, KAD VAISTINĮ PREPARATĄ BŪTINA LAIKYTI VAIKAMS NEPASTEBIMOJE IR NEPASIEKIAMOJE VIETOJE</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Laikyti vaikams nepastebimoje ir nepasiekiamoje vietoje.</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7.</w:t>
      </w:r>
      <w:r w:rsidRPr="00E23246">
        <w:rPr>
          <w:b/>
          <w:szCs w:val="22"/>
        </w:rPr>
        <w:tab/>
        <w:t>KITAS (-I) SPECIALUS (-ŪS) ĮSPĖJIMAS (-AI) (JEI REIKIA)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8.</w:t>
      </w:r>
      <w:r w:rsidRPr="00E23246">
        <w:rPr>
          <w:b/>
          <w:szCs w:val="22"/>
        </w:rPr>
        <w:tab/>
        <w:t>TINKAMUMO LAIKAS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lastRenderedPageBreak/>
        <w:t>Tinka iki{MM-YYYY)</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23246">
        <w:rPr>
          <w:b/>
          <w:szCs w:val="22"/>
        </w:rPr>
        <w:t>9.</w:t>
      </w:r>
      <w:r w:rsidRPr="00E23246">
        <w:rPr>
          <w:b/>
          <w:szCs w:val="22"/>
        </w:rPr>
        <w:tab/>
        <w:t>SPECIALIOS LAIKYMO SĄLYGOS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Laikyti šaldiklyje (nuo – 10 °C iki – 25 °C temperatūroje).</w:t>
      </w:r>
    </w:p>
    <w:p w:rsidR="00A028B6" w:rsidRPr="00E23246" w:rsidRDefault="00A028B6" w:rsidP="00A028B6">
      <w:pPr>
        <w:spacing w:line="240" w:lineRule="auto"/>
        <w:rPr>
          <w:szCs w:val="22"/>
        </w:rPr>
      </w:pPr>
      <w:r w:rsidRPr="00E23246">
        <w:rPr>
          <w:szCs w:val="22"/>
        </w:rPr>
        <w:t>Prieš vartojimą atšildyti nereikia.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10.</w:t>
      </w:r>
      <w:r w:rsidRPr="00E23246">
        <w:rPr>
          <w:b/>
          <w:szCs w:val="22"/>
        </w:rPr>
        <w:tab/>
        <w:t>SPECIALIOS ATSARGUMO PRIEMONĖS DĖL NESUVARTOTO VAISTINIO PREPARATO AR JO ATLIEKŲ TVARKYMO (JEI REIKIA)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11.</w:t>
      </w:r>
      <w:r w:rsidRPr="00E23246">
        <w:rPr>
          <w:b/>
          <w:szCs w:val="22"/>
        </w:rPr>
        <w:tab/>
      </w:r>
      <w:r>
        <w:rPr>
          <w:b/>
          <w:szCs w:val="22"/>
        </w:rPr>
        <w:t>REGISTRUOTOJO</w:t>
      </w:r>
      <w:r w:rsidRPr="00E23246">
        <w:rPr>
          <w:b/>
          <w:caps/>
          <w:szCs w:val="22"/>
        </w:rPr>
        <w:t xml:space="preserve"> PAVADINIMAS IR ADRESAS</w:t>
      </w:r>
    </w:p>
    <w:p w:rsidR="00A028B6" w:rsidRPr="00E23246" w:rsidRDefault="00A028B6" w:rsidP="00A028B6">
      <w:pPr>
        <w:spacing w:line="240" w:lineRule="auto"/>
        <w:rPr>
          <w:szCs w:val="22"/>
        </w:rPr>
      </w:pPr>
    </w:p>
    <w:p w:rsidR="00A028B6" w:rsidRPr="00C1611D" w:rsidRDefault="00A028B6" w:rsidP="00A028B6">
      <w:pPr>
        <w:rPr>
          <w:rFonts w:eastAsia="MS Mincho"/>
          <w:szCs w:val="22"/>
        </w:rPr>
      </w:pPr>
      <w:proofErr w:type="spellStart"/>
      <w:r w:rsidRPr="00C1611D">
        <w:rPr>
          <w:rFonts w:eastAsia="MS Mincho"/>
          <w:szCs w:val="22"/>
        </w:rPr>
        <w:t>Ferring</w:t>
      </w:r>
      <w:proofErr w:type="spellEnd"/>
      <w:r w:rsidRPr="00C1611D">
        <w:rPr>
          <w:rFonts w:eastAsia="MS Mincho"/>
          <w:szCs w:val="22"/>
        </w:rPr>
        <w:t xml:space="preserve"> </w:t>
      </w:r>
      <w:proofErr w:type="spellStart"/>
      <w:r w:rsidRPr="00C1611D">
        <w:rPr>
          <w:rFonts w:eastAsia="MS Mincho"/>
          <w:szCs w:val="22"/>
        </w:rPr>
        <w:t>GmbH</w:t>
      </w:r>
      <w:proofErr w:type="spellEnd"/>
    </w:p>
    <w:p w:rsidR="00A028B6" w:rsidRPr="00C1611D" w:rsidRDefault="00A028B6" w:rsidP="00A028B6">
      <w:pPr>
        <w:rPr>
          <w:rFonts w:eastAsia="MS Mincho"/>
          <w:szCs w:val="22"/>
        </w:rPr>
      </w:pPr>
      <w:proofErr w:type="spellStart"/>
      <w:r w:rsidRPr="00C1611D">
        <w:rPr>
          <w:rFonts w:eastAsia="MS Mincho"/>
          <w:szCs w:val="22"/>
        </w:rPr>
        <w:t>Wittland</w:t>
      </w:r>
      <w:proofErr w:type="spellEnd"/>
      <w:r w:rsidRPr="00C1611D">
        <w:rPr>
          <w:rFonts w:eastAsia="MS Mincho"/>
          <w:szCs w:val="22"/>
        </w:rPr>
        <w:t xml:space="preserve"> 11</w:t>
      </w:r>
    </w:p>
    <w:p w:rsidR="00A028B6" w:rsidRPr="00C1611D" w:rsidRDefault="00A028B6" w:rsidP="00A028B6">
      <w:pPr>
        <w:rPr>
          <w:rFonts w:eastAsia="MS Mincho"/>
          <w:szCs w:val="22"/>
        </w:rPr>
      </w:pPr>
      <w:r w:rsidRPr="00C1611D">
        <w:rPr>
          <w:rFonts w:eastAsia="MS Mincho"/>
          <w:szCs w:val="22"/>
        </w:rPr>
        <w:t xml:space="preserve">D-24109 </w:t>
      </w:r>
      <w:proofErr w:type="spellStart"/>
      <w:r w:rsidRPr="00C1611D">
        <w:rPr>
          <w:rFonts w:eastAsia="MS Mincho"/>
          <w:szCs w:val="22"/>
        </w:rPr>
        <w:t>Kiel</w:t>
      </w:r>
      <w:proofErr w:type="spellEnd"/>
    </w:p>
    <w:p w:rsidR="00A028B6" w:rsidRDefault="00A028B6" w:rsidP="00A028B6">
      <w:pPr>
        <w:spacing w:line="240" w:lineRule="auto"/>
        <w:rPr>
          <w:szCs w:val="22"/>
        </w:rPr>
      </w:pPr>
      <w:r w:rsidRPr="00C1611D">
        <w:rPr>
          <w:rFonts w:eastAsia="MS Mincho"/>
          <w:szCs w:val="22"/>
        </w:rPr>
        <w:t>Vokietija</w:t>
      </w:r>
      <w:r w:rsidRPr="00E23246" w:rsidDel="00AF7913">
        <w:rPr>
          <w:szCs w:val="22"/>
        </w:rPr>
        <w:t xml:space="preserve"> </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szCs w:val="22"/>
        </w:rPr>
      </w:pPr>
      <w:r w:rsidRPr="00E23246">
        <w:rPr>
          <w:b/>
          <w:szCs w:val="22"/>
        </w:rPr>
        <w:t>12.</w:t>
      </w:r>
      <w:r w:rsidRPr="00E23246">
        <w:rPr>
          <w:b/>
          <w:szCs w:val="22"/>
        </w:rPr>
        <w:tab/>
      </w:r>
      <w:r>
        <w:rPr>
          <w:b/>
          <w:szCs w:val="22"/>
        </w:rPr>
        <w:t>REGISTROCIJOS</w:t>
      </w:r>
      <w:r w:rsidRPr="00E23246">
        <w:rPr>
          <w:b/>
          <w:szCs w:val="22"/>
        </w:rPr>
        <w:t xml:space="preserve"> PAŽYMĖJIMO NUMERIS (-IAI) </w:t>
      </w:r>
    </w:p>
    <w:p w:rsidR="00A028B6" w:rsidRPr="00E23246" w:rsidRDefault="00A028B6" w:rsidP="00A028B6">
      <w:pPr>
        <w:spacing w:line="240" w:lineRule="auto"/>
        <w:rPr>
          <w:szCs w:val="22"/>
        </w:rPr>
      </w:pPr>
    </w:p>
    <w:p w:rsidR="00A028B6" w:rsidRDefault="00A028B6" w:rsidP="00A028B6">
      <w:pPr>
        <w:tabs>
          <w:tab w:val="clear" w:pos="567"/>
        </w:tabs>
        <w:spacing w:line="240" w:lineRule="auto"/>
        <w:rPr>
          <w:szCs w:val="22"/>
        </w:rPr>
      </w:pPr>
      <w:r w:rsidRPr="0047569C">
        <w:rPr>
          <w:szCs w:val="22"/>
          <w:highlight w:val="lightGray"/>
        </w:rPr>
        <w:t>N1 –</w:t>
      </w:r>
      <w:r>
        <w:rPr>
          <w:szCs w:val="22"/>
        </w:rPr>
        <w:t xml:space="preserve"> LT/1/13/3442/001</w:t>
      </w:r>
    </w:p>
    <w:p w:rsidR="00A028B6" w:rsidRPr="0047569C" w:rsidRDefault="00A028B6" w:rsidP="00A028B6">
      <w:pPr>
        <w:tabs>
          <w:tab w:val="clear" w:pos="567"/>
        </w:tabs>
        <w:spacing w:line="240" w:lineRule="auto"/>
        <w:rPr>
          <w:szCs w:val="22"/>
          <w:highlight w:val="lightGray"/>
        </w:rPr>
      </w:pPr>
      <w:r w:rsidRPr="0047569C">
        <w:rPr>
          <w:szCs w:val="22"/>
          <w:highlight w:val="lightGray"/>
        </w:rPr>
        <w:t>N5 – LT/1/13/3442/002</w:t>
      </w:r>
    </w:p>
    <w:p w:rsidR="00A028B6" w:rsidRDefault="00A028B6" w:rsidP="00A028B6">
      <w:pPr>
        <w:tabs>
          <w:tab w:val="clear" w:pos="567"/>
        </w:tabs>
        <w:spacing w:line="240" w:lineRule="auto"/>
        <w:rPr>
          <w:szCs w:val="22"/>
        </w:rPr>
      </w:pPr>
      <w:r w:rsidRPr="0047569C">
        <w:rPr>
          <w:szCs w:val="22"/>
          <w:highlight w:val="lightGray"/>
        </w:rPr>
        <w:t>N5 (sudėtinė pakuotė) – LT/1/13/3442/003</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szCs w:val="22"/>
        </w:rPr>
      </w:pPr>
      <w:r w:rsidRPr="00E23246">
        <w:rPr>
          <w:b/>
          <w:szCs w:val="22"/>
        </w:rPr>
        <w:t>13.</w:t>
      </w:r>
      <w:r w:rsidRPr="00E23246">
        <w:rPr>
          <w:b/>
          <w:szCs w:val="22"/>
        </w:rPr>
        <w:tab/>
        <w:t xml:space="preserve">SERIJOS NUMERIS </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Serija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szCs w:val="22"/>
        </w:rPr>
      </w:pPr>
      <w:r w:rsidRPr="00E23246">
        <w:rPr>
          <w:b/>
          <w:szCs w:val="22"/>
        </w:rPr>
        <w:t>14.</w:t>
      </w:r>
      <w:r w:rsidRPr="00E23246">
        <w:rPr>
          <w:b/>
          <w:szCs w:val="22"/>
        </w:rPr>
        <w:tab/>
        <w:t>PARDAVIMO (IŠDAVIMO) TVARKA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Receptinis vaist</w:t>
      </w:r>
      <w:r>
        <w:rPr>
          <w:szCs w:val="22"/>
        </w:rPr>
        <w:t>a</w:t>
      </w:r>
      <w:r w:rsidRPr="00E23246">
        <w:rPr>
          <w:szCs w:val="22"/>
        </w:rPr>
        <w:t>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2" w:color="auto"/>
          <w:left w:val="single" w:sz="4" w:space="4" w:color="auto"/>
          <w:bottom w:val="single" w:sz="4" w:space="1" w:color="auto"/>
          <w:right w:val="single" w:sz="4" w:space="4" w:color="auto"/>
        </w:pBdr>
        <w:spacing w:line="240" w:lineRule="auto"/>
        <w:outlineLvl w:val="0"/>
        <w:rPr>
          <w:szCs w:val="22"/>
        </w:rPr>
      </w:pPr>
      <w:r w:rsidRPr="00E23246">
        <w:rPr>
          <w:b/>
          <w:szCs w:val="22"/>
        </w:rPr>
        <w:t>15.</w:t>
      </w:r>
      <w:r w:rsidRPr="00E23246">
        <w:rPr>
          <w:b/>
          <w:szCs w:val="22"/>
        </w:rPr>
        <w:tab/>
        <w:t>VARTOJIMO INSTRUKCIJA</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0" w:color="auto"/>
          <w:right w:val="single" w:sz="4" w:space="4" w:color="auto"/>
        </w:pBdr>
        <w:spacing w:line="240" w:lineRule="auto"/>
        <w:rPr>
          <w:color w:val="008000"/>
          <w:szCs w:val="22"/>
        </w:rPr>
      </w:pPr>
      <w:r w:rsidRPr="00E23246">
        <w:rPr>
          <w:b/>
          <w:szCs w:val="22"/>
        </w:rPr>
        <w:t>16.</w:t>
      </w:r>
      <w:r w:rsidRPr="00E23246">
        <w:rPr>
          <w:b/>
          <w:szCs w:val="22"/>
        </w:rPr>
        <w:tab/>
        <w:t>INFORMACIJA BRAILIO RAŠTU</w:t>
      </w:r>
    </w:p>
    <w:p w:rsidR="00A028B6" w:rsidRPr="00E23246" w:rsidRDefault="00A028B6" w:rsidP="00A028B6">
      <w:pPr>
        <w:spacing w:line="240" w:lineRule="auto"/>
        <w:rPr>
          <w:szCs w:val="22"/>
        </w:rPr>
      </w:pPr>
    </w:p>
    <w:p w:rsidR="00A028B6" w:rsidRDefault="00A028B6" w:rsidP="00A028B6">
      <w:pPr>
        <w:spacing w:line="240" w:lineRule="auto"/>
        <w:rPr>
          <w:szCs w:val="22"/>
        </w:rPr>
      </w:pPr>
      <w:r w:rsidRPr="00063279">
        <w:rPr>
          <w:szCs w:val="22"/>
          <w:highlight w:val="lightGray"/>
        </w:rPr>
        <w:t>Priimtas pagrindimas informacijos Brailio raštu nepateikti.</w:t>
      </w:r>
    </w:p>
    <w:p w:rsidR="00A028B6" w:rsidRDefault="00A028B6" w:rsidP="00A028B6">
      <w:pPr>
        <w:spacing w:line="240" w:lineRule="auto"/>
        <w:rPr>
          <w:szCs w:val="22"/>
        </w:rPr>
      </w:pPr>
    </w:p>
    <w:p w:rsidR="00A028B6" w:rsidRDefault="00A028B6" w:rsidP="00A028B6">
      <w:pPr>
        <w:rPr>
          <w:noProof/>
          <w:szCs w:val="22"/>
          <w:shd w:val="clear" w:color="auto" w:fill="CCCCCC"/>
        </w:rPr>
      </w:pPr>
    </w:p>
    <w:p w:rsidR="00A028B6" w:rsidRDefault="00A028B6" w:rsidP="00A028B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A028B6" w:rsidRDefault="00A028B6" w:rsidP="00A028B6">
      <w:pPr>
        <w:rPr>
          <w:noProof/>
        </w:rPr>
      </w:pPr>
    </w:p>
    <w:p w:rsidR="00A028B6" w:rsidRDefault="00A028B6" w:rsidP="00A028B6">
      <w:pPr>
        <w:rPr>
          <w:noProof/>
          <w:szCs w:val="22"/>
          <w:shd w:val="clear" w:color="auto" w:fill="CCCCCC"/>
        </w:rPr>
      </w:pPr>
      <w:r>
        <w:rPr>
          <w:noProof/>
          <w:highlight w:val="lightGray"/>
        </w:rPr>
        <w:t>2D brūkšninis kodas su nurodytu unikaliu identifikatoriumi.</w:t>
      </w:r>
    </w:p>
    <w:p w:rsidR="00A028B6" w:rsidRDefault="00A028B6" w:rsidP="00A028B6">
      <w:pPr>
        <w:rPr>
          <w:noProof/>
          <w:szCs w:val="22"/>
          <w:shd w:val="clear" w:color="auto" w:fill="CCCCCC"/>
        </w:rPr>
      </w:pPr>
    </w:p>
    <w:p w:rsidR="00A028B6" w:rsidRDefault="00A028B6" w:rsidP="00A028B6">
      <w:pPr>
        <w:rPr>
          <w:noProof/>
        </w:rPr>
      </w:pPr>
    </w:p>
    <w:p w:rsidR="00A028B6" w:rsidRDefault="00A028B6" w:rsidP="00A028B6">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rsidR="00A028B6" w:rsidRDefault="00A028B6" w:rsidP="00A028B6">
      <w:pPr>
        <w:rPr>
          <w:noProof/>
        </w:rPr>
      </w:pPr>
    </w:p>
    <w:p w:rsidR="00A028B6" w:rsidRDefault="00A028B6" w:rsidP="00A028B6">
      <w:pPr>
        <w:rPr>
          <w:color w:val="008000"/>
          <w:szCs w:val="22"/>
        </w:rPr>
      </w:pPr>
      <w:r>
        <w:t xml:space="preserve">PC: {numeris} </w:t>
      </w:r>
      <w:r>
        <w:rPr>
          <w:color w:val="008000"/>
        </w:rPr>
        <w:t>[vaistinio preparato kodas]</w:t>
      </w:r>
    </w:p>
    <w:p w:rsidR="00A028B6" w:rsidRDefault="00A028B6" w:rsidP="00A028B6">
      <w:pPr>
        <w:rPr>
          <w:szCs w:val="22"/>
        </w:rPr>
      </w:pPr>
      <w:r>
        <w:t xml:space="preserve">SN: {numeris} </w:t>
      </w:r>
      <w:r>
        <w:rPr>
          <w:color w:val="008000"/>
        </w:rPr>
        <w:t>[nuoseklusis numeris]</w:t>
      </w:r>
    </w:p>
    <w:p w:rsidR="00A028B6" w:rsidRDefault="00A028B6" w:rsidP="00A028B6">
      <w:pPr>
        <w:rPr>
          <w:szCs w:val="22"/>
        </w:rPr>
      </w:pPr>
      <w:r w:rsidRPr="004971F6">
        <w:rPr>
          <w:highlight w:val="lightGray"/>
        </w:rPr>
        <w:t xml:space="preserve">NN: {numeris} </w:t>
      </w:r>
      <w:r w:rsidRPr="004971F6">
        <w:rPr>
          <w:color w:val="008000"/>
          <w:highlight w:val="lightGray"/>
        </w:rPr>
        <w:t>[nacionalinis kompensacijos rūšies kodas arba kitas nacionalinis vaistinio pre</w:t>
      </w:r>
      <w:r>
        <w:rPr>
          <w:color w:val="008000"/>
          <w:highlight w:val="lightGray"/>
        </w:rPr>
        <w:t>parato identifikacinis numeris]</w:t>
      </w:r>
    </w:p>
    <w:p w:rsidR="00A028B6" w:rsidRPr="00E23246" w:rsidRDefault="00A028B6" w:rsidP="00A028B6">
      <w:pPr>
        <w:spacing w:line="240" w:lineRule="auto"/>
        <w:rPr>
          <w:szCs w:val="22"/>
        </w:rPr>
      </w:pPr>
    </w:p>
    <w:p w:rsidR="00A028B6" w:rsidRPr="00E23246" w:rsidRDefault="00A028B6" w:rsidP="00A028B6">
      <w:pPr>
        <w:spacing w:line="240" w:lineRule="auto"/>
        <w:rPr>
          <w:b/>
          <w:szCs w:val="22"/>
        </w:rPr>
      </w:pPr>
      <w:r w:rsidRPr="00E23246">
        <w:rPr>
          <w:szCs w:val="22"/>
        </w:rPr>
        <w:br w:type="page"/>
      </w: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rPr>
          <w:b/>
          <w:szCs w:val="22"/>
        </w:rPr>
      </w:pPr>
      <w:r w:rsidRPr="00E23246">
        <w:rPr>
          <w:b/>
          <w:szCs w:val="22"/>
        </w:rPr>
        <w:lastRenderedPageBreak/>
        <w:t>MINIMALI INFORMACIJA ANT MAŽŲ VIDINIŲ PAKUOČIŲ</w:t>
      </w: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rPr>
          <w:b/>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rPr>
          <w:szCs w:val="22"/>
        </w:rPr>
      </w:pPr>
      <w:r w:rsidRPr="00E23246">
        <w:rPr>
          <w:b/>
          <w:szCs w:val="22"/>
        </w:rPr>
        <w:t>ATSKIRAS ALIUMININĖS FOLIJOS PAKETĖLIS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1.</w:t>
      </w:r>
      <w:r w:rsidRPr="00E23246">
        <w:rPr>
          <w:b/>
          <w:szCs w:val="22"/>
        </w:rPr>
        <w:tab/>
        <w:t>VAISTINIO PREPARATO PAVADINIMAS IR VARTOJIMO BŪDAS (-AI)</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spacing w:line="240" w:lineRule="auto"/>
        <w:rPr>
          <w:szCs w:val="22"/>
        </w:rPr>
      </w:pPr>
      <w:proofErr w:type="spellStart"/>
      <w:r w:rsidRPr="00E23246">
        <w:rPr>
          <w:szCs w:val="22"/>
        </w:rPr>
        <w:t>Mizoprostolis</w:t>
      </w:r>
      <w:proofErr w:type="spellEnd"/>
    </w:p>
    <w:p w:rsidR="00A028B6" w:rsidRPr="00E23246" w:rsidRDefault="00A028B6" w:rsidP="00A028B6">
      <w:pPr>
        <w:spacing w:line="240" w:lineRule="auto"/>
        <w:rPr>
          <w:szCs w:val="22"/>
        </w:rPr>
      </w:pPr>
      <w:r w:rsidRPr="00E23246">
        <w:rPr>
          <w:szCs w:val="22"/>
        </w:rPr>
        <w:t>Vartoti į makštį</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2.</w:t>
      </w:r>
      <w:r w:rsidRPr="00E23246">
        <w:rPr>
          <w:b/>
          <w:szCs w:val="22"/>
        </w:rPr>
        <w:tab/>
        <w:t>VARTOJIMO METODAS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Turi įkišti sveikatos priežiūros specialistas.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3.</w:t>
      </w:r>
      <w:r w:rsidRPr="00E23246">
        <w:rPr>
          <w:b/>
          <w:szCs w:val="22"/>
        </w:rPr>
        <w:tab/>
        <w:t>TINKAMUMO LAIKAS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47569C">
        <w:rPr>
          <w:szCs w:val="22"/>
          <w:highlight w:val="lightGray"/>
        </w:rPr>
        <w:t>EXP</w:t>
      </w:r>
      <w:r w:rsidRPr="00E23246">
        <w:rPr>
          <w:szCs w:val="22"/>
        </w:rPr>
        <w:t xml:space="preserve"> {MM-YYYY)</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4.</w:t>
      </w:r>
      <w:r w:rsidRPr="00E23246">
        <w:rPr>
          <w:b/>
          <w:szCs w:val="22"/>
        </w:rPr>
        <w:tab/>
        <w:t xml:space="preserve">SERIJOS NUMERIS </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47569C">
        <w:rPr>
          <w:szCs w:val="22"/>
          <w:highlight w:val="lightGray"/>
        </w:rPr>
        <w:t>Lot</w:t>
      </w:r>
      <w:proofErr w:type="spellEnd"/>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5.</w:t>
      </w:r>
      <w:r w:rsidRPr="00E23246">
        <w:rPr>
          <w:b/>
          <w:szCs w:val="22"/>
        </w:rPr>
        <w:tab/>
        <w:t>KIEKIS (MASĖ, TŪRIS ARBA VIENETAI)</w:t>
      </w:r>
    </w:p>
    <w:p w:rsidR="00A028B6" w:rsidRPr="00E23246" w:rsidRDefault="00A028B6" w:rsidP="00A028B6">
      <w:pPr>
        <w:spacing w:line="240" w:lineRule="auto"/>
        <w:rPr>
          <w:szCs w:val="22"/>
        </w:rPr>
      </w:pPr>
    </w:p>
    <w:p w:rsidR="00A028B6" w:rsidRPr="00063279" w:rsidRDefault="00A028B6" w:rsidP="00A028B6">
      <w:pPr>
        <w:tabs>
          <w:tab w:val="clear" w:pos="567"/>
        </w:tabs>
        <w:spacing w:line="240" w:lineRule="auto"/>
        <w:rPr>
          <w:szCs w:val="22"/>
          <w:highlight w:val="lightGray"/>
        </w:rPr>
      </w:pPr>
      <w:r w:rsidRPr="00063279">
        <w:rPr>
          <w:szCs w:val="22"/>
          <w:highlight w:val="lightGray"/>
        </w:rPr>
        <w:t xml:space="preserve">Vienoje vartojimo į makštį sistemoje yra 200 </w:t>
      </w:r>
      <w:proofErr w:type="spellStart"/>
      <w:r w:rsidRPr="00063279">
        <w:rPr>
          <w:szCs w:val="22"/>
          <w:highlight w:val="lightGray"/>
        </w:rPr>
        <w:t>mikrogramų</w:t>
      </w:r>
      <w:proofErr w:type="spellEnd"/>
      <w:r w:rsidRPr="00063279">
        <w:rPr>
          <w:szCs w:val="22"/>
          <w:highlight w:val="lightGray"/>
        </w:rPr>
        <w:t xml:space="preserve"> </w:t>
      </w:r>
      <w:proofErr w:type="spellStart"/>
      <w:r w:rsidRPr="00063279">
        <w:rPr>
          <w:szCs w:val="22"/>
          <w:highlight w:val="lightGray"/>
        </w:rPr>
        <w:t>mizoprostolio</w:t>
      </w:r>
      <w:proofErr w:type="spellEnd"/>
      <w:r w:rsidRPr="00063279">
        <w:rPr>
          <w:szCs w:val="22"/>
          <w:highlight w:val="lightGray"/>
        </w:rPr>
        <w:t>.</w:t>
      </w:r>
    </w:p>
    <w:p w:rsidR="00A028B6" w:rsidRPr="00E23246" w:rsidRDefault="00A028B6" w:rsidP="00A028B6">
      <w:pPr>
        <w:tabs>
          <w:tab w:val="clear" w:pos="567"/>
        </w:tabs>
        <w:spacing w:line="240" w:lineRule="auto"/>
        <w:ind w:right="113"/>
        <w:rPr>
          <w:szCs w:val="22"/>
        </w:rPr>
      </w:pPr>
      <w:proofErr w:type="spellStart"/>
      <w:r w:rsidRPr="00E23246">
        <w:rPr>
          <w:szCs w:val="22"/>
        </w:rPr>
        <w:t>Mizoprostolis</w:t>
      </w:r>
      <w:proofErr w:type="spellEnd"/>
      <w:r w:rsidRPr="00E23246">
        <w:rPr>
          <w:szCs w:val="22"/>
        </w:rPr>
        <w:t xml:space="preserve"> atpalaiduojamas 24 val. vidutiniškai 7 </w:t>
      </w:r>
      <w:proofErr w:type="spellStart"/>
      <w:r w:rsidRPr="00E23246">
        <w:rPr>
          <w:szCs w:val="22"/>
        </w:rPr>
        <w:t>mikrogramų</w:t>
      </w:r>
      <w:proofErr w:type="spellEnd"/>
      <w:r w:rsidRPr="00E23246">
        <w:rPr>
          <w:szCs w:val="22"/>
        </w:rPr>
        <w:t>/val. greičiu.</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
    <w:p w:rsidR="00A028B6" w:rsidRPr="00E23246" w:rsidRDefault="00A028B6" w:rsidP="00A028B6">
      <w:pPr>
        <w:pBdr>
          <w:top w:val="single" w:sz="4" w:space="1" w:color="auto"/>
          <w:left w:val="single" w:sz="4" w:space="4" w:color="auto"/>
          <w:bottom w:val="single" w:sz="4" w:space="1" w:color="auto"/>
          <w:right w:val="single" w:sz="4" w:space="4" w:color="auto"/>
        </w:pBdr>
        <w:spacing w:line="240" w:lineRule="auto"/>
        <w:outlineLvl w:val="0"/>
        <w:rPr>
          <w:b/>
          <w:szCs w:val="22"/>
        </w:rPr>
      </w:pPr>
      <w:r w:rsidRPr="00E23246">
        <w:rPr>
          <w:b/>
          <w:szCs w:val="22"/>
        </w:rPr>
        <w:t>6.</w:t>
      </w:r>
      <w:r w:rsidRPr="00E23246">
        <w:rPr>
          <w:b/>
          <w:szCs w:val="22"/>
        </w:rPr>
        <w:tab/>
        <w:t>KITA</w:t>
      </w:r>
    </w:p>
    <w:p w:rsidR="00A028B6" w:rsidRPr="00E23246" w:rsidRDefault="00A028B6" w:rsidP="00A028B6">
      <w:pPr>
        <w:spacing w:line="240" w:lineRule="auto"/>
        <w:rPr>
          <w:szCs w:val="22"/>
        </w:rPr>
      </w:pPr>
    </w:p>
    <w:p w:rsidR="00A028B6" w:rsidRPr="00E23246" w:rsidRDefault="00A028B6" w:rsidP="00A028B6">
      <w:pPr>
        <w:tabs>
          <w:tab w:val="left" w:pos="-1440"/>
          <w:tab w:val="left" w:pos="-720"/>
        </w:tabs>
        <w:spacing w:line="240" w:lineRule="auto"/>
        <w:rPr>
          <w:bCs/>
          <w:szCs w:val="22"/>
        </w:rPr>
      </w:pPr>
      <w:r w:rsidRPr="00E23246">
        <w:rPr>
          <w:szCs w:val="22"/>
        </w:rPr>
        <w:br w:type="page"/>
      </w: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spacing w:line="240" w:lineRule="auto"/>
        <w:jc w:val="center"/>
        <w:outlineLvl w:val="0"/>
        <w:rPr>
          <w:b/>
          <w:szCs w:val="22"/>
        </w:rPr>
      </w:pPr>
      <w:r w:rsidRPr="00E23246">
        <w:rPr>
          <w:b/>
          <w:szCs w:val="22"/>
        </w:rPr>
        <w:t>B. PAKUOTĖS LAPELIS</w:t>
      </w:r>
    </w:p>
    <w:p w:rsidR="00A028B6" w:rsidRPr="00E23246" w:rsidRDefault="00A028B6" w:rsidP="00A028B6">
      <w:pPr>
        <w:pStyle w:val="Antrat2"/>
        <w:spacing w:before="0" w:after="0" w:line="240" w:lineRule="auto"/>
        <w:jc w:val="center"/>
        <w:rPr>
          <w:rFonts w:ascii="Times New Roman" w:hAnsi="Times New Roman"/>
          <w:bCs w:val="0"/>
          <w:i w:val="0"/>
          <w:iCs w:val="0"/>
          <w:sz w:val="22"/>
          <w:szCs w:val="22"/>
          <w:lang w:val="lt-LT"/>
        </w:rPr>
      </w:pPr>
      <w:r w:rsidRPr="00E23246">
        <w:rPr>
          <w:rFonts w:ascii="Times New Roman" w:hAnsi="Times New Roman"/>
          <w:i w:val="0"/>
          <w:sz w:val="22"/>
          <w:szCs w:val="22"/>
          <w:lang w:val="lt-LT"/>
        </w:rPr>
        <w:br w:type="page"/>
      </w:r>
      <w:r w:rsidRPr="00E23246">
        <w:rPr>
          <w:rFonts w:ascii="Times New Roman" w:hAnsi="Times New Roman"/>
          <w:i w:val="0"/>
          <w:sz w:val="22"/>
          <w:szCs w:val="22"/>
          <w:lang w:val="lt-LT"/>
        </w:rPr>
        <w:lastRenderedPageBreak/>
        <w:t>Pakuotės lapelis:</w:t>
      </w:r>
      <w:r w:rsidRPr="00E23246">
        <w:rPr>
          <w:rFonts w:ascii="Times New Roman" w:hAnsi="Times New Roman"/>
          <w:bCs w:val="0"/>
          <w:i w:val="0"/>
          <w:iCs w:val="0"/>
          <w:sz w:val="22"/>
          <w:szCs w:val="22"/>
          <w:lang w:val="lt-LT"/>
        </w:rPr>
        <w:t xml:space="preserve"> </w:t>
      </w:r>
      <w:r w:rsidRPr="00E23246">
        <w:rPr>
          <w:rFonts w:ascii="Times New Roman" w:hAnsi="Times New Roman"/>
          <w:i w:val="0"/>
          <w:sz w:val="22"/>
          <w:szCs w:val="22"/>
          <w:lang w:val="lt-LT"/>
        </w:rPr>
        <w:t>informacija vartotojui</w:t>
      </w:r>
    </w:p>
    <w:p w:rsidR="00A028B6" w:rsidRPr="00E23246" w:rsidRDefault="00A028B6" w:rsidP="00A028B6">
      <w:pPr>
        <w:tabs>
          <w:tab w:val="left" w:pos="-1440"/>
          <w:tab w:val="left" w:pos="-720"/>
        </w:tabs>
        <w:spacing w:line="240" w:lineRule="auto"/>
        <w:jc w:val="center"/>
        <w:rPr>
          <w:bCs/>
          <w:szCs w:val="22"/>
        </w:rPr>
      </w:pPr>
    </w:p>
    <w:p w:rsidR="00A028B6" w:rsidRPr="00E23246" w:rsidRDefault="00A028B6" w:rsidP="00A028B6">
      <w:pPr>
        <w:tabs>
          <w:tab w:val="clear" w:pos="567"/>
        </w:tabs>
        <w:spacing w:line="240" w:lineRule="auto"/>
        <w:jc w:val="center"/>
        <w:outlineLvl w:val="0"/>
        <w:rPr>
          <w:b/>
          <w:szCs w:val="22"/>
        </w:rPr>
      </w:pPr>
      <w:proofErr w:type="spellStart"/>
      <w:r w:rsidRPr="00E23246">
        <w:rPr>
          <w:b/>
          <w:szCs w:val="22"/>
        </w:rPr>
        <w:t>Misodel</w:t>
      </w:r>
      <w:proofErr w:type="spellEnd"/>
      <w:r w:rsidRPr="00E23246">
        <w:rPr>
          <w:b/>
          <w:szCs w:val="22"/>
        </w:rPr>
        <w:t xml:space="preserve"> 200 </w:t>
      </w:r>
      <w:proofErr w:type="spellStart"/>
      <w:r w:rsidRPr="00E23246">
        <w:rPr>
          <w:b/>
          <w:szCs w:val="22"/>
        </w:rPr>
        <w:t>mikrogramų</w:t>
      </w:r>
      <w:proofErr w:type="spellEnd"/>
      <w:r w:rsidRPr="00E23246">
        <w:rPr>
          <w:b/>
          <w:szCs w:val="22"/>
        </w:rPr>
        <w:t xml:space="preserve"> vartojimo į makštį sistema</w:t>
      </w:r>
    </w:p>
    <w:p w:rsidR="00A028B6" w:rsidRPr="00E23246" w:rsidRDefault="00A028B6" w:rsidP="00A028B6">
      <w:pPr>
        <w:numPr>
          <w:ilvl w:val="12"/>
          <w:numId w:val="0"/>
        </w:numPr>
        <w:tabs>
          <w:tab w:val="clear" w:pos="567"/>
        </w:tabs>
        <w:spacing w:line="240" w:lineRule="auto"/>
        <w:jc w:val="center"/>
        <w:rPr>
          <w:szCs w:val="22"/>
        </w:rPr>
      </w:pPr>
    </w:p>
    <w:p w:rsidR="00A028B6" w:rsidRPr="00E23246" w:rsidRDefault="00A028B6" w:rsidP="00A028B6">
      <w:pPr>
        <w:numPr>
          <w:ilvl w:val="12"/>
          <w:numId w:val="0"/>
        </w:numPr>
        <w:tabs>
          <w:tab w:val="clear" w:pos="567"/>
        </w:tabs>
        <w:spacing w:line="240" w:lineRule="auto"/>
        <w:jc w:val="center"/>
        <w:rPr>
          <w:szCs w:val="22"/>
        </w:rPr>
      </w:pPr>
      <w:proofErr w:type="spellStart"/>
      <w:r w:rsidRPr="00E23246">
        <w:rPr>
          <w:szCs w:val="22"/>
        </w:rPr>
        <w:t>Mizoprostolis</w:t>
      </w:r>
      <w:proofErr w:type="spellEnd"/>
    </w:p>
    <w:p w:rsidR="00A028B6" w:rsidRPr="00E23246" w:rsidRDefault="00A028B6" w:rsidP="00A028B6">
      <w:pPr>
        <w:tabs>
          <w:tab w:val="left" w:pos="-1440"/>
          <w:tab w:val="left" w:pos="-720"/>
        </w:tabs>
        <w:spacing w:line="240" w:lineRule="auto"/>
        <w:rPr>
          <w:bCs/>
          <w:szCs w:val="22"/>
        </w:rPr>
      </w:pPr>
    </w:p>
    <w:p w:rsidR="00A028B6" w:rsidRPr="00E23246" w:rsidRDefault="00A028B6" w:rsidP="00A028B6">
      <w:pPr>
        <w:tabs>
          <w:tab w:val="clear" w:pos="567"/>
        </w:tabs>
        <w:suppressAutoHyphens/>
        <w:spacing w:line="240" w:lineRule="auto"/>
        <w:rPr>
          <w:szCs w:val="22"/>
        </w:rPr>
      </w:pPr>
      <w:r w:rsidRPr="00E23246">
        <w:rPr>
          <w:b/>
          <w:szCs w:val="22"/>
        </w:rPr>
        <w:t>Atidžiai perskaitykite visą šį lapelį, prieš pradėdami vartoti vaistą, nes jame pateikiama Jums svarbi informacija.</w:t>
      </w:r>
    </w:p>
    <w:p w:rsidR="00A028B6" w:rsidRPr="00E23246" w:rsidRDefault="00A028B6" w:rsidP="00A028B6">
      <w:pPr>
        <w:numPr>
          <w:ilvl w:val="0"/>
          <w:numId w:val="1"/>
        </w:numPr>
        <w:tabs>
          <w:tab w:val="clear" w:pos="567"/>
        </w:tabs>
        <w:spacing w:line="240" w:lineRule="auto"/>
        <w:ind w:left="567" w:right="-2" w:hanging="567"/>
        <w:rPr>
          <w:szCs w:val="22"/>
        </w:rPr>
      </w:pPr>
      <w:r w:rsidRPr="00E23246">
        <w:rPr>
          <w:szCs w:val="22"/>
        </w:rPr>
        <w:t xml:space="preserve">Neišmeskite šio lapelio, nes vėl gali prireikti jį perskaityti. </w:t>
      </w:r>
    </w:p>
    <w:p w:rsidR="00A028B6" w:rsidRPr="00E23246" w:rsidRDefault="00A028B6" w:rsidP="00A028B6">
      <w:pPr>
        <w:numPr>
          <w:ilvl w:val="0"/>
          <w:numId w:val="1"/>
        </w:numPr>
        <w:tabs>
          <w:tab w:val="clear" w:pos="567"/>
        </w:tabs>
        <w:spacing w:line="240" w:lineRule="auto"/>
        <w:ind w:left="567" w:right="-2" w:hanging="567"/>
        <w:rPr>
          <w:szCs w:val="22"/>
        </w:rPr>
      </w:pPr>
      <w:r w:rsidRPr="00E23246">
        <w:rPr>
          <w:szCs w:val="22"/>
        </w:rPr>
        <w:t>Jeigu kiltų daugiau klausimų, kreipkitės į gydytoją arba slaugytoją.</w:t>
      </w:r>
    </w:p>
    <w:p w:rsidR="00A028B6" w:rsidRPr="00E23246" w:rsidRDefault="00A028B6" w:rsidP="00A028B6">
      <w:pPr>
        <w:numPr>
          <w:ilvl w:val="0"/>
          <w:numId w:val="1"/>
        </w:numPr>
        <w:spacing w:line="240" w:lineRule="auto"/>
        <w:ind w:left="567" w:hanging="567"/>
        <w:rPr>
          <w:szCs w:val="22"/>
        </w:rPr>
      </w:pPr>
      <w:r w:rsidRPr="00E23246">
        <w:rPr>
          <w:szCs w:val="22"/>
        </w:rPr>
        <w:t>Jeigu pasireiškė šalutinis poveikis (net jeigu jis šiame lapelyje nenurodytas), kreipkitės į gydytoją arba slaugytoją. Žr. 4 skyrių.</w:t>
      </w:r>
    </w:p>
    <w:p w:rsidR="00A028B6" w:rsidRPr="00E23246" w:rsidRDefault="00A028B6" w:rsidP="00A028B6">
      <w:p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b/>
          <w:bCs/>
          <w:szCs w:val="22"/>
        </w:rPr>
      </w:pPr>
      <w:r w:rsidRPr="00E23246">
        <w:rPr>
          <w:b/>
          <w:bCs/>
          <w:szCs w:val="22"/>
        </w:rPr>
        <w:t>Apie ką rašoma šiame lapelyje?</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1.</w:t>
      </w:r>
      <w:r w:rsidRPr="00E23246">
        <w:rPr>
          <w:szCs w:val="22"/>
        </w:rPr>
        <w:tab/>
        <w:t xml:space="preserve">Kas yra </w:t>
      </w:r>
      <w:proofErr w:type="spellStart"/>
      <w:r w:rsidRPr="00E23246">
        <w:rPr>
          <w:szCs w:val="22"/>
        </w:rPr>
        <w:t>Misodel</w:t>
      </w:r>
      <w:proofErr w:type="spellEnd"/>
      <w:r w:rsidRPr="00E23246">
        <w:rPr>
          <w:szCs w:val="22"/>
        </w:rPr>
        <w:t xml:space="preserve"> ir kam jis vartojamas </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2.</w:t>
      </w:r>
      <w:r w:rsidRPr="00E23246">
        <w:rPr>
          <w:szCs w:val="22"/>
        </w:rPr>
        <w:tab/>
        <w:t xml:space="preserve">Kas žinotina prieš vartojant </w:t>
      </w:r>
      <w:proofErr w:type="spellStart"/>
      <w:r w:rsidRPr="00E23246">
        <w:rPr>
          <w:szCs w:val="22"/>
        </w:rPr>
        <w:t>Misodel</w:t>
      </w:r>
      <w:proofErr w:type="spellEnd"/>
      <w:r w:rsidRPr="00E23246">
        <w:rPr>
          <w:szCs w:val="22"/>
        </w:rPr>
        <w:t xml:space="preserve"> </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3.</w:t>
      </w:r>
      <w:r w:rsidRPr="00E23246">
        <w:rPr>
          <w:szCs w:val="22"/>
        </w:rPr>
        <w:tab/>
        <w:t xml:space="preserve">Kaip vartoti </w:t>
      </w:r>
      <w:proofErr w:type="spellStart"/>
      <w:r w:rsidRPr="00E23246">
        <w:rPr>
          <w:szCs w:val="22"/>
        </w:rPr>
        <w:t>Misodel</w:t>
      </w:r>
      <w:proofErr w:type="spellEnd"/>
      <w:r w:rsidRPr="00E23246">
        <w:rPr>
          <w:szCs w:val="22"/>
        </w:rPr>
        <w:t xml:space="preserve"> </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4.</w:t>
      </w:r>
      <w:r w:rsidRPr="00E23246">
        <w:rPr>
          <w:szCs w:val="22"/>
        </w:rPr>
        <w:tab/>
        <w:t xml:space="preserve">Galimas šalutinis poveikis </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5.</w:t>
      </w:r>
      <w:r w:rsidRPr="00E23246">
        <w:rPr>
          <w:szCs w:val="22"/>
        </w:rPr>
        <w:tab/>
        <w:t xml:space="preserve">Kaip laikyti </w:t>
      </w:r>
      <w:proofErr w:type="spellStart"/>
      <w:r w:rsidRPr="00E23246">
        <w:rPr>
          <w:szCs w:val="22"/>
        </w:rPr>
        <w:t>Misodel</w:t>
      </w:r>
      <w:proofErr w:type="spellEnd"/>
      <w:r w:rsidRPr="00E23246">
        <w:rPr>
          <w:szCs w:val="22"/>
        </w:rPr>
        <w:t xml:space="preserve"> </w:t>
      </w:r>
    </w:p>
    <w:p w:rsidR="00A028B6" w:rsidRPr="00E23246" w:rsidRDefault="00A028B6" w:rsidP="00A028B6">
      <w:pPr>
        <w:numPr>
          <w:ilvl w:val="12"/>
          <w:numId w:val="0"/>
        </w:numPr>
        <w:tabs>
          <w:tab w:val="clear" w:pos="567"/>
        </w:tabs>
        <w:spacing w:line="240" w:lineRule="auto"/>
        <w:ind w:left="284" w:right="-2"/>
        <w:rPr>
          <w:szCs w:val="22"/>
        </w:rPr>
      </w:pPr>
      <w:r w:rsidRPr="00E23246">
        <w:rPr>
          <w:szCs w:val="22"/>
        </w:rPr>
        <w:t>6.</w:t>
      </w:r>
      <w:r w:rsidRPr="00E23246">
        <w:rPr>
          <w:szCs w:val="22"/>
        </w:rPr>
        <w:tab/>
        <w:t>Pakuotės turinys ir kita informacija</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1.</w:t>
      </w:r>
      <w:r w:rsidRPr="00E23246">
        <w:rPr>
          <w:rFonts w:ascii="Times New Roman" w:hAnsi="Times New Roman"/>
          <w:sz w:val="22"/>
          <w:szCs w:val="22"/>
          <w:lang w:val="lt-LT"/>
        </w:rPr>
        <w:tab/>
        <w:t xml:space="preserve">Kas yra </w:t>
      </w:r>
      <w:proofErr w:type="spellStart"/>
      <w:r w:rsidRPr="00E23246">
        <w:rPr>
          <w:rFonts w:ascii="Times New Roman" w:hAnsi="Times New Roman"/>
          <w:sz w:val="22"/>
          <w:szCs w:val="22"/>
          <w:lang w:val="lt-LT"/>
        </w:rPr>
        <w:t>Misodel</w:t>
      </w:r>
      <w:proofErr w:type="spellEnd"/>
      <w:r w:rsidRPr="00E23246">
        <w:rPr>
          <w:rFonts w:ascii="Times New Roman" w:hAnsi="Times New Roman"/>
          <w:sz w:val="22"/>
          <w:szCs w:val="22"/>
          <w:lang w:val="lt-LT"/>
        </w:rPr>
        <w:t xml:space="preserve"> ir kam jis vartojamas</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Misodel</w:t>
      </w:r>
      <w:proofErr w:type="spellEnd"/>
      <w:r w:rsidRPr="00E23246">
        <w:rPr>
          <w:szCs w:val="22"/>
        </w:rPr>
        <w:t xml:space="preserve"> sudėtyje yra veikliosios medžiagos – </w:t>
      </w:r>
      <w:proofErr w:type="spellStart"/>
      <w:r w:rsidRPr="00E23246">
        <w:rPr>
          <w:szCs w:val="22"/>
        </w:rPr>
        <w:t>mizoprostolio</w:t>
      </w:r>
      <w:proofErr w:type="spellEnd"/>
      <w:r w:rsidRPr="00E23246">
        <w:rPr>
          <w:szCs w:val="22"/>
        </w:rPr>
        <w:t>.</w:t>
      </w: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Misodel</w:t>
      </w:r>
      <w:proofErr w:type="spellEnd"/>
      <w:r w:rsidRPr="00E23246">
        <w:rPr>
          <w:szCs w:val="22"/>
        </w:rPr>
        <w:t xml:space="preserve"> vartojamas norint paskatinti prasidėti gimdymą praėjus ne mažiau kaip 36 nėštumo savaitėms.</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Mizoprostolis</w:t>
      </w:r>
      <w:proofErr w:type="spellEnd"/>
      <w:r w:rsidRPr="00E23246">
        <w:rPr>
          <w:szCs w:val="22"/>
        </w:rPr>
        <w:t xml:space="preserve"> priklauso vaistų, vadinamų prostaglandinais, grupei. Prostaglandinų poveikis gimdymui yra dvejopas: jie suminkština gimdos kaklelį, kad kūdikis galėtų lengviau gimti per makštį, ir paskatina gimdą pradėti susitraukinėti (jos susitraukimai padeda išstumti vaisių). Poreikis skatinti prasidėti gimdymą gali atsirasti dėl kelių priežasčių. Jeigu norėtumėte sužinoti daugiau, klauskite gydytojo.</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p>
    <w:p w:rsidR="00A028B6" w:rsidRPr="008C011C" w:rsidRDefault="00A028B6" w:rsidP="00A028B6">
      <w:pPr>
        <w:pStyle w:val="Antrat3"/>
        <w:spacing w:before="0" w:after="0" w:line="240" w:lineRule="auto"/>
        <w:rPr>
          <w:rFonts w:ascii="Times New Roman" w:hAnsi="Times New Roman"/>
          <w:sz w:val="22"/>
          <w:lang w:val="lt-LT"/>
        </w:rPr>
      </w:pPr>
      <w:r w:rsidRPr="008C011C">
        <w:rPr>
          <w:rFonts w:ascii="Times New Roman" w:hAnsi="Times New Roman"/>
          <w:sz w:val="22"/>
          <w:lang w:val="lt-LT"/>
        </w:rPr>
        <w:t>2.</w:t>
      </w:r>
      <w:r w:rsidRPr="008C011C">
        <w:rPr>
          <w:rFonts w:ascii="Times New Roman" w:hAnsi="Times New Roman"/>
          <w:sz w:val="22"/>
          <w:lang w:val="lt-LT"/>
        </w:rPr>
        <w:tab/>
        <w:t xml:space="preserve">Kas žinotina prieš vartojant </w:t>
      </w:r>
      <w:proofErr w:type="spellStart"/>
      <w:r w:rsidRPr="008C011C">
        <w:rPr>
          <w:rFonts w:ascii="Times New Roman" w:hAnsi="Times New Roman"/>
          <w:sz w:val="22"/>
          <w:lang w:val="lt-LT"/>
        </w:rPr>
        <w:t>Misodel</w:t>
      </w:r>
      <w:proofErr w:type="spellEnd"/>
      <w:r w:rsidRPr="008C011C">
        <w:rPr>
          <w:rFonts w:ascii="Times New Roman" w:hAnsi="Times New Roman"/>
          <w:sz w:val="22"/>
          <w:lang w:val="lt-LT"/>
        </w:rPr>
        <w:t xml:space="preserve"> </w:t>
      </w:r>
    </w:p>
    <w:p w:rsidR="00A028B6" w:rsidRPr="00E23246" w:rsidRDefault="00A028B6" w:rsidP="00A028B6">
      <w:pPr>
        <w:numPr>
          <w:ilvl w:val="12"/>
          <w:numId w:val="0"/>
        </w:numPr>
        <w:tabs>
          <w:tab w:val="clear" w:pos="567"/>
        </w:tabs>
        <w:spacing w:line="240" w:lineRule="auto"/>
        <w:ind w:right="-2"/>
        <w:rPr>
          <w:szCs w:val="22"/>
        </w:rPr>
      </w:pPr>
    </w:p>
    <w:p w:rsidR="00A028B6" w:rsidRPr="008C011C" w:rsidRDefault="00A028B6" w:rsidP="00A028B6">
      <w:pPr>
        <w:pStyle w:val="Antrat4"/>
        <w:spacing w:line="240" w:lineRule="auto"/>
        <w:rPr>
          <w:rFonts w:ascii="Times New Roman" w:hAnsi="Times New Roman"/>
          <w:sz w:val="22"/>
          <w:lang w:val="lt-LT"/>
        </w:rPr>
      </w:pPr>
      <w:proofErr w:type="spellStart"/>
      <w:r w:rsidRPr="008C011C">
        <w:rPr>
          <w:rFonts w:ascii="Times New Roman" w:hAnsi="Times New Roman"/>
          <w:sz w:val="22"/>
          <w:lang w:val="lt-LT"/>
        </w:rPr>
        <w:t>Misodel</w:t>
      </w:r>
      <w:proofErr w:type="spellEnd"/>
      <w:r w:rsidRPr="008C011C">
        <w:rPr>
          <w:rFonts w:ascii="Times New Roman" w:hAnsi="Times New Roman"/>
          <w:sz w:val="22"/>
          <w:lang w:val="lt-LT"/>
        </w:rPr>
        <w:t xml:space="preserve"> vartoti negalima:</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jeigu yra alergija </w:t>
      </w:r>
      <w:proofErr w:type="spellStart"/>
      <w:r w:rsidRPr="00E23246">
        <w:rPr>
          <w:szCs w:val="22"/>
        </w:rPr>
        <w:t>mizoprostoliui</w:t>
      </w:r>
      <w:proofErr w:type="spellEnd"/>
      <w:r w:rsidRPr="00E23246">
        <w:rPr>
          <w:szCs w:val="22"/>
        </w:rPr>
        <w:t xml:space="preserve"> arba bet kuriai pagalbinei šio vaisto medžiagai (jos išvardytos 6 skyriuje);</w:t>
      </w:r>
    </w:p>
    <w:p w:rsidR="00A028B6" w:rsidRPr="00E23246" w:rsidRDefault="00A028B6" w:rsidP="00A028B6">
      <w:pPr>
        <w:numPr>
          <w:ilvl w:val="0"/>
          <w:numId w:val="1"/>
        </w:numPr>
        <w:tabs>
          <w:tab w:val="clear" w:pos="567"/>
        </w:tabs>
        <w:spacing w:line="240" w:lineRule="auto"/>
        <w:rPr>
          <w:szCs w:val="22"/>
        </w:rPr>
      </w:pPr>
      <w:r w:rsidRPr="00E23246">
        <w:rPr>
          <w:szCs w:val="22"/>
        </w:rPr>
        <w:t>jeigu jau prasidėjo gimdymas;</w:t>
      </w:r>
    </w:p>
    <w:p w:rsidR="00A028B6" w:rsidRPr="00E23246" w:rsidRDefault="00A028B6" w:rsidP="00A028B6">
      <w:pPr>
        <w:numPr>
          <w:ilvl w:val="0"/>
          <w:numId w:val="1"/>
        </w:numPr>
        <w:tabs>
          <w:tab w:val="clear" w:pos="567"/>
        </w:tabs>
        <w:spacing w:line="240" w:lineRule="auto"/>
        <w:rPr>
          <w:szCs w:val="22"/>
        </w:rPr>
      </w:pPr>
      <w:r w:rsidRPr="00E23246">
        <w:rPr>
          <w:szCs w:val="22"/>
        </w:rPr>
        <w:t>jeigu Jūsų būsimas kūdikis nėra sveikas ir (arba) pablogėjusi jo būklė;</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kartu su gimdymą lengvinančiais ir (arba) jį prasidėti skatinančiais vaistais (žr. žemiau „Įspėjimai ir atsargumo priemonės“ bei „Kiti vaistai ir </w:t>
      </w:r>
      <w:proofErr w:type="spellStart"/>
      <w:r w:rsidRPr="00E23246">
        <w:rPr>
          <w:szCs w:val="22"/>
        </w:rPr>
        <w:t>Misodel</w:t>
      </w:r>
      <w:proofErr w:type="spellEnd"/>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jeigu operuota Jūsų gimda arba jos kaklelis (įskaitant cezario pjūvį ankstesnio gimdymo metu); </w:t>
      </w:r>
    </w:p>
    <w:p w:rsidR="00A028B6" w:rsidRPr="00E23246" w:rsidRDefault="00A028B6" w:rsidP="00A028B6">
      <w:pPr>
        <w:numPr>
          <w:ilvl w:val="0"/>
          <w:numId w:val="1"/>
        </w:numPr>
        <w:tabs>
          <w:tab w:val="clear" w:pos="567"/>
        </w:tabs>
        <w:spacing w:line="240" w:lineRule="auto"/>
        <w:rPr>
          <w:szCs w:val="22"/>
        </w:rPr>
      </w:pPr>
      <w:r w:rsidRPr="00E23246">
        <w:rPr>
          <w:szCs w:val="22"/>
        </w:rPr>
        <w:t>jeigu Jūsų gimda nenormalios formos (dviragė);</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jeigu placenta dengia gimdymo takus (placentos </w:t>
      </w:r>
      <w:proofErr w:type="spellStart"/>
      <w:r w:rsidRPr="00E23246">
        <w:rPr>
          <w:szCs w:val="22"/>
        </w:rPr>
        <w:t>pirmeiga</w:t>
      </w:r>
      <w:proofErr w:type="spellEnd"/>
      <w:r w:rsidRPr="00E23246">
        <w:rPr>
          <w:szCs w:val="22"/>
        </w:rPr>
        <w:t>) arba jei po 24 nėštumo savaičių kraujavo iš makšties dėl neaiškios priežasties;</w:t>
      </w:r>
    </w:p>
    <w:p w:rsidR="00A028B6" w:rsidRPr="00E23246" w:rsidRDefault="00A028B6" w:rsidP="00A028B6">
      <w:pPr>
        <w:numPr>
          <w:ilvl w:val="0"/>
          <w:numId w:val="1"/>
        </w:numPr>
        <w:tabs>
          <w:tab w:val="clear" w:pos="567"/>
        </w:tabs>
        <w:spacing w:line="240" w:lineRule="auto"/>
        <w:rPr>
          <w:szCs w:val="22"/>
        </w:rPr>
      </w:pPr>
      <w:r w:rsidRPr="00E23246">
        <w:rPr>
          <w:szCs w:val="22"/>
        </w:rPr>
        <w:t>jeigu vaisiaus padėtis gimdoje netinka natūraliam gimdymui;</w:t>
      </w:r>
    </w:p>
    <w:p w:rsidR="00A028B6" w:rsidRPr="00E23246" w:rsidRDefault="00A028B6" w:rsidP="00A028B6">
      <w:pPr>
        <w:numPr>
          <w:ilvl w:val="0"/>
          <w:numId w:val="1"/>
        </w:numPr>
        <w:tabs>
          <w:tab w:val="clear" w:pos="567"/>
        </w:tabs>
        <w:spacing w:line="240" w:lineRule="auto"/>
        <w:rPr>
          <w:szCs w:val="22"/>
        </w:rPr>
      </w:pPr>
      <w:r w:rsidRPr="00E23246">
        <w:rPr>
          <w:szCs w:val="22"/>
        </w:rPr>
        <w:t>jeigu yra vaisiaus vandenų uždegimo (</w:t>
      </w:r>
      <w:proofErr w:type="spellStart"/>
      <w:r w:rsidRPr="00E23246">
        <w:rPr>
          <w:szCs w:val="22"/>
        </w:rPr>
        <w:t>chorioamnionito</w:t>
      </w:r>
      <w:proofErr w:type="spellEnd"/>
      <w:r w:rsidRPr="00E23246">
        <w:rPr>
          <w:szCs w:val="22"/>
        </w:rPr>
        <w:t>) požymių arba simptomų (išskyrus atvejį, kai jis jau pradėtas gydyti);</w:t>
      </w:r>
    </w:p>
    <w:p w:rsidR="00A028B6" w:rsidRPr="00E23246" w:rsidRDefault="00A028B6" w:rsidP="00A028B6">
      <w:pPr>
        <w:numPr>
          <w:ilvl w:val="0"/>
          <w:numId w:val="1"/>
        </w:numPr>
        <w:tabs>
          <w:tab w:val="clear" w:pos="567"/>
        </w:tabs>
        <w:spacing w:line="240" w:lineRule="auto"/>
        <w:rPr>
          <w:szCs w:val="22"/>
        </w:rPr>
      </w:pPr>
      <w:r w:rsidRPr="00E23246">
        <w:rPr>
          <w:szCs w:val="22"/>
        </w:rPr>
        <w:t>jeigu nėštumo trukmė nesiekia 36 savaičių.</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Įspėjimai ir atsargumo priemonės</w:t>
      </w: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galima vartoti tik prižiūrint atitinkamos kvalifikacijos specialistui</w:t>
      </w:r>
      <w:r>
        <w:rPr>
          <w:szCs w:val="22"/>
        </w:rPr>
        <w:t xml:space="preserve"> ir kur yra lengvai prieinama būtina ligoninės įranga</w:t>
      </w:r>
      <w:r w:rsidRPr="00E23246">
        <w:rPr>
          <w:szCs w:val="22"/>
        </w:rPr>
        <w:t>.</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r w:rsidRPr="00E23246">
        <w:rPr>
          <w:szCs w:val="22"/>
        </w:rPr>
        <w:t xml:space="preserve">Įkišus </w:t>
      </w:r>
      <w:proofErr w:type="spellStart"/>
      <w:r w:rsidRPr="00E23246">
        <w:rPr>
          <w:szCs w:val="22"/>
        </w:rPr>
        <w:t>Misodel</w:t>
      </w:r>
      <w:proofErr w:type="spellEnd"/>
      <w:r w:rsidRPr="00E23246">
        <w:rPr>
          <w:szCs w:val="22"/>
        </w:rPr>
        <w:t>, Jūsų gydytojas arba slaugytojas kruopščiai stebės gimdos aktyvumą, vaisiaus būklę ir gimdos kaklelio pokyčius.</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r w:rsidRPr="00E23246">
        <w:rPr>
          <w:szCs w:val="22"/>
        </w:rPr>
        <w:t xml:space="preserve">Prasidėjus gimdymui gimdoje paliktas </w:t>
      </w:r>
      <w:proofErr w:type="spellStart"/>
      <w:r w:rsidRPr="00E23246">
        <w:rPr>
          <w:szCs w:val="22"/>
        </w:rPr>
        <w:t>Misodel</w:t>
      </w:r>
      <w:proofErr w:type="spellEnd"/>
      <w:r w:rsidRPr="00E23246">
        <w:rPr>
          <w:szCs w:val="22"/>
        </w:rPr>
        <w:t xml:space="preserve"> gali ją stimuliuoti per stipriai (žr. žemiau „Ką daryti pavartojus per didelę </w:t>
      </w:r>
      <w:proofErr w:type="spellStart"/>
      <w:r w:rsidRPr="00E23246">
        <w:rPr>
          <w:szCs w:val="22"/>
        </w:rPr>
        <w:t>Misodel</w:t>
      </w:r>
      <w:proofErr w:type="spellEnd"/>
      <w:r w:rsidRPr="00E23246">
        <w:rPr>
          <w:szCs w:val="22"/>
        </w:rPr>
        <w:t xml:space="preserve"> dozę?“).</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Pr>
          <w:szCs w:val="22"/>
        </w:rPr>
        <w:t>Misodel</w:t>
      </w:r>
      <w:proofErr w:type="spellEnd"/>
      <w:r>
        <w:rPr>
          <w:szCs w:val="22"/>
        </w:rPr>
        <w:t xml:space="preserve"> gali sukelti stiprius ir ilgus </w:t>
      </w:r>
      <w:r w:rsidRPr="00E23246">
        <w:rPr>
          <w:szCs w:val="22"/>
        </w:rPr>
        <w:t xml:space="preserve">gimdos </w:t>
      </w:r>
      <w:proofErr w:type="spellStart"/>
      <w:r w:rsidRPr="00E23246">
        <w:rPr>
          <w:szCs w:val="22"/>
        </w:rPr>
        <w:t>susitraukim</w:t>
      </w:r>
      <w:r>
        <w:rPr>
          <w:szCs w:val="22"/>
        </w:rPr>
        <w:t>us</w:t>
      </w:r>
      <w:proofErr w:type="spellEnd"/>
      <w:r>
        <w:rPr>
          <w:szCs w:val="22"/>
        </w:rPr>
        <w:t xml:space="preserve">. Vartojant </w:t>
      </w:r>
      <w:proofErr w:type="spellStart"/>
      <w:r>
        <w:rPr>
          <w:szCs w:val="22"/>
        </w:rPr>
        <w:t>Misodel</w:t>
      </w:r>
      <w:proofErr w:type="spellEnd"/>
      <w:r>
        <w:rPr>
          <w:szCs w:val="22"/>
        </w:rPr>
        <w:t>,</w:t>
      </w:r>
      <w:r w:rsidRPr="00E23246">
        <w:rPr>
          <w:szCs w:val="22"/>
        </w:rPr>
        <w:t xml:space="preserve"> </w:t>
      </w:r>
      <w:r>
        <w:rPr>
          <w:szCs w:val="22"/>
        </w:rPr>
        <w:t>nėščioji ir negimęs kūdikis bus atidžiai stebimi</w:t>
      </w:r>
      <w:r w:rsidRPr="00E23246">
        <w:rPr>
          <w:szCs w:val="22"/>
        </w:rPr>
        <w:t xml:space="preserve">, </w:t>
      </w:r>
      <w:r>
        <w:rPr>
          <w:szCs w:val="22"/>
        </w:rPr>
        <w:t xml:space="preserve">kad </w:t>
      </w:r>
      <w:proofErr w:type="spellStart"/>
      <w:r w:rsidRPr="00E23246">
        <w:rPr>
          <w:szCs w:val="22"/>
        </w:rPr>
        <w:t>Misodel</w:t>
      </w:r>
      <w:proofErr w:type="spellEnd"/>
      <w:r w:rsidRPr="00E23246">
        <w:rPr>
          <w:szCs w:val="22"/>
        </w:rPr>
        <w:t xml:space="preserve"> </w:t>
      </w:r>
      <w:r>
        <w:rPr>
          <w:szCs w:val="22"/>
        </w:rPr>
        <w:t>būtų laiku</w:t>
      </w:r>
      <w:r w:rsidRPr="00E23246">
        <w:rPr>
          <w:szCs w:val="22"/>
        </w:rPr>
        <w:t xml:space="preserve"> pašalint</w:t>
      </w:r>
      <w:r>
        <w:rPr>
          <w:szCs w:val="22"/>
        </w:rPr>
        <w:t>as</w:t>
      </w:r>
      <w:r w:rsidRPr="00E23246">
        <w:rPr>
          <w:szCs w:val="22"/>
        </w:rPr>
        <w:t xml:space="preserve">. </w:t>
      </w:r>
      <w:r>
        <w:rPr>
          <w:szCs w:val="22"/>
        </w:rPr>
        <w:t>Kartais</w:t>
      </w:r>
      <w:r w:rsidRPr="00E23246">
        <w:rPr>
          <w:szCs w:val="22"/>
        </w:rPr>
        <w:t xml:space="preserve"> gali būti skiriama </w:t>
      </w:r>
      <w:r>
        <w:rPr>
          <w:szCs w:val="22"/>
        </w:rPr>
        <w:t>kitų vaistų (</w:t>
      </w:r>
      <w:r w:rsidRPr="00E23246">
        <w:rPr>
          <w:szCs w:val="22"/>
        </w:rPr>
        <w:t>gimdymo veiklą slopinančių vaistų</w:t>
      </w:r>
      <w:r>
        <w:rPr>
          <w:szCs w:val="22"/>
        </w:rPr>
        <w:t>), kurie dažniausiai</w:t>
      </w:r>
      <w:r w:rsidRPr="00E23246">
        <w:rPr>
          <w:szCs w:val="22"/>
        </w:rPr>
        <w:t xml:space="preserve"> </w:t>
      </w:r>
      <w:r>
        <w:rPr>
          <w:szCs w:val="22"/>
        </w:rPr>
        <w:t xml:space="preserve">gimdos </w:t>
      </w:r>
      <w:proofErr w:type="spellStart"/>
      <w:r>
        <w:rPr>
          <w:szCs w:val="22"/>
        </w:rPr>
        <w:t>susitraukimus</w:t>
      </w:r>
      <w:proofErr w:type="spellEnd"/>
      <w:r w:rsidRPr="00E23246">
        <w:rPr>
          <w:szCs w:val="22"/>
        </w:rPr>
        <w:t xml:space="preserve"> </w:t>
      </w:r>
      <w:proofErr w:type="spellStart"/>
      <w:r w:rsidRPr="00E23246">
        <w:rPr>
          <w:szCs w:val="22"/>
        </w:rPr>
        <w:t>susilpnin</w:t>
      </w:r>
      <w:r>
        <w:rPr>
          <w:szCs w:val="22"/>
        </w:rPr>
        <w:t>a</w:t>
      </w:r>
      <w:proofErr w:type="spellEnd"/>
      <w:r w:rsidRPr="00E23246">
        <w:rPr>
          <w:szCs w:val="22"/>
        </w:rPr>
        <w:t>.</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Misodel</w:t>
      </w:r>
      <w:proofErr w:type="spellEnd"/>
      <w:r w:rsidRPr="00E23246">
        <w:rPr>
          <w:szCs w:val="22"/>
        </w:rPr>
        <w:t xml:space="preserve"> poveikis sunkia </w:t>
      </w:r>
      <w:proofErr w:type="spellStart"/>
      <w:r w:rsidRPr="00E23246">
        <w:rPr>
          <w:szCs w:val="22"/>
        </w:rPr>
        <w:t>preeklampsija</w:t>
      </w:r>
      <w:proofErr w:type="spellEnd"/>
      <w:r w:rsidRPr="00E23246">
        <w:rPr>
          <w:szCs w:val="22"/>
        </w:rPr>
        <w:t xml:space="preserve"> sergančioms moterims netirtas (sergant sunkia </w:t>
      </w:r>
      <w:proofErr w:type="spellStart"/>
      <w:r w:rsidRPr="00E23246">
        <w:rPr>
          <w:szCs w:val="22"/>
        </w:rPr>
        <w:t>preeklampsija</w:t>
      </w:r>
      <w:proofErr w:type="spellEnd"/>
      <w:r w:rsidRPr="00E23246">
        <w:rPr>
          <w:szCs w:val="22"/>
        </w:rPr>
        <w:t>, padidėja nėščios moters kraujospūdis, atsiranda baltymo šlapime, gali pasireikšti ir kitokių komplikacijų).</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tabs>
          <w:tab w:val="clear" w:pos="567"/>
          <w:tab w:val="left" w:pos="0"/>
        </w:tabs>
        <w:spacing w:line="240" w:lineRule="auto"/>
        <w:rPr>
          <w:szCs w:val="22"/>
        </w:rPr>
      </w:pPr>
      <w:proofErr w:type="spellStart"/>
      <w:r w:rsidRPr="00E23246">
        <w:rPr>
          <w:szCs w:val="22"/>
        </w:rPr>
        <w:t>Misodel</w:t>
      </w:r>
      <w:proofErr w:type="spellEnd"/>
      <w:r w:rsidRPr="00E23246">
        <w:rPr>
          <w:szCs w:val="22"/>
        </w:rPr>
        <w:t xml:space="preserve"> poveikis moterims, kurių vaisiaus dangalai plyšo daugiau kaip 48 val. iki jo įkišimo, taip pat netirtas. Jeigu pastebėjote, kad plyšo Jūsų vaisiaus dangalai (nutekėjo vaisiaus vandenys) arba tą įtariate, pasakykite gydytojui.</w:t>
      </w:r>
    </w:p>
    <w:p w:rsidR="00A028B6" w:rsidRPr="00E23246" w:rsidRDefault="00A028B6" w:rsidP="00A028B6">
      <w:pPr>
        <w:tabs>
          <w:tab w:val="clear" w:pos="567"/>
          <w:tab w:val="left" w:pos="0"/>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Jeigu Jūsų organizme yra B grupės streptokokų infekcija, dėl kurios reikia profilaktikos antibiotikais, jų galima vartoti kartu su </w:t>
      </w:r>
      <w:proofErr w:type="spellStart"/>
      <w:r w:rsidRPr="00E23246">
        <w:rPr>
          <w:szCs w:val="22"/>
        </w:rPr>
        <w:t>Misodel</w:t>
      </w:r>
      <w:proofErr w:type="spellEnd"/>
      <w:r w:rsidRPr="00E23246">
        <w:rPr>
          <w:szCs w:val="22"/>
        </w:rPr>
        <w:t xml:space="preserve"> arba anksčiau, kad poveikis Jums ir vaisiui pasireikštų iki gimdymo. Jeigu žinote, kad Jūsų organizme yra infekcija, apie tai pasakykite gydytojui arba slaugytojui.</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 xml:space="preserve">Jeigu gydytojas nuspręstų skirti </w:t>
      </w:r>
      <w:proofErr w:type="spellStart"/>
      <w:r w:rsidRPr="00E23246">
        <w:rPr>
          <w:szCs w:val="22"/>
        </w:rPr>
        <w:t>oksitocino</w:t>
      </w:r>
      <w:proofErr w:type="spellEnd"/>
      <w:r w:rsidRPr="00E23246">
        <w:rPr>
          <w:szCs w:val="22"/>
        </w:rPr>
        <w:t xml:space="preserve"> (vaisto gimdymui palengvinti), tai jis arba slaugytojas turėtų pašalinti </w:t>
      </w:r>
      <w:proofErr w:type="spellStart"/>
      <w:r w:rsidRPr="00E23246">
        <w:rPr>
          <w:szCs w:val="22"/>
        </w:rPr>
        <w:t>Misodel</w:t>
      </w:r>
      <w:proofErr w:type="spellEnd"/>
      <w:r w:rsidRPr="00E23246">
        <w:rPr>
          <w:szCs w:val="22"/>
        </w:rPr>
        <w:t xml:space="preserve"> likus bent 30 min. iki </w:t>
      </w:r>
      <w:proofErr w:type="spellStart"/>
      <w:r w:rsidRPr="00E23246">
        <w:rPr>
          <w:szCs w:val="22"/>
        </w:rPr>
        <w:t>oksitocino</w:t>
      </w:r>
      <w:proofErr w:type="spellEnd"/>
      <w:r w:rsidRPr="00E23246">
        <w:rPr>
          <w:szCs w:val="22"/>
        </w:rPr>
        <w:t xml:space="preserve"> vartojimo (žr. aukščiau „</w:t>
      </w:r>
      <w:proofErr w:type="spellStart"/>
      <w:r w:rsidRPr="00E23246">
        <w:rPr>
          <w:szCs w:val="22"/>
        </w:rPr>
        <w:t>Misodel</w:t>
      </w:r>
      <w:proofErr w:type="spellEnd"/>
      <w:r w:rsidRPr="00E23246">
        <w:rPr>
          <w:szCs w:val="22"/>
        </w:rPr>
        <w:t xml:space="preserve"> vartoti negalima“ bei žemiau „Kiti vaistai ir </w:t>
      </w:r>
      <w:proofErr w:type="spellStart"/>
      <w:r w:rsidRPr="00E23246">
        <w:rPr>
          <w:szCs w:val="22"/>
        </w:rPr>
        <w:t>Misodel</w:t>
      </w:r>
      <w:proofErr w:type="spellEnd"/>
      <w:r w:rsidRPr="00E23246">
        <w:rPr>
          <w:szCs w:val="22"/>
        </w:rPr>
        <w:t>“).</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r w:rsidRPr="00E23246">
        <w:rPr>
          <w:szCs w:val="22"/>
        </w:rPr>
        <w:t xml:space="preserve">Antros </w:t>
      </w:r>
      <w:proofErr w:type="spellStart"/>
      <w:r w:rsidRPr="00E23246">
        <w:rPr>
          <w:szCs w:val="22"/>
        </w:rPr>
        <w:t>Misodel</w:t>
      </w:r>
      <w:proofErr w:type="spellEnd"/>
      <w:r w:rsidRPr="00E23246">
        <w:rPr>
          <w:szCs w:val="22"/>
        </w:rPr>
        <w:t xml:space="preserve"> dozės vartoti nerekomenduojama, nes jos poveikis netirtas.</w:t>
      </w:r>
    </w:p>
    <w:p w:rsidR="00A028B6" w:rsidRPr="00E23246" w:rsidRDefault="00A028B6" w:rsidP="00A028B6">
      <w:pPr>
        <w:rPr>
          <w:szCs w:val="22"/>
        </w:rPr>
      </w:pP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r w:rsidRPr="00E23246">
        <w:rPr>
          <w:szCs w:val="22"/>
        </w:rPr>
        <w:t xml:space="preserve">Aprašyta padidėjusi </w:t>
      </w:r>
      <w:proofErr w:type="spellStart"/>
      <w:r w:rsidRPr="00E23246">
        <w:rPr>
          <w:szCs w:val="22"/>
        </w:rPr>
        <w:t>diseminuotos</w:t>
      </w:r>
      <w:proofErr w:type="spellEnd"/>
      <w:r w:rsidRPr="00E23246">
        <w:rPr>
          <w:szCs w:val="22"/>
        </w:rPr>
        <w:t xml:space="preserve"> </w:t>
      </w:r>
      <w:proofErr w:type="spellStart"/>
      <w:r w:rsidRPr="00E23246">
        <w:rPr>
          <w:szCs w:val="22"/>
        </w:rPr>
        <w:t>intravazalinės</w:t>
      </w:r>
      <w:proofErr w:type="spellEnd"/>
      <w:r w:rsidRPr="00E23246">
        <w:rPr>
          <w:szCs w:val="22"/>
        </w:rPr>
        <w:t xml:space="preserve"> </w:t>
      </w:r>
      <w:proofErr w:type="spellStart"/>
      <w:r w:rsidRPr="00E23246">
        <w:rPr>
          <w:szCs w:val="22"/>
        </w:rPr>
        <w:t>koaguliacijos</w:t>
      </w:r>
      <w:proofErr w:type="spellEnd"/>
      <w:r w:rsidRPr="00E23246">
        <w:rPr>
          <w:szCs w:val="22"/>
        </w:rPr>
        <w:t>, kuri pasireiškia stipriu kraujavimu, po gimdymo rizika bet kuriuo metodu paskatinus jo pradžią.</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tabs>
          <w:tab w:val="clear" w:pos="567"/>
          <w:tab w:val="left" w:pos="0"/>
        </w:tabs>
        <w:spacing w:line="240" w:lineRule="auto"/>
        <w:rPr>
          <w:szCs w:val="22"/>
        </w:rPr>
      </w:pPr>
      <w:r w:rsidRPr="00E23246">
        <w:rPr>
          <w:szCs w:val="22"/>
        </w:rPr>
        <w:t xml:space="preserve">Netirtas </w:t>
      </w:r>
      <w:proofErr w:type="spellStart"/>
      <w:r w:rsidRPr="00E23246">
        <w:rPr>
          <w:szCs w:val="22"/>
        </w:rPr>
        <w:t>Misodel</w:t>
      </w:r>
      <w:proofErr w:type="spellEnd"/>
      <w:r w:rsidRPr="00E23246">
        <w:rPr>
          <w:szCs w:val="22"/>
        </w:rPr>
        <w:t xml:space="preserve"> vartojimas norint paskatinti prasidėti gimdymą, kai gimdoje yra daugiau kaip vienas vaisius, ir taip pat moterims, anksčiau pagimdžiusioms daugiau kaip 3 vaikus po 24 nėštumo savaičių per makštį.</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tabs>
          <w:tab w:val="left" w:pos="0"/>
        </w:tabs>
        <w:spacing w:line="240" w:lineRule="auto"/>
        <w:rPr>
          <w:szCs w:val="22"/>
        </w:rPr>
      </w:pPr>
      <w:proofErr w:type="spellStart"/>
      <w:r w:rsidRPr="00E23246">
        <w:rPr>
          <w:szCs w:val="22"/>
        </w:rPr>
        <w:t>Misodel</w:t>
      </w:r>
      <w:proofErr w:type="spellEnd"/>
      <w:r w:rsidRPr="00E23246">
        <w:rPr>
          <w:szCs w:val="22"/>
        </w:rPr>
        <w:t xml:space="preserve"> skiriama tik tada, kai dėl medicininės priežasties reikia paskatinti prasidėti gimdymą.</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 xml:space="preserve">Kiti vaistai ir </w:t>
      </w:r>
      <w:proofErr w:type="spellStart"/>
      <w:r w:rsidRPr="00E23246">
        <w:rPr>
          <w:rFonts w:ascii="Times New Roman" w:hAnsi="Times New Roman"/>
          <w:sz w:val="22"/>
          <w:szCs w:val="22"/>
          <w:lang w:val="lt-LT"/>
        </w:rPr>
        <w:t>Misodel</w:t>
      </w:r>
      <w:proofErr w:type="spellEnd"/>
    </w:p>
    <w:p w:rsidR="00A028B6" w:rsidRPr="00E23246" w:rsidRDefault="00A028B6" w:rsidP="00A028B6">
      <w:pPr>
        <w:numPr>
          <w:ilvl w:val="12"/>
          <w:numId w:val="0"/>
        </w:numPr>
        <w:tabs>
          <w:tab w:val="clear" w:pos="567"/>
        </w:tabs>
        <w:spacing w:line="240" w:lineRule="auto"/>
        <w:ind w:right="-2"/>
        <w:rPr>
          <w:szCs w:val="22"/>
        </w:rPr>
      </w:pPr>
      <w:r w:rsidRPr="00E23246">
        <w:rPr>
          <w:szCs w:val="22"/>
        </w:rPr>
        <w:t xml:space="preserve">Jeigu vartojate ar neseniai vartojote kitų vaistų arba dėl to nesate tikri, apie tai pasakykite gydytojui arba slaugytojui. Kai kurie kiti vaistai gali keisti </w:t>
      </w:r>
      <w:proofErr w:type="spellStart"/>
      <w:r w:rsidRPr="00E23246">
        <w:rPr>
          <w:szCs w:val="22"/>
        </w:rPr>
        <w:t>Misodel</w:t>
      </w:r>
      <w:proofErr w:type="spellEnd"/>
      <w:r w:rsidRPr="00E23246">
        <w:rPr>
          <w:szCs w:val="22"/>
        </w:rPr>
        <w:t xml:space="preserve"> poveikį.</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proofErr w:type="spellStart"/>
      <w:r w:rsidRPr="00E23246">
        <w:rPr>
          <w:szCs w:val="22"/>
        </w:rPr>
        <w:t>Misodel</w:t>
      </w:r>
      <w:proofErr w:type="spellEnd"/>
      <w:r w:rsidRPr="00E23246">
        <w:rPr>
          <w:szCs w:val="22"/>
        </w:rPr>
        <w:t xml:space="preserve"> negalima vartoti vienu metu su kitais gimdymą lengvinančiais ir (arba) jį prasidėti skatinančiais vaistais (žr. aukščiau „</w:t>
      </w:r>
      <w:proofErr w:type="spellStart"/>
      <w:r w:rsidRPr="00E23246">
        <w:rPr>
          <w:szCs w:val="22"/>
        </w:rPr>
        <w:t>Misodel</w:t>
      </w:r>
      <w:proofErr w:type="spellEnd"/>
      <w:r w:rsidRPr="00E23246">
        <w:rPr>
          <w:szCs w:val="22"/>
        </w:rPr>
        <w:t xml:space="preserve"> vartoti negalima“ bei „Įspėjimai ir atsargumo priemonės“).</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Nėštumas ir žindymo laikotarpis</w:t>
      </w:r>
    </w:p>
    <w:p w:rsidR="00A028B6" w:rsidRPr="00E23246" w:rsidRDefault="00A028B6" w:rsidP="00A028B6">
      <w:pPr>
        <w:numPr>
          <w:ilvl w:val="12"/>
          <w:numId w:val="0"/>
        </w:numPr>
        <w:spacing w:line="240" w:lineRule="auto"/>
        <w:rPr>
          <w:szCs w:val="22"/>
        </w:rPr>
      </w:pPr>
      <w:proofErr w:type="spellStart"/>
      <w:r w:rsidRPr="00E23246">
        <w:rPr>
          <w:szCs w:val="22"/>
        </w:rPr>
        <w:t>Misodel</w:t>
      </w:r>
      <w:proofErr w:type="spellEnd"/>
      <w:r w:rsidRPr="00E23246">
        <w:rPr>
          <w:szCs w:val="22"/>
        </w:rPr>
        <w:t xml:space="preserve"> vartojamas norint paskatinti prasidėti gimdymą praėjus ne mažiau kaip 36 nėštumo savaitėms. Anksčiau nėštumo metu jo vartoti negalima.</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Mizoprostolio</w:t>
      </w:r>
      <w:proofErr w:type="spellEnd"/>
      <w:r w:rsidRPr="00E23246">
        <w:rPr>
          <w:szCs w:val="22"/>
        </w:rPr>
        <w:t xml:space="preserve"> rūgšties gali pateikti į </w:t>
      </w:r>
      <w:proofErr w:type="spellStart"/>
      <w:r w:rsidRPr="00E23246">
        <w:rPr>
          <w:szCs w:val="22"/>
        </w:rPr>
        <w:t>priešpienį</w:t>
      </w:r>
      <w:proofErr w:type="spellEnd"/>
      <w:r w:rsidRPr="00E23246">
        <w:rPr>
          <w:szCs w:val="22"/>
        </w:rPr>
        <w:t xml:space="preserve"> (skystį, kuris išsiskiria iš krūtų pirmas 3</w:t>
      </w:r>
      <w:r w:rsidRPr="00E23246">
        <w:rPr>
          <w:szCs w:val="22"/>
        </w:rPr>
        <w:noBreakHyphen/>
        <w:t>4 dienas po gimdymo) ir pieną, tačiau tikėtina, kad labai nedaug ir trumpai, todėl tai neturi būti kliūtis žindymui.</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rPr>
          <w:b/>
          <w:szCs w:val="22"/>
        </w:rPr>
      </w:pPr>
      <w:r w:rsidRPr="00E23246">
        <w:rPr>
          <w:b/>
          <w:szCs w:val="22"/>
        </w:rPr>
        <w:t>Vaisingumas</w:t>
      </w: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Misodel</w:t>
      </w:r>
      <w:proofErr w:type="spellEnd"/>
      <w:r w:rsidRPr="00E23246">
        <w:rPr>
          <w:szCs w:val="22"/>
        </w:rPr>
        <w:t xml:space="preserve"> neturi įtakos vaisingumui, kadangi vartojamas norint paskatinti prasidėti gimdymą praėjus ne mažiau kaip 36 nėštumo savaitėms.</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b w:val="0"/>
          <w:sz w:val="22"/>
          <w:szCs w:val="22"/>
          <w:lang w:val="lt-LT"/>
        </w:rPr>
      </w:pPr>
      <w:proofErr w:type="spellStart"/>
      <w:r w:rsidRPr="00E23246">
        <w:rPr>
          <w:rFonts w:ascii="Times New Roman" w:hAnsi="Times New Roman"/>
          <w:sz w:val="22"/>
          <w:szCs w:val="22"/>
          <w:lang w:val="lt-LT"/>
        </w:rPr>
        <w:t>Misodel</w:t>
      </w:r>
      <w:proofErr w:type="spellEnd"/>
      <w:r w:rsidRPr="00E23246">
        <w:rPr>
          <w:rFonts w:ascii="Times New Roman" w:hAnsi="Times New Roman"/>
          <w:sz w:val="22"/>
          <w:szCs w:val="22"/>
          <w:lang w:val="lt-LT"/>
        </w:rPr>
        <w:t xml:space="preserve"> sudėtyje yra </w:t>
      </w:r>
      <w:proofErr w:type="spellStart"/>
      <w:r w:rsidRPr="00E23246">
        <w:rPr>
          <w:rFonts w:ascii="Times New Roman" w:hAnsi="Times New Roman"/>
          <w:sz w:val="22"/>
          <w:szCs w:val="22"/>
          <w:lang w:val="lt-LT"/>
        </w:rPr>
        <w:t>butilhidroksianizolo</w:t>
      </w:r>
      <w:proofErr w:type="spellEnd"/>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sudėtyje yra </w:t>
      </w:r>
      <w:proofErr w:type="spellStart"/>
      <w:r w:rsidRPr="00E23246">
        <w:rPr>
          <w:szCs w:val="22"/>
        </w:rPr>
        <w:t>butilhidroksianizolo</w:t>
      </w:r>
      <w:proofErr w:type="spellEnd"/>
      <w:r w:rsidRPr="00E23246">
        <w:rPr>
          <w:szCs w:val="22"/>
        </w:rPr>
        <w:t xml:space="preserve">, kuris naudojamas kaip antioksidantas preparatui apsaugoti. Šio preparato sudėtyje jo yra tik pėdsakų. </w:t>
      </w:r>
      <w:proofErr w:type="spellStart"/>
      <w:r w:rsidRPr="00E23246">
        <w:rPr>
          <w:szCs w:val="22"/>
        </w:rPr>
        <w:t>Butilhidroksianizolas</w:t>
      </w:r>
      <w:proofErr w:type="spellEnd"/>
      <w:r w:rsidRPr="00E23246">
        <w:rPr>
          <w:szCs w:val="22"/>
        </w:rPr>
        <w:t xml:space="preserve"> gali sukelti odos reakcijų (pvz., kontaktinį dermatitą), sudirginti akis ir gleivinę.</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3.</w:t>
      </w:r>
      <w:r w:rsidRPr="00E23246">
        <w:rPr>
          <w:rFonts w:ascii="Times New Roman" w:hAnsi="Times New Roman"/>
          <w:sz w:val="22"/>
          <w:szCs w:val="22"/>
          <w:lang w:val="lt-LT"/>
        </w:rPr>
        <w:tab/>
        <w:t xml:space="preserve">Kaip vartoti </w:t>
      </w:r>
      <w:proofErr w:type="spellStart"/>
      <w:r w:rsidRPr="00E23246">
        <w:rPr>
          <w:rFonts w:ascii="Times New Roman" w:hAnsi="Times New Roman"/>
          <w:sz w:val="22"/>
          <w:szCs w:val="22"/>
          <w:lang w:val="lt-LT"/>
        </w:rPr>
        <w:t>Misodel</w:t>
      </w:r>
      <w:proofErr w:type="spellEnd"/>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r w:rsidRPr="00E23246">
        <w:rPr>
          <w:szCs w:val="22"/>
        </w:rPr>
        <w:t xml:space="preserve">Rekomenduojama dozė yra viena </w:t>
      </w:r>
      <w:proofErr w:type="spellStart"/>
      <w:r w:rsidRPr="00E23246">
        <w:rPr>
          <w:szCs w:val="22"/>
        </w:rPr>
        <w:t>Misodel</w:t>
      </w:r>
      <w:proofErr w:type="spellEnd"/>
      <w:r w:rsidRPr="00E23246">
        <w:rPr>
          <w:szCs w:val="22"/>
        </w:rPr>
        <w:t xml:space="preserve"> vartojimo į makštį sistema, kurioje yra 200 </w:t>
      </w:r>
      <w:proofErr w:type="spellStart"/>
      <w:r w:rsidRPr="00E23246">
        <w:rPr>
          <w:szCs w:val="22"/>
        </w:rPr>
        <w:t>mikrogramų</w:t>
      </w:r>
      <w:proofErr w:type="spellEnd"/>
      <w:r w:rsidRPr="00E23246">
        <w:rPr>
          <w:szCs w:val="22"/>
        </w:rPr>
        <w:t xml:space="preserve"> </w:t>
      </w:r>
      <w:proofErr w:type="spellStart"/>
      <w:r w:rsidRPr="00E23246">
        <w:rPr>
          <w:szCs w:val="22"/>
        </w:rPr>
        <w:t>mizoprostolio</w:t>
      </w:r>
      <w:proofErr w:type="spellEnd"/>
      <w:r w:rsidRPr="00E23246">
        <w:rPr>
          <w:szCs w:val="22"/>
        </w:rPr>
        <w:t xml:space="preserve">. Veiklioji medžiaga yra </w:t>
      </w:r>
      <w:proofErr w:type="spellStart"/>
      <w:r w:rsidRPr="00E23246">
        <w:rPr>
          <w:szCs w:val="22"/>
        </w:rPr>
        <w:t>mizoprostolis</w:t>
      </w:r>
      <w:proofErr w:type="spellEnd"/>
      <w:r w:rsidRPr="00E23246">
        <w:rPr>
          <w:szCs w:val="22"/>
        </w:rPr>
        <w:t>, kuris atpalaiduojamas 24 val. vidutiniškai maždaug 7 </w:t>
      </w:r>
      <w:proofErr w:type="spellStart"/>
      <w:r w:rsidRPr="00E23246">
        <w:rPr>
          <w:szCs w:val="22"/>
        </w:rPr>
        <w:t>mikrogramų</w:t>
      </w:r>
      <w:proofErr w:type="spellEnd"/>
      <w:r w:rsidRPr="00E23246">
        <w:rPr>
          <w:szCs w:val="22"/>
        </w:rPr>
        <w:t>/val. greičiu.</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Gydytojas arba slaugytojas įkiš vieną </w:t>
      </w:r>
      <w:proofErr w:type="spellStart"/>
      <w:r w:rsidRPr="00E23246">
        <w:rPr>
          <w:szCs w:val="22"/>
        </w:rPr>
        <w:t>Misodel</w:t>
      </w:r>
      <w:proofErr w:type="spellEnd"/>
      <w:r w:rsidRPr="00E23246">
        <w:rPr>
          <w:szCs w:val="22"/>
        </w:rPr>
        <w:t xml:space="preserve"> dozę į Jūsų makštį šalia gimdos kaklelio (pačiai to daryti nereikės). Prieš įkišdamas </w:t>
      </w:r>
      <w:proofErr w:type="spellStart"/>
      <w:r w:rsidRPr="00E23246">
        <w:rPr>
          <w:szCs w:val="22"/>
        </w:rPr>
        <w:t>Misodel</w:t>
      </w:r>
      <w:proofErr w:type="spellEnd"/>
      <w:r w:rsidRPr="00E23246">
        <w:rPr>
          <w:szCs w:val="22"/>
        </w:rPr>
        <w:t xml:space="preserve">, gydytojas arba slaugytojas gali sutepti jį trupučiu </w:t>
      </w:r>
      <w:proofErr w:type="spellStart"/>
      <w:r w:rsidRPr="00E23246">
        <w:rPr>
          <w:szCs w:val="22"/>
        </w:rPr>
        <w:t>lubrikanto</w:t>
      </w:r>
      <w:proofErr w:type="spellEnd"/>
      <w:r w:rsidRPr="00E23246">
        <w:rPr>
          <w:szCs w:val="22"/>
        </w:rPr>
        <w:t xml:space="preserve"> želės. Atėjus laikui pašalinti </w:t>
      </w:r>
      <w:proofErr w:type="spellStart"/>
      <w:r w:rsidRPr="00E23246">
        <w:rPr>
          <w:szCs w:val="22"/>
        </w:rPr>
        <w:t>Misodel</w:t>
      </w:r>
      <w:proofErr w:type="spellEnd"/>
      <w:r w:rsidRPr="00E23246">
        <w:rPr>
          <w:szCs w:val="22"/>
        </w:rPr>
        <w:t>, gydytojas arba slaugytojas jį lengvai ištrauks.</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Kišant </w:t>
      </w:r>
      <w:proofErr w:type="spellStart"/>
      <w:r w:rsidRPr="00E23246">
        <w:rPr>
          <w:szCs w:val="22"/>
        </w:rPr>
        <w:t>Misodel</w:t>
      </w:r>
      <w:proofErr w:type="spellEnd"/>
      <w:r w:rsidRPr="00E23246">
        <w:rPr>
          <w:szCs w:val="22"/>
        </w:rPr>
        <w:t xml:space="preserve"> ir paskui dar maždaug 30 min. reikia pagulėti.</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Įkištas į makštį </w:t>
      </w:r>
      <w:proofErr w:type="spellStart"/>
      <w:r w:rsidRPr="00E23246">
        <w:rPr>
          <w:szCs w:val="22"/>
        </w:rPr>
        <w:t>Misodel</w:t>
      </w:r>
      <w:proofErr w:type="spellEnd"/>
      <w:r w:rsidRPr="00E23246">
        <w:rPr>
          <w:szCs w:val="22"/>
        </w:rPr>
        <w:t xml:space="preserve"> sugeria drėgmę ir lėtai atpalaiduoja </w:t>
      </w:r>
      <w:proofErr w:type="spellStart"/>
      <w:r w:rsidRPr="00E23246">
        <w:rPr>
          <w:szCs w:val="22"/>
        </w:rPr>
        <w:t>mizoprostolį</w:t>
      </w:r>
      <w:proofErr w:type="spellEnd"/>
      <w:r w:rsidRPr="00E23246">
        <w:rPr>
          <w:szCs w:val="22"/>
        </w:rPr>
        <w:t>.</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Apsiplaukite atsargiai, kad netyčia neištrauktumėte </w:t>
      </w:r>
      <w:proofErr w:type="spellStart"/>
      <w:r w:rsidRPr="00E23246">
        <w:rPr>
          <w:szCs w:val="22"/>
        </w:rPr>
        <w:t>Misodel</w:t>
      </w:r>
      <w:proofErr w:type="spellEnd"/>
      <w:r w:rsidRPr="00E23246">
        <w:rPr>
          <w:szCs w:val="22"/>
        </w:rPr>
        <w:t xml:space="preserve">. Jeigu </w:t>
      </w:r>
      <w:proofErr w:type="spellStart"/>
      <w:r w:rsidRPr="00E23246">
        <w:rPr>
          <w:szCs w:val="22"/>
        </w:rPr>
        <w:t>Misodel</w:t>
      </w:r>
      <w:proofErr w:type="spellEnd"/>
      <w:r w:rsidRPr="00E23246">
        <w:rPr>
          <w:szCs w:val="22"/>
        </w:rPr>
        <w:t xml:space="preserve"> iškristų, apie tai pasakykite gydytojui arba slaugytojui.</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Kiek laiko </w:t>
      </w:r>
      <w:proofErr w:type="spellStart"/>
      <w:r w:rsidRPr="00E23246">
        <w:rPr>
          <w:szCs w:val="22"/>
        </w:rPr>
        <w:t>Misodel</w:t>
      </w:r>
      <w:proofErr w:type="spellEnd"/>
      <w:r w:rsidRPr="00E23246">
        <w:rPr>
          <w:szCs w:val="22"/>
        </w:rPr>
        <w:t xml:space="preserve"> laikyti įkištą, nuspręs gydytojas arba slaugytojas, atsižvelgdami į gimdos veiklos ir vaisiaus būklės pokyčius. </w:t>
      </w:r>
      <w:proofErr w:type="spellStart"/>
      <w:r w:rsidRPr="00E23246">
        <w:rPr>
          <w:szCs w:val="22"/>
        </w:rPr>
        <w:t>Misodel</w:t>
      </w:r>
      <w:proofErr w:type="spellEnd"/>
      <w:r w:rsidRPr="00E23246">
        <w:rPr>
          <w:szCs w:val="22"/>
        </w:rPr>
        <w:t xml:space="preserve"> galima laikyti įkištą iki 24 val.</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Gydytojas arba slaugytojas ištrauks </w:t>
      </w:r>
      <w:proofErr w:type="spellStart"/>
      <w:r w:rsidRPr="00E23246">
        <w:rPr>
          <w:szCs w:val="22"/>
        </w:rPr>
        <w:t>Misodel</w:t>
      </w:r>
      <w:proofErr w:type="spellEnd"/>
      <w:r w:rsidRPr="00E23246">
        <w:rPr>
          <w:szCs w:val="22"/>
        </w:rPr>
        <w:t xml:space="preserve"> šiais atvejais:</w:t>
      </w:r>
    </w:p>
    <w:p w:rsidR="00A028B6" w:rsidRPr="00E23246" w:rsidRDefault="00A028B6" w:rsidP="00A028B6">
      <w:pPr>
        <w:numPr>
          <w:ilvl w:val="0"/>
          <w:numId w:val="1"/>
        </w:numPr>
        <w:tabs>
          <w:tab w:val="clear" w:pos="567"/>
        </w:tabs>
        <w:spacing w:line="240" w:lineRule="auto"/>
        <w:rPr>
          <w:szCs w:val="22"/>
        </w:rPr>
      </w:pPr>
      <w:r w:rsidRPr="00E23246">
        <w:rPr>
          <w:szCs w:val="22"/>
        </w:rPr>
        <w:t>prasidėjus gimdymui</w:t>
      </w:r>
      <w:r>
        <w:rPr>
          <w:szCs w:val="22"/>
        </w:rPr>
        <w:t>, kai gimdos susitraukimai kartojasi reguliariai</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jeigu </w:t>
      </w:r>
      <w:r>
        <w:rPr>
          <w:szCs w:val="22"/>
        </w:rPr>
        <w:t xml:space="preserve">nereguliarūs </w:t>
      </w:r>
      <w:r w:rsidRPr="00E23246">
        <w:rPr>
          <w:szCs w:val="22"/>
        </w:rPr>
        <w:t>gimdos susitraukimai pasidarytų per stiprūs arba per ilgi</w:t>
      </w:r>
      <w:r>
        <w:rPr>
          <w:szCs w:val="22"/>
        </w:rPr>
        <w:t xml:space="preserve"> arba kartotųsi per dažnai ir (arba) atsirastų gimdos kaklelio pakitimų</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jeigu pablogėtų vaisiaus būklė;</w:t>
      </w:r>
    </w:p>
    <w:p w:rsidR="00A028B6" w:rsidRPr="00E23246" w:rsidRDefault="00A028B6" w:rsidP="00A028B6">
      <w:pPr>
        <w:numPr>
          <w:ilvl w:val="0"/>
          <w:numId w:val="1"/>
        </w:numPr>
        <w:tabs>
          <w:tab w:val="clear" w:pos="567"/>
        </w:tabs>
        <w:spacing w:line="240" w:lineRule="auto"/>
        <w:rPr>
          <w:szCs w:val="22"/>
        </w:rPr>
      </w:pPr>
      <w:r w:rsidRPr="00E23246">
        <w:rPr>
          <w:szCs w:val="22"/>
        </w:rPr>
        <w:t>praėjus 24 val. po įkišimo.</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Jeigu </w:t>
      </w:r>
      <w:proofErr w:type="spellStart"/>
      <w:r w:rsidRPr="00E23246">
        <w:rPr>
          <w:szCs w:val="22"/>
        </w:rPr>
        <w:t>Misodel</w:t>
      </w:r>
      <w:proofErr w:type="spellEnd"/>
      <w:r w:rsidRPr="00E23246">
        <w:rPr>
          <w:szCs w:val="22"/>
        </w:rPr>
        <w:t xml:space="preserve"> iškristų, vėl jo kišti negalima.</w:t>
      </w:r>
    </w:p>
    <w:p w:rsidR="00A028B6" w:rsidRPr="00E23246" w:rsidRDefault="00A028B6" w:rsidP="00A028B6">
      <w:pPr>
        <w:tabs>
          <w:tab w:val="clear" w:pos="567"/>
        </w:tabs>
        <w:spacing w:line="240" w:lineRule="auto"/>
        <w:ind w:right="-2"/>
        <w:rPr>
          <w:szCs w:val="22"/>
        </w:rPr>
      </w:pPr>
    </w:p>
    <w:p w:rsidR="00A028B6" w:rsidRPr="00E23246" w:rsidRDefault="00A028B6" w:rsidP="00A028B6">
      <w:pPr>
        <w:tabs>
          <w:tab w:val="clear" w:pos="567"/>
        </w:tabs>
        <w:spacing w:line="240" w:lineRule="auto"/>
        <w:ind w:right="-2"/>
        <w:rPr>
          <w:szCs w:val="22"/>
        </w:rPr>
      </w:pPr>
      <w:r w:rsidRPr="00E23246">
        <w:rPr>
          <w:szCs w:val="22"/>
        </w:rPr>
        <w:t xml:space="preserve">Iš makšties ištrauktas </w:t>
      </w:r>
      <w:proofErr w:type="spellStart"/>
      <w:r w:rsidRPr="00E23246">
        <w:rPr>
          <w:szCs w:val="22"/>
        </w:rPr>
        <w:t>Misodel</w:t>
      </w:r>
      <w:proofErr w:type="spellEnd"/>
      <w:r w:rsidRPr="00E23246">
        <w:rPr>
          <w:szCs w:val="22"/>
        </w:rPr>
        <w:t xml:space="preserve"> būna 2</w:t>
      </w:r>
      <w:r w:rsidRPr="00E23246">
        <w:rPr>
          <w:szCs w:val="22"/>
        </w:rPr>
        <w:noBreakHyphen/>
        <w:t>3 kartus didesnis negu prieš tai ir lankstus.</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Vartojimas vaikams ir paaugliams</w:t>
      </w:r>
    </w:p>
    <w:p w:rsidR="00A028B6" w:rsidRPr="00E23246" w:rsidRDefault="00A028B6" w:rsidP="00A028B6">
      <w:pPr>
        <w:autoSpaceDE w:val="0"/>
        <w:autoSpaceDN w:val="0"/>
        <w:adjustRightInd w:val="0"/>
        <w:spacing w:line="240" w:lineRule="auto"/>
        <w:rPr>
          <w:bCs/>
          <w:szCs w:val="22"/>
        </w:rPr>
      </w:pPr>
      <w:proofErr w:type="spellStart"/>
      <w:r w:rsidRPr="00E23246">
        <w:rPr>
          <w:bCs/>
          <w:szCs w:val="22"/>
        </w:rPr>
        <w:t>Misodel</w:t>
      </w:r>
      <w:proofErr w:type="spellEnd"/>
      <w:r w:rsidRPr="00E23246">
        <w:rPr>
          <w:bCs/>
          <w:szCs w:val="22"/>
        </w:rPr>
        <w:t xml:space="preserve"> poveikis </w:t>
      </w:r>
      <w:r w:rsidRPr="00E23246">
        <w:rPr>
          <w:szCs w:val="22"/>
        </w:rPr>
        <w:t>nėščioms moterims iki 18 metų neištirtas.</w:t>
      </w:r>
      <w:r w:rsidRPr="00E23246">
        <w:rPr>
          <w:bCs/>
          <w:szCs w:val="22"/>
        </w:rPr>
        <w:t xml:space="preserve"> </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r w:rsidRPr="00E23246">
        <w:rPr>
          <w:rFonts w:ascii="Times New Roman" w:hAnsi="Times New Roman"/>
          <w:sz w:val="22"/>
          <w:szCs w:val="22"/>
          <w:lang w:val="lt-LT"/>
        </w:rPr>
        <w:t xml:space="preserve">Ką daryti pavartojus per didelę </w:t>
      </w:r>
      <w:proofErr w:type="spellStart"/>
      <w:r w:rsidRPr="00E23246">
        <w:rPr>
          <w:rFonts w:ascii="Times New Roman" w:hAnsi="Times New Roman"/>
          <w:sz w:val="22"/>
          <w:szCs w:val="22"/>
          <w:lang w:val="lt-LT"/>
        </w:rPr>
        <w:t>Misodel</w:t>
      </w:r>
      <w:proofErr w:type="spellEnd"/>
      <w:r w:rsidRPr="00E23246">
        <w:rPr>
          <w:rFonts w:ascii="Times New Roman" w:hAnsi="Times New Roman"/>
          <w:sz w:val="22"/>
          <w:szCs w:val="22"/>
          <w:lang w:val="lt-LT"/>
        </w:rPr>
        <w:t xml:space="preserve"> dozę?</w:t>
      </w:r>
    </w:p>
    <w:p w:rsidR="00A028B6" w:rsidRPr="00E23246" w:rsidRDefault="00A028B6" w:rsidP="00A028B6">
      <w:pPr>
        <w:numPr>
          <w:ilvl w:val="12"/>
          <w:numId w:val="0"/>
        </w:numPr>
        <w:tabs>
          <w:tab w:val="clear" w:pos="567"/>
        </w:tabs>
        <w:spacing w:line="240" w:lineRule="auto"/>
        <w:rPr>
          <w:szCs w:val="22"/>
        </w:rPr>
      </w:pPr>
      <w:proofErr w:type="spellStart"/>
      <w:r w:rsidRPr="00E23246">
        <w:rPr>
          <w:szCs w:val="22"/>
        </w:rPr>
        <w:t>Misodel</w:t>
      </w:r>
      <w:proofErr w:type="spellEnd"/>
      <w:r w:rsidRPr="00E23246">
        <w:rPr>
          <w:szCs w:val="22"/>
        </w:rPr>
        <w:t xml:space="preserve"> palikus įkištą po to, kai prasideda gimdymo veikla, gali per daug sustiprėti gimdos susitraukimai ar pablogėti vaisiaus būklė. Tokiu atveju gydytojas arba slaugytojas tuoj pat pašalins </w:t>
      </w:r>
      <w:proofErr w:type="spellStart"/>
      <w:r w:rsidRPr="00E23246">
        <w:rPr>
          <w:szCs w:val="22"/>
        </w:rPr>
        <w:t>Misodel</w:t>
      </w:r>
      <w:proofErr w:type="spellEnd"/>
      <w:r w:rsidRPr="00E23246">
        <w:rPr>
          <w:szCs w:val="22"/>
        </w:rPr>
        <w:t>.</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4.</w:t>
      </w:r>
      <w:r w:rsidRPr="00E23246">
        <w:rPr>
          <w:rFonts w:ascii="Times New Roman" w:hAnsi="Times New Roman"/>
          <w:sz w:val="22"/>
          <w:szCs w:val="22"/>
          <w:lang w:val="lt-LT"/>
        </w:rPr>
        <w:tab/>
        <w:t>Galimas šalutinis poveikis</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numPr>
          <w:ilvl w:val="12"/>
          <w:numId w:val="0"/>
        </w:numPr>
        <w:tabs>
          <w:tab w:val="clear" w:pos="567"/>
        </w:tabs>
        <w:spacing w:line="240" w:lineRule="auto"/>
        <w:ind w:right="-29"/>
        <w:rPr>
          <w:szCs w:val="22"/>
        </w:rPr>
      </w:pPr>
      <w:r w:rsidRPr="00E23246">
        <w:rPr>
          <w:szCs w:val="22"/>
        </w:rPr>
        <w:t>Šis vaistas, kaip ir visi kiti, gali sukelti šalutinį poveikį, nors jis pasireiškia ne visiems žmonėms.</w:t>
      </w:r>
    </w:p>
    <w:p w:rsidR="00A028B6" w:rsidRPr="00E23246" w:rsidRDefault="00A028B6" w:rsidP="00A028B6">
      <w:pPr>
        <w:numPr>
          <w:ilvl w:val="12"/>
          <w:numId w:val="0"/>
        </w:numPr>
        <w:tabs>
          <w:tab w:val="clear" w:pos="567"/>
        </w:tabs>
        <w:spacing w:line="240" w:lineRule="auto"/>
        <w:ind w:right="-29"/>
        <w:rPr>
          <w:szCs w:val="22"/>
        </w:rPr>
      </w:pPr>
    </w:p>
    <w:p w:rsidR="00A028B6" w:rsidRPr="00E23246" w:rsidRDefault="00A028B6" w:rsidP="00A028B6">
      <w:pPr>
        <w:numPr>
          <w:ilvl w:val="12"/>
          <w:numId w:val="0"/>
        </w:numPr>
        <w:spacing w:line="240" w:lineRule="auto"/>
        <w:ind w:right="-29"/>
        <w:rPr>
          <w:szCs w:val="22"/>
        </w:rPr>
      </w:pPr>
      <w:r>
        <w:rPr>
          <w:szCs w:val="22"/>
          <w:u w:val="single"/>
        </w:rPr>
        <w:t>Labai d</w:t>
      </w:r>
      <w:r w:rsidRPr="00E23246">
        <w:rPr>
          <w:szCs w:val="22"/>
          <w:u w:val="single"/>
        </w:rPr>
        <w:t xml:space="preserve">ažnas (gali pasireikšti </w:t>
      </w:r>
      <w:r>
        <w:rPr>
          <w:szCs w:val="22"/>
          <w:u w:val="single"/>
        </w:rPr>
        <w:t>daugiau nei</w:t>
      </w:r>
      <w:r w:rsidRPr="00E23246">
        <w:rPr>
          <w:szCs w:val="22"/>
          <w:u w:val="single"/>
        </w:rPr>
        <w:t xml:space="preserve"> 1 žmog</w:t>
      </w:r>
      <w:r>
        <w:rPr>
          <w:szCs w:val="22"/>
          <w:u w:val="single"/>
        </w:rPr>
        <w:t>ui</w:t>
      </w:r>
      <w:r w:rsidRPr="00E23246">
        <w:rPr>
          <w:szCs w:val="22"/>
          <w:u w:val="single"/>
        </w:rPr>
        <w:t xml:space="preserve"> iš 10)</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dar negimusio kūdikio širdies susitraukimų dažnio pokyčiai gimdymo metu, kurie gali būti reikšmingi (sutrikęs vaisiaus širdies susitraukimų dažnis);</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per dažni gimdos susitraukimai, </w:t>
      </w:r>
      <w:r>
        <w:rPr>
          <w:szCs w:val="22"/>
        </w:rPr>
        <w:t>turintys arba neturintys įtakos vaisiaus būklei, dėl kurių gali būti priežastis nerimauti</w:t>
      </w:r>
      <w:r w:rsidRPr="00E23246">
        <w:rPr>
          <w:szCs w:val="22"/>
        </w:rPr>
        <w:t xml:space="preserve"> (nenormalūs gimdos susitraukimai)</w:t>
      </w:r>
      <w:r>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per dažni gimdos susitraukimai, galintys sukelti reikšmingų vaisiaus širdies susitraukimų dažnio pokyčių (nenormalus gimdymas, turintis įtakos vaisiaus būklei);</w:t>
      </w:r>
    </w:p>
    <w:p w:rsidR="00A028B6" w:rsidRDefault="00A028B6" w:rsidP="00A028B6">
      <w:pPr>
        <w:numPr>
          <w:ilvl w:val="0"/>
          <w:numId w:val="1"/>
        </w:numPr>
        <w:tabs>
          <w:tab w:val="clear" w:pos="567"/>
        </w:tabs>
        <w:spacing w:line="240" w:lineRule="auto"/>
        <w:rPr>
          <w:szCs w:val="22"/>
        </w:rPr>
      </w:pPr>
      <w:r w:rsidRPr="00E23246">
        <w:rPr>
          <w:szCs w:val="22"/>
        </w:rPr>
        <w:t>vaisiaus tuštinimasis gimdoje, kuris gali būti reikšmingas (</w:t>
      </w:r>
      <w:proofErr w:type="spellStart"/>
      <w:r w:rsidRPr="00E23246">
        <w:rPr>
          <w:szCs w:val="22"/>
        </w:rPr>
        <w:t>mekonijus</w:t>
      </w:r>
      <w:proofErr w:type="spellEnd"/>
      <w:r w:rsidRPr="00E23246">
        <w:rPr>
          <w:szCs w:val="22"/>
        </w:rPr>
        <w:t xml:space="preserve"> </w:t>
      </w:r>
      <w:proofErr w:type="spellStart"/>
      <w:r w:rsidRPr="00E23246">
        <w:rPr>
          <w:szCs w:val="22"/>
        </w:rPr>
        <w:t>amniono</w:t>
      </w:r>
      <w:proofErr w:type="spellEnd"/>
      <w:r w:rsidRPr="00E23246">
        <w:rPr>
          <w:szCs w:val="22"/>
        </w:rPr>
        <w:t xml:space="preserve"> skystyje)</w:t>
      </w:r>
      <w:r>
        <w:rPr>
          <w:szCs w:val="22"/>
        </w:rPr>
        <w:t>.</w:t>
      </w:r>
    </w:p>
    <w:p w:rsidR="00A028B6" w:rsidRDefault="00A028B6" w:rsidP="00A028B6">
      <w:pPr>
        <w:tabs>
          <w:tab w:val="clear" w:pos="567"/>
        </w:tabs>
        <w:spacing w:line="240" w:lineRule="auto"/>
        <w:rPr>
          <w:szCs w:val="22"/>
        </w:rPr>
      </w:pPr>
    </w:p>
    <w:p w:rsidR="00A028B6" w:rsidRPr="0029344B" w:rsidRDefault="00A028B6" w:rsidP="00A028B6">
      <w:pPr>
        <w:numPr>
          <w:ilvl w:val="12"/>
          <w:numId w:val="0"/>
        </w:numPr>
        <w:spacing w:line="240" w:lineRule="auto"/>
        <w:ind w:right="-29"/>
      </w:pPr>
      <w:r>
        <w:rPr>
          <w:szCs w:val="22"/>
          <w:u w:val="single"/>
        </w:rPr>
        <w:t>D</w:t>
      </w:r>
      <w:r w:rsidRPr="00E23246">
        <w:rPr>
          <w:szCs w:val="22"/>
          <w:u w:val="single"/>
        </w:rPr>
        <w:t xml:space="preserve">ažnas (gali pasireikšti </w:t>
      </w:r>
      <w:r>
        <w:rPr>
          <w:szCs w:val="22"/>
          <w:u w:val="single"/>
        </w:rPr>
        <w:t>ne daugiau nei</w:t>
      </w:r>
      <w:r w:rsidRPr="00E23246">
        <w:rPr>
          <w:szCs w:val="22"/>
          <w:u w:val="single"/>
        </w:rPr>
        <w:t xml:space="preserve"> 1 žmog</w:t>
      </w:r>
      <w:r>
        <w:rPr>
          <w:szCs w:val="22"/>
          <w:u w:val="single"/>
        </w:rPr>
        <w:t>ui</w:t>
      </w:r>
      <w:r w:rsidRPr="00E23246">
        <w:rPr>
          <w:szCs w:val="22"/>
          <w:u w:val="single"/>
        </w:rPr>
        <w:t xml:space="preserve"> iš 10)</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sunkus ką tik gimusio kūdikio kvėpavimas (</w:t>
      </w:r>
      <w:r w:rsidRPr="00E23246">
        <w:rPr>
          <w:szCs w:val="22"/>
          <w:lang w:eastAsia="da-DK"/>
        </w:rPr>
        <w:t xml:space="preserve">susilpnėjęs naujagimio kvėpavimas, naujagimio kvėpavimo </w:t>
      </w:r>
      <w:proofErr w:type="spellStart"/>
      <w:r w:rsidRPr="00E23246">
        <w:rPr>
          <w:szCs w:val="22"/>
          <w:lang w:eastAsia="da-DK"/>
        </w:rPr>
        <w:t>distreso</w:t>
      </w:r>
      <w:proofErr w:type="spellEnd"/>
      <w:r w:rsidRPr="00E23246">
        <w:rPr>
          <w:szCs w:val="22"/>
          <w:lang w:eastAsia="da-DK"/>
        </w:rPr>
        <w:t xml:space="preserve"> sindromas, </w:t>
      </w:r>
      <w:r w:rsidRPr="00E23246">
        <w:rPr>
          <w:szCs w:val="22"/>
        </w:rPr>
        <w:t>trumpalaikė</w:t>
      </w:r>
      <w:r w:rsidRPr="00E23246">
        <w:rPr>
          <w:szCs w:val="22"/>
          <w:lang w:eastAsia="da-DK"/>
        </w:rPr>
        <w:t xml:space="preserve"> naujagimio </w:t>
      </w:r>
      <w:proofErr w:type="spellStart"/>
      <w:r w:rsidRPr="00E23246">
        <w:rPr>
          <w:szCs w:val="22"/>
          <w:lang w:eastAsia="da-DK"/>
        </w:rPr>
        <w:t>tachipnėja</w:t>
      </w:r>
      <w:proofErr w:type="spellEnd"/>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per gausus kraujavimas iš makšties po gimdymo (</w:t>
      </w:r>
      <w:r w:rsidRPr="00E23246">
        <w:rPr>
          <w:szCs w:val="22"/>
          <w:lang w:eastAsia="da-DK"/>
        </w:rPr>
        <w:t>pogimdyminis kraujavimas</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per ilgos trukmės gimdos susitraukimai, kurie gali būti reikšmingi (</w:t>
      </w:r>
      <w:r w:rsidRPr="00E23246">
        <w:rPr>
          <w:szCs w:val="22"/>
          <w:lang w:eastAsia="da-DK"/>
        </w:rPr>
        <w:t>gimdos hipertonija</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 xml:space="preserve">pablogėjusi bendra ką tik gimusio naujagimio būklė (žemas </w:t>
      </w:r>
      <w:proofErr w:type="spellStart"/>
      <w:r w:rsidRPr="00E23246">
        <w:rPr>
          <w:szCs w:val="22"/>
        </w:rPr>
        <w:t>Apgar</w:t>
      </w:r>
      <w:proofErr w:type="spellEnd"/>
      <w:r w:rsidRPr="00E23246">
        <w:rPr>
          <w:szCs w:val="22"/>
        </w:rPr>
        <w:t xml:space="preserve"> rodiklis);</w:t>
      </w:r>
    </w:p>
    <w:p w:rsidR="00A028B6" w:rsidRPr="00E23246" w:rsidRDefault="00A028B6" w:rsidP="00A028B6">
      <w:pPr>
        <w:numPr>
          <w:ilvl w:val="0"/>
          <w:numId w:val="1"/>
        </w:numPr>
        <w:tabs>
          <w:tab w:val="clear" w:pos="567"/>
        </w:tabs>
        <w:spacing w:line="240" w:lineRule="auto"/>
        <w:rPr>
          <w:szCs w:val="22"/>
        </w:rPr>
      </w:pPr>
      <w:r w:rsidRPr="00E23246">
        <w:rPr>
          <w:szCs w:val="22"/>
        </w:rPr>
        <w:t>parūgštėjęs vaisiaus kraujas (</w:t>
      </w:r>
      <w:r>
        <w:rPr>
          <w:szCs w:val="22"/>
        </w:rPr>
        <w:t xml:space="preserve">vaisiaus </w:t>
      </w:r>
      <w:proofErr w:type="spellStart"/>
      <w:r w:rsidRPr="00E23246">
        <w:rPr>
          <w:szCs w:val="22"/>
        </w:rPr>
        <w:t>acidozė</w:t>
      </w:r>
      <w:proofErr w:type="spellEnd"/>
      <w:r w:rsidRPr="00E23246">
        <w:rPr>
          <w:szCs w:val="22"/>
        </w:rPr>
        <w:t>)</w:t>
      </w:r>
      <w:r>
        <w:rPr>
          <w:szCs w:val="22"/>
        </w:rPr>
        <w:t>.</w:t>
      </w:r>
    </w:p>
    <w:p w:rsidR="00A028B6" w:rsidRPr="0029344B" w:rsidRDefault="00A028B6" w:rsidP="00A028B6">
      <w:pPr>
        <w:tabs>
          <w:tab w:val="clear" w:pos="567"/>
        </w:tabs>
        <w:spacing w:line="240" w:lineRule="auto"/>
      </w:pPr>
    </w:p>
    <w:p w:rsidR="00A028B6" w:rsidRPr="00E23246" w:rsidRDefault="00A028B6" w:rsidP="00A028B6">
      <w:pPr>
        <w:numPr>
          <w:ilvl w:val="12"/>
          <w:numId w:val="0"/>
        </w:numPr>
        <w:spacing w:line="240" w:lineRule="auto"/>
        <w:ind w:right="-2"/>
        <w:rPr>
          <w:szCs w:val="22"/>
          <w:u w:val="single"/>
        </w:rPr>
      </w:pPr>
      <w:r w:rsidRPr="00E23246">
        <w:rPr>
          <w:szCs w:val="22"/>
          <w:u w:val="single"/>
        </w:rPr>
        <w:t xml:space="preserve">Nedažnas (gali pasireikšti </w:t>
      </w:r>
      <w:r>
        <w:rPr>
          <w:szCs w:val="22"/>
          <w:u w:val="single"/>
        </w:rPr>
        <w:t>ne daugiau kaip</w:t>
      </w:r>
      <w:r w:rsidRPr="00E23246">
        <w:rPr>
          <w:szCs w:val="22"/>
          <w:u w:val="single"/>
        </w:rPr>
        <w:t xml:space="preserve"> 1 žmogu</w:t>
      </w:r>
      <w:r>
        <w:rPr>
          <w:szCs w:val="22"/>
          <w:u w:val="single"/>
        </w:rPr>
        <w:t>i</w:t>
      </w:r>
      <w:r w:rsidRPr="00E23246">
        <w:rPr>
          <w:szCs w:val="22"/>
          <w:u w:val="single"/>
        </w:rPr>
        <w:t xml:space="preserve"> iš 100)</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vaisiaus smegenų pažeidimas dėl deguonies stokos (</w:t>
      </w:r>
      <w:proofErr w:type="spellStart"/>
      <w:r w:rsidRPr="00E23246">
        <w:rPr>
          <w:szCs w:val="22"/>
        </w:rPr>
        <w:t>hipoksinė</w:t>
      </w:r>
      <w:proofErr w:type="spellEnd"/>
      <w:r w:rsidRPr="00E23246">
        <w:rPr>
          <w:szCs w:val="22"/>
        </w:rPr>
        <w:t xml:space="preserve">-išeminė </w:t>
      </w:r>
      <w:proofErr w:type="spellStart"/>
      <w:r w:rsidRPr="00E23246">
        <w:rPr>
          <w:szCs w:val="22"/>
        </w:rPr>
        <w:t>encefalopatija</w:t>
      </w:r>
      <w:proofErr w:type="spellEnd"/>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pykinimas;</w:t>
      </w:r>
    </w:p>
    <w:p w:rsidR="00A028B6" w:rsidRPr="00E23246" w:rsidRDefault="00A028B6" w:rsidP="00A028B6">
      <w:pPr>
        <w:numPr>
          <w:ilvl w:val="0"/>
          <w:numId w:val="1"/>
        </w:numPr>
        <w:tabs>
          <w:tab w:val="clear" w:pos="567"/>
        </w:tabs>
        <w:spacing w:line="240" w:lineRule="auto"/>
        <w:rPr>
          <w:szCs w:val="22"/>
        </w:rPr>
      </w:pPr>
      <w:r w:rsidRPr="00E23246">
        <w:rPr>
          <w:szCs w:val="22"/>
        </w:rPr>
        <w:t>vėmimas;</w:t>
      </w:r>
    </w:p>
    <w:p w:rsidR="00A028B6" w:rsidRPr="00E23246" w:rsidRDefault="00A028B6" w:rsidP="00A028B6">
      <w:pPr>
        <w:numPr>
          <w:ilvl w:val="0"/>
          <w:numId w:val="1"/>
        </w:numPr>
        <w:tabs>
          <w:tab w:val="clear" w:pos="567"/>
        </w:tabs>
        <w:spacing w:line="240" w:lineRule="auto"/>
        <w:rPr>
          <w:szCs w:val="22"/>
        </w:rPr>
      </w:pPr>
      <w:r w:rsidRPr="00E23246">
        <w:rPr>
          <w:szCs w:val="22"/>
        </w:rPr>
        <w:t>išbėrimas;</w:t>
      </w:r>
    </w:p>
    <w:p w:rsidR="00A028B6" w:rsidRPr="00E23246" w:rsidRDefault="00A028B6" w:rsidP="00A028B6">
      <w:pPr>
        <w:numPr>
          <w:ilvl w:val="0"/>
          <w:numId w:val="1"/>
        </w:numPr>
        <w:tabs>
          <w:tab w:val="clear" w:pos="567"/>
        </w:tabs>
        <w:spacing w:line="240" w:lineRule="auto"/>
        <w:rPr>
          <w:szCs w:val="22"/>
        </w:rPr>
      </w:pPr>
      <w:r w:rsidRPr="00E23246">
        <w:rPr>
          <w:szCs w:val="22"/>
        </w:rPr>
        <w:t>netikėtas kraujavimas iš makšties prieš gimdymą (</w:t>
      </w:r>
      <w:proofErr w:type="spellStart"/>
      <w:r w:rsidRPr="00E23246">
        <w:rPr>
          <w:szCs w:val="22"/>
          <w:lang w:eastAsia="da-DK"/>
        </w:rPr>
        <w:t>priešgimdyminis</w:t>
      </w:r>
      <w:proofErr w:type="spellEnd"/>
      <w:r w:rsidRPr="00E23246">
        <w:rPr>
          <w:szCs w:val="22"/>
          <w:lang w:eastAsia="da-DK"/>
        </w:rPr>
        <w:t xml:space="preserve"> kraujavimas</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lang w:eastAsia="da-DK"/>
        </w:rPr>
        <w:t>placentos atsiskyrimas</w:t>
      </w:r>
      <w:r w:rsidRPr="00E23246">
        <w:rPr>
          <w:szCs w:val="22"/>
        </w:rPr>
        <w:t xml:space="preserve"> nuo gimdos sienelės prieš gimstant kūdikiui (</w:t>
      </w:r>
      <w:r w:rsidRPr="00E23246">
        <w:rPr>
          <w:szCs w:val="22"/>
          <w:lang w:eastAsia="da-DK"/>
        </w:rPr>
        <w:t>priešlaikinis placentos atsiskyrimas</w:t>
      </w:r>
      <w:r w:rsidRPr="00E23246">
        <w:rPr>
          <w:szCs w:val="22"/>
        </w:rPr>
        <w:t>);</w:t>
      </w:r>
    </w:p>
    <w:p w:rsidR="00A028B6" w:rsidRPr="00E23246" w:rsidRDefault="00A028B6" w:rsidP="00A028B6">
      <w:pPr>
        <w:numPr>
          <w:ilvl w:val="0"/>
          <w:numId w:val="1"/>
        </w:numPr>
        <w:tabs>
          <w:tab w:val="clear" w:pos="567"/>
        </w:tabs>
        <w:spacing w:line="240" w:lineRule="auto"/>
        <w:rPr>
          <w:szCs w:val="22"/>
        </w:rPr>
      </w:pPr>
      <w:r w:rsidRPr="00E23246">
        <w:rPr>
          <w:szCs w:val="22"/>
        </w:rPr>
        <w:t>niežėjimas lytinių organų srityje (lytinių organų niežulys);</w:t>
      </w:r>
    </w:p>
    <w:p w:rsidR="00A028B6" w:rsidRPr="00E23246" w:rsidRDefault="00A028B6" w:rsidP="00A028B6">
      <w:pPr>
        <w:numPr>
          <w:ilvl w:val="0"/>
          <w:numId w:val="1"/>
        </w:numPr>
        <w:tabs>
          <w:tab w:val="clear" w:pos="567"/>
        </w:tabs>
        <w:spacing w:line="240" w:lineRule="auto"/>
        <w:rPr>
          <w:szCs w:val="22"/>
        </w:rPr>
      </w:pPr>
      <w:r w:rsidRPr="00E23246">
        <w:rPr>
          <w:szCs w:val="22"/>
        </w:rPr>
        <w:t>padidėjęs kraujospūdis;</w:t>
      </w:r>
    </w:p>
    <w:p w:rsidR="00A028B6" w:rsidRPr="00E23246" w:rsidRDefault="00A028B6" w:rsidP="00A028B6">
      <w:pPr>
        <w:numPr>
          <w:ilvl w:val="0"/>
          <w:numId w:val="1"/>
        </w:numPr>
        <w:tabs>
          <w:tab w:val="clear" w:pos="567"/>
        </w:tabs>
        <w:spacing w:line="240" w:lineRule="auto"/>
        <w:rPr>
          <w:szCs w:val="22"/>
        </w:rPr>
      </w:pPr>
      <w:r w:rsidRPr="00E23246">
        <w:rPr>
          <w:szCs w:val="22"/>
        </w:rPr>
        <w:t>gimdos plyšimas.</w:t>
      </w:r>
    </w:p>
    <w:p w:rsidR="00A028B6" w:rsidRPr="00E23246" w:rsidRDefault="00A028B6" w:rsidP="00A028B6">
      <w:pPr>
        <w:numPr>
          <w:ilvl w:val="12"/>
          <w:numId w:val="0"/>
        </w:numPr>
        <w:spacing w:line="240" w:lineRule="auto"/>
        <w:ind w:right="-2"/>
        <w:rPr>
          <w:szCs w:val="22"/>
        </w:rPr>
      </w:pPr>
    </w:p>
    <w:p w:rsidR="00A028B6" w:rsidRPr="00E23246" w:rsidRDefault="00A028B6" w:rsidP="00A028B6">
      <w:pPr>
        <w:spacing w:line="240" w:lineRule="auto"/>
        <w:rPr>
          <w:b/>
          <w:szCs w:val="22"/>
        </w:rPr>
      </w:pPr>
      <w:r w:rsidRPr="00E23246">
        <w:rPr>
          <w:b/>
          <w:szCs w:val="22"/>
        </w:rPr>
        <w:t>Pranešimas apie šalutinį poveikį</w:t>
      </w:r>
    </w:p>
    <w:p w:rsidR="00A028B6" w:rsidRDefault="00A028B6" w:rsidP="00A028B6">
      <w:pPr>
        <w:spacing w:line="240" w:lineRule="auto"/>
        <w:ind w:right="-449"/>
      </w:pPr>
      <w:r w:rsidRPr="00954BA2">
        <w:t>Jeigu pasireiškė šalutinis poveikis, įskaitant šiame l</w:t>
      </w:r>
      <w:r>
        <w:t xml:space="preserve">apelyje nenurodytą, pasakykite gydytojui </w:t>
      </w:r>
      <w:r w:rsidRPr="00954BA2">
        <w:t xml:space="preserve">arba </w:t>
      </w:r>
      <w:r>
        <w:t>slaugytojui</w:t>
      </w:r>
      <w:r w:rsidRPr="00954BA2">
        <w:t>.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3"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4" w:history="1">
        <w:r w:rsidRPr="00954BA2">
          <w:rPr>
            <w:rStyle w:val="Hipersaitas"/>
            <w:rFonts w:eastAsia="SimSun"/>
          </w:rPr>
          <w:t>NepageidaujamaR@vvkt.lt</w:t>
        </w:r>
      </w:hyperlink>
      <w:r w:rsidRPr="00954BA2">
        <w:t xml:space="preserve">, taip pat per Valstybinės </w:t>
      </w:r>
      <w:r w:rsidRPr="00954BA2">
        <w:lastRenderedPageBreak/>
        <w:t xml:space="preserve">vaistų kontrolės tarnybos prie Lietuvos Respublikos sveikatos apsaugos ministerijos interneto svetainę (adresu </w:t>
      </w:r>
      <w:hyperlink r:id="rId15" w:history="1">
        <w:r w:rsidRPr="00954BA2">
          <w:rPr>
            <w:rStyle w:val="Hipersaitas"/>
            <w:rFonts w:eastAsia="SimSun"/>
          </w:rPr>
          <w:t>http://www.vvkt.lt</w:t>
        </w:r>
      </w:hyperlink>
      <w:r w:rsidRPr="00954BA2">
        <w:t>). Pranešdami apie šalutinį poveikį galite mums padėti gauti daugiau informacijos apie šio vaisto saugumą.</w:t>
      </w:r>
    </w:p>
    <w:p w:rsidR="00A028B6" w:rsidRPr="00E23246" w:rsidRDefault="00A028B6" w:rsidP="00A028B6">
      <w:pPr>
        <w:spacing w:line="240" w:lineRule="auto"/>
        <w:ind w:right="-449"/>
        <w:rPr>
          <w:szCs w:val="22"/>
        </w:rPr>
      </w:pPr>
    </w:p>
    <w:p w:rsidR="00A028B6" w:rsidRPr="00E23246" w:rsidRDefault="00A028B6" w:rsidP="00A028B6">
      <w:pPr>
        <w:spacing w:line="240" w:lineRule="auto"/>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5.</w:t>
      </w:r>
      <w:r w:rsidRPr="00E23246">
        <w:rPr>
          <w:rFonts w:ascii="Times New Roman" w:hAnsi="Times New Roman"/>
          <w:sz w:val="22"/>
          <w:szCs w:val="22"/>
          <w:lang w:val="lt-LT"/>
        </w:rPr>
        <w:tab/>
        <w:t xml:space="preserve">Kaip laikyti </w:t>
      </w:r>
      <w:proofErr w:type="spellStart"/>
      <w:r w:rsidRPr="00E23246">
        <w:rPr>
          <w:rFonts w:ascii="Times New Roman" w:hAnsi="Times New Roman"/>
          <w:sz w:val="22"/>
          <w:szCs w:val="22"/>
          <w:lang w:val="lt-LT"/>
        </w:rPr>
        <w:t>Misodel</w:t>
      </w:r>
      <w:proofErr w:type="spellEnd"/>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r w:rsidRPr="00E23246">
        <w:rPr>
          <w:szCs w:val="22"/>
        </w:rPr>
        <w:t>Šį vaistą laikykite vaikams nepastebimoje ir nepasiekiamoje vietoje.</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r w:rsidRPr="00E23246">
        <w:rPr>
          <w:szCs w:val="22"/>
        </w:rPr>
        <w:t>Laikyti šaldiklyje (nuo – 10 °C iki – 25 °C temperatūroje). Prieš vartojimą atšildyti nereikia.</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r w:rsidRPr="00E23246">
        <w:rPr>
          <w:szCs w:val="22"/>
        </w:rPr>
        <w:t>Ant folijos ir dėžutės po „Tinka iki“ arba „EXP“ nurodytam tinkamumo laikui pasibaigus, šio vaisto vartoti negalima. Vaistas tinkamas vartoti iki paskutinės nurodyto mėnesio dienos.</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i/>
          <w:szCs w:val="22"/>
        </w:rPr>
      </w:pPr>
      <w:r w:rsidRPr="00E23246">
        <w:rPr>
          <w:szCs w:val="22"/>
        </w:rPr>
        <w:t>Vaistų negalima išmesti į kanalizaciją arba su buitinėmis atliekomis. Nereikalingą vaistą išmes arba kitaip juo pasirūpins gydytojas arba slaugytojas. Šios priemonės padės apsaugoti aplinką.</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3"/>
        <w:spacing w:before="0" w:after="0" w:line="240" w:lineRule="auto"/>
        <w:rPr>
          <w:rFonts w:ascii="Times New Roman" w:hAnsi="Times New Roman"/>
          <w:sz w:val="22"/>
          <w:szCs w:val="22"/>
          <w:lang w:val="lt-LT"/>
        </w:rPr>
      </w:pPr>
      <w:r w:rsidRPr="00E23246">
        <w:rPr>
          <w:rFonts w:ascii="Times New Roman" w:hAnsi="Times New Roman"/>
          <w:sz w:val="22"/>
          <w:szCs w:val="22"/>
          <w:lang w:val="lt-LT"/>
        </w:rPr>
        <w:t>6.</w:t>
      </w:r>
      <w:r w:rsidRPr="00E23246">
        <w:rPr>
          <w:rFonts w:ascii="Times New Roman" w:hAnsi="Times New Roman"/>
          <w:sz w:val="22"/>
          <w:szCs w:val="22"/>
          <w:lang w:val="lt-LT"/>
        </w:rPr>
        <w:tab/>
        <w:t>Pakuotės turinys ir kita informacija</w:t>
      </w:r>
    </w:p>
    <w:p w:rsidR="00A028B6" w:rsidRPr="00E23246" w:rsidRDefault="00A028B6" w:rsidP="00A028B6">
      <w:pPr>
        <w:numPr>
          <w:ilvl w:val="12"/>
          <w:numId w:val="0"/>
        </w:num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proofErr w:type="spellStart"/>
      <w:r w:rsidRPr="00E23246">
        <w:rPr>
          <w:rFonts w:ascii="Times New Roman" w:hAnsi="Times New Roman"/>
          <w:sz w:val="22"/>
          <w:szCs w:val="22"/>
          <w:lang w:val="lt-LT"/>
        </w:rPr>
        <w:t>Misodel</w:t>
      </w:r>
      <w:proofErr w:type="spellEnd"/>
      <w:r w:rsidRPr="00E23246">
        <w:rPr>
          <w:rFonts w:ascii="Times New Roman" w:hAnsi="Times New Roman"/>
          <w:sz w:val="22"/>
          <w:szCs w:val="22"/>
          <w:lang w:val="lt-LT"/>
        </w:rPr>
        <w:t xml:space="preserve"> sudėtis </w:t>
      </w:r>
    </w:p>
    <w:p w:rsidR="00A028B6" w:rsidRPr="00E23246" w:rsidRDefault="00A028B6" w:rsidP="00A028B6">
      <w:pPr>
        <w:numPr>
          <w:ilvl w:val="0"/>
          <w:numId w:val="2"/>
        </w:numPr>
        <w:tabs>
          <w:tab w:val="clear" w:pos="567"/>
        </w:tabs>
        <w:spacing w:line="240" w:lineRule="auto"/>
        <w:ind w:left="567" w:right="-2" w:hanging="567"/>
        <w:rPr>
          <w:szCs w:val="22"/>
        </w:rPr>
      </w:pPr>
      <w:r w:rsidRPr="00E23246">
        <w:rPr>
          <w:szCs w:val="22"/>
        </w:rPr>
        <w:t xml:space="preserve">Veiklioji medžiaga yra </w:t>
      </w:r>
      <w:proofErr w:type="spellStart"/>
      <w:r w:rsidRPr="00E23246">
        <w:rPr>
          <w:szCs w:val="22"/>
        </w:rPr>
        <w:t>mizoprostolis</w:t>
      </w:r>
      <w:proofErr w:type="spellEnd"/>
      <w:r w:rsidRPr="00E23246">
        <w:rPr>
          <w:szCs w:val="22"/>
        </w:rPr>
        <w:t>.</w:t>
      </w:r>
      <w:r w:rsidRPr="00E23246">
        <w:rPr>
          <w:szCs w:val="22"/>
        </w:rPr>
        <w:br/>
        <w:t xml:space="preserve">Kiekvienoje vartojimo į makštį sistemoje yra 200 </w:t>
      </w:r>
      <w:proofErr w:type="spellStart"/>
      <w:r w:rsidRPr="00E23246">
        <w:rPr>
          <w:szCs w:val="22"/>
        </w:rPr>
        <w:t>mikrogramų</w:t>
      </w:r>
      <w:proofErr w:type="spellEnd"/>
      <w:r w:rsidRPr="00E23246">
        <w:rPr>
          <w:szCs w:val="22"/>
        </w:rPr>
        <w:t xml:space="preserve"> </w:t>
      </w:r>
      <w:proofErr w:type="spellStart"/>
      <w:r w:rsidRPr="00E23246">
        <w:rPr>
          <w:szCs w:val="22"/>
        </w:rPr>
        <w:t>mizoprostolio</w:t>
      </w:r>
      <w:proofErr w:type="spellEnd"/>
      <w:r w:rsidRPr="00E23246">
        <w:rPr>
          <w:szCs w:val="22"/>
        </w:rPr>
        <w:t xml:space="preserve">, kuris atpalaiduojamas 24 val. vidutiniškai maždaug 7 </w:t>
      </w:r>
      <w:proofErr w:type="spellStart"/>
      <w:r w:rsidRPr="00E23246">
        <w:rPr>
          <w:szCs w:val="22"/>
        </w:rPr>
        <w:t>mikrogramų</w:t>
      </w:r>
      <w:proofErr w:type="spellEnd"/>
      <w:r w:rsidRPr="00E23246">
        <w:rPr>
          <w:szCs w:val="22"/>
        </w:rPr>
        <w:t>/val. greičiu.</w:t>
      </w:r>
    </w:p>
    <w:p w:rsidR="00A028B6" w:rsidRPr="00E23246" w:rsidRDefault="00A028B6" w:rsidP="00A028B6">
      <w:pPr>
        <w:numPr>
          <w:ilvl w:val="0"/>
          <w:numId w:val="2"/>
        </w:numPr>
        <w:tabs>
          <w:tab w:val="clear" w:pos="567"/>
        </w:tabs>
        <w:spacing w:line="240" w:lineRule="auto"/>
        <w:ind w:left="567" w:right="-2" w:hanging="567"/>
        <w:rPr>
          <w:szCs w:val="22"/>
        </w:rPr>
      </w:pPr>
      <w:r w:rsidRPr="00E23246">
        <w:rPr>
          <w:szCs w:val="22"/>
        </w:rPr>
        <w:t xml:space="preserve">Pagalbinės medžiagos yra kryžminių jungčių </w:t>
      </w:r>
      <w:proofErr w:type="spellStart"/>
      <w:r w:rsidRPr="00E23246">
        <w:rPr>
          <w:szCs w:val="22"/>
        </w:rPr>
        <w:t>hidrogelio</w:t>
      </w:r>
      <w:proofErr w:type="spellEnd"/>
      <w:r w:rsidRPr="00E23246">
        <w:rPr>
          <w:szCs w:val="22"/>
        </w:rPr>
        <w:t xml:space="preserve"> polimeras (jį sudaro </w:t>
      </w:r>
      <w:proofErr w:type="spellStart"/>
      <w:r w:rsidRPr="00E23246">
        <w:rPr>
          <w:szCs w:val="22"/>
        </w:rPr>
        <w:t>makrogolis</w:t>
      </w:r>
      <w:proofErr w:type="spellEnd"/>
      <w:r w:rsidRPr="00E23246">
        <w:rPr>
          <w:szCs w:val="22"/>
        </w:rPr>
        <w:t xml:space="preserve">, 1,2,6-heksanetriolis ir dicikloheksil-metano-4,4’-diizocianatas), </w:t>
      </w:r>
      <w:proofErr w:type="spellStart"/>
      <w:r w:rsidRPr="00E23246">
        <w:rPr>
          <w:szCs w:val="22"/>
        </w:rPr>
        <w:t>butilhidroksianizolas</w:t>
      </w:r>
      <w:proofErr w:type="spellEnd"/>
      <w:r w:rsidRPr="00E23246">
        <w:rPr>
          <w:szCs w:val="22"/>
        </w:rPr>
        <w:t xml:space="preserve"> ir poliesterio sistema ištraukimui (megztas poliesterio siūlas).</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pStyle w:val="Antrat4"/>
        <w:spacing w:line="240" w:lineRule="auto"/>
        <w:rPr>
          <w:rFonts w:ascii="Times New Roman" w:hAnsi="Times New Roman"/>
          <w:sz w:val="22"/>
          <w:szCs w:val="22"/>
          <w:lang w:val="lt-LT"/>
        </w:rPr>
      </w:pPr>
      <w:proofErr w:type="spellStart"/>
      <w:r w:rsidRPr="00E23246">
        <w:rPr>
          <w:rFonts w:ascii="Times New Roman" w:hAnsi="Times New Roman"/>
          <w:sz w:val="22"/>
          <w:szCs w:val="22"/>
          <w:lang w:val="lt-LT"/>
        </w:rPr>
        <w:t>Misodel</w:t>
      </w:r>
      <w:proofErr w:type="spellEnd"/>
      <w:r w:rsidRPr="00E23246">
        <w:rPr>
          <w:rFonts w:ascii="Times New Roman" w:hAnsi="Times New Roman"/>
          <w:sz w:val="22"/>
          <w:szCs w:val="22"/>
          <w:lang w:val="lt-LT"/>
        </w:rPr>
        <w:t xml:space="preserve"> išvaizda ir kiekis pakuotėje</w:t>
      </w:r>
    </w:p>
    <w:p w:rsidR="00A028B6" w:rsidRPr="00E23246" w:rsidRDefault="00A028B6" w:rsidP="00A028B6">
      <w:pPr>
        <w:spacing w:line="240" w:lineRule="auto"/>
        <w:ind w:right="-2"/>
        <w:rPr>
          <w:szCs w:val="22"/>
        </w:rPr>
      </w:pPr>
      <w:proofErr w:type="spellStart"/>
      <w:r w:rsidRPr="00E23246">
        <w:rPr>
          <w:szCs w:val="22"/>
        </w:rPr>
        <w:t>Misodel</w:t>
      </w:r>
      <w:proofErr w:type="spellEnd"/>
      <w:r w:rsidRPr="00E23246">
        <w:rPr>
          <w:szCs w:val="22"/>
        </w:rPr>
        <w:t xml:space="preserve"> turi rezervuarą, kuriame yra 200 </w:t>
      </w:r>
      <w:proofErr w:type="spellStart"/>
      <w:r w:rsidRPr="00E23246">
        <w:rPr>
          <w:szCs w:val="22"/>
        </w:rPr>
        <w:t>mikrogramų</w:t>
      </w:r>
      <w:proofErr w:type="spellEnd"/>
      <w:r w:rsidRPr="00E23246">
        <w:rPr>
          <w:szCs w:val="22"/>
        </w:rPr>
        <w:t xml:space="preserve"> </w:t>
      </w:r>
      <w:proofErr w:type="spellStart"/>
      <w:r w:rsidRPr="00E23246">
        <w:rPr>
          <w:szCs w:val="22"/>
        </w:rPr>
        <w:t>mizoprostolio</w:t>
      </w:r>
      <w:proofErr w:type="spellEnd"/>
      <w:r w:rsidRPr="00E23246">
        <w:rPr>
          <w:szCs w:val="22"/>
        </w:rPr>
        <w:t xml:space="preserve">. </w:t>
      </w:r>
      <w:proofErr w:type="spellStart"/>
      <w:r w:rsidRPr="00E23246">
        <w:rPr>
          <w:szCs w:val="22"/>
        </w:rPr>
        <w:t>Misodel</w:t>
      </w:r>
      <w:proofErr w:type="spellEnd"/>
      <w:r w:rsidRPr="00E23246">
        <w:rPr>
          <w:szCs w:val="22"/>
        </w:rPr>
        <w:t xml:space="preserve"> – tai mažas stačiakampio formos plastiko gabalėlis ištraukimui skirtoje sistemoje, pagamintoje iš tinklinio audinio. Plastikas – tai </w:t>
      </w:r>
      <w:proofErr w:type="spellStart"/>
      <w:r w:rsidRPr="00E23246">
        <w:rPr>
          <w:szCs w:val="22"/>
        </w:rPr>
        <w:t>hidrogelio</w:t>
      </w:r>
      <w:proofErr w:type="spellEnd"/>
      <w:r w:rsidRPr="00E23246">
        <w:rPr>
          <w:szCs w:val="22"/>
        </w:rPr>
        <w:t xml:space="preserve"> polimeras, kuris drėgnoje aplinkoje išbrinksta ir atpalaiduoja kontroliuojamą </w:t>
      </w:r>
      <w:proofErr w:type="spellStart"/>
      <w:r w:rsidRPr="00E23246">
        <w:rPr>
          <w:szCs w:val="22"/>
        </w:rPr>
        <w:t>mizoprostolio</w:t>
      </w:r>
      <w:proofErr w:type="spellEnd"/>
      <w:r w:rsidRPr="00E23246">
        <w:rPr>
          <w:szCs w:val="22"/>
        </w:rPr>
        <w:t xml:space="preserve"> kiekį. Ištraukimo sistema turi ilgą siūlą, už kurio patraukęs gydytojas ar slaugytojas pašalina preparatą, kai to reikia.</w:t>
      </w:r>
    </w:p>
    <w:p w:rsidR="00A028B6" w:rsidRPr="00E23246" w:rsidRDefault="00A028B6" w:rsidP="00A028B6">
      <w:pPr>
        <w:tabs>
          <w:tab w:val="left" w:pos="3090"/>
        </w:tabs>
        <w:spacing w:line="240" w:lineRule="auto"/>
        <w:ind w:right="-2"/>
        <w:rPr>
          <w:szCs w:val="22"/>
        </w:rPr>
      </w:pPr>
    </w:p>
    <w:p w:rsidR="00A028B6" w:rsidRPr="00E23246" w:rsidRDefault="00A028B6" w:rsidP="00A028B6">
      <w:pPr>
        <w:tabs>
          <w:tab w:val="clear" w:pos="567"/>
        </w:tabs>
        <w:spacing w:line="240" w:lineRule="auto"/>
        <w:rPr>
          <w:szCs w:val="22"/>
        </w:rPr>
      </w:pPr>
      <w:r w:rsidRPr="00E23246">
        <w:rPr>
          <w:szCs w:val="22"/>
        </w:rPr>
        <w:t xml:space="preserve">1 x 200 </w:t>
      </w:r>
      <w:proofErr w:type="spellStart"/>
      <w:r w:rsidRPr="00E23246">
        <w:rPr>
          <w:szCs w:val="22"/>
        </w:rPr>
        <w:t>mikrogramų</w:t>
      </w:r>
      <w:proofErr w:type="spellEnd"/>
      <w:r w:rsidRPr="00E23246">
        <w:rPr>
          <w:szCs w:val="22"/>
        </w:rPr>
        <w:t xml:space="preserve"> vartojimo į makštį sistema.</w:t>
      </w:r>
    </w:p>
    <w:p w:rsidR="00A028B6" w:rsidRPr="00E23246" w:rsidRDefault="00A028B6" w:rsidP="00A028B6">
      <w:pPr>
        <w:tabs>
          <w:tab w:val="clear" w:pos="567"/>
        </w:tabs>
        <w:spacing w:line="240" w:lineRule="auto"/>
        <w:rPr>
          <w:szCs w:val="22"/>
        </w:rPr>
      </w:pPr>
      <w:r w:rsidRPr="00E23246">
        <w:rPr>
          <w:szCs w:val="22"/>
        </w:rPr>
        <w:t xml:space="preserve">5 x 200 </w:t>
      </w:r>
      <w:proofErr w:type="spellStart"/>
      <w:r w:rsidRPr="00E23246">
        <w:rPr>
          <w:szCs w:val="22"/>
        </w:rPr>
        <w:t>mikrogramų</w:t>
      </w:r>
      <w:proofErr w:type="spellEnd"/>
      <w:r w:rsidRPr="00E23246">
        <w:rPr>
          <w:szCs w:val="22"/>
        </w:rPr>
        <w:t xml:space="preserve"> vartojimo į makštį sistemos.</w:t>
      </w:r>
    </w:p>
    <w:p w:rsidR="00A028B6" w:rsidRPr="00E23246" w:rsidRDefault="00A028B6" w:rsidP="00A028B6">
      <w:pPr>
        <w:tabs>
          <w:tab w:val="clear" w:pos="567"/>
        </w:tabs>
        <w:spacing w:line="240" w:lineRule="auto"/>
        <w:rPr>
          <w:szCs w:val="22"/>
        </w:rPr>
      </w:pPr>
      <w:r w:rsidRPr="00E23246">
        <w:rPr>
          <w:szCs w:val="22"/>
        </w:rPr>
        <w:t xml:space="preserve">5 x 200 </w:t>
      </w:r>
      <w:proofErr w:type="spellStart"/>
      <w:r w:rsidRPr="00E23246">
        <w:rPr>
          <w:szCs w:val="22"/>
        </w:rPr>
        <w:t>mikrogramų</w:t>
      </w:r>
      <w:proofErr w:type="spellEnd"/>
      <w:r w:rsidRPr="00E23246">
        <w:rPr>
          <w:szCs w:val="22"/>
        </w:rPr>
        <w:t xml:space="preserve"> vartojimo į makštį sistemos (sudėtinė pakuotė).</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Kiekviena vartojimo į makštį sistema supakuota atskirame folijos paketėlyje (jis pagamintas iš aliuminio folija laminuotos juostelės), kuriame taip pat yra džioviklio. Folijos paketėlis yra dėžutėje.</w:t>
      </w:r>
    </w:p>
    <w:p w:rsidR="00A028B6" w:rsidRPr="00E23246" w:rsidRDefault="00A028B6" w:rsidP="00A028B6">
      <w:pPr>
        <w:spacing w:line="240" w:lineRule="auto"/>
        <w:rPr>
          <w:szCs w:val="22"/>
        </w:rPr>
      </w:pPr>
    </w:p>
    <w:p w:rsidR="00A028B6" w:rsidRPr="00E23246" w:rsidRDefault="00A028B6" w:rsidP="00A028B6">
      <w:pPr>
        <w:tabs>
          <w:tab w:val="clear" w:pos="567"/>
        </w:tabs>
        <w:spacing w:line="240" w:lineRule="auto"/>
        <w:rPr>
          <w:szCs w:val="22"/>
        </w:rPr>
      </w:pPr>
      <w:r w:rsidRPr="00E23246">
        <w:rPr>
          <w:szCs w:val="22"/>
        </w:rPr>
        <w:t>Gali būti tiekiamos ne visų dydžių pakuotės.</w:t>
      </w:r>
    </w:p>
    <w:p w:rsidR="00A028B6" w:rsidRPr="00E23246" w:rsidRDefault="00A028B6" w:rsidP="00A028B6">
      <w:pPr>
        <w:tabs>
          <w:tab w:val="clear" w:pos="567"/>
        </w:tabs>
        <w:spacing w:line="240" w:lineRule="auto"/>
        <w:rPr>
          <w:szCs w:val="22"/>
        </w:rPr>
      </w:pPr>
    </w:p>
    <w:p w:rsidR="00A028B6" w:rsidRPr="00E23246" w:rsidRDefault="00A028B6" w:rsidP="00A028B6">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w:t>
      </w:r>
      <w:r w:rsidRPr="00E23246">
        <w:rPr>
          <w:rFonts w:ascii="Times New Roman" w:hAnsi="Times New Roman"/>
          <w:sz w:val="22"/>
          <w:szCs w:val="22"/>
          <w:lang w:val="lt-LT"/>
        </w:rPr>
        <w:t xml:space="preserve"> ir gamintojas</w:t>
      </w:r>
    </w:p>
    <w:p w:rsidR="00A028B6" w:rsidRPr="00E23246" w:rsidRDefault="00A028B6" w:rsidP="00A028B6">
      <w:pPr>
        <w:spacing w:line="240" w:lineRule="auto"/>
        <w:rPr>
          <w:szCs w:val="22"/>
        </w:rPr>
      </w:pPr>
    </w:p>
    <w:p w:rsidR="00A028B6" w:rsidRPr="00E23246" w:rsidRDefault="00A028B6" w:rsidP="00A028B6">
      <w:pPr>
        <w:spacing w:line="240" w:lineRule="auto"/>
        <w:rPr>
          <w:i/>
          <w:szCs w:val="22"/>
        </w:rPr>
      </w:pPr>
      <w:r>
        <w:rPr>
          <w:i/>
          <w:szCs w:val="22"/>
        </w:rPr>
        <w:t>Registruotojas</w:t>
      </w:r>
    </w:p>
    <w:p w:rsidR="00A028B6" w:rsidRPr="00C1611D" w:rsidRDefault="00A028B6" w:rsidP="00A028B6">
      <w:pPr>
        <w:rPr>
          <w:rFonts w:eastAsia="MS Mincho"/>
          <w:szCs w:val="22"/>
        </w:rPr>
      </w:pPr>
      <w:proofErr w:type="spellStart"/>
      <w:r w:rsidRPr="00C1611D">
        <w:rPr>
          <w:rFonts w:eastAsia="MS Mincho"/>
          <w:szCs w:val="22"/>
        </w:rPr>
        <w:t>Ferring</w:t>
      </w:r>
      <w:proofErr w:type="spellEnd"/>
      <w:r w:rsidRPr="00C1611D">
        <w:rPr>
          <w:rFonts w:eastAsia="MS Mincho"/>
          <w:szCs w:val="22"/>
        </w:rPr>
        <w:t xml:space="preserve"> </w:t>
      </w:r>
      <w:proofErr w:type="spellStart"/>
      <w:r w:rsidRPr="00C1611D">
        <w:rPr>
          <w:rFonts w:eastAsia="MS Mincho"/>
          <w:szCs w:val="22"/>
        </w:rPr>
        <w:t>GmbH</w:t>
      </w:r>
      <w:proofErr w:type="spellEnd"/>
    </w:p>
    <w:p w:rsidR="00A028B6" w:rsidRPr="00C1611D" w:rsidRDefault="00A028B6" w:rsidP="00A028B6">
      <w:pPr>
        <w:rPr>
          <w:rFonts w:eastAsia="MS Mincho"/>
          <w:szCs w:val="22"/>
        </w:rPr>
      </w:pPr>
      <w:proofErr w:type="spellStart"/>
      <w:r w:rsidRPr="00C1611D">
        <w:rPr>
          <w:rFonts w:eastAsia="MS Mincho"/>
          <w:szCs w:val="22"/>
        </w:rPr>
        <w:t>Wittland</w:t>
      </w:r>
      <w:proofErr w:type="spellEnd"/>
      <w:r w:rsidRPr="00C1611D">
        <w:rPr>
          <w:rFonts w:eastAsia="MS Mincho"/>
          <w:szCs w:val="22"/>
        </w:rPr>
        <w:t xml:space="preserve"> 11</w:t>
      </w:r>
    </w:p>
    <w:p w:rsidR="00A028B6" w:rsidRPr="00C1611D" w:rsidRDefault="00A028B6" w:rsidP="00A028B6">
      <w:pPr>
        <w:rPr>
          <w:rFonts w:eastAsia="MS Mincho"/>
          <w:szCs w:val="22"/>
        </w:rPr>
      </w:pPr>
      <w:r w:rsidRPr="00C1611D">
        <w:rPr>
          <w:rFonts w:eastAsia="MS Mincho"/>
          <w:szCs w:val="22"/>
        </w:rPr>
        <w:lastRenderedPageBreak/>
        <w:t xml:space="preserve">D-24109 </w:t>
      </w:r>
      <w:proofErr w:type="spellStart"/>
      <w:r w:rsidRPr="00C1611D">
        <w:rPr>
          <w:rFonts w:eastAsia="MS Mincho"/>
          <w:szCs w:val="22"/>
        </w:rPr>
        <w:t>Kiel</w:t>
      </w:r>
      <w:proofErr w:type="spellEnd"/>
    </w:p>
    <w:p w:rsidR="00A028B6" w:rsidRDefault="00A028B6" w:rsidP="00A028B6">
      <w:pPr>
        <w:numPr>
          <w:ilvl w:val="12"/>
          <w:numId w:val="0"/>
        </w:numPr>
        <w:tabs>
          <w:tab w:val="clear" w:pos="567"/>
        </w:tabs>
        <w:spacing w:line="240" w:lineRule="auto"/>
        <w:ind w:right="-2"/>
        <w:rPr>
          <w:szCs w:val="22"/>
        </w:rPr>
      </w:pPr>
      <w:r w:rsidRPr="00C1611D">
        <w:rPr>
          <w:rFonts w:eastAsia="MS Mincho"/>
          <w:szCs w:val="22"/>
        </w:rPr>
        <w:t>Vokietija</w:t>
      </w:r>
      <w:r w:rsidRPr="00E23246" w:rsidDel="00AF7913">
        <w:rPr>
          <w:szCs w:val="22"/>
        </w:rPr>
        <w:t xml:space="preserve"> </w:t>
      </w:r>
    </w:p>
    <w:p w:rsidR="00A028B6" w:rsidRPr="00E23246" w:rsidRDefault="00A028B6" w:rsidP="00A028B6">
      <w:pPr>
        <w:numPr>
          <w:ilvl w:val="12"/>
          <w:numId w:val="0"/>
        </w:numPr>
        <w:tabs>
          <w:tab w:val="clear" w:pos="567"/>
        </w:tabs>
        <w:spacing w:line="240" w:lineRule="auto"/>
        <w:ind w:right="-2"/>
        <w:rPr>
          <w:szCs w:val="22"/>
        </w:rPr>
      </w:pPr>
    </w:p>
    <w:p w:rsidR="00A028B6" w:rsidRPr="008C011C" w:rsidRDefault="00A028B6" w:rsidP="00A028B6">
      <w:pPr>
        <w:pStyle w:val="Antrat4"/>
        <w:spacing w:line="240" w:lineRule="auto"/>
        <w:rPr>
          <w:rFonts w:ascii="Times New Roman" w:hAnsi="Times New Roman"/>
          <w:b w:val="0"/>
          <w:i/>
          <w:sz w:val="22"/>
          <w:lang w:val="lt-LT"/>
        </w:rPr>
      </w:pPr>
      <w:r w:rsidRPr="008C011C">
        <w:rPr>
          <w:rFonts w:ascii="Times New Roman" w:hAnsi="Times New Roman"/>
          <w:b w:val="0"/>
          <w:i/>
          <w:sz w:val="22"/>
          <w:lang w:val="lt-LT"/>
        </w:rPr>
        <w:t>Gamintojas</w:t>
      </w:r>
    </w:p>
    <w:p w:rsidR="00A028B6" w:rsidRPr="00E23246" w:rsidRDefault="00A028B6" w:rsidP="00A028B6">
      <w:pPr>
        <w:numPr>
          <w:ilvl w:val="12"/>
          <w:numId w:val="0"/>
        </w:numPr>
        <w:spacing w:line="240" w:lineRule="auto"/>
        <w:ind w:right="-2"/>
        <w:rPr>
          <w:szCs w:val="22"/>
        </w:rPr>
      </w:pPr>
      <w:proofErr w:type="spellStart"/>
      <w:r w:rsidRPr="00E23246">
        <w:rPr>
          <w:szCs w:val="22"/>
        </w:rPr>
        <w:t>Ferring</w:t>
      </w:r>
      <w:proofErr w:type="spellEnd"/>
      <w:r w:rsidRPr="00E23246">
        <w:rPr>
          <w:szCs w:val="22"/>
        </w:rPr>
        <w:t xml:space="preserve"> </w:t>
      </w:r>
      <w:proofErr w:type="spellStart"/>
      <w:r w:rsidRPr="00E23246">
        <w:rPr>
          <w:szCs w:val="22"/>
        </w:rPr>
        <w:t>Controlled</w:t>
      </w:r>
      <w:proofErr w:type="spellEnd"/>
      <w:r w:rsidRPr="00E23246">
        <w:rPr>
          <w:szCs w:val="22"/>
        </w:rPr>
        <w:t xml:space="preserve"> </w:t>
      </w:r>
      <w:proofErr w:type="spellStart"/>
      <w:r w:rsidRPr="00E23246">
        <w:rPr>
          <w:szCs w:val="22"/>
        </w:rPr>
        <w:t>Therapeutics</w:t>
      </w:r>
      <w:proofErr w:type="spellEnd"/>
      <w:r w:rsidRPr="00E23246">
        <w:rPr>
          <w:szCs w:val="22"/>
        </w:rPr>
        <w:t xml:space="preserve"> </w:t>
      </w:r>
      <w:proofErr w:type="spellStart"/>
      <w:r w:rsidRPr="00E23246">
        <w:rPr>
          <w:szCs w:val="22"/>
        </w:rPr>
        <w:t>Limited</w:t>
      </w:r>
      <w:proofErr w:type="spellEnd"/>
    </w:p>
    <w:p w:rsidR="00A028B6" w:rsidRPr="00E23246" w:rsidRDefault="00A028B6" w:rsidP="00A028B6">
      <w:pPr>
        <w:numPr>
          <w:ilvl w:val="12"/>
          <w:numId w:val="0"/>
        </w:numPr>
        <w:spacing w:line="240" w:lineRule="auto"/>
        <w:ind w:right="-2"/>
        <w:rPr>
          <w:szCs w:val="22"/>
        </w:rPr>
      </w:pPr>
      <w:r w:rsidRPr="00E23246">
        <w:rPr>
          <w:szCs w:val="22"/>
        </w:rPr>
        <w:t xml:space="preserve">1 </w:t>
      </w:r>
      <w:proofErr w:type="spellStart"/>
      <w:r w:rsidRPr="00E23246">
        <w:rPr>
          <w:szCs w:val="22"/>
        </w:rPr>
        <w:t>Redwood</w:t>
      </w:r>
      <w:proofErr w:type="spellEnd"/>
      <w:r w:rsidRPr="00E23246">
        <w:rPr>
          <w:szCs w:val="22"/>
        </w:rPr>
        <w:t xml:space="preserve"> </w:t>
      </w:r>
      <w:proofErr w:type="spellStart"/>
      <w:r w:rsidRPr="00E23246">
        <w:rPr>
          <w:szCs w:val="22"/>
        </w:rPr>
        <w:t>Place</w:t>
      </w:r>
      <w:proofErr w:type="spellEnd"/>
    </w:p>
    <w:p w:rsidR="00A028B6" w:rsidRPr="00E23246" w:rsidRDefault="00A028B6" w:rsidP="00A028B6">
      <w:pPr>
        <w:numPr>
          <w:ilvl w:val="12"/>
          <w:numId w:val="0"/>
        </w:numPr>
        <w:spacing w:line="240" w:lineRule="auto"/>
        <w:ind w:right="-2"/>
        <w:rPr>
          <w:szCs w:val="22"/>
        </w:rPr>
      </w:pPr>
      <w:proofErr w:type="spellStart"/>
      <w:r w:rsidRPr="00E23246">
        <w:rPr>
          <w:szCs w:val="22"/>
        </w:rPr>
        <w:t>Peel</w:t>
      </w:r>
      <w:proofErr w:type="spellEnd"/>
      <w:r w:rsidRPr="00E23246">
        <w:rPr>
          <w:szCs w:val="22"/>
        </w:rPr>
        <w:t xml:space="preserve"> </w:t>
      </w:r>
      <w:proofErr w:type="spellStart"/>
      <w:r w:rsidRPr="00E23246">
        <w:rPr>
          <w:szCs w:val="22"/>
        </w:rPr>
        <w:t>Park</w:t>
      </w:r>
      <w:proofErr w:type="spellEnd"/>
      <w:r w:rsidRPr="00E23246">
        <w:rPr>
          <w:szCs w:val="22"/>
        </w:rPr>
        <w:t xml:space="preserve"> </w:t>
      </w:r>
      <w:proofErr w:type="spellStart"/>
      <w:r w:rsidRPr="00E23246">
        <w:rPr>
          <w:szCs w:val="22"/>
        </w:rPr>
        <w:t>Campus</w:t>
      </w:r>
      <w:proofErr w:type="spellEnd"/>
    </w:p>
    <w:p w:rsidR="00A028B6" w:rsidRPr="00E23246" w:rsidRDefault="00A028B6" w:rsidP="00A028B6">
      <w:pPr>
        <w:numPr>
          <w:ilvl w:val="12"/>
          <w:numId w:val="0"/>
        </w:numPr>
        <w:spacing w:line="240" w:lineRule="auto"/>
        <w:ind w:right="-2"/>
        <w:rPr>
          <w:szCs w:val="22"/>
        </w:rPr>
      </w:pPr>
      <w:proofErr w:type="spellStart"/>
      <w:r w:rsidRPr="00E23246">
        <w:rPr>
          <w:szCs w:val="22"/>
        </w:rPr>
        <w:t>East</w:t>
      </w:r>
      <w:proofErr w:type="spellEnd"/>
      <w:r w:rsidRPr="00E23246">
        <w:rPr>
          <w:szCs w:val="22"/>
        </w:rPr>
        <w:t xml:space="preserve"> </w:t>
      </w:r>
      <w:proofErr w:type="spellStart"/>
      <w:r w:rsidRPr="00E23246">
        <w:rPr>
          <w:szCs w:val="22"/>
        </w:rPr>
        <w:t>Kilbriden</w:t>
      </w:r>
      <w:proofErr w:type="spellEnd"/>
      <w:r w:rsidRPr="00E23246">
        <w:rPr>
          <w:szCs w:val="22"/>
        </w:rPr>
        <w:t xml:space="preserve"> </w:t>
      </w:r>
    </w:p>
    <w:p w:rsidR="00A028B6" w:rsidRPr="00E23246" w:rsidRDefault="00A028B6" w:rsidP="00A028B6">
      <w:pPr>
        <w:numPr>
          <w:ilvl w:val="12"/>
          <w:numId w:val="0"/>
        </w:numPr>
        <w:spacing w:line="240" w:lineRule="auto"/>
        <w:ind w:right="-2"/>
        <w:rPr>
          <w:szCs w:val="22"/>
        </w:rPr>
      </w:pPr>
      <w:proofErr w:type="spellStart"/>
      <w:r w:rsidRPr="00E23246">
        <w:rPr>
          <w:szCs w:val="22"/>
        </w:rPr>
        <w:t>Scotland</w:t>
      </w:r>
      <w:proofErr w:type="spellEnd"/>
      <w:r w:rsidRPr="00E23246">
        <w:rPr>
          <w:szCs w:val="22"/>
        </w:rPr>
        <w:t xml:space="preserve"> G74 5PB</w:t>
      </w:r>
    </w:p>
    <w:p w:rsidR="00A028B6" w:rsidRPr="00E23246" w:rsidRDefault="00A028B6" w:rsidP="00A028B6">
      <w:pPr>
        <w:numPr>
          <w:ilvl w:val="12"/>
          <w:numId w:val="0"/>
        </w:numPr>
        <w:spacing w:line="240" w:lineRule="auto"/>
        <w:ind w:right="-2"/>
        <w:rPr>
          <w:szCs w:val="22"/>
        </w:rPr>
      </w:pPr>
      <w:r w:rsidRPr="00E23246">
        <w:rPr>
          <w:szCs w:val="22"/>
        </w:rPr>
        <w:t>Jungtinė Karalystė</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ind w:right="-2"/>
        <w:rPr>
          <w:szCs w:val="22"/>
        </w:rPr>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E23246">
        <w:rPr>
          <w:szCs w:val="22"/>
        </w:rPr>
        <w:t>:</w:t>
      </w:r>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sidRPr="00E23246">
        <w:rPr>
          <w:rFonts w:eastAsia="Calibri"/>
          <w:szCs w:val="22"/>
          <w:lang w:eastAsia="lt-LT"/>
        </w:rPr>
        <w:t>Austri</w:t>
      </w:r>
      <w:r>
        <w:rPr>
          <w:rFonts w:eastAsia="Calibri"/>
          <w:szCs w:val="22"/>
          <w:lang w:eastAsia="lt-LT"/>
        </w:rPr>
        <w:t>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Mikrogramm</w:t>
      </w:r>
      <w:proofErr w:type="spellEnd"/>
      <w:r w:rsidRPr="00E23246">
        <w:rPr>
          <w:rFonts w:eastAsia="Calibri"/>
          <w:szCs w:val="22"/>
          <w:lang w:eastAsia="lt-LT"/>
        </w:rPr>
        <w:t xml:space="preserve"> </w:t>
      </w:r>
      <w:r>
        <w:rPr>
          <w:rFonts w:eastAsia="Calibri"/>
          <w:szCs w:val="22"/>
          <w:lang w:eastAsia="lt-LT"/>
        </w:rPr>
        <w:t>–</w:t>
      </w:r>
      <w:r w:rsidRPr="00E23246">
        <w:rPr>
          <w:rFonts w:eastAsia="Calibri"/>
          <w:szCs w:val="22"/>
          <w:lang w:eastAsia="lt-LT"/>
        </w:rPr>
        <w:t xml:space="preserve"> </w:t>
      </w:r>
      <w:proofErr w:type="spellStart"/>
      <w:r w:rsidRPr="00E23246">
        <w:rPr>
          <w:rFonts w:eastAsia="Calibri"/>
          <w:szCs w:val="22"/>
          <w:lang w:eastAsia="lt-LT"/>
        </w:rPr>
        <w:t>Vaginales</w:t>
      </w:r>
      <w:proofErr w:type="spellEnd"/>
      <w:r>
        <w:rPr>
          <w:rFonts w:eastAsia="Calibri"/>
          <w:szCs w:val="22"/>
          <w:lang w:eastAsia="lt-LT"/>
        </w:rPr>
        <w:t xml:space="preserve"> </w:t>
      </w:r>
      <w:proofErr w:type="spellStart"/>
      <w:r w:rsidRPr="00E23246">
        <w:rPr>
          <w:rFonts w:eastAsia="Calibri"/>
          <w:szCs w:val="22"/>
          <w:lang w:eastAsia="lt-LT"/>
        </w:rPr>
        <w:t>Wirkstofffreisetzungssystem</w:t>
      </w:r>
      <w:proofErr w:type="spellEnd"/>
    </w:p>
    <w:p w:rsidR="00A028B6" w:rsidRPr="00E23246" w:rsidRDefault="00A028B6" w:rsidP="00A028B6">
      <w:pPr>
        <w:tabs>
          <w:tab w:val="clear" w:pos="567"/>
        </w:tabs>
        <w:autoSpaceDE w:val="0"/>
        <w:autoSpaceDN w:val="0"/>
        <w:adjustRightInd w:val="0"/>
        <w:spacing w:line="240" w:lineRule="auto"/>
        <w:ind w:left="2592" w:hanging="2592"/>
        <w:rPr>
          <w:rFonts w:eastAsia="Calibri"/>
          <w:szCs w:val="22"/>
          <w:lang w:eastAsia="lt-LT"/>
        </w:rPr>
      </w:pPr>
      <w:r w:rsidRPr="00E23246">
        <w:rPr>
          <w:rFonts w:eastAsia="Calibri"/>
          <w:szCs w:val="22"/>
          <w:lang w:eastAsia="lt-LT"/>
        </w:rPr>
        <w:t>Belgi</w:t>
      </w:r>
      <w:r>
        <w:rPr>
          <w:rFonts w:eastAsia="Calibri"/>
          <w:szCs w:val="22"/>
          <w:lang w:eastAsia="lt-LT"/>
        </w:rPr>
        <w:t>ja</w:t>
      </w:r>
      <w:r>
        <w:rPr>
          <w:rFonts w:eastAsia="Calibri"/>
          <w:szCs w:val="22"/>
          <w:lang w:eastAsia="lt-LT"/>
        </w:rPr>
        <w:tab/>
      </w:r>
      <w:proofErr w:type="spellStart"/>
      <w:r w:rsidRPr="00E23246">
        <w:rPr>
          <w:rFonts w:eastAsia="Calibri"/>
          <w:szCs w:val="22"/>
          <w:lang w:eastAsia="lt-LT"/>
        </w:rPr>
        <w:t>Mysodelle</w:t>
      </w:r>
      <w:proofErr w:type="spellEnd"/>
      <w:r w:rsidRPr="00E23246">
        <w:rPr>
          <w:rFonts w:eastAsia="Calibri"/>
          <w:szCs w:val="22"/>
          <w:lang w:eastAsia="lt-LT"/>
        </w:rPr>
        <w:t xml:space="preserve"> 200 </w:t>
      </w:r>
      <w:proofErr w:type="spellStart"/>
      <w:r w:rsidRPr="00E23246">
        <w:rPr>
          <w:rFonts w:eastAsia="Calibri"/>
          <w:szCs w:val="22"/>
          <w:lang w:eastAsia="lt-LT"/>
        </w:rPr>
        <w:t>microgram</w:t>
      </w:r>
      <w:proofErr w:type="spellEnd"/>
      <w:r w:rsidRPr="00E23246">
        <w:rPr>
          <w:rFonts w:eastAsia="Calibri"/>
          <w:szCs w:val="22"/>
          <w:lang w:eastAsia="lt-LT"/>
        </w:rPr>
        <w:t xml:space="preserve"> </w:t>
      </w:r>
      <w:proofErr w:type="spellStart"/>
      <w:r w:rsidRPr="00E23246">
        <w:rPr>
          <w:rFonts w:eastAsia="Calibri"/>
          <w:szCs w:val="22"/>
          <w:lang w:eastAsia="lt-LT"/>
        </w:rPr>
        <w:t>hulpmiddel</w:t>
      </w:r>
      <w:proofErr w:type="spellEnd"/>
      <w:r>
        <w:rPr>
          <w:rFonts w:eastAsia="Calibri"/>
          <w:szCs w:val="22"/>
          <w:lang w:eastAsia="lt-LT"/>
        </w:rPr>
        <w:t xml:space="preserve"> </w:t>
      </w:r>
      <w:proofErr w:type="spellStart"/>
      <w:r w:rsidRPr="00E23246">
        <w:rPr>
          <w:rFonts w:eastAsia="Calibri"/>
          <w:szCs w:val="22"/>
          <w:lang w:eastAsia="lt-LT"/>
        </w:rPr>
        <w:t>voor</w:t>
      </w:r>
      <w:proofErr w:type="spellEnd"/>
      <w:r w:rsidRPr="00E23246">
        <w:rPr>
          <w:rFonts w:eastAsia="Calibri"/>
          <w:szCs w:val="22"/>
          <w:lang w:eastAsia="lt-LT"/>
        </w:rPr>
        <w:t xml:space="preserve"> </w:t>
      </w:r>
      <w:proofErr w:type="spellStart"/>
      <w:r w:rsidRPr="00E23246">
        <w:rPr>
          <w:rFonts w:eastAsia="Calibri"/>
          <w:szCs w:val="22"/>
          <w:lang w:eastAsia="lt-LT"/>
        </w:rPr>
        <w:t>vaginaal</w:t>
      </w:r>
      <w:proofErr w:type="spellEnd"/>
      <w:r w:rsidRPr="00E23246">
        <w:rPr>
          <w:rFonts w:eastAsia="Calibri"/>
          <w:szCs w:val="22"/>
          <w:lang w:eastAsia="lt-LT"/>
        </w:rPr>
        <w:t xml:space="preserve"> </w:t>
      </w:r>
      <w:proofErr w:type="spellStart"/>
      <w:r w:rsidRPr="00E23246">
        <w:rPr>
          <w:rFonts w:eastAsia="Calibri"/>
          <w:szCs w:val="22"/>
          <w:lang w:eastAsia="lt-LT"/>
        </w:rPr>
        <w:t>gebruik</w:t>
      </w:r>
      <w:proofErr w:type="spellEnd"/>
      <w:r w:rsidRPr="00E23246">
        <w:rPr>
          <w:rFonts w:eastAsia="Calibri"/>
          <w:szCs w:val="22"/>
          <w:lang w:eastAsia="lt-LT"/>
        </w:rPr>
        <w:t>/</w:t>
      </w:r>
      <w:proofErr w:type="spellStart"/>
      <w:r w:rsidRPr="00E23246">
        <w:rPr>
          <w:rFonts w:eastAsia="Calibri"/>
          <w:szCs w:val="22"/>
          <w:lang w:eastAsia="lt-LT"/>
        </w:rPr>
        <w:t>système</w:t>
      </w:r>
      <w:proofErr w:type="spellEnd"/>
      <w:r w:rsidRPr="00E23246">
        <w:rPr>
          <w:rFonts w:eastAsia="Calibri"/>
          <w:szCs w:val="22"/>
          <w:lang w:eastAsia="lt-LT"/>
        </w:rPr>
        <w:t xml:space="preserve"> de </w:t>
      </w:r>
      <w:proofErr w:type="spellStart"/>
      <w:r w:rsidRPr="00E23246">
        <w:rPr>
          <w:rFonts w:eastAsia="Calibri"/>
          <w:szCs w:val="22"/>
          <w:lang w:eastAsia="lt-LT"/>
        </w:rPr>
        <w:t>diffusion</w:t>
      </w:r>
      <w:proofErr w:type="spellEnd"/>
      <w:r>
        <w:rPr>
          <w:rFonts w:eastAsia="Calibri"/>
          <w:szCs w:val="22"/>
          <w:lang w:eastAsia="lt-LT"/>
        </w:rPr>
        <w:t xml:space="preserve"> </w:t>
      </w:r>
      <w:proofErr w:type="spellStart"/>
      <w:r w:rsidRPr="00E23246">
        <w:rPr>
          <w:rFonts w:eastAsia="Calibri"/>
          <w:szCs w:val="22"/>
          <w:lang w:eastAsia="lt-LT"/>
        </w:rPr>
        <w:t>vaginal</w:t>
      </w:r>
      <w:proofErr w:type="spellEnd"/>
      <w:r w:rsidRPr="00E23246">
        <w:rPr>
          <w:rFonts w:eastAsia="Calibri"/>
          <w:szCs w:val="22"/>
          <w:lang w:eastAsia="lt-LT"/>
        </w:rPr>
        <w:t>/</w:t>
      </w:r>
      <w:proofErr w:type="spellStart"/>
      <w:r w:rsidRPr="00E23246">
        <w:rPr>
          <w:rFonts w:eastAsia="Calibri"/>
          <w:szCs w:val="22"/>
          <w:lang w:eastAsia="lt-LT"/>
        </w:rPr>
        <w:t>vaginales</w:t>
      </w:r>
      <w:proofErr w:type="spellEnd"/>
      <w:r>
        <w:rPr>
          <w:rFonts w:eastAsia="Calibri"/>
          <w:szCs w:val="22"/>
          <w:lang w:eastAsia="lt-LT"/>
        </w:rPr>
        <w:t xml:space="preserve"> </w:t>
      </w:r>
      <w:proofErr w:type="spellStart"/>
      <w:r w:rsidRPr="00E23246">
        <w:rPr>
          <w:rFonts w:eastAsia="Calibri"/>
          <w:szCs w:val="22"/>
          <w:lang w:eastAsia="lt-LT"/>
        </w:rPr>
        <w:t>Wirkstofffreisetzungssystem</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sidRPr="00E23246">
        <w:rPr>
          <w:rFonts w:eastAsia="Calibri"/>
          <w:szCs w:val="22"/>
          <w:lang w:eastAsia="lt-LT"/>
        </w:rPr>
        <w:t>Bulgarija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micrograms</w:t>
      </w:r>
      <w:proofErr w:type="spellEnd"/>
      <w:r w:rsidRPr="00E23246">
        <w:rPr>
          <w:rFonts w:eastAsia="Calibri"/>
          <w:szCs w:val="22"/>
          <w:lang w:eastAsia="lt-LT"/>
        </w:rPr>
        <w:t xml:space="preserve"> </w:t>
      </w:r>
      <w:proofErr w:type="spellStart"/>
      <w:r w:rsidRPr="00E23246">
        <w:rPr>
          <w:rFonts w:eastAsia="Calibri"/>
          <w:szCs w:val="22"/>
          <w:lang w:eastAsia="lt-LT"/>
        </w:rPr>
        <w:t>вагинална</w:t>
      </w:r>
      <w:proofErr w:type="spellEnd"/>
      <w:r>
        <w:rPr>
          <w:rFonts w:eastAsia="Calibri"/>
          <w:szCs w:val="22"/>
          <w:lang w:eastAsia="lt-LT"/>
        </w:rPr>
        <w:t xml:space="preserve"> </w:t>
      </w:r>
      <w:proofErr w:type="spellStart"/>
      <w:r w:rsidRPr="00E23246">
        <w:rPr>
          <w:rFonts w:eastAsia="Calibri"/>
          <w:szCs w:val="22"/>
          <w:lang w:eastAsia="lt-LT"/>
        </w:rPr>
        <w:t>лекарстводоставяща</w:t>
      </w:r>
      <w:proofErr w:type="spellEnd"/>
      <w:r w:rsidRPr="00E23246">
        <w:rPr>
          <w:rFonts w:eastAsia="Calibri"/>
          <w:szCs w:val="22"/>
          <w:lang w:eastAsia="lt-LT"/>
        </w:rPr>
        <w:t xml:space="preserve"> </w:t>
      </w:r>
      <w:proofErr w:type="spellStart"/>
      <w:r w:rsidRPr="00E23246">
        <w:rPr>
          <w:rFonts w:eastAsia="Calibri"/>
          <w:szCs w:val="22"/>
          <w:lang w:eastAsia="lt-LT"/>
        </w:rPr>
        <w:t>система</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Kipras</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mcg</w:t>
      </w:r>
      <w:proofErr w:type="spellEnd"/>
      <w:r w:rsidRPr="00E23246">
        <w:rPr>
          <w:rFonts w:eastAsia="Calibri"/>
          <w:szCs w:val="22"/>
          <w:lang w:eastAsia="lt-LT"/>
        </w:rPr>
        <w:t xml:space="preserve"> </w:t>
      </w:r>
      <w:proofErr w:type="spellStart"/>
      <w:r w:rsidRPr="00E23246">
        <w:rPr>
          <w:rFonts w:eastAsia="Calibri"/>
          <w:szCs w:val="22"/>
          <w:lang w:eastAsia="lt-LT"/>
        </w:rPr>
        <w:t>σύστημ</w:t>
      </w:r>
      <w:proofErr w:type="spellEnd"/>
      <w:r w:rsidRPr="00E23246">
        <w:rPr>
          <w:rFonts w:eastAsia="Calibri"/>
          <w:szCs w:val="22"/>
          <w:lang w:eastAsia="lt-LT"/>
        </w:rPr>
        <w:t xml:space="preserve">α </w:t>
      </w:r>
      <w:proofErr w:type="spellStart"/>
      <w:r w:rsidRPr="00E23246">
        <w:rPr>
          <w:rFonts w:eastAsia="Calibri"/>
          <w:szCs w:val="22"/>
          <w:lang w:eastAsia="lt-LT"/>
        </w:rPr>
        <w:t>γι</w:t>
      </w:r>
      <w:proofErr w:type="spellEnd"/>
      <w:r w:rsidRPr="00E23246">
        <w:rPr>
          <w:rFonts w:eastAsia="Calibri"/>
          <w:szCs w:val="22"/>
          <w:lang w:eastAsia="lt-LT"/>
        </w:rPr>
        <w:t>α</w:t>
      </w:r>
      <w:r>
        <w:rPr>
          <w:rFonts w:eastAsia="Calibri"/>
          <w:szCs w:val="22"/>
          <w:lang w:eastAsia="lt-LT"/>
        </w:rPr>
        <w:t xml:space="preserve"> </w:t>
      </w:r>
      <w:proofErr w:type="spellStart"/>
      <w:r w:rsidRPr="00E23246">
        <w:rPr>
          <w:rFonts w:eastAsia="Calibri"/>
          <w:szCs w:val="22"/>
          <w:lang w:eastAsia="lt-LT"/>
        </w:rPr>
        <w:t>ενδοκολ</w:t>
      </w:r>
      <w:proofErr w:type="spellEnd"/>
      <w:r w:rsidRPr="00E23246">
        <w:rPr>
          <w:rFonts w:eastAsia="Calibri"/>
          <w:szCs w:val="22"/>
          <w:lang w:eastAsia="lt-LT"/>
        </w:rPr>
        <w:t xml:space="preserve">πική </w:t>
      </w:r>
      <w:proofErr w:type="spellStart"/>
      <w:r w:rsidRPr="00E23246">
        <w:rPr>
          <w:rFonts w:eastAsia="Calibri"/>
          <w:szCs w:val="22"/>
          <w:lang w:eastAsia="lt-LT"/>
        </w:rPr>
        <w:t>χορήγηση</w:t>
      </w:r>
      <w:proofErr w:type="spellEnd"/>
    </w:p>
    <w:p w:rsidR="00A028B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Čekija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mikrogramů</w:t>
      </w:r>
      <w:proofErr w:type="spellEnd"/>
    </w:p>
    <w:p w:rsidR="00A028B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Danija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p>
    <w:p w:rsidR="00A028B6" w:rsidRDefault="00A028B6" w:rsidP="00A028B6">
      <w:pPr>
        <w:tabs>
          <w:tab w:val="clear" w:pos="567"/>
        </w:tabs>
        <w:autoSpaceDE w:val="0"/>
        <w:autoSpaceDN w:val="0"/>
        <w:adjustRightInd w:val="0"/>
        <w:spacing w:line="240" w:lineRule="auto"/>
        <w:rPr>
          <w:rFonts w:eastAsia="Calibri"/>
          <w:szCs w:val="22"/>
          <w:lang w:eastAsia="lt-LT"/>
        </w:rPr>
      </w:pPr>
      <w:r w:rsidRPr="00E23246">
        <w:rPr>
          <w:rFonts w:eastAsia="Calibri"/>
          <w:szCs w:val="22"/>
          <w:lang w:eastAsia="lt-LT"/>
        </w:rPr>
        <w:t>Est</w:t>
      </w:r>
      <w:r>
        <w:rPr>
          <w:rFonts w:eastAsia="Calibri"/>
          <w:szCs w:val="22"/>
          <w:lang w:eastAsia="lt-LT"/>
        </w:rPr>
        <w:t>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Mysodelle</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Suomija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mcg</w:t>
      </w:r>
      <w:proofErr w:type="spellEnd"/>
      <w:r>
        <w:rPr>
          <w:rFonts w:eastAsia="Calibri"/>
          <w:szCs w:val="22"/>
          <w:lang w:eastAsia="lt-LT"/>
        </w:rPr>
        <w:t xml:space="preserve"> </w:t>
      </w:r>
      <w:proofErr w:type="spellStart"/>
      <w:r w:rsidRPr="00E23246">
        <w:rPr>
          <w:rFonts w:eastAsia="Calibri"/>
          <w:szCs w:val="22"/>
          <w:lang w:eastAsia="lt-LT"/>
        </w:rPr>
        <w:t>Depotlääkevalmiste</w:t>
      </w:r>
      <w:proofErr w:type="spellEnd"/>
      <w:r w:rsidRPr="00E23246">
        <w:rPr>
          <w:rFonts w:eastAsia="Calibri"/>
          <w:szCs w:val="22"/>
          <w:lang w:eastAsia="lt-LT"/>
        </w:rPr>
        <w:t xml:space="preserve">, </w:t>
      </w:r>
      <w:proofErr w:type="spellStart"/>
      <w:r w:rsidRPr="00E23246">
        <w:rPr>
          <w:rFonts w:eastAsia="Calibri"/>
          <w:szCs w:val="22"/>
          <w:lang w:eastAsia="lt-LT"/>
        </w:rPr>
        <w:t>emättimeen</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Prancūzija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microgrammes</w:t>
      </w:r>
      <w:proofErr w:type="spellEnd"/>
      <w:r w:rsidRPr="00E23246">
        <w:rPr>
          <w:rFonts w:eastAsia="Calibri"/>
          <w:szCs w:val="22"/>
          <w:lang w:eastAsia="lt-LT"/>
        </w:rPr>
        <w:t xml:space="preserve">, </w:t>
      </w:r>
      <w:proofErr w:type="spellStart"/>
      <w:r w:rsidRPr="00E23246">
        <w:rPr>
          <w:rFonts w:eastAsia="Calibri"/>
          <w:szCs w:val="22"/>
          <w:lang w:eastAsia="lt-LT"/>
        </w:rPr>
        <w:t>système</w:t>
      </w:r>
      <w:proofErr w:type="spellEnd"/>
      <w:r w:rsidRPr="00E23246">
        <w:rPr>
          <w:rFonts w:eastAsia="Calibri"/>
          <w:szCs w:val="22"/>
          <w:lang w:eastAsia="lt-LT"/>
        </w:rPr>
        <w:t xml:space="preserve"> de</w:t>
      </w:r>
      <w:r>
        <w:rPr>
          <w:rFonts w:eastAsia="Calibri"/>
          <w:szCs w:val="22"/>
          <w:lang w:eastAsia="lt-LT"/>
        </w:rPr>
        <w:t xml:space="preserve"> </w:t>
      </w:r>
      <w:proofErr w:type="spellStart"/>
      <w:r w:rsidRPr="00E23246">
        <w:rPr>
          <w:rFonts w:eastAsia="Calibri"/>
          <w:szCs w:val="22"/>
          <w:lang w:eastAsia="lt-LT"/>
        </w:rPr>
        <w:t>diffusion</w:t>
      </w:r>
      <w:proofErr w:type="spellEnd"/>
      <w:r w:rsidRPr="00E23246">
        <w:rPr>
          <w:rFonts w:eastAsia="Calibri"/>
          <w:szCs w:val="22"/>
          <w:lang w:eastAsia="lt-LT"/>
        </w:rPr>
        <w:t xml:space="preserve"> </w:t>
      </w:r>
      <w:proofErr w:type="spellStart"/>
      <w:r w:rsidRPr="00E23246">
        <w:rPr>
          <w:rFonts w:eastAsia="Calibri"/>
          <w:szCs w:val="22"/>
          <w:lang w:eastAsia="lt-LT"/>
        </w:rPr>
        <w:t>vaginal</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Vokietija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vertAlign w:val="superscript"/>
          <w:lang w:eastAsia="lt-LT"/>
        </w:rPr>
        <w:t>®</w:t>
      </w:r>
      <w:r w:rsidRPr="00E23246">
        <w:rPr>
          <w:rFonts w:eastAsia="Calibri"/>
          <w:szCs w:val="22"/>
          <w:lang w:eastAsia="lt-LT"/>
        </w:rPr>
        <w:t xml:space="preserve"> 200 </w:t>
      </w:r>
      <w:proofErr w:type="spellStart"/>
      <w:r w:rsidRPr="00E23246">
        <w:rPr>
          <w:rFonts w:eastAsia="Calibri"/>
          <w:szCs w:val="22"/>
          <w:lang w:eastAsia="lt-LT"/>
        </w:rPr>
        <w:t>μg</w:t>
      </w:r>
      <w:proofErr w:type="spellEnd"/>
      <w:r w:rsidRPr="00E23246">
        <w:rPr>
          <w:rFonts w:eastAsia="Calibri"/>
          <w:szCs w:val="22"/>
          <w:lang w:eastAsia="lt-LT"/>
        </w:rPr>
        <w:t xml:space="preserve"> </w:t>
      </w:r>
      <w:proofErr w:type="spellStart"/>
      <w:r w:rsidRPr="00E23246">
        <w:rPr>
          <w:rFonts w:eastAsia="Calibri"/>
          <w:szCs w:val="22"/>
          <w:lang w:eastAsia="lt-LT"/>
        </w:rPr>
        <w:t>vaginales</w:t>
      </w:r>
      <w:proofErr w:type="spellEnd"/>
      <w:r>
        <w:rPr>
          <w:rFonts w:eastAsia="Calibri"/>
          <w:szCs w:val="22"/>
          <w:lang w:eastAsia="lt-LT"/>
        </w:rPr>
        <w:t xml:space="preserve"> </w:t>
      </w:r>
      <w:proofErr w:type="spellStart"/>
      <w:r w:rsidRPr="00E23246">
        <w:rPr>
          <w:rFonts w:eastAsia="Calibri"/>
          <w:szCs w:val="22"/>
          <w:lang w:eastAsia="lt-LT"/>
        </w:rPr>
        <w:t>Wirkstofffreisetzungssystem</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Graikija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mcg</w:t>
      </w:r>
      <w:proofErr w:type="spellEnd"/>
      <w:r w:rsidRPr="00E23246">
        <w:rPr>
          <w:rFonts w:eastAsia="Calibri"/>
          <w:szCs w:val="22"/>
          <w:lang w:eastAsia="lt-LT"/>
        </w:rPr>
        <w:t xml:space="preserve"> </w:t>
      </w:r>
      <w:proofErr w:type="spellStart"/>
      <w:r w:rsidRPr="00E23246">
        <w:rPr>
          <w:rFonts w:eastAsia="Calibri"/>
          <w:szCs w:val="22"/>
          <w:lang w:eastAsia="lt-LT"/>
        </w:rPr>
        <w:t>σύστημ</w:t>
      </w:r>
      <w:proofErr w:type="spellEnd"/>
      <w:r w:rsidRPr="00E23246">
        <w:rPr>
          <w:rFonts w:eastAsia="Calibri"/>
          <w:szCs w:val="22"/>
          <w:lang w:eastAsia="lt-LT"/>
        </w:rPr>
        <w:t xml:space="preserve">α </w:t>
      </w:r>
      <w:proofErr w:type="spellStart"/>
      <w:r w:rsidRPr="00E23246">
        <w:rPr>
          <w:rFonts w:eastAsia="Calibri"/>
          <w:szCs w:val="22"/>
          <w:lang w:eastAsia="lt-LT"/>
        </w:rPr>
        <w:t>γι</w:t>
      </w:r>
      <w:proofErr w:type="spellEnd"/>
      <w:r w:rsidRPr="00E23246">
        <w:rPr>
          <w:rFonts w:eastAsia="Calibri"/>
          <w:szCs w:val="22"/>
          <w:lang w:eastAsia="lt-LT"/>
        </w:rPr>
        <w:t>α</w:t>
      </w:r>
      <w:r>
        <w:rPr>
          <w:rFonts w:eastAsia="Calibri"/>
          <w:szCs w:val="22"/>
          <w:lang w:eastAsia="lt-LT"/>
        </w:rPr>
        <w:t xml:space="preserve"> </w:t>
      </w:r>
      <w:proofErr w:type="spellStart"/>
      <w:r w:rsidRPr="00E23246">
        <w:rPr>
          <w:rFonts w:eastAsia="Calibri"/>
          <w:szCs w:val="22"/>
          <w:lang w:eastAsia="lt-LT"/>
        </w:rPr>
        <w:t>ενδοκολ</w:t>
      </w:r>
      <w:proofErr w:type="spellEnd"/>
      <w:r w:rsidRPr="00E23246">
        <w:rPr>
          <w:rFonts w:eastAsia="Calibri"/>
          <w:szCs w:val="22"/>
          <w:lang w:eastAsia="lt-LT"/>
        </w:rPr>
        <w:t xml:space="preserve">πική </w:t>
      </w:r>
      <w:proofErr w:type="spellStart"/>
      <w:r w:rsidRPr="00E23246">
        <w:rPr>
          <w:rFonts w:eastAsia="Calibri"/>
          <w:szCs w:val="22"/>
          <w:lang w:eastAsia="lt-LT"/>
        </w:rPr>
        <w:t>χορήγηση</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Vengrija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mikrogramm</w:t>
      </w:r>
      <w:proofErr w:type="spellEnd"/>
      <w:r w:rsidRPr="00E23246">
        <w:rPr>
          <w:rFonts w:eastAsia="Calibri"/>
          <w:szCs w:val="22"/>
          <w:lang w:eastAsia="lt-LT"/>
        </w:rPr>
        <w:t xml:space="preserve"> </w:t>
      </w:r>
      <w:proofErr w:type="spellStart"/>
      <w:r w:rsidRPr="00E23246">
        <w:rPr>
          <w:rFonts w:eastAsia="Calibri"/>
          <w:szCs w:val="22"/>
          <w:lang w:eastAsia="lt-LT"/>
        </w:rPr>
        <w:t>hüvelyben</w:t>
      </w:r>
      <w:proofErr w:type="spellEnd"/>
      <w:r>
        <w:rPr>
          <w:rFonts w:eastAsia="Calibri"/>
          <w:szCs w:val="22"/>
          <w:lang w:eastAsia="lt-LT"/>
        </w:rPr>
        <w:t xml:space="preserve"> </w:t>
      </w:r>
      <w:proofErr w:type="spellStart"/>
      <w:r w:rsidRPr="00E23246">
        <w:rPr>
          <w:rFonts w:eastAsia="Calibri"/>
          <w:szCs w:val="22"/>
          <w:lang w:eastAsia="lt-LT"/>
        </w:rPr>
        <w:t>alkalmazott</w:t>
      </w:r>
      <w:proofErr w:type="spellEnd"/>
      <w:r w:rsidRPr="00E23246">
        <w:rPr>
          <w:rFonts w:eastAsia="Calibri"/>
          <w:szCs w:val="22"/>
          <w:lang w:eastAsia="lt-LT"/>
        </w:rPr>
        <w:t xml:space="preserve"> </w:t>
      </w:r>
      <w:proofErr w:type="spellStart"/>
      <w:r w:rsidRPr="00E23246">
        <w:rPr>
          <w:rFonts w:eastAsia="Calibri"/>
          <w:szCs w:val="22"/>
          <w:lang w:eastAsia="lt-LT"/>
        </w:rPr>
        <w:t>gyógyszerleadó</w:t>
      </w:r>
      <w:proofErr w:type="spellEnd"/>
      <w:r w:rsidRPr="00E23246">
        <w:rPr>
          <w:rFonts w:eastAsia="Calibri"/>
          <w:szCs w:val="22"/>
          <w:lang w:eastAsia="lt-LT"/>
        </w:rPr>
        <w:t xml:space="preserve"> </w:t>
      </w:r>
      <w:proofErr w:type="spellStart"/>
      <w:r w:rsidRPr="00E23246">
        <w:rPr>
          <w:rFonts w:eastAsia="Calibri"/>
          <w:szCs w:val="22"/>
          <w:lang w:eastAsia="lt-LT"/>
        </w:rPr>
        <w:t>rendszer</w:t>
      </w:r>
      <w:proofErr w:type="spellEnd"/>
    </w:p>
    <w:p w:rsidR="00A028B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Islandija</w:t>
      </w:r>
      <w:r>
        <w:rPr>
          <w:rFonts w:eastAsia="Calibri"/>
          <w:szCs w:val="22"/>
          <w:lang w:eastAsia="lt-LT"/>
        </w:rPr>
        <w:tab/>
      </w:r>
      <w:r>
        <w:rPr>
          <w:rFonts w:eastAsia="Calibri"/>
          <w:szCs w:val="22"/>
          <w:lang w:eastAsia="lt-LT"/>
        </w:rPr>
        <w:tab/>
      </w:r>
      <w:proofErr w:type="spellStart"/>
      <w:r>
        <w:rPr>
          <w:rFonts w:eastAsia="Calibri"/>
          <w:szCs w:val="22"/>
          <w:lang w:eastAsia="lt-LT"/>
        </w:rPr>
        <w:t>Misodel</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Airija</w:t>
      </w:r>
      <w:r>
        <w:rPr>
          <w:rFonts w:eastAsia="Calibri"/>
          <w:szCs w:val="22"/>
          <w:lang w:eastAsia="lt-LT"/>
        </w:rPr>
        <w:tab/>
      </w:r>
      <w:r>
        <w:rPr>
          <w:rFonts w:eastAsia="Calibri"/>
          <w:szCs w:val="22"/>
          <w:lang w:eastAsia="lt-LT"/>
        </w:rPr>
        <w:tab/>
      </w:r>
      <w:proofErr w:type="spellStart"/>
      <w:r>
        <w:rPr>
          <w:rFonts w:eastAsia="Calibri"/>
          <w:szCs w:val="22"/>
          <w:lang w:eastAsia="lt-LT"/>
        </w:rPr>
        <w:t>Mysodelle</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Italija</w:t>
      </w:r>
      <w:r>
        <w:rPr>
          <w:rFonts w:eastAsia="Calibri"/>
          <w:szCs w:val="22"/>
          <w:lang w:eastAsia="lt-LT"/>
        </w:rPr>
        <w:tab/>
      </w:r>
      <w:r>
        <w:rPr>
          <w:rFonts w:eastAsia="Calibri"/>
          <w:szCs w:val="22"/>
          <w:lang w:eastAsia="lt-LT"/>
        </w:rPr>
        <w:tab/>
      </w:r>
      <w:proofErr w:type="spellStart"/>
      <w:r>
        <w:rPr>
          <w:rFonts w:eastAsia="Calibri"/>
          <w:szCs w:val="22"/>
          <w:lang w:eastAsia="lt-LT"/>
        </w:rPr>
        <w:t>Mysodelle</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sidRPr="00E23246">
        <w:rPr>
          <w:rFonts w:eastAsia="Calibri"/>
          <w:szCs w:val="22"/>
          <w:lang w:eastAsia="lt-LT"/>
        </w:rPr>
        <w:t>Latvi</w:t>
      </w:r>
      <w:r>
        <w:rPr>
          <w:rFonts w:eastAsia="Calibri"/>
          <w:szCs w:val="22"/>
          <w:lang w:eastAsia="lt-LT"/>
        </w:rPr>
        <w:t>j</w:t>
      </w:r>
      <w:r w:rsidRPr="00E23246">
        <w:rPr>
          <w:rFonts w:eastAsia="Calibri"/>
          <w:szCs w:val="22"/>
          <w:lang w:eastAsia="lt-LT"/>
        </w:rPr>
        <w:t>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mikrogrami</w:t>
      </w:r>
      <w:proofErr w:type="spellEnd"/>
      <w:r w:rsidRPr="00E23246">
        <w:rPr>
          <w:rFonts w:eastAsia="Calibri"/>
          <w:szCs w:val="22"/>
          <w:lang w:eastAsia="lt-LT"/>
        </w:rPr>
        <w:t xml:space="preserve"> </w:t>
      </w:r>
      <w:proofErr w:type="spellStart"/>
      <w:r w:rsidRPr="00E23246">
        <w:rPr>
          <w:rFonts w:eastAsia="Calibri"/>
          <w:szCs w:val="22"/>
          <w:lang w:eastAsia="lt-LT"/>
        </w:rPr>
        <w:t>vaginālās</w:t>
      </w:r>
      <w:proofErr w:type="spellEnd"/>
      <w:r>
        <w:rPr>
          <w:rFonts w:eastAsia="Calibri"/>
          <w:szCs w:val="22"/>
          <w:lang w:eastAsia="lt-LT"/>
        </w:rPr>
        <w:t xml:space="preserve"> </w:t>
      </w:r>
      <w:proofErr w:type="spellStart"/>
      <w:r w:rsidRPr="00E23246">
        <w:rPr>
          <w:rFonts w:eastAsia="Calibri"/>
          <w:szCs w:val="22"/>
          <w:lang w:eastAsia="lt-LT"/>
        </w:rPr>
        <w:t>ievadīšanas</w:t>
      </w:r>
      <w:proofErr w:type="spellEnd"/>
      <w:r w:rsidRPr="00E23246">
        <w:rPr>
          <w:rFonts w:eastAsia="Calibri"/>
          <w:szCs w:val="22"/>
          <w:lang w:eastAsia="lt-LT"/>
        </w:rPr>
        <w:t xml:space="preserve"> </w:t>
      </w:r>
      <w:proofErr w:type="spellStart"/>
      <w:r w:rsidRPr="00E23246">
        <w:rPr>
          <w:rFonts w:eastAsia="Calibri"/>
          <w:szCs w:val="22"/>
          <w:lang w:eastAsia="lt-LT"/>
        </w:rPr>
        <w:t>sistēma</w:t>
      </w:r>
      <w:proofErr w:type="spellEnd"/>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Pr>
          <w:rFonts w:eastAsia="Calibri"/>
          <w:szCs w:val="22"/>
          <w:lang w:eastAsia="lt-LT"/>
        </w:rPr>
        <w:t>Lietuva</w:t>
      </w:r>
      <w:r>
        <w:rPr>
          <w:rFonts w:eastAsia="Calibri"/>
          <w:szCs w:val="22"/>
          <w:lang w:eastAsia="lt-LT"/>
        </w:rPr>
        <w:tab/>
      </w:r>
      <w:r>
        <w:rPr>
          <w:rFonts w:eastAsia="Calibri"/>
          <w:szCs w:val="22"/>
          <w:lang w:eastAsia="lt-LT"/>
        </w:rPr>
        <w:tab/>
      </w:r>
      <w:proofErr w:type="spellStart"/>
      <w:r w:rsidRPr="00E23246">
        <w:rPr>
          <w:rFonts w:eastAsia="Calibri"/>
          <w:szCs w:val="22"/>
          <w:lang w:eastAsia="lt-LT"/>
        </w:rPr>
        <w:t>Misodel</w:t>
      </w:r>
      <w:proofErr w:type="spellEnd"/>
      <w:r w:rsidRPr="00E23246">
        <w:rPr>
          <w:rFonts w:eastAsia="Calibri"/>
          <w:szCs w:val="22"/>
          <w:lang w:eastAsia="lt-LT"/>
        </w:rPr>
        <w:t xml:space="preserve"> 200 </w:t>
      </w:r>
      <w:proofErr w:type="spellStart"/>
      <w:r w:rsidRPr="00E23246">
        <w:rPr>
          <w:rFonts w:eastAsia="Calibri"/>
          <w:szCs w:val="22"/>
          <w:lang w:eastAsia="lt-LT"/>
        </w:rPr>
        <w:t>mikrogramų</w:t>
      </w:r>
      <w:proofErr w:type="spellEnd"/>
      <w:r w:rsidRPr="00E23246">
        <w:rPr>
          <w:rFonts w:eastAsia="Calibri"/>
          <w:szCs w:val="22"/>
          <w:lang w:eastAsia="lt-LT"/>
        </w:rPr>
        <w:t xml:space="preserve"> vartojimo į</w:t>
      </w:r>
      <w:r>
        <w:rPr>
          <w:rFonts w:eastAsia="Calibri"/>
          <w:szCs w:val="22"/>
          <w:lang w:eastAsia="lt-LT"/>
        </w:rPr>
        <w:t xml:space="preserve"> </w:t>
      </w:r>
      <w:r w:rsidRPr="00E23246">
        <w:rPr>
          <w:rFonts w:eastAsia="Calibri"/>
          <w:szCs w:val="22"/>
          <w:lang w:eastAsia="lt-LT"/>
        </w:rPr>
        <w:t>makštį sistema</w:t>
      </w:r>
    </w:p>
    <w:p w:rsidR="00A028B6" w:rsidRPr="00E23246" w:rsidRDefault="00A028B6" w:rsidP="00A028B6">
      <w:pPr>
        <w:tabs>
          <w:tab w:val="clear" w:pos="567"/>
        </w:tabs>
        <w:autoSpaceDE w:val="0"/>
        <w:autoSpaceDN w:val="0"/>
        <w:adjustRightInd w:val="0"/>
        <w:spacing w:line="240" w:lineRule="auto"/>
        <w:rPr>
          <w:rFonts w:eastAsia="Calibri"/>
          <w:szCs w:val="22"/>
          <w:lang w:eastAsia="lt-LT"/>
        </w:rPr>
      </w:pPr>
      <w:r w:rsidRPr="00E23246">
        <w:rPr>
          <w:rFonts w:eastAsia="Calibri"/>
          <w:szCs w:val="22"/>
          <w:lang w:eastAsia="lt-LT"/>
        </w:rPr>
        <w:t>L</w:t>
      </w:r>
      <w:r>
        <w:rPr>
          <w:rFonts w:eastAsia="Calibri"/>
          <w:szCs w:val="22"/>
          <w:lang w:eastAsia="lt-LT"/>
        </w:rPr>
        <w:t>iuks</w:t>
      </w:r>
      <w:r w:rsidRPr="00E23246">
        <w:rPr>
          <w:rFonts w:eastAsia="Calibri"/>
          <w:szCs w:val="22"/>
          <w:lang w:eastAsia="lt-LT"/>
        </w:rPr>
        <w:t>emburg</w:t>
      </w:r>
      <w:r>
        <w:rPr>
          <w:rFonts w:eastAsia="Calibri"/>
          <w:szCs w:val="22"/>
          <w:lang w:eastAsia="lt-LT"/>
        </w:rPr>
        <w:t>as</w:t>
      </w:r>
      <w:r>
        <w:rPr>
          <w:rFonts w:eastAsia="Calibri"/>
          <w:szCs w:val="22"/>
          <w:lang w:eastAsia="lt-LT"/>
        </w:rPr>
        <w:tab/>
      </w:r>
      <w:proofErr w:type="spellStart"/>
      <w:r w:rsidRPr="00E23246">
        <w:rPr>
          <w:rFonts w:eastAsia="Calibri"/>
          <w:szCs w:val="22"/>
          <w:lang w:eastAsia="lt-LT"/>
        </w:rPr>
        <w:t>Mysodelle</w:t>
      </w:r>
      <w:proofErr w:type="spellEnd"/>
      <w:r w:rsidRPr="00E23246">
        <w:rPr>
          <w:rFonts w:eastAsia="Calibri"/>
          <w:szCs w:val="22"/>
          <w:lang w:eastAsia="lt-LT"/>
        </w:rPr>
        <w:t xml:space="preserve"> 200 </w:t>
      </w:r>
      <w:proofErr w:type="spellStart"/>
      <w:r w:rsidRPr="00E23246">
        <w:rPr>
          <w:rFonts w:eastAsia="Calibri"/>
          <w:szCs w:val="22"/>
          <w:lang w:eastAsia="lt-LT"/>
        </w:rPr>
        <w:t>microgrammes</w:t>
      </w:r>
      <w:proofErr w:type="spellEnd"/>
      <w:r w:rsidRPr="00E23246">
        <w:rPr>
          <w:rFonts w:eastAsia="Calibri"/>
          <w:szCs w:val="22"/>
          <w:lang w:eastAsia="lt-LT"/>
        </w:rPr>
        <w:t xml:space="preserve"> </w:t>
      </w:r>
      <w:proofErr w:type="spellStart"/>
      <w:r w:rsidRPr="00E23246">
        <w:rPr>
          <w:rFonts w:eastAsia="Calibri"/>
          <w:szCs w:val="22"/>
          <w:lang w:eastAsia="lt-LT"/>
        </w:rPr>
        <w:t>système</w:t>
      </w:r>
      <w:proofErr w:type="spellEnd"/>
      <w:r w:rsidRPr="00E23246">
        <w:rPr>
          <w:rFonts w:eastAsia="Calibri"/>
          <w:szCs w:val="22"/>
          <w:lang w:eastAsia="lt-LT"/>
        </w:rPr>
        <w:t xml:space="preserve"> de</w:t>
      </w:r>
      <w:r>
        <w:rPr>
          <w:rFonts w:eastAsia="Calibri"/>
          <w:szCs w:val="22"/>
          <w:lang w:eastAsia="lt-LT"/>
        </w:rPr>
        <w:t xml:space="preserve"> </w:t>
      </w:r>
      <w:proofErr w:type="spellStart"/>
      <w:r w:rsidRPr="00E23246">
        <w:rPr>
          <w:rFonts w:eastAsia="Calibri"/>
          <w:szCs w:val="22"/>
          <w:lang w:eastAsia="lt-LT"/>
        </w:rPr>
        <w:t>diffusion</w:t>
      </w:r>
      <w:proofErr w:type="spellEnd"/>
      <w:r w:rsidRPr="00E23246">
        <w:rPr>
          <w:rFonts w:eastAsia="Calibri"/>
          <w:szCs w:val="22"/>
          <w:lang w:eastAsia="lt-LT"/>
        </w:rPr>
        <w:t xml:space="preserve"> </w:t>
      </w:r>
      <w:proofErr w:type="spellStart"/>
      <w:r w:rsidRPr="00E23246">
        <w:rPr>
          <w:rFonts w:eastAsia="Calibri"/>
          <w:szCs w:val="22"/>
          <w:lang w:eastAsia="lt-LT"/>
        </w:rPr>
        <w:t>vaginal</w:t>
      </w:r>
      <w:proofErr w:type="spellEnd"/>
    </w:p>
    <w:p w:rsidR="00A028B6" w:rsidRPr="00E23246" w:rsidRDefault="00A028B6" w:rsidP="00A028B6">
      <w:pPr>
        <w:numPr>
          <w:ilvl w:val="12"/>
          <w:numId w:val="0"/>
        </w:numPr>
        <w:tabs>
          <w:tab w:val="clear" w:pos="567"/>
        </w:tabs>
        <w:spacing w:line="240" w:lineRule="auto"/>
        <w:ind w:right="-2"/>
        <w:rPr>
          <w:rFonts w:eastAsia="Calibri"/>
          <w:szCs w:val="22"/>
          <w:lang w:eastAsia="lt-LT"/>
        </w:rPr>
      </w:pPr>
      <w:r w:rsidRPr="00E23246">
        <w:rPr>
          <w:rFonts w:eastAsia="Calibri"/>
          <w:szCs w:val="22"/>
          <w:lang w:eastAsia="lt-LT"/>
        </w:rPr>
        <w:t>Malta</w:t>
      </w:r>
      <w:r>
        <w:rPr>
          <w:rFonts w:eastAsia="Calibri"/>
          <w:szCs w:val="22"/>
          <w:lang w:eastAsia="lt-LT"/>
        </w:rPr>
        <w:tab/>
      </w:r>
      <w:r>
        <w:rPr>
          <w:rFonts w:eastAsia="Calibri"/>
          <w:szCs w:val="22"/>
          <w:lang w:eastAsia="lt-LT"/>
        </w:rPr>
        <w:tab/>
      </w:r>
      <w:proofErr w:type="spellStart"/>
      <w:r>
        <w:rPr>
          <w:rFonts w:eastAsia="Calibri"/>
          <w:szCs w:val="22"/>
          <w:lang w:eastAsia="lt-LT"/>
        </w:rPr>
        <w:t>Mysodelle</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Nyderlandai</w:t>
      </w:r>
      <w:r>
        <w:rPr>
          <w:bCs/>
          <w:szCs w:val="22"/>
        </w:rPr>
        <w:tab/>
      </w:r>
      <w:r>
        <w:rPr>
          <w:bCs/>
          <w:szCs w:val="22"/>
        </w:rPr>
        <w:tab/>
      </w:r>
      <w:proofErr w:type="spellStart"/>
      <w:r w:rsidRPr="00A20740">
        <w:rPr>
          <w:bCs/>
          <w:szCs w:val="22"/>
        </w:rPr>
        <w:t>Misodel</w:t>
      </w:r>
      <w:proofErr w:type="spellEnd"/>
      <w:r w:rsidRPr="00A20740">
        <w:rPr>
          <w:bCs/>
          <w:szCs w:val="22"/>
        </w:rPr>
        <w:t xml:space="preserve"> 200 </w:t>
      </w:r>
      <w:proofErr w:type="spellStart"/>
      <w:r w:rsidRPr="00A20740">
        <w:rPr>
          <w:bCs/>
          <w:szCs w:val="22"/>
        </w:rPr>
        <w:t>microgram</w:t>
      </w:r>
      <w:proofErr w:type="spellEnd"/>
      <w:r w:rsidRPr="00A20740">
        <w:rPr>
          <w:bCs/>
          <w:szCs w:val="22"/>
        </w:rPr>
        <w:t xml:space="preserve">, </w:t>
      </w:r>
      <w:proofErr w:type="spellStart"/>
      <w:r w:rsidRPr="00A20740">
        <w:rPr>
          <w:bCs/>
          <w:szCs w:val="22"/>
        </w:rPr>
        <w:t>vaginaal</w:t>
      </w:r>
      <w:proofErr w:type="spellEnd"/>
      <w:r>
        <w:rPr>
          <w:bCs/>
          <w:szCs w:val="22"/>
        </w:rPr>
        <w:t xml:space="preserve"> </w:t>
      </w:r>
      <w:proofErr w:type="spellStart"/>
      <w:r w:rsidRPr="00A20740">
        <w:rPr>
          <w:bCs/>
          <w:szCs w:val="22"/>
        </w:rPr>
        <w:t>toedieningssysteem</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Norvegija</w:t>
      </w:r>
      <w:r>
        <w:rPr>
          <w:bCs/>
          <w:szCs w:val="22"/>
        </w:rPr>
        <w:tab/>
      </w:r>
      <w:r>
        <w:rPr>
          <w:bCs/>
          <w:szCs w:val="22"/>
        </w:rPr>
        <w:tab/>
      </w:r>
      <w:proofErr w:type="spellStart"/>
      <w:r>
        <w:rPr>
          <w:bCs/>
          <w:szCs w:val="22"/>
        </w:rPr>
        <w:t>Misodel</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Lenkija</w:t>
      </w:r>
      <w:r>
        <w:rPr>
          <w:bCs/>
          <w:szCs w:val="22"/>
        </w:rPr>
        <w:tab/>
      </w:r>
      <w:r>
        <w:rPr>
          <w:bCs/>
          <w:szCs w:val="22"/>
        </w:rPr>
        <w:tab/>
      </w:r>
      <w:proofErr w:type="spellStart"/>
      <w:r>
        <w:rPr>
          <w:bCs/>
          <w:szCs w:val="22"/>
        </w:rPr>
        <w:t>Misodel</w:t>
      </w:r>
      <w:proofErr w:type="spellEnd"/>
    </w:p>
    <w:p w:rsidR="00A028B6" w:rsidRPr="00A20740" w:rsidRDefault="00A028B6" w:rsidP="00A028B6">
      <w:pPr>
        <w:numPr>
          <w:ilvl w:val="12"/>
          <w:numId w:val="0"/>
        </w:numPr>
        <w:tabs>
          <w:tab w:val="clear" w:pos="567"/>
        </w:tabs>
        <w:spacing w:line="240" w:lineRule="auto"/>
        <w:ind w:right="-2"/>
        <w:rPr>
          <w:bCs/>
          <w:szCs w:val="22"/>
        </w:rPr>
      </w:pPr>
      <w:r w:rsidRPr="00A20740">
        <w:rPr>
          <w:bCs/>
          <w:szCs w:val="22"/>
        </w:rPr>
        <w:t>Portugal</w:t>
      </w:r>
      <w:r>
        <w:rPr>
          <w:bCs/>
          <w:szCs w:val="22"/>
        </w:rPr>
        <w:t>ija</w:t>
      </w:r>
      <w:r>
        <w:rPr>
          <w:bCs/>
          <w:szCs w:val="22"/>
        </w:rPr>
        <w:tab/>
      </w:r>
      <w:r>
        <w:rPr>
          <w:bCs/>
          <w:szCs w:val="22"/>
        </w:rPr>
        <w:tab/>
      </w:r>
      <w:proofErr w:type="spellStart"/>
      <w:r w:rsidRPr="00A20740">
        <w:rPr>
          <w:bCs/>
          <w:szCs w:val="22"/>
        </w:rPr>
        <w:t>Misodel</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Rumunija</w:t>
      </w:r>
      <w:r>
        <w:rPr>
          <w:bCs/>
          <w:szCs w:val="22"/>
        </w:rPr>
        <w:tab/>
      </w:r>
      <w:r>
        <w:rPr>
          <w:bCs/>
          <w:szCs w:val="22"/>
        </w:rPr>
        <w:tab/>
      </w:r>
      <w:proofErr w:type="spellStart"/>
      <w:r w:rsidRPr="00A20740">
        <w:rPr>
          <w:bCs/>
          <w:szCs w:val="22"/>
        </w:rPr>
        <w:t>Misodel</w:t>
      </w:r>
      <w:proofErr w:type="spellEnd"/>
      <w:r w:rsidRPr="00A20740">
        <w:rPr>
          <w:bCs/>
          <w:szCs w:val="22"/>
        </w:rPr>
        <w:t xml:space="preserve"> 200 </w:t>
      </w:r>
      <w:proofErr w:type="spellStart"/>
      <w:r w:rsidRPr="00A20740">
        <w:rPr>
          <w:bCs/>
          <w:szCs w:val="22"/>
        </w:rPr>
        <w:t>micrograme</w:t>
      </w:r>
      <w:proofErr w:type="spellEnd"/>
      <w:r w:rsidRPr="00A20740">
        <w:rPr>
          <w:bCs/>
          <w:szCs w:val="22"/>
        </w:rPr>
        <w:t xml:space="preserve"> </w:t>
      </w:r>
      <w:proofErr w:type="spellStart"/>
      <w:r w:rsidRPr="00A20740">
        <w:rPr>
          <w:bCs/>
          <w:szCs w:val="22"/>
        </w:rPr>
        <w:t>sistem</w:t>
      </w:r>
      <w:proofErr w:type="spellEnd"/>
      <w:r w:rsidRPr="00A20740">
        <w:rPr>
          <w:bCs/>
          <w:szCs w:val="22"/>
        </w:rPr>
        <w:t xml:space="preserve"> </w:t>
      </w:r>
      <w:proofErr w:type="spellStart"/>
      <w:r w:rsidRPr="00A20740">
        <w:rPr>
          <w:bCs/>
          <w:szCs w:val="22"/>
        </w:rPr>
        <w:t>cu</w:t>
      </w:r>
      <w:proofErr w:type="spellEnd"/>
      <w:r w:rsidRPr="00A20740">
        <w:rPr>
          <w:bCs/>
          <w:szCs w:val="22"/>
        </w:rPr>
        <w:t xml:space="preserve"> </w:t>
      </w:r>
      <w:proofErr w:type="spellStart"/>
      <w:r w:rsidRPr="00A20740">
        <w:rPr>
          <w:bCs/>
          <w:szCs w:val="22"/>
        </w:rPr>
        <w:t>cedare</w:t>
      </w:r>
      <w:proofErr w:type="spellEnd"/>
      <w:r>
        <w:rPr>
          <w:bCs/>
          <w:szCs w:val="22"/>
        </w:rPr>
        <w:t xml:space="preserve"> </w:t>
      </w:r>
      <w:proofErr w:type="spellStart"/>
      <w:r w:rsidRPr="00A20740">
        <w:rPr>
          <w:bCs/>
          <w:szCs w:val="22"/>
        </w:rPr>
        <w:t>vaginală</w:t>
      </w:r>
      <w:proofErr w:type="spellEnd"/>
    </w:p>
    <w:p w:rsidR="00A028B6" w:rsidRPr="00A20740" w:rsidRDefault="00A028B6" w:rsidP="00A028B6">
      <w:pPr>
        <w:numPr>
          <w:ilvl w:val="12"/>
          <w:numId w:val="0"/>
        </w:numPr>
        <w:tabs>
          <w:tab w:val="clear" w:pos="567"/>
        </w:tabs>
        <w:spacing w:line="240" w:lineRule="auto"/>
        <w:ind w:right="-2"/>
        <w:rPr>
          <w:bCs/>
          <w:szCs w:val="22"/>
        </w:rPr>
      </w:pPr>
      <w:r w:rsidRPr="00A20740">
        <w:rPr>
          <w:bCs/>
          <w:szCs w:val="22"/>
        </w:rPr>
        <w:t>Slovak</w:t>
      </w:r>
      <w:r>
        <w:rPr>
          <w:bCs/>
          <w:szCs w:val="22"/>
        </w:rPr>
        <w:t>ija</w:t>
      </w:r>
      <w:r>
        <w:rPr>
          <w:bCs/>
          <w:szCs w:val="22"/>
        </w:rPr>
        <w:tab/>
      </w:r>
      <w:r>
        <w:rPr>
          <w:bCs/>
          <w:szCs w:val="22"/>
        </w:rPr>
        <w:tab/>
      </w:r>
      <w:proofErr w:type="spellStart"/>
      <w:r w:rsidRPr="00A20740">
        <w:rPr>
          <w:bCs/>
          <w:szCs w:val="22"/>
        </w:rPr>
        <w:t>Misodel</w:t>
      </w:r>
      <w:proofErr w:type="spellEnd"/>
      <w:r w:rsidRPr="00A20740">
        <w:rPr>
          <w:bCs/>
          <w:szCs w:val="22"/>
        </w:rPr>
        <w:t xml:space="preserve"> 200 </w:t>
      </w:r>
      <w:proofErr w:type="spellStart"/>
      <w:r w:rsidRPr="00A20740">
        <w:rPr>
          <w:bCs/>
          <w:szCs w:val="22"/>
        </w:rPr>
        <w:t>mikrogramov</w:t>
      </w:r>
      <w:proofErr w:type="spellEnd"/>
      <w:r w:rsidRPr="00A20740">
        <w:rPr>
          <w:bCs/>
          <w:szCs w:val="22"/>
        </w:rPr>
        <w:t xml:space="preserve"> </w:t>
      </w:r>
      <w:proofErr w:type="spellStart"/>
      <w:r w:rsidRPr="00A20740">
        <w:rPr>
          <w:bCs/>
          <w:szCs w:val="22"/>
        </w:rPr>
        <w:t>vaginálny</w:t>
      </w:r>
      <w:proofErr w:type="spellEnd"/>
      <w:r>
        <w:rPr>
          <w:bCs/>
          <w:szCs w:val="22"/>
        </w:rPr>
        <w:t xml:space="preserve"> </w:t>
      </w:r>
      <w:proofErr w:type="spellStart"/>
      <w:r w:rsidRPr="00A20740">
        <w:rPr>
          <w:bCs/>
          <w:szCs w:val="22"/>
        </w:rPr>
        <w:t>inzert</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Slovėnija</w:t>
      </w:r>
      <w:r>
        <w:rPr>
          <w:bCs/>
          <w:szCs w:val="22"/>
        </w:rPr>
        <w:tab/>
      </w:r>
      <w:r>
        <w:rPr>
          <w:bCs/>
          <w:szCs w:val="22"/>
        </w:rPr>
        <w:tab/>
      </w:r>
      <w:proofErr w:type="spellStart"/>
      <w:r w:rsidRPr="00A20740">
        <w:rPr>
          <w:bCs/>
          <w:szCs w:val="22"/>
        </w:rPr>
        <w:t>Mysodelle</w:t>
      </w:r>
      <w:proofErr w:type="spellEnd"/>
      <w:r>
        <w:rPr>
          <w:bCs/>
          <w:szCs w:val="22"/>
        </w:rPr>
        <w:t xml:space="preserve"> </w:t>
      </w:r>
      <w:r w:rsidRPr="00A20740">
        <w:rPr>
          <w:bCs/>
          <w:szCs w:val="22"/>
        </w:rPr>
        <w:t xml:space="preserve">200 </w:t>
      </w:r>
      <w:proofErr w:type="spellStart"/>
      <w:r w:rsidRPr="00A20740">
        <w:rPr>
          <w:bCs/>
          <w:szCs w:val="22"/>
        </w:rPr>
        <w:t>mikrogramov</w:t>
      </w:r>
      <w:proofErr w:type="spellEnd"/>
      <w:r w:rsidRPr="00A20740">
        <w:rPr>
          <w:bCs/>
          <w:szCs w:val="22"/>
        </w:rPr>
        <w:t xml:space="preserve"> </w:t>
      </w:r>
      <w:r>
        <w:rPr>
          <w:bCs/>
          <w:szCs w:val="22"/>
        </w:rPr>
        <w:t xml:space="preserve">vaginalini </w:t>
      </w:r>
      <w:proofErr w:type="spellStart"/>
      <w:r w:rsidRPr="00A20740">
        <w:rPr>
          <w:bCs/>
          <w:szCs w:val="22"/>
        </w:rPr>
        <w:t>dostavni</w:t>
      </w:r>
      <w:proofErr w:type="spellEnd"/>
      <w:r w:rsidRPr="00A20740">
        <w:rPr>
          <w:bCs/>
          <w:szCs w:val="22"/>
        </w:rPr>
        <w:t xml:space="preserve"> </w:t>
      </w:r>
      <w:proofErr w:type="spellStart"/>
      <w:r w:rsidRPr="00A20740">
        <w:rPr>
          <w:bCs/>
          <w:szCs w:val="22"/>
        </w:rPr>
        <w:t>sistem</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Ispanija</w:t>
      </w:r>
      <w:r>
        <w:rPr>
          <w:bCs/>
          <w:szCs w:val="22"/>
        </w:rPr>
        <w:tab/>
      </w:r>
      <w:r>
        <w:rPr>
          <w:bCs/>
          <w:szCs w:val="22"/>
        </w:rPr>
        <w:tab/>
      </w:r>
      <w:proofErr w:type="spellStart"/>
      <w:r w:rsidRPr="00A20740">
        <w:rPr>
          <w:bCs/>
          <w:szCs w:val="22"/>
        </w:rPr>
        <w:t>Misodel</w:t>
      </w:r>
      <w:proofErr w:type="spellEnd"/>
      <w:r w:rsidRPr="00A20740">
        <w:rPr>
          <w:bCs/>
          <w:szCs w:val="22"/>
        </w:rPr>
        <w:t xml:space="preserve"> 200 </w:t>
      </w:r>
      <w:proofErr w:type="spellStart"/>
      <w:r w:rsidRPr="00A20740">
        <w:rPr>
          <w:bCs/>
          <w:szCs w:val="22"/>
        </w:rPr>
        <w:t>microgramos</w:t>
      </w:r>
      <w:proofErr w:type="spellEnd"/>
      <w:r w:rsidRPr="00A20740">
        <w:rPr>
          <w:bCs/>
          <w:szCs w:val="22"/>
        </w:rPr>
        <w:t xml:space="preserve"> sistema de</w:t>
      </w:r>
      <w:r>
        <w:rPr>
          <w:bCs/>
          <w:szCs w:val="22"/>
        </w:rPr>
        <w:t xml:space="preserve"> </w:t>
      </w:r>
      <w:proofErr w:type="spellStart"/>
      <w:r w:rsidRPr="00A20740">
        <w:rPr>
          <w:bCs/>
          <w:szCs w:val="22"/>
        </w:rPr>
        <w:t>liberación</w:t>
      </w:r>
      <w:proofErr w:type="spellEnd"/>
      <w:r w:rsidRPr="00A20740">
        <w:rPr>
          <w:bCs/>
          <w:szCs w:val="22"/>
        </w:rPr>
        <w:t xml:space="preserve"> </w:t>
      </w:r>
      <w:proofErr w:type="spellStart"/>
      <w:r w:rsidRPr="00A20740">
        <w:rPr>
          <w:bCs/>
          <w:szCs w:val="22"/>
        </w:rPr>
        <w:t>vaginal</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Švedija</w:t>
      </w:r>
      <w:r>
        <w:rPr>
          <w:bCs/>
          <w:szCs w:val="22"/>
        </w:rPr>
        <w:tab/>
      </w:r>
      <w:r>
        <w:rPr>
          <w:bCs/>
          <w:szCs w:val="22"/>
        </w:rPr>
        <w:tab/>
      </w:r>
      <w:proofErr w:type="spellStart"/>
      <w:r>
        <w:rPr>
          <w:bCs/>
          <w:szCs w:val="22"/>
        </w:rPr>
        <w:t>Misodel</w:t>
      </w:r>
      <w:proofErr w:type="spellEnd"/>
    </w:p>
    <w:p w:rsidR="00A028B6" w:rsidRPr="00A20740" w:rsidRDefault="00A028B6" w:rsidP="00A028B6">
      <w:pPr>
        <w:numPr>
          <w:ilvl w:val="12"/>
          <w:numId w:val="0"/>
        </w:numPr>
        <w:tabs>
          <w:tab w:val="clear" w:pos="567"/>
        </w:tabs>
        <w:spacing w:line="240" w:lineRule="auto"/>
        <w:ind w:right="-2"/>
        <w:rPr>
          <w:bCs/>
          <w:szCs w:val="22"/>
        </w:rPr>
      </w:pPr>
      <w:r>
        <w:rPr>
          <w:bCs/>
          <w:szCs w:val="22"/>
        </w:rPr>
        <w:t>Jungtinė Karalystė</w:t>
      </w:r>
      <w:r>
        <w:rPr>
          <w:bCs/>
          <w:szCs w:val="22"/>
        </w:rPr>
        <w:tab/>
      </w:r>
      <w:proofErr w:type="spellStart"/>
      <w:r w:rsidRPr="00A20740">
        <w:rPr>
          <w:bCs/>
          <w:szCs w:val="22"/>
        </w:rPr>
        <w:t>Mysodelle</w:t>
      </w:r>
      <w:proofErr w:type="spellEnd"/>
      <w:r w:rsidRPr="00A20740">
        <w:rPr>
          <w:bCs/>
          <w:szCs w:val="22"/>
        </w:rPr>
        <w:t xml:space="preserve"> 200 </w:t>
      </w:r>
      <w:proofErr w:type="spellStart"/>
      <w:r w:rsidRPr="00A20740">
        <w:rPr>
          <w:bCs/>
          <w:szCs w:val="22"/>
        </w:rPr>
        <w:t>micrograms</w:t>
      </w:r>
      <w:proofErr w:type="spellEnd"/>
      <w:r w:rsidRPr="00A20740">
        <w:rPr>
          <w:bCs/>
          <w:szCs w:val="22"/>
        </w:rPr>
        <w:t xml:space="preserve"> </w:t>
      </w:r>
      <w:proofErr w:type="spellStart"/>
      <w:r w:rsidRPr="00A20740">
        <w:rPr>
          <w:bCs/>
          <w:szCs w:val="22"/>
        </w:rPr>
        <w:t>vaginal</w:t>
      </w:r>
      <w:proofErr w:type="spellEnd"/>
      <w:r>
        <w:rPr>
          <w:bCs/>
          <w:szCs w:val="22"/>
        </w:rPr>
        <w:t xml:space="preserve"> </w:t>
      </w:r>
      <w:proofErr w:type="spellStart"/>
      <w:r w:rsidRPr="00A20740">
        <w:rPr>
          <w:bCs/>
          <w:szCs w:val="22"/>
        </w:rPr>
        <w:t>delivery</w:t>
      </w:r>
      <w:proofErr w:type="spellEnd"/>
      <w:r w:rsidRPr="00A20740">
        <w:rPr>
          <w:bCs/>
          <w:szCs w:val="22"/>
        </w:rPr>
        <w:t xml:space="preserve"> </w:t>
      </w:r>
      <w:proofErr w:type="spellStart"/>
      <w:r w:rsidRPr="00A20740">
        <w:rPr>
          <w:bCs/>
          <w:szCs w:val="22"/>
        </w:rPr>
        <w:t>system</w:t>
      </w:r>
      <w:proofErr w:type="spellEnd"/>
    </w:p>
    <w:p w:rsidR="00A028B6" w:rsidRDefault="00A028B6" w:rsidP="00A028B6">
      <w:pPr>
        <w:numPr>
          <w:ilvl w:val="12"/>
          <w:numId w:val="0"/>
        </w:numPr>
        <w:tabs>
          <w:tab w:val="clear" w:pos="567"/>
        </w:tabs>
        <w:spacing w:line="240" w:lineRule="auto"/>
        <w:ind w:right="-2"/>
      </w:pPr>
    </w:p>
    <w:p w:rsidR="00A028B6" w:rsidRPr="008C011C" w:rsidRDefault="00A028B6" w:rsidP="00A028B6">
      <w:pPr>
        <w:numPr>
          <w:ilvl w:val="12"/>
          <w:numId w:val="0"/>
        </w:numPr>
        <w:tabs>
          <w:tab w:val="clear" w:pos="567"/>
        </w:tabs>
        <w:spacing w:line="240" w:lineRule="auto"/>
        <w:ind w:right="-2"/>
      </w:pPr>
    </w:p>
    <w:p w:rsidR="00A028B6" w:rsidRPr="00E23246" w:rsidRDefault="00A028B6" w:rsidP="00A028B6">
      <w:pPr>
        <w:numPr>
          <w:ilvl w:val="12"/>
          <w:numId w:val="0"/>
        </w:numPr>
        <w:tabs>
          <w:tab w:val="clear" w:pos="567"/>
        </w:tabs>
        <w:spacing w:line="240" w:lineRule="auto"/>
        <w:ind w:right="-2"/>
        <w:rPr>
          <w:b/>
          <w:szCs w:val="22"/>
        </w:rPr>
      </w:pPr>
      <w:r w:rsidRPr="00E23246">
        <w:rPr>
          <w:b/>
          <w:szCs w:val="22"/>
        </w:rPr>
        <w:t>Šis pakuotės lapelis pasku</w:t>
      </w:r>
      <w:r>
        <w:rPr>
          <w:b/>
          <w:szCs w:val="22"/>
        </w:rPr>
        <w:t>tinį kartą peržiūrėtas 2017-11-29.</w:t>
      </w:r>
    </w:p>
    <w:p w:rsidR="00A028B6" w:rsidRDefault="00A028B6" w:rsidP="00A028B6">
      <w:pPr>
        <w:tabs>
          <w:tab w:val="clear" w:pos="567"/>
        </w:tabs>
        <w:spacing w:line="240" w:lineRule="auto"/>
        <w:rPr>
          <w:szCs w:val="22"/>
        </w:rPr>
      </w:pPr>
    </w:p>
    <w:p w:rsidR="00A028B6" w:rsidRPr="00E23246" w:rsidRDefault="00A028B6" w:rsidP="00A028B6">
      <w:pPr>
        <w:tabs>
          <w:tab w:val="clear" w:pos="567"/>
        </w:tabs>
        <w:spacing w:line="240" w:lineRule="auto"/>
        <w:rPr>
          <w:szCs w:val="22"/>
        </w:rPr>
      </w:pPr>
    </w:p>
    <w:p w:rsidR="00A028B6" w:rsidRPr="00E23246" w:rsidRDefault="00A028B6" w:rsidP="00A028B6">
      <w:pPr>
        <w:numPr>
          <w:ilvl w:val="12"/>
          <w:numId w:val="0"/>
        </w:numPr>
        <w:spacing w:line="240" w:lineRule="auto"/>
        <w:ind w:right="-2"/>
        <w:rPr>
          <w:szCs w:val="22"/>
        </w:rPr>
      </w:pPr>
      <w:r w:rsidRPr="00E23246">
        <w:rPr>
          <w:szCs w:val="22"/>
        </w:rPr>
        <w:lastRenderedPageBreak/>
        <w:t>Išsami informacija apie šį vaistą pateikiama Valstybinės vaistų kontrolės tarnybos prie Lietuvos Respublikos sveikatos apsaugos ministerijos tinklalapyje</w:t>
      </w:r>
      <w:r w:rsidRPr="00E23246">
        <w:rPr>
          <w:i/>
          <w:szCs w:val="22"/>
        </w:rPr>
        <w:t xml:space="preserve"> </w:t>
      </w:r>
      <w:hyperlink r:id="rId16" w:history="1">
        <w:r w:rsidRPr="00E23246">
          <w:rPr>
            <w:rStyle w:val="Hipersaitas"/>
            <w:rFonts w:eastAsia="SimSun"/>
            <w:szCs w:val="22"/>
          </w:rPr>
          <w:t>http://www.vvkt.lt/</w:t>
        </w:r>
      </w:hyperlink>
      <w:r w:rsidRPr="00E23246">
        <w:rPr>
          <w:szCs w:val="22"/>
        </w:rPr>
        <w:t>.</w:t>
      </w:r>
    </w:p>
    <w:p w:rsidR="00A028B6" w:rsidRPr="00E23246" w:rsidRDefault="00A028B6" w:rsidP="00A028B6">
      <w:pPr>
        <w:numPr>
          <w:ilvl w:val="12"/>
          <w:numId w:val="0"/>
        </w:numPr>
        <w:tabs>
          <w:tab w:val="clear" w:pos="567"/>
        </w:tabs>
        <w:spacing w:line="240" w:lineRule="auto"/>
        <w:ind w:right="-2"/>
        <w:rPr>
          <w:szCs w:val="22"/>
        </w:rPr>
      </w:pPr>
      <w:r w:rsidRPr="00E23246">
        <w:rPr>
          <w:szCs w:val="22"/>
        </w:rPr>
        <w:t>---------------------------------------------------------------------------------------------------------------------------</w:t>
      </w:r>
    </w:p>
    <w:p w:rsidR="00A028B6" w:rsidRPr="00E23246" w:rsidRDefault="00A028B6" w:rsidP="00A028B6">
      <w:pPr>
        <w:numPr>
          <w:ilvl w:val="12"/>
          <w:numId w:val="0"/>
        </w:numPr>
        <w:tabs>
          <w:tab w:val="left" w:pos="2657"/>
        </w:tabs>
        <w:spacing w:line="240" w:lineRule="auto"/>
        <w:ind w:right="-28"/>
        <w:rPr>
          <w:szCs w:val="22"/>
        </w:rPr>
      </w:pPr>
    </w:p>
    <w:p w:rsidR="00A028B6" w:rsidRPr="008C011C" w:rsidRDefault="00A028B6" w:rsidP="00A028B6">
      <w:pPr>
        <w:pStyle w:val="Pagrindinistekstas"/>
        <w:rPr>
          <w:i w:val="0"/>
          <w:color w:val="auto"/>
          <w:sz w:val="22"/>
          <w:lang w:val="lt-LT"/>
        </w:rPr>
      </w:pPr>
      <w:r w:rsidRPr="008C011C">
        <w:rPr>
          <w:i w:val="0"/>
          <w:color w:val="auto"/>
          <w:sz w:val="22"/>
          <w:lang w:val="lt-LT"/>
        </w:rPr>
        <w:t>Toliau pateikta informacija skirta tik sveikatos priežiūros specialistams:</w:t>
      </w:r>
    </w:p>
    <w:p w:rsidR="00A028B6" w:rsidRPr="008C011C" w:rsidRDefault="00A028B6" w:rsidP="00A028B6">
      <w:pPr>
        <w:pStyle w:val="Pagrindinistekstas"/>
        <w:rPr>
          <w:sz w:val="22"/>
          <w:lang w:val="lt-LT"/>
        </w:rPr>
      </w:pPr>
    </w:p>
    <w:p w:rsidR="00A028B6" w:rsidRPr="008C011C" w:rsidRDefault="00A028B6" w:rsidP="00A028B6">
      <w:pPr>
        <w:pStyle w:val="Pagrindinistekstas"/>
        <w:rPr>
          <w:i w:val="0"/>
          <w:color w:val="auto"/>
          <w:sz w:val="22"/>
          <w:lang w:val="lt-LT"/>
        </w:rPr>
      </w:pPr>
      <w:proofErr w:type="spellStart"/>
      <w:r w:rsidRPr="008C011C">
        <w:rPr>
          <w:i w:val="0"/>
          <w:color w:val="auto"/>
          <w:sz w:val="22"/>
          <w:lang w:val="lt-LT"/>
        </w:rPr>
        <w:t>Misodel</w:t>
      </w:r>
      <w:proofErr w:type="spellEnd"/>
      <w:r w:rsidRPr="008C011C">
        <w:rPr>
          <w:i w:val="0"/>
          <w:color w:val="auto"/>
          <w:sz w:val="22"/>
          <w:lang w:val="lt-LT"/>
        </w:rPr>
        <w:t xml:space="preserve"> tiekiamas atskiruose aliuminio folijos paketėliuose. Vienoje folijos paketėlio pusėje (viršuje) yra jam perplėšti skirta žyma. Atplėškite pakuotę išilgai jos. Nenaudokite žirklių ar kitų aštrių priemonių, kad nepažeistumėte preparatui ištraukti skirtos sistemos.</w:t>
      </w:r>
    </w:p>
    <w:p w:rsidR="00A028B6" w:rsidRPr="008C011C" w:rsidRDefault="00A028B6" w:rsidP="00A028B6">
      <w:pPr>
        <w:pStyle w:val="Pagrindinistekstas"/>
        <w:rPr>
          <w:i w:val="0"/>
          <w:color w:val="auto"/>
          <w:sz w:val="22"/>
          <w:lang w:val="lt-LT"/>
        </w:rPr>
      </w:pPr>
    </w:p>
    <w:p w:rsidR="00A028B6" w:rsidRPr="00E23246" w:rsidRDefault="00A028B6" w:rsidP="00A028B6">
      <w:pPr>
        <w:tabs>
          <w:tab w:val="clear" w:pos="567"/>
        </w:tabs>
        <w:spacing w:line="240" w:lineRule="auto"/>
        <w:rPr>
          <w:bCs/>
          <w:iCs/>
          <w:szCs w:val="22"/>
        </w:rPr>
      </w:pPr>
      <w:r w:rsidRPr="00E23246">
        <w:rPr>
          <w:bCs/>
          <w:iCs/>
          <w:szCs w:val="22"/>
        </w:rPr>
        <w:t xml:space="preserve">Įkiškite </w:t>
      </w:r>
      <w:proofErr w:type="spellStart"/>
      <w:r w:rsidRPr="00E23246">
        <w:rPr>
          <w:bCs/>
          <w:iCs/>
          <w:szCs w:val="22"/>
        </w:rPr>
        <w:t>Misodel</w:t>
      </w:r>
      <w:proofErr w:type="spellEnd"/>
      <w:r w:rsidRPr="00E23246">
        <w:rPr>
          <w:bCs/>
          <w:iCs/>
          <w:szCs w:val="22"/>
        </w:rPr>
        <w:t xml:space="preserve"> giliai į užpakalinį makšties skliautą (A pav.). Kad </w:t>
      </w:r>
      <w:proofErr w:type="spellStart"/>
      <w:r w:rsidRPr="00E23246">
        <w:rPr>
          <w:bCs/>
          <w:iCs/>
          <w:szCs w:val="22"/>
        </w:rPr>
        <w:t>Misodel</w:t>
      </w:r>
      <w:proofErr w:type="spellEnd"/>
      <w:r w:rsidRPr="00E23246">
        <w:rPr>
          <w:bCs/>
          <w:iCs/>
          <w:szCs w:val="22"/>
        </w:rPr>
        <w:t xml:space="preserve"> liktų ten, kur įkištas, pasukite jį 90</w:t>
      </w:r>
      <w:r w:rsidRPr="00E23246">
        <w:rPr>
          <w:bCs/>
          <w:iCs/>
          <w:szCs w:val="22"/>
          <w:vertAlign w:val="superscript"/>
        </w:rPr>
        <w:t>o</w:t>
      </w:r>
      <w:r w:rsidRPr="00E23246">
        <w:rPr>
          <w:bCs/>
          <w:iCs/>
          <w:szCs w:val="22"/>
        </w:rPr>
        <w:t xml:space="preserve"> kampu, </w:t>
      </w:r>
      <w:proofErr w:type="spellStart"/>
      <w:r w:rsidRPr="00E23246">
        <w:rPr>
          <w:bCs/>
          <w:iCs/>
          <w:szCs w:val="22"/>
        </w:rPr>
        <w:t>t.y</w:t>
      </w:r>
      <w:proofErr w:type="spellEnd"/>
      <w:r w:rsidRPr="00E23246">
        <w:rPr>
          <w:bCs/>
          <w:iCs/>
          <w:szCs w:val="22"/>
        </w:rPr>
        <w:t xml:space="preserve">. </w:t>
      </w:r>
      <w:r w:rsidRPr="002D7B51">
        <w:rPr>
          <w:bCs/>
          <w:iCs/>
          <w:szCs w:val="22"/>
        </w:rPr>
        <w:t>statmenai</w:t>
      </w:r>
      <w:r w:rsidRPr="00E23246">
        <w:rPr>
          <w:bCs/>
          <w:iCs/>
          <w:szCs w:val="22"/>
        </w:rPr>
        <w:t xml:space="preserve"> užpakaliniam makšties skliautui (B pav.). Prireikus įkišimą galima palengvinti vandenyje tirpiu </w:t>
      </w:r>
      <w:proofErr w:type="spellStart"/>
      <w:r w:rsidRPr="00E23246">
        <w:rPr>
          <w:bCs/>
          <w:iCs/>
          <w:szCs w:val="22"/>
        </w:rPr>
        <w:t>lubrikantu</w:t>
      </w:r>
      <w:proofErr w:type="spellEnd"/>
      <w:r w:rsidRPr="00E23246">
        <w:rPr>
          <w:bCs/>
          <w:iCs/>
          <w:szCs w:val="22"/>
        </w:rPr>
        <w:t>.</w:t>
      </w:r>
    </w:p>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numPr>
          <w:ilvl w:val="12"/>
          <w:numId w:val="0"/>
        </w:numPr>
        <w:tabs>
          <w:tab w:val="clear" w:pos="567"/>
        </w:tabs>
        <w:spacing w:line="240" w:lineRule="auto"/>
        <w:ind w:right="-2"/>
        <w:rPr>
          <w:szCs w:val="22"/>
        </w:rPr>
      </w:pPr>
      <w:r>
        <w:rPr>
          <w:b/>
          <w:bCs/>
          <w:iCs/>
          <w:noProof/>
          <w:szCs w:val="22"/>
          <w:lang w:eastAsia="lt-LT"/>
        </w:rPr>
        <w:drawing>
          <wp:inline distT="0" distB="0" distL="0" distR="0" wp14:anchorId="18CB2018" wp14:editId="439AF470">
            <wp:extent cx="256032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1333500"/>
                    </a:xfrm>
                    <a:prstGeom prst="rect">
                      <a:avLst/>
                    </a:prstGeom>
                    <a:noFill/>
                    <a:ln>
                      <a:noFill/>
                    </a:ln>
                  </pic:spPr>
                </pic:pic>
              </a:graphicData>
            </a:graphic>
          </wp:inline>
        </w:drawing>
      </w:r>
      <w:r w:rsidRPr="00E23246">
        <w:rPr>
          <w:bCs/>
          <w:iCs/>
          <w:szCs w:val="22"/>
        </w:rPr>
        <w:t xml:space="preserve"> </w:t>
      </w:r>
      <w:r>
        <w:rPr>
          <w:bCs/>
          <w:iCs/>
          <w:noProof/>
          <w:szCs w:val="22"/>
          <w:lang w:eastAsia="lt-LT"/>
        </w:rPr>
        <w:drawing>
          <wp:inline distT="0" distB="0" distL="0" distR="0" wp14:anchorId="2AA03D9D" wp14:editId="60686A1A">
            <wp:extent cx="1211580" cy="1363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63980"/>
                    </a:xfrm>
                    <a:prstGeom prst="rect">
                      <a:avLst/>
                    </a:prstGeom>
                    <a:noFill/>
                    <a:ln>
                      <a:noFill/>
                    </a:ln>
                  </pic:spPr>
                </pic:pic>
              </a:graphicData>
            </a:graphic>
          </wp:inline>
        </w:drawing>
      </w:r>
    </w:p>
    <w:tbl>
      <w:tblPr>
        <w:tblW w:w="0" w:type="auto"/>
        <w:tblLook w:val="00A0" w:firstRow="1" w:lastRow="0" w:firstColumn="1" w:lastColumn="0" w:noHBand="0" w:noVBand="0"/>
      </w:tblPr>
      <w:tblGrid>
        <w:gridCol w:w="2249"/>
        <w:gridCol w:w="2249"/>
        <w:gridCol w:w="2249"/>
      </w:tblGrid>
      <w:tr w:rsidR="00A028B6" w:rsidRPr="00E23246" w:rsidTr="001B46CB">
        <w:tc>
          <w:tcPr>
            <w:tcW w:w="2249" w:type="dxa"/>
          </w:tcPr>
          <w:p w:rsidR="00A028B6" w:rsidRPr="00E23246" w:rsidRDefault="00A028B6" w:rsidP="001B46CB">
            <w:pPr>
              <w:spacing w:line="240" w:lineRule="auto"/>
              <w:jc w:val="center"/>
              <w:rPr>
                <w:szCs w:val="22"/>
              </w:rPr>
            </w:pPr>
            <w:r w:rsidRPr="00E23246">
              <w:rPr>
                <w:szCs w:val="22"/>
              </w:rPr>
              <w:t>A pav.</w:t>
            </w:r>
          </w:p>
        </w:tc>
        <w:tc>
          <w:tcPr>
            <w:tcW w:w="2249" w:type="dxa"/>
          </w:tcPr>
          <w:p w:rsidR="00A028B6" w:rsidRPr="00E23246" w:rsidRDefault="00A028B6" w:rsidP="001B46CB">
            <w:pPr>
              <w:spacing w:line="240" w:lineRule="auto"/>
              <w:jc w:val="center"/>
              <w:rPr>
                <w:szCs w:val="22"/>
              </w:rPr>
            </w:pPr>
            <w:r w:rsidRPr="00E23246">
              <w:rPr>
                <w:szCs w:val="22"/>
              </w:rPr>
              <w:t>B pav.</w:t>
            </w:r>
          </w:p>
        </w:tc>
        <w:tc>
          <w:tcPr>
            <w:tcW w:w="2249" w:type="dxa"/>
          </w:tcPr>
          <w:p w:rsidR="00A028B6" w:rsidRPr="00E23246" w:rsidRDefault="00A028B6" w:rsidP="001B46CB">
            <w:pPr>
              <w:spacing w:line="240" w:lineRule="auto"/>
              <w:jc w:val="center"/>
              <w:rPr>
                <w:szCs w:val="22"/>
              </w:rPr>
            </w:pPr>
            <w:r w:rsidRPr="00E23246">
              <w:rPr>
                <w:szCs w:val="22"/>
              </w:rPr>
              <w:t>C pav.</w:t>
            </w:r>
          </w:p>
        </w:tc>
      </w:tr>
    </w:tbl>
    <w:p w:rsidR="00A028B6" w:rsidRPr="00E23246" w:rsidRDefault="00A028B6" w:rsidP="00A028B6">
      <w:pPr>
        <w:numPr>
          <w:ilvl w:val="12"/>
          <w:numId w:val="0"/>
        </w:numPr>
        <w:tabs>
          <w:tab w:val="clear" w:pos="567"/>
        </w:tabs>
        <w:spacing w:line="240" w:lineRule="auto"/>
        <w:ind w:right="-2"/>
        <w:rPr>
          <w:szCs w:val="22"/>
        </w:rPr>
      </w:pPr>
    </w:p>
    <w:p w:rsidR="00A028B6" w:rsidRPr="00E23246" w:rsidRDefault="00A028B6" w:rsidP="00A028B6">
      <w:pPr>
        <w:spacing w:line="240" w:lineRule="auto"/>
        <w:rPr>
          <w:szCs w:val="22"/>
        </w:rPr>
      </w:pPr>
      <w:r w:rsidRPr="00E23246">
        <w:rPr>
          <w:szCs w:val="22"/>
        </w:rPr>
        <w:t xml:space="preserve">Įkišus </w:t>
      </w:r>
      <w:proofErr w:type="spellStart"/>
      <w:r w:rsidRPr="00E23246">
        <w:rPr>
          <w:szCs w:val="22"/>
        </w:rPr>
        <w:t>Misodel</w:t>
      </w:r>
      <w:proofErr w:type="spellEnd"/>
      <w:r w:rsidRPr="00E23246">
        <w:rPr>
          <w:szCs w:val="22"/>
        </w:rPr>
        <w:t>, ištraukimo siūlą galima nukirpti žirklėmis, tačiau būtina palikti pakankamai jo išsikišusio iš makšties, kad paskui būtų galima ištraukti sistemą.</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 xml:space="preserve">Po įkišimo pacientė turi pagulėti 30 min., o paskui jai galima vaikščioti. Apsiplauti ir tirti per makštį reikia atsargiai, kad netyčia nebūtų ištrauktas </w:t>
      </w:r>
      <w:proofErr w:type="spellStart"/>
      <w:r w:rsidRPr="00E23246">
        <w:rPr>
          <w:szCs w:val="22"/>
        </w:rPr>
        <w:t>Misodel</w:t>
      </w:r>
      <w:proofErr w:type="spellEnd"/>
      <w:r w:rsidRPr="00E23246">
        <w:rPr>
          <w:szCs w:val="22"/>
        </w:rPr>
        <w:t xml:space="preserve">. </w:t>
      </w:r>
      <w:proofErr w:type="spellStart"/>
      <w:r w:rsidRPr="00E23246">
        <w:rPr>
          <w:szCs w:val="22"/>
        </w:rPr>
        <w:t>Misodel</w:t>
      </w:r>
      <w:proofErr w:type="spellEnd"/>
      <w:r w:rsidRPr="00E23246">
        <w:rPr>
          <w:szCs w:val="22"/>
        </w:rPr>
        <w:t xml:space="preserve"> ištraukiamas švelniai traukiant ištraukimo sistemos siūlo galą (C pav.).</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r w:rsidRPr="00E23246">
        <w:rPr>
          <w:szCs w:val="22"/>
        </w:rPr>
        <w:t>Vartojimo į makštį sistemos NEGALIMA atskirti nuo jai ištraukti skirtos sistemos.</w:t>
      </w:r>
    </w:p>
    <w:p w:rsidR="00A028B6" w:rsidRPr="00E23246" w:rsidRDefault="00A028B6" w:rsidP="00A028B6">
      <w:pPr>
        <w:spacing w:line="240" w:lineRule="auto"/>
        <w:rPr>
          <w:szCs w:val="22"/>
        </w:rPr>
      </w:pPr>
    </w:p>
    <w:p w:rsidR="00A028B6" w:rsidRPr="00E23246" w:rsidRDefault="00A028B6" w:rsidP="00A028B6">
      <w:pPr>
        <w:spacing w:line="240" w:lineRule="auto"/>
        <w:rPr>
          <w:szCs w:val="22"/>
        </w:rPr>
      </w:pPr>
      <w:proofErr w:type="spellStart"/>
      <w:r w:rsidRPr="00E23246">
        <w:rPr>
          <w:szCs w:val="22"/>
        </w:rPr>
        <w:t>Misodel</w:t>
      </w:r>
      <w:proofErr w:type="spellEnd"/>
      <w:r w:rsidRPr="00E23246">
        <w:rPr>
          <w:szCs w:val="22"/>
        </w:rPr>
        <w:t xml:space="preserve"> yra kontroliuojamo atpalaidavimo preparatas, kuris drėgnoje aplinkoje išbrinksta ir atpalaiduoja veikliąją medžiagą. Įkištas </w:t>
      </w:r>
      <w:proofErr w:type="spellStart"/>
      <w:r w:rsidRPr="00E23246">
        <w:rPr>
          <w:szCs w:val="22"/>
        </w:rPr>
        <w:t>Misodel</w:t>
      </w:r>
      <w:proofErr w:type="spellEnd"/>
      <w:r w:rsidRPr="00E23246">
        <w:rPr>
          <w:szCs w:val="22"/>
        </w:rPr>
        <w:t xml:space="preserve"> padidėja dvigubai ar trigubai ir pasidaro lankstus. Jį pašalinę patikrinkite, ar iš makšties ištraukėte visą preparatą (įdėklą ir jo ištraukimo sistemą).</w:t>
      </w:r>
    </w:p>
    <w:p w:rsidR="00A028B6" w:rsidRDefault="00A028B6" w:rsidP="00A028B6"/>
    <w:p w:rsidR="00A028B6" w:rsidRDefault="00A028B6" w:rsidP="00A028B6"/>
    <w:p w:rsidR="001B46CB" w:rsidRDefault="001B46CB">
      <w:bookmarkStart w:id="1" w:name="_GoBack"/>
      <w:bookmarkEnd w:id="1"/>
      <w:permStart w:id="1021272311" w:edGrp="everyone"/>
      <w:permEnd w:id="1021272311"/>
    </w:p>
    <w:sectPr w:rsidR="001B46CB" w:rsidSect="001B46CB">
      <w:footerReference w:type="even" r:id="rId17"/>
      <w:footerReference w:type="default" r:id="rId18"/>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33" w:rsidRDefault="00BB5133">
      <w:pPr>
        <w:spacing w:line="240" w:lineRule="auto"/>
      </w:pPr>
      <w:r>
        <w:separator/>
      </w:r>
    </w:p>
  </w:endnote>
  <w:endnote w:type="continuationSeparator" w:id="0">
    <w:p w:rsidR="00BB5133" w:rsidRDefault="00BB5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B" w:rsidRDefault="001B46CB" w:rsidP="001B46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46CB" w:rsidRDefault="001B46CB" w:rsidP="001B46C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B" w:rsidRPr="0083641B" w:rsidRDefault="001B46CB" w:rsidP="001B46CB">
    <w:pPr>
      <w:pStyle w:val="Porat"/>
      <w:framePr w:wrap="around" w:vAnchor="text" w:hAnchor="margin" w:xAlign="right" w:y="1"/>
      <w:rPr>
        <w:rStyle w:val="Puslapionumeris"/>
      </w:rPr>
    </w:pPr>
    <w:r w:rsidRPr="0083641B">
      <w:rPr>
        <w:rStyle w:val="Puslapionumeris"/>
      </w:rPr>
      <w:fldChar w:fldCharType="begin"/>
    </w:r>
    <w:r w:rsidRPr="0083641B">
      <w:rPr>
        <w:rStyle w:val="Puslapionumeris"/>
      </w:rPr>
      <w:instrText xml:space="preserve">PAGE  </w:instrText>
    </w:r>
    <w:r w:rsidRPr="0083641B">
      <w:rPr>
        <w:rStyle w:val="Puslapionumeris"/>
      </w:rPr>
      <w:fldChar w:fldCharType="separate"/>
    </w:r>
    <w:r w:rsidR="005B75ED">
      <w:rPr>
        <w:rStyle w:val="Puslapionumeris"/>
        <w:noProof/>
      </w:rPr>
      <w:t>24</w:t>
    </w:r>
    <w:r w:rsidRPr="0083641B">
      <w:rPr>
        <w:rStyle w:val="Puslapionumeris"/>
      </w:rPr>
      <w:fldChar w:fldCharType="end"/>
    </w:r>
  </w:p>
  <w:p w:rsidR="001B46CB" w:rsidRDefault="001B46CB" w:rsidP="001B46C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33" w:rsidRDefault="00BB5133">
      <w:pPr>
        <w:spacing w:line="240" w:lineRule="auto"/>
      </w:pPr>
      <w:r>
        <w:separator/>
      </w:r>
    </w:p>
  </w:footnote>
  <w:footnote w:type="continuationSeparator" w:id="0">
    <w:p w:rsidR="00BB5133" w:rsidRDefault="00BB51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5C57118"/>
    <w:multiLevelType w:val="hybridMultilevel"/>
    <w:tmpl w:val="A0DC9DF2"/>
    <w:lvl w:ilvl="0" w:tplc="DA4AFECE">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nx4MB+RwiXVS3FJjwP2Nl/akeknJ/M8vzX4ABeSVvgaG3jwSUoie7FOk3oWzGwC2Tcpk9i0Hn5XrlFmp3fGOA==" w:salt="4/wWYHanrv3shzV2fIecB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B6"/>
    <w:rsid w:val="00131DCC"/>
    <w:rsid w:val="001B46CB"/>
    <w:rsid w:val="002139C7"/>
    <w:rsid w:val="005B75ED"/>
    <w:rsid w:val="005D1F89"/>
    <w:rsid w:val="00896129"/>
    <w:rsid w:val="009E558E"/>
    <w:rsid w:val="00A028B6"/>
    <w:rsid w:val="00BB5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63FDF-43BD-4456-9BC5-80E26AB1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8B6"/>
    <w:pPr>
      <w:tabs>
        <w:tab w:val="left" w:pos="567"/>
      </w:tabs>
      <w:spacing w:after="0" w:line="260" w:lineRule="exact"/>
    </w:pPr>
    <w:rPr>
      <w:rFonts w:ascii="Times New Roman" w:eastAsia="Times New Roman" w:hAnsi="Times New Roman" w:cs="Times New Roman"/>
      <w:szCs w:val="20"/>
    </w:rPr>
  </w:style>
  <w:style w:type="paragraph" w:styleId="Antrat2">
    <w:name w:val="heading 2"/>
    <w:basedOn w:val="prastasis"/>
    <w:next w:val="prastasis"/>
    <w:link w:val="Antrat2Diagrama"/>
    <w:uiPriority w:val="99"/>
    <w:qFormat/>
    <w:rsid w:val="00A028B6"/>
    <w:pPr>
      <w:keepNext/>
      <w:spacing w:before="240" w:after="60"/>
      <w:outlineLvl w:val="1"/>
    </w:pPr>
    <w:rPr>
      <w:rFonts w:ascii="Cambria" w:hAnsi="Cambria"/>
      <w:b/>
      <w:bCs/>
      <w:i/>
      <w:iCs/>
      <w:sz w:val="28"/>
      <w:szCs w:val="28"/>
      <w:lang w:val="en-GB" w:eastAsia="lt-LT"/>
    </w:rPr>
  </w:style>
  <w:style w:type="paragraph" w:styleId="Antrat3">
    <w:name w:val="heading 3"/>
    <w:basedOn w:val="prastasis"/>
    <w:next w:val="prastasis"/>
    <w:link w:val="Antrat3Diagrama"/>
    <w:uiPriority w:val="99"/>
    <w:qFormat/>
    <w:rsid w:val="00A028B6"/>
    <w:pPr>
      <w:keepNext/>
      <w:keepLines/>
      <w:spacing w:before="120" w:after="80"/>
      <w:outlineLvl w:val="2"/>
    </w:pPr>
    <w:rPr>
      <w:rFonts w:ascii="Cambria" w:hAnsi="Cambria"/>
      <w:b/>
      <w:bCs/>
      <w:sz w:val="26"/>
      <w:szCs w:val="26"/>
      <w:lang w:val="en-GB" w:eastAsia="lt-LT"/>
    </w:rPr>
  </w:style>
  <w:style w:type="paragraph" w:styleId="Antrat4">
    <w:name w:val="heading 4"/>
    <w:basedOn w:val="prastasis"/>
    <w:next w:val="prastasis"/>
    <w:link w:val="Antrat4Diagrama"/>
    <w:uiPriority w:val="99"/>
    <w:qFormat/>
    <w:rsid w:val="00A028B6"/>
    <w:pPr>
      <w:keepNext/>
      <w:jc w:val="both"/>
      <w:outlineLvl w:val="3"/>
    </w:pPr>
    <w:rPr>
      <w:rFonts w:ascii="Calibri" w:hAnsi="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028B6"/>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A028B6"/>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A028B6"/>
    <w:rPr>
      <w:rFonts w:ascii="Calibri" w:eastAsia="Times New Roman" w:hAnsi="Calibri" w:cs="Times New Roman"/>
      <w:b/>
      <w:bCs/>
      <w:sz w:val="28"/>
      <w:szCs w:val="28"/>
      <w:lang w:val="en-GB" w:eastAsia="lt-LT"/>
    </w:rPr>
  </w:style>
  <w:style w:type="paragraph" w:styleId="Porat">
    <w:name w:val="footer"/>
    <w:basedOn w:val="prastasis"/>
    <w:link w:val="PoratDiagrama"/>
    <w:uiPriority w:val="99"/>
    <w:rsid w:val="00A028B6"/>
    <w:pPr>
      <w:tabs>
        <w:tab w:val="center" w:pos="4536"/>
        <w:tab w:val="right" w:pos="8306"/>
      </w:tabs>
    </w:pPr>
    <w:rPr>
      <w:sz w:val="20"/>
      <w:lang w:val="en-GB" w:eastAsia="lt-LT"/>
    </w:rPr>
  </w:style>
  <w:style w:type="character" w:customStyle="1" w:styleId="PoratDiagrama">
    <w:name w:val="Poraštė Diagrama"/>
    <w:basedOn w:val="Numatytasispastraiposriftas"/>
    <w:link w:val="Porat"/>
    <w:uiPriority w:val="99"/>
    <w:rsid w:val="00A028B6"/>
    <w:rPr>
      <w:rFonts w:ascii="Times New Roman" w:eastAsia="Times New Roman" w:hAnsi="Times New Roman" w:cs="Times New Roman"/>
      <w:sz w:val="20"/>
      <w:szCs w:val="20"/>
      <w:lang w:val="en-GB" w:eastAsia="lt-LT"/>
    </w:rPr>
  </w:style>
  <w:style w:type="character" w:styleId="Puslapionumeris">
    <w:name w:val="page number"/>
    <w:uiPriority w:val="99"/>
    <w:rsid w:val="00A028B6"/>
    <w:rPr>
      <w:rFonts w:cs="Times New Roman"/>
    </w:rPr>
  </w:style>
  <w:style w:type="character" w:styleId="Hipersaitas">
    <w:name w:val="Hyperlink"/>
    <w:uiPriority w:val="99"/>
    <w:rsid w:val="00A028B6"/>
    <w:rPr>
      <w:rFonts w:cs="Times New Roman"/>
      <w:color w:val="0000FF"/>
      <w:u w:val="single"/>
    </w:rPr>
  </w:style>
  <w:style w:type="paragraph" w:styleId="Pagrindinistekstas">
    <w:name w:val="Body Text"/>
    <w:basedOn w:val="prastasis"/>
    <w:link w:val="PagrindinistekstasDiagrama"/>
    <w:uiPriority w:val="99"/>
    <w:rsid w:val="00A028B6"/>
    <w:pPr>
      <w:tabs>
        <w:tab w:val="clear" w:pos="567"/>
      </w:tabs>
      <w:spacing w:line="240" w:lineRule="auto"/>
    </w:pPr>
    <w:rPr>
      <w:rFonts w:eastAsia="SimSun"/>
      <w:i/>
      <w:color w:val="008000"/>
      <w:sz w:val="20"/>
      <w:lang w:val="en-GB" w:eastAsia="lt-LT"/>
    </w:rPr>
  </w:style>
  <w:style w:type="character" w:customStyle="1" w:styleId="PagrindinistekstasDiagrama">
    <w:name w:val="Pagrindinis tekstas Diagrama"/>
    <w:basedOn w:val="Numatytasispastraiposriftas"/>
    <w:link w:val="Pagrindinistekstas"/>
    <w:uiPriority w:val="99"/>
    <w:rsid w:val="00A028B6"/>
    <w:rPr>
      <w:rFonts w:ascii="Times New Roman" w:eastAsia="SimSun" w:hAnsi="Times New Roman" w:cs="Times New Roman"/>
      <w:i/>
      <w:color w:val="008000"/>
      <w:sz w:val="20"/>
      <w:szCs w:val="20"/>
      <w:lang w:val="en-GB" w:eastAsia="lt-LT"/>
    </w:rPr>
  </w:style>
  <w:style w:type="paragraph" w:styleId="Paprastasistekstas">
    <w:name w:val="Plain Text"/>
    <w:basedOn w:val="prastasis"/>
    <w:link w:val="PaprastasistekstasDiagrama"/>
    <w:uiPriority w:val="99"/>
    <w:rsid w:val="00A028B6"/>
    <w:pPr>
      <w:tabs>
        <w:tab w:val="clear" w:pos="567"/>
      </w:tabs>
      <w:spacing w:line="240" w:lineRule="auto"/>
    </w:pPr>
    <w:rPr>
      <w:rFonts w:ascii="Courier New" w:eastAsia="SimSun" w:hAnsi="Courier New"/>
      <w:sz w:val="20"/>
      <w:lang w:val="en-US" w:eastAsia="lt-LT"/>
    </w:rPr>
  </w:style>
  <w:style w:type="character" w:customStyle="1" w:styleId="PaprastasistekstasDiagrama">
    <w:name w:val="Paprastasis tekstas Diagrama"/>
    <w:basedOn w:val="Numatytasispastraiposriftas"/>
    <w:link w:val="Paprastasistekstas"/>
    <w:uiPriority w:val="99"/>
    <w:rsid w:val="00A028B6"/>
    <w:rPr>
      <w:rFonts w:ascii="Courier New" w:eastAsia="SimSun" w:hAnsi="Courier New" w:cs="Times New Roman"/>
      <w:sz w:val="20"/>
      <w:szCs w:val="20"/>
      <w:lang w:val="en-US" w:eastAsia="lt-LT"/>
    </w:rPr>
  </w:style>
  <w:style w:type="paragraph" w:customStyle="1" w:styleId="TableText">
    <w:name w:val="Table Text"/>
    <w:uiPriority w:val="99"/>
    <w:rsid w:val="00A028B6"/>
    <w:pPr>
      <w:keepNext/>
      <w:keepLines/>
      <w:tabs>
        <w:tab w:val="left" w:pos="360"/>
      </w:tabs>
      <w:suppressAutoHyphens/>
      <w:spacing w:before="40" w:after="40" w:line="240" w:lineRule="exact"/>
    </w:pPr>
    <w:rPr>
      <w:rFonts w:ascii="Times New Roman" w:eastAsia="Times New Roman" w:hAnsi="Times New Roman" w:cs="Times New Roman"/>
      <w:sz w:val="20"/>
      <w:szCs w:val="20"/>
      <w:lang w:val="en-US"/>
    </w:rPr>
  </w:style>
  <w:style w:type="paragraph" w:customStyle="1" w:styleId="tabletext0">
    <w:name w:val="tabletext"/>
    <w:basedOn w:val="prastasis"/>
    <w:uiPriority w:val="99"/>
    <w:rsid w:val="00A028B6"/>
    <w:pPr>
      <w:tabs>
        <w:tab w:val="clear" w:pos="567"/>
      </w:tabs>
      <w:spacing w:before="100" w:beforeAutospacing="1" w:after="100" w:afterAutospacing="1" w:line="240" w:lineRule="auto"/>
    </w:pPr>
    <w:rPr>
      <w:rFonts w:eastAsia="Calibri"/>
      <w:sz w:val="24"/>
      <w:szCs w:val="24"/>
      <w:lang w:val="en-US"/>
    </w:rPr>
  </w:style>
  <w:style w:type="paragraph" w:styleId="Debesliotekstas">
    <w:name w:val="Balloon Text"/>
    <w:basedOn w:val="prastasis"/>
    <w:link w:val="DebesliotekstasDiagrama"/>
    <w:uiPriority w:val="99"/>
    <w:semiHidden/>
    <w:unhideWhenUsed/>
    <w:rsid w:val="00A028B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28B6"/>
    <w:rPr>
      <w:rFonts w:ascii="Tahoma" w:eastAsia="Times New Roman" w:hAnsi="Tahoma" w:cs="Tahoma"/>
      <w:sz w:val="16"/>
      <w:szCs w:val="16"/>
    </w:rPr>
  </w:style>
  <w:style w:type="paragraph" w:styleId="Antrats">
    <w:name w:val="header"/>
    <w:basedOn w:val="prastasis"/>
    <w:link w:val="AntratsDiagrama"/>
    <w:uiPriority w:val="99"/>
    <w:unhideWhenUsed/>
    <w:rsid w:val="00A028B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A028B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25833</Words>
  <Characters>14726</Characters>
  <Application>Microsoft Office Word</Application>
  <DocSecurity>8</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3</cp:revision>
  <dcterms:created xsi:type="dcterms:W3CDTF">2018-01-16T11:07:00Z</dcterms:created>
  <dcterms:modified xsi:type="dcterms:W3CDTF">2018-01-16T11:07:00Z</dcterms:modified>
</cp:coreProperties>
</file>