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03A" w:rsidRPr="00036B49" w:rsidRDefault="00A4103A" w:rsidP="00A4103A">
      <w:pPr>
        <w:tabs>
          <w:tab w:val="left" w:pos="567"/>
        </w:tabs>
        <w:spacing w:after="0" w:line="260" w:lineRule="exact"/>
        <w:outlineLvl w:val="0"/>
        <w:rPr>
          <w:rFonts w:ascii="Times New Roman" w:hAnsi="Times New Roman" w:cs="Times New Roman"/>
          <w:b/>
          <w:bCs/>
          <w:snapToGrid w:val="0"/>
        </w:rPr>
      </w:pPr>
    </w:p>
    <w:p w:rsidR="00A4103A" w:rsidRPr="00036B49" w:rsidRDefault="00A4103A" w:rsidP="00A4103A">
      <w:pPr>
        <w:tabs>
          <w:tab w:val="left" w:pos="567"/>
        </w:tabs>
        <w:spacing w:after="0" w:line="260" w:lineRule="exact"/>
        <w:outlineLvl w:val="0"/>
        <w:rPr>
          <w:rFonts w:ascii="Times New Roman" w:hAnsi="Times New Roman" w:cs="Times New Roman"/>
          <w:b/>
          <w:bCs/>
          <w:snapToGrid w:val="0"/>
        </w:rPr>
      </w:pPr>
    </w:p>
    <w:p w:rsidR="00A4103A" w:rsidRPr="00036B49" w:rsidRDefault="00A4103A" w:rsidP="00A4103A">
      <w:pPr>
        <w:tabs>
          <w:tab w:val="left" w:pos="567"/>
        </w:tabs>
        <w:spacing w:after="0" w:line="260" w:lineRule="exact"/>
        <w:outlineLvl w:val="0"/>
        <w:rPr>
          <w:rFonts w:ascii="Times New Roman" w:hAnsi="Times New Roman" w:cs="Times New Roman"/>
          <w:b/>
          <w:bCs/>
          <w:snapToGrid w:val="0"/>
        </w:rPr>
      </w:pPr>
    </w:p>
    <w:p w:rsidR="00A4103A" w:rsidRPr="00036B49" w:rsidRDefault="00A4103A" w:rsidP="00A4103A">
      <w:pPr>
        <w:tabs>
          <w:tab w:val="left" w:pos="567"/>
        </w:tabs>
        <w:spacing w:after="0" w:line="260" w:lineRule="exact"/>
        <w:outlineLvl w:val="0"/>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tabs>
          <w:tab w:val="left" w:pos="-1440"/>
          <w:tab w:val="left" w:pos="-720"/>
          <w:tab w:val="left" w:pos="567"/>
        </w:tabs>
        <w:spacing w:after="0" w:line="260" w:lineRule="exact"/>
        <w:rPr>
          <w:rFonts w:ascii="Times New Roman" w:hAnsi="Times New Roman" w:cs="Times New Roman"/>
          <w:b/>
          <w:bCs/>
          <w:snapToGrid w:val="0"/>
        </w:rPr>
      </w:pPr>
    </w:p>
    <w:p w:rsidR="00A4103A" w:rsidRPr="00036B49" w:rsidRDefault="00A4103A" w:rsidP="00A4103A">
      <w:pPr>
        <w:keepNext/>
        <w:tabs>
          <w:tab w:val="left" w:pos="567"/>
        </w:tabs>
        <w:spacing w:after="0" w:line="240" w:lineRule="auto"/>
        <w:jc w:val="center"/>
        <w:outlineLvl w:val="1"/>
        <w:rPr>
          <w:rFonts w:ascii="Times New Roman" w:hAnsi="Times New Roman" w:cs="Times New Roman"/>
          <w:b/>
          <w:bCs/>
          <w:snapToGrid w:val="0"/>
        </w:rPr>
      </w:pPr>
      <w:r w:rsidRPr="00036B49">
        <w:rPr>
          <w:rFonts w:ascii="Times New Roman" w:hAnsi="Times New Roman" w:cs="Times New Roman"/>
          <w:b/>
          <w:bCs/>
          <w:snapToGrid w:val="0"/>
        </w:rPr>
        <w:t>I PRIEDAS</w:t>
      </w:r>
    </w:p>
    <w:p w:rsidR="00A4103A" w:rsidRPr="00036B49" w:rsidRDefault="00A4103A" w:rsidP="00A4103A">
      <w:pPr>
        <w:tabs>
          <w:tab w:val="left" w:pos="567"/>
        </w:tabs>
        <w:spacing w:after="0" w:line="240" w:lineRule="auto"/>
        <w:rPr>
          <w:rFonts w:ascii="Times New Roman" w:hAnsi="Times New Roman" w:cs="Times New Roman"/>
          <w:snapToGrid w:val="0"/>
        </w:rPr>
      </w:pPr>
    </w:p>
    <w:p w:rsidR="00A4103A" w:rsidRPr="00036B49" w:rsidRDefault="00A4103A" w:rsidP="00A4103A">
      <w:pPr>
        <w:tabs>
          <w:tab w:val="left" w:pos="-1440"/>
          <w:tab w:val="left" w:pos="-720"/>
          <w:tab w:val="left" w:pos="567"/>
        </w:tabs>
        <w:spacing w:after="0" w:line="260" w:lineRule="exact"/>
        <w:jc w:val="center"/>
        <w:rPr>
          <w:rFonts w:ascii="Times New Roman" w:hAnsi="Times New Roman" w:cs="Times New Roman"/>
          <w:b/>
          <w:bCs/>
          <w:snapToGrid w:val="0"/>
        </w:rPr>
      </w:pPr>
      <w:r w:rsidRPr="00036B49">
        <w:rPr>
          <w:rFonts w:ascii="Times New Roman" w:hAnsi="Times New Roman" w:cs="Times New Roman"/>
          <w:b/>
          <w:bCs/>
          <w:snapToGrid w:val="0"/>
        </w:rPr>
        <w:t>PREPARATO CHARAKTERISTIKŲ SANTRAUKA</w:t>
      </w:r>
    </w:p>
    <w:p w:rsidR="00A4103A" w:rsidRPr="000D48A3" w:rsidRDefault="00A4103A" w:rsidP="00A4103A">
      <w:pPr>
        <w:pStyle w:val="Default"/>
        <w:tabs>
          <w:tab w:val="left" w:pos="567"/>
        </w:tabs>
        <w:rPr>
          <w:sz w:val="22"/>
          <w:szCs w:val="22"/>
        </w:rPr>
      </w:pPr>
      <w:r w:rsidRPr="00036B49">
        <w:rPr>
          <w:snapToGrid w:val="0"/>
          <w:color w:val="auto"/>
          <w:sz w:val="22"/>
          <w:szCs w:val="22"/>
          <w:lang w:eastAsia="zh-CN"/>
        </w:rPr>
        <w:br w:type="page"/>
      </w:r>
      <w:r w:rsidRPr="000D48A3">
        <w:rPr>
          <w:b/>
          <w:bCs/>
          <w:sz w:val="22"/>
          <w:szCs w:val="22"/>
        </w:rPr>
        <w:lastRenderedPageBreak/>
        <w:t>1.</w:t>
      </w:r>
      <w:r w:rsidRPr="000D48A3">
        <w:rPr>
          <w:b/>
          <w:bCs/>
          <w:sz w:val="22"/>
          <w:szCs w:val="22"/>
        </w:rPr>
        <w:tab/>
        <w:t>VAISTINIO PREPARATO PAVADINIMAS</w:t>
      </w:r>
    </w:p>
    <w:p w:rsidR="00A4103A" w:rsidRPr="000D48A3" w:rsidRDefault="00A4103A" w:rsidP="00A4103A">
      <w:pPr>
        <w:pStyle w:val="Default"/>
        <w:tabs>
          <w:tab w:val="left" w:pos="567"/>
        </w:tabs>
        <w:rPr>
          <w:sz w:val="22"/>
          <w:szCs w:val="22"/>
        </w:rPr>
      </w:pPr>
    </w:p>
    <w:p w:rsidR="00A4103A" w:rsidRPr="000D48A3" w:rsidRDefault="00A4103A" w:rsidP="00A4103A">
      <w:pPr>
        <w:pStyle w:val="Default"/>
        <w:tabs>
          <w:tab w:val="left" w:pos="567"/>
        </w:tabs>
        <w:rPr>
          <w:sz w:val="22"/>
          <w:szCs w:val="22"/>
        </w:rPr>
      </w:pPr>
      <w:proofErr w:type="spellStart"/>
      <w:r w:rsidRPr="000D48A3">
        <w:rPr>
          <w:sz w:val="22"/>
          <w:szCs w:val="22"/>
        </w:rPr>
        <w:t>Bosentan</w:t>
      </w:r>
      <w:proofErr w:type="spellEnd"/>
      <w:r w:rsidRPr="000D48A3">
        <w:rPr>
          <w:sz w:val="22"/>
          <w:szCs w:val="22"/>
        </w:rPr>
        <w:t xml:space="preserve"> </w:t>
      </w:r>
      <w:proofErr w:type="spellStart"/>
      <w:r w:rsidRPr="000D48A3">
        <w:rPr>
          <w:sz w:val="22"/>
          <w:szCs w:val="22"/>
        </w:rPr>
        <w:t>Sandoz</w:t>
      </w:r>
      <w:proofErr w:type="spellEnd"/>
      <w:r w:rsidRPr="000D48A3">
        <w:rPr>
          <w:sz w:val="22"/>
          <w:szCs w:val="22"/>
        </w:rPr>
        <w:t xml:space="preserve"> 62,5 mg plėvele dengtos tabletės</w:t>
      </w:r>
    </w:p>
    <w:p w:rsidR="00A4103A" w:rsidRPr="000D48A3" w:rsidRDefault="00A4103A" w:rsidP="00A4103A">
      <w:pPr>
        <w:pStyle w:val="Default"/>
        <w:tabs>
          <w:tab w:val="left" w:pos="567"/>
        </w:tabs>
        <w:rPr>
          <w:b/>
          <w:bCs/>
          <w:sz w:val="22"/>
          <w:szCs w:val="22"/>
        </w:rPr>
      </w:pPr>
      <w:proofErr w:type="spellStart"/>
      <w:r w:rsidRPr="00D371F8">
        <w:rPr>
          <w:sz w:val="22"/>
          <w:szCs w:val="22"/>
          <w:highlight w:val="lightGray"/>
        </w:rPr>
        <w:t>Bosentan</w:t>
      </w:r>
      <w:proofErr w:type="spellEnd"/>
      <w:r w:rsidRPr="00D371F8">
        <w:rPr>
          <w:sz w:val="22"/>
          <w:szCs w:val="22"/>
          <w:highlight w:val="lightGray"/>
        </w:rPr>
        <w:t xml:space="preserve"> </w:t>
      </w:r>
      <w:proofErr w:type="spellStart"/>
      <w:r w:rsidRPr="00D371F8">
        <w:rPr>
          <w:sz w:val="22"/>
          <w:szCs w:val="22"/>
          <w:highlight w:val="lightGray"/>
        </w:rPr>
        <w:t>Sandoz</w:t>
      </w:r>
      <w:proofErr w:type="spellEnd"/>
      <w:r w:rsidRPr="00D371F8">
        <w:rPr>
          <w:sz w:val="22"/>
          <w:szCs w:val="22"/>
          <w:highlight w:val="lightGray"/>
        </w:rPr>
        <w:t xml:space="preserve"> 125 mg plėvele dengtos tabletės</w:t>
      </w:r>
    </w:p>
    <w:p w:rsidR="00A4103A" w:rsidRPr="000D48A3" w:rsidRDefault="00A4103A" w:rsidP="00A4103A">
      <w:pPr>
        <w:pStyle w:val="Default"/>
        <w:tabs>
          <w:tab w:val="left" w:pos="567"/>
        </w:tabs>
        <w:rPr>
          <w:b/>
          <w:bCs/>
          <w:sz w:val="22"/>
          <w:szCs w:val="22"/>
        </w:rPr>
      </w:pPr>
    </w:p>
    <w:p w:rsidR="00A4103A" w:rsidRPr="000D48A3" w:rsidRDefault="00A4103A" w:rsidP="00A4103A">
      <w:pPr>
        <w:pStyle w:val="Default"/>
        <w:tabs>
          <w:tab w:val="left" w:pos="567"/>
        </w:tabs>
        <w:rPr>
          <w:b/>
          <w:bCs/>
          <w:sz w:val="22"/>
          <w:szCs w:val="22"/>
        </w:rPr>
      </w:pPr>
    </w:p>
    <w:p w:rsidR="00A4103A" w:rsidRPr="000D48A3" w:rsidRDefault="00A4103A" w:rsidP="00A4103A">
      <w:pPr>
        <w:pStyle w:val="Default"/>
        <w:tabs>
          <w:tab w:val="left" w:pos="567"/>
        </w:tabs>
        <w:rPr>
          <w:sz w:val="22"/>
          <w:szCs w:val="22"/>
        </w:rPr>
      </w:pPr>
      <w:r w:rsidRPr="000D48A3">
        <w:rPr>
          <w:b/>
          <w:bCs/>
          <w:sz w:val="22"/>
          <w:szCs w:val="22"/>
        </w:rPr>
        <w:t>2.</w:t>
      </w:r>
      <w:r w:rsidRPr="000D48A3">
        <w:rPr>
          <w:b/>
          <w:bCs/>
          <w:sz w:val="22"/>
          <w:szCs w:val="22"/>
        </w:rPr>
        <w:tab/>
        <w:t xml:space="preserve">KOKYBINĖ IR KIEKYBINĖ SUDĖTIS </w:t>
      </w:r>
    </w:p>
    <w:p w:rsidR="00A4103A" w:rsidRPr="000D48A3" w:rsidRDefault="00A4103A" w:rsidP="00A4103A">
      <w:pPr>
        <w:pStyle w:val="Default"/>
        <w:tabs>
          <w:tab w:val="left" w:pos="567"/>
        </w:tabs>
        <w:rPr>
          <w:sz w:val="22"/>
          <w:szCs w:val="22"/>
        </w:rPr>
      </w:pPr>
    </w:p>
    <w:p w:rsidR="00A4103A" w:rsidRPr="000D48A3" w:rsidRDefault="00A4103A" w:rsidP="00A4103A">
      <w:pPr>
        <w:pStyle w:val="Default"/>
        <w:tabs>
          <w:tab w:val="left" w:pos="567"/>
        </w:tabs>
        <w:rPr>
          <w:sz w:val="22"/>
          <w:szCs w:val="22"/>
        </w:rPr>
      </w:pPr>
      <w:r w:rsidRPr="000D48A3">
        <w:rPr>
          <w:sz w:val="22"/>
          <w:szCs w:val="22"/>
        </w:rPr>
        <w:t xml:space="preserve">Kiekvienoje plėvele dengtoje tabletėje yra 62,5 mg </w:t>
      </w:r>
      <w:proofErr w:type="spellStart"/>
      <w:r w:rsidRPr="000D48A3">
        <w:rPr>
          <w:sz w:val="22"/>
          <w:szCs w:val="22"/>
        </w:rPr>
        <w:t>bozentano</w:t>
      </w:r>
      <w:proofErr w:type="spellEnd"/>
      <w:r w:rsidRPr="000D48A3">
        <w:rPr>
          <w:sz w:val="22"/>
          <w:szCs w:val="22"/>
        </w:rPr>
        <w:t xml:space="preserve"> (atitinka 64,541 mg </w:t>
      </w:r>
      <w:proofErr w:type="spellStart"/>
      <w:r w:rsidRPr="000D48A3">
        <w:rPr>
          <w:sz w:val="22"/>
          <w:szCs w:val="22"/>
        </w:rPr>
        <w:t>bozentano</w:t>
      </w:r>
      <w:proofErr w:type="spellEnd"/>
      <w:r w:rsidRPr="000D48A3">
        <w:rPr>
          <w:sz w:val="22"/>
          <w:szCs w:val="22"/>
        </w:rPr>
        <w:t xml:space="preserve"> </w:t>
      </w:r>
      <w:proofErr w:type="spellStart"/>
      <w:r w:rsidRPr="000D48A3">
        <w:rPr>
          <w:sz w:val="22"/>
          <w:szCs w:val="22"/>
        </w:rPr>
        <w:t>monohidrato</w:t>
      </w:r>
      <w:proofErr w:type="spellEnd"/>
      <w:r w:rsidRPr="000D48A3">
        <w:rPr>
          <w:sz w:val="22"/>
          <w:szCs w:val="22"/>
        </w:rPr>
        <w:t xml:space="preserve">). </w:t>
      </w:r>
    </w:p>
    <w:p w:rsidR="00A4103A" w:rsidRPr="000D48A3" w:rsidRDefault="00A4103A" w:rsidP="00A4103A">
      <w:pPr>
        <w:pStyle w:val="Default"/>
        <w:tabs>
          <w:tab w:val="left" w:pos="567"/>
        </w:tabs>
        <w:rPr>
          <w:sz w:val="22"/>
          <w:szCs w:val="22"/>
        </w:rPr>
      </w:pPr>
      <w:r w:rsidRPr="00D371F8">
        <w:rPr>
          <w:sz w:val="22"/>
          <w:szCs w:val="22"/>
          <w:highlight w:val="lightGray"/>
        </w:rPr>
        <w:t xml:space="preserve">Kiekvienoje plėvele dengtoje tabletėje yra 125 mg </w:t>
      </w:r>
      <w:proofErr w:type="spellStart"/>
      <w:r w:rsidRPr="00D371F8">
        <w:rPr>
          <w:sz w:val="22"/>
          <w:szCs w:val="22"/>
          <w:highlight w:val="lightGray"/>
        </w:rPr>
        <w:t>bozentano</w:t>
      </w:r>
      <w:proofErr w:type="spellEnd"/>
      <w:r w:rsidRPr="00D371F8">
        <w:rPr>
          <w:sz w:val="22"/>
          <w:szCs w:val="22"/>
          <w:highlight w:val="lightGray"/>
        </w:rPr>
        <w:t xml:space="preserve"> (atitinka 129,082 mg </w:t>
      </w:r>
      <w:proofErr w:type="spellStart"/>
      <w:r w:rsidRPr="00D371F8">
        <w:rPr>
          <w:sz w:val="22"/>
          <w:szCs w:val="22"/>
          <w:highlight w:val="lightGray"/>
        </w:rPr>
        <w:t>bozentano</w:t>
      </w:r>
      <w:proofErr w:type="spellEnd"/>
      <w:r w:rsidRPr="00D371F8">
        <w:rPr>
          <w:sz w:val="22"/>
          <w:szCs w:val="22"/>
          <w:highlight w:val="lightGray"/>
        </w:rPr>
        <w:t xml:space="preserve"> </w:t>
      </w:r>
      <w:proofErr w:type="spellStart"/>
      <w:r w:rsidRPr="00D371F8">
        <w:rPr>
          <w:sz w:val="22"/>
          <w:szCs w:val="22"/>
          <w:highlight w:val="lightGray"/>
        </w:rPr>
        <w:t>monohidrato</w:t>
      </w:r>
      <w:proofErr w:type="spellEnd"/>
      <w:r w:rsidRPr="00D371F8">
        <w:rPr>
          <w:sz w:val="22"/>
          <w:szCs w:val="22"/>
          <w:highlight w:val="lightGray"/>
        </w:rPr>
        <w:t>).</w:t>
      </w:r>
    </w:p>
    <w:p w:rsidR="00A4103A" w:rsidRPr="000D48A3" w:rsidRDefault="00A4103A" w:rsidP="00A4103A">
      <w:pPr>
        <w:pStyle w:val="Default"/>
        <w:tabs>
          <w:tab w:val="left" w:pos="567"/>
        </w:tabs>
        <w:rPr>
          <w:sz w:val="22"/>
          <w:szCs w:val="22"/>
        </w:rPr>
      </w:pPr>
    </w:p>
    <w:p w:rsidR="00A4103A" w:rsidRPr="000D48A3" w:rsidRDefault="00A4103A" w:rsidP="00A4103A">
      <w:pPr>
        <w:pStyle w:val="Default"/>
        <w:tabs>
          <w:tab w:val="left" w:pos="567"/>
        </w:tabs>
        <w:rPr>
          <w:sz w:val="22"/>
          <w:szCs w:val="22"/>
        </w:rPr>
      </w:pPr>
      <w:r w:rsidRPr="000D48A3">
        <w:rPr>
          <w:sz w:val="22"/>
          <w:szCs w:val="22"/>
        </w:rPr>
        <w:t xml:space="preserve">Visos pagalbinės medžiagos išvardytos 6.1 skyriuje. </w:t>
      </w:r>
    </w:p>
    <w:p w:rsidR="00A4103A" w:rsidRDefault="00A4103A" w:rsidP="00A4103A">
      <w:pPr>
        <w:tabs>
          <w:tab w:val="left" w:pos="567"/>
        </w:tabs>
        <w:autoSpaceDE w:val="0"/>
        <w:autoSpaceDN w:val="0"/>
        <w:adjustRightInd w:val="0"/>
        <w:spacing w:after="0" w:line="240" w:lineRule="auto"/>
        <w:rPr>
          <w:rFonts w:ascii="Times New Roman" w:hAnsi="Times New Roman" w:cs="Times New Roman"/>
          <w:b/>
          <w:bCs/>
          <w:color w:val="000000"/>
          <w:lang w:eastAsia="lt-LT"/>
        </w:rPr>
      </w:pP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b/>
          <w:bCs/>
          <w:color w:val="000000"/>
          <w:lang w:eastAsia="lt-LT"/>
        </w:rPr>
      </w:pP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b/>
          <w:bCs/>
          <w:color w:val="000000"/>
          <w:lang w:eastAsia="lt-LT"/>
        </w:rPr>
        <w:t>3.</w:t>
      </w:r>
      <w:r w:rsidRPr="000D48A3">
        <w:rPr>
          <w:rFonts w:ascii="Times New Roman" w:hAnsi="Times New Roman" w:cs="Times New Roman"/>
          <w:b/>
          <w:bCs/>
          <w:color w:val="000000"/>
          <w:lang w:eastAsia="lt-LT"/>
        </w:rPr>
        <w:tab/>
        <w:t xml:space="preserve">FARMACINĖ FORMA </w:t>
      </w: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Plėvele dengta tabletė (tabletė)</w:t>
      </w:r>
      <w:r>
        <w:rPr>
          <w:rFonts w:ascii="Times New Roman" w:hAnsi="Times New Roman" w:cs="Times New Roman"/>
          <w:color w:val="000000"/>
          <w:lang w:eastAsia="lt-LT"/>
        </w:rPr>
        <w:t>.</w:t>
      </w:r>
      <w:r w:rsidRPr="000D48A3">
        <w:rPr>
          <w:rFonts w:ascii="Times New Roman" w:hAnsi="Times New Roman" w:cs="Times New Roman"/>
          <w:color w:val="000000"/>
          <w:lang w:eastAsia="lt-LT"/>
        </w:rPr>
        <w:t xml:space="preserve"> </w:t>
      </w: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Šviesiai oranžinė, apskrita, abipus išgaubta 6 mm skersmens plėvele dengta tabletė. </w:t>
      </w: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color w:val="000000"/>
          <w:lang w:eastAsia="lt-LT"/>
        </w:rPr>
      </w:pPr>
      <w:r w:rsidRPr="00D371F8">
        <w:rPr>
          <w:rFonts w:ascii="Times New Roman" w:hAnsi="Times New Roman" w:cs="Times New Roman"/>
          <w:color w:val="000000"/>
          <w:highlight w:val="lightGray"/>
          <w:lang w:eastAsia="lt-LT"/>
        </w:rPr>
        <w:t>Šviesiai oranžinė, ovali, abipus išgaubta 11 mm skersmens plėvele dengta tabletė.</w:t>
      </w: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b/>
          <w:bCs/>
          <w:color w:val="000000"/>
          <w:lang w:eastAsia="lt-LT"/>
        </w:rPr>
      </w:pP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b/>
          <w:bCs/>
          <w:color w:val="000000"/>
          <w:lang w:eastAsia="lt-LT"/>
        </w:rPr>
      </w:pP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b/>
          <w:bCs/>
          <w:color w:val="000000"/>
          <w:lang w:eastAsia="lt-LT"/>
        </w:rPr>
        <w:t>4.</w:t>
      </w:r>
      <w:r w:rsidRPr="000D48A3">
        <w:rPr>
          <w:rFonts w:ascii="Times New Roman" w:hAnsi="Times New Roman" w:cs="Times New Roman"/>
          <w:b/>
          <w:bCs/>
          <w:color w:val="000000"/>
          <w:lang w:eastAsia="lt-LT"/>
        </w:rPr>
        <w:tab/>
        <w:t xml:space="preserve">KLINIKINĖ INFORMACIJA </w:t>
      </w: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b/>
          <w:bCs/>
          <w:color w:val="000000"/>
          <w:lang w:eastAsia="lt-LT"/>
        </w:rPr>
      </w:pP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b/>
          <w:bCs/>
          <w:color w:val="000000"/>
          <w:lang w:eastAsia="lt-LT"/>
        </w:rPr>
        <w:t>4.1</w:t>
      </w:r>
      <w:r w:rsidRPr="000D48A3">
        <w:rPr>
          <w:rFonts w:ascii="Times New Roman" w:hAnsi="Times New Roman" w:cs="Times New Roman"/>
          <w:b/>
          <w:bCs/>
          <w:color w:val="000000"/>
          <w:lang w:eastAsia="lt-LT"/>
        </w:rPr>
        <w:tab/>
        <w:t xml:space="preserve">Terapinės indikacijos </w:t>
      </w: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Plautinės</w:t>
      </w:r>
      <w:proofErr w:type="spellEnd"/>
      <w:r w:rsidRPr="000D48A3">
        <w:rPr>
          <w:rFonts w:ascii="Times New Roman" w:hAnsi="Times New Roman" w:cs="Times New Roman"/>
          <w:color w:val="000000"/>
          <w:lang w:eastAsia="lt-LT"/>
        </w:rPr>
        <w:t xml:space="preserve"> arterin</w:t>
      </w:r>
      <w:r>
        <w:rPr>
          <w:rFonts w:ascii="Times New Roman" w:hAnsi="Times New Roman" w:cs="Times New Roman"/>
          <w:color w:val="000000"/>
          <w:lang w:eastAsia="lt-LT"/>
        </w:rPr>
        <w:t>ės</w:t>
      </w:r>
      <w:r w:rsidRPr="000D48A3">
        <w:rPr>
          <w:rFonts w:ascii="Times New Roman" w:hAnsi="Times New Roman" w:cs="Times New Roman"/>
          <w:color w:val="000000"/>
          <w:lang w:eastAsia="lt-LT"/>
        </w:rPr>
        <w:t xml:space="preserve"> hipertenzijos (PAH) gydymas pacientams, sergantiems PSO III funkcinės klasės PAH, siekiant pagerinti fizinį pajėgumą ir palengvinti simptomus. Veiksmingumas buvo </w:t>
      </w:r>
      <w:r>
        <w:rPr>
          <w:rFonts w:ascii="Times New Roman" w:hAnsi="Times New Roman" w:cs="Times New Roman"/>
          <w:color w:val="000000"/>
          <w:lang w:eastAsia="lt-LT"/>
        </w:rPr>
        <w:t>patvirtintas</w:t>
      </w:r>
      <w:r w:rsidRPr="000D48A3">
        <w:rPr>
          <w:rFonts w:ascii="Times New Roman" w:hAnsi="Times New Roman" w:cs="Times New Roman"/>
          <w:color w:val="000000"/>
          <w:lang w:eastAsia="lt-LT"/>
        </w:rPr>
        <w:t xml:space="preserve"> gydant: </w:t>
      </w:r>
    </w:p>
    <w:p w:rsidR="00A4103A" w:rsidRPr="000D48A3" w:rsidRDefault="00A4103A" w:rsidP="00A4103A">
      <w:pPr>
        <w:numPr>
          <w:ilvl w:val="0"/>
          <w:numId w:val="23"/>
        </w:num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pirminę (</w:t>
      </w:r>
      <w:proofErr w:type="spellStart"/>
      <w:r w:rsidRPr="000D48A3">
        <w:rPr>
          <w:rFonts w:ascii="Times New Roman" w:hAnsi="Times New Roman" w:cs="Times New Roman"/>
          <w:color w:val="000000"/>
          <w:lang w:eastAsia="lt-LT"/>
        </w:rPr>
        <w:t>idiopatinę</w:t>
      </w:r>
      <w:proofErr w:type="spellEnd"/>
      <w:r w:rsidRPr="000D48A3">
        <w:rPr>
          <w:rFonts w:ascii="Times New Roman" w:hAnsi="Times New Roman" w:cs="Times New Roman"/>
          <w:color w:val="000000"/>
          <w:lang w:eastAsia="lt-LT"/>
        </w:rPr>
        <w:t xml:space="preserve"> ar paveldimą) PAH; </w:t>
      </w:r>
    </w:p>
    <w:p w:rsidR="00A4103A" w:rsidRPr="000D48A3" w:rsidRDefault="00A4103A" w:rsidP="00A4103A">
      <w:pPr>
        <w:numPr>
          <w:ilvl w:val="0"/>
          <w:numId w:val="23"/>
        </w:num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antrinę PAH</w:t>
      </w:r>
      <w:r>
        <w:rPr>
          <w:rFonts w:ascii="Times New Roman" w:hAnsi="Times New Roman" w:cs="Times New Roman"/>
          <w:color w:val="000000"/>
          <w:lang w:eastAsia="lt-LT"/>
        </w:rPr>
        <w:t>, sukeltą</w:t>
      </w:r>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sklerodermijos</w:t>
      </w:r>
      <w:proofErr w:type="spellEnd"/>
      <w:r w:rsidRPr="000D48A3">
        <w:rPr>
          <w:rFonts w:ascii="Times New Roman" w:hAnsi="Times New Roman" w:cs="Times New Roman"/>
          <w:color w:val="000000"/>
          <w:lang w:eastAsia="lt-LT"/>
        </w:rPr>
        <w:t xml:space="preserve"> be </w:t>
      </w:r>
      <w:r>
        <w:rPr>
          <w:rFonts w:ascii="Times New Roman" w:hAnsi="Times New Roman" w:cs="Times New Roman"/>
          <w:color w:val="000000"/>
          <w:lang w:eastAsia="lt-LT"/>
        </w:rPr>
        <w:t>reikšmingos</w:t>
      </w:r>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intersticinės</w:t>
      </w:r>
      <w:proofErr w:type="spellEnd"/>
      <w:r w:rsidRPr="000D48A3">
        <w:rPr>
          <w:rFonts w:ascii="Times New Roman" w:hAnsi="Times New Roman" w:cs="Times New Roman"/>
          <w:color w:val="000000"/>
          <w:lang w:eastAsia="lt-LT"/>
        </w:rPr>
        <w:t xml:space="preserve"> plaučių ligos; </w:t>
      </w:r>
    </w:p>
    <w:p w:rsidR="00A4103A" w:rsidRPr="000D48A3" w:rsidRDefault="00A4103A" w:rsidP="00A4103A">
      <w:pPr>
        <w:numPr>
          <w:ilvl w:val="0"/>
          <w:numId w:val="23"/>
        </w:num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PAH, susijusią su įgimtais šuntais tarp sisteminės ir plaučių kraujotakos bei </w:t>
      </w:r>
      <w:proofErr w:type="spellStart"/>
      <w:r w:rsidRPr="000D48A3">
        <w:rPr>
          <w:rFonts w:ascii="Times New Roman" w:hAnsi="Times New Roman" w:cs="Times New Roman"/>
          <w:color w:val="000000"/>
          <w:lang w:eastAsia="lt-LT"/>
        </w:rPr>
        <w:t>Eizenmengerio</w:t>
      </w:r>
      <w:proofErr w:type="spellEnd"/>
      <w:r w:rsidRPr="000D48A3">
        <w:rPr>
          <w:rFonts w:ascii="Times New Roman" w:hAnsi="Times New Roman" w:cs="Times New Roman"/>
          <w:color w:val="000000"/>
          <w:lang w:eastAsia="lt-LT"/>
        </w:rPr>
        <w:t xml:space="preserve"> (</w:t>
      </w:r>
      <w:r w:rsidRPr="000D48A3">
        <w:rPr>
          <w:rFonts w:ascii="Times New Roman" w:hAnsi="Times New Roman" w:cs="Times New Roman"/>
          <w:i/>
          <w:iCs/>
          <w:color w:val="000000"/>
          <w:lang w:eastAsia="lt-LT"/>
        </w:rPr>
        <w:t xml:space="preserve">angl. </w:t>
      </w:r>
      <w:proofErr w:type="spellStart"/>
      <w:r w:rsidRPr="000D48A3">
        <w:rPr>
          <w:rFonts w:ascii="Times New Roman" w:hAnsi="Times New Roman" w:cs="Times New Roman"/>
          <w:i/>
          <w:iCs/>
          <w:color w:val="000000"/>
          <w:lang w:eastAsia="lt-LT"/>
        </w:rPr>
        <w:t>Eisenmenger</w:t>
      </w:r>
      <w:proofErr w:type="spellEnd"/>
      <w:r w:rsidRPr="000D48A3">
        <w:rPr>
          <w:rFonts w:ascii="Times New Roman" w:hAnsi="Times New Roman" w:cs="Times New Roman"/>
          <w:color w:val="000000"/>
          <w:lang w:eastAsia="lt-LT"/>
        </w:rPr>
        <w:t xml:space="preserve">) fiziologija.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Tam tikras pagerėjimas stebėtas ir pacientams, sergantiems PSO II funkcinės klasės PAH (žr. 5.1 skyrių).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b/>
          <w:bCs/>
          <w:color w:val="000000"/>
          <w:lang w:eastAsia="lt-LT"/>
        </w:rPr>
        <w:t>4.2</w:t>
      </w:r>
      <w:r w:rsidRPr="000D48A3">
        <w:rPr>
          <w:rFonts w:ascii="Times New Roman" w:hAnsi="Times New Roman" w:cs="Times New Roman"/>
          <w:b/>
          <w:bCs/>
          <w:color w:val="000000"/>
          <w:lang w:eastAsia="lt-LT"/>
        </w:rPr>
        <w:tab/>
        <w:t xml:space="preserve">Dozavimas ir vartojimo metodas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Tabletes reikia gerti ryte ir vakare, valgant ar kitu laiku. Plėvele dengtos tabletės nuryjamos užsigeriant vandeniu. </w:t>
      </w:r>
    </w:p>
    <w:p w:rsidR="00A4103A" w:rsidRPr="000D48A3" w:rsidRDefault="00A4103A" w:rsidP="00A4103A">
      <w:pPr>
        <w:autoSpaceDE w:val="0"/>
        <w:autoSpaceDN w:val="0"/>
        <w:adjustRightInd w:val="0"/>
        <w:spacing w:after="0" w:line="240" w:lineRule="auto"/>
        <w:rPr>
          <w:rFonts w:ascii="Times New Roman" w:hAnsi="Times New Roman" w:cs="Times New Roman"/>
          <w:b/>
          <w:bCs/>
          <w:i/>
          <w:iCs/>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432133">
        <w:rPr>
          <w:rFonts w:ascii="Times New Roman" w:hAnsi="Times New Roman" w:cs="Times New Roman"/>
          <w:color w:val="000000"/>
          <w:u w:val="single"/>
          <w:lang w:eastAsia="lt-LT"/>
        </w:rPr>
        <w:t>Plautinė</w:t>
      </w:r>
      <w:proofErr w:type="spellEnd"/>
      <w:r w:rsidRPr="00432133">
        <w:rPr>
          <w:rFonts w:ascii="Times New Roman" w:hAnsi="Times New Roman" w:cs="Times New Roman"/>
          <w:color w:val="000000"/>
          <w:u w:val="single"/>
          <w:lang w:eastAsia="lt-LT"/>
        </w:rPr>
        <w:t xml:space="preserve"> arterinė hipertenzija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Gydymą pradėti ir pacientą sekti turi tik gydytojas, turintis </w:t>
      </w:r>
      <w:proofErr w:type="spellStart"/>
      <w:r w:rsidRPr="000D48A3">
        <w:rPr>
          <w:rFonts w:ascii="Times New Roman" w:hAnsi="Times New Roman" w:cs="Times New Roman"/>
          <w:color w:val="000000"/>
          <w:lang w:eastAsia="lt-LT"/>
        </w:rPr>
        <w:t>plautinės</w:t>
      </w:r>
      <w:proofErr w:type="spellEnd"/>
      <w:r w:rsidRPr="000D48A3">
        <w:rPr>
          <w:rFonts w:ascii="Times New Roman" w:hAnsi="Times New Roman" w:cs="Times New Roman"/>
          <w:color w:val="000000"/>
          <w:lang w:eastAsia="lt-LT"/>
        </w:rPr>
        <w:t xml:space="preserve"> arterinės hipertenzijos gydymo patirties.</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Suaugusių ligonių gydymą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reikia pradėti nuo 62,5 mg dozės, vartojamos du kartus per parą 4 savaites ir po to dozę didinti iki 125 mg palaikomosios dozės, vartojamos du kartus per parą.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Tinkamai kontroliuojamų tyrimų metu 2 metų ir vyresniems pediatriniams pacientams optimali palaikomoji dozė nenustatyta. Tačiau pediatriniai </w:t>
      </w:r>
      <w:proofErr w:type="spellStart"/>
      <w:r w:rsidRPr="000D48A3">
        <w:rPr>
          <w:rFonts w:ascii="Times New Roman" w:hAnsi="Times New Roman" w:cs="Times New Roman"/>
          <w:color w:val="000000"/>
          <w:lang w:eastAsia="lt-LT"/>
        </w:rPr>
        <w:t>farmakokinetikos</w:t>
      </w:r>
      <w:proofErr w:type="spellEnd"/>
      <w:r w:rsidRPr="000D48A3">
        <w:rPr>
          <w:rFonts w:ascii="Times New Roman" w:hAnsi="Times New Roman" w:cs="Times New Roman"/>
          <w:color w:val="000000"/>
          <w:lang w:eastAsia="lt-LT"/>
        </w:rPr>
        <w:t xml:space="preserve"> duomenys rodo, kad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koncentracija vaikų organizme apskritai buvo mažesnė, negu suaugusių pacientų ir nepadidėjo 2 mg/kg kūno masės du kartus per parą vartojamą </w:t>
      </w:r>
      <w:proofErr w:type="spellStart"/>
      <w:r w:rsidRPr="000D48A3">
        <w:rPr>
          <w:rFonts w:ascii="Times New Roman" w:hAnsi="Times New Roman" w:cs="Times New Roman"/>
          <w:color w:val="000000"/>
          <w:lang w:eastAsia="lt-LT"/>
        </w:rPr>
        <w:lastRenderedPageBreak/>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dozę pakeitus didesne (žr. 5.2 skyrių). Remiantis šiais </w:t>
      </w:r>
      <w:proofErr w:type="spellStart"/>
      <w:r w:rsidRPr="000D48A3">
        <w:rPr>
          <w:rFonts w:ascii="Times New Roman" w:hAnsi="Times New Roman" w:cs="Times New Roman"/>
          <w:color w:val="000000"/>
          <w:lang w:eastAsia="lt-LT"/>
        </w:rPr>
        <w:t>farmakokinetikos</w:t>
      </w:r>
      <w:proofErr w:type="spellEnd"/>
      <w:r w:rsidRPr="000D48A3">
        <w:rPr>
          <w:rFonts w:ascii="Times New Roman" w:hAnsi="Times New Roman" w:cs="Times New Roman"/>
          <w:color w:val="000000"/>
          <w:lang w:eastAsia="lt-LT"/>
        </w:rPr>
        <w:t xml:space="preserve"> rezultatais mažai tikėtina, kad didesnės dozės būtų labiau veiksmingos; be to formaliai negalima paneigti, kad mažiems vaikams skiriamos didesnės dozės didins nepageidaujamų reiškinių dažnį. Klinikinių tyrimų, skirtų palyginti 2 mg/kg kūno masės ir 4 mg/kg kūno masės du kartus per parą vartojamų dozių veiksmingumo ir saugumo santykį vaikams, neatlikta.</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Šio vaistinio preparato vartojimo mažesniems nei 2 metų vaikams klinikinė patirtis yra nedidelė.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Jeigu klinikinė būsena pablogėja (pvz., jei 6 minučių vaikščiojimo testo metu atstumas sumažėja bent 10</w:t>
      </w:r>
      <w:r w:rsidR="0068659C">
        <w:rPr>
          <w:rFonts w:ascii="Times New Roman" w:hAnsi="Times New Roman" w:cs="Times New Roman"/>
          <w:color w:val="000000"/>
          <w:lang w:eastAsia="lt-LT"/>
        </w:rPr>
        <w:t> </w:t>
      </w:r>
      <w:r w:rsidRPr="000D48A3">
        <w:rPr>
          <w:rFonts w:ascii="Times New Roman" w:hAnsi="Times New Roman" w:cs="Times New Roman"/>
          <w:color w:val="000000"/>
          <w:lang w:eastAsia="lt-LT"/>
        </w:rPr>
        <w:t xml:space="preserve">%, palyginti </w:t>
      </w:r>
      <w:r w:rsidR="0068659C">
        <w:rPr>
          <w:rFonts w:ascii="Times New Roman" w:hAnsi="Times New Roman" w:cs="Times New Roman"/>
          <w:color w:val="000000"/>
          <w:lang w:eastAsia="lt-LT"/>
        </w:rPr>
        <w:t xml:space="preserve">su </w:t>
      </w:r>
      <w:r w:rsidRPr="000D48A3">
        <w:rPr>
          <w:rFonts w:ascii="Times New Roman" w:hAnsi="Times New Roman" w:cs="Times New Roman"/>
          <w:color w:val="000000"/>
          <w:lang w:eastAsia="lt-LT"/>
        </w:rPr>
        <w:t xml:space="preserve">įvertinimu, buvusiu prieš gydymą), nepaisant to, kad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buvo gydoma bent 8 savaites (tikslinę dozę vartojant bent 4 savaites), turi būti apsvarstyta, ar nevertėtų taikyti alternatyvų gydymą. Vis dėlto, kai kurie pacientai, kuriems 8 savaičių gydymas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buvo neveiksmingas, gali palankiai reaguoti po papildomo 4 ar 8 savaičių gydymo.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Jeigu nepaisant gydymo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klinikinė būklė vėliau (</w:t>
      </w:r>
      <w:proofErr w:type="spellStart"/>
      <w:r w:rsidRPr="000D48A3">
        <w:rPr>
          <w:rFonts w:ascii="Times New Roman" w:hAnsi="Times New Roman" w:cs="Times New Roman"/>
          <w:color w:val="000000"/>
          <w:lang w:eastAsia="lt-LT"/>
        </w:rPr>
        <w:t>t.y</w:t>
      </w:r>
      <w:proofErr w:type="spellEnd"/>
      <w:r w:rsidRPr="000D48A3">
        <w:rPr>
          <w:rFonts w:ascii="Times New Roman" w:hAnsi="Times New Roman" w:cs="Times New Roman"/>
          <w:color w:val="000000"/>
          <w:lang w:eastAsia="lt-LT"/>
        </w:rPr>
        <w:t xml:space="preserve">. po kelių mėnesių gydymo) pablogėja, reikia iš naujo įvertinti gydymą. Kai kurių pacientų, kurie visai nereaguoja į gydymą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vartojant jį po 125 mg du kartus per parą, fizinis pajėgumas gali šiek tiek pagerėti, jei dozė padidinama iki 250 mg du kartus per parą. Reikia atidžiai įvertinti naudos ir rizikos santykį, atsižvelgiant į tai, kad toksinis poveikis kepenims priklauso nuo dozės (žr. 4.4 ir 5.1 skyrius).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u w:val="single"/>
          <w:lang w:eastAsia="lt-LT"/>
        </w:rPr>
      </w:pPr>
    </w:p>
    <w:p w:rsidR="00A4103A"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u w:val="single"/>
          <w:lang w:eastAsia="lt-LT"/>
        </w:rPr>
        <w:t xml:space="preserve">Gydymo nutraukimas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Staigaus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nutraukimo patirtis yra nedidelė. Staigaus ligos atsinaujinimo po nutraukimo požymių nepastebėta. Vis dėlto, siekiant išvengti galimo klinikinio pablogėjimo dėl ligos atsinaujinimo, reikia turėti omenyje laipsnišką dozės mažinimą (dozę sumažinti pusiau per 3–7 paras). Gydymo nutraukimo metu rekomenduojamas intensyvesnis stebėjimas. Nusprendus nutraukti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vartojimą, tai reikia atlikti laipsniškai, tuo pačiu metu pradedant alternatyvų gydymą.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432133" w:rsidRDefault="00A4103A" w:rsidP="00A4103A">
      <w:pPr>
        <w:autoSpaceDE w:val="0"/>
        <w:autoSpaceDN w:val="0"/>
        <w:adjustRightInd w:val="0"/>
        <w:spacing w:after="0" w:line="240" w:lineRule="auto"/>
        <w:rPr>
          <w:rFonts w:ascii="Times New Roman" w:hAnsi="Times New Roman" w:cs="Times New Roman"/>
          <w:color w:val="000000"/>
          <w:u w:val="single"/>
          <w:lang w:eastAsia="lt-LT"/>
        </w:rPr>
      </w:pPr>
      <w:r w:rsidRPr="00432133">
        <w:rPr>
          <w:rFonts w:ascii="Times New Roman" w:hAnsi="Times New Roman" w:cs="Times New Roman"/>
          <w:color w:val="000000"/>
          <w:u w:val="single"/>
          <w:lang w:eastAsia="lt-LT"/>
        </w:rPr>
        <w:t>Ypatingos populiacijos</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u w:val="single"/>
          <w:lang w:eastAsia="lt-LT"/>
        </w:rPr>
      </w:pPr>
    </w:p>
    <w:p w:rsidR="00A4103A" w:rsidRPr="00432133" w:rsidRDefault="00A4103A" w:rsidP="00A4103A">
      <w:pPr>
        <w:autoSpaceDE w:val="0"/>
        <w:autoSpaceDN w:val="0"/>
        <w:adjustRightInd w:val="0"/>
        <w:spacing w:after="0" w:line="240" w:lineRule="auto"/>
        <w:rPr>
          <w:rFonts w:ascii="Times New Roman" w:hAnsi="Times New Roman" w:cs="Times New Roman"/>
          <w:i/>
          <w:iCs/>
          <w:color w:val="000000"/>
          <w:u w:val="single"/>
          <w:lang w:eastAsia="lt-LT"/>
        </w:rPr>
      </w:pPr>
      <w:r w:rsidRPr="00432133">
        <w:rPr>
          <w:rFonts w:ascii="Times New Roman" w:hAnsi="Times New Roman" w:cs="Times New Roman"/>
          <w:i/>
          <w:iCs/>
          <w:color w:val="000000"/>
          <w:u w:val="single"/>
          <w:lang w:eastAsia="lt-LT"/>
        </w:rPr>
        <w:t>Pacientams, kurių kepenų funkcija sutrikusi</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Pacientams, kuriems yra lengvas kepenų funkcijos sutrikimas (</w:t>
      </w:r>
      <w:proofErr w:type="spellStart"/>
      <w:r w:rsidRPr="000D48A3">
        <w:rPr>
          <w:rFonts w:ascii="Times New Roman" w:hAnsi="Times New Roman" w:cs="Times New Roman"/>
          <w:color w:val="000000"/>
          <w:lang w:eastAsia="lt-LT"/>
        </w:rPr>
        <w:t>t.y</w:t>
      </w:r>
      <w:proofErr w:type="spellEnd"/>
      <w:r w:rsidRPr="000D48A3">
        <w:rPr>
          <w:rFonts w:ascii="Times New Roman" w:hAnsi="Times New Roman" w:cs="Times New Roman"/>
          <w:color w:val="000000"/>
          <w:lang w:eastAsia="lt-LT"/>
        </w:rPr>
        <w:t xml:space="preserve">., A klasės pagal </w:t>
      </w:r>
      <w:proofErr w:type="spellStart"/>
      <w:r w:rsidRPr="000D48A3">
        <w:rPr>
          <w:rFonts w:ascii="Times New Roman" w:hAnsi="Times New Roman" w:cs="Times New Roman"/>
          <w:i/>
          <w:iCs/>
          <w:color w:val="000000"/>
          <w:lang w:eastAsia="lt-LT"/>
        </w:rPr>
        <w:t>Child-Pugh</w:t>
      </w:r>
      <w:proofErr w:type="spellEnd"/>
      <w:r w:rsidRPr="000D48A3">
        <w:rPr>
          <w:rFonts w:ascii="Times New Roman" w:hAnsi="Times New Roman" w:cs="Times New Roman"/>
          <w:color w:val="000000"/>
          <w:lang w:eastAsia="lt-LT"/>
        </w:rPr>
        <w:t xml:space="preserve">), dozės keisti nereikia (žr. 5.2 skyrių).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draudžiama vartoti pacientams, kuriems yra vidutinio sunkumo ar sunkus kepenų funkcijos sutrikimas (žr. 4.3, 4.4 ir 5.2 skyrius).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u w:val="single"/>
          <w:lang w:eastAsia="lt-LT"/>
        </w:rPr>
      </w:pPr>
    </w:p>
    <w:p w:rsidR="00A4103A" w:rsidRPr="00432133" w:rsidRDefault="00A4103A" w:rsidP="00A4103A">
      <w:pPr>
        <w:autoSpaceDE w:val="0"/>
        <w:autoSpaceDN w:val="0"/>
        <w:adjustRightInd w:val="0"/>
        <w:spacing w:after="0" w:line="240" w:lineRule="auto"/>
        <w:rPr>
          <w:rFonts w:ascii="Times New Roman" w:hAnsi="Times New Roman" w:cs="Times New Roman"/>
          <w:i/>
          <w:iCs/>
          <w:color w:val="000000"/>
          <w:u w:val="single"/>
          <w:lang w:eastAsia="lt-LT"/>
        </w:rPr>
      </w:pPr>
      <w:r w:rsidRPr="00432133">
        <w:rPr>
          <w:rFonts w:ascii="Times New Roman" w:hAnsi="Times New Roman" w:cs="Times New Roman"/>
          <w:i/>
          <w:iCs/>
          <w:color w:val="000000"/>
          <w:u w:val="single"/>
          <w:lang w:eastAsia="lt-LT"/>
        </w:rPr>
        <w:t>Pacientams, kurių inkstų funkcija sutrikusi</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Pacientams, kuriems yra inkstų funkcijos sutrikimas, dozės keisti nereikia. Jos keisti nereikia ir </w:t>
      </w:r>
      <w:proofErr w:type="spellStart"/>
      <w:r w:rsidRPr="000D48A3">
        <w:rPr>
          <w:rFonts w:ascii="Times New Roman" w:hAnsi="Times New Roman" w:cs="Times New Roman"/>
          <w:color w:val="000000"/>
          <w:lang w:eastAsia="lt-LT"/>
        </w:rPr>
        <w:t>dializuojamiems</w:t>
      </w:r>
      <w:proofErr w:type="spellEnd"/>
      <w:r w:rsidRPr="000D48A3">
        <w:rPr>
          <w:rFonts w:ascii="Times New Roman" w:hAnsi="Times New Roman" w:cs="Times New Roman"/>
          <w:color w:val="000000"/>
          <w:lang w:eastAsia="lt-LT"/>
        </w:rPr>
        <w:t xml:space="preserve"> pacientams (žr. 5.2 skyrių).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u w:val="single"/>
          <w:lang w:eastAsia="lt-LT"/>
        </w:rPr>
      </w:pPr>
    </w:p>
    <w:p w:rsidR="00A4103A" w:rsidRPr="00432133" w:rsidRDefault="00A4103A" w:rsidP="00A4103A">
      <w:pPr>
        <w:autoSpaceDE w:val="0"/>
        <w:autoSpaceDN w:val="0"/>
        <w:adjustRightInd w:val="0"/>
        <w:spacing w:after="0" w:line="240" w:lineRule="auto"/>
        <w:rPr>
          <w:rFonts w:ascii="Times New Roman" w:hAnsi="Times New Roman" w:cs="Times New Roman"/>
          <w:i/>
          <w:iCs/>
          <w:color w:val="000000"/>
          <w:lang w:eastAsia="lt-LT"/>
        </w:rPr>
      </w:pPr>
      <w:r w:rsidRPr="00432133">
        <w:rPr>
          <w:rFonts w:ascii="Times New Roman" w:hAnsi="Times New Roman" w:cs="Times New Roman"/>
          <w:i/>
          <w:iCs/>
          <w:color w:val="000000"/>
          <w:u w:val="single"/>
          <w:lang w:eastAsia="lt-LT"/>
        </w:rPr>
        <w:t xml:space="preserve">Senyviems žmonėms </w:t>
      </w:r>
    </w:p>
    <w:p w:rsidR="00A4103A" w:rsidRPr="000D48A3" w:rsidRDefault="00A4103A" w:rsidP="00A4103A">
      <w:pPr>
        <w:autoSpaceDE w:val="0"/>
        <w:autoSpaceDN w:val="0"/>
        <w:adjustRightInd w:val="0"/>
        <w:spacing w:after="0" w:line="240" w:lineRule="auto"/>
        <w:rPr>
          <w:rFonts w:ascii="Arial" w:hAnsi="Arial" w:cs="Arial"/>
          <w:color w:val="000000"/>
          <w:lang w:eastAsia="lt-LT"/>
        </w:rPr>
      </w:pPr>
      <w:r w:rsidRPr="000D48A3">
        <w:rPr>
          <w:rFonts w:ascii="Times New Roman" w:hAnsi="Times New Roman" w:cs="Times New Roman"/>
          <w:color w:val="000000"/>
          <w:lang w:eastAsia="lt-LT"/>
        </w:rPr>
        <w:t>Vyresniems negu 65 metų amžiaus žmonėms dozės keisti nereikia.</w:t>
      </w:r>
    </w:p>
    <w:p w:rsidR="00A4103A" w:rsidRPr="000D48A3" w:rsidRDefault="00A4103A" w:rsidP="00A4103A">
      <w:pPr>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b/>
          <w:bCs/>
          <w:lang w:eastAsia="lt-LT"/>
        </w:rPr>
      </w:pPr>
      <w:r w:rsidRPr="000D48A3">
        <w:rPr>
          <w:rFonts w:ascii="Times New Roman" w:hAnsi="Times New Roman" w:cs="Times New Roman"/>
          <w:b/>
          <w:bCs/>
          <w:lang w:eastAsia="lt-LT"/>
        </w:rPr>
        <w:t>4.3</w:t>
      </w:r>
      <w:r w:rsidRPr="000D48A3">
        <w:rPr>
          <w:rFonts w:ascii="Times New Roman" w:hAnsi="Times New Roman" w:cs="Times New Roman"/>
          <w:b/>
          <w:bCs/>
          <w:lang w:eastAsia="lt-LT"/>
        </w:rPr>
        <w:tab/>
        <w:t xml:space="preserve">Kontraindikacijos </w:t>
      </w:r>
    </w:p>
    <w:p w:rsidR="00A4103A" w:rsidRPr="000D48A3" w:rsidRDefault="00A4103A" w:rsidP="00A4103A">
      <w:pPr>
        <w:spacing w:after="0" w:line="240" w:lineRule="auto"/>
        <w:rPr>
          <w:rFonts w:ascii="Times New Roman" w:hAnsi="Times New Roman" w:cs="Times New Roman"/>
          <w:lang w:eastAsia="lt-LT"/>
        </w:rPr>
      </w:pPr>
    </w:p>
    <w:p w:rsidR="00A4103A" w:rsidRPr="000D48A3" w:rsidRDefault="00A4103A" w:rsidP="00A4103A">
      <w:pPr>
        <w:numPr>
          <w:ilvl w:val="0"/>
          <w:numId w:val="24"/>
        </w:numPr>
        <w:spacing w:after="0" w:line="240" w:lineRule="auto"/>
        <w:rPr>
          <w:rFonts w:ascii="Times New Roman" w:hAnsi="Times New Roman" w:cs="Times New Roman"/>
          <w:lang w:eastAsia="lt-LT"/>
        </w:rPr>
      </w:pPr>
      <w:r w:rsidRPr="000D48A3">
        <w:rPr>
          <w:rFonts w:ascii="Times New Roman" w:hAnsi="Times New Roman" w:cs="Times New Roman"/>
          <w:lang w:eastAsia="lt-LT"/>
        </w:rPr>
        <w:t xml:space="preserve">Padidėjęs jautrumas veikliajai arba bet kuriai 6.1 skyriuje nurodytai pagalbinei medžiagai. </w:t>
      </w:r>
    </w:p>
    <w:p w:rsidR="00A4103A" w:rsidRPr="000D48A3" w:rsidRDefault="00A4103A" w:rsidP="00A4103A">
      <w:pPr>
        <w:numPr>
          <w:ilvl w:val="0"/>
          <w:numId w:val="24"/>
        </w:numPr>
        <w:spacing w:after="0" w:line="240" w:lineRule="auto"/>
        <w:rPr>
          <w:rFonts w:ascii="Times New Roman" w:hAnsi="Times New Roman" w:cs="Times New Roman"/>
          <w:lang w:eastAsia="lt-LT"/>
        </w:rPr>
      </w:pPr>
      <w:r w:rsidRPr="000D48A3">
        <w:rPr>
          <w:rFonts w:ascii="Times New Roman" w:hAnsi="Times New Roman" w:cs="Times New Roman"/>
          <w:lang w:eastAsia="lt-LT"/>
        </w:rPr>
        <w:t xml:space="preserve">Vidutinio sunkumo arba sunkus kepenų funkcijos sutrikimas, pvz., B arba C klasės pagal </w:t>
      </w:r>
      <w:proofErr w:type="spellStart"/>
      <w:r w:rsidRPr="000D48A3">
        <w:rPr>
          <w:rFonts w:ascii="Times New Roman" w:hAnsi="Times New Roman" w:cs="Times New Roman"/>
          <w:i/>
          <w:iCs/>
          <w:lang w:eastAsia="lt-LT"/>
        </w:rPr>
        <w:t>Child-Pugh</w:t>
      </w:r>
      <w:proofErr w:type="spellEnd"/>
      <w:r w:rsidRPr="000D48A3">
        <w:rPr>
          <w:rFonts w:ascii="Times New Roman" w:hAnsi="Times New Roman" w:cs="Times New Roman"/>
          <w:i/>
          <w:iCs/>
          <w:lang w:eastAsia="lt-LT"/>
        </w:rPr>
        <w:t xml:space="preserve"> </w:t>
      </w:r>
      <w:r w:rsidRPr="000D48A3">
        <w:rPr>
          <w:rFonts w:ascii="Times New Roman" w:hAnsi="Times New Roman" w:cs="Times New Roman"/>
          <w:lang w:eastAsia="lt-LT"/>
        </w:rPr>
        <w:t xml:space="preserve">(žr. 5.2 skyrių). </w:t>
      </w:r>
    </w:p>
    <w:p w:rsidR="00A4103A" w:rsidRPr="000D48A3" w:rsidRDefault="00A4103A" w:rsidP="00A4103A">
      <w:pPr>
        <w:numPr>
          <w:ilvl w:val="0"/>
          <w:numId w:val="24"/>
        </w:numPr>
        <w:spacing w:after="0" w:line="240" w:lineRule="auto"/>
        <w:rPr>
          <w:rFonts w:ascii="Times New Roman" w:hAnsi="Times New Roman" w:cs="Times New Roman"/>
          <w:lang w:eastAsia="lt-LT"/>
        </w:rPr>
      </w:pPr>
      <w:r w:rsidRPr="000D48A3">
        <w:rPr>
          <w:rFonts w:ascii="Times New Roman" w:hAnsi="Times New Roman" w:cs="Times New Roman"/>
          <w:lang w:eastAsia="lt-LT"/>
        </w:rPr>
        <w:lastRenderedPageBreak/>
        <w:t xml:space="preserve">Pradinis kepenų </w:t>
      </w:r>
      <w:proofErr w:type="spellStart"/>
      <w:r w:rsidRPr="000D48A3">
        <w:rPr>
          <w:rFonts w:ascii="Times New Roman" w:hAnsi="Times New Roman" w:cs="Times New Roman"/>
          <w:lang w:eastAsia="lt-LT"/>
        </w:rPr>
        <w:t>aminotransferazių</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t.y</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aspartato</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aminotransferazės</w:t>
      </w:r>
      <w:proofErr w:type="spellEnd"/>
      <w:r w:rsidRPr="000D48A3">
        <w:rPr>
          <w:rFonts w:ascii="Times New Roman" w:hAnsi="Times New Roman" w:cs="Times New Roman"/>
          <w:lang w:eastAsia="lt-LT"/>
        </w:rPr>
        <w:t xml:space="preserve"> (AST) ir (arba) </w:t>
      </w:r>
      <w:proofErr w:type="spellStart"/>
      <w:r w:rsidRPr="000D48A3">
        <w:rPr>
          <w:rFonts w:ascii="Times New Roman" w:hAnsi="Times New Roman" w:cs="Times New Roman"/>
          <w:lang w:eastAsia="lt-LT"/>
        </w:rPr>
        <w:t>alanino</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aminotransferazės</w:t>
      </w:r>
      <w:proofErr w:type="spellEnd"/>
      <w:r w:rsidRPr="000D48A3">
        <w:rPr>
          <w:rFonts w:ascii="Times New Roman" w:hAnsi="Times New Roman" w:cs="Times New Roman"/>
          <w:lang w:eastAsia="lt-LT"/>
        </w:rPr>
        <w:t xml:space="preserve"> (ALT), aktyvumo įvertinimas daugiau nei 3 kartus viršija viršutinę normos ribą (žr. 4.4 skyrių). </w:t>
      </w:r>
    </w:p>
    <w:p w:rsidR="00A4103A" w:rsidRPr="000D48A3" w:rsidRDefault="00A4103A" w:rsidP="00A4103A">
      <w:pPr>
        <w:numPr>
          <w:ilvl w:val="0"/>
          <w:numId w:val="24"/>
        </w:numPr>
        <w:spacing w:after="0" w:line="240" w:lineRule="auto"/>
        <w:rPr>
          <w:rFonts w:ascii="Times New Roman" w:hAnsi="Times New Roman" w:cs="Times New Roman"/>
          <w:lang w:eastAsia="lt-LT"/>
        </w:rPr>
      </w:pPr>
      <w:r w:rsidRPr="000D48A3">
        <w:rPr>
          <w:rFonts w:ascii="Times New Roman" w:hAnsi="Times New Roman" w:cs="Times New Roman"/>
          <w:lang w:eastAsia="lt-LT"/>
        </w:rPr>
        <w:t xml:space="preserve">Vartojimas kartu su </w:t>
      </w:r>
      <w:proofErr w:type="spellStart"/>
      <w:r w:rsidRPr="000D48A3">
        <w:rPr>
          <w:rFonts w:ascii="Times New Roman" w:hAnsi="Times New Roman" w:cs="Times New Roman"/>
          <w:lang w:eastAsia="lt-LT"/>
        </w:rPr>
        <w:t>ciklosporinu</w:t>
      </w:r>
      <w:proofErr w:type="spellEnd"/>
      <w:r w:rsidRPr="000D48A3">
        <w:rPr>
          <w:rFonts w:ascii="Times New Roman" w:hAnsi="Times New Roman" w:cs="Times New Roman"/>
          <w:lang w:eastAsia="lt-LT"/>
        </w:rPr>
        <w:t xml:space="preserve"> A (žr. 4.5 skyrių). </w:t>
      </w:r>
    </w:p>
    <w:p w:rsidR="00A4103A" w:rsidRPr="000D48A3" w:rsidRDefault="00A4103A" w:rsidP="00A4103A">
      <w:pPr>
        <w:numPr>
          <w:ilvl w:val="0"/>
          <w:numId w:val="24"/>
        </w:numPr>
        <w:spacing w:after="0" w:line="240" w:lineRule="auto"/>
        <w:rPr>
          <w:rFonts w:ascii="Times New Roman" w:hAnsi="Times New Roman" w:cs="Times New Roman"/>
          <w:lang w:eastAsia="lt-LT"/>
        </w:rPr>
      </w:pPr>
      <w:r w:rsidRPr="000D48A3">
        <w:rPr>
          <w:rFonts w:ascii="Times New Roman" w:hAnsi="Times New Roman" w:cs="Times New Roman"/>
          <w:lang w:eastAsia="lt-LT"/>
        </w:rPr>
        <w:t xml:space="preserve">Nėštumas (žr. 4.4 ir 4.6 skyrius). </w:t>
      </w:r>
    </w:p>
    <w:p w:rsidR="00A4103A" w:rsidRPr="000D48A3" w:rsidRDefault="00A4103A" w:rsidP="00A4103A">
      <w:pPr>
        <w:numPr>
          <w:ilvl w:val="0"/>
          <w:numId w:val="24"/>
        </w:numPr>
        <w:spacing w:after="0" w:line="240" w:lineRule="auto"/>
        <w:rPr>
          <w:rFonts w:ascii="Times New Roman" w:hAnsi="Times New Roman" w:cs="Times New Roman"/>
          <w:lang w:eastAsia="lt-LT"/>
        </w:rPr>
      </w:pPr>
      <w:r w:rsidRPr="000D48A3">
        <w:rPr>
          <w:rFonts w:ascii="Times New Roman" w:hAnsi="Times New Roman" w:cs="Times New Roman"/>
          <w:lang w:eastAsia="lt-LT"/>
        </w:rPr>
        <w:t xml:space="preserve">Vaisingo amžiaus moterys, nenaudojančios patikimų kontracepcijos būdų (žr. 4.4, 4.5 ir 4.6 skyrius). </w:t>
      </w:r>
    </w:p>
    <w:p w:rsidR="00A4103A" w:rsidRPr="000D48A3" w:rsidRDefault="00A4103A" w:rsidP="00A4103A">
      <w:pPr>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b/>
          <w:bCs/>
          <w:lang w:eastAsia="lt-LT"/>
        </w:rPr>
      </w:pPr>
      <w:r w:rsidRPr="000D48A3">
        <w:rPr>
          <w:rFonts w:ascii="Times New Roman" w:hAnsi="Times New Roman" w:cs="Times New Roman"/>
          <w:b/>
          <w:bCs/>
          <w:lang w:eastAsia="lt-LT"/>
        </w:rPr>
        <w:t>4.4</w:t>
      </w:r>
      <w:r w:rsidRPr="000D48A3">
        <w:rPr>
          <w:rFonts w:ascii="Times New Roman" w:hAnsi="Times New Roman" w:cs="Times New Roman"/>
          <w:b/>
          <w:bCs/>
          <w:lang w:eastAsia="lt-LT"/>
        </w:rPr>
        <w:tab/>
        <w:t xml:space="preserve">Specialūs įspėjimai ir atsargumo priemonės </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spacing w:after="0" w:line="240" w:lineRule="auto"/>
        <w:rPr>
          <w:rFonts w:ascii="Times New Roman" w:hAnsi="Times New Roman" w:cs="Times New Roman"/>
          <w:lang w:eastAsia="lt-LT"/>
        </w:rPr>
      </w:pPr>
      <w:proofErr w:type="spellStart"/>
      <w:r w:rsidRPr="000D48A3">
        <w:rPr>
          <w:rFonts w:ascii="Times New Roman" w:hAnsi="Times New Roman" w:cs="Times New Roman"/>
          <w:lang w:eastAsia="lt-LT"/>
        </w:rPr>
        <w:t>Bosentan</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Sandoz</w:t>
      </w:r>
      <w:proofErr w:type="spellEnd"/>
      <w:r w:rsidRPr="000D48A3">
        <w:rPr>
          <w:rFonts w:ascii="Times New Roman" w:hAnsi="Times New Roman" w:cs="Times New Roman"/>
          <w:lang w:eastAsia="lt-LT"/>
        </w:rPr>
        <w:t xml:space="preserve"> veiksmingumas pacientams, sergantiems sunkia </w:t>
      </w:r>
      <w:proofErr w:type="spellStart"/>
      <w:r w:rsidRPr="000D48A3">
        <w:rPr>
          <w:rFonts w:ascii="Times New Roman" w:hAnsi="Times New Roman" w:cs="Times New Roman"/>
          <w:lang w:eastAsia="lt-LT"/>
        </w:rPr>
        <w:t>plautine</w:t>
      </w:r>
      <w:proofErr w:type="spellEnd"/>
      <w:r w:rsidRPr="000D48A3">
        <w:rPr>
          <w:rFonts w:ascii="Times New Roman" w:hAnsi="Times New Roman" w:cs="Times New Roman"/>
          <w:lang w:eastAsia="lt-LT"/>
        </w:rPr>
        <w:t xml:space="preserve"> arterine hipertenzija nenustatytas. Jei klinikinė būklė pablogėja, reikia apsvarstyti, neperėjus prie gydymo (pvz., </w:t>
      </w:r>
      <w:proofErr w:type="spellStart"/>
      <w:r w:rsidRPr="000D48A3">
        <w:rPr>
          <w:rFonts w:ascii="Times New Roman" w:hAnsi="Times New Roman" w:cs="Times New Roman"/>
          <w:lang w:eastAsia="lt-LT"/>
        </w:rPr>
        <w:t>epoprostenoliu</w:t>
      </w:r>
      <w:proofErr w:type="spellEnd"/>
      <w:r w:rsidRPr="000D48A3">
        <w:rPr>
          <w:rFonts w:ascii="Times New Roman" w:hAnsi="Times New Roman" w:cs="Times New Roman"/>
          <w:lang w:eastAsia="lt-LT"/>
        </w:rPr>
        <w:t xml:space="preserve">), kuris rekomenduojamas esant sunkiai ligos stadijai (žr. 4.2 skyrių). </w:t>
      </w:r>
    </w:p>
    <w:p w:rsidR="00A4103A" w:rsidRPr="000D48A3" w:rsidRDefault="00A4103A" w:rsidP="00A4103A">
      <w:pPr>
        <w:spacing w:after="0" w:line="240" w:lineRule="auto"/>
        <w:rPr>
          <w:rFonts w:ascii="Times New Roman" w:hAnsi="Times New Roman" w:cs="Times New Roman"/>
          <w:lang w:eastAsia="lt-LT"/>
        </w:rPr>
      </w:pPr>
      <w:proofErr w:type="spellStart"/>
      <w:r w:rsidRPr="000D48A3">
        <w:rPr>
          <w:rFonts w:ascii="Times New Roman" w:hAnsi="Times New Roman" w:cs="Times New Roman"/>
          <w:lang w:eastAsia="lt-LT"/>
        </w:rPr>
        <w:t>Bozentano</w:t>
      </w:r>
      <w:proofErr w:type="spellEnd"/>
      <w:r w:rsidRPr="000D48A3">
        <w:rPr>
          <w:rFonts w:ascii="Times New Roman" w:hAnsi="Times New Roman" w:cs="Times New Roman"/>
          <w:lang w:eastAsia="lt-LT"/>
        </w:rPr>
        <w:t xml:space="preserve"> naudos ir rizikos santykis pacientams, kuriems yra I PSO klasės </w:t>
      </w:r>
      <w:proofErr w:type="spellStart"/>
      <w:r w:rsidRPr="000D48A3">
        <w:rPr>
          <w:rFonts w:ascii="Times New Roman" w:hAnsi="Times New Roman" w:cs="Times New Roman"/>
          <w:lang w:eastAsia="lt-LT"/>
        </w:rPr>
        <w:t>plautinės</w:t>
      </w:r>
      <w:proofErr w:type="spellEnd"/>
      <w:r w:rsidRPr="000D48A3">
        <w:rPr>
          <w:rFonts w:ascii="Times New Roman" w:hAnsi="Times New Roman" w:cs="Times New Roman"/>
          <w:lang w:eastAsia="lt-LT"/>
        </w:rPr>
        <w:t xml:space="preserve"> arterinės hipertenzijos funkcinė būklė, nenustatytas. </w:t>
      </w:r>
    </w:p>
    <w:p w:rsidR="00A4103A" w:rsidRPr="000D48A3" w:rsidRDefault="00A4103A" w:rsidP="00A4103A">
      <w:pPr>
        <w:spacing w:after="0" w:line="240" w:lineRule="auto"/>
        <w:rPr>
          <w:rFonts w:ascii="Times New Roman" w:hAnsi="Times New Roman" w:cs="Times New Roman"/>
          <w:lang w:eastAsia="lt-LT"/>
        </w:rPr>
      </w:pPr>
      <w:r w:rsidRPr="000D48A3">
        <w:rPr>
          <w:rFonts w:ascii="Times New Roman" w:hAnsi="Times New Roman" w:cs="Times New Roman"/>
          <w:lang w:eastAsia="lt-LT"/>
        </w:rPr>
        <w:t xml:space="preserve">Gydymą </w:t>
      </w:r>
      <w:proofErr w:type="spellStart"/>
      <w:r w:rsidRPr="000D48A3">
        <w:rPr>
          <w:rFonts w:ascii="Times New Roman" w:hAnsi="Times New Roman" w:cs="Times New Roman"/>
          <w:lang w:eastAsia="lt-LT"/>
        </w:rPr>
        <w:t>Bosentan</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Sandoz</w:t>
      </w:r>
      <w:proofErr w:type="spellEnd"/>
      <w:r w:rsidRPr="000D48A3">
        <w:rPr>
          <w:rFonts w:ascii="Times New Roman" w:hAnsi="Times New Roman" w:cs="Times New Roman"/>
          <w:lang w:eastAsia="lt-LT"/>
        </w:rPr>
        <w:t xml:space="preserve"> galima pradėti tik jeigu sisteminis </w:t>
      </w:r>
      <w:proofErr w:type="spellStart"/>
      <w:r w:rsidRPr="000D48A3">
        <w:rPr>
          <w:rFonts w:ascii="Times New Roman" w:hAnsi="Times New Roman" w:cs="Times New Roman"/>
          <w:lang w:eastAsia="lt-LT"/>
        </w:rPr>
        <w:t>sistolinis</w:t>
      </w:r>
      <w:proofErr w:type="spellEnd"/>
      <w:r w:rsidRPr="000D48A3">
        <w:rPr>
          <w:rFonts w:ascii="Times New Roman" w:hAnsi="Times New Roman" w:cs="Times New Roman"/>
          <w:lang w:eastAsia="lt-LT"/>
        </w:rPr>
        <w:t xml:space="preserve"> </w:t>
      </w:r>
      <w:r>
        <w:rPr>
          <w:rFonts w:ascii="Times New Roman" w:hAnsi="Times New Roman" w:cs="Times New Roman"/>
          <w:lang w:eastAsia="lt-LT"/>
        </w:rPr>
        <w:t>kraujospūdis</w:t>
      </w:r>
      <w:r w:rsidRPr="000D48A3">
        <w:rPr>
          <w:rFonts w:ascii="Times New Roman" w:hAnsi="Times New Roman" w:cs="Times New Roman"/>
          <w:lang w:eastAsia="lt-LT"/>
        </w:rPr>
        <w:t xml:space="preserve"> yra didesnis kaip 85 </w:t>
      </w:r>
      <w:proofErr w:type="spellStart"/>
      <w:r w:rsidRPr="000D48A3">
        <w:rPr>
          <w:rFonts w:ascii="Times New Roman" w:hAnsi="Times New Roman" w:cs="Times New Roman"/>
          <w:lang w:eastAsia="lt-LT"/>
        </w:rPr>
        <w:t>mmHg</w:t>
      </w:r>
      <w:proofErr w:type="spellEnd"/>
      <w:r w:rsidRPr="000D48A3">
        <w:rPr>
          <w:rFonts w:ascii="Times New Roman" w:hAnsi="Times New Roman" w:cs="Times New Roman"/>
          <w:lang w:eastAsia="lt-LT"/>
        </w:rPr>
        <w:t xml:space="preserve">. </w:t>
      </w:r>
    </w:p>
    <w:p w:rsidR="00A4103A" w:rsidRPr="000D48A3" w:rsidRDefault="00A4103A" w:rsidP="00A4103A">
      <w:pPr>
        <w:spacing w:after="0" w:line="240" w:lineRule="auto"/>
        <w:rPr>
          <w:rFonts w:ascii="Times New Roman" w:hAnsi="Times New Roman" w:cs="Times New Roman"/>
          <w:lang w:eastAsia="lt-LT"/>
        </w:rPr>
      </w:pPr>
      <w:r w:rsidRPr="000D48A3">
        <w:rPr>
          <w:rFonts w:ascii="Times New Roman" w:hAnsi="Times New Roman" w:cs="Times New Roman"/>
          <w:lang w:eastAsia="lt-LT"/>
        </w:rPr>
        <w:t xml:space="preserve">Neįrodyta, kad </w:t>
      </w:r>
      <w:proofErr w:type="spellStart"/>
      <w:r w:rsidRPr="000D48A3">
        <w:rPr>
          <w:rFonts w:ascii="Times New Roman" w:hAnsi="Times New Roman" w:cs="Times New Roman"/>
          <w:lang w:eastAsia="lt-LT"/>
        </w:rPr>
        <w:t>Bosentan</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Sandoz</w:t>
      </w:r>
      <w:proofErr w:type="spellEnd"/>
      <w:r w:rsidRPr="000D48A3">
        <w:rPr>
          <w:rFonts w:ascii="Times New Roman" w:hAnsi="Times New Roman" w:cs="Times New Roman"/>
          <w:lang w:eastAsia="lt-LT"/>
        </w:rPr>
        <w:t xml:space="preserve"> daro palankų poveikį esamų pirštų opų gijimui. </w:t>
      </w:r>
    </w:p>
    <w:p w:rsidR="00A4103A" w:rsidRPr="000D48A3" w:rsidRDefault="00A4103A" w:rsidP="00A4103A">
      <w:pPr>
        <w:spacing w:after="0" w:line="240" w:lineRule="auto"/>
        <w:rPr>
          <w:rFonts w:ascii="Times New Roman" w:hAnsi="Times New Roman" w:cs="Times New Roman"/>
          <w:i/>
          <w:iCs/>
          <w:u w:val="single"/>
          <w:lang w:eastAsia="lt-LT"/>
        </w:rPr>
      </w:pPr>
    </w:p>
    <w:p w:rsidR="00A4103A" w:rsidRPr="000D48A3" w:rsidRDefault="00A4103A" w:rsidP="00A4103A">
      <w:pPr>
        <w:spacing w:after="0" w:line="240" w:lineRule="auto"/>
        <w:rPr>
          <w:rFonts w:ascii="Times New Roman" w:hAnsi="Times New Roman" w:cs="Times New Roman"/>
          <w:lang w:eastAsia="lt-LT"/>
        </w:rPr>
      </w:pPr>
      <w:r w:rsidRPr="00432133">
        <w:rPr>
          <w:rFonts w:ascii="Times New Roman" w:hAnsi="Times New Roman" w:cs="Times New Roman"/>
          <w:u w:val="single"/>
          <w:lang w:eastAsia="lt-LT"/>
        </w:rPr>
        <w:t xml:space="preserve">Kepenų veikla </w:t>
      </w:r>
    </w:p>
    <w:p w:rsidR="00A4103A" w:rsidRPr="000D48A3" w:rsidRDefault="00A4103A" w:rsidP="00A4103A">
      <w:pPr>
        <w:spacing w:after="0" w:line="240" w:lineRule="auto"/>
        <w:rPr>
          <w:rFonts w:ascii="Times New Roman" w:hAnsi="Times New Roman" w:cs="Times New Roman"/>
          <w:lang w:eastAsia="lt-LT"/>
        </w:rPr>
      </w:pPr>
      <w:r w:rsidRPr="000D48A3">
        <w:rPr>
          <w:rFonts w:ascii="Times New Roman" w:hAnsi="Times New Roman" w:cs="Times New Roman"/>
          <w:lang w:eastAsia="lt-LT"/>
        </w:rPr>
        <w:t xml:space="preserve">Su </w:t>
      </w:r>
      <w:proofErr w:type="spellStart"/>
      <w:r w:rsidRPr="000D48A3">
        <w:rPr>
          <w:rFonts w:ascii="Times New Roman" w:hAnsi="Times New Roman" w:cs="Times New Roman"/>
          <w:lang w:eastAsia="lt-LT"/>
        </w:rPr>
        <w:t>bozentanu</w:t>
      </w:r>
      <w:proofErr w:type="spellEnd"/>
      <w:r w:rsidRPr="000D48A3">
        <w:rPr>
          <w:rFonts w:ascii="Times New Roman" w:hAnsi="Times New Roman" w:cs="Times New Roman"/>
          <w:lang w:eastAsia="lt-LT"/>
        </w:rPr>
        <w:t xml:space="preserve"> susijęs kepenų </w:t>
      </w:r>
      <w:proofErr w:type="spellStart"/>
      <w:r w:rsidRPr="000D48A3">
        <w:rPr>
          <w:rFonts w:ascii="Times New Roman" w:hAnsi="Times New Roman" w:cs="Times New Roman"/>
          <w:lang w:eastAsia="lt-LT"/>
        </w:rPr>
        <w:t>aminotransferazių</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t.y</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aspartato</w:t>
      </w:r>
      <w:proofErr w:type="spellEnd"/>
      <w:r w:rsidRPr="000D48A3">
        <w:rPr>
          <w:rFonts w:ascii="Times New Roman" w:hAnsi="Times New Roman" w:cs="Times New Roman"/>
          <w:lang w:eastAsia="lt-LT"/>
        </w:rPr>
        <w:t xml:space="preserve"> ir (arba) </w:t>
      </w:r>
      <w:proofErr w:type="spellStart"/>
      <w:r w:rsidRPr="000D48A3">
        <w:rPr>
          <w:rFonts w:ascii="Times New Roman" w:hAnsi="Times New Roman" w:cs="Times New Roman"/>
          <w:lang w:eastAsia="lt-LT"/>
        </w:rPr>
        <w:t>alanino</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aminotransferazės</w:t>
      </w:r>
      <w:proofErr w:type="spellEnd"/>
      <w:r w:rsidRPr="000D48A3">
        <w:rPr>
          <w:rFonts w:ascii="Times New Roman" w:hAnsi="Times New Roman" w:cs="Times New Roman"/>
          <w:lang w:eastAsia="lt-LT"/>
        </w:rPr>
        <w:t xml:space="preserve"> (AST ir (arba) ALT) aktyvumo padidėjimas priklauso nuo dozės. Kepenų fermentų pokyčiai paprastai atsiranda per pirmas 26 gydymo savaites, tačiau gydymo eigoje gali atsirasti ir vėliau (žr. 4.8 skyrių). Šie padidėjimai iš dalies gali būti dėl konkurencinio tulžies druskų šalinimo iš kepenų ląstelių slopinimo, tačiau kiti mechanizmai, kurie nėra tiksliai nustatyti, tikriausiai taip pat susiję su kepenų funkcijos sutrikimu. Yra nepaneigtas </w:t>
      </w:r>
      <w:proofErr w:type="spellStart"/>
      <w:r w:rsidRPr="000D48A3">
        <w:rPr>
          <w:rFonts w:ascii="Times New Roman" w:hAnsi="Times New Roman" w:cs="Times New Roman"/>
          <w:lang w:eastAsia="lt-LT"/>
        </w:rPr>
        <w:t>bozentano</w:t>
      </w:r>
      <w:proofErr w:type="spellEnd"/>
      <w:r w:rsidRPr="000D48A3">
        <w:rPr>
          <w:rFonts w:ascii="Times New Roman" w:hAnsi="Times New Roman" w:cs="Times New Roman"/>
          <w:lang w:eastAsia="lt-LT"/>
        </w:rPr>
        <w:t xml:space="preserve"> kaupimasis </w:t>
      </w:r>
      <w:proofErr w:type="spellStart"/>
      <w:r w:rsidRPr="000D48A3">
        <w:rPr>
          <w:rFonts w:ascii="Times New Roman" w:hAnsi="Times New Roman" w:cs="Times New Roman"/>
          <w:lang w:eastAsia="lt-LT"/>
        </w:rPr>
        <w:t>hepatocituose</w:t>
      </w:r>
      <w:proofErr w:type="spellEnd"/>
      <w:r w:rsidRPr="000D48A3">
        <w:rPr>
          <w:rFonts w:ascii="Times New Roman" w:hAnsi="Times New Roman" w:cs="Times New Roman"/>
          <w:lang w:eastAsia="lt-LT"/>
        </w:rPr>
        <w:t xml:space="preserve">, dėl kurio vyksta </w:t>
      </w:r>
      <w:proofErr w:type="spellStart"/>
      <w:r w:rsidRPr="000D48A3">
        <w:rPr>
          <w:rFonts w:ascii="Times New Roman" w:hAnsi="Times New Roman" w:cs="Times New Roman"/>
          <w:lang w:eastAsia="lt-LT"/>
        </w:rPr>
        <w:t>citolizė</w:t>
      </w:r>
      <w:proofErr w:type="spellEnd"/>
      <w:r w:rsidRPr="000D48A3">
        <w:rPr>
          <w:rFonts w:ascii="Times New Roman" w:hAnsi="Times New Roman" w:cs="Times New Roman"/>
          <w:lang w:eastAsia="lt-LT"/>
        </w:rPr>
        <w:t xml:space="preserve">, sukelianti sunkius kepenų pažeidimus ir imuninio mechanizmo sutrikimus. Kepenų funkcijos sutrikimo rizika taip pat gali padidėti, kai kartu su </w:t>
      </w:r>
      <w:proofErr w:type="spellStart"/>
      <w:r w:rsidRPr="000D48A3">
        <w:rPr>
          <w:rFonts w:ascii="Times New Roman" w:hAnsi="Times New Roman" w:cs="Times New Roman"/>
          <w:lang w:eastAsia="lt-LT"/>
        </w:rPr>
        <w:t>bozentanu</w:t>
      </w:r>
      <w:proofErr w:type="spellEnd"/>
      <w:r w:rsidRPr="000D48A3">
        <w:rPr>
          <w:rFonts w:ascii="Times New Roman" w:hAnsi="Times New Roman" w:cs="Times New Roman"/>
          <w:lang w:eastAsia="lt-LT"/>
        </w:rPr>
        <w:t xml:space="preserve"> vartojama vaistinių preparatų, slopinančių tulžies druskų šalinimo siurblį, pvz., </w:t>
      </w:r>
      <w:proofErr w:type="spellStart"/>
      <w:r w:rsidRPr="000D48A3">
        <w:rPr>
          <w:rFonts w:ascii="Times New Roman" w:hAnsi="Times New Roman" w:cs="Times New Roman"/>
          <w:lang w:eastAsia="lt-LT"/>
        </w:rPr>
        <w:t>rifampicino</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glibenklamido</w:t>
      </w:r>
      <w:proofErr w:type="spellEnd"/>
      <w:r w:rsidRPr="000D48A3">
        <w:rPr>
          <w:rFonts w:ascii="Times New Roman" w:hAnsi="Times New Roman" w:cs="Times New Roman"/>
          <w:lang w:eastAsia="lt-LT"/>
        </w:rPr>
        <w:t xml:space="preserve"> ir </w:t>
      </w:r>
      <w:proofErr w:type="spellStart"/>
      <w:r w:rsidRPr="000D48A3">
        <w:rPr>
          <w:rFonts w:ascii="Times New Roman" w:hAnsi="Times New Roman" w:cs="Times New Roman"/>
          <w:lang w:eastAsia="lt-LT"/>
        </w:rPr>
        <w:t>ciklosporino</w:t>
      </w:r>
      <w:proofErr w:type="spellEnd"/>
      <w:r w:rsidRPr="000D48A3">
        <w:rPr>
          <w:rFonts w:ascii="Times New Roman" w:hAnsi="Times New Roman" w:cs="Times New Roman"/>
          <w:lang w:eastAsia="lt-LT"/>
        </w:rPr>
        <w:t xml:space="preserve"> A (žr. 4.3 ir 4.5 skyrius), tačiau duomenų apie tai yra nedaug. </w:t>
      </w:r>
    </w:p>
    <w:p w:rsidR="00A4103A" w:rsidRPr="000D48A3" w:rsidRDefault="00A4103A" w:rsidP="00A4103A">
      <w:pPr>
        <w:spacing w:after="0" w:line="240" w:lineRule="auto"/>
        <w:rPr>
          <w:rFonts w:ascii="Times New Roman" w:hAnsi="Times New Roman" w:cs="Times New Roman"/>
          <w:lang w:eastAsia="lt-LT"/>
        </w:rPr>
      </w:pPr>
    </w:p>
    <w:p w:rsidR="00A4103A" w:rsidRPr="000D48A3" w:rsidRDefault="00A4103A" w:rsidP="00A410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lt-LT"/>
        </w:rPr>
      </w:pPr>
      <w:r w:rsidRPr="000D48A3">
        <w:rPr>
          <w:rFonts w:ascii="Times New Roman" w:hAnsi="Times New Roman" w:cs="Times New Roman"/>
          <w:b/>
          <w:bCs/>
          <w:lang w:eastAsia="lt-LT"/>
        </w:rPr>
        <w:t xml:space="preserve">Kepenų </w:t>
      </w:r>
      <w:proofErr w:type="spellStart"/>
      <w:r w:rsidRPr="000D48A3">
        <w:rPr>
          <w:rFonts w:ascii="Times New Roman" w:hAnsi="Times New Roman" w:cs="Times New Roman"/>
          <w:b/>
          <w:bCs/>
          <w:lang w:eastAsia="lt-LT"/>
        </w:rPr>
        <w:t>aminotransferazių</w:t>
      </w:r>
      <w:proofErr w:type="spellEnd"/>
      <w:r w:rsidRPr="000D48A3">
        <w:rPr>
          <w:rFonts w:ascii="Times New Roman" w:hAnsi="Times New Roman" w:cs="Times New Roman"/>
          <w:b/>
          <w:bCs/>
          <w:lang w:eastAsia="lt-LT"/>
        </w:rPr>
        <w:t xml:space="preserve"> aktyvumą reikia išmatuoti prieš pradedant gydymą ir paskui kas mėnesį tol, kol bus tęsiamas gydymas </w:t>
      </w:r>
      <w:proofErr w:type="spellStart"/>
      <w:r w:rsidRPr="000D48A3">
        <w:rPr>
          <w:rFonts w:ascii="Times New Roman" w:hAnsi="Times New Roman" w:cs="Times New Roman"/>
          <w:b/>
          <w:bCs/>
          <w:lang w:eastAsia="lt-LT"/>
        </w:rPr>
        <w:t>Bosentan</w:t>
      </w:r>
      <w:proofErr w:type="spellEnd"/>
      <w:r w:rsidRPr="000D48A3">
        <w:rPr>
          <w:rFonts w:ascii="Times New Roman" w:hAnsi="Times New Roman" w:cs="Times New Roman"/>
          <w:b/>
          <w:bCs/>
          <w:lang w:eastAsia="lt-LT"/>
        </w:rPr>
        <w:t xml:space="preserve"> </w:t>
      </w:r>
      <w:proofErr w:type="spellStart"/>
      <w:r w:rsidRPr="000D48A3">
        <w:rPr>
          <w:rFonts w:ascii="Times New Roman" w:hAnsi="Times New Roman" w:cs="Times New Roman"/>
          <w:b/>
          <w:bCs/>
          <w:lang w:eastAsia="lt-LT"/>
        </w:rPr>
        <w:t>Sandoz</w:t>
      </w:r>
      <w:proofErr w:type="spellEnd"/>
      <w:r w:rsidRPr="000D48A3">
        <w:rPr>
          <w:rFonts w:ascii="Times New Roman" w:hAnsi="Times New Roman" w:cs="Times New Roman"/>
          <w:b/>
          <w:bCs/>
          <w:lang w:eastAsia="lt-LT"/>
        </w:rPr>
        <w:t xml:space="preserve">. Be to, kepenų </w:t>
      </w:r>
      <w:proofErr w:type="spellStart"/>
      <w:r w:rsidRPr="000D48A3">
        <w:rPr>
          <w:rFonts w:ascii="Times New Roman" w:hAnsi="Times New Roman" w:cs="Times New Roman"/>
          <w:b/>
          <w:bCs/>
          <w:lang w:eastAsia="lt-LT"/>
        </w:rPr>
        <w:t>aminotransferazių</w:t>
      </w:r>
      <w:proofErr w:type="spellEnd"/>
      <w:r w:rsidRPr="000D48A3">
        <w:rPr>
          <w:rFonts w:ascii="Times New Roman" w:hAnsi="Times New Roman" w:cs="Times New Roman"/>
          <w:b/>
          <w:bCs/>
          <w:lang w:eastAsia="lt-LT"/>
        </w:rPr>
        <w:t xml:space="preserve"> aktyvumą reikia matuoti 2 savaites po bet kokio dozės padidinimo. </w:t>
      </w:r>
    </w:p>
    <w:p w:rsidR="00A4103A" w:rsidRPr="000D48A3" w:rsidRDefault="00A4103A" w:rsidP="00A410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u w:val="single"/>
          <w:lang w:eastAsia="lt-LT"/>
        </w:rPr>
      </w:pPr>
    </w:p>
    <w:p w:rsidR="00A4103A" w:rsidRPr="000D48A3" w:rsidRDefault="00A4103A" w:rsidP="00A410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u w:val="single"/>
          <w:lang w:eastAsia="lt-LT"/>
        </w:rPr>
      </w:pPr>
      <w:r w:rsidRPr="000D48A3">
        <w:rPr>
          <w:rFonts w:ascii="Times New Roman" w:hAnsi="Times New Roman" w:cs="Times New Roman"/>
          <w:b/>
          <w:bCs/>
          <w:u w:val="single"/>
          <w:lang w:eastAsia="lt-LT"/>
        </w:rPr>
        <w:t xml:space="preserve">Rekomendacijos, padidėjus ALT / AST aktyvumui </w:t>
      </w:r>
    </w:p>
    <w:p w:rsidR="00A4103A" w:rsidRPr="000D48A3" w:rsidRDefault="00A4103A" w:rsidP="00A4103A">
      <w:pPr>
        <w:pBdr>
          <w:top w:val="single" w:sz="4" w:space="1" w:color="auto"/>
          <w:left w:val="single" w:sz="4" w:space="4" w:color="auto"/>
          <w:bottom w:val="single" w:sz="4" w:space="1" w:color="auto"/>
          <w:right w:val="single" w:sz="4" w:space="4" w:color="auto"/>
        </w:pBdr>
        <w:tabs>
          <w:tab w:val="left" w:pos="2880"/>
        </w:tabs>
        <w:spacing w:after="0" w:line="240" w:lineRule="auto"/>
        <w:rPr>
          <w:rFonts w:ascii="Times New Roman" w:hAnsi="Times New Roman" w:cs="Times New Roman"/>
          <w:b/>
          <w:bCs/>
          <w:u w:val="single"/>
          <w:lang w:eastAsia="lt-LT"/>
        </w:rPr>
      </w:pPr>
      <w:r w:rsidRPr="000D48A3">
        <w:rPr>
          <w:rFonts w:ascii="Times New Roman" w:hAnsi="Times New Roman" w:cs="Times New Roman"/>
          <w:b/>
          <w:bCs/>
          <w:lang w:eastAsia="lt-LT"/>
        </w:rPr>
        <w:t xml:space="preserve">ALT / AST aktyvumas </w:t>
      </w:r>
      <w:r w:rsidRPr="000D48A3">
        <w:rPr>
          <w:rFonts w:ascii="Times New Roman" w:hAnsi="Times New Roman" w:cs="Times New Roman"/>
          <w:b/>
          <w:bCs/>
          <w:lang w:eastAsia="lt-LT"/>
        </w:rPr>
        <w:tab/>
        <w:t>Gydymo ir stebėjimo rekomendacijos</w:t>
      </w:r>
    </w:p>
    <w:p w:rsidR="00A4103A" w:rsidRPr="000D48A3" w:rsidRDefault="00A4103A" w:rsidP="00A4103A">
      <w:pPr>
        <w:pBdr>
          <w:top w:val="single" w:sz="4" w:space="1" w:color="auto"/>
          <w:left w:val="single" w:sz="4" w:space="4" w:color="auto"/>
          <w:bottom w:val="single" w:sz="4" w:space="1" w:color="auto"/>
          <w:right w:val="single" w:sz="4" w:space="4" w:color="auto"/>
        </w:pBdr>
        <w:spacing w:after="0" w:line="240" w:lineRule="auto"/>
        <w:ind w:left="2880" w:hanging="2880"/>
        <w:rPr>
          <w:rFonts w:ascii="Times New Roman" w:hAnsi="Times New Roman" w:cs="Times New Roman"/>
          <w:b/>
          <w:bCs/>
          <w:u w:val="single"/>
          <w:lang w:eastAsia="lt-LT"/>
        </w:rPr>
      </w:pPr>
      <w:r w:rsidRPr="000D48A3">
        <w:rPr>
          <w:rFonts w:ascii="Times New Roman" w:hAnsi="Times New Roman" w:cs="Times New Roman"/>
          <w:lang w:eastAsia="lt-LT"/>
        </w:rPr>
        <w:t>&gt; 3 ir ≤ 5 × VNR</w:t>
      </w:r>
      <w:r w:rsidRPr="000D48A3">
        <w:rPr>
          <w:rFonts w:ascii="Times New Roman" w:hAnsi="Times New Roman" w:cs="Times New Roman"/>
          <w:lang w:eastAsia="lt-LT"/>
        </w:rPr>
        <w:tab/>
        <w:t xml:space="preserve">Patvirtinti kitu kepenų tyrimu; jeigu patvirtinama, reikia nuspręsti dėl tolesnio </w:t>
      </w:r>
      <w:proofErr w:type="spellStart"/>
      <w:r w:rsidRPr="000D48A3">
        <w:rPr>
          <w:rFonts w:ascii="Times New Roman" w:hAnsi="Times New Roman" w:cs="Times New Roman"/>
          <w:lang w:eastAsia="lt-LT"/>
        </w:rPr>
        <w:t>Bosentan</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Sandoz</w:t>
      </w:r>
      <w:proofErr w:type="spellEnd"/>
      <w:r w:rsidRPr="000D48A3">
        <w:rPr>
          <w:rFonts w:ascii="Times New Roman" w:hAnsi="Times New Roman" w:cs="Times New Roman"/>
          <w:lang w:eastAsia="lt-LT"/>
        </w:rPr>
        <w:t xml:space="preserve"> vartojimo pagal konkretaus paciento situaciją. Gali reikėti sumažinti dozę arba nutraukti gydymą (žr. 4.2 skyrių). Toliau reikia stebėti </w:t>
      </w:r>
      <w:proofErr w:type="spellStart"/>
      <w:r w:rsidRPr="000D48A3">
        <w:rPr>
          <w:rFonts w:ascii="Times New Roman" w:hAnsi="Times New Roman" w:cs="Times New Roman"/>
          <w:lang w:eastAsia="lt-LT"/>
        </w:rPr>
        <w:t>aminotransferazių</w:t>
      </w:r>
      <w:proofErr w:type="spellEnd"/>
      <w:r w:rsidRPr="000D48A3">
        <w:rPr>
          <w:rFonts w:ascii="Times New Roman" w:hAnsi="Times New Roman" w:cs="Times New Roman"/>
          <w:lang w:eastAsia="lt-LT"/>
        </w:rPr>
        <w:t xml:space="preserve"> aktyvumą kas 2 savait</w:t>
      </w:r>
      <w:r>
        <w:rPr>
          <w:rFonts w:ascii="Times New Roman" w:hAnsi="Times New Roman" w:cs="Times New Roman"/>
          <w:lang w:eastAsia="lt-LT"/>
        </w:rPr>
        <w:t>e</w:t>
      </w:r>
      <w:r w:rsidRPr="000D48A3">
        <w:rPr>
          <w:rFonts w:ascii="Times New Roman" w:hAnsi="Times New Roman" w:cs="Times New Roman"/>
          <w:lang w:eastAsia="lt-LT"/>
        </w:rPr>
        <w:t xml:space="preserve">s. Jei </w:t>
      </w:r>
      <w:proofErr w:type="spellStart"/>
      <w:r w:rsidRPr="000D48A3">
        <w:rPr>
          <w:rFonts w:ascii="Times New Roman" w:hAnsi="Times New Roman" w:cs="Times New Roman"/>
          <w:lang w:eastAsia="lt-LT"/>
        </w:rPr>
        <w:t>aminotransferazių</w:t>
      </w:r>
      <w:proofErr w:type="spellEnd"/>
      <w:r w:rsidRPr="000D48A3">
        <w:rPr>
          <w:rFonts w:ascii="Times New Roman" w:hAnsi="Times New Roman" w:cs="Times New Roman"/>
          <w:lang w:eastAsia="lt-LT"/>
        </w:rPr>
        <w:t xml:space="preserve"> aktyvumas vėl tampa toks pat, koks buvo prieš gydymą, reikia toliau vartoti arba vėl pradėti vartoti </w:t>
      </w:r>
      <w:proofErr w:type="spellStart"/>
      <w:r w:rsidRPr="000D48A3">
        <w:rPr>
          <w:rFonts w:ascii="Times New Roman" w:hAnsi="Times New Roman" w:cs="Times New Roman"/>
          <w:lang w:eastAsia="lt-LT"/>
        </w:rPr>
        <w:t>Bosentan</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Sandoz</w:t>
      </w:r>
      <w:proofErr w:type="spellEnd"/>
      <w:r w:rsidRPr="000D48A3">
        <w:rPr>
          <w:rFonts w:ascii="Times New Roman" w:hAnsi="Times New Roman" w:cs="Times New Roman"/>
          <w:lang w:eastAsia="lt-LT"/>
        </w:rPr>
        <w:t xml:space="preserve"> toliau nurodytomis sąlygomis.</w:t>
      </w:r>
    </w:p>
    <w:p w:rsidR="00A4103A" w:rsidRPr="000D48A3" w:rsidRDefault="00A4103A" w:rsidP="00A4103A">
      <w:pPr>
        <w:pBdr>
          <w:top w:val="single" w:sz="4" w:space="1" w:color="auto"/>
          <w:left w:val="single" w:sz="4" w:space="4" w:color="auto"/>
          <w:bottom w:val="single" w:sz="4" w:space="1" w:color="auto"/>
          <w:right w:val="single" w:sz="4" w:space="4" w:color="auto"/>
        </w:pBdr>
        <w:spacing w:after="0" w:line="240" w:lineRule="auto"/>
        <w:ind w:left="2880" w:hanging="2880"/>
        <w:rPr>
          <w:rFonts w:ascii="Times New Roman" w:hAnsi="Times New Roman" w:cs="Times New Roman"/>
          <w:b/>
          <w:bCs/>
          <w:u w:val="single"/>
          <w:lang w:eastAsia="lt-LT"/>
        </w:rPr>
      </w:pPr>
      <w:r w:rsidRPr="000D48A3">
        <w:rPr>
          <w:rFonts w:ascii="Times New Roman" w:hAnsi="Times New Roman" w:cs="Times New Roman"/>
          <w:lang w:eastAsia="lt-LT"/>
        </w:rPr>
        <w:t>&gt; 5 ir ≤ 8 × VNR</w:t>
      </w:r>
      <w:r w:rsidRPr="000D48A3">
        <w:rPr>
          <w:rFonts w:ascii="Times New Roman" w:hAnsi="Times New Roman" w:cs="Times New Roman"/>
          <w:lang w:eastAsia="lt-LT"/>
        </w:rPr>
        <w:tab/>
        <w:t xml:space="preserve">Patvirtinti kitu kepenų tyrimu; jeigu patvirtinama, nutraukti gydymą ir stebėti </w:t>
      </w:r>
      <w:proofErr w:type="spellStart"/>
      <w:r w:rsidRPr="000D48A3">
        <w:rPr>
          <w:rFonts w:ascii="Times New Roman" w:hAnsi="Times New Roman" w:cs="Times New Roman"/>
          <w:lang w:eastAsia="lt-LT"/>
        </w:rPr>
        <w:t>aminotransferazių</w:t>
      </w:r>
      <w:proofErr w:type="spellEnd"/>
      <w:r w:rsidRPr="000D48A3">
        <w:rPr>
          <w:rFonts w:ascii="Times New Roman" w:hAnsi="Times New Roman" w:cs="Times New Roman"/>
          <w:lang w:eastAsia="lt-LT"/>
        </w:rPr>
        <w:t xml:space="preserve"> aktyvumą kas 2 savait</w:t>
      </w:r>
      <w:r>
        <w:rPr>
          <w:rFonts w:ascii="Times New Roman" w:hAnsi="Times New Roman" w:cs="Times New Roman"/>
          <w:lang w:eastAsia="lt-LT"/>
        </w:rPr>
        <w:t>e</w:t>
      </w:r>
      <w:r w:rsidRPr="000D48A3">
        <w:rPr>
          <w:rFonts w:ascii="Times New Roman" w:hAnsi="Times New Roman" w:cs="Times New Roman"/>
          <w:lang w:eastAsia="lt-LT"/>
        </w:rPr>
        <w:t xml:space="preserve">s. Jeigu </w:t>
      </w:r>
      <w:proofErr w:type="spellStart"/>
      <w:r w:rsidRPr="000D48A3">
        <w:rPr>
          <w:rFonts w:ascii="Times New Roman" w:hAnsi="Times New Roman" w:cs="Times New Roman"/>
          <w:lang w:eastAsia="lt-LT"/>
        </w:rPr>
        <w:t>aminotransferazių</w:t>
      </w:r>
      <w:proofErr w:type="spellEnd"/>
      <w:r w:rsidRPr="000D48A3">
        <w:rPr>
          <w:rFonts w:ascii="Times New Roman" w:hAnsi="Times New Roman" w:cs="Times New Roman"/>
          <w:lang w:eastAsia="lt-LT"/>
        </w:rPr>
        <w:t xml:space="preserve"> aktyvumas vėl tampa </w:t>
      </w:r>
      <w:r w:rsidRPr="000D48A3">
        <w:rPr>
          <w:rFonts w:ascii="Times New Roman" w:hAnsi="Times New Roman" w:cs="Times New Roman"/>
          <w:lang w:eastAsia="lt-LT"/>
        </w:rPr>
        <w:lastRenderedPageBreak/>
        <w:t xml:space="preserve">toks pat, koks buvo prieš gydymą, reikia toliau vartoti arba vėl pradėti vartoti </w:t>
      </w:r>
      <w:proofErr w:type="spellStart"/>
      <w:r w:rsidRPr="000D48A3">
        <w:rPr>
          <w:rFonts w:ascii="Times New Roman" w:hAnsi="Times New Roman" w:cs="Times New Roman"/>
          <w:lang w:eastAsia="lt-LT"/>
        </w:rPr>
        <w:t>Bosentan</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Sandoz</w:t>
      </w:r>
      <w:proofErr w:type="spellEnd"/>
      <w:r w:rsidRPr="000D48A3">
        <w:rPr>
          <w:rFonts w:ascii="Times New Roman" w:hAnsi="Times New Roman" w:cs="Times New Roman"/>
          <w:lang w:eastAsia="lt-LT"/>
        </w:rPr>
        <w:t xml:space="preserve"> toliau nurodytomis sąlygomis</w:t>
      </w:r>
      <w:r>
        <w:rPr>
          <w:rFonts w:ascii="Times New Roman" w:hAnsi="Times New Roman" w:cs="Times New Roman"/>
          <w:lang w:eastAsia="lt-LT"/>
        </w:rPr>
        <w:t>.</w:t>
      </w:r>
    </w:p>
    <w:p w:rsidR="00A4103A" w:rsidRPr="000D48A3" w:rsidRDefault="00A4103A" w:rsidP="00A4103A">
      <w:pPr>
        <w:pBdr>
          <w:top w:val="single" w:sz="4" w:space="1" w:color="auto"/>
          <w:left w:val="single" w:sz="4" w:space="4" w:color="auto"/>
          <w:bottom w:val="single" w:sz="4" w:space="1" w:color="auto"/>
          <w:right w:val="single" w:sz="4" w:space="4" w:color="auto"/>
        </w:pBdr>
        <w:spacing w:after="0" w:line="240" w:lineRule="auto"/>
        <w:ind w:left="2880" w:hanging="2880"/>
        <w:rPr>
          <w:rFonts w:ascii="Times New Roman" w:hAnsi="Times New Roman" w:cs="Times New Roman"/>
          <w:lang w:eastAsia="lt-LT"/>
        </w:rPr>
      </w:pPr>
      <w:r w:rsidRPr="000D48A3">
        <w:rPr>
          <w:rFonts w:ascii="Times New Roman" w:hAnsi="Times New Roman" w:cs="Times New Roman"/>
          <w:lang w:eastAsia="lt-LT"/>
        </w:rPr>
        <w:t>&gt; 8 × VNR</w:t>
      </w:r>
      <w:r w:rsidRPr="000D48A3">
        <w:rPr>
          <w:rFonts w:ascii="Times New Roman" w:hAnsi="Times New Roman" w:cs="Times New Roman"/>
          <w:lang w:eastAsia="lt-LT"/>
        </w:rPr>
        <w:tab/>
        <w:t xml:space="preserve">Gydymą reikia nutraukti ir vėl pradėti vartoti </w:t>
      </w:r>
      <w:proofErr w:type="spellStart"/>
      <w:r w:rsidRPr="000D48A3">
        <w:rPr>
          <w:rFonts w:ascii="Times New Roman" w:hAnsi="Times New Roman" w:cs="Times New Roman"/>
          <w:lang w:eastAsia="lt-LT"/>
        </w:rPr>
        <w:t>Bosentan</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Sandoz</w:t>
      </w:r>
      <w:proofErr w:type="spellEnd"/>
      <w:r w:rsidRPr="000D48A3">
        <w:rPr>
          <w:rFonts w:ascii="Times New Roman" w:hAnsi="Times New Roman" w:cs="Times New Roman"/>
          <w:lang w:eastAsia="lt-LT"/>
        </w:rPr>
        <w:t xml:space="preserve"> nepatartina.</w:t>
      </w:r>
    </w:p>
    <w:p w:rsidR="00A4103A" w:rsidRPr="000D48A3" w:rsidRDefault="00A4103A" w:rsidP="00A4103A">
      <w:pPr>
        <w:pBdr>
          <w:top w:val="single" w:sz="4" w:space="1" w:color="auto"/>
          <w:left w:val="single" w:sz="4" w:space="4" w:color="auto"/>
          <w:bottom w:val="single" w:sz="4" w:space="1" w:color="auto"/>
          <w:right w:val="single" w:sz="4" w:space="4" w:color="auto"/>
        </w:pBdr>
        <w:spacing w:after="0" w:line="240" w:lineRule="auto"/>
        <w:ind w:left="2880" w:hanging="2880"/>
        <w:rPr>
          <w:rFonts w:ascii="Times New Roman" w:hAnsi="Times New Roman" w:cs="Times New Roman"/>
          <w:lang w:eastAsia="lt-LT"/>
        </w:rPr>
      </w:pPr>
    </w:p>
    <w:p w:rsidR="00A4103A" w:rsidRPr="000D48A3" w:rsidRDefault="00A4103A" w:rsidP="00A410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eastAsia="ar-SA"/>
        </w:rPr>
      </w:pPr>
      <w:r w:rsidRPr="000D48A3">
        <w:rPr>
          <w:rFonts w:ascii="Times New Roman" w:hAnsi="Times New Roman" w:cs="Times New Roman"/>
          <w:b/>
          <w:bCs/>
        </w:rPr>
        <w:t>Atsiradus susijusių klinikinių kepenų pažeidimo simptomų</w:t>
      </w:r>
      <w:r w:rsidRPr="000D48A3">
        <w:rPr>
          <w:rFonts w:ascii="Times New Roman" w:hAnsi="Times New Roman" w:cs="Times New Roman"/>
        </w:rPr>
        <w:t xml:space="preserve">, </w:t>
      </w:r>
      <w:proofErr w:type="spellStart"/>
      <w:r w:rsidRPr="000D48A3">
        <w:rPr>
          <w:rFonts w:ascii="Times New Roman" w:hAnsi="Times New Roman" w:cs="Times New Roman"/>
        </w:rPr>
        <w:t>t.y</w:t>
      </w:r>
      <w:proofErr w:type="spellEnd"/>
      <w:r w:rsidRPr="000D48A3">
        <w:rPr>
          <w:rFonts w:ascii="Times New Roman" w:hAnsi="Times New Roman" w:cs="Times New Roman"/>
        </w:rPr>
        <w:t xml:space="preserve">. pykinimui, vėmimui, karščiavimui, pilvo skausmui, geltai, neįprastam apsnūdimui ar nuovargiui, į gripą panašiems simptomams (sąnarių, raumenų skausmui, karščiavimui), </w:t>
      </w:r>
      <w:r w:rsidRPr="000D48A3">
        <w:rPr>
          <w:rFonts w:ascii="Times New Roman" w:hAnsi="Times New Roman" w:cs="Times New Roman"/>
          <w:lang w:eastAsia="ar-SA"/>
        </w:rPr>
        <w:t xml:space="preserve">ir vėl pradėti vartoti </w:t>
      </w:r>
      <w:proofErr w:type="spellStart"/>
      <w:r w:rsidRPr="000D48A3">
        <w:rPr>
          <w:rFonts w:ascii="Times New Roman" w:hAnsi="Times New Roman" w:cs="Times New Roman"/>
          <w:lang w:eastAsia="ar-SA"/>
        </w:rPr>
        <w:t>Bosentan</w:t>
      </w:r>
      <w:proofErr w:type="spellEnd"/>
      <w:r w:rsidRPr="000D48A3">
        <w:rPr>
          <w:rFonts w:ascii="Times New Roman" w:hAnsi="Times New Roman" w:cs="Times New Roman"/>
          <w:lang w:eastAsia="ar-SA"/>
        </w:rPr>
        <w:t xml:space="preserve"> </w:t>
      </w:r>
      <w:proofErr w:type="spellStart"/>
      <w:r w:rsidRPr="000D48A3">
        <w:rPr>
          <w:rFonts w:ascii="Times New Roman" w:hAnsi="Times New Roman" w:cs="Times New Roman"/>
          <w:lang w:eastAsia="ar-SA"/>
        </w:rPr>
        <w:t>Sandoz</w:t>
      </w:r>
      <w:proofErr w:type="spellEnd"/>
      <w:r w:rsidRPr="000D48A3">
        <w:rPr>
          <w:rFonts w:ascii="Times New Roman" w:hAnsi="Times New Roman" w:cs="Times New Roman"/>
          <w:lang w:eastAsia="ar-SA"/>
        </w:rPr>
        <w:t xml:space="preserve"> nepatartina.</w:t>
      </w:r>
    </w:p>
    <w:p w:rsidR="00A4103A" w:rsidRPr="000D48A3" w:rsidRDefault="00A4103A" w:rsidP="00A410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eastAsia="ar-SA"/>
        </w:rPr>
      </w:pPr>
    </w:p>
    <w:p w:rsidR="00A4103A" w:rsidRPr="006C14D8" w:rsidRDefault="00A4103A" w:rsidP="00A4103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lang w:eastAsia="lt-LT"/>
        </w:rPr>
      </w:pPr>
      <w:r w:rsidRPr="00432133">
        <w:rPr>
          <w:rFonts w:ascii="Times New Roman" w:hAnsi="Times New Roman" w:cs="Times New Roman"/>
          <w:color w:val="000000"/>
          <w:u w:val="single"/>
          <w:lang w:eastAsia="lt-LT"/>
        </w:rPr>
        <w:t xml:space="preserve">Gydymo atnaujinimas </w:t>
      </w:r>
    </w:p>
    <w:p w:rsidR="00A4103A" w:rsidRPr="000D48A3" w:rsidRDefault="00A4103A" w:rsidP="00A410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u w:val="single"/>
          <w:lang w:eastAsia="lt-LT"/>
        </w:rPr>
      </w:pPr>
      <w:r w:rsidRPr="000D48A3">
        <w:rPr>
          <w:rFonts w:ascii="Times New Roman" w:hAnsi="Times New Roman" w:cs="Times New Roman"/>
          <w:lang w:eastAsia="lt-LT"/>
        </w:rPr>
        <w:t xml:space="preserve">Gydymo </w:t>
      </w:r>
      <w:proofErr w:type="spellStart"/>
      <w:r w:rsidRPr="000D48A3">
        <w:rPr>
          <w:rFonts w:ascii="Times New Roman" w:hAnsi="Times New Roman" w:cs="Times New Roman"/>
          <w:lang w:eastAsia="lt-LT"/>
        </w:rPr>
        <w:t>Bosentan</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Sandoz</w:t>
      </w:r>
      <w:proofErr w:type="spellEnd"/>
      <w:r w:rsidRPr="000D48A3">
        <w:rPr>
          <w:rFonts w:ascii="Times New Roman" w:hAnsi="Times New Roman" w:cs="Times New Roman"/>
          <w:lang w:eastAsia="lt-LT"/>
        </w:rPr>
        <w:t xml:space="preserve"> atnaujinimas turi būti apsvarstytas tik jeigu galima gydymo </w:t>
      </w:r>
      <w:proofErr w:type="spellStart"/>
      <w:r w:rsidRPr="000D48A3">
        <w:rPr>
          <w:rFonts w:ascii="Times New Roman" w:hAnsi="Times New Roman" w:cs="Times New Roman"/>
          <w:lang w:eastAsia="lt-LT"/>
        </w:rPr>
        <w:t>Bosentan</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Sandoz</w:t>
      </w:r>
      <w:proofErr w:type="spellEnd"/>
      <w:r w:rsidRPr="000D48A3">
        <w:rPr>
          <w:rFonts w:ascii="Times New Roman" w:hAnsi="Times New Roman" w:cs="Times New Roman"/>
          <w:lang w:eastAsia="lt-LT"/>
        </w:rPr>
        <w:t xml:space="preserve"> nauda yra didesnė nei galima rizika ir jeigu kepenų </w:t>
      </w:r>
      <w:proofErr w:type="spellStart"/>
      <w:r w:rsidRPr="000D48A3">
        <w:rPr>
          <w:rFonts w:ascii="Times New Roman" w:hAnsi="Times New Roman" w:cs="Times New Roman"/>
          <w:lang w:eastAsia="lt-LT"/>
        </w:rPr>
        <w:t>aminotransferazių</w:t>
      </w:r>
      <w:proofErr w:type="spellEnd"/>
      <w:r w:rsidRPr="000D48A3">
        <w:rPr>
          <w:rFonts w:ascii="Times New Roman" w:hAnsi="Times New Roman" w:cs="Times New Roman"/>
          <w:lang w:eastAsia="lt-LT"/>
        </w:rPr>
        <w:t xml:space="preserve"> aktyvumas yra toks, koks buvo prieš gydymą. Rekomenduojama pasikonsultuoti su kepenų ligų gydytoju. Vėl pradedant gydymą reikia vadovautis išsamiais nurodymais, pateiktais 4.2 skyriuje. </w:t>
      </w:r>
      <w:proofErr w:type="spellStart"/>
      <w:r w:rsidRPr="000D48A3">
        <w:rPr>
          <w:rFonts w:ascii="Times New Roman" w:hAnsi="Times New Roman" w:cs="Times New Roman"/>
          <w:b/>
          <w:bCs/>
          <w:lang w:eastAsia="lt-LT"/>
        </w:rPr>
        <w:t>Aminotransferazių</w:t>
      </w:r>
      <w:proofErr w:type="spellEnd"/>
      <w:r w:rsidRPr="000D48A3">
        <w:rPr>
          <w:rFonts w:ascii="Times New Roman" w:hAnsi="Times New Roman" w:cs="Times New Roman"/>
          <w:b/>
          <w:bCs/>
          <w:lang w:eastAsia="lt-LT"/>
        </w:rPr>
        <w:t xml:space="preserve"> aktyvumas turi būti patikrintas per 3 dienas po pakartotino gydymo pradžios, paskui po 2 savaičių ir po to pagal aukščiau pateiktas rekomendacijas.</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VNR = viršutinė normos riba</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201819"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432133">
        <w:rPr>
          <w:rFonts w:ascii="Times New Roman" w:hAnsi="Times New Roman" w:cs="Times New Roman"/>
          <w:color w:val="000000"/>
          <w:u w:val="single"/>
          <w:lang w:eastAsia="lt-LT"/>
        </w:rPr>
        <w:t xml:space="preserve">Hemoglobino koncentracija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Gydymas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buvo susijęs su nuo dozės priklausomais hemoglobino koncentracijos </w:t>
      </w:r>
      <w:proofErr w:type="spellStart"/>
      <w:r w:rsidRPr="000D48A3">
        <w:rPr>
          <w:rFonts w:ascii="Times New Roman" w:hAnsi="Times New Roman" w:cs="Times New Roman"/>
          <w:color w:val="000000"/>
          <w:lang w:eastAsia="lt-LT"/>
        </w:rPr>
        <w:t>sumažėjimais</w:t>
      </w:r>
      <w:proofErr w:type="spellEnd"/>
      <w:r w:rsidRPr="000D48A3">
        <w:rPr>
          <w:rFonts w:ascii="Times New Roman" w:hAnsi="Times New Roman" w:cs="Times New Roman"/>
          <w:color w:val="000000"/>
          <w:lang w:eastAsia="lt-LT"/>
        </w:rPr>
        <w:t xml:space="preserve"> (žr. 4.8 skyrių). </w:t>
      </w:r>
      <w:proofErr w:type="spellStart"/>
      <w:r w:rsidRPr="000D48A3">
        <w:rPr>
          <w:rFonts w:ascii="Times New Roman" w:hAnsi="Times New Roman" w:cs="Times New Roman"/>
          <w:color w:val="000000"/>
          <w:lang w:eastAsia="lt-LT"/>
        </w:rPr>
        <w:t>Placebu</w:t>
      </w:r>
      <w:proofErr w:type="spellEnd"/>
      <w:r w:rsidRPr="000D48A3">
        <w:rPr>
          <w:rFonts w:ascii="Times New Roman" w:hAnsi="Times New Roman" w:cs="Times New Roman"/>
          <w:color w:val="000000"/>
          <w:lang w:eastAsia="lt-LT"/>
        </w:rPr>
        <w:t xml:space="preserve"> kontroliuotuose klinikiniuose tyrimuose su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susijęs hemoglobino koncentracijos sumažėjimas neprogresavo ir stabilizavosi po pirmų 4–12 gydymo savaičių. Hemoglobino koncentracijas rekomenduojama patikrinti prieš gydymo pradžią, kiekvieną mėnesį per pirmus 4 mėnesius ir po to kas ketvirtį. Jeigu hemoglobino koncentracija sumažėja kliniškai reikšmingai, reikia atlikti tolesnį įvertinimą ir tyrimą siekiant nustatyti priežastį ir specifinio gydymo poreikį. Vaistiniam preparatui jau esant rinkoje, gauta pranešimų apie eritrocitų masės perpylimo pareikalavusios anemijos atvejus (žr. 4.8 skyrių).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u w:val="single"/>
          <w:lang w:eastAsia="lt-LT"/>
        </w:rPr>
      </w:pPr>
    </w:p>
    <w:p w:rsidR="00A4103A" w:rsidRPr="00201819"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432133">
        <w:rPr>
          <w:rFonts w:ascii="Times New Roman" w:hAnsi="Times New Roman" w:cs="Times New Roman"/>
          <w:color w:val="000000"/>
          <w:u w:val="single"/>
          <w:lang w:eastAsia="lt-LT"/>
        </w:rPr>
        <w:t xml:space="preserve">Vaisingo amžiaus moterys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Gydymo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negalima pradėti vaisingo amžiaus moterims, nebent jos vartoja veiksmingą kontracepcijos metodą (žr. 4.5 skyrių) ir prieš pradedant gydymą atliktas nėštumo testas yra neigiamas (žr. 4.6 skyrių).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Prieš pradedant vaisingo amžiaus moters gydymą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reikia patikrinti, ar moteris nėra nėščia, tinkamai patarti dėl numatytų patikimų kontracepcijos metodų vartojimo ir pradėti taikyti patikimą kontracepcijos metodą. Pacientės ir vaistinį preparatą išrašantys gydytojai privalo žinoti, kad vartojant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dėl galimos </w:t>
      </w:r>
      <w:proofErr w:type="spellStart"/>
      <w:r w:rsidRPr="000D48A3">
        <w:rPr>
          <w:rFonts w:ascii="Times New Roman" w:hAnsi="Times New Roman" w:cs="Times New Roman"/>
          <w:color w:val="000000"/>
          <w:lang w:eastAsia="lt-LT"/>
        </w:rPr>
        <w:t>farmakokinetinės</w:t>
      </w:r>
      <w:proofErr w:type="spellEnd"/>
      <w:r w:rsidRPr="000D48A3">
        <w:rPr>
          <w:rFonts w:ascii="Times New Roman" w:hAnsi="Times New Roman" w:cs="Times New Roman"/>
          <w:color w:val="000000"/>
          <w:lang w:eastAsia="lt-LT"/>
        </w:rPr>
        <w:t xml:space="preserve"> sąveikos hormoniniai kontraceptikai gali tapti neveiksmingi (žr. 4.5 skyrių). Dėl šios priežasties vaisingo amžiaus moterims naudoti hormoninius kontraceptikus (įskaitant geriamuosius, </w:t>
      </w:r>
      <w:proofErr w:type="spellStart"/>
      <w:r w:rsidRPr="000D48A3">
        <w:rPr>
          <w:rFonts w:ascii="Times New Roman" w:hAnsi="Times New Roman" w:cs="Times New Roman"/>
          <w:color w:val="000000"/>
          <w:lang w:eastAsia="lt-LT"/>
        </w:rPr>
        <w:t>injekuojamuosius</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transderminius</w:t>
      </w:r>
      <w:proofErr w:type="spellEnd"/>
      <w:r w:rsidRPr="000D48A3">
        <w:rPr>
          <w:rFonts w:ascii="Times New Roman" w:hAnsi="Times New Roman" w:cs="Times New Roman"/>
          <w:color w:val="000000"/>
          <w:lang w:eastAsia="lt-LT"/>
        </w:rPr>
        <w:t xml:space="preserve"> ir implantuojamuosius), kaip vienintelį kontracepcijos metodą, negalima, o kartu reikia taikyti ir papildomą arba alternatyvų patikimą kontracepcijos metodą. Esant bet kokioms abejonėms, kokį kontracepcijos metodą pasiūlyti konkrečiai pacientei, rekomenduojama pasikonsultuoti su ginekologu.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Dėl galimo hormoninių kontraceptikų neveiksmingumo gydymo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metu, taip pat įvertinant tai, kad nėštumo metu smarkiai padidėja </w:t>
      </w:r>
      <w:proofErr w:type="spellStart"/>
      <w:r w:rsidRPr="000D48A3">
        <w:rPr>
          <w:rFonts w:ascii="Times New Roman" w:hAnsi="Times New Roman" w:cs="Times New Roman"/>
          <w:color w:val="000000"/>
          <w:lang w:eastAsia="lt-LT"/>
        </w:rPr>
        <w:t>plautinės</w:t>
      </w:r>
      <w:proofErr w:type="spellEnd"/>
      <w:r w:rsidRPr="000D48A3">
        <w:rPr>
          <w:rFonts w:ascii="Times New Roman" w:hAnsi="Times New Roman" w:cs="Times New Roman"/>
          <w:color w:val="000000"/>
          <w:lang w:eastAsia="lt-LT"/>
        </w:rPr>
        <w:t xml:space="preserve"> hipertenzijos rizika, gydymo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metu ankstyvam nėštumo aptikimui rekomenduojama nėštumo testą atlikti kas mėnesį.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u w:val="single"/>
          <w:lang w:eastAsia="lt-LT"/>
        </w:rPr>
      </w:pPr>
    </w:p>
    <w:p w:rsidR="00A4103A" w:rsidRPr="00201819"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432133">
        <w:rPr>
          <w:rFonts w:ascii="Times New Roman" w:hAnsi="Times New Roman" w:cs="Times New Roman"/>
          <w:color w:val="000000"/>
          <w:u w:val="single"/>
          <w:lang w:eastAsia="lt-LT"/>
        </w:rPr>
        <w:t xml:space="preserve">Plaučių venų </w:t>
      </w:r>
      <w:proofErr w:type="spellStart"/>
      <w:r w:rsidRPr="00432133">
        <w:rPr>
          <w:rFonts w:ascii="Times New Roman" w:hAnsi="Times New Roman" w:cs="Times New Roman"/>
          <w:color w:val="000000"/>
          <w:u w:val="single"/>
          <w:lang w:eastAsia="lt-LT"/>
        </w:rPr>
        <w:t>okliuzinė</w:t>
      </w:r>
      <w:proofErr w:type="spellEnd"/>
      <w:r w:rsidRPr="00432133">
        <w:rPr>
          <w:rFonts w:ascii="Times New Roman" w:hAnsi="Times New Roman" w:cs="Times New Roman"/>
          <w:color w:val="000000"/>
          <w:u w:val="single"/>
          <w:lang w:eastAsia="lt-LT"/>
        </w:rPr>
        <w:t xml:space="preserve"> liga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lastRenderedPageBreak/>
        <w:t xml:space="preserve">Buvo pranešta apie plaučių edemos atvejus sergantiems plaučių venų </w:t>
      </w:r>
      <w:proofErr w:type="spellStart"/>
      <w:r w:rsidRPr="000D48A3">
        <w:rPr>
          <w:rFonts w:ascii="Times New Roman" w:hAnsi="Times New Roman" w:cs="Times New Roman"/>
          <w:color w:val="000000"/>
          <w:lang w:eastAsia="lt-LT"/>
        </w:rPr>
        <w:t>okliuzine</w:t>
      </w:r>
      <w:proofErr w:type="spellEnd"/>
      <w:r w:rsidRPr="000D48A3">
        <w:rPr>
          <w:rFonts w:ascii="Times New Roman" w:hAnsi="Times New Roman" w:cs="Times New Roman"/>
          <w:color w:val="000000"/>
          <w:lang w:eastAsia="lt-LT"/>
        </w:rPr>
        <w:t xml:space="preserve"> liga pacientams, kurie vartojo kraujagysles plečiančių vaistinių preparatų (daugiausia </w:t>
      </w:r>
      <w:proofErr w:type="spellStart"/>
      <w:r w:rsidRPr="000D48A3">
        <w:rPr>
          <w:rFonts w:ascii="Times New Roman" w:hAnsi="Times New Roman" w:cs="Times New Roman"/>
          <w:color w:val="000000"/>
          <w:lang w:eastAsia="lt-LT"/>
        </w:rPr>
        <w:t>prostaciklinų</w:t>
      </w:r>
      <w:proofErr w:type="spellEnd"/>
      <w:r w:rsidRPr="000D48A3">
        <w:rPr>
          <w:rFonts w:ascii="Times New Roman" w:hAnsi="Times New Roman" w:cs="Times New Roman"/>
          <w:color w:val="000000"/>
          <w:lang w:eastAsia="lt-LT"/>
        </w:rPr>
        <w:t xml:space="preserve">). Vadinasi, atsiradus plaučių edemos požymiams vartojant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sergantiems PAH pacientams, reikia turėti omenyje sąsajos su venų </w:t>
      </w:r>
      <w:proofErr w:type="spellStart"/>
      <w:r w:rsidRPr="000D48A3">
        <w:rPr>
          <w:rFonts w:ascii="Times New Roman" w:hAnsi="Times New Roman" w:cs="Times New Roman"/>
          <w:color w:val="000000"/>
          <w:lang w:eastAsia="lt-LT"/>
        </w:rPr>
        <w:t>okliuzine</w:t>
      </w:r>
      <w:proofErr w:type="spellEnd"/>
      <w:r w:rsidRPr="000D48A3">
        <w:rPr>
          <w:rFonts w:ascii="Times New Roman" w:hAnsi="Times New Roman" w:cs="Times New Roman"/>
          <w:color w:val="000000"/>
          <w:lang w:eastAsia="lt-LT"/>
        </w:rPr>
        <w:t xml:space="preserve"> liga galimybę. Vaistiniam preparatui esant rinkoje pranešimų apie plaučių edemą gydomiems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pacientams, kuriems buvo įtarta plaučių venų </w:t>
      </w:r>
      <w:proofErr w:type="spellStart"/>
      <w:r w:rsidRPr="000D48A3">
        <w:rPr>
          <w:rFonts w:ascii="Times New Roman" w:hAnsi="Times New Roman" w:cs="Times New Roman"/>
          <w:color w:val="000000"/>
          <w:lang w:eastAsia="lt-LT"/>
        </w:rPr>
        <w:t>okliuzinė</w:t>
      </w:r>
      <w:proofErr w:type="spellEnd"/>
      <w:r w:rsidRPr="000D48A3">
        <w:rPr>
          <w:rFonts w:ascii="Times New Roman" w:hAnsi="Times New Roman" w:cs="Times New Roman"/>
          <w:color w:val="000000"/>
          <w:lang w:eastAsia="lt-LT"/>
        </w:rPr>
        <w:t xml:space="preserve"> liga, gauta retai.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43213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432133">
        <w:rPr>
          <w:rFonts w:ascii="Times New Roman" w:hAnsi="Times New Roman" w:cs="Times New Roman"/>
          <w:color w:val="000000"/>
          <w:u w:val="single"/>
          <w:lang w:eastAsia="lt-LT"/>
        </w:rPr>
        <w:t xml:space="preserve">Pacientai, kuriems yra </w:t>
      </w:r>
      <w:proofErr w:type="spellStart"/>
      <w:r w:rsidRPr="00432133">
        <w:rPr>
          <w:rFonts w:ascii="Times New Roman" w:hAnsi="Times New Roman" w:cs="Times New Roman"/>
          <w:color w:val="000000"/>
          <w:u w:val="single"/>
          <w:lang w:eastAsia="lt-LT"/>
        </w:rPr>
        <w:t>plautinė</w:t>
      </w:r>
      <w:proofErr w:type="spellEnd"/>
      <w:r w:rsidRPr="00432133">
        <w:rPr>
          <w:rFonts w:ascii="Times New Roman" w:hAnsi="Times New Roman" w:cs="Times New Roman"/>
          <w:color w:val="000000"/>
          <w:u w:val="single"/>
          <w:lang w:eastAsia="lt-LT"/>
        </w:rPr>
        <w:t xml:space="preserve"> arterinė hipertenzija kartu su kairiojo skilvelio nepakankamumu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Pacientų, kuriems yra </w:t>
      </w:r>
      <w:proofErr w:type="spellStart"/>
      <w:r w:rsidRPr="000D48A3">
        <w:rPr>
          <w:rFonts w:ascii="Times New Roman" w:hAnsi="Times New Roman" w:cs="Times New Roman"/>
          <w:color w:val="000000"/>
          <w:lang w:eastAsia="lt-LT"/>
        </w:rPr>
        <w:t>plautinė</w:t>
      </w:r>
      <w:proofErr w:type="spellEnd"/>
      <w:r w:rsidRPr="000D48A3">
        <w:rPr>
          <w:rFonts w:ascii="Times New Roman" w:hAnsi="Times New Roman" w:cs="Times New Roman"/>
          <w:color w:val="000000"/>
          <w:lang w:eastAsia="lt-LT"/>
        </w:rPr>
        <w:t xml:space="preserve"> hipertenzija kartu su kairiojo skilvelio funkcijos sutrikimu, specifinio tyrimo neatlikta. Vis dėlto </w:t>
      </w:r>
      <w:proofErr w:type="spellStart"/>
      <w:r w:rsidRPr="000D48A3">
        <w:rPr>
          <w:rFonts w:ascii="Times New Roman" w:hAnsi="Times New Roman" w:cs="Times New Roman"/>
          <w:color w:val="000000"/>
          <w:lang w:eastAsia="lt-LT"/>
        </w:rPr>
        <w:t>placebu</w:t>
      </w:r>
      <w:proofErr w:type="spellEnd"/>
      <w:r w:rsidRPr="000D48A3">
        <w:rPr>
          <w:rFonts w:ascii="Times New Roman" w:hAnsi="Times New Roman" w:cs="Times New Roman"/>
          <w:color w:val="000000"/>
          <w:lang w:eastAsia="lt-LT"/>
        </w:rPr>
        <w:t xml:space="preserve"> kontroliuojamo klinikinio tyrimo metu 1611 pacientų, kuriems nustatytas sunkus lėtinis širdies nepakankamumas (LŠN), buvo gydomi vidutiniškai 1,5 metų (804 pacientai buvo gydomi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ir 807 pacientai </w:t>
      </w:r>
      <w:r w:rsidRPr="000D48A3">
        <w:rPr>
          <w:rFonts w:ascii="Arial" w:hAnsi="Arial" w:cs="Arial"/>
          <w:color w:val="000000"/>
          <w:lang w:eastAsia="lt-LT"/>
        </w:rPr>
        <w:t xml:space="preserve">– </w:t>
      </w:r>
      <w:proofErr w:type="spellStart"/>
      <w:r w:rsidRPr="000D48A3">
        <w:rPr>
          <w:rFonts w:ascii="Times New Roman" w:hAnsi="Times New Roman" w:cs="Times New Roman"/>
          <w:color w:val="000000"/>
          <w:lang w:eastAsia="lt-LT"/>
        </w:rPr>
        <w:t>placebu</w:t>
      </w:r>
      <w:proofErr w:type="spellEnd"/>
      <w:r w:rsidRPr="000D48A3">
        <w:rPr>
          <w:rFonts w:ascii="Times New Roman" w:hAnsi="Times New Roman" w:cs="Times New Roman"/>
          <w:color w:val="000000"/>
          <w:lang w:eastAsia="lt-LT"/>
        </w:rPr>
        <w:t xml:space="preserve">) (tyrimas AC-052-301/302 [ENABLE 1 &amp; 2]). Šio tyrimo metu per pirmąsias 4–8 gydymo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savaites padidėjo </w:t>
      </w:r>
      <w:proofErr w:type="spellStart"/>
      <w:r w:rsidRPr="000D48A3">
        <w:rPr>
          <w:rFonts w:ascii="Times New Roman" w:hAnsi="Times New Roman" w:cs="Times New Roman"/>
          <w:color w:val="000000"/>
          <w:lang w:eastAsia="lt-LT"/>
        </w:rPr>
        <w:t>hospitalizacijų</w:t>
      </w:r>
      <w:proofErr w:type="spellEnd"/>
      <w:r w:rsidRPr="000D48A3">
        <w:rPr>
          <w:rFonts w:ascii="Times New Roman" w:hAnsi="Times New Roman" w:cs="Times New Roman"/>
          <w:color w:val="000000"/>
          <w:lang w:eastAsia="lt-LT"/>
        </w:rPr>
        <w:t xml:space="preserve"> dėl LŠN dažnis, kuris galėjo būti dėl skysčio susilaikymo. Šiame tyrime skysčio susilaikymas pasireiškė ankstyvu svorio padidėjimu, hemoglobino koncentracijos sumažėjimu ir kojų edemų dažnio padidėjimu. Šio tyrimo pabaigoje tarp gydytų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ir </w:t>
      </w:r>
      <w:proofErr w:type="spellStart"/>
      <w:r w:rsidRPr="000D48A3">
        <w:rPr>
          <w:rFonts w:ascii="Times New Roman" w:hAnsi="Times New Roman" w:cs="Times New Roman"/>
          <w:color w:val="000000"/>
          <w:lang w:eastAsia="lt-LT"/>
        </w:rPr>
        <w:t>placebu</w:t>
      </w:r>
      <w:proofErr w:type="spellEnd"/>
      <w:r w:rsidRPr="000D48A3">
        <w:rPr>
          <w:rFonts w:ascii="Times New Roman" w:hAnsi="Times New Roman" w:cs="Times New Roman"/>
          <w:color w:val="000000"/>
          <w:lang w:eastAsia="lt-LT"/>
        </w:rPr>
        <w:t xml:space="preserve"> pacientų grupių nebuvo nei bendro </w:t>
      </w:r>
      <w:proofErr w:type="spellStart"/>
      <w:r w:rsidRPr="000D48A3">
        <w:rPr>
          <w:rFonts w:ascii="Times New Roman" w:hAnsi="Times New Roman" w:cs="Times New Roman"/>
          <w:color w:val="000000"/>
          <w:lang w:eastAsia="lt-LT"/>
        </w:rPr>
        <w:t>hospitalizacijų</w:t>
      </w:r>
      <w:proofErr w:type="spellEnd"/>
      <w:r w:rsidRPr="000D48A3">
        <w:rPr>
          <w:rFonts w:ascii="Times New Roman" w:hAnsi="Times New Roman" w:cs="Times New Roman"/>
          <w:color w:val="000000"/>
          <w:lang w:eastAsia="lt-LT"/>
        </w:rPr>
        <w:t xml:space="preserve"> dėl širdies nepakankamumo atvejų, nei mirtingumo skirtumų. Dėl šios priežasties rekomenduojama stebėti, ar pacientams nesusilaiko skystis (pvz., padidėja svoris), ypač jeigu jie kartu kenčia nuo sunkaus </w:t>
      </w:r>
      <w:proofErr w:type="spellStart"/>
      <w:r w:rsidRPr="000D48A3">
        <w:rPr>
          <w:rFonts w:ascii="Times New Roman" w:hAnsi="Times New Roman" w:cs="Times New Roman"/>
          <w:color w:val="000000"/>
          <w:lang w:eastAsia="lt-LT"/>
        </w:rPr>
        <w:t>sistolinės</w:t>
      </w:r>
      <w:proofErr w:type="spellEnd"/>
      <w:r w:rsidRPr="000D48A3">
        <w:rPr>
          <w:rFonts w:ascii="Times New Roman" w:hAnsi="Times New Roman" w:cs="Times New Roman"/>
          <w:color w:val="000000"/>
          <w:lang w:eastAsia="lt-LT"/>
        </w:rPr>
        <w:t xml:space="preserve"> funkcijos sutrikim</w:t>
      </w:r>
      <w:r w:rsidR="00D51E12">
        <w:rPr>
          <w:rFonts w:ascii="Times New Roman" w:hAnsi="Times New Roman" w:cs="Times New Roman"/>
          <w:color w:val="000000"/>
          <w:lang w:eastAsia="lt-LT"/>
        </w:rPr>
        <w:t>o</w:t>
      </w:r>
      <w:r w:rsidRPr="000D48A3">
        <w:rPr>
          <w:rFonts w:ascii="Times New Roman" w:hAnsi="Times New Roman" w:cs="Times New Roman"/>
          <w:color w:val="000000"/>
          <w:lang w:eastAsia="lt-LT"/>
        </w:rPr>
        <w:t xml:space="preserve">. Jeigu tai pasireiškia, rekomenduojama pradėti gydymą diuretikais arba reikia padidinti esamų diuretikų dozę. Gydymą diuretikais reikėtų skirti pacientams, kuriems skysčių susilaikymas buvo akivaizdus prieš pradedant gydyti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43213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432133">
        <w:rPr>
          <w:rFonts w:ascii="Times New Roman" w:hAnsi="Times New Roman" w:cs="Times New Roman"/>
          <w:color w:val="000000"/>
          <w:u w:val="single"/>
          <w:lang w:eastAsia="lt-LT"/>
        </w:rPr>
        <w:t xml:space="preserve">Su ŽIV infekcija susijusi </w:t>
      </w:r>
      <w:proofErr w:type="spellStart"/>
      <w:r w:rsidRPr="00432133">
        <w:rPr>
          <w:rFonts w:ascii="Times New Roman" w:hAnsi="Times New Roman" w:cs="Times New Roman"/>
          <w:color w:val="000000"/>
          <w:u w:val="single"/>
          <w:lang w:eastAsia="lt-LT"/>
        </w:rPr>
        <w:t>plautinė</w:t>
      </w:r>
      <w:proofErr w:type="spellEnd"/>
      <w:r w:rsidRPr="00432133">
        <w:rPr>
          <w:rFonts w:ascii="Times New Roman" w:hAnsi="Times New Roman" w:cs="Times New Roman"/>
          <w:color w:val="000000"/>
          <w:u w:val="single"/>
          <w:lang w:eastAsia="lt-LT"/>
        </w:rPr>
        <w:t xml:space="preserve"> arterinė hipertenzija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Yra nedaug klinikinių tyrimų duomenų apie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vartojimą pacientams, kuriems yra PAH, susijusi su ŽIV infekcija, gydytiems antiretrovirusiniais vaistiniais preparatais (žr. 5.1 skyrių).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sąveikos su </w:t>
      </w:r>
      <w:proofErr w:type="spellStart"/>
      <w:r w:rsidRPr="000D48A3">
        <w:rPr>
          <w:rFonts w:ascii="Times New Roman" w:hAnsi="Times New Roman" w:cs="Times New Roman"/>
          <w:color w:val="000000"/>
          <w:lang w:eastAsia="lt-LT"/>
        </w:rPr>
        <w:t>lopinaviru</w:t>
      </w:r>
      <w:proofErr w:type="spellEnd"/>
      <w:r w:rsidRPr="000D48A3">
        <w:rPr>
          <w:rFonts w:ascii="Times New Roman" w:hAnsi="Times New Roman" w:cs="Times New Roman"/>
          <w:color w:val="000000"/>
          <w:lang w:eastAsia="lt-LT"/>
        </w:rPr>
        <w:t xml:space="preserve">, kuris sustiprintas </w:t>
      </w:r>
      <w:proofErr w:type="spellStart"/>
      <w:r w:rsidRPr="000D48A3">
        <w:rPr>
          <w:rFonts w:ascii="Times New Roman" w:hAnsi="Times New Roman" w:cs="Times New Roman"/>
          <w:color w:val="000000"/>
          <w:lang w:eastAsia="lt-LT"/>
        </w:rPr>
        <w:t>ritonaviru</w:t>
      </w:r>
      <w:proofErr w:type="spellEnd"/>
      <w:r w:rsidRPr="000D48A3">
        <w:rPr>
          <w:rFonts w:ascii="Times New Roman" w:hAnsi="Times New Roman" w:cs="Times New Roman"/>
          <w:color w:val="000000"/>
          <w:lang w:eastAsia="lt-LT"/>
        </w:rPr>
        <w:t xml:space="preserve">, tyrime su sveikais asmenimis nustatytas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koncentracijos plazmoje padidėjimas, kuris buvo didžiausias per pirmąsias 4 gydymo dienas (žr. 4.5 skyrių). Pradėjus gydyti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pacientus, kuriems reikalingi </w:t>
      </w:r>
      <w:proofErr w:type="spellStart"/>
      <w:r w:rsidRPr="000D48A3">
        <w:rPr>
          <w:rFonts w:ascii="Times New Roman" w:hAnsi="Times New Roman" w:cs="Times New Roman"/>
          <w:color w:val="000000"/>
          <w:lang w:eastAsia="lt-LT"/>
        </w:rPr>
        <w:t>ritonaviru</w:t>
      </w:r>
      <w:proofErr w:type="spellEnd"/>
      <w:r w:rsidRPr="000D48A3">
        <w:rPr>
          <w:rFonts w:ascii="Times New Roman" w:hAnsi="Times New Roman" w:cs="Times New Roman"/>
          <w:color w:val="000000"/>
          <w:lang w:eastAsia="lt-LT"/>
        </w:rPr>
        <w:t xml:space="preserve"> sustiprinti proteazės inhibitoriai, reikia atidžiai stebėti, ar pacientas toleruoja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(ypač pradinės fazės pradžioje), kreipiant ypatingą dėmesį į </w:t>
      </w:r>
      <w:proofErr w:type="spellStart"/>
      <w:r w:rsidRPr="000D48A3">
        <w:rPr>
          <w:rFonts w:ascii="Times New Roman" w:hAnsi="Times New Roman" w:cs="Times New Roman"/>
          <w:color w:val="000000"/>
          <w:lang w:eastAsia="lt-LT"/>
        </w:rPr>
        <w:t>hipotenzijos</w:t>
      </w:r>
      <w:proofErr w:type="spellEnd"/>
      <w:r w:rsidRPr="000D48A3">
        <w:rPr>
          <w:rFonts w:ascii="Times New Roman" w:hAnsi="Times New Roman" w:cs="Times New Roman"/>
          <w:color w:val="000000"/>
          <w:lang w:eastAsia="lt-LT"/>
        </w:rPr>
        <w:t xml:space="preserve"> riziką ir kepenų funkcijos tyrimus. Negalima paneigti ilgalaikės toksinio poveikio kepenims ir nepageidaujamų hematologinių reiškinių rizikos, jeigu </w:t>
      </w:r>
      <w:proofErr w:type="spellStart"/>
      <w:r w:rsidRPr="000D48A3">
        <w:rPr>
          <w:rFonts w:ascii="Times New Roman" w:hAnsi="Times New Roman" w:cs="Times New Roman"/>
          <w:color w:val="000000"/>
          <w:lang w:eastAsia="lt-LT"/>
        </w:rPr>
        <w:t>bozentanas</w:t>
      </w:r>
      <w:proofErr w:type="spellEnd"/>
      <w:r w:rsidRPr="000D48A3">
        <w:rPr>
          <w:rFonts w:ascii="Times New Roman" w:hAnsi="Times New Roman" w:cs="Times New Roman"/>
          <w:color w:val="000000"/>
          <w:lang w:eastAsia="lt-LT"/>
        </w:rPr>
        <w:t xml:space="preserve"> yra vartojamas kartu su vaistiniais preparatais nuo </w:t>
      </w:r>
      <w:proofErr w:type="spellStart"/>
      <w:r w:rsidRPr="000D48A3">
        <w:rPr>
          <w:rFonts w:ascii="Times New Roman" w:hAnsi="Times New Roman" w:cs="Times New Roman"/>
          <w:color w:val="000000"/>
          <w:lang w:eastAsia="lt-LT"/>
        </w:rPr>
        <w:t>retrovirusų</w:t>
      </w:r>
      <w:proofErr w:type="spellEnd"/>
      <w:r w:rsidRPr="000D48A3">
        <w:rPr>
          <w:rFonts w:ascii="Times New Roman" w:hAnsi="Times New Roman" w:cs="Times New Roman"/>
          <w:color w:val="000000"/>
          <w:lang w:eastAsia="lt-LT"/>
        </w:rPr>
        <w:t xml:space="preserve">. Kadangi yra potenciali tokios sąveikos, susijusios su indukuojančiu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poveikiu CYP450 sistemai (žr. skyrių 4.5), galinčios sumažinti antiretrovirusinio gydymo veiksmingumą, galimybė, tokius pacientus taip pat reikia atidžiai stebėti dėl jų ŽIV infekcijos.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u w:val="single"/>
          <w:lang w:eastAsia="lt-LT"/>
        </w:rPr>
      </w:pPr>
    </w:p>
    <w:p w:rsidR="00A4103A" w:rsidRPr="0043213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432133">
        <w:rPr>
          <w:rFonts w:ascii="Times New Roman" w:hAnsi="Times New Roman" w:cs="Times New Roman"/>
          <w:color w:val="000000"/>
          <w:u w:val="single"/>
          <w:lang w:eastAsia="lt-LT"/>
        </w:rPr>
        <w:t xml:space="preserve">Antrinė </w:t>
      </w:r>
      <w:proofErr w:type="spellStart"/>
      <w:r w:rsidRPr="00432133">
        <w:rPr>
          <w:rFonts w:ascii="Times New Roman" w:hAnsi="Times New Roman" w:cs="Times New Roman"/>
          <w:color w:val="000000"/>
          <w:u w:val="single"/>
          <w:lang w:eastAsia="lt-LT"/>
        </w:rPr>
        <w:t>plautinė</w:t>
      </w:r>
      <w:proofErr w:type="spellEnd"/>
      <w:r w:rsidRPr="00432133">
        <w:rPr>
          <w:rFonts w:ascii="Times New Roman" w:hAnsi="Times New Roman" w:cs="Times New Roman"/>
          <w:color w:val="000000"/>
          <w:u w:val="single"/>
          <w:lang w:eastAsia="lt-LT"/>
        </w:rPr>
        <w:t xml:space="preserve"> hipertenzija dėl lėtinės obstrukcinės plaučių ligos (LOPL)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saugumas ir toleravimas buvo tiriamas žvalgomajame, nekontroliuojamame 12 savaičių trukmės tyrime, kuriame dalyvavo 11 pacientų, sergančių sunkios LOPL (GOLD klasifikacijos III stadija) sukelta antrine </w:t>
      </w:r>
      <w:proofErr w:type="spellStart"/>
      <w:r w:rsidRPr="000D48A3">
        <w:rPr>
          <w:rFonts w:ascii="Times New Roman" w:hAnsi="Times New Roman" w:cs="Times New Roman"/>
          <w:color w:val="000000"/>
          <w:lang w:eastAsia="lt-LT"/>
        </w:rPr>
        <w:t>plautine</w:t>
      </w:r>
      <w:proofErr w:type="spellEnd"/>
      <w:r w:rsidRPr="000D48A3">
        <w:rPr>
          <w:rFonts w:ascii="Times New Roman" w:hAnsi="Times New Roman" w:cs="Times New Roman"/>
          <w:color w:val="000000"/>
          <w:lang w:eastAsia="lt-LT"/>
        </w:rPr>
        <w:t xml:space="preserve"> hipertenzija. Buvo pastebėta, kad padidėjo minutinė ventiliacija bei sumažėjo įsotinimas deguonimi ir dažniausiai pasireiškęs nepageidaujamas reiškinys buvo dusulys, kuris pranyko nustojus vartoti </w:t>
      </w:r>
      <w:proofErr w:type="spellStart"/>
      <w:r w:rsidRPr="000D48A3">
        <w:rPr>
          <w:rFonts w:ascii="Times New Roman" w:hAnsi="Times New Roman" w:cs="Times New Roman"/>
          <w:color w:val="000000"/>
          <w:lang w:eastAsia="lt-LT"/>
        </w:rPr>
        <w:t>bozentaną</w:t>
      </w:r>
      <w:proofErr w:type="spellEnd"/>
      <w:r w:rsidRPr="000D48A3">
        <w:rPr>
          <w:rFonts w:ascii="Times New Roman" w:hAnsi="Times New Roman" w:cs="Times New Roman"/>
          <w:color w:val="000000"/>
          <w:lang w:eastAsia="lt-LT"/>
        </w:rPr>
        <w:t xml:space="preserve">.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u w:val="single"/>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lang w:eastAsia="lt-LT"/>
        </w:rPr>
      </w:pPr>
      <w:r w:rsidRPr="00432133">
        <w:rPr>
          <w:rFonts w:ascii="Times New Roman" w:hAnsi="Times New Roman" w:cs="Times New Roman"/>
          <w:color w:val="000000"/>
          <w:u w:val="single"/>
          <w:lang w:eastAsia="lt-LT"/>
        </w:rPr>
        <w:t xml:space="preserve">Vartojimas kartu su kitais vaistiniais preparatais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i/>
          <w:iCs/>
          <w:color w:val="000000"/>
          <w:lang w:eastAsia="lt-LT"/>
        </w:rPr>
        <w:lastRenderedPageBreak/>
        <w:t>Glibenklamidas</w:t>
      </w:r>
      <w:proofErr w:type="spellEnd"/>
      <w:r w:rsidRPr="000D48A3">
        <w:rPr>
          <w:rFonts w:ascii="Times New Roman" w:hAnsi="Times New Roman" w:cs="Times New Roman"/>
          <w:i/>
          <w:iCs/>
          <w:color w:val="000000"/>
          <w:lang w:eastAsia="lt-LT"/>
        </w:rPr>
        <w:t xml:space="preserve">.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turi būti nevartojama kartu su </w:t>
      </w:r>
      <w:proofErr w:type="spellStart"/>
      <w:r w:rsidRPr="000D48A3">
        <w:rPr>
          <w:rFonts w:ascii="Times New Roman" w:hAnsi="Times New Roman" w:cs="Times New Roman"/>
          <w:color w:val="000000"/>
          <w:lang w:eastAsia="lt-LT"/>
        </w:rPr>
        <w:t>glibenklamidu</w:t>
      </w:r>
      <w:proofErr w:type="spellEnd"/>
      <w:r w:rsidRPr="000D48A3">
        <w:rPr>
          <w:rFonts w:ascii="Times New Roman" w:hAnsi="Times New Roman" w:cs="Times New Roman"/>
          <w:color w:val="000000"/>
          <w:lang w:eastAsia="lt-LT"/>
        </w:rPr>
        <w:t xml:space="preserve"> dėl didesnės kepenų </w:t>
      </w:r>
      <w:proofErr w:type="spellStart"/>
      <w:r w:rsidRPr="000D48A3">
        <w:rPr>
          <w:rFonts w:ascii="Times New Roman" w:hAnsi="Times New Roman" w:cs="Times New Roman"/>
          <w:color w:val="000000"/>
          <w:lang w:eastAsia="lt-LT"/>
        </w:rPr>
        <w:t>aminotransferazių</w:t>
      </w:r>
      <w:proofErr w:type="spellEnd"/>
      <w:r w:rsidRPr="000D48A3">
        <w:rPr>
          <w:rFonts w:ascii="Times New Roman" w:hAnsi="Times New Roman" w:cs="Times New Roman"/>
          <w:color w:val="000000"/>
          <w:lang w:eastAsia="lt-LT"/>
        </w:rPr>
        <w:t xml:space="preserve"> aktyvumo padidėjimo rizikos (žr. 4.5 skyrių). Pacientams, kuriems reikalingas </w:t>
      </w:r>
      <w:proofErr w:type="spellStart"/>
      <w:r w:rsidRPr="000D48A3">
        <w:rPr>
          <w:rFonts w:ascii="Times New Roman" w:hAnsi="Times New Roman" w:cs="Times New Roman"/>
          <w:color w:val="000000"/>
          <w:lang w:eastAsia="lt-LT"/>
        </w:rPr>
        <w:t>priešdiabetinis</w:t>
      </w:r>
      <w:proofErr w:type="spellEnd"/>
      <w:r w:rsidRPr="000D48A3">
        <w:rPr>
          <w:rFonts w:ascii="Times New Roman" w:hAnsi="Times New Roman" w:cs="Times New Roman"/>
          <w:color w:val="000000"/>
          <w:lang w:eastAsia="lt-LT"/>
        </w:rPr>
        <w:t xml:space="preserve"> gydymas, turi būti taikomas alternatyvus gydymas nuo diabeto.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i/>
          <w:iCs/>
          <w:color w:val="000000"/>
          <w:lang w:eastAsia="lt-LT"/>
        </w:rPr>
        <w:t>Flukonazolas</w:t>
      </w:r>
      <w:proofErr w:type="spellEnd"/>
      <w:r w:rsidRPr="000D48A3">
        <w:rPr>
          <w:rFonts w:ascii="Times New Roman" w:hAnsi="Times New Roman" w:cs="Times New Roman"/>
          <w:i/>
          <w:iCs/>
          <w:color w:val="000000"/>
          <w:lang w:eastAsia="lt-LT"/>
        </w:rPr>
        <w:t xml:space="preserve">.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vartoti kartu su </w:t>
      </w:r>
      <w:proofErr w:type="spellStart"/>
      <w:r w:rsidRPr="000D48A3">
        <w:rPr>
          <w:rFonts w:ascii="Times New Roman" w:hAnsi="Times New Roman" w:cs="Times New Roman"/>
          <w:color w:val="000000"/>
          <w:lang w:eastAsia="lt-LT"/>
        </w:rPr>
        <w:t>flukonazolu</w:t>
      </w:r>
      <w:proofErr w:type="spellEnd"/>
      <w:r w:rsidRPr="000D48A3">
        <w:rPr>
          <w:rFonts w:ascii="Times New Roman" w:hAnsi="Times New Roman" w:cs="Times New Roman"/>
          <w:color w:val="000000"/>
          <w:lang w:eastAsia="lt-LT"/>
        </w:rPr>
        <w:t xml:space="preserve"> nerekomenduojama (žr. 4.5 skyrių). Nors šis derinys netirtas, jis gali sukelti žymų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koncentracijos padidėjimą plazmoje.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i/>
          <w:iCs/>
          <w:color w:val="000000"/>
          <w:lang w:eastAsia="lt-LT"/>
        </w:rPr>
        <w:t>Rifampicinas</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nerekomenduojama vartoti kartu su </w:t>
      </w:r>
      <w:proofErr w:type="spellStart"/>
      <w:r w:rsidRPr="000D48A3">
        <w:rPr>
          <w:rFonts w:ascii="Times New Roman" w:hAnsi="Times New Roman" w:cs="Times New Roman"/>
          <w:color w:val="000000"/>
          <w:lang w:eastAsia="lt-LT"/>
        </w:rPr>
        <w:t>rifampicinu</w:t>
      </w:r>
      <w:proofErr w:type="spellEnd"/>
      <w:r w:rsidRPr="000D48A3">
        <w:rPr>
          <w:rFonts w:ascii="Times New Roman" w:hAnsi="Times New Roman" w:cs="Times New Roman"/>
          <w:color w:val="000000"/>
          <w:lang w:eastAsia="lt-LT"/>
        </w:rPr>
        <w:t xml:space="preserve"> (žr. 4.5 skyrių). </w:t>
      </w:r>
    </w:p>
    <w:p w:rsidR="00A4103A" w:rsidRPr="000D48A3" w:rsidRDefault="00A4103A" w:rsidP="00A4103A">
      <w:pPr>
        <w:spacing w:after="0" w:line="240" w:lineRule="auto"/>
        <w:rPr>
          <w:rFonts w:ascii="Times New Roman" w:hAnsi="Times New Roman" w:cs="Times New Roman"/>
          <w:lang w:eastAsia="lt-LT"/>
        </w:rPr>
      </w:pPr>
    </w:p>
    <w:p w:rsidR="00A4103A" w:rsidRPr="000D48A3" w:rsidRDefault="00A4103A" w:rsidP="00A4103A">
      <w:pPr>
        <w:spacing w:after="0" w:line="240" w:lineRule="auto"/>
        <w:rPr>
          <w:rFonts w:ascii="Times New Roman" w:hAnsi="Times New Roman" w:cs="Times New Roman"/>
          <w:lang w:eastAsia="lt-LT"/>
        </w:rPr>
      </w:pPr>
      <w:proofErr w:type="spellStart"/>
      <w:r w:rsidRPr="000D48A3">
        <w:rPr>
          <w:rFonts w:ascii="Times New Roman" w:hAnsi="Times New Roman" w:cs="Times New Roman"/>
          <w:lang w:eastAsia="lt-LT"/>
        </w:rPr>
        <w:t>Bosentan</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Sandoz</w:t>
      </w:r>
      <w:proofErr w:type="spellEnd"/>
      <w:r w:rsidRPr="000D48A3">
        <w:rPr>
          <w:rFonts w:ascii="Times New Roman" w:hAnsi="Times New Roman" w:cs="Times New Roman"/>
          <w:lang w:eastAsia="lt-LT"/>
        </w:rPr>
        <w:t xml:space="preserve"> vartoti kartu ne tik su CYP3A4 inhibitoriumi, bet ir su CYP2C9 inhibitoriumi turi būti vengiama (žr. 4.5 skyrių).</w:t>
      </w:r>
    </w:p>
    <w:p w:rsidR="00A4103A" w:rsidRPr="000D48A3" w:rsidRDefault="00A4103A" w:rsidP="00A4103A">
      <w:pPr>
        <w:spacing w:after="0" w:line="240" w:lineRule="auto"/>
        <w:rPr>
          <w:rFonts w:ascii="Times New Roman" w:hAnsi="Times New Roman" w:cs="Times New Roman"/>
          <w:lang w:eastAsia="lt-LT"/>
        </w:rPr>
      </w:pPr>
    </w:p>
    <w:p w:rsidR="00A4103A" w:rsidRPr="000D48A3" w:rsidRDefault="00A4103A" w:rsidP="00A4103A">
      <w:pPr>
        <w:keepNext/>
        <w:tabs>
          <w:tab w:val="left" w:pos="567"/>
        </w:tabs>
        <w:spacing w:after="0" w:line="240" w:lineRule="auto"/>
        <w:outlineLvl w:val="2"/>
        <w:rPr>
          <w:rFonts w:ascii="Times New Roman" w:hAnsi="Times New Roman" w:cs="Times New Roman"/>
          <w:b/>
          <w:bCs/>
          <w:lang w:eastAsia="lt-LT"/>
        </w:rPr>
      </w:pPr>
      <w:r w:rsidRPr="000D48A3">
        <w:rPr>
          <w:rFonts w:ascii="Times New Roman" w:hAnsi="Times New Roman" w:cs="Times New Roman"/>
          <w:b/>
          <w:bCs/>
          <w:lang w:eastAsia="lt-LT"/>
        </w:rPr>
        <w:t>4.5</w:t>
      </w:r>
      <w:r w:rsidRPr="000D48A3">
        <w:rPr>
          <w:rFonts w:ascii="Times New Roman" w:hAnsi="Times New Roman" w:cs="Times New Roman"/>
          <w:b/>
          <w:bCs/>
          <w:lang w:eastAsia="lt-LT"/>
        </w:rPr>
        <w:tab/>
        <w:t>Sąveika su kitais vaistiniais preparatais ir kitokia sąveika</w:t>
      </w:r>
    </w:p>
    <w:p w:rsidR="00A4103A" w:rsidRPr="000D48A3" w:rsidRDefault="00A4103A" w:rsidP="00A4103A">
      <w:pPr>
        <w:tabs>
          <w:tab w:val="left" w:pos="425"/>
          <w:tab w:val="left" w:pos="567"/>
        </w:tabs>
        <w:spacing w:after="0" w:line="240" w:lineRule="auto"/>
        <w:rPr>
          <w:rFonts w:ascii="Times New Roman" w:hAnsi="Times New Roman" w:cs="Times New Roman"/>
          <w:u w:val="single"/>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Bozentanas</w:t>
      </w:r>
      <w:proofErr w:type="spellEnd"/>
      <w:r w:rsidRPr="000D48A3">
        <w:rPr>
          <w:rFonts w:ascii="Times New Roman" w:hAnsi="Times New Roman" w:cs="Times New Roman"/>
          <w:color w:val="000000"/>
          <w:lang w:eastAsia="lt-LT"/>
        </w:rPr>
        <w:t xml:space="preserve"> yra </w:t>
      </w:r>
      <w:proofErr w:type="spellStart"/>
      <w:r w:rsidRPr="000D48A3">
        <w:rPr>
          <w:rFonts w:ascii="Times New Roman" w:hAnsi="Times New Roman" w:cs="Times New Roman"/>
          <w:color w:val="000000"/>
          <w:lang w:eastAsia="lt-LT"/>
        </w:rPr>
        <w:t>citochromo</w:t>
      </w:r>
      <w:proofErr w:type="spellEnd"/>
      <w:r w:rsidRPr="000D48A3">
        <w:rPr>
          <w:rFonts w:ascii="Times New Roman" w:hAnsi="Times New Roman" w:cs="Times New Roman"/>
          <w:color w:val="000000"/>
          <w:lang w:eastAsia="lt-LT"/>
        </w:rPr>
        <w:t xml:space="preserve"> P450 (CYP) </w:t>
      </w:r>
      <w:proofErr w:type="spellStart"/>
      <w:r w:rsidRPr="000D48A3">
        <w:rPr>
          <w:rFonts w:ascii="Times New Roman" w:hAnsi="Times New Roman" w:cs="Times New Roman"/>
          <w:color w:val="000000"/>
          <w:lang w:eastAsia="lt-LT"/>
        </w:rPr>
        <w:t>izofermentų</w:t>
      </w:r>
      <w:proofErr w:type="spellEnd"/>
      <w:r w:rsidRPr="000D48A3">
        <w:rPr>
          <w:rFonts w:ascii="Times New Roman" w:hAnsi="Times New Roman" w:cs="Times New Roman"/>
          <w:color w:val="000000"/>
          <w:lang w:eastAsia="lt-LT"/>
        </w:rPr>
        <w:t xml:space="preserve"> CYP2C9 ir CYP3A4 </w:t>
      </w:r>
      <w:proofErr w:type="spellStart"/>
      <w:r w:rsidRPr="000D48A3">
        <w:rPr>
          <w:rFonts w:ascii="Times New Roman" w:hAnsi="Times New Roman" w:cs="Times New Roman"/>
          <w:color w:val="000000"/>
          <w:lang w:eastAsia="lt-LT"/>
        </w:rPr>
        <w:t>induktorius</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i/>
          <w:iCs/>
          <w:color w:val="000000"/>
          <w:lang w:eastAsia="lt-LT"/>
        </w:rPr>
        <w:t>In</w:t>
      </w:r>
      <w:proofErr w:type="spellEnd"/>
      <w:r w:rsidRPr="000D48A3">
        <w:rPr>
          <w:rFonts w:ascii="Times New Roman" w:hAnsi="Times New Roman" w:cs="Times New Roman"/>
          <w:i/>
          <w:iCs/>
          <w:color w:val="000000"/>
          <w:lang w:eastAsia="lt-LT"/>
        </w:rPr>
        <w:t xml:space="preserve"> </w:t>
      </w:r>
      <w:proofErr w:type="spellStart"/>
      <w:r w:rsidRPr="000D48A3">
        <w:rPr>
          <w:rFonts w:ascii="Times New Roman" w:hAnsi="Times New Roman" w:cs="Times New Roman"/>
          <w:i/>
          <w:iCs/>
          <w:color w:val="000000"/>
          <w:lang w:eastAsia="lt-LT"/>
        </w:rPr>
        <w:t>vitro</w:t>
      </w:r>
      <w:proofErr w:type="spellEnd"/>
      <w:r w:rsidRPr="000D48A3">
        <w:rPr>
          <w:rFonts w:ascii="Times New Roman" w:hAnsi="Times New Roman" w:cs="Times New Roman"/>
          <w:i/>
          <w:iCs/>
          <w:color w:val="000000"/>
          <w:lang w:eastAsia="lt-LT"/>
        </w:rPr>
        <w:t xml:space="preserve"> </w:t>
      </w:r>
      <w:r w:rsidRPr="000D48A3">
        <w:rPr>
          <w:rFonts w:ascii="Times New Roman" w:hAnsi="Times New Roman" w:cs="Times New Roman"/>
          <w:color w:val="000000"/>
          <w:lang w:eastAsia="lt-LT"/>
        </w:rPr>
        <w:t xml:space="preserve">duomenys taip pat rodo CYP2C19 indukciją. Dėl tos priežasties medžiagų, kurias </w:t>
      </w:r>
      <w:proofErr w:type="spellStart"/>
      <w:r w:rsidRPr="000D48A3">
        <w:rPr>
          <w:rFonts w:ascii="Times New Roman" w:hAnsi="Times New Roman" w:cs="Times New Roman"/>
          <w:color w:val="000000"/>
          <w:lang w:eastAsia="lt-LT"/>
        </w:rPr>
        <w:t>metabolizuoja</w:t>
      </w:r>
      <w:proofErr w:type="spellEnd"/>
      <w:r w:rsidRPr="000D48A3">
        <w:rPr>
          <w:rFonts w:ascii="Times New Roman" w:hAnsi="Times New Roman" w:cs="Times New Roman"/>
          <w:color w:val="000000"/>
          <w:lang w:eastAsia="lt-LT"/>
        </w:rPr>
        <w:t xml:space="preserve"> minėti fermentai, koncentracija plazmoje sumažės, jeigu kartu vartojama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Reikia atsižvelgti </w:t>
      </w:r>
      <w:r>
        <w:rPr>
          <w:rFonts w:ascii="Times New Roman" w:hAnsi="Times New Roman" w:cs="Times New Roman"/>
          <w:color w:val="000000"/>
          <w:lang w:eastAsia="lt-LT"/>
        </w:rPr>
        <w:t xml:space="preserve">į </w:t>
      </w:r>
      <w:r w:rsidRPr="000D48A3">
        <w:rPr>
          <w:rFonts w:ascii="Times New Roman" w:hAnsi="Times New Roman" w:cs="Times New Roman"/>
          <w:color w:val="000000"/>
          <w:lang w:eastAsia="lt-LT"/>
        </w:rPr>
        <w:t xml:space="preserve">šių </w:t>
      </w:r>
      <w:proofErr w:type="spellStart"/>
      <w:r w:rsidRPr="000D48A3">
        <w:rPr>
          <w:rFonts w:ascii="Times New Roman" w:hAnsi="Times New Roman" w:cs="Times New Roman"/>
          <w:color w:val="000000"/>
          <w:lang w:eastAsia="lt-LT"/>
        </w:rPr>
        <w:t>izofermentų</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metabolizuojamų</w:t>
      </w:r>
      <w:proofErr w:type="spellEnd"/>
      <w:r w:rsidRPr="000D48A3">
        <w:rPr>
          <w:rFonts w:ascii="Times New Roman" w:hAnsi="Times New Roman" w:cs="Times New Roman"/>
          <w:color w:val="000000"/>
          <w:lang w:eastAsia="lt-LT"/>
        </w:rPr>
        <w:t xml:space="preserve"> vaistinių preparatų pakitusio veiksmingumo galimybę. Šių vaistinių preparatų dozavimą gali tekti koreguoti pradėjus kartu taikyti gydymą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pakeitus dozę arba nutraukus jo vartojimą.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Bozentaną</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metabolizuoja</w:t>
      </w:r>
      <w:proofErr w:type="spellEnd"/>
      <w:r w:rsidRPr="000D48A3">
        <w:rPr>
          <w:rFonts w:ascii="Times New Roman" w:hAnsi="Times New Roman" w:cs="Times New Roman"/>
          <w:color w:val="000000"/>
          <w:lang w:eastAsia="lt-LT"/>
        </w:rPr>
        <w:t xml:space="preserve"> CYP2C9 ir CYP3A4. Šių </w:t>
      </w:r>
      <w:proofErr w:type="spellStart"/>
      <w:r w:rsidRPr="000D48A3">
        <w:rPr>
          <w:rFonts w:ascii="Times New Roman" w:hAnsi="Times New Roman" w:cs="Times New Roman"/>
          <w:color w:val="000000"/>
          <w:lang w:eastAsia="lt-LT"/>
        </w:rPr>
        <w:t>izofermentų</w:t>
      </w:r>
      <w:proofErr w:type="spellEnd"/>
      <w:r w:rsidRPr="000D48A3">
        <w:rPr>
          <w:rFonts w:ascii="Times New Roman" w:hAnsi="Times New Roman" w:cs="Times New Roman"/>
          <w:color w:val="000000"/>
          <w:lang w:eastAsia="lt-LT"/>
        </w:rPr>
        <w:t xml:space="preserve"> slopinimas gali padidinti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koncentraciją plazmoje (žr. </w:t>
      </w:r>
      <w:proofErr w:type="spellStart"/>
      <w:r w:rsidRPr="000D48A3">
        <w:rPr>
          <w:rFonts w:ascii="Times New Roman" w:hAnsi="Times New Roman" w:cs="Times New Roman"/>
          <w:color w:val="000000"/>
          <w:lang w:eastAsia="lt-LT"/>
        </w:rPr>
        <w:t>ketokonazolas</w:t>
      </w:r>
      <w:proofErr w:type="spellEnd"/>
      <w:r w:rsidRPr="000D48A3">
        <w:rPr>
          <w:rFonts w:ascii="Times New Roman" w:hAnsi="Times New Roman" w:cs="Times New Roman"/>
          <w:color w:val="000000"/>
          <w:lang w:eastAsia="lt-LT"/>
        </w:rPr>
        <w:t xml:space="preserve">). CYP2C9 inhibitorių įtaka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koncentracijai netirta. Šį derinį reikia vartoti atsargiai. Vartojant kartu su </w:t>
      </w:r>
      <w:proofErr w:type="spellStart"/>
      <w:r w:rsidRPr="000D48A3">
        <w:rPr>
          <w:rFonts w:ascii="Times New Roman" w:hAnsi="Times New Roman" w:cs="Times New Roman"/>
          <w:color w:val="000000"/>
          <w:lang w:eastAsia="lt-LT"/>
        </w:rPr>
        <w:t>flukonazolu</w:t>
      </w:r>
      <w:proofErr w:type="spellEnd"/>
      <w:r w:rsidRPr="000D48A3">
        <w:rPr>
          <w:rFonts w:ascii="Times New Roman" w:hAnsi="Times New Roman" w:cs="Times New Roman"/>
          <w:color w:val="000000"/>
          <w:lang w:eastAsia="lt-LT"/>
        </w:rPr>
        <w:t xml:space="preserve">, kuris labiausiai slopina CYP2C9, tačiau tam tikru laipsniu ir CYP3A4, gali žymiai padidėti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koncentracija plazmoje. Šis derinys nerekomenduojamas. Dėl tos pačios priežasties vartoti tiek stipraus CYP3A4 inhibitoriaus (pvz., </w:t>
      </w:r>
      <w:proofErr w:type="spellStart"/>
      <w:r w:rsidRPr="000D48A3">
        <w:rPr>
          <w:rFonts w:ascii="Times New Roman" w:hAnsi="Times New Roman" w:cs="Times New Roman"/>
          <w:color w:val="000000"/>
          <w:lang w:eastAsia="lt-LT"/>
        </w:rPr>
        <w:t>ketokonazolo</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itrakonazolo</w:t>
      </w:r>
      <w:proofErr w:type="spellEnd"/>
      <w:r w:rsidRPr="000D48A3">
        <w:rPr>
          <w:rFonts w:ascii="Times New Roman" w:hAnsi="Times New Roman" w:cs="Times New Roman"/>
          <w:color w:val="000000"/>
          <w:lang w:eastAsia="lt-LT"/>
        </w:rPr>
        <w:t xml:space="preserve"> arba </w:t>
      </w:r>
      <w:proofErr w:type="spellStart"/>
      <w:r w:rsidRPr="000D48A3">
        <w:rPr>
          <w:rFonts w:ascii="Times New Roman" w:hAnsi="Times New Roman" w:cs="Times New Roman"/>
          <w:color w:val="000000"/>
          <w:lang w:eastAsia="lt-LT"/>
        </w:rPr>
        <w:t>ritonaviro</w:t>
      </w:r>
      <w:proofErr w:type="spellEnd"/>
      <w:r w:rsidRPr="000D48A3">
        <w:rPr>
          <w:rFonts w:ascii="Times New Roman" w:hAnsi="Times New Roman" w:cs="Times New Roman"/>
          <w:color w:val="000000"/>
          <w:lang w:eastAsia="lt-LT"/>
        </w:rPr>
        <w:t xml:space="preserve">), tiek CYP2C9 inhibitoriaus (pvz., </w:t>
      </w:r>
      <w:proofErr w:type="spellStart"/>
      <w:r w:rsidRPr="000D48A3">
        <w:rPr>
          <w:rFonts w:ascii="Times New Roman" w:hAnsi="Times New Roman" w:cs="Times New Roman"/>
          <w:color w:val="000000"/>
          <w:lang w:eastAsia="lt-LT"/>
        </w:rPr>
        <w:t>vorikonazolo</w:t>
      </w:r>
      <w:proofErr w:type="spellEnd"/>
      <w:r w:rsidRPr="000D48A3">
        <w:rPr>
          <w:rFonts w:ascii="Times New Roman" w:hAnsi="Times New Roman" w:cs="Times New Roman"/>
          <w:color w:val="000000"/>
          <w:lang w:eastAsia="lt-LT"/>
        </w:rPr>
        <w:t xml:space="preserve">) kartu su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nerekomenduojama.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i/>
          <w:iCs/>
          <w:color w:val="000000"/>
          <w:lang w:eastAsia="lt-LT"/>
        </w:rPr>
        <w:t>Ciklosporinas</w:t>
      </w:r>
      <w:proofErr w:type="spellEnd"/>
      <w:r w:rsidRPr="000D48A3">
        <w:rPr>
          <w:rFonts w:ascii="Times New Roman" w:hAnsi="Times New Roman" w:cs="Times New Roman"/>
          <w:i/>
          <w:iCs/>
          <w:color w:val="000000"/>
          <w:lang w:eastAsia="lt-LT"/>
        </w:rPr>
        <w:t xml:space="preserve"> A. </w:t>
      </w:r>
      <w:r w:rsidRPr="000D48A3">
        <w:rPr>
          <w:rFonts w:ascii="Times New Roman" w:hAnsi="Times New Roman" w:cs="Times New Roman"/>
          <w:color w:val="000000"/>
          <w:lang w:eastAsia="lt-LT"/>
        </w:rPr>
        <w:t xml:space="preserve">Vartoti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kartu su </w:t>
      </w:r>
      <w:proofErr w:type="spellStart"/>
      <w:r w:rsidRPr="000D48A3">
        <w:rPr>
          <w:rFonts w:ascii="Times New Roman" w:hAnsi="Times New Roman" w:cs="Times New Roman"/>
          <w:color w:val="000000"/>
          <w:lang w:eastAsia="lt-LT"/>
        </w:rPr>
        <w:t>ciklosporinu</w:t>
      </w:r>
      <w:proofErr w:type="spellEnd"/>
      <w:r w:rsidRPr="000D48A3">
        <w:rPr>
          <w:rFonts w:ascii="Times New Roman" w:hAnsi="Times New Roman" w:cs="Times New Roman"/>
          <w:color w:val="000000"/>
          <w:lang w:eastAsia="lt-LT"/>
        </w:rPr>
        <w:t xml:space="preserve"> A (</w:t>
      </w:r>
      <w:proofErr w:type="spellStart"/>
      <w:r w:rsidRPr="000D48A3">
        <w:rPr>
          <w:rFonts w:ascii="Times New Roman" w:hAnsi="Times New Roman" w:cs="Times New Roman"/>
          <w:color w:val="000000"/>
          <w:lang w:eastAsia="lt-LT"/>
        </w:rPr>
        <w:t>kalcineurino</w:t>
      </w:r>
      <w:proofErr w:type="spellEnd"/>
      <w:r w:rsidRPr="000D48A3">
        <w:rPr>
          <w:rFonts w:ascii="Times New Roman" w:hAnsi="Times New Roman" w:cs="Times New Roman"/>
          <w:color w:val="000000"/>
          <w:lang w:eastAsia="lt-LT"/>
        </w:rPr>
        <w:t xml:space="preserve"> inhibitoriumi) yra draudžiama (žr. 4.3 skyrių). Nustatyta, kad vartojant šių vaistinių preparatų kartu, pradinė mažiausia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koncentracija buvo maždaug 30 kartų didesnė, nei vartojant vieno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Nusistovėjus </w:t>
      </w:r>
      <w:proofErr w:type="spellStart"/>
      <w:r w:rsidRPr="000D48A3">
        <w:rPr>
          <w:rFonts w:ascii="Times New Roman" w:hAnsi="Times New Roman" w:cs="Times New Roman"/>
          <w:color w:val="000000"/>
          <w:lang w:eastAsia="lt-LT"/>
        </w:rPr>
        <w:t>pusiausvyrinei</w:t>
      </w:r>
      <w:proofErr w:type="spellEnd"/>
      <w:r w:rsidRPr="000D48A3">
        <w:rPr>
          <w:rFonts w:ascii="Times New Roman" w:hAnsi="Times New Roman" w:cs="Times New Roman"/>
          <w:color w:val="000000"/>
          <w:lang w:eastAsia="lt-LT"/>
        </w:rPr>
        <w:t xml:space="preserve"> apykaitai,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koncentracija plazmoje buvo 3 – 4 kartus didesnė, nei vartojant vieno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Šios sąveikos mechanizmas tikriausiai yra </w:t>
      </w:r>
      <w:proofErr w:type="spellStart"/>
      <w:r w:rsidRPr="000D48A3">
        <w:rPr>
          <w:rFonts w:ascii="Times New Roman" w:hAnsi="Times New Roman" w:cs="Times New Roman"/>
          <w:color w:val="000000"/>
          <w:lang w:eastAsia="lt-LT"/>
        </w:rPr>
        <w:t>ciklosporino</w:t>
      </w:r>
      <w:proofErr w:type="spellEnd"/>
      <w:r w:rsidRPr="000D48A3">
        <w:rPr>
          <w:rFonts w:ascii="Times New Roman" w:hAnsi="Times New Roman" w:cs="Times New Roman"/>
          <w:color w:val="000000"/>
          <w:lang w:eastAsia="lt-LT"/>
        </w:rPr>
        <w:t xml:space="preserve"> sukeltas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patekimo į </w:t>
      </w:r>
      <w:proofErr w:type="spellStart"/>
      <w:r w:rsidRPr="000D48A3">
        <w:rPr>
          <w:rFonts w:ascii="Times New Roman" w:hAnsi="Times New Roman" w:cs="Times New Roman"/>
          <w:color w:val="000000"/>
          <w:lang w:eastAsia="lt-LT"/>
        </w:rPr>
        <w:t>hepatocitus</w:t>
      </w:r>
      <w:proofErr w:type="spellEnd"/>
      <w:r w:rsidRPr="000D48A3">
        <w:rPr>
          <w:rFonts w:ascii="Times New Roman" w:hAnsi="Times New Roman" w:cs="Times New Roman"/>
          <w:color w:val="000000"/>
          <w:lang w:eastAsia="lt-LT"/>
        </w:rPr>
        <w:t xml:space="preserve"> tarpininkaujant baltymui pernešėjui slopinimas. </w:t>
      </w:r>
      <w:proofErr w:type="spellStart"/>
      <w:r w:rsidRPr="000D48A3">
        <w:rPr>
          <w:rFonts w:ascii="Times New Roman" w:hAnsi="Times New Roman" w:cs="Times New Roman"/>
          <w:color w:val="000000"/>
          <w:lang w:eastAsia="lt-LT"/>
        </w:rPr>
        <w:t>Ciklosporino</w:t>
      </w:r>
      <w:proofErr w:type="spellEnd"/>
      <w:r w:rsidRPr="000D48A3">
        <w:rPr>
          <w:rFonts w:ascii="Times New Roman" w:hAnsi="Times New Roman" w:cs="Times New Roman"/>
          <w:color w:val="000000"/>
          <w:lang w:eastAsia="lt-LT"/>
        </w:rPr>
        <w:t xml:space="preserve"> A (CYP3A4 substrato) koncentracija kraujyje sumažėjo maždaug 50 %. Tai tikriausiai dėl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sukeltos CYP3A4 indukcijos.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i/>
          <w:iCs/>
          <w:color w:val="000000"/>
          <w:lang w:eastAsia="lt-LT"/>
        </w:rPr>
        <w:t>Takrolimuzas</w:t>
      </w:r>
      <w:proofErr w:type="spellEnd"/>
      <w:r w:rsidRPr="000D48A3">
        <w:rPr>
          <w:rFonts w:ascii="Times New Roman" w:hAnsi="Times New Roman" w:cs="Times New Roman"/>
          <w:i/>
          <w:iCs/>
          <w:color w:val="000000"/>
          <w:lang w:eastAsia="lt-LT"/>
        </w:rPr>
        <w:t xml:space="preserve">, </w:t>
      </w:r>
      <w:proofErr w:type="spellStart"/>
      <w:r w:rsidRPr="000D48A3">
        <w:rPr>
          <w:rFonts w:ascii="Times New Roman" w:hAnsi="Times New Roman" w:cs="Times New Roman"/>
          <w:i/>
          <w:iCs/>
          <w:color w:val="000000"/>
          <w:lang w:eastAsia="lt-LT"/>
        </w:rPr>
        <w:t>sirolimuzas</w:t>
      </w:r>
      <w:proofErr w:type="spellEnd"/>
      <w:r w:rsidRPr="000D48A3">
        <w:rPr>
          <w:rFonts w:ascii="Times New Roman" w:hAnsi="Times New Roman" w:cs="Times New Roman"/>
          <w:i/>
          <w:iCs/>
          <w:color w:val="000000"/>
          <w:lang w:eastAsia="lt-LT"/>
        </w:rPr>
        <w:t xml:space="preserve">.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vartojimas kartu su </w:t>
      </w:r>
      <w:proofErr w:type="spellStart"/>
      <w:r w:rsidRPr="000D48A3">
        <w:rPr>
          <w:rFonts w:ascii="Times New Roman" w:hAnsi="Times New Roman" w:cs="Times New Roman"/>
          <w:color w:val="000000"/>
          <w:lang w:eastAsia="lt-LT"/>
        </w:rPr>
        <w:t>takrolimuzu</w:t>
      </w:r>
      <w:proofErr w:type="spellEnd"/>
      <w:r w:rsidRPr="000D48A3">
        <w:rPr>
          <w:rFonts w:ascii="Times New Roman" w:hAnsi="Times New Roman" w:cs="Times New Roman"/>
          <w:color w:val="000000"/>
          <w:lang w:eastAsia="lt-LT"/>
        </w:rPr>
        <w:t xml:space="preserve"> ar </w:t>
      </w:r>
      <w:proofErr w:type="spellStart"/>
      <w:r w:rsidRPr="000D48A3">
        <w:rPr>
          <w:rFonts w:ascii="Times New Roman" w:hAnsi="Times New Roman" w:cs="Times New Roman"/>
          <w:color w:val="000000"/>
          <w:lang w:eastAsia="lt-LT"/>
        </w:rPr>
        <w:t>sirolimuzu</w:t>
      </w:r>
      <w:proofErr w:type="spellEnd"/>
      <w:r w:rsidRPr="000D48A3">
        <w:rPr>
          <w:rFonts w:ascii="Times New Roman" w:hAnsi="Times New Roman" w:cs="Times New Roman"/>
          <w:color w:val="000000"/>
          <w:lang w:eastAsia="lt-LT"/>
        </w:rPr>
        <w:t xml:space="preserve"> žmonėms netirtas, tačiau skiriant </w:t>
      </w:r>
      <w:proofErr w:type="spellStart"/>
      <w:r w:rsidRPr="000D48A3">
        <w:rPr>
          <w:rFonts w:ascii="Times New Roman" w:hAnsi="Times New Roman" w:cs="Times New Roman"/>
          <w:color w:val="000000"/>
          <w:lang w:eastAsia="lt-LT"/>
        </w:rPr>
        <w:t>takrolimuzą</w:t>
      </w:r>
      <w:proofErr w:type="spellEnd"/>
      <w:r w:rsidRPr="000D48A3">
        <w:rPr>
          <w:rFonts w:ascii="Times New Roman" w:hAnsi="Times New Roman" w:cs="Times New Roman"/>
          <w:color w:val="000000"/>
          <w:lang w:eastAsia="lt-LT"/>
        </w:rPr>
        <w:t xml:space="preserve"> ar </w:t>
      </w:r>
      <w:proofErr w:type="spellStart"/>
      <w:r w:rsidRPr="000D48A3">
        <w:rPr>
          <w:rFonts w:ascii="Times New Roman" w:hAnsi="Times New Roman" w:cs="Times New Roman"/>
          <w:color w:val="000000"/>
          <w:lang w:eastAsia="lt-LT"/>
        </w:rPr>
        <w:t>sirolimuzą</w:t>
      </w:r>
      <w:proofErr w:type="spellEnd"/>
      <w:r w:rsidRPr="000D48A3">
        <w:rPr>
          <w:rFonts w:ascii="Times New Roman" w:hAnsi="Times New Roman" w:cs="Times New Roman"/>
          <w:color w:val="000000"/>
          <w:lang w:eastAsia="lt-LT"/>
        </w:rPr>
        <w:t xml:space="preserve"> kartu su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gali padidėti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koncentracija plazmoje, kaip atsitinka preparatą vartojant kartu su </w:t>
      </w:r>
      <w:proofErr w:type="spellStart"/>
      <w:r w:rsidRPr="000D48A3">
        <w:rPr>
          <w:rFonts w:ascii="Times New Roman" w:hAnsi="Times New Roman" w:cs="Times New Roman"/>
          <w:color w:val="000000"/>
          <w:lang w:eastAsia="lt-LT"/>
        </w:rPr>
        <w:t>ciklosporinu</w:t>
      </w:r>
      <w:proofErr w:type="spellEnd"/>
      <w:r w:rsidRPr="000D48A3">
        <w:rPr>
          <w:rFonts w:ascii="Times New Roman" w:hAnsi="Times New Roman" w:cs="Times New Roman"/>
          <w:color w:val="000000"/>
          <w:lang w:eastAsia="lt-LT"/>
        </w:rPr>
        <w:t xml:space="preserve"> A. Kartu vartojamas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gali sumažinti </w:t>
      </w:r>
      <w:proofErr w:type="spellStart"/>
      <w:r w:rsidRPr="000D48A3">
        <w:rPr>
          <w:rFonts w:ascii="Times New Roman" w:hAnsi="Times New Roman" w:cs="Times New Roman"/>
          <w:color w:val="000000"/>
          <w:lang w:eastAsia="lt-LT"/>
        </w:rPr>
        <w:t>takrolimuzo</w:t>
      </w:r>
      <w:proofErr w:type="spellEnd"/>
      <w:r w:rsidRPr="000D48A3">
        <w:rPr>
          <w:rFonts w:ascii="Times New Roman" w:hAnsi="Times New Roman" w:cs="Times New Roman"/>
          <w:color w:val="000000"/>
          <w:lang w:eastAsia="lt-LT"/>
        </w:rPr>
        <w:t xml:space="preserve"> ar </w:t>
      </w:r>
      <w:proofErr w:type="spellStart"/>
      <w:r w:rsidRPr="000D48A3">
        <w:rPr>
          <w:rFonts w:ascii="Times New Roman" w:hAnsi="Times New Roman" w:cs="Times New Roman"/>
          <w:color w:val="000000"/>
          <w:lang w:eastAsia="lt-LT"/>
        </w:rPr>
        <w:t>sirolimuzo</w:t>
      </w:r>
      <w:proofErr w:type="spellEnd"/>
      <w:r w:rsidRPr="000D48A3">
        <w:rPr>
          <w:rFonts w:ascii="Times New Roman" w:hAnsi="Times New Roman" w:cs="Times New Roman"/>
          <w:color w:val="000000"/>
          <w:lang w:eastAsia="lt-LT"/>
        </w:rPr>
        <w:t xml:space="preserve"> koncentracijas plazmoje. Dėl to nepatartina vartoti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kartu su </w:t>
      </w:r>
      <w:proofErr w:type="spellStart"/>
      <w:r w:rsidRPr="000D48A3">
        <w:rPr>
          <w:rFonts w:ascii="Times New Roman" w:hAnsi="Times New Roman" w:cs="Times New Roman"/>
          <w:color w:val="000000"/>
          <w:lang w:eastAsia="lt-LT"/>
        </w:rPr>
        <w:t>takrolimuzu</w:t>
      </w:r>
      <w:proofErr w:type="spellEnd"/>
      <w:r w:rsidRPr="000D48A3">
        <w:rPr>
          <w:rFonts w:ascii="Times New Roman" w:hAnsi="Times New Roman" w:cs="Times New Roman"/>
          <w:color w:val="000000"/>
          <w:lang w:eastAsia="lt-LT"/>
        </w:rPr>
        <w:t xml:space="preserve"> ar </w:t>
      </w:r>
      <w:proofErr w:type="spellStart"/>
      <w:r w:rsidRPr="000D48A3">
        <w:rPr>
          <w:rFonts w:ascii="Times New Roman" w:hAnsi="Times New Roman" w:cs="Times New Roman"/>
          <w:color w:val="000000"/>
          <w:lang w:eastAsia="lt-LT"/>
        </w:rPr>
        <w:t>sirolimuzu</w:t>
      </w:r>
      <w:proofErr w:type="spellEnd"/>
      <w:r w:rsidRPr="000D48A3">
        <w:rPr>
          <w:rFonts w:ascii="Times New Roman" w:hAnsi="Times New Roman" w:cs="Times New Roman"/>
          <w:color w:val="000000"/>
          <w:lang w:eastAsia="lt-LT"/>
        </w:rPr>
        <w:t xml:space="preserve">. Pacientus, kuriems būtinas toks preparatų derinys, reikia atidžiai stebėti dėl nepageidaujamų reiškinių, susijusių su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ir </w:t>
      </w:r>
      <w:proofErr w:type="spellStart"/>
      <w:r w:rsidRPr="000D48A3">
        <w:rPr>
          <w:rFonts w:ascii="Times New Roman" w:hAnsi="Times New Roman" w:cs="Times New Roman"/>
          <w:color w:val="000000"/>
          <w:lang w:eastAsia="lt-LT"/>
        </w:rPr>
        <w:t>takrolimuzo</w:t>
      </w:r>
      <w:proofErr w:type="spellEnd"/>
      <w:r w:rsidRPr="000D48A3">
        <w:rPr>
          <w:rFonts w:ascii="Times New Roman" w:hAnsi="Times New Roman" w:cs="Times New Roman"/>
          <w:color w:val="000000"/>
          <w:lang w:eastAsia="lt-LT"/>
        </w:rPr>
        <w:t xml:space="preserve"> ar </w:t>
      </w:r>
      <w:proofErr w:type="spellStart"/>
      <w:r w:rsidRPr="000D48A3">
        <w:rPr>
          <w:rFonts w:ascii="Times New Roman" w:hAnsi="Times New Roman" w:cs="Times New Roman"/>
          <w:color w:val="000000"/>
          <w:lang w:eastAsia="lt-LT"/>
        </w:rPr>
        <w:t>sirolimuzo</w:t>
      </w:r>
      <w:proofErr w:type="spellEnd"/>
      <w:r w:rsidRPr="000D48A3">
        <w:rPr>
          <w:rFonts w:ascii="Times New Roman" w:hAnsi="Times New Roman" w:cs="Times New Roman"/>
          <w:color w:val="000000"/>
          <w:lang w:eastAsia="lt-LT"/>
        </w:rPr>
        <w:t xml:space="preserve"> koncentracijomis kraujyje.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i/>
          <w:iCs/>
          <w:color w:val="000000"/>
          <w:lang w:eastAsia="lt-LT"/>
        </w:rPr>
        <w:lastRenderedPageBreak/>
        <w:t>Glibenklamidas</w:t>
      </w:r>
      <w:proofErr w:type="spellEnd"/>
      <w:r w:rsidRPr="000D48A3">
        <w:rPr>
          <w:rFonts w:ascii="Times New Roman" w:hAnsi="Times New Roman" w:cs="Times New Roman"/>
          <w:i/>
          <w:iCs/>
          <w:color w:val="000000"/>
          <w:lang w:eastAsia="lt-LT"/>
        </w:rPr>
        <w:t xml:space="preserve">. </w:t>
      </w:r>
      <w:r w:rsidRPr="000D48A3">
        <w:rPr>
          <w:rFonts w:ascii="Times New Roman" w:hAnsi="Times New Roman" w:cs="Times New Roman"/>
          <w:color w:val="000000"/>
          <w:lang w:eastAsia="lt-LT"/>
        </w:rPr>
        <w:t xml:space="preserve">Vartojant jį kartu su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skiriamu po 125 mg dukart per parą 5 dienas, </w:t>
      </w:r>
      <w:proofErr w:type="spellStart"/>
      <w:r w:rsidRPr="000D48A3">
        <w:rPr>
          <w:rFonts w:ascii="Times New Roman" w:hAnsi="Times New Roman" w:cs="Times New Roman"/>
          <w:color w:val="000000"/>
          <w:lang w:eastAsia="lt-LT"/>
        </w:rPr>
        <w:t>glibenklamido</w:t>
      </w:r>
      <w:proofErr w:type="spellEnd"/>
      <w:r w:rsidRPr="000D48A3">
        <w:rPr>
          <w:rFonts w:ascii="Times New Roman" w:hAnsi="Times New Roman" w:cs="Times New Roman"/>
          <w:color w:val="000000"/>
          <w:lang w:eastAsia="lt-LT"/>
        </w:rPr>
        <w:t xml:space="preserve"> (CYP3A4 substrato) koncentracija plazmoje sumažėjo 40</w:t>
      </w:r>
      <w:r w:rsidR="002A243B">
        <w:rPr>
          <w:rFonts w:ascii="Times New Roman" w:hAnsi="Times New Roman" w:cs="Times New Roman"/>
          <w:color w:val="000000"/>
          <w:lang w:eastAsia="lt-LT"/>
        </w:rPr>
        <w:t> </w:t>
      </w:r>
      <w:r w:rsidRPr="000D48A3">
        <w:rPr>
          <w:rFonts w:ascii="Times New Roman" w:hAnsi="Times New Roman" w:cs="Times New Roman"/>
          <w:color w:val="000000"/>
          <w:lang w:eastAsia="lt-LT"/>
        </w:rPr>
        <w:t xml:space="preserve">%, kartu galimas reikšmingas hipoglikeminio poveikio sumažėjimas.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koncentracijos plazmoje taip pat sumažėjo 29</w:t>
      </w:r>
      <w:r w:rsidR="002A243B">
        <w:rPr>
          <w:rFonts w:ascii="Times New Roman" w:hAnsi="Times New Roman" w:cs="Times New Roman"/>
          <w:color w:val="000000"/>
          <w:lang w:eastAsia="lt-LT"/>
        </w:rPr>
        <w:t> </w:t>
      </w:r>
      <w:r w:rsidRPr="000D48A3">
        <w:rPr>
          <w:rFonts w:ascii="Times New Roman" w:hAnsi="Times New Roman" w:cs="Times New Roman"/>
          <w:color w:val="000000"/>
          <w:lang w:eastAsia="lt-LT"/>
        </w:rPr>
        <w:t xml:space="preserve">%. Be to, pacientams, kurie vartojo minėtų vaistinių preparatų derinį, dažniau pastebėtas </w:t>
      </w:r>
      <w:proofErr w:type="spellStart"/>
      <w:r w:rsidRPr="000D48A3">
        <w:rPr>
          <w:rFonts w:ascii="Times New Roman" w:hAnsi="Times New Roman" w:cs="Times New Roman"/>
          <w:color w:val="000000"/>
          <w:lang w:eastAsia="lt-LT"/>
        </w:rPr>
        <w:t>aminotransferazių</w:t>
      </w:r>
      <w:proofErr w:type="spellEnd"/>
      <w:r w:rsidRPr="000D48A3">
        <w:rPr>
          <w:rFonts w:ascii="Times New Roman" w:hAnsi="Times New Roman" w:cs="Times New Roman"/>
          <w:color w:val="000000"/>
          <w:lang w:eastAsia="lt-LT"/>
        </w:rPr>
        <w:t xml:space="preserve"> aktyvumo padidėjimas. Ir </w:t>
      </w:r>
      <w:proofErr w:type="spellStart"/>
      <w:r w:rsidRPr="000D48A3">
        <w:rPr>
          <w:rFonts w:ascii="Times New Roman" w:hAnsi="Times New Roman" w:cs="Times New Roman"/>
          <w:color w:val="000000"/>
          <w:lang w:eastAsia="lt-LT"/>
        </w:rPr>
        <w:t>glibenklamidas</w:t>
      </w:r>
      <w:proofErr w:type="spellEnd"/>
      <w:r w:rsidRPr="000D48A3">
        <w:rPr>
          <w:rFonts w:ascii="Times New Roman" w:hAnsi="Times New Roman" w:cs="Times New Roman"/>
          <w:color w:val="000000"/>
          <w:lang w:eastAsia="lt-LT"/>
        </w:rPr>
        <w:t xml:space="preserve">, ir </w:t>
      </w:r>
      <w:proofErr w:type="spellStart"/>
      <w:r w:rsidRPr="000D48A3">
        <w:rPr>
          <w:rFonts w:ascii="Times New Roman" w:hAnsi="Times New Roman" w:cs="Times New Roman"/>
          <w:color w:val="000000"/>
          <w:lang w:eastAsia="lt-LT"/>
        </w:rPr>
        <w:t>bozentanas</w:t>
      </w:r>
      <w:proofErr w:type="spellEnd"/>
      <w:r w:rsidRPr="000D48A3">
        <w:rPr>
          <w:rFonts w:ascii="Times New Roman" w:hAnsi="Times New Roman" w:cs="Times New Roman"/>
          <w:color w:val="000000"/>
          <w:lang w:eastAsia="lt-LT"/>
        </w:rPr>
        <w:t xml:space="preserve"> slopina tulžies druskų šalinimo siurblį, kas gali paaiškinti </w:t>
      </w:r>
      <w:proofErr w:type="spellStart"/>
      <w:r w:rsidRPr="000D48A3">
        <w:rPr>
          <w:rFonts w:ascii="Times New Roman" w:hAnsi="Times New Roman" w:cs="Times New Roman"/>
          <w:color w:val="000000"/>
          <w:lang w:eastAsia="lt-LT"/>
        </w:rPr>
        <w:t>aminotransferazių</w:t>
      </w:r>
      <w:proofErr w:type="spellEnd"/>
      <w:r w:rsidRPr="000D48A3">
        <w:rPr>
          <w:rFonts w:ascii="Times New Roman" w:hAnsi="Times New Roman" w:cs="Times New Roman"/>
          <w:color w:val="000000"/>
          <w:lang w:eastAsia="lt-LT"/>
        </w:rPr>
        <w:t xml:space="preserve"> aktyvumo padidėjimą. Atsižvelgiant į tai, šio derinio turi būti nevartojama. (žr. 4.4 skyrių). Duomenų apie vaist</w:t>
      </w:r>
      <w:r w:rsidR="002A243B">
        <w:rPr>
          <w:rFonts w:ascii="Times New Roman" w:hAnsi="Times New Roman" w:cs="Times New Roman"/>
          <w:color w:val="000000"/>
          <w:lang w:eastAsia="lt-LT"/>
        </w:rPr>
        <w:t>inių preparat</w:t>
      </w:r>
      <w:r w:rsidRPr="000D48A3">
        <w:rPr>
          <w:rFonts w:ascii="Times New Roman" w:hAnsi="Times New Roman" w:cs="Times New Roman"/>
          <w:color w:val="000000"/>
          <w:lang w:eastAsia="lt-LT"/>
        </w:rPr>
        <w:t xml:space="preserve">ų sąveiką su kitais </w:t>
      </w:r>
      <w:proofErr w:type="spellStart"/>
      <w:r w:rsidRPr="000D48A3">
        <w:rPr>
          <w:rFonts w:ascii="Times New Roman" w:hAnsi="Times New Roman" w:cs="Times New Roman"/>
          <w:color w:val="000000"/>
          <w:lang w:eastAsia="lt-LT"/>
        </w:rPr>
        <w:t>sulfonilurėjos</w:t>
      </w:r>
      <w:proofErr w:type="spellEnd"/>
      <w:r w:rsidRPr="000D48A3">
        <w:rPr>
          <w:rFonts w:ascii="Times New Roman" w:hAnsi="Times New Roman" w:cs="Times New Roman"/>
          <w:color w:val="000000"/>
          <w:lang w:eastAsia="lt-LT"/>
        </w:rPr>
        <w:t xml:space="preserve"> dariniais nėra.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i/>
          <w:iCs/>
          <w:color w:val="000000"/>
          <w:lang w:eastAsia="lt-LT"/>
        </w:rPr>
        <w:t xml:space="preserve">Hormoniniai kontraceptikai. </w:t>
      </w:r>
      <w:r w:rsidRPr="000D48A3">
        <w:rPr>
          <w:rFonts w:ascii="Times New Roman" w:hAnsi="Times New Roman" w:cs="Times New Roman"/>
          <w:color w:val="000000"/>
          <w:lang w:eastAsia="lt-LT"/>
        </w:rPr>
        <w:t xml:space="preserve">Vartojant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po 125 mg dukart per parą 7 dienas kartu su viena geriamo kontraceptiko doze, kurios sudėtyje yra 1 mg </w:t>
      </w:r>
      <w:proofErr w:type="spellStart"/>
      <w:r w:rsidRPr="000D48A3">
        <w:rPr>
          <w:rFonts w:ascii="Times New Roman" w:hAnsi="Times New Roman" w:cs="Times New Roman"/>
          <w:color w:val="000000"/>
          <w:lang w:eastAsia="lt-LT"/>
        </w:rPr>
        <w:t>noretisterono</w:t>
      </w:r>
      <w:proofErr w:type="spellEnd"/>
      <w:r w:rsidRPr="000D48A3">
        <w:rPr>
          <w:rFonts w:ascii="Times New Roman" w:hAnsi="Times New Roman" w:cs="Times New Roman"/>
          <w:color w:val="000000"/>
          <w:lang w:eastAsia="lt-LT"/>
        </w:rPr>
        <w:t xml:space="preserve"> ir 35 </w:t>
      </w:r>
      <w:proofErr w:type="spellStart"/>
      <w:r w:rsidRPr="000D48A3">
        <w:rPr>
          <w:rFonts w:ascii="Times New Roman" w:hAnsi="Times New Roman" w:cs="Times New Roman"/>
          <w:color w:val="000000"/>
          <w:lang w:eastAsia="lt-LT"/>
        </w:rPr>
        <w:t>mikrogramai</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etinilestradiolio</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noretisterono</w:t>
      </w:r>
      <w:proofErr w:type="spellEnd"/>
      <w:r w:rsidRPr="000D48A3">
        <w:rPr>
          <w:rFonts w:ascii="Times New Roman" w:hAnsi="Times New Roman" w:cs="Times New Roman"/>
          <w:color w:val="000000"/>
          <w:lang w:eastAsia="lt-LT"/>
        </w:rPr>
        <w:t xml:space="preserve"> AUC sumažėjo 14 %, o </w:t>
      </w:r>
      <w:proofErr w:type="spellStart"/>
      <w:r w:rsidRPr="000D48A3">
        <w:rPr>
          <w:rFonts w:ascii="Times New Roman" w:hAnsi="Times New Roman" w:cs="Times New Roman"/>
          <w:color w:val="000000"/>
          <w:lang w:eastAsia="lt-LT"/>
        </w:rPr>
        <w:t>etinilestradiolio</w:t>
      </w:r>
      <w:proofErr w:type="spellEnd"/>
      <w:r w:rsidRPr="000D48A3">
        <w:rPr>
          <w:rFonts w:ascii="Times New Roman" w:hAnsi="Times New Roman" w:cs="Times New Roman"/>
          <w:color w:val="000000"/>
          <w:lang w:eastAsia="lt-LT"/>
        </w:rPr>
        <w:t xml:space="preserve"> – 31 %. Vis dėlto, kai kuriems asmenims </w:t>
      </w:r>
      <w:proofErr w:type="spellStart"/>
      <w:r w:rsidRPr="000D48A3">
        <w:rPr>
          <w:rFonts w:ascii="Times New Roman" w:hAnsi="Times New Roman" w:cs="Times New Roman"/>
          <w:color w:val="000000"/>
          <w:lang w:eastAsia="lt-LT"/>
        </w:rPr>
        <w:t>noretisterono</w:t>
      </w:r>
      <w:proofErr w:type="spellEnd"/>
      <w:r w:rsidRPr="000D48A3">
        <w:rPr>
          <w:rFonts w:ascii="Times New Roman" w:hAnsi="Times New Roman" w:cs="Times New Roman"/>
          <w:color w:val="000000"/>
          <w:lang w:eastAsia="lt-LT"/>
        </w:rPr>
        <w:t xml:space="preserve"> ekspozicija sumažėjo net iki 56 %, o </w:t>
      </w:r>
      <w:proofErr w:type="spellStart"/>
      <w:r w:rsidRPr="000D48A3">
        <w:rPr>
          <w:rFonts w:ascii="Times New Roman" w:hAnsi="Times New Roman" w:cs="Times New Roman"/>
          <w:color w:val="000000"/>
          <w:lang w:eastAsia="lt-LT"/>
        </w:rPr>
        <w:t>etinilestradiolio</w:t>
      </w:r>
      <w:proofErr w:type="spellEnd"/>
      <w:r w:rsidRPr="000D48A3">
        <w:rPr>
          <w:rFonts w:ascii="Times New Roman" w:hAnsi="Times New Roman" w:cs="Times New Roman"/>
          <w:color w:val="000000"/>
          <w:lang w:eastAsia="lt-LT"/>
        </w:rPr>
        <w:t xml:space="preserve"> – iki 66 %. Todėl manoma, kad tik hormoniniai kontraceptikai (nepriklausomai nuo jų vartojimo būdo: pvz., geriamieji, </w:t>
      </w:r>
      <w:proofErr w:type="spellStart"/>
      <w:r w:rsidRPr="000D48A3">
        <w:rPr>
          <w:rFonts w:ascii="Times New Roman" w:hAnsi="Times New Roman" w:cs="Times New Roman"/>
          <w:color w:val="000000"/>
          <w:lang w:eastAsia="lt-LT"/>
        </w:rPr>
        <w:t>transderminiai</w:t>
      </w:r>
      <w:proofErr w:type="spellEnd"/>
      <w:r w:rsidRPr="000D48A3">
        <w:rPr>
          <w:rFonts w:ascii="Times New Roman" w:hAnsi="Times New Roman" w:cs="Times New Roman"/>
          <w:color w:val="000000"/>
          <w:lang w:eastAsia="lt-LT"/>
        </w:rPr>
        <w:t xml:space="preserve"> ar implantuojamieji), nėra patikimas kontracepcijos būdas (žr. 4.4 ir 4.6 skyrius).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i/>
          <w:iCs/>
          <w:color w:val="000000"/>
          <w:lang w:eastAsia="lt-LT"/>
        </w:rPr>
        <w:t>Varfarinas</w:t>
      </w:r>
      <w:proofErr w:type="spellEnd"/>
      <w:r w:rsidRPr="000D48A3">
        <w:rPr>
          <w:rFonts w:ascii="Times New Roman" w:hAnsi="Times New Roman" w:cs="Times New Roman"/>
          <w:i/>
          <w:iCs/>
          <w:color w:val="000000"/>
          <w:lang w:eastAsia="lt-LT"/>
        </w:rPr>
        <w:t xml:space="preserve">. </w:t>
      </w:r>
      <w:r w:rsidRPr="000D48A3">
        <w:rPr>
          <w:rFonts w:ascii="Times New Roman" w:hAnsi="Times New Roman" w:cs="Times New Roman"/>
          <w:color w:val="000000"/>
          <w:lang w:eastAsia="lt-LT"/>
        </w:rPr>
        <w:t xml:space="preserve">Vartojant jį kartu su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skiriamu po 500 mg dukart per parą 6 dienas, S-</w:t>
      </w:r>
      <w:proofErr w:type="spellStart"/>
      <w:r w:rsidRPr="000D48A3">
        <w:rPr>
          <w:rFonts w:ascii="Times New Roman" w:hAnsi="Times New Roman" w:cs="Times New Roman"/>
          <w:color w:val="000000"/>
          <w:lang w:eastAsia="lt-LT"/>
        </w:rPr>
        <w:t>varfarino</w:t>
      </w:r>
      <w:proofErr w:type="spellEnd"/>
      <w:r w:rsidRPr="000D48A3">
        <w:rPr>
          <w:rFonts w:ascii="Times New Roman" w:hAnsi="Times New Roman" w:cs="Times New Roman"/>
          <w:color w:val="000000"/>
          <w:lang w:eastAsia="lt-LT"/>
        </w:rPr>
        <w:t xml:space="preserve"> (CYP2C9 substrato) ir R-</w:t>
      </w:r>
      <w:proofErr w:type="spellStart"/>
      <w:r w:rsidRPr="000D48A3">
        <w:rPr>
          <w:rFonts w:ascii="Times New Roman" w:hAnsi="Times New Roman" w:cs="Times New Roman"/>
          <w:color w:val="000000"/>
          <w:lang w:eastAsia="lt-LT"/>
        </w:rPr>
        <w:t>varfarino</w:t>
      </w:r>
      <w:proofErr w:type="spellEnd"/>
      <w:r w:rsidRPr="000D48A3">
        <w:rPr>
          <w:rFonts w:ascii="Times New Roman" w:hAnsi="Times New Roman" w:cs="Times New Roman"/>
          <w:color w:val="000000"/>
          <w:lang w:eastAsia="lt-LT"/>
        </w:rPr>
        <w:t xml:space="preserve"> (CYP3A4 substrato) koncentracija plazmoje sumažėjo atitinkamai 29</w:t>
      </w:r>
      <w:r w:rsidR="002A243B">
        <w:rPr>
          <w:rFonts w:ascii="Times New Roman" w:hAnsi="Times New Roman" w:cs="Times New Roman"/>
          <w:color w:val="000000"/>
          <w:lang w:eastAsia="lt-LT"/>
        </w:rPr>
        <w:t> </w:t>
      </w:r>
      <w:r w:rsidRPr="000D48A3">
        <w:rPr>
          <w:rFonts w:ascii="Times New Roman" w:hAnsi="Times New Roman" w:cs="Times New Roman"/>
          <w:color w:val="000000"/>
          <w:lang w:eastAsia="lt-LT"/>
        </w:rPr>
        <w:t>% ir 38</w:t>
      </w:r>
      <w:r w:rsidR="002A243B">
        <w:rPr>
          <w:rFonts w:ascii="Times New Roman" w:hAnsi="Times New Roman" w:cs="Times New Roman"/>
          <w:color w:val="000000"/>
          <w:lang w:eastAsia="lt-LT"/>
        </w:rPr>
        <w:t> </w:t>
      </w:r>
      <w:r w:rsidRPr="000D48A3">
        <w:rPr>
          <w:rFonts w:ascii="Times New Roman" w:hAnsi="Times New Roman" w:cs="Times New Roman"/>
          <w:color w:val="000000"/>
          <w:lang w:eastAsia="lt-LT"/>
        </w:rPr>
        <w:t xml:space="preserve">%. Klinikinė patirtis </w:t>
      </w:r>
      <w:proofErr w:type="spellStart"/>
      <w:r w:rsidRPr="000D48A3">
        <w:rPr>
          <w:rFonts w:ascii="Times New Roman" w:hAnsi="Times New Roman" w:cs="Times New Roman"/>
          <w:color w:val="000000"/>
          <w:lang w:eastAsia="lt-LT"/>
        </w:rPr>
        <w:t>bozentaną</w:t>
      </w:r>
      <w:proofErr w:type="spellEnd"/>
      <w:r w:rsidRPr="000D48A3">
        <w:rPr>
          <w:rFonts w:ascii="Times New Roman" w:hAnsi="Times New Roman" w:cs="Times New Roman"/>
          <w:color w:val="000000"/>
          <w:lang w:eastAsia="lt-LT"/>
        </w:rPr>
        <w:t xml:space="preserve"> skiriant kartu su </w:t>
      </w:r>
      <w:proofErr w:type="spellStart"/>
      <w:r w:rsidRPr="000D48A3">
        <w:rPr>
          <w:rFonts w:ascii="Times New Roman" w:hAnsi="Times New Roman" w:cs="Times New Roman"/>
          <w:color w:val="000000"/>
          <w:lang w:eastAsia="lt-LT"/>
        </w:rPr>
        <w:t>varfarinu</w:t>
      </w:r>
      <w:proofErr w:type="spellEnd"/>
      <w:r w:rsidRPr="000D48A3">
        <w:rPr>
          <w:rFonts w:ascii="Times New Roman" w:hAnsi="Times New Roman" w:cs="Times New Roman"/>
          <w:color w:val="000000"/>
          <w:lang w:eastAsia="lt-LT"/>
        </w:rPr>
        <w:t xml:space="preserve"> pacientams, kuriems yra </w:t>
      </w:r>
      <w:proofErr w:type="spellStart"/>
      <w:r w:rsidRPr="000D48A3">
        <w:rPr>
          <w:rFonts w:ascii="Times New Roman" w:hAnsi="Times New Roman" w:cs="Times New Roman"/>
          <w:color w:val="000000"/>
          <w:lang w:eastAsia="lt-LT"/>
        </w:rPr>
        <w:t>plautinė</w:t>
      </w:r>
      <w:proofErr w:type="spellEnd"/>
      <w:r w:rsidRPr="000D48A3">
        <w:rPr>
          <w:rFonts w:ascii="Times New Roman" w:hAnsi="Times New Roman" w:cs="Times New Roman"/>
          <w:color w:val="000000"/>
          <w:lang w:eastAsia="lt-LT"/>
        </w:rPr>
        <w:t xml:space="preserve"> arterinė hipertenzija, parodė, kad nebuvo kliniškai aktualių tarptautinio normalizuoto santykio (INR) ar </w:t>
      </w:r>
      <w:proofErr w:type="spellStart"/>
      <w:r w:rsidRPr="000D48A3">
        <w:rPr>
          <w:rFonts w:ascii="Times New Roman" w:hAnsi="Times New Roman" w:cs="Times New Roman"/>
          <w:color w:val="000000"/>
          <w:lang w:eastAsia="lt-LT"/>
        </w:rPr>
        <w:t>varfarino</w:t>
      </w:r>
      <w:proofErr w:type="spellEnd"/>
      <w:r w:rsidRPr="000D48A3">
        <w:rPr>
          <w:rFonts w:ascii="Times New Roman" w:hAnsi="Times New Roman" w:cs="Times New Roman"/>
          <w:color w:val="000000"/>
          <w:lang w:eastAsia="lt-LT"/>
        </w:rPr>
        <w:t xml:space="preserve"> dozės (lyginant pradines dozes su dozėmis gydymo pabaigoje) pokyčių.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Be to, tyrimo metu </w:t>
      </w:r>
      <w:proofErr w:type="spellStart"/>
      <w:r w:rsidRPr="000D48A3">
        <w:rPr>
          <w:rFonts w:ascii="Times New Roman" w:hAnsi="Times New Roman" w:cs="Times New Roman"/>
          <w:color w:val="000000"/>
          <w:lang w:eastAsia="lt-LT"/>
        </w:rPr>
        <w:t>varfarino</w:t>
      </w:r>
      <w:proofErr w:type="spellEnd"/>
      <w:r w:rsidRPr="000D48A3">
        <w:rPr>
          <w:rFonts w:ascii="Times New Roman" w:hAnsi="Times New Roman" w:cs="Times New Roman"/>
          <w:color w:val="000000"/>
          <w:lang w:eastAsia="lt-LT"/>
        </w:rPr>
        <w:t xml:space="preserve"> dozės pakeitimų dažnis dėl INR pokyčių ar dėl nepageidaujamų reiškinių buvo panašus ir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ir </w:t>
      </w:r>
      <w:proofErr w:type="spellStart"/>
      <w:r w:rsidRPr="000D48A3">
        <w:rPr>
          <w:rFonts w:ascii="Times New Roman" w:hAnsi="Times New Roman" w:cs="Times New Roman"/>
          <w:color w:val="000000"/>
          <w:lang w:eastAsia="lt-LT"/>
        </w:rPr>
        <w:t>placebu</w:t>
      </w:r>
      <w:proofErr w:type="spellEnd"/>
      <w:r w:rsidRPr="000D48A3">
        <w:rPr>
          <w:rFonts w:ascii="Times New Roman" w:hAnsi="Times New Roman" w:cs="Times New Roman"/>
          <w:color w:val="000000"/>
          <w:lang w:eastAsia="lt-LT"/>
        </w:rPr>
        <w:t xml:space="preserve"> gydomiems pacientams. Pradėjus vartoti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varfarino</w:t>
      </w:r>
      <w:proofErr w:type="spellEnd"/>
      <w:r w:rsidRPr="000D48A3">
        <w:rPr>
          <w:rFonts w:ascii="Times New Roman" w:hAnsi="Times New Roman" w:cs="Times New Roman"/>
          <w:color w:val="000000"/>
          <w:lang w:eastAsia="lt-LT"/>
        </w:rPr>
        <w:t xml:space="preserve"> ir panašių geriamųjų antikoaguliantų dozės priderinimas nereikalingas, tačiau rekomenduojama intensyviau stebėti INR, ypač pradedant vartoti </w:t>
      </w:r>
      <w:proofErr w:type="spellStart"/>
      <w:r w:rsidRPr="000D48A3">
        <w:rPr>
          <w:rFonts w:ascii="Times New Roman" w:hAnsi="Times New Roman" w:cs="Times New Roman"/>
          <w:color w:val="000000"/>
          <w:lang w:eastAsia="lt-LT"/>
        </w:rPr>
        <w:t>bozentaną</w:t>
      </w:r>
      <w:proofErr w:type="spellEnd"/>
      <w:r w:rsidRPr="000D48A3">
        <w:rPr>
          <w:rFonts w:ascii="Times New Roman" w:hAnsi="Times New Roman" w:cs="Times New Roman"/>
          <w:color w:val="000000"/>
          <w:lang w:eastAsia="lt-LT"/>
        </w:rPr>
        <w:t xml:space="preserve"> ir dozės didinimo titruojant laikotarpiu.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i/>
          <w:iCs/>
          <w:color w:val="000000"/>
          <w:lang w:eastAsia="lt-LT"/>
        </w:rPr>
        <w:t>Simvastatinas</w:t>
      </w:r>
      <w:proofErr w:type="spellEnd"/>
      <w:r w:rsidRPr="000D48A3">
        <w:rPr>
          <w:rFonts w:ascii="Times New Roman" w:hAnsi="Times New Roman" w:cs="Times New Roman"/>
          <w:i/>
          <w:iCs/>
          <w:color w:val="000000"/>
          <w:lang w:eastAsia="lt-LT"/>
        </w:rPr>
        <w:t xml:space="preserve">. </w:t>
      </w:r>
      <w:r w:rsidRPr="000D48A3">
        <w:rPr>
          <w:rFonts w:ascii="Times New Roman" w:hAnsi="Times New Roman" w:cs="Times New Roman"/>
          <w:color w:val="000000"/>
          <w:lang w:eastAsia="lt-LT"/>
        </w:rPr>
        <w:t xml:space="preserve">Vartojant jį kartu su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skiriamu po 125 mg dukart per parą 5 dienas, sumažėjo </w:t>
      </w:r>
      <w:proofErr w:type="spellStart"/>
      <w:r w:rsidRPr="000D48A3">
        <w:rPr>
          <w:rFonts w:ascii="Times New Roman" w:hAnsi="Times New Roman" w:cs="Times New Roman"/>
          <w:color w:val="000000"/>
          <w:lang w:eastAsia="lt-LT"/>
        </w:rPr>
        <w:t>simvastatino</w:t>
      </w:r>
      <w:proofErr w:type="spellEnd"/>
      <w:r w:rsidRPr="000D48A3">
        <w:rPr>
          <w:rFonts w:ascii="Times New Roman" w:hAnsi="Times New Roman" w:cs="Times New Roman"/>
          <w:color w:val="000000"/>
          <w:lang w:eastAsia="lt-LT"/>
        </w:rPr>
        <w:t xml:space="preserve"> (CYP3A4 substrato) ir jo aktyvaus β-hidroksirūgšties metabolito koncentracija kraujo plazmoje atitinkamai 34</w:t>
      </w:r>
      <w:r w:rsidR="002A243B">
        <w:rPr>
          <w:rFonts w:ascii="Times New Roman" w:hAnsi="Times New Roman" w:cs="Times New Roman"/>
          <w:color w:val="000000"/>
          <w:lang w:eastAsia="lt-LT"/>
        </w:rPr>
        <w:t> </w:t>
      </w:r>
      <w:r w:rsidRPr="000D48A3">
        <w:rPr>
          <w:rFonts w:ascii="Times New Roman" w:hAnsi="Times New Roman" w:cs="Times New Roman"/>
          <w:color w:val="000000"/>
          <w:lang w:eastAsia="lt-LT"/>
        </w:rPr>
        <w:t>% ir 46</w:t>
      </w:r>
      <w:r w:rsidR="002A243B">
        <w:rPr>
          <w:rFonts w:ascii="Times New Roman" w:hAnsi="Times New Roman" w:cs="Times New Roman"/>
          <w:color w:val="000000"/>
          <w:lang w:eastAsia="lt-LT"/>
        </w:rPr>
        <w:t> </w:t>
      </w:r>
      <w:r w:rsidRPr="000D48A3">
        <w:rPr>
          <w:rFonts w:ascii="Times New Roman" w:hAnsi="Times New Roman" w:cs="Times New Roman"/>
          <w:color w:val="000000"/>
          <w:lang w:eastAsia="lt-LT"/>
        </w:rPr>
        <w:t xml:space="preserve">%. Vartojamas kartu </w:t>
      </w:r>
      <w:proofErr w:type="spellStart"/>
      <w:r w:rsidRPr="000D48A3">
        <w:rPr>
          <w:rFonts w:ascii="Times New Roman" w:hAnsi="Times New Roman" w:cs="Times New Roman"/>
          <w:color w:val="000000"/>
          <w:lang w:eastAsia="lt-LT"/>
        </w:rPr>
        <w:t>simvastatinas</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koncentracijos plazmoje neveikė. Turi būti apgalvotas cholesterolio kiekio stebėjimas ir vėlesnis dozavimo priderinimas.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i/>
          <w:iCs/>
          <w:color w:val="000000"/>
          <w:lang w:eastAsia="lt-LT"/>
        </w:rPr>
        <w:t>Ketokonazolas</w:t>
      </w:r>
      <w:proofErr w:type="spellEnd"/>
      <w:r w:rsidRPr="000D48A3">
        <w:rPr>
          <w:rFonts w:ascii="Times New Roman" w:hAnsi="Times New Roman" w:cs="Times New Roman"/>
          <w:i/>
          <w:iCs/>
          <w:color w:val="000000"/>
          <w:lang w:eastAsia="lt-LT"/>
        </w:rPr>
        <w:t xml:space="preserve">. </w:t>
      </w:r>
      <w:r w:rsidRPr="000D48A3">
        <w:rPr>
          <w:rFonts w:ascii="Times New Roman" w:hAnsi="Times New Roman" w:cs="Times New Roman"/>
          <w:color w:val="000000"/>
          <w:lang w:eastAsia="lt-LT"/>
        </w:rPr>
        <w:t xml:space="preserve">Vartojant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62,5 mg dukart per parą 6 dienas kartu su </w:t>
      </w:r>
      <w:proofErr w:type="spellStart"/>
      <w:r w:rsidRPr="000D48A3">
        <w:rPr>
          <w:rFonts w:ascii="Times New Roman" w:hAnsi="Times New Roman" w:cs="Times New Roman"/>
          <w:color w:val="000000"/>
          <w:lang w:eastAsia="lt-LT"/>
        </w:rPr>
        <w:t>ketokonazolu</w:t>
      </w:r>
      <w:proofErr w:type="spellEnd"/>
      <w:r w:rsidRPr="000D48A3">
        <w:rPr>
          <w:rFonts w:ascii="Times New Roman" w:hAnsi="Times New Roman" w:cs="Times New Roman"/>
          <w:color w:val="000000"/>
          <w:lang w:eastAsia="lt-LT"/>
        </w:rPr>
        <w:t xml:space="preserve">, stipriu CYP3A4 inhibitoriumi,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koncentracija plazmoje padidėjo maždaug 2 kartus. Manoma, kad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dozę priderinti nebūtina. Nors tai ir nebuvo nustatyta atliekant </w:t>
      </w:r>
      <w:proofErr w:type="spellStart"/>
      <w:r w:rsidRPr="000D48A3">
        <w:rPr>
          <w:rFonts w:ascii="Times New Roman" w:hAnsi="Times New Roman" w:cs="Times New Roman"/>
          <w:i/>
          <w:iCs/>
          <w:color w:val="000000"/>
          <w:lang w:eastAsia="lt-LT"/>
        </w:rPr>
        <w:t>in</w:t>
      </w:r>
      <w:proofErr w:type="spellEnd"/>
      <w:r w:rsidRPr="000D48A3">
        <w:rPr>
          <w:rFonts w:ascii="Times New Roman" w:hAnsi="Times New Roman" w:cs="Times New Roman"/>
          <w:i/>
          <w:iCs/>
          <w:color w:val="000000"/>
          <w:lang w:eastAsia="lt-LT"/>
        </w:rPr>
        <w:t xml:space="preserve"> </w:t>
      </w:r>
      <w:proofErr w:type="spellStart"/>
      <w:r w:rsidRPr="000D48A3">
        <w:rPr>
          <w:rFonts w:ascii="Times New Roman" w:hAnsi="Times New Roman" w:cs="Times New Roman"/>
          <w:i/>
          <w:iCs/>
          <w:color w:val="000000"/>
          <w:lang w:eastAsia="lt-LT"/>
        </w:rPr>
        <w:t>vivo</w:t>
      </w:r>
      <w:proofErr w:type="spellEnd"/>
      <w:r w:rsidRPr="000D48A3">
        <w:rPr>
          <w:rFonts w:ascii="Times New Roman" w:hAnsi="Times New Roman" w:cs="Times New Roman"/>
          <w:i/>
          <w:iCs/>
          <w:color w:val="000000"/>
          <w:lang w:eastAsia="lt-LT"/>
        </w:rPr>
        <w:t xml:space="preserve"> </w:t>
      </w:r>
      <w:r w:rsidRPr="000D48A3">
        <w:rPr>
          <w:rFonts w:ascii="Times New Roman" w:hAnsi="Times New Roman" w:cs="Times New Roman"/>
          <w:color w:val="000000"/>
          <w:lang w:eastAsia="lt-LT"/>
        </w:rPr>
        <w:t xml:space="preserve">tyrimus, panašaus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koncentracijos plazmoje padidėjimo galima tikėtis ir su kitais stipriais CYP3A4 inhibitoriais (pvz., </w:t>
      </w:r>
      <w:proofErr w:type="spellStart"/>
      <w:r w:rsidRPr="000D48A3">
        <w:rPr>
          <w:rFonts w:ascii="Times New Roman" w:hAnsi="Times New Roman" w:cs="Times New Roman"/>
          <w:color w:val="000000"/>
          <w:lang w:eastAsia="lt-LT"/>
        </w:rPr>
        <w:t>itrakonazolu</w:t>
      </w:r>
      <w:proofErr w:type="spellEnd"/>
      <w:r w:rsidRPr="000D48A3">
        <w:rPr>
          <w:rFonts w:ascii="Times New Roman" w:hAnsi="Times New Roman" w:cs="Times New Roman"/>
          <w:color w:val="000000"/>
          <w:lang w:eastAsia="lt-LT"/>
        </w:rPr>
        <w:t xml:space="preserve"> arba </w:t>
      </w:r>
      <w:proofErr w:type="spellStart"/>
      <w:r w:rsidRPr="000D48A3">
        <w:rPr>
          <w:rFonts w:ascii="Times New Roman" w:hAnsi="Times New Roman" w:cs="Times New Roman"/>
          <w:color w:val="000000"/>
          <w:lang w:eastAsia="lt-LT"/>
        </w:rPr>
        <w:t>ritonaviru</w:t>
      </w:r>
      <w:proofErr w:type="spellEnd"/>
      <w:r w:rsidRPr="000D48A3">
        <w:rPr>
          <w:rFonts w:ascii="Times New Roman" w:hAnsi="Times New Roman" w:cs="Times New Roman"/>
          <w:color w:val="000000"/>
          <w:lang w:eastAsia="lt-LT"/>
        </w:rPr>
        <w:t xml:space="preserve">). Vis dėlto, derinant šį vaistinį preparatą su CYP3A4 inhibitoriumi, pacientams, kurie yra silpni CYP2C9 </w:t>
      </w:r>
      <w:proofErr w:type="spellStart"/>
      <w:r w:rsidRPr="000D48A3">
        <w:rPr>
          <w:rFonts w:ascii="Times New Roman" w:hAnsi="Times New Roman" w:cs="Times New Roman"/>
          <w:color w:val="000000"/>
          <w:lang w:eastAsia="lt-LT"/>
        </w:rPr>
        <w:t>metabolizuotojai</w:t>
      </w:r>
      <w:proofErr w:type="spellEnd"/>
      <w:r w:rsidRPr="000D48A3">
        <w:rPr>
          <w:rFonts w:ascii="Times New Roman" w:hAnsi="Times New Roman" w:cs="Times New Roman"/>
          <w:color w:val="000000"/>
          <w:lang w:eastAsia="lt-LT"/>
        </w:rPr>
        <w:t xml:space="preserve">, būna rizika, kad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koncentracija plazmoje gali padidėti dar labiau ir dėl to gali įvykti žalingų nepageidaujamų reiškinių.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i/>
          <w:iCs/>
          <w:color w:val="000000"/>
          <w:lang w:eastAsia="lt-LT"/>
        </w:rPr>
        <w:t>Rifampicinas</w:t>
      </w:r>
      <w:proofErr w:type="spellEnd"/>
      <w:r w:rsidRPr="000D48A3">
        <w:rPr>
          <w:rFonts w:ascii="Times New Roman" w:hAnsi="Times New Roman" w:cs="Times New Roman"/>
          <w:i/>
          <w:iCs/>
          <w:color w:val="000000"/>
          <w:lang w:eastAsia="lt-LT"/>
        </w:rPr>
        <w:t xml:space="preserve">. </w:t>
      </w:r>
      <w:r w:rsidRPr="000D48A3">
        <w:rPr>
          <w:rFonts w:ascii="Times New Roman" w:hAnsi="Times New Roman" w:cs="Times New Roman"/>
          <w:color w:val="000000"/>
          <w:lang w:eastAsia="lt-LT"/>
        </w:rPr>
        <w:t xml:space="preserve">9 sveikiems asmenims 7 dienas skyrus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125 mg dukart per parą kartu su stipriu CYP2C9 ir CYP3A4 </w:t>
      </w:r>
      <w:proofErr w:type="spellStart"/>
      <w:r w:rsidRPr="000D48A3">
        <w:rPr>
          <w:rFonts w:ascii="Times New Roman" w:hAnsi="Times New Roman" w:cs="Times New Roman"/>
          <w:color w:val="000000"/>
          <w:lang w:eastAsia="lt-LT"/>
        </w:rPr>
        <w:t>induktoriumi</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rifampicinu</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koncentracija plazmoje sumažėjo 58 %, o vienu atveju šis sumažėjimas siekė beveik 90 %. Dėl to tikėtina, kad skiriant kartu su </w:t>
      </w:r>
      <w:proofErr w:type="spellStart"/>
      <w:r w:rsidRPr="000D48A3">
        <w:rPr>
          <w:rFonts w:ascii="Times New Roman" w:hAnsi="Times New Roman" w:cs="Times New Roman"/>
          <w:color w:val="000000"/>
          <w:lang w:eastAsia="lt-LT"/>
        </w:rPr>
        <w:t>rifampicinu</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poveikis žymiai sumažės. Duomenų apie kitus CYP3A4 </w:t>
      </w:r>
      <w:proofErr w:type="spellStart"/>
      <w:r w:rsidRPr="000D48A3">
        <w:rPr>
          <w:rFonts w:ascii="Times New Roman" w:hAnsi="Times New Roman" w:cs="Times New Roman"/>
          <w:color w:val="000000"/>
          <w:lang w:eastAsia="lt-LT"/>
        </w:rPr>
        <w:t>induktorius</w:t>
      </w:r>
      <w:proofErr w:type="spellEnd"/>
      <w:r w:rsidRPr="000D48A3">
        <w:rPr>
          <w:rFonts w:ascii="Times New Roman" w:hAnsi="Times New Roman" w:cs="Times New Roman"/>
          <w:color w:val="000000"/>
          <w:lang w:eastAsia="lt-LT"/>
        </w:rPr>
        <w:t xml:space="preserve">, pvz., </w:t>
      </w:r>
      <w:proofErr w:type="spellStart"/>
      <w:r w:rsidRPr="000D48A3">
        <w:rPr>
          <w:rFonts w:ascii="Times New Roman" w:hAnsi="Times New Roman" w:cs="Times New Roman"/>
          <w:color w:val="000000"/>
          <w:lang w:eastAsia="lt-LT"/>
        </w:rPr>
        <w:t>karbamazepiną</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fenobarbitalį</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fenitoiną</w:t>
      </w:r>
      <w:proofErr w:type="spellEnd"/>
      <w:r w:rsidRPr="000D48A3">
        <w:rPr>
          <w:rFonts w:ascii="Times New Roman" w:hAnsi="Times New Roman" w:cs="Times New Roman"/>
          <w:color w:val="000000"/>
          <w:lang w:eastAsia="lt-LT"/>
        </w:rPr>
        <w:t xml:space="preserve"> ir jonažoles, nepakanka, tačiau manoma, kad šiuos preparatus vartojant kartu </w:t>
      </w:r>
      <w:r w:rsidRPr="000D48A3">
        <w:rPr>
          <w:rFonts w:ascii="Times New Roman" w:hAnsi="Times New Roman" w:cs="Times New Roman"/>
          <w:color w:val="000000"/>
          <w:lang w:eastAsia="lt-LT"/>
        </w:rPr>
        <w:lastRenderedPageBreak/>
        <w:t xml:space="preserve">sumažės sisteminė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ekspozicija. Negalima paneigti, kad poveikio sumažėjimas bus kliniškai reikšmingas.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i/>
          <w:iCs/>
          <w:color w:val="000000"/>
          <w:lang w:eastAsia="lt-LT"/>
        </w:rPr>
        <w:t>Epoprostenolis</w:t>
      </w:r>
      <w:proofErr w:type="spellEnd"/>
      <w:r w:rsidRPr="000D48A3">
        <w:rPr>
          <w:rFonts w:ascii="Times New Roman" w:hAnsi="Times New Roman" w:cs="Times New Roman"/>
          <w:i/>
          <w:iCs/>
          <w:color w:val="000000"/>
          <w:lang w:eastAsia="lt-LT"/>
        </w:rPr>
        <w:t xml:space="preserve">. </w:t>
      </w:r>
      <w:r w:rsidRPr="000D48A3">
        <w:rPr>
          <w:rFonts w:ascii="Times New Roman" w:hAnsi="Times New Roman" w:cs="Times New Roman"/>
          <w:color w:val="000000"/>
          <w:lang w:eastAsia="lt-LT"/>
        </w:rPr>
        <w:t xml:space="preserve">Nedideli tyrimų, kurių metu 10 pediatrinių pacientų buvo gydyti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ir </w:t>
      </w:r>
      <w:proofErr w:type="spellStart"/>
      <w:r w:rsidRPr="000D48A3">
        <w:rPr>
          <w:rFonts w:ascii="Times New Roman" w:hAnsi="Times New Roman" w:cs="Times New Roman"/>
          <w:color w:val="000000"/>
          <w:lang w:eastAsia="lt-LT"/>
        </w:rPr>
        <w:t>epoprostenolio</w:t>
      </w:r>
      <w:proofErr w:type="spellEnd"/>
      <w:r w:rsidRPr="000D48A3">
        <w:rPr>
          <w:rFonts w:ascii="Times New Roman" w:hAnsi="Times New Roman" w:cs="Times New Roman"/>
          <w:color w:val="000000"/>
          <w:lang w:eastAsia="lt-LT"/>
        </w:rPr>
        <w:t xml:space="preserve"> deriniu (AC-052-356 (BREATHE-3)), duomenys rodo, kad tiek po vienkartinės, tiek po daugkartinės dozės suvartojimo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C</w:t>
      </w:r>
      <w:r w:rsidRPr="00432133">
        <w:rPr>
          <w:rFonts w:ascii="Times New Roman" w:hAnsi="Times New Roman" w:cs="Times New Roman"/>
          <w:color w:val="000000"/>
          <w:vertAlign w:val="subscript"/>
          <w:lang w:eastAsia="lt-LT"/>
        </w:rPr>
        <w:t>max</w:t>
      </w:r>
      <w:proofErr w:type="spellEnd"/>
      <w:r w:rsidRPr="000D48A3">
        <w:rPr>
          <w:rFonts w:ascii="Times New Roman" w:hAnsi="Times New Roman" w:cs="Times New Roman"/>
          <w:color w:val="000000"/>
          <w:lang w:eastAsia="lt-LT"/>
        </w:rPr>
        <w:t xml:space="preserve"> ir AUC reikšmės buvo tokios pat pacientams, kuriems nebuvo arba buvo nuolat </w:t>
      </w:r>
      <w:proofErr w:type="spellStart"/>
      <w:r w:rsidRPr="000D48A3">
        <w:rPr>
          <w:rFonts w:ascii="Times New Roman" w:hAnsi="Times New Roman" w:cs="Times New Roman"/>
          <w:color w:val="000000"/>
          <w:lang w:eastAsia="lt-LT"/>
        </w:rPr>
        <w:t>infuzuojamas</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epoprostenolis</w:t>
      </w:r>
      <w:proofErr w:type="spellEnd"/>
      <w:r w:rsidRPr="000D48A3">
        <w:rPr>
          <w:rFonts w:ascii="Times New Roman" w:hAnsi="Times New Roman" w:cs="Times New Roman"/>
          <w:color w:val="000000"/>
          <w:lang w:eastAsia="lt-LT"/>
        </w:rPr>
        <w:t xml:space="preserve"> (žr. 5.1 skyrių).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i/>
          <w:iCs/>
          <w:color w:val="000000"/>
          <w:lang w:eastAsia="lt-LT"/>
        </w:rPr>
        <w:t>Sildenafilis</w:t>
      </w:r>
      <w:proofErr w:type="spellEnd"/>
      <w:r w:rsidRPr="000D48A3">
        <w:rPr>
          <w:rFonts w:ascii="Times New Roman" w:hAnsi="Times New Roman" w:cs="Times New Roman"/>
          <w:color w:val="000000"/>
          <w:lang w:eastAsia="lt-LT"/>
        </w:rPr>
        <w:t xml:space="preserve">. Sveikiems savanoriams 6 dienas vartojant po 125 mg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dukart per parą (</w:t>
      </w:r>
      <w:r>
        <w:rPr>
          <w:rFonts w:ascii="Times New Roman" w:hAnsi="Times New Roman" w:cs="Times New Roman"/>
          <w:color w:val="000000"/>
          <w:lang w:eastAsia="lt-LT"/>
        </w:rPr>
        <w:t>susidarius</w:t>
      </w:r>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pusiausvyrinei</w:t>
      </w:r>
      <w:proofErr w:type="spellEnd"/>
      <w:r w:rsidRPr="000D48A3">
        <w:rPr>
          <w:rFonts w:ascii="Times New Roman" w:hAnsi="Times New Roman" w:cs="Times New Roman"/>
          <w:color w:val="000000"/>
          <w:lang w:eastAsia="lt-LT"/>
        </w:rPr>
        <w:t xml:space="preserve"> </w:t>
      </w:r>
      <w:r>
        <w:rPr>
          <w:rFonts w:ascii="Times New Roman" w:hAnsi="Times New Roman" w:cs="Times New Roman"/>
          <w:color w:val="000000"/>
          <w:lang w:eastAsia="lt-LT"/>
        </w:rPr>
        <w:t>koncentracijai</w:t>
      </w:r>
      <w:r w:rsidRPr="000D48A3">
        <w:rPr>
          <w:rFonts w:ascii="Times New Roman" w:hAnsi="Times New Roman" w:cs="Times New Roman"/>
          <w:color w:val="000000"/>
          <w:lang w:eastAsia="lt-LT"/>
        </w:rPr>
        <w:t xml:space="preserve">) kartu su </w:t>
      </w:r>
      <w:proofErr w:type="spellStart"/>
      <w:r w:rsidRPr="000D48A3">
        <w:rPr>
          <w:rFonts w:ascii="Times New Roman" w:hAnsi="Times New Roman" w:cs="Times New Roman"/>
          <w:color w:val="000000"/>
          <w:lang w:eastAsia="lt-LT"/>
        </w:rPr>
        <w:t>sildenafiliu</w:t>
      </w:r>
      <w:proofErr w:type="spellEnd"/>
      <w:r w:rsidRPr="000D48A3">
        <w:rPr>
          <w:rFonts w:ascii="Times New Roman" w:hAnsi="Times New Roman" w:cs="Times New Roman"/>
          <w:color w:val="000000"/>
          <w:lang w:eastAsia="lt-LT"/>
        </w:rPr>
        <w:t>, skiriamu po 80 mg tris kartus per parą (</w:t>
      </w:r>
      <w:r>
        <w:rPr>
          <w:rFonts w:ascii="Times New Roman" w:hAnsi="Times New Roman" w:cs="Times New Roman"/>
          <w:color w:val="000000"/>
          <w:lang w:eastAsia="lt-LT"/>
        </w:rPr>
        <w:t>susidarius</w:t>
      </w:r>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pusiausvyrinei</w:t>
      </w:r>
      <w:proofErr w:type="spellEnd"/>
      <w:r w:rsidRPr="000D48A3">
        <w:rPr>
          <w:rFonts w:ascii="Times New Roman" w:hAnsi="Times New Roman" w:cs="Times New Roman"/>
          <w:color w:val="000000"/>
          <w:lang w:eastAsia="lt-LT"/>
        </w:rPr>
        <w:t xml:space="preserve"> </w:t>
      </w:r>
      <w:r>
        <w:rPr>
          <w:rFonts w:ascii="Times New Roman" w:hAnsi="Times New Roman" w:cs="Times New Roman"/>
          <w:color w:val="000000"/>
          <w:lang w:eastAsia="lt-LT"/>
        </w:rPr>
        <w:t>koncentracijai</w:t>
      </w:r>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sildenafilio</w:t>
      </w:r>
      <w:proofErr w:type="spellEnd"/>
      <w:r w:rsidRPr="000D48A3">
        <w:rPr>
          <w:rFonts w:ascii="Times New Roman" w:hAnsi="Times New Roman" w:cs="Times New Roman"/>
          <w:color w:val="000000"/>
          <w:lang w:eastAsia="lt-LT"/>
        </w:rPr>
        <w:t xml:space="preserve"> AUC sumažėja 63 %, o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AUC padidėja 50 %. Vartojimo abiejų vaistinių preparatų kartu atveju rekomenduojama laikytis atsargumo.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i/>
          <w:iCs/>
          <w:color w:val="000000"/>
          <w:lang w:eastAsia="lt-LT"/>
        </w:rPr>
        <w:t>Di</w:t>
      </w:r>
      <w:r>
        <w:rPr>
          <w:rFonts w:ascii="Times New Roman" w:hAnsi="Times New Roman" w:cs="Times New Roman"/>
          <w:i/>
          <w:iCs/>
          <w:color w:val="000000"/>
          <w:lang w:eastAsia="lt-LT"/>
        </w:rPr>
        <w:t>g</w:t>
      </w:r>
      <w:r w:rsidRPr="000D48A3">
        <w:rPr>
          <w:rFonts w:ascii="Times New Roman" w:hAnsi="Times New Roman" w:cs="Times New Roman"/>
          <w:i/>
          <w:iCs/>
          <w:color w:val="000000"/>
          <w:lang w:eastAsia="lt-LT"/>
        </w:rPr>
        <w:t>oksinas</w:t>
      </w:r>
      <w:proofErr w:type="spellEnd"/>
      <w:r w:rsidRPr="000D48A3">
        <w:rPr>
          <w:rFonts w:ascii="Times New Roman" w:hAnsi="Times New Roman" w:cs="Times New Roman"/>
          <w:i/>
          <w:iCs/>
          <w:color w:val="000000"/>
          <w:lang w:eastAsia="lt-LT"/>
        </w:rPr>
        <w:t xml:space="preserve">. </w:t>
      </w:r>
      <w:r w:rsidRPr="000D48A3">
        <w:rPr>
          <w:rFonts w:ascii="Times New Roman" w:hAnsi="Times New Roman" w:cs="Times New Roman"/>
          <w:color w:val="000000"/>
          <w:lang w:eastAsia="lt-LT"/>
        </w:rPr>
        <w:t xml:space="preserve">7 dienas vartojant </w:t>
      </w:r>
      <w:proofErr w:type="spellStart"/>
      <w:r w:rsidRPr="000D48A3">
        <w:rPr>
          <w:rFonts w:ascii="Times New Roman" w:hAnsi="Times New Roman" w:cs="Times New Roman"/>
          <w:color w:val="000000"/>
          <w:lang w:eastAsia="lt-LT"/>
        </w:rPr>
        <w:t>digoksino</w:t>
      </w:r>
      <w:proofErr w:type="spellEnd"/>
      <w:r w:rsidRPr="000D48A3">
        <w:rPr>
          <w:rFonts w:ascii="Times New Roman" w:hAnsi="Times New Roman" w:cs="Times New Roman"/>
          <w:color w:val="000000"/>
          <w:lang w:eastAsia="lt-LT"/>
        </w:rPr>
        <w:t xml:space="preserve"> kartu su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skiriamu po 500 mg dukart per parą, </w:t>
      </w:r>
      <w:proofErr w:type="spellStart"/>
      <w:r w:rsidRPr="000D48A3">
        <w:rPr>
          <w:rFonts w:ascii="Times New Roman" w:hAnsi="Times New Roman" w:cs="Times New Roman"/>
          <w:color w:val="000000"/>
          <w:lang w:eastAsia="lt-LT"/>
        </w:rPr>
        <w:t>digoksino</w:t>
      </w:r>
      <w:proofErr w:type="spellEnd"/>
      <w:r w:rsidRPr="000D48A3">
        <w:rPr>
          <w:rFonts w:ascii="Times New Roman" w:hAnsi="Times New Roman" w:cs="Times New Roman"/>
          <w:color w:val="000000"/>
          <w:lang w:eastAsia="lt-LT"/>
        </w:rPr>
        <w:t xml:space="preserve"> AUC sumažėjo 12 %, </w:t>
      </w:r>
      <w:proofErr w:type="spellStart"/>
      <w:r w:rsidRPr="000D48A3">
        <w:rPr>
          <w:rFonts w:ascii="Times New Roman" w:hAnsi="Times New Roman" w:cs="Times New Roman"/>
          <w:color w:val="000000"/>
          <w:lang w:eastAsia="lt-LT"/>
        </w:rPr>
        <w:t>C</w:t>
      </w:r>
      <w:r w:rsidRPr="00432133">
        <w:rPr>
          <w:rFonts w:ascii="Times New Roman" w:hAnsi="Times New Roman" w:cs="Times New Roman"/>
          <w:color w:val="000000"/>
          <w:vertAlign w:val="subscript"/>
          <w:lang w:eastAsia="lt-LT"/>
        </w:rPr>
        <w:t>max</w:t>
      </w:r>
      <w:proofErr w:type="spellEnd"/>
      <w:r w:rsidRPr="000D48A3">
        <w:rPr>
          <w:rFonts w:ascii="Times New Roman" w:hAnsi="Times New Roman" w:cs="Times New Roman"/>
          <w:color w:val="000000"/>
          <w:lang w:eastAsia="lt-LT"/>
        </w:rPr>
        <w:t xml:space="preserve"> sumažėjo 9 %, o </w:t>
      </w:r>
      <w:proofErr w:type="spellStart"/>
      <w:r w:rsidRPr="000D48A3">
        <w:rPr>
          <w:rFonts w:ascii="Times New Roman" w:hAnsi="Times New Roman" w:cs="Times New Roman"/>
          <w:color w:val="000000"/>
          <w:lang w:eastAsia="lt-LT"/>
        </w:rPr>
        <w:t>C</w:t>
      </w:r>
      <w:r w:rsidRPr="00432133">
        <w:rPr>
          <w:rFonts w:ascii="Times New Roman" w:hAnsi="Times New Roman" w:cs="Times New Roman"/>
          <w:color w:val="000000"/>
          <w:vertAlign w:val="subscript"/>
          <w:lang w:eastAsia="lt-LT"/>
        </w:rPr>
        <w:t>min</w:t>
      </w:r>
      <w:proofErr w:type="spellEnd"/>
      <w:r w:rsidRPr="000D48A3">
        <w:rPr>
          <w:rFonts w:ascii="Times New Roman" w:hAnsi="Times New Roman" w:cs="Times New Roman"/>
          <w:color w:val="000000"/>
          <w:lang w:eastAsia="lt-LT"/>
        </w:rPr>
        <w:t xml:space="preserve"> – 23 %. Šios sąveikos mechanizmas gali būti P-</w:t>
      </w:r>
      <w:proofErr w:type="spellStart"/>
      <w:r w:rsidRPr="000D48A3">
        <w:rPr>
          <w:rFonts w:ascii="Times New Roman" w:hAnsi="Times New Roman" w:cs="Times New Roman"/>
          <w:color w:val="000000"/>
          <w:lang w:eastAsia="lt-LT"/>
        </w:rPr>
        <w:t>glikoproteino</w:t>
      </w:r>
      <w:proofErr w:type="spellEnd"/>
      <w:r w:rsidRPr="000D48A3">
        <w:rPr>
          <w:rFonts w:ascii="Times New Roman" w:hAnsi="Times New Roman" w:cs="Times New Roman"/>
          <w:color w:val="000000"/>
          <w:lang w:eastAsia="lt-LT"/>
        </w:rPr>
        <w:t xml:space="preserve"> indukcija. Mažai tikėtina, kad ši sąveika yra kliniškai aktuali.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i/>
          <w:iCs/>
          <w:color w:val="000000"/>
          <w:lang w:eastAsia="lt-LT"/>
        </w:rPr>
        <w:t>Lopinaviras</w:t>
      </w:r>
      <w:proofErr w:type="spellEnd"/>
      <w:r>
        <w:rPr>
          <w:rFonts w:ascii="Times New Roman" w:hAnsi="Times New Roman" w:cs="Times New Roman"/>
          <w:i/>
          <w:iCs/>
          <w:color w:val="000000"/>
          <w:lang w:eastAsia="lt-LT"/>
        </w:rPr>
        <w:t xml:space="preserve"> ir </w:t>
      </w:r>
      <w:proofErr w:type="spellStart"/>
      <w:r w:rsidRPr="000D48A3">
        <w:rPr>
          <w:rFonts w:ascii="Times New Roman" w:hAnsi="Times New Roman" w:cs="Times New Roman"/>
          <w:i/>
          <w:iCs/>
          <w:color w:val="000000"/>
          <w:lang w:eastAsia="lt-LT"/>
        </w:rPr>
        <w:t>ritonaviras</w:t>
      </w:r>
      <w:proofErr w:type="spellEnd"/>
      <w:r w:rsidRPr="000D48A3">
        <w:rPr>
          <w:rFonts w:ascii="Times New Roman" w:hAnsi="Times New Roman" w:cs="Times New Roman"/>
          <w:i/>
          <w:iCs/>
          <w:color w:val="000000"/>
          <w:lang w:eastAsia="lt-LT"/>
        </w:rPr>
        <w:t xml:space="preserve"> (ir kiti </w:t>
      </w:r>
      <w:proofErr w:type="spellStart"/>
      <w:r w:rsidRPr="000D48A3">
        <w:rPr>
          <w:rFonts w:ascii="Times New Roman" w:hAnsi="Times New Roman" w:cs="Times New Roman"/>
          <w:i/>
          <w:iCs/>
          <w:color w:val="000000"/>
          <w:lang w:eastAsia="lt-LT"/>
        </w:rPr>
        <w:t>ritonaviru</w:t>
      </w:r>
      <w:proofErr w:type="spellEnd"/>
      <w:r w:rsidRPr="000D48A3">
        <w:rPr>
          <w:rFonts w:ascii="Times New Roman" w:hAnsi="Times New Roman" w:cs="Times New Roman"/>
          <w:i/>
          <w:iCs/>
          <w:color w:val="000000"/>
          <w:lang w:eastAsia="lt-LT"/>
        </w:rPr>
        <w:t xml:space="preserve"> sustiprinti proteazės inhibitoriai)</w:t>
      </w:r>
      <w:r w:rsidRPr="000D48A3">
        <w:rPr>
          <w:rFonts w:ascii="Times New Roman" w:hAnsi="Times New Roman" w:cs="Times New Roman"/>
          <w:color w:val="000000"/>
          <w:lang w:eastAsia="lt-LT"/>
        </w:rPr>
        <w:t xml:space="preserve">. Sveikiems savanoriams 9,5 paros vartojus 125 mg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dukart per parą kartu su 400 mg </w:t>
      </w:r>
      <w:proofErr w:type="spellStart"/>
      <w:r w:rsidRPr="000D48A3">
        <w:rPr>
          <w:rFonts w:ascii="Times New Roman" w:hAnsi="Times New Roman" w:cs="Times New Roman"/>
          <w:color w:val="000000"/>
          <w:lang w:eastAsia="lt-LT"/>
        </w:rPr>
        <w:t>lopinaviro</w:t>
      </w:r>
      <w:proofErr w:type="spellEnd"/>
      <w:r w:rsidRPr="000D48A3">
        <w:rPr>
          <w:rFonts w:ascii="Times New Roman" w:hAnsi="Times New Roman" w:cs="Times New Roman"/>
          <w:color w:val="000000"/>
          <w:lang w:eastAsia="lt-LT"/>
        </w:rPr>
        <w:t xml:space="preserve"> + 100 mg </w:t>
      </w:r>
      <w:proofErr w:type="spellStart"/>
      <w:r w:rsidRPr="000D48A3">
        <w:rPr>
          <w:rFonts w:ascii="Times New Roman" w:hAnsi="Times New Roman" w:cs="Times New Roman"/>
          <w:color w:val="000000"/>
          <w:lang w:eastAsia="lt-LT"/>
        </w:rPr>
        <w:t>ritonaviro</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koncentracija plazmoje iš pradžių buvo maždaug 48 kartus didesnė, negu išmatuotoji pavartojus vien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Devintą parą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koncentracija plazmoje buvo 5 kartus didesnė, nei pavartojus vien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Labiausiai tikėtinos šios sąveikos priežastys yra </w:t>
      </w:r>
      <w:proofErr w:type="spellStart"/>
      <w:r w:rsidRPr="000D48A3">
        <w:rPr>
          <w:rFonts w:ascii="Times New Roman" w:hAnsi="Times New Roman" w:cs="Times New Roman"/>
          <w:color w:val="000000"/>
          <w:lang w:eastAsia="lt-LT"/>
        </w:rPr>
        <w:t>ritonaviro</w:t>
      </w:r>
      <w:proofErr w:type="spellEnd"/>
      <w:r w:rsidRPr="000D48A3">
        <w:rPr>
          <w:rFonts w:ascii="Times New Roman" w:hAnsi="Times New Roman" w:cs="Times New Roman"/>
          <w:color w:val="000000"/>
          <w:lang w:eastAsia="lt-LT"/>
        </w:rPr>
        <w:t xml:space="preserve"> sukeltas patekimo į </w:t>
      </w:r>
      <w:proofErr w:type="spellStart"/>
      <w:r w:rsidRPr="000D48A3">
        <w:rPr>
          <w:rFonts w:ascii="Times New Roman" w:hAnsi="Times New Roman" w:cs="Times New Roman"/>
          <w:color w:val="000000"/>
          <w:lang w:eastAsia="lt-LT"/>
        </w:rPr>
        <w:t>hepatocitus</w:t>
      </w:r>
      <w:proofErr w:type="spellEnd"/>
      <w:r w:rsidRPr="000D48A3">
        <w:rPr>
          <w:rFonts w:ascii="Times New Roman" w:hAnsi="Times New Roman" w:cs="Times New Roman"/>
          <w:color w:val="000000"/>
          <w:lang w:eastAsia="lt-LT"/>
        </w:rPr>
        <w:t xml:space="preserve"> tarpininkaujant pernešančiam baltymui ir CYP3A4 slopinimas, tuo būdu sumažinant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klirensą. Jeigu vaist</w:t>
      </w:r>
      <w:r w:rsidR="002A243B">
        <w:rPr>
          <w:rFonts w:ascii="Times New Roman" w:hAnsi="Times New Roman" w:cs="Times New Roman"/>
          <w:color w:val="000000"/>
          <w:lang w:eastAsia="lt-LT"/>
        </w:rPr>
        <w:t>inio preparat</w:t>
      </w:r>
      <w:r w:rsidRPr="000D48A3">
        <w:rPr>
          <w:rFonts w:ascii="Times New Roman" w:hAnsi="Times New Roman" w:cs="Times New Roman"/>
          <w:color w:val="000000"/>
          <w:lang w:eastAsia="lt-LT"/>
        </w:rPr>
        <w:t xml:space="preserve">o skiriama kartu su </w:t>
      </w:r>
      <w:proofErr w:type="spellStart"/>
      <w:r w:rsidRPr="000D48A3">
        <w:rPr>
          <w:rFonts w:ascii="Times New Roman" w:hAnsi="Times New Roman" w:cs="Times New Roman"/>
          <w:color w:val="000000"/>
          <w:lang w:eastAsia="lt-LT"/>
        </w:rPr>
        <w:t>lopinaviru</w:t>
      </w:r>
      <w:proofErr w:type="spellEnd"/>
      <w:r>
        <w:rPr>
          <w:rFonts w:ascii="Times New Roman" w:hAnsi="Times New Roman" w:cs="Times New Roman"/>
          <w:color w:val="000000"/>
          <w:lang w:eastAsia="lt-LT"/>
        </w:rPr>
        <w:t xml:space="preserve"> ir </w:t>
      </w:r>
      <w:proofErr w:type="spellStart"/>
      <w:r w:rsidRPr="000D48A3">
        <w:rPr>
          <w:rFonts w:ascii="Times New Roman" w:hAnsi="Times New Roman" w:cs="Times New Roman"/>
          <w:color w:val="000000"/>
          <w:lang w:eastAsia="lt-LT"/>
        </w:rPr>
        <w:t>ritonaviru</w:t>
      </w:r>
      <w:proofErr w:type="spellEnd"/>
      <w:r w:rsidRPr="000D48A3">
        <w:rPr>
          <w:rFonts w:ascii="Times New Roman" w:hAnsi="Times New Roman" w:cs="Times New Roman"/>
          <w:color w:val="000000"/>
          <w:lang w:eastAsia="lt-LT"/>
        </w:rPr>
        <w:t xml:space="preserve"> arba kitais </w:t>
      </w:r>
      <w:proofErr w:type="spellStart"/>
      <w:r w:rsidRPr="000D48A3">
        <w:rPr>
          <w:rFonts w:ascii="Times New Roman" w:hAnsi="Times New Roman" w:cs="Times New Roman"/>
          <w:color w:val="000000"/>
          <w:lang w:eastAsia="lt-LT"/>
        </w:rPr>
        <w:t>ritonaviru</w:t>
      </w:r>
      <w:proofErr w:type="spellEnd"/>
      <w:r w:rsidRPr="000D48A3">
        <w:rPr>
          <w:rFonts w:ascii="Times New Roman" w:hAnsi="Times New Roman" w:cs="Times New Roman"/>
          <w:color w:val="000000"/>
          <w:lang w:eastAsia="lt-LT"/>
        </w:rPr>
        <w:t xml:space="preserve"> sustiprintais proteazės inhibitoriais, reikia atidžiai stebėti, ar pacientas toleruoja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Po 9,5 paros vartojimo kartu su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lopinaviro</w:t>
      </w:r>
      <w:proofErr w:type="spellEnd"/>
      <w:r w:rsidRPr="000D48A3">
        <w:rPr>
          <w:rFonts w:ascii="Times New Roman" w:hAnsi="Times New Roman" w:cs="Times New Roman"/>
          <w:color w:val="000000"/>
          <w:lang w:eastAsia="lt-LT"/>
        </w:rPr>
        <w:t xml:space="preserve"> ir </w:t>
      </w:r>
      <w:proofErr w:type="spellStart"/>
      <w:r w:rsidRPr="000D48A3">
        <w:rPr>
          <w:rFonts w:ascii="Times New Roman" w:hAnsi="Times New Roman" w:cs="Times New Roman"/>
          <w:color w:val="000000"/>
          <w:lang w:eastAsia="lt-LT"/>
        </w:rPr>
        <w:t>ritonaviro</w:t>
      </w:r>
      <w:proofErr w:type="spellEnd"/>
      <w:r w:rsidRPr="000D48A3">
        <w:rPr>
          <w:rFonts w:ascii="Times New Roman" w:hAnsi="Times New Roman" w:cs="Times New Roman"/>
          <w:color w:val="000000"/>
          <w:lang w:eastAsia="lt-LT"/>
        </w:rPr>
        <w:t xml:space="preserve"> ekspozicija plazmoje sumažėjo iki kliniškai nereikšmingo dydžio (</w:t>
      </w:r>
      <w:proofErr w:type="spellStart"/>
      <w:r w:rsidRPr="000D48A3">
        <w:rPr>
          <w:rFonts w:ascii="Times New Roman" w:hAnsi="Times New Roman" w:cs="Times New Roman"/>
          <w:color w:val="000000"/>
          <w:lang w:eastAsia="lt-LT"/>
        </w:rPr>
        <w:t>lopinaviro</w:t>
      </w:r>
      <w:proofErr w:type="spellEnd"/>
      <w:r w:rsidRPr="000D48A3">
        <w:rPr>
          <w:rFonts w:ascii="Times New Roman" w:hAnsi="Times New Roman" w:cs="Times New Roman"/>
          <w:color w:val="000000"/>
          <w:lang w:eastAsia="lt-LT"/>
        </w:rPr>
        <w:t xml:space="preserve"> maždaug 14 %, o </w:t>
      </w:r>
      <w:proofErr w:type="spellStart"/>
      <w:r w:rsidRPr="000D48A3">
        <w:rPr>
          <w:rFonts w:ascii="Times New Roman" w:hAnsi="Times New Roman" w:cs="Times New Roman"/>
          <w:color w:val="000000"/>
          <w:lang w:eastAsia="lt-LT"/>
        </w:rPr>
        <w:t>ritonaviro</w:t>
      </w:r>
      <w:proofErr w:type="spellEnd"/>
      <w:r w:rsidRPr="000D48A3">
        <w:rPr>
          <w:rFonts w:ascii="Times New Roman" w:hAnsi="Times New Roman" w:cs="Times New Roman"/>
          <w:color w:val="000000"/>
          <w:lang w:eastAsia="lt-LT"/>
        </w:rPr>
        <w:t xml:space="preserve"> – 17 %). Vis dėlto, visiška indukcija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pasiekta nebuvo, todėl negalima paneigti tolesnio proteazės inhibitorių mažėjimo. Rekomenduojama atitinkamai stebėti ŽIV gydymą. Panašus poveikis tikriausiai tikėtinas ir vartojant kitų </w:t>
      </w:r>
      <w:proofErr w:type="spellStart"/>
      <w:r w:rsidRPr="000D48A3">
        <w:rPr>
          <w:rFonts w:ascii="Times New Roman" w:hAnsi="Times New Roman" w:cs="Times New Roman"/>
          <w:color w:val="000000"/>
          <w:lang w:eastAsia="lt-LT"/>
        </w:rPr>
        <w:t>ritonaviru</w:t>
      </w:r>
      <w:proofErr w:type="spellEnd"/>
      <w:r w:rsidRPr="000D48A3">
        <w:rPr>
          <w:rFonts w:ascii="Times New Roman" w:hAnsi="Times New Roman" w:cs="Times New Roman"/>
          <w:color w:val="000000"/>
          <w:lang w:eastAsia="lt-LT"/>
        </w:rPr>
        <w:t xml:space="preserve"> sustiprintų proteazės inhibitorių (žr. 4.4 skyrių).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i/>
          <w:iCs/>
          <w:color w:val="000000"/>
          <w:lang w:eastAsia="lt-LT"/>
        </w:rPr>
        <w:t xml:space="preserve">Kiti preparatai nuo </w:t>
      </w:r>
      <w:proofErr w:type="spellStart"/>
      <w:r w:rsidRPr="000D48A3">
        <w:rPr>
          <w:rFonts w:ascii="Times New Roman" w:hAnsi="Times New Roman" w:cs="Times New Roman"/>
          <w:i/>
          <w:iCs/>
          <w:color w:val="000000"/>
          <w:lang w:eastAsia="lt-LT"/>
        </w:rPr>
        <w:t>retrovirusų</w:t>
      </w:r>
      <w:proofErr w:type="spellEnd"/>
      <w:r>
        <w:rPr>
          <w:rFonts w:ascii="Times New Roman" w:hAnsi="Times New Roman" w:cs="Times New Roman"/>
          <w:i/>
          <w:iCs/>
          <w:color w:val="000000"/>
          <w:lang w:eastAsia="lt-LT"/>
        </w:rPr>
        <w:t>.</w:t>
      </w:r>
      <w:r w:rsidRPr="000D48A3">
        <w:rPr>
          <w:rFonts w:ascii="Times New Roman" w:hAnsi="Times New Roman" w:cs="Times New Roman"/>
          <w:i/>
          <w:iCs/>
          <w:color w:val="000000"/>
          <w:lang w:eastAsia="lt-LT"/>
        </w:rPr>
        <w:t xml:space="preserve"> </w:t>
      </w:r>
      <w:r w:rsidRPr="000D48A3">
        <w:rPr>
          <w:rFonts w:ascii="Times New Roman" w:hAnsi="Times New Roman" w:cs="Times New Roman"/>
          <w:color w:val="000000"/>
          <w:lang w:eastAsia="lt-LT"/>
        </w:rPr>
        <w:t xml:space="preserve">Dėl duomenų stokos specialių rekomendacijų kitų rinkoje esančių preparatų nuo </w:t>
      </w:r>
      <w:proofErr w:type="spellStart"/>
      <w:r w:rsidRPr="000D48A3">
        <w:rPr>
          <w:rFonts w:ascii="Times New Roman" w:hAnsi="Times New Roman" w:cs="Times New Roman"/>
          <w:color w:val="000000"/>
          <w:lang w:eastAsia="lt-LT"/>
        </w:rPr>
        <w:t>retrovirusų</w:t>
      </w:r>
      <w:proofErr w:type="spellEnd"/>
      <w:r w:rsidRPr="000D48A3">
        <w:rPr>
          <w:rFonts w:ascii="Times New Roman" w:hAnsi="Times New Roman" w:cs="Times New Roman"/>
          <w:color w:val="000000"/>
          <w:lang w:eastAsia="lt-LT"/>
        </w:rPr>
        <w:t xml:space="preserve"> atžvilgiu duoti negalima. Pabrėžiama, kad dėl žymaus </w:t>
      </w:r>
      <w:proofErr w:type="spellStart"/>
      <w:r w:rsidRPr="000D48A3">
        <w:rPr>
          <w:rFonts w:ascii="Times New Roman" w:hAnsi="Times New Roman" w:cs="Times New Roman"/>
          <w:color w:val="000000"/>
          <w:lang w:eastAsia="lt-LT"/>
        </w:rPr>
        <w:t>nevirapino</w:t>
      </w:r>
      <w:proofErr w:type="spellEnd"/>
      <w:r w:rsidRPr="000D48A3">
        <w:rPr>
          <w:rFonts w:ascii="Times New Roman" w:hAnsi="Times New Roman" w:cs="Times New Roman"/>
          <w:color w:val="000000"/>
          <w:lang w:eastAsia="lt-LT"/>
        </w:rPr>
        <w:t xml:space="preserve"> toksinio poveikio kepenims, kuris gali dar padidėti dėl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toksinio poveikio kepenims, šio derinio skirti nerekomenduojama.</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keepNext/>
        <w:tabs>
          <w:tab w:val="left" w:pos="567"/>
        </w:tabs>
        <w:spacing w:after="0" w:line="240" w:lineRule="auto"/>
        <w:outlineLvl w:val="2"/>
        <w:rPr>
          <w:rFonts w:ascii="Times New Roman" w:hAnsi="Times New Roman" w:cs="Times New Roman"/>
          <w:b/>
          <w:bCs/>
          <w:lang w:eastAsia="lt-LT"/>
        </w:rPr>
      </w:pPr>
      <w:r w:rsidRPr="000D48A3">
        <w:rPr>
          <w:rFonts w:ascii="Times New Roman" w:hAnsi="Times New Roman" w:cs="Times New Roman"/>
          <w:b/>
          <w:bCs/>
          <w:lang w:eastAsia="lt-LT"/>
        </w:rPr>
        <w:t>4.6</w:t>
      </w:r>
      <w:r w:rsidRPr="000D48A3">
        <w:rPr>
          <w:rFonts w:ascii="Times New Roman" w:hAnsi="Times New Roman" w:cs="Times New Roman"/>
          <w:b/>
          <w:bCs/>
          <w:lang w:eastAsia="lt-LT"/>
        </w:rPr>
        <w:tab/>
        <w:t>Vaisingumas, nėštumo ir žindymo laikotarpis</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986852" w:rsidRDefault="00A4103A" w:rsidP="00A4103A">
      <w:pPr>
        <w:tabs>
          <w:tab w:val="left" w:pos="567"/>
        </w:tabs>
        <w:autoSpaceDE w:val="0"/>
        <w:autoSpaceDN w:val="0"/>
        <w:adjustRightInd w:val="0"/>
        <w:spacing w:after="0" w:line="240" w:lineRule="auto"/>
        <w:rPr>
          <w:rFonts w:ascii="Times New Roman" w:hAnsi="Times New Roman" w:cs="Times New Roman"/>
          <w:color w:val="000000"/>
          <w:lang w:eastAsia="lt-LT"/>
        </w:rPr>
      </w:pPr>
      <w:r w:rsidRPr="00432133">
        <w:rPr>
          <w:rFonts w:ascii="Times New Roman" w:hAnsi="Times New Roman" w:cs="Times New Roman"/>
          <w:color w:val="000000"/>
          <w:u w:val="single"/>
          <w:lang w:eastAsia="lt-LT"/>
        </w:rPr>
        <w:t xml:space="preserve">Nėštumas </w:t>
      </w: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Su gyvūnais atlikti tyrimai parodė toksinį poveikį reprodukcijai (</w:t>
      </w:r>
      <w:proofErr w:type="spellStart"/>
      <w:r w:rsidRPr="000D48A3">
        <w:rPr>
          <w:rFonts w:ascii="Times New Roman" w:hAnsi="Times New Roman" w:cs="Times New Roman"/>
          <w:color w:val="000000"/>
          <w:lang w:eastAsia="lt-LT"/>
        </w:rPr>
        <w:t>teratogeniškumą</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embriotoksiškumą</w:t>
      </w:r>
      <w:proofErr w:type="spellEnd"/>
      <w:r w:rsidRPr="000D48A3">
        <w:rPr>
          <w:rFonts w:ascii="Times New Roman" w:hAnsi="Times New Roman" w:cs="Times New Roman"/>
          <w:color w:val="000000"/>
          <w:lang w:eastAsia="lt-LT"/>
        </w:rPr>
        <w:t xml:space="preserve">, žr. 5.3 skyrių). Patikimų duomenų apie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vartojimą nėščioms moterims nėra. Potenciali rizika žmonėms vis dar nežinoma.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nėštumo metu skirti draudžiama (žr. 4.3. skyrių). </w:t>
      </w: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i/>
          <w:iCs/>
          <w:color w:val="000000"/>
          <w:u w:val="single"/>
          <w:lang w:eastAsia="lt-LT"/>
        </w:rPr>
      </w:pPr>
    </w:p>
    <w:p w:rsidR="00A4103A" w:rsidRPr="00986852" w:rsidRDefault="00A4103A" w:rsidP="00A4103A">
      <w:pPr>
        <w:tabs>
          <w:tab w:val="left" w:pos="567"/>
        </w:tabs>
        <w:autoSpaceDE w:val="0"/>
        <w:autoSpaceDN w:val="0"/>
        <w:adjustRightInd w:val="0"/>
        <w:spacing w:after="0" w:line="240" w:lineRule="auto"/>
        <w:rPr>
          <w:rFonts w:ascii="Times New Roman" w:hAnsi="Times New Roman" w:cs="Times New Roman"/>
          <w:color w:val="000000"/>
          <w:lang w:eastAsia="lt-LT"/>
        </w:rPr>
      </w:pPr>
      <w:r w:rsidRPr="00432133">
        <w:rPr>
          <w:rFonts w:ascii="Times New Roman" w:hAnsi="Times New Roman" w:cs="Times New Roman"/>
          <w:color w:val="000000"/>
          <w:u w:val="single"/>
          <w:lang w:eastAsia="lt-LT"/>
        </w:rPr>
        <w:t xml:space="preserve">Vartojimas vaisingo amžiaus moterims </w:t>
      </w: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lastRenderedPageBreak/>
        <w:t xml:space="preserve">Prieš pradedant gydyti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vaisingo amžiaus moteris reikia patikrinti, ar moteris nėra nėščia, tinkamai patarti dėl patikimų kontracepcijos metodų vartojimo ir pradėti taikyti patikimą kontracepcijos metodą. Pacientės ir vaistinį preparatą išrašantys gydytojai privalo žinoti, kad dėl galimos </w:t>
      </w:r>
      <w:proofErr w:type="spellStart"/>
      <w:r w:rsidRPr="000D48A3">
        <w:rPr>
          <w:rFonts w:ascii="Times New Roman" w:hAnsi="Times New Roman" w:cs="Times New Roman"/>
          <w:color w:val="000000"/>
          <w:lang w:eastAsia="lt-LT"/>
        </w:rPr>
        <w:t>farmakokinetinės</w:t>
      </w:r>
      <w:proofErr w:type="spellEnd"/>
      <w:r w:rsidRPr="000D48A3">
        <w:rPr>
          <w:rFonts w:ascii="Times New Roman" w:hAnsi="Times New Roman" w:cs="Times New Roman"/>
          <w:color w:val="000000"/>
          <w:lang w:eastAsia="lt-LT"/>
        </w:rPr>
        <w:t xml:space="preserve"> sąveikos hormoninius kontraceptikus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gali padaryti neveiksmingais (žr. 4.5 skyrių). Vadinasi, vaisingo amžiaus moterys turi nevartoti hormoninių kontraceptikų (įskaitant geriamas, švirkščiamas, poodines arba implantuojamas formas), kaip vienintelio kontracepcijos metodo, bet turi taikyti papildomus ar alternatyvius patikimus kontracepcijos metodus. Esant bet kokioms abejonėms, kokį kontracepcijos metodą pasiūlyti konkrečiai pacientei, reikia pasikonsultuoti su ginekologu. Dėl galimos hormoninės kontracepcijos susilpnėjimo gydymo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metu, taip pat įvertinant tai, kad nėštumo metu smarkiai padidėja </w:t>
      </w:r>
      <w:proofErr w:type="spellStart"/>
      <w:r w:rsidRPr="000D48A3">
        <w:rPr>
          <w:rFonts w:ascii="Times New Roman" w:hAnsi="Times New Roman" w:cs="Times New Roman"/>
          <w:color w:val="000000"/>
          <w:lang w:eastAsia="lt-LT"/>
        </w:rPr>
        <w:t>plautinės</w:t>
      </w:r>
      <w:proofErr w:type="spellEnd"/>
      <w:r w:rsidRPr="000D48A3">
        <w:rPr>
          <w:rFonts w:ascii="Times New Roman" w:hAnsi="Times New Roman" w:cs="Times New Roman"/>
          <w:color w:val="000000"/>
          <w:lang w:eastAsia="lt-LT"/>
        </w:rPr>
        <w:t xml:space="preserve"> hipertenzijos rizika, gydymo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metu ankstyvam nėštumo aptikimui rekomenduojama kas mėnesį atlikti nėštumo testą. </w:t>
      </w: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i/>
          <w:iCs/>
          <w:color w:val="000000"/>
          <w:u w:val="single"/>
          <w:lang w:eastAsia="lt-LT"/>
        </w:rPr>
      </w:pPr>
    </w:p>
    <w:p w:rsidR="00A4103A" w:rsidRPr="00986852" w:rsidRDefault="00A4103A" w:rsidP="00A4103A">
      <w:pPr>
        <w:tabs>
          <w:tab w:val="left" w:pos="567"/>
        </w:tabs>
        <w:autoSpaceDE w:val="0"/>
        <w:autoSpaceDN w:val="0"/>
        <w:adjustRightInd w:val="0"/>
        <w:spacing w:after="0" w:line="240" w:lineRule="auto"/>
        <w:rPr>
          <w:rFonts w:ascii="Times New Roman" w:hAnsi="Times New Roman" w:cs="Times New Roman"/>
          <w:color w:val="000000"/>
          <w:lang w:eastAsia="lt-LT"/>
        </w:rPr>
      </w:pPr>
      <w:r w:rsidRPr="00432133">
        <w:rPr>
          <w:rFonts w:ascii="Times New Roman" w:hAnsi="Times New Roman" w:cs="Times New Roman"/>
          <w:color w:val="000000"/>
          <w:u w:val="single"/>
          <w:lang w:eastAsia="lt-LT"/>
        </w:rPr>
        <w:t xml:space="preserve">Žindymas </w:t>
      </w:r>
    </w:p>
    <w:p w:rsidR="00A4103A" w:rsidRPr="000D48A3" w:rsidRDefault="00A4103A" w:rsidP="00A4103A">
      <w:pPr>
        <w:tabs>
          <w:tab w:val="left" w:pos="425"/>
          <w:tab w:val="left" w:pos="567"/>
        </w:tabs>
        <w:spacing w:after="0" w:line="240" w:lineRule="auto"/>
        <w:rPr>
          <w:rFonts w:ascii="Times New Roman" w:hAnsi="Times New Roman" w:cs="Times New Roman"/>
        </w:rPr>
      </w:pPr>
      <w:r w:rsidRPr="000D48A3">
        <w:rPr>
          <w:rFonts w:ascii="Times New Roman" w:hAnsi="Times New Roman" w:cs="Times New Roman"/>
        </w:rPr>
        <w:t xml:space="preserve">Nežinoma, ar </w:t>
      </w:r>
      <w:proofErr w:type="spellStart"/>
      <w:r w:rsidRPr="000D48A3">
        <w:rPr>
          <w:rFonts w:ascii="Times New Roman" w:hAnsi="Times New Roman" w:cs="Times New Roman"/>
        </w:rPr>
        <w:t>bozentanas</w:t>
      </w:r>
      <w:proofErr w:type="spellEnd"/>
      <w:r w:rsidRPr="000D48A3">
        <w:rPr>
          <w:rFonts w:ascii="Times New Roman" w:hAnsi="Times New Roman" w:cs="Times New Roman"/>
        </w:rPr>
        <w:t xml:space="preserve"> išskiriamas su moters pienu. Gydymo </w:t>
      </w:r>
      <w:proofErr w:type="spellStart"/>
      <w:r w:rsidRPr="000D48A3">
        <w:rPr>
          <w:rFonts w:ascii="Times New Roman" w:hAnsi="Times New Roman" w:cs="Times New Roman"/>
        </w:rPr>
        <w:t>Bosentan</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Sandoz</w:t>
      </w:r>
      <w:proofErr w:type="spellEnd"/>
      <w:r w:rsidRPr="000D48A3">
        <w:rPr>
          <w:rFonts w:ascii="Times New Roman" w:hAnsi="Times New Roman" w:cs="Times New Roman"/>
        </w:rPr>
        <w:t xml:space="preserve"> metu žindyti nerekomenduojama. </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keepNext/>
        <w:tabs>
          <w:tab w:val="left" w:pos="567"/>
        </w:tabs>
        <w:spacing w:after="0" w:line="240" w:lineRule="auto"/>
        <w:outlineLvl w:val="2"/>
        <w:rPr>
          <w:rFonts w:ascii="Times New Roman" w:hAnsi="Times New Roman" w:cs="Times New Roman"/>
          <w:b/>
          <w:bCs/>
          <w:lang w:eastAsia="lt-LT"/>
        </w:rPr>
      </w:pPr>
      <w:r w:rsidRPr="000D48A3">
        <w:rPr>
          <w:rFonts w:ascii="Times New Roman" w:hAnsi="Times New Roman" w:cs="Times New Roman"/>
          <w:b/>
          <w:bCs/>
          <w:lang w:eastAsia="lt-LT"/>
        </w:rPr>
        <w:t>4.7</w:t>
      </w:r>
      <w:r w:rsidRPr="000D48A3">
        <w:rPr>
          <w:rFonts w:ascii="Times New Roman" w:hAnsi="Times New Roman" w:cs="Times New Roman"/>
          <w:b/>
          <w:bCs/>
          <w:lang w:eastAsia="lt-LT"/>
        </w:rPr>
        <w:tab/>
        <w:t>Poveikis gebėjimui vairuoti ir valdyti mechanizmus</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4F4E71" w:rsidP="00A4103A">
      <w:pPr>
        <w:tabs>
          <w:tab w:val="left" w:pos="567"/>
        </w:tabs>
        <w:spacing w:after="0" w:line="240" w:lineRule="auto"/>
        <w:rPr>
          <w:rFonts w:ascii="Times New Roman" w:hAnsi="Times New Roman" w:cs="Times New Roman"/>
          <w:lang w:eastAsia="lt-LT"/>
        </w:rPr>
      </w:pPr>
      <w:r w:rsidRPr="006B4207">
        <w:rPr>
          <w:rFonts w:ascii="Times New Roman" w:hAnsi="Times New Roman" w:cs="Times New Roman"/>
        </w:rPr>
        <w:t>Specialių tyrimų, kuriais būtų galima įvertinti tiesioginį</w:t>
      </w:r>
      <w:r w:rsidRPr="004F4E71">
        <w:rPr>
          <w:rFonts w:ascii="Times New Roman" w:hAnsi="Times New Roman" w:cs="Times New Roman"/>
        </w:rPr>
        <w:t xml:space="preserve"> </w:t>
      </w:r>
      <w:proofErr w:type="spellStart"/>
      <w:r w:rsidRPr="004F4E71">
        <w:rPr>
          <w:rFonts w:ascii="Times New Roman" w:hAnsi="Times New Roman" w:cs="Times New Roman"/>
        </w:rPr>
        <w:t>bozentano</w:t>
      </w:r>
      <w:proofErr w:type="spellEnd"/>
      <w:r w:rsidRPr="006B4207">
        <w:rPr>
          <w:rFonts w:ascii="Times New Roman" w:hAnsi="Times New Roman" w:cs="Times New Roman"/>
        </w:rPr>
        <w:t xml:space="preserve"> poveikį gebėjimui vairuoti ir valdyti mechanizmus, neatlikta. Tač</w:t>
      </w:r>
      <w:r w:rsidRPr="004F4E71">
        <w:rPr>
          <w:rFonts w:ascii="Times New Roman" w:hAnsi="Times New Roman" w:cs="Times New Roman"/>
        </w:rPr>
        <w:t xml:space="preserve">iau </w:t>
      </w:r>
      <w:proofErr w:type="spellStart"/>
      <w:r w:rsidRPr="004F4E71">
        <w:rPr>
          <w:rFonts w:ascii="Times New Roman" w:hAnsi="Times New Roman" w:cs="Times New Roman"/>
        </w:rPr>
        <w:t>bozentanas</w:t>
      </w:r>
      <w:proofErr w:type="spellEnd"/>
      <w:r>
        <w:rPr>
          <w:rFonts w:ascii="Times New Roman" w:hAnsi="Times New Roman" w:cs="Times New Roman"/>
        </w:rPr>
        <w:t xml:space="preserve"> </w:t>
      </w:r>
      <w:r w:rsidRPr="006B4207">
        <w:rPr>
          <w:rFonts w:ascii="Times New Roman" w:hAnsi="Times New Roman" w:cs="Times New Roman"/>
        </w:rPr>
        <w:t xml:space="preserve">gali sukelti </w:t>
      </w:r>
      <w:proofErr w:type="spellStart"/>
      <w:r w:rsidRPr="006B4207">
        <w:rPr>
          <w:rFonts w:ascii="Times New Roman" w:hAnsi="Times New Roman" w:cs="Times New Roman"/>
        </w:rPr>
        <w:t>hipotenziją</w:t>
      </w:r>
      <w:proofErr w:type="spellEnd"/>
      <w:r w:rsidRPr="006B4207">
        <w:rPr>
          <w:rFonts w:ascii="Times New Roman" w:hAnsi="Times New Roman" w:cs="Times New Roman"/>
        </w:rPr>
        <w:t xml:space="preserve">, kuri gali pasireikšti galvos svaigimu, miglotu matymu ar sinkope, kurie gali pakenkti gebėjimui vairuoti arba valdyti mechanizmus. </w:t>
      </w:r>
    </w:p>
    <w:p w:rsidR="00A4103A" w:rsidRPr="000D48A3" w:rsidRDefault="00A4103A" w:rsidP="00A4103A">
      <w:pPr>
        <w:keepNext/>
        <w:tabs>
          <w:tab w:val="left" w:pos="567"/>
        </w:tabs>
        <w:spacing w:after="0" w:line="240" w:lineRule="auto"/>
        <w:outlineLvl w:val="2"/>
        <w:rPr>
          <w:rFonts w:ascii="Times New Roman" w:hAnsi="Times New Roman" w:cs="Times New Roman"/>
          <w:b/>
          <w:bCs/>
          <w:lang w:eastAsia="lt-LT"/>
        </w:rPr>
      </w:pPr>
      <w:r w:rsidRPr="000D48A3">
        <w:rPr>
          <w:rFonts w:ascii="Times New Roman" w:hAnsi="Times New Roman" w:cs="Times New Roman"/>
          <w:b/>
          <w:bCs/>
          <w:lang w:eastAsia="lt-LT"/>
        </w:rPr>
        <w:t>4.8</w:t>
      </w:r>
      <w:r w:rsidRPr="000D48A3">
        <w:rPr>
          <w:rFonts w:ascii="Times New Roman" w:hAnsi="Times New Roman" w:cs="Times New Roman"/>
          <w:b/>
          <w:bCs/>
          <w:lang w:eastAsia="lt-LT"/>
        </w:rPr>
        <w:tab/>
        <w:t>Nepageidaujamas poveikis</w:t>
      </w:r>
    </w:p>
    <w:p w:rsidR="00A4103A" w:rsidRPr="000D48A3" w:rsidRDefault="00A4103A" w:rsidP="00A4103A">
      <w:pPr>
        <w:tabs>
          <w:tab w:val="left" w:pos="567"/>
        </w:tabs>
        <w:spacing w:after="0" w:line="240" w:lineRule="auto"/>
        <w:rPr>
          <w:rFonts w:ascii="Times New Roman" w:hAnsi="Times New Roman" w:cs="Times New Roman"/>
        </w:rPr>
      </w:pPr>
    </w:p>
    <w:p w:rsidR="00A4103A" w:rsidRPr="000D48A3" w:rsidRDefault="00A4103A" w:rsidP="00A4103A">
      <w:pPr>
        <w:tabs>
          <w:tab w:val="left" w:pos="567"/>
        </w:tabs>
        <w:spacing w:after="0" w:line="240" w:lineRule="auto"/>
        <w:rPr>
          <w:rFonts w:ascii="Times New Roman" w:hAnsi="Times New Roman" w:cs="Times New Roman"/>
        </w:rPr>
      </w:pPr>
      <w:r w:rsidRPr="000D48A3">
        <w:rPr>
          <w:rFonts w:ascii="Times New Roman" w:hAnsi="Times New Roman" w:cs="Times New Roman"/>
        </w:rPr>
        <w:t xml:space="preserve">20-tyje </w:t>
      </w:r>
      <w:proofErr w:type="spellStart"/>
      <w:r w:rsidRPr="000D48A3">
        <w:rPr>
          <w:rFonts w:ascii="Times New Roman" w:hAnsi="Times New Roman" w:cs="Times New Roman"/>
        </w:rPr>
        <w:t>placebu</w:t>
      </w:r>
      <w:proofErr w:type="spellEnd"/>
      <w:r w:rsidRPr="000D48A3">
        <w:rPr>
          <w:rFonts w:ascii="Times New Roman" w:hAnsi="Times New Roman" w:cs="Times New Roman"/>
        </w:rPr>
        <w:t xml:space="preserve"> kontroliuojamų tyrimų, atliktų įvairių terapinių indikacijų atveju, iš viso </w:t>
      </w:r>
      <w:proofErr w:type="spellStart"/>
      <w:r w:rsidRPr="000D48A3">
        <w:rPr>
          <w:rFonts w:ascii="Times New Roman" w:hAnsi="Times New Roman" w:cs="Times New Roman"/>
        </w:rPr>
        <w:t>bozentanu</w:t>
      </w:r>
      <w:proofErr w:type="spellEnd"/>
      <w:r w:rsidRPr="000D48A3">
        <w:rPr>
          <w:rFonts w:ascii="Times New Roman" w:hAnsi="Times New Roman" w:cs="Times New Roman"/>
        </w:rPr>
        <w:t xml:space="preserve"> buvo gydyti 2486 pacientai, vartoję nuo 100 mg iki 2000 mg paros dozes, ir 1838 pacientai, vartoję </w:t>
      </w:r>
      <w:proofErr w:type="spellStart"/>
      <w:r w:rsidRPr="000D48A3">
        <w:rPr>
          <w:rFonts w:ascii="Times New Roman" w:hAnsi="Times New Roman" w:cs="Times New Roman"/>
        </w:rPr>
        <w:t>placebą</w:t>
      </w:r>
      <w:proofErr w:type="spellEnd"/>
      <w:r w:rsidRPr="000D48A3">
        <w:rPr>
          <w:rFonts w:ascii="Times New Roman" w:hAnsi="Times New Roman" w:cs="Times New Roman"/>
        </w:rPr>
        <w:t>. Vidutinė gydymo trukmė buvo 45 savaitės. Dažniausios nepageidaujamos reakcijos į vaist</w:t>
      </w:r>
      <w:r>
        <w:rPr>
          <w:rFonts w:ascii="Times New Roman" w:hAnsi="Times New Roman" w:cs="Times New Roman"/>
        </w:rPr>
        <w:t>inį preparat</w:t>
      </w:r>
      <w:r w:rsidRPr="000D48A3">
        <w:rPr>
          <w:rFonts w:ascii="Times New Roman" w:hAnsi="Times New Roman" w:cs="Times New Roman"/>
        </w:rPr>
        <w:t>ą (pasireiškusios ne mažiau nei 1</w:t>
      </w:r>
      <w:r w:rsidR="00BE275C">
        <w:rPr>
          <w:rFonts w:ascii="Times New Roman" w:hAnsi="Times New Roman" w:cs="Times New Roman"/>
        </w:rPr>
        <w:t> </w:t>
      </w:r>
      <w:r w:rsidRPr="000D48A3">
        <w:rPr>
          <w:rFonts w:ascii="Times New Roman" w:hAnsi="Times New Roman" w:cs="Times New Roman"/>
        </w:rPr>
        <w:t xml:space="preserve">% </w:t>
      </w:r>
      <w:proofErr w:type="spellStart"/>
      <w:r w:rsidRPr="000D48A3">
        <w:rPr>
          <w:rFonts w:ascii="Times New Roman" w:hAnsi="Times New Roman" w:cs="Times New Roman"/>
        </w:rPr>
        <w:t>bozentaną</w:t>
      </w:r>
      <w:proofErr w:type="spellEnd"/>
      <w:r w:rsidRPr="000D48A3">
        <w:rPr>
          <w:rFonts w:ascii="Times New Roman" w:hAnsi="Times New Roman" w:cs="Times New Roman"/>
        </w:rPr>
        <w:t xml:space="preserve"> vartojusių pacientų ir mažiausiai 0,5 % didesniu, nei </w:t>
      </w:r>
      <w:proofErr w:type="spellStart"/>
      <w:r w:rsidRPr="000D48A3">
        <w:rPr>
          <w:rFonts w:ascii="Times New Roman" w:hAnsi="Times New Roman" w:cs="Times New Roman"/>
        </w:rPr>
        <w:t>placebo</w:t>
      </w:r>
      <w:proofErr w:type="spellEnd"/>
      <w:r w:rsidRPr="000D48A3">
        <w:rPr>
          <w:rFonts w:ascii="Times New Roman" w:hAnsi="Times New Roman" w:cs="Times New Roman"/>
        </w:rPr>
        <w:t xml:space="preserve"> grupėje, dažniu) pranešimuose buvo galvos skausmas (11,5 %, palyginti su 9,8 %), edema</w:t>
      </w:r>
      <w:r>
        <w:rPr>
          <w:rFonts w:ascii="Times New Roman" w:hAnsi="Times New Roman" w:cs="Times New Roman"/>
        </w:rPr>
        <w:t xml:space="preserve"> </w:t>
      </w:r>
      <w:r w:rsidRPr="000D48A3">
        <w:rPr>
          <w:rFonts w:ascii="Times New Roman" w:hAnsi="Times New Roman" w:cs="Times New Roman"/>
        </w:rPr>
        <w:t>/</w:t>
      </w:r>
      <w:r>
        <w:rPr>
          <w:rFonts w:ascii="Times New Roman" w:hAnsi="Times New Roman" w:cs="Times New Roman"/>
        </w:rPr>
        <w:t xml:space="preserve"> </w:t>
      </w:r>
      <w:r w:rsidRPr="000D48A3">
        <w:rPr>
          <w:rFonts w:ascii="Times New Roman" w:hAnsi="Times New Roman" w:cs="Times New Roman"/>
        </w:rPr>
        <w:t>skysčių susilaikymas (13,2 %, palyginti su 10,9 %), nenormalūs kepenų veiklos tyrimų rezultatai (10,9 %, palyginti su 4,6 %) ir anemija</w:t>
      </w:r>
      <w:r>
        <w:rPr>
          <w:rFonts w:ascii="Times New Roman" w:hAnsi="Times New Roman" w:cs="Times New Roman"/>
        </w:rPr>
        <w:t xml:space="preserve"> </w:t>
      </w:r>
      <w:r w:rsidRPr="000D48A3">
        <w:rPr>
          <w:rFonts w:ascii="Times New Roman" w:hAnsi="Times New Roman" w:cs="Times New Roman"/>
        </w:rPr>
        <w:t>/</w:t>
      </w:r>
      <w:r>
        <w:rPr>
          <w:rFonts w:ascii="Times New Roman" w:hAnsi="Times New Roman" w:cs="Times New Roman"/>
        </w:rPr>
        <w:t xml:space="preserve"> </w:t>
      </w:r>
      <w:r w:rsidRPr="000D48A3">
        <w:rPr>
          <w:rFonts w:ascii="Times New Roman" w:hAnsi="Times New Roman" w:cs="Times New Roman"/>
        </w:rPr>
        <w:t xml:space="preserve">hemoglobino kiekio sumažėjimas (9,9 %, palyginti su 4,9 %). </w:t>
      </w: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rPr>
        <w:t xml:space="preserve">Gydymas </w:t>
      </w:r>
      <w:proofErr w:type="spellStart"/>
      <w:r w:rsidRPr="000D48A3">
        <w:rPr>
          <w:rFonts w:ascii="Times New Roman" w:hAnsi="Times New Roman" w:cs="Times New Roman"/>
        </w:rPr>
        <w:t>bozentanu</w:t>
      </w:r>
      <w:proofErr w:type="spellEnd"/>
      <w:r w:rsidRPr="000D48A3">
        <w:rPr>
          <w:rFonts w:ascii="Times New Roman" w:hAnsi="Times New Roman" w:cs="Times New Roman"/>
        </w:rPr>
        <w:t xml:space="preserve"> buvo susijęs su nuo dozės priklausomu kepenų </w:t>
      </w:r>
      <w:proofErr w:type="spellStart"/>
      <w:r w:rsidRPr="000D48A3">
        <w:rPr>
          <w:rFonts w:ascii="Times New Roman" w:hAnsi="Times New Roman" w:cs="Times New Roman"/>
        </w:rPr>
        <w:t>aminotransferazių</w:t>
      </w:r>
      <w:proofErr w:type="spellEnd"/>
      <w:r w:rsidRPr="000D48A3">
        <w:rPr>
          <w:rFonts w:ascii="Times New Roman" w:hAnsi="Times New Roman" w:cs="Times New Roman"/>
        </w:rPr>
        <w:t xml:space="preserve"> aktyvumo padidėjimu ir hemoglobino koncentracijos sumažėjimu (žr. 4.4 skyrių). </w:t>
      </w: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rPr>
        <w:t xml:space="preserve">20-ties </w:t>
      </w:r>
      <w:proofErr w:type="spellStart"/>
      <w:r w:rsidRPr="000D48A3">
        <w:rPr>
          <w:rFonts w:ascii="Times New Roman" w:hAnsi="Times New Roman" w:cs="Times New Roman"/>
        </w:rPr>
        <w:t>placebu</w:t>
      </w:r>
      <w:proofErr w:type="spellEnd"/>
      <w:r w:rsidRPr="000D48A3">
        <w:rPr>
          <w:rFonts w:ascii="Times New Roman" w:hAnsi="Times New Roman" w:cs="Times New Roman"/>
        </w:rPr>
        <w:t xml:space="preserve"> kontroliuojamų </w:t>
      </w:r>
      <w:proofErr w:type="spellStart"/>
      <w:r w:rsidRPr="000D48A3">
        <w:rPr>
          <w:rFonts w:ascii="Times New Roman" w:hAnsi="Times New Roman" w:cs="Times New Roman"/>
        </w:rPr>
        <w:t>bozentano</w:t>
      </w:r>
      <w:proofErr w:type="spellEnd"/>
      <w:r w:rsidRPr="000D48A3">
        <w:rPr>
          <w:rFonts w:ascii="Times New Roman" w:hAnsi="Times New Roman" w:cs="Times New Roman"/>
        </w:rPr>
        <w:t xml:space="preserve"> tyrimų metu nustatytos nepageidaujamos reakcijos</w:t>
      </w:r>
      <w:r>
        <w:rPr>
          <w:rFonts w:ascii="Times New Roman" w:hAnsi="Times New Roman" w:cs="Times New Roman"/>
        </w:rPr>
        <w:t xml:space="preserve"> </w:t>
      </w:r>
      <w:r w:rsidRPr="000D48A3">
        <w:rPr>
          <w:rFonts w:ascii="Times New Roman" w:hAnsi="Times New Roman" w:cs="Times New Roman"/>
        </w:rPr>
        <w:t>/</w:t>
      </w:r>
      <w:r>
        <w:rPr>
          <w:rFonts w:ascii="Times New Roman" w:hAnsi="Times New Roman" w:cs="Times New Roman"/>
        </w:rPr>
        <w:t xml:space="preserve"> </w:t>
      </w:r>
      <w:r w:rsidRPr="000D48A3">
        <w:rPr>
          <w:rFonts w:ascii="Times New Roman" w:hAnsi="Times New Roman" w:cs="Times New Roman"/>
        </w:rPr>
        <w:t xml:space="preserve">nepageidaujamas poveikis, yra suklasifikuoti pagal dažnį, remiantis šiuo susitarimu: labai dažnas (≥ 1/10); dažnas (nuo ≥ 1/100 iki &lt; 1/10); nedažnas (nuo ≥ 1/1000 iki &lt; 1/100); retas (nuo ≥ 1/10000 iki &lt; 1/1000); labai retas (&lt; 1/10000). </w:t>
      </w: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rPr>
        <w:t>P</w:t>
      </w:r>
      <w:r>
        <w:rPr>
          <w:rFonts w:ascii="Times New Roman" w:hAnsi="Times New Roman" w:cs="Times New Roman"/>
        </w:rPr>
        <w:t>r</w:t>
      </w:r>
      <w:r w:rsidRPr="000D48A3">
        <w:rPr>
          <w:rFonts w:ascii="Times New Roman" w:hAnsi="Times New Roman" w:cs="Times New Roman"/>
        </w:rPr>
        <w:t>anešimai, po vaist</w:t>
      </w:r>
      <w:r>
        <w:rPr>
          <w:rFonts w:ascii="Times New Roman" w:hAnsi="Times New Roman" w:cs="Times New Roman"/>
        </w:rPr>
        <w:t>inio preparat</w:t>
      </w:r>
      <w:r w:rsidRPr="000D48A3">
        <w:rPr>
          <w:rFonts w:ascii="Times New Roman" w:hAnsi="Times New Roman" w:cs="Times New Roman"/>
        </w:rPr>
        <w:t xml:space="preserve">o patekimo į rinką, yra pateikti kursyvu, dažnio kategorijos pagrįstos </w:t>
      </w:r>
      <w:proofErr w:type="spellStart"/>
      <w:r w:rsidRPr="000D48A3">
        <w:rPr>
          <w:rFonts w:ascii="Times New Roman" w:hAnsi="Times New Roman" w:cs="Times New Roman"/>
        </w:rPr>
        <w:t>bozentano</w:t>
      </w:r>
      <w:proofErr w:type="spellEnd"/>
      <w:r w:rsidRPr="000D48A3">
        <w:rPr>
          <w:rFonts w:ascii="Times New Roman" w:hAnsi="Times New Roman" w:cs="Times New Roman"/>
        </w:rPr>
        <w:t xml:space="preserve"> nepageidaujamų reiškinių pranešimų, gautų iš 20 </w:t>
      </w:r>
      <w:proofErr w:type="spellStart"/>
      <w:r w:rsidRPr="000D48A3">
        <w:rPr>
          <w:rFonts w:ascii="Times New Roman" w:hAnsi="Times New Roman" w:cs="Times New Roman"/>
        </w:rPr>
        <w:t>placebu</w:t>
      </w:r>
      <w:proofErr w:type="spellEnd"/>
      <w:r w:rsidRPr="000D48A3">
        <w:rPr>
          <w:rFonts w:ascii="Times New Roman" w:hAnsi="Times New Roman" w:cs="Times New Roman"/>
        </w:rPr>
        <w:t xml:space="preserve"> kontroliuojamų tyrimų, dažniu.</w:t>
      </w: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rPr>
        <w:t>Dažnio klasifikacijoje neatsižvelgiama į kitus veiksnius, pvz., skirtingą tyrimų trukmę, esamas kitas ligas ir paciento būklę tyrimo pradžioje. Kiekvienoje dažnio grupėje nepageidaujamas poveikis pateikiamas mažėjančio sunkumo tvarka. Kliniškai reikšmingų nepageidaujamo poveikio skirtumų tarp bendro duomenų komplekto ir patvirtintų indikacijų nepastebėta.</w:t>
      </w:r>
    </w:p>
    <w:p w:rsidR="00A4103A" w:rsidRPr="000D48A3" w:rsidRDefault="00A4103A" w:rsidP="00A4103A">
      <w:pPr>
        <w:spacing w:after="0" w:line="240" w:lineRule="auto"/>
        <w:rPr>
          <w:rFonts w:ascii="Times New Roman" w:hAnsi="Times New Roman"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980"/>
        <w:gridCol w:w="4498"/>
      </w:tblGrid>
      <w:tr w:rsidR="00A4103A" w:rsidRPr="00B2082E" w:rsidTr="00540DBA">
        <w:tc>
          <w:tcPr>
            <w:tcW w:w="252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Organų sistemų klasė</w:t>
            </w: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 xml:space="preserve">Dažnis </w:t>
            </w:r>
          </w:p>
        </w:tc>
        <w:tc>
          <w:tcPr>
            <w:tcW w:w="4498"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Nepageidaujama reakcija</w:t>
            </w:r>
          </w:p>
        </w:tc>
      </w:tr>
      <w:tr w:rsidR="00A4103A" w:rsidRPr="00B2082E" w:rsidTr="00540DBA">
        <w:tc>
          <w:tcPr>
            <w:tcW w:w="2520" w:type="dxa"/>
            <w:tcBorders>
              <w:bottom w:val="nil"/>
            </w:tcBorders>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Kraujo ir limfinės sistemos sutrikimai</w:t>
            </w: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Dažnas</w:t>
            </w:r>
          </w:p>
        </w:tc>
        <w:tc>
          <w:tcPr>
            <w:tcW w:w="4498"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Anemija, hemoglobino kiekio sumažėjimas (žr. 4.4 skyrių)</w:t>
            </w:r>
          </w:p>
        </w:tc>
      </w:tr>
      <w:tr w:rsidR="00A4103A" w:rsidRPr="00B2082E" w:rsidTr="00540DBA">
        <w:tc>
          <w:tcPr>
            <w:tcW w:w="2520" w:type="dxa"/>
            <w:tcBorders>
              <w:top w:val="nil"/>
              <w:bottom w:val="nil"/>
            </w:tcBorders>
          </w:tcPr>
          <w:p w:rsidR="00A4103A" w:rsidRPr="000D48A3" w:rsidRDefault="00A4103A" w:rsidP="00540DBA">
            <w:pPr>
              <w:tabs>
                <w:tab w:val="left" w:pos="425"/>
              </w:tabs>
              <w:spacing w:after="0" w:line="240" w:lineRule="auto"/>
              <w:rPr>
                <w:rFonts w:ascii="Times New Roman" w:hAnsi="Times New Roman" w:cs="Times New Roman"/>
              </w:rPr>
            </w:pP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Dažnis nežinomas</w:t>
            </w:r>
            <w:r w:rsidRPr="000D48A3">
              <w:rPr>
                <w:rFonts w:ascii="Times New Roman" w:hAnsi="Times New Roman" w:cs="Times New Roman"/>
                <w:vertAlign w:val="superscript"/>
              </w:rPr>
              <w:t>1</w:t>
            </w:r>
          </w:p>
        </w:tc>
        <w:tc>
          <w:tcPr>
            <w:tcW w:w="4498" w:type="dxa"/>
          </w:tcPr>
          <w:p w:rsidR="00A4103A" w:rsidRPr="0003407E" w:rsidRDefault="00A4103A" w:rsidP="00540DBA">
            <w:pPr>
              <w:tabs>
                <w:tab w:val="left" w:pos="425"/>
              </w:tabs>
              <w:spacing w:after="0" w:line="240" w:lineRule="auto"/>
              <w:rPr>
                <w:rFonts w:ascii="Times New Roman" w:hAnsi="Times New Roman"/>
              </w:rPr>
            </w:pPr>
            <w:r w:rsidRPr="0003407E">
              <w:rPr>
                <w:rFonts w:ascii="Times New Roman" w:hAnsi="Times New Roman"/>
              </w:rPr>
              <w:t xml:space="preserve">Anemija arba hemoglobino kiekio sumažėjimas, dėl kurių reikia raudonųjų kraujo kūnelių perpylimo </w:t>
            </w:r>
          </w:p>
        </w:tc>
      </w:tr>
      <w:tr w:rsidR="00A4103A" w:rsidRPr="00B2082E" w:rsidTr="00540DBA">
        <w:tc>
          <w:tcPr>
            <w:tcW w:w="2520" w:type="dxa"/>
            <w:tcBorders>
              <w:top w:val="nil"/>
              <w:bottom w:val="nil"/>
            </w:tcBorders>
          </w:tcPr>
          <w:p w:rsidR="00A4103A" w:rsidRPr="000D48A3" w:rsidRDefault="00A4103A" w:rsidP="00540DBA">
            <w:pPr>
              <w:tabs>
                <w:tab w:val="left" w:pos="425"/>
              </w:tabs>
              <w:spacing w:after="0" w:line="240" w:lineRule="auto"/>
              <w:rPr>
                <w:rFonts w:ascii="Times New Roman" w:hAnsi="Times New Roman" w:cs="Times New Roman"/>
              </w:rPr>
            </w:pP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Nedažnas</w:t>
            </w:r>
          </w:p>
        </w:tc>
        <w:tc>
          <w:tcPr>
            <w:tcW w:w="4498" w:type="dxa"/>
          </w:tcPr>
          <w:p w:rsidR="00A4103A" w:rsidRPr="0003407E" w:rsidRDefault="00A4103A" w:rsidP="00540DBA">
            <w:pPr>
              <w:tabs>
                <w:tab w:val="left" w:pos="425"/>
              </w:tabs>
              <w:spacing w:after="0" w:line="240" w:lineRule="auto"/>
              <w:rPr>
                <w:rFonts w:ascii="Times New Roman" w:hAnsi="Times New Roman"/>
              </w:rPr>
            </w:pPr>
            <w:proofErr w:type="spellStart"/>
            <w:r w:rsidRPr="0003407E">
              <w:rPr>
                <w:rFonts w:ascii="Times New Roman" w:hAnsi="Times New Roman"/>
              </w:rPr>
              <w:t>Trombocitopenija</w:t>
            </w:r>
            <w:proofErr w:type="spellEnd"/>
            <w:r w:rsidRPr="0003407E">
              <w:rPr>
                <w:rFonts w:ascii="Times New Roman" w:hAnsi="Times New Roman"/>
              </w:rPr>
              <w:t xml:space="preserve"> </w:t>
            </w:r>
          </w:p>
        </w:tc>
      </w:tr>
      <w:tr w:rsidR="00A4103A" w:rsidRPr="00B2082E" w:rsidTr="00540DBA">
        <w:tc>
          <w:tcPr>
            <w:tcW w:w="2520" w:type="dxa"/>
            <w:tcBorders>
              <w:top w:val="nil"/>
            </w:tcBorders>
          </w:tcPr>
          <w:p w:rsidR="00A4103A" w:rsidRPr="000D48A3" w:rsidRDefault="00A4103A" w:rsidP="00540DBA">
            <w:pPr>
              <w:tabs>
                <w:tab w:val="left" w:pos="425"/>
              </w:tabs>
              <w:spacing w:after="0" w:line="240" w:lineRule="auto"/>
              <w:rPr>
                <w:rFonts w:ascii="Times New Roman" w:hAnsi="Times New Roman" w:cs="Times New Roman"/>
              </w:rPr>
            </w:pP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Nedažnas</w:t>
            </w:r>
          </w:p>
        </w:tc>
        <w:tc>
          <w:tcPr>
            <w:tcW w:w="4498" w:type="dxa"/>
          </w:tcPr>
          <w:p w:rsidR="00A4103A" w:rsidRPr="0003407E" w:rsidRDefault="00A4103A" w:rsidP="00540DBA">
            <w:pPr>
              <w:tabs>
                <w:tab w:val="left" w:pos="425"/>
              </w:tabs>
              <w:spacing w:after="0" w:line="240" w:lineRule="auto"/>
              <w:rPr>
                <w:rFonts w:ascii="Times New Roman" w:hAnsi="Times New Roman"/>
              </w:rPr>
            </w:pPr>
            <w:proofErr w:type="spellStart"/>
            <w:r w:rsidRPr="0003407E">
              <w:rPr>
                <w:rFonts w:ascii="Times New Roman" w:hAnsi="Times New Roman"/>
              </w:rPr>
              <w:t>Neutropenija</w:t>
            </w:r>
            <w:proofErr w:type="spellEnd"/>
            <w:r w:rsidRPr="0003407E">
              <w:rPr>
                <w:rFonts w:ascii="Times New Roman" w:hAnsi="Times New Roman"/>
              </w:rPr>
              <w:t xml:space="preserve">, </w:t>
            </w:r>
            <w:proofErr w:type="spellStart"/>
            <w:r w:rsidRPr="0003407E">
              <w:rPr>
                <w:rFonts w:ascii="Times New Roman" w:hAnsi="Times New Roman"/>
              </w:rPr>
              <w:t>leukopenija</w:t>
            </w:r>
            <w:proofErr w:type="spellEnd"/>
          </w:p>
        </w:tc>
      </w:tr>
      <w:tr w:rsidR="00A4103A" w:rsidRPr="00B2082E" w:rsidTr="00540DBA">
        <w:tc>
          <w:tcPr>
            <w:tcW w:w="2520" w:type="dxa"/>
            <w:tcBorders>
              <w:bottom w:val="nil"/>
            </w:tcBorders>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Imuninės sistemos sutrikimai</w:t>
            </w: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Dažnas</w:t>
            </w:r>
          </w:p>
        </w:tc>
        <w:tc>
          <w:tcPr>
            <w:tcW w:w="4498"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Padidėjusio jautrumo reakcijos (įskaitant dermatitą, niežėjimą ir išbėrimą)</w:t>
            </w:r>
            <w:r w:rsidRPr="000D48A3">
              <w:rPr>
                <w:rFonts w:ascii="Times New Roman" w:hAnsi="Times New Roman" w:cs="Times New Roman"/>
                <w:vertAlign w:val="superscript"/>
              </w:rPr>
              <w:t>2</w:t>
            </w:r>
          </w:p>
        </w:tc>
      </w:tr>
      <w:tr w:rsidR="00A4103A" w:rsidRPr="00B2082E" w:rsidTr="00540DBA">
        <w:tc>
          <w:tcPr>
            <w:tcW w:w="2520" w:type="dxa"/>
            <w:tcBorders>
              <w:top w:val="nil"/>
            </w:tcBorders>
          </w:tcPr>
          <w:p w:rsidR="00A4103A" w:rsidRPr="000D48A3" w:rsidRDefault="00A4103A" w:rsidP="00540DBA">
            <w:pPr>
              <w:tabs>
                <w:tab w:val="left" w:pos="425"/>
              </w:tabs>
              <w:spacing w:after="0" w:line="240" w:lineRule="auto"/>
              <w:rPr>
                <w:rFonts w:ascii="Times New Roman" w:hAnsi="Times New Roman" w:cs="Times New Roman"/>
              </w:rPr>
            </w:pP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Retas</w:t>
            </w:r>
          </w:p>
        </w:tc>
        <w:tc>
          <w:tcPr>
            <w:tcW w:w="4498" w:type="dxa"/>
          </w:tcPr>
          <w:p w:rsidR="00A4103A" w:rsidRPr="00AC6469" w:rsidRDefault="00A4103A" w:rsidP="00540DBA">
            <w:pPr>
              <w:tabs>
                <w:tab w:val="left" w:pos="425"/>
              </w:tabs>
              <w:spacing w:after="0" w:line="240" w:lineRule="auto"/>
              <w:rPr>
                <w:rFonts w:ascii="Times New Roman" w:hAnsi="Times New Roman" w:cs="Times New Roman"/>
              </w:rPr>
            </w:pPr>
            <w:proofErr w:type="spellStart"/>
            <w:r w:rsidRPr="0003407E">
              <w:rPr>
                <w:rFonts w:ascii="Times New Roman" w:hAnsi="Times New Roman"/>
              </w:rPr>
              <w:t>Anafilaksija</w:t>
            </w:r>
            <w:proofErr w:type="spellEnd"/>
            <w:r w:rsidRPr="0003407E">
              <w:rPr>
                <w:rFonts w:ascii="Times New Roman" w:hAnsi="Times New Roman"/>
              </w:rPr>
              <w:t xml:space="preserve"> ir (arba) </w:t>
            </w:r>
            <w:proofErr w:type="spellStart"/>
            <w:r w:rsidRPr="0003407E">
              <w:rPr>
                <w:rFonts w:ascii="Times New Roman" w:hAnsi="Times New Roman"/>
              </w:rPr>
              <w:t>angioneurozinė</w:t>
            </w:r>
            <w:proofErr w:type="spellEnd"/>
            <w:r w:rsidRPr="0003407E">
              <w:rPr>
                <w:rFonts w:ascii="Times New Roman" w:hAnsi="Times New Roman"/>
              </w:rPr>
              <w:t xml:space="preserve"> edema</w:t>
            </w:r>
          </w:p>
        </w:tc>
      </w:tr>
      <w:tr w:rsidR="00A4103A" w:rsidRPr="00B2082E" w:rsidTr="00540DBA">
        <w:tc>
          <w:tcPr>
            <w:tcW w:w="2520" w:type="dxa"/>
            <w:tcBorders>
              <w:bottom w:val="nil"/>
            </w:tcBorders>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Nervų sistemos sutrikimai</w:t>
            </w: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Labai dažnas</w:t>
            </w:r>
          </w:p>
        </w:tc>
        <w:tc>
          <w:tcPr>
            <w:tcW w:w="4498"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Galvos skausmas</w:t>
            </w:r>
            <w:r w:rsidRPr="000D48A3">
              <w:rPr>
                <w:rFonts w:ascii="Times New Roman" w:hAnsi="Times New Roman" w:cs="Times New Roman"/>
                <w:vertAlign w:val="superscript"/>
              </w:rPr>
              <w:t>3</w:t>
            </w:r>
          </w:p>
        </w:tc>
      </w:tr>
      <w:tr w:rsidR="00A4103A" w:rsidRPr="00B2082E" w:rsidTr="00540DBA">
        <w:tc>
          <w:tcPr>
            <w:tcW w:w="2520" w:type="dxa"/>
            <w:tcBorders>
              <w:top w:val="nil"/>
            </w:tcBorders>
          </w:tcPr>
          <w:p w:rsidR="00A4103A" w:rsidRPr="000D48A3" w:rsidRDefault="00A4103A" w:rsidP="00540DBA">
            <w:pPr>
              <w:tabs>
                <w:tab w:val="left" w:pos="425"/>
              </w:tabs>
              <w:spacing w:after="0" w:line="240" w:lineRule="auto"/>
              <w:rPr>
                <w:rFonts w:ascii="Times New Roman" w:hAnsi="Times New Roman" w:cs="Times New Roman"/>
              </w:rPr>
            </w:pP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Dažnas</w:t>
            </w:r>
          </w:p>
        </w:tc>
        <w:tc>
          <w:tcPr>
            <w:tcW w:w="4498" w:type="dxa"/>
          </w:tcPr>
          <w:p w:rsidR="00A4103A" w:rsidRPr="0003407E" w:rsidRDefault="00A4103A" w:rsidP="00540DBA">
            <w:pPr>
              <w:tabs>
                <w:tab w:val="left" w:pos="425"/>
              </w:tabs>
              <w:spacing w:after="0" w:line="240" w:lineRule="auto"/>
              <w:rPr>
                <w:rFonts w:ascii="Times New Roman" w:hAnsi="Times New Roman"/>
              </w:rPr>
            </w:pPr>
            <w:r w:rsidRPr="0003407E">
              <w:rPr>
                <w:rFonts w:ascii="Times New Roman" w:hAnsi="Times New Roman"/>
              </w:rPr>
              <w:t>Apalpimas (sinkopė)</w:t>
            </w:r>
            <w:r w:rsidRPr="0003407E">
              <w:rPr>
                <w:rFonts w:ascii="Times New Roman" w:hAnsi="Times New Roman"/>
                <w:vertAlign w:val="superscript"/>
              </w:rPr>
              <w:t>4</w:t>
            </w:r>
          </w:p>
        </w:tc>
      </w:tr>
      <w:tr w:rsidR="004F4E71" w:rsidRPr="00B2082E" w:rsidTr="00540DBA">
        <w:tc>
          <w:tcPr>
            <w:tcW w:w="2520" w:type="dxa"/>
            <w:tcBorders>
              <w:top w:val="nil"/>
            </w:tcBorders>
          </w:tcPr>
          <w:p w:rsidR="004F4E71" w:rsidRPr="000D48A3" w:rsidRDefault="004F4E71" w:rsidP="004F4E71">
            <w:pPr>
              <w:tabs>
                <w:tab w:val="left" w:pos="425"/>
              </w:tabs>
              <w:spacing w:after="0" w:line="240" w:lineRule="auto"/>
              <w:rPr>
                <w:rFonts w:ascii="Times New Roman" w:hAnsi="Times New Roman" w:cs="Times New Roman"/>
              </w:rPr>
            </w:pPr>
            <w:r w:rsidRPr="004F4E71">
              <w:rPr>
                <w:rFonts w:ascii="Times New Roman" w:hAnsi="Times New Roman" w:cs="Times New Roman"/>
              </w:rPr>
              <w:t xml:space="preserve">Akių sutrikimai </w:t>
            </w:r>
          </w:p>
        </w:tc>
        <w:tc>
          <w:tcPr>
            <w:tcW w:w="1980" w:type="dxa"/>
          </w:tcPr>
          <w:p w:rsidR="004F4E71" w:rsidRPr="000D48A3" w:rsidRDefault="004F4E71" w:rsidP="00540DBA">
            <w:pPr>
              <w:tabs>
                <w:tab w:val="left" w:pos="425"/>
              </w:tabs>
              <w:spacing w:after="0" w:line="240" w:lineRule="auto"/>
              <w:rPr>
                <w:rFonts w:ascii="Times New Roman" w:hAnsi="Times New Roman" w:cs="Times New Roman"/>
              </w:rPr>
            </w:pPr>
            <w:r>
              <w:rPr>
                <w:rFonts w:ascii="Times New Roman" w:hAnsi="Times New Roman" w:cs="Times New Roman"/>
              </w:rPr>
              <w:t>D</w:t>
            </w:r>
            <w:r w:rsidRPr="004F4E71">
              <w:rPr>
                <w:rFonts w:ascii="Times New Roman" w:hAnsi="Times New Roman" w:cs="Times New Roman"/>
              </w:rPr>
              <w:t>ažnis nežinomas</w:t>
            </w:r>
          </w:p>
        </w:tc>
        <w:tc>
          <w:tcPr>
            <w:tcW w:w="4498" w:type="dxa"/>
          </w:tcPr>
          <w:p w:rsidR="004F4E71" w:rsidRPr="0003407E" w:rsidRDefault="004F4E71" w:rsidP="00540DBA">
            <w:pPr>
              <w:tabs>
                <w:tab w:val="left" w:pos="425"/>
              </w:tabs>
              <w:spacing w:after="0" w:line="240" w:lineRule="auto"/>
              <w:rPr>
                <w:rFonts w:ascii="Times New Roman" w:hAnsi="Times New Roman"/>
              </w:rPr>
            </w:pPr>
            <w:r>
              <w:rPr>
                <w:rFonts w:ascii="Times New Roman" w:hAnsi="Times New Roman"/>
              </w:rPr>
              <w:t>Miglotas matymas</w:t>
            </w:r>
          </w:p>
        </w:tc>
      </w:tr>
      <w:tr w:rsidR="00A4103A" w:rsidRPr="00B2082E" w:rsidTr="00540DBA">
        <w:tc>
          <w:tcPr>
            <w:tcW w:w="252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Širdies sutrikimai</w:t>
            </w: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Dažnas</w:t>
            </w:r>
          </w:p>
        </w:tc>
        <w:tc>
          <w:tcPr>
            <w:tcW w:w="4498" w:type="dxa"/>
          </w:tcPr>
          <w:p w:rsidR="00A4103A" w:rsidRPr="00AC6469" w:rsidRDefault="00A4103A" w:rsidP="00540DBA">
            <w:pPr>
              <w:tabs>
                <w:tab w:val="left" w:pos="425"/>
              </w:tabs>
              <w:spacing w:after="0" w:line="240" w:lineRule="auto"/>
              <w:rPr>
                <w:rFonts w:ascii="Times New Roman" w:hAnsi="Times New Roman" w:cs="Times New Roman"/>
              </w:rPr>
            </w:pPr>
            <w:r w:rsidRPr="0003407E">
              <w:rPr>
                <w:rFonts w:ascii="Times New Roman" w:hAnsi="Times New Roman"/>
              </w:rPr>
              <w:t>Palpitacijos</w:t>
            </w:r>
            <w:r w:rsidRPr="0003407E">
              <w:rPr>
                <w:rFonts w:ascii="Times New Roman" w:hAnsi="Times New Roman"/>
                <w:vertAlign w:val="superscript"/>
              </w:rPr>
              <w:t>4</w:t>
            </w:r>
          </w:p>
        </w:tc>
      </w:tr>
      <w:tr w:rsidR="00A4103A" w:rsidRPr="00B2082E" w:rsidTr="00540DBA">
        <w:tc>
          <w:tcPr>
            <w:tcW w:w="2520" w:type="dxa"/>
            <w:tcBorders>
              <w:bottom w:val="nil"/>
            </w:tcBorders>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Kraujagyslių sutrikimai</w:t>
            </w: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Dažnas</w:t>
            </w:r>
          </w:p>
        </w:tc>
        <w:tc>
          <w:tcPr>
            <w:tcW w:w="4498"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Staigus veido paraudimas</w:t>
            </w:r>
          </w:p>
        </w:tc>
      </w:tr>
      <w:tr w:rsidR="00A4103A" w:rsidRPr="00B2082E" w:rsidTr="00540DBA">
        <w:tc>
          <w:tcPr>
            <w:tcW w:w="2520" w:type="dxa"/>
            <w:tcBorders>
              <w:top w:val="nil"/>
            </w:tcBorders>
          </w:tcPr>
          <w:p w:rsidR="00A4103A" w:rsidRPr="000D48A3" w:rsidRDefault="00A4103A" w:rsidP="00540DBA">
            <w:pPr>
              <w:tabs>
                <w:tab w:val="left" w:pos="425"/>
              </w:tabs>
              <w:spacing w:after="0" w:line="240" w:lineRule="auto"/>
              <w:rPr>
                <w:rFonts w:ascii="Times New Roman" w:hAnsi="Times New Roman" w:cs="Times New Roman"/>
              </w:rPr>
            </w:pP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Dažnas</w:t>
            </w:r>
          </w:p>
        </w:tc>
        <w:tc>
          <w:tcPr>
            <w:tcW w:w="4498" w:type="dxa"/>
          </w:tcPr>
          <w:p w:rsidR="00A4103A" w:rsidRPr="00AC6469" w:rsidRDefault="00A4103A" w:rsidP="00540DBA">
            <w:pPr>
              <w:tabs>
                <w:tab w:val="left" w:pos="425"/>
              </w:tabs>
              <w:spacing w:after="0" w:line="240" w:lineRule="auto"/>
              <w:rPr>
                <w:rFonts w:ascii="Times New Roman" w:hAnsi="Times New Roman" w:cs="Times New Roman"/>
              </w:rPr>
            </w:pPr>
            <w:r w:rsidRPr="0003407E">
              <w:rPr>
                <w:rFonts w:ascii="Times New Roman" w:hAnsi="Times New Roman"/>
              </w:rPr>
              <w:t>Hipotenzija</w:t>
            </w:r>
            <w:r w:rsidRPr="0003407E">
              <w:rPr>
                <w:rFonts w:ascii="Times New Roman" w:hAnsi="Times New Roman"/>
                <w:vertAlign w:val="superscript"/>
              </w:rPr>
              <w:t>4</w:t>
            </w:r>
          </w:p>
        </w:tc>
      </w:tr>
      <w:tr w:rsidR="00A4103A" w:rsidRPr="00B2082E" w:rsidTr="00540DBA">
        <w:tc>
          <w:tcPr>
            <w:tcW w:w="2520" w:type="dxa"/>
            <w:tcBorders>
              <w:top w:val="nil"/>
            </w:tcBorders>
          </w:tcPr>
          <w:p w:rsidR="00A4103A" w:rsidRPr="000D48A3" w:rsidRDefault="00A4103A" w:rsidP="00540DBA">
            <w:pPr>
              <w:tabs>
                <w:tab w:val="left" w:pos="425"/>
              </w:tabs>
              <w:spacing w:after="0" w:line="240" w:lineRule="auto"/>
              <w:rPr>
                <w:rFonts w:ascii="Times New Roman" w:hAnsi="Times New Roman" w:cs="Times New Roman"/>
              </w:rPr>
            </w:pPr>
            <w:r w:rsidRPr="00A045A1">
              <w:rPr>
                <w:rFonts w:ascii="Times New Roman" w:hAnsi="Times New Roman" w:cs="Times New Roman"/>
              </w:rPr>
              <w:t>Kvėpavimo sistemos, krūtinės ląstos ir tarpuplaučio sutrikimai</w:t>
            </w: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Dažnas</w:t>
            </w:r>
          </w:p>
        </w:tc>
        <w:tc>
          <w:tcPr>
            <w:tcW w:w="4498" w:type="dxa"/>
          </w:tcPr>
          <w:p w:rsidR="00A4103A" w:rsidRPr="000D48A3" w:rsidRDefault="00A4103A" w:rsidP="00540DBA">
            <w:pPr>
              <w:tabs>
                <w:tab w:val="left" w:pos="425"/>
              </w:tabs>
              <w:spacing w:after="0" w:line="240" w:lineRule="auto"/>
              <w:rPr>
                <w:rFonts w:ascii="Times New Roman" w:hAnsi="Times New Roman" w:cs="Times New Roman"/>
                <w:i/>
                <w:iCs/>
              </w:rPr>
            </w:pPr>
            <w:r>
              <w:rPr>
                <w:rFonts w:ascii="Times New Roman" w:hAnsi="Times New Roman" w:cs="Times New Roman"/>
              </w:rPr>
              <w:t>N</w:t>
            </w:r>
            <w:r w:rsidRPr="00A045A1">
              <w:rPr>
                <w:rFonts w:ascii="Times New Roman" w:hAnsi="Times New Roman" w:cs="Times New Roman"/>
              </w:rPr>
              <w:t>osies užgulimas</w:t>
            </w:r>
          </w:p>
        </w:tc>
      </w:tr>
      <w:tr w:rsidR="00A4103A" w:rsidRPr="00B2082E" w:rsidTr="00540DBA">
        <w:tc>
          <w:tcPr>
            <w:tcW w:w="252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Virškinimo trakto sutrikimai</w:t>
            </w: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Dažnas</w:t>
            </w:r>
          </w:p>
        </w:tc>
        <w:tc>
          <w:tcPr>
            <w:tcW w:w="4498" w:type="dxa"/>
          </w:tcPr>
          <w:p w:rsidR="00A4103A" w:rsidRPr="000D48A3" w:rsidRDefault="00A4103A" w:rsidP="00540DB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Gastroezofaginio</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refliukso</w:t>
            </w:r>
            <w:proofErr w:type="spellEnd"/>
            <w:r w:rsidRPr="000D48A3">
              <w:rPr>
                <w:rFonts w:ascii="Times New Roman" w:hAnsi="Times New Roman" w:cs="Times New Roman"/>
                <w:color w:val="000000"/>
                <w:lang w:eastAsia="lt-LT"/>
              </w:rPr>
              <w:t xml:space="preserve"> liga </w:t>
            </w:r>
          </w:p>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Viduriavimas</w:t>
            </w:r>
          </w:p>
        </w:tc>
      </w:tr>
      <w:tr w:rsidR="00A4103A" w:rsidRPr="00B2082E" w:rsidTr="00540DBA">
        <w:tc>
          <w:tcPr>
            <w:tcW w:w="2520" w:type="dxa"/>
            <w:tcBorders>
              <w:bottom w:val="nil"/>
            </w:tcBorders>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 xml:space="preserve">Kepenų, tulžies pūslės ir latakų sutrikimai </w:t>
            </w: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Labai dažnas</w:t>
            </w:r>
          </w:p>
        </w:tc>
        <w:tc>
          <w:tcPr>
            <w:tcW w:w="4498"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 xml:space="preserve">Nenormalūs kepenų funkcijos tyrimo rezultatai (žr. 4.4 skyrių) </w:t>
            </w:r>
          </w:p>
        </w:tc>
      </w:tr>
      <w:tr w:rsidR="00A4103A" w:rsidRPr="00B2082E" w:rsidTr="00540DBA">
        <w:tc>
          <w:tcPr>
            <w:tcW w:w="2520" w:type="dxa"/>
            <w:tcBorders>
              <w:top w:val="nil"/>
              <w:bottom w:val="nil"/>
            </w:tcBorders>
          </w:tcPr>
          <w:p w:rsidR="00A4103A" w:rsidRPr="000D48A3" w:rsidRDefault="00A4103A" w:rsidP="00540DBA">
            <w:pPr>
              <w:tabs>
                <w:tab w:val="left" w:pos="425"/>
              </w:tabs>
              <w:spacing w:after="0" w:line="240" w:lineRule="auto"/>
              <w:rPr>
                <w:rFonts w:ascii="Times New Roman" w:hAnsi="Times New Roman" w:cs="Times New Roman"/>
              </w:rPr>
            </w:pP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Dažnas</w:t>
            </w:r>
          </w:p>
        </w:tc>
        <w:tc>
          <w:tcPr>
            <w:tcW w:w="4498" w:type="dxa"/>
          </w:tcPr>
          <w:p w:rsidR="00A4103A" w:rsidRPr="000D48A3" w:rsidRDefault="00A4103A" w:rsidP="00540DBA">
            <w:pPr>
              <w:tabs>
                <w:tab w:val="left" w:pos="425"/>
              </w:tabs>
              <w:spacing w:after="0" w:line="240" w:lineRule="auto"/>
              <w:rPr>
                <w:rFonts w:ascii="Times New Roman" w:hAnsi="Times New Roman" w:cs="Times New Roman"/>
              </w:rPr>
            </w:pPr>
            <w:r w:rsidRPr="00A045A1">
              <w:rPr>
                <w:rFonts w:ascii="Times New Roman" w:hAnsi="Times New Roman" w:cs="Times New Roman"/>
                <w:iCs/>
              </w:rPr>
              <w:t>Su</w:t>
            </w:r>
            <w:r w:rsidRPr="0003407E">
              <w:rPr>
                <w:rFonts w:ascii="Times New Roman" w:hAnsi="Times New Roman"/>
              </w:rPr>
              <w:t xml:space="preserve"> hepatitu </w:t>
            </w:r>
            <w:r w:rsidRPr="00A045A1">
              <w:rPr>
                <w:rFonts w:ascii="Times New Roman" w:hAnsi="Times New Roman" w:cs="Times New Roman"/>
                <w:iCs/>
              </w:rPr>
              <w:t xml:space="preserve">(įskaitant galimą jau diagnozuoto hepatito paūmėjimą) </w:t>
            </w:r>
            <w:r w:rsidRPr="0003407E">
              <w:rPr>
                <w:rFonts w:ascii="Times New Roman" w:hAnsi="Times New Roman"/>
              </w:rPr>
              <w:t xml:space="preserve">ir (arba) gelta </w:t>
            </w:r>
            <w:r w:rsidRPr="00A045A1">
              <w:rPr>
                <w:rFonts w:ascii="Times New Roman" w:hAnsi="Times New Roman" w:cs="Times New Roman"/>
                <w:iCs/>
              </w:rPr>
              <w:t xml:space="preserve">siejamas </w:t>
            </w:r>
            <w:proofErr w:type="spellStart"/>
            <w:r w:rsidRPr="00A045A1">
              <w:rPr>
                <w:rFonts w:ascii="Times New Roman" w:hAnsi="Times New Roman" w:cs="Times New Roman"/>
                <w:iCs/>
              </w:rPr>
              <w:t>aminotransferazės</w:t>
            </w:r>
            <w:proofErr w:type="spellEnd"/>
            <w:r w:rsidRPr="00A045A1">
              <w:rPr>
                <w:rFonts w:ascii="Times New Roman" w:hAnsi="Times New Roman" w:cs="Times New Roman"/>
                <w:iCs/>
              </w:rPr>
              <w:t xml:space="preserve"> kiekio padidėjimas</w:t>
            </w:r>
            <w:r w:rsidRPr="00AC6469">
              <w:rPr>
                <w:rFonts w:ascii="Times New Roman" w:hAnsi="Times New Roman" w:cs="Times New Roman"/>
              </w:rPr>
              <w:t xml:space="preserve"> </w:t>
            </w:r>
            <w:r w:rsidRPr="000D48A3">
              <w:rPr>
                <w:rFonts w:ascii="Times New Roman" w:hAnsi="Times New Roman" w:cs="Times New Roman"/>
              </w:rPr>
              <w:t xml:space="preserve">(žr. 4.4 skyrių) </w:t>
            </w:r>
          </w:p>
        </w:tc>
      </w:tr>
      <w:tr w:rsidR="00A4103A" w:rsidRPr="00B2082E" w:rsidTr="00540DBA">
        <w:tc>
          <w:tcPr>
            <w:tcW w:w="2520" w:type="dxa"/>
            <w:tcBorders>
              <w:top w:val="nil"/>
            </w:tcBorders>
          </w:tcPr>
          <w:p w:rsidR="00A4103A" w:rsidRPr="000D48A3" w:rsidRDefault="00A4103A" w:rsidP="00540DBA">
            <w:pPr>
              <w:tabs>
                <w:tab w:val="left" w:pos="425"/>
              </w:tabs>
              <w:spacing w:after="0" w:line="240" w:lineRule="auto"/>
              <w:rPr>
                <w:rFonts w:ascii="Times New Roman" w:hAnsi="Times New Roman" w:cs="Times New Roman"/>
              </w:rPr>
            </w:pP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Retas</w:t>
            </w:r>
          </w:p>
        </w:tc>
        <w:tc>
          <w:tcPr>
            <w:tcW w:w="4498" w:type="dxa"/>
          </w:tcPr>
          <w:p w:rsidR="00A4103A" w:rsidRPr="0003407E" w:rsidRDefault="00A4103A" w:rsidP="00540DBA">
            <w:pPr>
              <w:tabs>
                <w:tab w:val="left" w:pos="425"/>
              </w:tabs>
              <w:spacing w:after="0" w:line="240" w:lineRule="auto"/>
              <w:rPr>
                <w:rFonts w:ascii="Times New Roman" w:hAnsi="Times New Roman"/>
              </w:rPr>
            </w:pPr>
            <w:r w:rsidRPr="0003407E">
              <w:rPr>
                <w:rFonts w:ascii="Times New Roman" w:hAnsi="Times New Roman"/>
              </w:rPr>
              <w:t>Kepenų cirozė, kepenų nepakankamumas</w:t>
            </w:r>
          </w:p>
        </w:tc>
      </w:tr>
      <w:tr w:rsidR="00A4103A" w:rsidRPr="00B2082E" w:rsidTr="00540DBA">
        <w:tc>
          <w:tcPr>
            <w:tcW w:w="252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Odos ir poodinio audinio sutrikimai</w:t>
            </w: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Dažnas</w:t>
            </w:r>
          </w:p>
        </w:tc>
        <w:tc>
          <w:tcPr>
            <w:tcW w:w="4498" w:type="dxa"/>
          </w:tcPr>
          <w:p w:rsidR="00A4103A" w:rsidRPr="000D48A3" w:rsidRDefault="00A4103A" w:rsidP="00540DBA">
            <w:pPr>
              <w:tabs>
                <w:tab w:val="left" w:pos="425"/>
              </w:tabs>
              <w:spacing w:after="0" w:line="240" w:lineRule="auto"/>
              <w:rPr>
                <w:rFonts w:ascii="Times New Roman" w:hAnsi="Times New Roman" w:cs="Times New Roman"/>
              </w:rPr>
            </w:pPr>
            <w:proofErr w:type="spellStart"/>
            <w:r w:rsidRPr="000D48A3">
              <w:rPr>
                <w:rFonts w:ascii="Times New Roman" w:hAnsi="Times New Roman" w:cs="Times New Roman"/>
              </w:rPr>
              <w:t>Eritema</w:t>
            </w:r>
            <w:proofErr w:type="spellEnd"/>
          </w:p>
        </w:tc>
      </w:tr>
      <w:tr w:rsidR="00A4103A" w:rsidRPr="00B2082E" w:rsidTr="00540DBA">
        <w:tc>
          <w:tcPr>
            <w:tcW w:w="252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Bendrieji sutrikimai ir vartojimo vietos pažeidimai</w:t>
            </w:r>
          </w:p>
        </w:tc>
        <w:tc>
          <w:tcPr>
            <w:tcW w:w="1980"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Labai dažnas</w:t>
            </w:r>
          </w:p>
        </w:tc>
        <w:tc>
          <w:tcPr>
            <w:tcW w:w="4498" w:type="dxa"/>
          </w:tcPr>
          <w:p w:rsidR="00A4103A" w:rsidRPr="000D48A3" w:rsidRDefault="00A4103A" w:rsidP="00540DBA">
            <w:pPr>
              <w:tabs>
                <w:tab w:val="left" w:pos="425"/>
              </w:tabs>
              <w:spacing w:after="0" w:line="240" w:lineRule="auto"/>
              <w:rPr>
                <w:rFonts w:ascii="Times New Roman" w:hAnsi="Times New Roman" w:cs="Times New Roman"/>
              </w:rPr>
            </w:pPr>
            <w:r w:rsidRPr="000D48A3">
              <w:rPr>
                <w:rFonts w:ascii="Times New Roman" w:hAnsi="Times New Roman" w:cs="Times New Roman"/>
              </w:rPr>
              <w:t>Edema, skysčių susilaikymas</w:t>
            </w:r>
            <w:r w:rsidRPr="000D48A3">
              <w:rPr>
                <w:rFonts w:ascii="Times New Roman" w:hAnsi="Times New Roman" w:cs="Times New Roman"/>
                <w:vertAlign w:val="superscript"/>
              </w:rPr>
              <w:t>5</w:t>
            </w:r>
          </w:p>
        </w:tc>
      </w:tr>
    </w:tbl>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vertAlign w:val="superscript"/>
          <w:lang w:eastAsia="lt-LT"/>
        </w:rPr>
        <w:t>1</w:t>
      </w:r>
      <w:r w:rsidRPr="000D48A3">
        <w:rPr>
          <w:rFonts w:ascii="Times New Roman" w:hAnsi="Times New Roman" w:cs="Times New Roman"/>
          <w:color w:val="000000"/>
          <w:lang w:eastAsia="lt-LT"/>
        </w:rPr>
        <w:t xml:space="preserve">Dažnis negali būti apskaičiuotas pagal turimus duomenis.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vertAlign w:val="superscript"/>
          <w:lang w:eastAsia="lt-LT"/>
        </w:rPr>
        <w:t>2</w:t>
      </w:r>
      <w:r w:rsidRPr="000D48A3">
        <w:rPr>
          <w:rFonts w:ascii="Times New Roman" w:hAnsi="Times New Roman" w:cs="Times New Roman"/>
          <w:color w:val="000000"/>
          <w:lang w:eastAsia="lt-LT"/>
        </w:rPr>
        <w:t>Pranešta, kad padidėjusio jautrumo reakcijų pasireiškė 9,9</w:t>
      </w:r>
      <w:r>
        <w:rPr>
          <w:rFonts w:ascii="Times New Roman" w:hAnsi="Times New Roman" w:cs="Times New Roman"/>
          <w:color w:val="000000"/>
          <w:lang w:eastAsia="lt-LT"/>
        </w:rPr>
        <w:t xml:space="preserve"> </w:t>
      </w:r>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bozentaną</w:t>
      </w:r>
      <w:proofErr w:type="spellEnd"/>
      <w:r w:rsidRPr="000D48A3">
        <w:rPr>
          <w:rFonts w:ascii="Times New Roman" w:hAnsi="Times New Roman" w:cs="Times New Roman"/>
          <w:color w:val="000000"/>
          <w:lang w:eastAsia="lt-LT"/>
        </w:rPr>
        <w:t xml:space="preserve"> vartojusių ir 9,1 % </w:t>
      </w:r>
      <w:proofErr w:type="spellStart"/>
      <w:r w:rsidRPr="000D48A3">
        <w:rPr>
          <w:rFonts w:ascii="Times New Roman" w:hAnsi="Times New Roman" w:cs="Times New Roman"/>
          <w:color w:val="000000"/>
          <w:lang w:eastAsia="lt-LT"/>
        </w:rPr>
        <w:t>placebą</w:t>
      </w:r>
      <w:proofErr w:type="spellEnd"/>
      <w:r w:rsidRPr="000D48A3">
        <w:rPr>
          <w:rFonts w:ascii="Times New Roman" w:hAnsi="Times New Roman" w:cs="Times New Roman"/>
          <w:color w:val="000000"/>
          <w:lang w:eastAsia="lt-LT"/>
        </w:rPr>
        <w:t xml:space="preserve"> vartojusių pacientų.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vertAlign w:val="superscript"/>
          <w:lang w:eastAsia="lt-LT"/>
        </w:rPr>
        <w:t>3</w:t>
      </w:r>
      <w:r w:rsidRPr="000D48A3">
        <w:rPr>
          <w:rFonts w:ascii="Times New Roman" w:hAnsi="Times New Roman" w:cs="Times New Roman"/>
          <w:color w:val="000000"/>
          <w:lang w:eastAsia="lt-LT"/>
        </w:rPr>
        <w:t>Pranešta, kad galvos skausmą patyrė 11,5</w:t>
      </w:r>
      <w:r>
        <w:rPr>
          <w:rFonts w:ascii="Times New Roman" w:hAnsi="Times New Roman" w:cs="Times New Roman"/>
          <w:color w:val="000000"/>
          <w:lang w:eastAsia="lt-LT"/>
        </w:rPr>
        <w:t xml:space="preserve"> </w:t>
      </w:r>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bozentaną</w:t>
      </w:r>
      <w:proofErr w:type="spellEnd"/>
      <w:r w:rsidRPr="000D48A3">
        <w:rPr>
          <w:rFonts w:ascii="Times New Roman" w:hAnsi="Times New Roman" w:cs="Times New Roman"/>
          <w:color w:val="000000"/>
          <w:lang w:eastAsia="lt-LT"/>
        </w:rPr>
        <w:t xml:space="preserve"> vartojusių ir 9,8 % </w:t>
      </w:r>
      <w:proofErr w:type="spellStart"/>
      <w:r w:rsidRPr="000D48A3">
        <w:rPr>
          <w:rFonts w:ascii="Times New Roman" w:hAnsi="Times New Roman" w:cs="Times New Roman"/>
          <w:color w:val="000000"/>
          <w:lang w:eastAsia="lt-LT"/>
        </w:rPr>
        <w:t>placebą</w:t>
      </w:r>
      <w:proofErr w:type="spellEnd"/>
      <w:r w:rsidRPr="000D48A3">
        <w:rPr>
          <w:rFonts w:ascii="Times New Roman" w:hAnsi="Times New Roman" w:cs="Times New Roman"/>
          <w:color w:val="000000"/>
          <w:lang w:eastAsia="lt-LT"/>
        </w:rPr>
        <w:t xml:space="preserve"> vartojusių pacientų.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vertAlign w:val="superscript"/>
          <w:lang w:eastAsia="lt-LT"/>
        </w:rPr>
        <w:t>4</w:t>
      </w:r>
      <w:r w:rsidRPr="000D48A3">
        <w:rPr>
          <w:rFonts w:ascii="Times New Roman" w:hAnsi="Times New Roman" w:cs="Times New Roman"/>
          <w:color w:val="000000"/>
          <w:lang w:eastAsia="lt-LT"/>
        </w:rPr>
        <w:t xml:space="preserve">Šių tipų reakcijos gali būti susijęs su pagrindine liga. </w:t>
      </w:r>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vertAlign w:val="superscript"/>
        </w:rPr>
        <w:t>5</w:t>
      </w:r>
      <w:r w:rsidRPr="000D48A3">
        <w:rPr>
          <w:rFonts w:ascii="Times New Roman" w:hAnsi="Times New Roman" w:cs="Times New Roman"/>
        </w:rPr>
        <w:t>Pranešta, kad edema arba skysčių susilaikymas pasireiškė 13,2</w:t>
      </w:r>
      <w:r>
        <w:rPr>
          <w:rFonts w:ascii="Times New Roman" w:hAnsi="Times New Roman" w:cs="Times New Roman"/>
        </w:rPr>
        <w:t xml:space="preserve"> </w:t>
      </w:r>
      <w:r w:rsidRPr="000D48A3">
        <w:rPr>
          <w:rFonts w:ascii="Times New Roman" w:hAnsi="Times New Roman" w:cs="Times New Roman"/>
        </w:rPr>
        <w:t xml:space="preserve">% </w:t>
      </w:r>
      <w:proofErr w:type="spellStart"/>
      <w:r w:rsidRPr="000D48A3">
        <w:rPr>
          <w:rFonts w:ascii="Times New Roman" w:hAnsi="Times New Roman" w:cs="Times New Roman"/>
        </w:rPr>
        <w:t>bozentaną</w:t>
      </w:r>
      <w:proofErr w:type="spellEnd"/>
      <w:r w:rsidRPr="000D48A3">
        <w:rPr>
          <w:rFonts w:ascii="Times New Roman" w:hAnsi="Times New Roman" w:cs="Times New Roman"/>
        </w:rPr>
        <w:t xml:space="preserve"> vartojusių ir 10,9 % </w:t>
      </w:r>
      <w:proofErr w:type="spellStart"/>
      <w:r w:rsidRPr="000D48A3">
        <w:rPr>
          <w:rFonts w:ascii="Times New Roman" w:hAnsi="Times New Roman" w:cs="Times New Roman"/>
        </w:rPr>
        <w:t>placebą</w:t>
      </w:r>
      <w:proofErr w:type="spellEnd"/>
      <w:r>
        <w:rPr>
          <w:rFonts w:ascii="Times New Roman" w:hAnsi="Times New Roman" w:cs="Times New Roman"/>
        </w:rPr>
        <w:t xml:space="preserve"> </w:t>
      </w:r>
      <w:r w:rsidRPr="000D48A3">
        <w:rPr>
          <w:rFonts w:ascii="Times New Roman" w:hAnsi="Times New Roman" w:cs="Times New Roman"/>
        </w:rPr>
        <w:t>vartojusių pacientų.</w:t>
      </w: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rPr>
        <w:t xml:space="preserve">Po vaistinio preparato patekimo į rinką labai retai gauta pranešimų apie nepaaiškinamos kepenų cirozės, atsiradusios po ilgai trukusio gydymo </w:t>
      </w:r>
      <w:proofErr w:type="spellStart"/>
      <w:r w:rsidRPr="000D48A3">
        <w:rPr>
          <w:rFonts w:ascii="Times New Roman" w:hAnsi="Times New Roman" w:cs="Times New Roman"/>
        </w:rPr>
        <w:t>Bosentan</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Sandoz</w:t>
      </w:r>
      <w:proofErr w:type="spellEnd"/>
      <w:r w:rsidRPr="000D48A3">
        <w:rPr>
          <w:rFonts w:ascii="Times New Roman" w:hAnsi="Times New Roman" w:cs="Times New Roman"/>
        </w:rPr>
        <w:t xml:space="preserve">, atvejus pacientams, kurie sirgo daugeliu lydinčiųjų ligų ir vartojo kitų vaistinių preparatų. Taip pat retai gauta pranešimų apie kepenų nepakankamumo atvejus. Tokie atvejai patvirtina būtinybę griežtai laikytis kas mėnesį atliekamų kepenų funkcijos patikrinimų grafiko visą gydymo </w:t>
      </w:r>
      <w:proofErr w:type="spellStart"/>
      <w:r w:rsidRPr="000D48A3">
        <w:rPr>
          <w:rFonts w:ascii="Times New Roman" w:hAnsi="Times New Roman" w:cs="Times New Roman"/>
        </w:rPr>
        <w:t>Bosentan</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Sandoz</w:t>
      </w:r>
      <w:proofErr w:type="spellEnd"/>
      <w:r w:rsidRPr="000D48A3">
        <w:rPr>
          <w:rFonts w:ascii="Times New Roman" w:hAnsi="Times New Roman" w:cs="Times New Roman"/>
        </w:rPr>
        <w:t xml:space="preserve"> laikotarpį (žr. 4.4 skyrių). </w:t>
      </w:r>
    </w:p>
    <w:p w:rsidR="00A4103A" w:rsidRPr="000D48A3" w:rsidRDefault="00A4103A" w:rsidP="00A4103A">
      <w:pPr>
        <w:spacing w:after="0" w:line="240" w:lineRule="auto"/>
        <w:rPr>
          <w:rFonts w:ascii="Times New Roman" w:hAnsi="Times New Roman" w:cs="Times New Roman"/>
          <w:u w:val="single"/>
        </w:rPr>
      </w:pPr>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u w:val="single"/>
        </w:rPr>
        <w:t xml:space="preserve">Nekontroliuojami pediatrinių pacientų, sergančių PAH, tyrimai (AC-052-356 (BREATHE-3); AC-052-365 [FUTURE 1]) </w:t>
      </w:r>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rPr>
        <w:lastRenderedPageBreak/>
        <w:t xml:space="preserve">Saugumo </w:t>
      </w:r>
      <w:r>
        <w:rPr>
          <w:rFonts w:ascii="Times New Roman" w:hAnsi="Times New Roman" w:cs="Times New Roman"/>
        </w:rPr>
        <w:t>duomenys</w:t>
      </w:r>
      <w:r w:rsidRPr="002974A6">
        <w:t xml:space="preserve"> </w:t>
      </w:r>
      <w:r w:rsidRPr="000D48A3">
        <w:rPr>
          <w:rFonts w:ascii="Times New Roman" w:hAnsi="Times New Roman" w:cs="Times New Roman"/>
        </w:rPr>
        <w:t xml:space="preserve">šios populiacijos pacientams (BREATHE-3: n = 19, dukart per parą buvo vartojama 2 mg/kg kūno svorio </w:t>
      </w:r>
      <w:proofErr w:type="spellStart"/>
      <w:r w:rsidRPr="000D48A3">
        <w:rPr>
          <w:rFonts w:ascii="Times New Roman" w:hAnsi="Times New Roman" w:cs="Times New Roman"/>
        </w:rPr>
        <w:t>bozentano</w:t>
      </w:r>
      <w:proofErr w:type="spellEnd"/>
      <w:r w:rsidRPr="000D48A3">
        <w:rPr>
          <w:rFonts w:ascii="Times New Roman" w:hAnsi="Times New Roman" w:cs="Times New Roman"/>
        </w:rPr>
        <w:t xml:space="preserve">, gydymas truko 12 savaičių; FUTURE 1: n = 36, iš pradžių 4 savaites dukart per parą buvo vartojama 2 mg/kg kūno svorio </w:t>
      </w:r>
      <w:proofErr w:type="spellStart"/>
      <w:r w:rsidRPr="000D48A3">
        <w:rPr>
          <w:rFonts w:ascii="Times New Roman" w:hAnsi="Times New Roman" w:cs="Times New Roman"/>
        </w:rPr>
        <w:t>bozentano</w:t>
      </w:r>
      <w:proofErr w:type="spellEnd"/>
      <w:r w:rsidRPr="000D48A3">
        <w:rPr>
          <w:rFonts w:ascii="Times New Roman" w:hAnsi="Times New Roman" w:cs="Times New Roman"/>
        </w:rPr>
        <w:t>, po to 12 savaičių dukart per parą buvo vartojama 4 mg/kg kūno svorio dozė) buvo panaš</w:t>
      </w:r>
      <w:r>
        <w:rPr>
          <w:rFonts w:ascii="Times New Roman" w:hAnsi="Times New Roman" w:cs="Times New Roman"/>
        </w:rPr>
        <w:t>ūs</w:t>
      </w:r>
      <w:r w:rsidRPr="000D48A3">
        <w:rPr>
          <w:rFonts w:ascii="Times New Roman" w:hAnsi="Times New Roman" w:cs="Times New Roman"/>
        </w:rPr>
        <w:t xml:space="preserve"> į pagrindiniuose suaugusiųjų, sergančių PAH, tyrimuose nustatyt</w:t>
      </w:r>
      <w:r>
        <w:rPr>
          <w:rFonts w:ascii="Times New Roman" w:hAnsi="Times New Roman" w:cs="Times New Roman"/>
        </w:rPr>
        <w:t>us</w:t>
      </w:r>
      <w:r w:rsidRPr="000D48A3">
        <w:rPr>
          <w:rFonts w:ascii="Times New Roman" w:hAnsi="Times New Roman" w:cs="Times New Roman"/>
        </w:rPr>
        <w:t xml:space="preserve"> saugumo </w:t>
      </w:r>
      <w:r>
        <w:rPr>
          <w:rFonts w:ascii="Times New Roman" w:hAnsi="Times New Roman" w:cs="Times New Roman"/>
        </w:rPr>
        <w:t>duomenis</w:t>
      </w:r>
      <w:r w:rsidRPr="000D48A3">
        <w:rPr>
          <w:rFonts w:ascii="Times New Roman" w:hAnsi="Times New Roman" w:cs="Times New Roman"/>
        </w:rPr>
        <w:t xml:space="preserve">. Tyrime BREATHE-3 dažniausiai pasireiškę nepageidaujami reiškiniai buvo staigus veido paraudimas (21 %), galvos skausmas ir nenormalūs kepenų tyrimų rezultatai (po 16 %). Tyrime FUTURE 1 dažniausiai pasireiškę nepageidaujami reiškiniai buvo infekcijos (33 %) ir pilvo skausmas arba nemalonus pojūtis pilve (19 %). FUTURE 1 tyrime kepenų fermentų padidėjimo nenustatyta. </w:t>
      </w:r>
    </w:p>
    <w:p w:rsidR="00A4103A" w:rsidRPr="000D48A3" w:rsidRDefault="00A4103A" w:rsidP="00A4103A">
      <w:pPr>
        <w:spacing w:after="0" w:line="240" w:lineRule="auto"/>
        <w:rPr>
          <w:rFonts w:ascii="Times New Roman" w:hAnsi="Times New Roman" w:cs="Times New Roman"/>
          <w:u w:val="single"/>
        </w:rPr>
      </w:pPr>
    </w:p>
    <w:p w:rsidR="00A4103A" w:rsidRPr="00432133" w:rsidRDefault="00A4103A" w:rsidP="00A4103A">
      <w:pPr>
        <w:spacing w:after="0" w:line="240" w:lineRule="auto"/>
        <w:rPr>
          <w:rFonts w:ascii="Times New Roman" w:hAnsi="Times New Roman" w:cs="Times New Roman"/>
          <w:u w:val="single"/>
        </w:rPr>
      </w:pPr>
      <w:r w:rsidRPr="00432133">
        <w:rPr>
          <w:rFonts w:ascii="Times New Roman" w:hAnsi="Times New Roman" w:cs="Times New Roman"/>
          <w:u w:val="single"/>
        </w:rPr>
        <w:t xml:space="preserve">Laboratorinių tyrimų pokyčiai </w:t>
      </w:r>
    </w:p>
    <w:p w:rsidR="00A4103A" w:rsidRPr="000D48A3" w:rsidRDefault="00A4103A" w:rsidP="00A4103A">
      <w:pPr>
        <w:spacing w:after="0" w:line="240" w:lineRule="auto"/>
        <w:rPr>
          <w:rFonts w:ascii="Times New Roman" w:hAnsi="Times New Roman" w:cs="Times New Roman"/>
          <w:i/>
          <w:iCs/>
        </w:rPr>
      </w:pPr>
    </w:p>
    <w:p w:rsidR="00A4103A" w:rsidRPr="00432133" w:rsidRDefault="00A4103A" w:rsidP="00A4103A">
      <w:pPr>
        <w:spacing w:after="0" w:line="240" w:lineRule="auto"/>
        <w:rPr>
          <w:rFonts w:ascii="Times New Roman" w:hAnsi="Times New Roman" w:cs="Times New Roman"/>
          <w:i/>
          <w:iCs/>
          <w:u w:val="single"/>
        </w:rPr>
      </w:pPr>
      <w:r w:rsidRPr="00432133">
        <w:rPr>
          <w:rFonts w:ascii="Times New Roman" w:hAnsi="Times New Roman" w:cs="Times New Roman"/>
          <w:i/>
          <w:iCs/>
          <w:u w:val="single"/>
        </w:rPr>
        <w:t xml:space="preserve">Kepenų funkcijos tyrimų pokyčiai </w:t>
      </w:r>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rPr>
        <w:t xml:space="preserve">Klinikinės programos metu nuo dozės priklausomas kepenų </w:t>
      </w:r>
      <w:proofErr w:type="spellStart"/>
      <w:r w:rsidRPr="000D48A3">
        <w:rPr>
          <w:rFonts w:ascii="Times New Roman" w:hAnsi="Times New Roman" w:cs="Times New Roman"/>
        </w:rPr>
        <w:t>aminotransferazių</w:t>
      </w:r>
      <w:proofErr w:type="spellEnd"/>
      <w:r w:rsidRPr="000D48A3">
        <w:rPr>
          <w:rFonts w:ascii="Times New Roman" w:hAnsi="Times New Roman" w:cs="Times New Roman"/>
        </w:rPr>
        <w:t xml:space="preserve"> aktyvumo padidėjimas paprastai atsirasdavo per pirmas 26 gydymo savaites, išsivystydavo palaipsniui ir dažniausiai buvo </w:t>
      </w:r>
      <w:proofErr w:type="spellStart"/>
      <w:r w:rsidRPr="000D48A3">
        <w:rPr>
          <w:rFonts w:ascii="Times New Roman" w:hAnsi="Times New Roman" w:cs="Times New Roman"/>
        </w:rPr>
        <w:t>besimptomis</w:t>
      </w:r>
      <w:proofErr w:type="spellEnd"/>
      <w:r w:rsidRPr="000D48A3">
        <w:rPr>
          <w:rFonts w:ascii="Times New Roman" w:hAnsi="Times New Roman" w:cs="Times New Roman"/>
        </w:rPr>
        <w:t xml:space="preserve">. Po vaistinio preparato patekimo į rinką buvo pranešta apie retus kepenų cirozės ir kepenų nepakankamumo atvejus. </w:t>
      </w: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rPr>
        <w:t xml:space="preserve">Šio nepageidaujamo poveikio </w:t>
      </w:r>
      <w:proofErr w:type="spellStart"/>
      <w:r w:rsidRPr="000D48A3">
        <w:rPr>
          <w:rFonts w:ascii="Times New Roman" w:hAnsi="Times New Roman" w:cs="Times New Roman"/>
        </w:rPr>
        <w:t>poveikio</w:t>
      </w:r>
      <w:proofErr w:type="spellEnd"/>
      <w:r w:rsidRPr="000D48A3">
        <w:rPr>
          <w:rFonts w:ascii="Times New Roman" w:hAnsi="Times New Roman" w:cs="Times New Roman"/>
        </w:rPr>
        <w:t xml:space="preserve"> mechanizmas yra neaiškus. Šis </w:t>
      </w:r>
      <w:proofErr w:type="spellStart"/>
      <w:r w:rsidRPr="000D48A3">
        <w:rPr>
          <w:rFonts w:ascii="Times New Roman" w:hAnsi="Times New Roman" w:cs="Times New Roman"/>
        </w:rPr>
        <w:t>aminotransferazių</w:t>
      </w:r>
      <w:proofErr w:type="spellEnd"/>
      <w:r w:rsidRPr="000D48A3">
        <w:rPr>
          <w:rFonts w:ascii="Times New Roman" w:hAnsi="Times New Roman" w:cs="Times New Roman"/>
        </w:rPr>
        <w:t xml:space="preserve"> aktyvumo padidėjimas gali išnykti savaime tęsiant gydymą palaikomąja </w:t>
      </w:r>
      <w:proofErr w:type="spellStart"/>
      <w:r w:rsidRPr="000D48A3">
        <w:rPr>
          <w:rFonts w:ascii="Times New Roman" w:hAnsi="Times New Roman" w:cs="Times New Roman"/>
        </w:rPr>
        <w:t>Bosentan</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Sandoz</w:t>
      </w:r>
      <w:proofErr w:type="spellEnd"/>
      <w:r w:rsidRPr="000D48A3">
        <w:rPr>
          <w:rFonts w:ascii="Times New Roman" w:hAnsi="Times New Roman" w:cs="Times New Roman"/>
        </w:rPr>
        <w:t xml:space="preserve"> doze arba dozę sumažinus, tačiau gali prireikti padaryti gydymo pertrauką arba nutraukti gydymą (žr. 4.4 skyrių). </w:t>
      </w: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rPr>
        <w:t xml:space="preserve">20 integruotų </w:t>
      </w:r>
      <w:proofErr w:type="spellStart"/>
      <w:r w:rsidRPr="000D48A3">
        <w:rPr>
          <w:rFonts w:ascii="Times New Roman" w:hAnsi="Times New Roman" w:cs="Times New Roman"/>
        </w:rPr>
        <w:t>placebu</w:t>
      </w:r>
      <w:proofErr w:type="spellEnd"/>
      <w:r w:rsidRPr="000D48A3">
        <w:rPr>
          <w:rFonts w:ascii="Times New Roman" w:hAnsi="Times New Roman" w:cs="Times New Roman"/>
        </w:rPr>
        <w:t xml:space="preserve"> kontroliuotų klinikinių tyrimų metu kepenų </w:t>
      </w:r>
      <w:proofErr w:type="spellStart"/>
      <w:r w:rsidRPr="000D48A3">
        <w:rPr>
          <w:rFonts w:ascii="Times New Roman" w:hAnsi="Times New Roman" w:cs="Times New Roman"/>
        </w:rPr>
        <w:t>aminotransferazių</w:t>
      </w:r>
      <w:proofErr w:type="spellEnd"/>
      <w:r w:rsidRPr="000D48A3">
        <w:rPr>
          <w:rFonts w:ascii="Times New Roman" w:hAnsi="Times New Roman" w:cs="Times New Roman"/>
        </w:rPr>
        <w:t xml:space="preserve"> aktyvumas ≥ 3 kartus viršijo viršutinę normos ribą (VNR) 11,2 % pacientų, gydytų </w:t>
      </w:r>
      <w:proofErr w:type="spellStart"/>
      <w:r w:rsidRPr="000D48A3">
        <w:rPr>
          <w:rFonts w:ascii="Times New Roman" w:hAnsi="Times New Roman" w:cs="Times New Roman"/>
        </w:rPr>
        <w:t>bozentanu</w:t>
      </w:r>
      <w:proofErr w:type="spellEnd"/>
      <w:r w:rsidRPr="000D48A3">
        <w:rPr>
          <w:rFonts w:ascii="Times New Roman" w:hAnsi="Times New Roman" w:cs="Times New Roman"/>
        </w:rPr>
        <w:t>, palyginti su 2,4</w:t>
      </w:r>
      <w:r w:rsidR="0042328E">
        <w:rPr>
          <w:rFonts w:ascii="Times New Roman" w:hAnsi="Times New Roman" w:cs="Times New Roman"/>
        </w:rPr>
        <w:t> </w:t>
      </w:r>
      <w:r w:rsidRPr="000D48A3">
        <w:rPr>
          <w:rFonts w:ascii="Times New Roman" w:hAnsi="Times New Roman" w:cs="Times New Roman"/>
        </w:rPr>
        <w:t xml:space="preserve">% pacientų, gydytų </w:t>
      </w:r>
      <w:proofErr w:type="spellStart"/>
      <w:r w:rsidRPr="000D48A3">
        <w:rPr>
          <w:rFonts w:ascii="Times New Roman" w:hAnsi="Times New Roman" w:cs="Times New Roman"/>
        </w:rPr>
        <w:t>placebu</w:t>
      </w:r>
      <w:proofErr w:type="spellEnd"/>
      <w:r w:rsidRPr="000D48A3">
        <w:rPr>
          <w:rFonts w:ascii="Times New Roman" w:hAnsi="Times New Roman" w:cs="Times New Roman"/>
        </w:rPr>
        <w:t>. Iki ≥ 8 × VNR padidėjimas buvo pastebėtas 3,6</w:t>
      </w:r>
      <w:r w:rsidR="0042328E">
        <w:rPr>
          <w:rFonts w:ascii="Times New Roman" w:hAnsi="Times New Roman" w:cs="Times New Roman"/>
        </w:rPr>
        <w:t> </w:t>
      </w:r>
      <w:r w:rsidRPr="000D48A3">
        <w:rPr>
          <w:rFonts w:ascii="Times New Roman" w:hAnsi="Times New Roman" w:cs="Times New Roman"/>
        </w:rPr>
        <w:t xml:space="preserve">% </w:t>
      </w:r>
      <w:proofErr w:type="spellStart"/>
      <w:r w:rsidRPr="000D48A3">
        <w:rPr>
          <w:rFonts w:ascii="Times New Roman" w:hAnsi="Times New Roman" w:cs="Times New Roman"/>
        </w:rPr>
        <w:t>bozentanu</w:t>
      </w:r>
      <w:proofErr w:type="spellEnd"/>
      <w:r w:rsidRPr="000D48A3">
        <w:rPr>
          <w:rFonts w:ascii="Times New Roman" w:hAnsi="Times New Roman" w:cs="Times New Roman"/>
        </w:rPr>
        <w:t xml:space="preserve"> gydytų pacientų ir 0,4</w:t>
      </w:r>
      <w:r w:rsidR="0042328E">
        <w:rPr>
          <w:rFonts w:ascii="Times New Roman" w:hAnsi="Times New Roman" w:cs="Times New Roman"/>
        </w:rPr>
        <w:t> </w:t>
      </w:r>
      <w:r w:rsidRPr="000D48A3">
        <w:rPr>
          <w:rFonts w:ascii="Times New Roman" w:hAnsi="Times New Roman" w:cs="Times New Roman"/>
        </w:rPr>
        <w:t xml:space="preserve">% gydytų </w:t>
      </w:r>
      <w:proofErr w:type="spellStart"/>
      <w:r w:rsidRPr="000D48A3">
        <w:rPr>
          <w:rFonts w:ascii="Times New Roman" w:hAnsi="Times New Roman" w:cs="Times New Roman"/>
        </w:rPr>
        <w:t>placebu</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Aminotransferazių</w:t>
      </w:r>
      <w:proofErr w:type="spellEnd"/>
      <w:r w:rsidRPr="000D48A3">
        <w:rPr>
          <w:rFonts w:ascii="Times New Roman" w:hAnsi="Times New Roman" w:cs="Times New Roman"/>
        </w:rPr>
        <w:t xml:space="preserve"> aktyvumo padidėjimas buvo susijęs su </w:t>
      </w:r>
      <w:proofErr w:type="spellStart"/>
      <w:r w:rsidRPr="000D48A3">
        <w:rPr>
          <w:rFonts w:ascii="Times New Roman" w:hAnsi="Times New Roman" w:cs="Times New Roman"/>
        </w:rPr>
        <w:t>bilirubino</w:t>
      </w:r>
      <w:proofErr w:type="spellEnd"/>
      <w:r w:rsidRPr="000D48A3">
        <w:rPr>
          <w:rFonts w:ascii="Times New Roman" w:hAnsi="Times New Roman" w:cs="Times New Roman"/>
        </w:rPr>
        <w:t xml:space="preserve"> padidėjimu (≥ 2 × VNR) be tulžies obstrukcijos požymių 0,2 % (5 pacientams) </w:t>
      </w:r>
      <w:proofErr w:type="spellStart"/>
      <w:r w:rsidRPr="000D48A3">
        <w:rPr>
          <w:rFonts w:ascii="Times New Roman" w:hAnsi="Times New Roman" w:cs="Times New Roman"/>
        </w:rPr>
        <w:t>bozentanu</w:t>
      </w:r>
      <w:proofErr w:type="spellEnd"/>
      <w:r w:rsidRPr="000D48A3">
        <w:rPr>
          <w:rFonts w:ascii="Times New Roman" w:hAnsi="Times New Roman" w:cs="Times New Roman"/>
        </w:rPr>
        <w:t xml:space="preserve"> ir 0,3 % (6 pacientams) </w:t>
      </w:r>
      <w:proofErr w:type="spellStart"/>
      <w:r w:rsidRPr="000D48A3">
        <w:rPr>
          <w:rFonts w:ascii="Times New Roman" w:hAnsi="Times New Roman" w:cs="Times New Roman"/>
        </w:rPr>
        <w:t>placebu</w:t>
      </w:r>
      <w:proofErr w:type="spellEnd"/>
      <w:r w:rsidRPr="000D48A3">
        <w:rPr>
          <w:rFonts w:ascii="Times New Roman" w:hAnsi="Times New Roman" w:cs="Times New Roman"/>
        </w:rPr>
        <w:t xml:space="preserve"> gydytų pacientų. </w:t>
      </w:r>
    </w:p>
    <w:p w:rsidR="00A4103A" w:rsidRPr="000D48A3" w:rsidRDefault="00A4103A" w:rsidP="00A4103A">
      <w:pPr>
        <w:spacing w:after="0" w:line="240" w:lineRule="auto"/>
        <w:rPr>
          <w:rFonts w:ascii="Times New Roman" w:hAnsi="Times New Roman" w:cs="Times New Roman"/>
          <w:i/>
          <w:iCs/>
        </w:rPr>
      </w:pPr>
    </w:p>
    <w:p w:rsidR="00A4103A" w:rsidRPr="00432133" w:rsidRDefault="00A4103A" w:rsidP="00A4103A">
      <w:pPr>
        <w:spacing w:after="0" w:line="240" w:lineRule="auto"/>
        <w:rPr>
          <w:rFonts w:ascii="Times New Roman" w:hAnsi="Times New Roman" w:cs="Times New Roman"/>
          <w:i/>
          <w:iCs/>
          <w:u w:val="single"/>
        </w:rPr>
      </w:pPr>
      <w:r w:rsidRPr="00432133">
        <w:rPr>
          <w:rFonts w:ascii="Times New Roman" w:hAnsi="Times New Roman" w:cs="Times New Roman"/>
          <w:i/>
          <w:iCs/>
          <w:u w:val="single"/>
        </w:rPr>
        <w:t xml:space="preserve">Hemoglobinas </w:t>
      </w:r>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rPr>
        <w:t>Apie hemoglobino koncentracijos sumažėjimą žemiau 10 g/dl, palyginti su prieš gydymą buvusia koncentracija, buvo pranešta 8,0</w:t>
      </w:r>
      <w:r w:rsidR="0042328E">
        <w:rPr>
          <w:rFonts w:ascii="Times New Roman" w:hAnsi="Times New Roman" w:cs="Times New Roman"/>
        </w:rPr>
        <w:t> </w:t>
      </w:r>
      <w:r w:rsidRPr="000D48A3">
        <w:rPr>
          <w:rFonts w:ascii="Times New Roman" w:hAnsi="Times New Roman" w:cs="Times New Roman"/>
        </w:rPr>
        <w:t xml:space="preserve">% pacientų, gydytų </w:t>
      </w:r>
      <w:proofErr w:type="spellStart"/>
      <w:r w:rsidRPr="000D48A3">
        <w:rPr>
          <w:rFonts w:ascii="Times New Roman" w:hAnsi="Times New Roman" w:cs="Times New Roman"/>
        </w:rPr>
        <w:t>bozentanu</w:t>
      </w:r>
      <w:proofErr w:type="spellEnd"/>
      <w:r w:rsidRPr="000D48A3">
        <w:rPr>
          <w:rFonts w:ascii="Times New Roman" w:hAnsi="Times New Roman" w:cs="Times New Roman"/>
        </w:rPr>
        <w:t xml:space="preserve"> ir 3,9 % pacientų, gydytų </w:t>
      </w:r>
      <w:proofErr w:type="spellStart"/>
      <w:r w:rsidRPr="000D48A3">
        <w:rPr>
          <w:rFonts w:ascii="Times New Roman" w:hAnsi="Times New Roman" w:cs="Times New Roman"/>
        </w:rPr>
        <w:t>placebu</w:t>
      </w:r>
      <w:proofErr w:type="spellEnd"/>
      <w:r w:rsidRPr="000D48A3">
        <w:rPr>
          <w:rFonts w:ascii="Times New Roman" w:hAnsi="Times New Roman" w:cs="Times New Roman"/>
        </w:rPr>
        <w:t xml:space="preserve"> (žr.4.4 skyrių). </w:t>
      </w: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autoSpaceDE w:val="0"/>
        <w:autoSpaceDN w:val="0"/>
        <w:adjustRightInd w:val="0"/>
        <w:spacing w:after="0" w:line="240" w:lineRule="auto"/>
        <w:jc w:val="both"/>
        <w:rPr>
          <w:rFonts w:ascii="Times New Roman" w:hAnsi="Times New Roman" w:cs="Times New Roman"/>
          <w:u w:val="single"/>
          <w:lang w:eastAsia="lt-LT"/>
        </w:rPr>
      </w:pPr>
      <w:r w:rsidRPr="000D48A3">
        <w:rPr>
          <w:rFonts w:ascii="Times New Roman" w:hAnsi="Times New Roman" w:cs="Times New Roman"/>
          <w:u w:val="single"/>
          <w:lang w:eastAsia="lt-LT"/>
        </w:rPr>
        <w:t>Pranešimas apie įtariamas nepageidaujamas reakcijas</w:t>
      </w:r>
    </w:p>
    <w:p w:rsidR="00A4103A" w:rsidRPr="00A045A1" w:rsidRDefault="00A4103A" w:rsidP="00A4103A">
      <w:pPr>
        <w:spacing w:after="0" w:line="240" w:lineRule="auto"/>
        <w:rPr>
          <w:rFonts w:ascii="Times New Roman" w:hAnsi="Times New Roman" w:cs="Times New Roman"/>
        </w:rPr>
      </w:pPr>
      <w:r w:rsidRPr="00A045A1">
        <w:rPr>
          <w:rFonts w:ascii="Times New Roman"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03407E">
          <w:rPr>
            <w:rFonts w:ascii="Times New Roman" w:hAnsi="Times New Roman"/>
          </w:rPr>
          <w:t>www.vvkt.lt</w:t>
        </w:r>
      </w:hyperlink>
      <w:r w:rsidRPr="00A045A1">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3407E">
          <w:rPr>
            <w:rFonts w:ascii="Times New Roman" w:hAnsi="Times New Roman"/>
          </w:rPr>
          <w:t>NepageidaujamaR@vvkt.lt</w:t>
        </w:r>
      </w:hyperlink>
      <w:r w:rsidRPr="00A045A1">
        <w:rPr>
          <w:rFonts w:ascii="Times New Roman" w:hAnsi="Times New Roman" w:cs="Times New Roman"/>
        </w:rPr>
        <w:t>), per interneto svetainę (adresu http://www.vvkt.lt).</w:t>
      </w:r>
    </w:p>
    <w:p w:rsidR="00A4103A" w:rsidRPr="000D48A3" w:rsidRDefault="00A4103A" w:rsidP="00A4103A">
      <w:pPr>
        <w:spacing w:after="0" w:line="240" w:lineRule="auto"/>
        <w:rPr>
          <w:rFonts w:ascii="Times New Roman" w:hAnsi="Times New Roman" w:cs="Times New Roman"/>
        </w:rPr>
      </w:pPr>
    </w:p>
    <w:p w:rsidR="00A4103A" w:rsidRPr="000D48A3" w:rsidRDefault="00A4103A" w:rsidP="006B4207">
      <w:pPr>
        <w:tabs>
          <w:tab w:val="left" w:pos="567"/>
        </w:tabs>
        <w:spacing w:after="0" w:line="240" w:lineRule="auto"/>
        <w:rPr>
          <w:rFonts w:ascii="Times New Roman" w:hAnsi="Times New Roman" w:cs="Times New Roman"/>
        </w:rPr>
      </w:pPr>
      <w:r w:rsidRPr="000D48A3">
        <w:rPr>
          <w:rFonts w:ascii="Times New Roman" w:hAnsi="Times New Roman" w:cs="Times New Roman"/>
          <w:b/>
          <w:bCs/>
        </w:rPr>
        <w:t xml:space="preserve">4.9 </w:t>
      </w:r>
      <w:r w:rsidR="0042328E">
        <w:rPr>
          <w:rFonts w:ascii="Times New Roman" w:hAnsi="Times New Roman" w:cs="Times New Roman"/>
          <w:b/>
          <w:bCs/>
        </w:rPr>
        <w:tab/>
      </w:r>
      <w:r w:rsidRPr="000D48A3">
        <w:rPr>
          <w:rFonts w:ascii="Times New Roman" w:hAnsi="Times New Roman" w:cs="Times New Roman"/>
          <w:b/>
          <w:bCs/>
        </w:rPr>
        <w:t xml:space="preserve">Perdozavimas </w:t>
      </w: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rPr>
        <w:t xml:space="preserve">Sveiki žmonės suvartojo ne didesnę kaip 2400 mg vienkartinę </w:t>
      </w:r>
      <w:proofErr w:type="spellStart"/>
      <w:r w:rsidRPr="000D48A3">
        <w:rPr>
          <w:rFonts w:ascii="Times New Roman" w:hAnsi="Times New Roman" w:cs="Times New Roman"/>
        </w:rPr>
        <w:t>bozentano</w:t>
      </w:r>
      <w:proofErr w:type="spellEnd"/>
      <w:r w:rsidRPr="000D48A3">
        <w:rPr>
          <w:rFonts w:ascii="Times New Roman" w:hAnsi="Times New Roman" w:cs="Times New Roman"/>
        </w:rPr>
        <w:t xml:space="preserve"> dozę ir jo buvo skiriama ne didesnėmis kaip 2000 mg paros dozėmis 2 mėnesius pacientams, sergantiems kitomis ligomis, nei </w:t>
      </w:r>
      <w:proofErr w:type="spellStart"/>
      <w:r w:rsidRPr="000D48A3">
        <w:rPr>
          <w:rFonts w:ascii="Times New Roman" w:hAnsi="Times New Roman" w:cs="Times New Roman"/>
        </w:rPr>
        <w:t>plautinė</w:t>
      </w:r>
      <w:proofErr w:type="spellEnd"/>
      <w:r w:rsidRPr="000D48A3">
        <w:rPr>
          <w:rFonts w:ascii="Times New Roman" w:hAnsi="Times New Roman" w:cs="Times New Roman"/>
        </w:rPr>
        <w:t xml:space="preserve"> hipertenzija. Dažniausias nepageidaujamas reiškinys buvo silpnas ar vidutinio stiprumo galvos skausmas. </w:t>
      </w:r>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rPr>
        <w:lastRenderedPageBreak/>
        <w:t xml:space="preserve">Didelis perdozavimas gali sukelti ryškią </w:t>
      </w:r>
      <w:proofErr w:type="spellStart"/>
      <w:r w:rsidRPr="000D48A3">
        <w:rPr>
          <w:rFonts w:ascii="Times New Roman" w:hAnsi="Times New Roman" w:cs="Times New Roman"/>
        </w:rPr>
        <w:t>hipotenziją</w:t>
      </w:r>
      <w:proofErr w:type="spellEnd"/>
      <w:r w:rsidRPr="000D48A3">
        <w:rPr>
          <w:rFonts w:ascii="Times New Roman" w:hAnsi="Times New Roman" w:cs="Times New Roman"/>
        </w:rPr>
        <w:t xml:space="preserve">, reikalaujančią aktyvaus širdies ir kraujagyslių sistemos palaikomojo gydymo. Vaistinio preparato buvimo rinkoje laikotarpiu gautas vienas pranešimas apie perdozavimą vyriškos lyties paaugliui, kuris suvartojo 10000 mg </w:t>
      </w:r>
      <w:proofErr w:type="spellStart"/>
      <w:r w:rsidRPr="000D48A3">
        <w:rPr>
          <w:rFonts w:ascii="Times New Roman" w:hAnsi="Times New Roman" w:cs="Times New Roman"/>
        </w:rPr>
        <w:t>bozentano</w:t>
      </w:r>
      <w:proofErr w:type="spellEnd"/>
      <w:r w:rsidRPr="000D48A3">
        <w:rPr>
          <w:rFonts w:ascii="Times New Roman" w:hAnsi="Times New Roman" w:cs="Times New Roman"/>
        </w:rPr>
        <w:t xml:space="preserve">. Jam atsirado pykinimas, vėmimas, </w:t>
      </w:r>
      <w:proofErr w:type="spellStart"/>
      <w:r w:rsidRPr="000D48A3">
        <w:rPr>
          <w:rFonts w:ascii="Times New Roman" w:hAnsi="Times New Roman" w:cs="Times New Roman"/>
        </w:rPr>
        <w:t>hipotenzija</w:t>
      </w:r>
      <w:proofErr w:type="spellEnd"/>
      <w:r w:rsidRPr="000D48A3">
        <w:rPr>
          <w:rFonts w:ascii="Times New Roman" w:hAnsi="Times New Roman" w:cs="Times New Roman"/>
        </w:rPr>
        <w:t xml:space="preserve">, galvos svaigimas, prakaitavimas ir sumažėjęs vaizdo ryškumas. Pradėjus taikyti </w:t>
      </w:r>
      <w:r>
        <w:rPr>
          <w:rFonts w:ascii="Times New Roman" w:hAnsi="Times New Roman" w:cs="Times New Roman"/>
        </w:rPr>
        <w:t>kraujospūdį</w:t>
      </w:r>
      <w:r w:rsidRPr="000D48A3">
        <w:rPr>
          <w:rFonts w:ascii="Times New Roman" w:hAnsi="Times New Roman" w:cs="Times New Roman"/>
        </w:rPr>
        <w:t xml:space="preserve"> palaikantį gydymą per 24 valandas pacientas visiškai pasveiko. Pastaba: dialize </w:t>
      </w:r>
      <w:proofErr w:type="spellStart"/>
      <w:r w:rsidRPr="000D48A3">
        <w:rPr>
          <w:rFonts w:ascii="Times New Roman" w:hAnsi="Times New Roman" w:cs="Times New Roman"/>
        </w:rPr>
        <w:t>bozentanas</w:t>
      </w:r>
      <w:proofErr w:type="spellEnd"/>
      <w:r w:rsidRPr="000D48A3">
        <w:rPr>
          <w:rFonts w:ascii="Times New Roman" w:hAnsi="Times New Roman" w:cs="Times New Roman"/>
        </w:rPr>
        <w:t xml:space="preserve"> nepašalinamas.</w:t>
      </w: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autoSpaceDE w:val="0"/>
        <w:autoSpaceDN w:val="0"/>
        <w:adjustRightInd w:val="0"/>
        <w:spacing w:after="0" w:line="240" w:lineRule="auto"/>
        <w:jc w:val="both"/>
        <w:rPr>
          <w:rFonts w:ascii="Times New Roman" w:hAnsi="Times New Roman" w:cs="Times New Roman"/>
          <w:lang w:eastAsia="lt-LT"/>
        </w:rPr>
      </w:pPr>
    </w:p>
    <w:p w:rsidR="00A4103A" w:rsidRPr="000D48A3" w:rsidRDefault="00A4103A" w:rsidP="00A4103A">
      <w:pPr>
        <w:tabs>
          <w:tab w:val="left" w:pos="425"/>
          <w:tab w:val="left" w:pos="567"/>
        </w:tabs>
        <w:spacing w:after="0" w:line="240" w:lineRule="auto"/>
        <w:rPr>
          <w:rFonts w:ascii="Times New Roman" w:hAnsi="Times New Roman" w:cs="Times New Roman"/>
          <w:b/>
          <w:bCs/>
        </w:rPr>
      </w:pPr>
      <w:r w:rsidRPr="000D48A3">
        <w:rPr>
          <w:rFonts w:ascii="Times New Roman" w:hAnsi="Times New Roman" w:cs="Times New Roman"/>
          <w:b/>
          <w:bCs/>
        </w:rPr>
        <w:t>5.</w:t>
      </w:r>
      <w:r w:rsidRPr="000D48A3">
        <w:rPr>
          <w:rFonts w:ascii="Times New Roman" w:hAnsi="Times New Roman" w:cs="Times New Roman"/>
          <w:b/>
          <w:bCs/>
        </w:rPr>
        <w:tab/>
        <w:t>FARMAKOLOGINĖS SAVYBĖS</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425"/>
          <w:tab w:val="left" w:pos="567"/>
        </w:tabs>
        <w:spacing w:after="0" w:line="240" w:lineRule="auto"/>
        <w:rPr>
          <w:rFonts w:ascii="Times New Roman" w:hAnsi="Times New Roman" w:cs="Times New Roman"/>
          <w:b/>
          <w:bCs/>
        </w:rPr>
      </w:pPr>
      <w:r w:rsidRPr="000D48A3">
        <w:rPr>
          <w:rFonts w:ascii="Times New Roman" w:hAnsi="Times New Roman" w:cs="Times New Roman"/>
          <w:b/>
          <w:bCs/>
        </w:rPr>
        <w:t>5.1</w:t>
      </w:r>
      <w:r w:rsidRPr="000D48A3">
        <w:rPr>
          <w:rFonts w:ascii="Times New Roman" w:hAnsi="Times New Roman" w:cs="Times New Roman"/>
          <w:b/>
          <w:bCs/>
        </w:rPr>
        <w:tab/>
      </w:r>
      <w:proofErr w:type="spellStart"/>
      <w:r w:rsidRPr="000D48A3">
        <w:rPr>
          <w:rFonts w:ascii="Times New Roman" w:hAnsi="Times New Roman" w:cs="Times New Roman"/>
          <w:b/>
          <w:bCs/>
        </w:rPr>
        <w:t>Farmakodinaminės</w:t>
      </w:r>
      <w:proofErr w:type="spellEnd"/>
      <w:r w:rsidRPr="000D48A3">
        <w:rPr>
          <w:rFonts w:ascii="Times New Roman" w:hAnsi="Times New Roman" w:cs="Times New Roman"/>
          <w:b/>
          <w:bCs/>
        </w:rPr>
        <w:t xml:space="preserve"> savybės</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425"/>
        </w:tabs>
        <w:spacing w:after="0" w:line="240" w:lineRule="auto"/>
        <w:rPr>
          <w:rFonts w:ascii="Times New Roman" w:hAnsi="Times New Roman" w:cs="Times New Roman"/>
        </w:rPr>
      </w:pPr>
      <w:proofErr w:type="spellStart"/>
      <w:r w:rsidRPr="000D48A3">
        <w:rPr>
          <w:rFonts w:ascii="Times New Roman" w:hAnsi="Times New Roman" w:cs="Times New Roman"/>
        </w:rPr>
        <w:t>Farmakoterapinė</w:t>
      </w:r>
      <w:proofErr w:type="spellEnd"/>
      <w:r w:rsidRPr="000D48A3">
        <w:rPr>
          <w:rFonts w:ascii="Times New Roman" w:hAnsi="Times New Roman" w:cs="Times New Roman"/>
        </w:rPr>
        <w:t xml:space="preserve"> grupė – kiti </w:t>
      </w:r>
      <w:proofErr w:type="spellStart"/>
      <w:r w:rsidRPr="000D48A3">
        <w:rPr>
          <w:rFonts w:ascii="Times New Roman" w:hAnsi="Times New Roman" w:cs="Times New Roman"/>
        </w:rPr>
        <w:t>antihipertenziniai</w:t>
      </w:r>
      <w:proofErr w:type="spellEnd"/>
      <w:r w:rsidRPr="000D48A3">
        <w:rPr>
          <w:rFonts w:ascii="Times New Roman" w:hAnsi="Times New Roman" w:cs="Times New Roman"/>
        </w:rPr>
        <w:t xml:space="preserve"> vaist</w:t>
      </w:r>
      <w:r w:rsidR="0042328E">
        <w:rPr>
          <w:rFonts w:ascii="Times New Roman" w:hAnsi="Times New Roman" w:cs="Times New Roman"/>
        </w:rPr>
        <w:t>iniai preparat</w:t>
      </w:r>
      <w:r w:rsidRPr="000D48A3">
        <w:rPr>
          <w:rFonts w:ascii="Times New Roman" w:hAnsi="Times New Roman" w:cs="Times New Roman"/>
        </w:rPr>
        <w:t>ai, ATC kodas – C02KX01</w:t>
      </w:r>
      <w:r>
        <w:rPr>
          <w:rFonts w:ascii="Times New Roman" w:hAnsi="Times New Roman" w:cs="Times New Roman"/>
        </w:rPr>
        <w:t>.</w:t>
      </w:r>
      <w:r w:rsidRPr="000D48A3">
        <w:rPr>
          <w:rFonts w:ascii="Times New Roman" w:hAnsi="Times New Roman" w:cs="Times New Roman"/>
        </w:rPr>
        <w:t xml:space="preserve"> </w:t>
      </w:r>
    </w:p>
    <w:p w:rsidR="00A4103A" w:rsidRPr="000D48A3" w:rsidRDefault="00A4103A" w:rsidP="00A4103A">
      <w:pPr>
        <w:tabs>
          <w:tab w:val="left" w:pos="425"/>
        </w:tabs>
        <w:spacing w:after="0" w:line="240" w:lineRule="auto"/>
        <w:rPr>
          <w:rFonts w:ascii="Times New Roman" w:hAnsi="Times New Roman" w:cs="Times New Roman"/>
        </w:rPr>
      </w:pPr>
    </w:p>
    <w:p w:rsidR="00A4103A" w:rsidRPr="000D48A3" w:rsidRDefault="00A4103A" w:rsidP="00A4103A">
      <w:pPr>
        <w:tabs>
          <w:tab w:val="left" w:pos="425"/>
        </w:tabs>
        <w:spacing w:after="0" w:line="240" w:lineRule="auto"/>
        <w:rPr>
          <w:rFonts w:ascii="Times New Roman" w:hAnsi="Times New Roman" w:cs="Times New Roman"/>
          <w:u w:val="single"/>
        </w:rPr>
      </w:pPr>
      <w:r w:rsidRPr="000D48A3">
        <w:rPr>
          <w:rFonts w:ascii="Times New Roman" w:hAnsi="Times New Roman" w:cs="Times New Roman"/>
          <w:u w:val="single"/>
        </w:rPr>
        <w:t xml:space="preserve">Veikimo mechanizmas </w:t>
      </w:r>
    </w:p>
    <w:p w:rsidR="00A4103A" w:rsidRPr="000D48A3" w:rsidRDefault="00A4103A" w:rsidP="00A4103A">
      <w:pPr>
        <w:tabs>
          <w:tab w:val="left" w:pos="425"/>
        </w:tabs>
        <w:spacing w:after="0" w:line="240" w:lineRule="auto"/>
        <w:rPr>
          <w:rFonts w:ascii="Times New Roman" w:hAnsi="Times New Roman" w:cs="Times New Roman"/>
        </w:rPr>
      </w:pPr>
      <w:proofErr w:type="spellStart"/>
      <w:r w:rsidRPr="000D48A3">
        <w:rPr>
          <w:rFonts w:ascii="Times New Roman" w:hAnsi="Times New Roman" w:cs="Times New Roman"/>
        </w:rPr>
        <w:t>Bozentanas</w:t>
      </w:r>
      <w:proofErr w:type="spellEnd"/>
      <w:r w:rsidRPr="000D48A3">
        <w:rPr>
          <w:rFonts w:ascii="Times New Roman" w:hAnsi="Times New Roman" w:cs="Times New Roman"/>
        </w:rPr>
        <w:t xml:space="preserve"> yra dvigubas </w:t>
      </w:r>
      <w:proofErr w:type="spellStart"/>
      <w:r w:rsidRPr="000D48A3">
        <w:rPr>
          <w:rFonts w:ascii="Times New Roman" w:hAnsi="Times New Roman" w:cs="Times New Roman"/>
        </w:rPr>
        <w:t>endotelino</w:t>
      </w:r>
      <w:proofErr w:type="spellEnd"/>
      <w:r w:rsidRPr="000D48A3">
        <w:rPr>
          <w:rFonts w:ascii="Times New Roman" w:hAnsi="Times New Roman" w:cs="Times New Roman"/>
        </w:rPr>
        <w:t xml:space="preserve"> receptorių antagonistas (ERA), kuriam būdingas </w:t>
      </w:r>
      <w:proofErr w:type="spellStart"/>
      <w:r w:rsidRPr="000D48A3">
        <w:rPr>
          <w:rFonts w:ascii="Times New Roman" w:hAnsi="Times New Roman" w:cs="Times New Roman"/>
        </w:rPr>
        <w:t>afinitetas</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endotelino</w:t>
      </w:r>
      <w:proofErr w:type="spellEnd"/>
      <w:r w:rsidRPr="000D48A3">
        <w:rPr>
          <w:rFonts w:ascii="Times New Roman" w:hAnsi="Times New Roman" w:cs="Times New Roman"/>
        </w:rPr>
        <w:t xml:space="preserve"> A ir B (ETA ir ETB) receptoriams. </w:t>
      </w:r>
      <w:proofErr w:type="spellStart"/>
      <w:r w:rsidRPr="000D48A3">
        <w:rPr>
          <w:rFonts w:ascii="Times New Roman" w:hAnsi="Times New Roman" w:cs="Times New Roman"/>
        </w:rPr>
        <w:t>Bozentanas</w:t>
      </w:r>
      <w:proofErr w:type="spellEnd"/>
      <w:r w:rsidRPr="000D48A3">
        <w:rPr>
          <w:rFonts w:ascii="Times New Roman" w:hAnsi="Times New Roman" w:cs="Times New Roman"/>
        </w:rPr>
        <w:t xml:space="preserve"> mažina ir plaučių, ir sisteminį kraujagyslių pasipriešinimą, sukeldamas minutinio širdies tūrio padidėjimą nepadidinant širdies ritmo. </w:t>
      </w:r>
    </w:p>
    <w:p w:rsidR="00A4103A" w:rsidRPr="000D48A3" w:rsidRDefault="00A4103A" w:rsidP="00A4103A">
      <w:pPr>
        <w:tabs>
          <w:tab w:val="left" w:pos="425"/>
        </w:tabs>
        <w:spacing w:after="0" w:line="240" w:lineRule="auto"/>
        <w:rPr>
          <w:rFonts w:ascii="Times New Roman" w:hAnsi="Times New Roman" w:cs="Times New Roman"/>
        </w:rPr>
      </w:pPr>
      <w:proofErr w:type="spellStart"/>
      <w:r w:rsidRPr="000D48A3">
        <w:rPr>
          <w:rFonts w:ascii="Times New Roman" w:hAnsi="Times New Roman" w:cs="Times New Roman"/>
        </w:rPr>
        <w:t>Neurohormonas</w:t>
      </w:r>
      <w:proofErr w:type="spellEnd"/>
      <w:r w:rsidRPr="000D48A3">
        <w:rPr>
          <w:rFonts w:ascii="Times New Roman" w:hAnsi="Times New Roman" w:cs="Times New Roman"/>
        </w:rPr>
        <w:t xml:space="preserve"> endotelinas-1 (ET-1) yra vienas iš stipriausių žinomų </w:t>
      </w:r>
      <w:proofErr w:type="spellStart"/>
      <w:r w:rsidRPr="000D48A3">
        <w:rPr>
          <w:rFonts w:ascii="Times New Roman" w:hAnsi="Times New Roman" w:cs="Times New Roman"/>
        </w:rPr>
        <w:t>vazokonstriktorių</w:t>
      </w:r>
      <w:proofErr w:type="spellEnd"/>
      <w:r w:rsidRPr="000D48A3">
        <w:rPr>
          <w:rFonts w:ascii="Times New Roman" w:hAnsi="Times New Roman" w:cs="Times New Roman"/>
        </w:rPr>
        <w:t xml:space="preserve">, jis taip pat gali skatinti fibrozę, ląstelių </w:t>
      </w:r>
      <w:proofErr w:type="spellStart"/>
      <w:r w:rsidRPr="000D48A3">
        <w:rPr>
          <w:rFonts w:ascii="Times New Roman" w:hAnsi="Times New Roman" w:cs="Times New Roman"/>
        </w:rPr>
        <w:t>proliferaciją</w:t>
      </w:r>
      <w:proofErr w:type="spellEnd"/>
      <w:r w:rsidRPr="000D48A3">
        <w:rPr>
          <w:rFonts w:ascii="Times New Roman" w:hAnsi="Times New Roman" w:cs="Times New Roman"/>
        </w:rPr>
        <w:t xml:space="preserve">, širdies hipertrofiją ir </w:t>
      </w:r>
      <w:proofErr w:type="spellStart"/>
      <w:r w:rsidRPr="000D48A3">
        <w:rPr>
          <w:rFonts w:ascii="Times New Roman" w:hAnsi="Times New Roman" w:cs="Times New Roman"/>
        </w:rPr>
        <w:t>remodeliavimą</w:t>
      </w:r>
      <w:proofErr w:type="spellEnd"/>
      <w:r w:rsidRPr="000D48A3">
        <w:rPr>
          <w:rFonts w:ascii="Times New Roman" w:hAnsi="Times New Roman" w:cs="Times New Roman"/>
        </w:rPr>
        <w:t xml:space="preserve"> ir yra palankus uždegimui. Šie efektai pasireiškia tarpininkaujant </w:t>
      </w:r>
      <w:proofErr w:type="spellStart"/>
      <w:r w:rsidRPr="000D48A3">
        <w:rPr>
          <w:rFonts w:ascii="Times New Roman" w:hAnsi="Times New Roman" w:cs="Times New Roman"/>
        </w:rPr>
        <w:t>endotelinui</w:t>
      </w:r>
      <w:proofErr w:type="spellEnd"/>
      <w:r w:rsidRPr="000D48A3">
        <w:rPr>
          <w:rFonts w:ascii="Times New Roman" w:hAnsi="Times New Roman" w:cs="Times New Roman"/>
        </w:rPr>
        <w:t xml:space="preserve">, kuris prisijungia prie ETA ir ETB receptorių, esančių </w:t>
      </w:r>
      <w:proofErr w:type="spellStart"/>
      <w:r w:rsidRPr="000D48A3">
        <w:rPr>
          <w:rFonts w:ascii="Times New Roman" w:hAnsi="Times New Roman" w:cs="Times New Roman"/>
        </w:rPr>
        <w:t>endotelyje</w:t>
      </w:r>
      <w:proofErr w:type="spellEnd"/>
      <w:r w:rsidRPr="000D48A3">
        <w:rPr>
          <w:rFonts w:ascii="Times New Roman" w:hAnsi="Times New Roman" w:cs="Times New Roman"/>
        </w:rPr>
        <w:t xml:space="preserve"> ir kraujagyslių lygiųjų raumenų ląstelėse. ET-1 koncentracijos audiniuose ir plazmoje padidėjimas esant kai kuriems širdies ir kraujagyslių sutrikimams bei jungiamojo audinio ligoms, įskaitant </w:t>
      </w:r>
      <w:proofErr w:type="spellStart"/>
      <w:r w:rsidRPr="000D48A3">
        <w:rPr>
          <w:rFonts w:ascii="Times New Roman" w:hAnsi="Times New Roman" w:cs="Times New Roman"/>
        </w:rPr>
        <w:t>plautinę</w:t>
      </w:r>
      <w:proofErr w:type="spellEnd"/>
      <w:r w:rsidRPr="000D48A3">
        <w:rPr>
          <w:rFonts w:ascii="Times New Roman" w:hAnsi="Times New Roman" w:cs="Times New Roman"/>
        </w:rPr>
        <w:t xml:space="preserve"> arterinę hipertenziją, </w:t>
      </w:r>
      <w:proofErr w:type="spellStart"/>
      <w:r w:rsidRPr="000D48A3">
        <w:rPr>
          <w:rFonts w:ascii="Times New Roman" w:hAnsi="Times New Roman" w:cs="Times New Roman"/>
        </w:rPr>
        <w:t>sklerodermiją</w:t>
      </w:r>
      <w:proofErr w:type="spellEnd"/>
      <w:r w:rsidRPr="000D48A3">
        <w:rPr>
          <w:rFonts w:ascii="Times New Roman" w:hAnsi="Times New Roman" w:cs="Times New Roman"/>
        </w:rPr>
        <w:t xml:space="preserve">, ūmų ir lėtinį širdies nepakankamumą, miokardo išemiją, sisteminę hipertenziją ir aterosklerozę, rodo ET-1 vaidmenį minėtų ligų patogenezėje. Esant </w:t>
      </w:r>
      <w:proofErr w:type="spellStart"/>
      <w:r w:rsidRPr="000D48A3">
        <w:rPr>
          <w:rFonts w:ascii="Times New Roman" w:hAnsi="Times New Roman" w:cs="Times New Roman"/>
        </w:rPr>
        <w:t>plautinei</w:t>
      </w:r>
      <w:proofErr w:type="spellEnd"/>
      <w:r w:rsidRPr="000D48A3">
        <w:rPr>
          <w:rFonts w:ascii="Times New Roman" w:hAnsi="Times New Roman" w:cs="Times New Roman"/>
        </w:rPr>
        <w:t xml:space="preserve"> arterinei hipertenzijai ir širdies funkcijos nepakankamumui, kai nėra antagonizmo </w:t>
      </w:r>
      <w:proofErr w:type="spellStart"/>
      <w:r w:rsidRPr="000D48A3">
        <w:rPr>
          <w:rFonts w:ascii="Times New Roman" w:hAnsi="Times New Roman" w:cs="Times New Roman"/>
        </w:rPr>
        <w:t>endotelino</w:t>
      </w:r>
      <w:proofErr w:type="spellEnd"/>
      <w:r w:rsidRPr="000D48A3">
        <w:rPr>
          <w:rFonts w:ascii="Times New Roman" w:hAnsi="Times New Roman" w:cs="Times New Roman"/>
        </w:rPr>
        <w:t xml:space="preserve"> receptoriams, padidėjusios ET-1 koncentracijos stipriai koreliuoja su šių ligų sunkumu ir prognoze. </w:t>
      </w:r>
    </w:p>
    <w:p w:rsidR="00A4103A" w:rsidRPr="000D48A3" w:rsidRDefault="00A4103A" w:rsidP="00A4103A">
      <w:pPr>
        <w:tabs>
          <w:tab w:val="left" w:pos="425"/>
        </w:tabs>
        <w:spacing w:after="0" w:line="240" w:lineRule="auto"/>
        <w:rPr>
          <w:rFonts w:ascii="Times New Roman" w:hAnsi="Times New Roman" w:cs="Times New Roman"/>
        </w:rPr>
      </w:pPr>
      <w:proofErr w:type="spellStart"/>
      <w:r w:rsidRPr="000D48A3">
        <w:rPr>
          <w:rFonts w:ascii="Times New Roman" w:hAnsi="Times New Roman" w:cs="Times New Roman"/>
        </w:rPr>
        <w:t>Bozentanas</w:t>
      </w:r>
      <w:proofErr w:type="spellEnd"/>
      <w:r w:rsidRPr="000D48A3">
        <w:rPr>
          <w:rFonts w:ascii="Times New Roman" w:hAnsi="Times New Roman" w:cs="Times New Roman"/>
        </w:rPr>
        <w:t xml:space="preserve"> konkuruoja su ET-1 ir kitais ET peptidais dėl prisijungimo prie ETA ir ETB receptorių, jo </w:t>
      </w:r>
      <w:proofErr w:type="spellStart"/>
      <w:r w:rsidRPr="000D48A3">
        <w:rPr>
          <w:rFonts w:ascii="Times New Roman" w:hAnsi="Times New Roman" w:cs="Times New Roman"/>
        </w:rPr>
        <w:t>afinitetas</w:t>
      </w:r>
      <w:proofErr w:type="spellEnd"/>
      <w:r w:rsidRPr="000D48A3">
        <w:rPr>
          <w:rFonts w:ascii="Times New Roman" w:hAnsi="Times New Roman" w:cs="Times New Roman"/>
        </w:rPr>
        <w:t xml:space="preserve"> ETA receptoriams (</w:t>
      </w:r>
      <w:proofErr w:type="spellStart"/>
      <w:r w:rsidRPr="000D48A3">
        <w:rPr>
          <w:rFonts w:ascii="Times New Roman" w:hAnsi="Times New Roman" w:cs="Times New Roman"/>
        </w:rPr>
        <w:t>Ki</w:t>
      </w:r>
      <w:proofErr w:type="spellEnd"/>
      <w:r w:rsidRPr="000D48A3">
        <w:rPr>
          <w:rFonts w:ascii="Times New Roman" w:hAnsi="Times New Roman" w:cs="Times New Roman"/>
        </w:rPr>
        <w:t xml:space="preserve"> = 4,1–43 </w:t>
      </w:r>
      <w:proofErr w:type="spellStart"/>
      <w:r w:rsidRPr="000D48A3">
        <w:rPr>
          <w:rFonts w:ascii="Times New Roman" w:hAnsi="Times New Roman" w:cs="Times New Roman"/>
        </w:rPr>
        <w:t>nanomolių</w:t>
      </w:r>
      <w:proofErr w:type="spellEnd"/>
      <w:r w:rsidRPr="000D48A3">
        <w:rPr>
          <w:rFonts w:ascii="Times New Roman" w:hAnsi="Times New Roman" w:cs="Times New Roman"/>
        </w:rPr>
        <w:t>) kiek didesnis, nei ETB receptoriams (</w:t>
      </w:r>
      <w:proofErr w:type="spellStart"/>
      <w:r w:rsidRPr="000D48A3">
        <w:rPr>
          <w:rFonts w:ascii="Times New Roman" w:hAnsi="Times New Roman" w:cs="Times New Roman"/>
        </w:rPr>
        <w:t>Ki</w:t>
      </w:r>
      <w:proofErr w:type="spellEnd"/>
      <w:r w:rsidRPr="000D48A3">
        <w:rPr>
          <w:rFonts w:ascii="Times New Roman" w:hAnsi="Times New Roman" w:cs="Times New Roman"/>
        </w:rPr>
        <w:t xml:space="preserve"> = 38-730 </w:t>
      </w:r>
      <w:proofErr w:type="spellStart"/>
      <w:r w:rsidRPr="000D48A3">
        <w:rPr>
          <w:rFonts w:ascii="Times New Roman" w:hAnsi="Times New Roman" w:cs="Times New Roman"/>
        </w:rPr>
        <w:t>nanomolių</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Bozentanas</w:t>
      </w:r>
      <w:proofErr w:type="spellEnd"/>
      <w:r w:rsidRPr="000D48A3">
        <w:rPr>
          <w:rFonts w:ascii="Times New Roman" w:hAnsi="Times New Roman" w:cs="Times New Roman"/>
        </w:rPr>
        <w:t xml:space="preserve"> yra specifinis ET receptorių antagonistas ir nesijungia su kitais receptoriais. </w:t>
      </w:r>
    </w:p>
    <w:p w:rsidR="00A4103A" w:rsidRPr="000D48A3" w:rsidRDefault="00A4103A" w:rsidP="00A4103A">
      <w:pPr>
        <w:tabs>
          <w:tab w:val="left" w:pos="425"/>
        </w:tabs>
        <w:spacing w:after="0" w:line="240" w:lineRule="auto"/>
        <w:rPr>
          <w:rFonts w:ascii="Times New Roman" w:hAnsi="Times New Roman" w:cs="Times New Roman"/>
        </w:rPr>
      </w:pPr>
    </w:p>
    <w:p w:rsidR="00A4103A" w:rsidRPr="00432133" w:rsidRDefault="00A4103A" w:rsidP="00A4103A">
      <w:pPr>
        <w:tabs>
          <w:tab w:val="left" w:pos="425"/>
        </w:tabs>
        <w:spacing w:after="0" w:line="240" w:lineRule="auto"/>
        <w:rPr>
          <w:rFonts w:ascii="Times New Roman" w:hAnsi="Times New Roman" w:cs="Times New Roman"/>
          <w:u w:val="single"/>
        </w:rPr>
      </w:pPr>
      <w:r w:rsidRPr="00432133">
        <w:rPr>
          <w:rFonts w:ascii="Times New Roman" w:hAnsi="Times New Roman" w:cs="Times New Roman"/>
          <w:u w:val="single"/>
        </w:rPr>
        <w:t xml:space="preserve">Veiksmingumas </w:t>
      </w:r>
    </w:p>
    <w:p w:rsidR="00A4103A" w:rsidRPr="000D48A3" w:rsidRDefault="00A4103A" w:rsidP="00A4103A">
      <w:pPr>
        <w:tabs>
          <w:tab w:val="left" w:pos="425"/>
        </w:tabs>
        <w:spacing w:after="0" w:line="240" w:lineRule="auto"/>
        <w:rPr>
          <w:rFonts w:ascii="Times New Roman" w:hAnsi="Times New Roman" w:cs="Times New Roman"/>
        </w:rPr>
      </w:pPr>
    </w:p>
    <w:p w:rsidR="00A4103A" w:rsidRPr="00432133" w:rsidRDefault="00A4103A" w:rsidP="00A4103A">
      <w:pPr>
        <w:tabs>
          <w:tab w:val="left" w:pos="425"/>
        </w:tabs>
        <w:spacing w:after="0" w:line="240" w:lineRule="auto"/>
        <w:rPr>
          <w:rFonts w:ascii="Times New Roman" w:hAnsi="Times New Roman" w:cs="Times New Roman"/>
          <w:i/>
          <w:iCs/>
          <w:u w:val="single"/>
        </w:rPr>
      </w:pPr>
      <w:r w:rsidRPr="00432133">
        <w:rPr>
          <w:rFonts w:ascii="Times New Roman" w:hAnsi="Times New Roman" w:cs="Times New Roman"/>
          <w:i/>
          <w:iCs/>
          <w:u w:val="single"/>
        </w:rPr>
        <w:t xml:space="preserve">Gyvūnų modeliai </w:t>
      </w:r>
    </w:p>
    <w:p w:rsidR="00A4103A" w:rsidRPr="000D48A3" w:rsidRDefault="00A4103A" w:rsidP="00A4103A">
      <w:pPr>
        <w:tabs>
          <w:tab w:val="left" w:pos="425"/>
        </w:tabs>
        <w:spacing w:after="0" w:line="240" w:lineRule="auto"/>
        <w:rPr>
          <w:rFonts w:ascii="Times New Roman" w:hAnsi="Times New Roman" w:cs="Times New Roman"/>
        </w:rPr>
      </w:pPr>
      <w:proofErr w:type="spellStart"/>
      <w:r w:rsidRPr="000D48A3">
        <w:rPr>
          <w:rFonts w:ascii="Times New Roman" w:hAnsi="Times New Roman" w:cs="Times New Roman"/>
        </w:rPr>
        <w:t>Plautinės</w:t>
      </w:r>
      <w:proofErr w:type="spellEnd"/>
      <w:r w:rsidRPr="000D48A3">
        <w:rPr>
          <w:rFonts w:ascii="Times New Roman" w:hAnsi="Times New Roman" w:cs="Times New Roman"/>
        </w:rPr>
        <w:t xml:space="preserve"> hipertenzijos gyvūnų modeliuose nuolatinis </w:t>
      </w:r>
      <w:proofErr w:type="spellStart"/>
      <w:r w:rsidRPr="000D48A3">
        <w:rPr>
          <w:rFonts w:ascii="Times New Roman" w:hAnsi="Times New Roman" w:cs="Times New Roman"/>
        </w:rPr>
        <w:t>bozentano</w:t>
      </w:r>
      <w:proofErr w:type="spellEnd"/>
      <w:r w:rsidRPr="000D48A3">
        <w:rPr>
          <w:rFonts w:ascii="Times New Roman" w:hAnsi="Times New Roman" w:cs="Times New Roman"/>
        </w:rPr>
        <w:t xml:space="preserve"> vartojimas per virškinimo traktą sumažino plaučių kraujagyslių pasipriešinimą ir plaučių kraujagyslių bei dešiniojo skilvelio hipertrofiją. Plaučių fibrozės gyvūnų modelyje </w:t>
      </w:r>
      <w:proofErr w:type="spellStart"/>
      <w:r w:rsidRPr="000D48A3">
        <w:rPr>
          <w:rFonts w:ascii="Times New Roman" w:hAnsi="Times New Roman" w:cs="Times New Roman"/>
        </w:rPr>
        <w:t>bozentanas</w:t>
      </w:r>
      <w:proofErr w:type="spellEnd"/>
      <w:r w:rsidRPr="000D48A3">
        <w:rPr>
          <w:rFonts w:ascii="Times New Roman" w:hAnsi="Times New Roman" w:cs="Times New Roman"/>
        </w:rPr>
        <w:t xml:space="preserve"> sumažino kolageno sankaupas plaučiuose. </w:t>
      </w:r>
    </w:p>
    <w:p w:rsidR="00A4103A" w:rsidRPr="000D48A3" w:rsidRDefault="00A4103A" w:rsidP="00A4103A">
      <w:pPr>
        <w:tabs>
          <w:tab w:val="left" w:pos="425"/>
        </w:tabs>
        <w:spacing w:after="0" w:line="240" w:lineRule="auto"/>
        <w:rPr>
          <w:rFonts w:ascii="Times New Roman" w:hAnsi="Times New Roman" w:cs="Times New Roman"/>
        </w:rPr>
      </w:pPr>
    </w:p>
    <w:p w:rsidR="00A4103A" w:rsidRPr="00432133" w:rsidRDefault="00A4103A" w:rsidP="00A4103A">
      <w:pPr>
        <w:tabs>
          <w:tab w:val="left" w:pos="425"/>
        </w:tabs>
        <w:spacing w:after="0" w:line="240" w:lineRule="auto"/>
        <w:rPr>
          <w:rFonts w:ascii="Times New Roman" w:hAnsi="Times New Roman" w:cs="Times New Roman"/>
          <w:i/>
          <w:iCs/>
          <w:u w:val="single"/>
        </w:rPr>
      </w:pPr>
      <w:r w:rsidRPr="00432133">
        <w:rPr>
          <w:rFonts w:ascii="Times New Roman" w:hAnsi="Times New Roman" w:cs="Times New Roman"/>
          <w:i/>
          <w:iCs/>
          <w:u w:val="single"/>
        </w:rPr>
        <w:t xml:space="preserve">Veiksmingumas suaugusiems pacientams, kurie serga </w:t>
      </w:r>
      <w:proofErr w:type="spellStart"/>
      <w:r w:rsidRPr="00432133">
        <w:rPr>
          <w:rFonts w:ascii="Times New Roman" w:hAnsi="Times New Roman" w:cs="Times New Roman"/>
          <w:i/>
          <w:iCs/>
          <w:u w:val="single"/>
        </w:rPr>
        <w:t>plautine</w:t>
      </w:r>
      <w:proofErr w:type="spellEnd"/>
      <w:r w:rsidRPr="00432133">
        <w:rPr>
          <w:rFonts w:ascii="Times New Roman" w:hAnsi="Times New Roman" w:cs="Times New Roman"/>
          <w:i/>
          <w:iCs/>
          <w:u w:val="single"/>
        </w:rPr>
        <w:t xml:space="preserve"> arterine hipertenzija</w:t>
      </w:r>
    </w:p>
    <w:p w:rsidR="00A4103A" w:rsidRPr="000D48A3" w:rsidRDefault="00A4103A" w:rsidP="00A4103A">
      <w:pPr>
        <w:tabs>
          <w:tab w:val="left" w:pos="425"/>
        </w:tabs>
        <w:spacing w:after="0" w:line="240" w:lineRule="auto"/>
        <w:rPr>
          <w:rFonts w:ascii="Times New Roman" w:hAnsi="Times New Roman" w:cs="Times New Roman"/>
        </w:rPr>
      </w:pPr>
      <w:r w:rsidRPr="000D48A3">
        <w:rPr>
          <w:rFonts w:ascii="Times New Roman" w:hAnsi="Times New Roman" w:cs="Times New Roman"/>
        </w:rPr>
        <w:t xml:space="preserve">Buvo atlikti du atsitiktinių imčių, dvigubai akli, </w:t>
      </w:r>
      <w:proofErr w:type="spellStart"/>
      <w:r w:rsidRPr="000D48A3">
        <w:rPr>
          <w:rFonts w:ascii="Times New Roman" w:hAnsi="Times New Roman" w:cs="Times New Roman"/>
        </w:rPr>
        <w:t>daugiacentriniai</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placebu</w:t>
      </w:r>
      <w:proofErr w:type="spellEnd"/>
      <w:r w:rsidRPr="000D48A3">
        <w:rPr>
          <w:rFonts w:ascii="Times New Roman" w:hAnsi="Times New Roman" w:cs="Times New Roman"/>
        </w:rPr>
        <w:t xml:space="preserve"> kontroliuoti klinikiniai tyrimai atitinkamai 32 (tyrimas AC-052-351) ir 213 (tyrimas AC-052-352 [BREATHE-1]) suaugusių ligonių, sergančių III–IV PSO funkcinės klasės </w:t>
      </w:r>
      <w:proofErr w:type="spellStart"/>
      <w:r w:rsidRPr="000D48A3">
        <w:rPr>
          <w:rFonts w:ascii="Times New Roman" w:hAnsi="Times New Roman" w:cs="Times New Roman"/>
        </w:rPr>
        <w:t>plautine</w:t>
      </w:r>
      <w:proofErr w:type="spellEnd"/>
      <w:r w:rsidRPr="000D48A3">
        <w:rPr>
          <w:rFonts w:ascii="Times New Roman" w:hAnsi="Times New Roman" w:cs="Times New Roman"/>
        </w:rPr>
        <w:t xml:space="preserve"> hipertenzija (pirmine </w:t>
      </w:r>
      <w:proofErr w:type="spellStart"/>
      <w:r w:rsidRPr="000D48A3">
        <w:rPr>
          <w:rFonts w:ascii="Times New Roman" w:hAnsi="Times New Roman" w:cs="Times New Roman"/>
        </w:rPr>
        <w:t>plautine</w:t>
      </w:r>
      <w:proofErr w:type="spellEnd"/>
      <w:r w:rsidRPr="000D48A3">
        <w:rPr>
          <w:rFonts w:ascii="Times New Roman" w:hAnsi="Times New Roman" w:cs="Times New Roman"/>
        </w:rPr>
        <w:t xml:space="preserve"> hipertenzija arba antrine </w:t>
      </w:r>
      <w:proofErr w:type="spellStart"/>
      <w:r w:rsidRPr="000D48A3">
        <w:rPr>
          <w:rFonts w:ascii="Times New Roman" w:hAnsi="Times New Roman" w:cs="Times New Roman"/>
        </w:rPr>
        <w:t>plautine</w:t>
      </w:r>
      <w:proofErr w:type="spellEnd"/>
      <w:r w:rsidRPr="000D48A3">
        <w:rPr>
          <w:rFonts w:ascii="Times New Roman" w:hAnsi="Times New Roman" w:cs="Times New Roman"/>
        </w:rPr>
        <w:t xml:space="preserve"> hipertenzija dažniausiai dėl </w:t>
      </w:r>
      <w:proofErr w:type="spellStart"/>
      <w:r w:rsidRPr="000D48A3">
        <w:rPr>
          <w:rFonts w:ascii="Times New Roman" w:hAnsi="Times New Roman" w:cs="Times New Roman"/>
        </w:rPr>
        <w:t>sklerodermijos</w:t>
      </w:r>
      <w:proofErr w:type="spellEnd"/>
      <w:r w:rsidRPr="000D48A3">
        <w:rPr>
          <w:rFonts w:ascii="Times New Roman" w:hAnsi="Times New Roman" w:cs="Times New Roman"/>
        </w:rPr>
        <w:t xml:space="preserve">). 4 savaites dukart per parą pavartojus 62,5 mg </w:t>
      </w:r>
      <w:proofErr w:type="spellStart"/>
      <w:r w:rsidRPr="000D48A3">
        <w:rPr>
          <w:rFonts w:ascii="Times New Roman" w:hAnsi="Times New Roman" w:cs="Times New Roman"/>
        </w:rPr>
        <w:t>bozentano</w:t>
      </w:r>
      <w:proofErr w:type="spellEnd"/>
      <w:r w:rsidRPr="000D48A3">
        <w:rPr>
          <w:rFonts w:ascii="Times New Roman" w:hAnsi="Times New Roman" w:cs="Times New Roman"/>
        </w:rPr>
        <w:t>, šiuose tyrimuose tirtos palaikomosios dozės buvo 125 mg dukart per parą AC-052-351 tyrime ir 125 mg dukart per parą bei 250 mg dukart per parą AC-052-352 tyrime.</w:t>
      </w:r>
    </w:p>
    <w:p w:rsidR="00A4103A" w:rsidRPr="000D48A3" w:rsidRDefault="00A4103A" w:rsidP="00A4103A">
      <w:pPr>
        <w:tabs>
          <w:tab w:val="left" w:pos="425"/>
        </w:tabs>
        <w:spacing w:after="0" w:line="240" w:lineRule="auto"/>
        <w:rPr>
          <w:rFonts w:ascii="Times New Roman" w:hAnsi="Times New Roman" w:cs="Times New Roman"/>
        </w:rPr>
      </w:pPr>
    </w:p>
    <w:p w:rsidR="00A4103A" w:rsidRPr="000D48A3" w:rsidRDefault="00A4103A" w:rsidP="00A4103A">
      <w:pPr>
        <w:tabs>
          <w:tab w:val="left" w:pos="425"/>
        </w:tabs>
        <w:spacing w:after="0" w:line="240" w:lineRule="auto"/>
        <w:rPr>
          <w:rFonts w:ascii="Times New Roman" w:hAnsi="Times New Roman" w:cs="Times New Roman"/>
        </w:rPr>
      </w:pPr>
      <w:proofErr w:type="spellStart"/>
      <w:r w:rsidRPr="000D48A3">
        <w:rPr>
          <w:rFonts w:ascii="Times New Roman" w:hAnsi="Times New Roman" w:cs="Times New Roman"/>
        </w:rPr>
        <w:t>Bozentanas</w:t>
      </w:r>
      <w:proofErr w:type="spellEnd"/>
      <w:r w:rsidRPr="000D48A3">
        <w:rPr>
          <w:rFonts w:ascii="Times New Roman" w:hAnsi="Times New Roman" w:cs="Times New Roman"/>
        </w:rPr>
        <w:t xml:space="preserve"> buvo skirtas papildomai prie pacientams tuo laiku taikomo gydymo, kuriame galėjo būti antikoaguliantų, kraujagysles plečiančių vaistinių preparatų (pvz., kalcio kanalų blokatorių), diuretikų, deguonies ir </w:t>
      </w:r>
      <w:proofErr w:type="spellStart"/>
      <w:r w:rsidRPr="000D48A3">
        <w:rPr>
          <w:rFonts w:ascii="Times New Roman" w:hAnsi="Times New Roman" w:cs="Times New Roman"/>
        </w:rPr>
        <w:t>digoksino</w:t>
      </w:r>
      <w:proofErr w:type="spellEnd"/>
      <w:r w:rsidRPr="000D48A3">
        <w:rPr>
          <w:rFonts w:ascii="Times New Roman" w:hAnsi="Times New Roman" w:cs="Times New Roman"/>
        </w:rPr>
        <w:t xml:space="preserve"> derinys, tačiau ne </w:t>
      </w:r>
      <w:proofErr w:type="spellStart"/>
      <w:r w:rsidRPr="000D48A3">
        <w:rPr>
          <w:rFonts w:ascii="Times New Roman" w:hAnsi="Times New Roman" w:cs="Times New Roman"/>
        </w:rPr>
        <w:t>epoprostenolis</w:t>
      </w:r>
      <w:proofErr w:type="spellEnd"/>
      <w:r w:rsidRPr="000D48A3">
        <w:rPr>
          <w:rFonts w:ascii="Times New Roman" w:hAnsi="Times New Roman" w:cs="Times New Roman"/>
        </w:rPr>
        <w:t xml:space="preserve">. Kontrolė buvo </w:t>
      </w:r>
      <w:proofErr w:type="spellStart"/>
      <w:r w:rsidRPr="000D48A3">
        <w:rPr>
          <w:rFonts w:ascii="Times New Roman" w:hAnsi="Times New Roman" w:cs="Times New Roman"/>
        </w:rPr>
        <w:t>placebas</w:t>
      </w:r>
      <w:proofErr w:type="spellEnd"/>
      <w:r w:rsidRPr="000D48A3">
        <w:rPr>
          <w:rFonts w:ascii="Times New Roman" w:hAnsi="Times New Roman" w:cs="Times New Roman"/>
        </w:rPr>
        <w:t xml:space="preserve"> kartu su tuo laiku taikomu gydymu. </w:t>
      </w:r>
    </w:p>
    <w:p w:rsidR="00A4103A" w:rsidRPr="000D48A3" w:rsidRDefault="00A4103A" w:rsidP="00A4103A">
      <w:pPr>
        <w:tabs>
          <w:tab w:val="left" w:pos="425"/>
        </w:tabs>
        <w:spacing w:after="0" w:line="240" w:lineRule="auto"/>
        <w:rPr>
          <w:rFonts w:ascii="Times New Roman" w:hAnsi="Times New Roman" w:cs="Times New Roman"/>
        </w:rPr>
      </w:pPr>
    </w:p>
    <w:p w:rsidR="00A4103A" w:rsidRPr="000D48A3" w:rsidRDefault="00A4103A" w:rsidP="00A4103A">
      <w:pPr>
        <w:tabs>
          <w:tab w:val="left" w:pos="425"/>
        </w:tabs>
        <w:spacing w:after="0" w:line="240" w:lineRule="auto"/>
        <w:rPr>
          <w:rFonts w:ascii="Times New Roman" w:hAnsi="Times New Roman" w:cs="Times New Roman"/>
        </w:rPr>
      </w:pPr>
      <w:r w:rsidRPr="000D48A3">
        <w:rPr>
          <w:rFonts w:ascii="Times New Roman" w:hAnsi="Times New Roman" w:cs="Times New Roman"/>
        </w:rPr>
        <w:t xml:space="preserve">Kiekvieno tyrimo pagrindinė vertinamoji baigtis buvo pokyčiai, einant 6 minutes tam tikrą atstumą pėsčiomis, 12-tą savaitę pirmojo tyrimo metu ir 16-tą savaitę antrojo tyrimo metu. Abiejų tyrimų metu gydant </w:t>
      </w:r>
      <w:proofErr w:type="spellStart"/>
      <w:r w:rsidRPr="000D48A3">
        <w:rPr>
          <w:rFonts w:ascii="Times New Roman" w:hAnsi="Times New Roman" w:cs="Times New Roman"/>
        </w:rPr>
        <w:t>bozentanu</w:t>
      </w:r>
      <w:proofErr w:type="spellEnd"/>
      <w:r w:rsidRPr="000D48A3">
        <w:rPr>
          <w:rFonts w:ascii="Times New Roman" w:hAnsi="Times New Roman" w:cs="Times New Roman"/>
        </w:rPr>
        <w:t xml:space="preserve"> fizinis pajėgumas žymiai padidėjo. </w:t>
      </w:r>
      <w:proofErr w:type="spellStart"/>
      <w:r w:rsidRPr="000D48A3">
        <w:rPr>
          <w:rFonts w:ascii="Times New Roman" w:hAnsi="Times New Roman" w:cs="Times New Roman"/>
        </w:rPr>
        <w:t>Placebu</w:t>
      </w:r>
      <w:proofErr w:type="spellEnd"/>
      <w:r w:rsidRPr="000D48A3">
        <w:rPr>
          <w:rFonts w:ascii="Times New Roman" w:hAnsi="Times New Roman" w:cs="Times New Roman"/>
        </w:rPr>
        <w:t xml:space="preserve"> koreguotas nueito atstumo padidėjimas, palyginti su tyrimo pradžia, buvo 76 metrai (p = 0,02; t-testas) ir 44 metrai (p = 0,0002; </w:t>
      </w:r>
      <w:proofErr w:type="spellStart"/>
      <w:r w:rsidRPr="00432133">
        <w:rPr>
          <w:rFonts w:ascii="Times New Roman" w:hAnsi="Times New Roman" w:cs="Times New Roman"/>
          <w:i/>
          <w:iCs/>
        </w:rPr>
        <w:t>Mann-Whitney</w:t>
      </w:r>
      <w:proofErr w:type="spellEnd"/>
      <w:r w:rsidRPr="000D48A3">
        <w:rPr>
          <w:rFonts w:ascii="Times New Roman" w:hAnsi="Times New Roman" w:cs="Times New Roman"/>
        </w:rPr>
        <w:t xml:space="preserve"> U testas) pagrindinėje vertinamojoje baigtyje, atitinkamai kiekvieno tyrimo metu. Skirtumai tarp grupės, vartojusios 125 mg dozę du kartus per parą, ir grupės, kuri vartojo 250 mg dozę du kartus per parą, nebuvo statistiškai reikšmingi, tačiau pastebėtas polinkis gerėti fiziniam pajėgumui vartojant po 250 mg vaistinio preparato du kartus per parą. </w:t>
      </w:r>
    </w:p>
    <w:p w:rsidR="00A4103A" w:rsidRPr="000D48A3" w:rsidRDefault="00A4103A" w:rsidP="00A4103A">
      <w:pPr>
        <w:tabs>
          <w:tab w:val="left" w:pos="425"/>
        </w:tabs>
        <w:spacing w:after="0" w:line="240" w:lineRule="auto"/>
        <w:rPr>
          <w:rFonts w:ascii="Times New Roman" w:hAnsi="Times New Roman" w:cs="Times New Roman"/>
        </w:rPr>
      </w:pPr>
    </w:p>
    <w:p w:rsidR="00A4103A" w:rsidRPr="000D48A3" w:rsidRDefault="00A4103A" w:rsidP="00A4103A">
      <w:pPr>
        <w:tabs>
          <w:tab w:val="left" w:pos="425"/>
        </w:tabs>
        <w:spacing w:after="0" w:line="240" w:lineRule="auto"/>
        <w:rPr>
          <w:rFonts w:ascii="Times New Roman" w:hAnsi="Times New Roman" w:cs="Times New Roman"/>
        </w:rPr>
      </w:pPr>
      <w:r w:rsidRPr="000D48A3">
        <w:rPr>
          <w:rFonts w:ascii="Times New Roman" w:hAnsi="Times New Roman" w:cs="Times New Roman"/>
        </w:rPr>
        <w:t xml:space="preserve">Nueitą atstumą rodančių duomenų pagerėjimas tapo matomas po 4 savaičių gydymo, akivaizdus po 8 savaičių gydymo ir išsilaikė iki 28 savaičių gydomame dvigubai aklu būdu pacientų populiacijos poaibyje. </w:t>
      </w:r>
    </w:p>
    <w:p w:rsidR="00A4103A" w:rsidRPr="000D48A3" w:rsidRDefault="00A4103A" w:rsidP="00A4103A">
      <w:pPr>
        <w:tabs>
          <w:tab w:val="left" w:pos="425"/>
        </w:tabs>
        <w:spacing w:after="0" w:line="240" w:lineRule="auto"/>
        <w:rPr>
          <w:rFonts w:ascii="Times New Roman" w:hAnsi="Times New Roman" w:cs="Times New Roman"/>
        </w:rPr>
      </w:pPr>
    </w:p>
    <w:p w:rsidR="00A4103A" w:rsidRPr="000D48A3" w:rsidRDefault="00A4103A" w:rsidP="00A4103A">
      <w:pPr>
        <w:tabs>
          <w:tab w:val="left" w:pos="425"/>
        </w:tabs>
        <w:spacing w:after="0" w:line="240" w:lineRule="auto"/>
        <w:rPr>
          <w:rFonts w:ascii="Times New Roman" w:hAnsi="Times New Roman" w:cs="Times New Roman"/>
        </w:rPr>
      </w:pPr>
      <w:r w:rsidRPr="000D48A3">
        <w:rPr>
          <w:rFonts w:ascii="Times New Roman" w:hAnsi="Times New Roman" w:cs="Times New Roman"/>
        </w:rPr>
        <w:t xml:space="preserve">Atlikus reaguojančių į gydymą 95 pacientų, vartojančių po 125 mg </w:t>
      </w:r>
      <w:proofErr w:type="spellStart"/>
      <w:r w:rsidRPr="000D48A3">
        <w:rPr>
          <w:rFonts w:ascii="Times New Roman" w:hAnsi="Times New Roman" w:cs="Times New Roman"/>
        </w:rPr>
        <w:t>bozentano</w:t>
      </w:r>
      <w:proofErr w:type="spellEnd"/>
      <w:r w:rsidRPr="000D48A3">
        <w:rPr>
          <w:rFonts w:ascii="Times New Roman" w:hAnsi="Times New Roman" w:cs="Times New Roman"/>
        </w:rPr>
        <w:t xml:space="preserve"> du kartus per parą </w:t>
      </w:r>
      <w:proofErr w:type="spellStart"/>
      <w:r w:rsidRPr="000D48A3">
        <w:rPr>
          <w:rFonts w:ascii="Times New Roman" w:hAnsi="Times New Roman" w:cs="Times New Roman"/>
        </w:rPr>
        <w:t>placebu</w:t>
      </w:r>
      <w:proofErr w:type="spellEnd"/>
      <w:r w:rsidRPr="000D48A3">
        <w:rPr>
          <w:rFonts w:ascii="Times New Roman" w:hAnsi="Times New Roman" w:cs="Times New Roman"/>
        </w:rPr>
        <w:t xml:space="preserve"> kontroliuotuose klinikiniuose tyrimuose, retrospektyvią nueito pėsčiomis atstumo, PSO funkcinės klasės ir dusulio analizę, nustatyta, jog 8 savaitę 66 pacientų būklė pagerėjo, 22 – liko stabili ir 7 pablogėjo. Iš 22 pacientų, kurių būklė 8 savaitę buvo stabili, 6 būklė pagerėjo 12/16 savaitę, o 4 būklė pablogėjo, palyginti su tyrimo pradžia. Iš 7 pacientų, kurių būklė 8 savaitę pablogėjo, 3 būklė pagerėjo 12/16 savaitę, o 4 būklė pablogėjo, palyginti su tyrimo pradžia. </w:t>
      </w:r>
    </w:p>
    <w:p w:rsidR="00A4103A" w:rsidRPr="000D48A3" w:rsidRDefault="00A4103A" w:rsidP="00A4103A">
      <w:pPr>
        <w:tabs>
          <w:tab w:val="left" w:pos="425"/>
        </w:tabs>
        <w:spacing w:after="0" w:line="240" w:lineRule="auto"/>
        <w:rPr>
          <w:rFonts w:ascii="Times New Roman" w:hAnsi="Times New Roman" w:cs="Times New Roman"/>
        </w:rPr>
      </w:pPr>
    </w:p>
    <w:p w:rsidR="00A4103A" w:rsidRPr="000D48A3" w:rsidRDefault="00A4103A" w:rsidP="00A4103A">
      <w:pPr>
        <w:tabs>
          <w:tab w:val="left" w:pos="425"/>
        </w:tabs>
        <w:spacing w:after="0" w:line="240" w:lineRule="auto"/>
        <w:rPr>
          <w:rFonts w:ascii="Times New Roman" w:hAnsi="Times New Roman" w:cs="Times New Roman"/>
        </w:rPr>
      </w:pPr>
      <w:r w:rsidRPr="000D48A3">
        <w:rPr>
          <w:rFonts w:ascii="Times New Roman" w:hAnsi="Times New Roman" w:cs="Times New Roman"/>
        </w:rPr>
        <w:t xml:space="preserve">Invaziniai </w:t>
      </w:r>
      <w:proofErr w:type="spellStart"/>
      <w:r w:rsidRPr="000D48A3">
        <w:rPr>
          <w:rFonts w:ascii="Times New Roman" w:hAnsi="Times New Roman" w:cs="Times New Roman"/>
        </w:rPr>
        <w:t>hemodinaminiai</w:t>
      </w:r>
      <w:proofErr w:type="spellEnd"/>
      <w:r w:rsidRPr="000D48A3">
        <w:rPr>
          <w:rFonts w:ascii="Times New Roman" w:hAnsi="Times New Roman" w:cs="Times New Roman"/>
        </w:rPr>
        <w:t xml:space="preserve"> parametrai nustatyti tik pirmojo tyrimo metu. Gydant </w:t>
      </w:r>
      <w:proofErr w:type="spellStart"/>
      <w:r w:rsidRPr="000D48A3">
        <w:rPr>
          <w:rFonts w:ascii="Times New Roman" w:hAnsi="Times New Roman" w:cs="Times New Roman"/>
        </w:rPr>
        <w:t>bozentanu</w:t>
      </w:r>
      <w:proofErr w:type="spellEnd"/>
      <w:r w:rsidRPr="000D48A3">
        <w:rPr>
          <w:rFonts w:ascii="Times New Roman" w:hAnsi="Times New Roman" w:cs="Times New Roman"/>
        </w:rPr>
        <w:t xml:space="preserve"> žymiai padidėjo širdies indeksas, siejamas su reikšmingu plaučių arterijos spaudimo, plaučių kraujagyslių pasipriešinimo ir vidutinio dešiniojo prieširdžio spaudimo sumažėjimu. </w:t>
      </w:r>
    </w:p>
    <w:p w:rsidR="00A4103A" w:rsidRPr="000D48A3" w:rsidRDefault="00A4103A" w:rsidP="00A4103A">
      <w:pPr>
        <w:tabs>
          <w:tab w:val="left" w:pos="425"/>
        </w:tabs>
        <w:spacing w:after="0" w:line="240" w:lineRule="auto"/>
        <w:rPr>
          <w:rFonts w:ascii="Times New Roman" w:hAnsi="Times New Roman" w:cs="Times New Roman"/>
        </w:rPr>
      </w:pPr>
    </w:p>
    <w:p w:rsidR="00A4103A" w:rsidRPr="000D48A3" w:rsidRDefault="00A4103A" w:rsidP="00A4103A">
      <w:pPr>
        <w:tabs>
          <w:tab w:val="left" w:pos="425"/>
        </w:tabs>
        <w:spacing w:after="0" w:line="240" w:lineRule="auto"/>
        <w:rPr>
          <w:rFonts w:ascii="Times New Roman" w:hAnsi="Times New Roman" w:cs="Times New Roman"/>
        </w:rPr>
      </w:pPr>
      <w:r w:rsidRPr="000D48A3">
        <w:rPr>
          <w:rFonts w:ascii="Times New Roman" w:hAnsi="Times New Roman" w:cs="Times New Roman"/>
        </w:rPr>
        <w:t xml:space="preserve">Gydant </w:t>
      </w:r>
      <w:proofErr w:type="spellStart"/>
      <w:r w:rsidRPr="000D48A3">
        <w:rPr>
          <w:rFonts w:ascii="Times New Roman" w:hAnsi="Times New Roman" w:cs="Times New Roman"/>
        </w:rPr>
        <w:t>bozentanu</w:t>
      </w:r>
      <w:proofErr w:type="spellEnd"/>
      <w:r w:rsidRPr="000D48A3">
        <w:rPr>
          <w:rFonts w:ascii="Times New Roman" w:hAnsi="Times New Roman" w:cs="Times New Roman"/>
        </w:rPr>
        <w:t xml:space="preserve"> pastebėtas </w:t>
      </w:r>
      <w:proofErr w:type="spellStart"/>
      <w:r w:rsidRPr="000D48A3">
        <w:rPr>
          <w:rFonts w:ascii="Times New Roman" w:hAnsi="Times New Roman" w:cs="Times New Roman"/>
        </w:rPr>
        <w:t>plautinės</w:t>
      </w:r>
      <w:proofErr w:type="spellEnd"/>
      <w:r w:rsidRPr="000D48A3">
        <w:rPr>
          <w:rFonts w:ascii="Times New Roman" w:hAnsi="Times New Roman" w:cs="Times New Roman"/>
        </w:rPr>
        <w:t xml:space="preserve"> arterinės hipertenzijos simptomų sumažėjimas. Dusulio matavimas vaikščiojimo testų metu parodė pagerėjimą </w:t>
      </w:r>
      <w:proofErr w:type="spellStart"/>
      <w:r w:rsidRPr="000D48A3">
        <w:rPr>
          <w:rFonts w:ascii="Times New Roman" w:hAnsi="Times New Roman" w:cs="Times New Roman"/>
        </w:rPr>
        <w:t>bozentanu</w:t>
      </w:r>
      <w:proofErr w:type="spellEnd"/>
      <w:r w:rsidRPr="000D48A3">
        <w:rPr>
          <w:rFonts w:ascii="Times New Roman" w:hAnsi="Times New Roman" w:cs="Times New Roman"/>
        </w:rPr>
        <w:t xml:space="preserve"> gydytiems pacientams. AC-052-352 tyrime 92 % iš 213 pacientų tyrimo pradžioje PSO funkcinė būklė buvo priskirta III klasei ir 8</w:t>
      </w:r>
      <w:r w:rsidR="00165ADF">
        <w:rPr>
          <w:rFonts w:ascii="Times New Roman" w:hAnsi="Times New Roman" w:cs="Times New Roman"/>
        </w:rPr>
        <w:t> </w:t>
      </w:r>
      <w:r w:rsidRPr="000D48A3">
        <w:rPr>
          <w:rFonts w:ascii="Times New Roman" w:hAnsi="Times New Roman" w:cs="Times New Roman"/>
        </w:rPr>
        <w:t xml:space="preserve">% – IV klasei. Gydymas </w:t>
      </w:r>
      <w:proofErr w:type="spellStart"/>
      <w:r w:rsidRPr="000D48A3">
        <w:rPr>
          <w:rFonts w:ascii="Times New Roman" w:hAnsi="Times New Roman" w:cs="Times New Roman"/>
        </w:rPr>
        <w:t>bozentanu</w:t>
      </w:r>
      <w:proofErr w:type="spellEnd"/>
      <w:r w:rsidRPr="000D48A3">
        <w:rPr>
          <w:rFonts w:ascii="Times New Roman" w:hAnsi="Times New Roman" w:cs="Times New Roman"/>
        </w:rPr>
        <w:t xml:space="preserve"> sukėlė PSO funkcinė</w:t>
      </w:r>
      <w:r w:rsidR="00165ADF">
        <w:rPr>
          <w:rFonts w:ascii="Times New Roman" w:hAnsi="Times New Roman" w:cs="Times New Roman"/>
        </w:rPr>
        <w:t>s</w:t>
      </w:r>
      <w:r w:rsidRPr="000D48A3">
        <w:rPr>
          <w:rFonts w:ascii="Times New Roman" w:hAnsi="Times New Roman" w:cs="Times New Roman"/>
        </w:rPr>
        <w:t xml:space="preserve"> klasė</w:t>
      </w:r>
      <w:r w:rsidR="00165ADF">
        <w:rPr>
          <w:rFonts w:ascii="Times New Roman" w:hAnsi="Times New Roman" w:cs="Times New Roman"/>
        </w:rPr>
        <w:t>s</w:t>
      </w:r>
      <w:r w:rsidRPr="000D48A3">
        <w:rPr>
          <w:rFonts w:ascii="Times New Roman" w:hAnsi="Times New Roman" w:cs="Times New Roman"/>
        </w:rPr>
        <w:t xml:space="preserve"> pagerėjimą 42,4 % pacientų (</w:t>
      </w:r>
      <w:proofErr w:type="spellStart"/>
      <w:r w:rsidRPr="000D48A3">
        <w:rPr>
          <w:rFonts w:ascii="Times New Roman" w:hAnsi="Times New Roman" w:cs="Times New Roman"/>
        </w:rPr>
        <w:t>placebas</w:t>
      </w:r>
      <w:proofErr w:type="spellEnd"/>
      <w:r w:rsidRPr="000D48A3">
        <w:rPr>
          <w:rFonts w:ascii="Times New Roman" w:hAnsi="Times New Roman" w:cs="Times New Roman"/>
        </w:rPr>
        <w:t xml:space="preserve"> 30,4 %). Bendras PSO funkcinės klasės pokytis abiejų tyrimų metu buvo reikšmingai geresnis </w:t>
      </w:r>
      <w:proofErr w:type="spellStart"/>
      <w:r w:rsidRPr="000D48A3">
        <w:rPr>
          <w:rFonts w:ascii="Times New Roman" w:hAnsi="Times New Roman" w:cs="Times New Roman"/>
        </w:rPr>
        <w:t>bozentanu</w:t>
      </w:r>
      <w:proofErr w:type="spellEnd"/>
      <w:r w:rsidRPr="000D48A3">
        <w:rPr>
          <w:rFonts w:ascii="Times New Roman" w:hAnsi="Times New Roman" w:cs="Times New Roman"/>
        </w:rPr>
        <w:t xml:space="preserve"> gydytiems pacientams, palyginti su pacientais, kurie vartojo </w:t>
      </w:r>
      <w:proofErr w:type="spellStart"/>
      <w:r w:rsidRPr="000D48A3">
        <w:rPr>
          <w:rFonts w:ascii="Times New Roman" w:hAnsi="Times New Roman" w:cs="Times New Roman"/>
        </w:rPr>
        <w:t>placebą</w:t>
      </w:r>
      <w:proofErr w:type="spellEnd"/>
      <w:r w:rsidRPr="000D48A3">
        <w:rPr>
          <w:rFonts w:ascii="Times New Roman" w:hAnsi="Times New Roman" w:cs="Times New Roman"/>
        </w:rPr>
        <w:t xml:space="preserve">. Gydymas </w:t>
      </w:r>
      <w:proofErr w:type="spellStart"/>
      <w:r w:rsidRPr="000D48A3">
        <w:rPr>
          <w:rFonts w:ascii="Times New Roman" w:hAnsi="Times New Roman" w:cs="Times New Roman"/>
        </w:rPr>
        <w:t>bozentanu</w:t>
      </w:r>
      <w:proofErr w:type="spellEnd"/>
      <w:r w:rsidRPr="000D48A3">
        <w:rPr>
          <w:rFonts w:ascii="Times New Roman" w:hAnsi="Times New Roman" w:cs="Times New Roman"/>
        </w:rPr>
        <w:t xml:space="preserve"> buvo susijęs su reikšmingu klinikinio pablogėjimo dažnio, palyginti su </w:t>
      </w:r>
      <w:proofErr w:type="spellStart"/>
      <w:r w:rsidRPr="000D48A3">
        <w:rPr>
          <w:rFonts w:ascii="Times New Roman" w:hAnsi="Times New Roman" w:cs="Times New Roman"/>
        </w:rPr>
        <w:t>placebu</w:t>
      </w:r>
      <w:proofErr w:type="spellEnd"/>
      <w:r w:rsidRPr="000D48A3">
        <w:rPr>
          <w:rFonts w:ascii="Times New Roman" w:hAnsi="Times New Roman" w:cs="Times New Roman"/>
        </w:rPr>
        <w:t xml:space="preserve">, sumažėjimu per 28 savaites (atitinkamai 10,7 %, palyginti su 37,1 %; p = 0,0015). </w:t>
      </w:r>
    </w:p>
    <w:p w:rsidR="00A4103A" w:rsidRPr="000D48A3" w:rsidRDefault="00A4103A" w:rsidP="00A4103A">
      <w:pPr>
        <w:tabs>
          <w:tab w:val="left" w:pos="425"/>
        </w:tabs>
        <w:spacing w:after="0" w:line="240" w:lineRule="auto"/>
        <w:rPr>
          <w:rFonts w:ascii="Times New Roman" w:hAnsi="Times New Roman" w:cs="Times New Roman"/>
        </w:rPr>
      </w:pPr>
    </w:p>
    <w:p w:rsidR="00A4103A" w:rsidRPr="000D48A3" w:rsidRDefault="00A4103A" w:rsidP="00A4103A">
      <w:pPr>
        <w:tabs>
          <w:tab w:val="left" w:pos="425"/>
        </w:tabs>
        <w:spacing w:after="0" w:line="240" w:lineRule="auto"/>
        <w:rPr>
          <w:rFonts w:ascii="Times New Roman" w:hAnsi="Times New Roman" w:cs="Times New Roman"/>
        </w:rPr>
      </w:pPr>
      <w:r w:rsidRPr="000D48A3">
        <w:rPr>
          <w:rFonts w:ascii="Times New Roman" w:hAnsi="Times New Roman" w:cs="Times New Roman"/>
        </w:rPr>
        <w:t xml:space="preserve">Atsitiktinių imčių, dvigubai aklo, </w:t>
      </w:r>
      <w:proofErr w:type="spellStart"/>
      <w:r w:rsidRPr="000D48A3">
        <w:rPr>
          <w:rFonts w:ascii="Times New Roman" w:hAnsi="Times New Roman" w:cs="Times New Roman"/>
        </w:rPr>
        <w:t>daugiacentrio</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placebo</w:t>
      </w:r>
      <w:proofErr w:type="spellEnd"/>
      <w:r w:rsidRPr="000D48A3">
        <w:rPr>
          <w:rFonts w:ascii="Times New Roman" w:hAnsi="Times New Roman" w:cs="Times New Roman"/>
        </w:rPr>
        <w:t xml:space="preserve"> kontroliuojamo tyrimo (AC-052-364; </w:t>
      </w:r>
      <w:r>
        <w:rPr>
          <w:rFonts w:ascii="Times New Roman" w:hAnsi="Times New Roman" w:cs="Times New Roman"/>
        </w:rPr>
        <w:t>[</w:t>
      </w:r>
      <w:r w:rsidRPr="000D48A3">
        <w:rPr>
          <w:rFonts w:ascii="Times New Roman" w:hAnsi="Times New Roman" w:cs="Times New Roman"/>
        </w:rPr>
        <w:t>EARLY</w:t>
      </w:r>
      <w:r>
        <w:rPr>
          <w:rFonts w:ascii="Times New Roman" w:hAnsi="Times New Roman" w:cs="Times New Roman"/>
        </w:rPr>
        <w:t>]</w:t>
      </w:r>
      <w:r w:rsidRPr="000D48A3">
        <w:rPr>
          <w:rFonts w:ascii="Times New Roman" w:hAnsi="Times New Roman" w:cs="Times New Roman"/>
        </w:rPr>
        <w:t xml:space="preserve">) metu 185 pacientai, sergantys PSO II funkcinės klasės PAH (vidutinė gydymo pradžioje per 6 minutes nueinamas atstumas − 435 metrai), 4 savaites dukart per parą vartojo 62,5 mg </w:t>
      </w:r>
      <w:proofErr w:type="spellStart"/>
      <w:r w:rsidRPr="000D48A3">
        <w:rPr>
          <w:rFonts w:ascii="Times New Roman" w:hAnsi="Times New Roman" w:cs="Times New Roman"/>
        </w:rPr>
        <w:t>bozentano</w:t>
      </w:r>
      <w:proofErr w:type="spellEnd"/>
      <w:r w:rsidRPr="000D48A3">
        <w:rPr>
          <w:rFonts w:ascii="Times New Roman" w:hAnsi="Times New Roman" w:cs="Times New Roman"/>
        </w:rPr>
        <w:t xml:space="preserve">, po to 6 mėnesius dukart per parą 125 mg </w:t>
      </w:r>
      <w:proofErr w:type="spellStart"/>
      <w:r w:rsidRPr="000D48A3">
        <w:rPr>
          <w:rFonts w:ascii="Times New Roman" w:hAnsi="Times New Roman" w:cs="Times New Roman"/>
        </w:rPr>
        <w:t>bozentano</w:t>
      </w:r>
      <w:proofErr w:type="spellEnd"/>
      <w:r w:rsidRPr="000D48A3">
        <w:rPr>
          <w:rFonts w:ascii="Times New Roman" w:hAnsi="Times New Roman" w:cs="Times New Roman"/>
        </w:rPr>
        <w:t xml:space="preserve"> (n = 93) arba </w:t>
      </w:r>
      <w:proofErr w:type="spellStart"/>
      <w:r w:rsidRPr="000D48A3">
        <w:rPr>
          <w:rFonts w:ascii="Times New Roman" w:hAnsi="Times New Roman" w:cs="Times New Roman"/>
        </w:rPr>
        <w:t>placebo</w:t>
      </w:r>
      <w:proofErr w:type="spellEnd"/>
      <w:r w:rsidRPr="000D48A3">
        <w:rPr>
          <w:rFonts w:ascii="Times New Roman" w:hAnsi="Times New Roman" w:cs="Times New Roman"/>
        </w:rPr>
        <w:t xml:space="preserve"> (n = 92). Į tyrimą buvo įtraukti pacientai, kurie anksčiau nuo PAH gydyti nebuvo (n = 156) arba kurie buvo gydyti pastovia </w:t>
      </w:r>
      <w:proofErr w:type="spellStart"/>
      <w:r w:rsidRPr="000D48A3">
        <w:rPr>
          <w:rFonts w:ascii="Times New Roman" w:hAnsi="Times New Roman" w:cs="Times New Roman"/>
        </w:rPr>
        <w:t>sildenafilio</w:t>
      </w:r>
      <w:proofErr w:type="spellEnd"/>
      <w:r w:rsidRPr="000D48A3">
        <w:rPr>
          <w:rFonts w:ascii="Times New Roman" w:hAnsi="Times New Roman" w:cs="Times New Roman"/>
        </w:rPr>
        <w:t xml:space="preserve"> doze (n = 29). Pagrindinės vertinamosios baigtys buvo plaučių kraujagyslių pasipriešinimo (PKP), palyginti su buvusiu tyrimo pradžioje, procentinis pokytis ir po 6 gydymo </w:t>
      </w:r>
      <w:r w:rsidRPr="000D48A3">
        <w:rPr>
          <w:rFonts w:ascii="Times New Roman" w:hAnsi="Times New Roman" w:cs="Times New Roman"/>
        </w:rPr>
        <w:lastRenderedPageBreak/>
        <w:t xml:space="preserve">mėnesių per 6 minutes nueinamo atstumo pokytis, palyginti su </w:t>
      </w:r>
      <w:proofErr w:type="spellStart"/>
      <w:r w:rsidRPr="000D48A3">
        <w:rPr>
          <w:rFonts w:ascii="Times New Roman" w:hAnsi="Times New Roman" w:cs="Times New Roman"/>
        </w:rPr>
        <w:t>placebą</w:t>
      </w:r>
      <w:proofErr w:type="spellEnd"/>
      <w:r w:rsidRPr="000D48A3">
        <w:rPr>
          <w:rFonts w:ascii="Times New Roman" w:hAnsi="Times New Roman" w:cs="Times New Roman"/>
        </w:rPr>
        <w:t xml:space="preserve"> vartojusių pacientų. Toliau lentelėje pateikti iš anksto tiksliai apibūdinto protokolo analizės rezultatai.</w:t>
      </w:r>
    </w:p>
    <w:p w:rsidR="00A4103A" w:rsidRPr="000D48A3" w:rsidRDefault="00A4103A" w:rsidP="00A4103A">
      <w:pPr>
        <w:tabs>
          <w:tab w:val="left" w:pos="425"/>
          <w:tab w:val="left" w:pos="567"/>
        </w:tabs>
        <w:spacing w:after="0" w:line="240" w:lineRule="auto"/>
        <w:rPr>
          <w:rFonts w:ascii="Times New Roman" w:hAnsi="Times New Roman" w:cs="Times New Roman"/>
        </w:rPr>
      </w:pPr>
    </w:p>
    <w:tbl>
      <w:tblPr>
        <w:tblW w:w="88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620"/>
        <w:gridCol w:w="1440"/>
        <w:gridCol w:w="1620"/>
        <w:gridCol w:w="1620"/>
      </w:tblGrid>
      <w:tr w:rsidR="00A4103A" w:rsidRPr="00B2082E" w:rsidTr="00540DBA">
        <w:tc>
          <w:tcPr>
            <w:tcW w:w="2520" w:type="dxa"/>
          </w:tcPr>
          <w:p w:rsidR="00A4103A" w:rsidRPr="000D48A3" w:rsidRDefault="00A4103A" w:rsidP="00540DBA">
            <w:pPr>
              <w:tabs>
                <w:tab w:val="left" w:pos="425"/>
                <w:tab w:val="left" w:pos="567"/>
              </w:tabs>
              <w:spacing w:after="0" w:line="240" w:lineRule="auto"/>
              <w:rPr>
                <w:rFonts w:ascii="Times New Roman" w:hAnsi="Times New Roman" w:cs="Times New Roman"/>
              </w:rPr>
            </w:pPr>
          </w:p>
        </w:tc>
        <w:tc>
          <w:tcPr>
            <w:tcW w:w="3060" w:type="dxa"/>
            <w:gridSpan w:val="2"/>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r w:rsidRPr="000D48A3">
              <w:rPr>
                <w:rFonts w:ascii="Times New Roman" w:hAnsi="Times New Roman" w:cs="Times New Roman"/>
                <w:b/>
                <w:bCs/>
              </w:rPr>
              <w:t>PKP (</w:t>
            </w:r>
            <w:proofErr w:type="spellStart"/>
            <w:r w:rsidRPr="000D48A3">
              <w:rPr>
                <w:rFonts w:ascii="Times New Roman" w:hAnsi="Times New Roman" w:cs="Times New Roman"/>
                <w:b/>
                <w:bCs/>
              </w:rPr>
              <w:t>d</w:t>
            </w:r>
            <w:r>
              <w:rPr>
                <w:rFonts w:ascii="Times New Roman" w:hAnsi="Times New Roman" w:cs="Times New Roman"/>
                <w:b/>
                <w:bCs/>
              </w:rPr>
              <w:t>y</w:t>
            </w:r>
            <w:r w:rsidRPr="000D48A3">
              <w:rPr>
                <w:rFonts w:ascii="Times New Roman" w:hAnsi="Times New Roman" w:cs="Times New Roman"/>
                <w:b/>
                <w:bCs/>
              </w:rPr>
              <w:t>n</w:t>
            </w:r>
            <w:proofErr w:type="spellEnd"/>
            <w:r w:rsidRPr="000D48A3">
              <w:rPr>
                <w:rFonts w:ascii="Times New Roman" w:hAnsi="Times New Roman" w:cs="Times New Roman"/>
                <w:b/>
                <w:bCs/>
              </w:rPr>
              <w:t>. s/cm</w:t>
            </w:r>
            <w:r w:rsidRPr="000D48A3">
              <w:rPr>
                <w:rFonts w:ascii="Times New Roman Bold" w:hAnsi="Times New Roman Bold" w:cs="Times New Roman Bold"/>
                <w:b/>
                <w:bCs/>
                <w:vertAlign w:val="superscript"/>
              </w:rPr>
              <w:t>5</w:t>
            </w:r>
            <w:r w:rsidRPr="000D48A3">
              <w:rPr>
                <w:rFonts w:ascii="Times New Roman" w:hAnsi="Times New Roman" w:cs="Times New Roman"/>
                <w:b/>
                <w:bCs/>
              </w:rPr>
              <w:t>)</w:t>
            </w:r>
          </w:p>
        </w:tc>
        <w:tc>
          <w:tcPr>
            <w:tcW w:w="3240" w:type="dxa"/>
            <w:gridSpan w:val="2"/>
          </w:tcPr>
          <w:p w:rsidR="00A4103A" w:rsidRPr="000D48A3" w:rsidRDefault="00A4103A" w:rsidP="00540DBA">
            <w:pPr>
              <w:tabs>
                <w:tab w:val="left" w:pos="425"/>
                <w:tab w:val="left" w:pos="567"/>
              </w:tabs>
              <w:spacing w:after="0" w:line="240" w:lineRule="auto"/>
              <w:rPr>
                <w:rFonts w:ascii="Times New Roman" w:hAnsi="Times New Roman" w:cs="Times New Roman"/>
                <w:b/>
                <w:bCs/>
              </w:rPr>
            </w:pPr>
            <w:r w:rsidRPr="000D48A3">
              <w:rPr>
                <w:rFonts w:ascii="Times New Roman" w:hAnsi="Times New Roman" w:cs="Times New Roman"/>
                <w:b/>
                <w:bCs/>
              </w:rPr>
              <w:t>Per 6 min nueitas atstumas (m)</w:t>
            </w:r>
          </w:p>
        </w:tc>
      </w:tr>
      <w:tr w:rsidR="00A4103A" w:rsidRPr="00B2082E" w:rsidTr="00540DBA">
        <w:tc>
          <w:tcPr>
            <w:tcW w:w="2520" w:type="dxa"/>
          </w:tcPr>
          <w:p w:rsidR="00A4103A" w:rsidRPr="000D48A3" w:rsidRDefault="00A4103A" w:rsidP="00540DBA">
            <w:pPr>
              <w:tabs>
                <w:tab w:val="left" w:pos="425"/>
                <w:tab w:val="left" w:pos="567"/>
              </w:tabs>
              <w:spacing w:after="0" w:line="240" w:lineRule="auto"/>
              <w:rPr>
                <w:rFonts w:ascii="Times New Roman" w:hAnsi="Times New Roman" w:cs="Times New Roman"/>
              </w:rPr>
            </w:pPr>
          </w:p>
        </w:tc>
        <w:tc>
          <w:tcPr>
            <w:tcW w:w="1620" w:type="dxa"/>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proofErr w:type="spellStart"/>
            <w:r w:rsidRPr="000D48A3">
              <w:rPr>
                <w:rFonts w:ascii="Times New Roman" w:hAnsi="Times New Roman" w:cs="Times New Roman"/>
              </w:rPr>
              <w:t>Placebas</w:t>
            </w:r>
            <w:proofErr w:type="spellEnd"/>
            <w:r w:rsidRPr="000D48A3">
              <w:rPr>
                <w:rFonts w:ascii="Times New Roman" w:hAnsi="Times New Roman" w:cs="Times New Roman"/>
              </w:rPr>
              <w:t xml:space="preserve"> (n=88)</w:t>
            </w:r>
          </w:p>
        </w:tc>
        <w:tc>
          <w:tcPr>
            <w:tcW w:w="1440" w:type="dxa"/>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proofErr w:type="spellStart"/>
            <w:r w:rsidRPr="000D48A3">
              <w:rPr>
                <w:rFonts w:ascii="Times New Roman" w:hAnsi="Times New Roman" w:cs="Times New Roman"/>
              </w:rPr>
              <w:t>Bozentanas</w:t>
            </w:r>
            <w:proofErr w:type="spellEnd"/>
            <w:r w:rsidRPr="000D48A3">
              <w:rPr>
                <w:rFonts w:ascii="Times New Roman" w:hAnsi="Times New Roman" w:cs="Times New Roman"/>
              </w:rPr>
              <w:t xml:space="preserve"> (n=80)</w:t>
            </w:r>
          </w:p>
        </w:tc>
        <w:tc>
          <w:tcPr>
            <w:tcW w:w="1620" w:type="dxa"/>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proofErr w:type="spellStart"/>
            <w:r w:rsidRPr="000D48A3">
              <w:rPr>
                <w:rFonts w:ascii="Times New Roman" w:hAnsi="Times New Roman" w:cs="Times New Roman"/>
              </w:rPr>
              <w:t>Placebas</w:t>
            </w:r>
            <w:proofErr w:type="spellEnd"/>
            <w:r w:rsidRPr="000D48A3">
              <w:rPr>
                <w:rFonts w:ascii="Times New Roman" w:hAnsi="Times New Roman" w:cs="Times New Roman"/>
              </w:rPr>
              <w:t xml:space="preserve"> (n=91)</w:t>
            </w:r>
          </w:p>
        </w:tc>
        <w:tc>
          <w:tcPr>
            <w:tcW w:w="1620" w:type="dxa"/>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proofErr w:type="spellStart"/>
            <w:r w:rsidRPr="000D48A3">
              <w:rPr>
                <w:rFonts w:ascii="Times New Roman" w:hAnsi="Times New Roman" w:cs="Times New Roman"/>
              </w:rPr>
              <w:t>Bozentanas</w:t>
            </w:r>
            <w:proofErr w:type="spellEnd"/>
            <w:r w:rsidRPr="000D48A3">
              <w:rPr>
                <w:rFonts w:ascii="Times New Roman" w:hAnsi="Times New Roman" w:cs="Times New Roman"/>
              </w:rPr>
              <w:t xml:space="preserve"> (n=86)</w:t>
            </w:r>
          </w:p>
        </w:tc>
      </w:tr>
      <w:tr w:rsidR="00A4103A" w:rsidRPr="00B2082E" w:rsidTr="00540DBA">
        <w:tc>
          <w:tcPr>
            <w:tcW w:w="2520" w:type="dxa"/>
          </w:tcPr>
          <w:p w:rsidR="00A4103A" w:rsidRPr="000D48A3" w:rsidRDefault="00A4103A" w:rsidP="00540DB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Pradinis rodiklis (PR);</w:t>
            </w:r>
          </w:p>
          <w:p w:rsidR="00A4103A" w:rsidRPr="000D48A3" w:rsidRDefault="00A4103A" w:rsidP="00540DBA">
            <w:pPr>
              <w:tabs>
                <w:tab w:val="left" w:pos="425"/>
                <w:tab w:val="left" w:pos="567"/>
              </w:tabs>
              <w:spacing w:after="0" w:line="240" w:lineRule="auto"/>
              <w:rPr>
                <w:rFonts w:ascii="Times New Roman" w:hAnsi="Times New Roman" w:cs="Times New Roman"/>
              </w:rPr>
            </w:pPr>
            <w:r w:rsidRPr="000D48A3">
              <w:rPr>
                <w:rFonts w:ascii="Times New Roman" w:hAnsi="Times New Roman" w:cs="Times New Roman"/>
              </w:rPr>
              <w:t>vidurkis (SP)</w:t>
            </w:r>
          </w:p>
        </w:tc>
        <w:tc>
          <w:tcPr>
            <w:tcW w:w="1620" w:type="dxa"/>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r w:rsidRPr="000D48A3">
              <w:rPr>
                <w:rFonts w:ascii="Times New Roman" w:hAnsi="Times New Roman" w:cs="Times New Roman"/>
              </w:rPr>
              <w:t>802 (365)</w:t>
            </w:r>
          </w:p>
        </w:tc>
        <w:tc>
          <w:tcPr>
            <w:tcW w:w="1440" w:type="dxa"/>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r w:rsidRPr="000D48A3">
              <w:rPr>
                <w:rFonts w:ascii="Times New Roman" w:hAnsi="Times New Roman" w:cs="Times New Roman"/>
              </w:rPr>
              <w:t>851 (535)</w:t>
            </w:r>
          </w:p>
        </w:tc>
        <w:tc>
          <w:tcPr>
            <w:tcW w:w="1620" w:type="dxa"/>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r w:rsidRPr="000D48A3">
              <w:rPr>
                <w:rFonts w:ascii="Times New Roman" w:hAnsi="Times New Roman" w:cs="Times New Roman"/>
              </w:rPr>
              <w:t>431 (92)</w:t>
            </w:r>
          </w:p>
        </w:tc>
        <w:tc>
          <w:tcPr>
            <w:tcW w:w="1620" w:type="dxa"/>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r w:rsidRPr="000D48A3">
              <w:rPr>
                <w:rFonts w:ascii="Times New Roman" w:hAnsi="Times New Roman" w:cs="Times New Roman"/>
              </w:rPr>
              <w:t>443 (83)</w:t>
            </w:r>
          </w:p>
        </w:tc>
      </w:tr>
      <w:tr w:rsidR="00A4103A" w:rsidRPr="00B2082E" w:rsidTr="00540DBA">
        <w:tc>
          <w:tcPr>
            <w:tcW w:w="2520" w:type="dxa"/>
          </w:tcPr>
          <w:p w:rsidR="00A4103A" w:rsidRPr="000D48A3" w:rsidRDefault="00A4103A" w:rsidP="00540DBA">
            <w:pPr>
              <w:tabs>
                <w:tab w:val="left" w:pos="425"/>
                <w:tab w:val="left" w:pos="567"/>
              </w:tabs>
              <w:spacing w:after="0" w:line="240" w:lineRule="auto"/>
              <w:rPr>
                <w:rFonts w:ascii="Times New Roman" w:hAnsi="Times New Roman" w:cs="Times New Roman"/>
              </w:rPr>
            </w:pPr>
            <w:r w:rsidRPr="000D48A3">
              <w:rPr>
                <w:rFonts w:ascii="Times New Roman" w:hAnsi="Times New Roman" w:cs="Times New Roman"/>
              </w:rPr>
              <w:t xml:space="preserve">Skirtumas palyginti su PR; vidurkis (SP) </w:t>
            </w:r>
          </w:p>
        </w:tc>
        <w:tc>
          <w:tcPr>
            <w:tcW w:w="1620" w:type="dxa"/>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r w:rsidRPr="000D48A3">
              <w:rPr>
                <w:rFonts w:ascii="Times New Roman" w:hAnsi="Times New Roman" w:cs="Times New Roman"/>
              </w:rPr>
              <w:t>128 (465)</w:t>
            </w:r>
          </w:p>
        </w:tc>
        <w:tc>
          <w:tcPr>
            <w:tcW w:w="1440" w:type="dxa"/>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r w:rsidRPr="000D48A3">
              <w:rPr>
                <w:rFonts w:ascii="Times New Roman" w:hAnsi="Times New Roman" w:cs="Times New Roman"/>
              </w:rPr>
              <w:sym w:font="Symbol" w:char="F02D"/>
            </w:r>
            <w:r w:rsidRPr="000D48A3">
              <w:rPr>
                <w:rFonts w:ascii="Times New Roman" w:hAnsi="Times New Roman" w:cs="Times New Roman"/>
              </w:rPr>
              <w:t>69 (475)</w:t>
            </w:r>
          </w:p>
        </w:tc>
        <w:tc>
          <w:tcPr>
            <w:tcW w:w="1620" w:type="dxa"/>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r w:rsidRPr="000D48A3">
              <w:rPr>
                <w:rFonts w:ascii="Times New Roman" w:hAnsi="Times New Roman" w:cs="Times New Roman"/>
              </w:rPr>
              <w:sym w:font="Symbol" w:char="F02D"/>
            </w:r>
            <w:r w:rsidRPr="000D48A3">
              <w:rPr>
                <w:rFonts w:ascii="Times New Roman" w:hAnsi="Times New Roman" w:cs="Times New Roman"/>
              </w:rPr>
              <w:t>8 (79)</w:t>
            </w:r>
          </w:p>
        </w:tc>
        <w:tc>
          <w:tcPr>
            <w:tcW w:w="1620" w:type="dxa"/>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r w:rsidRPr="000D48A3">
              <w:rPr>
                <w:rFonts w:ascii="Times New Roman" w:hAnsi="Times New Roman" w:cs="Times New Roman"/>
              </w:rPr>
              <w:t>11 (74)</w:t>
            </w:r>
          </w:p>
        </w:tc>
      </w:tr>
      <w:tr w:rsidR="00A4103A" w:rsidRPr="00B2082E" w:rsidTr="00540DBA">
        <w:tc>
          <w:tcPr>
            <w:tcW w:w="2520" w:type="dxa"/>
          </w:tcPr>
          <w:p w:rsidR="00A4103A" w:rsidRPr="000D48A3" w:rsidRDefault="00A4103A" w:rsidP="00540DBA">
            <w:pPr>
              <w:tabs>
                <w:tab w:val="left" w:pos="425"/>
                <w:tab w:val="left" w:pos="567"/>
              </w:tabs>
              <w:spacing w:after="0" w:line="240" w:lineRule="auto"/>
              <w:rPr>
                <w:rFonts w:ascii="Times New Roman" w:hAnsi="Times New Roman" w:cs="Times New Roman"/>
              </w:rPr>
            </w:pPr>
            <w:r w:rsidRPr="000D48A3">
              <w:rPr>
                <w:rFonts w:ascii="Times New Roman" w:hAnsi="Times New Roman" w:cs="Times New Roman"/>
              </w:rPr>
              <w:t>Gydymo poveikis</w:t>
            </w:r>
          </w:p>
        </w:tc>
        <w:tc>
          <w:tcPr>
            <w:tcW w:w="3060" w:type="dxa"/>
            <w:gridSpan w:val="2"/>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r w:rsidRPr="000D48A3">
              <w:rPr>
                <w:rFonts w:ascii="Times New Roman" w:hAnsi="Times New Roman" w:cs="Times New Roman"/>
              </w:rPr>
              <w:sym w:font="Symbol" w:char="F02D"/>
            </w:r>
            <w:r w:rsidRPr="000D48A3">
              <w:rPr>
                <w:rFonts w:ascii="Times New Roman" w:hAnsi="Times New Roman" w:cs="Times New Roman"/>
              </w:rPr>
              <w:t>22,6</w:t>
            </w:r>
            <w:r w:rsidR="00E5144A">
              <w:rPr>
                <w:rFonts w:ascii="Times New Roman" w:hAnsi="Times New Roman" w:cs="Times New Roman"/>
              </w:rPr>
              <w:t> </w:t>
            </w:r>
            <w:r w:rsidRPr="000D48A3">
              <w:rPr>
                <w:rFonts w:ascii="Times New Roman" w:hAnsi="Times New Roman" w:cs="Times New Roman"/>
              </w:rPr>
              <w:t>% (475)</w:t>
            </w:r>
          </w:p>
        </w:tc>
        <w:tc>
          <w:tcPr>
            <w:tcW w:w="3240" w:type="dxa"/>
            <w:gridSpan w:val="2"/>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r w:rsidRPr="000D48A3">
              <w:rPr>
                <w:rFonts w:ascii="Times New Roman" w:hAnsi="Times New Roman" w:cs="Times New Roman"/>
              </w:rPr>
              <w:t>19</w:t>
            </w:r>
          </w:p>
        </w:tc>
      </w:tr>
      <w:tr w:rsidR="00A4103A" w:rsidRPr="00B2082E" w:rsidTr="00540DBA">
        <w:tc>
          <w:tcPr>
            <w:tcW w:w="2520" w:type="dxa"/>
          </w:tcPr>
          <w:p w:rsidR="00A4103A" w:rsidRPr="000D48A3" w:rsidRDefault="00A4103A" w:rsidP="00540DBA">
            <w:pPr>
              <w:tabs>
                <w:tab w:val="left" w:pos="425"/>
                <w:tab w:val="left" w:pos="567"/>
              </w:tabs>
              <w:spacing w:after="0" w:line="240" w:lineRule="auto"/>
              <w:rPr>
                <w:rFonts w:ascii="Times New Roman" w:hAnsi="Times New Roman" w:cs="Times New Roman"/>
              </w:rPr>
            </w:pPr>
            <w:r w:rsidRPr="000D48A3">
              <w:rPr>
                <w:rFonts w:ascii="Times New Roman" w:hAnsi="Times New Roman" w:cs="Times New Roman"/>
              </w:rPr>
              <w:t>95</w:t>
            </w:r>
            <w:r w:rsidR="00E5144A">
              <w:rPr>
                <w:rFonts w:ascii="Times New Roman" w:hAnsi="Times New Roman" w:cs="Times New Roman"/>
              </w:rPr>
              <w:t> </w:t>
            </w:r>
            <w:r w:rsidRPr="000D48A3">
              <w:rPr>
                <w:rFonts w:ascii="Times New Roman" w:hAnsi="Times New Roman" w:cs="Times New Roman"/>
              </w:rPr>
              <w:t xml:space="preserve">% patikimumo lygis </w:t>
            </w:r>
          </w:p>
        </w:tc>
        <w:tc>
          <w:tcPr>
            <w:tcW w:w="3060" w:type="dxa"/>
            <w:gridSpan w:val="2"/>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r w:rsidRPr="000D48A3">
              <w:rPr>
                <w:rFonts w:ascii="Times New Roman" w:hAnsi="Times New Roman" w:cs="Times New Roman"/>
              </w:rPr>
              <w:sym w:font="Symbol" w:char="F02D"/>
            </w:r>
            <w:r w:rsidRPr="000D48A3">
              <w:rPr>
                <w:rFonts w:ascii="Times New Roman" w:hAnsi="Times New Roman" w:cs="Times New Roman"/>
              </w:rPr>
              <w:t xml:space="preserve">34; </w:t>
            </w:r>
            <w:r w:rsidRPr="000D48A3">
              <w:rPr>
                <w:rFonts w:ascii="Times New Roman" w:hAnsi="Times New Roman" w:cs="Times New Roman"/>
              </w:rPr>
              <w:sym w:font="Symbol" w:char="F02D"/>
            </w:r>
            <w:r w:rsidRPr="000D48A3">
              <w:rPr>
                <w:rFonts w:ascii="Times New Roman" w:hAnsi="Times New Roman" w:cs="Times New Roman"/>
              </w:rPr>
              <w:t>10</w:t>
            </w:r>
          </w:p>
        </w:tc>
        <w:tc>
          <w:tcPr>
            <w:tcW w:w="3240" w:type="dxa"/>
            <w:gridSpan w:val="2"/>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r w:rsidRPr="000D48A3">
              <w:rPr>
                <w:rFonts w:ascii="Times New Roman" w:hAnsi="Times New Roman" w:cs="Times New Roman"/>
              </w:rPr>
              <w:sym w:font="Symbol" w:char="F02D"/>
            </w:r>
            <w:r w:rsidRPr="000D48A3">
              <w:rPr>
                <w:rFonts w:ascii="Times New Roman" w:hAnsi="Times New Roman" w:cs="Times New Roman"/>
              </w:rPr>
              <w:t>4; 42</w:t>
            </w:r>
          </w:p>
        </w:tc>
      </w:tr>
      <w:tr w:rsidR="00A4103A" w:rsidRPr="00B2082E" w:rsidTr="00540DBA">
        <w:tc>
          <w:tcPr>
            <w:tcW w:w="2520" w:type="dxa"/>
          </w:tcPr>
          <w:p w:rsidR="00A4103A" w:rsidRPr="000D48A3" w:rsidRDefault="00A4103A" w:rsidP="00540DBA">
            <w:pPr>
              <w:tabs>
                <w:tab w:val="left" w:pos="425"/>
                <w:tab w:val="left" w:pos="567"/>
              </w:tabs>
              <w:spacing w:after="0" w:line="240" w:lineRule="auto"/>
              <w:rPr>
                <w:rFonts w:ascii="Times New Roman" w:hAnsi="Times New Roman" w:cs="Times New Roman"/>
              </w:rPr>
            </w:pPr>
            <w:r w:rsidRPr="000D48A3">
              <w:rPr>
                <w:rFonts w:ascii="Times New Roman" w:hAnsi="Times New Roman" w:cs="Times New Roman"/>
              </w:rPr>
              <w:t xml:space="preserve">P vertė </w:t>
            </w:r>
          </w:p>
        </w:tc>
        <w:tc>
          <w:tcPr>
            <w:tcW w:w="3060" w:type="dxa"/>
            <w:gridSpan w:val="2"/>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r w:rsidRPr="000D48A3">
              <w:rPr>
                <w:rFonts w:ascii="Times New Roman" w:hAnsi="Times New Roman" w:cs="Times New Roman"/>
              </w:rPr>
              <w:t>&lt;0,0001</w:t>
            </w:r>
          </w:p>
        </w:tc>
        <w:tc>
          <w:tcPr>
            <w:tcW w:w="3240" w:type="dxa"/>
            <w:gridSpan w:val="2"/>
          </w:tcPr>
          <w:p w:rsidR="00A4103A" w:rsidRPr="000D48A3" w:rsidRDefault="00A4103A" w:rsidP="00540DBA">
            <w:pPr>
              <w:tabs>
                <w:tab w:val="left" w:pos="425"/>
                <w:tab w:val="left" w:pos="567"/>
              </w:tabs>
              <w:spacing w:after="0" w:line="240" w:lineRule="auto"/>
              <w:jc w:val="center"/>
              <w:rPr>
                <w:rFonts w:ascii="Times New Roman" w:hAnsi="Times New Roman" w:cs="Times New Roman"/>
              </w:rPr>
            </w:pPr>
            <w:r w:rsidRPr="000D48A3">
              <w:rPr>
                <w:rFonts w:ascii="Times New Roman" w:hAnsi="Times New Roman" w:cs="Times New Roman"/>
              </w:rPr>
              <w:t>0,0758</w:t>
            </w:r>
          </w:p>
        </w:tc>
      </w:tr>
    </w:tbl>
    <w:p w:rsidR="00A4103A" w:rsidRPr="000D48A3" w:rsidRDefault="00A4103A" w:rsidP="00A4103A">
      <w:pPr>
        <w:tabs>
          <w:tab w:val="left" w:pos="425"/>
          <w:tab w:val="left" w:pos="567"/>
        </w:tabs>
        <w:spacing w:after="0" w:line="240" w:lineRule="auto"/>
        <w:rPr>
          <w:rFonts w:ascii="Times New Roman" w:hAnsi="Times New Roman" w:cs="Times New Roman"/>
        </w:rPr>
      </w:pPr>
      <w:r w:rsidRPr="000D48A3">
        <w:rPr>
          <w:rFonts w:ascii="Times New Roman" w:hAnsi="Times New Roman" w:cs="Times New Roman"/>
        </w:rPr>
        <w:t>PKP = plaučių kraujagyslių pasipriešinimas</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Gydymas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palyginti su gydymu </w:t>
      </w:r>
      <w:proofErr w:type="spellStart"/>
      <w:r w:rsidRPr="000D48A3">
        <w:rPr>
          <w:rFonts w:ascii="Times New Roman" w:hAnsi="Times New Roman" w:cs="Times New Roman"/>
          <w:color w:val="000000"/>
          <w:lang w:eastAsia="lt-LT"/>
        </w:rPr>
        <w:t>placebu</w:t>
      </w:r>
      <w:proofErr w:type="spellEnd"/>
      <w:r w:rsidRPr="000D48A3">
        <w:rPr>
          <w:rFonts w:ascii="Times New Roman" w:hAnsi="Times New Roman" w:cs="Times New Roman"/>
          <w:color w:val="000000"/>
          <w:lang w:eastAsia="lt-LT"/>
        </w:rPr>
        <w:t>, buvo susijęs su klinikinės būklės sunkėjimo, apibūdinamo kaip ligos simptomų progresavimo, guldymo į ligoninę dėl PAH ir mirties atvejų kompozicija, dažnio sumažėjimu (proporcinis rizikos sumažėjimas buvo 77</w:t>
      </w:r>
      <w:r w:rsidR="00E5144A">
        <w:rPr>
          <w:rFonts w:ascii="Times New Roman" w:hAnsi="Times New Roman" w:cs="Times New Roman"/>
          <w:color w:val="000000"/>
          <w:lang w:eastAsia="lt-LT"/>
        </w:rPr>
        <w:t> </w:t>
      </w:r>
      <w:r w:rsidRPr="000D48A3">
        <w:rPr>
          <w:rFonts w:ascii="Times New Roman" w:hAnsi="Times New Roman" w:cs="Times New Roman"/>
          <w:color w:val="000000"/>
          <w:lang w:eastAsia="lt-LT"/>
        </w:rPr>
        <w:t>%, 95</w:t>
      </w:r>
      <w:r w:rsidR="00E5144A">
        <w:rPr>
          <w:rFonts w:ascii="Times New Roman" w:hAnsi="Times New Roman" w:cs="Times New Roman"/>
          <w:color w:val="000000"/>
          <w:lang w:eastAsia="lt-LT"/>
        </w:rPr>
        <w:t> </w:t>
      </w:r>
      <w:r w:rsidRPr="000D48A3">
        <w:rPr>
          <w:rFonts w:ascii="Times New Roman" w:hAnsi="Times New Roman" w:cs="Times New Roman"/>
          <w:color w:val="000000"/>
          <w:lang w:eastAsia="lt-LT"/>
        </w:rPr>
        <w:t>% PI = 20 – 95</w:t>
      </w:r>
      <w:r w:rsidR="00E5144A" w:rsidRPr="006B4207">
        <w:rPr>
          <w:rFonts w:ascii="Times New Roman" w:hAnsi="Times New Roman" w:cs="Times New Roman"/>
          <w:color w:val="000000"/>
          <w:lang w:eastAsia="lt-LT"/>
        </w:rPr>
        <w:t xml:space="preserve"> </w:t>
      </w:r>
      <w:r w:rsidRPr="000D48A3">
        <w:rPr>
          <w:rFonts w:ascii="Times New Roman" w:hAnsi="Times New Roman" w:cs="Times New Roman"/>
          <w:color w:val="000000"/>
          <w:lang w:eastAsia="lt-LT"/>
        </w:rPr>
        <w:t xml:space="preserve">%, p = 0,0014). Gydomąjį poveikį lėmė ligos simptomų progresavimo pagerėjimas. Dėl PAH pasunkėjimo reikėjo guldyti į stacionarą vieną pacientą iš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gydomų grupės ir tris pacientus iš </w:t>
      </w:r>
      <w:proofErr w:type="spellStart"/>
      <w:r w:rsidRPr="000D48A3">
        <w:rPr>
          <w:rFonts w:ascii="Times New Roman" w:hAnsi="Times New Roman" w:cs="Times New Roman"/>
          <w:color w:val="000000"/>
          <w:lang w:eastAsia="lt-LT"/>
        </w:rPr>
        <w:t>placebą</w:t>
      </w:r>
      <w:proofErr w:type="spellEnd"/>
      <w:r w:rsidRPr="000D48A3">
        <w:rPr>
          <w:rFonts w:ascii="Times New Roman" w:hAnsi="Times New Roman" w:cs="Times New Roman"/>
          <w:color w:val="000000"/>
          <w:lang w:eastAsia="lt-LT"/>
        </w:rPr>
        <w:t xml:space="preserve"> vartojusios grupės. Kiekvienoje grupėje per 6 mėnesių dvigubai aklu būdu atliekamo tyrimo laikotarpį mirė po vieną pacientą, todėl neįmanoma padaryti išvadų dėl </w:t>
      </w:r>
      <w:proofErr w:type="spellStart"/>
      <w:r w:rsidRPr="000D48A3">
        <w:rPr>
          <w:rFonts w:ascii="Times New Roman" w:hAnsi="Times New Roman" w:cs="Times New Roman"/>
          <w:color w:val="000000"/>
          <w:lang w:eastAsia="lt-LT"/>
        </w:rPr>
        <w:t>išgyvenamumo</w:t>
      </w:r>
      <w:proofErr w:type="spellEnd"/>
      <w:r w:rsidRPr="000D48A3">
        <w:rPr>
          <w:rFonts w:ascii="Times New Roman" w:hAnsi="Times New Roman" w:cs="Times New Roman"/>
          <w:color w:val="000000"/>
          <w:lang w:eastAsia="lt-LT"/>
        </w:rPr>
        <w:t xml:space="preserve">.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Ilgalaikiai duomenys gauti iš visų 173 pacientų, kurie kontroliuojamos fazės metu buvo gydomi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ir (arba) </w:t>
      </w:r>
      <w:proofErr w:type="spellStart"/>
      <w:r w:rsidRPr="000D48A3">
        <w:rPr>
          <w:rFonts w:ascii="Times New Roman" w:hAnsi="Times New Roman" w:cs="Times New Roman"/>
          <w:color w:val="000000"/>
          <w:lang w:eastAsia="lt-LT"/>
        </w:rPr>
        <w:t>placebo</w:t>
      </w:r>
      <w:proofErr w:type="spellEnd"/>
      <w:r w:rsidRPr="000D48A3">
        <w:rPr>
          <w:rFonts w:ascii="Times New Roman" w:hAnsi="Times New Roman" w:cs="Times New Roman"/>
          <w:color w:val="000000"/>
          <w:lang w:eastAsia="lt-LT"/>
        </w:rPr>
        <w:t xml:space="preserve"> vartojimas jiems buvo pakeistas į gydymą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EARLY tyrimo atvirosios tęstinės fazės metu. Vidutinė gydymo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trukmė buvo 3,6 ± 1,8 metų (ne ilgiau nei 6,1 metų); 73 % pacientų buvo gydyti ne trumpiau nei 3 metus, o 62 % ne trumpiau nei 4 metus. Prireikus atvirosios tęstinės fazės metu pacientams buvo galima skirti papildomą PAH gydymą. Daugeliui pacientų buvo diagnozuota </w:t>
      </w:r>
      <w:proofErr w:type="spellStart"/>
      <w:r w:rsidRPr="000D48A3">
        <w:rPr>
          <w:rFonts w:ascii="Times New Roman" w:hAnsi="Times New Roman" w:cs="Times New Roman"/>
          <w:color w:val="000000"/>
          <w:lang w:eastAsia="lt-LT"/>
        </w:rPr>
        <w:t>idiopatinė</w:t>
      </w:r>
      <w:proofErr w:type="spellEnd"/>
      <w:r w:rsidRPr="000D48A3">
        <w:rPr>
          <w:rFonts w:ascii="Times New Roman" w:hAnsi="Times New Roman" w:cs="Times New Roman"/>
          <w:color w:val="000000"/>
          <w:lang w:eastAsia="lt-LT"/>
        </w:rPr>
        <w:t xml:space="preserve"> arba paveldima </w:t>
      </w:r>
      <w:proofErr w:type="spellStart"/>
      <w:r w:rsidRPr="000D48A3">
        <w:rPr>
          <w:rFonts w:ascii="Times New Roman" w:hAnsi="Times New Roman" w:cs="Times New Roman"/>
          <w:color w:val="000000"/>
          <w:lang w:eastAsia="lt-LT"/>
        </w:rPr>
        <w:t>plautinė</w:t>
      </w:r>
      <w:proofErr w:type="spellEnd"/>
      <w:r w:rsidRPr="000D48A3">
        <w:rPr>
          <w:rFonts w:ascii="Times New Roman" w:hAnsi="Times New Roman" w:cs="Times New Roman"/>
          <w:color w:val="000000"/>
          <w:lang w:eastAsia="lt-LT"/>
        </w:rPr>
        <w:t xml:space="preserve"> arterinė hipertenzija (61 %). Iš viso 78 % pacientų liga ir toliau buvo priskiriama II funkcinei klasei pagal PSO klasifikaciją. </w:t>
      </w:r>
      <w:proofErr w:type="spellStart"/>
      <w:r w:rsidRPr="00432133">
        <w:rPr>
          <w:rFonts w:ascii="Times New Roman" w:hAnsi="Times New Roman" w:cs="Times New Roman"/>
          <w:i/>
          <w:iCs/>
          <w:color w:val="000000"/>
          <w:lang w:eastAsia="lt-LT"/>
        </w:rPr>
        <w:t>Kaplan-Meier</w:t>
      </w:r>
      <w:proofErr w:type="spellEnd"/>
      <w:r w:rsidRPr="000D48A3">
        <w:rPr>
          <w:rFonts w:ascii="Times New Roman" w:hAnsi="Times New Roman" w:cs="Times New Roman"/>
          <w:color w:val="000000"/>
          <w:lang w:eastAsia="lt-LT"/>
        </w:rPr>
        <w:t xml:space="preserve"> metodu apskaičiuota išgyvenimo trukmė po 3 metų gydymo buvo 90 %, o po 4 metų gydymo – 85</w:t>
      </w:r>
      <w:r w:rsidR="00E5144A">
        <w:rPr>
          <w:rFonts w:ascii="Times New Roman" w:hAnsi="Times New Roman" w:cs="Times New Roman"/>
          <w:color w:val="000000"/>
          <w:lang w:eastAsia="lt-LT"/>
        </w:rPr>
        <w:t> </w:t>
      </w:r>
      <w:r w:rsidRPr="000D48A3">
        <w:rPr>
          <w:rFonts w:ascii="Times New Roman" w:hAnsi="Times New Roman" w:cs="Times New Roman"/>
          <w:color w:val="000000"/>
          <w:lang w:eastAsia="lt-LT"/>
        </w:rPr>
        <w:t xml:space="preserve">%. Tais pačiais laiko momentais 88 % ir 79 % pacientų nebuvo PAH pablogėjimo (apibūdinamo kaip mirties dėl bet kokių priežasčių atvejai, plaučių transplantacija, prieširdžių </w:t>
      </w:r>
      <w:proofErr w:type="spellStart"/>
      <w:r w:rsidRPr="000D48A3">
        <w:rPr>
          <w:rFonts w:ascii="Times New Roman" w:hAnsi="Times New Roman" w:cs="Times New Roman"/>
          <w:color w:val="000000"/>
          <w:lang w:eastAsia="lt-LT"/>
        </w:rPr>
        <w:t>septostomija</w:t>
      </w:r>
      <w:proofErr w:type="spellEnd"/>
      <w:r w:rsidRPr="000D48A3">
        <w:rPr>
          <w:rFonts w:ascii="Times New Roman" w:hAnsi="Times New Roman" w:cs="Times New Roman"/>
          <w:color w:val="000000"/>
          <w:lang w:eastAsia="lt-LT"/>
        </w:rPr>
        <w:t xml:space="preserve"> ir pradėtas gydymas į veną arba po oda leidžiamais </w:t>
      </w:r>
      <w:proofErr w:type="spellStart"/>
      <w:r w:rsidRPr="000D48A3">
        <w:rPr>
          <w:rFonts w:ascii="Times New Roman" w:hAnsi="Times New Roman" w:cs="Times New Roman"/>
          <w:color w:val="000000"/>
          <w:lang w:eastAsia="lt-LT"/>
        </w:rPr>
        <w:t>prostanoidais</w:t>
      </w:r>
      <w:proofErr w:type="spellEnd"/>
      <w:r w:rsidRPr="000D48A3">
        <w:rPr>
          <w:rFonts w:ascii="Times New Roman" w:hAnsi="Times New Roman" w:cs="Times New Roman"/>
          <w:color w:val="000000"/>
          <w:lang w:eastAsia="lt-LT"/>
        </w:rPr>
        <w:t xml:space="preserve">). Ankstesnio gydymo </w:t>
      </w:r>
      <w:proofErr w:type="spellStart"/>
      <w:r w:rsidRPr="000D48A3">
        <w:rPr>
          <w:rFonts w:ascii="Times New Roman" w:hAnsi="Times New Roman" w:cs="Times New Roman"/>
          <w:color w:val="000000"/>
          <w:lang w:eastAsia="lt-LT"/>
        </w:rPr>
        <w:t>placebu</w:t>
      </w:r>
      <w:proofErr w:type="spellEnd"/>
      <w:r w:rsidRPr="000D48A3">
        <w:rPr>
          <w:rFonts w:ascii="Times New Roman" w:hAnsi="Times New Roman" w:cs="Times New Roman"/>
          <w:color w:val="000000"/>
          <w:lang w:eastAsia="lt-LT"/>
        </w:rPr>
        <w:t xml:space="preserve"> dvigubai koduotoje fazėje arba gydymo kitais vaistiniais preparatais pradėjimo atviruoju tęstiniu periodu santykinis indėlis nežinomas.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Atliekant perspektyvinį </w:t>
      </w:r>
      <w:proofErr w:type="spellStart"/>
      <w:r w:rsidRPr="000D48A3">
        <w:rPr>
          <w:rFonts w:ascii="Times New Roman" w:hAnsi="Times New Roman" w:cs="Times New Roman"/>
          <w:color w:val="000000"/>
          <w:lang w:eastAsia="lt-LT"/>
        </w:rPr>
        <w:t>daugiacentrį</w:t>
      </w:r>
      <w:proofErr w:type="spellEnd"/>
      <w:r w:rsidRPr="000D48A3">
        <w:rPr>
          <w:rFonts w:ascii="Times New Roman" w:hAnsi="Times New Roman" w:cs="Times New Roman"/>
          <w:color w:val="000000"/>
          <w:lang w:eastAsia="lt-LT"/>
        </w:rPr>
        <w:t xml:space="preserve">, atsitiktinių imčių dvigubai aklą </w:t>
      </w:r>
      <w:proofErr w:type="spellStart"/>
      <w:r w:rsidRPr="000D48A3">
        <w:rPr>
          <w:rFonts w:ascii="Times New Roman" w:hAnsi="Times New Roman" w:cs="Times New Roman"/>
          <w:color w:val="000000"/>
          <w:lang w:eastAsia="lt-LT"/>
        </w:rPr>
        <w:t>placebu</w:t>
      </w:r>
      <w:proofErr w:type="spellEnd"/>
      <w:r w:rsidRPr="000D48A3">
        <w:rPr>
          <w:rFonts w:ascii="Times New Roman" w:hAnsi="Times New Roman" w:cs="Times New Roman"/>
          <w:color w:val="000000"/>
          <w:lang w:eastAsia="lt-LT"/>
        </w:rPr>
        <w:t xml:space="preserve"> kontroliuojamą klinikinį tyrimą (AC-052-405 [BREATHE-5]), pacientai, kuriems yra III funkcinės klasės pagal PSO PAH ir </w:t>
      </w:r>
      <w:proofErr w:type="spellStart"/>
      <w:r w:rsidRPr="000D48A3">
        <w:rPr>
          <w:rFonts w:ascii="Times New Roman" w:hAnsi="Times New Roman" w:cs="Times New Roman"/>
          <w:color w:val="000000"/>
          <w:lang w:eastAsia="lt-LT"/>
        </w:rPr>
        <w:t>Eisenmenger</w:t>
      </w:r>
      <w:proofErr w:type="spellEnd"/>
      <w:r w:rsidRPr="000D48A3">
        <w:rPr>
          <w:rFonts w:ascii="Times New Roman" w:hAnsi="Times New Roman" w:cs="Times New Roman"/>
          <w:color w:val="000000"/>
          <w:lang w:eastAsia="lt-LT"/>
        </w:rPr>
        <w:t xml:space="preserve"> fiziologija, susijusi su įgimta širdies liga, 4 savaites vartojo 62,5 mg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du kartus per parą, po to kitas 12 savaičių 125 mg du kartus per parą (n = 37; 31 iš jų buvo dvikryptis šuntas, dažniausiai iš dešinės į kairę). Pagrindinis siekinys buvo parodyti, kad </w:t>
      </w:r>
      <w:proofErr w:type="spellStart"/>
      <w:r w:rsidRPr="000D48A3">
        <w:rPr>
          <w:rFonts w:ascii="Times New Roman" w:hAnsi="Times New Roman" w:cs="Times New Roman"/>
          <w:color w:val="000000"/>
          <w:lang w:eastAsia="lt-LT"/>
        </w:rPr>
        <w:t>bozentanas</w:t>
      </w:r>
      <w:proofErr w:type="spellEnd"/>
      <w:r w:rsidRPr="000D48A3">
        <w:rPr>
          <w:rFonts w:ascii="Times New Roman" w:hAnsi="Times New Roman" w:cs="Times New Roman"/>
          <w:color w:val="000000"/>
          <w:lang w:eastAsia="lt-LT"/>
        </w:rPr>
        <w:t xml:space="preserve"> nedidina </w:t>
      </w:r>
      <w:proofErr w:type="spellStart"/>
      <w:r w:rsidRPr="000D48A3">
        <w:rPr>
          <w:rFonts w:ascii="Times New Roman" w:hAnsi="Times New Roman" w:cs="Times New Roman"/>
          <w:color w:val="000000"/>
          <w:lang w:eastAsia="lt-LT"/>
        </w:rPr>
        <w:t>hipoksemijos</w:t>
      </w:r>
      <w:proofErr w:type="spellEnd"/>
      <w:r w:rsidRPr="000D48A3">
        <w:rPr>
          <w:rFonts w:ascii="Times New Roman" w:hAnsi="Times New Roman" w:cs="Times New Roman"/>
          <w:color w:val="000000"/>
          <w:lang w:eastAsia="lt-LT"/>
        </w:rPr>
        <w:t xml:space="preserve">. Po 16 savaičių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vartojimo vidutinis įsotinimas deguonimi padidėjo 1,0 % (95</w:t>
      </w:r>
      <w:r w:rsidR="00E5144A">
        <w:rPr>
          <w:rFonts w:ascii="Times New Roman" w:hAnsi="Times New Roman" w:cs="Times New Roman"/>
          <w:color w:val="000000"/>
          <w:lang w:eastAsia="lt-LT"/>
        </w:rPr>
        <w:t> </w:t>
      </w:r>
      <w:r w:rsidRPr="000D48A3">
        <w:rPr>
          <w:rFonts w:ascii="Times New Roman" w:hAnsi="Times New Roman" w:cs="Times New Roman"/>
          <w:color w:val="000000"/>
          <w:lang w:eastAsia="lt-LT"/>
        </w:rPr>
        <w:t xml:space="preserve">% PI –0,7 %–2,8 %), palyginti su </w:t>
      </w:r>
      <w:proofErr w:type="spellStart"/>
      <w:r w:rsidRPr="000D48A3">
        <w:rPr>
          <w:rFonts w:ascii="Times New Roman" w:hAnsi="Times New Roman" w:cs="Times New Roman"/>
          <w:color w:val="000000"/>
          <w:lang w:eastAsia="lt-LT"/>
        </w:rPr>
        <w:t>placebu</w:t>
      </w:r>
      <w:proofErr w:type="spellEnd"/>
      <w:r w:rsidRPr="000D48A3">
        <w:rPr>
          <w:rFonts w:ascii="Times New Roman" w:hAnsi="Times New Roman" w:cs="Times New Roman"/>
          <w:color w:val="000000"/>
          <w:lang w:eastAsia="lt-LT"/>
        </w:rPr>
        <w:t xml:space="preserve"> (n = 17 pacientų); tokiu būdu nustatyta, kad </w:t>
      </w:r>
      <w:proofErr w:type="spellStart"/>
      <w:r w:rsidRPr="000D48A3">
        <w:rPr>
          <w:rFonts w:ascii="Times New Roman" w:hAnsi="Times New Roman" w:cs="Times New Roman"/>
          <w:color w:val="000000"/>
          <w:lang w:eastAsia="lt-LT"/>
        </w:rPr>
        <w:t>bozentanas</w:t>
      </w:r>
      <w:proofErr w:type="spellEnd"/>
      <w:r w:rsidRPr="000D48A3">
        <w:rPr>
          <w:rFonts w:ascii="Times New Roman" w:hAnsi="Times New Roman" w:cs="Times New Roman"/>
          <w:color w:val="000000"/>
          <w:lang w:eastAsia="lt-LT"/>
        </w:rPr>
        <w:t xml:space="preserve"> nedidina </w:t>
      </w:r>
      <w:proofErr w:type="spellStart"/>
      <w:r w:rsidRPr="000D48A3">
        <w:rPr>
          <w:rFonts w:ascii="Times New Roman" w:hAnsi="Times New Roman" w:cs="Times New Roman"/>
          <w:color w:val="000000"/>
          <w:lang w:eastAsia="lt-LT"/>
        </w:rPr>
        <w:t>hipoksemijos</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grupėje reikšmingai sumažėjo plaučių kraujagyslių pasipriešinimas (vyraujantis poveikis pastebėtas pacientų, kuriems yra dvikryptis </w:t>
      </w:r>
      <w:proofErr w:type="spellStart"/>
      <w:r w:rsidRPr="000D48A3">
        <w:rPr>
          <w:rFonts w:ascii="Times New Roman" w:hAnsi="Times New Roman" w:cs="Times New Roman"/>
          <w:color w:val="000000"/>
          <w:lang w:eastAsia="lt-LT"/>
        </w:rPr>
        <w:t>intrakardinis</w:t>
      </w:r>
      <w:proofErr w:type="spellEnd"/>
      <w:r w:rsidRPr="000D48A3">
        <w:rPr>
          <w:rFonts w:ascii="Times New Roman" w:hAnsi="Times New Roman" w:cs="Times New Roman"/>
          <w:color w:val="000000"/>
          <w:lang w:eastAsia="lt-LT"/>
        </w:rPr>
        <w:t xml:space="preserve"> šuntas, pogrupyje). Po 16 savaičių pagal </w:t>
      </w:r>
      <w:proofErr w:type="spellStart"/>
      <w:r w:rsidRPr="000D48A3">
        <w:rPr>
          <w:rFonts w:ascii="Times New Roman" w:hAnsi="Times New Roman" w:cs="Times New Roman"/>
          <w:color w:val="000000"/>
          <w:lang w:eastAsia="lt-LT"/>
        </w:rPr>
        <w:t>placebą</w:t>
      </w:r>
      <w:proofErr w:type="spellEnd"/>
      <w:r w:rsidRPr="000D48A3">
        <w:rPr>
          <w:rFonts w:ascii="Times New Roman" w:hAnsi="Times New Roman" w:cs="Times New Roman"/>
          <w:color w:val="000000"/>
          <w:lang w:eastAsia="lt-LT"/>
        </w:rPr>
        <w:t xml:space="preserve"> koreguotas per 6 minutes nueito atstumo padidėjimas buvo 53 metrai (p = 0,0079), tai rodo fizinio pajėgumo pagerėjimą. Atvirojoje tęstinėje BREATHE-5 tyrimo (AC-052-</w:t>
      </w:r>
      <w:r w:rsidRPr="000D48A3">
        <w:rPr>
          <w:rFonts w:ascii="Times New Roman" w:hAnsi="Times New Roman" w:cs="Times New Roman"/>
          <w:color w:val="000000"/>
          <w:lang w:eastAsia="lt-LT"/>
        </w:rPr>
        <w:lastRenderedPageBreak/>
        <w:t xml:space="preserve">409) fazėje 26 pacientai toliau vartojo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dar 24 savaites (vidutiniškai 24,4 ± 2,0 savaičių su paprastai išsilaikančiu poveikiu.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16 pacientų, sergančių III funkcinė</w:t>
      </w:r>
      <w:r>
        <w:rPr>
          <w:rFonts w:ascii="Times New Roman" w:hAnsi="Times New Roman" w:cs="Times New Roman"/>
          <w:color w:val="000000"/>
          <w:lang w:eastAsia="lt-LT"/>
        </w:rPr>
        <w:t>s</w:t>
      </w:r>
      <w:r w:rsidRPr="000D48A3">
        <w:rPr>
          <w:rFonts w:ascii="Times New Roman" w:hAnsi="Times New Roman" w:cs="Times New Roman"/>
          <w:color w:val="000000"/>
          <w:lang w:eastAsia="lt-LT"/>
        </w:rPr>
        <w:t xml:space="preserve"> klasės pagal PSO PAH, susijusia su ŽIV infekcija, buvo įtraukti į atvirą nelyginamąjį tyrimą (AC-052-362 [BREATHE-4]). Jo metu pacientai buvo gydomi 62,5 mg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du kartus per parą 4 savaites, po to kitas 12 savaičių 125 mg du kartus per parą. Po 16 savaičių, palyginti su pradiniu lygiu, reikšmingai pagerėjo fizinis pajėgumas: vidutinis pagerėjimas 6 minučių ėjimo tyrime buvo 91,4 metro pailgėjęs atstumas nuo vidutiniškai 332,6 metrų tyrimo pradžioje (p &lt; 0,001). Negalima pateikti oficialios išvados dėl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poveikio </w:t>
      </w:r>
      <w:proofErr w:type="spellStart"/>
      <w:r w:rsidRPr="000D48A3">
        <w:rPr>
          <w:rFonts w:ascii="Times New Roman" w:hAnsi="Times New Roman" w:cs="Times New Roman"/>
          <w:color w:val="000000"/>
          <w:lang w:eastAsia="lt-LT"/>
        </w:rPr>
        <w:t>priešretrovirusinių</w:t>
      </w:r>
      <w:proofErr w:type="spellEnd"/>
      <w:r w:rsidRPr="000D48A3">
        <w:rPr>
          <w:rFonts w:ascii="Times New Roman" w:hAnsi="Times New Roman" w:cs="Times New Roman"/>
          <w:color w:val="000000"/>
          <w:lang w:eastAsia="lt-LT"/>
        </w:rPr>
        <w:t xml:space="preserve"> vaist</w:t>
      </w:r>
      <w:r>
        <w:rPr>
          <w:rFonts w:ascii="Times New Roman" w:hAnsi="Times New Roman" w:cs="Times New Roman"/>
          <w:color w:val="000000"/>
          <w:lang w:eastAsia="lt-LT"/>
        </w:rPr>
        <w:t>inių preparat</w:t>
      </w:r>
      <w:r w:rsidRPr="000D48A3">
        <w:rPr>
          <w:rFonts w:ascii="Times New Roman" w:hAnsi="Times New Roman" w:cs="Times New Roman"/>
          <w:color w:val="000000"/>
          <w:lang w:eastAsia="lt-LT"/>
        </w:rPr>
        <w:t xml:space="preserve">ų veiksmingumui (taip pat žr. 4.4 skyrių).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Tyrimų, įrodančių palankų gydymo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poveikį gyvenimo trukmei, nėra. Vis dėlto, visiems 235 pacientams, kurie buvo gydyti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dviejuose pagrindžiamuosiuose </w:t>
      </w:r>
      <w:proofErr w:type="spellStart"/>
      <w:r w:rsidRPr="000D48A3">
        <w:rPr>
          <w:rFonts w:ascii="Times New Roman" w:hAnsi="Times New Roman" w:cs="Times New Roman"/>
          <w:color w:val="000000"/>
          <w:lang w:eastAsia="lt-LT"/>
        </w:rPr>
        <w:t>placebu</w:t>
      </w:r>
      <w:proofErr w:type="spellEnd"/>
      <w:r w:rsidRPr="000D48A3">
        <w:rPr>
          <w:rFonts w:ascii="Times New Roman" w:hAnsi="Times New Roman" w:cs="Times New Roman"/>
          <w:color w:val="000000"/>
          <w:lang w:eastAsia="lt-LT"/>
        </w:rPr>
        <w:t xml:space="preserve"> kontroliuotuose tyrimuose (AC-052-351 ir AC-052-352) ir (ar) jų dviejuose nekontroliuotuose, atviruose tęsiniuose, ilgą laiką buvo registruojami gyvybiniai parametrai. Vidutinė ekspozicijos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trukmė buvo 1,9 ± 0,7 metai (min.: 0,1 metų, </w:t>
      </w:r>
      <w:proofErr w:type="spellStart"/>
      <w:r w:rsidRPr="000D48A3">
        <w:rPr>
          <w:rFonts w:ascii="Times New Roman" w:hAnsi="Times New Roman" w:cs="Times New Roman"/>
          <w:color w:val="000000"/>
          <w:lang w:eastAsia="lt-LT"/>
        </w:rPr>
        <w:t>maks</w:t>
      </w:r>
      <w:proofErr w:type="spellEnd"/>
      <w:r w:rsidRPr="000D48A3">
        <w:rPr>
          <w:rFonts w:ascii="Times New Roman" w:hAnsi="Times New Roman" w:cs="Times New Roman"/>
          <w:color w:val="000000"/>
          <w:lang w:eastAsia="lt-LT"/>
        </w:rPr>
        <w:t xml:space="preserve">.: 3,3 metų) ir pacientai vidutiniškai buvo stebimi 2,0 ± 0,6 metus. Daugumai pacientų buvo diagnozuota pirminė </w:t>
      </w:r>
      <w:proofErr w:type="spellStart"/>
      <w:r w:rsidRPr="000D48A3">
        <w:rPr>
          <w:rFonts w:ascii="Times New Roman" w:hAnsi="Times New Roman" w:cs="Times New Roman"/>
          <w:color w:val="000000"/>
          <w:lang w:eastAsia="lt-LT"/>
        </w:rPr>
        <w:t>plautinė</w:t>
      </w:r>
      <w:proofErr w:type="spellEnd"/>
      <w:r w:rsidRPr="000D48A3">
        <w:rPr>
          <w:rFonts w:ascii="Times New Roman" w:hAnsi="Times New Roman" w:cs="Times New Roman"/>
          <w:color w:val="000000"/>
          <w:lang w:eastAsia="lt-LT"/>
        </w:rPr>
        <w:t xml:space="preserve"> hipertenzija (72 %) ir dauguma jų buvo priskirti III PSO funkcinei klasei (84 %). Šioje bendroje populiacijoje gyvenimo trukmė po 1 ir 2 metų gydymo, apskaičiuota </w:t>
      </w:r>
      <w:proofErr w:type="spellStart"/>
      <w:r w:rsidRPr="00432133">
        <w:rPr>
          <w:rFonts w:ascii="Times New Roman" w:hAnsi="Times New Roman" w:cs="Times New Roman"/>
          <w:i/>
          <w:iCs/>
          <w:color w:val="000000"/>
          <w:lang w:eastAsia="lt-LT"/>
        </w:rPr>
        <w:t>Kaplan-Meier</w:t>
      </w:r>
      <w:proofErr w:type="spellEnd"/>
      <w:r w:rsidRPr="000D48A3">
        <w:rPr>
          <w:rFonts w:ascii="Times New Roman" w:hAnsi="Times New Roman" w:cs="Times New Roman"/>
          <w:color w:val="000000"/>
          <w:lang w:eastAsia="lt-LT"/>
        </w:rPr>
        <w:t xml:space="preserve"> metodu, po gydymo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buvo atitinkamai 93 % ir 84 %. Gyvenimo trukmė buvo trumpesnė tų pacientų, kurie sirgo PAH, išsivysčiusia dėl sisteminės sklerozės. Šie</w:t>
      </w:r>
      <w:r>
        <w:rPr>
          <w:rFonts w:ascii="Times New Roman" w:hAnsi="Times New Roman" w:cs="Times New Roman"/>
          <w:color w:val="000000"/>
          <w:lang w:eastAsia="lt-LT"/>
        </w:rPr>
        <w:t>ms</w:t>
      </w:r>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apskaičiavimams</w:t>
      </w:r>
      <w:proofErr w:type="spellEnd"/>
      <w:r w:rsidRPr="000D48A3">
        <w:rPr>
          <w:rFonts w:ascii="Times New Roman" w:hAnsi="Times New Roman" w:cs="Times New Roman"/>
          <w:color w:val="000000"/>
          <w:lang w:eastAsia="lt-LT"/>
        </w:rPr>
        <w:t xml:space="preserve"> galėjo daryti įtaką pradėtas 43 iš 235 pacientų gydymas </w:t>
      </w:r>
      <w:proofErr w:type="spellStart"/>
      <w:r w:rsidRPr="000D48A3">
        <w:rPr>
          <w:rFonts w:ascii="Times New Roman" w:hAnsi="Times New Roman" w:cs="Times New Roman"/>
          <w:color w:val="000000"/>
          <w:lang w:eastAsia="lt-LT"/>
        </w:rPr>
        <w:t>epoprostenoliu</w:t>
      </w:r>
      <w:proofErr w:type="spellEnd"/>
      <w:r w:rsidRPr="000D48A3">
        <w:rPr>
          <w:rFonts w:ascii="Times New Roman" w:hAnsi="Times New Roman" w:cs="Times New Roman"/>
          <w:color w:val="000000"/>
          <w:lang w:eastAsia="lt-LT"/>
        </w:rPr>
        <w:t xml:space="preserve">.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u w:val="single"/>
          <w:lang w:eastAsia="lt-LT"/>
        </w:rPr>
      </w:pPr>
    </w:p>
    <w:p w:rsidR="00A4103A" w:rsidRPr="00432133" w:rsidRDefault="00A4103A" w:rsidP="00A4103A">
      <w:pPr>
        <w:autoSpaceDE w:val="0"/>
        <w:autoSpaceDN w:val="0"/>
        <w:adjustRightInd w:val="0"/>
        <w:spacing w:after="0" w:line="240" w:lineRule="auto"/>
        <w:rPr>
          <w:rFonts w:ascii="Times New Roman" w:hAnsi="Times New Roman" w:cs="Times New Roman"/>
          <w:i/>
          <w:iCs/>
          <w:color w:val="000000"/>
          <w:lang w:eastAsia="lt-LT"/>
        </w:rPr>
      </w:pPr>
      <w:r w:rsidRPr="00432133">
        <w:rPr>
          <w:rFonts w:ascii="Times New Roman" w:hAnsi="Times New Roman" w:cs="Times New Roman"/>
          <w:i/>
          <w:iCs/>
          <w:color w:val="000000"/>
          <w:u w:val="single"/>
          <w:lang w:eastAsia="lt-LT"/>
        </w:rPr>
        <w:t xml:space="preserve">Su </w:t>
      </w:r>
      <w:proofErr w:type="spellStart"/>
      <w:r w:rsidRPr="00432133">
        <w:rPr>
          <w:rFonts w:ascii="Times New Roman" w:hAnsi="Times New Roman" w:cs="Times New Roman"/>
          <w:i/>
          <w:iCs/>
          <w:color w:val="000000"/>
          <w:u w:val="single"/>
          <w:lang w:eastAsia="lt-LT"/>
        </w:rPr>
        <w:t>plautine</w:t>
      </w:r>
      <w:proofErr w:type="spellEnd"/>
      <w:r w:rsidRPr="00432133">
        <w:rPr>
          <w:rFonts w:ascii="Times New Roman" w:hAnsi="Times New Roman" w:cs="Times New Roman"/>
          <w:i/>
          <w:iCs/>
          <w:color w:val="000000"/>
          <w:u w:val="single"/>
          <w:lang w:eastAsia="lt-LT"/>
        </w:rPr>
        <w:t xml:space="preserve"> arterine hipertenzija sergančiais vaikais atlikti tyrimai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Atliktas vienas tyrimas, kuriame dalyvavo </w:t>
      </w:r>
      <w:proofErr w:type="spellStart"/>
      <w:r w:rsidRPr="000D48A3">
        <w:rPr>
          <w:rFonts w:ascii="Times New Roman" w:hAnsi="Times New Roman" w:cs="Times New Roman"/>
          <w:color w:val="000000"/>
          <w:lang w:eastAsia="lt-LT"/>
        </w:rPr>
        <w:t>plautine</w:t>
      </w:r>
      <w:proofErr w:type="spellEnd"/>
      <w:r w:rsidRPr="000D48A3">
        <w:rPr>
          <w:rFonts w:ascii="Times New Roman" w:hAnsi="Times New Roman" w:cs="Times New Roman"/>
          <w:color w:val="000000"/>
          <w:lang w:eastAsia="lt-LT"/>
        </w:rPr>
        <w:t xml:space="preserve"> arterine hipertenzija sergantys vaikai. </w:t>
      </w:r>
      <w:proofErr w:type="spellStart"/>
      <w:r w:rsidRPr="000D48A3">
        <w:rPr>
          <w:rFonts w:ascii="Times New Roman" w:hAnsi="Times New Roman" w:cs="Times New Roman"/>
          <w:color w:val="000000"/>
          <w:lang w:eastAsia="lt-LT"/>
        </w:rPr>
        <w:t>Bozentanas</w:t>
      </w:r>
      <w:proofErr w:type="spellEnd"/>
      <w:r w:rsidRPr="000D48A3">
        <w:rPr>
          <w:rFonts w:ascii="Times New Roman" w:hAnsi="Times New Roman" w:cs="Times New Roman"/>
          <w:color w:val="000000"/>
          <w:lang w:eastAsia="lt-LT"/>
        </w:rPr>
        <w:t xml:space="preserve"> buvo įvertintas atviro nekontroliuoto klinikinio tyrimo metu 19 pediatriniams pacientams, sergantiems </w:t>
      </w:r>
      <w:proofErr w:type="spellStart"/>
      <w:r w:rsidRPr="000D48A3">
        <w:rPr>
          <w:rFonts w:ascii="Times New Roman" w:hAnsi="Times New Roman" w:cs="Times New Roman"/>
          <w:color w:val="000000"/>
          <w:lang w:eastAsia="lt-LT"/>
        </w:rPr>
        <w:t>plautine</w:t>
      </w:r>
      <w:proofErr w:type="spellEnd"/>
      <w:r w:rsidRPr="000D48A3">
        <w:rPr>
          <w:rFonts w:ascii="Times New Roman" w:hAnsi="Times New Roman" w:cs="Times New Roman"/>
          <w:color w:val="000000"/>
          <w:lang w:eastAsia="lt-LT"/>
        </w:rPr>
        <w:t xml:space="preserve"> arterine hipertenzija (AC-052-356 [BREATHE-3]): 10 pacientų buvo pirminė </w:t>
      </w:r>
      <w:proofErr w:type="spellStart"/>
      <w:r w:rsidRPr="000D48A3">
        <w:rPr>
          <w:rFonts w:ascii="Times New Roman" w:hAnsi="Times New Roman" w:cs="Times New Roman"/>
          <w:color w:val="000000"/>
          <w:lang w:eastAsia="lt-LT"/>
        </w:rPr>
        <w:t>plautinė</w:t>
      </w:r>
      <w:proofErr w:type="spellEnd"/>
      <w:r w:rsidRPr="000D48A3">
        <w:rPr>
          <w:rFonts w:ascii="Times New Roman" w:hAnsi="Times New Roman" w:cs="Times New Roman"/>
          <w:color w:val="000000"/>
          <w:lang w:eastAsia="lt-LT"/>
        </w:rPr>
        <w:t xml:space="preserve"> hipertenzija ir 9 pacientams buvo su įgimtomis širdies ydomis susijusi </w:t>
      </w:r>
      <w:proofErr w:type="spellStart"/>
      <w:r w:rsidRPr="000D48A3">
        <w:rPr>
          <w:rFonts w:ascii="Times New Roman" w:hAnsi="Times New Roman" w:cs="Times New Roman"/>
          <w:color w:val="000000"/>
          <w:lang w:eastAsia="lt-LT"/>
        </w:rPr>
        <w:t>plautinė</w:t>
      </w:r>
      <w:proofErr w:type="spellEnd"/>
      <w:r w:rsidRPr="000D48A3">
        <w:rPr>
          <w:rFonts w:ascii="Times New Roman" w:hAnsi="Times New Roman" w:cs="Times New Roman"/>
          <w:color w:val="000000"/>
          <w:lang w:eastAsia="lt-LT"/>
        </w:rPr>
        <w:t xml:space="preserve"> hipertenzija). Šis tyrimas pirmiausia buvo planuotas kaip </w:t>
      </w:r>
      <w:proofErr w:type="spellStart"/>
      <w:r w:rsidRPr="000D48A3">
        <w:rPr>
          <w:rFonts w:ascii="Times New Roman" w:hAnsi="Times New Roman" w:cs="Times New Roman"/>
          <w:color w:val="000000"/>
          <w:lang w:eastAsia="lt-LT"/>
        </w:rPr>
        <w:t>farmakokinetinis</w:t>
      </w:r>
      <w:proofErr w:type="spellEnd"/>
      <w:r w:rsidRPr="000D48A3">
        <w:rPr>
          <w:rFonts w:ascii="Times New Roman" w:hAnsi="Times New Roman" w:cs="Times New Roman"/>
          <w:color w:val="000000"/>
          <w:lang w:eastAsia="lt-LT"/>
        </w:rPr>
        <w:t xml:space="preserve"> tyrimas (žr. 5.2 skyrių). Pacientai 12 savaičių buvo padalinti į tris dozavimo grupes pagal jų kūno svorį (žr. 4.2 skyrių). Pusė pacientų kiekvienoje grupėje jau buvo gydomi </w:t>
      </w:r>
      <w:proofErr w:type="spellStart"/>
      <w:r w:rsidRPr="000D48A3">
        <w:rPr>
          <w:rFonts w:ascii="Times New Roman" w:hAnsi="Times New Roman" w:cs="Times New Roman"/>
          <w:color w:val="000000"/>
          <w:lang w:eastAsia="lt-LT"/>
        </w:rPr>
        <w:t>intraveniškai</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epoprostenoliu</w:t>
      </w:r>
      <w:proofErr w:type="spellEnd"/>
      <w:r w:rsidRPr="000D48A3">
        <w:rPr>
          <w:rFonts w:ascii="Times New Roman" w:hAnsi="Times New Roman" w:cs="Times New Roman"/>
          <w:color w:val="000000"/>
          <w:lang w:eastAsia="lt-LT"/>
        </w:rPr>
        <w:t xml:space="preserve"> ir tyrimo metu </w:t>
      </w:r>
      <w:proofErr w:type="spellStart"/>
      <w:r w:rsidRPr="000D48A3">
        <w:rPr>
          <w:rFonts w:ascii="Times New Roman" w:hAnsi="Times New Roman" w:cs="Times New Roman"/>
          <w:color w:val="000000"/>
          <w:lang w:eastAsia="lt-LT"/>
        </w:rPr>
        <w:t>epoprostenolio</w:t>
      </w:r>
      <w:proofErr w:type="spellEnd"/>
      <w:r w:rsidRPr="000D48A3">
        <w:rPr>
          <w:rFonts w:ascii="Times New Roman" w:hAnsi="Times New Roman" w:cs="Times New Roman"/>
          <w:color w:val="000000"/>
          <w:lang w:eastAsia="lt-LT"/>
        </w:rPr>
        <w:t xml:space="preserve"> dozė išliko pastovi. Pacientų amžius buvo nuo 3 iki 15 metų. Tyrimo pradžioje pacientai buvo pagal PSO II (n = 15 pacientų, 79 %) arba III (n = 4 pacientai, 21</w:t>
      </w:r>
      <w:r w:rsidR="001A1377">
        <w:rPr>
          <w:rFonts w:ascii="Times New Roman" w:hAnsi="Times New Roman" w:cs="Times New Roman"/>
          <w:color w:val="000000"/>
          <w:lang w:eastAsia="lt-LT"/>
        </w:rPr>
        <w:t> </w:t>
      </w:r>
      <w:r w:rsidRPr="000D48A3">
        <w:rPr>
          <w:rFonts w:ascii="Times New Roman" w:hAnsi="Times New Roman" w:cs="Times New Roman"/>
          <w:color w:val="000000"/>
          <w:lang w:eastAsia="lt-LT"/>
        </w:rPr>
        <w:t xml:space="preserve">%) funkcinės klasės.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Kraujotaka buvo matuojama 17 pacientų. Vidutinis širdies indekso, palyginti su tyrimo pradžioje buvusiu, padidėjimas buvo 0,5 l/min./m</w:t>
      </w:r>
      <w:r w:rsidRPr="000D48A3">
        <w:rPr>
          <w:rFonts w:ascii="Times New Roman" w:hAnsi="Times New Roman" w:cs="Times New Roman"/>
          <w:color w:val="000000"/>
          <w:vertAlign w:val="superscript"/>
          <w:lang w:eastAsia="lt-LT"/>
        </w:rPr>
        <w:t>2</w:t>
      </w:r>
      <w:r w:rsidRPr="000D48A3">
        <w:rPr>
          <w:rFonts w:ascii="Times New Roman" w:hAnsi="Times New Roman" w:cs="Times New Roman"/>
          <w:color w:val="000000"/>
          <w:lang w:eastAsia="lt-LT"/>
        </w:rPr>
        <w:t xml:space="preserve">, vidutinis plaučių arterijos spaudimo sumažėjimas buvo 8 </w:t>
      </w:r>
      <w:proofErr w:type="spellStart"/>
      <w:r w:rsidRPr="000D48A3">
        <w:rPr>
          <w:rFonts w:ascii="Times New Roman" w:hAnsi="Times New Roman" w:cs="Times New Roman"/>
          <w:color w:val="000000"/>
          <w:lang w:eastAsia="lt-LT"/>
        </w:rPr>
        <w:t>mmHg</w:t>
      </w:r>
      <w:proofErr w:type="spellEnd"/>
      <w:r w:rsidRPr="000D48A3">
        <w:rPr>
          <w:rFonts w:ascii="Times New Roman" w:hAnsi="Times New Roman" w:cs="Times New Roman"/>
          <w:color w:val="000000"/>
          <w:lang w:eastAsia="lt-LT"/>
        </w:rPr>
        <w:t xml:space="preserve">, o vidutinis PKP buvo 389 </w:t>
      </w:r>
      <w:proofErr w:type="spellStart"/>
      <w:r w:rsidRPr="000D48A3">
        <w:rPr>
          <w:rFonts w:ascii="Times New Roman" w:hAnsi="Times New Roman" w:cs="Times New Roman"/>
          <w:color w:val="000000"/>
          <w:lang w:eastAsia="lt-LT"/>
        </w:rPr>
        <w:t>d</w:t>
      </w:r>
      <w:r>
        <w:rPr>
          <w:rFonts w:ascii="Times New Roman" w:hAnsi="Times New Roman" w:cs="Times New Roman"/>
          <w:color w:val="000000"/>
          <w:lang w:eastAsia="lt-LT"/>
        </w:rPr>
        <w:t>y</w:t>
      </w:r>
      <w:r w:rsidRPr="000D48A3">
        <w:rPr>
          <w:rFonts w:ascii="Times New Roman" w:hAnsi="Times New Roman" w:cs="Times New Roman"/>
          <w:color w:val="000000"/>
          <w:lang w:eastAsia="lt-LT"/>
        </w:rPr>
        <w:t>n·s</w:t>
      </w:r>
      <w:proofErr w:type="spellEnd"/>
      <w:r w:rsidRPr="000D48A3">
        <w:rPr>
          <w:rFonts w:ascii="Times New Roman" w:hAnsi="Times New Roman" w:cs="Times New Roman"/>
          <w:color w:val="000000"/>
          <w:lang w:eastAsia="lt-LT"/>
        </w:rPr>
        <w:t>/cm</w:t>
      </w:r>
      <w:r w:rsidRPr="000D48A3">
        <w:rPr>
          <w:rFonts w:ascii="Times New Roman" w:hAnsi="Times New Roman" w:cs="Times New Roman"/>
          <w:color w:val="000000"/>
          <w:vertAlign w:val="superscript"/>
          <w:lang w:eastAsia="lt-LT"/>
        </w:rPr>
        <w:t>5</w:t>
      </w:r>
      <w:r w:rsidRPr="000D48A3">
        <w:rPr>
          <w:rFonts w:ascii="Times New Roman" w:hAnsi="Times New Roman" w:cs="Times New Roman"/>
          <w:color w:val="000000"/>
          <w:lang w:eastAsia="lt-LT"/>
        </w:rPr>
        <w:t xml:space="preserve">. Šis kraujotakos, palyginti su tyrimo pradžioje buvusia, pagerėjimas kartu vartojant </w:t>
      </w:r>
      <w:proofErr w:type="spellStart"/>
      <w:r w:rsidRPr="000D48A3">
        <w:rPr>
          <w:rFonts w:ascii="Times New Roman" w:hAnsi="Times New Roman" w:cs="Times New Roman"/>
          <w:color w:val="000000"/>
          <w:lang w:eastAsia="lt-LT"/>
        </w:rPr>
        <w:t>epoprostenolį</w:t>
      </w:r>
      <w:proofErr w:type="spellEnd"/>
      <w:r w:rsidRPr="000D48A3">
        <w:rPr>
          <w:rFonts w:ascii="Times New Roman" w:hAnsi="Times New Roman" w:cs="Times New Roman"/>
          <w:color w:val="000000"/>
          <w:lang w:eastAsia="lt-LT"/>
        </w:rPr>
        <w:t xml:space="preserve"> arba jo nevartojant buvo panašus. Fizinio krūvio testo parametrų pokyčiai 12 savaitę nuo tyrimo pradžios buvo labai nepastovūs ir nereikšmingi.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u w:val="single"/>
          <w:lang w:eastAsia="lt-LT"/>
        </w:rPr>
      </w:pPr>
    </w:p>
    <w:p w:rsidR="00A4103A" w:rsidRPr="00432133" w:rsidRDefault="00A4103A" w:rsidP="00A4103A">
      <w:pPr>
        <w:autoSpaceDE w:val="0"/>
        <w:autoSpaceDN w:val="0"/>
        <w:adjustRightInd w:val="0"/>
        <w:spacing w:after="0" w:line="240" w:lineRule="auto"/>
        <w:rPr>
          <w:rFonts w:ascii="Times New Roman" w:hAnsi="Times New Roman" w:cs="Times New Roman"/>
          <w:i/>
          <w:iCs/>
          <w:color w:val="000000"/>
          <w:lang w:eastAsia="lt-LT"/>
        </w:rPr>
      </w:pPr>
      <w:r w:rsidRPr="00432133">
        <w:rPr>
          <w:rFonts w:ascii="Times New Roman" w:hAnsi="Times New Roman" w:cs="Times New Roman"/>
          <w:i/>
          <w:iCs/>
          <w:color w:val="000000"/>
          <w:u w:val="single"/>
          <w:lang w:eastAsia="lt-LT"/>
        </w:rPr>
        <w:t xml:space="preserve">Derinys su </w:t>
      </w:r>
      <w:proofErr w:type="spellStart"/>
      <w:r w:rsidRPr="00432133">
        <w:rPr>
          <w:rFonts w:ascii="Times New Roman" w:hAnsi="Times New Roman" w:cs="Times New Roman"/>
          <w:i/>
          <w:iCs/>
          <w:color w:val="000000"/>
          <w:u w:val="single"/>
          <w:lang w:eastAsia="lt-LT"/>
        </w:rPr>
        <w:t>epoprostenoliu</w:t>
      </w:r>
      <w:proofErr w:type="spellEnd"/>
      <w:r w:rsidRPr="00432133">
        <w:rPr>
          <w:rFonts w:ascii="Times New Roman" w:hAnsi="Times New Roman" w:cs="Times New Roman"/>
          <w:i/>
          <w:iCs/>
          <w:color w:val="000000"/>
          <w:u w:val="single"/>
          <w:lang w:eastAsia="lt-LT"/>
        </w:rPr>
        <w:t xml:space="preserve">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ir </w:t>
      </w:r>
      <w:proofErr w:type="spellStart"/>
      <w:r w:rsidRPr="000D48A3">
        <w:rPr>
          <w:rFonts w:ascii="Times New Roman" w:hAnsi="Times New Roman" w:cs="Times New Roman"/>
          <w:color w:val="000000"/>
          <w:lang w:eastAsia="lt-LT"/>
        </w:rPr>
        <w:t>epoprostenolio</w:t>
      </w:r>
      <w:proofErr w:type="spellEnd"/>
      <w:r w:rsidRPr="000D48A3">
        <w:rPr>
          <w:rFonts w:ascii="Times New Roman" w:hAnsi="Times New Roman" w:cs="Times New Roman"/>
          <w:color w:val="000000"/>
          <w:lang w:eastAsia="lt-LT"/>
        </w:rPr>
        <w:t xml:space="preserve"> derinys buvo tiriamas dviejų tyrimų metu: AC-052-355 (BREATHE-2) ir AC-052-356 (BREATHE-3). AC-052-355 buvo, </w:t>
      </w:r>
      <w:proofErr w:type="spellStart"/>
      <w:r w:rsidRPr="000D48A3">
        <w:rPr>
          <w:rFonts w:ascii="Times New Roman" w:hAnsi="Times New Roman" w:cs="Times New Roman"/>
          <w:color w:val="000000"/>
          <w:lang w:eastAsia="lt-LT"/>
        </w:rPr>
        <w:t>daugiacentris</w:t>
      </w:r>
      <w:proofErr w:type="spellEnd"/>
      <w:r w:rsidRPr="000D48A3">
        <w:rPr>
          <w:rFonts w:ascii="Times New Roman" w:hAnsi="Times New Roman" w:cs="Times New Roman"/>
          <w:color w:val="000000"/>
          <w:lang w:eastAsia="lt-LT"/>
        </w:rPr>
        <w:t xml:space="preserve">, atsitiktinių imčių, dvigubai aklas lygiagrečių grupių tyrimas, kurio metu lygintas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ir </w:t>
      </w:r>
      <w:proofErr w:type="spellStart"/>
      <w:r w:rsidRPr="000D48A3">
        <w:rPr>
          <w:rFonts w:ascii="Times New Roman" w:hAnsi="Times New Roman" w:cs="Times New Roman"/>
          <w:color w:val="000000"/>
          <w:lang w:eastAsia="lt-LT"/>
        </w:rPr>
        <w:t>placebo</w:t>
      </w:r>
      <w:proofErr w:type="spellEnd"/>
      <w:r w:rsidRPr="000D48A3">
        <w:rPr>
          <w:rFonts w:ascii="Times New Roman" w:hAnsi="Times New Roman" w:cs="Times New Roman"/>
          <w:color w:val="000000"/>
          <w:lang w:eastAsia="lt-LT"/>
        </w:rPr>
        <w:t xml:space="preserve"> poveikis 33 sergantiems sunkia </w:t>
      </w:r>
      <w:proofErr w:type="spellStart"/>
      <w:r w:rsidRPr="000D48A3">
        <w:rPr>
          <w:rFonts w:ascii="Times New Roman" w:hAnsi="Times New Roman" w:cs="Times New Roman"/>
          <w:color w:val="000000"/>
          <w:lang w:eastAsia="lt-LT"/>
        </w:rPr>
        <w:t>plautine</w:t>
      </w:r>
      <w:proofErr w:type="spellEnd"/>
      <w:r w:rsidRPr="000D48A3">
        <w:rPr>
          <w:rFonts w:ascii="Times New Roman" w:hAnsi="Times New Roman" w:cs="Times New Roman"/>
          <w:color w:val="000000"/>
          <w:lang w:eastAsia="lt-LT"/>
        </w:rPr>
        <w:t xml:space="preserve"> arterine hipertenzija pacientams, kuriems buvo kartu skiriamas gydymas </w:t>
      </w:r>
      <w:proofErr w:type="spellStart"/>
      <w:r w:rsidRPr="000D48A3">
        <w:rPr>
          <w:rFonts w:ascii="Times New Roman" w:hAnsi="Times New Roman" w:cs="Times New Roman"/>
          <w:color w:val="000000"/>
          <w:lang w:eastAsia="lt-LT"/>
        </w:rPr>
        <w:t>epoprostenoliu</w:t>
      </w:r>
      <w:proofErr w:type="spellEnd"/>
      <w:r w:rsidRPr="000D48A3">
        <w:rPr>
          <w:rFonts w:ascii="Times New Roman" w:hAnsi="Times New Roman" w:cs="Times New Roman"/>
          <w:color w:val="000000"/>
          <w:lang w:eastAsia="lt-LT"/>
        </w:rPr>
        <w:t xml:space="preserve">. AC-052-356 buvo atviras, nekontroliuojamas klinikinis tyrimas; 12 savaičių trukmės tyrimo metu 10 iš 19 pediatrinių pacientų buvo taikomas gydymas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kartu su </w:t>
      </w:r>
      <w:proofErr w:type="spellStart"/>
      <w:r w:rsidRPr="000D48A3">
        <w:rPr>
          <w:rFonts w:ascii="Times New Roman" w:hAnsi="Times New Roman" w:cs="Times New Roman"/>
          <w:color w:val="000000"/>
          <w:lang w:eastAsia="lt-LT"/>
        </w:rPr>
        <w:t>epoprostenoliu</w:t>
      </w:r>
      <w:proofErr w:type="spellEnd"/>
      <w:r w:rsidRPr="000D48A3">
        <w:rPr>
          <w:rFonts w:ascii="Times New Roman" w:hAnsi="Times New Roman" w:cs="Times New Roman"/>
          <w:color w:val="000000"/>
          <w:lang w:eastAsia="lt-LT"/>
        </w:rPr>
        <w:t xml:space="preserve">. Šio </w:t>
      </w:r>
      <w:r w:rsidRPr="000D48A3">
        <w:rPr>
          <w:rFonts w:ascii="Times New Roman" w:hAnsi="Times New Roman" w:cs="Times New Roman"/>
          <w:color w:val="000000"/>
          <w:lang w:eastAsia="lt-LT"/>
        </w:rPr>
        <w:lastRenderedPageBreak/>
        <w:t xml:space="preserve">derinio saugumo </w:t>
      </w:r>
      <w:r>
        <w:rPr>
          <w:rFonts w:ascii="Times New Roman" w:hAnsi="Times New Roman" w:cs="Times New Roman"/>
          <w:color w:val="000000"/>
          <w:lang w:eastAsia="lt-LT"/>
        </w:rPr>
        <w:t>savybės</w:t>
      </w:r>
      <w:r w:rsidRPr="000D48A3">
        <w:rPr>
          <w:rFonts w:ascii="Times New Roman" w:hAnsi="Times New Roman" w:cs="Times New Roman"/>
          <w:color w:val="000000"/>
          <w:lang w:eastAsia="lt-LT"/>
        </w:rPr>
        <w:t xml:space="preserve"> nesiskyrė nuo tikėtinos saugumo </w:t>
      </w:r>
      <w:r>
        <w:rPr>
          <w:rFonts w:ascii="Times New Roman" w:hAnsi="Times New Roman" w:cs="Times New Roman"/>
          <w:color w:val="000000"/>
          <w:lang w:eastAsia="lt-LT"/>
        </w:rPr>
        <w:t>savybės</w:t>
      </w:r>
      <w:r w:rsidRPr="000D48A3">
        <w:rPr>
          <w:rFonts w:ascii="Times New Roman" w:hAnsi="Times New Roman" w:cs="Times New Roman"/>
          <w:color w:val="000000"/>
          <w:lang w:eastAsia="lt-LT"/>
        </w:rPr>
        <w:t xml:space="preserve"> kiekvienam atskirai vartojamam derinio komponentui ir kombinuotą gydymą gerai toleravo ir vaikai, ir suaugusieji. Šio derinio klinikinis naudingumas nėra įrodytas. </w:t>
      </w:r>
    </w:p>
    <w:p w:rsidR="00A4103A" w:rsidRPr="000D48A3" w:rsidRDefault="00A4103A" w:rsidP="00A4103A">
      <w:pPr>
        <w:spacing w:after="0" w:line="240" w:lineRule="auto"/>
        <w:rPr>
          <w:rFonts w:ascii="Times New Roman" w:hAnsi="Times New Roman" w:cs="Times New Roman"/>
          <w:lang w:eastAsia="lt-LT"/>
        </w:rPr>
      </w:pPr>
    </w:p>
    <w:p w:rsidR="00A4103A" w:rsidRPr="000D48A3" w:rsidRDefault="00A4103A" w:rsidP="00A4103A">
      <w:pPr>
        <w:spacing w:after="0" w:line="240" w:lineRule="auto"/>
        <w:ind w:left="567" w:hanging="567"/>
        <w:rPr>
          <w:rFonts w:ascii="Times New Roman" w:hAnsi="Times New Roman" w:cs="Times New Roman"/>
          <w:b/>
          <w:bCs/>
          <w:lang w:eastAsia="lt-LT"/>
        </w:rPr>
      </w:pPr>
      <w:r w:rsidRPr="000D48A3">
        <w:rPr>
          <w:rFonts w:ascii="Times New Roman" w:hAnsi="Times New Roman" w:cs="Times New Roman"/>
          <w:b/>
          <w:bCs/>
          <w:lang w:eastAsia="lt-LT"/>
        </w:rPr>
        <w:t>5.2</w:t>
      </w:r>
      <w:r w:rsidRPr="000D48A3">
        <w:rPr>
          <w:rFonts w:ascii="Times New Roman" w:hAnsi="Times New Roman" w:cs="Times New Roman"/>
          <w:b/>
          <w:bCs/>
          <w:lang w:eastAsia="lt-LT"/>
        </w:rPr>
        <w:tab/>
      </w:r>
      <w:proofErr w:type="spellStart"/>
      <w:r w:rsidRPr="000D48A3">
        <w:rPr>
          <w:rFonts w:ascii="Times New Roman" w:hAnsi="Times New Roman" w:cs="Times New Roman"/>
          <w:b/>
          <w:bCs/>
          <w:lang w:eastAsia="lt-LT"/>
        </w:rPr>
        <w:t>Farmakokinetinės</w:t>
      </w:r>
      <w:proofErr w:type="spellEnd"/>
      <w:r w:rsidRPr="000D48A3">
        <w:rPr>
          <w:rFonts w:ascii="Times New Roman" w:hAnsi="Times New Roman" w:cs="Times New Roman"/>
          <w:b/>
          <w:bCs/>
          <w:lang w:eastAsia="lt-LT"/>
        </w:rPr>
        <w:t xml:space="preserve"> savybės</w:t>
      </w:r>
    </w:p>
    <w:p w:rsidR="00A4103A" w:rsidRPr="000D48A3" w:rsidRDefault="00A4103A" w:rsidP="00A4103A">
      <w:pPr>
        <w:spacing w:after="0" w:line="240" w:lineRule="auto"/>
        <w:ind w:left="567" w:hanging="567"/>
        <w:rPr>
          <w:rFonts w:ascii="Times New Roman" w:hAnsi="Times New Roman" w:cs="Times New Roman"/>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farmakokinetika</w:t>
      </w:r>
      <w:proofErr w:type="spellEnd"/>
      <w:r w:rsidRPr="000D48A3">
        <w:rPr>
          <w:rFonts w:ascii="Times New Roman" w:hAnsi="Times New Roman" w:cs="Times New Roman"/>
          <w:color w:val="000000"/>
          <w:lang w:eastAsia="lt-LT"/>
        </w:rPr>
        <w:t xml:space="preserve"> daugiausiai buvo dokumentuota sveikiems asmenims. Nedideli duomenys pacientams parodė, kad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ekspozicija pacientams, sergantiems </w:t>
      </w:r>
      <w:proofErr w:type="spellStart"/>
      <w:r w:rsidRPr="000D48A3">
        <w:rPr>
          <w:rFonts w:ascii="Times New Roman" w:hAnsi="Times New Roman" w:cs="Times New Roman"/>
          <w:color w:val="000000"/>
          <w:lang w:eastAsia="lt-LT"/>
        </w:rPr>
        <w:t>plautine</w:t>
      </w:r>
      <w:proofErr w:type="spellEnd"/>
      <w:r w:rsidRPr="000D48A3">
        <w:rPr>
          <w:rFonts w:ascii="Times New Roman" w:hAnsi="Times New Roman" w:cs="Times New Roman"/>
          <w:color w:val="000000"/>
          <w:lang w:eastAsia="lt-LT"/>
        </w:rPr>
        <w:t xml:space="preserve"> arterine hipertenzija, yra maždaug 2 kartus didesnis, nei sveikiems suaugusiems asmenims.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Sveikiems asmenims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farmakokinetika</w:t>
      </w:r>
      <w:proofErr w:type="spellEnd"/>
      <w:r w:rsidRPr="000D48A3">
        <w:rPr>
          <w:rFonts w:ascii="Times New Roman" w:hAnsi="Times New Roman" w:cs="Times New Roman"/>
          <w:color w:val="000000"/>
          <w:lang w:eastAsia="lt-LT"/>
        </w:rPr>
        <w:t xml:space="preserve"> yra priklausoma nuo dozės ir laiko. Klirensas ir pasiskirstymo tūris mažėja didinat į veną </w:t>
      </w:r>
      <w:proofErr w:type="spellStart"/>
      <w:r w:rsidRPr="000D48A3">
        <w:rPr>
          <w:rFonts w:ascii="Times New Roman" w:hAnsi="Times New Roman" w:cs="Times New Roman"/>
          <w:color w:val="000000"/>
          <w:lang w:eastAsia="lt-LT"/>
        </w:rPr>
        <w:t>injekuojamas</w:t>
      </w:r>
      <w:proofErr w:type="spellEnd"/>
      <w:r w:rsidRPr="000D48A3">
        <w:rPr>
          <w:rFonts w:ascii="Times New Roman" w:hAnsi="Times New Roman" w:cs="Times New Roman"/>
          <w:color w:val="000000"/>
          <w:lang w:eastAsia="lt-LT"/>
        </w:rPr>
        <w:t xml:space="preserve"> dozes ir didėja ilgėjant laikui. Išgėrus, sisteminė ekspozicija didėja proporcingai dozei iki 500 mg. Išgėrus didesnes dozes, </w:t>
      </w:r>
      <w:proofErr w:type="spellStart"/>
      <w:r w:rsidRPr="000D48A3">
        <w:rPr>
          <w:rFonts w:ascii="Times New Roman" w:hAnsi="Times New Roman" w:cs="Times New Roman"/>
          <w:color w:val="000000"/>
          <w:lang w:eastAsia="lt-LT"/>
        </w:rPr>
        <w:t>C</w:t>
      </w:r>
      <w:r w:rsidRPr="000D48A3">
        <w:rPr>
          <w:rFonts w:ascii="Times New Roman" w:hAnsi="Times New Roman" w:cs="Times New Roman"/>
          <w:color w:val="000000"/>
          <w:vertAlign w:val="subscript"/>
          <w:lang w:eastAsia="lt-LT"/>
        </w:rPr>
        <w:t>max</w:t>
      </w:r>
      <w:proofErr w:type="spellEnd"/>
      <w:r w:rsidRPr="000D48A3">
        <w:rPr>
          <w:rFonts w:ascii="Times New Roman" w:hAnsi="Times New Roman" w:cs="Times New Roman"/>
          <w:color w:val="000000"/>
          <w:lang w:eastAsia="lt-LT"/>
        </w:rPr>
        <w:t xml:space="preserve"> ir AUC didėja mažiau, nei proporcingai suvartotai dozei.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u w:val="single"/>
          <w:lang w:eastAsia="lt-LT"/>
        </w:rPr>
      </w:pPr>
    </w:p>
    <w:p w:rsidR="00A4103A" w:rsidRPr="001F401C"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432133">
        <w:rPr>
          <w:rFonts w:ascii="Times New Roman" w:hAnsi="Times New Roman" w:cs="Times New Roman"/>
          <w:color w:val="000000"/>
          <w:u w:val="single"/>
          <w:lang w:eastAsia="lt-LT"/>
        </w:rPr>
        <w:t xml:space="preserve">Absorbcija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Sveikiems asmenims absoliutus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biologinis prieinamumas yra maždaug 50% ir maistas jam įtakos nedaro. Didžiausia koncentracija plazmoje atsiranda per 3–5 valandas.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u w:val="single"/>
          <w:lang w:eastAsia="lt-LT"/>
        </w:rPr>
      </w:pPr>
    </w:p>
    <w:p w:rsidR="00A4103A" w:rsidRPr="001F401C"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432133">
        <w:rPr>
          <w:rFonts w:ascii="Times New Roman" w:hAnsi="Times New Roman" w:cs="Times New Roman"/>
          <w:color w:val="000000"/>
          <w:u w:val="single"/>
          <w:lang w:eastAsia="lt-LT"/>
        </w:rPr>
        <w:t xml:space="preserve">Pasiskirstymas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Bozentanas</w:t>
      </w:r>
      <w:proofErr w:type="spellEnd"/>
      <w:r w:rsidRPr="000D48A3">
        <w:rPr>
          <w:rFonts w:ascii="Times New Roman" w:hAnsi="Times New Roman" w:cs="Times New Roman"/>
          <w:color w:val="000000"/>
          <w:lang w:eastAsia="lt-LT"/>
        </w:rPr>
        <w:t xml:space="preserve"> gerai jungiasi (&gt; 98</w:t>
      </w:r>
      <w:r w:rsidR="001A1377">
        <w:rPr>
          <w:rFonts w:ascii="Times New Roman" w:hAnsi="Times New Roman" w:cs="Times New Roman"/>
          <w:color w:val="000000"/>
          <w:lang w:eastAsia="lt-LT"/>
        </w:rPr>
        <w:t> </w:t>
      </w:r>
      <w:r w:rsidRPr="000D48A3">
        <w:rPr>
          <w:rFonts w:ascii="Times New Roman" w:hAnsi="Times New Roman" w:cs="Times New Roman"/>
          <w:color w:val="000000"/>
          <w:lang w:eastAsia="lt-LT"/>
        </w:rPr>
        <w:t xml:space="preserve">%) su plazmos baltymais, daugiausia </w:t>
      </w:r>
      <w:proofErr w:type="spellStart"/>
      <w:r w:rsidRPr="000D48A3">
        <w:rPr>
          <w:rFonts w:ascii="Times New Roman" w:hAnsi="Times New Roman" w:cs="Times New Roman"/>
          <w:color w:val="000000"/>
          <w:lang w:eastAsia="lt-LT"/>
        </w:rPr>
        <w:t>albuminu</w:t>
      </w:r>
      <w:proofErr w:type="spellEnd"/>
      <w:r w:rsidRPr="000D48A3">
        <w:rPr>
          <w:rFonts w:ascii="Times New Roman" w:hAnsi="Times New Roman" w:cs="Times New Roman"/>
          <w:color w:val="000000"/>
          <w:lang w:eastAsia="lt-LT"/>
        </w:rPr>
        <w:t xml:space="preserve">. Jis neprasiskverbia į eritrocitus.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Nustatyta, kad suleistos į veną 250 mg dozės pasiskirstymo tūris (</w:t>
      </w:r>
      <w:proofErr w:type="spellStart"/>
      <w:r w:rsidRPr="000D48A3">
        <w:rPr>
          <w:rFonts w:ascii="Times New Roman" w:hAnsi="Times New Roman" w:cs="Times New Roman"/>
          <w:color w:val="000000"/>
          <w:lang w:eastAsia="lt-LT"/>
        </w:rPr>
        <w:t>Vss</w:t>
      </w:r>
      <w:proofErr w:type="spellEnd"/>
      <w:r w:rsidRPr="000D48A3">
        <w:rPr>
          <w:rFonts w:ascii="Times New Roman" w:hAnsi="Times New Roman" w:cs="Times New Roman"/>
          <w:color w:val="000000"/>
          <w:lang w:eastAsia="lt-LT"/>
        </w:rPr>
        <w:t>) yra 18 litrų</w:t>
      </w:r>
      <w:r>
        <w:rPr>
          <w:rFonts w:ascii="Times New Roman" w:hAnsi="Times New Roman" w:cs="Times New Roman"/>
          <w:color w:val="000000"/>
          <w:lang w:eastAsia="lt-LT"/>
        </w:rPr>
        <w:t>.</w:t>
      </w:r>
      <w:r w:rsidRPr="000D48A3">
        <w:rPr>
          <w:rFonts w:ascii="Times New Roman" w:hAnsi="Times New Roman" w:cs="Times New Roman"/>
          <w:color w:val="000000"/>
          <w:lang w:eastAsia="lt-LT"/>
        </w:rPr>
        <w:t xml:space="preserve">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u w:val="single"/>
          <w:lang w:eastAsia="lt-LT"/>
        </w:rPr>
      </w:pPr>
    </w:p>
    <w:p w:rsidR="00A4103A" w:rsidRPr="001F401C"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432133">
        <w:rPr>
          <w:rFonts w:ascii="Times New Roman" w:hAnsi="Times New Roman" w:cs="Times New Roman"/>
          <w:color w:val="000000"/>
          <w:u w:val="single"/>
          <w:lang w:eastAsia="lt-LT"/>
        </w:rPr>
        <w:t>Biotransformacija</w:t>
      </w:r>
      <w:proofErr w:type="spellEnd"/>
      <w:r w:rsidRPr="00432133">
        <w:rPr>
          <w:rFonts w:ascii="Times New Roman" w:hAnsi="Times New Roman" w:cs="Times New Roman"/>
          <w:color w:val="000000"/>
          <w:u w:val="single"/>
          <w:lang w:eastAsia="lt-LT"/>
        </w:rPr>
        <w:t xml:space="preserve"> ir eliminacija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Po vienos į veną suleistos 250 mg dozės klirensas buvo 8,2 l/val.. Galutinis pusinės eliminacijos periodas (t</w:t>
      </w:r>
      <w:r w:rsidRPr="000D48A3">
        <w:rPr>
          <w:rFonts w:ascii="Times New Roman" w:hAnsi="Times New Roman" w:cs="Times New Roman"/>
          <w:color w:val="000000"/>
          <w:vertAlign w:val="subscript"/>
          <w:lang w:eastAsia="lt-LT"/>
        </w:rPr>
        <w:t>1/2</w:t>
      </w:r>
      <w:r w:rsidRPr="000D48A3">
        <w:rPr>
          <w:rFonts w:ascii="Times New Roman" w:hAnsi="Times New Roman" w:cs="Times New Roman"/>
          <w:color w:val="000000"/>
          <w:lang w:eastAsia="lt-LT"/>
        </w:rPr>
        <w:t xml:space="preserve">) yra 5,4 valandos.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Dozuojant pakartotinai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koncentracija plazmoje palaipsniui sumažėja iki 50</w:t>
      </w:r>
      <w:r>
        <w:rPr>
          <w:rFonts w:ascii="Times New Roman" w:hAnsi="Times New Roman" w:cs="Times New Roman"/>
          <w:color w:val="000000"/>
          <w:lang w:eastAsia="lt-LT"/>
        </w:rPr>
        <w:t xml:space="preserve"> </w:t>
      </w:r>
      <w:r w:rsidRPr="000D48A3">
        <w:rPr>
          <w:rFonts w:ascii="Times New Roman" w:hAnsi="Times New Roman" w:cs="Times New Roman"/>
          <w:color w:val="000000"/>
          <w:lang w:eastAsia="lt-LT"/>
        </w:rPr>
        <w:t>%–65</w:t>
      </w:r>
      <w:r>
        <w:rPr>
          <w:rFonts w:ascii="Times New Roman" w:hAnsi="Times New Roman" w:cs="Times New Roman"/>
          <w:color w:val="000000"/>
          <w:lang w:eastAsia="lt-LT"/>
        </w:rPr>
        <w:t xml:space="preserve"> </w:t>
      </w:r>
      <w:r w:rsidRPr="000D48A3">
        <w:rPr>
          <w:rFonts w:ascii="Times New Roman" w:hAnsi="Times New Roman" w:cs="Times New Roman"/>
          <w:color w:val="000000"/>
          <w:lang w:eastAsia="lt-LT"/>
        </w:rPr>
        <w:t xml:space="preserve">%, palyginti su ta, kuri būna suvartojus vienkartinę dozę. Šis sumažėjimas tikriausiai būna dėl </w:t>
      </w:r>
      <w:proofErr w:type="spellStart"/>
      <w:r w:rsidRPr="000D48A3">
        <w:rPr>
          <w:rFonts w:ascii="Times New Roman" w:hAnsi="Times New Roman" w:cs="Times New Roman"/>
          <w:color w:val="000000"/>
          <w:lang w:eastAsia="lt-LT"/>
        </w:rPr>
        <w:t>metabolizuojančių</w:t>
      </w:r>
      <w:proofErr w:type="spellEnd"/>
      <w:r w:rsidRPr="000D48A3">
        <w:rPr>
          <w:rFonts w:ascii="Times New Roman" w:hAnsi="Times New Roman" w:cs="Times New Roman"/>
          <w:color w:val="000000"/>
          <w:lang w:eastAsia="lt-LT"/>
        </w:rPr>
        <w:t xml:space="preserve"> kepenų fermentų </w:t>
      </w:r>
      <w:proofErr w:type="spellStart"/>
      <w:r w:rsidRPr="000D48A3">
        <w:rPr>
          <w:rFonts w:ascii="Times New Roman" w:hAnsi="Times New Roman" w:cs="Times New Roman"/>
          <w:color w:val="000000"/>
          <w:lang w:eastAsia="lt-LT"/>
        </w:rPr>
        <w:t>autoindukcijos</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Pusiausvyrinės</w:t>
      </w:r>
      <w:proofErr w:type="spellEnd"/>
      <w:r w:rsidRPr="000D48A3">
        <w:rPr>
          <w:rFonts w:ascii="Times New Roman" w:hAnsi="Times New Roman" w:cs="Times New Roman"/>
          <w:color w:val="000000"/>
          <w:lang w:eastAsia="lt-LT"/>
        </w:rPr>
        <w:t xml:space="preserve"> apykaitos būklė nusistovi per 3–5 paras.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Bozentanas</w:t>
      </w:r>
      <w:proofErr w:type="spellEnd"/>
      <w:r w:rsidRPr="000D48A3">
        <w:rPr>
          <w:rFonts w:ascii="Times New Roman" w:hAnsi="Times New Roman" w:cs="Times New Roman"/>
          <w:color w:val="000000"/>
          <w:lang w:eastAsia="lt-LT"/>
        </w:rPr>
        <w:t xml:space="preserve"> po metabolizmo kepenyse P450 </w:t>
      </w:r>
      <w:proofErr w:type="spellStart"/>
      <w:r w:rsidRPr="000D48A3">
        <w:rPr>
          <w:rFonts w:ascii="Times New Roman" w:hAnsi="Times New Roman" w:cs="Times New Roman"/>
          <w:color w:val="000000"/>
          <w:lang w:eastAsia="lt-LT"/>
        </w:rPr>
        <w:t>izofermentais</w:t>
      </w:r>
      <w:proofErr w:type="spellEnd"/>
      <w:r w:rsidRPr="000D48A3">
        <w:rPr>
          <w:rFonts w:ascii="Times New Roman" w:hAnsi="Times New Roman" w:cs="Times New Roman"/>
          <w:color w:val="000000"/>
          <w:lang w:eastAsia="lt-LT"/>
        </w:rPr>
        <w:t xml:space="preserve"> CYP2C9 ir CYP3A4 šalinamas su tulžimi. Mažiau kaip 3% išgertos dozės išskiriama su šlapimu.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Iš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susiformuoja trys metabolitai, iš kurių tik vienas yra farmakologiškai aktyvus. Šis metabolitas daugiausia šalinamas nepakitęs su tulžimi. Suaugusiems pacientams ekspozicija aktyviu metabolitu yra didesnė nei sveikiems asmenims. Pacientams, kuriems yra tulžies stazės požymių, ekspozicija aktyviu metabolitu gali būti didesnė</w:t>
      </w:r>
      <w:r>
        <w:rPr>
          <w:rFonts w:ascii="Times New Roman" w:hAnsi="Times New Roman" w:cs="Times New Roman"/>
          <w:color w:val="000000"/>
          <w:lang w:eastAsia="lt-LT"/>
        </w:rPr>
        <w:t>.</w:t>
      </w:r>
      <w:r w:rsidRPr="000D48A3">
        <w:rPr>
          <w:rFonts w:ascii="Times New Roman" w:hAnsi="Times New Roman" w:cs="Times New Roman"/>
          <w:color w:val="000000"/>
          <w:lang w:eastAsia="lt-LT"/>
        </w:rPr>
        <w:t xml:space="preserve">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Bozentanas</w:t>
      </w:r>
      <w:proofErr w:type="spellEnd"/>
      <w:r w:rsidRPr="000D48A3">
        <w:rPr>
          <w:rFonts w:ascii="Times New Roman" w:hAnsi="Times New Roman" w:cs="Times New Roman"/>
          <w:color w:val="000000"/>
          <w:lang w:eastAsia="lt-LT"/>
        </w:rPr>
        <w:t xml:space="preserve"> yra CYP2C9 ir CYP3A4, ir tikriausiai CYP2C19 bei P-</w:t>
      </w:r>
      <w:proofErr w:type="spellStart"/>
      <w:r w:rsidRPr="000D48A3">
        <w:rPr>
          <w:rFonts w:ascii="Times New Roman" w:hAnsi="Times New Roman" w:cs="Times New Roman"/>
          <w:color w:val="000000"/>
          <w:lang w:eastAsia="lt-LT"/>
        </w:rPr>
        <w:t>glikoproteino</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induktorius</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i/>
          <w:iCs/>
          <w:color w:val="000000"/>
          <w:lang w:eastAsia="lt-LT"/>
        </w:rPr>
        <w:t>In</w:t>
      </w:r>
      <w:proofErr w:type="spellEnd"/>
      <w:r w:rsidRPr="000D48A3">
        <w:rPr>
          <w:rFonts w:ascii="Times New Roman" w:hAnsi="Times New Roman" w:cs="Times New Roman"/>
          <w:i/>
          <w:iCs/>
          <w:color w:val="000000"/>
          <w:lang w:eastAsia="lt-LT"/>
        </w:rPr>
        <w:t xml:space="preserve"> </w:t>
      </w:r>
      <w:proofErr w:type="spellStart"/>
      <w:r w:rsidRPr="000D48A3">
        <w:rPr>
          <w:rFonts w:ascii="Times New Roman" w:hAnsi="Times New Roman" w:cs="Times New Roman"/>
          <w:i/>
          <w:iCs/>
          <w:color w:val="000000"/>
          <w:lang w:eastAsia="lt-LT"/>
        </w:rPr>
        <w:t>vitro</w:t>
      </w:r>
      <w:proofErr w:type="spellEnd"/>
      <w:r w:rsidRPr="000D48A3">
        <w:rPr>
          <w:rFonts w:ascii="Times New Roman" w:hAnsi="Times New Roman" w:cs="Times New Roman"/>
          <w:color w:val="000000"/>
          <w:lang w:eastAsia="lt-LT"/>
        </w:rPr>
        <w:t xml:space="preserve">, kepenų ląstelių kultūrose </w:t>
      </w:r>
      <w:proofErr w:type="spellStart"/>
      <w:r w:rsidRPr="000D48A3">
        <w:rPr>
          <w:rFonts w:ascii="Times New Roman" w:hAnsi="Times New Roman" w:cs="Times New Roman"/>
          <w:color w:val="000000"/>
          <w:lang w:eastAsia="lt-LT"/>
        </w:rPr>
        <w:t>bozentanas</w:t>
      </w:r>
      <w:proofErr w:type="spellEnd"/>
      <w:r w:rsidRPr="000D48A3">
        <w:rPr>
          <w:rFonts w:ascii="Times New Roman" w:hAnsi="Times New Roman" w:cs="Times New Roman"/>
          <w:color w:val="000000"/>
          <w:lang w:eastAsia="lt-LT"/>
        </w:rPr>
        <w:t xml:space="preserve"> slopina tulžies druskų šalinimo siurblį.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i/>
          <w:iCs/>
          <w:color w:val="000000"/>
          <w:lang w:eastAsia="lt-LT"/>
        </w:rPr>
        <w:t>In</w:t>
      </w:r>
      <w:proofErr w:type="spellEnd"/>
      <w:r w:rsidRPr="000D48A3">
        <w:rPr>
          <w:rFonts w:ascii="Times New Roman" w:hAnsi="Times New Roman" w:cs="Times New Roman"/>
          <w:i/>
          <w:iCs/>
          <w:color w:val="000000"/>
          <w:lang w:eastAsia="lt-LT"/>
        </w:rPr>
        <w:t xml:space="preserve"> </w:t>
      </w:r>
      <w:proofErr w:type="spellStart"/>
      <w:r w:rsidRPr="000D48A3">
        <w:rPr>
          <w:rFonts w:ascii="Times New Roman" w:hAnsi="Times New Roman" w:cs="Times New Roman"/>
          <w:i/>
          <w:iCs/>
          <w:color w:val="000000"/>
          <w:lang w:eastAsia="lt-LT"/>
        </w:rPr>
        <w:t>vitro</w:t>
      </w:r>
      <w:proofErr w:type="spellEnd"/>
      <w:r w:rsidRPr="000D48A3">
        <w:rPr>
          <w:rFonts w:ascii="Times New Roman" w:hAnsi="Times New Roman" w:cs="Times New Roman"/>
          <w:i/>
          <w:iCs/>
          <w:color w:val="000000"/>
          <w:lang w:eastAsia="lt-LT"/>
        </w:rPr>
        <w:t xml:space="preserve"> </w:t>
      </w:r>
      <w:r w:rsidRPr="000D48A3">
        <w:rPr>
          <w:rFonts w:ascii="Times New Roman" w:hAnsi="Times New Roman" w:cs="Times New Roman"/>
          <w:color w:val="000000"/>
          <w:lang w:eastAsia="lt-LT"/>
        </w:rPr>
        <w:t xml:space="preserve">duomenys parodė, kad </w:t>
      </w:r>
      <w:proofErr w:type="spellStart"/>
      <w:r w:rsidRPr="000D48A3">
        <w:rPr>
          <w:rFonts w:ascii="Times New Roman" w:hAnsi="Times New Roman" w:cs="Times New Roman"/>
          <w:color w:val="000000"/>
          <w:lang w:eastAsia="lt-LT"/>
        </w:rPr>
        <w:t>bozentanas</w:t>
      </w:r>
      <w:proofErr w:type="spellEnd"/>
      <w:r w:rsidRPr="000D48A3">
        <w:rPr>
          <w:rFonts w:ascii="Times New Roman" w:hAnsi="Times New Roman" w:cs="Times New Roman"/>
          <w:color w:val="000000"/>
          <w:lang w:eastAsia="lt-LT"/>
        </w:rPr>
        <w:t xml:space="preserve"> neturėjo jokio svarbaus slopinamojo poveikio tikrintiems CYP </w:t>
      </w:r>
      <w:proofErr w:type="spellStart"/>
      <w:r w:rsidRPr="000D48A3">
        <w:rPr>
          <w:rFonts w:ascii="Times New Roman" w:hAnsi="Times New Roman" w:cs="Times New Roman"/>
          <w:color w:val="000000"/>
          <w:lang w:eastAsia="lt-LT"/>
        </w:rPr>
        <w:t>izofermentams</w:t>
      </w:r>
      <w:proofErr w:type="spellEnd"/>
      <w:r w:rsidRPr="000D48A3">
        <w:rPr>
          <w:rFonts w:ascii="Times New Roman" w:hAnsi="Times New Roman" w:cs="Times New Roman"/>
          <w:color w:val="000000"/>
          <w:lang w:eastAsia="lt-LT"/>
        </w:rPr>
        <w:t xml:space="preserve"> (CYP1A2, 2A6, 2B6, 2C8, 2C9, 2D6, 2E1, 3A4). Dėl šios priežasties </w:t>
      </w:r>
      <w:proofErr w:type="spellStart"/>
      <w:r w:rsidRPr="000D48A3">
        <w:rPr>
          <w:rFonts w:ascii="Times New Roman" w:hAnsi="Times New Roman" w:cs="Times New Roman"/>
          <w:color w:val="000000"/>
          <w:lang w:eastAsia="lt-LT"/>
        </w:rPr>
        <w:t>bozentanas</w:t>
      </w:r>
      <w:proofErr w:type="spellEnd"/>
      <w:r w:rsidRPr="000D48A3">
        <w:rPr>
          <w:rFonts w:ascii="Times New Roman" w:hAnsi="Times New Roman" w:cs="Times New Roman"/>
          <w:color w:val="000000"/>
          <w:lang w:eastAsia="lt-LT"/>
        </w:rPr>
        <w:t xml:space="preserve"> neturėtų didinti šių </w:t>
      </w:r>
      <w:proofErr w:type="spellStart"/>
      <w:r w:rsidRPr="000D48A3">
        <w:rPr>
          <w:rFonts w:ascii="Times New Roman" w:hAnsi="Times New Roman" w:cs="Times New Roman"/>
          <w:color w:val="000000"/>
          <w:lang w:eastAsia="lt-LT"/>
        </w:rPr>
        <w:t>izofermentų</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metabolizuojamų</w:t>
      </w:r>
      <w:proofErr w:type="spellEnd"/>
      <w:r w:rsidRPr="000D48A3">
        <w:rPr>
          <w:rFonts w:ascii="Times New Roman" w:hAnsi="Times New Roman" w:cs="Times New Roman"/>
          <w:color w:val="000000"/>
          <w:lang w:eastAsia="lt-LT"/>
        </w:rPr>
        <w:t xml:space="preserve"> vaistinių preparatų koncentracijos plazmoje. </w:t>
      </w:r>
    </w:p>
    <w:p w:rsidR="00A4103A" w:rsidRPr="000D48A3" w:rsidRDefault="00A4103A" w:rsidP="00A4103A">
      <w:pPr>
        <w:autoSpaceDE w:val="0"/>
        <w:autoSpaceDN w:val="0"/>
        <w:adjustRightInd w:val="0"/>
        <w:spacing w:after="0" w:line="240" w:lineRule="auto"/>
        <w:rPr>
          <w:rFonts w:ascii="Times New Roman" w:hAnsi="Times New Roman" w:cs="Times New Roman"/>
          <w:i/>
          <w:iCs/>
          <w:color w:val="000000"/>
          <w:u w:val="single"/>
          <w:lang w:eastAsia="lt-LT"/>
        </w:rPr>
      </w:pPr>
    </w:p>
    <w:p w:rsidR="00A4103A" w:rsidRPr="001F401C"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432133">
        <w:rPr>
          <w:rFonts w:ascii="Times New Roman" w:hAnsi="Times New Roman" w:cs="Times New Roman"/>
          <w:color w:val="000000"/>
          <w:u w:val="single"/>
          <w:lang w:eastAsia="lt-LT"/>
        </w:rPr>
        <w:t xml:space="preserve">Ypatingos populiacijos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lastRenderedPageBreak/>
        <w:t xml:space="preserve">Remiantis ištirta kiekvieno kintamojo grupe nepanašu, kad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farmakokinetikai</w:t>
      </w:r>
      <w:proofErr w:type="spellEnd"/>
      <w:r w:rsidRPr="000D48A3">
        <w:rPr>
          <w:rFonts w:ascii="Times New Roman" w:hAnsi="Times New Roman" w:cs="Times New Roman"/>
          <w:color w:val="000000"/>
          <w:lang w:eastAsia="lt-LT"/>
        </w:rPr>
        <w:t xml:space="preserve"> darytų kokią nors įtaką lytis, kūno svoris, rasė ar amžius suaugusiųjų populiacijoje. Apie poveikį vaikams, jaunesniems, kaip 2 metų, </w:t>
      </w:r>
      <w:proofErr w:type="spellStart"/>
      <w:r w:rsidRPr="000D48A3">
        <w:rPr>
          <w:rFonts w:ascii="Times New Roman" w:hAnsi="Times New Roman" w:cs="Times New Roman"/>
          <w:color w:val="000000"/>
          <w:lang w:eastAsia="lt-LT"/>
        </w:rPr>
        <w:t>farmakokinetikos</w:t>
      </w:r>
      <w:proofErr w:type="spellEnd"/>
      <w:r w:rsidRPr="000D48A3">
        <w:rPr>
          <w:rFonts w:ascii="Times New Roman" w:hAnsi="Times New Roman" w:cs="Times New Roman"/>
          <w:color w:val="000000"/>
          <w:lang w:eastAsia="lt-LT"/>
        </w:rPr>
        <w:t xml:space="preserve"> duomenų nėra. </w:t>
      </w:r>
    </w:p>
    <w:p w:rsidR="00A4103A" w:rsidRPr="000D48A3" w:rsidRDefault="00A4103A" w:rsidP="00A4103A">
      <w:pPr>
        <w:spacing w:after="0" w:line="240" w:lineRule="auto"/>
        <w:rPr>
          <w:rFonts w:ascii="Times New Roman" w:hAnsi="Times New Roman" w:cs="Times New Roman"/>
          <w:lang w:eastAsia="lt-LT"/>
        </w:rPr>
      </w:pPr>
    </w:p>
    <w:p w:rsidR="00A4103A" w:rsidRPr="001F401C" w:rsidRDefault="00A4103A" w:rsidP="00A4103A">
      <w:pPr>
        <w:spacing w:after="0" w:line="240" w:lineRule="auto"/>
        <w:rPr>
          <w:rFonts w:ascii="Times New Roman" w:hAnsi="Times New Roman" w:cs="Times New Roman"/>
          <w:i/>
          <w:iCs/>
          <w:u w:val="single"/>
          <w:lang w:eastAsia="lt-LT"/>
        </w:rPr>
      </w:pPr>
      <w:r w:rsidRPr="001F401C">
        <w:rPr>
          <w:rFonts w:ascii="Times New Roman" w:hAnsi="Times New Roman" w:cs="Times New Roman"/>
          <w:i/>
          <w:iCs/>
          <w:u w:val="single"/>
          <w:lang w:eastAsia="lt-LT"/>
        </w:rPr>
        <w:t>Vaikų populiacija</w:t>
      </w:r>
    </w:p>
    <w:p w:rsidR="00A4103A" w:rsidRPr="000D48A3" w:rsidRDefault="00A4103A" w:rsidP="00A4103A">
      <w:pPr>
        <w:spacing w:after="0" w:line="240" w:lineRule="auto"/>
        <w:rPr>
          <w:rFonts w:ascii="Times New Roman" w:hAnsi="Times New Roman" w:cs="Times New Roman"/>
          <w:lang w:eastAsia="lt-LT"/>
        </w:rPr>
      </w:pPr>
      <w:r w:rsidRPr="000D48A3">
        <w:rPr>
          <w:rFonts w:ascii="Times New Roman" w:hAnsi="Times New Roman" w:cs="Times New Roman"/>
          <w:lang w:eastAsia="lt-LT"/>
        </w:rPr>
        <w:t xml:space="preserve">Buvo tirta vienkartinės ir pakartotinai geriamų dozių </w:t>
      </w:r>
      <w:proofErr w:type="spellStart"/>
      <w:r w:rsidRPr="000D48A3">
        <w:rPr>
          <w:rFonts w:ascii="Times New Roman" w:hAnsi="Times New Roman" w:cs="Times New Roman"/>
          <w:lang w:eastAsia="lt-LT"/>
        </w:rPr>
        <w:t>farmakokinetika</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plautine</w:t>
      </w:r>
      <w:proofErr w:type="spellEnd"/>
      <w:r w:rsidRPr="000D48A3">
        <w:rPr>
          <w:rFonts w:ascii="Times New Roman" w:hAnsi="Times New Roman" w:cs="Times New Roman"/>
          <w:lang w:eastAsia="lt-LT"/>
        </w:rPr>
        <w:t xml:space="preserve"> hipertenzija sergantiems pediatriniams pacientams, kuriems dozavimas buvo pagrįstas kūno svoriu (žr. 5.1 skyrių, AC-052-356 [BREATHE-3]). Ekspozicija </w:t>
      </w:r>
      <w:proofErr w:type="spellStart"/>
      <w:r w:rsidRPr="000D48A3">
        <w:rPr>
          <w:rFonts w:ascii="Times New Roman" w:hAnsi="Times New Roman" w:cs="Times New Roman"/>
          <w:lang w:eastAsia="lt-LT"/>
        </w:rPr>
        <w:t>bozentanu</w:t>
      </w:r>
      <w:proofErr w:type="spellEnd"/>
      <w:r w:rsidRPr="000D48A3">
        <w:rPr>
          <w:rFonts w:ascii="Times New Roman" w:hAnsi="Times New Roman" w:cs="Times New Roman"/>
          <w:lang w:eastAsia="lt-LT"/>
        </w:rPr>
        <w:t xml:space="preserve"> su laiku mažėjo tam tikru mastu, atitinkančiu žinomas </w:t>
      </w:r>
      <w:proofErr w:type="spellStart"/>
      <w:r w:rsidRPr="000D48A3">
        <w:rPr>
          <w:rFonts w:ascii="Times New Roman" w:hAnsi="Times New Roman" w:cs="Times New Roman"/>
          <w:lang w:eastAsia="lt-LT"/>
        </w:rPr>
        <w:t>bozentano</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autoindukcijos</w:t>
      </w:r>
      <w:proofErr w:type="spellEnd"/>
      <w:r w:rsidRPr="000D48A3">
        <w:rPr>
          <w:rFonts w:ascii="Times New Roman" w:hAnsi="Times New Roman" w:cs="Times New Roman"/>
          <w:lang w:eastAsia="lt-LT"/>
        </w:rPr>
        <w:t xml:space="preserve"> savybes. Vidutinės </w:t>
      </w:r>
      <w:proofErr w:type="spellStart"/>
      <w:r w:rsidRPr="000D48A3">
        <w:rPr>
          <w:rFonts w:ascii="Times New Roman" w:hAnsi="Times New Roman" w:cs="Times New Roman"/>
          <w:lang w:eastAsia="lt-LT"/>
        </w:rPr>
        <w:t>bozentano</w:t>
      </w:r>
      <w:proofErr w:type="spellEnd"/>
      <w:r w:rsidRPr="000D48A3">
        <w:rPr>
          <w:rFonts w:ascii="Times New Roman" w:hAnsi="Times New Roman" w:cs="Times New Roman"/>
          <w:lang w:eastAsia="lt-LT"/>
        </w:rPr>
        <w:t xml:space="preserve"> AUC (CV%) reikšmės pediatriniams pacientams, gydomiems 31,25; 62,5 ar 125 mg doze, vartojama du kartus per parą, buvo atitinkamai 3496 (49), 5428 (79), ir 6124 (27) </w:t>
      </w:r>
      <w:proofErr w:type="spellStart"/>
      <w:r w:rsidRPr="000D48A3">
        <w:rPr>
          <w:rFonts w:ascii="Times New Roman" w:hAnsi="Times New Roman" w:cs="Times New Roman"/>
          <w:lang w:eastAsia="lt-LT"/>
        </w:rPr>
        <w:t>ng·val</w:t>
      </w:r>
      <w:proofErr w:type="spellEnd"/>
      <w:r>
        <w:rPr>
          <w:rFonts w:ascii="Times New Roman" w:hAnsi="Times New Roman" w:cs="Times New Roman"/>
          <w:lang w:eastAsia="lt-LT"/>
        </w:rPr>
        <w:t>.</w:t>
      </w:r>
      <w:r w:rsidRPr="000D48A3">
        <w:rPr>
          <w:rFonts w:ascii="Times New Roman" w:hAnsi="Times New Roman" w:cs="Times New Roman"/>
          <w:lang w:eastAsia="lt-LT"/>
        </w:rPr>
        <w:t xml:space="preserve">/ml, bei buvo mažesnės nei 8149 (47) </w:t>
      </w:r>
      <w:proofErr w:type="spellStart"/>
      <w:r w:rsidRPr="000D48A3">
        <w:rPr>
          <w:rFonts w:ascii="Times New Roman" w:hAnsi="Times New Roman" w:cs="Times New Roman"/>
          <w:lang w:eastAsia="lt-LT"/>
        </w:rPr>
        <w:t>ng·val</w:t>
      </w:r>
      <w:proofErr w:type="spellEnd"/>
      <w:r>
        <w:rPr>
          <w:rFonts w:ascii="Times New Roman" w:hAnsi="Times New Roman" w:cs="Times New Roman"/>
          <w:lang w:eastAsia="lt-LT"/>
        </w:rPr>
        <w:t>.</w:t>
      </w:r>
      <w:r w:rsidRPr="000D48A3">
        <w:rPr>
          <w:rFonts w:ascii="Times New Roman" w:hAnsi="Times New Roman" w:cs="Times New Roman"/>
          <w:lang w:eastAsia="lt-LT"/>
        </w:rPr>
        <w:t xml:space="preserve">/ml reikšmė, nustatyta suaugusiems </w:t>
      </w:r>
      <w:proofErr w:type="spellStart"/>
      <w:r w:rsidRPr="000D48A3">
        <w:rPr>
          <w:rFonts w:ascii="Times New Roman" w:hAnsi="Times New Roman" w:cs="Times New Roman"/>
          <w:lang w:eastAsia="lt-LT"/>
        </w:rPr>
        <w:t>plautine</w:t>
      </w:r>
      <w:proofErr w:type="spellEnd"/>
      <w:r w:rsidRPr="000D48A3">
        <w:rPr>
          <w:rFonts w:ascii="Times New Roman" w:hAnsi="Times New Roman" w:cs="Times New Roman"/>
          <w:lang w:eastAsia="lt-LT"/>
        </w:rPr>
        <w:t xml:space="preserve"> hipertenzija sergantiems pacientams, vartojant 125 mg dozę du kartus per parą. Esant </w:t>
      </w:r>
      <w:proofErr w:type="spellStart"/>
      <w:r w:rsidRPr="000D48A3">
        <w:rPr>
          <w:rFonts w:ascii="Times New Roman" w:hAnsi="Times New Roman" w:cs="Times New Roman"/>
          <w:lang w:eastAsia="lt-LT"/>
        </w:rPr>
        <w:t>pusiausvyrinei</w:t>
      </w:r>
      <w:proofErr w:type="spellEnd"/>
      <w:r w:rsidRPr="000D48A3">
        <w:rPr>
          <w:rFonts w:ascii="Times New Roman" w:hAnsi="Times New Roman" w:cs="Times New Roman"/>
          <w:lang w:eastAsia="lt-LT"/>
        </w:rPr>
        <w:t xml:space="preserve"> apykaitai sisteminė ekspozicija pediatriniams pacientams, sveriantiems 10–20 kg, 20–40 kg ir &gt; 40 kg buvo atitinkamai 43 %, 67 % ir 75 %, palyginti su sistemine ekspozicija suaugusiems pacientams. </w:t>
      </w:r>
    </w:p>
    <w:p w:rsidR="00A4103A" w:rsidRPr="000D48A3" w:rsidRDefault="00A4103A" w:rsidP="00A4103A">
      <w:pPr>
        <w:spacing w:after="0" w:line="240" w:lineRule="auto"/>
        <w:rPr>
          <w:rFonts w:ascii="Times New Roman" w:hAnsi="Times New Roman" w:cs="Times New Roman"/>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Kito </w:t>
      </w:r>
      <w:proofErr w:type="spellStart"/>
      <w:r w:rsidRPr="000D48A3">
        <w:rPr>
          <w:rFonts w:ascii="Times New Roman" w:hAnsi="Times New Roman" w:cs="Times New Roman"/>
          <w:color w:val="000000"/>
          <w:lang w:eastAsia="lt-LT"/>
        </w:rPr>
        <w:t>farmakokinetikos</w:t>
      </w:r>
      <w:proofErr w:type="spellEnd"/>
      <w:r w:rsidRPr="000D48A3">
        <w:rPr>
          <w:rFonts w:ascii="Times New Roman" w:hAnsi="Times New Roman" w:cs="Times New Roman"/>
          <w:color w:val="000000"/>
          <w:lang w:eastAsia="lt-LT"/>
        </w:rPr>
        <w:t xml:space="preserve"> tyrimo (AC-052-365 [FUTURE 1]) metu PAH sergantys 36 vaikai, kurių amžius 2–11 metų, buvo gydomi 2 ir 4 mg/kg kūno svorio dozėmis, kurias vartojo du kartus per parą disperguojamųjų tablečių forma. Proporcingumo dozei nepastebėta. Esant </w:t>
      </w:r>
      <w:proofErr w:type="spellStart"/>
      <w:r w:rsidRPr="000D48A3">
        <w:rPr>
          <w:rFonts w:ascii="Times New Roman" w:hAnsi="Times New Roman" w:cs="Times New Roman"/>
          <w:color w:val="000000"/>
          <w:lang w:eastAsia="lt-LT"/>
        </w:rPr>
        <w:t>pusiausvyrinei</w:t>
      </w:r>
      <w:proofErr w:type="spellEnd"/>
      <w:r w:rsidRPr="000D48A3">
        <w:rPr>
          <w:rFonts w:ascii="Times New Roman" w:hAnsi="Times New Roman" w:cs="Times New Roman"/>
          <w:color w:val="000000"/>
          <w:lang w:eastAsia="lt-LT"/>
        </w:rPr>
        <w:t xml:space="preserve"> apykaitai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koncentracijos plazmoje per burną vartojant 2 ir 4 mg/kg kūno svorio dozes buvo panašios. </w:t>
      </w:r>
      <w:proofErr w:type="spellStart"/>
      <w:r w:rsidRPr="000D48A3">
        <w:rPr>
          <w:rFonts w:ascii="Times New Roman" w:hAnsi="Times New Roman" w:cs="Times New Roman"/>
          <w:color w:val="000000"/>
          <w:lang w:eastAsia="lt-LT"/>
        </w:rPr>
        <w:t>AUCτ</w:t>
      </w:r>
      <w:proofErr w:type="spellEnd"/>
      <w:r w:rsidRPr="000D48A3">
        <w:rPr>
          <w:rFonts w:ascii="Times New Roman" w:hAnsi="Times New Roman" w:cs="Times New Roman"/>
          <w:color w:val="000000"/>
          <w:lang w:eastAsia="lt-LT"/>
        </w:rPr>
        <w:t xml:space="preserve"> buvo 3577 </w:t>
      </w:r>
      <w:proofErr w:type="spellStart"/>
      <w:r w:rsidRPr="000D48A3">
        <w:rPr>
          <w:rFonts w:ascii="Times New Roman" w:hAnsi="Times New Roman" w:cs="Times New Roman"/>
          <w:color w:val="000000"/>
          <w:lang w:eastAsia="lt-LT"/>
        </w:rPr>
        <w:t>ng·val</w:t>
      </w:r>
      <w:proofErr w:type="spellEnd"/>
      <w:r w:rsidRPr="000D48A3">
        <w:rPr>
          <w:rFonts w:ascii="Times New Roman" w:hAnsi="Times New Roman" w:cs="Times New Roman"/>
          <w:color w:val="000000"/>
          <w:lang w:eastAsia="lt-LT"/>
        </w:rPr>
        <w:t xml:space="preserve">./ml vartojant 2 mg/kg kūno svorio du kartus per parą ir 3371 </w:t>
      </w:r>
      <w:proofErr w:type="spellStart"/>
      <w:r w:rsidRPr="000D48A3">
        <w:rPr>
          <w:rFonts w:ascii="Times New Roman" w:hAnsi="Times New Roman" w:cs="Times New Roman"/>
          <w:color w:val="000000"/>
          <w:lang w:eastAsia="lt-LT"/>
        </w:rPr>
        <w:t>ng·val</w:t>
      </w:r>
      <w:proofErr w:type="spellEnd"/>
      <w:r>
        <w:rPr>
          <w:rFonts w:ascii="Times New Roman" w:hAnsi="Times New Roman" w:cs="Times New Roman"/>
          <w:color w:val="000000"/>
          <w:lang w:eastAsia="lt-LT"/>
        </w:rPr>
        <w:t>.</w:t>
      </w:r>
      <w:r w:rsidRPr="000D48A3">
        <w:rPr>
          <w:rFonts w:ascii="Times New Roman" w:hAnsi="Times New Roman" w:cs="Times New Roman"/>
          <w:color w:val="000000"/>
          <w:lang w:eastAsia="lt-LT"/>
        </w:rPr>
        <w:t xml:space="preserve">/ml vartojant 4 mg/kg kūno svorio du kartus per parą. Vartojant 125 mg du kartus per parą palaikomąją dozę, vidutinė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ekspozicija vaikams buvo maždaug dvigubai mažesnė, negu suaugusiesiems, bet daugeliu atvejų sutapo su ekspozicija suaugusiesiems. Remiantis tyrimų BREATHE-3 ir FUTURE 1 duomenimis manoma, kad ekspozicija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vaikams stabilizuojasi vartojant mažesnes dozes, negu suaugusiesiems, ir kad vartojant didesnes nei 2 mg/kg kūno svorio dozes dukart per parą, ekspozicija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vaikų organizme nepadidėja.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Šių duomenų svarba dėl toksinio poveikio kepenims nežinoma. Lytis ir intraveninio </w:t>
      </w:r>
      <w:proofErr w:type="spellStart"/>
      <w:r w:rsidRPr="000D48A3">
        <w:rPr>
          <w:rFonts w:ascii="Times New Roman" w:hAnsi="Times New Roman" w:cs="Times New Roman"/>
          <w:color w:val="000000"/>
          <w:lang w:eastAsia="lt-LT"/>
        </w:rPr>
        <w:t>epoprostenolio</w:t>
      </w:r>
      <w:proofErr w:type="spellEnd"/>
      <w:r w:rsidRPr="000D48A3">
        <w:rPr>
          <w:rFonts w:ascii="Times New Roman" w:hAnsi="Times New Roman" w:cs="Times New Roman"/>
          <w:color w:val="000000"/>
          <w:lang w:eastAsia="lt-LT"/>
        </w:rPr>
        <w:t xml:space="preserve"> vartojimas tuo pačiu laiku reikšmingos įtakos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farmakokinetikai</w:t>
      </w:r>
      <w:proofErr w:type="spellEnd"/>
      <w:r w:rsidRPr="000D48A3">
        <w:rPr>
          <w:rFonts w:ascii="Times New Roman" w:hAnsi="Times New Roman" w:cs="Times New Roman"/>
          <w:color w:val="000000"/>
          <w:lang w:eastAsia="lt-LT"/>
        </w:rPr>
        <w:t xml:space="preserve"> nedarė.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u w:val="single"/>
          <w:lang w:eastAsia="lt-LT"/>
        </w:rPr>
      </w:pPr>
      <w:r w:rsidRPr="000D48A3">
        <w:rPr>
          <w:rFonts w:ascii="Times New Roman" w:hAnsi="Times New Roman" w:cs="Times New Roman"/>
          <w:color w:val="000000"/>
          <w:u w:val="single"/>
          <w:lang w:eastAsia="lt-LT"/>
        </w:rPr>
        <w:t>Sutrikusi kepenų funkcija</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Pacientams, kuriems yra nedidelis kepenų funkcijos sutrikimas (A klasės pagal </w:t>
      </w:r>
      <w:proofErr w:type="spellStart"/>
      <w:r w:rsidRPr="000D48A3">
        <w:rPr>
          <w:rFonts w:ascii="Times New Roman" w:hAnsi="Times New Roman" w:cs="Times New Roman"/>
          <w:color w:val="000000"/>
          <w:lang w:eastAsia="lt-LT"/>
        </w:rPr>
        <w:t>Child-Pugh</w:t>
      </w:r>
      <w:proofErr w:type="spellEnd"/>
      <w:r w:rsidRPr="000D48A3">
        <w:rPr>
          <w:rFonts w:ascii="Times New Roman" w:hAnsi="Times New Roman" w:cs="Times New Roman"/>
          <w:color w:val="000000"/>
          <w:lang w:eastAsia="lt-LT"/>
        </w:rPr>
        <w:t xml:space="preserve">), jokių svarbių </w:t>
      </w:r>
      <w:proofErr w:type="spellStart"/>
      <w:r w:rsidRPr="000D48A3">
        <w:rPr>
          <w:rFonts w:ascii="Times New Roman" w:hAnsi="Times New Roman" w:cs="Times New Roman"/>
          <w:color w:val="000000"/>
          <w:lang w:eastAsia="lt-LT"/>
        </w:rPr>
        <w:t>farmakokinetikos</w:t>
      </w:r>
      <w:proofErr w:type="spellEnd"/>
      <w:r w:rsidRPr="000D48A3">
        <w:rPr>
          <w:rFonts w:ascii="Times New Roman" w:hAnsi="Times New Roman" w:cs="Times New Roman"/>
          <w:color w:val="000000"/>
          <w:lang w:eastAsia="lt-LT"/>
        </w:rPr>
        <w:t xml:space="preserve"> pokyčių nepastebėta. </w:t>
      </w:r>
      <w:proofErr w:type="spellStart"/>
      <w:r w:rsidRPr="000D48A3">
        <w:rPr>
          <w:rFonts w:ascii="Times New Roman" w:hAnsi="Times New Roman" w:cs="Times New Roman"/>
          <w:color w:val="000000"/>
          <w:lang w:eastAsia="lt-LT"/>
        </w:rPr>
        <w:t>Pusiausvyrinės</w:t>
      </w:r>
      <w:proofErr w:type="spellEnd"/>
      <w:r w:rsidRPr="000D48A3">
        <w:rPr>
          <w:rFonts w:ascii="Times New Roman" w:hAnsi="Times New Roman" w:cs="Times New Roman"/>
          <w:color w:val="000000"/>
          <w:lang w:eastAsia="lt-LT"/>
        </w:rPr>
        <w:t xml:space="preserve"> apykaitos sąlygomis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AUC buvo 9</w:t>
      </w:r>
      <w:r w:rsidR="00BF42DE">
        <w:rPr>
          <w:rFonts w:ascii="Times New Roman" w:hAnsi="Times New Roman" w:cs="Times New Roman"/>
          <w:color w:val="000000"/>
          <w:lang w:eastAsia="lt-LT"/>
        </w:rPr>
        <w:t> </w:t>
      </w:r>
      <w:r w:rsidRPr="000D48A3">
        <w:rPr>
          <w:rFonts w:ascii="Times New Roman" w:hAnsi="Times New Roman" w:cs="Times New Roman"/>
          <w:color w:val="000000"/>
          <w:lang w:eastAsia="lt-LT"/>
        </w:rPr>
        <w:t xml:space="preserve">% ir aktyvaus metabolito </w:t>
      </w:r>
      <w:proofErr w:type="spellStart"/>
      <w:r w:rsidRPr="000D48A3">
        <w:rPr>
          <w:rFonts w:ascii="Times New Roman" w:hAnsi="Times New Roman" w:cs="Times New Roman"/>
          <w:color w:val="000000"/>
          <w:lang w:eastAsia="lt-LT"/>
        </w:rPr>
        <w:t>Ro</w:t>
      </w:r>
      <w:proofErr w:type="spellEnd"/>
      <w:r w:rsidRPr="000D48A3">
        <w:rPr>
          <w:rFonts w:ascii="Times New Roman" w:hAnsi="Times New Roman" w:cs="Times New Roman"/>
          <w:color w:val="000000"/>
          <w:lang w:eastAsia="lt-LT"/>
        </w:rPr>
        <w:t xml:space="preserve"> 48-5033 AUC – 33</w:t>
      </w:r>
      <w:r w:rsidR="00BF42DE">
        <w:rPr>
          <w:rFonts w:ascii="Times New Roman" w:hAnsi="Times New Roman" w:cs="Times New Roman"/>
          <w:color w:val="000000"/>
          <w:lang w:eastAsia="lt-LT"/>
        </w:rPr>
        <w:t> </w:t>
      </w:r>
      <w:r w:rsidRPr="000D48A3">
        <w:rPr>
          <w:rFonts w:ascii="Times New Roman" w:hAnsi="Times New Roman" w:cs="Times New Roman"/>
          <w:color w:val="000000"/>
          <w:lang w:eastAsia="lt-LT"/>
        </w:rPr>
        <w:t xml:space="preserve">% didesnė pacientams, kuriems yra nedidelis kepenų funkcijos sutrikimas, nei sveikiems savanoriams.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Pacientams, kuriems yra B ar C klasės pagal </w:t>
      </w:r>
      <w:proofErr w:type="spellStart"/>
      <w:r w:rsidRPr="000D48A3">
        <w:rPr>
          <w:rFonts w:ascii="Times New Roman" w:hAnsi="Times New Roman" w:cs="Times New Roman"/>
          <w:color w:val="000000"/>
          <w:lang w:eastAsia="lt-LT"/>
        </w:rPr>
        <w:t>Child-Pugh</w:t>
      </w:r>
      <w:proofErr w:type="spellEnd"/>
      <w:r w:rsidRPr="000D48A3">
        <w:rPr>
          <w:rFonts w:ascii="Times New Roman" w:hAnsi="Times New Roman" w:cs="Times New Roman"/>
          <w:color w:val="000000"/>
          <w:lang w:eastAsia="lt-LT"/>
        </w:rPr>
        <w:t xml:space="preserve"> kepenų funkcijos sutrikimas,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farmakokinetika</w:t>
      </w:r>
      <w:proofErr w:type="spellEnd"/>
      <w:r w:rsidRPr="000D48A3">
        <w:rPr>
          <w:rFonts w:ascii="Times New Roman" w:hAnsi="Times New Roman" w:cs="Times New Roman"/>
          <w:color w:val="000000"/>
          <w:lang w:eastAsia="lt-LT"/>
        </w:rPr>
        <w:t xml:space="preserve"> netirta, todėl šios populiacijos pacientams </w:t>
      </w:r>
      <w:proofErr w:type="spellStart"/>
      <w:r w:rsidRPr="000D48A3">
        <w:rPr>
          <w:rFonts w:ascii="Times New Roman" w:hAnsi="Times New Roman" w:cs="Times New Roman"/>
          <w:color w:val="000000"/>
          <w:lang w:eastAsia="lt-LT"/>
        </w:rPr>
        <w:t>Bosentan</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Sandoz</w:t>
      </w:r>
      <w:proofErr w:type="spellEnd"/>
      <w:r w:rsidRPr="000D48A3">
        <w:rPr>
          <w:rFonts w:ascii="Times New Roman" w:hAnsi="Times New Roman" w:cs="Times New Roman"/>
          <w:color w:val="000000"/>
          <w:lang w:eastAsia="lt-LT"/>
        </w:rPr>
        <w:t xml:space="preserve"> vartoti draudžiama (žr. 4.3 skyrių).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u w:val="single"/>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u w:val="single"/>
          <w:lang w:eastAsia="lt-LT"/>
        </w:rPr>
      </w:pPr>
      <w:r w:rsidRPr="000D48A3">
        <w:rPr>
          <w:rFonts w:ascii="Times New Roman" w:hAnsi="Times New Roman" w:cs="Times New Roman"/>
          <w:color w:val="000000"/>
          <w:u w:val="single"/>
          <w:lang w:eastAsia="lt-LT"/>
        </w:rPr>
        <w:t>Sutrikusi inkstų funkcija</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Pacientams, kuriems yra sunkus inkstų funkcijos sutrikimas (</w:t>
      </w:r>
      <w:proofErr w:type="spellStart"/>
      <w:r w:rsidRPr="000D48A3">
        <w:rPr>
          <w:rFonts w:ascii="Times New Roman" w:hAnsi="Times New Roman" w:cs="Times New Roman"/>
          <w:color w:val="000000"/>
          <w:lang w:eastAsia="lt-LT"/>
        </w:rPr>
        <w:t>kreatinino</w:t>
      </w:r>
      <w:proofErr w:type="spellEnd"/>
      <w:r w:rsidRPr="000D48A3">
        <w:rPr>
          <w:rFonts w:ascii="Times New Roman" w:hAnsi="Times New Roman" w:cs="Times New Roman"/>
          <w:color w:val="000000"/>
          <w:lang w:eastAsia="lt-LT"/>
        </w:rPr>
        <w:t xml:space="preserve"> klirensas 15–30 ml/min.),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koncentracija plazmoje sumažėjo maždaug 10</w:t>
      </w:r>
      <w:r>
        <w:rPr>
          <w:rFonts w:ascii="Times New Roman" w:hAnsi="Times New Roman" w:cs="Times New Roman"/>
          <w:color w:val="000000"/>
          <w:lang w:eastAsia="lt-LT"/>
        </w:rPr>
        <w:t xml:space="preserve"> </w:t>
      </w:r>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metabolitų koncentracijos plazmoje šiems pacientams padidėjo maždaug 2 kartus, palyginti su asmenimis, kurių inkstų funkcija normali. Pacientams, kurių inkstų funkcija sutrikusi, dozės priderinti nereikia. Specialios klinikinės patirties pacientams, kuriems atliekama dializė, nėra. Remiantis fizik</w:t>
      </w:r>
      <w:r>
        <w:rPr>
          <w:rFonts w:ascii="Times New Roman" w:hAnsi="Times New Roman" w:cs="Times New Roman"/>
          <w:color w:val="000000"/>
          <w:lang w:eastAsia="lt-LT"/>
        </w:rPr>
        <w:t xml:space="preserve">inėmis ir </w:t>
      </w:r>
      <w:r w:rsidRPr="000D48A3">
        <w:rPr>
          <w:rFonts w:ascii="Times New Roman" w:hAnsi="Times New Roman" w:cs="Times New Roman"/>
          <w:color w:val="000000"/>
          <w:lang w:eastAsia="lt-LT"/>
        </w:rPr>
        <w:t xml:space="preserve">cheminėmis savybėmis ir didelio </w:t>
      </w:r>
      <w:r w:rsidRPr="000D48A3">
        <w:rPr>
          <w:rFonts w:ascii="Times New Roman" w:hAnsi="Times New Roman" w:cs="Times New Roman"/>
          <w:color w:val="000000"/>
          <w:lang w:eastAsia="lt-LT"/>
        </w:rPr>
        <w:lastRenderedPageBreak/>
        <w:t xml:space="preserve">laipsnio prisijungimu prie baltymų manoma, kad </w:t>
      </w: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šalin</w:t>
      </w:r>
      <w:r>
        <w:rPr>
          <w:rFonts w:ascii="Times New Roman" w:hAnsi="Times New Roman" w:cs="Times New Roman"/>
          <w:color w:val="000000"/>
          <w:lang w:eastAsia="lt-LT"/>
        </w:rPr>
        <w:t>i</w:t>
      </w:r>
      <w:r w:rsidRPr="000D48A3">
        <w:rPr>
          <w:rFonts w:ascii="Times New Roman" w:hAnsi="Times New Roman" w:cs="Times New Roman"/>
          <w:color w:val="000000"/>
          <w:lang w:eastAsia="lt-LT"/>
        </w:rPr>
        <w:t xml:space="preserve">mas iš kraujotakos dialize negalimas jokiu reikšmingu laipsniu (žr. 4.2 skyrių).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b/>
          <w:bCs/>
          <w:color w:val="000000"/>
          <w:lang w:eastAsia="lt-LT"/>
        </w:rPr>
        <w:t>5.3</w:t>
      </w:r>
      <w:r w:rsidRPr="000D48A3">
        <w:rPr>
          <w:rFonts w:ascii="Times New Roman" w:hAnsi="Times New Roman" w:cs="Times New Roman"/>
          <w:b/>
          <w:bCs/>
          <w:color w:val="000000"/>
          <w:lang w:eastAsia="lt-LT"/>
        </w:rPr>
        <w:tab/>
      </w:r>
      <w:proofErr w:type="spellStart"/>
      <w:r w:rsidRPr="000D48A3">
        <w:rPr>
          <w:rFonts w:ascii="Times New Roman" w:hAnsi="Times New Roman" w:cs="Times New Roman"/>
          <w:b/>
          <w:bCs/>
          <w:color w:val="000000"/>
          <w:lang w:eastAsia="lt-LT"/>
        </w:rPr>
        <w:t>Ikiklinikinių</w:t>
      </w:r>
      <w:proofErr w:type="spellEnd"/>
      <w:r w:rsidRPr="000D48A3">
        <w:rPr>
          <w:rFonts w:ascii="Times New Roman" w:hAnsi="Times New Roman" w:cs="Times New Roman"/>
          <w:b/>
          <w:bCs/>
          <w:color w:val="000000"/>
          <w:lang w:eastAsia="lt-LT"/>
        </w:rPr>
        <w:t xml:space="preserve"> saugumo tyrimų duomenys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2 metų </w:t>
      </w:r>
      <w:proofErr w:type="spellStart"/>
      <w:r w:rsidRPr="000D48A3">
        <w:rPr>
          <w:rFonts w:ascii="Times New Roman" w:hAnsi="Times New Roman" w:cs="Times New Roman"/>
          <w:color w:val="000000"/>
          <w:lang w:eastAsia="lt-LT"/>
        </w:rPr>
        <w:t>kancerogeniškumo</w:t>
      </w:r>
      <w:proofErr w:type="spellEnd"/>
      <w:r w:rsidRPr="000D48A3">
        <w:rPr>
          <w:rFonts w:ascii="Times New Roman" w:hAnsi="Times New Roman" w:cs="Times New Roman"/>
          <w:color w:val="000000"/>
          <w:lang w:eastAsia="lt-LT"/>
        </w:rPr>
        <w:t xml:space="preserve"> tyrimai su pelėmis parodė padidėjusį bendrą kepenų ląstelių adenomų ir </w:t>
      </w:r>
      <w:proofErr w:type="spellStart"/>
      <w:r w:rsidRPr="000D48A3">
        <w:rPr>
          <w:rFonts w:ascii="Times New Roman" w:hAnsi="Times New Roman" w:cs="Times New Roman"/>
          <w:color w:val="000000"/>
          <w:lang w:eastAsia="lt-LT"/>
        </w:rPr>
        <w:t>karcinomų</w:t>
      </w:r>
      <w:proofErr w:type="spellEnd"/>
      <w:r w:rsidRPr="000D48A3">
        <w:rPr>
          <w:rFonts w:ascii="Times New Roman" w:hAnsi="Times New Roman" w:cs="Times New Roman"/>
          <w:color w:val="000000"/>
          <w:lang w:eastAsia="lt-LT"/>
        </w:rPr>
        <w:t xml:space="preserve"> dažnį patinams, bet ne patelėms, kai koncentracija plazmoje buvo maždaug 2–4 kartus didesnė, palyginti su koncentracijomis plazmoje, kurios atsiranda vartojant gydomąją dozę. Žiurkes girdant </w:t>
      </w:r>
      <w:proofErr w:type="spellStart"/>
      <w:r w:rsidRPr="000D48A3">
        <w:rPr>
          <w:rFonts w:ascii="Times New Roman" w:hAnsi="Times New Roman" w:cs="Times New Roman"/>
          <w:color w:val="000000"/>
          <w:lang w:eastAsia="lt-LT"/>
        </w:rPr>
        <w:t>bozentanu</w:t>
      </w:r>
      <w:proofErr w:type="spellEnd"/>
      <w:r w:rsidRPr="000D48A3">
        <w:rPr>
          <w:rFonts w:ascii="Times New Roman" w:hAnsi="Times New Roman" w:cs="Times New Roman"/>
          <w:color w:val="000000"/>
          <w:lang w:eastAsia="lt-LT"/>
        </w:rPr>
        <w:t xml:space="preserve"> 2 metus pasireiškė nedidelis, bet reikšmingas bendro skydliaukės folikulinių ląstelių adenomų ir </w:t>
      </w:r>
      <w:proofErr w:type="spellStart"/>
      <w:r w:rsidRPr="000D48A3">
        <w:rPr>
          <w:rFonts w:ascii="Times New Roman" w:hAnsi="Times New Roman" w:cs="Times New Roman"/>
          <w:color w:val="000000"/>
          <w:lang w:eastAsia="lt-LT"/>
        </w:rPr>
        <w:t>karcinomų</w:t>
      </w:r>
      <w:proofErr w:type="spellEnd"/>
      <w:r w:rsidRPr="000D48A3">
        <w:rPr>
          <w:rFonts w:ascii="Times New Roman" w:hAnsi="Times New Roman" w:cs="Times New Roman"/>
          <w:color w:val="000000"/>
          <w:lang w:eastAsia="lt-LT"/>
        </w:rPr>
        <w:t xml:space="preserve"> dažnio padidėjimas patinams, bet ne patelėms, kai koncentracija plazmoje buvo maždaug 9–14 kartų didesnė, nei nustatyta koncentracija plazmoje žmonėms, kurie vartoja gydomąją dozę. </w:t>
      </w:r>
      <w:proofErr w:type="spellStart"/>
      <w:r w:rsidRPr="000D48A3">
        <w:rPr>
          <w:rFonts w:ascii="Times New Roman" w:hAnsi="Times New Roman" w:cs="Times New Roman"/>
          <w:color w:val="000000"/>
          <w:lang w:eastAsia="lt-LT"/>
        </w:rPr>
        <w:t>Bozentanas</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genotoksiškumo</w:t>
      </w:r>
      <w:proofErr w:type="spellEnd"/>
      <w:r w:rsidRPr="000D48A3">
        <w:rPr>
          <w:rFonts w:ascii="Times New Roman" w:hAnsi="Times New Roman" w:cs="Times New Roman"/>
          <w:color w:val="000000"/>
          <w:lang w:eastAsia="lt-LT"/>
        </w:rPr>
        <w:t xml:space="preserve"> tyrimuose buvo negatyvus. Žiurkėms skiriant </w:t>
      </w:r>
      <w:proofErr w:type="spellStart"/>
      <w:r w:rsidRPr="000D48A3">
        <w:rPr>
          <w:rFonts w:ascii="Times New Roman" w:hAnsi="Times New Roman" w:cs="Times New Roman"/>
          <w:color w:val="000000"/>
          <w:lang w:eastAsia="lt-LT"/>
        </w:rPr>
        <w:t>bozentaną</w:t>
      </w:r>
      <w:proofErr w:type="spellEnd"/>
      <w:r w:rsidRPr="000D48A3">
        <w:rPr>
          <w:rFonts w:ascii="Times New Roman" w:hAnsi="Times New Roman" w:cs="Times New Roman"/>
          <w:color w:val="000000"/>
          <w:lang w:eastAsia="lt-LT"/>
        </w:rPr>
        <w:t xml:space="preserve"> buvo pastebėtas nežymus skydliaukės hormonų pusiausvyros sutrikimas. Tačiau nebuvo įrodyta, kad </w:t>
      </w:r>
      <w:proofErr w:type="spellStart"/>
      <w:r w:rsidRPr="000D48A3">
        <w:rPr>
          <w:rFonts w:ascii="Times New Roman" w:hAnsi="Times New Roman" w:cs="Times New Roman"/>
          <w:color w:val="000000"/>
          <w:lang w:eastAsia="lt-LT"/>
        </w:rPr>
        <w:t>bozentanas</w:t>
      </w:r>
      <w:proofErr w:type="spellEnd"/>
      <w:r w:rsidRPr="000D48A3">
        <w:rPr>
          <w:rFonts w:ascii="Times New Roman" w:hAnsi="Times New Roman" w:cs="Times New Roman"/>
          <w:color w:val="000000"/>
          <w:lang w:eastAsia="lt-LT"/>
        </w:rPr>
        <w:t xml:space="preserve"> turėtų įtakos žmonių skydliaukės veiklai (</w:t>
      </w:r>
      <w:proofErr w:type="spellStart"/>
      <w:r w:rsidRPr="000D48A3">
        <w:rPr>
          <w:rFonts w:ascii="Times New Roman" w:hAnsi="Times New Roman" w:cs="Times New Roman"/>
          <w:color w:val="000000"/>
          <w:lang w:eastAsia="lt-LT"/>
        </w:rPr>
        <w:t>tiroksinui</w:t>
      </w:r>
      <w:proofErr w:type="spellEnd"/>
      <w:r w:rsidRPr="000D48A3">
        <w:rPr>
          <w:rFonts w:ascii="Times New Roman" w:hAnsi="Times New Roman" w:cs="Times New Roman"/>
          <w:color w:val="000000"/>
          <w:lang w:eastAsia="lt-LT"/>
        </w:rPr>
        <w:t xml:space="preserve">, TSH).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Bozentano</w:t>
      </w:r>
      <w:proofErr w:type="spellEnd"/>
      <w:r w:rsidRPr="000D48A3">
        <w:rPr>
          <w:rFonts w:ascii="Times New Roman" w:hAnsi="Times New Roman" w:cs="Times New Roman"/>
          <w:color w:val="000000"/>
          <w:lang w:eastAsia="lt-LT"/>
        </w:rPr>
        <w:t xml:space="preserve"> poveikis </w:t>
      </w:r>
      <w:proofErr w:type="spellStart"/>
      <w:r w:rsidRPr="000D48A3">
        <w:rPr>
          <w:rFonts w:ascii="Times New Roman" w:hAnsi="Times New Roman" w:cs="Times New Roman"/>
          <w:color w:val="000000"/>
          <w:lang w:eastAsia="lt-LT"/>
        </w:rPr>
        <w:t>mitochondrijų</w:t>
      </w:r>
      <w:proofErr w:type="spellEnd"/>
      <w:r w:rsidRPr="000D48A3">
        <w:rPr>
          <w:rFonts w:ascii="Times New Roman" w:hAnsi="Times New Roman" w:cs="Times New Roman"/>
          <w:color w:val="000000"/>
          <w:lang w:eastAsia="lt-LT"/>
        </w:rPr>
        <w:t xml:space="preserve"> funkcijai nežinomas.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Parodyta, kad </w:t>
      </w:r>
      <w:proofErr w:type="spellStart"/>
      <w:r w:rsidRPr="000D48A3">
        <w:rPr>
          <w:rFonts w:ascii="Times New Roman" w:hAnsi="Times New Roman" w:cs="Times New Roman"/>
          <w:color w:val="000000"/>
          <w:lang w:eastAsia="lt-LT"/>
        </w:rPr>
        <w:t>bozentanas</w:t>
      </w:r>
      <w:proofErr w:type="spellEnd"/>
      <w:r w:rsidRPr="000D48A3">
        <w:rPr>
          <w:rFonts w:ascii="Times New Roman" w:hAnsi="Times New Roman" w:cs="Times New Roman"/>
          <w:color w:val="000000"/>
          <w:lang w:eastAsia="lt-LT"/>
        </w:rPr>
        <w:t xml:space="preserve"> sukelia </w:t>
      </w:r>
      <w:proofErr w:type="spellStart"/>
      <w:r w:rsidRPr="000D48A3">
        <w:rPr>
          <w:rFonts w:ascii="Times New Roman" w:hAnsi="Times New Roman" w:cs="Times New Roman"/>
          <w:color w:val="000000"/>
          <w:lang w:eastAsia="lt-LT"/>
        </w:rPr>
        <w:t>teratogenį</w:t>
      </w:r>
      <w:proofErr w:type="spellEnd"/>
      <w:r w:rsidRPr="000D48A3">
        <w:rPr>
          <w:rFonts w:ascii="Times New Roman" w:hAnsi="Times New Roman" w:cs="Times New Roman"/>
          <w:color w:val="000000"/>
          <w:lang w:eastAsia="lt-LT"/>
        </w:rPr>
        <w:t xml:space="preserve"> poveikį žiurkėms, kai jo koncentracija plazmoje yra 1,5 karto didesnė, negu koncentracijos plazmoje žmonėms, kurie vartoja gydomąją dozę. </w:t>
      </w:r>
      <w:proofErr w:type="spellStart"/>
      <w:r w:rsidRPr="000D48A3">
        <w:rPr>
          <w:rFonts w:ascii="Times New Roman" w:hAnsi="Times New Roman" w:cs="Times New Roman"/>
          <w:color w:val="000000"/>
          <w:lang w:eastAsia="lt-LT"/>
        </w:rPr>
        <w:t>Teratogeninis</w:t>
      </w:r>
      <w:proofErr w:type="spellEnd"/>
      <w:r w:rsidRPr="000D48A3">
        <w:rPr>
          <w:rFonts w:ascii="Times New Roman" w:hAnsi="Times New Roman" w:cs="Times New Roman"/>
          <w:color w:val="000000"/>
          <w:lang w:eastAsia="lt-LT"/>
        </w:rPr>
        <w:t xml:space="preserve"> poveikis, įskaitant galvos, snukio ir pagrindinių kraujagyslių įgimtas anomalijas, priklausė nuo dozių. Įgimtų anomalijų struktūros </w:t>
      </w:r>
      <w:proofErr w:type="spellStart"/>
      <w:r w:rsidRPr="000D48A3">
        <w:rPr>
          <w:rFonts w:ascii="Times New Roman" w:hAnsi="Times New Roman" w:cs="Times New Roman"/>
          <w:color w:val="000000"/>
          <w:lang w:eastAsia="lt-LT"/>
        </w:rPr>
        <w:t>panašumai</w:t>
      </w:r>
      <w:proofErr w:type="spellEnd"/>
      <w:r w:rsidRPr="000D48A3">
        <w:rPr>
          <w:rFonts w:ascii="Times New Roman" w:hAnsi="Times New Roman" w:cs="Times New Roman"/>
          <w:color w:val="000000"/>
          <w:lang w:eastAsia="lt-LT"/>
        </w:rPr>
        <w:t xml:space="preserve"> buvo pastebėti kitiems ET receptorių antagonistams ir pelėms, kurioms ET sunaikinti, parodo rūšiai būdingą poveikį. Vaisingo amžiaus moterims reikia laikytis atitinkamų saugumo priemonių (žr. 4.3, 4.4 ir 4.6 skyrius). </w:t>
      </w:r>
    </w:p>
    <w:p w:rsidR="00A4103A" w:rsidRPr="000D48A3" w:rsidRDefault="00A4103A" w:rsidP="00A4103A">
      <w:pPr>
        <w:spacing w:after="0" w:line="240" w:lineRule="auto"/>
        <w:rPr>
          <w:rFonts w:ascii="Times New Roman" w:hAnsi="Times New Roman" w:cs="Times New Roman"/>
          <w:lang w:eastAsia="lt-LT"/>
        </w:rPr>
      </w:pPr>
      <w:r w:rsidRPr="000D48A3">
        <w:rPr>
          <w:rFonts w:ascii="Times New Roman" w:hAnsi="Times New Roman" w:cs="Times New Roman"/>
          <w:lang w:eastAsia="lt-LT"/>
        </w:rPr>
        <w:t>Atliekant žiurkių patinų ir patelių vaisingumo tyrimus, esant koncentracijai plazmoje, kuri atitinkamai 21 ir 43 kartus didesnė už tikėtiną gydomąjį lygį žmonėms, poveikio spermatozoidų skaičiui, judrumui, gyvybingumui, poravimuisi ar vaisingumui, nepastebėta, taip pat nepasireiškė neigiamas poveikis embriono vystymuisi nei prieš, nei po implantacijos.</w:t>
      </w:r>
    </w:p>
    <w:p w:rsidR="00A4103A" w:rsidRPr="000D48A3" w:rsidRDefault="00A4103A" w:rsidP="00A4103A">
      <w:pPr>
        <w:spacing w:after="0" w:line="240" w:lineRule="auto"/>
        <w:rPr>
          <w:rFonts w:ascii="Times New Roman" w:hAnsi="Times New Roman" w:cs="Times New Roman"/>
          <w:lang w:eastAsia="lt-LT"/>
        </w:rPr>
      </w:pP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425"/>
          <w:tab w:val="left" w:pos="567"/>
        </w:tabs>
        <w:spacing w:after="0" w:line="240" w:lineRule="auto"/>
        <w:rPr>
          <w:rFonts w:ascii="Times New Roman" w:hAnsi="Times New Roman" w:cs="Times New Roman"/>
          <w:b/>
          <w:bCs/>
        </w:rPr>
      </w:pPr>
      <w:r w:rsidRPr="000D48A3">
        <w:rPr>
          <w:rFonts w:ascii="Times New Roman" w:hAnsi="Times New Roman" w:cs="Times New Roman"/>
          <w:b/>
          <w:bCs/>
        </w:rPr>
        <w:t>6.</w:t>
      </w:r>
      <w:r w:rsidRPr="000D48A3">
        <w:rPr>
          <w:rFonts w:ascii="Times New Roman" w:hAnsi="Times New Roman" w:cs="Times New Roman"/>
          <w:b/>
          <w:bCs/>
        </w:rPr>
        <w:tab/>
        <w:t>FARMACINĖ INFORMACIJA</w:t>
      </w:r>
    </w:p>
    <w:p w:rsidR="00A4103A" w:rsidRPr="000D48A3" w:rsidRDefault="00A4103A" w:rsidP="00A4103A">
      <w:pPr>
        <w:tabs>
          <w:tab w:val="left" w:pos="425"/>
          <w:tab w:val="left" w:pos="567"/>
        </w:tabs>
        <w:spacing w:after="0" w:line="240" w:lineRule="auto"/>
        <w:rPr>
          <w:rFonts w:ascii="Times New Roman" w:hAnsi="Times New Roman" w:cs="Times New Roman"/>
          <w:b/>
          <w:bCs/>
        </w:rPr>
      </w:pPr>
    </w:p>
    <w:p w:rsidR="00A4103A" w:rsidRPr="000D48A3" w:rsidRDefault="00A4103A" w:rsidP="00A4103A">
      <w:pPr>
        <w:tabs>
          <w:tab w:val="left" w:pos="425"/>
          <w:tab w:val="left" w:pos="567"/>
        </w:tabs>
        <w:spacing w:after="0" w:line="240" w:lineRule="auto"/>
        <w:rPr>
          <w:rFonts w:ascii="Times New Roman" w:hAnsi="Times New Roman" w:cs="Times New Roman"/>
          <w:b/>
          <w:bCs/>
        </w:rPr>
      </w:pPr>
      <w:r w:rsidRPr="000D48A3">
        <w:rPr>
          <w:rFonts w:ascii="Times New Roman" w:hAnsi="Times New Roman" w:cs="Times New Roman"/>
          <w:b/>
          <w:bCs/>
        </w:rPr>
        <w:t>6.1</w:t>
      </w:r>
      <w:r w:rsidRPr="000D48A3">
        <w:rPr>
          <w:rFonts w:ascii="Times New Roman" w:hAnsi="Times New Roman" w:cs="Times New Roman"/>
          <w:b/>
          <w:bCs/>
        </w:rPr>
        <w:tab/>
        <w:t>Pagalbinių medžiagų sąrašas</w:t>
      </w:r>
    </w:p>
    <w:p w:rsidR="00A4103A" w:rsidRPr="000D48A3" w:rsidRDefault="00A4103A" w:rsidP="00A4103A">
      <w:pPr>
        <w:tabs>
          <w:tab w:val="left" w:pos="425"/>
          <w:tab w:val="left" w:pos="567"/>
        </w:tabs>
        <w:spacing w:after="0" w:line="240" w:lineRule="auto"/>
        <w:rPr>
          <w:rFonts w:ascii="Times New Roman" w:hAnsi="Times New Roman" w:cs="Times New Roman"/>
          <w:b/>
          <w:bCs/>
        </w:rPr>
      </w:pPr>
    </w:p>
    <w:p w:rsidR="00A4103A" w:rsidRPr="000D48A3" w:rsidRDefault="00A4103A" w:rsidP="00A4103A">
      <w:pPr>
        <w:tabs>
          <w:tab w:val="left" w:pos="425"/>
          <w:tab w:val="left" w:pos="567"/>
        </w:tabs>
        <w:spacing w:after="0" w:line="240" w:lineRule="auto"/>
        <w:rPr>
          <w:rFonts w:ascii="Times New Roman" w:hAnsi="Times New Roman" w:cs="Times New Roman"/>
          <w:u w:val="single"/>
        </w:rPr>
      </w:pPr>
      <w:r w:rsidRPr="000D48A3">
        <w:rPr>
          <w:rFonts w:ascii="Times New Roman" w:hAnsi="Times New Roman" w:cs="Times New Roman"/>
          <w:u w:val="single"/>
        </w:rPr>
        <w:t>Tabletės branduolys</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Kukurūzų krakmolas</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Pregelifikuotas</w:t>
      </w:r>
      <w:proofErr w:type="spellEnd"/>
      <w:r w:rsidRPr="000D48A3">
        <w:rPr>
          <w:rFonts w:ascii="Times New Roman" w:hAnsi="Times New Roman" w:cs="Times New Roman"/>
          <w:color w:val="000000"/>
          <w:lang w:eastAsia="lt-LT"/>
        </w:rPr>
        <w:t xml:space="preserve"> kukurūzų krakmolas</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Karboksimetilkrakmolo</w:t>
      </w:r>
      <w:proofErr w:type="spellEnd"/>
      <w:r w:rsidRPr="000D48A3">
        <w:rPr>
          <w:rFonts w:ascii="Times New Roman" w:hAnsi="Times New Roman" w:cs="Times New Roman"/>
          <w:color w:val="000000"/>
          <w:lang w:eastAsia="lt-LT"/>
        </w:rPr>
        <w:t xml:space="preserve"> </w:t>
      </w:r>
      <w:r>
        <w:rPr>
          <w:rFonts w:ascii="Times New Roman" w:hAnsi="Times New Roman" w:cs="Times New Roman"/>
          <w:color w:val="000000"/>
          <w:lang w:eastAsia="lt-LT"/>
        </w:rPr>
        <w:t xml:space="preserve">A </w:t>
      </w:r>
      <w:r w:rsidRPr="000D48A3">
        <w:rPr>
          <w:rFonts w:ascii="Times New Roman" w:hAnsi="Times New Roman" w:cs="Times New Roman"/>
          <w:color w:val="000000"/>
          <w:lang w:eastAsia="lt-LT"/>
        </w:rPr>
        <w:t>natrio druska</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Povidonas</w:t>
      </w:r>
      <w:proofErr w:type="spellEnd"/>
      <w:r w:rsidRPr="000D48A3">
        <w:rPr>
          <w:rFonts w:ascii="Times New Roman" w:hAnsi="Times New Roman" w:cs="Times New Roman"/>
          <w:color w:val="000000"/>
          <w:lang w:eastAsia="lt-LT"/>
        </w:rPr>
        <w:t xml:space="preserve"> K-30</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Poloksameras</w:t>
      </w:r>
      <w:proofErr w:type="spellEnd"/>
      <w:r w:rsidRPr="000D48A3">
        <w:rPr>
          <w:rFonts w:ascii="Times New Roman" w:hAnsi="Times New Roman" w:cs="Times New Roman"/>
          <w:color w:val="000000"/>
          <w:lang w:eastAsia="lt-LT"/>
        </w:rPr>
        <w:t xml:space="preserve"> 188</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Koloidinis silicio dioksidas</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Glicerolio</w:t>
      </w:r>
      <w:proofErr w:type="spellEnd"/>
      <w:r w:rsidRPr="000D48A3">
        <w:rPr>
          <w:rFonts w:ascii="Times New Roman" w:hAnsi="Times New Roman" w:cs="Times New Roman"/>
          <w:color w:val="000000"/>
          <w:lang w:eastAsia="lt-LT"/>
        </w:rPr>
        <w:t xml:space="preserve"> </w:t>
      </w:r>
      <w:proofErr w:type="spellStart"/>
      <w:r w:rsidRPr="000D48A3">
        <w:rPr>
          <w:rFonts w:ascii="Times New Roman" w:hAnsi="Times New Roman" w:cs="Times New Roman"/>
          <w:color w:val="000000"/>
          <w:lang w:eastAsia="lt-LT"/>
        </w:rPr>
        <w:t>dibehenatas</w:t>
      </w:r>
      <w:proofErr w:type="spellEnd"/>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Magnio </w:t>
      </w:r>
      <w:proofErr w:type="spellStart"/>
      <w:r w:rsidRPr="000D48A3">
        <w:rPr>
          <w:rFonts w:ascii="Times New Roman" w:hAnsi="Times New Roman" w:cs="Times New Roman"/>
          <w:color w:val="000000"/>
          <w:lang w:eastAsia="lt-LT"/>
        </w:rPr>
        <w:t>stearatas</w:t>
      </w:r>
      <w:proofErr w:type="spellEnd"/>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u w:val="single"/>
          <w:lang w:eastAsia="lt-LT"/>
        </w:rPr>
      </w:pPr>
      <w:r>
        <w:rPr>
          <w:rFonts w:ascii="Times New Roman" w:hAnsi="Times New Roman" w:cs="Times New Roman"/>
          <w:color w:val="000000"/>
          <w:u w:val="single"/>
          <w:lang w:eastAsia="lt-LT"/>
        </w:rPr>
        <w:t xml:space="preserve">Tabletės </w:t>
      </w:r>
      <w:r w:rsidRPr="000D48A3">
        <w:rPr>
          <w:rFonts w:ascii="Times New Roman" w:hAnsi="Times New Roman" w:cs="Times New Roman"/>
          <w:color w:val="000000"/>
          <w:u w:val="single"/>
          <w:lang w:eastAsia="lt-LT"/>
        </w:rPr>
        <w:t>plėvelė</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Hipromeliozė</w:t>
      </w:r>
      <w:proofErr w:type="spellEnd"/>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Titano dioksidas</w:t>
      </w:r>
      <w:r>
        <w:rPr>
          <w:rFonts w:ascii="Times New Roman" w:hAnsi="Times New Roman" w:cs="Times New Roman"/>
          <w:color w:val="000000"/>
          <w:lang w:eastAsia="lt-LT"/>
        </w:rPr>
        <w:t xml:space="preserve"> (E171)</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Etilceliuliozė</w:t>
      </w:r>
      <w:proofErr w:type="spellEnd"/>
      <w:r w:rsidRPr="000D48A3">
        <w:rPr>
          <w:rFonts w:ascii="Times New Roman" w:hAnsi="Times New Roman" w:cs="Times New Roman"/>
          <w:color w:val="000000"/>
          <w:lang w:eastAsia="lt-LT"/>
        </w:rPr>
        <w:t xml:space="preserve"> </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0D48A3">
        <w:rPr>
          <w:rFonts w:ascii="Times New Roman" w:hAnsi="Times New Roman" w:cs="Times New Roman"/>
          <w:color w:val="000000"/>
          <w:lang w:eastAsia="lt-LT"/>
        </w:rPr>
        <w:t>Triacetinas</w:t>
      </w:r>
      <w:proofErr w:type="spellEnd"/>
      <w:r w:rsidRPr="000D48A3">
        <w:rPr>
          <w:rFonts w:ascii="Times New Roman" w:hAnsi="Times New Roman" w:cs="Times New Roman"/>
          <w:color w:val="000000"/>
          <w:lang w:eastAsia="lt-LT"/>
        </w:rPr>
        <w:t xml:space="preserve"> (E1518)</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Talkas</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lastRenderedPageBreak/>
        <w:t>Geltonasis geležies oksidas (E172)</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Raudonasis geležies oksidas (E172)</w:t>
      </w: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Juodasis geležies oksidas (E172)</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540"/>
          <w:tab w:val="left" w:pos="567"/>
        </w:tabs>
        <w:spacing w:after="0" w:line="240" w:lineRule="auto"/>
        <w:rPr>
          <w:rFonts w:ascii="Times New Roman" w:hAnsi="Times New Roman" w:cs="Times New Roman"/>
          <w:b/>
          <w:bCs/>
        </w:rPr>
      </w:pPr>
      <w:r w:rsidRPr="000D48A3">
        <w:rPr>
          <w:rFonts w:ascii="Times New Roman" w:hAnsi="Times New Roman" w:cs="Times New Roman"/>
          <w:b/>
          <w:bCs/>
        </w:rPr>
        <w:t>6.2</w:t>
      </w:r>
      <w:r w:rsidRPr="000D48A3">
        <w:rPr>
          <w:rFonts w:ascii="Times New Roman" w:hAnsi="Times New Roman" w:cs="Times New Roman"/>
          <w:b/>
          <w:bCs/>
        </w:rPr>
        <w:tab/>
        <w:t>Nesuderinamumas</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425"/>
          <w:tab w:val="left" w:pos="567"/>
        </w:tabs>
        <w:spacing w:after="0" w:line="240" w:lineRule="auto"/>
        <w:rPr>
          <w:rFonts w:ascii="Times New Roman" w:hAnsi="Times New Roman" w:cs="Times New Roman"/>
        </w:rPr>
      </w:pPr>
      <w:r w:rsidRPr="000D48A3">
        <w:rPr>
          <w:rFonts w:ascii="Times New Roman" w:hAnsi="Times New Roman" w:cs="Times New Roman"/>
        </w:rPr>
        <w:t>Duomenys nebūtini.</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540"/>
          <w:tab w:val="left" w:pos="567"/>
        </w:tabs>
        <w:spacing w:after="0" w:line="240" w:lineRule="auto"/>
        <w:ind w:left="540" w:hanging="540"/>
        <w:rPr>
          <w:rFonts w:ascii="Times New Roman" w:hAnsi="Times New Roman" w:cs="Times New Roman"/>
          <w:b/>
          <w:bCs/>
        </w:rPr>
      </w:pPr>
      <w:r w:rsidRPr="000D48A3">
        <w:rPr>
          <w:rFonts w:ascii="Times New Roman" w:hAnsi="Times New Roman" w:cs="Times New Roman"/>
          <w:b/>
          <w:bCs/>
        </w:rPr>
        <w:t>6.3</w:t>
      </w:r>
      <w:r w:rsidRPr="000D48A3">
        <w:rPr>
          <w:rFonts w:ascii="Times New Roman" w:hAnsi="Times New Roman" w:cs="Times New Roman"/>
          <w:b/>
          <w:bCs/>
        </w:rPr>
        <w:tab/>
        <w:t>Tinkamumo laikas</w:t>
      </w:r>
    </w:p>
    <w:p w:rsidR="00A4103A" w:rsidRPr="000D48A3" w:rsidRDefault="00A4103A" w:rsidP="00A4103A">
      <w:pPr>
        <w:tabs>
          <w:tab w:val="left" w:pos="540"/>
          <w:tab w:val="left" w:pos="567"/>
        </w:tabs>
        <w:spacing w:after="0" w:line="240" w:lineRule="auto"/>
        <w:ind w:left="540" w:hanging="540"/>
        <w:rPr>
          <w:rFonts w:ascii="Times New Roman" w:hAnsi="Times New Roman" w:cs="Times New Roman"/>
          <w:b/>
          <w:bCs/>
        </w:rPr>
      </w:pPr>
    </w:p>
    <w:p w:rsidR="00A4103A" w:rsidRPr="000D48A3" w:rsidRDefault="00A4103A" w:rsidP="00A4103A">
      <w:pPr>
        <w:tabs>
          <w:tab w:val="left" w:pos="425"/>
          <w:tab w:val="left" w:pos="567"/>
        </w:tabs>
        <w:spacing w:after="0" w:line="240" w:lineRule="auto"/>
        <w:rPr>
          <w:rFonts w:ascii="Times New Roman" w:hAnsi="Times New Roman" w:cs="Times New Roman"/>
        </w:rPr>
      </w:pPr>
      <w:r>
        <w:rPr>
          <w:rFonts w:ascii="Times New Roman" w:hAnsi="Times New Roman" w:cs="Times New Roman"/>
        </w:rPr>
        <w:t>3 metai</w:t>
      </w:r>
      <w:r w:rsidRPr="000D48A3">
        <w:rPr>
          <w:rFonts w:ascii="Times New Roman" w:hAnsi="Times New Roman" w:cs="Times New Roman"/>
        </w:rPr>
        <w:t>.</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540"/>
          <w:tab w:val="left" w:pos="567"/>
        </w:tabs>
        <w:spacing w:after="0" w:line="240" w:lineRule="auto"/>
        <w:ind w:left="540" w:hanging="540"/>
        <w:rPr>
          <w:rFonts w:ascii="Times New Roman" w:hAnsi="Times New Roman" w:cs="Times New Roman"/>
          <w:b/>
          <w:bCs/>
        </w:rPr>
      </w:pPr>
      <w:r w:rsidRPr="000D48A3">
        <w:rPr>
          <w:rFonts w:ascii="Times New Roman" w:hAnsi="Times New Roman" w:cs="Times New Roman"/>
          <w:b/>
          <w:bCs/>
        </w:rPr>
        <w:t>6.4</w:t>
      </w:r>
      <w:r w:rsidRPr="000D48A3">
        <w:rPr>
          <w:rFonts w:ascii="Times New Roman" w:hAnsi="Times New Roman" w:cs="Times New Roman"/>
          <w:b/>
          <w:bCs/>
        </w:rPr>
        <w:tab/>
        <w:t>Specialios laikymo sąlygos</w:t>
      </w:r>
    </w:p>
    <w:p w:rsidR="00A4103A" w:rsidRPr="000D48A3" w:rsidRDefault="00A4103A" w:rsidP="00A4103A">
      <w:pPr>
        <w:tabs>
          <w:tab w:val="left" w:pos="540"/>
          <w:tab w:val="left" w:pos="567"/>
        </w:tabs>
        <w:spacing w:after="0" w:line="240" w:lineRule="auto"/>
        <w:ind w:left="540" w:hanging="540"/>
        <w:rPr>
          <w:rFonts w:ascii="Times New Roman" w:hAnsi="Times New Roman" w:cs="Times New Roman"/>
          <w:b/>
          <w:bCs/>
        </w:rPr>
      </w:pPr>
    </w:p>
    <w:p w:rsidR="00A4103A" w:rsidRPr="000D48A3" w:rsidRDefault="00A4103A" w:rsidP="00A4103A">
      <w:pPr>
        <w:tabs>
          <w:tab w:val="left" w:pos="425"/>
          <w:tab w:val="left" w:pos="567"/>
        </w:tabs>
        <w:spacing w:after="0" w:line="240" w:lineRule="auto"/>
        <w:rPr>
          <w:rFonts w:ascii="Times New Roman" w:hAnsi="Times New Roman" w:cs="Times New Roman"/>
        </w:rPr>
      </w:pPr>
      <w:r w:rsidRPr="000D48A3">
        <w:rPr>
          <w:rFonts w:ascii="Times New Roman" w:hAnsi="Times New Roman" w:cs="Times New Roman"/>
        </w:rPr>
        <w:t xml:space="preserve">Šiam vaistiniam preparatui specialių laikymo sąlygų nereikia. </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540"/>
          <w:tab w:val="left" w:pos="567"/>
        </w:tabs>
        <w:spacing w:after="0" w:line="240" w:lineRule="auto"/>
        <w:ind w:left="540" w:hanging="540"/>
        <w:rPr>
          <w:rFonts w:ascii="Times New Roman" w:hAnsi="Times New Roman" w:cs="Times New Roman"/>
          <w:b/>
          <w:bCs/>
        </w:rPr>
      </w:pPr>
      <w:r w:rsidRPr="000D48A3">
        <w:rPr>
          <w:rFonts w:ascii="Times New Roman" w:hAnsi="Times New Roman" w:cs="Times New Roman"/>
          <w:b/>
          <w:bCs/>
        </w:rPr>
        <w:t>6.5</w:t>
      </w:r>
      <w:r w:rsidRPr="000D48A3">
        <w:rPr>
          <w:rFonts w:ascii="Times New Roman" w:hAnsi="Times New Roman" w:cs="Times New Roman"/>
          <w:b/>
          <w:bCs/>
        </w:rPr>
        <w:tab/>
      </w:r>
      <w:proofErr w:type="spellStart"/>
      <w:r w:rsidRPr="000D48A3">
        <w:rPr>
          <w:rFonts w:ascii="Times New Roman" w:hAnsi="Times New Roman" w:cs="Times New Roman"/>
          <w:b/>
          <w:bCs/>
        </w:rPr>
        <w:t>Talpyklės</w:t>
      </w:r>
      <w:proofErr w:type="spellEnd"/>
      <w:r w:rsidRPr="000D48A3">
        <w:rPr>
          <w:rFonts w:ascii="Times New Roman" w:hAnsi="Times New Roman" w:cs="Times New Roman"/>
          <w:b/>
          <w:bCs/>
        </w:rPr>
        <w:t xml:space="preserve"> pobūdis ir jos turinys</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Matinės PVC/</w:t>
      </w:r>
      <w:proofErr w:type="spellStart"/>
      <w:r w:rsidRPr="000D48A3">
        <w:rPr>
          <w:rFonts w:ascii="Times New Roman" w:hAnsi="Times New Roman" w:cs="Times New Roman"/>
          <w:color w:val="000000"/>
          <w:lang w:eastAsia="lt-LT"/>
        </w:rPr>
        <w:t>PVdC</w:t>
      </w:r>
      <w:proofErr w:type="spellEnd"/>
      <w:r w:rsidRPr="000D48A3">
        <w:rPr>
          <w:rFonts w:ascii="Times New Roman" w:hAnsi="Times New Roman" w:cs="Times New Roman"/>
          <w:color w:val="000000"/>
          <w:lang w:eastAsia="lt-LT"/>
        </w:rPr>
        <w:t xml:space="preserve"> - aliuminio folijos lizdinė plokštelė, kurioje yra 14 plėvele dengtų tablečių. </w:t>
      </w:r>
    </w:p>
    <w:p w:rsidR="00A4103A" w:rsidRPr="000D48A3" w:rsidRDefault="00A4103A" w:rsidP="00A4103A">
      <w:pPr>
        <w:spacing w:after="0" w:line="240" w:lineRule="auto"/>
        <w:rPr>
          <w:rFonts w:ascii="Times New Roman" w:hAnsi="Times New Roman" w:cs="Times New Roman"/>
          <w:lang w:eastAsia="lt-LT"/>
        </w:rPr>
      </w:pPr>
      <w:r w:rsidRPr="000D48A3">
        <w:rPr>
          <w:rFonts w:ascii="Times New Roman" w:hAnsi="Times New Roman" w:cs="Times New Roman"/>
          <w:lang w:eastAsia="lt-LT"/>
        </w:rPr>
        <w:t>Kartoninėje dėžutė</w:t>
      </w:r>
      <w:r>
        <w:rPr>
          <w:rFonts w:ascii="Times New Roman" w:hAnsi="Times New Roman" w:cs="Times New Roman"/>
          <w:lang w:eastAsia="lt-LT"/>
        </w:rPr>
        <w:t>je</w:t>
      </w:r>
      <w:r w:rsidRPr="000D48A3">
        <w:rPr>
          <w:rFonts w:ascii="Times New Roman" w:hAnsi="Times New Roman" w:cs="Times New Roman"/>
          <w:lang w:eastAsia="lt-LT"/>
        </w:rPr>
        <w:t xml:space="preserve"> yra 14, 56 arba 112 plėvele dengtų tablečių. </w:t>
      </w:r>
    </w:p>
    <w:p w:rsidR="00A4103A" w:rsidRPr="000D48A3" w:rsidRDefault="00A4103A" w:rsidP="00A4103A">
      <w:pPr>
        <w:spacing w:after="0" w:line="240" w:lineRule="auto"/>
        <w:ind w:left="567" w:hanging="567"/>
        <w:rPr>
          <w:rFonts w:ascii="Times New Roman" w:hAnsi="Times New Roman" w:cs="Times New Roman"/>
          <w:highlight w:val="yellow"/>
          <w:lang w:eastAsia="lt-LT"/>
        </w:rPr>
      </w:pPr>
    </w:p>
    <w:p w:rsidR="00A4103A" w:rsidRPr="000D48A3" w:rsidRDefault="00A4103A" w:rsidP="00A4103A">
      <w:pPr>
        <w:spacing w:after="0" w:line="240" w:lineRule="auto"/>
        <w:ind w:left="567" w:hanging="567"/>
        <w:rPr>
          <w:rFonts w:ascii="Times New Roman" w:hAnsi="Times New Roman" w:cs="Times New Roman"/>
          <w:lang w:eastAsia="lt-LT"/>
        </w:rPr>
      </w:pPr>
      <w:r w:rsidRPr="000D48A3">
        <w:rPr>
          <w:rFonts w:ascii="Times New Roman" w:hAnsi="Times New Roman" w:cs="Times New Roman"/>
          <w:lang w:eastAsia="lt-LT"/>
        </w:rPr>
        <w:t>Gali būti tiekiamos ne visų dydžių pakuotės.</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540"/>
          <w:tab w:val="left" w:pos="567"/>
        </w:tabs>
        <w:spacing w:after="0" w:line="240" w:lineRule="auto"/>
        <w:ind w:left="540" w:hanging="540"/>
        <w:rPr>
          <w:rFonts w:ascii="Times New Roman" w:hAnsi="Times New Roman" w:cs="Times New Roman"/>
          <w:b/>
          <w:bCs/>
        </w:rPr>
      </w:pPr>
      <w:r w:rsidRPr="000D48A3">
        <w:rPr>
          <w:rFonts w:ascii="Times New Roman" w:hAnsi="Times New Roman" w:cs="Times New Roman"/>
          <w:b/>
          <w:bCs/>
        </w:rPr>
        <w:t>6.6</w:t>
      </w:r>
      <w:r w:rsidRPr="000D48A3">
        <w:rPr>
          <w:rFonts w:ascii="Times New Roman" w:hAnsi="Times New Roman" w:cs="Times New Roman"/>
          <w:b/>
          <w:bCs/>
        </w:rPr>
        <w:tab/>
        <w:t>Specialūs reikalavimai atliekoms tvarkyti</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425"/>
          <w:tab w:val="left" w:pos="567"/>
        </w:tabs>
        <w:spacing w:after="0" w:line="240" w:lineRule="auto"/>
        <w:rPr>
          <w:rFonts w:ascii="Times New Roman" w:hAnsi="Times New Roman" w:cs="Times New Roman"/>
        </w:rPr>
      </w:pPr>
      <w:r w:rsidRPr="000D48A3">
        <w:rPr>
          <w:rFonts w:ascii="Times New Roman" w:hAnsi="Times New Roman" w:cs="Times New Roman"/>
        </w:rPr>
        <w:t>Specialių reikalavimų nėra.</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540"/>
          <w:tab w:val="left" w:pos="567"/>
        </w:tabs>
        <w:spacing w:after="0" w:line="240" w:lineRule="auto"/>
        <w:ind w:left="540" w:hanging="540"/>
        <w:rPr>
          <w:rFonts w:ascii="Times New Roman" w:hAnsi="Times New Roman" w:cs="Times New Roman"/>
          <w:b/>
          <w:bCs/>
        </w:rPr>
      </w:pPr>
      <w:r w:rsidRPr="000D48A3">
        <w:rPr>
          <w:rFonts w:ascii="Times New Roman" w:hAnsi="Times New Roman" w:cs="Times New Roman"/>
          <w:b/>
          <w:bCs/>
        </w:rPr>
        <w:t>7.</w:t>
      </w:r>
      <w:r w:rsidRPr="000D48A3">
        <w:rPr>
          <w:rFonts w:ascii="Times New Roman" w:hAnsi="Times New Roman" w:cs="Times New Roman"/>
          <w:b/>
          <w:bCs/>
        </w:rPr>
        <w:tab/>
        <w:t>R</w:t>
      </w:r>
      <w:r>
        <w:rPr>
          <w:rFonts w:ascii="Times New Roman" w:hAnsi="Times New Roman" w:cs="Times New Roman"/>
          <w:b/>
          <w:bCs/>
        </w:rPr>
        <w:t xml:space="preserve">EGISTRUOTOJAS </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425"/>
          <w:tab w:val="left" w:pos="567"/>
        </w:tabs>
        <w:spacing w:after="0" w:line="240" w:lineRule="auto"/>
        <w:rPr>
          <w:rFonts w:ascii="Times New Roman" w:hAnsi="Times New Roman" w:cs="Times New Roman"/>
        </w:rPr>
      </w:pPr>
      <w:proofErr w:type="spellStart"/>
      <w:r w:rsidRPr="000D48A3">
        <w:rPr>
          <w:rFonts w:ascii="Times New Roman" w:hAnsi="Times New Roman" w:cs="Times New Roman"/>
        </w:rPr>
        <w:t>Sandoz</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d.d</w:t>
      </w:r>
      <w:proofErr w:type="spellEnd"/>
      <w:r w:rsidRPr="000D48A3">
        <w:rPr>
          <w:rFonts w:ascii="Times New Roman" w:hAnsi="Times New Roman" w:cs="Times New Roman"/>
        </w:rPr>
        <w:t>.</w:t>
      </w:r>
    </w:p>
    <w:p w:rsidR="00A4103A" w:rsidRPr="000D48A3" w:rsidRDefault="00A4103A" w:rsidP="00A4103A">
      <w:pPr>
        <w:tabs>
          <w:tab w:val="left" w:pos="425"/>
          <w:tab w:val="left" w:pos="567"/>
        </w:tabs>
        <w:spacing w:after="0" w:line="240" w:lineRule="auto"/>
        <w:rPr>
          <w:rFonts w:ascii="Times New Roman" w:hAnsi="Times New Roman" w:cs="Times New Roman"/>
        </w:rPr>
      </w:pPr>
      <w:proofErr w:type="spellStart"/>
      <w:r w:rsidRPr="000D48A3">
        <w:rPr>
          <w:rFonts w:ascii="Times New Roman" w:hAnsi="Times New Roman" w:cs="Times New Roman"/>
        </w:rPr>
        <w:t>Verovškova</w:t>
      </w:r>
      <w:proofErr w:type="spellEnd"/>
      <w:r w:rsidRPr="000D48A3">
        <w:rPr>
          <w:rFonts w:ascii="Times New Roman" w:hAnsi="Times New Roman" w:cs="Times New Roman"/>
        </w:rPr>
        <w:t xml:space="preserve"> 57</w:t>
      </w:r>
    </w:p>
    <w:p w:rsidR="00A4103A" w:rsidRPr="000D48A3" w:rsidRDefault="00A4103A" w:rsidP="00A4103A">
      <w:pPr>
        <w:tabs>
          <w:tab w:val="left" w:pos="425"/>
          <w:tab w:val="left" w:pos="567"/>
        </w:tabs>
        <w:spacing w:after="0" w:line="240" w:lineRule="auto"/>
        <w:rPr>
          <w:rFonts w:ascii="Times New Roman" w:hAnsi="Times New Roman" w:cs="Times New Roman"/>
        </w:rPr>
      </w:pPr>
      <w:r w:rsidRPr="000D48A3">
        <w:rPr>
          <w:rFonts w:ascii="Times New Roman" w:hAnsi="Times New Roman" w:cs="Times New Roman"/>
        </w:rPr>
        <w:t xml:space="preserve">SI-1000 </w:t>
      </w:r>
      <w:proofErr w:type="spellStart"/>
      <w:r w:rsidRPr="000D48A3">
        <w:rPr>
          <w:rFonts w:ascii="Times New Roman" w:hAnsi="Times New Roman" w:cs="Times New Roman"/>
        </w:rPr>
        <w:t>Ljubljana</w:t>
      </w:r>
      <w:proofErr w:type="spellEnd"/>
    </w:p>
    <w:p w:rsidR="00A4103A" w:rsidRPr="000D48A3" w:rsidRDefault="00A4103A" w:rsidP="00A4103A">
      <w:pPr>
        <w:tabs>
          <w:tab w:val="left" w:pos="425"/>
          <w:tab w:val="left" w:pos="567"/>
        </w:tabs>
        <w:spacing w:after="0" w:line="240" w:lineRule="auto"/>
        <w:rPr>
          <w:rFonts w:ascii="Times New Roman" w:hAnsi="Times New Roman" w:cs="Times New Roman"/>
        </w:rPr>
      </w:pPr>
      <w:r w:rsidRPr="000D48A3">
        <w:rPr>
          <w:rFonts w:ascii="Times New Roman" w:hAnsi="Times New Roman" w:cs="Times New Roman"/>
        </w:rPr>
        <w:t>Slovėnija</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540"/>
          <w:tab w:val="left" w:pos="567"/>
        </w:tabs>
        <w:spacing w:after="0" w:line="240" w:lineRule="auto"/>
        <w:ind w:left="540" w:hanging="540"/>
        <w:rPr>
          <w:rFonts w:ascii="Times New Roman" w:hAnsi="Times New Roman" w:cs="Times New Roman"/>
        </w:rPr>
      </w:pPr>
      <w:r w:rsidRPr="000D48A3">
        <w:rPr>
          <w:rFonts w:ascii="Times New Roman" w:hAnsi="Times New Roman" w:cs="Times New Roman"/>
          <w:b/>
          <w:bCs/>
        </w:rPr>
        <w:t>8.</w:t>
      </w:r>
      <w:r w:rsidRPr="000D48A3">
        <w:rPr>
          <w:rFonts w:ascii="Times New Roman" w:hAnsi="Times New Roman" w:cs="Times New Roman"/>
          <w:b/>
          <w:bCs/>
        </w:rPr>
        <w:tab/>
        <w:t>R</w:t>
      </w:r>
      <w:r>
        <w:rPr>
          <w:rFonts w:ascii="Times New Roman" w:hAnsi="Times New Roman" w:cs="Times New Roman"/>
          <w:b/>
          <w:bCs/>
        </w:rPr>
        <w:t xml:space="preserve">EGISTRACIJOS </w:t>
      </w:r>
      <w:r w:rsidRPr="000D48A3">
        <w:rPr>
          <w:rFonts w:ascii="Times New Roman" w:hAnsi="Times New Roman" w:cs="Times New Roman"/>
          <w:b/>
          <w:bCs/>
        </w:rPr>
        <w:t xml:space="preserve"> PAŽYMĖJIMO NUMERIS</w:t>
      </w:r>
      <w:r w:rsidR="00D00A44">
        <w:rPr>
          <w:rFonts w:ascii="Times New Roman" w:hAnsi="Times New Roman" w:cs="Times New Roman"/>
          <w:b/>
          <w:bCs/>
        </w:rPr>
        <w:t xml:space="preserve"> (-IAI)</w:t>
      </w:r>
    </w:p>
    <w:p w:rsidR="00A4103A" w:rsidRDefault="00A4103A" w:rsidP="00A4103A">
      <w:pPr>
        <w:tabs>
          <w:tab w:val="left" w:pos="425"/>
          <w:tab w:val="left" w:pos="567"/>
        </w:tabs>
        <w:spacing w:after="0" w:line="240" w:lineRule="auto"/>
        <w:rPr>
          <w:rFonts w:ascii="Times New Roman" w:hAnsi="Times New Roman" w:cs="Times New Roman"/>
        </w:rPr>
      </w:pPr>
    </w:p>
    <w:p w:rsidR="00A4103A" w:rsidRDefault="00A4103A" w:rsidP="00A4103A">
      <w:pPr>
        <w:pStyle w:val="Default"/>
        <w:tabs>
          <w:tab w:val="left" w:pos="567"/>
        </w:tabs>
        <w:rPr>
          <w:sz w:val="22"/>
          <w:szCs w:val="22"/>
        </w:rPr>
      </w:pPr>
      <w:proofErr w:type="spellStart"/>
      <w:r w:rsidRPr="000D48A3">
        <w:rPr>
          <w:sz w:val="22"/>
          <w:szCs w:val="22"/>
        </w:rPr>
        <w:t>Bosentan</w:t>
      </w:r>
      <w:proofErr w:type="spellEnd"/>
      <w:r w:rsidRPr="000D48A3">
        <w:rPr>
          <w:sz w:val="22"/>
          <w:szCs w:val="22"/>
        </w:rPr>
        <w:t xml:space="preserve"> </w:t>
      </w:r>
      <w:proofErr w:type="spellStart"/>
      <w:r w:rsidRPr="000D48A3">
        <w:rPr>
          <w:sz w:val="22"/>
          <w:szCs w:val="22"/>
        </w:rPr>
        <w:t>Sandoz</w:t>
      </w:r>
      <w:proofErr w:type="spellEnd"/>
      <w:r w:rsidRPr="000D48A3">
        <w:rPr>
          <w:sz w:val="22"/>
          <w:szCs w:val="22"/>
        </w:rPr>
        <w:t xml:space="preserve"> 62,5 mg </w:t>
      </w:r>
    </w:p>
    <w:p w:rsidR="00A4103A" w:rsidRPr="000D48A3" w:rsidRDefault="00A4103A" w:rsidP="00A4103A">
      <w:pPr>
        <w:pStyle w:val="Default"/>
        <w:tabs>
          <w:tab w:val="left" w:pos="567"/>
        </w:tabs>
        <w:rPr>
          <w:sz w:val="22"/>
          <w:szCs w:val="22"/>
        </w:rPr>
      </w:pPr>
      <w:r>
        <w:rPr>
          <w:sz w:val="22"/>
          <w:szCs w:val="22"/>
        </w:rPr>
        <w:t>N14 – LT/1/13/3461/001</w:t>
      </w:r>
    </w:p>
    <w:p w:rsidR="00A4103A" w:rsidRPr="000D48A3" w:rsidRDefault="00A4103A" w:rsidP="00A4103A">
      <w:pPr>
        <w:pStyle w:val="Default"/>
        <w:tabs>
          <w:tab w:val="left" w:pos="567"/>
        </w:tabs>
        <w:rPr>
          <w:sz w:val="22"/>
          <w:szCs w:val="22"/>
        </w:rPr>
      </w:pPr>
      <w:r>
        <w:rPr>
          <w:sz w:val="22"/>
          <w:szCs w:val="22"/>
        </w:rPr>
        <w:t>N56 – LT/1/13/3461/002</w:t>
      </w:r>
    </w:p>
    <w:p w:rsidR="00A4103A" w:rsidRPr="000D48A3" w:rsidRDefault="00A4103A" w:rsidP="00A4103A">
      <w:pPr>
        <w:pStyle w:val="Default"/>
        <w:tabs>
          <w:tab w:val="left" w:pos="567"/>
        </w:tabs>
        <w:rPr>
          <w:sz w:val="22"/>
          <w:szCs w:val="22"/>
        </w:rPr>
      </w:pPr>
      <w:r>
        <w:rPr>
          <w:sz w:val="22"/>
          <w:szCs w:val="22"/>
        </w:rPr>
        <w:t>N112 – LT/1/13/3461/003</w:t>
      </w:r>
    </w:p>
    <w:p w:rsidR="00A4103A" w:rsidRDefault="00A4103A" w:rsidP="00A4103A">
      <w:pPr>
        <w:tabs>
          <w:tab w:val="left" w:pos="425"/>
          <w:tab w:val="left" w:pos="567"/>
        </w:tabs>
        <w:spacing w:after="0" w:line="240" w:lineRule="auto"/>
        <w:rPr>
          <w:rFonts w:ascii="Times New Roman" w:hAnsi="Times New Roman" w:cs="Times New Roman"/>
        </w:rPr>
      </w:pPr>
    </w:p>
    <w:p w:rsidR="00A4103A" w:rsidRDefault="00A4103A" w:rsidP="00A4103A">
      <w:pPr>
        <w:pStyle w:val="Default"/>
        <w:tabs>
          <w:tab w:val="left" w:pos="567"/>
        </w:tabs>
        <w:rPr>
          <w:sz w:val="22"/>
          <w:szCs w:val="22"/>
        </w:rPr>
      </w:pPr>
      <w:proofErr w:type="spellStart"/>
      <w:r>
        <w:rPr>
          <w:sz w:val="22"/>
          <w:szCs w:val="22"/>
        </w:rPr>
        <w:t>Bosentan</w:t>
      </w:r>
      <w:proofErr w:type="spellEnd"/>
      <w:r>
        <w:rPr>
          <w:sz w:val="22"/>
          <w:szCs w:val="22"/>
        </w:rPr>
        <w:t xml:space="preserve"> </w:t>
      </w:r>
      <w:proofErr w:type="spellStart"/>
      <w:r>
        <w:rPr>
          <w:sz w:val="22"/>
          <w:szCs w:val="22"/>
        </w:rPr>
        <w:t>Sandoz</w:t>
      </w:r>
      <w:proofErr w:type="spellEnd"/>
      <w:r>
        <w:rPr>
          <w:sz w:val="22"/>
          <w:szCs w:val="22"/>
        </w:rPr>
        <w:t xml:space="preserve"> 12</w:t>
      </w:r>
      <w:r w:rsidRPr="000D48A3">
        <w:rPr>
          <w:sz w:val="22"/>
          <w:szCs w:val="22"/>
        </w:rPr>
        <w:t xml:space="preserve">5 mg </w:t>
      </w:r>
    </w:p>
    <w:p w:rsidR="00A4103A" w:rsidRPr="000D48A3" w:rsidRDefault="00A4103A" w:rsidP="00A4103A">
      <w:pPr>
        <w:pStyle w:val="Default"/>
        <w:tabs>
          <w:tab w:val="left" w:pos="567"/>
        </w:tabs>
        <w:rPr>
          <w:sz w:val="22"/>
          <w:szCs w:val="22"/>
        </w:rPr>
      </w:pPr>
      <w:r>
        <w:rPr>
          <w:sz w:val="22"/>
          <w:szCs w:val="22"/>
        </w:rPr>
        <w:t>N14 – LT/1/13/3461/004</w:t>
      </w:r>
    </w:p>
    <w:p w:rsidR="00A4103A" w:rsidRPr="000D48A3" w:rsidRDefault="00A4103A" w:rsidP="00A4103A">
      <w:pPr>
        <w:pStyle w:val="Default"/>
        <w:tabs>
          <w:tab w:val="left" w:pos="567"/>
        </w:tabs>
        <w:rPr>
          <w:sz w:val="22"/>
          <w:szCs w:val="22"/>
        </w:rPr>
      </w:pPr>
      <w:r>
        <w:rPr>
          <w:sz w:val="22"/>
          <w:szCs w:val="22"/>
        </w:rPr>
        <w:t>N56 – LT/1/13/3461/005</w:t>
      </w:r>
    </w:p>
    <w:p w:rsidR="00A4103A" w:rsidRPr="000D48A3" w:rsidRDefault="00A4103A" w:rsidP="00A4103A">
      <w:pPr>
        <w:pStyle w:val="Default"/>
        <w:tabs>
          <w:tab w:val="left" w:pos="567"/>
        </w:tabs>
        <w:rPr>
          <w:sz w:val="22"/>
          <w:szCs w:val="22"/>
        </w:rPr>
      </w:pPr>
      <w:r>
        <w:rPr>
          <w:sz w:val="22"/>
          <w:szCs w:val="22"/>
        </w:rPr>
        <w:t>N112 – LT/1/13/3461/006</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540"/>
          <w:tab w:val="left" w:pos="567"/>
        </w:tabs>
        <w:spacing w:after="0" w:line="240" w:lineRule="auto"/>
        <w:ind w:left="540" w:hanging="540"/>
        <w:rPr>
          <w:rFonts w:ascii="Times New Roman" w:hAnsi="Times New Roman" w:cs="Times New Roman"/>
          <w:b/>
          <w:bCs/>
        </w:rPr>
      </w:pPr>
      <w:r w:rsidRPr="000D48A3">
        <w:rPr>
          <w:rFonts w:ascii="Times New Roman" w:hAnsi="Times New Roman" w:cs="Times New Roman"/>
          <w:b/>
          <w:bCs/>
        </w:rPr>
        <w:t>9.</w:t>
      </w:r>
      <w:r w:rsidRPr="000D48A3">
        <w:rPr>
          <w:rFonts w:ascii="Times New Roman" w:hAnsi="Times New Roman" w:cs="Times New Roman"/>
          <w:b/>
          <w:bCs/>
        </w:rPr>
        <w:tab/>
        <w:t>R</w:t>
      </w:r>
      <w:r>
        <w:rPr>
          <w:rFonts w:ascii="Times New Roman" w:hAnsi="Times New Roman" w:cs="Times New Roman"/>
          <w:b/>
          <w:bCs/>
        </w:rPr>
        <w:t xml:space="preserve">EGISTRAVIMO / PERREGISTRAVIMO </w:t>
      </w:r>
      <w:r w:rsidRPr="000D48A3">
        <w:rPr>
          <w:rFonts w:ascii="Times New Roman" w:hAnsi="Times New Roman" w:cs="Times New Roman"/>
          <w:b/>
          <w:bCs/>
        </w:rPr>
        <w:t xml:space="preserve"> DATA</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Default="00A4103A" w:rsidP="00A4103A">
      <w:pPr>
        <w:pStyle w:val="BTEMEASMCA"/>
      </w:pPr>
      <w:r w:rsidRPr="000D48A3">
        <w:rPr>
          <w:lang w:eastAsia="lt-LT"/>
        </w:rPr>
        <w:t>R</w:t>
      </w:r>
      <w:r>
        <w:rPr>
          <w:lang w:eastAsia="lt-LT"/>
        </w:rPr>
        <w:t xml:space="preserve">egistravimo data </w:t>
      </w:r>
      <w:r>
        <w:t>2013 m. gruodžio mėn. 11 d.</w:t>
      </w: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425"/>
          <w:tab w:val="left" w:pos="567"/>
        </w:tabs>
        <w:spacing w:after="0" w:line="240" w:lineRule="auto"/>
        <w:rPr>
          <w:rFonts w:ascii="Times New Roman" w:hAnsi="Times New Roman" w:cs="Times New Roman"/>
        </w:rPr>
      </w:pPr>
    </w:p>
    <w:p w:rsidR="00A4103A" w:rsidRPr="000D48A3" w:rsidRDefault="00A4103A" w:rsidP="00A4103A">
      <w:pPr>
        <w:tabs>
          <w:tab w:val="left" w:pos="540"/>
          <w:tab w:val="left" w:pos="567"/>
        </w:tabs>
        <w:spacing w:after="0" w:line="240" w:lineRule="auto"/>
        <w:ind w:left="540" w:hanging="540"/>
        <w:rPr>
          <w:rFonts w:ascii="Times New Roman" w:hAnsi="Times New Roman" w:cs="Times New Roman"/>
          <w:b/>
          <w:bCs/>
        </w:rPr>
      </w:pPr>
      <w:r w:rsidRPr="000D48A3">
        <w:rPr>
          <w:rFonts w:ascii="Times New Roman" w:hAnsi="Times New Roman" w:cs="Times New Roman"/>
          <w:b/>
          <w:bCs/>
        </w:rPr>
        <w:t>10.</w:t>
      </w:r>
      <w:r w:rsidRPr="000D48A3">
        <w:rPr>
          <w:rFonts w:ascii="Times New Roman" w:hAnsi="Times New Roman" w:cs="Times New Roman"/>
          <w:b/>
          <w:bCs/>
        </w:rPr>
        <w:tab/>
        <w:t>TEKSTO PERŽIŪROS DATA</w:t>
      </w:r>
    </w:p>
    <w:p w:rsidR="00A4103A" w:rsidRDefault="00A4103A" w:rsidP="00A4103A">
      <w:pPr>
        <w:tabs>
          <w:tab w:val="left" w:pos="425"/>
          <w:tab w:val="left" w:pos="567"/>
        </w:tabs>
        <w:spacing w:after="0" w:line="240" w:lineRule="auto"/>
        <w:rPr>
          <w:rFonts w:ascii="Times New Roman" w:hAnsi="Times New Roman" w:cs="Times New Roman"/>
        </w:rPr>
      </w:pPr>
    </w:p>
    <w:p w:rsidR="00A4103A" w:rsidRDefault="002B50B7" w:rsidP="00A4103A">
      <w:pPr>
        <w:spacing w:after="0" w:line="240" w:lineRule="auto"/>
        <w:rPr>
          <w:rFonts w:ascii="Times New Roman" w:hAnsi="Times New Roman" w:cs="Times New Roman"/>
        </w:rPr>
      </w:pPr>
      <w:r>
        <w:rPr>
          <w:rFonts w:ascii="Times New Roman" w:hAnsi="Times New Roman" w:cs="Times New Roman"/>
        </w:rPr>
        <w:t>2016 m. gruodžio 5</w:t>
      </w:r>
      <w:r w:rsidR="00870EAD">
        <w:rPr>
          <w:rFonts w:ascii="Times New Roman" w:hAnsi="Times New Roman" w:cs="Times New Roman"/>
        </w:rPr>
        <w:t xml:space="preserve"> d.</w:t>
      </w:r>
    </w:p>
    <w:p w:rsidR="00870EAD" w:rsidRPr="000D48A3" w:rsidRDefault="00870EAD" w:rsidP="00A4103A">
      <w:pPr>
        <w:spacing w:after="0" w:line="240" w:lineRule="auto"/>
        <w:rPr>
          <w:rFonts w:ascii="Times New Roman" w:hAnsi="Times New Roman" w:cs="Times New Roman"/>
        </w:rPr>
      </w:pPr>
    </w:p>
    <w:p w:rsidR="00A4103A" w:rsidRPr="000D48A3" w:rsidRDefault="00A4103A" w:rsidP="00A4103A">
      <w:pPr>
        <w:rPr>
          <w:rFonts w:ascii="Times New Roman" w:hAnsi="Times New Roman" w:cs="Times New Roman"/>
          <w:lang w:eastAsia="lt-LT"/>
        </w:rPr>
      </w:pPr>
      <w:r w:rsidRPr="000D48A3">
        <w:rPr>
          <w:rFonts w:ascii="Times New Roman" w:hAnsi="Times New Roman" w:cs="Times New Roman"/>
          <w:lang w:eastAsia="lt-LT"/>
        </w:rPr>
        <w:t>Išsami informacija apie šį vaistinį preparatą pateikiama Valstybinės vaistų kontrolės tarnybos prie Lietuvos Respublikos sveikatos apsaugos ministerijos tinklalapyje</w:t>
      </w:r>
      <w:r w:rsidR="00E537DE">
        <w:rPr>
          <w:rFonts w:ascii="Times New Roman" w:hAnsi="Times New Roman" w:cs="Times New Roman"/>
          <w:lang w:eastAsia="lt-LT"/>
        </w:rPr>
        <w:t xml:space="preserve"> </w:t>
      </w:r>
      <w:hyperlink r:id="rId9" w:history="1">
        <w:r w:rsidRPr="000D48A3">
          <w:rPr>
            <w:rFonts w:ascii="Times New Roman" w:hAnsi="Times New Roman" w:cs="Times New Roman"/>
            <w:color w:val="0000FF"/>
            <w:u w:val="single"/>
            <w:lang w:eastAsia="lt-LT"/>
          </w:rPr>
          <w:t>http://www.vvkt.lt/</w:t>
        </w:r>
      </w:hyperlink>
      <w:r w:rsidRPr="000D48A3">
        <w:rPr>
          <w:rFonts w:ascii="Times New Roman" w:hAnsi="Times New Roman" w:cs="Times New Roman"/>
          <w:lang w:eastAsia="lt-LT"/>
        </w:rPr>
        <w:br w:type="page"/>
      </w: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BTEMEASMCA"/>
      </w:pPr>
    </w:p>
    <w:p w:rsidR="00A4103A" w:rsidRPr="000D48A3" w:rsidRDefault="00A4103A" w:rsidP="00A4103A">
      <w:pPr>
        <w:pStyle w:val="TTEMEASMCA"/>
        <w:rPr>
          <w:rFonts w:ascii="Times New Roman" w:hAnsi="Times New Roman" w:cs="Times New Roman"/>
          <w:sz w:val="22"/>
          <w:szCs w:val="22"/>
          <w:lang w:val="lt-LT"/>
        </w:rPr>
      </w:pPr>
      <w:bookmarkStart w:id="0" w:name="_Toc129243253"/>
      <w:bookmarkStart w:id="1" w:name="_Toc129243128"/>
      <w:r w:rsidRPr="000D48A3">
        <w:rPr>
          <w:rFonts w:ascii="Times New Roman" w:hAnsi="Times New Roman" w:cs="Times New Roman"/>
          <w:sz w:val="22"/>
          <w:szCs w:val="22"/>
          <w:lang w:val="lt-LT"/>
        </w:rPr>
        <w:t>II PRIEDAS</w:t>
      </w:r>
      <w:bookmarkEnd w:id="0"/>
      <w:bookmarkEnd w:id="1"/>
    </w:p>
    <w:p w:rsidR="00A4103A" w:rsidRPr="000D48A3" w:rsidRDefault="00A4103A" w:rsidP="00A4103A">
      <w:pPr>
        <w:pStyle w:val="TTEMEASMCA"/>
        <w:rPr>
          <w:rFonts w:ascii="Times New Roman" w:hAnsi="Times New Roman" w:cs="Times New Roman"/>
          <w:sz w:val="22"/>
          <w:szCs w:val="22"/>
          <w:lang w:val="lt-LT"/>
        </w:rPr>
      </w:pPr>
    </w:p>
    <w:p w:rsidR="00A4103A" w:rsidRPr="000D48A3" w:rsidRDefault="00A4103A" w:rsidP="00A4103A">
      <w:pPr>
        <w:pStyle w:val="TTEMEASMCA"/>
        <w:rPr>
          <w:rFonts w:ascii="Times New Roman" w:hAnsi="Times New Roman" w:cs="Times New Roman"/>
          <w:sz w:val="22"/>
          <w:szCs w:val="22"/>
          <w:lang w:val="lt-LT"/>
        </w:rPr>
      </w:pPr>
      <w:r w:rsidRPr="000D48A3">
        <w:rPr>
          <w:rFonts w:ascii="Times New Roman" w:hAnsi="Times New Roman" w:cs="Times New Roman"/>
          <w:sz w:val="22"/>
          <w:szCs w:val="22"/>
          <w:lang w:val="lt-LT"/>
        </w:rPr>
        <w:t>R</w:t>
      </w:r>
      <w:r>
        <w:rPr>
          <w:rFonts w:ascii="Times New Roman" w:hAnsi="Times New Roman" w:cs="Times New Roman"/>
          <w:sz w:val="22"/>
          <w:szCs w:val="22"/>
          <w:lang w:val="lt-LT"/>
        </w:rPr>
        <w:t xml:space="preserve">EGISTRACIJOS </w:t>
      </w:r>
      <w:r w:rsidRPr="000D48A3">
        <w:rPr>
          <w:rFonts w:ascii="Times New Roman" w:hAnsi="Times New Roman" w:cs="Times New Roman"/>
          <w:sz w:val="22"/>
          <w:szCs w:val="22"/>
          <w:lang w:val="lt-LT"/>
        </w:rPr>
        <w:t xml:space="preserve"> SĄLYGOS</w:t>
      </w:r>
    </w:p>
    <w:p w:rsidR="00A4103A" w:rsidRPr="000D48A3" w:rsidRDefault="00A4103A" w:rsidP="00A4103A">
      <w:pPr>
        <w:pStyle w:val="BTEMEASMCA"/>
      </w:pPr>
    </w:p>
    <w:p w:rsidR="00A4103A" w:rsidRPr="000D48A3" w:rsidRDefault="00A4103A" w:rsidP="00A4103A">
      <w:pPr>
        <w:pStyle w:val="BTAnIIEMEASMCA"/>
        <w:rPr>
          <w:highlight w:val="yellow"/>
          <w:lang w:val="lt-LT"/>
        </w:rPr>
      </w:pPr>
      <w:r w:rsidRPr="000D48A3">
        <w:rPr>
          <w:lang w:val="lt-LT"/>
        </w:rPr>
        <w:t>A.</w:t>
      </w:r>
      <w:r w:rsidRPr="000D48A3">
        <w:rPr>
          <w:lang w:val="lt-LT"/>
        </w:rPr>
        <w:tab/>
        <w:t>GAMINTO</w:t>
      </w:r>
      <w:r>
        <w:rPr>
          <w:lang w:val="lt-LT"/>
        </w:rPr>
        <w:t>J</w:t>
      </w:r>
      <w:r w:rsidRPr="000D48A3">
        <w:rPr>
          <w:lang w:val="lt-LT"/>
        </w:rPr>
        <w:t>AS (-AI), ATSAKINGAS (-I) UŽ SERIJŲ IŠLEIDIMĄ</w:t>
      </w:r>
    </w:p>
    <w:p w:rsidR="00A4103A" w:rsidRPr="000D48A3" w:rsidRDefault="00A4103A" w:rsidP="00A4103A">
      <w:pPr>
        <w:pStyle w:val="BTEMEASMCA"/>
        <w:rPr>
          <w:highlight w:val="yellow"/>
        </w:rPr>
      </w:pPr>
    </w:p>
    <w:p w:rsidR="00A4103A" w:rsidRPr="000D48A3" w:rsidRDefault="00A4103A" w:rsidP="00A4103A">
      <w:pPr>
        <w:pStyle w:val="BTAnIIEMEASMCA"/>
        <w:rPr>
          <w:lang w:val="lt-LT"/>
        </w:rPr>
      </w:pPr>
      <w:r w:rsidRPr="000D48A3">
        <w:rPr>
          <w:lang w:val="lt-LT"/>
        </w:rPr>
        <w:t>B.</w:t>
      </w:r>
      <w:r w:rsidRPr="000D48A3">
        <w:rPr>
          <w:lang w:val="lt-LT"/>
        </w:rPr>
        <w:tab/>
      </w:r>
      <w:r w:rsidRPr="000D48A3">
        <w:rPr>
          <w:kern w:val="28"/>
          <w:lang w:val="lt-LT"/>
        </w:rPr>
        <w:t>TIEKIMO IR VARTOJIMO SĄLYGOS AR APRIBOJIMAI</w:t>
      </w:r>
    </w:p>
    <w:p w:rsidR="00A4103A" w:rsidRPr="000D48A3" w:rsidRDefault="00A4103A" w:rsidP="00A4103A">
      <w:pPr>
        <w:pStyle w:val="BTEMEASMCA"/>
        <w:rPr>
          <w:highlight w:val="yellow"/>
        </w:rPr>
      </w:pPr>
    </w:p>
    <w:p w:rsidR="00A4103A" w:rsidRPr="000D48A3" w:rsidRDefault="00A4103A" w:rsidP="00A4103A">
      <w:r w:rsidRPr="000D48A3">
        <w:br w:type="page"/>
      </w:r>
    </w:p>
    <w:p w:rsidR="00A4103A" w:rsidRPr="000D48A3" w:rsidRDefault="00A4103A" w:rsidP="00A4103A">
      <w:pPr>
        <w:keepNext/>
        <w:tabs>
          <w:tab w:val="left" w:pos="567"/>
        </w:tabs>
        <w:spacing w:after="0" w:line="240" w:lineRule="auto"/>
        <w:ind w:left="567" w:hanging="567"/>
        <w:outlineLvl w:val="1"/>
        <w:rPr>
          <w:rFonts w:ascii="Times New Roman" w:hAnsi="Times New Roman" w:cs="Times New Roman"/>
          <w:b/>
          <w:bCs/>
        </w:rPr>
      </w:pPr>
      <w:r w:rsidRPr="000D48A3">
        <w:rPr>
          <w:rFonts w:ascii="Times New Roman" w:hAnsi="Times New Roman" w:cs="Times New Roman"/>
          <w:b/>
          <w:bCs/>
        </w:rPr>
        <w:lastRenderedPageBreak/>
        <w:t>A.</w:t>
      </w:r>
      <w:r w:rsidRPr="000D48A3">
        <w:rPr>
          <w:rFonts w:ascii="Times New Roman" w:hAnsi="Times New Roman" w:cs="Times New Roman"/>
          <w:b/>
          <w:bCs/>
        </w:rPr>
        <w:tab/>
        <w:t>GAMINTO</w:t>
      </w:r>
      <w:r>
        <w:rPr>
          <w:rFonts w:ascii="Times New Roman" w:hAnsi="Times New Roman" w:cs="Times New Roman"/>
          <w:b/>
          <w:bCs/>
        </w:rPr>
        <w:t>J</w:t>
      </w:r>
      <w:r w:rsidRPr="000D48A3">
        <w:rPr>
          <w:rFonts w:ascii="Times New Roman" w:hAnsi="Times New Roman" w:cs="Times New Roman"/>
          <w:b/>
          <w:bCs/>
        </w:rPr>
        <w:t>AI, ATSAKINGI UŽ SERIJŲ IŠLEIDIMĄ</w:t>
      </w:r>
    </w:p>
    <w:p w:rsidR="00A4103A" w:rsidRPr="000D48A3" w:rsidRDefault="00A4103A" w:rsidP="00A4103A">
      <w:pPr>
        <w:spacing w:after="0" w:line="240" w:lineRule="auto"/>
        <w:rPr>
          <w:rFonts w:ascii="Times New Roman" w:hAnsi="Times New Roman" w:cs="Times New Roman"/>
          <w:highlight w:val="yellow"/>
        </w:rPr>
      </w:pPr>
    </w:p>
    <w:p w:rsidR="00A4103A" w:rsidRPr="000D48A3" w:rsidRDefault="00A4103A" w:rsidP="00A4103A">
      <w:pPr>
        <w:spacing w:after="0" w:line="240" w:lineRule="auto"/>
        <w:rPr>
          <w:rFonts w:ascii="Times New Roman" w:hAnsi="Times New Roman" w:cs="Times New Roman"/>
          <w:u w:val="single"/>
        </w:rPr>
      </w:pPr>
      <w:r w:rsidRPr="000D48A3">
        <w:rPr>
          <w:rFonts w:ascii="Times New Roman" w:hAnsi="Times New Roman" w:cs="Times New Roman"/>
          <w:u w:val="single"/>
        </w:rPr>
        <w:t>Gamintojų, atsakingų už serijų išleidimą, pavadinimai ir adresai</w:t>
      </w:r>
    </w:p>
    <w:p w:rsidR="00A4103A" w:rsidRPr="000D48A3" w:rsidRDefault="00A4103A" w:rsidP="00A4103A">
      <w:pPr>
        <w:tabs>
          <w:tab w:val="left" w:pos="425"/>
        </w:tabs>
        <w:spacing w:after="0" w:line="240" w:lineRule="auto"/>
        <w:jc w:val="both"/>
        <w:rPr>
          <w:rFonts w:ascii="Times New Roman" w:hAnsi="Times New Roman" w:cs="Times New Roman"/>
        </w:rPr>
      </w:pPr>
    </w:p>
    <w:p w:rsidR="00A4103A" w:rsidRPr="000D48A3" w:rsidRDefault="00A4103A" w:rsidP="00A4103A">
      <w:pPr>
        <w:tabs>
          <w:tab w:val="left" w:pos="425"/>
        </w:tabs>
        <w:spacing w:after="0" w:line="240" w:lineRule="auto"/>
        <w:jc w:val="both"/>
        <w:rPr>
          <w:rFonts w:ascii="Times New Roman" w:hAnsi="Times New Roman" w:cs="Times New Roman"/>
        </w:rPr>
      </w:pPr>
      <w:proofErr w:type="spellStart"/>
      <w:r w:rsidRPr="000D48A3">
        <w:rPr>
          <w:rFonts w:ascii="Times New Roman" w:hAnsi="Times New Roman" w:cs="Times New Roman"/>
        </w:rPr>
        <w:t>Cemelog</w:t>
      </w:r>
      <w:proofErr w:type="spellEnd"/>
      <w:r w:rsidRPr="000D48A3">
        <w:rPr>
          <w:rFonts w:ascii="Times New Roman" w:hAnsi="Times New Roman" w:cs="Times New Roman"/>
        </w:rPr>
        <w:t xml:space="preserve">-BRS </w:t>
      </w:r>
      <w:proofErr w:type="spellStart"/>
      <w:r w:rsidRPr="000D48A3">
        <w:rPr>
          <w:rFonts w:ascii="Times New Roman" w:hAnsi="Times New Roman" w:cs="Times New Roman"/>
        </w:rPr>
        <w:t>Ltd</w:t>
      </w:r>
      <w:proofErr w:type="spellEnd"/>
      <w:r w:rsidRPr="000D48A3">
        <w:rPr>
          <w:rFonts w:ascii="Times New Roman" w:hAnsi="Times New Roman" w:cs="Times New Roman"/>
        </w:rPr>
        <w:t xml:space="preserve"> </w:t>
      </w:r>
    </w:p>
    <w:p w:rsidR="00A4103A" w:rsidRPr="000D48A3" w:rsidRDefault="00A4103A" w:rsidP="00A4103A">
      <w:pPr>
        <w:tabs>
          <w:tab w:val="left" w:pos="425"/>
        </w:tabs>
        <w:spacing w:after="0" w:line="240" w:lineRule="auto"/>
        <w:jc w:val="both"/>
        <w:rPr>
          <w:rFonts w:ascii="Times New Roman" w:hAnsi="Times New Roman" w:cs="Times New Roman"/>
        </w:rPr>
      </w:pPr>
      <w:r w:rsidRPr="000D48A3">
        <w:rPr>
          <w:rFonts w:ascii="Times New Roman" w:hAnsi="Times New Roman" w:cs="Times New Roman"/>
        </w:rPr>
        <w:t xml:space="preserve">H-2040 </w:t>
      </w:r>
      <w:proofErr w:type="spellStart"/>
      <w:r w:rsidRPr="000D48A3">
        <w:rPr>
          <w:rFonts w:ascii="Times New Roman" w:hAnsi="Times New Roman" w:cs="Times New Roman"/>
        </w:rPr>
        <w:t>Budaörs</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Vasut</w:t>
      </w:r>
      <w:proofErr w:type="spellEnd"/>
      <w:r w:rsidRPr="000D48A3">
        <w:rPr>
          <w:rFonts w:ascii="Times New Roman" w:hAnsi="Times New Roman" w:cs="Times New Roman"/>
        </w:rPr>
        <w:t xml:space="preserve"> u. 13 </w:t>
      </w:r>
    </w:p>
    <w:p w:rsidR="00A4103A" w:rsidRPr="000D48A3" w:rsidRDefault="00A4103A" w:rsidP="00A4103A">
      <w:pPr>
        <w:tabs>
          <w:tab w:val="left" w:pos="425"/>
        </w:tabs>
        <w:spacing w:after="0" w:line="240" w:lineRule="auto"/>
        <w:jc w:val="both"/>
        <w:rPr>
          <w:rFonts w:ascii="Times New Roman" w:hAnsi="Times New Roman" w:cs="Times New Roman"/>
        </w:rPr>
      </w:pPr>
      <w:r w:rsidRPr="000D48A3">
        <w:rPr>
          <w:rFonts w:ascii="Times New Roman" w:hAnsi="Times New Roman" w:cs="Times New Roman"/>
        </w:rPr>
        <w:t xml:space="preserve">Vengrija </w:t>
      </w:r>
    </w:p>
    <w:p w:rsidR="00A4103A" w:rsidRDefault="00A4103A" w:rsidP="00A4103A">
      <w:pPr>
        <w:tabs>
          <w:tab w:val="left" w:pos="425"/>
        </w:tabs>
        <w:spacing w:after="0" w:line="240" w:lineRule="auto"/>
        <w:jc w:val="both"/>
        <w:rPr>
          <w:rFonts w:ascii="Times New Roman" w:hAnsi="Times New Roman" w:cs="Times New Roman"/>
        </w:rPr>
      </w:pPr>
    </w:p>
    <w:p w:rsidR="00A4103A" w:rsidRDefault="00A4103A" w:rsidP="00A4103A">
      <w:pPr>
        <w:tabs>
          <w:tab w:val="left" w:pos="425"/>
        </w:tabs>
        <w:spacing w:after="0" w:line="240" w:lineRule="auto"/>
        <w:jc w:val="both"/>
        <w:rPr>
          <w:rFonts w:ascii="Times New Roman" w:hAnsi="Times New Roman" w:cs="Times New Roman"/>
        </w:rPr>
      </w:pPr>
      <w:r>
        <w:rPr>
          <w:rFonts w:ascii="Times New Roman" w:hAnsi="Times New Roman" w:cs="Times New Roman"/>
        </w:rPr>
        <w:t>arba</w:t>
      </w:r>
    </w:p>
    <w:p w:rsidR="00A4103A" w:rsidRPr="000D48A3" w:rsidRDefault="00A4103A" w:rsidP="00A4103A">
      <w:pPr>
        <w:tabs>
          <w:tab w:val="left" w:pos="425"/>
        </w:tabs>
        <w:spacing w:after="0" w:line="240" w:lineRule="auto"/>
        <w:jc w:val="both"/>
        <w:rPr>
          <w:rFonts w:ascii="Times New Roman" w:hAnsi="Times New Roman" w:cs="Times New Roman"/>
        </w:rPr>
      </w:pPr>
      <w:r w:rsidRPr="000D48A3">
        <w:rPr>
          <w:rFonts w:ascii="Times New Roman" w:hAnsi="Times New Roman" w:cs="Times New Roman"/>
        </w:rPr>
        <w:t> </w:t>
      </w:r>
    </w:p>
    <w:p w:rsidR="00A4103A" w:rsidRPr="000D48A3" w:rsidRDefault="00A4103A" w:rsidP="00A4103A">
      <w:pPr>
        <w:tabs>
          <w:tab w:val="left" w:pos="425"/>
        </w:tabs>
        <w:spacing w:after="0" w:line="240" w:lineRule="auto"/>
        <w:jc w:val="both"/>
        <w:rPr>
          <w:rFonts w:ascii="Times New Roman" w:hAnsi="Times New Roman" w:cs="Times New Roman"/>
        </w:rPr>
      </w:pPr>
      <w:r w:rsidRPr="000D48A3">
        <w:rPr>
          <w:rFonts w:ascii="Times New Roman" w:hAnsi="Times New Roman" w:cs="Times New Roman"/>
        </w:rPr>
        <w:t xml:space="preserve">S.C. </w:t>
      </w:r>
      <w:proofErr w:type="spellStart"/>
      <w:r w:rsidRPr="000D48A3">
        <w:rPr>
          <w:rFonts w:ascii="Times New Roman" w:hAnsi="Times New Roman" w:cs="Times New Roman"/>
        </w:rPr>
        <w:t>Sandoz</w:t>
      </w:r>
      <w:proofErr w:type="spellEnd"/>
      <w:r w:rsidRPr="000D48A3">
        <w:rPr>
          <w:rFonts w:ascii="Times New Roman" w:hAnsi="Times New Roman" w:cs="Times New Roman"/>
        </w:rPr>
        <w:t xml:space="preserve">, S.R.L. </w:t>
      </w:r>
    </w:p>
    <w:p w:rsidR="00A4103A" w:rsidRPr="000D48A3" w:rsidRDefault="00A4103A" w:rsidP="00A4103A">
      <w:pPr>
        <w:tabs>
          <w:tab w:val="left" w:pos="425"/>
        </w:tabs>
        <w:spacing w:after="0" w:line="240" w:lineRule="auto"/>
        <w:jc w:val="both"/>
        <w:rPr>
          <w:rFonts w:ascii="Times New Roman" w:hAnsi="Times New Roman" w:cs="Times New Roman"/>
        </w:rPr>
      </w:pPr>
      <w:r w:rsidRPr="000D48A3">
        <w:rPr>
          <w:rFonts w:ascii="Times New Roman" w:hAnsi="Times New Roman" w:cs="Times New Roman"/>
        </w:rPr>
        <w:t xml:space="preserve">Str. </w:t>
      </w:r>
      <w:proofErr w:type="spellStart"/>
      <w:r w:rsidRPr="000D48A3">
        <w:rPr>
          <w:rFonts w:ascii="Times New Roman" w:hAnsi="Times New Roman" w:cs="Times New Roman"/>
        </w:rPr>
        <w:t>Livezeni</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nr.</w:t>
      </w:r>
      <w:proofErr w:type="spellEnd"/>
      <w:r w:rsidRPr="000D48A3">
        <w:rPr>
          <w:rFonts w:ascii="Times New Roman" w:hAnsi="Times New Roman" w:cs="Times New Roman"/>
        </w:rPr>
        <w:t xml:space="preserve"> 7A, RO-540472 </w:t>
      </w:r>
      <w:proofErr w:type="spellStart"/>
      <w:r w:rsidRPr="000D48A3">
        <w:rPr>
          <w:rFonts w:ascii="Times New Roman" w:hAnsi="Times New Roman" w:cs="Times New Roman"/>
        </w:rPr>
        <w:t>Targu-Mures</w:t>
      </w:r>
      <w:proofErr w:type="spellEnd"/>
    </w:p>
    <w:p w:rsidR="00A4103A" w:rsidRPr="000D48A3" w:rsidRDefault="00A4103A" w:rsidP="00A4103A">
      <w:pPr>
        <w:tabs>
          <w:tab w:val="left" w:pos="425"/>
        </w:tabs>
        <w:spacing w:after="0" w:line="240" w:lineRule="auto"/>
        <w:jc w:val="both"/>
        <w:rPr>
          <w:rFonts w:ascii="Times New Roman" w:hAnsi="Times New Roman" w:cs="Times New Roman"/>
        </w:rPr>
      </w:pPr>
      <w:r w:rsidRPr="000D48A3">
        <w:rPr>
          <w:rFonts w:ascii="Times New Roman" w:hAnsi="Times New Roman" w:cs="Times New Roman"/>
        </w:rPr>
        <w:t xml:space="preserve">Rumunija </w:t>
      </w:r>
    </w:p>
    <w:p w:rsidR="00A4103A" w:rsidRDefault="00A4103A" w:rsidP="00A4103A">
      <w:pPr>
        <w:tabs>
          <w:tab w:val="left" w:pos="425"/>
        </w:tabs>
        <w:spacing w:after="0" w:line="240" w:lineRule="auto"/>
        <w:jc w:val="both"/>
        <w:rPr>
          <w:rFonts w:ascii="Times New Roman" w:hAnsi="Times New Roman" w:cs="Times New Roman"/>
        </w:rPr>
      </w:pPr>
    </w:p>
    <w:p w:rsidR="00A4103A" w:rsidRDefault="00A4103A" w:rsidP="00A4103A">
      <w:pPr>
        <w:tabs>
          <w:tab w:val="left" w:pos="425"/>
        </w:tabs>
        <w:spacing w:after="0" w:line="240" w:lineRule="auto"/>
        <w:jc w:val="both"/>
        <w:rPr>
          <w:rFonts w:ascii="Times New Roman" w:hAnsi="Times New Roman" w:cs="Times New Roman"/>
        </w:rPr>
      </w:pPr>
      <w:r>
        <w:rPr>
          <w:rFonts w:ascii="Times New Roman" w:hAnsi="Times New Roman" w:cs="Times New Roman"/>
        </w:rPr>
        <w:t>arba</w:t>
      </w:r>
    </w:p>
    <w:p w:rsidR="00A4103A" w:rsidRPr="000D48A3" w:rsidRDefault="00A4103A" w:rsidP="00A4103A">
      <w:pPr>
        <w:tabs>
          <w:tab w:val="left" w:pos="425"/>
        </w:tabs>
        <w:spacing w:after="0" w:line="240" w:lineRule="auto"/>
        <w:jc w:val="both"/>
        <w:rPr>
          <w:rFonts w:ascii="Times New Roman" w:hAnsi="Times New Roman" w:cs="Times New Roman"/>
        </w:rPr>
      </w:pPr>
      <w:r w:rsidRPr="000D48A3">
        <w:rPr>
          <w:rFonts w:ascii="Times New Roman" w:hAnsi="Times New Roman" w:cs="Times New Roman"/>
        </w:rPr>
        <w:t> </w:t>
      </w:r>
    </w:p>
    <w:p w:rsidR="00A4103A" w:rsidRPr="000D48A3" w:rsidRDefault="00A4103A" w:rsidP="00A4103A">
      <w:pPr>
        <w:tabs>
          <w:tab w:val="left" w:pos="425"/>
        </w:tabs>
        <w:spacing w:after="0" w:line="240" w:lineRule="auto"/>
        <w:jc w:val="both"/>
        <w:rPr>
          <w:rFonts w:ascii="Times New Roman" w:hAnsi="Times New Roman" w:cs="Times New Roman"/>
        </w:rPr>
      </w:pPr>
      <w:proofErr w:type="spellStart"/>
      <w:r w:rsidRPr="000D48A3">
        <w:rPr>
          <w:rFonts w:ascii="Times New Roman" w:hAnsi="Times New Roman" w:cs="Times New Roman"/>
        </w:rPr>
        <w:t>Lek</w:t>
      </w:r>
      <w:proofErr w:type="spellEnd"/>
      <w:r w:rsidRPr="000D48A3">
        <w:rPr>
          <w:rFonts w:ascii="Times New Roman" w:hAnsi="Times New Roman" w:cs="Times New Roman"/>
        </w:rPr>
        <w:t xml:space="preserve"> S.A. </w:t>
      </w:r>
    </w:p>
    <w:p w:rsidR="00A4103A" w:rsidRPr="000D48A3" w:rsidRDefault="00A4103A" w:rsidP="00A4103A">
      <w:pPr>
        <w:tabs>
          <w:tab w:val="left" w:pos="425"/>
        </w:tabs>
        <w:spacing w:after="0" w:line="240" w:lineRule="auto"/>
        <w:jc w:val="both"/>
        <w:rPr>
          <w:rFonts w:ascii="Times New Roman" w:hAnsi="Times New Roman" w:cs="Times New Roman"/>
        </w:rPr>
      </w:pPr>
      <w:proofErr w:type="spellStart"/>
      <w:r w:rsidRPr="000D48A3">
        <w:rPr>
          <w:rFonts w:ascii="Times New Roman" w:hAnsi="Times New Roman" w:cs="Times New Roman"/>
        </w:rPr>
        <w:t>ul</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Domaniewska</w:t>
      </w:r>
      <w:proofErr w:type="spellEnd"/>
      <w:r w:rsidRPr="000D48A3">
        <w:rPr>
          <w:rFonts w:ascii="Times New Roman" w:hAnsi="Times New Roman" w:cs="Times New Roman"/>
        </w:rPr>
        <w:t xml:space="preserve"> 50 C, 02-672 </w:t>
      </w:r>
      <w:proofErr w:type="spellStart"/>
      <w:r w:rsidRPr="000D48A3">
        <w:rPr>
          <w:rFonts w:ascii="Times New Roman" w:hAnsi="Times New Roman" w:cs="Times New Roman"/>
        </w:rPr>
        <w:t>Warszawa</w:t>
      </w:r>
      <w:proofErr w:type="spellEnd"/>
    </w:p>
    <w:p w:rsidR="00A4103A" w:rsidRPr="000D48A3" w:rsidRDefault="00A4103A" w:rsidP="00A4103A">
      <w:pPr>
        <w:tabs>
          <w:tab w:val="left" w:pos="425"/>
        </w:tabs>
        <w:spacing w:after="0" w:line="240" w:lineRule="auto"/>
        <w:jc w:val="both"/>
        <w:rPr>
          <w:rFonts w:ascii="Times New Roman" w:hAnsi="Times New Roman" w:cs="Times New Roman"/>
        </w:rPr>
      </w:pPr>
      <w:r w:rsidRPr="000D48A3">
        <w:rPr>
          <w:rFonts w:ascii="Times New Roman" w:hAnsi="Times New Roman" w:cs="Times New Roman"/>
        </w:rPr>
        <w:t xml:space="preserve">Lenkija </w:t>
      </w:r>
    </w:p>
    <w:p w:rsidR="00A4103A" w:rsidRDefault="00A4103A" w:rsidP="00A4103A">
      <w:pPr>
        <w:tabs>
          <w:tab w:val="left" w:pos="425"/>
        </w:tabs>
        <w:spacing w:after="0" w:line="240" w:lineRule="auto"/>
        <w:jc w:val="both"/>
        <w:rPr>
          <w:rFonts w:ascii="Times New Roman" w:hAnsi="Times New Roman" w:cs="Times New Roman"/>
        </w:rPr>
      </w:pPr>
    </w:p>
    <w:p w:rsidR="00A4103A" w:rsidRDefault="00A4103A" w:rsidP="00A4103A">
      <w:pPr>
        <w:tabs>
          <w:tab w:val="left" w:pos="425"/>
        </w:tabs>
        <w:spacing w:after="0" w:line="240" w:lineRule="auto"/>
        <w:jc w:val="both"/>
        <w:rPr>
          <w:rFonts w:ascii="Times New Roman" w:hAnsi="Times New Roman" w:cs="Times New Roman"/>
        </w:rPr>
      </w:pPr>
      <w:r>
        <w:rPr>
          <w:rFonts w:ascii="Times New Roman" w:hAnsi="Times New Roman" w:cs="Times New Roman"/>
        </w:rPr>
        <w:t>arba</w:t>
      </w:r>
    </w:p>
    <w:p w:rsidR="00A4103A" w:rsidRPr="000D48A3" w:rsidRDefault="00A4103A" w:rsidP="00A4103A">
      <w:pPr>
        <w:tabs>
          <w:tab w:val="left" w:pos="425"/>
        </w:tabs>
        <w:spacing w:after="0" w:line="240" w:lineRule="auto"/>
        <w:jc w:val="both"/>
        <w:rPr>
          <w:rFonts w:ascii="Times New Roman" w:hAnsi="Times New Roman" w:cs="Times New Roman"/>
        </w:rPr>
      </w:pPr>
      <w:r w:rsidRPr="000D48A3">
        <w:rPr>
          <w:rFonts w:ascii="Times New Roman" w:hAnsi="Times New Roman" w:cs="Times New Roman"/>
        </w:rPr>
        <w:t> </w:t>
      </w:r>
    </w:p>
    <w:p w:rsidR="00A4103A" w:rsidRPr="000D48A3" w:rsidRDefault="00A4103A" w:rsidP="00A4103A">
      <w:pPr>
        <w:tabs>
          <w:tab w:val="left" w:pos="425"/>
        </w:tabs>
        <w:spacing w:after="0" w:line="240" w:lineRule="auto"/>
        <w:jc w:val="both"/>
        <w:rPr>
          <w:rFonts w:ascii="Times New Roman" w:hAnsi="Times New Roman" w:cs="Times New Roman"/>
        </w:rPr>
      </w:pPr>
      <w:proofErr w:type="spellStart"/>
      <w:r w:rsidRPr="000D48A3">
        <w:rPr>
          <w:rFonts w:ascii="Times New Roman" w:hAnsi="Times New Roman" w:cs="Times New Roman"/>
        </w:rPr>
        <w:t>Salutas</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Pharma</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GmbH</w:t>
      </w:r>
      <w:proofErr w:type="spellEnd"/>
      <w:r w:rsidRPr="000D48A3">
        <w:rPr>
          <w:rFonts w:ascii="Times New Roman" w:hAnsi="Times New Roman" w:cs="Times New Roman"/>
        </w:rPr>
        <w:t xml:space="preserve"> </w:t>
      </w:r>
    </w:p>
    <w:p w:rsidR="00A4103A" w:rsidRPr="000D48A3" w:rsidRDefault="00A4103A" w:rsidP="00A4103A">
      <w:pPr>
        <w:tabs>
          <w:tab w:val="left" w:pos="425"/>
        </w:tabs>
        <w:spacing w:after="0" w:line="240" w:lineRule="auto"/>
        <w:jc w:val="both"/>
        <w:rPr>
          <w:rFonts w:ascii="Times New Roman" w:hAnsi="Times New Roman" w:cs="Times New Roman"/>
        </w:rPr>
      </w:pPr>
      <w:proofErr w:type="spellStart"/>
      <w:r w:rsidRPr="000D48A3">
        <w:rPr>
          <w:rFonts w:ascii="Times New Roman" w:hAnsi="Times New Roman" w:cs="Times New Roman"/>
        </w:rPr>
        <w:t>Otto-von-Guericke-Allee</w:t>
      </w:r>
      <w:proofErr w:type="spellEnd"/>
      <w:r w:rsidRPr="000D48A3">
        <w:rPr>
          <w:rFonts w:ascii="Times New Roman" w:hAnsi="Times New Roman" w:cs="Times New Roman"/>
        </w:rPr>
        <w:t xml:space="preserve"> 1, 39179 </w:t>
      </w:r>
      <w:proofErr w:type="spellStart"/>
      <w:r w:rsidRPr="000D48A3">
        <w:rPr>
          <w:rFonts w:ascii="Times New Roman" w:hAnsi="Times New Roman" w:cs="Times New Roman"/>
        </w:rPr>
        <w:t>Barleben</w:t>
      </w:r>
      <w:proofErr w:type="spellEnd"/>
      <w:r w:rsidRPr="000D48A3">
        <w:rPr>
          <w:rFonts w:ascii="Times New Roman" w:hAnsi="Times New Roman" w:cs="Times New Roman"/>
        </w:rPr>
        <w:t xml:space="preserve"> </w:t>
      </w:r>
    </w:p>
    <w:p w:rsidR="00A4103A" w:rsidRPr="000D48A3" w:rsidRDefault="00A4103A" w:rsidP="00A4103A">
      <w:pPr>
        <w:tabs>
          <w:tab w:val="left" w:pos="425"/>
        </w:tabs>
        <w:spacing w:after="0" w:line="240" w:lineRule="auto"/>
        <w:jc w:val="both"/>
        <w:rPr>
          <w:rFonts w:ascii="Times New Roman" w:hAnsi="Times New Roman" w:cs="Times New Roman"/>
        </w:rPr>
      </w:pPr>
      <w:r w:rsidRPr="000D48A3">
        <w:rPr>
          <w:rFonts w:ascii="Times New Roman" w:hAnsi="Times New Roman" w:cs="Times New Roman"/>
        </w:rPr>
        <w:t xml:space="preserve">Vokietija </w:t>
      </w:r>
    </w:p>
    <w:p w:rsidR="00A4103A" w:rsidRDefault="00A4103A" w:rsidP="00A4103A">
      <w:pPr>
        <w:tabs>
          <w:tab w:val="left" w:pos="425"/>
        </w:tabs>
        <w:spacing w:after="0" w:line="240" w:lineRule="auto"/>
        <w:jc w:val="both"/>
        <w:rPr>
          <w:rFonts w:ascii="Times New Roman" w:hAnsi="Times New Roman" w:cs="Times New Roman"/>
        </w:rPr>
      </w:pPr>
    </w:p>
    <w:p w:rsidR="00A4103A" w:rsidRDefault="00A4103A" w:rsidP="00A4103A">
      <w:pPr>
        <w:tabs>
          <w:tab w:val="left" w:pos="425"/>
        </w:tabs>
        <w:spacing w:after="0" w:line="240" w:lineRule="auto"/>
        <w:jc w:val="both"/>
        <w:rPr>
          <w:rFonts w:ascii="Times New Roman" w:hAnsi="Times New Roman" w:cs="Times New Roman"/>
        </w:rPr>
      </w:pPr>
      <w:r>
        <w:rPr>
          <w:rFonts w:ascii="Times New Roman" w:hAnsi="Times New Roman" w:cs="Times New Roman"/>
        </w:rPr>
        <w:t>arba</w:t>
      </w:r>
    </w:p>
    <w:p w:rsidR="00A4103A" w:rsidRPr="000D48A3" w:rsidRDefault="00A4103A" w:rsidP="00A4103A">
      <w:pPr>
        <w:tabs>
          <w:tab w:val="left" w:pos="425"/>
        </w:tabs>
        <w:spacing w:after="0" w:line="240" w:lineRule="auto"/>
        <w:jc w:val="both"/>
        <w:rPr>
          <w:rFonts w:ascii="Times New Roman" w:hAnsi="Times New Roman" w:cs="Times New Roman"/>
        </w:rPr>
      </w:pPr>
      <w:r w:rsidRPr="000D48A3">
        <w:rPr>
          <w:rFonts w:ascii="Times New Roman" w:hAnsi="Times New Roman" w:cs="Times New Roman"/>
        </w:rPr>
        <w:t> </w:t>
      </w:r>
    </w:p>
    <w:p w:rsidR="00A4103A" w:rsidRPr="000D48A3" w:rsidRDefault="00A4103A" w:rsidP="00A4103A">
      <w:pPr>
        <w:tabs>
          <w:tab w:val="left" w:pos="425"/>
        </w:tabs>
        <w:spacing w:after="0" w:line="240" w:lineRule="auto"/>
        <w:jc w:val="both"/>
        <w:rPr>
          <w:rFonts w:ascii="Times New Roman" w:hAnsi="Times New Roman" w:cs="Times New Roman"/>
        </w:rPr>
      </w:pPr>
      <w:proofErr w:type="spellStart"/>
      <w:r w:rsidRPr="000D48A3">
        <w:rPr>
          <w:rFonts w:ascii="Times New Roman" w:hAnsi="Times New Roman" w:cs="Times New Roman"/>
        </w:rPr>
        <w:t>Lek</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Pharmaceuticals</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d.d</w:t>
      </w:r>
      <w:proofErr w:type="spellEnd"/>
      <w:r w:rsidRPr="000D48A3">
        <w:rPr>
          <w:rFonts w:ascii="Times New Roman" w:hAnsi="Times New Roman" w:cs="Times New Roman"/>
        </w:rPr>
        <w:t xml:space="preserve">. </w:t>
      </w:r>
    </w:p>
    <w:p w:rsidR="00A4103A" w:rsidRPr="000D48A3" w:rsidRDefault="00A4103A" w:rsidP="00A4103A">
      <w:pPr>
        <w:tabs>
          <w:tab w:val="left" w:pos="425"/>
        </w:tabs>
        <w:spacing w:after="0" w:line="240" w:lineRule="auto"/>
        <w:jc w:val="both"/>
        <w:rPr>
          <w:rFonts w:ascii="Times New Roman" w:hAnsi="Times New Roman" w:cs="Times New Roman"/>
        </w:rPr>
      </w:pPr>
      <w:proofErr w:type="spellStart"/>
      <w:r w:rsidRPr="000D48A3">
        <w:rPr>
          <w:rFonts w:ascii="Times New Roman" w:hAnsi="Times New Roman" w:cs="Times New Roman"/>
        </w:rPr>
        <w:t>Verovškova</w:t>
      </w:r>
      <w:proofErr w:type="spellEnd"/>
      <w:r w:rsidRPr="000D48A3">
        <w:rPr>
          <w:rFonts w:ascii="Times New Roman" w:hAnsi="Times New Roman" w:cs="Times New Roman"/>
        </w:rPr>
        <w:t xml:space="preserve"> 57, 1526 </w:t>
      </w:r>
      <w:proofErr w:type="spellStart"/>
      <w:r w:rsidRPr="000D48A3">
        <w:rPr>
          <w:rFonts w:ascii="Times New Roman" w:hAnsi="Times New Roman" w:cs="Times New Roman"/>
        </w:rPr>
        <w:t>Ljubljana</w:t>
      </w:r>
      <w:proofErr w:type="spellEnd"/>
      <w:r w:rsidRPr="000D48A3">
        <w:rPr>
          <w:rFonts w:ascii="Times New Roman" w:hAnsi="Times New Roman" w:cs="Times New Roman"/>
        </w:rPr>
        <w:t>,</w:t>
      </w:r>
    </w:p>
    <w:p w:rsidR="00A4103A" w:rsidRPr="000D48A3" w:rsidRDefault="00A4103A" w:rsidP="00A4103A">
      <w:pPr>
        <w:tabs>
          <w:tab w:val="left" w:pos="425"/>
        </w:tabs>
        <w:spacing w:after="0" w:line="240" w:lineRule="auto"/>
        <w:jc w:val="both"/>
        <w:rPr>
          <w:rFonts w:ascii="Times New Roman" w:hAnsi="Times New Roman" w:cs="Times New Roman"/>
        </w:rPr>
      </w:pPr>
      <w:r w:rsidRPr="000D48A3">
        <w:rPr>
          <w:rFonts w:ascii="Times New Roman" w:hAnsi="Times New Roman" w:cs="Times New Roman"/>
        </w:rPr>
        <w:t xml:space="preserve">Slovėnija </w:t>
      </w:r>
    </w:p>
    <w:p w:rsidR="00A4103A" w:rsidRDefault="00A4103A" w:rsidP="00A4103A">
      <w:pPr>
        <w:tabs>
          <w:tab w:val="left" w:pos="425"/>
        </w:tabs>
        <w:spacing w:after="0" w:line="240" w:lineRule="auto"/>
        <w:jc w:val="both"/>
        <w:rPr>
          <w:rFonts w:ascii="Times New Roman" w:hAnsi="Times New Roman" w:cs="Times New Roman"/>
        </w:rPr>
      </w:pPr>
    </w:p>
    <w:p w:rsidR="00A4103A" w:rsidRDefault="00A4103A" w:rsidP="00A4103A">
      <w:pPr>
        <w:tabs>
          <w:tab w:val="left" w:pos="425"/>
        </w:tabs>
        <w:spacing w:after="0" w:line="240" w:lineRule="auto"/>
        <w:jc w:val="both"/>
        <w:rPr>
          <w:rFonts w:ascii="Times New Roman" w:hAnsi="Times New Roman" w:cs="Times New Roman"/>
        </w:rPr>
      </w:pPr>
      <w:r>
        <w:rPr>
          <w:rFonts w:ascii="Times New Roman" w:hAnsi="Times New Roman" w:cs="Times New Roman"/>
        </w:rPr>
        <w:t>arba</w:t>
      </w:r>
    </w:p>
    <w:p w:rsidR="00A4103A" w:rsidRPr="000D48A3" w:rsidRDefault="00A4103A" w:rsidP="00A4103A">
      <w:pPr>
        <w:tabs>
          <w:tab w:val="left" w:pos="425"/>
        </w:tabs>
        <w:spacing w:after="0" w:line="240" w:lineRule="auto"/>
        <w:jc w:val="both"/>
        <w:rPr>
          <w:rFonts w:ascii="Times New Roman" w:hAnsi="Times New Roman" w:cs="Times New Roman"/>
        </w:rPr>
      </w:pPr>
      <w:r w:rsidRPr="000D48A3">
        <w:rPr>
          <w:rFonts w:ascii="Times New Roman" w:hAnsi="Times New Roman" w:cs="Times New Roman"/>
        </w:rPr>
        <w:t> </w:t>
      </w:r>
    </w:p>
    <w:p w:rsidR="00A4103A" w:rsidRPr="000D48A3" w:rsidRDefault="00A4103A" w:rsidP="00A4103A">
      <w:pPr>
        <w:tabs>
          <w:tab w:val="left" w:pos="425"/>
        </w:tabs>
        <w:spacing w:after="0" w:line="240" w:lineRule="auto"/>
        <w:jc w:val="both"/>
        <w:rPr>
          <w:rFonts w:ascii="Times New Roman" w:hAnsi="Times New Roman" w:cs="Times New Roman"/>
        </w:rPr>
      </w:pPr>
      <w:r w:rsidRPr="000D48A3">
        <w:rPr>
          <w:rFonts w:ascii="Times New Roman" w:hAnsi="Times New Roman" w:cs="Times New Roman"/>
        </w:rPr>
        <w:t xml:space="preserve">GE </w:t>
      </w:r>
      <w:proofErr w:type="spellStart"/>
      <w:r w:rsidRPr="000D48A3">
        <w:rPr>
          <w:rFonts w:ascii="Times New Roman" w:hAnsi="Times New Roman" w:cs="Times New Roman"/>
        </w:rPr>
        <w:t>Pharmaceuticals</w:t>
      </w:r>
      <w:proofErr w:type="spellEnd"/>
      <w:r w:rsidRPr="000D48A3">
        <w:rPr>
          <w:rFonts w:ascii="Times New Roman" w:hAnsi="Times New Roman" w:cs="Times New Roman"/>
        </w:rPr>
        <w:t xml:space="preserve"> Ltd. </w:t>
      </w:r>
    </w:p>
    <w:p w:rsidR="00A4103A" w:rsidRPr="000D48A3" w:rsidRDefault="00A4103A" w:rsidP="00A4103A">
      <w:pPr>
        <w:tabs>
          <w:tab w:val="left" w:pos="425"/>
        </w:tabs>
        <w:spacing w:after="0" w:line="240" w:lineRule="auto"/>
        <w:jc w:val="both"/>
        <w:rPr>
          <w:rFonts w:ascii="Times New Roman" w:hAnsi="Times New Roman" w:cs="Times New Roman"/>
        </w:rPr>
      </w:pPr>
      <w:proofErr w:type="spellStart"/>
      <w:r w:rsidRPr="000D48A3">
        <w:rPr>
          <w:rFonts w:ascii="Times New Roman" w:hAnsi="Times New Roman" w:cs="Times New Roman"/>
        </w:rPr>
        <w:t>Industrial</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Zone</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Chekanitza-South</w:t>
      </w:r>
      <w:proofErr w:type="spellEnd"/>
      <w:r w:rsidRPr="000D48A3">
        <w:rPr>
          <w:rFonts w:ascii="Times New Roman" w:hAnsi="Times New Roman" w:cs="Times New Roman"/>
        </w:rPr>
        <w:t xml:space="preserve"> </w:t>
      </w:r>
      <w:proofErr w:type="spellStart"/>
      <w:r w:rsidRPr="000D48A3">
        <w:rPr>
          <w:rFonts w:ascii="Times New Roman" w:hAnsi="Times New Roman" w:cs="Times New Roman"/>
        </w:rPr>
        <w:t>area</w:t>
      </w:r>
      <w:proofErr w:type="spellEnd"/>
      <w:r w:rsidRPr="000D48A3">
        <w:rPr>
          <w:rFonts w:ascii="Times New Roman" w:hAnsi="Times New Roman" w:cs="Times New Roman"/>
        </w:rPr>
        <w:t xml:space="preserve">, 2140 </w:t>
      </w:r>
      <w:proofErr w:type="spellStart"/>
      <w:r w:rsidRPr="000D48A3">
        <w:rPr>
          <w:rFonts w:ascii="Times New Roman" w:hAnsi="Times New Roman" w:cs="Times New Roman"/>
        </w:rPr>
        <w:t>Botevgrad</w:t>
      </w:r>
      <w:proofErr w:type="spellEnd"/>
      <w:r w:rsidRPr="000D48A3">
        <w:rPr>
          <w:rFonts w:ascii="Times New Roman" w:hAnsi="Times New Roman" w:cs="Times New Roman"/>
        </w:rPr>
        <w:t xml:space="preserve"> </w:t>
      </w:r>
    </w:p>
    <w:p w:rsidR="00A4103A" w:rsidRPr="000D48A3" w:rsidRDefault="00A4103A" w:rsidP="00A4103A">
      <w:pPr>
        <w:tabs>
          <w:tab w:val="left" w:pos="425"/>
        </w:tabs>
        <w:spacing w:after="0" w:line="240" w:lineRule="auto"/>
        <w:jc w:val="both"/>
        <w:rPr>
          <w:rFonts w:ascii="Times New Roman" w:hAnsi="Times New Roman" w:cs="Times New Roman"/>
        </w:rPr>
      </w:pPr>
      <w:r w:rsidRPr="000D48A3">
        <w:rPr>
          <w:rFonts w:ascii="Times New Roman" w:hAnsi="Times New Roman" w:cs="Times New Roman"/>
        </w:rPr>
        <w:t xml:space="preserve">Bulgarija </w:t>
      </w: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rPr>
        <w:t>Su pakuote pateikiamame lapelyje nurodomas gamintojo, atsakingo už konkrečios serijos išleidimą, pavadinimas ir adresas.</w:t>
      </w: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highlight w:val="yellow"/>
        </w:rPr>
      </w:pPr>
    </w:p>
    <w:p w:rsidR="00A4103A" w:rsidRPr="000D48A3" w:rsidRDefault="00A4103A" w:rsidP="00A4103A">
      <w:pPr>
        <w:keepNext/>
        <w:tabs>
          <w:tab w:val="left" w:pos="567"/>
        </w:tabs>
        <w:spacing w:after="0" w:line="240" w:lineRule="auto"/>
        <w:ind w:left="567" w:hanging="567"/>
        <w:outlineLvl w:val="1"/>
        <w:rPr>
          <w:rFonts w:ascii="Times New Roman" w:hAnsi="Times New Roman" w:cs="Times New Roman"/>
          <w:b/>
          <w:bCs/>
        </w:rPr>
      </w:pPr>
      <w:bookmarkStart w:id="2" w:name="_Toc129243254"/>
      <w:bookmarkStart w:id="3" w:name="_Toc129243129"/>
      <w:r w:rsidRPr="000D48A3">
        <w:rPr>
          <w:rFonts w:ascii="Times New Roman" w:hAnsi="Times New Roman" w:cs="Times New Roman"/>
          <w:b/>
          <w:bCs/>
        </w:rPr>
        <w:t>B.</w:t>
      </w:r>
      <w:r w:rsidRPr="000D48A3">
        <w:rPr>
          <w:rFonts w:ascii="Times New Roman" w:hAnsi="Times New Roman" w:cs="Times New Roman"/>
          <w:b/>
          <w:bCs/>
        </w:rPr>
        <w:tab/>
      </w:r>
      <w:r w:rsidRPr="000D48A3">
        <w:rPr>
          <w:rFonts w:ascii="Times New Roman" w:hAnsi="Times New Roman" w:cs="Times New Roman"/>
          <w:b/>
          <w:bCs/>
          <w:kern w:val="28"/>
        </w:rPr>
        <w:t>TIEKIMO IR VARTOJIMO SĄLYGOS AR APRIBOJIMAI</w:t>
      </w:r>
      <w:bookmarkEnd w:id="2"/>
      <w:bookmarkEnd w:id="3"/>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rPr>
        <w:t>Receptinis vaistinis preparatas.</w:t>
      </w:r>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rPr>
        <w:br w:type="page"/>
      </w:r>
    </w:p>
    <w:p w:rsidR="00A4103A" w:rsidRPr="000D48A3" w:rsidRDefault="00A4103A" w:rsidP="00A4103A">
      <w:pPr>
        <w:tabs>
          <w:tab w:val="left" w:pos="425"/>
          <w:tab w:val="left" w:pos="567"/>
        </w:tabs>
        <w:spacing w:after="0" w:line="240" w:lineRule="auto"/>
        <w:jc w:val="center"/>
        <w:rPr>
          <w:rFonts w:ascii="Times New Roman" w:hAnsi="Times New Roman" w:cs="Times New Roman"/>
        </w:rPr>
      </w:pPr>
    </w:p>
    <w:p w:rsidR="00A4103A" w:rsidRPr="000D48A3" w:rsidRDefault="00A4103A" w:rsidP="00A4103A">
      <w:pPr>
        <w:tabs>
          <w:tab w:val="left" w:pos="425"/>
          <w:tab w:val="left" w:pos="567"/>
        </w:tabs>
        <w:spacing w:after="0" w:line="240" w:lineRule="auto"/>
        <w:jc w:val="center"/>
        <w:rPr>
          <w:rFonts w:ascii="Times New Roman" w:hAnsi="Times New Roman" w:cs="Times New Roman"/>
        </w:rPr>
      </w:pPr>
    </w:p>
    <w:p w:rsidR="00A4103A" w:rsidRPr="000D48A3" w:rsidRDefault="00A4103A" w:rsidP="00A4103A">
      <w:pPr>
        <w:tabs>
          <w:tab w:val="left" w:pos="425"/>
          <w:tab w:val="left" w:pos="567"/>
        </w:tabs>
        <w:spacing w:after="0" w:line="240" w:lineRule="auto"/>
        <w:jc w:val="center"/>
        <w:rPr>
          <w:rFonts w:ascii="Times New Roman" w:hAnsi="Times New Roman" w:cs="Times New Roman"/>
        </w:rPr>
      </w:pPr>
    </w:p>
    <w:p w:rsidR="00A4103A" w:rsidRPr="000D48A3" w:rsidRDefault="00A4103A" w:rsidP="00A4103A">
      <w:pPr>
        <w:tabs>
          <w:tab w:val="left" w:pos="425"/>
          <w:tab w:val="left" w:pos="567"/>
        </w:tabs>
        <w:spacing w:after="0" w:line="240" w:lineRule="auto"/>
        <w:jc w:val="center"/>
        <w:rPr>
          <w:rFonts w:ascii="Times New Roman" w:hAnsi="Times New Roman" w:cs="Times New Roman"/>
        </w:rPr>
      </w:pPr>
    </w:p>
    <w:p w:rsidR="00A4103A" w:rsidRPr="000D48A3" w:rsidRDefault="00A4103A" w:rsidP="00A4103A">
      <w:pPr>
        <w:tabs>
          <w:tab w:val="left" w:pos="425"/>
          <w:tab w:val="left" w:pos="567"/>
        </w:tabs>
        <w:spacing w:after="0" w:line="240" w:lineRule="auto"/>
        <w:jc w:val="center"/>
        <w:rPr>
          <w:rFonts w:ascii="Times New Roman" w:hAnsi="Times New Roman" w:cs="Times New Roman"/>
        </w:rPr>
      </w:pPr>
    </w:p>
    <w:p w:rsidR="00A4103A" w:rsidRPr="000D48A3" w:rsidRDefault="00A4103A" w:rsidP="00A4103A">
      <w:pPr>
        <w:tabs>
          <w:tab w:val="left" w:pos="425"/>
          <w:tab w:val="left" w:pos="567"/>
        </w:tabs>
        <w:spacing w:after="0" w:line="240" w:lineRule="auto"/>
        <w:jc w:val="center"/>
        <w:rPr>
          <w:rFonts w:ascii="Times New Roman" w:hAnsi="Times New Roman" w:cs="Times New Roman"/>
        </w:rPr>
      </w:pPr>
    </w:p>
    <w:p w:rsidR="00A4103A" w:rsidRPr="000D48A3" w:rsidRDefault="00A4103A" w:rsidP="00A4103A">
      <w:pPr>
        <w:tabs>
          <w:tab w:val="left" w:pos="425"/>
          <w:tab w:val="left" w:pos="567"/>
        </w:tabs>
        <w:spacing w:after="0" w:line="240" w:lineRule="auto"/>
        <w:jc w:val="center"/>
        <w:rPr>
          <w:rFonts w:ascii="Times New Roman" w:hAnsi="Times New Roman" w:cs="Times New Roman"/>
        </w:rPr>
      </w:pPr>
    </w:p>
    <w:p w:rsidR="00A4103A" w:rsidRPr="000D48A3" w:rsidRDefault="00A4103A" w:rsidP="00A4103A">
      <w:pPr>
        <w:tabs>
          <w:tab w:val="left" w:pos="425"/>
          <w:tab w:val="left" w:pos="567"/>
        </w:tabs>
        <w:spacing w:after="0" w:line="240" w:lineRule="auto"/>
        <w:jc w:val="center"/>
        <w:rPr>
          <w:rFonts w:ascii="Times New Roman" w:hAnsi="Times New Roman" w:cs="Times New Roman"/>
        </w:rPr>
      </w:pPr>
    </w:p>
    <w:p w:rsidR="00A4103A" w:rsidRPr="000D48A3" w:rsidRDefault="00A4103A" w:rsidP="00A4103A">
      <w:pPr>
        <w:tabs>
          <w:tab w:val="left" w:pos="425"/>
          <w:tab w:val="left" w:pos="567"/>
        </w:tabs>
        <w:spacing w:after="0" w:line="240" w:lineRule="auto"/>
        <w:jc w:val="center"/>
        <w:rPr>
          <w:rFonts w:ascii="Times New Roman" w:hAnsi="Times New Roman" w:cs="Times New Roman"/>
        </w:rPr>
      </w:pPr>
    </w:p>
    <w:p w:rsidR="00A4103A" w:rsidRPr="000D48A3" w:rsidRDefault="00A4103A" w:rsidP="00A4103A">
      <w:pPr>
        <w:tabs>
          <w:tab w:val="left" w:pos="425"/>
          <w:tab w:val="left" w:pos="567"/>
        </w:tabs>
        <w:spacing w:after="0" w:line="240" w:lineRule="auto"/>
        <w:jc w:val="center"/>
        <w:rPr>
          <w:rFonts w:ascii="Times New Roman" w:hAnsi="Times New Roman" w:cs="Times New Roman"/>
        </w:rPr>
      </w:pPr>
    </w:p>
    <w:p w:rsidR="00A4103A" w:rsidRPr="000D48A3" w:rsidRDefault="00A4103A" w:rsidP="00A4103A">
      <w:pPr>
        <w:tabs>
          <w:tab w:val="left" w:pos="425"/>
          <w:tab w:val="left" w:pos="567"/>
        </w:tabs>
        <w:spacing w:after="0" w:line="240" w:lineRule="auto"/>
        <w:jc w:val="center"/>
        <w:rPr>
          <w:rFonts w:ascii="Times New Roman" w:hAnsi="Times New Roman" w:cs="Times New Roman"/>
        </w:rPr>
      </w:pPr>
    </w:p>
    <w:p w:rsidR="00A4103A" w:rsidRPr="000D48A3" w:rsidRDefault="00A4103A" w:rsidP="00A4103A">
      <w:pPr>
        <w:tabs>
          <w:tab w:val="left" w:pos="425"/>
          <w:tab w:val="left" w:pos="567"/>
        </w:tabs>
        <w:spacing w:after="0" w:line="240" w:lineRule="auto"/>
        <w:jc w:val="center"/>
        <w:rPr>
          <w:rFonts w:ascii="Times New Roman" w:hAnsi="Times New Roman" w:cs="Times New Roman"/>
        </w:rPr>
      </w:pPr>
    </w:p>
    <w:p w:rsidR="00A4103A" w:rsidRPr="000D48A3" w:rsidRDefault="00A4103A" w:rsidP="00A4103A">
      <w:pPr>
        <w:tabs>
          <w:tab w:val="left" w:pos="425"/>
          <w:tab w:val="left" w:pos="567"/>
        </w:tabs>
        <w:spacing w:after="0" w:line="240" w:lineRule="auto"/>
        <w:jc w:val="center"/>
        <w:rPr>
          <w:rFonts w:ascii="Times New Roman" w:hAnsi="Times New Roman" w:cs="Times New Roman"/>
        </w:rPr>
      </w:pPr>
    </w:p>
    <w:p w:rsidR="00A4103A" w:rsidRPr="000D48A3" w:rsidRDefault="00A4103A" w:rsidP="00A4103A">
      <w:pPr>
        <w:tabs>
          <w:tab w:val="left" w:pos="425"/>
          <w:tab w:val="left" w:pos="567"/>
        </w:tabs>
        <w:spacing w:after="0" w:line="240" w:lineRule="auto"/>
        <w:jc w:val="center"/>
        <w:rPr>
          <w:rFonts w:ascii="Times New Roman" w:hAnsi="Times New Roman" w:cs="Times New Roman"/>
        </w:rPr>
      </w:pPr>
    </w:p>
    <w:p w:rsidR="00A4103A" w:rsidRPr="000D48A3" w:rsidRDefault="00A4103A" w:rsidP="00A4103A">
      <w:pPr>
        <w:tabs>
          <w:tab w:val="left" w:pos="425"/>
          <w:tab w:val="left" w:pos="567"/>
        </w:tabs>
        <w:spacing w:after="0" w:line="240" w:lineRule="auto"/>
        <w:jc w:val="center"/>
        <w:rPr>
          <w:rFonts w:ascii="Times New Roman" w:hAnsi="Times New Roman" w:cs="Times New Roman"/>
        </w:rPr>
      </w:pPr>
    </w:p>
    <w:p w:rsidR="00A4103A" w:rsidRPr="000D48A3" w:rsidRDefault="00A4103A" w:rsidP="00A4103A">
      <w:pPr>
        <w:tabs>
          <w:tab w:val="left" w:pos="425"/>
          <w:tab w:val="left" w:pos="567"/>
        </w:tabs>
        <w:spacing w:after="0" w:line="240" w:lineRule="auto"/>
        <w:jc w:val="center"/>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Default="00A4103A" w:rsidP="00A4103A">
      <w:pPr>
        <w:tabs>
          <w:tab w:val="left" w:pos="567"/>
        </w:tabs>
        <w:spacing w:after="0" w:line="240" w:lineRule="auto"/>
        <w:ind w:left="567" w:hanging="567"/>
        <w:jc w:val="center"/>
        <w:outlineLvl w:val="0"/>
        <w:rPr>
          <w:rFonts w:ascii="Times New Roman" w:hAnsi="Times New Roman" w:cs="Times New Roman"/>
          <w:b/>
          <w:bCs/>
          <w:caps/>
          <w:kern w:val="32"/>
        </w:rPr>
      </w:pPr>
      <w:bookmarkStart w:id="4" w:name="_Toc129243259"/>
      <w:bookmarkStart w:id="5" w:name="_Toc129243134"/>
    </w:p>
    <w:p w:rsidR="00A4103A" w:rsidRPr="000D48A3" w:rsidRDefault="00A4103A" w:rsidP="00A4103A">
      <w:pPr>
        <w:tabs>
          <w:tab w:val="left" w:pos="567"/>
        </w:tabs>
        <w:spacing w:after="0" w:line="240" w:lineRule="auto"/>
        <w:ind w:left="567" w:hanging="567"/>
        <w:jc w:val="center"/>
        <w:outlineLvl w:val="0"/>
        <w:rPr>
          <w:rFonts w:ascii="Times New Roman" w:hAnsi="Times New Roman" w:cs="Times New Roman"/>
          <w:b/>
          <w:bCs/>
          <w:caps/>
          <w:kern w:val="32"/>
        </w:rPr>
      </w:pPr>
      <w:r w:rsidRPr="000D48A3">
        <w:rPr>
          <w:rFonts w:ascii="Times New Roman" w:hAnsi="Times New Roman" w:cs="Times New Roman"/>
          <w:b/>
          <w:bCs/>
          <w:caps/>
          <w:kern w:val="32"/>
        </w:rPr>
        <w:t>III PRIEDAS</w:t>
      </w:r>
      <w:bookmarkEnd w:id="4"/>
      <w:bookmarkEnd w:id="5"/>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tabs>
          <w:tab w:val="left" w:pos="567"/>
        </w:tabs>
        <w:spacing w:after="0" w:line="240" w:lineRule="auto"/>
        <w:ind w:left="567" w:hanging="567"/>
        <w:jc w:val="center"/>
        <w:outlineLvl w:val="0"/>
        <w:rPr>
          <w:rFonts w:ascii="Times New Roman" w:hAnsi="Times New Roman" w:cs="Times New Roman"/>
          <w:b/>
          <w:bCs/>
          <w:caps/>
          <w:kern w:val="32"/>
        </w:rPr>
      </w:pPr>
      <w:bookmarkStart w:id="6" w:name="_Toc129243260"/>
      <w:bookmarkStart w:id="7" w:name="_Toc129243135"/>
      <w:r w:rsidRPr="000D48A3">
        <w:rPr>
          <w:rFonts w:ascii="Times New Roman" w:hAnsi="Times New Roman" w:cs="Times New Roman"/>
          <w:b/>
          <w:bCs/>
          <w:caps/>
          <w:kern w:val="32"/>
        </w:rPr>
        <w:t>ŽENKLINIMAS IR PAKUOTĖS LAPELIS</w:t>
      </w:r>
      <w:bookmarkEnd w:id="6"/>
      <w:bookmarkEnd w:id="7"/>
    </w:p>
    <w:p w:rsidR="00A4103A" w:rsidRPr="000D48A3" w:rsidRDefault="00A4103A" w:rsidP="00A4103A">
      <w:pPr>
        <w:spacing w:after="0" w:line="240" w:lineRule="auto"/>
        <w:rPr>
          <w:rFonts w:ascii="Times New Roman" w:hAnsi="Times New Roman" w:cs="Times New Roman"/>
        </w:rPr>
      </w:pPr>
      <w:r w:rsidRPr="000D48A3">
        <w:rPr>
          <w:rFonts w:ascii="Times New Roman" w:hAnsi="Times New Roman" w:cs="Times New Roman"/>
        </w:rPr>
        <w:br w:type="page"/>
      </w: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Default="00A4103A" w:rsidP="00A4103A">
      <w:pPr>
        <w:tabs>
          <w:tab w:val="left" w:pos="567"/>
        </w:tabs>
        <w:spacing w:after="0" w:line="240" w:lineRule="auto"/>
        <w:ind w:left="567" w:hanging="567"/>
        <w:jc w:val="center"/>
        <w:outlineLvl w:val="0"/>
        <w:rPr>
          <w:rFonts w:ascii="Times New Roman" w:hAnsi="Times New Roman" w:cs="Times New Roman"/>
          <w:b/>
          <w:bCs/>
          <w:caps/>
          <w:kern w:val="32"/>
        </w:rPr>
      </w:pPr>
      <w:bookmarkStart w:id="8" w:name="_Toc129243261"/>
      <w:bookmarkStart w:id="9" w:name="_Toc129243136"/>
    </w:p>
    <w:p w:rsidR="00A4103A" w:rsidRPr="000D48A3" w:rsidRDefault="00A4103A" w:rsidP="00A4103A">
      <w:pPr>
        <w:tabs>
          <w:tab w:val="left" w:pos="567"/>
        </w:tabs>
        <w:spacing w:after="0" w:line="240" w:lineRule="auto"/>
        <w:ind w:left="567" w:hanging="567"/>
        <w:jc w:val="center"/>
        <w:outlineLvl w:val="0"/>
        <w:rPr>
          <w:rFonts w:ascii="Times New Roman" w:hAnsi="Times New Roman" w:cs="Times New Roman"/>
          <w:b/>
          <w:bCs/>
          <w:caps/>
          <w:kern w:val="32"/>
        </w:rPr>
      </w:pPr>
      <w:r w:rsidRPr="000D48A3">
        <w:rPr>
          <w:rFonts w:ascii="Times New Roman" w:hAnsi="Times New Roman" w:cs="Times New Roman"/>
          <w:b/>
          <w:bCs/>
          <w:caps/>
          <w:kern w:val="32"/>
        </w:rPr>
        <w:t>A. ŽENKLINIMAS</w:t>
      </w:r>
      <w:bookmarkEnd w:id="8"/>
      <w:bookmarkEnd w:id="9"/>
    </w:p>
    <w:p w:rsidR="00A4103A" w:rsidRPr="000D48A3" w:rsidRDefault="00A4103A" w:rsidP="00A4103A">
      <w:pPr>
        <w:pStyle w:val="Antrat2"/>
        <w:pBdr>
          <w:top w:val="single" w:sz="4" w:space="1" w:color="auto"/>
          <w:left w:val="single" w:sz="4" w:space="4" w:color="auto"/>
          <w:bottom w:val="single" w:sz="4" w:space="1" w:color="auto"/>
          <w:right w:val="single" w:sz="4" w:space="4" w:color="auto"/>
        </w:pBdr>
        <w:rPr>
          <w:rFonts w:ascii="Times New Roman" w:hAnsi="Times New Roman" w:cs="Times New Roman"/>
          <w:i w:val="0"/>
          <w:iCs w:val="0"/>
          <w:sz w:val="22"/>
          <w:szCs w:val="22"/>
        </w:rPr>
      </w:pPr>
      <w:r w:rsidRPr="000D48A3">
        <w:rPr>
          <w:rFonts w:ascii="Times New Roman" w:hAnsi="Times New Roman" w:cs="Times New Roman"/>
          <w:sz w:val="22"/>
          <w:szCs w:val="22"/>
        </w:rPr>
        <w:br w:type="page"/>
      </w:r>
      <w:r w:rsidRPr="000D48A3">
        <w:rPr>
          <w:rFonts w:ascii="Times New Roman" w:hAnsi="Times New Roman" w:cs="Times New Roman"/>
          <w:i w:val="0"/>
          <w:iCs w:val="0"/>
          <w:sz w:val="22"/>
          <w:szCs w:val="22"/>
        </w:rPr>
        <w:lastRenderedPageBreak/>
        <w:t xml:space="preserve">INFORMACIJA ANT IŠORINĖS PAKUOTĖS </w:t>
      </w:r>
    </w:p>
    <w:p w:rsidR="00A4103A" w:rsidRPr="000D48A3" w:rsidRDefault="00A4103A" w:rsidP="00A410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eastAsia="lt-LT"/>
        </w:rPr>
      </w:pPr>
    </w:p>
    <w:p w:rsidR="00A4103A" w:rsidRPr="000D48A3" w:rsidRDefault="00A4103A" w:rsidP="00A410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lt-LT"/>
        </w:rPr>
      </w:pPr>
      <w:r w:rsidRPr="000D48A3">
        <w:rPr>
          <w:rFonts w:ascii="Times New Roman" w:hAnsi="Times New Roman" w:cs="Times New Roman"/>
          <w:b/>
          <w:bCs/>
          <w:lang w:eastAsia="lt-LT"/>
        </w:rPr>
        <w:t>KARTONO DĖŽUTĖ</w:t>
      </w:r>
    </w:p>
    <w:p w:rsidR="00A4103A" w:rsidRPr="000D48A3" w:rsidRDefault="00A4103A" w:rsidP="00A4103A">
      <w:pPr>
        <w:spacing w:after="0" w:line="240" w:lineRule="auto"/>
        <w:rPr>
          <w:rFonts w:ascii="Times New Roman" w:hAnsi="Times New Roman" w:cs="Times New Roman"/>
          <w:lang w:eastAsia="lt-LT"/>
        </w:rPr>
      </w:pPr>
    </w:p>
    <w:p w:rsidR="00A4103A" w:rsidRPr="000D48A3" w:rsidRDefault="00A4103A" w:rsidP="00A4103A">
      <w:pPr>
        <w:spacing w:after="0" w:line="240" w:lineRule="auto"/>
        <w:rPr>
          <w:rFonts w:ascii="Times New Roman" w:hAnsi="Times New Roman" w:cs="Times New Roman"/>
          <w:lang w:eastAsia="lt-LT"/>
        </w:rPr>
      </w:pPr>
    </w:p>
    <w:p w:rsidR="00A4103A" w:rsidRPr="000D48A3" w:rsidRDefault="00A4103A" w:rsidP="00A410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0D48A3">
        <w:rPr>
          <w:rFonts w:ascii="Times New Roman" w:hAnsi="Times New Roman" w:cs="Times New Roman"/>
          <w:b/>
          <w:bCs/>
          <w:lang w:eastAsia="lt-LT"/>
        </w:rPr>
        <w:t>1.</w:t>
      </w:r>
      <w:r w:rsidRPr="000D48A3">
        <w:rPr>
          <w:rFonts w:ascii="Times New Roman" w:hAnsi="Times New Roman" w:cs="Times New Roman"/>
          <w:b/>
          <w:bCs/>
          <w:lang w:eastAsia="lt-LT"/>
        </w:rPr>
        <w:tab/>
        <w:t>VAISTINIO PREPARATO PAVADINIMAS</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 w:val="center" w:pos="4986"/>
          <w:tab w:val="right" w:pos="9972"/>
        </w:tabs>
        <w:spacing w:after="0" w:line="240" w:lineRule="auto"/>
        <w:rPr>
          <w:rFonts w:ascii="Times New Roman" w:hAnsi="Times New Roman" w:cs="Times New Roman"/>
          <w:lang w:eastAsia="lt-LT"/>
        </w:rPr>
      </w:pPr>
      <w:proofErr w:type="spellStart"/>
      <w:r w:rsidRPr="000D48A3">
        <w:rPr>
          <w:rFonts w:ascii="Times New Roman" w:hAnsi="Times New Roman" w:cs="Times New Roman"/>
          <w:lang w:eastAsia="lt-LT"/>
        </w:rPr>
        <w:t>Bosentan</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Sandoz</w:t>
      </w:r>
      <w:proofErr w:type="spellEnd"/>
      <w:r w:rsidRPr="000D48A3">
        <w:rPr>
          <w:rFonts w:ascii="Times New Roman" w:hAnsi="Times New Roman" w:cs="Times New Roman"/>
          <w:lang w:eastAsia="lt-LT"/>
        </w:rPr>
        <w:t xml:space="preserve"> 62,5 mg plėvele dengtos tabletės </w:t>
      </w: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b/>
          <w:bCs/>
          <w:color w:val="000000"/>
          <w:lang w:eastAsia="lt-LT"/>
        </w:rPr>
      </w:pPr>
      <w:proofErr w:type="spellStart"/>
      <w:r w:rsidRPr="00D371F8">
        <w:rPr>
          <w:rFonts w:ascii="Times New Roman" w:hAnsi="Times New Roman" w:cs="Times New Roman"/>
          <w:color w:val="000000"/>
          <w:highlight w:val="lightGray"/>
          <w:lang w:eastAsia="lt-LT"/>
        </w:rPr>
        <w:t>Bosentan</w:t>
      </w:r>
      <w:proofErr w:type="spellEnd"/>
      <w:r w:rsidRPr="00D371F8">
        <w:rPr>
          <w:rFonts w:ascii="Times New Roman" w:hAnsi="Times New Roman" w:cs="Times New Roman"/>
          <w:color w:val="000000"/>
          <w:highlight w:val="lightGray"/>
          <w:lang w:eastAsia="lt-LT"/>
        </w:rPr>
        <w:t xml:space="preserve"> </w:t>
      </w:r>
      <w:proofErr w:type="spellStart"/>
      <w:r w:rsidRPr="00D371F8">
        <w:rPr>
          <w:rFonts w:ascii="Times New Roman" w:hAnsi="Times New Roman" w:cs="Times New Roman"/>
          <w:color w:val="000000"/>
          <w:highlight w:val="lightGray"/>
          <w:lang w:eastAsia="lt-LT"/>
        </w:rPr>
        <w:t>Sandoz</w:t>
      </w:r>
      <w:proofErr w:type="spellEnd"/>
      <w:r w:rsidRPr="00D371F8">
        <w:rPr>
          <w:rFonts w:ascii="Times New Roman" w:hAnsi="Times New Roman" w:cs="Times New Roman"/>
          <w:color w:val="000000"/>
          <w:highlight w:val="lightGray"/>
          <w:lang w:eastAsia="lt-LT"/>
        </w:rPr>
        <w:t xml:space="preserve"> 125 mg plėvele dengtos tabletės</w:t>
      </w:r>
    </w:p>
    <w:p w:rsidR="00A4103A" w:rsidRPr="000D48A3" w:rsidRDefault="00A4103A" w:rsidP="00A4103A">
      <w:pPr>
        <w:tabs>
          <w:tab w:val="left" w:pos="567"/>
        </w:tabs>
        <w:spacing w:after="0" w:line="240" w:lineRule="auto"/>
        <w:rPr>
          <w:rFonts w:ascii="Times New Roman" w:hAnsi="Times New Roman" w:cs="Times New Roman"/>
          <w:lang w:eastAsia="lt-LT"/>
        </w:rPr>
      </w:pPr>
      <w:proofErr w:type="spellStart"/>
      <w:r w:rsidRPr="000D48A3">
        <w:rPr>
          <w:rFonts w:ascii="Times New Roman" w:hAnsi="Times New Roman" w:cs="Times New Roman"/>
          <w:lang w:eastAsia="lt-LT"/>
        </w:rPr>
        <w:t>Bosentanum</w:t>
      </w:r>
      <w:proofErr w:type="spellEnd"/>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0D48A3">
        <w:rPr>
          <w:rFonts w:ascii="Times New Roman" w:hAnsi="Times New Roman" w:cs="Times New Roman"/>
          <w:b/>
          <w:bCs/>
          <w:lang w:eastAsia="lt-LT"/>
        </w:rPr>
        <w:t>2.</w:t>
      </w:r>
      <w:r w:rsidRPr="000D48A3">
        <w:rPr>
          <w:rFonts w:ascii="Times New Roman" w:hAnsi="Times New Roman" w:cs="Times New Roman"/>
          <w:b/>
          <w:bCs/>
          <w:lang w:eastAsia="lt-LT"/>
        </w:rPr>
        <w:tab/>
        <w:t xml:space="preserve">VEIKLIOJI MEDŽIAGA IR JOS KIEKIS </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r w:rsidRPr="000D48A3">
        <w:rPr>
          <w:rFonts w:ascii="Times New Roman" w:hAnsi="Times New Roman" w:cs="Times New Roman"/>
          <w:lang w:eastAsia="lt-LT"/>
        </w:rPr>
        <w:t xml:space="preserve">Kiekvienoje plėvele dengtoje tabletėje yra 62,5 mg </w:t>
      </w:r>
      <w:proofErr w:type="spellStart"/>
      <w:r w:rsidRPr="000D48A3">
        <w:rPr>
          <w:rFonts w:ascii="Times New Roman" w:hAnsi="Times New Roman" w:cs="Times New Roman"/>
          <w:lang w:eastAsia="lt-LT"/>
        </w:rPr>
        <w:t>bozentano</w:t>
      </w:r>
      <w:proofErr w:type="spellEnd"/>
      <w:r w:rsidRPr="000D48A3">
        <w:rPr>
          <w:rFonts w:ascii="Times New Roman" w:hAnsi="Times New Roman" w:cs="Times New Roman"/>
          <w:lang w:eastAsia="lt-LT"/>
        </w:rPr>
        <w:t xml:space="preserve"> (atitinka 64,541</w:t>
      </w:r>
      <w:r>
        <w:rPr>
          <w:rFonts w:ascii="Times New Roman" w:hAnsi="Times New Roman" w:cs="Times New Roman"/>
          <w:lang w:eastAsia="lt-LT"/>
        </w:rPr>
        <w:t> mg</w:t>
      </w:r>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bo</w:t>
      </w:r>
      <w:r>
        <w:rPr>
          <w:rFonts w:ascii="Times New Roman" w:hAnsi="Times New Roman" w:cs="Times New Roman"/>
          <w:lang w:eastAsia="lt-LT"/>
        </w:rPr>
        <w:t>z</w:t>
      </w:r>
      <w:r w:rsidRPr="000D48A3">
        <w:rPr>
          <w:rFonts w:ascii="Times New Roman" w:hAnsi="Times New Roman" w:cs="Times New Roman"/>
          <w:lang w:eastAsia="lt-LT"/>
        </w:rPr>
        <w:t>entano</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monohidrato</w:t>
      </w:r>
      <w:proofErr w:type="spellEnd"/>
      <w:r w:rsidRPr="000D48A3">
        <w:rPr>
          <w:rFonts w:ascii="Times New Roman" w:hAnsi="Times New Roman" w:cs="Times New Roman"/>
          <w:lang w:eastAsia="lt-LT"/>
        </w:rPr>
        <w:t>).</w:t>
      </w:r>
    </w:p>
    <w:p w:rsidR="00A4103A" w:rsidRPr="000D48A3" w:rsidRDefault="00A4103A" w:rsidP="00A4103A">
      <w:pPr>
        <w:tabs>
          <w:tab w:val="left" w:pos="567"/>
        </w:tabs>
        <w:spacing w:after="0" w:line="240" w:lineRule="auto"/>
        <w:rPr>
          <w:rFonts w:ascii="Times New Roman" w:hAnsi="Times New Roman" w:cs="Times New Roman"/>
          <w:lang w:eastAsia="lt-LT"/>
        </w:rPr>
      </w:pPr>
      <w:r w:rsidRPr="00D371F8">
        <w:rPr>
          <w:rFonts w:ascii="Times New Roman" w:hAnsi="Times New Roman" w:cs="Times New Roman"/>
          <w:highlight w:val="lightGray"/>
          <w:lang w:eastAsia="lt-LT"/>
        </w:rPr>
        <w:t xml:space="preserve">Kiekvienoje plėvele dengtoje tabletėje yra 125 mg </w:t>
      </w:r>
      <w:proofErr w:type="spellStart"/>
      <w:r w:rsidRPr="00D371F8">
        <w:rPr>
          <w:rFonts w:ascii="Times New Roman" w:hAnsi="Times New Roman" w:cs="Times New Roman"/>
          <w:highlight w:val="lightGray"/>
          <w:lang w:eastAsia="lt-LT"/>
        </w:rPr>
        <w:t>bozentano</w:t>
      </w:r>
      <w:proofErr w:type="spellEnd"/>
      <w:r w:rsidRPr="00D371F8">
        <w:rPr>
          <w:rFonts w:ascii="Times New Roman" w:hAnsi="Times New Roman" w:cs="Times New Roman"/>
          <w:highlight w:val="lightGray"/>
          <w:lang w:eastAsia="lt-LT"/>
        </w:rPr>
        <w:t xml:space="preserve"> (atitinka 129,082 mg </w:t>
      </w:r>
      <w:proofErr w:type="spellStart"/>
      <w:r w:rsidRPr="00D371F8">
        <w:rPr>
          <w:rFonts w:ascii="Times New Roman" w:hAnsi="Times New Roman" w:cs="Times New Roman"/>
          <w:highlight w:val="lightGray"/>
          <w:lang w:eastAsia="lt-LT"/>
        </w:rPr>
        <w:t>bozentano</w:t>
      </w:r>
      <w:proofErr w:type="spellEnd"/>
      <w:r w:rsidRPr="00D371F8">
        <w:rPr>
          <w:rFonts w:ascii="Times New Roman" w:hAnsi="Times New Roman" w:cs="Times New Roman"/>
          <w:highlight w:val="lightGray"/>
          <w:lang w:eastAsia="lt-LT"/>
        </w:rPr>
        <w:t xml:space="preserve"> </w:t>
      </w:r>
      <w:proofErr w:type="spellStart"/>
      <w:r w:rsidRPr="00D371F8">
        <w:rPr>
          <w:rFonts w:ascii="Times New Roman" w:hAnsi="Times New Roman" w:cs="Times New Roman"/>
          <w:highlight w:val="lightGray"/>
          <w:lang w:eastAsia="lt-LT"/>
        </w:rPr>
        <w:t>monohidrato</w:t>
      </w:r>
      <w:proofErr w:type="spellEnd"/>
      <w:r w:rsidRPr="00D371F8">
        <w:rPr>
          <w:rFonts w:ascii="Times New Roman" w:hAnsi="Times New Roman" w:cs="Times New Roman"/>
          <w:highlight w:val="lightGray"/>
          <w:lang w:eastAsia="lt-LT"/>
        </w:rPr>
        <w:t>).</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0D48A3">
        <w:rPr>
          <w:rFonts w:ascii="Times New Roman" w:hAnsi="Times New Roman" w:cs="Times New Roman"/>
          <w:b/>
          <w:bCs/>
          <w:lang w:eastAsia="lt-LT"/>
        </w:rPr>
        <w:t>3.</w:t>
      </w:r>
      <w:r w:rsidRPr="000D48A3">
        <w:rPr>
          <w:rFonts w:ascii="Times New Roman" w:hAnsi="Times New Roman" w:cs="Times New Roman"/>
          <w:b/>
          <w:bCs/>
          <w:lang w:eastAsia="lt-LT"/>
        </w:rPr>
        <w:tab/>
        <w:t>PAGALBINIŲ MEDŽIAGŲ SĄRAŠAS</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r w:rsidRPr="000D48A3">
        <w:rPr>
          <w:rFonts w:ascii="Times New Roman" w:hAnsi="Times New Roman" w:cs="Times New Roman"/>
          <w:lang w:eastAsia="lt-LT"/>
        </w:rPr>
        <w:t>Daugiau informacijos pateikta pakuotės lapelyje.</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0D48A3">
        <w:rPr>
          <w:rFonts w:ascii="Times New Roman" w:hAnsi="Times New Roman" w:cs="Times New Roman"/>
          <w:b/>
          <w:bCs/>
          <w:lang w:eastAsia="lt-LT"/>
        </w:rPr>
        <w:t>4.</w:t>
      </w:r>
      <w:r w:rsidRPr="000D48A3">
        <w:rPr>
          <w:rFonts w:ascii="Times New Roman" w:hAnsi="Times New Roman" w:cs="Times New Roman"/>
          <w:b/>
          <w:bCs/>
          <w:lang w:eastAsia="lt-LT"/>
        </w:rPr>
        <w:tab/>
        <w:t>FARMACINĖ FORMA IR KIEKIS PAKUOTĖJE</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color w:val="000000"/>
          <w:lang w:eastAsia="lt-LT"/>
        </w:rPr>
      </w:pPr>
      <w:r w:rsidRPr="000D48A3">
        <w:rPr>
          <w:rFonts w:ascii="Times New Roman" w:hAnsi="Times New Roman" w:cs="Times New Roman"/>
          <w:color w:val="000000"/>
          <w:lang w:eastAsia="lt-LT"/>
        </w:rPr>
        <w:t xml:space="preserve">14 </w:t>
      </w:r>
      <w:r w:rsidRPr="00D371F8">
        <w:rPr>
          <w:rFonts w:ascii="Times New Roman" w:hAnsi="Times New Roman" w:cs="Times New Roman"/>
          <w:color w:val="000000"/>
          <w:highlight w:val="lightGray"/>
          <w:lang w:eastAsia="lt-LT"/>
        </w:rPr>
        <w:t>plėvele dengtų</w:t>
      </w:r>
      <w:r w:rsidRPr="000D48A3">
        <w:rPr>
          <w:rFonts w:ascii="Times New Roman" w:hAnsi="Times New Roman" w:cs="Times New Roman"/>
          <w:color w:val="000000"/>
          <w:lang w:eastAsia="lt-LT"/>
        </w:rPr>
        <w:t xml:space="preserve"> tablečių </w:t>
      </w:r>
    </w:p>
    <w:p w:rsidR="00A4103A" w:rsidRPr="00D371F8" w:rsidRDefault="00A4103A" w:rsidP="00A4103A">
      <w:pPr>
        <w:tabs>
          <w:tab w:val="left" w:pos="567"/>
        </w:tabs>
        <w:autoSpaceDE w:val="0"/>
        <w:autoSpaceDN w:val="0"/>
        <w:adjustRightInd w:val="0"/>
        <w:spacing w:after="0" w:line="240" w:lineRule="auto"/>
        <w:rPr>
          <w:rFonts w:ascii="Times New Roman" w:hAnsi="Times New Roman" w:cs="Times New Roman"/>
          <w:color w:val="000000"/>
          <w:highlight w:val="lightGray"/>
          <w:lang w:eastAsia="lt-LT"/>
        </w:rPr>
      </w:pPr>
      <w:r w:rsidRPr="00D371F8">
        <w:rPr>
          <w:rFonts w:ascii="Times New Roman" w:hAnsi="Times New Roman" w:cs="Times New Roman"/>
          <w:color w:val="000000"/>
          <w:highlight w:val="lightGray"/>
          <w:lang w:eastAsia="lt-LT"/>
        </w:rPr>
        <w:t xml:space="preserve">56 plėvele dengtos tabletės </w:t>
      </w:r>
    </w:p>
    <w:p w:rsidR="00A4103A" w:rsidRPr="000D48A3" w:rsidRDefault="00A4103A" w:rsidP="00A4103A">
      <w:pPr>
        <w:tabs>
          <w:tab w:val="left" w:pos="567"/>
        </w:tabs>
        <w:spacing w:after="0" w:line="240" w:lineRule="auto"/>
        <w:rPr>
          <w:rFonts w:ascii="Times New Roman" w:hAnsi="Times New Roman" w:cs="Times New Roman"/>
          <w:lang w:eastAsia="lt-LT"/>
        </w:rPr>
      </w:pPr>
      <w:r w:rsidRPr="00D371F8">
        <w:rPr>
          <w:rFonts w:ascii="Times New Roman" w:hAnsi="Times New Roman" w:cs="Times New Roman"/>
          <w:highlight w:val="lightGray"/>
          <w:lang w:eastAsia="lt-LT"/>
        </w:rPr>
        <w:t>112 plėvele dengtų tablečių</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0D48A3">
        <w:rPr>
          <w:rFonts w:ascii="Times New Roman" w:hAnsi="Times New Roman" w:cs="Times New Roman"/>
          <w:b/>
          <w:bCs/>
          <w:lang w:eastAsia="lt-LT"/>
        </w:rPr>
        <w:t>5.</w:t>
      </w:r>
      <w:r w:rsidRPr="000D48A3">
        <w:rPr>
          <w:rFonts w:ascii="Times New Roman" w:hAnsi="Times New Roman" w:cs="Times New Roman"/>
          <w:b/>
          <w:bCs/>
          <w:lang w:eastAsia="lt-LT"/>
        </w:rPr>
        <w:tab/>
        <w:t>VARTOJIMO METODAS IR BŪDAS</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r w:rsidRPr="000D48A3">
        <w:rPr>
          <w:rFonts w:ascii="Times New Roman" w:hAnsi="Times New Roman" w:cs="Times New Roman"/>
          <w:lang w:eastAsia="lt-LT"/>
        </w:rPr>
        <w:t>Prieš vartojimą perskaitykite pakuotės lapelį.</w:t>
      </w:r>
    </w:p>
    <w:p w:rsidR="00A4103A" w:rsidRPr="000D48A3" w:rsidRDefault="00A4103A" w:rsidP="00A4103A">
      <w:pPr>
        <w:tabs>
          <w:tab w:val="left" w:pos="567"/>
        </w:tabs>
        <w:spacing w:after="0" w:line="240" w:lineRule="auto"/>
        <w:rPr>
          <w:rFonts w:ascii="Times New Roman" w:hAnsi="Times New Roman" w:cs="Times New Roman"/>
          <w:lang w:eastAsia="lt-LT"/>
        </w:rPr>
      </w:pPr>
      <w:r w:rsidRPr="000D48A3">
        <w:rPr>
          <w:rFonts w:ascii="Times New Roman" w:hAnsi="Times New Roman" w:cs="Times New Roman"/>
          <w:lang w:eastAsia="lt-LT"/>
        </w:rPr>
        <w:t xml:space="preserve">Vartoti per burną. </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cs="Times New Roman"/>
          <w:b/>
          <w:bCs/>
          <w:lang w:eastAsia="lt-LT"/>
        </w:rPr>
      </w:pPr>
      <w:r w:rsidRPr="000D48A3">
        <w:rPr>
          <w:rFonts w:ascii="Times New Roman" w:hAnsi="Times New Roman" w:cs="Times New Roman"/>
          <w:b/>
          <w:bCs/>
          <w:lang w:eastAsia="lt-LT"/>
        </w:rPr>
        <w:t>6.</w:t>
      </w:r>
      <w:r w:rsidRPr="000D48A3">
        <w:rPr>
          <w:rFonts w:ascii="Times New Roman" w:hAnsi="Times New Roman" w:cs="Times New Roman"/>
          <w:b/>
          <w:bCs/>
          <w:lang w:eastAsia="lt-LT"/>
        </w:rPr>
        <w:tab/>
        <w:t>SPECIALUS ĮSPĖJIMAS, KAD VAISTINĮ PREPARATĄ BŪTINA LAIKYTI VAIKAMS NEPASTEBIMOJE IR NEPASIEKIAMOJE VIETOJE</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r w:rsidRPr="000D48A3">
        <w:rPr>
          <w:rFonts w:ascii="Times New Roman" w:hAnsi="Times New Roman" w:cs="Times New Roman"/>
          <w:lang w:eastAsia="lt-LT"/>
        </w:rPr>
        <w:t>Laikyti vaikams nepastebimoje ir nepasiekiamoje vietoje.</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0D48A3">
        <w:rPr>
          <w:rFonts w:ascii="Times New Roman" w:hAnsi="Times New Roman" w:cs="Times New Roman"/>
          <w:b/>
          <w:bCs/>
          <w:lang w:eastAsia="lt-LT"/>
        </w:rPr>
        <w:t>7.</w:t>
      </w:r>
      <w:r w:rsidRPr="000D48A3">
        <w:rPr>
          <w:rFonts w:ascii="Times New Roman" w:hAnsi="Times New Roman" w:cs="Times New Roman"/>
          <w:b/>
          <w:bCs/>
          <w:lang w:eastAsia="lt-LT"/>
        </w:rPr>
        <w:tab/>
        <w:t>KITAS SPECIALUS ĮSPĖJIMAS (JEI REIKIA)</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0D48A3">
        <w:rPr>
          <w:rFonts w:ascii="Times New Roman" w:hAnsi="Times New Roman" w:cs="Times New Roman"/>
          <w:b/>
          <w:bCs/>
          <w:lang w:eastAsia="lt-LT"/>
        </w:rPr>
        <w:t>8.</w:t>
      </w:r>
      <w:r w:rsidRPr="000D48A3">
        <w:rPr>
          <w:rFonts w:ascii="Times New Roman" w:hAnsi="Times New Roman" w:cs="Times New Roman"/>
          <w:b/>
          <w:bCs/>
          <w:lang w:eastAsia="lt-LT"/>
        </w:rPr>
        <w:tab/>
        <w:t>TINKAMUMO LAIKAS</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r w:rsidRPr="000D48A3">
        <w:rPr>
          <w:rFonts w:ascii="Times New Roman" w:hAnsi="Times New Roman" w:cs="Times New Roman"/>
          <w:lang w:eastAsia="lt-LT"/>
        </w:rPr>
        <w:t>Tinka iki {mm/MMMM}</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0D48A3">
        <w:rPr>
          <w:rFonts w:ascii="Times New Roman" w:hAnsi="Times New Roman" w:cs="Times New Roman"/>
          <w:b/>
          <w:bCs/>
          <w:lang w:eastAsia="lt-LT"/>
        </w:rPr>
        <w:t>9.</w:t>
      </w:r>
      <w:r w:rsidRPr="000D48A3">
        <w:rPr>
          <w:rFonts w:ascii="Times New Roman" w:hAnsi="Times New Roman" w:cs="Times New Roman"/>
          <w:b/>
          <w:bCs/>
          <w:lang w:eastAsia="lt-LT"/>
        </w:rPr>
        <w:tab/>
        <w:t>SPECIALIOS LAIKYMO SĄLYGOS</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6B4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cs="Times New Roman"/>
          <w:b/>
          <w:bCs/>
          <w:lang w:eastAsia="lt-LT"/>
        </w:rPr>
      </w:pPr>
      <w:r w:rsidRPr="000D48A3">
        <w:rPr>
          <w:rFonts w:ascii="Times New Roman" w:hAnsi="Times New Roman" w:cs="Times New Roman"/>
          <w:b/>
          <w:bCs/>
          <w:lang w:eastAsia="lt-LT"/>
        </w:rPr>
        <w:t>10.</w:t>
      </w:r>
      <w:r w:rsidRPr="000D48A3">
        <w:rPr>
          <w:rFonts w:ascii="Times New Roman" w:hAnsi="Times New Roman" w:cs="Times New Roman"/>
          <w:b/>
          <w:bCs/>
          <w:lang w:eastAsia="lt-LT"/>
        </w:rPr>
        <w:tab/>
        <w:t>SPECIALIOS ATSARGUMO PRIEMONĖS DĖL NESUVARTOTO VAISTINIO PREPARATO AR JO ATLIEKŲ TVARKYMO (JEI REIKIA)</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0D48A3">
        <w:rPr>
          <w:rFonts w:ascii="Times New Roman" w:hAnsi="Times New Roman" w:cs="Times New Roman"/>
          <w:b/>
          <w:bCs/>
          <w:lang w:eastAsia="lt-LT"/>
        </w:rPr>
        <w:t>11.</w:t>
      </w:r>
      <w:r w:rsidRPr="000D48A3">
        <w:rPr>
          <w:rFonts w:ascii="Times New Roman" w:hAnsi="Times New Roman" w:cs="Times New Roman"/>
          <w:b/>
          <w:bCs/>
          <w:lang w:eastAsia="lt-LT"/>
        </w:rPr>
        <w:tab/>
        <w:t>R</w:t>
      </w:r>
      <w:r>
        <w:rPr>
          <w:rFonts w:ascii="Times New Roman" w:hAnsi="Times New Roman" w:cs="Times New Roman"/>
          <w:b/>
          <w:bCs/>
          <w:lang w:eastAsia="lt-LT"/>
        </w:rPr>
        <w:t xml:space="preserve">EGISTRUOTOJO </w:t>
      </w:r>
      <w:r w:rsidRPr="000D48A3">
        <w:rPr>
          <w:rFonts w:ascii="Times New Roman" w:hAnsi="Times New Roman" w:cs="Times New Roman"/>
          <w:b/>
          <w:bCs/>
          <w:lang w:eastAsia="lt-LT"/>
        </w:rPr>
        <w:t xml:space="preserve"> PAVADINIMAS IR ADRESAS</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roofErr w:type="spellStart"/>
      <w:r w:rsidRPr="000D48A3">
        <w:rPr>
          <w:rFonts w:ascii="Times New Roman" w:hAnsi="Times New Roman" w:cs="Times New Roman"/>
          <w:lang w:eastAsia="lt-LT"/>
        </w:rPr>
        <w:t>Sandoz</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d.d</w:t>
      </w:r>
      <w:proofErr w:type="spellEnd"/>
      <w:r w:rsidRPr="000D48A3">
        <w:rPr>
          <w:rFonts w:ascii="Times New Roman" w:hAnsi="Times New Roman" w:cs="Times New Roman"/>
          <w:lang w:eastAsia="lt-LT"/>
        </w:rPr>
        <w:t>.</w:t>
      </w:r>
    </w:p>
    <w:p w:rsidR="00A4103A" w:rsidRPr="000D48A3" w:rsidRDefault="00A4103A" w:rsidP="00A4103A">
      <w:pPr>
        <w:tabs>
          <w:tab w:val="left" w:pos="567"/>
        </w:tabs>
        <w:spacing w:after="0" w:line="240" w:lineRule="auto"/>
        <w:rPr>
          <w:rFonts w:ascii="Times New Roman" w:hAnsi="Times New Roman" w:cs="Times New Roman"/>
          <w:lang w:eastAsia="lt-LT"/>
        </w:rPr>
      </w:pPr>
      <w:proofErr w:type="spellStart"/>
      <w:r w:rsidRPr="000D48A3">
        <w:rPr>
          <w:rFonts w:ascii="Times New Roman" w:hAnsi="Times New Roman" w:cs="Times New Roman"/>
          <w:lang w:eastAsia="lt-LT"/>
        </w:rPr>
        <w:t>Verovškova</w:t>
      </w:r>
      <w:proofErr w:type="spellEnd"/>
      <w:r w:rsidRPr="000D48A3">
        <w:rPr>
          <w:rFonts w:ascii="Times New Roman" w:hAnsi="Times New Roman" w:cs="Times New Roman"/>
          <w:lang w:eastAsia="lt-LT"/>
        </w:rPr>
        <w:t xml:space="preserve"> 57</w:t>
      </w:r>
    </w:p>
    <w:p w:rsidR="00A4103A" w:rsidRPr="000D48A3" w:rsidRDefault="00A4103A" w:rsidP="00A4103A">
      <w:pPr>
        <w:tabs>
          <w:tab w:val="left" w:pos="567"/>
        </w:tabs>
        <w:spacing w:after="0" w:line="240" w:lineRule="auto"/>
        <w:rPr>
          <w:rFonts w:ascii="Times New Roman" w:hAnsi="Times New Roman" w:cs="Times New Roman"/>
          <w:lang w:eastAsia="lt-LT"/>
        </w:rPr>
      </w:pPr>
      <w:r w:rsidRPr="000D48A3">
        <w:rPr>
          <w:rFonts w:ascii="Times New Roman" w:hAnsi="Times New Roman" w:cs="Times New Roman"/>
          <w:lang w:eastAsia="lt-LT"/>
        </w:rPr>
        <w:t xml:space="preserve">SI-1000 </w:t>
      </w:r>
      <w:proofErr w:type="spellStart"/>
      <w:r w:rsidRPr="000D48A3">
        <w:rPr>
          <w:rFonts w:ascii="Times New Roman" w:hAnsi="Times New Roman" w:cs="Times New Roman"/>
          <w:lang w:eastAsia="lt-LT"/>
        </w:rPr>
        <w:t>Ljubljana</w:t>
      </w:r>
      <w:proofErr w:type="spellEnd"/>
    </w:p>
    <w:p w:rsidR="00A4103A" w:rsidRPr="000D48A3" w:rsidRDefault="00A4103A" w:rsidP="00A4103A">
      <w:pPr>
        <w:tabs>
          <w:tab w:val="left" w:pos="567"/>
        </w:tabs>
        <w:spacing w:after="0" w:line="240" w:lineRule="auto"/>
        <w:rPr>
          <w:rFonts w:ascii="Times New Roman" w:hAnsi="Times New Roman" w:cs="Times New Roman"/>
          <w:lang w:eastAsia="lt-LT"/>
        </w:rPr>
      </w:pPr>
      <w:r w:rsidRPr="000D48A3">
        <w:rPr>
          <w:rFonts w:ascii="Times New Roman" w:hAnsi="Times New Roman" w:cs="Times New Roman"/>
          <w:lang w:eastAsia="lt-LT"/>
        </w:rPr>
        <w:t>Slovėnija</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0D48A3">
        <w:rPr>
          <w:rFonts w:ascii="Times New Roman" w:hAnsi="Times New Roman" w:cs="Times New Roman"/>
          <w:b/>
          <w:bCs/>
          <w:lang w:eastAsia="lt-LT"/>
        </w:rPr>
        <w:t>12.</w:t>
      </w:r>
      <w:r w:rsidRPr="000D48A3">
        <w:rPr>
          <w:rFonts w:ascii="Times New Roman" w:hAnsi="Times New Roman" w:cs="Times New Roman"/>
          <w:b/>
          <w:bCs/>
          <w:lang w:eastAsia="lt-LT"/>
        </w:rPr>
        <w:tab/>
        <w:t>R</w:t>
      </w:r>
      <w:r>
        <w:rPr>
          <w:rFonts w:ascii="Times New Roman" w:hAnsi="Times New Roman" w:cs="Times New Roman"/>
          <w:b/>
          <w:bCs/>
          <w:lang w:eastAsia="lt-LT"/>
        </w:rPr>
        <w:t xml:space="preserve">EGISTRACIJOS </w:t>
      </w:r>
      <w:r w:rsidRPr="000D48A3">
        <w:rPr>
          <w:rFonts w:ascii="Times New Roman" w:hAnsi="Times New Roman" w:cs="Times New Roman"/>
          <w:b/>
          <w:bCs/>
          <w:lang w:eastAsia="lt-LT"/>
        </w:rPr>
        <w:t xml:space="preserve"> PAŽYMĖJIMO NUMERIS</w:t>
      </w:r>
      <w:r w:rsidR="00D00A44">
        <w:rPr>
          <w:rFonts w:ascii="Times New Roman" w:hAnsi="Times New Roman" w:cs="Times New Roman"/>
          <w:b/>
          <w:bCs/>
          <w:lang w:eastAsia="lt-LT"/>
        </w:rPr>
        <w:t xml:space="preserve"> (-IAI)</w:t>
      </w:r>
    </w:p>
    <w:p w:rsidR="00A4103A" w:rsidRDefault="00A4103A" w:rsidP="00A4103A">
      <w:pPr>
        <w:tabs>
          <w:tab w:val="left" w:pos="567"/>
        </w:tabs>
        <w:spacing w:after="0" w:line="240" w:lineRule="auto"/>
        <w:rPr>
          <w:rFonts w:ascii="Times New Roman" w:hAnsi="Times New Roman" w:cs="Times New Roman"/>
          <w:lang w:eastAsia="lt-LT"/>
        </w:rPr>
      </w:pPr>
    </w:p>
    <w:p w:rsidR="00A4103A" w:rsidRDefault="00A4103A" w:rsidP="00A4103A">
      <w:pPr>
        <w:pStyle w:val="Default"/>
        <w:tabs>
          <w:tab w:val="left" w:pos="567"/>
        </w:tabs>
        <w:rPr>
          <w:sz w:val="22"/>
          <w:szCs w:val="22"/>
        </w:rPr>
      </w:pPr>
      <w:proofErr w:type="spellStart"/>
      <w:r w:rsidRPr="000D48A3">
        <w:rPr>
          <w:sz w:val="22"/>
          <w:szCs w:val="22"/>
        </w:rPr>
        <w:t>Bosentan</w:t>
      </w:r>
      <w:proofErr w:type="spellEnd"/>
      <w:r w:rsidRPr="000D48A3">
        <w:rPr>
          <w:sz w:val="22"/>
          <w:szCs w:val="22"/>
        </w:rPr>
        <w:t xml:space="preserve"> </w:t>
      </w:r>
      <w:proofErr w:type="spellStart"/>
      <w:r w:rsidRPr="000D48A3">
        <w:rPr>
          <w:sz w:val="22"/>
          <w:szCs w:val="22"/>
        </w:rPr>
        <w:t>Sandoz</w:t>
      </w:r>
      <w:proofErr w:type="spellEnd"/>
      <w:r w:rsidRPr="000D48A3">
        <w:rPr>
          <w:sz w:val="22"/>
          <w:szCs w:val="22"/>
        </w:rPr>
        <w:t xml:space="preserve"> 62,5 mg </w:t>
      </w:r>
    </w:p>
    <w:p w:rsidR="00A4103A" w:rsidRPr="000D48A3" w:rsidRDefault="00A4103A" w:rsidP="00A4103A">
      <w:pPr>
        <w:pStyle w:val="Default"/>
        <w:tabs>
          <w:tab w:val="left" w:pos="567"/>
        </w:tabs>
        <w:rPr>
          <w:sz w:val="22"/>
          <w:szCs w:val="22"/>
        </w:rPr>
      </w:pPr>
      <w:r>
        <w:rPr>
          <w:sz w:val="22"/>
          <w:szCs w:val="22"/>
        </w:rPr>
        <w:t>N14 – LT/1/13/3461/001</w:t>
      </w:r>
    </w:p>
    <w:p w:rsidR="00A4103A" w:rsidRPr="000D48A3" w:rsidRDefault="00A4103A" w:rsidP="00A4103A">
      <w:pPr>
        <w:pStyle w:val="Default"/>
        <w:tabs>
          <w:tab w:val="left" w:pos="567"/>
        </w:tabs>
        <w:rPr>
          <w:sz w:val="22"/>
          <w:szCs w:val="22"/>
        </w:rPr>
      </w:pPr>
      <w:r>
        <w:rPr>
          <w:sz w:val="22"/>
          <w:szCs w:val="22"/>
        </w:rPr>
        <w:t>N56 – LT/1/13/3461/002</w:t>
      </w:r>
    </w:p>
    <w:p w:rsidR="00A4103A" w:rsidRPr="000D48A3" w:rsidRDefault="00A4103A" w:rsidP="00A4103A">
      <w:pPr>
        <w:pStyle w:val="Default"/>
        <w:tabs>
          <w:tab w:val="left" w:pos="567"/>
        </w:tabs>
        <w:rPr>
          <w:sz w:val="22"/>
          <w:szCs w:val="22"/>
        </w:rPr>
      </w:pPr>
      <w:r>
        <w:rPr>
          <w:sz w:val="22"/>
          <w:szCs w:val="22"/>
        </w:rPr>
        <w:t>N112 – LT/1/13/3461/003</w:t>
      </w:r>
    </w:p>
    <w:p w:rsidR="00A4103A" w:rsidRDefault="00A4103A" w:rsidP="00A4103A">
      <w:pPr>
        <w:tabs>
          <w:tab w:val="left" w:pos="425"/>
          <w:tab w:val="left" w:pos="567"/>
        </w:tabs>
        <w:spacing w:after="0" w:line="240" w:lineRule="auto"/>
        <w:rPr>
          <w:rFonts w:ascii="Times New Roman" w:hAnsi="Times New Roman" w:cs="Times New Roman"/>
        </w:rPr>
      </w:pPr>
    </w:p>
    <w:p w:rsidR="00A4103A" w:rsidRDefault="00A4103A" w:rsidP="00A4103A">
      <w:pPr>
        <w:pStyle w:val="Default"/>
        <w:tabs>
          <w:tab w:val="left" w:pos="567"/>
        </w:tabs>
        <w:rPr>
          <w:sz w:val="22"/>
          <w:szCs w:val="22"/>
        </w:rPr>
      </w:pPr>
      <w:proofErr w:type="spellStart"/>
      <w:r>
        <w:rPr>
          <w:sz w:val="22"/>
          <w:szCs w:val="22"/>
        </w:rPr>
        <w:t>Bosentan</w:t>
      </w:r>
      <w:proofErr w:type="spellEnd"/>
      <w:r>
        <w:rPr>
          <w:sz w:val="22"/>
          <w:szCs w:val="22"/>
        </w:rPr>
        <w:t xml:space="preserve"> </w:t>
      </w:r>
      <w:proofErr w:type="spellStart"/>
      <w:r>
        <w:rPr>
          <w:sz w:val="22"/>
          <w:szCs w:val="22"/>
        </w:rPr>
        <w:t>Sandoz</w:t>
      </w:r>
      <w:proofErr w:type="spellEnd"/>
      <w:r>
        <w:rPr>
          <w:sz w:val="22"/>
          <w:szCs w:val="22"/>
        </w:rPr>
        <w:t xml:space="preserve"> 12</w:t>
      </w:r>
      <w:r w:rsidRPr="000D48A3">
        <w:rPr>
          <w:sz w:val="22"/>
          <w:szCs w:val="22"/>
        </w:rPr>
        <w:t xml:space="preserve">5 mg </w:t>
      </w:r>
    </w:p>
    <w:p w:rsidR="00A4103A" w:rsidRPr="000D48A3" w:rsidRDefault="00A4103A" w:rsidP="00A4103A">
      <w:pPr>
        <w:pStyle w:val="Default"/>
        <w:tabs>
          <w:tab w:val="left" w:pos="567"/>
        </w:tabs>
        <w:rPr>
          <w:sz w:val="22"/>
          <w:szCs w:val="22"/>
        </w:rPr>
      </w:pPr>
      <w:r>
        <w:rPr>
          <w:sz w:val="22"/>
          <w:szCs w:val="22"/>
        </w:rPr>
        <w:t>N14 – LT/1/13/3461/004</w:t>
      </w:r>
    </w:p>
    <w:p w:rsidR="00A4103A" w:rsidRPr="000D48A3" w:rsidRDefault="00A4103A" w:rsidP="00A4103A">
      <w:pPr>
        <w:pStyle w:val="Default"/>
        <w:tabs>
          <w:tab w:val="left" w:pos="567"/>
        </w:tabs>
        <w:rPr>
          <w:sz w:val="22"/>
          <w:szCs w:val="22"/>
        </w:rPr>
      </w:pPr>
      <w:r>
        <w:rPr>
          <w:sz w:val="22"/>
          <w:szCs w:val="22"/>
        </w:rPr>
        <w:t>N56 – LT/1/13/3461/005</w:t>
      </w:r>
    </w:p>
    <w:p w:rsidR="00A4103A" w:rsidRPr="000D48A3" w:rsidRDefault="00A4103A" w:rsidP="00A4103A">
      <w:pPr>
        <w:pStyle w:val="Default"/>
        <w:tabs>
          <w:tab w:val="left" w:pos="567"/>
        </w:tabs>
        <w:rPr>
          <w:sz w:val="22"/>
          <w:szCs w:val="22"/>
        </w:rPr>
      </w:pPr>
      <w:r>
        <w:rPr>
          <w:sz w:val="22"/>
          <w:szCs w:val="22"/>
        </w:rPr>
        <w:t>N112 – LT/1/13/3461/006</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0D48A3">
        <w:rPr>
          <w:rFonts w:ascii="Times New Roman" w:hAnsi="Times New Roman" w:cs="Times New Roman"/>
          <w:b/>
          <w:bCs/>
          <w:lang w:eastAsia="lt-LT"/>
        </w:rPr>
        <w:t>13.</w:t>
      </w:r>
      <w:r w:rsidRPr="000D48A3">
        <w:rPr>
          <w:rFonts w:ascii="Times New Roman" w:hAnsi="Times New Roman" w:cs="Times New Roman"/>
          <w:b/>
          <w:bCs/>
          <w:lang w:eastAsia="lt-LT"/>
        </w:rPr>
        <w:tab/>
        <w:t>SERIJOS NUMERIS</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r w:rsidRPr="000D48A3">
        <w:rPr>
          <w:rFonts w:ascii="Times New Roman" w:hAnsi="Times New Roman" w:cs="Times New Roman"/>
          <w:lang w:eastAsia="lt-LT"/>
        </w:rPr>
        <w:t>Serija {numeris}</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0D48A3">
        <w:rPr>
          <w:rFonts w:ascii="Times New Roman" w:hAnsi="Times New Roman" w:cs="Times New Roman"/>
          <w:b/>
          <w:bCs/>
          <w:lang w:eastAsia="lt-LT"/>
        </w:rPr>
        <w:t>14.</w:t>
      </w:r>
      <w:r w:rsidRPr="000D48A3">
        <w:rPr>
          <w:rFonts w:ascii="Times New Roman" w:hAnsi="Times New Roman" w:cs="Times New Roman"/>
          <w:b/>
          <w:bCs/>
          <w:lang w:eastAsia="lt-LT"/>
        </w:rPr>
        <w:tab/>
        <w:t>PARDAVIMO (IŠDAVIMO) TVARKA</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r w:rsidRPr="000D48A3">
        <w:rPr>
          <w:rFonts w:ascii="Times New Roman" w:hAnsi="Times New Roman" w:cs="Times New Roman"/>
          <w:lang w:eastAsia="lt-LT"/>
        </w:rPr>
        <w:t>Receptinis vaistinis preparatas.</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b/>
          <w:bCs/>
          <w:lang w:eastAsia="lt-LT"/>
        </w:rPr>
      </w:pPr>
      <w:r w:rsidRPr="000D48A3">
        <w:rPr>
          <w:rFonts w:ascii="Times New Roman" w:hAnsi="Times New Roman" w:cs="Times New Roman"/>
          <w:b/>
          <w:bCs/>
          <w:lang w:eastAsia="lt-LT"/>
        </w:rPr>
        <w:t>15.</w:t>
      </w:r>
      <w:r w:rsidRPr="000D48A3">
        <w:rPr>
          <w:rFonts w:ascii="Times New Roman" w:hAnsi="Times New Roman" w:cs="Times New Roman"/>
          <w:b/>
          <w:bCs/>
          <w:lang w:eastAsia="lt-LT"/>
        </w:rPr>
        <w:tab/>
        <w:t>VARTOJIMO INSTRUKCIJA</w:t>
      </w:r>
    </w:p>
    <w:p w:rsidR="00A4103A" w:rsidRPr="000D48A3" w:rsidRDefault="00A4103A" w:rsidP="00A4103A">
      <w:pPr>
        <w:tabs>
          <w:tab w:val="left" w:pos="567"/>
        </w:tabs>
        <w:spacing w:after="0" w:line="240" w:lineRule="auto"/>
        <w:jc w:val="both"/>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b/>
          <w:bCs/>
          <w:lang w:eastAsia="lt-LT"/>
        </w:rPr>
      </w:pPr>
    </w:p>
    <w:p w:rsidR="00A4103A" w:rsidRPr="000D48A3" w:rsidRDefault="00A4103A" w:rsidP="00A4103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eastAsia="lt-LT"/>
        </w:rPr>
      </w:pPr>
      <w:r w:rsidRPr="000D48A3">
        <w:rPr>
          <w:rFonts w:ascii="Times New Roman" w:hAnsi="Times New Roman" w:cs="Times New Roman"/>
          <w:b/>
          <w:bCs/>
          <w:lang w:eastAsia="lt-LT"/>
        </w:rPr>
        <w:t>16. INFORMACIJA BRAILIO RAŠTU</w:t>
      </w:r>
    </w:p>
    <w:p w:rsidR="00A4103A" w:rsidRPr="000D48A3" w:rsidRDefault="00A4103A" w:rsidP="00A4103A">
      <w:pPr>
        <w:keepNext/>
        <w:tabs>
          <w:tab w:val="left" w:pos="567"/>
        </w:tabs>
        <w:spacing w:after="0" w:line="240" w:lineRule="auto"/>
        <w:outlineLvl w:val="1"/>
        <w:rPr>
          <w:rFonts w:ascii="Times New Roman" w:hAnsi="Times New Roman" w:cs="Times New Roman"/>
          <w:b/>
          <w:bCs/>
          <w:lang w:eastAsia="lt-LT"/>
        </w:rPr>
      </w:pPr>
    </w:p>
    <w:p w:rsidR="00A4103A" w:rsidRPr="000D48A3" w:rsidRDefault="00A4103A" w:rsidP="00A4103A">
      <w:pPr>
        <w:tabs>
          <w:tab w:val="left" w:pos="567"/>
          <w:tab w:val="center" w:pos="4986"/>
          <w:tab w:val="right" w:pos="9972"/>
        </w:tabs>
        <w:spacing w:after="0" w:line="240" w:lineRule="auto"/>
        <w:rPr>
          <w:rFonts w:ascii="Times New Roman" w:hAnsi="Times New Roman" w:cs="Times New Roman"/>
          <w:lang w:eastAsia="lt-LT"/>
        </w:rPr>
      </w:pPr>
      <w:proofErr w:type="spellStart"/>
      <w:r w:rsidRPr="000D48A3">
        <w:rPr>
          <w:rFonts w:ascii="Times New Roman" w:hAnsi="Times New Roman" w:cs="Times New Roman"/>
          <w:lang w:eastAsia="lt-LT"/>
        </w:rPr>
        <w:t>Bosentan</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Sandoz</w:t>
      </w:r>
      <w:proofErr w:type="spellEnd"/>
      <w:r w:rsidRPr="000D48A3">
        <w:rPr>
          <w:rFonts w:ascii="Times New Roman" w:hAnsi="Times New Roman" w:cs="Times New Roman"/>
          <w:lang w:eastAsia="lt-LT"/>
        </w:rPr>
        <w:t xml:space="preserve"> 62,5 mg </w:t>
      </w: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b/>
          <w:bCs/>
          <w:color w:val="000000"/>
          <w:lang w:eastAsia="lt-LT"/>
        </w:rPr>
      </w:pPr>
      <w:proofErr w:type="spellStart"/>
      <w:r w:rsidRPr="00D371F8">
        <w:rPr>
          <w:rFonts w:ascii="Times New Roman" w:hAnsi="Times New Roman" w:cs="Times New Roman"/>
          <w:color w:val="000000"/>
          <w:highlight w:val="lightGray"/>
          <w:lang w:eastAsia="lt-LT"/>
        </w:rPr>
        <w:t>Bosentan</w:t>
      </w:r>
      <w:proofErr w:type="spellEnd"/>
      <w:r w:rsidRPr="00D371F8">
        <w:rPr>
          <w:rFonts w:ascii="Times New Roman" w:hAnsi="Times New Roman" w:cs="Times New Roman"/>
          <w:color w:val="000000"/>
          <w:highlight w:val="lightGray"/>
          <w:lang w:eastAsia="lt-LT"/>
        </w:rPr>
        <w:t xml:space="preserve"> </w:t>
      </w:r>
      <w:proofErr w:type="spellStart"/>
      <w:r w:rsidRPr="00D371F8">
        <w:rPr>
          <w:rFonts w:ascii="Times New Roman" w:hAnsi="Times New Roman" w:cs="Times New Roman"/>
          <w:color w:val="000000"/>
          <w:highlight w:val="lightGray"/>
          <w:lang w:eastAsia="lt-LT"/>
        </w:rPr>
        <w:t>Sandoz</w:t>
      </w:r>
      <w:proofErr w:type="spellEnd"/>
      <w:r w:rsidRPr="00D371F8">
        <w:rPr>
          <w:rFonts w:ascii="Times New Roman" w:hAnsi="Times New Roman" w:cs="Times New Roman"/>
          <w:color w:val="000000"/>
          <w:highlight w:val="lightGray"/>
          <w:lang w:eastAsia="lt-LT"/>
        </w:rPr>
        <w:t xml:space="preserve"> 125 mg </w:t>
      </w:r>
    </w:p>
    <w:p w:rsidR="00A4103A" w:rsidRDefault="00A4103A" w:rsidP="00A4103A">
      <w:pPr>
        <w:tabs>
          <w:tab w:val="left" w:pos="567"/>
        </w:tabs>
        <w:spacing w:after="0" w:line="240" w:lineRule="auto"/>
        <w:rPr>
          <w:rFonts w:ascii="Times New Roman" w:hAnsi="Times New Roman" w:cs="Times New Roman"/>
          <w:lang w:eastAsia="lt-LT"/>
        </w:rPr>
      </w:pPr>
    </w:p>
    <w:p w:rsidR="00D00A44" w:rsidRPr="00D00A44" w:rsidRDefault="00D00A44" w:rsidP="00D00A44">
      <w:pPr>
        <w:tabs>
          <w:tab w:val="left" w:pos="567"/>
        </w:tabs>
        <w:spacing w:after="0" w:line="240" w:lineRule="auto"/>
        <w:rPr>
          <w:rFonts w:ascii="Times New Roman" w:eastAsia="Times New Roman" w:hAnsi="Times New Roman" w:cs="Times New Roman"/>
          <w:noProof/>
          <w:shd w:val="clear" w:color="auto" w:fill="CCCCCC"/>
          <w:lang w:eastAsia="lt-LT" w:bidi="lt-LT"/>
        </w:rPr>
      </w:pPr>
    </w:p>
    <w:p w:rsidR="00A4103A" w:rsidRPr="000D48A3" w:rsidRDefault="00A4103A" w:rsidP="00A4103A">
      <w:pPr>
        <w:tabs>
          <w:tab w:val="left" w:pos="567"/>
        </w:tabs>
        <w:spacing w:after="0" w:line="240" w:lineRule="auto"/>
        <w:rPr>
          <w:rFonts w:ascii="Times New Roman" w:hAnsi="Times New Roman" w:cs="Times New Roman"/>
          <w:lang w:eastAsia="lt-LT"/>
        </w:rPr>
      </w:pPr>
      <w:r w:rsidRPr="000D48A3">
        <w:rPr>
          <w:rFonts w:ascii="Times New Roman" w:hAnsi="Times New Roman" w:cs="Times New Roman"/>
          <w:i/>
          <w:iCs/>
          <w:lang w:eastAsia="lt-LT"/>
        </w:rPr>
        <w:br w:type="page"/>
      </w:r>
    </w:p>
    <w:p w:rsidR="00A4103A" w:rsidRPr="000D48A3" w:rsidRDefault="00A4103A" w:rsidP="00A410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lt-LT"/>
        </w:rPr>
      </w:pPr>
      <w:r w:rsidRPr="000D48A3">
        <w:rPr>
          <w:rFonts w:ascii="Times New Roman" w:hAnsi="Times New Roman" w:cs="Times New Roman"/>
          <w:b/>
          <w:bCs/>
          <w:lang w:eastAsia="lt-LT"/>
        </w:rPr>
        <w:lastRenderedPageBreak/>
        <w:t>MINIMALI INFORMACIJA ANT LIZDINIŲ PLOKŠTELIŲ ARBA DVISLUOKSNIŲ JUOSTELIŲ</w:t>
      </w:r>
    </w:p>
    <w:p w:rsidR="00A4103A" w:rsidRPr="000D48A3" w:rsidRDefault="00A4103A" w:rsidP="00A410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lang w:eastAsia="lt-LT"/>
        </w:rPr>
      </w:pPr>
    </w:p>
    <w:p w:rsidR="00A4103A" w:rsidRPr="000D48A3" w:rsidRDefault="00A4103A" w:rsidP="00A410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lang w:eastAsia="lt-LT"/>
        </w:rPr>
      </w:pPr>
      <w:r w:rsidRPr="000D48A3">
        <w:rPr>
          <w:rFonts w:ascii="Times New Roman" w:hAnsi="Times New Roman" w:cs="Times New Roman"/>
          <w:b/>
          <w:bCs/>
          <w:lang w:eastAsia="lt-LT"/>
        </w:rPr>
        <w:t>LIZDINĖS PLOKŠTELĖS</w:t>
      </w:r>
    </w:p>
    <w:p w:rsidR="00A4103A" w:rsidRPr="000D48A3" w:rsidRDefault="00A4103A" w:rsidP="00A4103A">
      <w:pPr>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bCs/>
          <w:lang w:eastAsia="lt-LT"/>
        </w:rPr>
      </w:pPr>
      <w:r w:rsidRPr="000D48A3">
        <w:rPr>
          <w:rFonts w:ascii="Times New Roman" w:hAnsi="Times New Roman" w:cs="Times New Roman"/>
          <w:b/>
          <w:bCs/>
          <w:lang w:eastAsia="lt-LT"/>
        </w:rPr>
        <w:t>1.</w:t>
      </w:r>
      <w:r w:rsidRPr="000D48A3">
        <w:rPr>
          <w:rFonts w:ascii="Times New Roman" w:hAnsi="Times New Roman" w:cs="Times New Roman"/>
          <w:b/>
          <w:bCs/>
          <w:lang w:eastAsia="lt-LT"/>
        </w:rPr>
        <w:tab/>
      </w:r>
      <w:r w:rsidRPr="000D48A3">
        <w:rPr>
          <w:rFonts w:ascii="Times New Roman" w:hAnsi="Times New Roman" w:cs="Times New Roman"/>
          <w:b/>
          <w:bCs/>
          <w:caps/>
          <w:lang w:eastAsia="lt-LT"/>
        </w:rPr>
        <w:t>VAISTINIO</w:t>
      </w:r>
      <w:r w:rsidRPr="000D48A3">
        <w:rPr>
          <w:rFonts w:ascii="Times New Roman" w:hAnsi="Times New Roman" w:cs="Times New Roman"/>
          <w:b/>
          <w:bCs/>
          <w:lang w:eastAsia="lt-LT"/>
        </w:rPr>
        <w:t xml:space="preserve"> PREPARATO PAVADINIMAS</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 w:val="center" w:pos="4986"/>
          <w:tab w:val="right" w:pos="9972"/>
        </w:tabs>
        <w:spacing w:after="0" w:line="240" w:lineRule="auto"/>
        <w:rPr>
          <w:rFonts w:ascii="Times New Roman" w:hAnsi="Times New Roman" w:cs="Times New Roman"/>
          <w:lang w:eastAsia="lt-LT"/>
        </w:rPr>
      </w:pPr>
      <w:proofErr w:type="spellStart"/>
      <w:r w:rsidRPr="000D48A3">
        <w:rPr>
          <w:rFonts w:ascii="Times New Roman" w:hAnsi="Times New Roman" w:cs="Times New Roman"/>
          <w:lang w:eastAsia="lt-LT"/>
        </w:rPr>
        <w:t>Bosentan</w:t>
      </w:r>
      <w:proofErr w:type="spellEnd"/>
      <w:r w:rsidRPr="000D48A3">
        <w:rPr>
          <w:rFonts w:ascii="Times New Roman" w:hAnsi="Times New Roman" w:cs="Times New Roman"/>
          <w:lang w:eastAsia="lt-LT"/>
        </w:rPr>
        <w:t xml:space="preserve"> </w:t>
      </w:r>
      <w:proofErr w:type="spellStart"/>
      <w:r w:rsidRPr="000D48A3">
        <w:rPr>
          <w:rFonts w:ascii="Times New Roman" w:hAnsi="Times New Roman" w:cs="Times New Roman"/>
          <w:lang w:eastAsia="lt-LT"/>
        </w:rPr>
        <w:t>Sandoz</w:t>
      </w:r>
      <w:proofErr w:type="spellEnd"/>
      <w:r w:rsidRPr="000D48A3">
        <w:rPr>
          <w:rFonts w:ascii="Times New Roman" w:hAnsi="Times New Roman" w:cs="Times New Roman"/>
          <w:lang w:eastAsia="lt-LT"/>
        </w:rPr>
        <w:t xml:space="preserve"> 62,5 mg </w:t>
      </w:r>
      <w:r w:rsidRPr="00D371F8">
        <w:rPr>
          <w:rFonts w:ascii="Times New Roman" w:hAnsi="Times New Roman" w:cs="Times New Roman"/>
          <w:highlight w:val="lightGray"/>
          <w:lang w:eastAsia="lt-LT"/>
        </w:rPr>
        <w:t>plėvele dengtos</w:t>
      </w:r>
      <w:r w:rsidRPr="000D48A3">
        <w:rPr>
          <w:rFonts w:ascii="Times New Roman" w:hAnsi="Times New Roman" w:cs="Times New Roman"/>
          <w:lang w:eastAsia="lt-LT"/>
        </w:rPr>
        <w:t xml:space="preserve"> tabletės </w:t>
      </w:r>
    </w:p>
    <w:p w:rsidR="00A4103A" w:rsidRPr="000D48A3" w:rsidRDefault="00A4103A" w:rsidP="00A4103A">
      <w:pPr>
        <w:tabs>
          <w:tab w:val="left" w:pos="567"/>
        </w:tabs>
        <w:autoSpaceDE w:val="0"/>
        <w:autoSpaceDN w:val="0"/>
        <w:adjustRightInd w:val="0"/>
        <w:spacing w:after="0" w:line="240" w:lineRule="auto"/>
        <w:rPr>
          <w:rFonts w:ascii="Times New Roman" w:hAnsi="Times New Roman" w:cs="Times New Roman"/>
          <w:b/>
          <w:bCs/>
          <w:color w:val="000000"/>
          <w:lang w:eastAsia="lt-LT"/>
        </w:rPr>
      </w:pPr>
      <w:proofErr w:type="spellStart"/>
      <w:r w:rsidRPr="00D371F8">
        <w:rPr>
          <w:rFonts w:ascii="Times New Roman" w:hAnsi="Times New Roman" w:cs="Times New Roman"/>
          <w:color w:val="000000"/>
          <w:highlight w:val="lightGray"/>
          <w:lang w:eastAsia="lt-LT"/>
        </w:rPr>
        <w:t>Bosentan</w:t>
      </w:r>
      <w:proofErr w:type="spellEnd"/>
      <w:r w:rsidRPr="00D371F8">
        <w:rPr>
          <w:rFonts w:ascii="Times New Roman" w:hAnsi="Times New Roman" w:cs="Times New Roman"/>
          <w:color w:val="000000"/>
          <w:highlight w:val="lightGray"/>
          <w:lang w:eastAsia="lt-LT"/>
        </w:rPr>
        <w:t xml:space="preserve"> </w:t>
      </w:r>
      <w:proofErr w:type="spellStart"/>
      <w:r w:rsidRPr="00D371F8">
        <w:rPr>
          <w:rFonts w:ascii="Times New Roman" w:hAnsi="Times New Roman" w:cs="Times New Roman"/>
          <w:color w:val="000000"/>
          <w:highlight w:val="lightGray"/>
          <w:lang w:eastAsia="lt-LT"/>
        </w:rPr>
        <w:t>Sandoz</w:t>
      </w:r>
      <w:proofErr w:type="spellEnd"/>
      <w:r w:rsidRPr="00D371F8">
        <w:rPr>
          <w:rFonts w:ascii="Times New Roman" w:hAnsi="Times New Roman" w:cs="Times New Roman"/>
          <w:color w:val="000000"/>
          <w:highlight w:val="lightGray"/>
          <w:lang w:eastAsia="lt-LT"/>
        </w:rPr>
        <w:t xml:space="preserve"> 125 mg plėvele dengtos tabletės</w:t>
      </w:r>
    </w:p>
    <w:p w:rsidR="00A4103A" w:rsidRPr="000D48A3" w:rsidRDefault="00A4103A" w:rsidP="00A4103A">
      <w:pPr>
        <w:tabs>
          <w:tab w:val="left" w:pos="567"/>
        </w:tabs>
        <w:spacing w:after="0" w:line="240" w:lineRule="auto"/>
        <w:rPr>
          <w:rFonts w:ascii="Times New Roman" w:hAnsi="Times New Roman" w:cs="Times New Roman"/>
          <w:lang w:eastAsia="lt-LT"/>
        </w:rPr>
      </w:pPr>
      <w:proofErr w:type="spellStart"/>
      <w:r w:rsidRPr="000D48A3">
        <w:rPr>
          <w:rFonts w:ascii="Times New Roman" w:hAnsi="Times New Roman" w:cs="Times New Roman"/>
          <w:lang w:eastAsia="lt-LT"/>
        </w:rPr>
        <w:t>Bosentanum</w:t>
      </w:r>
      <w:proofErr w:type="spellEnd"/>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bCs/>
          <w:lang w:eastAsia="lt-LT"/>
        </w:rPr>
      </w:pPr>
      <w:r w:rsidRPr="000D48A3">
        <w:rPr>
          <w:rFonts w:ascii="Times New Roman" w:hAnsi="Times New Roman" w:cs="Times New Roman"/>
          <w:b/>
          <w:bCs/>
          <w:lang w:eastAsia="lt-LT"/>
        </w:rPr>
        <w:t>2.</w:t>
      </w:r>
      <w:r w:rsidRPr="000D48A3">
        <w:rPr>
          <w:rFonts w:ascii="Times New Roman" w:hAnsi="Times New Roman" w:cs="Times New Roman"/>
          <w:b/>
          <w:bCs/>
          <w:lang w:eastAsia="lt-LT"/>
        </w:rPr>
        <w:tab/>
      </w:r>
      <w:r w:rsidRPr="000D48A3">
        <w:rPr>
          <w:rFonts w:ascii="Times New Roman" w:hAnsi="Times New Roman" w:cs="Times New Roman"/>
          <w:b/>
          <w:bCs/>
          <w:caps/>
          <w:lang w:eastAsia="lt-LT"/>
        </w:rPr>
        <w:t>r</w:t>
      </w:r>
      <w:r>
        <w:rPr>
          <w:rFonts w:ascii="Times New Roman" w:hAnsi="Times New Roman" w:cs="Times New Roman"/>
          <w:b/>
          <w:bCs/>
          <w:caps/>
          <w:lang w:eastAsia="lt-LT"/>
        </w:rPr>
        <w:t xml:space="preserve">EGISTRUOTOJO </w:t>
      </w:r>
      <w:r w:rsidRPr="000D48A3">
        <w:rPr>
          <w:rFonts w:ascii="Times New Roman" w:hAnsi="Times New Roman" w:cs="Times New Roman"/>
          <w:b/>
          <w:bCs/>
          <w:caps/>
          <w:lang w:eastAsia="lt-LT"/>
        </w:rPr>
        <w:t xml:space="preserve"> pavadinimas</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roofErr w:type="spellStart"/>
      <w:r w:rsidRPr="000D48A3">
        <w:rPr>
          <w:rFonts w:ascii="Times New Roman" w:hAnsi="Times New Roman" w:cs="Times New Roman"/>
          <w:lang w:eastAsia="lt-LT"/>
        </w:rPr>
        <w:t>Sandoz</w:t>
      </w:r>
      <w:proofErr w:type="spellEnd"/>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cs="Times New Roman"/>
          <w:b/>
          <w:bCs/>
          <w:lang w:eastAsia="lt-LT"/>
        </w:rPr>
      </w:pPr>
      <w:r w:rsidRPr="000D48A3">
        <w:rPr>
          <w:rFonts w:ascii="Times New Roman" w:hAnsi="Times New Roman" w:cs="Times New Roman"/>
          <w:b/>
          <w:bCs/>
          <w:lang w:eastAsia="lt-LT"/>
        </w:rPr>
        <w:t>3.</w:t>
      </w:r>
      <w:r w:rsidRPr="000D48A3">
        <w:rPr>
          <w:rFonts w:ascii="Times New Roman" w:hAnsi="Times New Roman" w:cs="Times New Roman"/>
          <w:b/>
          <w:bCs/>
          <w:lang w:eastAsia="lt-LT"/>
        </w:rPr>
        <w:tab/>
        <w:t>TINKAMUMO LAIKAS</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roofErr w:type="spellStart"/>
      <w:r w:rsidRPr="00D371F8">
        <w:rPr>
          <w:rFonts w:ascii="Times New Roman" w:hAnsi="Times New Roman" w:cs="Times New Roman"/>
          <w:highlight w:val="lightGray"/>
          <w:lang w:eastAsia="lt-LT"/>
        </w:rPr>
        <w:t>Exp</w:t>
      </w:r>
      <w:proofErr w:type="spellEnd"/>
      <w:r>
        <w:rPr>
          <w:rFonts w:ascii="Times New Roman" w:hAnsi="Times New Roman" w:cs="Times New Roman"/>
          <w:lang w:eastAsia="lt-LT"/>
        </w:rPr>
        <w:t xml:space="preserve"> </w:t>
      </w:r>
      <w:r w:rsidRPr="000D48A3">
        <w:rPr>
          <w:rFonts w:ascii="Times New Roman" w:hAnsi="Times New Roman" w:cs="Times New Roman"/>
          <w:lang w:eastAsia="lt-LT"/>
        </w:rPr>
        <w:t>{</w:t>
      </w:r>
      <w:r w:rsidRPr="000D48A3" w:rsidDel="00432133">
        <w:rPr>
          <w:rFonts w:ascii="Times New Roman" w:hAnsi="Times New Roman" w:cs="Times New Roman"/>
          <w:lang w:eastAsia="lt-LT"/>
        </w:rPr>
        <w:t xml:space="preserve"> </w:t>
      </w:r>
      <w:r w:rsidRPr="000D48A3">
        <w:rPr>
          <w:rFonts w:ascii="Times New Roman" w:hAnsi="Times New Roman" w:cs="Times New Roman"/>
          <w:lang w:eastAsia="lt-LT"/>
        </w:rPr>
        <w:t>mm</w:t>
      </w:r>
      <w:r>
        <w:rPr>
          <w:rFonts w:ascii="Times New Roman" w:hAnsi="Times New Roman" w:cs="Times New Roman"/>
          <w:lang w:eastAsia="lt-LT"/>
        </w:rPr>
        <w:t>-MMMM</w:t>
      </w:r>
      <w:r w:rsidRPr="000D48A3">
        <w:rPr>
          <w:rFonts w:ascii="Times New Roman" w:hAnsi="Times New Roman" w:cs="Times New Roman"/>
          <w:lang w:eastAsia="lt-LT"/>
        </w:rPr>
        <w:t>}</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bCs/>
          <w:lang w:eastAsia="lt-LT"/>
        </w:rPr>
      </w:pPr>
      <w:r w:rsidRPr="000D48A3">
        <w:rPr>
          <w:rFonts w:ascii="Times New Roman" w:hAnsi="Times New Roman" w:cs="Times New Roman"/>
          <w:b/>
          <w:bCs/>
          <w:lang w:eastAsia="lt-LT"/>
        </w:rPr>
        <w:t>4.</w:t>
      </w:r>
      <w:r w:rsidRPr="000D48A3">
        <w:rPr>
          <w:rFonts w:ascii="Times New Roman" w:hAnsi="Times New Roman" w:cs="Times New Roman"/>
          <w:b/>
          <w:bCs/>
          <w:lang w:eastAsia="lt-LT"/>
        </w:rPr>
        <w:tab/>
        <w:t>SERIJOS NUMERIS</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outlineLvl w:val="0"/>
        <w:rPr>
          <w:rFonts w:ascii="Times New Roman" w:hAnsi="Times New Roman" w:cs="Times New Roman"/>
          <w:b/>
          <w:bCs/>
          <w:lang w:eastAsia="lt-LT"/>
        </w:rPr>
      </w:pPr>
      <w:r w:rsidRPr="00D371F8">
        <w:rPr>
          <w:rFonts w:ascii="Times New Roman" w:hAnsi="Times New Roman"/>
          <w:highlight w:val="lightGray"/>
        </w:rPr>
        <w:t>Serija</w:t>
      </w:r>
      <w:r>
        <w:rPr>
          <w:rFonts w:ascii="Times New Roman" w:hAnsi="Times New Roman" w:cs="Times New Roman"/>
          <w:lang w:eastAsia="lt-LT"/>
        </w:rPr>
        <w:t xml:space="preserve"> { numeris}</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bCs/>
          <w:lang w:eastAsia="lt-LT"/>
        </w:rPr>
      </w:pPr>
      <w:r w:rsidRPr="000D48A3">
        <w:rPr>
          <w:rFonts w:ascii="Times New Roman" w:hAnsi="Times New Roman" w:cs="Times New Roman"/>
          <w:b/>
          <w:bCs/>
          <w:lang w:eastAsia="lt-LT"/>
        </w:rPr>
        <w:t>5.</w:t>
      </w:r>
      <w:r w:rsidRPr="000D48A3">
        <w:rPr>
          <w:rFonts w:ascii="Times New Roman" w:hAnsi="Times New Roman" w:cs="Times New Roman"/>
          <w:b/>
          <w:bCs/>
          <w:lang w:eastAsia="lt-LT"/>
        </w:rPr>
        <w:tab/>
        <w:t>KITA</w:t>
      </w: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tabs>
          <w:tab w:val="left" w:pos="567"/>
        </w:tabs>
        <w:spacing w:after="0" w:line="240" w:lineRule="auto"/>
        <w:rPr>
          <w:rFonts w:ascii="Times New Roman" w:hAnsi="Times New Roman" w:cs="Times New Roman"/>
          <w:lang w:eastAsia="lt-LT"/>
        </w:rPr>
      </w:pPr>
    </w:p>
    <w:p w:rsidR="00A4103A" w:rsidRPr="000D48A3" w:rsidRDefault="00A4103A" w:rsidP="00A4103A">
      <w:pPr>
        <w:pStyle w:val="BTEMEASMCA"/>
        <w:tabs>
          <w:tab w:val="left" w:pos="567"/>
        </w:tabs>
      </w:pPr>
      <w:r w:rsidRPr="000D48A3">
        <w:rPr>
          <w:b/>
          <w:bCs/>
          <w:lang w:eastAsia="lt-LT"/>
        </w:rPr>
        <w:br w:type="page"/>
      </w: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Pr="000D48A3" w:rsidRDefault="00A4103A" w:rsidP="00A4103A">
      <w:pPr>
        <w:spacing w:after="0" w:line="240" w:lineRule="auto"/>
        <w:rPr>
          <w:rFonts w:ascii="Times New Roman" w:hAnsi="Times New Roman" w:cs="Times New Roman"/>
        </w:rPr>
      </w:pPr>
    </w:p>
    <w:p w:rsidR="00A4103A" w:rsidRDefault="00A4103A" w:rsidP="00A4103A">
      <w:pPr>
        <w:tabs>
          <w:tab w:val="left" w:pos="567"/>
        </w:tabs>
        <w:spacing w:after="0" w:line="240" w:lineRule="auto"/>
        <w:ind w:left="567" w:hanging="567"/>
        <w:jc w:val="center"/>
        <w:outlineLvl w:val="0"/>
        <w:rPr>
          <w:rFonts w:ascii="Times New Roman" w:hAnsi="Times New Roman" w:cs="Times New Roman"/>
          <w:b/>
          <w:bCs/>
          <w:caps/>
          <w:kern w:val="32"/>
        </w:rPr>
      </w:pPr>
      <w:bookmarkStart w:id="10" w:name="_Toc129243137"/>
      <w:bookmarkStart w:id="11" w:name="_Toc129243262"/>
    </w:p>
    <w:p w:rsidR="00A4103A" w:rsidRPr="000D48A3" w:rsidRDefault="00A4103A" w:rsidP="00A4103A">
      <w:pPr>
        <w:tabs>
          <w:tab w:val="left" w:pos="567"/>
        </w:tabs>
        <w:spacing w:after="0" w:line="240" w:lineRule="auto"/>
        <w:ind w:left="567" w:hanging="567"/>
        <w:jc w:val="center"/>
        <w:outlineLvl w:val="0"/>
        <w:rPr>
          <w:rFonts w:ascii="Times New Roman" w:hAnsi="Times New Roman" w:cs="Times New Roman"/>
          <w:b/>
          <w:bCs/>
          <w:caps/>
          <w:kern w:val="32"/>
        </w:rPr>
      </w:pPr>
      <w:r w:rsidRPr="000D48A3">
        <w:rPr>
          <w:rFonts w:ascii="Times New Roman" w:hAnsi="Times New Roman" w:cs="Times New Roman"/>
          <w:b/>
          <w:bCs/>
          <w:caps/>
          <w:kern w:val="32"/>
        </w:rPr>
        <w:t>B. PAKUOTĖS LAPELIS</w:t>
      </w:r>
      <w:bookmarkEnd w:id="10"/>
      <w:bookmarkEnd w:id="11"/>
    </w:p>
    <w:p w:rsidR="00A4103A" w:rsidRPr="0038079E" w:rsidRDefault="00A4103A" w:rsidP="00A4103A">
      <w:pPr>
        <w:keepNext/>
        <w:spacing w:after="0" w:line="240" w:lineRule="auto"/>
        <w:jc w:val="center"/>
        <w:outlineLvl w:val="1"/>
        <w:rPr>
          <w:rFonts w:ascii="Times New Roman" w:hAnsi="Times New Roman" w:cs="Times New Roman"/>
          <w:b/>
          <w:bCs/>
          <w:lang w:eastAsia="lt-LT"/>
        </w:rPr>
      </w:pPr>
      <w:r w:rsidRPr="000D48A3">
        <w:rPr>
          <w:rFonts w:ascii="Times New Roman" w:hAnsi="Times New Roman" w:cs="Times New Roman"/>
          <w:b/>
          <w:bCs/>
          <w:i/>
          <w:iCs/>
          <w:lang w:eastAsia="lt-LT"/>
        </w:rPr>
        <w:br w:type="page"/>
      </w:r>
      <w:r w:rsidRPr="0038079E">
        <w:rPr>
          <w:rFonts w:ascii="Times New Roman" w:hAnsi="Times New Roman" w:cs="Times New Roman"/>
          <w:b/>
          <w:bCs/>
          <w:lang w:eastAsia="lt-LT"/>
        </w:rPr>
        <w:lastRenderedPageBreak/>
        <w:t>Pakuotės lapelis: informacija vartotojui</w:t>
      </w:r>
    </w:p>
    <w:p w:rsidR="00A4103A" w:rsidRPr="0038079E" w:rsidRDefault="00A4103A" w:rsidP="00A4103A">
      <w:pPr>
        <w:numPr>
          <w:ilvl w:val="12"/>
          <w:numId w:val="0"/>
        </w:numPr>
        <w:shd w:val="clear" w:color="auto" w:fill="FFFFFF"/>
        <w:spacing w:after="0" w:line="240" w:lineRule="auto"/>
        <w:jc w:val="center"/>
        <w:rPr>
          <w:rFonts w:ascii="Times New Roman" w:hAnsi="Times New Roman" w:cs="Times New Roman"/>
          <w:lang w:eastAsia="lt-LT"/>
        </w:rPr>
      </w:pPr>
    </w:p>
    <w:p w:rsidR="00A4103A" w:rsidRPr="0038079E" w:rsidRDefault="00A4103A" w:rsidP="00A4103A">
      <w:pPr>
        <w:tabs>
          <w:tab w:val="center" w:pos="4986"/>
          <w:tab w:val="right" w:pos="9972"/>
        </w:tabs>
        <w:spacing w:after="0" w:line="240" w:lineRule="auto"/>
        <w:jc w:val="center"/>
        <w:rPr>
          <w:rFonts w:ascii="Times New Roman" w:hAnsi="Times New Roman" w:cs="Times New Roman"/>
          <w:b/>
          <w:bCs/>
          <w:lang w:eastAsia="lt-LT"/>
        </w:rPr>
      </w:pPr>
      <w:proofErr w:type="spellStart"/>
      <w:r w:rsidRPr="0038079E">
        <w:rPr>
          <w:rFonts w:ascii="Times New Roman" w:hAnsi="Times New Roman" w:cs="Times New Roman"/>
          <w:b/>
          <w:bCs/>
          <w:lang w:eastAsia="lt-LT"/>
        </w:rPr>
        <w:t>Bosentan</w:t>
      </w:r>
      <w:proofErr w:type="spellEnd"/>
      <w:r w:rsidRPr="0038079E">
        <w:rPr>
          <w:rFonts w:ascii="Times New Roman" w:hAnsi="Times New Roman" w:cs="Times New Roman"/>
          <w:b/>
          <w:bCs/>
          <w:lang w:eastAsia="lt-LT"/>
        </w:rPr>
        <w:t xml:space="preserve"> </w:t>
      </w:r>
      <w:proofErr w:type="spellStart"/>
      <w:r w:rsidRPr="0038079E">
        <w:rPr>
          <w:rFonts w:ascii="Times New Roman" w:hAnsi="Times New Roman" w:cs="Times New Roman"/>
          <w:b/>
          <w:bCs/>
          <w:lang w:eastAsia="lt-LT"/>
        </w:rPr>
        <w:t>Sandoz</w:t>
      </w:r>
      <w:proofErr w:type="spellEnd"/>
      <w:r w:rsidRPr="0038079E">
        <w:rPr>
          <w:rFonts w:ascii="Times New Roman" w:hAnsi="Times New Roman" w:cs="Times New Roman"/>
          <w:b/>
          <w:bCs/>
          <w:lang w:eastAsia="lt-LT"/>
        </w:rPr>
        <w:t xml:space="preserve"> 62,5 mg plėvele dengtos tabletės</w:t>
      </w:r>
    </w:p>
    <w:p w:rsidR="00A4103A" w:rsidRPr="0038079E" w:rsidRDefault="00A4103A" w:rsidP="00A4103A">
      <w:pPr>
        <w:autoSpaceDE w:val="0"/>
        <w:autoSpaceDN w:val="0"/>
        <w:adjustRightInd w:val="0"/>
        <w:spacing w:after="0" w:line="240" w:lineRule="auto"/>
        <w:jc w:val="center"/>
        <w:rPr>
          <w:rFonts w:ascii="Times New Roman" w:hAnsi="Times New Roman" w:cs="Times New Roman"/>
          <w:b/>
          <w:bCs/>
          <w:color w:val="000000"/>
          <w:lang w:eastAsia="lt-LT"/>
        </w:rPr>
      </w:pPr>
      <w:proofErr w:type="spellStart"/>
      <w:r w:rsidRPr="0038079E">
        <w:rPr>
          <w:rFonts w:ascii="Times New Roman" w:hAnsi="Times New Roman" w:cs="Times New Roman"/>
          <w:b/>
          <w:bCs/>
          <w:color w:val="000000"/>
          <w:highlight w:val="lightGray"/>
          <w:lang w:eastAsia="lt-LT"/>
        </w:rPr>
        <w:t>Bosentan</w:t>
      </w:r>
      <w:proofErr w:type="spellEnd"/>
      <w:r w:rsidRPr="0038079E">
        <w:rPr>
          <w:rFonts w:ascii="Times New Roman" w:hAnsi="Times New Roman" w:cs="Times New Roman"/>
          <w:b/>
          <w:bCs/>
          <w:color w:val="000000"/>
          <w:highlight w:val="lightGray"/>
          <w:lang w:eastAsia="lt-LT"/>
        </w:rPr>
        <w:t xml:space="preserve"> </w:t>
      </w:r>
      <w:proofErr w:type="spellStart"/>
      <w:r w:rsidRPr="0038079E">
        <w:rPr>
          <w:rFonts w:ascii="Times New Roman" w:hAnsi="Times New Roman" w:cs="Times New Roman"/>
          <w:b/>
          <w:bCs/>
          <w:color w:val="000000"/>
          <w:highlight w:val="lightGray"/>
          <w:lang w:eastAsia="lt-LT"/>
        </w:rPr>
        <w:t>Sandoz</w:t>
      </w:r>
      <w:proofErr w:type="spellEnd"/>
      <w:r w:rsidRPr="0038079E">
        <w:rPr>
          <w:rFonts w:ascii="Times New Roman" w:hAnsi="Times New Roman" w:cs="Times New Roman"/>
          <w:b/>
          <w:bCs/>
          <w:color w:val="000000"/>
          <w:highlight w:val="lightGray"/>
          <w:lang w:eastAsia="lt-LT"/>
        </w:rPr>
        <w:t xml:space="preserve"> 125 mg plėvele dengtos tabletės</w:t>
      </w:r>
    </w:p>
    <w:p w:rsidR="00A4103A" w:rsidRPr="0038079E" w:rsidRDefault="00A4103A" w:rsidP="00A4103A">
      <w:pPr>
        <w:spacing w:after="0" w:line="240" w:lineRule="auto"/>
        <w:jc w:val="center"/>
        <w:rPr>
          <w:rFonts w:ascii="Times New Roman" w:hAnsi="Times New Roman" w:cs="Times New Roman"/>
          <w:lang w:eastAsia="lt-LT"/>
        </w:rPr>
      </w:pPr>
      <w:proofErr w:type="spellStart"/>
      <w:r w:rsidRPr="0038079E">
        <w:rPr>
          <w:rFonts w:ascii="Times New Roman" w:hAnsi="Times New Roman" w:cs="Times New Roman"/>
          <w:lang w:eastAsia="lt-LT"/>
        </w:rPr>
        <w:t>Bozentanas</w:t>
      </w:r>
      <w:proofErr w:type="spellEnd"/>
    </w:p>
    <w:p w:rsidR="00A4103A" w:rsidRPr="0038079E" w:rsidRDefault="00A4103A" w:rsidP="00A4103A">
      <w:pPr>
        <w:spacing w:after="0" w:line="240" w:lineRule="auto"/>
        <w:rPr>
          <w:rFonts w:ascii="Times New Roman" w:hAnsi="Times New Roman" w:cs="Times New Roman"/>
          <w:color w:val="008000"/>
          <w:lang w:eastAsia="lt-LT"/>
        </w:rPr>
      </w:pPr>
    </w:p>
    <w:p w:rsidR="00A4103A" w:rsidRPr="0038079E" w:rsidRDefault="00A4103A" w:rsidP="00A4103A">
      <w:pPr>
        <w:suppressAutoHyphens/>
        <w:spacing w:after="0" w:line="240" w:lineRule="auto"/>
        <w:ind w:left="142" w:hanging="142"/>
        <w:rPr>
          <w:rFonts w:ascii="Times New Roman" w:hAnsi="Times New Roman" w:cs="Times New Roman"/>
          <w:lang w:eastAsia="lt-LT"/>
        </w:rPr>
      </w:pPr>
      <w:r w:rsidRPr="0038079E">
        <w:rPr>
          <w:rFonts w:ascii="Times New Roman" w:hAnsi="Times New Roman" w:cs="Times New Roman"/>
          <w:b/>
          <w:bCs/>
          <w:lang w:eastAsia="lt-LT"/>
        </w:rPr>
        <w:t>Atidžiai perskaitykite visą šį lapelį, prieš pradėdami vartoti vaistą, nes jame pateikiama Jums svarbi informacija.</w:t>
      </w:r>
    </w:p>
    <w:p w:rsidR="00A4103A" w:rsidRPr="0038079E" w:rsidRDefault="00A4103A" w:rsidP="00A4103A">
      <w:pPr>
        <w:numPr>
          <w:ilvl w:val="0"/>
          <w:numId w:val="25"/>
        </w:numPr>
        <w:spacing w:after="0" w:line="240" w:lineRule="auto"/>
        <w:ind w:left="567" w:right="-2" w:hanging="567"/>
        <w:rPr>
          <w:rFonts w:ascii="Times New Roman" w:hAnsi="Times New Roman" w:cs="Times New Roman"/>
          <w:lang w:eastAsia="lt-LT"/>
        </w:rPr>
      </w:pPr>
      <w:r w:rsidRPr="0038079E">
        <w:rPr>
          <w:rFonts w:ascii="Times New Roman" w:hAnsi="Times New Roman" w:cs="Times New Roman"/>
          <w:lang w:eastAsia="lt-LT"/>
        </w:rPr>
        <w:t xml:space="preserve">Neišmeskite šio lapelio, nes vėl gali prireikti jį perskaityti. </w:t>
      </w:r>
    </w:p>
    <w:p w:rsidR="00A4103A" w:rsidRPr="0038079E" w:rsidRDefault="00A4103A" w:rsidP="00A4103A">
      <w:pPr>
        <w:numPr>
          <w:ilvl w:val="0"/>
          <w:numId w:val="25"/>
        </w:numPr>
        <w:spacing w:after="0" w:line="240" w:lineRule="auto"/>
        <w:ind w:left="567" w:right="-2" w:hanging="567"/>
        <w:rPr>
          <w:rFonts w:ascii="Times New Roman" w:hAnsi="Times New Roman" w:cs="Times New Roman"/>
          <w:lang w:eastAsia="lt-LT"/>
        </w:rPr>
      </w:pPr>
      <w:r w:rsidRPr="0038079E">
        <w:rPr>
          <w:rFonts w:ascii="Times New Roman" w:hAnsi="Times New Roman" w:cs="Times New Roman"/>
          <w:lang w:eastAsia="lt-LT"/>
        </w:rPr>
        <w:t>Jeigu kiltų daugiau klausimų, kreipkitės į gydytoją arba vaistininką.</w:t>
      </w:r>
    </w:p>
    <w:p w:rsidR="00A4103A" w:rsidRPr="0038079E" w:rsidRDefault="00A4103A" w:rsidP="00A4103A">
      <w:pPr>
        <w:spacing w:after="0" w:line="240" w:lineRule="auto"/>
        <w:ind w:left="567" w:right="-2" w:hanging="567"/>
        <w:rPr>
          <w:rFonts w:ascii="Times New Roman" w:hAnsi="Times New Roman" w:cs="Times New Roman"/>
          <w:lang w:eastAsia="lt-LT"/>
        </w:rPr>
      </w:pPr>
      <w:r w:rsidRPr="0038079E">
        <w:rPr>
          <w:rFonts w:ascii="Times New Roman" w:hAnsi="Times New Roman" w:cs="Times New Roman"/>
          <w:lang w:eastAsia="lt-LT"/>
        </w:rPr>
        <w:t>-</w:t>
      </w:r>
      <w:r w:rsidRPr="0038079E">
        <w:rPr>
          <w:rFonts w:ascii="Times New Roman" w:hAnsi="Times New Roman" w:cs="Times New Roman"/>
          <w:lang w:eastAsia="lt-LT"/>
        </w:rPr>
        <w:tab/>
        <w:t>Šis vaistas skirtas tik Jums, todėl kitiems žmonėms jo duoti negalima. Vaistas gali jiems pakenkti (net tiems, kurių ligos požymiai yra tokie patys kaip Jūsų).</w:t>
      </w:r>
    </w:p>
    <w:p w:rsidR="00A4103A" w:rsidRPr="0038079E" w:rsidRDefault="00A4103A" w:rsidP="00A4103A">
      <w:pPr>
        <w:numPr>
          <w:ilvl w:val="0"/>
          <w:numId w:val="25"/>
        </w:numPr>
        <w:tabs>
          <w:tab w:val="left" w:pos="567"/>
        </w:tabs>
        <w:spacing w:after="0" w:line="240" w:lineRule="auto"/>
        <w:ind w:left="567" w:hanging="567"/>
        <w:rPr>
          <w:rFonts w:ascii="Times New Roman" w:hAnsi="Times New Roman" w:cs="Times New Roman"/>
          <w:lang w:eastAsia="lt-LT"/>
        </w:rPr>
      </w:pPr>
      <w:r w:rsidRPr="0038079E">
        <w:rPr>
          <w:rFonts w:ascii="Times New Roman" w:hAnsi="Times New Roman" w:cs="Times New Roman"/>
          <w:lang w:eastAsia="lt-LT"/>
        </w:rPr>
        <w:t>Jeigu pasireiškė šalutinis poveikis (net jeigu jis šiame lapelyje nenurodytas), kreipkitės į gydytoją arba vaistininką. Žr. 4 skyrių.</w:t>
      </w:r>
    </w:p>
    <w:p w:rsidR="00A4103A" w:rsidRPr="0038079E" w:rsidRDefault="00A4103A" w:rsidP="00A4103A">
      <w:pPr>
        <w:spacing w:after="0" w:line="240" w:lineRule="auto"/>
        <w:ind w:right="-2"/>
        <w:rPr>
          <w:rFonts w:ascii="Times New Roman" w:hAnsi="Times New Roman" w:cs="Times New Roman"/>
          <w:lang w:eastAsia="lt-LT"/>
        </w:rPr>
      </w:pPr>
    </w:p>
    <w:p w:rsidR="00A4103A" w:rsidRPr="0038079E" w:rsidRDefault="00A4103A" w:rsidP="00A4103A">
      <w:pPr>
        <w:keepNext/>
        <w:spacing w:after="0" w:line="240" w:lineRule="auto"/>
        <w:outlineLvl w:val="3"/>
        <w:rPr>
          <w:rFonts w:ascii="Times New Roman" w:hAnsi="Times New Roman" w:cs="Times New Roman"/>
          <w:b/>
          <w:bCs/>
          <w:lang w:eastAsia="lt-LT"/>
        </w:rPr>
      </w:pPr>
      <w:r w:rsidRPr="0038079E">
        <w:rPr>
          <w:rFonts w:ascii="Times New Roman" w:hAnsi="Times New Roman" w:cs="Times New Roman"/>
          <w:b/>
          <w:bCs/>
          <w:lang w:eastAsia="lt-LT"/>
        </w:rPr>
        <w:t>Apie ką rašoma šiame lapelyje?</w:t>
      </w:r>
    </w:p>
    <w:p w:rsidR="00A4103A" w:rsidRPr="0038079E" w:rsidRDefault="00A4103A" w:rsidP="00A4103A">
      <w:pPr>
        <w:numPr>
          <w:ilvl w:val="12"/>
          <w:numId w:val="0"/>
        </w:numPr>
        <w:spacing w:after="0" w:line="240" w:lineRule="auto"/>
        <w:ind w:left="567" w:hanging="567"/>
        <w:rPr>
          <w:rFonts w:ascii="Times New Roman" w:hAnsi="Times New Roman" w:cs="Times New Roman"/>
          <w:lang w:eastAsia="lt-LT"/>
        </w:rPr>
      </w:pPr>
    </w:p>
    <w:p w:rsidR="00A4103A" w:rsidRPr="0038079E" w:rsidRDefault="00A4103A" w:rsidP="00A4103A">
      <w:pPr>
        <w:numPr>
          <w:ilvl w:val="12"/>
          <w:numId w:val="0"/>
        </w:numPr>
        <w:spacing w:after="0" w:line="240" w:lineRule="auto"/>
        <w:ind w:left="567" w:hanging="567"/>
        <w:rPr>
          <w:rFonts w:ascii="Times New Roman" w:hAnsi="Times New Roman" w:cs="Times New Roman"/>
          <w:lang w:eastAsia="lt-LT"/>
        </w:rPr>
      </w:pPr>
      <w:r w:rsidRPr="0038079E">
        <w:rPr>
          <w:rFonts w:ascii="Times New Roman" w:hAnsi="Times New Roman" w:cs="Times New Roman"/>
          <w:lang w:eastAsia="lt-LT"/>
        </w:rPr>
        <w:t>1.</w:t>
      </w:r>
      <w:r w:rsidRPr="0038079E">
        <w:rPr>
          <w:rFonts w:ascii="Times New Roman" w:hAnsi="Times New Roman" w:cs="Times New Roman"/>
          <w:lang w:eastAsia="lt-LT"/>
        </w:rPr>
        <w:tab/>
        <w:t xml:space="preserve">Kas yra </w:t>
      </w:r>
      <w:proofErr w:type="spellStart"/>
      <w:r w:rsidRPr="0038079E">
        <w:rPr>
          <w:rFonts w:ascii="Times New Roman" w:hAnsi="Times New Roman" w:cs="Times New Roman"/>
          <w:lang w:eastAsia="lt-LT"/>
        </w:rPr>
        <w:t>Bosentan</w:t>
      </w:r>
      <w:proofErr w:type="spellEnd"/>
      <w:r w:rsidRPr="0038079E">
        <w:rPr>
          <w:rFonts w:ascii="Times New Roman" w:hAnsi="Times New Roman" w:cs="Times New Roman"/>
          <w:lang w:eastAsia="lt-LT"/>
        </w:rPr>
        <w:t xml:space="preserve"> </w:t>
      </w:r>
      <w:proofErr w:type="spellStart"/>
      <w:r w:rsidRPr="0038079E">
        <w:rPr>
          <w:rFonts w:ascii="Times New Roman" w:hAnsi="Times New Roman" w:cs="Times New Roman"/>
          <w:lang w:eastAsia="lt-LT"/>
        </w:rPr>
        <w:t>Sandoz</w:t>
      </w:r>
      <w:proofErr w:type="spellEnd"/>
      <w:r w:rsidRPr="0038079E">
        <w:rPr>
          <w:rFonts w:ascii="Times New Roman" w:hAnsi="Times New Roman" w:cs="Times New Roman"/>
          <w:lang w:eastAsia="lt-LT"/>
        </w:rPr>
        <w:t xml:space="preserve"> ir kam jis vartojamas</w:t>
      </w:r>
    </w:p>
    <w:p w:rsidR="00A4103A" w:rsidRPr="0038079E" w:rsidRDefault="00A4103A" w:rsidP="00A4103A">
      <w:pPr>
        <w:numPr>
          <w:ilvl w:val="12"/>
          <w:numId w:val="0"/>
        </w:numPr>
        <w:spacing w:after="0" w:line="240" w:lineRule="auto"/>
        <w:ind w:left="567" w:hanging="567"/>
        <w:rPr>
          <w:rFonts w:ascii="Times New Roman" w:hAnsi="Times New Roman" w:cs="Times New Roman"/>
          <w:lang w:eastAsia="lt-LT"/>
        </w:rPr>
      </w:pPr>
      <w:r w:rsidRPr="0038079E">
        <w:rPr>
          <w:rFonts w:ascii="Times New Roman" w:hAnsi="Times New Roman" w:cs="Times New Roman"/>
          <w:lang w:eastAsia="lt-LT"/>
        </w:rPr>
        <w:t>2.</w:t>
      </w:r>
      <w:r w:rsidRPr="0038079E">
        <w:rPr>
          <w:rFonts w:ascii="Times New Roman" w:hAnsi="Times New Roman" w:cs="Times New Roman"/>
          <w:lang w:eastAsia="lt-LT"/>
        </w:rPr>
        <w:tab/>
        <w:t xml:space="preserve">Kas žinotina prieš vartojant </w:t>
      </w:r>
      <w:proofErr w:type="spellStart"/>
      <w:r w:rsidRPr="0038079E">
        <w:rPr>
          <w:rFonts w:ascii="Times New Roman" w:hAnsi="Times New Roman" w:cs="Times New Roman"/>
          <w:lang w:eastAsia="lt-LT"/>
        </w:rPr>
        <w:t>Bosentan</w:t>
      </w:r>
      <w:proofErr w:type="spellEnd"/>
      <w:r w:rsidRPr="0038079E">
        <w:rPr>
          <w:rFonts w:ascii="Times New Roman" w:hAnsi="Times New Roman" w:cs="Times New Roman"/>
          <w:lang w:eastAsia="lt-LT"/>
        </w:rPr>
        <w:t xml:space="preserve"> </w:t>
      </w:r>
      <w:proofErr w:type="spellStart"/>
      <w:r w:rsidRPr="0038079E">
        <w:rPr>
          <w:rFonts w:ascii="Times New Roman" w:hAnsi="Times New Roman" w:cs="Times New Roman"/>
          <w:lang w:eastAsia="lt-LT"/>
        </w:rPr>
        <w:t>Sandoz</w:t>
      </w:r>
      <w:proofErr w:type="spellEnd"/>
      <w:r w:rsidRPr="0038079E">
        <w:rPr>
          <w:rFonts w:ascii="Times New Roman" w:hAnsi="Times New Roman" w:cs="Times New Roman"/>
          <w:lang w:eastAsia="lt-LT"/>
        </w:rPr>
        <w:t xml:space="preserve"> </w:t>
      </w:r>
    </w:p>
    <w:p w:rsidR="00A4103A" w:rsidRPr="0038079E" w:rsidRDefault="00A4103A" w:rsidP="00A4103A">
      <w:pPr>
        <w:numPr>
          <w:ilvl w:val="12"/>
          <w:numId w:val="0"/>
        </w:numPr>
        <w:spacing w:after="0" w:line="240" w:lineRule="auto"/>
        <w:ind w:left="567" w:hanging="567"/>
        <w:rPr>
          <w:rFonts w:ascii="Times New Roman" w:hAnsi="Times New Roman" w:cs="Times New Roman"/>
          <w:lang w:eastAsia="lt-LT"/>
        </w:rPr>
      </w:pPr>
      <w:r w:rsidRPr="0038079E">
        <w:rPr>
          <w:rFonts w:ascii="Times New Roman" w:hAnsi="Times New Roman" w:cs="Times New Roman"/>
          <w:lang w:eastAsia="lt-LT"/>
        </w:rPr>
        <w:t>3.</w:t>
      </w:r>
      <w:r w:rsidRPr="0038079E">
        <w:rPr>
          <w:rFonts w:ascii="Times New Roman" w:hAnsi="Times New Roman" w:cs="Times New Roman"/>
          <w:lang w:eastAsia="lt-LT"/>
        </w:rPr>
        <w:tab/>
        <w:t xml:space="preserve">Kaip vartoti </w:t>
      </w:r>
      <w:proofErr w:type="spellStart"/>
      <w:r w:rsidRPr="0038079E">
        <w:rPr>
          <w:rFonts w:ascii="Times New Roman" w:hAnsi="Times New Roman" w:cs="Times New Roman"/>
          <w:lang w:eastAsia="lt-LT"/>
        </w:rPr>
        <w:t>Bosentan</w:t>
      </w:r>
      <w:proofErr w:type="spellEnd"/>
      <w:r w:rsidRPr="0038079E">
        <w:rPr>
          <w:rFonts w:ascii="Times New Roman" w:hAnsi="Times New Roman" w:cs="Times New Roman"/>
          <w:lang w:eastAsia="lt-LT"/>
        </w:rPr>
        <w:t xml:space="preserve"> </w:t>
      </w:r>
      <w:proofErr w:type="spellStart"/>
      <w:r w:rsidRPr="0038079E">
        <w:rPr>
          <w:rFonts w:ascii="Times New Roman" w:hAnsi="Times New Roman" w:cs="Times New Roman"/>
          <w:lang w:eastAsia="lt-LT"/>
        </w:rPr>
        <w:t>Sandoz</w:t>
      </w:r>
      <w:proofErr w:type="spellEnd"/>
    </w:p>
    <w:p w:rsidR="00A4103A" w:rsidRPr="0038079E" w:rsidRDefault="00A4103A" w:rsidP="00A4103A">
      <w:pPr>
        <w:numPr>
          <w:ilvl w:val="12"/>
          <w:numId w:val="0"/>
        </w:numPr>
        <w:spacing w:after="0" w:line="240" w:lineRule="auto"/>
        <w:ind w:left="567" w:hanging="567"/>
        <w:rPr>
          <w:rFonts w:ascii="Times New Roman" w:hAnsi="Times New Roman" w:cs="Times New Roman"/>
          <w:lang w:eastAsia="lt-LT"/>
        </w:rPr>
      </w:pPr>
      <w:r w:rsidRPr="0038079E">
        <w:rPr>
          <w:rFonts w:ascii="Times New Roman" w:hAnsi="Times New Roman" w:cs="Times New Roman"/>
          <w:lang w:eastAsia="lt-LT"/>
        </w:rPr>
        <w:t>4.</w:t>
      </w:r>
      <w:r w:rsidRPr="0038079E">
        <w:rPr>
          <w:rFonts w:ascii="Times New Roman" w:hAnsi="Times New Roman" w:cs="Times New Roman"/>
          <w:lang w:eastAsia="lt-LT"/>
        </w:rPr>
        <w:tab/>
        <w:t xml:space="preserve">Galimas šalutinis poveikis </w:t>
      </w:r>
    </w:p>
    <w:p w:rsidR="00A4103A" w:rsidRPr="0038079E" w:rsidRDefault="00A4103A" w:rsidP="00A4103A">
      <w:pPr>
        <w:numPr>
          <w:ilvl w:val="12"/>
          <w:numId w:val="0"/>
        </w:numPr>
        <w:tabs>
          <w:tab w:val="left" w:pos="709"/>
        </w:tabs>
        <w:spacing w:after="0" w:line="240" w:lineRule="auto"/>
        <w:ind w:left="567" w:hanging="567"/>
        <w:rPr>
          <w:rFonts w:ascii="Times New Roman" w:hAnsi="Times New Roman" w:cs="Times New Roman"/>
          <w:lang w:eastAsia="lt-LT"/>
        </w:rPr>
      </w:pPr>
      <w:r w:rsidRPr="0038079E">
        <w:rPr>
          <w:rFonts w:ascii="Times New Roman" w:hAnsi="Times New Roman" w:cs="Times New Roman"/>
          <w:lang w:eastAsia="lt-LT"/>
        </w:rPr>
        <w:t>5.</w:t>
      </w:r>
      <w:r w:rsidRPr="0038079E">
        <w:rPr>
          <w:rFonts w:ascii="Times New Roman" w:hAnsi="Times New Roman" w:cs="Times New Roman"/>
          <w:lang w:eastAsia="lt-LT"/>
        </w:rPr>
        <w:tab/>
        <w:t xml:space="preserve">Kaip laikyti </w:t>
      </w:r>
      <w:proofErr w:type="spellStart"/>
      <w:r w:rsidRPr="0038079E">
        <w:rPr>
          <w:rFonts w:ascii="Times New Roman" w:hAnsi="Times New Roman" w:cs="Times New Roman"/>
          <w:lang w:eastAsia="lt-LT"/>
        </w:rPr>
        <w:t>Bosentan</w:t>
      </w:r>
      <w:proofErr w:type="spellEnd"/>
      <w:r w:rsidRPr="0038079E">
        <w:rPr>
          <w:rFonts w:ascii="Times New Roman" w:hAnsi="Times New Roman" w:cs="Times New Roman"/>
          <w:lang w:eastAsia="lt-LT"/>
        </w:rPr>
        <w:t xml:space="preserve"> </w:t>
      </w:r>
      <w:proofErr w:type="spellStart"/>
      <w:r w:rsidRPr="0038079E">
        <w:rPr>
          <w:rFonts w:ascii="Times New Roman" w:hAnsi="Times New Roman" w:cs="Times New Roman"/>
          <w:lang w:eastAsia="lt-LT"/>
        </w:rPr>
        <w:t>Sandoz</w:t>
      </w:r>
      <w:proofErr w:type="spellEnd"/>
    </w:p>
    <w:p w:rsidR="00A4103A" w:rsidRPr="0038079E" w:rsidRDefault="00A4103A" w:rsidP="00A4103A">
      <w:pPr>
        <w:numPr>
          <w:ilvl w:val="12"/>
          <w:numId w:val="0"/>
        </w:numPr>
        <w:spacing w:after="0" w:line="240" w:lineRule="auto"/>
        <w:ind w:left="567" w:hanging="567"/>
        <w:rPr>
          <w:rFonts w:ascii="Times New Roman" w:hAnsi="Times New Roman" w:cs="Times New Roman"/>
          <w:lang w:eastAsia="lt-LT"/>
        </w:rPr>
      </w:pPr>
      <w:r w:rsidRPr="0038079E">
        <w:rPr>
          <w:rFonts w:ascii="Times New Roman" w:hAnsi="Times New Roman" w:cs="Times New Roman"/>
          <w:lang w:eastAsia="lt-LT"/>
        </w:rPr>
        <w:t>6.</w:t>
      </w:r>
      <w:r w:rsidRPr="0038079E">
        <w:rPr>
          <w:rFonts w:ascii="Times New Roman" w:hAnsi="Times New Roman" w:cs="Times New Roman"/>
          <w:lang w:eastAsia="lt-LT"/>
        </w:rPr>
        <w:tab/>
        <w:t>Pakuotės turinys ir kita informacija</w:t>
      </w:r>
    </w:p>
    <w:p w:rsidR="00A4103A" w:rsidRPr="0038079E" w:rsidRDefault="00A4103A" w:rsidP="00A4103A">
      <w:pPr>
        <w:numPr>
          <w:ilvl w:val="12"/>
          <w:numId w:val="0"/>
        </w:numPr>
        <w:spacing w:after="0" w:line="240" w:lineRule="auto"/>
        <w:ind w:right="-2"/>
        <w:rPr>
          <w:rFonts w:ascii="Times New Roman" w:hAnsi="Times New Roman" w:cs="Times New Roman"/>
          <w:lang w:eastAsia="lt-LT"/>
        </w:rPr>
      </w:pPr>
    </w:p>
    <w:p w:rsidR="00A4103A" w:rsidRPr="0038079E" w:rsidRDefault="00A4103A" w:rsidP="00A4103A">
      <w:pPr>
        <w:numPr>
          <w:ilvl w:val="12"/>
          <w:numId w:val="0"/>
        </w:numPr>
        <w:spacing w:after="0" w:line="240" w:lineRule="auto"/>
        <w:ind w:right="-2"/>
        <w:rPr>
          <w:rFonts w:ascii="Times New Roman" w:hAnsi="Times New Roman" w:cs="Times New Roman"/>
          <w:lang w:eastAsia="lt-LT"/>
        </w:rPr>
      </w:pPr>
    </w:p>
    <w:p w:rsidR="00A4103A" w:rsidRPr="0038079E" w:rsidRDefault="00A4103A" w:rsidP="00A4103A">
      <w:pPr>
        <w:keepNext/>
        <w:tabs>
          <w:tab w:val="left" w:pos="567"/>
        </w:tabs>
        <w:spacing w:after="0" w:line="240" w:lineRule="auto"/>
        <w:outlineLvl w:val="3"/>
        <w:rPr>
          <w:rFonts w:ascii="Times New Roman" w:hAnsi="Times New Roman" w:cs="Times New Roman"/>
          <w:b/>
          <w:bCs/>
          <w:lang w:eastAsia="lt-LT"/>
        </w:rPr>
      </w:pPr>
      <w:r w:rsidRPr="0038079E">
        <w:rPr>
          <w:rFonts w:ascii="Times New Roman" w:hAnsi="Times New Roman" w:cs="Times New Roman"/>
          <w:b/>
          <w:bCs/>
          <w:lang w:eastAsia="lt-LT"/>
        </w:rPr>
        <w:t>1.</w:t>
      </w:r>
      <w:r w:rsidRPr="0038079E">
        <w:rPr>
          <w:rFonts w:ascii="Times New Roman" w:hAnsi="Times New Roman" w:cs="Times New Roman"/>
          <w:b/>
          <w:bCs/>
          <w:lang w:eastAsia="lt-LT"/>
        </w:rPr>
        <w:tab/>
        <w:t xml:space="preserve">Kas yra </w:t>
      </w:r>
      <w:proofErr w:type="spellStart"/>
      <w:r w:rsidRPr="0038079E">
        <w:rPr>
          <w:rFonts w:ascii="Times New Roman" w:hAnsi="Times New Roman" w:cs="Times New Roman"/>
          <w:b/>
          <w:bCs/>
          <w:lang w:eastAsia="lt-LT"/>
        </w:rPr>
        <w:t>Bosentan</w:t>
      </w:r>
      <w:proofErr w:type="spellEnd"/>
      <w:r w:rsidRPr="0038079E">
        <w:rPr>
          <w:rFonts w:ascii="Times New Roman" w:hAnsi="Times New Roman" w:cs="Times New Roman"/>
          <w:b/>
          <w:bCs/>
          <w:lang w:eastAsia="lt-LT"/>
        </w:rPr>
        <w:t xml:space="preserve"> </w:t>
      </w:r>
      <w:proofErr w:type="spellStart"/>
      <w:r w:rsidRPr="0038079E">
        <w:rPr>
          <w:rFonts w:ascii="Times New Roman" w:hAnsi="Times New Roman" w:cs="Times New Roman"/>
          <w:b/>
          <w:bCs/>
          <w:lang w:eastAsia="lt-LT"/>
        </w:rPr>
        <w:t>Sandoz</w:t>
      </w:r>
      <w:proofErr w:type="spellEnd"/>
      <w:r w:rsidRPr="0038079E">
        <w:rPr>
          <w:rFonts w:ascii="Times New Roman" w:hAnsi="Times New Roman" w:cs="Times New Roman"/>
          <w:b/>
          <w:bCs/>
          <w:lang w:eastAsia="lt-LT"/>
        </w:rPr>
        <w:t xml:space="preserve"> ir kam jis vartojamas</w:t>
      </w:r>
    </w:p>
    <w:p w:rsidR="00A4103A" w:rsidRPr="0038079E" w:rsidRDefault="00A4103A" w:rsidP="00A4103A">
      <w:pPr>
        <w:tabs>
          <w:tab w:val="left" w:pos="425"/>
          <w:tab w:val="left" w:pos="567"/>
        </w:tabs>
        <w:spacing w:after="0" w:line="240" w:lineRule="auto"/>
        <w:rPr>
          <w:rFonts w:ascii="Times New Roman" w:hAnsi="Times New Roman" w:cs="Times New Roman"/>
        </w:rPr>
      </w:pPr>
    </w:p>
    <w:p w:rsidR="00A4103A" w:rsidRPr="0038079E" w:rsidRDefault="00A4103A" w:rsidP="00A4103A">
      <w:pPr>
        <w:tabs>
          <w:tab w:val="left" w:pos="425"/>
          <w:tab w:val="left" w:pos="567"/>
        </w:tabs>
        <w:spacing w:after="0" w:line="240" w:lineRule="auto"/>
        <w:rPr>
          <w:rFonts w:ascii="Times New Roman" w:hAnsi="Times New Roman" w:cs="Times New Roman"/>
        </w:rPr>
      </w:pP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tabletėse yra </w:t>
      </w:r>
      <w:proofErr w:type="spellStart"/>
      <w:r w:rsidRPr="0038079E">
        <w:rPr>
          <w:rFonts w:ascii="Times New Roman" w:hAnsi="Times New Roman" w:cs="Times New Roman"/>
        </w:rPr>
        <w:t>bozentano</w:t>
      </w:r>
      <w:proofErr w:type="spellEnd"/>
      <w:r w:rsidRPr="0038079E">
        <w:rPr>
          <w:rFonts w:ascii="Times New Roman" w:hAnsi="Times New Roman" w:cs="Times New Roman"/>
        </w:rPr>
        <w:t>. J</w:t>
      </w:r>
      <w:r>
        <w:rPr>
          <w:rFonts w:ascii="Times New Roman" w:hAnsi="Times New Roman" w:cs="Times New Roman"/>
        </w:rPr>
        <w:t>i</w:t>
      </w:r>
      <w:r w:rsidRPr="0038079E">
        <w:rPr>
          <w:rFonts w:ascii="Times New Roman" w:hAnsi="Times New Roman" w:cs="Times New Roman"/>
        </w:rPr>
        <w:t xml:space="preserve">s priklauso vaistinių preparatų, vadinamų </w:t>
      </w:r>
      <w:proofErr w:type="spellStart"/>
      <w:r w:rsidRPr="0038079E">
        <w:rPr>
          <w:rFonts w:ascii="Times New Roman" w:hAnsi="Times New Roman" w:cs="Times New Roman"/>
        </w:rPr>
        <w:t>endotelino</w:t>
      </w:r>
      <w:proofErr w:type="spellEnd"/>
      <w:r w:rsidRPr="0038079E">
        <w:rPr>
          <w:rFonts w:ascii="Times New Roman" w:hAnsi="Times New Roman" w:cs="Times New Roman"/>
        </w:rPr>
        <w:t xml:space="preserve"> receptorių antagonistais, grupei. </w:t>
      </w:r>
    </w:p>
    <w:p w:rsidR="00A4103A" w:rsidRPr="0038079E" w:rsidRDefault="00A4103A" w:rsidP="00A4103A">
      <w:pPr>
        <w:tabs>
          <w:tab w:val="left" w:pos="425"/>
          <w:tab w:val="left" w:pos="567"/>
        </w:tabs>
        <w:spacing w:after="0" w:line="240" w:lineRule="auto"/>
        <w:rPr>
          <w:rFonts w:ascii="Times New Roman" w:hAnsi="Times New Roman" w:cs="Times New Roman"/>
        </w:rPr>
      </w:pP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vartojamas </w:t>
      </w:r>
      <w:proofErr w:type="spellStart"/>
      <w:r w:rsidRPr="0038079E">
        <w:rPr>
          <w:rFonts w:ascii="Times New Roman" w:hAnsi="Times New Roman" w:cs="Times New Roman"/>
          <w:b/>
          <w:bCs/>
        </w:rPr>
        <w:t>plautinei</w:t>
      </w:r>
      <w:proofErr w:type="spellEnd"/>
      <w:r w:rsidRPr="0038079E">
        <w:rPr>
          <w:rFonts w:ascii="Times New Roman" w:hAnsi="Times New Roman" w:cs="Times New Roman"/>
          <w:b/>
          <w:bCs/>
        </w:rPr>
        <w:t xml:space="preserve"> arterinei hipertenzijai</w:t>
      </w:r>
      <w:r w:rsidRPr="0038079E">
        <w:rPr>
          <w:rFonts w:ascii="Times New Roman" w:hAnsi="Times New Roman" w:cs="Times New Roman"/>
        </w:rPr>
        <w:t xml:space="preserve"> (PAH) gydyti</w:t>
      </w:r>
      <w:r>
        <w:rPr>
          <w:rFonts w:ascii="Times New Roman" w:hAnsi="Times New Roman" w:cs="Times New Roman"/>
        </w:rPr>
        <w:t>.</w:t>
      </w:r>
      <w:r w:rsidRPr="0038079E">
        <w:rPr>
          <w:rFonts w:ascii="Times New Roman" w:hAnsi="Times New Roman" w:cs="Times New Roman"/>
        </w:rPr>
        <w:t xml:space="preserve"> PAH būdingas aukštas kraujospūdis kraujagyslėse (plaučių arterijose), kuriomis kraujas iš širdies teka į plaučius.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plečia plaučių arterijas, todėl širdžiai lengviau varyti jomis kraują. Tai sumažina kraujospūdį ir lengvina simptomus.</w:t>
      </w:r>
    </w:p>
    <w:p w:rsidR="00A4103A" w:rsidRPr="0038079E" w:rsidRDefault="00A4103A" w:rsidP="00A4103A">
      <w:pPr>
        <w:tabs>
          <w:tab w:val="left" w:pos="425"/>
          <w:tab w:val="left" w:pos="567"/>
        </w:tabs>
        <w:spacing w:after="0" w:line="240" w:lineRule="auto"/>
        <w:rPr>
          <w:rFonts w:ascii="Times New Roman" w:hAnsi="Times New Roman" w:cs="Times New Roman"/>
        </w:rPr>
      </w:pPr>
    </w:p>
    <w:p w:rsidR="00A4103A" w:rsidRPr="0038079E" w:rsidRDefault="00A4103A" w:rsidP="00A4103A">
      <w:pPr>
        <w:numPr>
          <w:ilvl w:val="12"/>
          <w:numId w:val="0"/>
        </w:numPr>
        <w:tabs>
          <w:tab w:val="left" w:pos="567"/>
        </w:tabs>
        <w:spacing w:after="0" w:line="240" w:lineRule="auto"/>
        <w:ind w:right="-2"/>
        <w:rPr>
          <w:rFonts w:ascii="Times New Roman" w:hAnsi="Times New Roman" w:cs="Times New Roman"/>
          <w:lang w:eastAsia="lt-LT"/>
        </w:rPr>
      </w:pPr>
    </w:p>
    <w:p w:rsidR="00A4103A" w:rsidRPr="0038079E" w:rsidRDefault="00A4103A" w:rsidP="00A4103A">
      <w:pPr>
        <w:keepNext/>
        <w:tabs>
          <w:tab w:val="left" w:pos="567"/>
        </w:tabs>
        <w:spacing w:after="0" w:line="240" w:lineRule="auto"/>
        <w:outlineLvl w:val="3"/>
        <w:rPr>
          <w:rFonts w:ascii="Times New Roman" w:hAnsi="Times New Roman" w:cs="Times New Roman"/>
          <w:b/>
          <w:bCs/>
          <w:lang w:eastAsia="lt-LT"/>
        </w:rPr>
      </w:pPr>
      <w:r w:rsidRPr="0038079E">
        <w:rPr>
          <w:rFonts w:ascii="Times New Roman" w:hAnsi="Times New Roman" w:cs="Times New Roman"/>
          <w:b/>
          <w:bCs/>
          <w:lang w:eastAsia="lt-LT"/>
        </w:rPr>
        <w:t>2.</w:t>
      </w:r>
      <w:r w:rsidRPr="0038079E">
        <w:rPr>
          <w:rFonts w:ascii="Times New Roman" w:hAnsi="Times New Roman" w:cs="Times New Roman"/>
          <w:b/>
          <w:bCs/>
          <w:lang w:eastAsia="lt-LT"/>
        </w:rPr>
        <w:tab/>
        <w:t xml:space="preserve">Kas žinotina prieš vartojant </w:t>
      </w:r>
      <w:proofErr w:type="spellStart"/>
      <w:r w:rsidRPr="0038079E">
        <w:rPr>
          <w:rFonts w:ascii="Times New Roman" w:hAnsi="Times New Roman" w:cs="Times New Roman"/>
          <w:b/>
          <w:bCs/>
          <w:lang w:eastAsia="lt-LT"/>
        </w:rPr>
        <w:t>Bosentan</w:t>
      </w:r>
      <w:proofErr w:type="spellEnd"/>
      <w:r w:rsidRPr="0038079E">
        <w:rPr>
          <w:rFonts w:ascii="Times New Roman" w:hAnsi="Times New Roman" w:cs="Times New Roman"/>
          <w:b/>
          <w:bCs/>
          <w:lang w:eastAsia="lt-LT"/>
        </w:rPr>
        <w:t xml:space="preserve"> </w:t>
      </w:r>
      <w:proofErr w:type="spellStart"/>
      <w:r w:rsidRPr="0038079E">
        <w:rPr>
          <w:rFonts w:ascii="Times New Roman" w:hAnsi="Times New Roman" w:cs="Times New Roman"/>
          <w:b/>
          <w:bCs/>
          <w:lang w:eastAsia="lt-LT"/>
        </w:rPr>
        <w:t>Sandoz</w:t>
      </w:r>
      <w:proofErr w:type="spellEnd"/>
    </w:p>
    <w:p w:rsidR="00A4103A" w:rsidRPr="0038079E" w:rsidRDefault="00A4103A" w:rsidP="00A4103A">
      <w:pPr>
        <w:numPr>
          <w:ilvl w:val="12"/>
          <w:numId w:val="0"/>
        </w:numPr>
        <w:tabs>
          <w:tab w:val="left" w:pos="567"/>
        </w:tabs>
        <w:spacing w:after="0" w:line="240" w:lineRule="auto"/>
        <w:ind w:right="-2"/>
        <w:rPr>
          <w:rFonts w:ascii="Times New Roman" w:hAnsi="Times New Roman" w:cs="Times New Roman"/>
          <w:lang w:eastAsia="lt-LT"/>
        </w:rPr>
      </w:pPr>
    </w:p>
    <w:p w:rsidR="00A4103A" w:rsidRPr="0038079E" w:rsidRDefault="00A4103A" w:rsidP="00A4103A">
      <w:pPr>
        <w:keepNext/>
        <w:spacing w:after="0" w:line="240" w:lineRule="auto"/>
        <w:outlineLvl w:val="3"/>
        <w:rPr>
          <w:rFonts w:ascii="Times New Roman" w:hAnsi="Times New Roman" w:cs="Times New Roman"/>
          <w:b/>
          <w:bCs/>
          <w:lang w:eastAsia="lt-LT"/>
        </w:rPr>
      </w:pPr>
      <w:proofErr w:type="spellStart"/>
      <w:r w:rsidRPr="0038079E">
        <w:rPr>
          <w:rFonts w:ascii="Times New Roman" w:hAnsi="Times New Roman" w:cs="Times New Roman"/>
          <w:b/>
          <w:bCs/>
          <w:lang w:eastAsia="lt-LT"/>
        </w:rPr>
        <w:t>Bosentan</w:t>
      </w:r>
      <w:proofErr w:type="spellEnd"/>
      <w:r w:rsidRPr="0038079E">
        <w:rPr>
          <w:rFonts w:ascii="Times New Roman" w:hAnsi="Times New Roman" w:cs="Times New Roman"/>
          <w:b/>
          <w:bCs/>
          <w:lang w:eastAsia="lt-LT"/>
        </w:rPr>
        <w:t xml:space="preserve"> </w:t>
      </w:r>
      <w:proofErr w:type="spellStart"/>
      <w:r w:rsidRPr="0038079E">
        <w:rPr>
          <w:rFonts w:ascii="Times New Roman" w:hAnsi="Times New Roman" w:cs="Times New Roman"/>
          <w:b/>
          <w:bCs/>
          <w:lang w:eastAsia="lt-LT"/>
        </w:rPr>
        <w:t>Sandoz</w:t>
      </w:r>
      <w:proofErr w:type="spellEnd"/>
      <w:r w:rsidRPr="0038079E">
        <w:rPr>
          <w:rFonts w:ascii="Times New Roman" w:hAnsi="Times New Roman" w:cs="Times New Roman"/>
          <w:b/>
          <w:bCs/>
          <w:lang w:eastAsia="lt-LT"/>
        </w:rPr>
        <w:t xml:space="preserve"> vartoti negalima:</w:t>
      </w:r>
    </w:p>
    <w:p w:rsidR="00A4103A" w:rsidRPr="0038079E" w:rsidRDefault="00A4103A" w:rsidP="00A4103A">
      <w:pPr>
        <w:numPr>
          <w:ilvl w:val="12"/>
          <w:numId w:val="0"/>
        </w:numPr>
        <w:spacing w:after="0" w:line="240" w:lineRule="auto"/>
        <w:ind w:left="567" w:hanging="567"/>
        <w:rPr>
          <w:rFonts w:ascii="Times New Roman" w:hAnsi="Times New Roman" w:cs="Times New Roman"/>
          <w:lang w:eastAsia="lt-LT"/>
        </w:rPr>
      </w:pPr>
      <w:r w:rsidRPr="0038079E">
        <w:rPr>
          <w:rFonts w:ascii="Times New Roman" w:hAnsi="Times New Roman" w:cs="Times New Roman"/>
          <w:lang w:eastAsia="lt-LT"/>
        </w:rPr>
        <w:t>-</w:t>
      </w:r>
      <w:r w:rsidRPr="0038079E">
        <w:rPr>
          <w:rFonts w:ascii="Times New Roman" w:hAnsi="Times New Roman" w:cs="Times New Roman"/>
          <w:lang w:eastAsia="lt-LT"/>
        </w:rPr>
        <w:tab/>
      </w:r>
      <w:r w:rsidRPr="0038079E">
        <w:rPr>
          <w:rFonts w:ascii="Times New Roman" w:hAnsi="Times New Roman" w:cs="Times New Roman"/>
          <w:b/>
          <w:bCs/>
          <w:lang w:eastAsia="lt-LT"/>
        </w:rPr>
        <w:t xml:space="preserve">jeigu yra alergija </w:t>
      </w:r>
      <w:proofErr w:type="spellStart"/>
      <w:r w:rsidRPr="0038079E">
        <w:rPr>
          <w:rFonts w:ascii="Times New Roman" w:hAnsi="Times New Roman" w:cs="Times New Roman"/>
          <w:b/>
          <w:bCs/>
          <w:lang w:eastAsia="lt-LT"/>
        </w:rPr>
        <w:t>bozentanui</w:t>
      </w:r>
      <w:proofErr w:type="spellEnd"/>
      <w:r w:rsidRPr="0038079E">
        <w:rPr>
          <w:rFonts w:ascii="Times New Roman" w:hAnsi="Times New Roman" w:cs="Times New Roman"/>
          <w:lang w:eastAsia="lt-LT"/>
        </w:rPr>
        <w:t xml:space="preserve"> arba bet kuriai pagalbinei šio vaisto medžiagai (jos išvardytos 6 skyriuje)</w:t>
      </w:r>
      <w:r>
        <w:rPr>
          <w:rFonts w:ascii="Times New Roman" w:hAnsi="Times New Roman" w:cs="Times New Roman"/>
          <w:lang w:eastAsia="lt-LT"/>
        </w:rPr>
        <w:t>;</w:t>
      </w:r>
    </w:p>
    <w:p w:rsidR="00A4103A" w:rsidRPr="0038079E" w:rsidRDefault="00A4103A" w:rsidP="00A4103A">
      <w:pPr>
        <w:numPr>
          <w:ilvl w:val="0"/>
          <w:numId w:val="27"/>
        </w:num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b/>
          <w:bCs/>
          <w:color w:val="000000"/>
          <w:lang w:eastAsia="lt-LT"/>
        </w:rPr>
        <w:t xml:space="preserve">jeigu Jums yra problemų dėl kepenų </w:t>
      </w:r>
      <w:r w:rsidRPr="0038079E">
        <w:rPr>
          <w:rFonts w:ascii="Times New Roman" w:hAnsi="Times New Roman" w:cs="Times New Roman"/>
          <w:color w:val="000000"/>
          <w:lang w:eastAsia="lt-LT"/>
        </w:rPr>
        <w:t xml:space="preserve">(pasiteiraukite savo gydytojo); </w:t>
      </w:r>
    </w:p>
    <w:p w:rsidR="00A4103A" w:rsidRPr="0038079E" w:rsidRDefault="00A4103A" w:rsidP="00A4103A">
      <w:pPr>
        <w:numPr>
          <w:ilvl w:val="0"/>
          <w:numId w:val="27"/>
        </w:num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b/>
          <w:bCs/>
          <w:color w:val="000000"/>
          <w:lang w:eastAsia="lt-LT"/>
        </w:rPr>
        <w:t>jeigu esate nėščia arba galite pastoti</w:t>
      </w:r>
      <w:r w:rsidRPr="0038079E">
        <w:rPr>
          <w:rFonts w:ascii="Times New Roman" w:hAnsi="Times New Roman" w:cs="Times New Roman"/>
          <w:color w:val="000000"/>
          <w:lang w:eastAsia="lt-LT"/>
        </w:rPr>
        <w:t xml:space="preserve">, nes nenaudojate patikimų kontracepcijos metodų (hormoniniai kontraceptikai vieni yra neveiksmingi, jeigu vartojate </w:t>
      </w:r>
      <w:proofErr w:type="spellStart"/>
      <w:r w:rsidRPr="0038079E">
        <w:rPr>
          <w:rFonts w:ascii="Times New Roman" w:hAnsi="Times New Roman" w:cs="Times New Roman"/>
          <w:lang w:eastAsia="lt-LT"/>
        </w:rPr>
        <w:t>Bosentan</w:t>
      </w:r>
      <w:proofErr w:type="spellEnd"/>
      <w:r w:rsidRPr="0038079E">
        <w:rPr>
          <w:rFonts w:ascii="Times New Roman" w:hAnsi="Times New Roman" w:cs="Times New Roman"/>
          <w:lang w:eastAsia="lt-LT"/>
        </w:rPr>
        <w:t xml:space="preserve"> </w:t>
      </w:r>
      <w:proofErr w:type="spellStart"/>
      <w:r w:rsidRPr="0038079E">
        <w:rPr>
          <w:rFonts w:ascii="Times New Roman" w:hAnsi="Times New Roman" w:cs="Times New Roman"/>
          <w:lang w:eastAsia="lt-LT"/>
        </w:rPr>
        <w:t>Sandoz</w:t>
      </w:r>
      <w:proofErr w:type="spellEnd"/>
      <w:r>
        <w:rPr>
          <w:rFonts w:ascii="Times New Roman" w:hAnsi="Times New Roman" w:cs="Times New Roman"/>
          <w:lang w:eastAsia="lt-LT"/>
        </w:rPr>
        <w:t>)</w:t>
      </w:r>
      <w:r w:rsidRPr="0038079E">
        <w:rPr>
          <w:rFonts w:ascii="Times New Roman" w:hAnsi="Times New Roman" w:cs="Times New Roman"/>
          <w:lang w:eastAsia="lt-LT"/>
        </w:rPr>
        <w:t>;</w:t>
      </w:r>
    </w:p>
    <w:p w:rsidR="00A4103A" w:rsidRPr="0038079E" w:rsidRDefault="00A4103A" w:rsidP="00A4103A">
      <w:pPr>
        <w:numPr>
          <w:ilvl w:val="0"/>
          <w:numId w:val="27"/>
        </w:num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b/>
          <w:bCs/>
          <w:color w:val="000000"/>
          <w:lang w:eastAsia="lt-LT"/>
        </w:rPr>
        <w:t xml:space="preserve">jeigu vartojate </w:t>
      </w:r>
      <w:proofErr w:type="spellStart"/>
      <w:r w:rsidRPr="0038079E">
        <w:rPr>
          <w:rFonts w:ascii="Times New Roman" w:hAnsi="Times New Roman" w:cs="Times New Roman"/>
          <w:b/>
          <w:bCs/>
          <w:color w:val="000000"/>
          <w:lang w:eastAsia="lt-LT"/>
        </w:rPr>
        <w:t>ciklosporino</w:t>
      </w:r>
      <w:proofErr w:type="spellEnd"/>
      <w:r w:rsidRPr="0038079E">
        <w:rPr>
          <w:rFonts w:ascii="Times New Roman" w:hAnsi="Times New Roman" w:cs="Times New Roman"/>
          <w:b/>
          <w:bCs/>
          <w:color w:val="000000"/>
          <w:lang w:eastAsia="lt-LT"/>
        </w:rPr>
        <w:t xml:space="preserve"> A </w:t>
      </w:r>
      <w:r w:rsidRPr="0038079E">
        <w:rPr>
          <w:rFonts w:ascii="Times New Roman" w:hAnsi="Times New Roman" w:cs="Times New Roman"/>
          <w:color w:val="000000"/>
          <w:lang w:eastAsia="lt-LT"/>
        </w:rPr>
        <w:t>(vaistin</w:t>
      </w:r>
      <w:r>
        <w:rPr>
          <w:rFonts w:ascii="Times New Roman" w:hAnsi="Times New Roman" w:cs="Times New Roman"/>
          <w:color w:val="000000"/>
          <w:lang w:eastAsia="lt-LT"/>
        </w:rPr>
        <w:t>io</w:t>
      </w:r>
      <w:r w:rsidRPr="0038079E">
        <w:rPr>
          <w:rFonts w:ascii="Times New Roman" w:hAnsi="Times New Roman" w:cs="Times New Roman"/>
          <w:color w:val="000000"/>
          <w:lang w:eastAsia="lt-LT"/>
        </w:rPr>
        <w:t xml:space="preserve"> preparato, vartojamo po transplantacijos ar psoriazei gydyti). </w:t>
      </w:r>
    </w:p>
    <w:p w:rsidR="00A4103A" w:rsidRPr="0038079E" w:rsidRDefault="00A4103A" w:rsidP="00A4103A">
      <w:pPr>
        <w:spacing w:after="0" w:line="240" w:lineRule="auto"/>
        <w:rPr>
          <w:rFonts w:ascii="Times New Roman" w:hAnsi="Times New Roman" w:cs="Times New Roman"/>
          <w:color w:val="000000"/>
          <w:lang w:eastAsia="lt-LT"/>
        </w:rPr>
      </w:pPr>
    </w:p>
    <w:p w:rsidR="00A4103A" w:rsidRPr="0038079E" w:rsidRDefault="00A4103A" w:rsidP="00A4103A">
      <w:pPr>
        <w:spacing w:after="0" w:line="240" w:lineRule="auto"/>
        <w:rPr>
          <w:rFonts w:ascii="Times New Roman" w:hAnsi="Times New Roman" w:cs="Times New Roman"/>
          <w:lang w:eastAsia="lt-LT"/>
        </w:rPr>
      </w:pPr>
      <w:r w:rsidRPr="0038079E">
        <w:rPr>
          <w:rFonts w:ascii="Times New Roman" w:hAnsi="Times New Roman" w:cs="Times New Roman"/>
          <w:color w:val="000000"/>
          <w:lang w:eastAsia="lt-LT"/>
        </w:rPr>
        <w:t>Jeigu bet kuris šių atvejų tinka Jums, pasakykite savo gydytojui.</w:t>
      </w:r>
    </w:p>
    <w:p w:rsidR="00A4103A" w:rsidRPr="0038079E" w:rsidRDefault="00A4103A" w:rsidP="00A4103A">
      <w:pPr>
        <w:numPr>
          <w:ilvl w:val="12"/>
          <w:numId w:val="0"/>
        </w:numPr>
        <w:spacing w:after="0" w:line="240" w:lineRule="auto"/>
        <w:ind w:right="-2"/>
        <w:rPr>
          <w:rFonts w:ascii="Times New Roman" w:hAnsi="Times New Roman" w:cs="Times New Roman"/>
          <w:lang w:eastAsia="lt-LT"/>
        </w:rPr>
      </w:pPr>
    </w:p>
    <w:p w:rsidR="00A4103A" w:rsidRPr="0038079E" w:rsidRDefault="00A4103A" w:rsidP="00A4103A">
      <w:pPr>
        <w:keepNext/>
        <w:spacing w:after="0" w:line="240" w:lineRule="auto"/>
        <w:outlineLvl w:val="3"/>
        <w:rPr>
          <w:rFonts w:ascii="Times New Roman" w:hAnsi="Times New Roman" w:cs="Times New Roman"/>
          <w:b/>
          <w:bCs/>
          <w:lang w:eastAsia="lt-LT"/>
        </w:rPr>
      </w:pPr>
      <w:r w:rsidRPr="0038079E">
        <w:rPr>
          <w:rFonts w:ascii="Times New Roman" w:hAnsi="Times New Roman" w:cs="Times New Roman"/>
          <w:b/>
          <w:bCs/>
          <w:lang w:eastAsia="lt-LT"/>
        </w:rPr>
        <w:t xml:space="preserve">Įspėjimai ir atsargumo priemonės </w:t>
      </w:r>
    </w:p>
    <w:p w:rsidR="00A4103A" w:rsidRPr="0038079E" w:rsidRDefault="00A4103A" w:rsidP="00A4103A">
      <w:pPr>
        <w:numPr>
          <w:ilvl w:val="12"/>
          <w:numId w:val="0"/>
        </w:numPr>
        <w:spacing w:after="0" w:line="240" w:lineRule="auto"/>
        <w:ind w:right="-2"/>
        <w:rPr>
          <w:rFonts w:ascii="Times New Roman" w:hAnsi="Times New Roman" w:cs="Times New Roman"/>
          <w:lang w:eastAsia="lt-LT"/>
        </w:rPr>
      </w:pPr>
      <w:r w:rsidRPr="0038079E">
        <w:rPr>
          <w:rFonts w:ascii="Times New Roman" w:hAnsi="Times New Roman" w:cs="Times New Roman"/>
          <w:lang w:eastAsia="lt-LT"/>
        </w:rPr>
        <w:t xml:space="preserve">Pasitarkite su gydytoju arba vaistininku, prieš pradėdami vartoti </w:t>
      </w:r>
      <w:proofErr w:type="spellStart"/>
      <w:r w:rsidRPr="0038079E">
        <w:rPr>
          <w:rFonts w:ascii="Times New Roman" w:hAnsi="Times New Roman" w:cs="Times New Roman"/>
          <w:lang w:eastAsia="lt-LT"/>
        </w:rPr>
        <w:t>Bosentan</w:t>
      </w:r>
      <w:proofErr w:type="spellEnd"/>
      <w:r w:rsidRPr="0038079E">
        <w:rPr>
          <w:rFonts w:ascii="Times New Roman" w:hAnsi="Times New Roman" w:cs="Times New Roman"/>
          <w:lang w:eastAsia="lt-LT"/>
        </w:rPr>
        <w:t xml:space="preserve"> </w:t>
      </w:r>
      <w:proofErr w:type="spellStart"/>
      <w:r w:rsidRPr="0038079E">
        <w:rPr>
          <w:rFonts w:ascii="Times New Roman" w:hAnsi="Times New Roman" w:cs="Times New Roman"/>
          <w:lang w:eastAsia="lt-LT"/>
        </w:rPr>
        <w:t>Sandoz</w:t>
      </w:r>
      <w:proofErr w:type="spellEnd"/>
      <w:r w:rsidRPr="0038079E">
        <w:rPr>
          <w:rFonts w:ascii="Times New Roman" w:hAnsi="Times New Roman" w:cs="Times New Roman"/>
          <w:lang w:eastAsia="lt-LT"/>
        </w:rPr>
        <w:t>.</w:t>
      </w:r>
    </w:p>
    <w:p w:rsidR="00A4103A" w:rsidRPr="0038079E" w:rsidRDefault="00A4103A" w:rsidP="00A4103A">
      <w:pPr>
        <w:autoSpaceDE w:val="0"/>
        <w:autoSpaceDN w:val="0"/>
        <w:adjustRightInd w:val="0"/>
        <w:spacing w:after="0" w:line="240" w:lineRule="auto"/>
        <w:rPr>
          <w:rFonts w:ascii="Times New Roman" w:hAnsi="Times New Roman" w:cs="Times New Roman"/>
          <w:b/>
          <w:bCs/>
          <w:color w:val="000000"/>
          <w:lang w:eastAsia="lt-LT"/>
        </w:rPr>
      </w:pPr>
    </w:p>
    <w:p w:rsidR="00A4103A" w:rsidRPr="0038079E"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b/>
          <w:bCs/>
          <w:color w:val="000000"/>
          <w:lang w:eastAsia="lt-LT"/>
        </w:rPr>
        <w:t xml:space="preserve">Tyrimai, kuriuos atliks Jūsų gydytojas prieš gydymą </w:t>
      </w:r>
    </w:p>
    <w:p w:rsidR="00A4103A" w:rsidRPr="0038079E" w:rsidRDefault="00A4103A" w:rsidP="00A4103A">
      <w:pPr>
        <w:numPr>
          <w:ilvl w:val="0"/>
          <w:numId w:val="28"/>
        </w:num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color w:val="000000"/>
          <w:lang w:eastAsia="lt-LT"/>
        </w:rPr>
        <w:lastRenderedPageBreak/>
        <w:t>kraujo tyrim</w:t>
      </w:r>
      <w:r>
        <w:rPr>
          <w:rFonts w:ascii="Times New Roman" w:hAnsi="Times New Roman" w:cs="Times New Roman"/>
          <w:color w:val="000000"/>
          <w:lang w:eastAsia="lt-LT"/>
        </w:rPr>
        <w:t>as</w:t>
      </w:r>
      <w:r w:rsidRPr="0038079E">
        <w:rPr>
          <w:rFonts w:ascii="Times New Roman" w:hAnsi="Times New Roman" w:cs="Times New Roman"/>
          <w:color w:val="000000"/>
          <w:lang w:eastAsia="lt-LT"/>
        </w:rPr>
        <w:t xml:space="preserve"> Jūsų kepenų funkcijai patikrinti; </w:t>
      </w:r>
    </w:p>
    <w:p w:rsidR="00A4103A" w:rsidRPr="0038079E" w:rsidRDefault="00A4103A" w:rsidP="00A4103A">
      <w:pPr>
        <w:numPr>
          <w:ilvl w:val="0"/>
          <w:numId w:val="28"/>
        </w:num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color w:val="000000"/>
          <w:lang w:eastAsia="lt-LT"/>
        </w:rPr>
        <w:t>kraujo tyrim</w:t>
      </w:r>
      <w:r>
        <w:rPr>
          <w:rFonts w:ascii="Times New Roman" w:hAnsi="Times New Roman" w:cs="Times New Roman"/>
          <w:color w:val="000000"/>
          <w:lang w:eastAsia="lt-LT"/>
        </w:rPr>
        <w:t>as</w:t>
      </w:r>
      <w:r w:rsidRPr="0038079E">
        <w:rPr>
          <w:rFonts w:ascii="Times New Roman" w:hAnsi="Times New Roman" w:cs="Times New Roman"/>
          <w:color w:val="000000"/>
          <w:lang w:eastAsia="lt-LT"/>
        </w:rPr>
        <w:t xml:space="preserve"> patikrinti dėl mažakraujystės (per mažo hemoglobino kiekio); </w:t>
      </w:r>
    </w:p>
    <w:p w:rsidR="00A4103A" w:rsidRPr="0038079E" w:rsidRDefault="00A4103A" w:rsidP="00A4103A">
      <w:pPr>
        <w:numPr>
          <w:ilvl w:val="0"/>
          <w:numId w:val="28"/>
        </w:num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color w:val="000000"/>
          <w:lang w:eastAsia="lt-LT"/>
        </w:rPr>
        <w:t>nėštumo test</w:t>
      </w:r>
      <w:r>
        <w:rPr>
          <w:rFonts w:ascii="Times New Roman" w:hAnsi="Times New Roman" w:cs="Times New Roman"/>
          <w:color w:val="000000"/>
          <w:lang w:eastAsia="lt-LT"/>
        </w:rPr>
        <w:t>as</w:t>
      </w:r>
      <w:r w:rsidRPr="0038079E">
        <w:rPr>
          <w:rFonts w:ascii="Times New Roman" w:hAnsi="Times New Roman" w:cs="Times New Roman"/>
          <w:color w:val="000000"/>
          <w:lang w:eastAsia="lt-LT"/>
        </w:rPr>
        <w:t>, jeigu esate vaisingo amžiaus moteris</w:t>
      </w:r>
      <w:r>
        <w:rPr>
          <w:rFonts w:ascii="Times New Roman" w:hAnsi="Times New Roman" w:cs="Times New Roman"/>
          <w:color w:val="000000"/>
          <w:lang w:eastAsia="lt-LT"/>
        </w:rPr>
        <w:t>.</w:t>
      </w: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 xml:space="preserve">Kai kuriems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vartojantiems pacientams nustatyta kepenų veiklos tyrimų </w:t>
      </w:r>
      <w:proofErr w:type="spellStart"/>
      <w:r w:rsidRPr="0038079E">
        <w:rPr>
          <w:rFonts w:ascii="Times New Roman" w:hAnsi="Times New Roman" w:cs="Times New Roman"/>
        </w:rPr>
        <w:t>nenormalumų</w:t>
      </w:r>
      <w:proofErr w:type="spellEnd"/>
      <w:r w:rsidRPr="0038079E">
        <w:rPr>
          <w:rFonts w:ascii="Times New Roman" w:hAnsi="Times New Roman" w:cs="Times New Roman"/>
        </w:rPr>
        <w:t xml:space="preserve"> ir mažakraujystė (per mažas hemoglobino kiekis). Gydymo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metu Jūsų gydytojas reguliariai skirs atlikti kraujo tyrimus, kad patikrinti, ar nėra kepenų veiklos ir hemoglobino kiekio pokyčių.</w:t>
      </w:r>
    </w:p>
    <w:p w:rsidR="00A4103A" w:rsidRPr="0038079E"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38079E"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color w:val="000000"/>
          <w:lang w:eastAsia="lt-LT"/>
        </w:rPr>
        <w:t xml:space="preserve">Daugiau informacijos apie šiuos tyrimus žr. paciento priminimo kortelėje (ją gausite kratu su </w:t>
      </w:r>
      <w:proofErr w:type="spellStart"/>
      <w:r w:rsidRPr="0038079E">
        <w:rPr>
          <w:rFonts w:ascii="Times New Roman" w:hAnsi="Times New Roman" w:cs="Times New Roman"/>
          <w:color w:val="000000"/>
          <w:lang w:eastAsia="lt-LT"/>
        </w:rPr>
        <w:t>Bosentan</w:t>
      </w:r>
      <w:proofErr w:type="spellEnd"/>
      <w:r w:rsidRPr="0038079E">
        <w:rPr>
          <w:rFonts w:ascii="Times New Roman" w:hAnsi="Times New Roman" w:cs="Times New Roman"/>
          <w:color w:val="000000"/>
          <w:lang w:eastAsia="lt-LT"/>
        </w:rPr>
        <w:t xml:space="preserve"> </w:t>
      </w:r>
      <w:proofErr w:type="spellStart"/>
      <w:r w:rsidRPr="0038079E">
        <w:rPr>
          <w:rFonts w:ascii="Times New Roman" w:hAnsi="Times New Roman" w:cs="Times New Roman"/>
          <w:color w:val="000000"/>
          <w:lang w:eastAsia="lt-LT"/>
        </w:rPr>
        <w:t>Sandoz</w:t>
      </w:r>
      <w:proofErr w:type="spellEnd"/>
      <w:r w:rsidRPr="0038079E">
        <w:rPr>
          <w:rFonts w:ascii="Times New Roman" w:hAnsi="Times New Roman" w:cs="Times New Roman"/>
          <w:color w:val="000000"/>
          <w:lang w:eastAsia="lt-LT"/>
        </w:rPr>
        <w:t xml:space="preserve"> tablečių pakuote). Vartojant </w:t>
      </w:r>
      <w:proofErr w:type="spellStart"/>
      <w:r w:rsidRPr="0038079E">
        <w:rPr>
          <w:rFonts w:ascii="Times New Roman" w:hAnsi="Times New Roman" w:cs="Times New Roman"/>
          <w:color w:val="000000"/>
          <w:lang w:eastAsia="lt-LT"/>
        </w:rPr>
        <w:t>Bosentan</w:t>
      </w:r>
      <w:proofErr w:type="spellEnd"/>
      <w:r w:rsidRPr="0038079E">
        <w:rPr>
          <w:rFonts w:ascii="Times New Roman" w:hAnsi="Times New Roman" w:cs="Times New Roman"/>
          <w:color w:val="000000"/>
          <w:lang w:eastAsia="lt-LT"/>
        </w:rPr>
        <w:t xml:space="preserve"> </w:t>
      </w:r>
      <w:proofErr w:type="spellStart"/>
      <w:r w:rsidRPr="0038079E">
        <w:rPr>
          <w:rFonts w:ascii="Times New Roman" w:hAnsi="Times New Roman" w:cs="Times New Roman"/>
          <w:color w:val="000000"/>
          <w:lang w:eastAsia="lt-LT"/>
        </w:rPr>
        <w:t>Sandoz</w:t>
      </w:r>
      <w:proofErr w:type="spellEnd"/>
      <w:r w:rsidRPr="0038079E">
        <w:rPr>
          <w:rFonts w:ascii="Times New Roman" w:hAnsi="Times New Roman" w:cs="Times New Roman"/>
          <w:color w:val="000000"/>
          <w:lang w:eastAsia="lt-LT"/>
        </w:rPr>
        <w:t xml:space="preserve"> labai svarbu reguliariai atlikti šiuos kraujo tyrimus. Paciento priminimo kortelėje siūloma užsirašyti paskutinio ir artimiausio tyrimo datą (pasiklauskite savo gydytojo dėl datos); taip galėsite lengviau prisiminti, kada reikia vėl atlikti tyrimą. </w:t>
      </w:r>
    </w:p>
    <w:p w:rsidR="00A4103A" w:rsidRPr="0038079E"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38079E"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color w:val="000000"/>
          <w:u w:val="single"/>
          <w:lang w:eastAsia="lt-LT"/>
        </w:rPr>
        <w:t xml:space="preserve">Kepenų veiklos kraujo tyrimai </w:t>
      </w:r>
    </w:p>
    <w:p w:rsidR="00A4103A" w:rsidRPr="0038079E"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color w:val="000000"/>
          <w:lang w:eastAsia="lt-LT"/>
        </w:rPr>
        <w:t xml:space="preserve">Šie tyrimai bus atliekami kas mėnesį per visą gydymo </w:t>
      </w:r>
      <w:proofErr w:type="spellStart"/>
      <w:r w:rsidRPr="0038079E">
        <w:rPr>
          <w:rFonts w:ascii="Times New Roman" w:hAnsi="Times New Roman" w:cs="Times New Roman"/>
          <w:color w:val="000000"/>
          <w:lang w:eastAsia="lt-LT"/>
        </w:rPr>
        <w:t>Bosentan</w:t>
      </w:r>
      <w:proofErr w:type="spellEnd"/>
      <w:r w:rsidRPr="0038079E">
        <w:rPr>
          <w:rFonts w:ascii="Times New Roman" w:hAnsi="Times New Roman" w:cs="Times New Roman"/>
          <w:color w:val="000000"/>
          <w:lang w:eastAsia="lt-LT"/>
        </w:rPr>
        <w:t xml:space="preserve"> </w:t>
      </w:r>
      <w:proofErr w:type="spellStart"/>
      <w:r w:rsidRPr="0038079E">
        <w:rPr>
          <w:rFonts w:ascii="Times New Roman" w:hAnsi="Times New Roman" w:cs="Times New Roman"/>
          <w:color w:val="000000"/>
          <w:lang w:eastAsia="lt-LT"/>
        </w:rPr>
        <w:t>Sandoz</w:t>
      </w:r>
      <w:proofErr w:type="spellEnd"/>
      <w:r w:rsidRPr="0038079E">
        <w:rPr>
          <w:rFonts w:ascii="Times New Roman" w:hAnsi="Times New Roman" w:cs="Times New Roman"/>
          <w:color w:val="000000"/>
          <w:lang w:eastAsia="lt-LT"/>
        </w:rPr>
        <w:t xml:space="preserve"> laiką. Padidinus dozę, papildomas tyrimas bus atliekamas po 2 savaičių. </w:t>
      </w:r>
    </w:p>
    <w:p w:rsidR="00A4103A" w:rsidRPr="0038079E"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38079E">
        <w:rPr>
          <w:rFonts w:ascii="Times New Roman" w:hAnsi="Times New Roman" w:cs="Times New Roman"/>
          <w:color w:val="000000"/>
          <w:lang w:eastAsia="lt-LT"/>
        </w:rPr>
        <w:t>Bosentan</w:t>
      </w:r>
      <w:proofErr w:type="spellEnd"/>
      <w:r w:rsidRPr="0038079E">
        <w:rPr>
          <w:rFonts w:ascii="Times New Roman" w:hAnsi="Times New Roman" w:cs="Times New Roman"/>
          <w:color w:val="000000"/>
          <w:lang w:eastAsia="lt-LT"/>
        </w:rPr>
        <w:t xml:space="preserve"> </w:t>
      </w:r>
      <w:proofErr w:type="spellStart"/>
      <w:r w:rsidRPr="0038079E">
        <w:rPr>
          <w:rFonts w:ascii="Times New Roman" w:hAnsi="Times New Roman" w:cs="Times New Roman"/>
          <w:color w:val="000000"/>
          <w:lang w:eastAsia="lt-LT"/>
        </w:rPr>
        <w:t>Sandoz</w:t>
      </w:r>
      <w:proofErr w:type="spellEnd"/>
      <w:r w:rsidRPr="0038079E">
        <w:rPr>
          <w:rFonts w:ascii="Times New Roman" w:hAnsi="Times New Roman" w:cs="Times New Roman"/>
          <w:color w:val="000000"/>
          <w:lang w:eastAsia="lt-LT"/>
        </w:rPr>
        <w:t xml:space="preserve"> gali paveikti kepenis. Požymiai, kad Jūsų kepenys gali veikti netinkamai, yra šie: </w:t>
      </w:r>
    </w:p>
    <w:p w:rsidR="00A4103A" w:rsidRPr="0038079E" w:rsidRDefault="00A4103A" w:rsidP="00A4103A">
      <w:pPr>
        <w:numPr>
          <w:ilvl w:val="0"/>
          <w:numId w:val="29"/>
        </w:num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color w:val="000000"/>
          <w:lang w:eastAsia="lt-LT"/>
        </w:rPr>
        <w:t xml:space="preserve">pykinimas (varymas vemti); </w:t>
      </w:r>
    </w:p>
    <w:p w:rsidR="00A4103A" w:rsidRPr="0038079E" w:rsidRDefault="00A4103A" w:rsidP="00A4103A">
      <w:pPr>
        <w:numPr>
          <w:ilvl w:val="0"/>
          <w:numId w:val="29"/>
        </w:num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color w:val="000000"/>
          <w:lang w:eastAsia="lt-LT"/>
        </w:rPr>
        <w:t xml:space="preserve">vėmimas; </w:t>
      </w:r>
    </w:p>
    <w:p w:rsidR="00A4103A" w:rsidRPr="0038079E" w:rsidRDefault="00A4103A" w:rsidP="00A4103A">
      <w:pPr>
        <w:numPr>
          <w:ilvl w:val="0"/>
          <w:numId w:val="29"/>
        </w:num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color w:val="000000"/>
          <w:lang w:eastAsia="lt-LT"/>
        </w:rPr>
        <w:t xml:space="preserve">karščiavimas (aukšta temperatūra); </w:t>
      </w:r>
    </w:p>
    <w:p w:rsidR="00A4103A" w:rsidRPr="0038079E" w:rsidRDefault="00A4103A" w:rsidP="00A4103A">
      <w:pPr>
        <w:numPr>
          <w:ilvl w:val="0"/>
          <w:numId w:val="29"/>
        </w:num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color w:val="000000"/>
          <w:lang w:eastAsia="lt-LT"/>
        </w:rPr>
        <w:t xml:space="preserve">skrandžio (pilvo) skausmas; </w:t>
      </w:r>
    </w:p>
    <w:p w:rsidR="00A4103A" w:rsidRPr="0038079E" w:rsidRDefault="00A4103A" w:rsidP="00A4103A">
      <w:pPr>
        <w:numPr>
          <w:ilvl w:val="0"/>
          <w:numId w:val="29"/>
        </w:num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color w:val="000000"/>
          <w:lang w:eastAsia="lt-LT"/>
        </w:rPr>
        <w:t xml:space="preserve">gelta (Jūsų odos ar akių baltymų pageltimas); </w:t>
      </w:r>
    </w:p>
    <w:p w:rsidR="00A4103A" w:rsidRPr="0038079E" w:rsidRDefault="00A4103A" w:rsidP="00A4103A">
      <w:pPr>
        <w:numPr>
          <w:ilvl w:val="0"/>
          <w:numId w:val="29"/>
        </w:num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color w:val="000000"/>
          <w:lang w:eastAsia="lt-LT"/>
        </w:rPr>
        <w:t xml:space="preserve">patamsėjęs šlapimas; </w:t>
      </w:r>
    </w:p>
    <w:p w:rsidR="00A4103A" w:rsidRPr="0038079E" w:rsidRDefault="00A4103A" w:rsidP="00A4103A">
      <w:pPr>
        <w:numPr>
          <w:ilvl w:val="0"/>
          <w:numId w:val="29"/>
        </w:num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color w:val="000000"/>
          <w:lang w:eastAsia="lt-LT"/>
        </w:rPr>
        <w:t xml:space="preserve">odos niežėjimas; </w:t>
      </w:r>
    </w:p>
    <w:p w:rsidR="00A4103A" w:rsidRPr="0038079E" w:rsidRDefault="00A4103A" w:rsidP="00A4103A">
      <w:pPr>
        <w:numPr>
          <w:ilvl w:val="0"/>
          <w:numId w:val="29"/>
        </w:num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color w:val="000000"/>
          <w:lang w:eastAsia="lt-LT"/>
        </w:rPr>
        <w:t xml:space="preserve">letargija arba nuovargis (neįprastas nuvargimas arba išsekimas); </w:t>
      </w:r>
    </w:p>
    <w:p w:rsidR="00A4103A" w:rsidRPr="0038079E" w:rsidRDefault="00A4103A" w:rsidP="00A4103A">
      <w:pPr>
        <w:numPr>
          <w:ilvl w:val="0"/>
          <w:numId w:val="29"/>
        </w:num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color w:val="000000"/>
          <w:lang w:eastAsia="lt-LT"/>
        </w:rPr>
        <w:t xml:space="preserve">į gripą panašus sindromas (sąnarių ir raumenų skausmas su karščiavimu). </w:t>
      </w:r>
    </w:p>
    <w:p w:rsidR="00A4103A" w:rsidRPr="0038079E"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38079E" w:rsidRDefault="00A4103A" w:rsidP="00A4103A">
      <w:pPr>
        <w:autoSpaceDE w:val="0"/>
        <w:autoSpaceDN w:val="0"/>
        <w:adjustRightInd w:val="0"/>
        <w:spacing w:after="0" w:line="240" w:lineRule="auto"/>
        <w:rPr>
          <w:rFonts w:ascii="Times New Roman" w:hAnsi="Times New Roman" w:cs="Times New Roman"/>
          <w:b/>
          <w:bCs/>
          <w:color w:val="000000"/>
          <w:lang w:eastAsia="lt-LT"/>
        </w:rPr>
      </w:pPr>
      <w:r w:rsidRPr="0038079E">
        <w:rPr>
          <w:rFonts w:ascii="Times New Roman" w:hAnsi="Times New Roman" w:cs="Times New Roman"/>
          <w:color w:val="000000"/>
          <w:lang w:eastAsia="lt-LT"/>
        </w:rPr>
        <w:t xml:space="preserve">Jeigu pastebėjote bet kurį iš šių požymių, </w:t>
      </w:r>
      <w:r w:rsidRPr="0038079E">
        <w:rPr>
          <w:rFonts w:ascii="Times New Roman" w:hAnsi="Times New Roman" w:cs="Times New Roman"/>
          <w:b/>
          <w:bCs/>
          <w:color w:val="000000"/>
          <w:lang w:eastAsia="lt-LT"/>
        </w:rPr>
        <w:t xml:space="preserve">nedelsdami pasakykite savo gydytojui. </w:t>
      </w:r>
    </w:p>
    <w:p w:rsidR="00A4103A" w:rsidRPr="0038079E" w:rsidRDefault="00A4103A" w:rsidP="00A4103A">
      <w:pPr>
        <w:autoSpaceDE w:val="0"/>
        <w:autoSpaceDN w:val="0"/>
        <w:adjustRightInd w:val="0"/>
        <w:spacing w:after="0" w:line="240" w:lineRule="auto"/>
        <w:rPr>
          <w:rFonts w:ascii="Times New Roman" w:hAnsi="Times New Roman" w:cs="Times New Roman"/>
          <w:color w:val="000000"/>
          <w:lang w:eastAsia="lt-LT"/>
        </w:rPr>
      </w:pPr>
    </w:p>
    <w:p w:rsidR="00A4103A" w:rsidRPr="0038079E"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color w:val="000000"/>
          <w:u w:val="single"/>
          <w:lang w:eastAsia="lt-LT"/>
        </w:rPr>
        <w:t xml:space="preserve">Kraujo tyrimai dėl mažakraujystės </w:t>
      </w:r>
    </w:p>
    <w:p w:rsidR="00A4103A" w:rsidRPr="0038079E" w:rsidRDefault="00A4103A" w:rsidP="00A4103A">
      <w:pPr>
        <w:autoSpaceDE w:val="0"/>
        <w:autoSpaceDN w:val="0"/>
        <w:adjustRightInd w:val="0"/>
        <w:spacing w:after="0" w:line="240" w:lineRule="auto"/>
        <w:rPr>
          <w:rFonts w:ascii="Times New Roman" w:hAnsi="Times New Roman" w:cs="Times New Roman"/>
          <w:color w:val="000000"/>
          <w:lang w:eastAsia="lt-LT"/>
        </w:rPr>
      </w:pPr>
      <w:r w:rsidRPr="0038079E">
        <w:rPr>
          <w:rFonts w:ascii="Times New Roman" w:hAnsi="Times New Roman" w:cs="Times New Roman"/>
          <w:color w:val="000000"/>
          <w:lang w:eastAsia="lt-LT"/>
        </w:rPr>
        <w:t xml:space="preserve">Šie tyrimai bus atliekami kas mėnesį per pirmuosius 4 gydymo mėnesius, po to kas 3 mėnesius, nes </w:t>
      </w:r>
      <w:proofErr w:type="spellStart"/>
      <w:r w:rsidRPr="0038079E">
        <w:rPr>
          <w:rFonts w:ascii="Times New Roman" w:hAnsi="Times New Roman" w:cs="Times New Roman"/>
          <w:color w:val="000000"/>
          <w:lang w:eastAsia="lt-LT"/>
        </w:rPr>
        <w:t>Bosentan</w:t>
      </w:r>
      <w:proofErr w:type="spellEnd"/>
      <w:r w:rsidRPr="0038079E">
        <w:rPr>
          <w:rFonts w:ascii="Times New Roman" w:hAnsi="Times New Roman" w:cs="Times New Roman"/>
          <w:color w:val="000000"/>
          <w:lang w:eastAsia="lt-LT"/>
        </w:rPr>
        <w:t xml:space="preserve"> </w:t>
      </w:r>
      <w:proofErr w:type="spellStart"/>
      <w:r w:rsidRPr="0038079E">
        <w:rPr>
          <w:rFonts w:ascii="Times New Roman" w:hAnsi="Times New Roman" w:cs="Times New Roman"/>
          <w:color w:val="000000"/>
          <w:lang w:eastAsia="lt-LT"/>
        </w:rPr>
        <w:t>Sandoz</w:t>
      </w:r>
      <w:proofErr w:type="spellEnd"/>
      <w:r w:rsidRPr="0038079E">
        <w:rPr>
          <w:rFonts w:ascii="Times New Roman" w:hAnsi="Times New Roman" w:cs="Times New Roman"/>
          <w:color w:val="000000"/>
          <w:lang w:eastAsia="lt-LT"/>
        </w:rPr>
        <w:t xml:space="preserve"> vartojantys pacientai gali susirgti mažakraujyste. </w:t>
      </w:r>
    </w:p>
    <w:p w:rsidR="00A4103A" w:rsidRPr="0038079E" w:rsidRDefault="00A4103A" w:rsidP="00A4103A">
      <w:pPr>
        <w:numPr>
          <w:ilvl w:val="12"/>
          <w:numId w:val="0"/>
        </w:numPr>
        <w:spacing w:after="0" w:line="240" w:lineRule="auto"/>
        <w:ind w:right="-2"/>
        <w:rPr>
          <w:rFonts w:ascii="Times New Roman" w:hAnsi="Times New Roman" w:cs="Times New Roman"/>
          <w:lang w:eastAsia="lt-LT"/>
        </w:rPr>
      </w:pPr>
      <w:r w:rsidRPr="0038079E">
        <w:rPr>
          <w:rFonts w:ascii="Times New Roman" w:hAnsi="Times New Roman" w:cs="Times New Roman"/>
          <w:lang w:eastAsia="lt-LT"/>
        </w:rPr>
        <w:t xml:space="preserve">Jeigu tyrimo rezultatai yra nenormalūs, Jūsų gydytojas gali nuspręsti sumažinti vaisto dozę arba nutraukti gydymą </w:t>
      </w:r>
      <w:proofErr w:type="spellStart"/>
      <w:r w:rsidRPr="0038079E">
        <w:rPr>
          <w:rFonts w:ascii="Times New Roman" w:hAnsi="Times New Roman" w:cs="Times New Roman"/>
          <w:lang w:eastAsia="lt-LT"/>
        </w:rPr>
        <w:t>Bosentan</w:t>
      </w:r>
      <w:proofErr w:type="spellEnd"/>
      <w:r w:rsidRPr="0038079E">
        <w:rPr>
          <w:rFonts w:ascii="Times New Roman" w:hAnsi="Times New Roman" w:cs="Times New Roman"/>
          <w:lang w:eastAsia="lt-LT"/>
        </w:rPr>
        <w:t xml:space="preserve"> </w:t>
      </w:r>
      <w:proofErr w:type="spellStart"/>
      <w:r w:rsidRPr="0038079E">
        <w:rPr>
          <w:rFonts w:ascii="Times New Roman" w:hAnsi="Times New Roman" w:cs="Times New Roman"/>
          <w:lang w:eastAsia="lt-LT"/>
        </w:rPr>
        <w:t>Sandoz</w:t>
      </w:r>
      <w:proofErr w:type="spellEnd"/>
      <w:r w:rsidRPr="0038079E">
        <w:rPr>
          <w:rFonts w:ascii="Times New Roman" w:hAnsi="Times New Roman" w:cs="Times New Roman"/>
          <w:lang w:eastAsia="lt-LT"/>
        </w:rPr>
        <w:t xml:space="preserve"> ir atlikti tolesnius tyrimus priežasčiai nustatyti.</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spacing w:after="0" w:line="240" w:lineRule="auto"/>
        <w:rPr>
          <w:rFonts w:ascii="Times New Roman" w:hAnsi="Times New Roman" w:cs="Times New Roman"/>
          <w:u w:val="single"/>
        </w:rPr>
      </w:pPr>
      <w:r w:rsidRPr="0038079E">
        <w:rPr>
          <w:rFonts w:ascii="Times New Roman" w:hAnsi="Times New Roman" w:cs="Times New Roman"/>
          <w:u w:val="single"/>
        </w:rPr>
        <w:t xml:space="preserve">Nėštumo testai vaisingo amžiaus moterims </w:t>
      </w:r>
    </w:p>
    <w:p w:rsidR="00A4103A" w:rsidRPr="0038079E" w:rsidRDefault="00A4103A" w:rsidP="00A4103A">
      <w:pPr>
        <w:spacing w:after="0" w:line="240" w:lineRule="auto"/>
        <w:rPr>
          <w:rFonts w:ascii="Times New Roman" w:hAnsi="Times New Roman" w:cs="Times New Roman"/>
        </w:rPr>
      </w:pP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gali kenkti moters, kuri pastojo prieš pradedant gydymą ar jo metu, negimusiam kūdikiui. Jeigu esate vaisingo amžiaus moteris, gydytojas paprašys atlikti nėštumo testą prieš pradedant gydymą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ir reguliariai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vartojimo metu. </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numPr>
          <w:ilvl w:val="0"/>
          <w:numId w:val="30"/>
        </w:numPr>
        <w:spacing w:after="0" w:line="240" w:lineRule="auto"/>
        <w:rPr>
          <w:rFonts w:ascii="Times New Roman" w:hAnsi="Times New Roman" w:cs="Times New Roman"/>
        </w:rPr>
      </w:pPr>
      <w:r w:rsidRPr="0038079E">
        <w:rPr>
          <w:rFonts w:ascii="Times New Roman" w:hAnsi="Times New Roman" w:cs="Times New Roman"/>
        </w:rPr>
        <w:t xml:space="preserve">Nevartokite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jeigu esate nėščia arba planuojate pastoti. </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numPr>
          <w:ilvl w:val="0"/>
          <w:numId w:val="30"/>
        </w:numPr>
        <w:spacing w:after="0" w:line="240" w:lineRule="auto"/>
        <w:rPr>
          <w:rFonts w:ascii="Times New Roman" w:hAnsi="Times New Roman" w:cs="Times New Roman"/>
        </w:rPr>
      </w:pPr>
      <w:r w:rsidRPr="0038079E">
        <w:rPr>
          <w:rFonts w:ascii="Times New Roman" w:hAnsi="Times New Roman" w:cs="Times New Roman"/>
        </w:rPr>
        <w:t xml:space="preserve">Jeigu įmanoma, jog galite pastoti,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vartojimo laikotarpiu taikykite patikimus gimimų reguliavimo (kontracepcijos) metodus. Jūsų gydytojas arba ginekologas patars, kokie kontracepcijos metodai yra patikimi vartojant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Kadangi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hormoninės kontracepcijos (pvz., geriamosios, švirkščiamosios, implantuojamosios arba naudojamos odos pleistrų pavidalu) metodą gali padaryti neveiksmingu, vienas šis metodas nėra patiki</w:t>
      </w:r>
      <w:r w:rsidRPr="0038079E">
        <w:rPr>
          <w:rFonts w:ascii="Times New Roman" w:hAnsi="Times New Roman" w:cs="Times New Roman"/>
        </w:rPr>
        <w:lastRenderedPageBreak/>
        <w:t xml:space="preserve">mas. Todėl, jeigu naudojate hormoninį kontraceptiką, turite kartu taikyti ir barjerinį metodą (pvz., moterišką prezervatyvą, diafragmą, kontraceptinę kempinę arba Jūsų partneris taip pat turi naudoti prezervatyvą). Kartu su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tablečių pakuote gausite paciento priminimo kortelę. Būtinai užpildykite šią kortelę ir atsineškite ją artimiausio vizito pas gydytoją metu, kad gydytojas arba ginekologas galėtų įvertinti, ar Jums reikia naudoti papildomą arba alternatyvų kontracepcijos metodą. Jeigu esate vaisingo amžiaus, gydantis preparatu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rekomenduojama kas mėnesį atlikti nėštumo testą. </w:t>
      </w:r>
    </w:p>
    <w:p w:rsidR="00A4103A" w:rsidRPr="0038079E" w:rsidRDefault="00A4103A" w:rsidP="00A4103A">
      <w:pPr>
        <w:numPr>
          <w:ilvl w:val="0"/>
          <w:numId w:val="30"/>
        </w:numPr>
        <w:spacing w:after="0" w:line="240" w:lineRule="auto"/>
        <w:rPr>
          <w:rFonts w:ascii="Times New Roman" w:hAnsi="Times New Roman" w:cs="Times New Roman"/>
        </w:rPr>
      </w:pPr>
      <w:r w:rsidRPr="0038079E">
        <w:rPr>
          <w:rFonts w:ascii="Times New Roman" w:hAnsi="Times New Roman" w:cs="Times New Roman"/>
        </w:rPr>
        <w:t xml:space="preserve">Nedelsdama praneškite gydytojui, jeigu pastojote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vartojimo metu arba planuojate pastoti netolimoje ateityje. </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spacing w:after="0" w:line="240" w:lineRule="auto"/>
        <w:rPr>
          <w:rFonts w:ascii="Times New Roman" w:hAnsi="Times New Roman" w:cs="Times New Roman"/>
          <w:u w:val="single"/>
        </w:rPr>
      </w:pPr>
      <w:r w:rsidRPr="0038079E">
        <w:rPr>
          <w:rFonts w:ascii="Times New Roman" w:hAnsi="Times New Roman" w:cs="Times New Roman"/>
          <w:u w:val="single"/>
        </w:rPr>
        <w:t xml:space="preserve">Žindymas </w:t>
      </w:r>
    </w:p>
    <w:p w:rsidR="00A4103A" w:rsidRPr="0038079E" w:rsidRDefault="00A4103A" w:rsidP="00A4103A">
      <w:pPr>
        <w:spacing w:after="0" w:line="240" w:lineRule="auto"/>
        <w:rPr>
          <w:rFonts w:ascii="Times New Roman" w:hAnsi="Times New Roman" w:cs="Times New Roman"/>
        </w:rPr>
      </w:pPr>
      <w:r w:rsidRPr="0038079E">
        <w:rPr>
          <w:rFonts w:ascii="Times New Roman" w:hAnsi="Times New Roman" w:cs="Times New Roman"/>
        </w:rPr>
        <w:t xml:space="preserve">Nedelsdama pasakykite </w:t>
      </w:r>
      <w:r w:rsidRPr="0038079E">
        <w:rPr>
          <w:rFonts w:ascii="Times New Roman" w:hAnsi="Times New Roman" w:cs="Times New Roman"/>
          <w:b/>
          <w:bCs/>
        </w:rPr>
        <w:t>savo gydytojui, jeigu žindote kūdikį</w:t>
      </w:r>
      <w:r w:rsidRPr="0038079E">
        <w:rPr>
          <w:rFonts w:ascii="Times New Roman" w:hAnsi="Times New Roman" w:cs="Times New Roman"/>
        </w:rPr>
        <w:t xml:space="preserve">. Jeigu Jums paskirta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patartina žindymą nutraukti, kadangi nežinoma, ar šio vaisto patenka į žindyvės pieną. </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spacing w:after="0" w:line="240" w:lineRule="auto"/>
        <w:rPr>
          <w:rFonts w:ascii="Times New Roman" w:hAnsi="Times New Roman" w:cs="Times New Roman"/>
          <w:b/>
          <w:bCs/>
        </w:rPr>
      </w:pPr>
      <w:r w:rsidRPr="0038079E">
        <w:rPr>
          <w:rFonts w:ascii="Times New Roman" w:hAnsi="Times New Roman" w:cs="Times New Roman"/>
          <w:b/>
          <w:bCs/>
        </w:rPr>
        <w:t xml:space="preserve">Kiti vaistai ir </w:t>
      </w:r>
      <w:proofErr w:type="spellStart"/>
      <w:r w:rsidRPr="0038079E">
        <w:rPr>
          <w:rFonts w:ascii="Times New Roman" w:hAnsi="Times New Roman" w:cs="Times New Roman"/>
          <w:b/>
          <w:bCs/>
        </w:rPr>
        <w:t>Bosentan</w:t>
      </w:r>
      <w:proofErr w:type="spellEnd"/>
      <w:r w:rsidRPr="0038079E">
        <w:rPr>
          <w:rFonts w:ascii="Times New Roman" w:hAnsi="Times New Roman" w:cs="Times New Roman"/>
          <w:b/>
          <w:bCs/>
        </w:rPr>
        <w:t xml:space="preserve"> </w:t>
      </w:r>
      <w:proofErr w:type="spellStart"/>
      <w:r w:rsidRPr="0038079E">
        <w:rPr>
          <w:rFonts w:ascii="Times New Roman" w:hAnsi="Times New Roman" w:cs="Times New Roman"/>
          <w:b/>
          <w:bCs/>
        </w:rPr>
        <w:t>Sandoz</w:t>
      </w:r>
      <w:proofErr w:type="spellEnd"/>
      <w:r w:rsidRPr="0038079E">
        <w:rPr>
          <w:rFonts w:ascii="Times New Roman" w:hAnsi="Times New Roman" w:cs="Times New Roman"/>
          <w:b/>
          <w:bCs/>
        </w:rPr>
        <w:t xml:space="preserve"> </w:t>
      </w:r>
    </w:p>
    <w:p w:rsidR="00A4103A" w:rsidRPr="0038079E" w:rsidRDefault="00A4103A" w:rsidP="00A4103A">
      <w:pPr>
        <w:spacing w:after="0" w:line="240" w:lineRule="auto"/>
        <w:rPr>
          <w:rFonts w:ascii="Times New Roman" w:hAnsi="Times New Roman" w:cs="Times New Roman"/>
        </w:rPr>
      </w:pPr>
      <w:r w:rsidRPr="0038079E">
        <w:rPr>
          <w:rFonts w:ascii="Times New Roman" w:hAnsi="Times New Roman" w:cs="Times New Roman"/>
        </w:rPr>
        <w:t xml:space="preserve">Jeigu vartojate ar neseniai vartojote kitų vaistų arba dėl to nesate tikri, apie tai pasakykite gydytojui arba vaistininkui. Yra ypač svarbu pasakyti gydytojui, jeigu vartojate: </w:t>
      </w:r>
    </w:p>
    <w:p w:rsidR="00A4103A" w:rsidRPr="0038079E" w:rsidRDefault="00A4103A" w:rsidP="00A4103A">
      <w:pPr>
        <w:numPr>
          <w:ilvl w:val="0"/>
          <w:numId w:val="31"/>
        </w:numPr>
        <w:spacing w:after="0" w:line="240" w:lineRule="auto"/>
        <w:rPr>
          <w:rFonts w:ascii="Times New Roman" w:hAnsi="Times New Roman" w:cs="Times New Roman"/>
        </w:rPr>
      </w:pPr>
      <w:r w:rsidRPr="0038079E">
        <w:rPr>
          <w:rFonts w:ascii="Times New Roman" w:hAnsi="Times New Roman" w:cs="Times New Roman"/>
        </w:rPr>
        <w:t xml:space="preserve">hormoninių kontraceptikų (nes jie, kaip vienintelis kontracepcijos metodas, nėra veiksmingi, jeigu vartojate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Kartu su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tablečių pakuote gausite paciento priminimo kortelę, kurią turite atidžiai perskaityti. Jūsų gydytojas ir (arba) ginekologas parinks Jums tinkamą kontracepciją; </w:t>
      </w:r>
    </w:p>
    <w:p w:rsidR="00A4103A" w:rsidRPr="0038079E" w:rsidRDefault="00A4103A" w:rsidP="00A4103A">
      <w:pPr>
        <w:numPr>
          <w:ilvl w:val="0"/>
          <w:numId w:val="31"/>
        </w:numPr>
        <w:spacing w:after="0" w:line="240" w:lineRule="auto"/>
        <w:rPr>
          <w:rFonts w:ascii="Times New Roman" w:hAnsi="Times New Roman" w:cs="Times New Roman"/>
        </w:rPr>
      </w:pPr>
      <w:proofErr w:type="spellStart"/>
      <w:r w:rsidRPr="0038079E">
        <w:rPr>
          <w:rFonts w:ascii="Times New Roman" w:hAnsi="Times New Roman" w:cs="Times New Roman"/>
        </w:rPr>
        <w:t>glibenklamido</w:t>
      </w:r>
      <w:proofErr w:type="spellEnd"/>
      <w:r w:rsidRPr="0038079E">
        <w:rPr>
          <w:rFonts w:ascii="Times New Roman" w:hAnsi="Times New Roman" w:cs="Times New Roman"/>
        </w:rPr>
        <w:t xml:space="preserve"> (nuo diabeto) (nes šis derinys gali padidinti šalutinio poveikio riziką); </w:t>
      </w:r>
    </w:p>
    <w:p w:rsidR="00A4103A" w:rsidRPr="0038079E" w:rsidRDefault="00A4103A" w:rsidP="00A4103A">
      <w:pPr>
        <w:numPr>
          <w:ilvl w:val="0"/>
          <w:numId w:val="31"/>
        </w:numPr>
        <w:spacing w:after="0" w:line="240" w:lineRule="auto"/>
        <w:rPr>
          <w:rFonts w:ascii="Times New Roman" w:hAnsi="Times New Roman" w:cs="Times New Roman"/>
        </w:rPr>
      </w:pPr>
      <w:proofErr w:type="spellStart"/>
      <w:r w:rsidRPr="0038079E">
        <w:rPr>
          <w:rFonts w:ascii="Times New Roman" w:hAnsi="Times New Roman" w:cs="Times New Roman"/>
        </w:rPr>
        <w:t>ciklosporino</w:t>
      </w:r>
      <w:proofErr w:type="spellEnd"/>
      <w:r w:rsidRPr="0038079E">
        <w:rPr>
          <w:rFonts w:ascii="Times New Roman" w:hAnsi="Times New Roman" w:cs="Times New Roman"/>
        </w:rPr>
        <w:t xml:space="preserve"> A (vaisto, vartojamo po transplantacijos ar psoriazei gydyti, žr. skyrių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vartoti negalima“) ar kitų vaistų, vartojamų persodintų organų atmetimo profilaktikai (nes šie vaistai gali didinti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koncentraciją Jūsų kraujyje); </w:t>
      </w:r>
    </w:p>
    <w:p w:rsidR="00A4103A" w:rsidRPr="0038079E" w:rsidRDefault="00A4103A" w:rsidP="00A4103A">
      <w:pPr>
        <w:numPr>
          <w:ilvl w:val="0"/>
          <w:numId w:val="31"/>
        </w:numPr>
        <w:spacing w:after="0" w:line="240" w:lineRule="auto"/>
        <w:rPr>
          <w:rFonts w:ascii="Times New Roman" w:hAnsi="Times New Roman" w:cs="Times New Roman"/>
        </w:rPr>
      </w:pPr>
      <w:proofErr w:type="spellStart"/>
      <w:r w:rsidRPr="0038079E">
        <w:rPr>
          <w:rFonts w:ascii="Times New Roman" w:hAnsi="Times New Roman" w:cs="Times New Roman"/>
        </w:rPr>
        <w:t>flukonazolo</w:t>
      </w:r>
      <w:proofErr w:type="spellEnd"/>
      <w:r w:rsidRPr="0038079E">
        <w:rPr>
          <w:rFonts w:ascii="Times New Roman" w:hAnsi="Times New Roman" w:cs="Times New Roman"/>
        </w:rPr>
        <w:t xml:space="preserve"> (grybelinėms infekcijoms gydyti) (nes šis vaistas gali didinti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koncentraciją Jūsų kraujyje); </w:t>
      </w:r>
    </w:p>
    <w:p w:rsidR="00A4103A" w:rsidRPr="0038079E" w:rsidRDefault="00A4103A" w:rsidP="00A4103A">
      <w:pPr>
        <w:numPr>
          <w:ilvl w:val="0"/>
          <w:numId w:val="31"/>
        </w:numPr>
        <w:spacing w:after="0" w:line="240" w:lineRule="auto"/>
        <w:rPr>
          <w:rFonts w:ascii="Times New Roman" w:hAnsi="Times New Roman" w:cs="Times New Roman"/>
        </w:rPr>
      </w:pPr>
      <w:proofErr w:type="spellStart"/>
      <w:r w:rsidRPr="0038079E">
        <w:rPr>
          <w:rFonts w:ascii="Times New Roman" w:hAnsi="Times New Roman" w:cs="Times New Roman"/>
        </w:rPr>
        <w:t>rifampicino</w:t>
      </w:r>
      <w:proofErr w:type="spellEnd"/>
      <w:r w:rsidRPr="0038079E">
        <w:rPr>
          <w:rFonts w:ascii="Times New Roman" w:hAnsi="Times New Roman" w:cs="Times New Roman"/>
        </w:rPr>
        <w:t xml:space="preserve"> (tuberkuliozei gydyti) (nes šis vaistas gali mažinti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veiksmingumą); </w:t>
      </w:r>
    </w:p>
    <w:p w:rsidR="00A4103A" w:rsidRPr="0038079E" w:rsidRDefault="00A4103A" w:rsidP="00A4103A">
      <w:pPr>
        <w:numPr>
          <w:ilvl w:val="0"/>
          <w:numId w:val="31"/>
        </w:numPr>
        <w:spacing w:after="0" w:line="240" w:lineRule="auto"/>
        <w:rPr>
          <w:rFonts w:ascii="Times New Roman" w:hAnsi="Times New Roman" w:cs="Times New Roman"/>
        </w:rPr>
      </w:pPr>
      <w:r w:rsidRPr="0038079E">
        <w:rPr>
          <w:rFonts w:ascii="Times New Roman" w:hAnsi="Times New Roman" w:cs="Times New Roman"/>
        </w:rPr>
        <w:t xml:space="preserve">vaistų ŽIV infekcijos gydymui. </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spacing w:after="0" w:line="240" w:lineRule="auto"/>
        <w:rPr>
          <w:rFonts w:ascii="Times New Roman" w:hAnsi="Times New Roman" w:cs="Times New Roman"/>
          <w:b/>
          <w:bCs/>
        </w:rPr>
      </w:pPr>
      <w:proofErr w:type="spellStart"/>
      <w:r w:rsidRPr="0038079E">
        <w:rPr>
          <w:rFonts w:ascii="Times New Roman" w:hAnsi="Times New Roman" w:cs="Times New Roman"/>
          <w:b/>
          <w:bCs/>
        </w:rPr>
        <w:t>Bosentan</w:t>
      </w:r>
      <w:proofErr w:type="spellEnd"/>
      <w:r w:rsidRPr="0038079E">
        <w:rPr>
          <w:rFonts w:ascii="Times New Roman" w:hAnsi="Times New Roman" w:cs="Times New Roman"/>
          <w:b/>
          <w:bCs/>
        </w:rPr>
        <w:t xml:space="preserve"> </w:t>
      </w:r>
      <w:proofErr w:type="spellStart"/>
      <w:r w:rsidRPr="0038079E">
        <w:rPr>
          <w:rFonts w:ascii="Times New Roman" w:hAnsi="Times New Roman" w:cs="Times New Roman"/>
          <w:b/>
          <w:bCs/>
        </w:rPr>
        <w:t>Sandoz</w:t>
      </w:r>
      <w:proofErr w:type="spellEnd"/>
      <w:r w:rsidRPr="0038079E">
        <w:rPr>
          <w:rFonts w:ascii="Times New Roman" w:hAnsi="Times New Roman" w:cs="Times New Roman"/>
          <w:b/>
          <w:bCs/>
        </w:rPr>
        <w:t xml:space="preserve"> vartojimas su maistu ir gėrimais </w:t>
      </w:r>
    </w:p>
    <w:p w:rsidR="00A4103A" w:rsidRPr="0038079E" w:rsidRDefault="00A4103A" w:rsidP="00A4103A">
      <w:pPr>
        <w:spacing w:after="0" w:line="240" w:lineRule="auto"/>
        <w:rPr>
          <w:rFonts w:ascii="Times New Roman" w:hAnsi="Times New Roman" w:cs="Times New Roman"/>
        </w:rPr>
      </w:pP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galima vartoti valgant ar kitu laiku. </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spacing w:after="0" w:line="240" w:lineRule="auto"/>
        <w:rPr>
          <w:rFonts w:ascii="Times New Roman" w:hAnsi="Times New Roman" w:cs="Times New Roman"/>
          <w:b/>
          <w:bCs/>
        </w:rPr>
      </w:pPr>
      <w:r w:rsidRPr="0038079E">
        <w:rPr>
          <w:rFonts w:ascii="Times New Roman" w:hAnsi="Times New Roman" w:cs="Times New Roman"/>
          <w:b/>
          <w:bCs/>
        </w:rPr>
        <w:t xml:space="preserve">Vairavimas ir mechanizmų valdymas </w:t>
      </w:r>
    </w:p>
    <w:p w:rsidR="00A4103A" w:rsidRPr="0038079E" w:rsidRDefault="004F4E71" w:rsidP="00A4103A">
      <w:pPr>
        <w:spacing w:after="0" w:line="240" w:lineRule="auto"/>
        <w:rPr>
          <w:rFonts w:ascii="Times New Roman" w:hAnsi="Times New Roman" w:cs="Times New Roman"/>
        </w:rPr>
      </w:pP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w:t>
      </w:r>
      <w:r w:rsidRPr="006B4207">
        <w:rPr>
          <w:rFonts w:ascii="Times New Roman" w:hAnsi="Times New Roman" w:cs="Times New Roman"/>
        </w:rPr>
        <w:t xml:space="preserve">gebėjimo vairuoti ir valdyti mechanizmus neveikia arba veikia nereikšmingai. Tačiau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w:t>
      </w:r>
      <w:r w:rsidRPr="006B4207">
        <w:rPr>
          <w:rFonts w:ascii="Times New Roman" w:hAnsi="Times New Roman" w:cs="Times New Roman"/>
        </w:rPr>
        <w:t xml:space="preserve">gali sukelti </w:t>
      </w:r>
      <w:proofErr w:type="spellStart"/>
      <w:r w:rsidRPr="006B4207">
        <w:rPr>
          <w:rFonts w:ascii="Times New Roman" w:hAnsi="Times New Roman" w:cs="Times New Roman"/>
        </w:rPr>
        <w:t>hipotenziją</w:t>
      </w:r>
      <w:proofErr w:type="spellEnd"/>
      <w:r w:rsidRPr="006B4207">
        <w:rPr>
          <w:rFonts w:ascii="Times New Roman" w:hAnsi="Times New Roman" w:cs="Times New Roman"/>
        </w:rPr>
        <w:t xml:space="preserve"> (kraujospūdžio sumažėjimą), dėl kurios </w:t>
      </w:r>
      <w:r w:rsidR="008B406D">
        <w:rPr>
          <w:rFonts w:ascii="Times New Roman" w:hAnsi="Times New Roman" w:cs="Times New Roman"/>
        </w:rPr>
        <w:t>J</w:t>
      </w:r>
      <w:r w:rsidRPr="006B4207">
        <w:rPr>
          <w:rFonts w:ascii="Times New Roman" w:hAnsi="Times New Roman" w:cs="Times New Roman"/>
        </w:rPr>
        <w:t xml:space="preserve">ums gali svaigti galva, pablogėti regėjimas ir gali pablogėti gebėjimas vairuoti ir valdyti mechanizmus. Todėl, jeigu vartojant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6B4207">
        <w:rPr>
          <w:rFonts w:ascii="Times New Roman" w:hAnsi="Times New Roman" w:cs="Times New Roman"/>
        </w:rPr>
        <w:t xml:space="preserve">, </w:t>
      </w:r>
      <w:r w:rsidR="008B406D">
        <w:rPr>
          <w:rFonts w:ascii="Times New Roman" w:hAnsi="Times New Roman" w:cs="Times New Roman"/>
        </w:rPr>
        <w:t>J</w:t>
      </w:r>
      <w:r w:rsidRPr="006B4207">
        <w:rPr>
          <w:rFonts w:ascii="Times New Roman" w:hAnsi="Times New Roman" w:cs="Times New Roman"/>
        </w:rPr>
        <w:t xml:space="preserve">ums svaigsta galva arba matote lyg per miglą, nevairuokite ir nenaudokite jokių instrumentų ar mechanizmų. </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tabs>
          <w:tab w:val="left" w:pos="567"/>
        </w:tabs>
        <w:spacing w:after="0" w:line="240" w:lineRule="auto"/>
        <w:rPr>
          <w:rFonts w:ascii="Times New Roman" w:hAnsi="Times New Roman" w:cs="Times New Roman"/>
          <w:b/>
          <w:bCs/>
        </w:rPr>
      </w:pPr>
      <w:r w:rsidRPr="0038079E">
        <w:rPr>
          <w:rFonts w:ascii="Times New Roman" w:hAnsi="Times New Roman" w:cs="Times New Roman"/>
          <w:b/>
          <w:bCs/>
        </w:rPr>
        <w:t>3.</w:t>
      </w:r>
      <w:r w:rsidRPr="0038079E">
        <w:rPr>
          <w:rFonts w:ascii="Times New Roman" w:hAnsi="Times New Roman" w:cs="Times New Roman"/>
          <w:b/>
          <w:bCs/>
        </w:rPr>
        <w:tab/>
        <w:t xml:space="preserve">Kaip vartoti </w:t>
      </w:r>
      <w:proofErr w:type="spellStart"/>
      <w:r w:rsidRPr="0038079E">
        <w:rPr>
          <w:rFonts w:ascii="Times New Roman" w:hAnsi="Times New Roman" w:cs="Times New Roman"/>
          <w:b/>
          <w:bCs/>
        </w:rPr>
        <w:t>Bosentan</w:t>
      </w:r>
      <w:proofErr w:type="spellEnd"/>
      <w:r w:rsidRPr="0038079E">
        <w:rPr>
          <w:rFonts w:ascii="Times New Roman" w:hAnsi="Times New Roman" w:cs="Times New Roman"/>
          <w:b/>
          <w:bCs/>
        </w:rPr>
        <w:t xml:space="preserve"> </w:t>
      </w:r>
      <w:proofErr w:type="spellStart"/>
      <w:r w:rsidRPr="0038079E">
        <w:rPr>
          <w:rFonts w:ascii="Times New Roman" w:hAnsi="Times New Roman" w:cs="Times New Roman"/>
          <w:b/>
          <w:bCs/>
        </w:rPr>
        <w:t>Sandoz</w:t>
      </w:r>
      <w:proofErr w:type="spellEnd"/>
      <w:r w:rsidRPr="0038079E">
        <w:rPr>
          <w:rFonts w:ascii="Times New Roman" w:hAnsi="Times New Roman" w:cs="Times New Roman"/>
          <w:b/>
          <w:bCs/>
        </w:rPr>
        <w:t xml:space="preserve"> </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spacing w:after="0" w:line="240" w:lineRule="auto"/>
        <w:rPr>
          <w:rFonts w:ascii="Times New Roman" w:hAnsi="Times New Roman" w:cs="Times New Roman"/>
        </w:rPr>
      </w:pPr>
      <w:r w:rsidRPr="0038079E">
        <w:rPr>
          <w:rFonts w:ascii="Times New Roman" w:hAnsi="Times New Roman" w:cs="Times New Roman"/>
        </w:rPr>
        <w:t xml:space="preserve">Visada vartokite šį vaistą tiksliai kaip nurodė gydytojas. Jeigu abejojate, kreipkitės į gydytoją arba vaistininką. </w:t>
      </w:r>
    </w:p>
    <w:p w:rsidR="00A4103A" w:rsidRPr="0038079E" w:rsidRDefault="00A4103A" w:rsidP="00A4103A">
      <w:pPr>
        <w:spacing w:after="0" w:line="240" w:lineRule="auto"/>
        <w:rPr>
          <w:rFonts w:ascii="Times New Roman" w:hAnsi="Times New Roman" w:cs="Times New Roman"/>
        </w:rPr>
      </w:pPr>
      <w:r w:rsidRPr="0038079E">
        <w:rPr>
          <w:rFonts w:ascii="Times New Roman" w:hAnsi="Times New Roman" w:cs="Times New Roman"/>
        </w:rPr>
        <w:t xml:space="preserve">Jeigu manote, kad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poveikis yra per stiprus arba per silpnas, kreipkitės į gydytoją ir išsiaiškinkite, ar reikia keisti dozę. </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spacing w:after="0" w:line="240" w:lineRule="auto"/>
        <w:rPr>
          <w:rFonts w:ascii="Times New Roman" w:hAnsi="Times New Roman" w:cs="Times New Roman"/>
          <w:b/>
          <w:bCs/>
        </w:rPr>
      </w:pPr>
      <w:r w:rsidRPr="0038079E">
        <w:rPr>
          <w:rFonts w:ascii="Times New Roman" w:hAnsi="Times New Roman" w:cs="Times New Roman"/>
          <w:b/>
          <w:bCs/>
        </w:rPr>
        <w:lastRenderedPageBreak/>
        <w:t>Įprasta dozė</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spacing w:after="0" w:line="240" w:lineRule="auto"/>
        <w:rPr>
          <w:rFonts w:ascii="Times New Roman" w:hAnsi="Times New Roman" w:cs="Times New Roman"/>
          <w:u w:val="single"/>
        </w:rPr>
      </w:pPr>
      <w:r w:rsidRPr="0038079E">
        <w:rPr>
          <w:rFonts w:ascii="Times New Roman" w:hAnsi="Times New Roman" w:cs="Times New Roman"/>
          <w:u w:val="single"/>
        </w:rPr>
        <w:t xml:space="preserve">Suaugusiesiems </w:t>
      </w:r>
    </w:p>
    <w:p w:rsidR="00A4103A" w:rsidRPr="0038079E" w:rsidRDefault="00A4103A" w:rsidP="00A4103A">
      <w:pPr>
        <w:spacing w:after="0" w:line="240" w:lineRule="auto"/>
        <w:rPr>
          <w:rFonts w:ascii="Times New Roman" w:hAnsi="Times New Roman" w:cs="Times New Roman"/>
        </w:rPr>
      </w:pPr>
      <w:r w:rsidRPr="0038079E">
        <w:rPr>
          <w:rFonts w:ascii="Times New Roman" w:hAnsi="Times New Roman" w:cs="Times New Roman"/>
        </w:rPr>
        <w:t xml:space="preserve">Suaugusiųjų gydymas paprastai pradedamas skiriant pirmąsias 4 savaites du kartus per parą (ryte ir vakare) po 62,5 mg, po to, pagal Jūsų reakciją į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gydytojas gali patarti vartoti du kartus per parą po 125 mg tabletę. </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spacing w:after="0" w:line="240" w:lineRule="auto"/>
        <w:rPr>
          <w:rFonts w:ascii="Times New Roman" w:hAnsi="Times New Roman" w:cs="Times New Roman"/>
          <w:u w:val="single"/>
        </w:rPr>
      </w:pPr>
      <w:r w:rsidRPr="0038079E">
        <w:rPr>
          <w:rFonts w:ascii="Times New Roman" w:hAnsi="Times New Roman" w:cs="Times New Roman"/>
          <w:u w:val="single"/>
        </w:rPr>
        <w:t xml:space="preserve">Vartojimas vaikams ir pacientams kurių mažas kūno svoris </w:t>
      </w:r>
    </w:p>
    <w:p w:rsidR="00A4103A" w:rsidRPr="0038079E" w:rsidRDefault="00A4103A" w:rsidP="00A4103A">
      <w:pPr>
        <w:spacing w:after="0" w:line="240" w:lineRule="auto"/>
        <w:rPr>
          <w:rFonts w:ascii="Times New Roman" w:hAnsi="Times New Roman" w:cs="Times New Roman"/>
        </w:rPr>
      </w:pPr>
      <w:r w:rsidRPr="0038079E">
        <w:rPr>
          <w:rFonts w:ascii="Times New Roman" w:hAnsi="Times New Roman" w:cs="Times New Roman"/>
        </w:rPr>
        <w:t xml:space="preserve">Vaikams ir pacientams, kurių mažas kūno svoris, gydymas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paprastai pradedamas skiriant 2 mg vienam kūno masės kilogramui dozę du kartus per parą (ryte ir vakare). Gydytojas nurodys, kokią dozę turite vartoti. </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spacing w:after="0" w:line="240" w:lineRule="auto"/>
        <w:rPr>
          <w:rFonts w:ascii="Times New Roman" w:hAnsi="Times New Roman" w:cs="Times New Roman"/>
          <w:b/>
          <w:bCs/>
        </w:rPr>
      </w:pPr>
      <w:r w:rsidRPr="0038079E">
        <w:rPr>
          <w:rFonts w:ascii="Times New Roman" w:hAnsi="Times New Roman" w:cs="Times New Roman"/>
          <w:b/>
          <w:bCs/>
        </w:rPr>
        <w:t xml:space="preserve">Kaip vartoti </w:t>
      </w:r>
      <w:proofErr w:type="spellStart"/>
      <w:r w:rsidRPr="0038079E">
        <w:rPr>
          <w:rFonts w:ascii="Times New Roman" w:hAnsi="Times New Roman" w:cs="Times New Roman"/>
          <w:b/>
          <w:bCs/>
        </w:rPr>
        <w:t>Bosentan</w:t>
      </w:r>
      <w:proofErr w:type="spellEnd"/>
      <w:r w:rsidRPr="0038079E">
        <w:rPr>
          <w:rFonts w:ascii="Times New Roman" w:hAnsi="Times New Roman" w:cs="Times New Roman"/>
          <w:b/>
          <w:bCs/>
        </w:rPr>
        <w:t xml:space="preserve"> </w:t>
      </w:r>
      <w:proofErr w:type="spellStart"/>
      <w:r w:rsidRPr="0038079E">
        <w:rPr>
          <w:rFonts w:ascii="Times New Roman" w:hAnsi="Times New Roman" w:cs="Times New Roman"/>
          <w:b/>
          <w:bCs/>
        </w:rPr>
        <w:t>Sandoz</w:t>
      </w:r>
      <w:proofErr w:type="spellEnd"/>
      <w:r w:rsidRPr="0038079E">
        <w:rPr>
          <w:rFonts w:ascii="Times New Roman" w:hAnsi="Times New Roman" w:cs="Times New Roman"/>
          <w:b/>
          <w:bCs/>
        </w:rPr>
        <w:t xml:space="preserve"> </w:t>
      </w:r>
    </w:p>
    <w:p w:rsidR="00A4103A" w:rsidRPr="0038079E" w:rsidRDefault="00A4103A" w:rsidP="00A4103A">
      <w:pPr>
        <w:spacing w:after="0" w:line="240" w:lineRule="auto"/>
        <w:rPr>
          <w:rFonts w:ascii="Times New Roman" w:hAnsi="Times New Roman" w:cs="Times New Roman"/>
        </w:rPr>
      </w:pPr>
      <w:r w:rsidRPr="0038079E">
        <w:rPr>
          <w:rFonts w:ascii="Times New Roman" w:hAnsi="Times New Roman" w:cs="Times New Roman"/>
        </w:rPr>
        <w:t xml:space="preserve">Tabletes reikia gerti iš ryto ir vakare, užgeriant vandeniu. Tabletes galima vartoti su maistu arba be jo. </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spacing w:after="0" w:line="240" w:lineRule="auto"/>
        <w:rPr>
          <w:rFonts w:ascii="Times New Roman" w:hAnsi="Times New Roman" w:cs="Times New Roman"/>
          <w:b/>
          <w:bCs/>
        </w:rPr>
      </w:pPr>
      <w:r w:rsidRPr="0038079E">
        <w:rPr>
          <w:rFonts w:ascii="Times New Roman" w:hAnsi="Times New Roman" w:cs="Times New Roman"/>
          <w:b/>
          <w:bCs/>
        </w:rPr>
        <w:t xml:space="preserve">Ką daryti, pavartojus per didelę </w:t>
      </w:r>
      <w:proofErr w:type="spellStart"/>
      <w:r w:rsidRPr="0038079E">
        <w:rPr>
          <w:rFonts w:ascii="Times New Roman" w:hAnsi="Times New Roman" w:cs="Times New Roman"/>
          <w:b/>
          <w:bCs/>
        </w:rPr>
        <w:t>Bosentan</w:t>
      </w:r>
      <w:proofErr w:type="spellEnd"/>
      <w:r w:rsidRPr="0038079E">
        <w:rPr>
          <w:rFonts w:ascii="Times New Roman" w:hAnsi="Times New Roman" w:cs="Times New Roman"/>
          <w:b/>
          <w:bCs/>
        </w:rPr>
        <w:t xml:space="preserve"> </w:t>
      </w:r>
      <w:proofErr w:type="spellStart"/>
      <w:r w:rsidRPr="0038079E">
        <w:rPr>
          <w:rFonts w:ascii="Times New Roman" w:hAnsi="Times New Roman" w:cs="Times New Roman"/>
          <w:b/>
          <w:bCs/>
        </w:rPr>
        <w:t>Sandoz</w:t>
      </w:r>
      <w:proofErr w:type="spellEnd"/>
      <w:r w:rsidRPr="0038079E">
        <w:rPr>
          <w:rFonts w:ascii="Times New Roman" w:hAnsi="Times New Roman" w:cs="Times New Roman"/>
          <w:b/>
          <w:bCs/>
        </w:rPr>
        <w:t xml:space="preserve"> dozę? </w:t>
      </w:r>
    </w:p>
    <w:p w:rsidR="00A4103A" w:rsidRPr="0038079E" w:rsidRDefault="00A4103A" w:rsidP="00A4103A">
      <w:pPr>
        <w:spacing w:after="0" w:line="240" w:lineRule="auto"/>
        <w:rPr>
          <w:rFonts w:ascii="Times New Roman" w:hAnsi="Times New Roman" w:cs="Times New Roman"/>
        </w:rPr>
      </w:pPr>
      <w:r w:rsidRPr="0038079E">
        <w:rPr>
          <w:rFonts w:ascii="Times New Roman" w:hAnsi="Times New Roman" w:cs="Times New Roman"/>
        </w:rPr>
        <w:t>Jei išgėrėte daugiau tablečių, nei Jums buvo pasakyta, tuojau pat kreipkitės į gydytoją.</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spacing w:after="0" w:line="240" w:lineRule="auto"/>
        <w:rPr>
          <w:rFonts w:ascii="Times New Roman" w:hAnsi="Times New Roman" w:cs="Times New Roman"/>
          <w:b/>
          <w:bCs/>
        </w:rPr>
      </w:pPr>
      <w:r w:rsidRPr="0038079E">
        <w:rPr>
          <w:rFonts w:ascii="Times New Roman" w:hAnsi="Times New Roman" w:cs="Times New Roman"/>
          <w:b/>
          <w:bCs/>
        </w:rPr>
        <w:t xml:space="preserve">Pamiršus pavartoti </w:t>
      </w:r>
      <w:proofErr w:type="spellStart"/>
      <w:r w:rsidRPr="0038079E">
        <w:rPr>
          <w:rFonts w:ascii="Times New Roman" w:hAnsi="Times New Roman" w:cs="Times New Roman"/>
          <w:b/>
          <w:bCs/>
        </w:rPr>
        <w:t>Bosentan</w:t>
      </w:r>
      <w:proofErr w:type="spellEnd"/>
      <w:r w:rsidRPr="0038079E">
        <w:rPr>
          <w:rFonts w:ascii="Times New Roman" w:hAnsi="Times New Roman" w:cs="Times New Roman"/>
          <w:b/>
          <w:bCs/>
        </w:rPr>
        <w:t xml:space="preserve"> </w:t>
      </w:r>
      <w:proofErr w:type="spellStart"/>
      <w:r w:rsidRPr="0038079E">
        <w:rPr>
          <w:rFonts w:ascii="Times New Roman" w:hAnsi="Times New Roman" w:cs="Times New Roman"/>
          <w:b/>
          <w:bCs/>
        </w:rPr>
        <w:t>Sandoz</w:t>
      </w:r>
      <w:proofErr w:type="spellEnd"/>
      <w:r w:rsidRPr="0038079E">
        <w:rPr>
          <w:rFonts w:ascii="Times New Roman" w:hAnsi="Times New Roman" w:cs="Times New Roman"/>
          <w:b/>
          <w:bCs/>
        </w:rPr>
        <w:t xml:space="preserve"> </w:t>
      </w:r>
    </w:p>
    <w:p w:rsidR="00A4103A" w:rsidRPr="0038079E" w:rsidRDefault="00A4103A" w:rsidP="00A4103A">
      <w:pPr>
        <w:spacing w:after="0" w:line="240" w:lineRule="auto"/>
        <w:rPr>
          <w:rFonts w:ascii="Times New Roman" w:hAnsi="Times New Roman" w:cs="Times New Roman"/>
        </w:rPr>
      </w:pPr>
      <w:r w:rsidRPr="0038079E">
        <w:rPr>
          <w:rFonts w:ascii="Times New Roman" w:hAnsi="Times New Roman" w:cs="Times New Roman"/>
        </w:rPr>
        <w:t xml:space="preserve">Jeigu pamiršote išgerti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išgerkite dozę iš karto, kai prisiminsite, po to tęskite savo tablečių vartojimą įprastu laiku. Negalima vartoti dvigubos dozės norint kompensuoti praleistą tabletę. </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spacing w:after="0" w:line="240" w:lineRule="auto"/>
        <w:rPr>
          <w:rFonts w:ascii="Times New Roman" w:hAnsi="Times New Roman" w:cs="Times New Roman"/>
          <w:b/>
          <w:bCs/>
        </w:rPr>
      </w:pPr>
      <w:r w:rsidRPr="0038079E">
        <w:rPr>
          <w:rFonts w:ascii="Times New Roman" w:hAnsi="Times New Roman" w:cs="Times New Roman"/>
          <w:b/>
          <w:bCs/>
        </w:rPr>
        <w:t xml:space="preserve">Nustojus vartoti </w:t>
      </w:r>
      <w:proofErr w:type="spellStart"/>
      <w:r w:rsidRPr="0038079E">
        <w:rPr>
          <w:rFonts w:ascii="Times New Roman" w:hAnsi="Times New Roman" w:cs="Times New Roman"/>
          <w:b/>
          <w:bCs/>
        </w:rPr>
        <w:t>Bosentan</w:t>
      </w:r>
      <w:proofErr w:type="spellEnd"/>
      <w:r w:rsidRPr="0038079E">
        <w:rPr>
          <w:rFonts w:ascii="Times New Roman" w:hAnsi="Times New Roman" w:cs="Times New Roman"/>
          <w:b/>
          <w:bCs/>
        </w:rPr>
        <w:t xml:space="preserve"> </w:t>
      </w:r>
      <w:proofErr w:type="spellStart"/>
      <w:r w:rsidRPr="0038079E">
        <w:rPr>
          <w:rFonts w:ascii="Times New Roman" w:hAnsi="Times New Roman" w:cs="Times New Roman"/>
          <w:b/>
          <w:bCs/>
        </w:rPr>
        <w:t>Sandoz</w:t>
      </w:r>
      <w:proofErr w:type="spellEnd"/>
      <w:r w:rsidRPr="0038079E">
        <w:rPr>
          <w:rFonts w:ascii="Times New Roman" w:hAnsi="Times New Roman" w:cs="Times New Roman"/>
          <w:b/>
          <w:bCs/>
        </w:rPr>
        <w:t xml:space="preserve"> </w:t>
      </w:r>
    </w:p>
    <w:p w:rsidR="00A4103A" w:rsidRPr="0038079E" w:rsidRDefault="00A4103A" w:rsidP="00A4103A">
      <w:pPr>
        <w:spacing w:after="0" w:line="240" w:lineRule="auto"/>
        <w:rPr>
          <w:rFonts w:ascii="Times New Roman" w:hAnsi="Times New Roman" w:cs="Times New Roman"/>
        </w:rPr>
      </w:pPr>
      <w:r w:rsidRPr="0038079E">
        <w:rPr>
          <w:rFonts w:ascii="Times New Roman" w:hAnsi="Times New Roman" w:cs="Times New Roman"/>
        </w:rPr>
        <w:t xml:space="preserve">Staiga nutraukus gydymą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simptomai gali pablogėti. Nenutraukite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vartojimo, nebent tai daryti liepė Jūsų gydytojas. Gydytojas gali nurodyti sumažinti dozę kelias dienas prieš visiškai nutraukiant vaisto vartojimą. </w:t>
      </w:r>
    </w:p>
    <w:p w:rsidR="00A4103A" w:rsidRPr="0038079E" w:rsidRDefault="00A4103A" w:rsidP="00A4103A">
      <w:pPr>
        <w:spacing w:after="0" w:line="240" w:lineRule="auto"/>
        <w:rPr>
          <w:rFonts w:ascii="Times New Roman" w:hAnsi="Times New Roman" w:cs="Times New Roman"/>
        </w:rPr>
      </w:pPr>
      <w:r w:rsidRPr="0038079E">
        <w:rPr>
          <w:rFonts w:ascii="Times New Roman" w:hAnsi="Times New Roman" w:cs="Times New Roman"/>
        </w:rPr>
        <w:t xml:space="preserve">Jeigu kiltų daugiau klausimų dėl šio vaisto vartojimo, kreipkitės į gydytoją arba vaistininką. </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tabs>
          <w:tab w:val="left" w:pos="567"/>
        </w:tabs>
        <w:spacing w:after="0" w:line="240" w:lineRule="auto"/>
        <w:rPr>
          <w:rFonts w:ascii="Times New Roman" w:hAnsi="Times New Roman" w:cs="Times New Roman"/>
          <w:b/>
          <w:bCs/>
        </w:rPr>
      </w:pPr>
      <w:r w:rsidRPr="0038079E">
        <w:rPr>
          <w:rFonts w:ascii="Times New Roman" w:hAnsi="Times New Roman" w:cs="Times New Roman"/>
          <w:b/>
          <w:bCs/>
        </w:rPr>
        <w:t>4.</w:t>
      </w:r>
      <w:r w:rsidRPr="0038079E">
        <w:rPr>
          <w:rFonts w:ascii="Times New Roman" w:hAnsi="Times New Roman" w:cs="Times New Roman"/>
          <w:b/>
          <w:bCs/>
        </w:rPr>
        <w:tab/>
        <w:t xml:space="preserve">Galimas šalutinis poveikis </w:t>
      </w: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Šis vaistas, kaip ir visi kiti, gali sukelti šalutinį poveikį, nors jis pasireiškia ne visiems žmonėms.</w:t>
      </w: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tabs>
          <w:tab w:val="left" w:pos="425"/>
        </w:tabs>
        <w:spacing w:after="0" w:line="240" w:lineRule="auto"/>
        <w:rPr>
          <w:rFonts w:ascii="Times New Roman" w:hAnsi="Times New Roman" w:cs="Times New Roman"/>
        </w:rPr>
      </w:pP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vartojimo klinikinių tyrimų metu pasireiškė šis šalutinis poveikis: </w:t>
      </w: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b/>
          <w:bCs/>
        </w:rPr>
        <w:t>Labai dažnas šalutinis poveikis</w:t>
      </w:r>
      <w:r w:rsidRPr="0038079E">
        <w:rPr>
          <w:rFonts w:ascii="Times New Roman" w:hAnsi="Times New Roman" w:cs="Times New Roman"/>
        </w:rPr>
        <w:t xml:space="preserve"> (gali pasireikšti daugiau kaip 1 iš 10 žmonių): </w:t>
      </w:r>
    </w:p>
    <w:p w:rsidR="00A4103A" w:rsidRPr="0038079E" w:rsidRDefault="00A4103A" w:rsidP="00A4103A">
      <w:pPr>
        <w:numPr>
          <w:ilvl w:val="0"/>
          <w:numId w:val="34"/>
        </w:numPr>
        <w:tabs>
          <w:tab w:val="left" w:pos="567"/>
        </w:tabs>
        <w:spacing w:after="0" w:line="240" w:lineRule="auto"/>
        <w:rPr>
          <w:rFonts w:ascii="Times New Roman" w:hAnsi="Times New Roman" w:cs="Times New Roman"/>
        </w:rPr>
      </w:pPr>
      <w:r w:rsidRPr="0038079E">
        <w:rPr>
          <w:rFonts w:ascii="Times New Roman" w:hAnsi="Times New Roman" w:cs="Times New Roman"/>
        </w:rPr>
        <w:t xml:space="preserve">galvos skausmas; </w:t>
      </w:r>
    </w:p>
    <w:p w:rsidR="00A4103A" w:rsidRPr="0038079E" w:rsidRDefault="00A4103A" w:rsidP="00A4103A">
      <w:pPr>
        <w:numPr>
          <w:ilvl w:val="0"/>
          <w:numId w:val="34"/>
        </w:numPr>
        <w:tabs>
          <w:tab w:val="left" w:pos="567"/>
        </w:tabs>
        <w:spacing w:after="0" w:line="240" w:lineRule="auto"/>
        <w:rPr>
          <w:rFonts w:ascii="Times New Roman" w:hAnsi="Times New Roman" w:cs="Times New Roman"/>
        </w:rPr>
      </w:pPr>
      <w:r w:rsidRPr="0038079E">
        <w:rPr>
          <w:rFonts w:ascii="Times New Roman" w:hAnsi="Times New Roman" w:cs="Times New Roman"/>
        </w:rPr>
        <w:t xml:space="preserve">nenormalūs kepenų veiklos tyrimo rodmenys; </w:t>
      </w:r>
    </w:p>
    <w:p w:rsidR="00A4103A" w:rsidRPr="0038079E" w:rsidRDefault="00A4103A" w:rsidP="00A4103A">
      <w:pPr>
        <w:numPr>
          <w:ilvl w:val="0"/>
          <w:numId w:val="34"/>
        </w:numPr>
        <w:tabs>
          <w:tab w:val="left" w:pos="567"/>
        </w:tabs>
        <w:spacing w:after="0" w:line="240" w:lineRule="auto"/>
        <w:rPr>
          <w:rFonts w:ascii="Times New Roman" w:hAnsi="Times New Roman" w:cs="Times New Roman"/>
        </w:rPr>
      </w:pPr>
      <w:r w:rsidRPr="0038079E">
        <w:rPr>
          <w:rFonts w:ascii="Times New Roman" w:hAnsi="Times New Roman" w:cs="Times New Roman"/>
        </w:rPr>
        <w:t xml:space="preserve">edema (kojų ir kulkšnių patinimas arba kiti skysčių susilaikymo požymiai). </w:t>
      </w: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b/>
          <w:bCs/>
        </w:rPr>
        <w:t>Dažnas šalutinis poveikis</w:t>
      </w:r>
      <w:r w:rsidRPr="0038079E">
        <w:rPr>
          <w:rFonts w:ascii="Times New Roman" w:hAnsi="Times New Roman" w:cs="Times New Roman"/>
        </w:rPr>
        <w:t xml:space="preserve"> (gali pasireikšti ne daugiau kaip 1 iš 10 žmonių): </w:t>
      </w:r>
    </w:p>
    <w:p w:rsidR="00A4103A" w:rsidRPr="0038079E" w:rsidRDefault="00A4103A" w:rsidP="00A4103A">
      <w:pPr>
        <w:numPr>
          <w:ilvl w:val="0"/>
          <w:numId w:val="37"/>
        </w:numPr>
        <w:tabs>
          <w:tab w:val="left" w:pos="567"/>
        </w:tabs>
        <w:spacing w:after="0" w:line="240" w:lineRule="auto"/>
        <w:rPr>
          <w:rFonts w:ascii="Times New Roman" w:hAnsi="Times New Roman" w:cs="Times New Roman"/>
        </w:rPr>
      </w:pPr>
      <w:r w:rsidRPr="0038079E">
        <w:rPr>
          <w:rFonts w:ascii="Times New Roman" w:hAnsi="Times New Roman" w:cs="Times New Roman"/>
        </w:rPr>
        <w:t xml:space="preserve">mažakraujystė (anemija, kai trūksta raudonųjų kraujo kūnelių) arba hemoglobino kiekio sumažėjimas; </w:t>
      </w:r>
    </w:p>
    <w:p w:rsidR="00A4103A" w:rsidRPr="0038079E" w:rsidRDefault="00A4103A" w:rsidP="00A4103A">
      <w:pPr>
        <w:numPr>
          <w:ilvl w:val="0"/>
          <w:numId w:val="35"/>
        </w:numPr>
        <w:tabs>
          <w:tab w:val="left" w:pos="567"/>
        </w:tabs>
        <w:spacing w:after="0" w:line="240" w:lineRule="auto"/>
        <w:rPr>
          <w:rFonts w:ascii="Times New Roman" w:hAnsi="Times New Roman" w:cs="Times New Roman"/>
        </w:rPr>
      </w:pPr>
      <w:r w:rsidRPr="0038079E">
        <w:rPr>
          <w:rFonts w:ascii="Times New Roman" w:hAnsi="Times New Roman" w:cs="Times New Roman"/>
        </w:rPr>
        <w:t xml:space="preserve">veido ir kaklo paraudimas; </w:t>
      </w:r>
    </w:p>
    <w:p w:rsidR="00A4103A" w:rsidRPr="0038079E" w:rsidRDefault="00A4103A" w:rsidP="00A4103A">
      <w:pPr>
        <w:numPr>
          <w:ilvl w:val="0"/>
          <w:numId w:val="35"/>
        </w:numPr>
        <w:tabs>
          <w:tab w:val="left" w:pos="567"/>
        </w:tabs>
        <w:spacing w:after="0" w:line="240" w:lineRule="auto"/>
        <w:rPr>
          <w:rFonts w:ascii="Times New Roman" w:hAnsi="Times New Roman" w:cs="Times New Roman"/>
        </w:rPr>
      </w:pPr>
      <w:r w:rsidRPr="0038079E">
        <w:rPr>
          <w:rFonts w:ascii="Times New Roman" w:hAnsi="Times New Roman" w:cs="Times New Roman"/>
        </w:rPr>
        <w:t xml:space="preserve">padidėjusio jautrumo reakcijos (įskaitant odos uždegimą, niežėjimą ir išbėrimą); </w:t>
      </w:r>
    </w:p>
    <w:p w:rsidR="00A4103A" w:rsidRPr="0038079E" w:rsidRDefault="00A4103A" w:rsidP="00A4103A">
      <w:pPr>
        <w:numPr>
          <w:ilvl w:val="0"/>
          <w:numId w:val="35"/>
        </w:numPr>
        <w:tabs>
          <w:tab w:val="left" w:pos="567"/>
        </w:tabs>
        <w:spacing w:after="0" w:line="240" w:lineRule="auto"/>
        <w:rPr>
          <w:rFonts w:ascii="Times New Roman" w:hAnsi="Times New Roman" w:cs="Times New Roman"/>
        </w:rPr>
      </w:pPr>
      <w:proofErr w:type="spellStart"/>
      <w:r w:rsidRPr="0038079E">
        <w:rPr>
          <w:rFonts w:ascii="Times New Roman" w:hAnsi="Times New Roman" w:cs="Times New Roman"/>
        </w:rPr>
        <w:t>gastroezofaginio</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refliukso</w:t>
      </w:r>
      <w:proofErr w:type="spellEnd"/>
      <w:r w:rsidRPr="0038079E">
        <w:rPr>
          <w:rFonts w:ascii="Times New Roman" w:hAnsi="Times New Roman" w:cs="Times New Roman"/>
        </w:rPr>
        <w:t xml:space="preserve"> liga (rūgštaus turinio iš skrandžio atpylimas); </w:t>
      </w:r>
    </w:p>
    <w:p w:rsidR="00A4103A" w:rsidRPr="0038079E" w:rsidRDefault="00A4103A" w:rsidP="00A4103A">
      <w:pPr>
        <w:numPr>
          <w:ilvl w:val="0"/>
          <w:numId w:val="35"/>
        </w:numPr>
        <w:tabs>
          <w:tab w:val="left" w:pos="567"/>
        </w:tabs>
        <w:spacing w:after="0" w:line="240" w:lineRule="auto"/>
        <w:rPr>
          <w:rFonts w:ascii="Times New Roman" w:hAnsi="Times New Roman" w:cs="Times New Roman"/>
        </w:rPr>
      </w:pPr>
      <w:r w:rsidRPr="0038079E">
        <w:rPr>
          <w:rFonts w:ascii="Times New Roman" w:hAnsi="Times New Roman" w:cs="Times New Roman"/>
        </w:rPr>
        <w:t xml:space="preserve">viduriavimas; </w:t>
      </w:r>
    </w:p>
    <w:p w:rsidR="00A4103A" w:rsidRPr="00A045A1" w:rsidRDefault="00A4103A" w:rsidP="00A4103A">
      <w:pPr>
        <w:numPr>
          <w:ilvl w:val="0"/>
          <w:numId w:val="35"/>
        </w:numPr>
        <w:tabs>
          <w:tab w:val="left" w:pos="567"/>
        </w:tabs>
        <w:spacing w:after="0" w:line="240" w:lineRule="auto"/>
        <w:rPr>
          <w:rFonts w:ascii="Times New Roman" w:hAnsi="Times New Roman" w:cs="Times New Roman"/>
        </w:rPr>
      </w:pPr>
      <w:r w:rsidRPr="0038079E">
        <w:rPr>
          <w:rFonts w:ascii="Times New Roman" w:hAnsi="Times New Roman" w:cs="Times New Roman"/>
        </w:rPr>
        <w:t>odos paraudimas</w:t>
      </w:r>
      <w:r>
        <w:rPr>
          <w:rFonts w:ascii="Times New Roman" w:hAnsi="Times New Roman" w:cs="Times New Roman"/>
        </w:rPr>
        <w:t>;</w:t>
      </w:r>
    </w:p>
    <w:p w:rsidR="00A4103A" w:rsidRPr="00A045A1" w:rsidRDefault="00A4103A" w:rsidP="00A4103A">
      <w:pPr>
        <w:numPr>
          <w:ilvl w:val="0"/>
          <w:numId w:val="35"/>
        </w:numPr>
        <w:tabs>
          <w:tab w:val="left" w:pos="567"/>
        </w:tabs>
        <w:spacing w:after="0" w:line="240" w:lineRule="auto"/>
        <w:rPr>
          <w:rFonts w:ascii="Times New Roman" w:hAnsi="Times New Roman" w:cs="Times New Roman"/>
        </w:rPr>
      </w:pPr>
      <w:r w:rsidRPr="00A045A1">
        <w:rPr>
          <w:rFonts w:ascii="Times New Roman" w:hAnsi="Times New Roman" w:cs="Times New Roman"/>
        </w:rPr>
        <w:t>nosies užgulimas</w:t>
      </w:r>
      <w:r>
        <w:rPr>
          <w:rFonts w:ascii="Times New Roman" w:hAnsi="Times New Roman" w:cs="Times New Roman"/>
        </w:rPr>
        <w:t>.</w:t>
      </w:r>
      <w:r w:rsidRPr="00A045A1">
        <w:rPr>
          <w:rFonts w:ascii="Times New Roman" w:hAnsi="Times New Roman" w:cs="Times New Roman"/>
        </w:rPr>
        <w:t xml:space="preserve"> </w:t>
      </w: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lang w:eastAsia="x-none"/>
        </w:rPr>
        <w:t xml:space="preserve">Toliau išvardytas </w:t>
      </w:r>
      <w:r w:rsidRPr="0038079E">
        <w:rPr>
          <w:rFonts w:ascii="Times New Roman" w:hAnsi="Times New Roman" w:cs="Times New Roman"/>
        </w:rPr>
        <w:t xml:space="preserve">šalutinis poveikis pasireiškė </w:t>
      </w:r>
      <w:proofErr w:type="spellStart"/>
      <w:r w:rsidRPr="0038079E">
        <w:rPr>
          <w:rFonts w:ascii="Times New Roman" w:hAnsi="Times New Roman" w:cs="Times New Roman"/>
        </w:rPr>
        <w:t>Bosentan</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patekus į rinką. </w:t>
      </w: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b/>
          <w:bCs/>
        </w:rPr>
        <w:t>Dažnas</w:t>
      </w:r>
      <w:r w:rsidRPr="0038079E">
        <w:rPr>
          <w:rFonts w:ascii="Times New Roman" w:hAnsi="Times New Roman" w:cs="Times New Roman"/>
        </w:rPr>
        <w:t xml:space="preserve"> (gali pasireikšti ne daugiau kaip 1 iš 10 žmonių): </w:t>
      </w:r>
    </w:p>
    <w:p w:rsidR="00A4103A" w:rsidRPr="0038079E" w:rsidRDefault="00A4103A" w:rsidP="00A4103A">
      <w:pPr>
        <w:numPr>
          <w:ilvl w:val="0"/>
          <w:numId w:val="37"/>
        </w:numPr>
        <w:tabs>
          <w:tab w:val="left" w:pos="567"/>
        </w:tabs>
        <w:spacing w:after="0" w:line="240" w:lineRule="auto"/>
        <w:rPr>
          <w:rFonts w:ascii="Times New Roman" w:hAnsi="Times New Roman" w:cs="Times New Roman"/>
        </w:rPr>
      </w:pPr>
      <w:r w:rsidRPr="0038079E">
        <w:rPr>
          <w:rFonts w:ascii="Times New Roman" w:hAnsi="Times New Roman" w:cs="Times New Roman"/>
        </w:rPr>
        <w:t xml:space="preserve">sinkopė (apalpimas); </w:t>
      </w:r>
    </w:p>
    <w:p w:rsidR="00A4103A" w:rsidRPr="0038079E" w:rsidRDefault="00A4103A" w:rsidP="00A4103A">
      <w:pPr>
        <w:numPr>
          <w:ilvl w:val="0"/>
          <w:numId w:val="37"/>
        </w:numPr>
        <w:tabs>
          <w:tab w:val="left" w:pos="567"/>
        </w:tabs>
        <w:spacing w:after="0" w:line="240" w:lineRule="auto"/>
        <w:rPr>
          <w:rFonts w:ascii="Times New Roman" w:hAnsi="Times New Roman" w:cs="Times New Roman"/>
        </w:rPr>
      </w:pPr>
      <w:proofErr w:type="spellStart"/>
      <w:r w:rsidRPr="0038079E">
        <w:rPr>
          <w:rFonts w:ascii="Times New Roman" w:hAnsi="Times New Roman" w:cs="Times New Roman"/>
        </w:rPr>
        <w:t>palpitacijos</w:t>
      </w:r>
      <w:proofErr w:type="spellEnd"/>
      <w:r w:rsidRPr="0038079E">
        <w:rPr>
          <w:rFonts w:ascii="Times New Roman" w:hAnsi="Times New Roman" w:cs="Times New Roman"/>
        </w:rPr>
        <w:t xml:space="preserve"> (pagreitėjęs arba nereguliarus širdies ritmas); </w:t>
      </w:r>
    </w:p>
    <w:p w:rsidR="00A4103A" w:rsidRPr="0038079E" w:rsidRDefault="00A4103A" w:rsidP="00A4103A">
      <w:pPr>
        <w:numPr>
          <w:ilvl w:val="0"/>
          <w:numId w:val="37"/>
        </w:numPr>
        <w:tabs>
          <w:tab w:val="left" w:pos="567"/>
        </w:tabs>
        <w:spacing w:after="0" w:line="240" w:lineRule="auto"/>
        <w:rPr>
          <w:rFonts w:ascii="Times New Roman" w:hAnsi="Times New Roman" w:cs="Times New Roman"/>
        </w:rPr>
      </w:pPr>
      <w:r w:rsidRPr="0038079E">
        <w:rPr>
          <w:rFonts w:ascii="Times New Roman" w:hAnsi="Times New Roman" w:cs="Times New Roman"/>
        </w:rPr>
        <w:t xml:space="preserve">mažas kraujospūdis. </w:t>
      </w:r>
    </w:p>
    <w:p w:rsidR="00A4103A" w:rsidRPr="0038079E" w:rsidRDefault="00A4103A" w:rsidP="00A4103A">
      <w:pPr>
        <w:tabs>
          <w:tab w:val="left" w:pos="567"/>
        </w:tabs>
        <w:spacing w:after="0" w:line="240" w:lineRule="auto"/>
        <w:rPr>
          <w:rFonts w:ascii="Times New Roman" w:hAnsi="Times New Roman" w:cs="Times New Roman"/>
        </w:rPr>
      </w:pPr>
    </w:p>
    <w:p w:rsidR="00A4103A" w:rsidRPr="0038079E" w:rsidRDefault="00A4103A" w:rsidP="00A4103A">
      <w:pPr>
        <w:tabs>
          <w:tab w:val="left" w:pos="567"/>
        </w:tabs>
        <w:spacing w:after="0" w:line="240" w:lineRule="auto"/>
        <w:rPr>
          <w:rFonts w:ascii="Times New Roman" w:hAnsi="Times New Roman" w:cs="Times New Roman"/>
        </w:rPr>
      </w:pPr>
      <w:r w:rsidRPr="0038079E">
        <w:rPr>
          <w:rFonts w:ascii="Times New Roman" w:hAnsi="Times New Roman" w:cs="Times New Roman"/>
          <w:b/>
          <w:bCs/>
        </w:rPr>
        <w:t>Nedažnas</w:t>
      </w:r>
      <w:r w:rsidRPr="0038079E">
        <w:rPr>
          <w:rFonts w:ascii="Times New Roman" w:hAnsi="Times New Roman" w:cs="Times New Roman"/>
        </w:rPr>
        <w:t xml:space="preserve"> (gali pasireikšti ne daugiau kaip 1 iš 100 žmonių): </w:t>
      </w:r>
    </w:p>
    <w:p w:rsidR="00A4103A" w:rsidRPr="0038079E" w:rsidRDefault="00A4103A" w:rsidP="00A4103A">
      <w:pPr>
        <w:numPr>
          <w:ilvl w:val="0"/>
          <w:numId w:val="37"/>
        </w:numPr>
        <w:tabs>
          <w:tab w:val="left" w:pos="567"/>
        </w:tabs>
        <w:spacing w:after="0" w:line="240" w:lineRule="auto"/>
        <w:rPr>
          <w:rFonts w:ascii="Times New Roman" w:hAnsi="Times New Roman" w:cs="Times New Roman"/>
        </w:rPr>
      </w:pPr>
      <w:proofErr w:type="spellStart"/>
      <w:r w:rsidRPr="0038079E">
        <w:rPr>
          <w:rFonts w:ascii="Times New Roman" w:hAnsi="Times New Roman" w:cs="Times New Roman"/>
        </w:rPr>
        <w:t>trombocitopenija</w:t>
      </w:r>
      <w:proofErr w:type="spellEnd"/>
      <w:r w:rsidRPr="0038079E">
        <w:rPr>
          <w:rFonts w:ascii="Times New Roman" w:hAnsi="Times New Roman" w:cs="Times New Roman"/>
        </w:rPr>
        <w:t xml:space="preserve"> (kraujo plokštelių kiekio kraujyje trūkumas); </w:t>
      </w:r>
    </w:p>
    <w:p w:rsidR="00A4103A" w:rsidRPr="0038079E" w:rsidRDefault="00A4103A" w:rsidP="00A4103A">
      <w:pPr>
        <w:numPr>
          <w:ilvl w:val="0"/>
          <w:numId w:val="37"/>
        </w:numPr>
        <w:tabs>
          <w:tab w:val="left" w:pos="567"/>
        </w:tabs>
        <w:spacing w:after="0" w:line="240" w:lineRule="auto"/>
        <w:rPr>
          <w:rFonts w:ascii="Times New Roman" w:hAnsi="Times New Roman" w:cs="Times New Roman"/>
        </w:rPr>
      </w:pPr>
      <w:proofErr w:type="spellStart"/>
      <w:r w:rsidRPr="0038079E">
        <w:rPr>
          <w:rFonts w:ascii="Times New Roman" w:hAnsi="Times New Roman" w:cs="Times New Roman"/>
        </w:rPr>
        <w:t>neutropenija</w:t>
      </w:r>
      <w:proofErr w:type="spellEnd"/>
      <w:r>
        <w:rPr>
          <w:rFonts w:ascii="Times New Roman" w:hAnsi="Times New Roman" w:cs="Times New Roman"/>
        </w:rPr>
        <w:t xml:space="preserve"> </w:t>
      </w:r>
      <w:r w:rsidRPr="0038079E">
        <w:rPr>
          <w:rFonts w:ascii="Times New Roman" w:hAnsi="Times New Roman" w:cs="Times New Roman"/>
        </w:rPr>
        <w:t>/</w:t>
      </w:r>
      <w:r>
        <w:rPr>
          <w:rFonts w:ascii="Times New Roman" w:hAnsi="Times New Roman" w:cs="Times New Roman"/>
        </w:rPr>
        <w:t xml:space="preserve"> </w:t>
      </w:r>
      <w:proofErr w:type="spellStart"/>
      <w:r w:rsidRPr="0038079E">
        <w:rPr>
          <w:rFonts w:ascii="Times New Roman" w:hAnsi="Times New Roman" w:cs="Times New Roman"/>
        </w:rPr>
        <w:t>leukopenija</w:t>
      </w:r>
      <w:proofErr w:type="spellEnd"/>
      <w:r w:rsidRPr="0038079E">
        <w:rPr>
          <w:rFonts w:ascii="Times New Roman" w:hAnsi="Times New Roman" w:cs="Times New Roman"/>
        </w:rPr>
        <w:t xml:space="preserve"> (baltųjų kraujo kūnelių trūkumas); </w:t>
      </w:r>
    </w:p>
    <w:p w:rsidR="00A4103A" w:rsidRPr="00A045A1" w:rsidRDefault="00A4103A" w:rsidP="00A4103A">
      <w:pPr>
        <w:numPr>
          <w:ilvl w:val="0"/>
          <w:numId w:val="37"/>
        </w:numPr>
        <w:tabs>
          <w:tab w:val="left" w:pos="567"/>
        </w:tabs>
        <w:spacing w:after="0" w:line="240" w:lineRule="auto"/>
        <w:rPr>
          <w:rFonts w:ascii="Times New Roman" w:hAnsi="Times New Roman" w:cs="Times New Roman"/>
        </w:rPr>
      </w:pPr>
      <w:r w:rsidRPr="0038079E">
        <w:rPr>
          <w:rFonts w:ascii="Times New Roman" w:hAnsi="Times New Roman" w:cs="Times New Roman"/>
        </w:rPr>
        <w:t xml:space="preserve">padidėję kepenų </w:t>
      </w:r>
      <w:r>
        <w:rPr>
          <w:rFonts w:ascii="Times New Roman" w:hAnsi="Times New Roman" w:cs="Times New Roman"/>
        </w:rPr>
        <w:t>veiklos rodikliai</w:t>
      </w:r>
      <w:r w:rsidRPr="0038079E">
        <w:rPr>
          <w:rFonts w:ascii="Times New Roman" w:hAnsi="Times New Roman" w:cs="Times New Roman"/>
        </w:rPr>
        <w:t xml:space="preserve"> su hepatitu (kepenų uždegimu)</w:t>
      </w:r>
      <w:r>
        <w:rPr>
          <w:rFonts w:ascii="Times New Roman" w:hAnsi="Times New Roman" w:cs="Times New Roman"/>
        </w:rPr>
        <w:t>,</w:t>
      </w:r>
      <w:r w:rsidRPr="0038079E">
        <w:rPr>
          <w:rFonts w:ascii="Times New Roman" w:hAnsi="Times New Roman" w:cs="Times New Roman"/>
        </w:rPr>
        <w:t xml:space="preserve"> </w:t>
      </w:r>
      <w:r w:rsidRPr="00C21111">
        <w:rPr>
          <w:rFonts w:ascii="Times New Roman" w:hAnsi="Times New Roman" w:cs="Times New Roman"/>
        </w:rPr>
        <w:t>įskaitant galimą jau diagnozuoto hepatito paūmėjimą,</w:t>
      </w:r>
      <w:r>
        <w:rPr>
          <w:rFonts w:ascii="Times New Roman" w:hAnsi="Times New Roman" w:cs="Times New Roman"/>
        </w:rPr>
        <w:t xml:space="preserve"> </w:t>
      </w:r>
      <w:r w:rsidRPr="0038079E">
        <w:rPr>
          <w:rFonts w:ascii="Times New Roman" w:hAnsi="Times New Roman" w:cs="Times New Roman"/>
        </w:rPr>
        <w:t>ir (arba) gelta (odos ir akių baltymų pageltimu)</w:t>
      </w:r>
      <w:r>
        <w:rPr>
          <w:rFonts w:ascii="Times New Roman" w:hAnsi="Times New Roman" w:cs="Times New Roman"/>
        </w:rPr>
        <w:t>.</w:t>
      </w:r>
    </w:p>
    <w:p w:rsidR="00A4103A" w:rsidRPr="0038079E" w:rsidRDefault="00A4103A" w:rsidP="00A4103A">
      <w:pPr>
        <w:tabs>
          <w:tab w:val="left" w:pos="567"/>
        </w:tabs>
        <w:spacing w:after="0" w:line="240" w:lineRule="auto"/>
        <w:rPr>
          <w:rFonts w:ascii="Times New Roman" w:hAnsi="Times New Roman" w:cs="Times New Roman"/>
        </w:rPr>
      </w:pPr>
    </w:p>
    <w:p w:rsidR="00A4103A" w:rsidRPr="0038079E" w:rsidRDefault="00A4103A" w:rsidP="00A4103A">
      <w:pPr>
        <w:tabs>
          <w:tab w:val="left" w:pos="567"/>
        </w:tabs>
        <w:spacing w:after="0" w:line="240" w:lineRule="auto"/>
        <w:rPr>
          <w:rFonts w:ascii="Times New Roman" w:hAnsi="Times New Roman" w:cs="Times New Roman"/>
        </w:rPr>
      </w:pPr>
      <w:r w:rsidRPr="0038079E">
        <w:rPr>
          <w:rFonts w:ascii="Times New Roman" w:hAnsi="Times New Roman" w:cs="Times New Roman"/>
          <w:b/>
          <w:bCs/>
        </w:rPr>
        <w:t>Retas</w:t>
      </w:r>
      <w:r w:rsidRPr="0038079E">
        <w:rPr>
          <w:rFonts w:ascii="Times New Roman" w:hAnsi="Times New Roman" w:cs="Times New Roman"/>
        </w:rPr>
        <w:t xml:space="preserve"> (gali pasireikšti ne daugiau kaip 1 iš 1000 žmonių): </w:t>
      </w:r>
    </w:p>
    <w:p w:rsidR="00A4103A" w:rsidRPr="0038079E" w:rsidRDefault="00A4103A" w:rsidP="00A4103A">
      <w:pPr>
        <w:numPr>
          <w:ilvl w:val="0"/>
          <w:numId w:val="37"/>
        </w:numPr>
        <w:tabs>
          <w:tab w:val="left" w:pos="567"/>
        </w:tabs>
        <w:spacing w:after="0" w:line="240" w:lineRule="auto"/>
        <w:rPr>
          <w:rFonts w:ascii="Times New Roman" w:hAnsi="Times New Roman" w:cs="Times New Roman"/>
        </w:rPr>
      </w:pPr>
      <w:proofErr w:type="spellStart"/>
      <w:r w:rsidRPr="0038079E">
        <w:rPr>
          <w:rFonts w:ascii="Times New Roman" w:hAnsi="Times New Roman" w:cs="Times New Roman"/>
        </w:rPr>
        <w:t>anafilaksija</w:t>
      </w:r>
      <w:proofErr w:type="spellEnd"/>
      <w:r w:rsidRPr="0038079E">
        <w:rPr>
          <w:rFonts w:ascii="Times New Roman" w:hAnsi="Times New Roman" w:cs="Times New Roman"/>
        </w:rPr>
        <w:t xml:space="preserve"> (bendroji alerginė reakcija), </w:t>
      </w:r>
      <w:proofErr w:type="spellStart"/>
      <w:r w:rsidRPr="0038079E">
        <w:rPr>
          <w:rFonts w:ascii="Times New Roman" w:hAnsi="Times New Roman" w:cs="Times New Roman"/>
        </w:rPr>
        <w:t>angioneurozinė</w:t>
      </w:r>
      <w:proofErr w:type="spellEnd"/>
      <w:r w:rsidRPr="0038079E">
        <w:rPr>
          <w:rFonts w:ascii="Times New Roman" w:hAnsi="Times New Roman" w:cs="Times New Roman"/>
        </w:rPr>
        <w:t xml:space="preserve"> edema (tinimas, dažniausia aplink akis, lūpas arba gerklės tinimas); </w:t>
      </w:r>
    </w:p>
    <w:p w:rsidR="00A4103A" w:rsidRPr="0038079E" w:rsidRDefault="00A4103A" w:rsidP="00A4103A">
      <w:pPr>
        <w:numPr>
          <w:ilvl w:val="0"/>
          <w:numId w:val="37"/>
        </w:numPr>
        <w:tabs>
          <w:tab w:val="left" w:pos="567"/>
        </w:tabs>
        <w:spacing w:after="0" w:line="240" w:lineRule="auto"/>
        <w:rPr>
          <w:rFonts w:ascii="Times New Roman" w:hAnsi="Times New Roman" w:cs="Times New Roman"/>
        </w:rPr>
      </w:pPr>
      <w:r w:rsidRPr="0038079E">
        <w:rPr>
          <w:rFonts w:ascii="Times New Roman" w:hAnsi="Times New Roman" w:cs="Times New Roman"/>
        </w:rPr>
        <w:t>kepenų cirozė (randėjimas), kepenų nepakankamumas (sunkus kepenų veiklos sutrikimas).</w:t>
      </w:r>
    </w:p>
    <w:p w:rsidR="00A4103A" w:rsidRPr="0038079E" w:rsidRDefault="00A4103A" w:rsidP="00A4103A">
      <w:pPr>
        <w:spacing w:after="0" w:line="240" w:lineRule="auto"/>
        <w:rPr>
          <w:rFonts w:ascii="Times New Roman" w:hAnsi="Times New Roman" w:cs="Times New Roman"/>
        </w:rPr>
      </w:pPr>
    </w:p>
    <w:p w:rsidR="00A4103A" w:rsidRPr="0038079E" w:rsidRDefault="00A4103A" w:rsidP="00A4103A">
      <w:pPr>
        <w:tabs>
          <w:tab w:val="left" w:pos="567"/>
        </w:tabs>
        <w:spacing w:after="0" w:line="240" w:lineRule="auto"/>
        <w:rPr>
          <w:rFonts w:ascii="Times New Roman" w:hAnsi="Times New Roman" w:cs="Times New Roman"/>
        </w:rPr>
      </w:pPr>
      <w:r w:rsidRPr="0038079E">
        <w:rPr>
          <w:rFonts w:ascii="Times New Roman" w:hAnsi="Times New Roman" w:cs="Times New Roman"/>
          <w:b/>
          <w:bCs/>
        </w:rPr>
        <w:t>Dažnis nežinomas</w:t>
      </w:r>
      <w:r w:rsidRPr="0038079E">
        <w:rPr>
          <w:rFonts w:ascii="Times New Roman" w:hAnsi="Times New Roman" w:cs="Times New Roman"/>
        </w:rPr>
        <w:t xml:space="preserve"> (negali būti įvertintas pagal turimus duomenis): </w:t>
      </w:r>
    </w:p>
    <w:p w:rsidR="00A4103A" w:rsidRPr="0038079E" w:rsidRDefault="00A4103A" w:rsidP="00A4103A">
      <w:pPr>
        <w:numPr>
          <w:ilvl w:val="0"/>
          <w:numId w:val="37"/>
        </w:numPr>
        <w:tabs>
          <w:tab w:val="left" w:pos="567"/>
        </w:tabs>
        <w:spacing w:after="0" w:line="240" w:lineRule="auto"/>
        <w:rPr>
          <w:rFonts w:ascii="Times New Roman" w:hAnsi="Times New Roman" w:cs="Times New Roman"/>
        </w:rPr>
      </w:pPr>
      <w:r w:rsidRPr="0038079E">
        <w:rPr>
          <w:rFonts w:ascii="Times New Roman" w:hAnsi="Times New Roman" w:cs="Times New Roman"/>
        </w:rPr>
        <w:t xml:space="preserve">mažakraujystė (anemija, kai trūksta raudonųjų kraujo kūnelių) arba hemoglobino kiekio sumažėjimas, dėl kurių reikia perpilti kraują. </w:t>
      </w:r>
    </w:p>
    <w:p w:rsidR="00A4103A" w:rsidRDefault="004F4E71" w:rsidP="00A4103A">
      <w:pPr>
        <w:tabs>
          <w:tab w:val="left" w:pos="567"/>
        </w:tabs>
        <w:spacing w:after="0" w:line="240" w:lineRule="auto"/>
        <w:rPr>
          <w:rFonts w:ascii="Times New Roman" w:hAnsi="Times New Roman" w:cs="Times New Roman"/>
        </w:rPr>
      </w:pPr>
      <w:r w:rsidRPr="006B4207">
        <w:rPr>
          <w:rFonts w:ascii="Times New Roman" w:hAnsi="Times New Roman" w:cs="Times New Roman"/>
        </w:rPr>
        <w:t>Taip pat užregistruota migloto matymo atvejų, bet šio reiškinio dažnis nežinomas (negali būti įvertintas pagal turimus duomenis).</w:t>
      </w:r>
    </w:p>
    <w:p w:rsidR="004F4E71" w:rsidRPr="0038079E" w:rsidRDefault="004F4E71" w:rsidP="00A4103A">
      <w:pPr>
        <w:tabs>
          <w:tab w:val="left" w:pos="567"/>
        </w:tabs>
        <w:spacing w:after="0" w:line="240" w:lineRule="auto"/>
        <w:rPr>
          <w:rFonts w:ascii="Times New Roman" w:hAnsi="Times New Roman" w:cs="Times New Roman"/>
        </w:rPr>
      </w:pPr>
    </w:p>
    <w:p w:rsidR="00A4103A" w:rsidRPr="0038079E" w:rsidRDefault="00A4103A" w:rsidP="00A4103A">
      <w:pPr>
        <w:tabs>
          <w:tab w:val="left" w:pos="567"/>
        </w:tabs>
        <w:spacing w:after="0" w:line="240" w:lineRule="auto"/>
        <w:rPr>
          <w:rFonts w:ascii="Times New Roman" w:hAnsi="Times New Roman" w:cs="Times New Roman"/>
        </w:rPr>
      </w:pPr>
      <w:r w:rsidRPr="0038079E">
        <w:rPr>
          <w:rFonts w:ascii="Times New Roman" w:hAnsi="Times New Roman" w:cs="Times New Roman"/>
        </w:rPr>
        <w:t>Jeigu pasireiškė sunkus šalutinis poveikis arba pastebėjote šiame lapelyje nenurodytą šalutinį poveikį ar alerginės reakcijos požymių (pvz., veido ar liežuvio patinimas, išbėrimas, niežėjimas), arba jei nerimaujate dėl kurio nors aukščiau minėto šalutinio poveikio, pasakykite savo gydytojui arba vaistininkui.</w:t>
      </w:r>
    </w:p>
    <w:p w:rsidR="00A4103A" w:rsidRPr="0038079E" w:rsidRDefault="00A4103A" w:rsidP="00A4103A">
      <w:pPr>
        <w:tabs>
          <w:tab w:val="left" w:pos="567"/>
        </w:tabs>
        <w:spacing w:after="0" w:line="240" w:lineRule="auto"/>
        <w:rPr>
          <w:rFonts w:ascii="Times New Roman" w:hAnsi="Times New Roman" w:cs="Times New Roman"/>
        </w:rPr>
      </w:pPr>
    </w:p>
    <w:p w:rsidR="00A4103A" w:rsidRPr="0038079E" w:rsidRDefault="00A4103A" w:rsidP="00A4103A">
      <w:pPr>
        <w:spacing w:after="0" w:line="240" w:lineRule="auto"/>
        <w:rPr>
          <w:rFonts w:ascii="Times New Roman" w:hAnsi="Times New Roman" w:cs="Times New Roman"/>
          <w:b/>
          <w:bCs/>
          <w:lang w:eastAsia="lt-LT"/>
        </w:rPr>
      </w:pPr>
      <w:r w:rsidRPr="0038079E">
        <w:rPr>
          <w:rFonts w:ascii="Times New Roman" w:hAnsi="Times New Roman" w:cs="Times New Roman"/>
          <w:b/>
          <w:bCs/>
          <w:lang w:eastAsia="lt-LT"/>
        </w:rPr>
        <w:t>Pranešimas apie šalutinį poveikį</w:t>
      </w:r>
    </w:p>
    <w:p w:rsidR="00A4103A" w:rsidRPr="00A045A1" w:rsidRDefault="00A4103A" w:rsidP="00A4103A">
      <w:pPr>
        <w:tabs>
          <w:tab w:val="left" w:pos="567"/>
        </w:tabs>
        <w:spacing w:after="0" w:line="240" w:lineRule="auto"/>
        <w:rPr>
          <w:rFonts w:ascii="Times New Roman" w:hAnsi="Times New Roman" w:cs="Times New Roman"/>
        </w:rPr>
      </w:pPr>
      <w:r w:rsidRPr="00A045A1">
        <w:rPr>
          <w:rFonts w:ascii="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A045A1">
          <w:rPr>
            <w:rFonts w:ascii="Times New Roman" w:hAnsi="Times New Roman" w:cs="Times New Roman"/>
          </w:rPr>
          <w:t>www.vvkt.lt</w:t>
        </w:r>
      </w:hyperlink>
      <w:r w:rsidRPr="00A045A1">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03407E">
          <w:rPr>
            <w:rFonts w:ascii="Times New Roman" w:hAnsi="Times New Roman"/>
          </w:rPr>
          <w:t>NepageidaujamaR@vvkt.lt</w:t>
        </w:r>
      </w:hyperlink>
      <w:r w:rsidRPr="00A045A1">
        <w:rPr>
          <w:rFonts w:ascii="Times New Roman" w:hAnsi="Times New Roman" w:cs="Times New Roman"/>
        </w:rPr>
        <w:t xml:space="preserve">, taip pat per Valstybinės vaistų kontrolės tarnybos prie Lietuvos Respublikos sveikatos apsaugos ministerijos interneto svetainę (adresu </w:t>
      </w:r>
      <w:hyperlink r:id="rId12" w:history="1">
        <w:r w:rsidRPr="00A045A1">
          <w:rPr>
            <w:rFonts w:ascii="Times New Roman" w:hAnsi="Times New Roman" w:cs="Times New Roman"/>
          </w:rPr>
          <w:t>http://www.vvkt.lt</w:t>
        </w:r>
      </w:hyperlink>
      <w:r w:rsidRPr="00A045A1">
        <w:rPr>
          <w:rFonts w:ascii="Times New Roman" w:hAnsi="Times New Roman" w:cs="Times New Roman"/>
        </w:rPr>
        <w:t>). Pranešdami apie šalutinį poveikį galite mums padėti gauti daugiau informacijos apie šio vaisto saugumą.</w:t>
      </w:r>
    </w:p>
    <w:p w:rsidR="00A4103A" w:rsidRPr="0038079E" w:rsidRDefault="00A4103A" w:rsidP="00A4103A">
      <w:pPr>
        <w:spacing w:after="0" w:line="240" w:lineRule="auto"/>
        <w:ind w:right="-449"/>
        <w:rPr>
          <w:rFonts w:ascii="Times New Roman" w:hAnsi="Times New Roman" w:cs="Times New Roman"/>
          <w:lang w:eastAsia="lt-LT"/>
        </w:rPr>
      </w:pPr>
    </w:p>
    <w:p w:rsidR="00A4103A" w:rsidRPr="0038079E" w:rsidRDefault="00A4103A" w:rsidP="00A4103A">
      <w:pPr>
        <w:spacing w:after="0" w:line="240" w:lineRule="auto"/>
        <w:ind w:right="-449"/>
        <w:rPr>
          <w:rFonts w:ascii="Times New Roman" w:hAnsi="Times New Roman" w:cs="Times New Roman"/>
          <w:lang w:eastAsia="lt-LT"/>
        </w:rPr>
      </w:pPr>
    </w:p>
    <w:p w:rsidR="00A4103A" w:rsidRPr="0038079E" w:rsidRDefault="00A4103A" w:rsidP="00A4103A">
      <w:pPr>
        <w:tabs>
          <w:tab w:val="left" w:pos="425"/>
        </w:tabs>
        <w:spacing w:after="0" w:line="240" w:lineRule="auto"/>
        <w:rPr>
          <w:rFonts w:ascii="Times New Roman" w:hAnsi="Times New Roman" w:cs="Times New Roman"/>
          <w:b/>
          <w:bCs/>
        </w:rPr>
      </w:pPr>
      <w:r w:rsidRPr="0038079E">
        <w:rPr>
          <w:rFonts w:ascii="Times New Roman" w:hAnsi="Times New Roman" w:cs="Times New Roman"/>
          <w:b/>
          <w:bCs/>
        </w:rPr>
        <w:t>5.</w:t>
      </w:r>
      <w:r w:rsidRPr="0038079E">
        <w:rPr>
          <w:rFonts w:ascii="Times New Roman" w:hAnsi="Times New Roman" w:cs="Times New Roman"/>
          <w:b/>
          <w:bCs/>
        </w:rPr>
        <w:tab/>
        <w:t xml:space="preserve">Kaip laikyti </w:t>
      </w:r>
      <w:proofErr w:type="spellStart"/>
      <w:r w:rsidRPr="0038079E">
        <w:rPr>
          <w:rFonts w:ascii="Times New Roman" w:hAnsi="Times New Roman" w:cs="Times New Roman"/>
          <w:b/>
          <w:bCs/>
        </w:rPr>
        <w:t>Bosentan</w:t>
      </w:r>
      <w:proofErr w:type="spellEnd"/>
      <w:r w:rsidRPr="0038079E">
        <w:rPr>
          <w:rFonts w:ascii="Times New Roman" w:hAnsi="Times New Roman" w:cs="Times New Roman"/>
          <w:b/>
          <w:bCs/>
        </w:rPr>
        <w:t xml:space="preserve"> </w:t>
      </w:r>
      <w:proofErr w:type="spellStart"/>
      <w:r w:rsidRPr="0038079E">
        <w:rPr>
          <w:rFonts w:ascii="Times New Roman" w:hAnsi="Times New Roman" w:cs="Times New Roman"/>
          <w:b/>
          <w:bCs/>
        </w:rPr>
        <w:t>Sandoz</w:t>
      </w:r>
      <w:proofErr w:type="spellEnd"/>
      <w:r w:rsidRPr="0038079E">
        <w:rPr>
          <w:rFonts w:ascii="Times New Roman" w:hAnsi="Times New Roman" w:cs="Times New Roman"/>
          <w:b/>
          <w:bCs/>
        </w:rPr>
        <w:t xml:space="preserve"> </w:t>
      </w: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Šiam vaist</w:t>
      </w:r>
      <w:r>
        <w:rPr>
          <w:rFonts w:ascii="Times New Roman" w:hAnsi="Times New Roman" w:cs="Times New Roman"/>
        </w:rPr>
        <w:t>ui</w:t>
      </w:r>
      <w:r w:rsidRPr="0038079E">
        <w:rPr>
          <w:rFonts w:ascii="Times New Roman" w:hAnsi="Times New Roman" w:cs="Times New Roman"/>
        </w:rPr>
        <w:t xml:space="preserve"> specialių laikymo sąlygų nereikia.</w:t>
      </w: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 xml:space="preserve">Šį vaistą laikykite vaikams nepastebimoje ir nepasiekiamoje vietoje. </w:t>
      </w: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lastRenderedPageBreak/>
        <w:t>Ant dėžutės ir lizdinės plokštelės po „Tinka iki“ nurodytam tinkamumo laikui pasibaigus, šio vaisto vartoti negalima.</w:t>
      </w: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Vaistų negalima išmesti į kanalizaciją arba su buitinėmis atliekomis. Kaip išmesti nereikalingus vaistus, klauskite vaistininko. Šios priemonės padės apsaugoti aplinką</w:t>
      </w:r>
      <w:r>
        <w:rPr>
          <w:rFonts w:ascii="Times New Roman" w:hAnsi="Times New Roman" w:cs="Times New Roman"/>
        </w:rPr>
        <w:t>.</w:t>
      </w: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tabs>
          <w:tab w:val="left" w:pos="425"/>
        </w:tabs>
        <w:spacing w:after="0" w:line="240" w:lineRule="auto"/>
        <w:rPr>
          <w:rFonts w:ascii="Times New Roman" w:hAnsi="Times New Roman" w:cs="Times New Roman"/>
          <w:b/>
          <w:bCs/>
        </w:rPr>
      </w:pPr>
      <w:r w:rsidRPr="0038079E">
        <w:rPr>
          <w:rFonts w:ascii="Times New Roman" w:hAnsi="Times New Roman" w:cs="Times New Roman"/>
          <w:b/>
          <w:bCs/>
        </w:rPr>
        <w:t>6.</w:t>
      </w:r>
      <w:r w:rsidRPr="0038079E">
        <w:rPr>
          <w:rFonts w:ascii="Times New Roman" w:hAnsi="Times New Roman" w:cs="Times New Roman"/>
          <w:b/>
          <w:bCs/>
        </w:rPr>
        <w:tab/>
        <w:t xml:space="preserve">Pakuotės turinys ir kita informacija </w:t>
      </w: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tabs>
          <w:tab w:val="left" w:pos="425"/>
        </w:tabs>
        <w:spacing w:after="0" w:line="240" w:lineRule="auto"/>
        <w:rPr>
          <w:rFonts w:ascii="Times New Roman" w:hAnsi="Times New Roman" w:cs="Times New Roman"/>
          <w:b/>
          <w:bCs/>
        </w:rPr>
      </w:pPr>
      <w:proofErr w:type="spellStart"/>
      <w:r w:rsidRPr="0038079E">
        <w:rPr>
          <w:rFonts w:ascii="Times New Roman" w:hAnsi="Times New Roman" w:cs="Times New Roman"/>
          <w:b/>
          <w:bCs/>
        </w:rPr>
        <w:t>Bosentan</w:t>
      </w:r>
      <w:proofErr w:type="spellEnd"/>
      <w:r w:rsidRPr="0038079E">
        <w:rPr>
          <w:rFonts w:ascii="Times New Roman" w:hAnsi="Times New Roman" w:cs="Times New Roman"/>
          <w:b/>
          <w:bCs/>
        </w:rPr>
        <w:t xml:space="preserve"> </w:t>
      </w:r>
      <w:proofErr w:type="spellStart"/>
      <w:r w:rsidRPr="0038079E">
        <w:rPr>
          <w:rFonts w:ascii="Times New Roman" w:hAnsi="Times New Roman" w:cs="Times New Roman"/>
          <w:b/>
          <w:bCs/>
        </w:rPr>
        <w:t>Sandoz</w:t>
      </w:r>
      <w:proofErr w:type="spellEnd"/>
      <w:r w:rsidRPr="0038079E">
        <w:rPr>
          <w:rFonts w:ascii="Times New Roman" w:hAnsi="Times New Roman" w:cs="Times New Roman"/>
          <w:b/>
          <w:bCs/>
        </w:rPr>
        <w:t xml:space="preserve"> sudėtis </w:t>
      </w:r>
    </w:p>
    <w:p w:rsidR="00A4103A" w:rsidRPr="0038079E" w:rsidRDefault="00A4103A" w:rsidP="00A4103A">
      <w:pPr>
        <w:numPr>
          <w:ilvl w:val="0"/>
          <w:numId w:val="37"/>
        </w:numPr>
        <w:tabs>
          <w:tab w:val="left" w:pos="567"/>
        </w:tabs>
        <w:spacing w:after="0" w:line="240" w:lineRule="auto"/>
        <w:rPr>
          <w:rFonts w:ascii="Times New Roman" w:hAnsi="Times New Roman" w:cs="Times New Roman"/>
        </w:rPr>
      </w:pPr>
      <w:proofErr w:type="spellStart"/>
      <w:r w:rsidRPr="0038079E">
        <w:rPr>
          <w:rFonts w:ascii="Times New Roman" w:hAnsi="Times New Roman" w:cs="Times New Roman"/>
          <w:b/>
          <w:bCs/>
        </w:rPr>
        <w:t>Bosentan</w:t>
      </w:r>
      <w:proofErr w:type="spellEnd"/>
      <w:r w:rsidRPr="0038079E">
        <w:rPr>
          <w:rFonts w:ascii="Times New Roman" w:hAnsi="Times New Roman" w:cs="Times New Roman"/>
          <w:b/>
          <w:bCs/>
        </w:rPr>
        <w:t xml:space="preserve"> </w:t>
      </w:r>
      <w:proofErr w:type="spellStart"/>
      <w:r w:rsidRPr="0038079E">
        <w:rPr>
          <w:rFonts w:ascii="Times New Roman" w:hAnsi="Times New Roman" w:cs="Times New Roman"/>
          <w:b/>
          <w:bCs/>
        </w:rPr>
        <w:t>Sandoz</w:t>
      </w:r>
      <w:proofErr w:type="spellEnd"/>
      <w:r w:rsidRPr="0038079E">
        <w:rPr>
          <w:rFonts w:ascii="Times New Roman" w:hAnsi="Times New Roman" w:cs="Times New Roman"/>
          <w:b/>
          <w:bCs/>
        </w:rPr>
        <w:t xml:space="preserve"> 62,5 mg plėvele dengtos tabletės: </w:t>
      </w:r>
      <w:r w:rsidRPr="0038079E">
        <w:rPr>
          <w:rFonts w:ascii="Times New Roman" w:hAnsi="Times New Roman" w:cs="Times New Roman"/>
        </w:rPr>
        <w:t xml:space="preserve">veiklioji medžiaga yra </w:t>
      </w:r>
      <w:proofErr w:type="spellStart"/>
      <w:r w:rsidRPr="0038079E">
        <w:rPr>
          <w:rFonts w:ascii="Times New Roman" w:hAnsi="Times New Roman" w:cs="Times New Roman"/>
        </w:rPr>
        <w:t>bozentanas</w:t>
      </w:r>
      <w:proofErr w:type="spellEnd"/>
      <w:r w:rsidRPr="0038079E">
        <w:rPr>
          <w:rFonts w:ascii="Times New Roman" w:hAnsi="Times New Roman" w:cs="Times New Roman"/>
        </w:rPr>
        <w:t xml:space="preserve">. </w:t>
      </w:r>
    </w:p>
    <w:p w:rsidR="00A4103A" w:rsidRPr="0038079E" w:rsidRDefault="00A4103A" w:rsidP="00A4103A">
      <w:pPr>
        <w:tabs>
          <w:tab w:val="left" w:pos="567"/>
        </w:tabs>
        <w:spacing w:after="0" w:line="240" w:lineRule="auto"/>
        <w:ind w:left="567"/>
        <w:rPr>
          <w:rFonts w:ascii="Times New Roman" w:hAnsi="Times New Roman" w:cs="Times New Roman"/>
        </w:rPr>
      </w:pPr>
      <w:r w:rsidRPr="0038079E">
        <w:rPr>
          <w:rFonts w:ascii="Times New Roman" w:hAnsi="Times New Roman" w:cs="Times New Roman"/>
        </w:rPr>
        <w:t xml:space="preserve">Kiekvienoje tabletėje yra 62,5 mg </w:t>
      </w:r>
      <w:proofErr w:type="spellStart"/>
      <w:r w:rsidRPr="0038079E">
        <w:rPr>
          <w:rFonts w:ascii="Times New Roman" w:hAnsi="Times New Roman" w:cs="Times New Roman"/>
        </w:rPr>
        <w:t>bozentano</w:t>
      </w:r>
      <w:proofErr w:type="spellEnd"/>
      <w:r w:rsidRPr="0038079E">
        <w:rPr>
          <w:rFonts w:ascii="Times New Roman" w:hAnsi="Times New Roman" w:cs="Times New Roman"/>
        </w:rPr>
        <w:t xml:space="preserve"> (atitinka 64,541 mg </w:t>
      </w:r>
      <w:proofErr w:type="spellStart"/>
      <w:r w:rsidRPr="0038079E">
        <w:rPr>
          <w:rFonts w:ascii="Times New Roman" w:hAnsi="Times New Roman" w:cs="Times New Roman"/>
        </w:rPr>
        <w:t>bozentano</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monohidrato</w:t>
      </w:r>
      <w:proofErr w:type="spellEnd"/>
      <w:r w:rsidRPr="0038079E">
        <w:rPr>
          <w:rFonts w:ascii="Times New Roman" w:hAnsi="Times New Roman" w:cs="Times New Roman"/>
        </w:rPr>
        <w:t xml:space="preserve">). </w:t>
      </w:r>
    </w:p>
    <w:p w:rsidR="00A4103A" w:rsidRPr="0038079E" w:rsidRDefault="00A4103A" w:rsidP="00A4103A">
      <w:pPr>
        <w:numPr>
          <w:ilvl w:val="0"/>
          <w:numId w:val="37"/>
        </w:numPr>
        <w:tabs>
          <w:tab w:val="left" w:pos="567"/>
        </w:tabs>
        <w:spacing w:after="0" w:line="240" w:lineRule="auto"/>
        <w:rPr>
          <w:rFonts w:ascii="Times New Roman" w:hAnsi="Times New Roman" w:cs="Times New Roman"/>
          <w:highlight w:val="lightGray"/>
        </w:rPr>
      </w:pPr>
      <w:proofErr w:type="spellStart"/>
      <w:r w:rsidRPr="0038079E">
        <w:rPr>
          <w:rFonts w:ascii="Times New Roman" w:hAnsi="Times New Roman" w:cs="Times New Roman"/>
          <w:b/>
          <w:bCs/>
          <w:highlight w:val="lightGray"/>
        </w:rPr>
        <w:t>Bosentan</w:t>
      </w:r>
      <w:proofErr w:type="spellEnd"/>
      <w:r w:rsidRPr="0038079E">
        <w:rPr>
          <w:rFonts w:ascii="Times New Roman" w:hAnsi="Times New Roman" w:cs="Times New Roman"/>
          <w:b/>
          <w:bCs/>
          <w:highlight w:val="lightGray"/>
        </w:rPr>
        <w:t xml:space="preserve"> </w:t>
      </w:r>
      <w:proofErr w:type="spellStart"/>
      <w:r w:rsidRPr="0038079E">
        <w:rPr>
          <w:rFonts w:ascii="Times New Roman" w:hAnsi="Times New Roman" w:cs="Times New Roman"/>
          <w:b/>
          <w:bCs/>
          <w:highlight w:val="lightGray"/>
        </w:rPr>
        <w:t>Sandoz</w:t>
      </w:r>
      <w:proofErr w:type="spellEnd"/>
      <w:r w:rsidRPr="0038079E">
        <w:rPr>
          <w:rFonts w:ascii="Times New Roman" w:hAnsi="Times New Roman" w:cs="Times New Roman"/>
          <w:b/>
          <w:bCs/>
          <w:highlight w:val="lightGray"/>
        </w:rPr>
        <w:t xml:space="preserve"> 125 mg plėvele dengtos tabletės: </w:t>
      </w:r>
      <w:r w:rsidRPr="0038079E">
        <w:rPr>
          <w:rFonts w:ascii="Times New Roman" w:hAnsi="Times New Roman" w:cs="Times New Roman"/>
          <w:highlight w:val="lightGray"/>
        </w:rPr>
        <w:t xml:space="preserve">veiklioji medžiaga yra </w:t>
      </w:r>
      <w:proofErr w:type="spellStart"/>
      <w:r w:rsidRPr="0038079E">
        <w:rPr>
          <w:rFonts w:ascii="Times New Roman" w:hAnsi="Times New Roman" w:cs="Times New Roman"/>
          <w:highlight w:val="lightGray"/>
        </w:rPr>
        <w:t>bozentanas</w:t>
      </w:r>
      <w:proofErr w:type="spellEnd"/>
      <w:r w:rsidRPr="0038079E">
        <w:rPr>
          <w:rFonts w:ascii="Times New Roman" w:hAnsi="Times New Roman" w:cs="Times New Roman"/>
          <w:highlight w:val="lightGray"/>
        </w:rPr>
        <w:t xml:space="preserve">. </w:t>
      </w:r>
    </w:p>
    <w:p w:rsidR="00A4103A" w:rsidRPr="0038079E" w:rsidRDefault="00A4103A" w:rsidP="00A4103A">
      <w:pPr>
        <w:tabs>
          <w:tab w:val="left" w:pos="567"/>
        </w:tabs>
        <w:spacing w:after="0" w:line="240" w:lineRule="auto"/>
        <w:ind w:left="567"/>
        <w:rPr>
          <w:rFonts w:ascii="Times New Roman" w:hAnsi="Times New Roman" w:cs="Times New Roman"/>
        </w:rPr>
      </w:pPr>
      <w:r w:rsidRPr="0038079E">
        <w:rPr>
          <w:rFonts w:ascii="Times New Roman" w:hAnsi="Times New Roman" w:cs="Times New Roman"/>
          <w:highlight w:val="lightGray"/>
        </w:rPr>
        <w:t xml:space="preserve">Kiekvienoje tabletėje yra 125 mg </w:t>
      </w:r>
      <w:proofErr w:type="spellStart"/>
      <w:r w:rsidRPr="0038079E">
        <w:rPr>
          <w:rFonts w:ascii="Times New Roman" w:hAnsi="Times New Roman" w:cs="Times New Roman"/>
          <w:highlight w:val="lightGray"/>
        </w:rPr>
        <w:t>bozentano</w:t>
      </w:r>
      <w:proofErr w:type="spellEnd"/>
      <w:r w:rsidRPr="0038079E">
        <w:rPr>
          <w:rFonts w:ascii="Times New Roman" w:hAnsi="Times New Roman" w:cs="Times New Roman"/>
          <w:highlight w:val="lightGray"/>
        </w:rPr>
        <w:t xml:space="preserve"> (atitinka 129,082 mg </w:t>
      </w:r>
      <w:proofErr w:type="spellStart"/>
      <w:r w:rsidRPr="0038079E">
        <w:rPr>
          <w:rFonts w:ascii="Times New Roman" w:hAnsi="Times New Roman" w:cs="Times New Roman"/>
          <w:highlight w:val="lightGray"/>
        </w:rPr>
        <w:t>bozentano</w:t>
      </w:r>
      <w:proofErr w:type="spellEnd"/>
      <w:r w:rsidRPr="0038079E">
        <w:rPr>
          <w:rFonts w:ascii="Times New Roman" w:hAnsi="Times New Roman" w:cs="Times New Roman"/>
          <w:highlight w:val="lightGray"/>
        </w:rPr>
        <w:t xml:space="preserve"> </w:t>
      </w:r>
      <w:proofErr w:type="spellStart"/>
      <w:r w:rsidRPr="0038079E">
        <w:rPr>
          <w:rFonts w:ascii="Times New Roman" w:hAnsi="Times New Roman" w:cs="Times New Roman"/>
          <w:highlight w:val="lightGray"/>
        </w:rPr>
        <w:t>monohidrato</w:t>
      </w:r>
      <w:proofErr w:type="spellEnd"/>
      <w:r w:rsidRPr="0038079E">
        <w:rPr>
          <w:rFonts w:ascii="Times New Roman" w:hAnsi="Times New Roman" w:cs="Times New Roman"/>
          <w:highlight w:val="lightGray"/>
        </w:rPr>
        <w:t>).</w:t>
      </w:r>
    </w:p>
    <w:p w:rsidR="00A4103A" w:rsidRPr="0038079E" w:rsidRDefault="00A4103A" w:rsidP="00A4103A">
      <w:pPr>
        <w:numPr>
          <w:ilvl w:val="0"/>
          <w:numId w:val="37"/>
        </w:numPr>
        <w:tabs>
          <w:tab w:val="left" w:pos="567"/>
        </w:tabs>
        <w:spacing w:after="0" w:line="240" w:lineRule="auto"/>
        <w:rPr>
          <w:rFonts w:ascii="Times New Roman" w:hAnsi="Times New Roman" w:cs="Times New Roman"/>
        </w:rPr>
      </w:pPr>
      <w:r w:rsidRPr="0038079E">
        <w:rPr>
          <w:rFonts w:ascii="Times New Roman" w:hAnsi="Times New Roman" w:cs="Times New Roman"/>
        </w:rPr>
        <w:t xml:space="preserve">Pagalbinės medžiagos. </w:t>
      </w:r>
      <w:r w:rsidRPr="0038079E">
        <w:rPr>
          <w:rFonts w:ascii="Times New Roman" w:hAnsi="Times New Roman" w:cs="Times New Roman"/>
          <w:i/>
          <w:iCs/>
        </w:rPr>
        <w:t>Tabletės branduolys</w:t>
      </w:r>
      <w:r w:rsidRPr="0038079E">
        <w:rPr>
          <w:rFonts w:ascii="Times New Roman" w:hAnsi="Times New Roman" w:cs="Times New Roman"/>
        </w:rPr>
        <w:t xml:space="preserve">: kukurūzų krakmolas, </w:t>
      </w:r>
      <w:proofErr w:type="spellStart"/>
      <w:r w:rsidRPr="0038079E">
        <w:rPr>
          <w:rFonts w:ascii="Times New Roman" w:hAnsi="Times New Roman" w:cs="Times New Roman"/>
        </w:rPr>
        <w:t>pregelifikuotas</w:t>
      </w:r>
      <w:proofErr w:type="spellEnd"/>
      <w:r w:rsidRPr="0038079E">
        <w:rPr>
          <w:rFonts w:ascii="Times New Roman" w:hAnsi="Times New Roman" w:cs="Times New Roman"/>
        </w:rPr>
        <w:t xml:space="preserve"> kukurūzų krakmolas, </w:t>
      </w:r>
      <w:proofErr w:type="spellStart"/>
      <w:r w:rsidRPr="0038079E">
        <w:rPr>
          <w:rFonts w:ascii="Times New Roman" w:hAnsi="Times New Roman" w:cs="Times New Roman"/>
        </w:rPr>
        <w:t>karboksimetilkrakmolo</w:t>
      </w:r>
      <w:proofErr w:type="spellEnd"/>
      <w:r w:rsidRPr="0038079E">
        <w:rPr>
          <w:rFonts w:ascii="Times New Roman" w:hAnsi="Times New Roman" w:cs="Times New Roman"/>
        </w:rPr>
        <w:t xml:space="preserve"> A natrio druska, </w:t>
      </w:r>
      <w:proofErr w:type="spellStart"/>
      <w:r w:rsidRPr="0038079E">
        <w:rPr>
          <w:rFonts w:ascii="Times New Roman" w:hAnsi="Times New Roman" w:cs="Times New Roman"/>
        </w:rPr>
        <w:t>povidonas</w:t>
      </w:r>
      <w:proofErr w:type="spellEnd"/>
      <w:r w:rsidRPr="0038079E">
        <w:rPr>
          <w:rFonts w:ascii="Times New Roman" w:hAnsi="Times New Roman" w:cs="Times New Roman"/>
        </w:rPr>
        <w:t xml:space="preserve"> K-30, </w:t>
      </w:r>
      <w:proofErr w:type="spellStart"/>
      <w:r w:rsidRPr="0038079E">
        <w:rPr>
          <w:rFonts w:ascii="Times New Roman" w:hAnsi="Times New Roman" w:cs="Times New Roman"/>
        </w:rPr>
        <w:t>glicerolio</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dibehenatas</w:t>
      </w:r>
      <w:proofErr w:type="spellEnd"/>
      <w:r w:rsidRPr="0038079E">
        <w:rPr>
          <w:rFonts w:ascii="Times New Roman" w:hAnsi="Times New Roman" w:cs="Times New Roman"/>
        </w:rPr>
        <w:t xml:space="preserve">, magnio </w:t>
      </w:r>
      <w:proofErr w:type="spellStart"/>
      <w:r w:rsidRPr="0038079E">
        <w:rPr>
          <w:rFonts w:ascii="Times New Roman" w:hAnsi="Times New Roman" w:cs="Times New Roman"/>
        </w:rPr>
        <w:t>stearatas</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poloksameras</w:t>
      </w:r>
      <w:proofErr w:type="spellEnd"/>
      <w:r w:rsidRPr="0038079E">
        <w:rPr>
          <w:rFonts w:ascii="Times New Roman" w:hAnsi="Times New Roman" w:cs="Times New Roman"/>
        </w:rPr>
        <w:t xml:space="preserve"> 188, koloidinis silicio dioksidas. </w:t>
      </w:r>
      <w:r w:rsidRPr="0038079E">
        <w:rPr>
          <w:rFonts w:ascii="Times New Roman" w:hAnsi="Times New Roman" w:cs="Times New Roman"/>
          <w:i/>
          <w:iCs/>
        </w:rPr>
        <w:t>Tabletės plėvelė</w:t>
      </w:r>
      <w:r w:rsidRPr="0038079E">
        <w:rPr>
          <w:rFonts w:ascii="Times New Roman" w:hAnsi="Times New Roman" w:cs="Times New Roman"/>
        </w:rPr>
        <w:t xml:space="preserve">: </w:t>
      </w:r>
      <w:proofErr w:type="spellStart"/>
      <w:r w:rsidRPr="0038079E">
        <w:rPr>
          <w:rFonts w:ascii="Times New Roman" w:hAnsi="Times New Roman" w:cs="Times New Roman"/>
        </w:rPr>
        <w:t>hipromeliozė</w:t>
      </w:r>
      <w:proofErr w:type="spellEnd"/>
      <w:r w:rsidRPr="0038079E">
        <w:rPr>
          <w:rFonts w:ascii="Times New Roman" w:hAnsi="Times New Roman" w:cs="Times New Roman"/>
        </w:rPr>
        <w:t xml:space="preserve">, titano dioksidas (E171), </w:t>
      </w:r>
      <w:proofErr w:type="spellStart"/>
      <w:r w:rsidRPr="0038079E">
        <w:rPr>
          <w:rFonts w:ascii="Times New Roman" w:hAnsi="Times New Roman" w:cs="Times New Roman"/>
        </w:rPr>
        <w:t>etilceliuliozė</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triacetinas</w:t>
      </w:r>
      <w:proofErr w:type="spellEnd"/>
      <w:r w:rsidRPr="0038079E">
        <w:rPr>
          <w:rFonts w:ascii="Times New Roman" w:hAnsi="Times New Roman" w:cs="Times New Roman"/>
        </w:rPr>
        <w:t xml:space="preserve"> (E1518), talkas, geltonasis geležies oksidas (E172), raudonasis geležies oksidas (E172), juodasis geležies oksidas (E172).</w:t>
      </w: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keepNext/>
        <w:spacing w:after="0" w:line="240" w:lineRule="auto"/>
        <w:outlineLvl w:val="3"/>
        <w:rPr>
          <w:rFonts w:ascii="Times New Roman" w:hAnsi="Times New Roman" w:cs="Times New Roman"/>
          <w:b/>
          <w:bCs/>
          <w:lang w:eastAsia="lt-LT"/>
        </w:rPr>
      </w:pPr>
      <w:proofErr w:type="spellStart"/>
      <w:r w:rsidRPr="0038079E">
        <w:rPr>
          <w:rFonts w:ascii="Times New Roman" w:hAnsi="Times New Roman" w:cs="Times New Roman"/>
          <w:b/>
          <w:bCs/>
          <w:lang w:eastAsia="lt-LT"/>
        </w:rPr>
        <w:t>Bosentan</w:t>
      </w:r>
      <w:proofErr w:type="spellEnd"/>
      <w:r w:rsidRPr="0038079E">
        <w:rPr>
          <w:rFonts w:ascii="Times New Roman" w:hAnsi="Times New Roman" w:cs="Times New Roman"/>
          <w:b/>
          <w:bCs/>
          <w:lang w:eastAsia="lt-LT"/>
        </w:rPr>
        <w:t xml:space="preserve"> </w:t>
      </w:r>
      <w:proofErr w:type="spellStart"/>
      <w:r w:rsidRPr="0038079E">
        <w:rPr>
          <w:rFonts w:ascii="Times New Roman" w:hAnsi="Times New Roman" w:cs="Times New Roman"/>
          <w:b/>
          <w:bCs/>
          <w:lang w:eastAsia="lt-LT"/>
        </w:rPr>
        <w:t>Sandoz</w:t>
      </w:r>
      <w:proofErr w:type="spellEnd"/>
      <w:r w:rsidRPr="0038079E">
        <w:rPr>
          <w:rFonts w:ascii="Times New Roman" w:hAnsi="Times New Roman" w:cs="Times New Roman"/>
          <w:b/>
          <w:bCs/>
          <w:lang w:eastAsia="lt-LT"/>
        </w:rPr>
        <w:t xml:space="preserve"> išvaizda ir kiekis pakuotėje</w:t>
      </w:r>
    </w:p>
    <w:p w:rsidR="00A4103A" w:rsidRPr="0038079E"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38079E">
        <w:rPr>
          <w:rFonts w:ascii="Times New Roman" w:hAnsi="Times New Roman" w:cs="Times New Roman"/>
          <w:color w:val="000000"/>
          <w:lang w:eastAsia="lt-LT"/>
        </w:rPr>
        <w:t>Bosentan</w:t>
      </w:r>
      <w:proofErr w:type="spellEnd"/>
      <w:r w:rsidRPr="0038079E">
        <w:rPr>
          <w:rFonts w:ascii="Times New Roman" w:hAnsi="Times New Roman" w:cs="Times New Roman"/>
          <w:color w:val="000000"/>
          <w:lang w:eastAsia="lt-LT"/>
        </w:rPr>
        <w:t xml:space="preserve"> </w:t>
      </w:r>
      <w:proofErr w:type="spellStart"/>
      <w:r w:rsidRPr="0038079E">
        <w:rPr>
          <w:rFonts w:ascii="Times New Roman" w:hAnsi="Times New Roman" w:cs="Times New Roman"/>
          <w:color w:val="000000"/>
          <w:lang w:eastAsia="lt-LT"/>
        </w:rPr>
        <w:t>Sandoz</w:t>
      </w:r>
      <w:proofErr w:type="spellEnd"/>
      <w:r w:rsidRPr="0038079E">
        <w:rPr>
          <w:rFonts w:ascii="Times New Roman" w:hAnsi="Times New Roman" w:cs="Times New Roman"/>
          <w:color w:val="000000"/>
          <w:lang w:eastAsia="lt-LT"/>
        </w:rPr>
        <w:t xml:space="preserve"> 62,5 mg plėvele dengtos tabletės yra šviesiai oranžinės, apskritos, abipus išgaubtos, 6 mm skersmens.</w:t>
      </w:r>
    </w:p>
    <w:p w:rsidR="00A4103A" w:rsidRPr="0038079E" w:rsidRDefault="00A4103A" w:rsidP="00A4103A">
      <w:pPr>
        <w:autoSpaceDE w:val="0"/>
        <w:autoSpaceDN w:val="0"/>
        <w:adjustRightInd w:val="0"/>
        <w:spacing w:after="0" w:line="240" w:lineRule="auto"/>
        <w:rPr>
          <w:rFonts w:ascii="Times New Roman" w:hAnsi="Times New Roman" w:cs="Times New Roman"/>
          <w:color w:val="000000"/>
          <w:lang w:eastAsia="lt-LT"/>
        </w:rPr>
      </w:pPr>
      <w:proofErr w:type="spellStart"/>
      <w:r w:rsidRPr="0038079E">
        <w:rPr>
          <w:rFonts w:ascii="Times New Roman" w:hAnsi="Times New Roman" w:cs="Times New Roman"/>
          <w:color w:val="000000"/>
          <w:highlight w:val="lightGray"/>
          <w:lang w:eastAsia="lt-LT"/>
        </w:rPr>
        <w:t>Bosentan</w:t>
      </w:r>
      <w:proofErr w:type="spellEnd"/>
      <w:r w:rsidRPr="0038079E">
        <w:rPr>
          <w:rFonts w:ascii="Times New Roman" w:hAnsi="Times New Roman" w:cs="Times New Roman"/>
          <w:color w:val="000000"/>
          <w:highlight w:val="lightGray"/>
          <w:lang w:eastAsia="lt-LT"/>
        </w:rPr>
        <w:t xml:space="preserve"> </w:t>
      </w:r>
      <w:proofErr w:type="spellStart"/>
      <w:r w:rsidRPr="0038079E">
        <w:rPr>
          <w:rFonts w:ascii="Times New Roman" w:hAnsi="Times New Roman" w:cs="Times New Roman"/>
          <w:color w:val="000000"/>
          <w:highlight w:val="lightGray"/>
          <w:lang w:eastAsia="lt-LT"/>
        </w:rPr>
        <w:t>Sandoz</w:t>
      </w:r>
      <w:proofErr w:type="spellEnd"/>
      <w:r w:rsidRPr="0038079E">
        <w:rPr>
          <w:rFonts w:ascii="Times New Roman" w:hAnsi="Times New Roman" w:cs="Times New Roman"/>
          <w:color w:val="000000"/>
          <w:highlight w:val="lightGray"/>
          <w:lang w:eastAsia="lt-LT"/>
        </w:rPr>
        <w:t xml:space="preserve"> 125 mg plėvele dengtos tabletės yra šviesiai oranžinės, ovalios, abipus išgaubtos, 11 mm skersmens</w:t>
      </w:r>
      <w:r w:rsidRPr="0038079E">
        <w:rPr>
          <w:rFonts w:ascii="Times New Roman" w:hAnsi="Times New Roman" w:cs="Times New Roman"/>
          <w:color w:val="000000"/>
          <w:lang w:eastAsia="lt-LT"/>
        </w:rPr>
        <w:t>.</w:t>
      </w:r>
    </w:p>
    <w:p w:rsidR="00A4103A" w:rsidRPr="0038079E" w:rsidRDefault="00A4103A" w:rsidP="00A4103A">
      <w:pPr>
        <w:numPr>
          <w:ilvl w:val="12"/>
          <w:numId w:val="0"/>
        </w:numPr>
        <w:spacing w:after="0" w:line="240" w:lineRule="auto"/>
        <w:ind w:right="-2"/>
        <w:rPr>
          <w:rFonts w:ascii="Times New Roman" w:hAnsi="Times New Roman" w:cs="Times New Roman"/>
          <w:lang w:eastAsia="lt-LT"/>
        </w:rPr>
      </w:pPr>
    </w:p>
    <w:p w:rsidR="00A4103A" w:rsidRPr="0038079E" w:rsidRDefault="00A4103A" w:rsidP="00A4103A">
      <w:pPr>
        <w:numPr>
          <w:ilvl w:val="12"/>
          <w:numId w:val="0"/>
        </w:numPr>
        <w:spacing w:after="0" w:line="240" w:lineRule="auto"/>
        <w:ind w:right="-2"/>
        <w:rPr>
          <w:rFonts w:ascii="Times New Roman" w:hAnsi="Times New Roman" w:cs="Times New Roman"/>
          <w:lang w:eastAsia="lt-LT"/>
        </w:rPr>
      </w:pPr>
      <w:r w:rsidRPr="0038079E">
        <w:rPr>
          <w:rFonts w:ascii="Times New Roman" w:hAnsi="Times New Roman" w:cs="Times New Roman"/>
          <w:lang w:eastAsia="lt-LT"/>
        </w:rPr>
        <w:t>PVC//</w:t>
      </w:r>
      <w:proofErr w:type="spellStart"/>
      <w:r w:rsidRPr="0038079E">
        <w:rPr>
          <w:rFonts w:ascii="Times New Roman" w:hAnsi="Times New Roman" w:cs="Times New Roman"/>
          <w:lang w:eastAsia="lt-LT"/>
        </w:rPr>
        <w:t>PVdC</w:t>
      </w:r>
      <w:proofErr w:type="spellEnd"/>
      <w:r w:rsidRPr="0038079E">
        <w:rPr>
          <w:rFonts w:ascii="Times New Roman" w:hAnsi="Times New Roman" w:cs="Times New Roman"/>
          <w:lang w:eastAsia="lt-LT"/>
        </w:rPr>
        <w:t>/Al lizdinės plokštelės</w:t>
      </w:r>
    </w:p>
    <w:p w:rsidR="00A4103A" w:rsidRPr="0038079E" w:rsidRDefault="00A4103A" w:rsidP="00A4103A">
      <w:pPr>
        <w:numPr>
          <w:ilvl w:val="12"/>
          <w:numId w:val="0"/>
        </w:numPr>
        <w:spacing w:after="0" w:line="240" w:lineRule="auto"/>
        <w:ind w:right="-2"/>
        <w:rPr>
          <w:rFonts w:ascii="Times New Roman" w:hAnsi="Times New Roman" w:cs="Times New Roman"/>
          <w:lang w:eastAsia="lt-LT"/>
        </w:rPr>
      </w:pPr>
      <w:r w:rsidRPr="0038079E">
        <w:rPr>
          <w:rFonts w:ascii="Times New Roman" w:hAnsi="Times New Roman" w:cs="Times New Roman"/>
          <w:lang w:eastAsia="lt-LT"/>
        </w:rPr>
        <w:t>Kartono dėžutė, kurioje yra 14, 56 arba 112 plėvele dengtų tablečių.</w:t>
      </w:r>
    </w:p>
    <w:p w:rsidR="00A4103A" w:rsidRPr="0038079E" w:rsidRDefault="00A4103A" w:rsidP="00A4103A">
      <w:pPr>
        <w:numPr>
          <w:ilvl w:val="12"/>
          <w:numId w:val="0"/>
        </w:numPr>
        <w:spacing w:after="0" w:line="240" w:lineRule="auto"/>
        <w:ind w:right="-2"/>
        <w:rPr>
          <w:rFonts w:ascii="Times New Roman" w:hAnsi="Times New Roman" w:cs="Times New Roman"/>
          <w:lang w:eastAsia="lt-LT"/>
        </w:rPr>
      </w:pPr>
      <w:r w:rsidRPr="0038079E">
        <w:rPr>
          <w:rFonts w:ascii="Times New Roman" w:hAnsi="Times New Roman" w:cs="Times New Roman"/>
          <w:highlight w:val="lightGray"/>
          <w:lang w:eastAsia="lt-LT"/>
        </w:rPr>
        <w:t>Kartono dėžutė, kurioje yra 14, 56 arba 112 plėvele dengtų tablečių.</w:t>
      </w:r>
    </w:p>
    <w:p w:rsidR="00A4103A" w:rsidRPr="0038079E" w:rsidRDefault="00A4103A" w:rsidP="00A4103A">
      <w:pPr>
        <w:numPr>
          <w:ilvl w:val="12"/>
          <w:numId w:val="0"/>
        </w:numPr>
        <w:spacing w:after="0" w:line="240" w:lineRule="auto"/>
        <w:ind w:right="-2"/>
        <w:rPr>
          <w:rFonts w:ascii="Times New Roman" w:hAnsi="Times New Roman" w:cs="Times New Roman"/>
          <w:lang w:eastAsia="lt-LT"/>
        </w:rPr>
      </w:pPr>
    </w:p>
    <w:p w:rsidR="00A4103A" w:rsidRPr="0038079E" w:rsidRDefault="00A4103A" w:rsidP="00A4103A">
      <w:pPr>
        <w:numPr>
          <w:ilvl w:val="12"/>
          <w:numId w:val="0"/>
        </w:numPr>
        <w:spacing w:after="0" w:line="240" w:lineRule="auto"/>
        <w:ind w:right="-2"/>
        <w:rPr>
          <w:rFonts w:ascii="Times New Roman" w:hAnsi="Times New Roman" w:cs="Times New Roman"/>
          <w:lang w:eastAsia="lt-LT"/>
        </w:rPr>
      </w:pPr>
      <w:r w:rsidRPr="0038079E">
        <w:rPr>
          <w:rFonts w:ascii="Times New Roman" w:hAnsi="Times New Roman" w:cs="Times New Roman"/>
          <w:lang w:eastAsia="lt-LT"/>
        </w:rPr>
        <w:t>Gali būti tiekiamos ne visų dydžių pakuotės.</w:t>
      </w:r>
    </w:p>
    <w:p w:rsidR="00A4103A" w:rsidRPr="0038079E" w:rsidRDefault="00A4103A" w:rsidP="00A4103A">
      <w:pPr>
        <w:tabs>
          <w:tab w:val="left" w:pos="425"/>
          <w:tab w:val="left" w:pos="567"/>
        </w:tabs>
        <w:spacing w:after="0" w:line="240" w:lineRule="auto"/>
        <w:rPr>
          <w:rFonts w:ascii="Times New Roman" w:hAnsi="Times New Roman" w:cs="Times New Roman"/>
        </w:rPr>
      </w:pPr>
    </w:p>
    <w:p w:rsidR="00A4103A" w:rsidRPr="0038079E" w:rsidRDefault="00A4103A" w:rsidP="00A4103A">
      <w:pPr>
        <w:tabs>
          <w:tab w:val="left" w:pos="425"/>
          <w:tab w:val="left" w:pos="567"/>
        </w:tabs>
        <w:spacing w:after="0" w:line="240" w:lineRule="auto"/>
        <w:rPr>
          <w:rFonts w:ascii="Times New Roman" w:hAnsi="Times New Roman" w:cs="Times New Roman"/>
          <w:b/>
          <w:bCs/>
        </w:rPr>
      </w:pPr>
      <w:r w:rsidRPr="0038079E">
        <w:rPr>
          <w:rFonts w:ascii="Times New Roman" w:hAnsi="Times New Roman" w:cs="Times New Roman"/>
          <w:b/>
          <w:bCs/>
        </w:rPr>
        <w:t>R</w:t>
      </w:r>
      <w:r>
        <w:rPr>
          <w:rFonts w:ascii="Times New Roman" w:hAnsi="Times New Roman" w:cs="Times New Roman"/>
          <w:b/>
          <w:bCs/>
        </w:rPr>
        <w:t xml:space="preserve">egistruotojas </w:t>
      </w:r>
      <w:r w:rsidRPr="0038079E">
        <w:rPr>
          <w:rFonts w:ascii="Times New Roman" w:hAnsi="Times New Roman" w:cs="Times New Roman"/>
          <w:b/>
          <w:bCs/>
        </w:rPr>
        <w:t xml:space="preserve"> ir gamintojas</w:t>
      </w:r>
    </w:p>
    <w:p w:rsidR="00A4103A" w:rsidRPr="0038079E" w:rsidRDefault="00A4103A" w:rsidP="00A4103A">
      <w:pPr>
        <w:tabs>
          <w:tab w:val="left" w:pos="425"/>
          <w:tab w:val="left" w:pos="567"/>
        </w:tabs>
        <w:spacing w:after="0" w:line="240" w:lineRule="auto"/>
        <w:rPr>
          <w:rFonts w:ascii="Times New Roman" w:hAnsi="Times New Roman" w:cs="Times New Roman"/>
        </w:rPr>
      </w:pPr>
    </w:p>
    <w:p w:rsidR="00A4103A" w:rsidRPr="0038079E" w:rsidRDefault="00A4103A" w:rsidP="00A4103A">
      <w:pPr>
        <w:tabs>
          <w:tab w:val="left" w:pos="425"/>
          <w:tab w:val="left" w:pos="567"/>
        </w:tabs>
        <w:spacing w:after="0" w:line="240" w:lineRule="auto"/>
        <w:rPr>
          <w:rFonts w:ascii="Times New Roman" w:hAnsi="Times New Roman" w:cs="Times New Roman"/>
          <w:i/>
          <w:iCs/>
        </w:rPr>
      </w:pPr>
      <w:r w:rsidRPr="0038079E">
        <w:rPr>
          <w:rFonts w:ascii="Times New Roman" w:hAnsi="Times New Roman" w:cs="Times New Roman"/>
          <w:i/>
          <w:iCs/>
        </w:rPr>
        <w:t>R</w:t>
      </w:r>
      <w:r>
        <w:rPr>
          <w:rFonts w:ascii="Times New Roman" w:hAnsi="Times New Roman" w:cs="Times New Roman"/>
          <w:i/>
          <w:iCs/>
        </w:rPr>
        <w:t xml:space="preserve">egistruotojas </w:t>
      </w:r>
    </w:p>
    <w:p w:rsidR="00A4103A" w:rsidRPr="0038079E" w:rsidRDefault="00A4103A" w:rsidP="00A4103A">
      <w:pPr>
        <w:tabs>
          <w:tab w:val="left" w:pos="425"/>
          <w:tab w:val="left" w:pos="567"/>
        </w:tabs>
        <w:spacing w:after="0" w:line="240" w:lineRule="auto"/>
        <w:rPr>
          <w:rFonts w:ascii="Times New Roman" w:hAnsi="Times New Roman" w:cs="Times New Roman"/>
        </w:rPr>
      </w:pP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d.d</w:t>
      </w:r>
      <w:proofErr w:type="spellEnd"/>
      <w:r w:rsidRPr="0038079E">
        <w:rPr>
          <w:rFonts w:ascii="Times New Roman" w:hAnsi="Times New Roman" w:cs="Times New Roman"/>
        </w:rPr>
        <w:t>.</w:t>
      </w:r>
    </w:p>
    <w:p w:rsidR="00A4103A" w:rsidRPr="0038079E" w:rsidRDefault="00A4103A" w:rsidP="00A4103A">
      <w:pPr>
        <w:tabs>
          <w:tab w:val="left" w:pos="425"/>
          <w:tab w:val="left" w:pos="567"/>
        </w:tabs>
        <w:spacing w:after="0" w:line="240" w:lineRule="auto"/>
        <w:rPr>
          <w:rFonts w:ascii="Times New Roman" w:hAnsi="Times New Roman" w:cs="Times New Roman"/>
        </w:rPr>
      </w:pPr>
      <w:proofErr w:type="spellStart"/>
      <w:r w:rsidRPr="0038079E">
        <w:rPr>
          <w:rFonts w:ascii="Times New Roman" w:hAnsi="Times New Roman" w:cs="Times New Roman"/>
        </w:rPr>
        <w:t>Verovškova</w:t>
      </w:r>
      <w:proofErr w:type="spellEnd"/>
      <w:r w:rsidRPr="0038079E">
        <w:rPr>
          <w:rFonts w:ascii="Times New Roman" w:hAnsi="Times New Roman" w:cs="Times New Roman"/>
        </w:rPr>
        <w:t xml:space="preserve"> 57</w:t>
      </w:r>
    </w:p>
    <w:p w:rsidR="00A4103A" w:rsidRPr="0038079E" w:rsidRDefault="00A4103A" w:rsidP="00A4103A">
      <w:pPr>
        <w:tabs>
          <w:tab w:val="left" w:pos="425"/>
          <w:tab w:val="left" w:pos="567"/>
        </w:tabs>
        <w:spacing w:after="0" w:line="240" w:lineRule="auto"/>
        <w:rPr>
          <w:rFonts w:ascii="Times New Roman" w:hAnsi="Times New Roman" w:cs="Times New Roman"/>
        </w:rPr>
      </w:pPr>
      <w:r w:rsidRPr="0038079E">
        <w:rPr>
          <w:rFonts w:ascii="Times New Roman" w:hAnsi="Times New Roman" w:cs="Times New Roman"/>
        </w:rPr>
        <w:t xml:space="preserve">SI-1000 </w:t>
      </w:r>
      <w:proofErr w:type="spellStart"/>
      <w:r w:rsidRPr="0038079E">
        <w:rPr>
          <w:rFonts w:ascii="Times New Roman" w:hAnsi="Times New Roman" w:cs="Times New Roman"/>
        </w:rPr>
        <w:t>Ljubljana</w:t>
      </w:r>
      <w:proofErr w:type="spellEnd"/>
    </w:p>
    <w:p w:rsidR="00A4103A" w:rsidRPr="0038079E" w:rsidRDefault="00A4103A" w:rsidP="00A4103A">
      <w:pPr>
        <w:tabs>
          <w:tab w:val="left" w:pos="425"/>
          <w:tab w:val="left" w:pos="567"/>
        </w:tabs>
        <w:spacing w:after="0" w:line="240" w:lineRule="auto"/>
        <w:rPr>
          <w:rFonts w:ascii="Times New Roman" w:hAnsi="Times New Roman" w:cs="Times New Roman"/>
        </w:rPr>
      </w:pPr>
      <w:r w:rsidRPr="0038079E">
        <w:rPr>
          <w:rFonts w:ascii="Times New Roman" w:hAnsi="Times New Roman" w:cs="Times New Roman"/>
        </w:rPr>
        <w:t>Slovėnija</w:t>
      </w:r>
    </w:p>
    <w:p w:rsidR="00A4103A" w:rsidRPr="0038079E" w:rsidRDefault="00A4103A" w:rsidP="00A4103A">
      <w:pPr>
        <w:tabs>
          <w:tab w:val="left" w:pos="425"/>
          <w:tab w:val="left" w:pos="567"/>
        </w:tabs>
        <w:spacing w:after="0" w:line="240" w:lineRule="auto"/>
        <w:rPr>
          <w:rFonts w:ascii="Times New Roman" w:hAnsi="Times New Roman" w:cs="Times New Roman"/>
        </w:rPr>
      </w:pPr>
    </w:p>
    <w:p w:rsidR="00A4103A" w:rsidRPr="0038079E" w:rsidRDefault="00A4103A" w:rsidP="00A4103A">
      <w:pPr>
        <w:tabs>
          <w:tab w:val="left" w:pos="425"/>
          <w:tab w:val="left" w:pos="567"/>
        </w:tabs>
        <w:spacing w:after="0" w:line="240" w:lineRule="auto"/>
        <w:rPr>
          <w:rFonts w:ascii="Times New Roman" w:hAnsi="Times New Roman" w:cs="Times New Roman"/>
          <w:i/>
          <w:iCs/>
        </w:rPr>
      </w:pPr>
      <w:r w:rsidRPr="0038079E">
        <w:rPr>
          <w:rFonts w:ascii="Times New Roman" w:hAnsi="Times New Roman" w:cs="Times New Roman"/>
          <w:i/>
          <w:iCs/>
        </w:rPr>
        <w:t>Gamintoja</w:t>
      </w:r>
      <w:r w:rsidR="003577CC">
        <w:rPr>
          <w:rFonts w:ascii="Times New Roman" w:hAnsi="Times New Roman" w:cs="Times New Roman"/>
          <w:i/>
          <w:iCs/>
        </w:rPr>
        <w:t>s</w:t>
      </w:r>
    </w:p>
    <w:p w:rsidR="00A4103A" w:rsidRPr="0038079E" w:rsidRDefault="00A4103A" w:rsidP="00A4103A">
      <w:pPr>
        <w:tabs>
          <w:tab w:val="left" w:pos="425"/>
        </w:tabs>
        <w:spacing w:after="0" w:line="240" w:lineRule="auto"/>
        <w:rPr>
          <w:rFonts w:ascii="Times New Roman" w:hAnsi="Times New Roman" w:cs="Times New Roman"/>
        </w:rPr>
      </w:pPr>
      <w:proofErr w:type="spellStart"/>
      <w:r w:rsidRPr="0038079E">
        <w:rPr>
          <w:rFonts w:ascii="Times New Roman" w:hAnsi="Times New Roman" w:cs="Times New Roman"/>
        </w:rPr>
        <w:t>Cemelog</w:t>
      </w:r>
      <w:proofErr w:type="spellEnd"/>
      <w:r w:rsidRPr="0038079E">
        <w:rPr>
          <w:rFonts w:ascii="Times New Roman" w:hAnsi="Times New Roman" w:cs="Times New Roman"/>
        </w:rPr>
        <w:t xml:space="preserve">-BRS </w:t>
      </w:r>
      <w:proofErr w:type="spellStart"/>
      <w:r w:rsidRPr="0038079E">
        <w:rPr>
          <w:rFonts w:ascii="Times New Roman" w:hAnsi="Times New Roman" w:cs="Times New Roman"/>
        </w:rPr>
        <w:t>Ltd</w:t>
      </w:r>
      <w:proofErr w:type="spellEnd"/>
      <w:r w:rsidRPr="0038079E">
        <w:rPr>
          <w:rFonts w:ascii="Times New Roman" w:hAnsi="Times New Roman" w:cs="Times New Roman"/>
        </w:rPr>
        <w:t xml:space="preserve"> </w:t>
      </w: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 xml:space="preserve">H-2040 </w:t>
      </w:r>
      <w:proofErr w:type="spellStart"/>
      <w:r w:rsidRPr="0038079E">
        <w:rPr>
          <w:rFonts w:ascii="Times New Roman" w:hAnsi="Times New Roman" w:cs="Times New Roman"/>
        </w:rPr>
        <w:t>Budaörs</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Vasut</w:t>
      </w:r>
      <w:proofErr w:type="spellEnd"/>
      <w:r w:rsidRPr="0038079E">
        <w:rPr>
          <w:rFonts w:ascii="Times New Roman" w:hAnsi="Times New Roman" w:cs="Times New Roman"/>
        </w:rPr>
        <w:t xml:space="preserve"> u. 13 </w:t>
      </w: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 xml:space="preserve">Vengrija </w:t>
      </w: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arba</w:t>
      </w: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 </w:t>
      </w: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 xml:space="preserve">S.C. </w:t>
      </w:r>
      <w:proofErr w:type="spellStart"/>
      <w:r w:rsidRPr="0038079E">
        <w:rPr>
          <w:rFonts w:ascii="Times New Roman" w:hAnsi="Times New Roman" w:cs="Times New Roman"/>
        </w:rPr>
        <w:t>Sandoz</w:t>
      </w:r>
      <w:proofErr w:type="spellEnd"/>
      <w:r w:rsidRPr="0038079E">
        <w:rPr>
          <w:rFonts w:ascii="Times New Roman" w:hAnsi="Times New Roman" w:cs="Times New Roman"/>
        </w:rPr>
        <w:t xml:space="preserve">, S.R.L. </w:t>
      </w: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lastRenderedPageBreak/>
        <w:t xml:space="preserve">Str. </w:t>
      </w:r>
      <w:proofErr w:type="spellStart"/>
      <w:r w:rsidRPr="0038079E">
        <w:rPr>
          <w:rFonts w:ascii="Times New Roman" w:hAnsi="Times New Roman" w:cs="Times New Roman"/>
        </w:rPr>
        <w:t>Livezeni</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nr.</w:t>
      </w:r>
      <w:proofErr w:type="spellEnd"/>
      <w:r w:rsidRPr="0038079E">
        <w:rPr>
          <w:rFonts w:ascii="Times New Roman" w:hAnsi="Times New Roman" w:cs="Times New Roman"/>
        </w:rPr>
        <w:t xml:space="preserve"> 7A, RO-540472 </w:t>
      </w:r>
      <w:proofErr w:type="spellStart"/>
      <w:r w:rsidRPr="0038079E">
        <w:rPr>
          <w:rFonts w:ascii="Times New Roman" w:hAnsi="Times New Roman" w:cs="Times New Roman"/>
        </w:rPr>
        <w:t>Targu-Mures</w:t>
      </w:r>
      <w:proofErr w:type="spellEnd"/>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 xml:space="preserve">Rumunija </w:t>
      </w: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arba</w:t>
      </w: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 </w:t>
      </w:r>
    </w:p>
    <w:p w:rsidR="00A4103A" w:rsidRPr="0038079E" w:rsidRDefault="00A4103A" w:rsidP="00A4103A">
      <w:pPr>
        <w:tabs>
          <w:tab w:val="left" w:pos="425"/>
        </w:tabs>
        <w:spacing w:after="0" w:line="240" w:lineRule="auto"/>
        <w:rPr>
          <w:rFonts w:ascii="Times New Roman" w:hAnsi="Times New Roman" w:cs="Times New Roman"/>
        </w:rPr>
      </w:pPr>
      <w:proofErr w:type="spellStart"/>
      <w:r w:rsidRPr="0038079E">
        <w:rPr>
          <w:rFonts w:ascii="Times New Roman" w:hAnsi="Times New Roman" w:cs="Times New Roman"/>
        </w:rPr>
        <w:t>Lek</w:t>
      </w:r>
      <w:proofErr w:type="spellEnd"/>
      <w:r w:rsidRPr="0038079E">
        <w:rPr>
          <w:rFonts w:ascii="Times New Roman" w:hAnsi="Times New Roman" w:cs="Times New Roman"/>
        </w:rPr>
        <w:t xml:space="preserve"> S.A. </w:t>
      </w:r>
    </w:p>
    <w:p w:rsidR="00A4103A" w:rsidRPr="0038079E" w:rsidRDefault="00A4103A" w:rsidP="00A4103A">
      <w:pPr>
        <w:tabs>
          <w:tab w:val="left" w:pos="425"/>
        </w:tabs>
        <w:spacing w:after="0" w:line="240" w:lineRule="auto"/>
        <w:rPr>
          <w:rFonts w:ascii="Times New Roman" w:hAnsi="Times New Roman" w:cs="Times New Roman"/>
        </w:rPr>
      </w:pPr>
      <w:proofErr w:type="spellStart"/>
      <w:r w:rsidRPr="0038079E">
        <w:rPr>
          <w:rFonts w:ascii="Times New Roman" w:hAnsi="Times New Roman" w:cs="Times New Roman"/>
        </w:rPr>
        <w:t>ul</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Domaniewska</w:t>
      </w:r>
      <w:proofErr w:type="spellEnd"/>
      <w:r w:rsidRPr="0038079E">
        <w:rPr>
          <w:rFonts w:ascii="Times New Roman" w:hAnsi="Times New Roman" w:cs="Times New Roman"/>
        </w:rPr>
        <w:t xml:space="preserve"> 50 C, 02-672 </w:t>
      </w:r>
      <w:proofErr w:type="spellStart"/>
      <w:r w:rsidRPr="0038079E">
        <w:rPr>
          <w:rFonts w:ascii="Times New Roman" w:hAnsi="Times New Roman" w:cs="Times New Roman"/>
        </w:rPr>
        <w:t>Warszawa</w:t>
      </w:r>
      <w:proofErr w:type="spellEnd"/>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 xml:space="preserve">Lenkija </w:t>
      </w: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arba</w:t>
      </w: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 </w:t>
      </w:r>
    </w:p>
    <w:p w:rsidR="00A4103A" w:rsidRPr="0038079E" w:rsidRDefault="00A4103A" w:rsidP="00A4103A">
      <w:pPr>
        <w:tabs>
          <w:tab w:val="left" w:pos="425"/>
        </w:tabs>
        <w:spacing w:after="0" w:line="240" w:lineRule="auto"/>
        <w:rPr>
          <w:rFonts w:ascii="Times New Roman" w:hAnsi="Times New Roman" w:cs="Times New Roman"/>
        </w:rPr>
      </w:pPr>
      <w:proofErr w:type="spellStart"/>
      <w:r w:rsidRPr="0038079E">
        <w:rPr>
          <w:rFonts w:ascii="Times New Roman" w:hAnsi="Times New Roman" w:cs="Times New Roman"/>
        </w:rPr>
        <w:t>Salutas</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Pharma</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GmbH</w:t>
      </w:r>
      <w:proofErr w:type="spellEnd"/>
      <w:r w:rsidRPr="0038079E">
        <w:rPr>
          <w:rFonts w:ascii="Times New Roman" w:hAnsi="Times New Roman" w:cs="Times New Roman"/>
        </w:rPr>
        <w:t xml:space="preserve"> </w:t>
      </w:r>
    </w:p>
    <w:p w:rsidR="00A4103A" w:rsidRPr="0038079E" w:rsidRDefault="00A4103A" w:rsidP="00A4103A">
      <w:pPr>
        <w:tabs>
          <w:tab w:val="left" w:pos="425"/>
        </w:tabs>
        <w:spacing w:after="0" w:line="240" w:lineRule="auto"/>
        <w:rPr>
          <w:rFonts w:ascii="Times New Roman" w:hAnsi="Times New Roman" w:cs="Times New Roman"/>
        </w:rPr>
      </w:pPr>
      <w:proofErr w:type="spellStart"/>
      <w:r w:rsidRPr="0038079E">
        <w:rPr>
          <w:rFonts w:ascii="Times New Roman" w:hAnsi="Times New Roman" w:cs="Times New Roman"/>
        </w:rPr>
        <w:t>Otto-von-Guericke-Allee</w:t>
      </w:r>
      <w:proofErr w:type="spellEnd"/>
      <w:r w:rsidRPr="0038079E">
        <w:rPr>
          <w:rFonts w:ascii="Times New Roman" w:hAnsi="Times New Roman" w:cs="Times New Roman"/>
        </w:rPr>
        <w:t xml:space="preserve"> 1, 39179 </w:t>
      </w:r>
      <w:proofErr w:type="spellStart"/>
      <w:r w:rsidRPr="0038079E">
        <w:rPr>
          <w:rFonts w:ascii="Times New Roman" w:hAnsi="Times New Roman" w:cs="Times New Roman"/>
        </w:rPr>
        <w:t>Barleben</w:t>
      </w:r>
      <w:proofErr w:type="spellEnd"/>
      <w:r w:rsidRPr="0038079E">
        <w:rPr>
          <w:rFonts w:ascii="Times New Roman" w:hAnsi="Times New Roman" w:cs="Times New Roman"/>
        </w:rPr>
        <w:t xml:space="preserve"> </w:t>
      </w: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 xml:space="preserve">Vokietija </w:t>
      </w:r>
    </w:p>
    <w:p w:rsidR="00A4103A" w:rsidRPr="0038079E" w:rsidRDefault="00A4103A" w:rsidP="00A4103A">
      <w:pPr>
        <w:tabs>
          <w:tab w:val="left" w:pos="425"/>
        </w:tabs>
        <w:spacing w:after="0" w:line="240" w:lineRule="auto"/>
        <w:jc w:val="both"/>
        <w:rPr>
          <w:rFonts w:ascii="Times New Roman" w:hAnsi="Times New Roman" w:cs="Times New Roman"/>
        </w:rPr>
      </w:pPr>
    </w:p>
    <w:p w:rsidR="00A4103A" w:rsidRPr="0038079E" w:rsidRDefault="00A4103A" w:rsidP="00A4103A">
      <w:pPr>
        <w:tabs>
          <w:tab w:val="left" w:pos="425"/>
        </w:tabs>
        <w:spacing w:after="0" w:line="240" w:lineRule="auto"/>
        <w:jc w:val="both"/>
        <w:rPr>
          <w:rFonts w:ascii="Times New Roman" w:hAnsi="Times New Roman" w:cs="Times New Roman"/>
        </w:rPr>
      </w:pPr>
      <w:r w:rsidRPr="0038079E">
        <w:rPr>
          <w:rFonts w:ascii="Times New Roman" w:hAnsi="Times New Roman" w:cs="Times New Roman"/>
        </w:rPr>
        <w:t>arba</w:t>
      </w:r>
    </w:p>
    <w:p w:rsidR="00A4103A" w:rsidRPr="0038079E" w:rsidRDefault="00A4103A" w:rsidP="00A4103A">
      <w:pPr>
        <w:tabs>
          <w:tab w:val="left" w:pos="425"/>
        </w:tabs>
        <w:spacing w:after="0" w:line="240" w:lineRule="auto"/>
        <w:jc w:val="both"/>
        <w:rPr>
          <w:rFonts w:ascii="Times New Roman" w:hAnsi="Times New Roman" w:cs="Times New Roman"/>
        </w:rPr>
      </w:pPr>
      <w:r w:rsidRPr="0038079E">
        <w:rPr>
          <w:rFonts w:ascii="Times New Roman" w:hAnsi="Times New Roman" w:cs="Times New Roman"/>
        </w:rPr>
        <w:t> </w:t>
      </w:r>
    </w:p>
    <w:p w:rsidR="00A4103A" w:rsidRPr="0038079E" w:rsidRDefault="00A4103A" w:rsidP="00A4103A">
      <w:pPr>
        <w:tabs>
          <w:tab w:val="left" w:pos="425"/>
        </w:tabs>
        <w:spacing w:after="0" w:line="240" w:lineRule="auto"/>
        <w:rPr>
          <w:rFonts w:ascii="Times New Roman" w:hAnsi="Times New Roman" w:cs="Times New Roman"/>
        </w:rPr>
      </w:pPr>
      <w:proofErr w:type="spellStart"/>
      <w:r w:rsidRPr="0038079E">
        <w:rPr>
          <w:rFonts w:ascii="Times New Roman" w:hAnsi="Times New Roman" w:cs="Times New Roman"/>
        </w:rPr>
        <w:t>Lek</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Pharmaceuticals</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d.d</w:t>
      </w:r>
      <w:proofErr w:type="spellEnd"/>
      <w:r w:rsidRPr="0038079E">
        <w:rPr>
          <w:rFonts w:ascii="Times New Roman" w:hAnsi="Times New Roman" w:cs="Times New Roman"/>
        </w:rPr>
        <w:t xml:space="preserve">. </w:t>
      </w:r>
    </w:p>
    <w:p w:rsidR="00A4103A" w:rsidRPr="0038079E" w:rsidRDefault="00A4103A" w:rsidP="00A4103A">
      <w:pPr>
        <w:tabs>
          <w:tab w:val="left" w:pos="425"/>
        </w:tabs>
        <w:spacing w:after="0" w:line="240" w:lineRule="auto"/>
        <w:rPr>
          <w:rFonts w:ascii="Times New Roman" w:hAnsi="Times New Roman" w:cs="Times New Roman"/>
        </w:rPr>
      </w:pPr>
      <w:proofErr w:type="spellStart"/>
      <w:r w:rsidRPr="0038079E">
        <w:rPr>
          <w:rFonts w:ascii="Times New Roman" w:hAnsi="Times New Roman" w:cs="Times New Roman"/>
        </w:rPr>
        <w:t>Verovškova</w:t>
      </w:r>
      <w:proofErr w:type="spellEnd"/>
      <w:r w:rsidRPr="0038079E">
        <w:rPr>
          <w:rFonts w:ascii="Times New Roman" w:hAnsi="Times New Roman" w:cs="Times New Roman"/>
        </w:rPr>
        <w:t xml:space="preserve"> 57, 1526 </w:t>
      </w:r>
      <w:proofErr w:type="spellStart"/>
      <w:r w:rsidRPr="0038079E">
        <w:rPr>
          <w:rFonts w:ascii="Times New Roman" w:hAnsi="Times New Roman" w:cs="Times New Roman"/>
        </w:rPr>
        <w:t>Ljubljana</w:t>
      </w:r>
      <w:proofErr w:type="spellEnd"/>
      <w:r w:rsidRPr="0038079E">
        <w:rPr>
          <w:rFonts w:ascii="Times New Roman" w:hAnsi="Times New Roman" w:cs="Times New Roman"/>
        </w:rPr>
        <w:t>,</w:t>
      </w: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 xml:space="preserve">Slovėnija </w:t>
      </w:r>
    </w:p>
    <w:p w:rsidR="00A4103A" w:rsidRPr="0038079E" w:rsidRDefault="00A4103A" w:rsidP="00A4103A">
      <w:pPr>
        <w:tabs>
          <w:tab w:val="left" w:pos="425"/>
        </w:tabs>
        <w:spacing w:after="0" w:line="240" w:lineRule="auto"/>
        <w:rPr>
          <w:rFonts w:ascii="Times New Roman" w:hAnsi="Times New Roman" w:cs="Times New Roman"/>
        </w:rPr>
      </w:pP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arba</w:t>
      </w: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 </w:t>
      </w: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 xml:space="preserve">GE </w:t>
      </w:r>
      <w:proofErr w:type="spellStart"/>
      <w:r w:rsidRPr="0038079E">
        <w:rPr>
          <w:rFonts w:ascii="Times New Roman" w:hAnsi="Times New Roman" w:cs="Times New Roman"/>
        </w:rPr>
        <w:t>Pharmaceuticals</w:t>
      </w:r>
      <w:proofErr w:type="spellEnd"/>
      <w:r w:rsidRPr="0038079E">
        <w:rPr>
          <w:rFonts w:ascii="Times New Roman" w:hAnsi="Times New Roman" w:cs="Times New Roman"/>
        </w:rPr>
        <w:t xml:space="preserve"> Ltd. </w:t>
      </w:r>
    </w:p>
    <w:p w:rsidR="00A4103A" w:rsidRPr="0038079E" w:rsidRDefault="00A4103A" w:rsidP="00A4103A">
      <w:pPr>
        <w:tabs>
          <w:tab w:val="left" w:pos="425"/>
        </w:tabs>
        <w:spacing w:after="0" w:line="240" w:lineRule="auto"/>
        <w:rPr>
          <w:rFonts w:ascii="Times New Roman" w:hAnsi="Times New Roman" w:cs="Times New Roman"/>
        </w:rPr>
      </w:pPr>
      <w:proofErr w:type="spellStart"/>
      <w:r w:rsidRPr="0038079E">
        <w:rPr>
          <w:rFonts w:ascii="Times New Roman" w:hAnsi="Times New Roman" w:cs="Times New Roman"/>
        </w:rPr>
        <w:t>Industrial</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Zone</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Chekanitza-South</w:t>
      </w:r>
      <w:proofErr w:type="spellEnd"/>
      <w:r w:rsidRPr="0038079E">
        <w:rPr>
          <w:rFonts w:ascii="Times New Roman" w:hAnsi="Times New Roman" w:cs="Times New Roman"/>
        </w:rPr>
        <w:t xml:space="preserve"> </w:t>
      </w:r>
      <w:proofErr w:type="spellStart"/>
      <w:r w:rsidRPr="0038079E">
        <w:rPr>
          <w:rFonts w:ascii="Times New Roman" w:hAnsi="Times New Roman" w:cs="Times New Roman"/>
        </w:rPr>
        <w:t>area</w:t>
      </w:r>
      <w:proofErr w:type="spellEnd"/>
      <w:r w:rsidRPr="0038079E">
        <w:rPr>
          <w:rFonts w:ascii="Times New Roman" w:hAnsi="Times New Roman" w:cs="Times New Roman"/>
        </w:rPr>
        <w:t xml:space="preserve">, 2140 </w:t>
      </w:r>
      <w:proofErr w:type="spellStart"/>
      <w:r w:rsidRPr="0038079E">
        <w:rPr>
          <w:rFonts w:ascii="Times New Roman" w:hAnsi="Times New Roman" w:cs="Times New Roman"/>
        </w:rPr>
        <w:t>Botevgrad</w:t>
      </w:r>
      <w:proofErr w:type="spellEnd"/>
      <w:r w:rsidRPr="0038079E">
        <w:rPr>
          <w:rFonts w:ascii="Times New Roman" w:hAnsi="Times New Roman" w:cs="Times New Roman"/>
        </w:rPr>
        <w:t xml:space="preserve"> </w:t>
      </w:r>
    </w:p>
    <w:p w:rsidR="00A4103A" w:rsidRPr="0038079E" w:rsidRDefault="00A4103A" w:rsidP="00A4103A">
      <w:pPr>
        <w:tabs>
          <w:tab w:val="left" w:pos="425"/>
        </w:tabs>
        <w:spacing w:after="0" w:line="240" w:lineRule="auto"/>
        <w:rPr>
          <w:rFonts w:ascii="Times New Roman" w:hAnsi="Times New Roman" w:cs="Times New Roman"/>
        </w:rPr>
      </w:pPr>
      <w:r w:rsidRPr="0038079E">
        <w:rPr>
          <w:rFonts w:ascii="Times New Roman" w:hAnsi="Times New Roman" w:cs="Times New Roman"/>
        </w:rPr>
        <w:t xml:space="preserve">Bulgarija </w:t>
      </w:r>
    </w:p>
    <w:p w:rsidR="00A4103A" w:rsidRPr="0038079E" w:rsidRDefault="00A4103A" w:rsidP="00A4103A">
      <w:pPr>
        <w:tabs>
          <w:tab w:val="left" w:pos="567"/>
        </w:tabs>
        <w:spacing w:after="0" w:line="240" w:lineRule="auto"/>
        <w:rPr>
          <w:rFonts w:ascii="Times New Roman" w:hAnsi="Times New Roman" w:cs="Times New Roman"/>
          <w:lang w:eastAsia="lt-LT"/>
        </w:rPr>
      </w:pPr>
    </w:p>
    <w:p w:rsidR="00A4103A" w:rsidRPr="0038079E" w:rsidRDefault="00A4103A" w:rsidP="00A4103A">
      <w:pPr>
        <w:tabs>
          <w:tab w:val="left" w:pos="567"/>
        </w:tabs>
        <w:spacing w:after="0" w:line="240" w:lineRule="auto"/>
        <w:rPr>
          <w:rFonts w:ascii="Times New Roman" w:hAnsi="Times New Roman" w:cs="Times New Roman"/>
          <w:lang w:eastAsia="lt-LT"/>
        </w:rPr>
      </w:pPr>
      <w:r w:rsidRPr="0038079E">
        <w:rPr>
          <w:rFonts w:ascii="Times New Roman" w:hAnsi="Times New Roman" w:cs="Times New Roman"/>
          <w:lang w:eastAsia="lt-LT"/>
        </w:rPr>
        <w:t xml:space="preserve">Jeigu apie šį vaistą norite sužinoti daugiau, kreipkitės į vietinį </w:t>
      </w:r>
      <w:r>
        <w:rPr>
          <w:rFonts w:ascii="Times New Roman" w:hAnsi="Times New Roman" w:cs="Times New Roman"/>
          <w:lang w:eastAsia="lt-LT"/>
        </w:rPr>
        <w:t>registruotojo</w:t>
      </w:r>
      <w:r w:rsidRPr="0038079E">
        <w:rPr>
          <w:rFonts w:ascii="Times New Roman" w:hAnsi="Times New Roman" w:cs="Times New Roman"/>
          <w:lang w:eastAsia="lt-LT"/>
        </w:rPr>
        <w:t xml:space="preserve"> atstovą</w:t>
      </w:r>
      <w:r w:rsidR="003577CC">
        <w:rPr>
          <w:rFonts w:ascii="Times New Roman" w:hAnsi="Times New Roman" w:cs="Times New Roman"/>
          <w:lang w:eastAsia="lt-LT"/>
        </w:rPr>
        <w:t>.</w:t>
      </w:r>
    </w:p>
    <w:p w:rsidR="00A4103A" w:rsidRPr="0038079E" w:rsidRDefault="00A4103A" w:rsidP="00A4103A">
      <w:pPr>
        <w:tabs>
          <w:tab w:val="left" w:pos="567"/>
        </w:tabs>
        <w:spacing w:after="0" w:line="240" w:lineRule="auto"/>
        <w:rPr>
          <w:rFonts w:ascii="Times New Roman" w:hAnsi="Times New Roman" w:cs="Times New Roman"/>
          <w:lang w:eastAsia="lt-LT"/>
        </w:rPr>
      </w:pPr>
    </w:p>
    <w:p w:rsidR="00A4103A" w:rsidRPr="0038079E" w:rsidRDefault="00A4103A" w:rsidP="00A4103A">
      <w:pPr>
        <w:tabs>
          <w:tab w:val="left" w:pos="567"/>
        </w:tabs>
        <w:spacing w:after="0" w:line="240" w:lineRule="auto"/>
        <w:rPr>
          <w:rFonts w:ascii="Times New Roman" w:hAnsi="Times New Roman" w:cs="Times New Roman"/>
          <w:lang w:eastAsia="lt-LT"/>
        </w:rPr>
      </w:pPr>
      <w:proofErr w:type="spellStart"/>
      <w:r w:rsidRPr="0038079E">
        <w:rPr>
          <w:rFonts w:ascii="Times New Roman" w:hAnsi="Times New Roman" w:cs="Times New Roman"/>
          <w:lang w:eastAsia="lt-LT"/>
        </w:rPr>
        <w:t>Sandoz</w:t>
      </w:r>
      <w:proofErr w:type="spellEnd"/>
      <w:r w:rsidRPr="0038079E">
        <w:rPr>
          <w:rFonts w:ascii="Times New Roman" w:hAnsi="Times New Roman" w:cs="Times New Roman"/>
          <w:lang w:eastAsia="lt-LT"/>
        </w:rPr>
        <w:t xml:space="preserve"> </w:t>
      </w:r>
      <w:proofErr w:type="spellStart"/>
      <w:r w:rsidRPr="0038079E">
        <w:rPr>
          <w:rFonts w:ascii="Times New Roman" w:hAnsi="Times New Roman" w:cs="Times New Roman"/>
          <w:lang w:eastAsia="lt-LT"/>
        </w:rPr>
        <w:t>Pharmaceuticals</w:t>
      </w:r>
      <w:proofErr w:type="spellEnd"/>
      <w:r w:rsidRPr="0038079E">
        <w:rPr>
          <w:rFonts w:ascii="Times New Roman" w:hAnsi="Times New Roman" w:cs="Times New Roman"/>
          <w:lang w:eastAsia="lt-LT"/>
        </w:rPr>
        <w:t xml:space="preserve"> </w:t>
      </w:r>
      <w:proofErr w:type="spellStart"/>
      <w:r w:rsidRPr="0038079E">
        <w:rPr>
          <w:rFonts w:ascii="Times New Roman" w:hAnsi="Times New Roman" w:cs="Times New Roman"/>
          <w:lang w:eastAsia="lt-LT"/>
        </w:rPr>
        <w:t>d.d</w:t>
      </w:r>
      <w:proofErr w:type="spellEnd"/>
      <w:r w:rsidRPr="0038079E">
        <w:rPr>
          <w:rFonts w:ascii="Times New Roman" w:hAnsi="Times New Roman" w:cs="Times New Roman"/>
          <w:lang w:eastAsia="lt-LT"/>
        </w:rPr>
        <w:t>. filialas</w:t>
      </w:r>
    </w:p>
    <w:p w:rsidR="00A4103A" w:rsidRPr="0038079E" w:rsidRDefault="00A4103A" w:rsidP="00A4103A">
      <w:pPr>
        <w:tabs>
          <w:tab w:val="left" w:pos="567"/>
        </w:tabs>
        <w:spacing w:after="0" w:line="240" w:lineRule="auto"/>
        <w:rPr>
          <w:rFonts w:ascii="Times New Roman" w:hAnsi="Times New Roman" w:cs="Times New Roman"/>
          <w:lang w:eastAsia="lt-LT"/>
        </w:rPr>
      </w:pPr>
      <w:r w:rsidRPr="0038079E">
        <w:rPr>
          <w:rFonts w:ascii="Times New Roman" w:hAnsi="Times New Roman" w:cs="Times New Roman"/>
          <w:lang w:eastAsia="lt-LT"/>
        </w:rPr>
        <w:t>Šeimyniškių 3A</w:t>
      </w:r>
    </w:p>
    <w:p w:rsidR="00A4103A" w:rsidRPr="0038079E" w:rsidRDefault="00A4103A" w:rsidP="00A4103A">
      <w:pPr>
        <w:tabs>
          <w:tab w:val="left" w:pos="567"/>
        </w:tabs>
        <w:spacing w:after="0" w:line="240" w:lineRule="auto"/>
        <w:rPr>
          <w:rFonts w:ascii="Times New Roman" w:hAnsi="Times New Roman" w:cs="Times New Roman"/>
          <w:lang w:eastAsia="lt-LT"/>
        </w:rPr>
      </w:pPr>
      <w:r w:rsidRPr="0038079E">
        <w:rPr>
          <w:rFonts w:ascii="Times New Roman" w:hAnsi="Times New Roman" w:cs="Times New Roman"/>
          <w:lang w:eastAsia="lt-LT"/>
        </w:rPr>
        <w:t>LT-09312 Vilnius</w:t>
      </w:r>
    </w:p>
    <w:p w:rsidR="00A4103A" w:rsidRPr="0038079E" w:rsidRDefault="00A4103A" w:rsidP="00A4103A">
      <w:pPr>
        <w:tabs>
          <w:tab w:val="left" w:pos="567"/>
        </w:tabs>
        <w:spacing w:after="0" w:line="240" w:lineRule="auto"/>
        <w:rPr>
          <w:rFonts w:ascii="Times New Roman" w:hAnsi="Times New Roman" w:cs="Times New Roman"/>
          <w:lang w:eastAsia="lt-LT"/>
        </w:rPr>
      </w:pPr>
      <w:r w:rsidRPr="0038079E">
        <w:rPr>
          <w:rFonts w:ascii="Times New Roman" w:hAnsi="Times New Roman" w:cs="Times New Roman"/>
          <w:lang w:eastAsia="lt-LT"/>
        </w:rPr>
        <w:t>Tel. +370 5 2636</w:t>
      </w:r>
      <w:r>
        <w:rPr>
          <w:rFonts w:ascii="Times New Roman" w:hAnsi="Times New Roman" w:cs="Times New Roman"/>
          <w:lang w:eastAsia="lt-LT"/>
        </w:rPr>
        <w:t xml:space="preserve"> </w:t>
      </w:r>
      <w:r w:rsidRPr="0038079E">
        <w:rPr>
          <w:rFonts w:ascii="Times New Roman" w:hAnsi="Times New Roman" w:cs="Times New Roman"/>
          <w:lang w:eastAsia="lt-LT"/>
        </w:rPr>
        <w:t>036</w:t>
      </w:r>
    </w:p>
    <w:p w:rsidR="00A4103A" w:rsidRPr="00A045A1" w:rsidRDefault="00A4103A" w:rsidP="00A4103A">
      <w:pPr>
        <w:tabs>
          <w:tab w:val="left" w:pos="567"/>
        </w:tabs>
        <w:spacing w:after="0" w:line="240" w:lineRule="auto"/>
        <w:rPr>
          <w:rFonts w:ascii="Times New Roman" w:hAnsi="Times New Roman" w:cs="Times New Roman"/>
          <w:lang w:eastAsia="lt-LT"/>
        </w:rPr>
      </w:pPr>
      <w:r w:rsidRPr="00A045A1">
        <w:rPr>
          <w:rFonts w:ascii="Times New Roman" w:hAnsi="Times New Roman" w:cs="Times New Roman"/>
          <w:lang w:eastAsia="lt-LT"/>
        </w:rPr>
        <w:t>Nemokama linija pacientams +370 800 00877</w:t>
      </w:r>
    </w:p>
    <w:p w:rsidR="00A4103A" w:rsidRPr="00A045A1" w:rsidRDefault="00A4103A" w:rsidP="00A4103A">
      <w:pPr>
        <w:tabs>
          <w:tab w:val="left" w:pos="567"/>
        </w:tabs>
        <w:spacing w:after="0" w:line="240" w:lineRule="auto"/>
        <w:rPr>
          <w:rFonts w:ascii="Times New Roman" w:hAnsi="Times New Roman" w:cs="Times New Roman"/>
          <w:lang w:eastAsia="lt-LT"/>
        </w:rPr>
      </w:pPr>
      <w:r w:rsidRPr="00A045A1">
        <w:rPr>
          <w:rFonts w:ascii="Times New Roman" w:hAnsi="Times New Roman" w:cs="Times New Roman"/>
          <w:lang w:eastAsia="lt-LT"/>
        </w:rPr>
        <w:t>Faksas +370 5 2636 036</w:t>
      </w:r>
    </w:p>
    <w:p w:rsidR="00A4103A" w:rsidRPr="00A045A1" w:rsidRDefault="00A4103A" w:rsidP="00A4103A">
      <w:pPr>
        <w:tabs>
          <w:tab w:val="left" w:pos="567"/>
        </w:tabs>
        <w:spacing w:after="0" w:line="240" w:lineRule="auto"/>
        <w:rPr>
          <w:rFonts w:ascii="Times New Roman" w:hAnsi="Times New Roman" w:cs="Times New Roman"/>
          <w:lang w:eastAsia="lt-LT"/>
        </w:rPr>
      </w:pPr>
      <w:proofErr w:type="spellStart"/>
      <w:r w:rsidRPr="00A045A1">
        <w:rPr>
          <w:rFonts w:ascii="Times New Roman" w:hAnsi="Times New Roman" w:cs="Times New Roman"/>
          <w:lang w:eastAsia="lt-LT"/>
        </w:rPr>
        <w:t>El.paštas</w:t>
      </w:r>
      <w:proofErr w:type="spellEnd"/>
      <w:r w:rsidRPr="00A045A1">
        <w:rPr>
          <w:rFonts w:ascii="Times New Roman" w:hAnsi="Times New Roman" w:cs="Times New Roman"/>
          <w:lang w:eastAsia="lt-LT"/>
        </w:rPr>
        <w:t xml:space="preserve">: </w:t>
      </w:r>
      <w:hyperlink r:id="rId13" w:history="1">
        <w:r w:rsidRPr="00A045A1">
          <w:rPr>
            <w:rFonts w:ascii="Times New Roman" w:hAnsi="Times New Roman" w:cs="Times New Roman"/>
            <w:lang w:eastAsia="lt-LT"/>
          </w:rPr>
          <w:t>info.lithuania@sandoz.com</w:t>
        </w:r>
      </w:hyperlink>
    </w:p>
    <w:p w:rsidR="00A4103A" w:rsidRPr="0038079E" w:rsidRDefault="00A4103A" w:rsidP="00A4103A">
      <w:pPr>
        <w:tabs>
          <w:tab w:val="left" w:pos="567"/>
        </w:tabs>
        <w:spacing w:after="0" w:line="240" w:lineRule="auto"/>
        <w:rPr>
          <w:rFonts w:ascii="Times New Roman" w:hAnsi="Times New Roman" w:cs="Times New Roman"/>
          <w:b/>
          <w:bCs/>
          <w:lang w:eastAsia="lt-LT"/>
        </w:rPr>
      </w:pPr>
    </w:p>
    <w:p w:rsidR="00A4103A" w:rsidRPr="0038079E" w:rsidRDefault="00A4103A" w:rsidP="00A4103A">
      <w:pPr>
        <w:tabs>
          <w:tab w:val="left" w:pos="567"/>
        </w:tabs>
        <w:spacing w:after="0" w:line="240" w:lineRule="auto"/>
        <w:rPr>
          <w:rFonts w:ascii="Times New Roman" w:hAnsi="Times New Roman" w:cs="Times New Roman"/>
          <w:b/>
          <w:bCs/>
          <w:lang w:eastAsia="lt-LT"/>
        </w:rPr>
      </w:pPr>
      <w:r w:rsidRPr="0038079E">
        <w:rPr>
          <w:rFonts w:ascii="Times New Roman" w:hAnsi="Times New Roman" w:cs="Times New Roman"/>
          <w:b/>
          <w:bCs/>
          <w:lang w:eastAsia="lt-LT"/>
        </w:rPr>
        <w:t>Ši</w:t>
      </w:r>
      <w:r>
        <w:rPr>
          <w:rFonts w:ascii="Times New Roman" w:hAnsi="Times New Roman" w:cs="Times New Roman"/>
          <w:b/>
          <w:bCs/>
          <w:lang w:eastAsia="lt-LT"/>
        </w:rPr>
        <w:t>s vaistas</w:t>
      </w:r>
      <w:r w:rsidRPr="0038079E">
        <w:rPr>
          <w:rFonts w:ascii="Times New Roman" w:hAnsi="Times New Roman" w:cs="Times New Roman"/>
          <w:b/>
          <w:bCs/>
          <w:lang w:eastAsia="lt-LT"/>
        </w:rPr>
        <w:t xml:space="preserve"> EEE valstybėse narėse </w:t>
      </w:r>
      <w:r>
        <w:rPr>
          <w:rFonts w:ascii="Times New Roman" w:hAnsi="Times New Roman" w:cs="Times New Roman"/>
          <w:b/>
          <w:bCs/>
          <w:lang w:eastAsia="lt-LT"/>
        </w:rPr>
        <w:t>registruotas</w:t>
      </w:r>
      <w:r w:rsidRPr="0038079E">
        <w:rPr>
          <w:rFonts w:ascii="Times New Roman" w:hAnsi="Times New Roman" w:cs="Times New Roman"/>
          <w:b/>
          <w:bCs/>
          <w:lang w:eastAsia="lt-LT"/>
        </w:rPr>
        <w:t xml:space="preserve"> tokiais pavadinimais:</w:t>
      </w:r>
    </w:p>
    <w:p w:rsidR="00A4103A" w:rsidRPr="0038079E" w:rsidRDefault="00A4103A" w:rsidP="00A4103A">
      <w:pPr>
        <w:tabs>
          <w:tab w:val="left" w:pos="567"/>
        </w:tabs>
        <w:spacing w:after="0" w:line="240" w:lineRule="auto"/>
        <w:rPr>
          <w:rFonts w:ascii="Times New Roman" w:hAnsi="Times New Roman" w:cs="Times New Roman"/>
          <w:b/>
          <w:bCs/>
          <w:lang w:eastAsia="lt-LT"/>
        </w:rPr>
      </w:pPr>
    </w:p>
    <w:p w:rsidR="00A4103A" w:rsidRPr="0038079E" w:rsidRDefault="00A4103A" w:rsidP="00A4103A">
      <w:pPr>
        <w:spacing w:after="0" w:line="240" w:lineRule="auto"/>
        <w:ind w:left="1418" w:hanging="1418"/>
        <w:rPr>
          <w:rFonts w:ascii="Times New Roman" w:hAnsi="Times New Roman" w:cs="Times New Roman"/>
          <w:lang w:val="es-ES"/>
        </w:rPr>
      </w:pPr>
      <w:r w:rsidRPr="0038079E">
        <w:rPr>
          <w:rFonts w:ascii="Times New Roman" w:hAnsi="Times New Roman" w:cs="Times New Roman"/>
          <w:color w:val="000000"/>
        </w:rPr>
        <w:t>Bulgarija</w:t>
      </w:r>
      <w:r w:rsidRPr="0038079E">
        <w:rPr>
          <w:rFonts w:ascii="Times New Roman" w:hAnsi="Times New Roman" w:cs="Times New Roman"/>
          <w:color w:val="000000"/>
        </w:rPr>
        <w:tab/>
      </w:r>
      <w:proofErr w:type="spellStart"/>
      <w:r w:rsidRPr="0038079E">
        <w:rPr>
          <w:rFonts w:ascii="Times New Roman" w:hAnsi="Times New Roman" w:cs="Times New Roman"/>
          <w:lang w:val="es-ES"/>
        </w:rPr>
        <w:t>Bosentan</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Sandoz</w:t>
      </w:r>
      <w:proofErr w:type="spellEnd"/>
    </w:p>
    <w:p w:rsidR="00A4103A" w:rsidRPr="0038079E" w:rsidRDefault="00A4103A" w:rsidP="00A4103A">
      <w:pPr>
        <w:spacing w:after="0" w:line="240" w:lineRule="auto"/>
        <w:ind w:left="1418" w:hanging="1418"/>
        <w:rPr>
          <w:rFonts w:ascii="Times New Roman" w:hAnsi="Times New Roman" w:cs="Times New Roman"/>
          <w:color w:val="000000"/>
        </w:rPr>
      </w:pPr>
      <w:r w:rsidRPr="0038079E">
        <w:rPr>
          <w:rFonts w:ascii="Times New Roman" w:hAnsi="Times New Roman" w:cs="Times New Roman"/>
        </w:rPr>
        <w:t>Čekija</w:t>
      </w:r>
      <w:r w:rsidRPr="0038079E">
        <w:rPr>
          <w:rFonts w:ascii="Times New Roman" w:hAnsi="Times New Roman" w:cs="Times New Roman"/>
        </w:rPr>
        <w:tab/>
      </w:r>
      <w:proofErr w:type="spellStart"/>
      <w:r w:rsidRPr="0038079E">
        <w:rPr>
          <w:rFonts w:ascii="Times New Roman" w:hAnsi="Times New Roman" w:cs="Times New Roman"/>
          <w:lang w:val="es-ES"/>
        </w:rPr>
        <w:t>Bosentan</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Sandoz</w:t>
      </w:r>
      <w:proofErr w:type="spellEnd"/>
    </w:p>
    <w:p w:rsidR="00A4103A" w:rsidRPr="0038079E" w:rsidRDefault="00A4103A" w:rsidP="00A4103A">
      <w:pPr>
        <w:spacing w:after="0" w:line="240" w:lineRule="auto"/>
        <w:ind w:left="1418" w:hanging="1418"/>
        <w:rPr>
          <w:rFonts w:ascii="Times New Roman" w:hAnsi="Times New Roman" w:cs="Times New Roman"/>
          <w:color w:val="000000"/>
          <w:lang w:val="es-ES"/>
        </w:rPr>
      </w:pPr>
      <w:r w:rsidRPr="0038079E">
        <w:rPr>
          <w:rFonts w:ascii="Times New Roman" w:hAnsi="Times New Roman" w:cs="Times New Roman"/>
          <w:color w:val="000000"/>
        </w:rPr>
        <w:t>Estija</w:t>
      </w:r>
      <w:r w:rsidRPr="0038079E">
        <w:rPr>
          <w:rFonts w:ascii="Times New Roman" w:hAnsi="Times New Roman" w:cs="Times New Roman"/>
          <w:color w:val="000000"/>
        </w:rPr>
        <w:tab/>
      </w:r>
      <w:proofErr w:type="spellStart"/>
      <w:r w:rsidRPr="0038079E">
        <w:rPr>
          <w:rFonts w:ascii="Times New Roman" w:hAnsi="Times New Roman" w:cs="Times New Roman"/>
          <w:lang w:val="es-ES"/>
        </w:rPr>
        <w:t>Bosentan</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Sandoz</w:t>
      </w:r>
      <w:proofErr w:type="spellEnd"/>
    </w:p>
    <w:p w:rsidR="00A4103A" w:rsidRPr="0038079E" w:rsidRDefault="00A4103A" w:rsidP="00A4103A">
      <w:pPr>
        <w:autoSpaceDE w:val="0"/>
        <w:autoSpaceDN w:val="0"/>
        <w:adjustRightInd w:val="0"/>
        <w:spacing w:after="0" w:line="240" w:lineRule="auto"/>
        <w:ind w:left="1418" w:hanging="1418"/>
        <w:rPr>
          <w:rFonts w:ascii="Times New Roman" w:hAnsi="Times New Roman" w:cs="Times New Roman"/>
          <w:lang w:val="es-ES"/>
        </w:rPr>
      </w:pPr>
      <w:r w:rsidRPr="0038079E">
        <w:rPr>
          <w:rFonts w:ascii="Times New Roman" w:hAnsi="Times New Roman" w:cs="Times New Roman"/>
          <w:color w:val="000000"/>
        </w:rPr>
        <w:t>Latvija</w:t>
      </w:r>
      <w:r w:rsidRPr="0038079E">
        <w:rPr>
          <w:rFonts w:ascii="Times New Roman" w:hAnsi="Times New Roman" w:cs="Times New Roman"/>
          <w:color w:val="000000"/>
        </w:rPr>
        <w:tab/>
      </w:r>
      <w:proofErr w:type="spellStart"/>
      <w:r w:rsidRPr="0038079E">
        <w:rPr>
          <w:rFonts w:ascii="Times New Roman" w:hAnsi="Times New Roman" w:cs="Times New Roman"/>
          <w:lang w:val="es-ES"/>
        </w:rPr>
        <w:t>Bosentan</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Sandoz</w:t>
      </w:r>
      <w:proofErr w:type="spellEnd"/>
      <w:r w:rsidRPr="0038079E">
        <w:rPr>
          <w:rFonts w:ascii="Times New Roman" w:hAnsi="Times New Roman" w:cs="Times New Roman"/>
          <w:lang w:val="es-ES"/>
        </w:rPr>
        <w:t xml:space="preserve"> 62,5 </w:t>
      </w:r>
      <w:proofErr w:type="spellStart"/>
      <w:r w:rsidRPr="0038079E">
        <w:rPr>
          <w:rFonts w:ascii="Times New Roman" w:hAnsi="Times New Roman" w:cs="Times New Roman"/>
          <w:lang w:val="es-ES"/>
        </w:rPr>
        <w:t>apvalkotās</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tablets</w:t>
      </w:r>
      <w:proofErr w:type="spellEnd"/>
    </w:p>
    <w:p w:rsidR="00A4103A" w:rsidRPr="0038079E" w:rsidRDefault="00A4103A" w:rsidP="00A4103A">
      <w:pPr>
        <w:spacing w:after="0" w:line="240" w:lineRule="auto"/>
        <w:ind w:left="1418"/>
        <w:rPr>
          <w:rFonts w:ascii="Times New Roman" w:hAnsi="Times New Roman" w:cs="Times New Roman"/>
          <w:color w:val="000000"/>
        </w:rPr>
      </w:pPr>
      <w:proofErr w:type="spellStart"/>
      <w:r w:rsidRPr="0038079E">
        <w:rPr>
          <w:rFonts w:ascii="Times New Roman" w:hAnsi="Times New Roman" w:cs="Times New Roman"/>
          <w:lang w:val="es-ES"/>
        </w:rPr>
        <w:t>Bosentan</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Sandoz</w:t>
      </w:r>
      <w:proofErr w:type="spellEnd"/>
      <w:r w:rsidRPr="0038079E">
        <w:rPr>
          <w:rFonts w:ascii="Times New Roman" w:hAnsi="Times New Roman" w:cs="Times New Roman"/>
          <w:lang w:val="es-ES"/>
        </w:rPr>
        <w:t xml:space="preserve"> 125 </w:t>
      </w:r>
      <w:proofErr w:type="spellStart"/>
      <w:r w:rsidRPr="0038079E">
        <w:rPr>
          <w:rFonts w:ascii="Times New Roman" w:hAnsi="Times New Roman" w:cs="Times New Roman"/>
          <w:lang w:val="es-ES"/>
        </w:rPr>
        <w:t>apvalkotās</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tabletes</w:t>
      </w:r>
      <w:proofErr w:type="spellEnd"/>
    </w:p>
    <w:p w:rsidR="00A4103A" w:rsidRPr="0038079E" w:rsidRDefault="00A4103A" w:rsidP="00A4103A">
      <w:pPr>
        <w:autoSpaceDE w:val="0"/>
        <w:autoSpaceDN w:val="0"/>
        <w:adjustRightInd w:val="0"/>
        <w:spacing w:after="0" w:line="240" w:lineRule="auto"/>
        <w:ind w:left="1418" w:hanging="1418"/>
        <w:rPr>
          <w:rFonts w:ascii="Times New Roman" w:hAnsi="Times New Roman" w:cs="Times New Roman"/>
          <w:lang w:val="es-ES"/>
        </w:rPr>
      </w:pPr>
      <w:r w:rsidRPr="0038079E">
        <w:rPr>
          <w:rFonts w:ascii="Times New Roman" w:hAnsi="Times New Roman" w:cs="Times New Roman"/>
          <w:color w:val="000000"/>
        </w:rPr>
        <w:t>Lietuva</w:t>
      </w:r>
      <w:r w:rsidRPr="0038079E">
        <w:rPr>
          <w:rFonts w:ascii="Times New Roman" w:hAnsi="Times New Roman" w:cs="Times New Roman"/>
          <w:color w:val="000000"/>
        </w:rPr>
        <w:tab/>
      </w:r>
      <w:proofErr w:type="spellStart"/>
      <w:r w:rsidRPr="0038079E">
        <w:rPr>
          <w:rFonts w:ascii="Times New Roman" w:hAnsi="Times New Roman" w:cs="Times New Roman"/>
          <w:lang w:val="es-ES"/>
        </w:rPr>
        <w:t>Bosentan</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Sandoz</w:t>
      </w:r>
      <w:proofErr w:type="spellEnd"/>
      <w:r w:rsidRPr="0038079E">
        <w:rPr>
          <w:rFonts w:ascii="Times New Roman" w:hAnsi="Times New Roman" w:cs="Times New Roman"/>
          <w:lang w:val="es-ES"/>
        </w:rPr>
        <w:t xml:space="preserve"> 62,5 mg </w:t>
      </w:r>
      <w:proofErr w:type="spellStart"/>
      <w:r w:rsidRPr="0038079E">
        <w:rPr>
          <w:rFonts w:ascii="Times New Roman" w:hAnsi="Times New Roman" w:cs="Times New Roman"/>
          <w:lang w:val="es-ES"/>
        </w:rPr>
        <w:t>plėvele</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dengtos</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tabletės</w:t>
      </w:r>
      <w:proofErr w:type="spellEnd"/>
    </w:p>
    <w:p w:rsidR="00A4103A" w:rsidRPr="0038079E" w:rsidRDefault="00A4103A" w:rsidP="00A4103A">
      <w:pPr>
        <w:autoSpaceDE w:val="0"/>
        <w:autoSpaceDN w:val="0"/>
        <w:adjustRightInd w:val="0"/>
        <w:spacing w:after="0" w:line="240" w:lineRule="auto"/>
        <w:ind w:left="1418"/>
        <w:rPr>
          <w:rFonts w:ascii="Times New Roman" w:hAnsi="Times New Roman" w:cs="Times New Roman"/>
          <w:lang w:val="es-ES"/>
        </w:rPr>
      </w:pPr>
      <w:proofErr w:type="spellStart"/>
      <w:r w:rsidRPr="0038079E">
        <w:rPr>
          <w:rFonts w:ascii="Times New Roman" w:hAnsi="Times New Roman" w:cs="Times New Roman"/>
          <w:lang w:val="es-ES"/>
        </w:rPr>
        <w:t>Bosentan</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Sandoz</w:t>
      </w:r>
      <w:proofErr w:type="spellEnd"/>
      <w:r w:rsidRPr="0038079E">
        <w:rPr>
          <w:rFonts w:ascii="Times New Roman" w:hAnsi="Times New Roman" w:cs="Times New Roman"/>
          <w:lang w:val="es-ES"/>
        </w:rPr>
        <w:t xml:space="preserve"> 125 mg </w:t>
      </w:r>
      <w:proofErr w:type="spellStart"/>
      <w:r w:rsidRPr="0038079E">
        <w:rPr>
          <w:rFonts w:ascii="Times New Roman" w:hAnsi="Times New Roman" w:cs="Times New Roman"/>
          <w:lang w:val="es-ES"/>
        </w:rPr>
        <w:t>plėvele</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dengtos</w:t>
      </w:r>
      <w:proofErr w:type="spellEnd"/>
      <w:r>
        <w:rPr>
          <w:rFonts w:ascii="Times New Roman" w:hAnsi="Times New Roman" w:cs="Times New Roman"/>
          <w:lang w:val="es-ES"/>
        </w:rPr>
        <w:t xml:space="preserve"> </w:t>
      </w:r>
      <w:proofErr w:type="spellStart"/>
      <w:r w:rsidRPr="0038079E">
        <w:rPr>
          <w:rFonts w:ascii="Times New Roman" w:hAnsi="Times New Roman" w:cs="Times New Roman"/>
          <w:lang w:val="es-ES"/>
        </w:rPr>
        <w:t>tabletės</w:t>
      </w:r>
      <w:proofErr w:type="spellEnd"/>
    </w:p>
    <w:p w:rsidR="00A4103A" w:rsidRPr="0038079E" w:rsidRDefault="00A4103A" w:rsidP="00A4103A">
      <w:pPr>
        <w:spacing w:after="0" w:line="240" w:lineRule="auto"/>
        <w:ind w:left="1418" w:hanging="1418"/>
        <w:rPr>
          <w:rFonts w:ascii="Times New Roman" w:hAnsi="Times New Roman" w:cs="Times New Roman"/>
          <w:color w:val="000000"/>
        </w:rPr>
      </w:pPr>
      <w:r w:rsidRPr="0038079E">
        <w:rPr>
          <w:rFonts w:ascii="Times New Roman" w:hAnsi="Times New Roman" w:cs="Times New Roman"/>
          <w:color w:val="000000"/>
        </w:rPr>
        <w:t>Lenkija</w:t>
      </w:r>
      <w:r w:rsidRPr="0038079E">
        <w:rPr>
          <w:rFonts w:ascii="Times New Roman" w:hAnsi="Times New Roman" w:cs="Times New Roman"/>
          <w:color w:val="000000"/>
        </w:rPr>
        <w:tab/>
      </w:r>
      <w:proofErr w:type="spellStart"/>
      <w:r w:rsidRPr="0038079E">
        <w:rPr>
          <w:rFonts w:ascii="Times New Roman" w:hAnsi="Times New Roman" w:cs="Times New Roman"/>
          <w:lang w:val="es-ES"/>
        </w:rPr>
        <w:t>Bosentan</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Sandoz</w:t>
      </w:r>
      <w:proofErr w:type="spellEnd"/>
    </w:p>
    <w:p w:rsidR="00A4103A" w:rsidRPr="0038079E" w:rsidRDefault="00A4103A" w:rsidP="00A4103A">
      <w:pPr>
        <w:autoSpaceDE w:val="0"/>
        <w:autoSpaceDN w:val="0"/>
        <w:adjustRightInd w:val="0"/>
        <w:spacing w:after="0" w:line="240" w:lineRule="auto"/>
        <w:ind w:left="1418" w:hanging="1418"/>
        <w:rPr>
          <w:rFonts w:ascii="Times New Roman" w:hAnsi="Times New Roman" w:cs="Times New Roman"/>
          <w:lang w:val="es-ES"/>
        </w:rPr>
      </w:pPr>
      <w:r w:rsidRPr="0038079E">
        <w:rPr>
          <w:rFonts w:ascii="Times New Roman" w:hAnsi="Times New Roman" w:cs="Times New Roman"/>
          <w:color w:val="000000"/>
        </w:rPr>
        <w:t>Slovėnija</w:t>
      </w:r>
      <w:r w:rsidRPr="0038079E">
        <w:rPr>
          <w:rFonts w:ascii="Times New Roman" w:hAnsi="Times New Roman" w:cs="Times New Roman"/>
          <w:color w:val="000000"/>
        </w:rPr>
        <w:tab/>
      </w:r>
      <w:proofErr w:type="spellStart"/>
      <w:r w:rsidRPr="0038079E">
        <w:rPr>
          <w:rFonts w:ascii="Times New Roman" w:hAnsi="Times New Roman" w:cs="Times New Roman"/>
          <w:lang w:val="es-ES"/>
        </w:rPr>
        <w:t>Bosentan</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Sandoz</w:t>
      </w:r>
      <w:proofErr w:type="spellEnd"/>
      <w:r w:rsidRPr="0038079E">
        <w:rPr>
          <w:rFonts w:ascii="Times New Roman" w:hAnsi="Times New Roman" w:cs="Times New Roman"/>
          <w:lang w:val="es-ES"/>
        </w:rPr>
        <w:t xml:space="preserve"> 62,5 mg </w:t>
      </w:r>
      <w:proofErr w:type="spellStart"/>
      <w:r w:rsidRPr="0038079E">
        <w:rPr>
          <w:rFonts w:ascii="Times New Roman" w:hAnsi="Times New Roman" w:cs="Times New Roman"/>
          <w:lang w:val="es-ES"/>
        </w:rPr>
        <w:t>filmsko</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obložene</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tablete</w:t>
      </w:r>
      <w:proofErr w:type="spellEnd"/>
    </w:p>
    <w:p w:rsidR="00A4103A" w:rsidRPr="0038079E" w:rsidRDefault="00A4103A" w:rsidP="00A4103A">
      <w:pPr>
        <w:spacing w:after="0" w:line="240" w:lineRule="auto"/>
        <w:ind w:left="1418"/>
        <w:rPr>
          <w:rFonts w:ascii="Times New Roman" w:hAnsi="Times New Roman" w:cs="Times New Roman"/>
          <w:color w:val="000000"/>
        </w:rPr>
      </w:pPr>
      <w:proofErr w:type="spellStart"/>
      <w:r w:rsidRPr="0038079E">
        <w:rPr>
          <w:rFonts w:ascii="Times New Roman" w:hAnsi="Times New Roman" w:cs="Times New Roman"/>
          <w:lang w:val="es-ES"/>
        </w:rPr>
        <w:t>Bosentan</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Sandoz</w:t>
      </w:r>
      <w:proofErr w:type="spellEnd"/>
      <w:r w:rsidRPr="0038079E">
        <w:rPr>
          <w:rFonts w:ascii="Times New Roman" w:hAnsi="Times New Roman" w:cs="Times New Roman"/>
          <w:lang w:val="es-ES"/>
        </w:rPr>
        <w:t xml:space="preserve"> 125 mg </w:t>
      </w:r>
      <w:proofErr w:type="spellStart"/>
      <w:r w:rsidRPr="0038079E">
        <w:rPr>
          <w:rFonts w:ascii="Times New Roman" w:hAnsi="Times New Roman" w:cs="Times New Roman"/>
          <w:lang w:val="es-ES"/>
        </w:rPr>
        <w:t>filmsko</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obložene</w:t>
      </w:r>
      <w:proofErr w:type="spellEnd"/>
      <w:r w:rsidRPr="0038079E">
        <w:rPr>
          <w:rFonts w:ascii="Times New Roman" w:hAnsi="Times New Roman" w:cs="Times New Roman"/>
          <w:lang w:val="es-ES"/>
        </w:rPr>
        <w:t xml:space="preserve"> </w:t>
      </w:r>
      <w:proofErr w:type="spellStart"/>
      <w:r w:rsidRPr="0038079E">
        <w:rPr>
          <w:rFonts w:ascii="Times New Roman" w:hAnsi="Times New Roman" w:cs="Times New Roman"/>
          <w:lang w:val="es-ES"/>
        </w:rPr>
        <w:t>tablete</w:t>
      </w:r>
      <w:proofErr w:type="spellEnd"/>
    </w:p>
    <w:p w:rsidR="00A4103A" w:rsidRPr="0038079E" w:rsidRDefault="00A4103A" w:rsidP="00A4103A">
      <w:pPr>
        <w:spacing w:after="0" w:line="240" w:lineRule="auto"/>
        <w:rPr>
          <w:rFonts w:ascii="Times New Roman" w:hAnsi="Times New Roman" w:cs="Times New Roman"/>
          <w:lang w:eastAsia="lt-LT"/>
        </w:rPr>
      </w:pPr>
    </w:p>
    <w:p w:rsidR="00A4103A" w:rsidRPr="0038079E" w:rsidRDefault="00A4103A" w:rsidP="00A4103A">
      <w:pPr>
        <w:spacing w:after="0" w:line="240" w:lineRule="auto"/>
        <w:rPr>
          <w:rFonts w:ascii="Times New Roman" w:hAnsi="Times New Roman" w:cs="Times New Roman"/>
          <w:lang w:eastAsia="lt-LT"/>
        </w:rPr>
      </w:pPr>
    </w:p>
    <w:p w:rsidR="00A4103A" w:rsidRPr="0038079E" w:rsidRDefault="00A4103A" w:rsidP="00A4103A">
      <w:pPr>
        <w:tabs>
          <w:tab w:val="left" w:pos="567"/>
        </w:tabs>
        <w:spacing w:after="0" w:line="240" w:lineRule="auto"/>
        <w:rPr>
          <w:rFonts w:ascii="Times New Roman" w:hAnsi="Times New Roman" w:cs="Times New Roman"/>
        </w:rPr>
      </w:pPr>
      <w:r w:rsidRPr="0038079E">
        <w:rPr>
          <w:rFonts w:ascii="Times New Roman" w:hAnsi="Times New Roman" w:cs="Times New Roman"/>
          <w:b/>
          <w:bCs/>
        </w:rPr>
        <w:t xml:space="preserve">Šis pakuotės lapelis paskutinį kartą peržiūrėtas </w:t>
      </w:r>
      <w:r w:rsidR="00870EAD">
        <w:rPr>
          <w:rFonts w:ascii="Times New Roman" w:hAnsi="Times New Roman" w:cs="Times New Roman"/>
          <w:b/>
          <w:bCs/>
        </w:rPr>
        <w:t>2016-12-0</w:t>
      </w:r>
      <w:r w:rsidR="002B50B7">
        <w:rPr>
          <w:rFonts w:ascii="Times New Roman" w:hAnsi="Times New Roman" w:cs="Times New Roman"/>
          <w:b/>
          <w:bCs/>
        </w:rPr>
        <w:t>5</w:t>
      </w:r>
    </w:p>
    <w:p w:rsidR="00A4103A" w:rsidRPr="0038079E" w:rsidRDefault="00A4103A" w:rsidP="00A4103A">
      <w:pPr>
        <w:tabs>
          <w:tab w:val="left" w:pos="567"/>
        </w:tabs>
        <w:spacing w:after="0" w:line="240" w:lineRule="auto"/>
        <w:rPr>
          <w:rFonts w:ascii="Times New Roman" w:hAnsi="Times New Roman" w:cs="Times New Roman"/>
        </w:rPr>
      </w:pPr>
    </w:p>
    <w:p w:rsidR="00A4103A" w:rsidRPr="0038079E" w:rsidRDefault="00A4103A" w:rsidP="00A4103A">
      <w:pPr>
        <w:tabs>
          <w:tab w:val="left" w:pos="567"/>
        </w:tabs>
        <w:spacing w:after="0" w:line="240" w:lineRule="auto"/>
        <w:rPr>
          <w:rFonts w:ascii="Times New Roman" w:hAnsi="Times New Roman" w:cs="Times New Roman"/>
        </w:rPr>
      </w:pPr>
    </w:p>
    <w:p w:rsidR="00A4103A" w:rsidRPr="0038079E" w:rsidRDefault="00A4103A" w:rsidP="00A4103A">
      <w:pPr>
        <w:spacing w:after="0" w:line="240" w:lineRule="auto"/>
        <w:rPr>
          <w:rFonts w:ascii="Times New Roman" w:hAnsi="Times New Roman" w:cs="Times New Roman"/>
        </w:rPr>
      </w:pPr>
      <w:r w:rsidRPr="0038079E">
        <w:rPr>
          <w:rFonts w:ascii="Times New Roman" w:hAnsi="Times New Roman" w:cs="Times New Roman"/>
        </w:rPr>
        <w:t>Išsami informacija apie šį vaistą pateikiama Valstybinės vaistų kontrolės tarnybos prie Lietuvos Respublikos sveikatos apsaugos ministerijos tinklalapyje</w:t>
      </w:r>
      <w:r w:rsidR="001D10E5">
        <w:rPr>
          <w:rFonts w:ascii="Times New Roman" w:hAnsi="Times New Roman" w:cs="Times New Roman"/>
        </w:rPr>
        <w:t xml:space="preserve"> </w:t>
      </w:r>
      <w:hyperlink r:id="rId14" w:history="1">
        <w:r w:rsidRPr="0038079E">
          <w:rPr>
            <w:rFonts w:ascii="Times New Roman" w:hAnsi="Times New Roman" w:cs="Times New Roman"/>
            <w:color w:val="0000FF"/>
            <w:u w:val="single"/>
          </w:rPr>
          <w:t>http://www.vvkt.lt/</w:t>
        </w:r>
      </w:hyperlink>
    </w:p>
    <w:p w:rsidR="00A4103A" w:rsidRPr="0038079E" w:rsidRDefault="00A4103A" w:rsidP="00A4103A">
      <w:pPr>
        <w:rPr>
          <w:rFonts w:ascii="Times New Roman" w:hAnsi="Times New Roman" w:cs="Times New Roman"/>
        </w:rPr>
      </w:pPr>
      <w:bookmarkStart w:id="12" w:name="_GoBack"/>
      <w:bookmarkEnd w:id="12"/>
      <w:permStart w:id="1343694081" w:edGrp="everyone"/>
      <w:permEnd w:id="1343694081"/>
    </w:p>
    <w:p w:rsidR="00A4103A" w:rsidRDefault="00A4103A" w:rsidP="00A4103A">
      <w:pPr>
        <w:keepNext/>
        <w:spacing w:after="0" w:line="240" w:lineRule="auto"/>
        <w:jc w:val="center"/>
        <w:outlineLvl w:val="1"/>
        <w:rPr>
          <w:rFonts w:ascii="Times New Roman" w:hAnsi="Times New Roman" w:cs="Times New Roman"/>
        </w:rPr>
      </w:pPr>
    </w:p>
    <w:p w:rsidR="00A4103A" w:rsidRPr="000D48A3" w:rsidRDefault="00A4103A" w:rsidP="00A4103A">
      <w:pPr>
        <w:tabs>
          <w:tab w:val="left" w:pos="567"/>
        </w:tabs>
        <w:spacing w:after="0" w:line="240" w:lineRule="auto"/>
        <w:rPr>
          <w:rFonts w:ascii="Times New Roman" w:hAnsi="Times New Roman" w:cs="Times New Roman"/>
        </w:rPr>
      </w:pPr>
    </w:p>
    <w:p w:rsidR="00A4103A" w:rsidRPr="000D48A3" w:rsidRDefault="00A4103A" w:rsidP="00A4103A"/>
    <w:p w:rsidR="00A4103A" w:rsidRDefault="00A4103A" w:rsidP="00A4103A"/>
    <w:p w:rsidR="005F0E56" w:rsidRPr="00490EBF" w:rsidRDefault="005F0E56">
      <w:pPr>
        <w:rPr>
          <w:rFonts w:ascii="Arial" w:hAnsi="Arial" w:cs="Arial"/>
          <w:sz w:val="20"/>
          <w:szCs w:val="20"/>
        </w:rPr>
      </w:pPr>
    </w:p>
    <w:sectPr w:rsidR="005F0E56" w:rsidRPr="00490EBF" w:rsidSect="00540DBA">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B09" w:rsidRDefault="00861B09">
      <w:pPr>
        <w:spacing w:after="0" w:line="240" w:lineRule="auto"/>
      </w:pPr>
      <w:r>
        <w:separator/>
      </w:r>
    </w:p>
  </w:endnote>
  <w:endnote w:type="continuationSeparator" w:id="0">
    <w:p w:rsidR="00861B09" w:rsidRDefault="0086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Times New Roman Bold">
    <w:panose1 w:val="02020803070505020304"/>
    <w:charset w:val="00"/>
    <w:family w:val="auto"/>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24" w:rsidRDefault="00B63F24">
    <w:pPr>
      <w:pStyle w:val="Porat"/>
      <w:jc w:val="right"/>
    </w:pPr>
    <w:r>
      <w:fldChar w:fldCharType="begin"/>
    </w:r>
    <w:r>
      <w:instrText>PAGE   \* MERGEFORMAT</w:instrText>
    </w:r>
    <w:r>
      <w:fldChar w:fldCharType="separate"/>
    </w:r>
    <w:r w:rsidR="00915167">
      <w:rPr>
        <w:noProof/>
      </w:rPr>
      <w:t>30</w:t>
    </w:r>
    <w:r>
      <w:fldChar w:fldCharType="end"/>
    </w:r>
  </w:p>
  <w:p w:rsidR="00B63F24" w:rsidRDefault="00B63F2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B09" w:rsidRDefault="00861B09">
      <w:pPr>
        <w:spacing w:after="0" w:line="240" w:lineRule="auto"/>
      </w:pPr>
      <w:r>
        <w:separator/>
      </w:r>
    </w:p>
  </w:footnote>
  <w:footnote w:type="continuationSeparator" w:id="0">
    <w:p w:rsidR="00861B09" w:rsidRDefault="00861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A2546"/>
    <w:multiLevelType w:val="hybridMultilevel"/>
    <w:tmpl w:val="4C802BE0"/>
    <w:lvl w:ilvl="0" w:tplc="8DD25144">
      <w:start w:val="4"/>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57E6D4E"/>
    <w:multiLevelType w:val="hybridMultilevel"/>
    <w:tmpl w:val="A48C406E"/>
    <w:lvl w:ilvl="0" w:tplc="C85879E0">
      <w:start w:val="4"/>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73125D2"/>
    <w:multiLevelType w:val="hybridMultilevel"/>
    <w:tmpl w:val="3312AB1A"/>
    <w:lvl w:ilvl="0" w:tplc="07A0EF42">
      <w:start w:val="1"/>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5447C8"/>
    <w:multiLevelType w:val="hybridMultilevel"/>
    <w:tmpl w:val="EA2EAE6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9D557E"/>
    <w:multiLevelType w:val="multilevel"/>
    <w:tmpl w:val="4C802BE0"/>
    <w:lvl w:ilvl="0">
      <w:start w:val="4"/>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5F35227"/>
    <w:multiLevelType w:val="hybridMultilevel"/>
    <w:tmpl w:val="BD34F086"/>
    <w:lvl w:ilvl="0" w:tplc="07A0EF42">
      <w:start w:val="1"/>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61F65B9"/>
    <w:multiLevelType w:val="hybridMultilevel"/>
    <w:tmpl w:val="725819C0"/>
    <w:lvl w:ilvl="0" w:tplc="07A0EF42">
      <w:start w:val="1"/>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F8620ED"/>
    <w:multiLevelType w:val="hybridMultilevel"/>
    <w:tmpl w:val="BBDCA1EA"/>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6693810"/>
    <w:multiLevelType w:val="hybridMultilevel"/>
    <w:tmpl w:val="EF7E6AAE"/>
    <w:lvl w:ilvl="0" w:tplc="07A0EF42">
      <w:start w:val="1"/>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A023AF1"/>
    <w:multiLevelType w:val="hybridMultilevel"/>
    <w:tmpl w:val="028AA832"/>
    <w:lvl w:ilvl="0" w:tplc="00B0D466">
      <w:start w:val="4"/>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A3C7863"/>
    <w:multiLevelType w:val="hybridMultilevel"/>
    <w:tmpl w:val="817A8BB0"/>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02C36C6"/>
    <w:multiLevelType w:val="hybridMultilevel"/>
    <w:tmpl w:val="EC562C6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0CC3DF0"/>
    <w:multiLevelType w:val="hybridMultilevel"/>
    <w:tmpl w:val="DB306B30"/>
    <w:lvl w:ilvl="0" w:tplc="DBA27272">
      <w:start w:val="4"/>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2CB55D8"/>
    <w:multiLevelType w:val="hybridMultilevel"/>
    <w:tmpl w:val="02B671BE"/>
    <w:lvl w:ilvl="0" w:tplc="C100AFCE">
      <w:start w:val="1"/>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32137F3"/>
    <w:multiLevelType w:val="hybridMultilevel"/>
    <w:tmpl w:val="888CF7EA"/>
    <w:lvl w:ilvl="0" w:tplc="C100AFCE">
      <w:start w:val="6"/>
      <w:numFmt w:val="bullet"/>
      <w:lvlText w:val="-"/>
      <w:lvlJc w:val="left"/>
      <w:pPr>
        <w:tabs>
          <w:tab w:val="num" w:pos="851"/>
        </w:tabs>
        <w:ind w:left="851" w:hanging="454"/>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DBD4554"/>
    <w:multiLevelType w:val="hybridMultilevel"/>
    <w:tmpl w:val="BA26C7EE"/>
    <w:lvl w:ilvl="0" w:tplc="C100AFCE">
      <w:start w:val="6"/>
      <w:numFmt w:val="bullet"/>
      <w:lvlText w:val="-"/>
      <w:lvlJc w:val="left"/>
      <w:pPr>
        <w:tabs>
          <w:tab w:val="num" w:pos="720"/>
        </w:tabs>
        <w:ind w:left="72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4F77ABE"/>
    <w:multiLevelType w:val="hybridMultilevel"/>
    <w:tmpl w:val="558AE8E8"/>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606260F"/>
    <w:multiLevelType w:val="hybridMultilevel"/>
    <w:tmpl w:val="ADA295E8"/>
    <w:lvl w:ilvl="0" w:tplc="EE5CD452">
      <w:start w:val="1"/>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8CB5820"/>
    <w:multiLevelType w:val="hybridMultilevel"/>
    <w:tmpl w:val="C1A43160"/>
    <w:lvl w:ilvl="0" w:tplc="07A0EF42">
      <w:start w:val="6"/>
      <w:numFmt w:val="bullet"/>
      <w:lvlText w:val="-"/>
      <w:lvlJc w:val="left"/>
      <w:pPr>
        <w:tabs>
          <w:tab w:val="num" w:pos="720"/>
        </w:tabs>
        <w:ind w:left="72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AB24BBE"/>
    <w:multiLevelType w:val="hybridMultilevel"/>
    <w:tmpl w:val="E6AE4204"/>
    <w:lvl w:ilvl="0" w:tplc="C100AFCE">
      <w:start w:val="1"/>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BE84B3C"/>
    <w:multiLevelType w:val="hybridMultilevel"/>
    <w:tmpl w:val="E8DA9D34"/>
    <w:lvl w:ilvl="0" w:tplc="00B0D466">
      <w:start w:val="4"/>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BF65014"/>
    <w:multiLevelType w:val="hybridMultilevel"/>
    <w:tmpl w:val="90DE2E6E"/>
    <w:lvl w:ilvl="0" w:tplc="00B0D466">
      <w:start w:val="4"/>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3CD3280"/>
    <w:multiLevelType w:val="hybridMultilevel"/>
    <w:tmpl w:val="1304E580"/>
    <w:lvl w:ilvl="0" w:tplc="EE5CD452">
      <w:start w:val="6"/>
      <w:numFmt w:val="bullet"/>
      <w:lvlText w:val="-"/>
      <w:lvlJc w:val="left"/>
      <w:pPr>
        <w:tabs>
          <w:tab w:val="num" w:pos="851"/>
        </w:tabs>
        <w:ind w:left="851" w:hanging="454"/>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B6E6788"/>
    <w:multiLevelType w:val="hybridMultilevel"/>
    <w:tmpl w:val="3CBA0036"/>
    <w:lvl w:ilvl="0" w:tplc="00B0D466">
      <w:start w:val="4"/>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C1E33A3"/>
    <w:multiLevelType w:val="hybridMultilevel"/>
    <w:tmpl w:val="8474F22C"/>
    <w:lvl w:ilvl="0" w:tplc="00B0D466">
      <w:start w:val="4"/>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EA0640C"/>
    <w:multiLevelType w:val="multilevel"/>
    <w:tmpl w:val="449C60A2"/>
    <w:lvl w:ilvl="0">
      <w:start w:val="4"/>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4FB3105"/>
    <w:multiLevelType w:val="hybridMultilevel"/>
    <w:tmpl w:val="7D8007F0"/>
    <w:lvl w:ilvl="0" w:tplc="D8222E8E">
      <w:start w:val="1"/>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57B61FD"/>
    <w:multiLevelType w:val="hybridMultilevel"/>
    <w:tmpl w:val="D6F4E22E"/>
    <w:lvl w:ilvl="0" w:tplc="D8222E8E">
      <w:start w:val="1"/>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B630DBF"/>
    <w:multiLevelType w:val="hybridMultilevel"/>
    <w:tmpl w:val="FA9CF02E"/>
    <w:lvl w:ilvl="0" w:tplc="07A0EF42">
      <w:start w:val="1"/>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D6915E2"/>
    <w:multiLevelType w:val="hybridMultilevel"/>
    <w:tmpl w:val="2D9C1042"/>
    <w:lvl w:ilvl="0" w:tplc="07A0EF42">
      <w:start w:val="1"/>
      <w:numFmt w:val="bullet"/>
      <w:pStyle w:val="BT-EMEASMCA"/>
      <w:lvlText w:val=""/>
      <w:lvlJc w:val="left"/>
      <w:pPr>
        <w:tabs>
          <w:tab w:val="num" w:pos="717"/>
        </w:tabs>
        <w:ind w:left="717"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5323E65"/>
    <w:multiLevelType w:val="hybridMultilevel"/>
    <w:tmpl w:val="B864718E"/>
    <w:lvl w:ilvl="0" w:tplc="07A0EF42">
      <w:start w:val="1"/>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9B56A20"/>
    <w:multiLevelType w:val="hybridMultilevel"/>
    <w:tmpl w:val="449C60A2"/>
    <w:lvl w:ilvl="0" w:tplc="DBA27272">
      <w:start w:val="4"/>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4" w15:restartNumberingAfterBreak="0">
    <w:nsid w:val="7AFF5781"/>
    <w:multiLevelType w:val="hybridMultilevel"/>
    <w:tmpl w:val="8B224224"/>
    <w:lvl w:ilvl="0" w:tplc="DBA27272">
      <w:start w:val="4"/>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BA83F8D"/>
    <w:multiLevelType w:val="hybridMultilevel"/>
    <w:tmpl w:val="A89AB6B6"/>
    <w:lvl w:ilvl="0" w:tplc="00B0D466">
      <w:start w:val="4"/>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D7E2786"/>
    <w:multiLevelType w:val="hybridMultilevel"/>
    <w:tmpl w:val="FEC0990A"/>
    <w:lvl w:ilvl="0" w:tplc="7F3466D6">
      <w:start w:val="6"/>
      <w:numFmt w:val="bullet"/>
      <w:lvlText w:val="-"/>
      <w:lvlJc w:val="left"/>
      <w:pPr>
        <w:tabs>
          <w:tab w:val="num" w:pos="720"/>
        </w:tabs>
        <w:ind w:left="720" w:hanging="720"/>
      </w:pPr>
      <w:rPr>
        <w:rFonts w:ascii="Times New Roman" w:eastAsia="Times New Roman" w:hAnsi="Times New Roman" w:hint="default"/>
      </w:rPr>
    </w:lvl>
    <w:lvl w:ilvl="1" w:tplc="B552BB90">
      <w:start w:val="1"/>
      <w:numFmt w:val="bullet"/>
      <w:lvlText w:val="o"/>
      <w:lvlJc w:val="left"/>
      <w:pPr>
        <w:tabs>
          <w:tab w:val="num" w:pos="1440"/>
        </w:tabs>
        <w:ind w:left="1440" w:hanging="360"/>
      </w:pPr>
      <w:rPr>
        <w:rFonts w:ascii="Courier New" w:hAnsi="Courier New" w:cs="Courier New" w:hint="default"/>
      </w:rPr>
    </w:lvl>
    <w:lvl w:ilvl="2" w:tplc="F9D029F4">
      <w:start w:val="1"/>
      <w:numFmt w:val="bullet"/>
      <w:lvlText w:val=""/>
      <w:lvlJc w:val="left"/>
      <w:pPr>
        <w:tabs>
          <w:tab w:val="num" w:pos="2160"/>
        </w:tabs>
        <w:ind w:left="2160" w:hanging="360"/>
      </w:pPr>
      <w:rPr>
        <w:rFonts w:ascii="Wingdings" w:hAnsi="Wingdings" w:cs="Wingdings" w:hint="default"/>
      </w:rPr>
    </w:lvl>
    <w:lvl w:ilvl="3" w:tplc="D0EECBE2">
      <w:start w:val="1"/>
      <w:numFmt w:val="bullet"/>
      <w:lvlText w:val=""/>
      <w:lvlJc w:val="left"/>
      <w:pPr>
        <w:tabs>
          <w:tab w:val="num" w:pos="2880"/>
        </w:tabs>
        <w:ind w:left="2880" w:hanging="360"/>
      </w:pPr>
      <w:rPr>
        <w:rFonts w:ascii="Symbol" w:hAnsi="Symbol" w:cs="Symbol" w:hint="default"/>
      </w:rPr>
    </w:lvl>
    <w:lvl w:ilvl="4" w:tplc="4BB4C43E">
      <w:start w:val="1"/>
      <w:numFmt w:val="bullet"/>
      <w:lvlText w:val="o"/>
      <w:lvlJc w:val="left"/>
      <w:pPr>
        <w:tabs>
          <w:tab w:val="num" w:pos="3600"/>
        </w:tabs>
        <w:ind w:left="3600" w:hanging="360"/>
      </w:pPr>
      <w:rPr>
        <w:rFonts w:ascii="Courier New" w:hAnsi="Courier New" w:cs="Courier New" w:hint="default"/>
      </w:rPr>
    </w:lvl>
    <w:lvl w:ilvl="5" w:tplc="227C5E10">
      <w:start w:val="1"/>
      <w:numFmt w:val="bullet"/>
      <w:lvlText w:val=""/>
      <w:lvlJc w:val="left"/>
      <w:pPr>
        <w:tabs>
          <w:tab w:val="num" w:pos="4320"/>
        </w:tabs>
        <w:ind w:left="4320" w:hanging="360"/>
      </w:pPr>
      <w:rPr>
        <w:rFonts w:ascii="Wingdings" w:hAnsi="Wingdings" w:cs="Wingdings" w:hint="default"/>
      </w:rPr>
    </w:lvl>
    <w:lvl w:ilvl="6" w:tplc="F2BA73CE">
      <w:start w:val="1"/>
      <w:numFmt w:val="bullet"/>
      <w:lvlText w:val=""/>
      <w:lvlJc w:val="left"/>
      <w:pPr>
        <w:tabs>
          <w:tab w:val="num" w:pos="5040"/>
        </w:tabs>
        <w:ind w:left="5040" w:hanging="360"/>
      </w:pPr>
      <w:rPr>
        <w:rFonts w:ascii="Symbol" w:hAnsi="Symbol" w:cs="Symbol" w:hint="default"/>
      </w:rPr>
    </w:lvl>
    <w:lvl w:ilvl="7" w:tplc="273EDB7E">
      <w:start w:val="1"/>
      <w:numFmt w:val="bullet"/>
      <w:lvlText w:val="o"/>
      <w:lvlJc w:val="left"/>
      <w:pPr>
        <w:tabs>
          <w:tab w:val="num" w:pos="5760"/>
        </w:tabs>
        <w:ind w:left="5760" w:hanging="360"/>
      </w:pPr>
      <w:rPr>
        <w:rFonts w:ascii="Courier New" w:hAnsi="Courier New" w:cs="Courier New" w:hint="default"/>
      </w:rPr>
    </w:lvl>
    <w:lvl w:ilvl="8" w:tplc="006A42D4">
      <w:start w:val="1"/>
      <w:numFmt w:val="bullet"/>
      <w:lvlText w:val=""/>
      <w:lvlJc w:val="left"/>
      <w:pPr>
        <w:tabs>
          <w:tab w:val="num" w:pos="6480"/>
        </w:tabs>
        <w:ind w:left="6480" w:hanging="360"/>
      </w:pPr>
      <w:rPr>
        <w:rFonts w:ascii="Wingdings" w:hAnsi="Wingdings" w:cs="Wingdings" w:hint="default"/>
      </w:rPr>
    </w:lvl>
  </w:abstractNum>
  <w:num w:numId="1">
    <w:abstractNumId w:val="30"/>
  </w:num>
  <w:num w:numId="2">
    <w:abstractNumId w:val="23"/>
  </w:num>
  <w:num w:numId="3">
    <w:abstractNumId w:val="15"/>
  </w:num>
  <w:num w:numId="4">
    <w:abstractNumId w:val="11"/>
  </w:num>
  <w:num w:numId="5">
    <w:abstractNumId w:val="19"/>
  </w:num>
  <w:num w:numId="6">
    <w:abstractNumId w:val="36"/>
  </w:num>
  <w:num w:numId="7">
    <w:abstractNumId w:val="12"/>
  </w:num>
  <w:num w:numId="8">
    <w:abstractNumId w:val="16"/>
  </w:num>
  <w:num w:numId="9">
    <w:abstractNumId w:val="4"/>
  </w:num>
  <w:num w:numId="10">
    <w:abstractNumId w:val="8"/>
  </w:num>
  <w:num w:numId="11">
    <w:abstractNumId w:val="3"/>
  </w:num>
  <w:num w:numId="12">
    <w:abstractNumId w:val="27"/>
  </w:num>
  <w:num w:numId="13">
    <w:abstractNumId w:val="14"/>
  </w:num>
  <w:num w:numId="14">
    <w:abstractNumId w:val="9"/>
  </w:num>
  <w:num w:numId="15">
    <w:abstractNumId w:val="20"/>
  </w:num>
  <w:num w:numId="16">
    <w:abstractNumId w:val="31"/>
  </w:num>
  <w:num w:numId="17">
    <w:abstractNumId w:val="18"/>
  </w:num>
  <w:num w:numId="18">
    <w:abstractNumId w:val="7"/>
  </w:num>
  <w:num w:numId="19">
    <w:abstractNumId w:val="6"/>
  </w:num>
  <w:num w:numId="20">
    <w:abstractNumId w:val="28"/>
  </w:num>
  <w:num w:numId="21">
    <w:abstractNumId w:val="29"/>
  </w:num>
  <w:num w:numId="22">
    <w:abstractNumId w:val="17"/>
  </w:num>
  <w:num w:numId="23">
    <w:abstractNumId w:val="13"/>
  </w:num>
  <w:num w:numId="24">
    <w:abstractNumId w:val="34"/>
  </w:num>
  <w:num w:numId="25">
    <w:abstractNumId w:val="0"/>
    <w:lvlOverride w:ilvl="0">
      <w:lvl w:ilvl="0">
        <w:start w:val="1"/>
        <w:numFmt w:val="bullet"/>
        <w:lvlText w:val="-"/>
        <w:lvlJc w:val="left"/>
        <w:pPr>
          <w:ind w:left="360" w:hanging="360"/>
        </w:pPr>
      </w:lvl>
    </w:lvlOverride>
  </w:num>
  <w:num w:numId="26">
    <w:abstractNumId w:val="0"/>
    <w:lvlOverride w:ilvl="0">
      <w:lvl w:ilvl="0">
        <w:start w:val="1"/>
        <w:numFmt w:val="bullet"/>
        <w:lvlText w:val="-"/>
        <w:lvlJc w:val="left"/>
        <w:pPr>
          <w:ind w:left="360" w:hanging="360"/>
        </w:pPr>
      </w:lvl>
    </w:lvlOverride>
  </w:num>
  <w:num w:numId="27">
    <w:abstractNumId w:val="25"/>
  </w:num>
  <w:num w:numId="28">
    <w:abstractNumId w:val="21"/>
  </w:num>
  <w:num w:numId="29">
    <w:abstractNumId w:val="22"/>
  </w:num>
  <w:num w:numId="30">
    <w:abstractNumId w:val="35"/>
  </w:num>
  <w:num w:numId="31">
    <w:abstractNumId w:val="10"/>
  </w:num>
  <w:num w:numId="32">
    <w:abstractNumId w:val="32"/>
  </w:num>
  <w:num w:numId="33">
    <w:abstractNumId w:val="26"/>
  </w:num>
  <w:num w:numId="34">
    <w:abstractNumId w:val="24"/>
  </w:num>
  <w:num w:numId="35">
    <w:abstractNumId w:val="1"/>
  </w:num>
  <w:num w:numId="36">
    <w:abstractNumId w:val="5"/>
  </w:num>
  <w:num w:numId="37">
    <w:abstractNumId w:val="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LFvX0O8v6I/Ed33PK7L17O/nlPEHRPWJudu6jjQY4lKe8Egn40lAXUkk8v7nglnhVptiZnfmFd/4GYs3XF6nQ==" w:salt="tYkehOefS0EuasiIq4WAkw=="/>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3A"/>
    <w:rsid w:val="000D4568"/>
    <w:rsid w:val="00165ADF"/>
    <w:rsid w:val="001908A4"/>
    <w:rsid w:val="001A1377"/>
    <w:rsid w:val="001D10E5"/>
    <w:rsid w:val="0022565D"/>
    <w:rsid w:val="002A243B"/>
    <w:rsid w:val="002B50B7"/>
    <w:rsid w:val="003577CC"/>
    <w:rsid w:val="0042328E"/>
    <w:rsid w:val="00440F95"/>
    <w:rsid w:val="00490EBF"/>
    <w:rsid w:val="004F4E71"/>
    <w:rsid w:val="00540DBA"/>
    <w:rsid w:val="00592352"/>
    <w:rsid w:val="005E0A27"/>
    <w:rsid w:val="005F0E56"/>
    <w:rsid w:val="0066539F"/>
    <w:rsid w:val="0068659C"/>
    <w:rsid w:val="006B4207"/>
    <w:rsid w:val="00746777"/>
    <w:rsid w:val="00783D00"/>
    <w:rsid w:val="007B2B1E"/>
    <w:rsid w:val="00861B09"/>
    <w:rsid w:val="00870EAD"/>
    <w:rsid w:val="00885246"/>
    <w:rsid w:val="008A1824"/>
    <w:rsid w:val="008A326D"/>
    <w:rsid w:val="008B406D"/>
    <w:rsid w:val="008E2A5B"/>
    <w:rsid w:val="00915167"/>
    <w:rsid w:val="009B48A4"/>
    <w:rsid w:val="00A4103A"/>
    <w:rsid w:val="00AD0A83"/>
    <w:rsid w:val="00B63F24"/>
    <w:rsid w:val="00BE275C"/>
    <w:rsid w:val="00BF42DE"/>
    <w:rsid w:val="00D00A44"/>
    <w:rsid w:val="00D361FA"/>
    <w:rsid w:val="00D51E12"/>
    <w:rsid w:val="00E5144A"/>
    <w:rsid w:val="00E537DE"/>
    <w:rsid w:val="00F12254"/>
    <w:rsid w:val="00F343FA"/>
    <w:rsid w:val="00FD43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80AEA-34CC-4A37-B97B-57750E3B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103A"/>
    <w:rPr>
      <w:rFonts w:ascii="Calibri" w:eastAsia="Calibri" w:hAnsi="Calibri" w:cs="Calibri"/>
      <w:lang w:val="lt-LT" w:eastAsia="en-US"/>
    </w:rPr>
  </w:style>
  <w:style w:type="paragraph" w:styleId="Antrat1">
    <w:name w:val="heading 1"/>
    <w:basedOn w:val="prastasis"/>
    <w:next w:val="prastasis"/>
    <w:link w:val="Antrat1Diagrama"/>
    <w:autoRedefine/>
    <w:uiPriority w:val="99"/>
    <w:qFormat/>
    <w:rsid w:val="00A4103A"/>
    <w:pPr>
      <w:keepNext/>
      <w:spacing w:after="0" w:line="240" w:lineRule="auto"/>
      <w:outlineLvl w:val="0"/>
    </w:pPr>
    <w:rPr>
      <w:rFonts w:ascii="Cambria" w:eastAsia="Times New Roman" w:hAnsi="Cambria" w:cs="Cambria"/>
      <w:b/>
      <w:bCs/>
      <w:kern w:val="32"/>
      <w:sz w:val="32"/>
      <w:szCs w:val="32"/>
      <w:lang w:eastAsia="lt-LT"/>
    </w:rPr>
  </w:style>
  <w:style w:type="paragraph" w:styleId="Antrat2">
    <w:name w:val="heading 2"/>
    <w:basedOn w:val="prastasis"/>
    <w:next w:val="prastasis"/>
    <w:link w:val="Antrat2Diagrama"/>
    <w:autoRedefine/>
    <w:uiPriority w:val="99"/>
    <w:qFormat/>
    <w:rsid w:val="00A4103A"/>
    <w:pPr>
      <w:keepNext/>
      <w:spacing w:after="0" w:line="240" w:lineRule="auto"/>
      <w:outlineLvl w:val="1"/>
    </w:pPr>
    <w:rPr>
      <w:rFonts w:ascii="Cambria" w:eastAsia="Times New Roman" w:hAnsi="Cambria" w:cs="Cambria"/>
      <w:b/>
      <w:bCs/>
      <w:i/>
      <w:iCs/>
      <w:sz w:val="28"/>
      <w:szCs w:val="28"/>
      <w:lang w:eastAsia="lt-LT"/>
    </w:rPr>
  </w:style>
  <w:style w:type="paragraph" w:styleId="Antrat3">
    <w:name w:val="heading 3"/>
    <w:basedOn w:val="prastasis"/>
    <w:next w:val="prastasis"/>
    <w:link w:val="Antrat3Diagrama"/>
    <w:autoRedefine/>
    <w:uiPriority w:val="99"/>
    <w:qFormat/>
    <w:rsid w:val="00A4103A"/>
    <w:pPr>
      <w:keepNext/>
      <w:spacing w:after="0" w:line="240" w:lineRule="auto"/>
      <w:outlineLvl w:val="2"/>
    </w:pPr>
    <w:rPr>
      <w:rFonts w:ascii="Cambria" w:eastAsia="Times New Roman" w:hAnsi="Cambria" w:cs="Cambria"/>
      <w:b/>
      <w:bCs/>
      <w:sz w:val="26"/>
      <w:szCs w:val="26"/>
      <w:lang w:eastAsia="lt-LT"/>
    </w:rPr>
  </w:style>
  <w:style w:type="paragraph" w:styleId="Antrat4">
    <w:name w:val="heading 4"/>
    <w:basedOn w:val="prastasis"/>
    <w:next w:val="prastasis"/>
    <w:link w:val="Antrat4Diagrama"/>
    <w:uiPriority w:val="99"/>
    <w:qFormat/>
    <w:rsid w:val="00A4103A"/>
    <w:pPr>
      <w:keepNext/>
      <w:spacing w:after="0" w:line="240" w:lineRule="auto"/>
      <w:jc w:val="both"/>
      <w:outlineLvl w:val="3"/>
    </w:pPr>
    <w:rPr>
      <w:rFonts w:eastAsia="Times New Roman"/>
      <w:b/>
      <w:bCs/>
      <w:sz w:val="28"/>
      <w:szCs w:val="28"/>
      <w:lang w:eastAsia="lt-LT"/>
    </w:rPr>
  </w:style>
  <w:style w:type="paragraph" w:styleId="Antrat5">
    <w:name w:val="heading 5"/>
    <w:basedOn w:val="prastasis"/>
    <w:next w:val="prastasis"/>
    <w:link w:val="Antrat5Diagrama"/>
    <w:uiPriority w:val="99"/>
    <w:qFormat/>
    <w:rsid w:val="00A4103A"/>
    <w:pPr>
      <w:keepNext/>
      <w:tabs>
        <w:tab w:val="left" w:pos="567"/>
      </w:tabs>
      <w:spacing w:after="0" w:line="260" w:lineRule="exact"/>
      <w:jc w:val="both"/>
      <w:outlineLvl w:val="4"/>
    </w:pPr>
    <w:rPr>
      <w:rFonts w:eastAsia="Times New Roman"/>
      <w:b/>
      <w:bCs/>
      <w:i/>
      <w:iCs/>
      <w:sz w:val="26"/>
      <w:szCs w:val="26"/>
      <w:lang w:eastAsia="lt-LT"/>
    </w:rPr>
  </w:style>
  <w:style w:type="paragraph" w:styleId="Antrat6">
    <w:name w:val="heading 6"/>
    <w:basedOn w:val="prastasis"/>
    <w:next w:val="prastasis"/>
    <w:link w:val="Antrat6Diagrama"/>
    <w:uiPriority w:val="99"/>
    <w:qFormat/>
    <w:rsid w:val="00A4103A"/>
    <w:pPr>
      <w:keepNext/>
      <w:spacing w:after="0" w:line="240" w:lineRule="auto"/>
      <w:ind w:right="278"/>
      <w:jc w:val="both"/>
      <w:outlineLvl w:val="5"/>
    </w:pPr>
    <w:rPr>
      <w:rFonts w:eastAsia="Times New Roman"/>
      <w:b/>
      <w:bCs/>
      <w:lang w:eastAsia="lt-LT"/>
    </w:rPr>
  </w:style>
  <w:style w:type="paragraph" w:styleId="Antrat7">
    <w:name w:val="heading 7"/>
    <w:basedOn w:val="prastasis"/>
    <w:next w:val="prastasis"/>
    <w:link w:val="Antrat7Diagrama"/>
    <w:uiPriority w:val="99"/>
    <w:qFormat/>
    <w:rsid w:val="00A4103A"/>
    <w:pPr>
      <w:keepNext/>
      <w:spacing w:before="120" w:after="0" w:line="240" w:lineRule="auto"/>
      <w:ind w:right="278"/>
      <w:jc w:val="both"/>
      <w:outlineLvl w:val="6"/>
    </w:pPr>
    <w:rPr>
      <w:rFonts w:eastAsia="Times New Roman"/>
      <w:sz w:val="24"/>
      <w:szCs w:val="24"/>
      <w:lang w:eastAsia="lt-LT"/>
    </w:rPr>
  </w:style>
  <w:style w:type="paragraph" w:styleId="Antrat8">
    <w:name w:val="heading 8"/>
    <w:basedOn w:val="prastasis"/>
    <w:next w:val="prastasis"/>
    <w:link w:val="Antrat8Diagrama"/>
    <w:uiPriority w:val="99"/>
    <w:qFormat/>
    <w:rsid w:val="00A4103A"/>
    <w:pPr>
      <w:keepNext/>
      <w:spacing w:after="0" w:line="240" w:lineRule="auto"/>
      <w:ind w:right="278"/>
      <w:jc w:val="both"/>
      <w:outlineLvl w:val="7"/>
    </w:pPr>
    <w:rPr>
      <w:rFonts w:eastAsia="Times New Roman"/>
      <w:i/>
      <w:i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4103A"/>
    <w:rPr>
      <w:rFonts w:ascii="Cambria" w:eastAsia="Times New Roman" w:hAnsi="Cambria" w:cs="Cambria"/>
      <w:b/>
      <w:bCs/>
      <w:kern w:val="32"/>
      <w:sz w:val="32"/>
      <w:szCs w:val="32"/>
      <w:lang w:val="lt-LT" w:eastAsia="lt-LT"/>
    </w:rPr>
  </w:style>
  <w:style w:type="character" w:customStyle="1" w:styleId="Antrat2Diagrama">
    <w:name w:val="Antraštė 2 Diagrama"/>
    <w:basedOn w:val="Numatytasispastraiposriftas"/>
    <w:link w:val="Antrat2"/>
    <w:uiPriority w:val="99"/>
    <w:rsid w:val="00A4103A"/>
    <w:rPr>
      <w:rFonts w:ascii="Cambria" w:eastAsia="Times New Roman" w:hAnsi="Cambria" w:cs="Cambria"/>
      <w:b/>
      <w:bCs/>
      <w:i/>
      <w:iCs/>
      <w:sz w:val="28"/>
      <w:szCs w:val="28"/>
      <w:lang w:val="lt-LT" w:eastAsia="lt-LT"/>
    </w:rPr>
  </w:style>
  <w:style w:type="character" w:customStyle="1" w:styleId="Antrat3Diagrama">
    <w:name w:val="Antraštė 3 Diagrama"/>
    <w:basedOn w:val="Numatytasispastraiposriftas"/>
    <w:link w:val="Antrat3"/>
    <w:uiPriority w:val="99"/>
    <w:rsid w:val="00A4103A"/>
    <w:rPr>
      <w:rFonts w:ascii="Cambria" w:eastAsia="Times New Roman" w:hAnsi="Cambria" w:cs="Cambria"/>
      <w:b/>
      <w:bCs/>
      <w:sz w:val="26"/>
      <w:szCs w:val="26"/>
      <w:lang w:val="lt-LT" w:eastAsia="lt-LT"/>
    </w:rPr>
  </w:style>
  <w:style w:type="character" w:customStyle="1" w:styleId="Antrat4Diagrama">
    <w:name w:val="Antraštė 4 Diagrama"/>
    <w:basedOn w:val="Numatytasispastraiposriftas"/>
    <w:link w:val="Antrat4"/>
    <w:uiPriority w:val="99"/>
    <w:rsid w:val="00A4103A"/>
    <w:rPr>
      <w:rFonts w:ascii="Calibri" w:eastAsia="Times New Roman" w:hAnsi="Calibri" w:cs="Calibri"/>
      <w:b/>
      <w:bCs/>
      <w:sz w:val="28"/>
      <w:szCs w:val="28"/>
      <w:lang w:val="lt-LT" w:eastAsia="lt-LT"/>
    </w:rPr>
  </w:style>
  <w:style w:type="character" w:customStyle="1" w:styleId="Antrat5Diagrama">
    <w:name w:val="Antraštė 5 Diagrama"/>
    <w:basedOn w:val="Numatytasispastraiposriftas"/>
    <w:link w:val="Antrat5"/>
    <w:uiPriority w:val="99"/>
    <w:rsid w:val="00A4103A"/>
    <w:rPr>
      <w:rFonts w:ascii="Calibri" w:eastAsia="Times New Roman" w:hAnsi="Calibri" w:cs="Calibri"/>
      <w:b/>
      <w:bCs/>
      <w:i/>
      <w:iCs/>
      <w:sz w:val="26"/>
      <w:szCs w:val="26"/>
      <w:lang w:val="lt-LT" w:eastAsia="lt-LT"/>
    </w:rPr>
  </w:style>
  <w:style w:type="character" w:customStyle="1" w:styleId="Antrat6Diagrama">
    <w:name w:val="Antraštė 6 Diagrama"/>
    <w:basedOn w:val="Numatytasispastraiposriftas"/>
    <w:link w:val="Antrat6"/>
    <w:uiPriority w:val="99"/>
    <w:rsid w:val="00A4103A"/>
    <w:rPr>
      <w:rFonts w:ascii="Calibri" w:eastAsia="Times New Roman" w:hAnsi="Calibri" w:cs="Calibri"/>
      <w:b/>
      <w:bCs/>
      <w:lang w:val="lt-LT" w:eastAsia="lt-LT"/>
    </w:rPr>
  </w:style>
  <w:style w:type="character" w:customStyle="1" w:styleId="Antrat7Diagrama">
    <w:name w:val="Antraštė 7 Diagrama"/>
    <w:basedOn w:val="Numatytasispastraiposriftas"/>
    <w:link w:val="Antrat7"/>
    <w:uiPriority w:val="99"/>
    <w:rsid w:val="00A4103A"/>
    <w:rPr>
      <w:rFonts w:ascii="Calibri" w:eastAsia="Times New Roman" w:hAnsi="Calibri" w:cs="Calibri"/>
      <w:sz w:val="24"/>
      <w:szCs w:val="24"/>
      <w:lang w:val="lt-LT" w:eastAsia="lt-LT"/>
    </w:rPr>
  </w:style>
  <w:style w:type="character" w:customStyle="1" w:styleId="Antrat8Diagrama">
    <w:name w:val="Antraštė 8 Diagrama"/>
    <w:basedOn w:val="Numatytasispastraiposriftas"/>
    <w:link w:val="Antrat8"/>
    <w:uiPriority w:val="99"/>
    <w:rsid w:val="00A4103A"/>
    <w:rPr>
      <w:rFonts w:ascii="Calibri" w:eastAsia="Times New Roman" w:hAnsi="Calibri" w:cs="Calibri"/>
      <w:i/>
      <w:iCs/>
      <w:sz w:val="24"/>
      <w:szCs w:val="24"/>
      <w:lang w:val="lt-LT" w:eastAsia="lt-LT"/>
    </w:rPr>
  </w:style>
  <w:style w:type="paragraph" w:customStyle="1" w:styleId="Default">
    <w:name w:val="Default"/>
    <w:uiPriority w:val="99"/>
    <w:rsid w:val="00A4103A"/>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uiPriority w:val="99"/>
    <w:semiHidden/>
    <w:rsid w:val="00A4103A"/>
    <w:rPr>
      <w:sz w:val="16"/>
      <w:szCs w:val="16"/>
    </w:rPr>
  </w:style>
  <w:style w:type="paragraph" w:styleId="Komentarotekstas">
    <w:name w:val="annotation text"/>
    <w:basedOn w:val="prastasis"/>
    <w:link w:val="KomentarotekstasDiagrama"/>
    <w:uiPriority w:val="99"/>
    <w:semiHidden/>
    <w:rsid w:val="00A410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4103A"/>
    <w:rPr>
      <w:rFonts w:ascii="Calibri" w:eastAsia="Calibri" w:hAnsi="Calibri" w:cs="Calibri"/>
      <w:sz w:val="20"/>
      <w:szCs w:val="20"/>
      <w:lang w:val="lt-LT" w:eastAsia="en-US"/>
    </w:rPr>
  </w:style>
  <w:style w:type="paragraph" w:styleId="Komentarotema">
    <w:name w:val="annotation subject"/>
    <w:basedOn w:val="Komentarotekstas"/>
    <w:next w:val="Komentarotekstas"/>
    <w:link w:val="KomentarotemaDiagrama"/>
    <w:uiPriority w:val="99"/>
    <w:semiHidden/>
    <w:rsid w:val="00A4103A"/>
    <w:rPr>
      <w:b/>
      <w:bCs/>
    </w:rPr>
  </w:style>
  <w:style w:type="character" w:customStyle="1" w:styleId="KomentarotemaDiagrama">
    <w:name w:val="Komentaro tema Diagrama"/>
    <w:basedOn w:val="KomentarotekstasDiagrama"/>
    <w:link w:val="Komentarotema"/>
    <w:uiPriority w:val="99"/>
    <w:semiHidden/>
    <w:rsid w:val="00A4103A"/>
    <w:rPr>
      <w:rFonts w:ascii="Calibri" w:eastAsia="Calibri" w:hAnsi="Calibri" w:cs="Calibri"/>
      <w:b/>
      <w:bCs/>
      <w:sz w:val="20"/>
      <w:szCs w:val="20"/>
      <w:lang w:val="lt-LT" w:eastAsia="en-US"/>
    </w:rPr>
  </w:style>
  <w:style w:type="paragraph" w:styleId="Debesliotekstas">
    <w:name w:val="Balloon Text"/>
    <w:basedOn w:val="prastasis"/>
    <w:link w:val="DebesliotekstasDiagrama"/>
    <w:uiPriority w:val="99"/>
    <w:semiHidden/>
    <w:rsid w:val="00A4103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103A"/>
    <w:rPr>
      <w:rFonts w:ascii="Tahoma" w:eastAsia="Calibri" w:hAnsi="Tahoma" w:cs="Tahoma"/>
      <w:sz w:val="16"/>
      <w:szCs w:val="16"/>
      <w:lang w:val="lt-LT" w:eastAsia="en-US"/>
    </w:rPr>
  </w:style>
  <w:style w:type="paragraph" w:styleId="Pagrindinistekstas">
    <w:name w:val="Body Text"/>
    <w:basedOn w:val="prastasis"/>
    <w:link w:val="PagrindinistekstasDiagrama"/>
    <w:uiPriority w:val="99"/>
    <w:rsid w:val="00A4103A"/>
    <w:pPr>
      <w:spacing w:after="120" w:line="240" w:lineRule="auto"/>
    </w:pPr>
    <w:rPr>
      <w:rFonts w:ascii="Times New Roman" w:eastAsia="Times New Roman" w:hAnsi="Times New Roman" w:cs="Times New Roman"/>
      <w:lang w:eastAsia="lt-LT"/>
    </w:rPr>
  </w:style>
  <w:style w:type="character" w:customStyle="1" w:styleId="PagrindinistekstasDiagrama">
    <w:name w:val="Pagrindinis tekstas Diagrama"/>
    <w:basedOn w:val="Numatytasispastraiposriftas"/>
    <w:link w:val="Pagrindinistekstas"/>
    <w:uiPriority w:val="99"/>
    <w:rsid w:val="00A4103A"/>
    <w:rPr>
      <w:rFonts w:ascii="Times New Roman" w:eastAsia="Times New Roman" w:hAnsi="Times New Roman" w:cs="Times New Roman"/>
      <w:lang w:val="lt-LT" w:eastAsia="lt-LT"/>
    </w:rPr>
  </w:style>
  <w:style w:type="paragraph" w:styleId="Porat">
    <w:name w:val="footer"/>
    <w:basedOn w:val="prastasis"/>
    <w:link w:val="PoratDiagrama"/>
    <w:uiPriority w:val="99"/>
    <w:rsid w:val="00A4103A"/>
    <w:pPr>
      <w:tabs>
        <w:tab w:val="center" w:pos="4153"/>
        <w:tab w:val="right" w:pos="8306"/>
      </w:tabs>
      <w:spacing w:after="0" w:line="240" w:lineRule="auto"/>
    </w:pPr>
    <w:rPr>
      <w:rFonts w:ascii="Times New Roman" w:eastAsia="Times New Roman" w:hAnsi="Times New Roman" w:cs="Times New Roman"/>
      <w:lang w:eastAsia="lt-LT"/>
    </w:rPr>
  </w:style>
  <w:style w:type="character" w:customStyle="1" w:styleId="PoratDiagrama">
    <w:name w:val="Poraštė Diagrama"/>
    <w:basedOn w:val="Numatytasispastraiposriftas"/>
    <w:link w:val="Porat"/>
    <w:uiPriority w:val="99"/>
    <w:rsid w:val="00A4103A"/>
    <w:rPr>
      <w:rFonts w:ascii="Times New Roman" w:eastAsia="Times New Roman" w:hAnsi="Times New Roman" w:cs="Times New Roman"/>
      <w:lang w:val="lt-LT" w:eastAsia="lt-LT"/>
    </w:rPr>
  </w:style>
  <w:style w:type="character" w:styleId="Puslapionumeris">
    <w:name w:val="page number"/>
    <w:basedOn w:val="Numatytasispastraiposriftas"/>
    <w:uiPriority w:val="99"/>
    <w:rsid w:val="00A4103A"/>
  </w:style>
  <w:style w:type="paragraph" w:styleId="Dokumentostruktra">
    <w:name w:val="Document Map"/>
    <w:basedOn w:val="prastasis"/>
    <w:link w:val="DokumentostruktraDiagrama"/>
    <w:uiPriority w:val="99"/>
    <w:semiHidden/>
    <w:rsid w:val="00A4103A"/>
    <w:pPr>
      <w:shd w:val="clear" w:color="auto" w:fill="000080"/>
      <w:spacing w:after="0" w:line="240" w:lineRule="auto"/>
    </w:pPr>
    <w:rPr>
      <w:rFonts w:ascii="Times New Roman" w:eastAsia="Times New Roman" w:hAnsi="Times New Roman" w:cs="Times New Roman"/>
      <w:sz w:val="2"/>
      <w:szCs w:val="2"/>
      <w:lang w:eastAsia="lt-LT"/>
    </w:rPr>
  </w:style>
  <w:style w:type="character" w:customStyle="1" w:styleId="DokumentostruktraDiagrama">
    <w:name w:val="Dokumento struktūra Diagrama"/>
    <w:basedOn w:val="Numatytasispastraiposriftas"/>
    <w:link w:val="Dokumentostruktra"/>
    <w:uiPriority w:val="99"/>
    <w:semiHidden/>
    <w:rsid w:val="00A4103A"/>
    <w:rPr>
      <w:rFonts w:ascii="Times New Roman" w:eastAsia="Times New Roman" w:hAnsi="Times New Roman" w:cs="Times New Roman"/>
      <w:sz w:val="2"/>
      <w:szCs w:val="2"/>
      <w:shd w:val="clear" w:color="auto" w:fill="000080"/>
      <w:lang w:val="lt-LT" w:eastAsia="lt-LT"/>
    </w:rPr>
  </w:style>
  <w:style w:type="paragraph" w:styleId="Pavadinimas">
    <w:name w:val="Title"/>
    <w:basedOn w:val="prastasis"/>
    <w:link w:val="PavadinimasDiagrama"/>
    <w:autoRedefine/>
    <w:uiPriority w:val="99"/>
    <w:qFormat/>
    <w:rsid w:val="00A4103A"/>
    <w:pPr>
      <w:spacing w:after="0" w:line="240" w:lineRule="auto"/>
      <w:jc w:val="center"/>
      <w:outlineLvl w:val="0"/>
    </w:pPr>
    <w:rPr>
      <w:rFonts w:ascii="Cambria" w:eastAsia="Times New Roman" w:hAnsi="Cambria" w:cs="Cambria"/>
      <w:b/>
      <w:bCs/>
      <w:kern w:val="28"/>
      <w:sz w:val="32"/>
      <w:szCs w:val="32"/>
      <w:lang w:eastAsia="lt-LT"/>
    </w:rPr>
  </w:style>
  <w:style w:type="character" w:customStyle="1" w:styleId="PavadinimasDiagrama">
    <w:name w:val="Pavadinimas Diagrama"/>
    <w:basedOn w:val="Numatytasispastraiposriftas"/>
    <w:link w:val="Pavadinimas"/>
    <w:uiPriority w:val="99"/>
    <w:rsid w:val="00A4103A"/>
    <w:rPr>
      <w:rFonts w:ascii="Cambria" w:eastAsia="Times New Roman" w:hAnsi="Cambria" w:cs="Cambria"/>
      <w:b/>
      <w:bCs/>
      <w:kern w:val="28"/>
      <w:sz w:val="32"/>
      <w:szCs w:val="32"/>
      <w:lang w:val="lt-LT" w:eastAsia="lt-LT"/>
    </w:rPr>
  </w:style>
  <w:style w:type="character" w:styleId="Hipersaitas">
    <w:name w:val="Hyperlink"/>
    <w:uiPriority w:val="99"/>
    <w:rsid w:val="00A4103A"/>
    <w:rPr>
      <w:color w:val="0000FF"/>
      <w:u w:val="single"/>
    </w:rPr>
  </w:style>
  <w:style w:type="paragraph" w:customStyle="1" w:styleId="Paantrat1">
    <w:name w:val="Paantraštė1"/>
    <w:basedOn w:val="prastasis"/>
    <w:link w:val="PaantratDiagrama"/>
    <w:uiPriority w:val="99"/>
    <w:qFormat/>
    <w:rsid w:val="00A4103A"/>
    <w:pPr>
      <w:autoSpaceDE w:val="0"/>
      <w:autoSpaceDN w:val="0"/>
      <w:adjustRightInd w:val="0"/>
      <w:spacing w:after="0" w:line="240" w:lineRule="auto"/>
      <w:jc w:val="center"/>
    </w:pPr>
    <w:rPr>
      <w:rFonts w:ascii="Cambria" w:eastAsia="Times New Roman" w:hAnsi="Cambria" w:cs="Cambria"/>
      <w:sz w:val="24"/>
      <w:szCs w:val="24"/>
      <w:lang w:eastAsia="lt-LT"/>
    </w:rPr>
  </w:style>
  <w:style w:type="character" w:customStyle="1" w:styleId="PaantratDiagrama">
    <w:name w:val="Paantraštė Diagrama"/>
    <w:link w:val="Paantrat1"/>
    <w:uiPriority w:val="99"/>
    <w:locked/>
    <w:rsid w:val="00A4103A"/>
    <w:rPr>
      <w:rFonts w:ascii="Cambria" w:eastAsia="Times New Roman" w:hAnsi="Cambria" w:cs="Cambria"/>
      <w:sz w:val="24"/>
      <w:szCs w:val="24"/>
      <w:lang w:val="lt-LT" w:eastAsia="lt-LT"/>
    </w:rPr>
  </w:style>
  <w:style w:type="character" w:styleId="Perirtashipersaitas">
    <w:name w:val="FollowedHyperlink"/>
    <w:uiPriority w:val="99"/>
    <w:rsid w:val="00A4103A"/>
    <w:rPr>
      <w:color w:val="800080"/>
      <w:u w:val="single"/>
    </w:rPr>
  </w:style>
  <w:style w:type="paragraph" w:styleId="Pagrindiniotekstotrauka">
    <w:name w:val="Body Text Indent"/>
    <w:basedOn w:val="prastasis"/>
    <w:link w:val="PagrindiniotekstotraukaDiagrama"/>
    <w:uiPriority w:val="99"/>
    <w:rsid w:val="00A4103A"/>
    <w:pPr>
      <w:spacing w:after="0" w:line="240" w:lineRule="auto"/>
      <w:ind w:left="567" w:hanging="567"/>
    </w:pPr>
    <w:rPr>
      <w:rFonts w:ascii="Times New Roman" w:eastAsia="Times New Roman" w:hAnsi="Times New Roman" w:cs="Times New Roman"/>
      <w:lang w:eastAsia="lt-LT"/>
    </w:rPr>
  </w:style>
  <w:style w:type="character" w:customStyle="1" w:styleId="PagrindiniotekstotraukaDiagrama">
    <w:name w:val="Pagrindinio teksto įtrauka Diagrama"/>
    <w:basedOn w:val="Numatytasispastraiposriftas"/>
    <w:link w:val="Pagrindiniotekstotrauka"/>
    <w:uiPriority w:val="99"/>
    <w:rsid w:val="00A4103A"/>
    <w:rPr>
      <w:rFonts w:ascii="Times New Roman" w:eastAsia="Times New Roman" w:hAnsi="Times New Roman" w:cs="Times New Roman"/>
      <w:lang w:val="lt-LT" w:eastAsia="lt-LT"/>
    </w:rPr>
  </w:style>
  <w:style w:type="paragraph" w:styleId="Pagrindinistekstas3">
    <w:name w:val="Body Text 3"/>
    <w:basedOn w:val="prastasis"/>
    <w:link w:val="Pagrindinistekstas3Diagrama"/>
    <w:uiPriority w:val="99"/>
    <w:rsid w:val="00A4103A"/>
    <w:pPr>
      <w:tabs>
        <w:tab w:val="left" w:pos="567"/>
      </w:tabs>
      <w:spacing w:after="0" w:line="260" w:lineRule="exact"/>
      <w:jc w:val="both"/>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uiPriority w:val="99"/>
    <w:rsid w:val="00A4103A"/>
    <w:rPr>
      <w:rFonts w:ascii="Times New Roman" w:eastAsia="Times New Roman" w:hAnsi="Times New Roman" w:cs="Times New Roman"/>
      <w:sz w:val="16"/>
      <w:szCs w:val="16"/>
      <w:lang w:val="lt-LT" w:eastAsia="lt-LT"/>
    </w:rPr>
  </w:style>
  <w:style w:type="paragraph" w:styleId="Dokumentoinaostekstas">
    <w:name w:val="endnote text"/>
    <w:basedOn w:val="prastasis"/>
    <w:next w:val="prastasis"/>
    <w:link w:val="DokumentoinaostekstasDiagrama"/>
    <w:uiPriority w:val="99"/>
    <w:semiHidden/>
    <w:rsid w:val="00A4103A"/>
    <w:pPr>
      <w:tabs>
        <w:tab w:val="left" w:pos="567"/>
      </w:tabs>
      <w:spacing w:after="0" w:line="240" w:lineRule="auto"/>
    </w:pPr>
    <w:rPr>
      <w:rFonts w:ascii="Times New Roman" w:eastAsia="Times New Roman" w:hAnsi="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A4103A"/>
    <w:rPr>
      <w:rFonts w:ascii="Times New Roman" w:eastAsia="Times New Roman" w:hAnsi="Times New Roman" w:cs="Times New Roman"/>
      <w:sz w:val="20"/>
      <w:szCs w:val="20"/>
      <w:lang w:val="lt-LT" w:eastAsia="lt-LT"/>
    </w:rPr>
  </w:style>
  <w:style w:type="paragraph" w:customStyle="1" w:styleId="BTEMEASMCA">
    <w:name w:val="BT EMEA_SMCA"/>
    <w:basedOn w:val="prastasis"/>
    <w:autoRedefine/>
    <w:rsid w:val="00A4103A"/>
    <w:pPr>
      <w:spacing w:after="0" w:line="240" w:lineRule="auto"/>
    </w:pPr>
    <w:rPr>
      <w:rFonts w:ascii="Times New Roman" w:eastAsia="Times New Roman" w:hAnsi="Times New Roman" w:cs="Times New Roman"/>
    </w:rPr>
  </w:style>
  <w:style w:type="character" w:customStyle="1" w:styleId="BTEMEASMCAChar">
    <w:name w:val="BT EMEA_SMCA Char"/>
    <w:rsid w:val="00A4103A"/>
    <w:rPr>
      <w:noProof/>
      <w:sz w:val="22"/>
      <w:szCs w:val="22"/>
      <w:lang w:val="lt-LT" w:eastAsia="en-US"/>
    </w:rPr>
  </w:style>
  <w:style w:type="paragraph" w:styleId="Antrats">
    <w:name w:val="header"/>
    <w:basedOn w:val="prastasis"/>
    <w:link w:val="AntratsDiagrama"/>
    <w:uiPriority w:val="99"/>
    <w:rsid w:val="00A4103A"/>
    <w:pPr>
      <w:tabs>
        <w:tab w:val="center" w:pos="4986"/>
        <w:tab w:val="right" w:pos="9972"/>
      </w:tabs>
      <w:spacing w:after="0" w:line="240" w:lineRule="auto"/>
    </w:pPr>
    <w:rPr>
      <w:rFonts w:ascii="Times New Roman" w:eastAsia="Times New Roman" w:hAnsi="Times New Roman" w:cs="Times New Roman"/>
      <w:lang w:eastAsia="lt-LT"/>
    </w:rPr>
  </w:style>
  <w:style w:type="character" w:customStyle="1" w:styleId="AntratsDiagrama">
    <w:name w:val="Antraštės Diagrama"/>
    <w:basedOn w:val="Numatytasispastraiposriftas"/>
    <w:link w:val="Antrats"/>
    <w:uiPriority w:val="99"/>
    <w:rsid w:val="00A4103A"/>
    <w:rPr>
      <w:rFonts w:ascii="Times New Roman" w:eastAsia="Times New Roman" w:hAnsi="Times New Roman" w:cs="Times New Roman"/>
      <w:lang w:val="lt-LT" w:eastAsia="lt-LT"/>
    </w:rPr>
  </w:style>
  <w:style w:type="paragraph" w:customStyle="1" w:styleId="PI-1EMEASMCA">
    <w:name w:val="PI-1 EMEA_SMCA"/>
    <w:basedOn w:val="Antrat2"/>
    <w:autoRedefine/>
    <w:uiPriority w:val="99"/>
    <w:rsid w:val="00A4103A"/>
    <w:pPr>
      <w:tabs>
        <w:tab w:val="left" w:pos="567"/>
      </w:tabs>
      <w:ind w:left="567" w:hanging="567"/>
    </w:pPr>
    <w:rPr>
      <w:lang w:eastAsia="en-US"/>
    </w:rPr>
  </w:style>
  <w:style w:type="paragraph" w:customStyle="1" w:styleId="PI-1labEMEASMCA">
    <w:name w:val="PI-1_lab EMEA_SMCA"/>
    <w:basedOn w:val="prastasis"/>
    <w:autoRedefine/>
    <w:uiPriority w:val="99"/>
    <w:rsid w:val="00A4103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bCs/>
    </w:rPr>
  </w:style>
  <w:style w:type="character" w:customStyle="1" w:styleId="PI-1labEMEASMCAChar">
    <w:name w:val="PI-1_lab EMEA_SMCA Char"/>
    <w:uiPriority w:val="99"/>
    <w:rsid w:val="00A4103A"/>
    <w:rPr>
      <w:b/>
      <w:bCs/>
      <w:noProof/>
      <w:sz w:val="22"/>
      <w:szCs w:val="22"/>
      <w:lang w:val="lt-LT" w:eastAsia="en-US"/>
    </w:rPr>
  </w:style>
  <w:style w:type="paragraph" w:customStyle="1" w:styleId="TTEMEASMCA">
    <w:name w:val="TT EMEA_SMCA"/>
    <w:basedOn w:val="Antrat1"/>
    <w:autoRedefine/>
    <w:uiPriority w:val="99"/>
    <w:rsid w:val="00A4103A"/>
    <w:pPr>
      <w:keepNext w:val="0"/>
      <w:tabs>
        <w:tab w:val="left" w:pos="567"/>
      </w:tabs>
      <w:ind w:left="567" w:hanging="567"/>
      <w:jc w:val="center"/>
    </w:pPr>
    <w:rPr>
      <w:caps/>
      <w:lang w:val="en-US" w:eastAsia="en-US"/>
    </w:rPr>
  </w:style>
  <w:style w:type="character" w:customStyle="1" w:styleId="TTEMEASMCAChar">
    <w:name w:val="TT EMEA_SMCA Char"/>
    <w:uiPriority w:val="99"/>
    <w:rsid w:val="00A4103A"/>
    <w:rPr>
      <w:b/>
      <w:bCs/>
      <w:caps/>
      <w:sz w:val="22"/>
      <w:szCs w:val="22"/>
      <w:lang w:val="en-US" w:eastAsia="en-US"/>
    </w:rPr>
  </w:style>
  <w:style w:type="paragraph" w:customStyle="1" w:styleId="BT-EMEASMCA">
    <w:name w:val="BT- EMEA_SMCA"/>
    <w:basedOn w:val="BTEMEASMCA"/>
    <w:autoRedefine/>
    <w:uiPriority w:val="99"/>
    <w:rsid w:val="00A4103A"/>
    <w:pPr>
      <w:numPr>
        <w:numId w:val="1"/>
      </w:numPr>
    </w:pPr>
  </w:style>
  <w:style w:type="paragraph" w:customStyle="1" w:styleId="PI-3EMEASMCA">
    <w:name w:val="PI-3 EMEA_SMCA"/>
    <w:basedOn w:val="prastasis"/>
    <w:link w:val="PI-3EMEASMCAChar"/>
    <w:autoRedefine/>
    <w:uiPriority w:val="99"/>
    <w:rsid w:val="00A4103A"/>
    <w:pPr>
      <w:spacing w:after="0" w:line="220" w:lineRule="exact"/>
    </w:pPr>
    <w:rPr>
      <w:rFonts w:cs="Times New Roman"/>
      <w:b/>
      <w:bCs/>
      <w:sz w:val="20"/>
      <w:szCs w:val="20"/>
      <w:lang w:eastAsia="lt-LT"/>
    </w:rPr>
  </w:style>
  <w:style w:type="character" w:customStyle="1" w:styleId="PI-3EMEASMCAChar">
    <w:name w:val="PI-3 EMEA_SMCA Char"/>
    <w:link w:val="PI-3EMEASMCA"/>
    <w:uiPriority w:val="99"/>
    <w:locked/>
    <w:rsid w:val="00A4103A"/>
    <w:rPr>
      <w:rFonts w:ascii="Calibri" w:eastAsia="Calibri" w:hAnsi="Calibri" w:cs="Times New Roman"/>
      <w:b/>
      <w:bCs/>
      <w:sz w:val="20"/>
      <w:szCs w:val="20"/>
      <w:lang w:val="lt-LT" w:eastAsia="lt-LT"/>
    </w:rPr>
  </w:style>
  <w:style w:type="paragraph" w:customStyle="1" w:styleId="BTbEMEASMCA">
    <w:name w:val="BT(b) EMEA_SMCA"/>
    <w:basedOn w:val="BTEMEASMCA"/>
    <w:autoRedefine/>
    <w:uiPriority w:val="99"/>
    <w:rsid w:val="00A4103A"/>
    <w:rPr>
      <w:b/>
      <w:bCs/>
    </w:rPr>
  </w:style>
  <w:style w:type="paragraph" w:customStyle="1" w:styleId="BTbeEMEASMCA">
    <w:name w:val="BT(be) EMEA_SMCA"/>
    <w:basedOn w:val="BTEMEASMCA"/>
    <w:autoRedefine/>
    <w:uiPriority w:val="99"/>
    <w:rsid w:val="00A4103A"/>
    <w:pPr>
      <w:jc w:val="center"/>
    </w:pPr>
    <w:rPr>
      <w:b/>
      <w:bCs/>
    </w:rPr>
  </w:style>
  <w:style w:type="paragraph" w:customStyle="1" w:styleId="BTeEMEASMCA">
    <w:name w:val="BT(e) EMEA_SMCA"/>
    <w:basedOn w:val="BTEMEASMCA"/>
    <w:autoRedefine/>
    <w:uiPriority w:val="99"/>
    <w:rsid w:val="00A4103A"/>
    <w:pPr>
      <w:jc w:val="center"/>
    </w:pPr>
  </w:style>
  <w:style w:type="paragraph" w:styleId="Paprastasistekstas">
    <w:name w:val="Plain Text"/>
    <w:basedOn w:val="prastasis"/>
    <w:link w:val="PaprastasistekstasDiagrama"/>
    <w:uiPriority w:val="99"/>
    <w:rsid w:val="00A4103A"/>
    <w:pPr>
      <w:spacing w:after="0" w:line="240" w:lineRule="auto"/>
    </w:pPr>
    <w:rPr>
      <w:rFonts w:ascii="Courier New" w:eastAsia="Times New Roman" w:hAnsi="Courier New" w:cs="Courier New"/>
      <w:sz w:val="20"/>
      <w:szCs w:val="20"/>
      <w:lang w:eastAsia="lt-LT"/>
    </w:rPr>
  </w:style>
  <w:style w:type="character" w:customStyle="1" w:styleId="PaprastasistekstasDiagrama">
    <w:name w:val="Paprastasis tekstas Diagrama"/>
    <w:basedOn w:val="Numatytasispastraiposriftas"/>
    <w:link w:val="Paprastasistekstas"/>
    <w:uiPriority w:val="99"/>
    <w:rsid w:val="00A4103A"/>
    <w:rPr>
      <w:rFonts w:ascii="Courier New" w:eastAsia="Times New Roman" w:hAnsi="Courier New" w:cs="Courier New"/>
      <w:sz w:val="20"/>
      <w:szCs w:val="20"/>
      <w:lang w:val="lt-LT" w:eastAsia="lt-LT"/>
    </w:rPr>
  </w:style>
  <w:style w:type="paragraph" w:styleId="Puslapioinaostekstas">
    <w:name w:val="footnote text"/>
    <w:basedOn w:val="prastasis"/>
    <w:next w:val="prastasis"/>
    <w:link w:val="PuslapioinaostekstasDiagrama"/>
    <w:uiPriority w:val="99"/>
    <w:semiHidden/>
    <w:rsid w:val="00A4103A"/>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A4103A"/>
    <w:rPr>
      <w:rFonts w:ascii="Times New Roman" w:eastAsia="Times New Roman" w:hAnsi="Times New Roman" w:cs="Times New Roman"/>
      <w:sz w:val="20"/>
      <w:szCs w:val="20"/>
      <w:lang w:val="lt-LT" w:eastAsia="lt-LT"/>
    </w:rPr>
  </w:style>
  <w:style w:type="paragraph" w:customStyle="1" w:styleId="Body">
    <w:name w:val="Body"/>
    <w:basedOn w:val="prastasis"/>
    <w:uiPriority w:val="99"/>
    <w:rsid w:val="00A4103A"/>
    <w:pPr>
      <w:spacing w:after="0" w:line="240" w:lineRule="auto"/>
      <w:ind w:firstLine="288"/>
      <w:jc w:val="both"/>
    </w:pPr>
    <w:rPr>
      <w:rFonts w:ascii="Arial" w:eastAsia="Times New Roman" w:hAnsi="Arial" w:cs="Arial"/>
      <w:sz w:val="20"/>
      <w:szCs w:val="20"/>
      <w:lang w:val="en-US"/>
    </w:rPr>
  </w:style>
  <w:style w:type="paragraph" w:customStyle="1" w:styleId="prastasiniatinklio1">
    <w:name w:val="Įprastas (žiniatinklio)1"/>
    <w:basedOn w:val="prastasis"/>
    <w:uiPriority w:val="99"/>
    <w:rsid w:val="00A4103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1pt">
    <w:name w:val="Normal + 11 pt"/>
    <w:basedOn w:val="Pagrindinistekstas"/>
    <w:link w:val="Normal11ptChar"/>
    <w:uiPriority w:val="99"/>
    <w:rsid w:val="00A4103A"/>
    <w:pPr>
      <w:widowControl w:val="0"/>
      <w:overflowPunct w:val="0"/>
      <w:autoSpaceDE w:val="0"/>
      <w:autoSpaceDN w:val="0"/>
      <w:adjustRightInd w:val="0"/>
      <w:spacing w:after="0" w:line="312" w:lineRule="auto"/>
      <w:textAlignment w:val="baseline"/>
    </w:pPr>
    <w:rPr>
      <w:rFonts w:ascii="TimesLT" w:eastAsia="Calibri" w:hAnsi="TimesLT" w:cs="TimesLT"/>
      <w:noProof/>
      <w:sz w:val="20"/>
      <w:szCs w:val="20"/>
      <w:lang w:val="en-US" w:eastAsia="ar-SA"/>
    </w:rPr>
  </w:style>
  <w:style w:type="paragraph" w:styleId="Betarp">
    <w:name w:val="No Spacing"/>
    <w:uiPriority w:val="99"/>
    <w:qFormat/>
    <w:rsid w:val="00A4103A"/>
    <w:pPr>
      <w:spacing w:after="0" w:line="240" w:lineRule="auto"/>
    </w:pPr>
    <w:rPr>
      <w:rFonts w:ascii="Calibri" w:eastAsia="Times New Roman" w:hAnsi="Calibri" w:cs="Calibri"/>
      <w:lang w:eastAsia="en-US"/>
    </w:rPr>
  </w:style>
  <w:style w:type="paragraph" w:customStyle="1" w:styleId="msolistparagraph0">
    <w:name w:val="msolistparagraph"/>
    <w:basedOn w:val="prastasis"/>
    <w:uiPriority w:val="99"/>
    <w:rsid w:val="00A4103A"/>
    <w:pPr>
      <w:overflowPunct w:val="0"/>
      <w:autoSpaceDE w:val="0"/>
      <w:autoSpaceDN w:val="0"/>
      <w:adjustRightInd w:val="0"/>
      <w:spacing w:after="0" w:line="240" w:lineRule="auto"/>
      <w:ind w:left="720"/>
      <w:textAlignment w:val="baseline"/>
    </w:pPr>
    <w:rPr>
      <w:rFonts w:eastAsia="Times New Roman"/>
      <w:noProof/>
      <w:lang w:val="en-US"/>
    </w:rPr>
  </w:style>
  <w:style w:type="paragraph" w:customStyle="1" w:styleId="EMEAEnBodyText">
    <w:name w:val="EMEA En Body Text"/>
    <w:basedOn w:val="prastasis"/>
    <w:next w:val="prastasis"/>
    <w:uiPriority w:val="99"/>
    <w:rsid w:val="00A4103A"/>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TextChar">
    <w:name w:val="Text Char"/>
    <w:basedOn w:val="Default"/>
    <w:next w:val="Default"/>
    <w:uiPriority w:val="99"/>
    <w:rsid w:val="00A4103A"/>
    <w:rPr>
      <w:color w:val="auto"/>
    </w:rPr>
  </w:style>
  <w:style w:type="paragraph" w:styleId="prastojitrauka">
    <w:name w:val="Normal Indent"/>
    <w:basedOn w:val="prastasis"/>
    <w:uiPriority w:val="99"/>
    <w:rsid w:val="00A4103A"/>
    <w:pPr>
      <w:spacing w:after="120" w:line="240" w:lineRule="auto"/>
      <w:ind w:left="720"/>
    </w:pPr>
    <w:rPr>
      <w:rFonts w:ascii="Times New Roman" w:eastAsia="Times New Roman" w:hAnsi="Times New Roman" w:cs="Times New Roman"/>
      <w:lang w:val="en-GB" w:eastAsia="en-GB"/>
    </w:rPr>
  </w:style>
  <w:style w:type="paragraph" w:customStyle="1" w:styleId="PI-2EMEASMCA">
    <w:name w:val="PI-2 EMEA_SMCA"/>
    <w:basedOn w:val="Antrat3"/>
    <w:autoRedefine/>
    <w:uiPriority w:val="99"/>
    <w:rsid w:val="00A4103A"/>
    <w:pPr>
      <w:keepLines/>
      <w:tabs>
        <w:tab w:val="left" w:pos="567"/>
      </w:tabs>
      <w:ind w:left="567" w:hanging="567"/>
    </w:pPr>
    <w:rPr>
      <w:kern w:val="28"/>
      <w:lang w:eastAsia="en-US"/>
    </w:rPr>
  </w:style>
  <w:style w:type="paragraph" w:customStyle="1" w:styleId="BTuEMEASMCA">
    <w:name w:val="BT(u) EMEA_SMCA"/>
    <w:basedOn w:val="BTEMEASMCA"/>
    <w:autoRedefine/>
    <w:uiPriority w:val="99"/>
    <w:rsid w:val="00A4103A"/>
    <w:rPr>
      <w:noProof/>
      <w:u w:val="single"/>
    </w:rPr>
  </w:style>
  <w:style w:type="paragraph" w:customStyle="1" w:styleId="BTAnIIEMEASMCA">
    <w:name w:val="BT(AnII) EMEA_SMCA"/>
    <w:basedOn w:val="Debesliotekstas"/>
    <w:autoRedefine/>
    <w:uiPriority w:val="99"/>
    <w:rsid w:val="00A4103A"/>
    <w:pPr>
      <w:tabs>
        <w:tab w:val="left" w:pos="1701"/>
      </w:tabs>
      <w:ind w:left="1701" w:hanging="567"/>
    </w:pPr>
    <w:rPr>
      <w:rFonts w:ascii="Times New Roman" w:eastAsia="Times New Roman" w:hAnsi="Times New Roman" w:cs="Times New Roman"/>
      <w:b/>
      <w:bCs/>
      <w:sz w:val="22"/>
      <w:szCs w:val="22"/>
      <w:lang w:val="en-GB"/>
    </w:rPr>
  </w:style>
  <w:style w:type="paragraph" w:customStyle="1" w:styleId="Annex">
    <w:name w:val="Annex"/>
    <w:basedOn w:val="Default"/>
    <w:next w:val="Default"/>
    <w:uiPriority w:val="99"/>
    <w:rsid w:val="00A4103A"/>
    <w:rPr>
      <w:color w:val="auto"/>
    </w:rPr>
  </w:style>
  <w:style w:type="paragraph" w:customStyle="1" w:styleId="Normale">
    <w:name w:val="Normale"/>
    <w:basedOn w:val="Default"/>
    <w:next w:val="Default"/>
    <w:uiPriority w:val="99"/>
    <w:rsid w:val="00A4103A"/>
    <w:rPr>
      <w:color w:val="auto"/>
    </w:rPr>
  </w:style>
  <w:style w:type="paragraph" w:styleId="Pagrindinistekstas2">
    <w:name w:val="Body Text 2"/>
    <w:basedOn w:val="prastasis"/>
    <w:link w:val="Pagrindinistekstas2Diagrama"/>
    <w:uiPriority w:val="99"/>
    <w:rsid w:val="00A4103A"/>
    <w:pPr>
      <w:spacing w:after="120" w:line="480" w:lineRule="auto"/>
    </w:pPr>
    <w:rPr>
      <w:rFonts w:ascii="Times New Roman" w:eastAsia="Times New Roman" w:hAnsi="Times New Roman" w:cs="Times New Roman"/>
      <w:lang w:eastAsia="lt-LT"/>
    </w:rPr>
  </w:style>
  <w:style w:type="character" w:customStyle="1" w:styleId="Pagrindinistekstas2Diagrama">
    <w:name w:val="Pagrindinis tekstas 2 Diagrama"/>
    <w:basedOn w:val="Numatytasispastraiposriftas"/>
    <w:link w:val="Pagrindinistekstas2"/>
    <w:uiPriority w:val="99"/>
    <w:rsid w:val="00A4103A"/>
    <w:rPr>
      <w:rFonts w:ascii="Times New Roman" w:eastAsia="Times New Roman" w:hAnsi="Times New Roman" w:cs="Times New Roman"/>
      <w:lang w:val="lt-LT" w:eastAsia="lt-LT"/>
    </w:rPr>
  </w:style>
  <w:style w:type="paragraph" w:customStyle="1" w:styleId="NormalWeb1">
    <w:name w:val="Normal (Web)1"/>
    <w:basedOn w:val="prastasis"/>
    <w:uiPriority w:val="99"/>
    <w:rsid w:val="00A4103A"/>
    <w:pPr>
      <w:spacing w:before="100" w:beforeAutospacing="1" w:after="100" w:afterAutospacing="1" w:line="240" w:lineRule="auto"/>
    </w:pPr>
    <w:rPr>
      <w:rFonts w:ascii="Verdana" w:eastAsia="Times New Roman" w:hAnsi="Verdana" w:cs="Verdana"/>
      <w:sz w:val="24"/>
      <w:szCs w:val="24"/>
      <w:lang w:val="en-US"/>
    </w:rPr>
  </w:style>
  <w:style w:type="character" w:customStyle="1" w:styleId="CharChar5">
    <w:name w:val="Char Char5"/>
    <w:uiPriority w:val="99"/>
    <w:rsid w:val="00A4103A"/>
    <w:rPr>
      <w:sz w:val="22"/>
      <w:szCs w:val="22"/>
      <w:lang w:val="lt-LT" w:eastAsia="lt-LT"/>
    </w:rPr>
  </w:style>
  <w:style w:type="character" w:customStyle="1" w:styleId="CharChar8">
    <w:name w:val="Char Char8"/>
    <w:uiPriority w:val="99"/>
    <w:locked/>
    <w:rsid w:val="00A4103A"/>
    <w:rPr>
      <w:rFonts w:ascii="Times New Roman" w:hAnsi="Times New Roman" w:cs="Times New Roman"/>
      <w:b/>
      <w:bCs/>
      <w:sz w:val="20"/>
      <w:szCs w:val="20"/>
      <w:lang w:val="lt-LT" w:eastAsia="ar-SA" w:bidi="ar-SA"/>
    </w:rPr>
  </w:style>
  <w:style w:type="character" w:customStyle="1" w:styleId="CharChar7">
    <w:name w:val="Char Char7"/>
    <w:uiPriority w:val="99"/>
    <w:locked/>
    <w:rsid w:val="00A4103A"/>
    <w:rPr>
      <w:rFonts w:ascii="Times New Roman" w:hAnsi="Times New Roman" w:cs="Times New Roman"/>
      <w:sz w:val="24"/>
      <w:szCs w:val="24"/>
      <w:lang w:val="lt-LT" w:eastAsia="ar-SA" w:bidi="ar-SA"/>
    </w:rPr>
  </w:style>
  <w:style w:type="character" w:customStyle="1" w:styleId="CharChar6">
    <w:name w:val="Char Char6"/>
    <w:uiPriority w:val="99"/>
    <w:locked/>
    <w:rsid w:val="00A4103A"/>
    <w:rPr>
      <w:rFonts w:ascii="Times New Roman" w:hAnsi="Times New Roman" w:cs="Times New Roman"/>
      <w:b/>
      <w:bCs/>
      <w:sz w:val="20"/>
      <w:szCs w:val="20"/>
      <w:lang w:val="lt-LT" w:eastAsia="ar-SA" w:bidi="ar-SA"/>
    </w:rPr>
  </w:style>
  <w:style w:type="character" w:customStyle="1" w:styleId="CharChar4">
    <w:name w:val="Char Char4"/>
    <w:uiPriority w:val="99"/>
    <w:locked/>
    <w:rsid w:val="00A4103A"/>
    <w:rPr>
      <w:rFonts w:ascii="Times New Roman" w:hAnsi="Times New Roman" w:cs="Times New Roman"/>
      <w:sz w:val="20"/>
      <w:szCs w:val="20"/>
      <w:lang w:val="lt-LT" w:eastAsia="ar-SA" w:bidi="ar-SA"/>
    </w:rPr>
  </w:style>
  <w:style w:type="character" w:customStyle="1" w:styleId="CharChar3">
    <w:name w:val="Char Char3"/>
    <w:uiPriority w:val="99"/>
    <w:locked/>
    <w:rsid w:val="00A4103A"/>
    <w:rPr>
      <w:rFonts w:ascii="Times New Roman Bold" w:hAnsi="Times New Roman Bold" w:cs="Times New Roman Bold"/>
      <w:b/>
      <w:bCs/>
      <w:caps/>
      <w:kern w:val="1"/>
      <w:sz w:val="20"/>
      <w:szCs w:val="20"/>
      <w:lang w:val="lt-LT" w:eastAsia="ar-SA" w:bidi="ar-SA"/>
    </w:rPr>
  </w:style>
  <w:style w:type="paragraph" w:styleId="Pagrindiniotekstotrauka2">
    <w:name w:val="Body Text Indent 2"/>
    <w:basedOn w:val="prastasis"/>
    <w:link w:val="Pagrindiniotekstotrauka2Diagrama"/>
    <w:uiPriority w:val="99"/>
    <w:rsid w:val="00A41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180" w:hanging="180"/>
      <w:jc w:val="both"/>
    </w:pPr>
    <w:rPr>
      <w:rFonts w:ascii="Times New Roman" w:eastAsia="Times New Roman" w:hAnsi="Times New Roman" w:cs="Times New Roman"/>
      <w:color w:val="000000"/>
      <w:lang w:eastAsia="ar-SA"/>
    </w:rPr>
  </w:style>
  <w:style w:type="character" w:customStyle="1" w:styleId="Pagrindiniotekstotrauka2Diagrama">
    <w:name w:val="Pagrindinio teksto įtrauka 2 Diagrama"/>
    <w:basedOn w:val="Numatytasispastraiposriftas"/>
    <w:link w:val="Pagrindiniotekstotrauka2"/>
    <w:uiPriority w:val="99"/>
    <w:rsid w:val="00A4103A"/>
    <w:rPr>
      <w:rFonts w:ascii="Times New Roman" w:eastAsia="Times New Roman" w:hAnsi="Times New Roman" w:cs="Times New Roman"/>
      <w:color w:val="000000"/>
      <w:lang w:val="lt-LT" w:eastAsia="ar-SA"/>
    </w:rPr>
  </w:style>
  <w:style w:type="character" w:customStyle="1" w:styleId="CharChar1">
    <w:name w:val="Char Char1"/>
    <w:uiPriority w:val="99"/>
    <w:locked/>
    <w:rsid w:val="00A4103A"/>
    <w:rPr>
      <w:rFonts w:ascii="Arial" w:hAnsi="Arial" w:cs="Arial"/>
      <w:sz w:val="24"/>
      <w:szCs w:val="24"/>
      <w:lang w:val="lt-LT" w:eastAsia="ar-SA" w:bidi="ar-SA"/>
    </w:rPr>
  </w:style>
  <w:style w:type="character" w:customStyle="1" w:styleId="CharChar">
    <w:name w:val="Char Char"/>
    <w:uiPriority w:val="99"/>
    <w:rsid w:val="00A4103A"/>
    <w:rPr>
      <w:sz w:val="22"/>
      <w:szCs w:val="22"/>
      <w:lang w:val="lt-LT" w:eastAsia="lt-LT"/>
    </w:rPr>
  </w:style>
  <w:style w:type="paragraph" w:customStyle="1" w:styleId="NormaLT">
    <w:name w:val="NormaLT"/>
    <w:basedOn w:val="prastasis"/>
    <w:uiPriority w:val="99"/>
    <w:rsid w:val="00A4103A"/>
    <w:pPr>
      <w:tabs>
        <w:tab w:val="left" w:pos="425"/>
      </w:tabs>
      <w:spacing w:after="0" w:line="240" w:lineRule="auto"/>
      <w:jc w:val="both"/>
    </w:pPr>
    <w:rPr>
      <w:rFonts w:ascii="Arial" w:eastAsia="Times New Roman" w:hAnsi="Arial" w:cs="Arial"/>
      <w:sz w:val="24"/>
      <w:szCs w:val="24"/>
    </w:rPr>
  </w:style>
  <w:style w:type="paragraph" w:customStyle="1" w:styleId="TableText">
    <w:name w:val="Table Text"/>
    <w:basedOn w:val="prastasis"/>
    <w:uiPriority w:val="99"/>
    <w:rsid w:val="00A4103A"/>
    <w:pPr>
      <w:spacing w:after="0" w:line="240" w:lineRule="auto"/>
    </w:pPr>
    <w:rPr>
      <w:rFonts w:ascii="CG Times (W1)" w:eastAsia="Times New Roman" w:hAnsi="CG Times (W1)" w:cs="CG Times (W1)"/>
      <w:sz w:val="20"/>
      <w:szCs w:val="20"/>
      <w:lang w:val="en-GB"/>
    </w:rPr>
  </w:style>
  <w:style w:type="paragraph" w:customStyle="1" w:styleId="Normal11pt0">
    <w:name w:val="Normal + 11pt"/>
    <w:basedOn w:val="prastasis"/>
    <w:link w:val="Normal11ptCar"/>
    <w:uiPriority w:val="99"/>
    <w:rsid w:val="00A4103A"/>
    <w:pPr>
      <w:spacing w:after="0" w:line="240" w:lineRule="auto"/>
    </w:pPr>
    <w:rPr>
      <w:rFonts w:cs="Times New Roman"/>
      <w:sz w:val="20"/>
      <w:szCs w:val="20"/>
      <w:lang w:val="en-GB" w:eastAsia="lt-LT"/>
    </w:rPr>
  </w:style>
  <w:style w:type="character" w:customStyle="1" w:styleId="Normal11ptCar">
    <w:name w:val="Normal + 11pt Car"/>
    <w:link w:val="Normal11pt0"/>
    <w:uiPriority w:val="99"/>
    <w:locked/>
    <w:rsid w:val="00A4103A"/>
    <w:rPr>
      <w:rFonts w:ascii="Calibri" w:eastAsia="Calibri" w:hAnsi="Calibri" w:cs="Times New Roman"/>
      <w:sz w:val="20"/>
      <w:szCs w:val="20"/>
      <w:lang w:val="en-GB" w:eastAsia="lt-LT"/>
    </w:rPr>
  </w:style>
  <w:style w:type="paragraph" w:customStyle="1" w:styleId="BTgEMEASMCA">
    <w:name w:val="BT(g) EMEA_SMCA"/>
    <w:basedOn w:val="BTEMEASMCA"/>
    <w:link w:val="BTgEMEASMCAChar"/>
    <w:autoRedefine/>
    <w:uiPriority w:val="99"/>
    <w:rsid w:val="00A4103A"/>
    <w:rPr>
      <w:rFonts w:ascii="Calibri" w:eastAsia="Calibri" w:hAnsi="Calibri"/>
      <w:i/>
      <w:iCs/>
      <w:noProof/>
      <w:color w:val="008000"/>
      <w:sz w:val="20"/>
      <w:szCs w:val="20"/>
      <w:lang w:eastAsia="lt-LT"/>
    </w:rPr>
  </w:style>
  <w:style w:type="character" w:customStyle="1" w:styleId="BTgEMEASMCAChar">
    <w:name w:val="BT(g) EMEA_SMCA Char"/>
    <w:link w:val="BTgEMEASMCA"/>
    <w:uiPriority w:val="99"/>
    <w:locked/>
    <w:rsid w:val="00A4103A"/>
    <w:rPr>
      <w:rFonts w:ascii="Calibri" w:eastAsia="Calibri" w:hAnsi="Calibri" w:cs="Times New Roman"/>
      <w:i/>
      <w:iCs/>
      <w:noProof/>
      <w:color w:val="008000"/>
      <w:sz w:val="20"/>
      <w:szCs w:val="20"/>
      <w:lang w:val="lt-LT" w:eastAsia="lt-LT"/>
    </w:rPr>
  </w:style>
  <w:style w:type="table" w:styleId="Lentelstinklelis">
    <w:name w:val="Table Grid"/>
    <w:basedOn w:val="prastojilentel"/>
    <w:uiPriority w:val="99"/>
    <w:rsid w:val="00A4103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1ptChar">
    <w:name w:val="Normal + 11 pt Char"/>
    <w:link w:val="Normal11pt"/>
    <w:uiPriority w:val="99"/>
    <w:locked/>
    <w:rsid w:val="00A4103A"/>
    <w:rPr>
      <w:rFonts w:ascii="TimesLT" w:eastAsia="Calibri" w:hAnsi="TimesLT" w:cs="TimesLT"/>
      <w:noProof/>
      <w:sz w:val="20"/>
      <w:szCs w:val="20"/>
      <w:lang w:eastAsia="ar-SA"/>
    </w:rPr>
  </w:style>
  <w:style w:type="paragraph" w:customStyle="1" w:styleId="default0">
    <w:name w:val="default"/>
    <w:basedOn w:val="prastasis"/>
    <w:uiPriority w:val="99"/>
    <w:rsid w:val="00A4103A"/>
    <w:pPr>
      <w:spacing w:after="0" w:line="240" w:lineRule="auto"/>
    </w:pPr>
    <w:rPr>
      <w:rFonts w:ascii="Arial" w:eastAsia="Times New Roman" w:hAnsi="Arial" w:cs="Arial"/>
      <w:color w:val="000000"/>
      <w:sz w:val="24"/>
      <w:szCs w:val="24"/>
      <w:lang w:eastAsia="lt-LT"/>
    </w:rPr>
  </w:style>
  <w:style w:type="paragraph" w:styleId="Pataisymai">
    <w:name w:val="Revision"/>
    <w:hidden/>
    <w:uiPriority w:val="99"/>
    <w:semiHidden/>
    <w:rsid w:val="00A4103A"/>
    <w:pPr>
      <w:spacing w:after="0" w:line="240" w:lineRule="auto"/>
    </w:pPr>
    <w:rPr>
      <w:rFonts w:ascii="Calibri" w:eastAsia="Calibri" w:hAnsi="Calibri" w:cs="Calibri"/>
      <w:lang w:val="lt-LT" w:eastAsia="en-US"/>
    </w:rPr>
  </w:style>
  <w:style w:type="paragraph" w:styleId="Sraopastraipa">
    <w:name w:val="List Paragraph"/>
    <w:basedOn w:val="prastasis"/>
    <w:uiPriority w:val="34"/>
    <w:qFormat/>
    <w:rsid w:val="00A41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info.lithuania@sandoz.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49507</Words>
  <Characters>28220</Characters>
  <Application>Microsoft Office Word</Application>
  <DocSecurity>8</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77572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Albina Burkauskaitė</cp:lastModifiedBy>
  <cp:revision>3</cp:revision>
  <dcterms:created xsi:type="dcterms:W3CDTF">2016-12-07T07:15:00Z</dcterms:created>
  <dcterms:modified xsi:type="dcterms:W3CDTF">2016-12-07T07:16:00Z</dcterms:modified>
</cp:coreProperties>
</file>