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75918" w14:textId="77777777" w:rsidR="00172C88" w:rsidRPr="00DC170F" w:rsidRDefault="00172C88" w:rsidP="00172C88">
      <w:pPr>
        <w:rPr>
          <w:b/>
          <w:lang w:val="en-US"/>
        </w:rPr>
      </w:pPr>
    </w:p>
    <w:p w14:paraId="7291B07A" w14:textId="77777777" w:rsidR="00172C88" w:rsidRDefault="00172C88" w:rsidP="00172C88">
      <w:pPr>
        <w:rPr>
          <w:b/>
          <w:lang w:val="lt-LT"/>
        </w:rPr>
      </w:pPr>
    </w:p>
    <w:p w14:paraId="5A2C3274" w14:textId="77777777" w:rsidR="00172C88" w:rsidRDefault="00172C88" w:rsidP="00172C88">
      <w:pPr>
        <w:rPr>
          <w:b/>
          <w:lang w:val="lt-LT"/>
        </w:rPr>
      </w:pPr>
    </w:p>
    <w:p w14:paraId="6C9868F9" w14:textId="77777777" w:rsidR="00172C88" w:rsidRDefault="00172C88" w:rsidP="00172C88">
      <w:pPr>
        <w:rPr>
          <w:b/>
          <w:lang w:val="lt-LT"/>
        </w:rPr>
      </w:pPr>
    </w:p>
    <w:p w14:paraId="2E001AAF" w14:textId="77777777" w:rsidR="00172C88" w:rsidRDefault="00172C88" w:rsidP="00172C88">
      <w:pPr>
        <w:tabs>
          <w:tab w:val="left" w:pos="-1440"/>
          <w:tab w:val="left" w:pos="-720"/>
        </w:tabs>
        <w:rPr>
          <w:b/>
          <w:lang w:val="lt-LT"/>
        </w:rPr>
      </w:pPr>
    </w:p>
    <w:p w14:paraId="550C79B9" w14:textId="77777777" w:rsidR="00172C88" w:rsidRDefault="00172C88" w:rsidP="00172C88">
      <w:pPr>
        <w:tabs>
          <w:tab w:val="left" w:pos="-1440"/>
          <w:tab w:val="left" w:pos="-720"/>
        </w:tabs>
        <w:rPr>
          <w:b/>
          <w:lang w:val="lt-LT"/>
        </w:rPr>
      </w:pPr>
    </w:p>
    <w:p w14:paraId="5AA6995A" w14:textId="77777777" w:rsidR="00172C88" w:rsidRDefault="00172C88" w:rsidP="00172C88">
      <w:pPr>
        <w:tabs>
          <w:tab w:val="left" w:pos="-1440"/>
          <w:tab w:val="left" w:pos="-720"/>
        </w:tabs>
        <w:rPr>
          <w:b/>
          <w:lang w:val="lt-LT"/>
        </w:rPr>
      </w:pPr>
    </w:p>
    <w:p w14:paraId="44560828" w14:textId="77777777" w:rsidR="00172C88" w:rsidRDefault="00172C88" w:rsidP="00172C88">
      <w:pPr>
        <w:tabs>
          <w:tab w:val="left" w:pos="-1440"/>
          <w:tab w:val="left" w:pos="-720"/>
        </w:tabs>
        <w:rPr>
          <w:b/>
          <w:lang w:val="lt-LT"/>
        </w:rPr>
      </w:pPr>
    </w:p>
    <w:p w14:paraId="3383C70A" w14:textId="77777777" w:rsidR="00172C88" w:rsidRDefault="00172C88" w:rsidP="00172C88">
      <w:pPr>
        <w:tabs>
          <w:tab w:val="left" w:pos="-1440"/>
          <w:tab w:val="left" w:pos="-720"/>
        </w:tabs>
        <w:rPr>
          <w:b/>
          <w:lang w:val="lt-LT"/>
        </w:rPr>
      </w:pPr>
    </w:p>
    <w:p w14:paraId="6177A2AC" w14:textId="77777777" w:rsidR="00172C88" w:rsidRDefault="00172C88" w:rsidP="00172C88">
      <w:pPr>
        <w:tabs>
          <w:tab w:val="left" w:pos="-1440"/>
          <w:tab w:val="left" w:pos="-720"/>
        </w:tabs>
        <w:rPr>
          <w:b/>
          <w:lang w:val="lt-LT"/>
        </w:rPr>
      </w:pPr>
    </w:p>
    <w:p w14:paraId="45A88ABC" w14:textId="77777777" w:rsidR="00172C88" w:rsidRDefault="00172C88" w:rsidP="00172C88">
      <w:pPr>
        <w:tabs>
          <w:tab w:val="left" w:pos="-1440"/>
          <w:tab w:val="left" w:pos="-720"/>
        </w:tabs>
        <w:rPr>
          <w:b/>
          <w:lang w:val="lt-LT"/>
        </w:rPr>
      </w:pPr>
    </w:p>
    <w:p w14:paraId="6DDF1780" w14:textId="77777777" w:rsidR="00172C88" w:rsidRDefault="00172C88" w:rsidP="00172C88">
      <w:pPr>
        <w:tabs>
          <w:tab w:val="left" w:pos="-1440"/>
          <w:tab w:val="left" w:pos="-720"/>
        </w:tabs>
        <w:rPr>
          <w:b/>
          <w:lang w:val="lt-LT"/>
        </w:rPr>
      </w:pPr>
    </w:p>
    <w:p w14:paraId="22957519" w14:textId="77777777" w:rsidR="00172C88" w:rsidRDefault="00172C88" w:rsidP="00172C88">
      <w:pPr>
        <w:tabs>
          <w:tab w:val="left" w:pos="-1440"/>
          <w:tab w:val="left" w:pos="-720"/>
        </w:tabs>
        <w:rPr>
          <w:b/>
          <w:lang w:val="lt-LT"/>
        </w:rPr>
      </w:pPr>
    </w:p>
    <w:p w14:paraId="5ABA13A0" w14:textId="77777777" w:rsidR="00172C88" w:rsidRDefault="00172C88" w:rsidP="00172C88">
      <w:pPr>
        <w:tabs>
          <w:tab w:val="left" w:pos="-1440"/>
          <w:tab w:val="left" w:pos="-720"/>
        </w:tabs>
        <w:rPr>
          <w:b/>
          <w:lang w:val="lt-LT"/>
        </w:rPr>
      </w:pPr>
    </w:p>
    <w:p w14:paraId="2F8FCF45" w14:textId="77777777" w:rsidR="00172C88" w:rsidRDefault="00172C88" w:rsidP="00172C88">
      <w:pPr>
        <w:tabs>
          <w:tab w:val="left" w:pos="-1440"/>
          <w:tab w:val="left" w:pos="-720"/>
        </w:tabs>
        <w:rPr>
          <w:b/>
          <w:lang w:val="lt-LT"/>
        </w:rPr>
      </w:pPr>
    </w:p>
    <w:p w14:paraId="3B0F645B" w14:textId="77777777" w:rsidR="00172C88" w:rsidRDefault="00172C88" w:rsidP="00172C88">
      <w:pPr>
        <w:tabs>
          <w:tab w:val="left" w:pos="-1440"/>
          <w:tab w:val="left" w:pos="-720"/>
        </w:tabs>
        <w:rPr>
          <w:b/>
          <w:lang w:val="lt-LT"/>
        </w:rPr>
      </w:pPr>
    </w:p>
    <w:p w14:paraId="5889CC2D" w14:textId="77777777" w:rsidR="00172C88" w:rsidRDefault="00172C88" w:rsidP="00172C88">
      <w:pPr>
        <w:tabs>
          <w:tab w:val="left" w:pos="-1440"/>
          <w:tab w:val="left" w:pos="-720"/>
        </w:tabs>
        <w:rPr>
          <w:b/>
          <w:lang w:val="lt-LT"/>
        </w:rPr>
      </w:pPr>
    </w:p>
    <w:p w14:paraId="396AC160" w14:textId="77777777" w:rsidR="00172C88" w:rsidRDefault="00172C88" w:rsidP="00172C88">
      <w:pPr>
        <w:tabs>
          <w:tab w:val="left" w:pos="-1440"/>
          <w:tab w:val="left" w:pos="-720"/>
        </w:tabs>
        <w:rPr>
          <w:b/>
          <w:lang w:val="lt-LT"/>
        </w:rPr>
      </w:pPr>
    </w:p>
    <w:p w14:paraId="4F895059" w14:textId="77777777" w:rsidR="00172C88" w:rsidRDefault="00172C88" w:rsidP="00172C88">
      <w:pPr>
        <w:tabs>
          <w:tab w:val="left" w:pos="-1440"/>
          <w:tab w:val="left" w:pos="-720"/>
        </w:tabs>
        <w:rPr>
          <w:b/>
          <w:lang w:val="lt-LT"/>
        </w:rPr>
      </w:pPr>
    </w:p>
    <w:p w14:paraId="61DC4351" w14:textId="77777777" w:rsidR="00172C88" w:rsidRDefault="00172C88" w:rsidP="00172C88">
      <w:pPr>
        <w:tabs>
          <w:tab w:val="left" w:pos="-1440"/>
          <w:tab w:val="left" w:pos="-720"/>
        </w:tabs>
        <w:rPr>
          <w:b/>
          <w:lang w:val="lt-LT"/>
        </w:rPr>
      </w:pPr>
    </w:p>
    <w:p w14:paraId="5A0F6439" w14:textId="77777777" w:rsidR="00172C88" w:rsidRDefault="00172C88" w:rsidP="00172C88">
      <w:pPr>
        <w:tabs>
          <w:tab w:val="left" w:pos="-1440"/>
          <w:tab w:val="left" w:pos="-720"/>
        </w:tabs>
        <w:rPr>
          <w:b/>
          <w:lang w:val="lt-LT"/>
        </w:rPr>
      </w:pPr>
    </w:p>
    <w:p w14:paraId="1B84CAD5" w14:textId="77777777" w:rsidR="00172C88" w:rsidRDefault="00172C88" w:rsidP="00172C88">
      <w:pPr>
        <w:tabs>
          <w:tab w:val="left" w:pos="-1440"/>
          <w:tab w:val="left" w:pos="-720"/>
        </w:tabs>
        <w:rPr>
          <w:b/>
          <w:lang w:val="lt-LT"/>
        </w:rPr>
      </w:pPr>
    </w:p>
    <w:p w14:paraId="506604FA" w14:textId="77777777" w:rsidR="00172C88" w:rsidRPr="00AD0EA6" w:rsidRDefault="00172C88" w:rsidP="00172C88">
      <w:pPr>
        <w:pStyle w:val="Antrat2"/>
        <w:spacing w:before="0" w:after="0" w:line="240" w:lineRule="auto"/>
        <w:jc w:val="center"/>
        <w:rPr>
          <w:rFonts w:ascii="Times New Roman" w:hAnsi="Times New Roman"/>
          <w:i w:val="0"/>
          <w:sz w:val="22"/>
          <w:szCs w:val="22"/>
          <w:lang w:val="lt-LT"/>
        </w:rPr>
      </w:pPr>
    </w:p>
    <w:p w14:paraId="74D9BC1D" w14:textId="77777777" w:rsidR="00172C88" w:rsidRPr="00C54C14" w:rsidRDefault="00172C88" w:rsidP="00172C88">
      <w:pPr>
        <w:pStyle w:val="Antrat2"/>
        <w:spacing w:before="0" w:after="0" w:line="240" w:lineRule="auto"/>
        <w:jc w:val="center"/>
        <w:rPr>
          <w:rFonts w:ascii="Times New Roman" w:hAnsi="Times New Roman"/>
          <w:sz w:val="22"/>
          <w:szCs w:val="22"/>
          <w:lang w:val="pt-PT"/>
        </w:rPr>
      </w:pPr>
      <w:r w:rsidRPr="00AD0EA6">
        <w:rPr>
          <w:rFonts w:ascii="Times New Roman" w:hAnsi="Times New Roman"/>
          <w:i w:val="0"/>
          <w:sz w:val="22"/>
          <w:szCs w:val="22"/>
          <w:lang w:val="lt-LT"/>
        </w:rPr>
        <w:t>I PRIEDAS</w:t>
      </w:r>
    </w:p>
    <w:p w14:paraId="6012A7CF" w14:textId="77777777" w:rsidR="00172C88" w:rsidRPr="00AD0EA6" w:rsidRDefault="00172C88" w:rsidP="00172C88">
      <w:pPr>
        <w:spacing w:line="240" w:lineRule="auto"/>
        <w:rPr>
          <w:szCs w:val="22"/>
          <w:lang w:val="lt-LT"/>
        </w:rPr>
      </w:pPr>
    </w:p>
    <w:p w14:paraId="46BC9308" w14:textId="77777777" w:rsidR="00CC033A" w:rsidRDefault="00172C88" w:rsidP="00CC033A">
      <w:pPr>
        <w:tabs>
          <w:tab w:val="left" w:pos="-1440"/>
          <w:tab w:val="left" w:pos="-720"/>
        </w:tabs>
        <w:jc w:val="center"/>
        <w:rPr>
          <w:b/>
          <w:szCs w:val="22"/>
          <w:lang w:val="lt-LT"/>
        </w:rPr>
      </w:pPr>
      <w:r w:rsidRPr="00AD0EA6">
        <w:rPr>
          <w:b/>
          <w:szCs w:val="22"/>
          <w:lang w:val="lt-LT"/>
        </w:rPr>
        <w:t>PREPARATO CHARAKTERISTIKŲ SANTRAUKA</w:t>
      </w:r>
    </w:p>
    <w:p w14:paraId="4B6163C9" w14:textId="77777777" w:rsidR="00172C88" w:rsidRPr="00CC033A" w:rsidRDefault="00CC033A" w:rsidP="00CC033A">
      <w:pPr>
        <w:tabs>
          <w:tab w:val="left" w:pos="-1440"/>
          <w:tab w:val="left" w:pos="-720"/>
        </w:tabs>
        <w:jc w:val="center"/>
        <w:rPr>
          <w:sz w:val="2"/>
          <w:szCs w:val="2"/>
          <w:lang w:val="lt-LT"/>
        </w:rPr>
      </w:pPr>
      <w:r>
        <w:rPr>
          <w:b/>
          <w:szCs w:val="22"/>
          <w:lang w:val="lt-LT"/>
        </w:rPr>
        <w:br w:type="page"/>
      </w:r>
    </w:p>
    <w:p w14:paraId="723DF39A" w14:textId="77777777" w:rsidR="00172C88" w:rsidRDefault="00172C88" w:rsidP="00172C88">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1.</w:t>
      </w:r>
      <w:r>
        <w:rPr>
          <w:rFonts w:ascii="Times New Roman" w:hAnsi="Times New Roman"/>
          <w:sz w:val="22"/>
          <w:lang w:val="lt-LT"/>
        </w:rPr>
        <w:tab/>
        <w:t>VAISTINIO PREPARATO PAVADINIMAS</w:t>
      </w:r>
    </w:p>
    <w:p w14:paraId="4DB75620" w14:textId="77777777" w:rsidR="00172C88" w:rsidRDefault="00172C88" w:rsidP="00172C88">
      <w:pPr>
        <w:rPr>
          <w:szCs w:val="22"/>
          <w:lang w:val="lt-LT"/>
        </w:rPr>
      </w:pPr>
    </w:p>
    <w:p w14:paraId="0D6FFB25" w14:textId="77777777" w:rsidR="00172C88" w:rsidRPr="00C54C14" w:rsidRDefault="00172C88" w:rsidP="00172C88">
      <w:pPr>
        <w:rPr>
          <w:lang w:val="pt-PT"/>
        </w:rPr>
      </w:pPr>
      <w:bookmarkStart w:id="0" w:name="_Hlk36483276"/>
      <w:r w:rsidRPr="00C54C14">
        <w:rPr>
          <w:lang w:val="pt-PT"/>
        </w:rPr>
        <w:t>Bosentan Norameda 62,5 mg plėvele dengtos tabletės</w:t>
      </w:r>
    </w:p>
    <w:p w14:paraId="1C02750A" w14:textId="77777777" w:rsidR="00172C88" w:rsidRPr="00C54C14" w:rsidRDefault="00172C88" w:rsidP="00172C88">
      <w:pPr>
        <w:rPr>
          <w:lang w:val="pt-PT"/>
        </w:rPr>
      </w:pPr>
      <w:bookmarkStart w:id="1" w:name="_Hlk36483347"/>
      <w:bookmarkEnd w:id="0"/>
      <w:r w:rsidRPr="00C54C14">
        <w:rPr>
          <w:lang w:val="pt-PT"/>
        </w:rPr>
        <w:t>Bosentan Norameda 125 mg plėvele dengtos tabl</w:t>
      </w:r>
      <w:bookmarkStart w:id="2" w:name="_Hlk36483370"/>
      <w:r w:rsidRPr="00C54C14">
        <w:rPr>
          <w:lang w:val="pt-PT"/>
        </w:rPr>
        <w:t xml:space="preserve">etės </w:t>
      </w:r>
    </w:p>
    <w:bookmarkEnd w:id="1"/>
    <w:bookmarkEnd w:id="2"/>
    <w:p w14:paraId="2550B5C2" w14:textId="77777777" w:rsidR="00172C88" w:rsidRPr="00C54C14" w:rsidRDefault="00172C88" w:rsidP="00172C88">
      <w:pPr>
        <w:rPr>
          <w:lang w:val="pt-PT"/>
        </w:rPr>
      </w:pPr>
    </w:p>
    <w:p w14:paraId="2459A500" w14:textId="77777777" w:rsidR="00172C88" w:rsidRPr="00FD71D5" w:rsidRDefault="00172C88" w:rsidP="00172C88">
      <w:pPr>
        <w:rPr>
          <w:szCs w:val="22"/>
          <w:lang w:val="lt-LT"/>
        </w:rPr>
      </w:pPr>
    </w:p>
    <w:p w14:paraId="1E1BBC75" w14:textId="77777777" w:rsidR="00172C88" w:rsidRPr="00FD71D5" w:rsidRDefault="00172C88" w:rsidP="00172C88">
      <w:pPr>
        <w:pStyle w:val="Antrat3"/>
        <w:spacing w:before="0" w:after="0" w:line="240" w:lineRule="auto"/>
        <w:rPr>
          <w:rFonts w:ascii="Times New Roman" w:hAnsi="Times New Roman"/>
          <w:sz w:val="22"/>
          <w:lang w:val="lt-LT"/>
        </w:rPr>
      </w:pPr>
      <w:r w:rsidRPr="00FD71D5">
        <w:rPr>
          <w:rFonts w:ascii="Times New Roman" w:hAnsi="Times New Roman"/>
          <w:sz w:val="22"/>
          <w:lang w:val="lt-LT"/>
        </w:rPr>
        <w:t>2.</w:t>
      </w:r>
      <w:r w:rsidRPr="00FD71D5">
        <w:rPr>
          <w:rFonts w:ascii="Times New Roman" w:hAnsi="Times New Roman"/>
          <w:sz w:val="22"/>
          <w:lang w:val="lt-LT"/>
        </w:rPr>
        <w:tab/>
        <w:t>KOKYBINĖ IR KIEKYBINĖ SUDĖTIS</w:t>
      </w:r>
    </w:p>
    <w:p w14:paraId="2919849C" w14:textId="77777777" w:rsidR="00172C88" w:rsidRPr="001C3824" w:rsidRDefault="00172C88" w:rsidP="00172C88">
      <w:pPr>
        <w:rPr>
          <w:szCs w:val="24"/>
          <w:lang w:val="lt-LT"/>
        </w:rPr>
      </w:pPr>
    </w:p>
    <w:p w14:paraId="53011FAD" w14:textId="77777777" w:rsidR="00083DD5" w:rsidRPr="00DE28F3" w:rsidRDefault="00083DD5" w:rsidP="00172C88">
      <w:pPr>
        <w:rPr>
          <w:lang w:val="lt-LT"/>
        </w:rPr>
      </w:pPr>
    </w:p>
    <w:p w14:paraId="6D2902DE" w14:textId="77777777" w:rsidR="00083DD5" w:rsidRPr="00C54C14" w:rsidRDefault="00083DD5" w:rsidP="00083DD5">
      <w:pPr>
        <w:rPr>
          <w:lang w:val="lt-LT"/>
        </w:rPr>
      </w:pPr>
      <w:bookmarkStart w:id="3" w:name="_Hlk36483481"/>
      <w:proofErr w:type="spellStart"/>
      <w:r w:rsidRPr="00C54C14">
        <w:rPr>
          <w:lang w:val="lt-LT"/>
        </w:rPr>
        <w:t>Bosentan</w:t>
      </w:r>
      <w:proofErr w:type="spellEnd"/>
      <w:r w:rsidRPr="00C54C14">
        <w:rPr>
          <w:lang w:val="lt-LT"/>
        </w:rPr>
        <w:t xml:space="preserve"> </w:t>
      </w:r>
      <w:proofErr w:type="spellStart"/>
      <w:r w:rsidRPr="00C54C14">
        <w:rPr>
          <w:lang w:val="lt-LT"/>
        </w:rPr>
        <w:t>Norameda</w:t>
      </w:r>
      <w:proofErr w:type="spellEnd"/>
      <w:r w:rsidRPr="00C54C14">
        <w:rPr>
          <w:lang w:val="lt-LT"/>
        </w:rPr>
        <w:t xml:space="preserve"> 62,5 mg plėvele dengtos tabletės</w:t>
      </w:r>
      <w:bookmarkEnd w:id="3"/>
    </w:p>
    <w:p w14:paraId="595FE260" w14:textId="77777777" w:rsidR="00172C88" w:rsidRPr="00AF0434" w:rsidRDefault="00172C88" w:rsidP="00172C88">
      <w:pPr>
        <w:rPr>
          <w:lang w:val="lt-LT"/>
        </w:rPr>
      </w:pPr>
      <w:r w:rsidRPr="00DE28F3">
        <w:rPr>
          <w:lang w:val="lt-LT"/>
        </w:rPr>
        <w:t xml:space="preserve">Kiekvienoje plėvele dengtoje tabletėje yra 62,5 mg </w:t>
      </w:r>
      <w:proofErr w:type="spellStart"/>
      <w:r w:rsidRPr="00DE28F3">
        <w:rPr>
          <w:lang w:val="lt-LT"/>
        </w:rPr>
        <w:t>bozentano</w:t>
      </w:r>
      <w:proofErr w:type="spellEnd"/>
      <w:r w:rsidRPr="00DE28F3">
        <w:rPr>
          <w:lang w:val="lt-LT"/>
        </w:rPr>
        <w:t xml:space="preserve"> (</w:t>
      </w:r>
      <w:proofErr w:type="spellStart"/>
      <w:r w:rsidRPr="00DE28F3">
        <w:rPr>
          <w:lang w:val="lt-LT"/>
        </w:rPr>
        <w:t>monohidrato</w:t>
      </w:r>
      <w:proofErr w:type="spellEnd"/>
      <w:r w:rsidR="00083DD5" w:rsidRPr="00DE28F3">
        <w:rPr>
          <w:lang w:val="lt-LT"/>
        </w:rPr>
        <w:t xml:space="preserve"> pavidalu</w:t>
      </w:r>
      <w:r w:rsidRPr="00DE28F3">
        <w:rPr>
          <w:lang w:val="lt-LT"/>
        </w:rPr>
        <w:t>).</w:t>
      </w:r>
      <w:r w:rsidRPr="00AF0434">
        <w:rPr>
          <w:lang w:val="lt-LT"/>
        </w:rPr>
        <w:t xml:space="preserve"> </w:t>
      </w:r>
    </w:p>
    <w:p w14:paraId="4E7C7416" w14:textId="77777777" w:rsidR="00083DD5" w:rsidRPr="00C54C14" w:rsidRDefault="00083DD5" w:rsidP="00172C88">
      <w:pPr>
        <w:rPr>
          <w:lang w:val="pt-PT"/>
        </w:rPr>
      </w:pPr>
    </w:p>
    <w:p w14:paraId="177E4976" w14:textId="77777777" w:rsidR="00083DD5" w:rsidRPr="00C54C14" w:rsidRDefault="00083DD5" w:rsidP="00083DD5">
      <w:pPr>
        <w:rPr>
          <w:lang w:val="pt-PT"/>
        </w:rPr>
      </w:pPr>
      <w:bookmarkStart w:id="4" w:name="_Hlk36483503"/>
      <w:r w:rsidRPr="00C54C14">
        <w:rPr>
          <w:lang w:val="pt-PT"/>
        </w:rPr>
        <w:t xml:space="preserve">Bosentan Norameda 125 mg plėvele dengtos tabletės </w:t>
      </w:r>
      <w:bookmarkEnd w:id="4"/>
    </w:p>
    <w:p w14:paraId="62D4E2B2" w14:textId="77777777" w:rsidR="00172C88" w:rsidRPr="00C54C14" w:rsidRDefault="00172C88" w:rsidP="00172C88">
      <w:pPr>
        <w:rPr>
          <w:lang w:val="pt-PT"/>
        </w:rPr>
      </w:pPr>
      <w:r w:rsidRPr="00C54C14">
        <w:rPr>
          <w:lang w:val="pt-PT"/>
        </w:rPr>
        <w:t>Kiekvienoje plėvele dengtoje tabletėje yra 125 mg bozentano (monohidrato</w:t>
      </w:r>
      <w:r w:rsidR="00375FEF" w:rsidRPr="00C54C14">
        <w:rPr>
          <w:lang w:val="pt-PT"/>
        </w:rPr>
        <w:t xml:space="preserve"> pavidalu</w:t>
      </w:r>
      <w:r w:rsidRPr="00C54C14">
        <w:rPr>
          <w:lang w:val="pt-PT"/>
        </w:rPr>
        <w:t xml:space="preserve">). </w:t>
      </w:r>
    </w:p>
    <w:p w14:paraId="1C09B4A9" w14:textId="77777777" w:rsidR="00172C88" w:rsidRDefault="00172C88" w:rsidP="00172C88">
      <w:pPr>
        <w:rPr>
          <w:szCs w:val="22"/>
          <w:lang w:val="lt-LT"/>
        </w:rPr>
      </w:pPr>
    </w:p>
    <w:p w14:paraId="3B6483BF" w14:textId="77777777" w:rsidR="00172C88" w:rsidRPr="002110D0" w:rsidRDefault="00172C88" w:rsidP="00172C88">
      <w:pPr>
        <w:rPr>
          <w:szCs w:val="22"/>
          <w:lang w:val="lt-LT"/>
        </w:rPr>
      </w:pPr>
      <w:r w:rsidRPr="002110D0">
        <w:rPr>
          <w:szCs w:val="22"/>
          <w:lang w:val="lt-LT"/>
        </w:rPr>
        <w:t>Visos pagalbinės medžiagos išvardytos 6.1 skyriuje.</w:t>
      </w:r>
    </w:p>
    <w:p w14:paraId="1A1F13C0" w14:textId="77777777" w:rsidR="00172C88" w:rsidRPr="002110D0" w:rsidRDefault="00172C88" w:rsidP="00172C88">
      <w:pPr>
        <w:rPr>
          <w:szCs w:val="22"/>
          <w:lang w:val="lt-LT"/>
        </w:rPr>
      </w:pPr>
    </w:p>
    <w:p w14:paraId="35456CAA" w14:textId="77777777" w:rsidR="00172C88" w:rsidRPr="002110D0" w:rsidRDefault="00172C88" w:rsidP="00172C88">
      <w:pPr>
        <w:rPr>
          <w:szCs w:val="22"/>
          <w:lang w:val="lt-LT"/>
        </w:rPr>
      </w:pPr>
    </w:p>
    <w:p w14:paraId="43668D46" w14:textId="77777777" w:rsidR="00172C88" w:rsidRPr="002110D0" w:rsidRDefault="00172C88" w:rsidP="00172C88">
      <w:pPr>
        <w:pStyle w:val="Antrat3"/>
        <w:spacing w:before="0" w:after="0" w:line="240" w:lineRule="auto"/>
        <w:rPr>
          <w:rFonts w:ascii="Times New Roman" w:hAnsi="Times New Roman"/>
          <w:sz w:val="22"/>
          <w:lang w:val="lt-LT"/>
        </w:rPr>
      </w:pPr>
      <w:r w:rsidRPr="002110D0">
        <w:rPr>
          <w:rFonts w:ascii="Times New Roman" w:hAnsi="Times New Roman"/>
          <w:sz w:val="22"/>
          <w:lang w:val="lt-LT"/>
        </w:rPr>
        <w:t>3.</w:t>
      </w:r>
      <w:r w:rsidRPr="002110D0">
        <w:rPr>
          <w:rFonts w:ascii="Times New Roman" w:hAnsi="Times New Roman"/>
          <w:sz w:val="22"/>
          <w:lang w:val="lt-LT"/>
        </w:rPr>
        <w:tab/>
        <w:t>FARMACINĖ FORMA</w:t>
      </w:r>
    </w:p>
    <w:p w14:paraId="50469643" w14:textId="77777777" w:rsidR="00172C88" w:rsidRPr="002110D0" w:rsidRDefault="00172C88" w:rsidP="00172C88">
      <w:pPr>
        <w:rPr>
          <w:szCs w:val="24"/>
          <w:lang w:val="lt-LT"/>
        </w:rPr>
      </w:pPr>
    </w:p>
    <w:p w14:paraId="3EFF6E64" w14:textId="77777777" w:rsidR="00172C88" w:rsidRPr="005360BD" w:rsidRDefault="00172C88" w:rsidP="00172C88">
      <w:pPr>
        <w:pStyle w:val="Default"/>
        <w:rPr>
          <w:sz w:val="22"/>
          <w:szCs w:val="22"/>
          <w:lang w:val="lt-LT"/>
        </w:rPr>
      </w:pPr>
      <w:r w:rsidRPr="005360BD">
        <w:rPr>
          <w:sz w:val="22"/>
          <w:szCs w:val="22"/>
          <w:lang w:val="lt-LT"/>
        </w:rPr>
        <w:t>Plėvele dengta tabletė (tabletė)</w:t>
      </w:r>
    </w:p>
    <w:p w14:paraId="683ADB4D" w14:textId="77777777" w:rsidR="00375FEF" w:rsidRPr="00FD71D5" w:rsidRDefault="00375FEF" w:rsidP="00172C88">
      <w:pPr>
        <w:pStyle w:val="Default"/>
        <w:rPr>
          <w:sz w:val="23"/>
          <w:szCs w:val="23"/>
          <w:lang w:val="lt-LT"/>
        </w:rPr>
      </w:pPr>
    </w:p>
    <w:p w14:paraId="34FC052C" w14:textId="77777777" w:rsidR="00083DD5" w:rsidRPr="00DE28F3" w:rsidRDefault="00083DD5" w:rsidP="00172C88">
      <w:pPr>
        <w:rPr>
          <w:lang w:val="lt-LT"/>
        </w:rPr>
      </w:pPr>
      <w:r w:rsidRPr="00C54C14">
        <w:rPr>
          <w:lang w:val="pt-PT"/>
        </w:rPr>
        <w:t>Bosentan Norameda 62,5 mg plėvele dengtos tabletės</w:t>
      </w:r>
      <w:r w:rsidRPr="00DE28F3">
        <w:rPr>
          <w:lang w:val="lt-LT"/>
        </w:rPr>
        <w:t xml:space="preserve"> </w:t>
      </w:r>
    </w:p>
    <w:p w14:paraId="435F278D" w14:textId="77777777" w:rsidR="00172C88" w:rsidRPr="00FD71D5" w:rsidRDefault="00172C88" w:rsidP="00172C88">
      <w:pPr>
        <w:rPr>
          <w:lang w:val="lt-LT"/>
        </w:rPr>
      </w:pPr>
      <w:r w:rsidRPr="00DE28F3">
        <w:rPr>
          <w:lang w:val="lt-LT"/>
        </w:rPr>
        <w:t>Šviesiai oranžinė, apvali, abipus išgaubta, 6 mm dydžio plėvele dengta tabletė.</w:t>
      </w:r>
      <w:r w:rsidRPr="00AF0434">
        <w:rPr>
          <w:lang w:val="lt-LT"/>
        </w:rPr>
        <w:t xml:space="preserve"> </w:t>
      </w:r>
    </w:p>
    <w:p w14:paraId="347D1966" w14:textId="77777777" w:rsidR="00083DD5" w:rsidRPr="00DE28F3" w:rsidRDefault="00083DD5" w:rsidP="00172C88">
      <w:pPr>
        <w:rPr>
          <w:lang w:val="lt-LT"/>
        </w:rPr>
      </w:pPr>
    </w:p>
    <w:p w14:paraId="3E443B57" w14:textId="77777777" w:rsidR="00083DD5" w:rsidRPr="00DE28F3" w:rsidRDefault="00083DD5" w:rsidP="00172C88">
      <w:pPr>
        <w:rPr>
          <w:lang w:val="lt-LT"/>
        </w:rPr>
      </w:pPr>
      <w:r w:rsidRPr="00C54C14">
        <w:rPr>
          <w:lang w:val="pt-PT"/>
        </w:rPr>
        <w:t>Bosentan Norameda 125 mg plėvele dengtos tabletės</w:t>
      </w:r>
    </w:p>
    <w:p w14:paraId="5AA557EA" w14:textId="77777777" w:rsidR="00172C88" w:rsidRPr="00212D12" w:rsidRDefault="00172C88" w:rsidP="00172C88">
      <w:pPr>
        <w:rPr>
          <w:lang w:val="lt-LT"/>
        </w:rPr>
      </w:pPr>
      <w:r w:rsidRPr="00DE28F3">
        <w:rPr>
          <w:lang w:val="lt-LT"/>
        </w:rPr>
        <w:t>Šviesiai oranžinė, ovali, abipus išgaubta, 11 mm dydžio plėvele dengta tabletė.</w:t>
      </w:r>
      <w:r w:rsidRPr="00212D12">
        <w:rPr>
          <w:lang w:val="lt-LT"/>
        </w:rPr>
        <w:t xml:space="preserve"> </w:t>
      </w:r>
    </w:p>
    <w:p w14:paraId="142A87A6" w14:textId="77777777" w:rsidR="00172C88" w:rsidRPr="00212D12" w:rsidRDefault="00172C88" w:rsidP="00172C88">
      <w:pPr>
        <w:rPr>
          <w:lang w:val="lt-LT"/>
        </w:rPr>
      </w:pPr>
    </w:p>
    <w:p w14:paraId="3EA2A467" w14:textId="77777777" w:rsidR="00172C88" w:rsidRDefault="00172C88" w:rsidP="00172C88">
      <w:pPr>
        <w:rPr>
          <w:szCs w:val="24"/>
          <w:lang w:val="lt-LT"/>
        </w:rPr>
      </w:pPr>
    </w:p>
    <w:p w14:paraId="0089C6A2" w14:textId="77777777" w:rsidR="00172C88" w:rsidRDefault="00172C88" w:rsidP="00172C88">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4095E5B5" w14:textId="77777777" w:rsidR="00172C88" w:rsidRDefault="00172C88" w:rsidP="00172C88">
      <w:pPr>
        <w:rPr>
          <w:szCs w:val="24"/>
          <w:lang w:val="lt-LT"/>
        </w:rPr>
      </w:pPr>
    </w:p>
    <w:p w14:paraId="519A14B7"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1F198C1F" w14:textId="77777777" w:rsidR="00172C88" w:rsidRDefault="00172C88" w:rsidP="00172C88">
      <w:pPr>
        <w:rPr>
          <w:szCs w:val="24"/>
          <w:lang w:val="lt-LT"/>
        </w:rPr>
      </w:pPr>
    </w:p>
    <w:p w14:paraId="32213A5C" w14:textId="77777777" w:rsidR="00172C88" w:rsidRDefault="00172C88" w:rsidP="00172C88">
      <w:pPr>
        <w:rPr>
          <w:szCs w:val="24"/>
          <w:lang w:val="lt-LT"/>
        </w:rPr>
      </w:pPr>
      <w:proofErr w:type="spellStart"/>
      <w:r>
        <w:rPr>
          <w:szCs w:val="24"/>
          <w:lang w:val="lt-LT"/>
        </w:rPr>
        <w:t>Plautinės</w:t>
      </w:r>
      <w:proofErr w:type="spellEnd"/>
      <w:r>
        <w:rPr>
          <w:szCs w:val="24"/>
          <w:lang w:val="lt-LT"/>
        </w:rPr>
        <w:t xml:space="preserve"> arterinės hipertenzijos (PAH) gydymas pacientams, sergantiems PSO III funkcinės klasės PAH, siekiant pagerinti fizinį pajėgumą ir palengvinti simptomus. Veiksmingumas buvo patvirtintas gydant: </w:t>
      </w:r>
    </w:p>
    <w:p w14:paraId="3FC89EA2" w14:textId="6C21DA2F" w:rsidR="00172C88" w:rsidRDefault="00172C88" w:rsidP="00172C88">
      <w:pPr>
        <w:numPr>
          <w:ilvl w:val="0"/>
          <w:numId w:val="1"/>
        </w:numPr>
        <w:ind w:left="567" w:hanging="567"/>
        <w:rPr>
          <w:szCs w:val="24"/>
          <w:lang w:val="lt-LT"/>
        </w:rPr>
      </w:pPr>
      <w:r>
        <w:rPr>
          <w:szCs w:val="24"/>
          <w:lang w:val="lt-LT"/>
        </w:rPr>
        <w:t xml:space="preserve">pirminę (idiopatinę ar paveldimą) </w:t>
      </w:r>
      <w:proofErr w:type="spellStart"/>
      <w:r w:rsidR="004368DC">
        <w:rPr>
          <w:szCs w:val="24"/>
          <w:lang w:val="lt-LT"/>
        </w:rPr>
        <w:t>p</w:t>
      </w:r>
      <w:r w:rsidR="004368DC" w:rsidRPr="004368DC">
        <w:rPr>
          <w:szCs w:val="24"/>
          <w:lang w:val="lt-LT"/>
        </w:rPr>
        <w:t>lautin</w:t>
      </w:r>
      <w:r w:rsidR="004368DC">
        <w:rPr>
          <w:szCs w:val="24"/>
          <w:lang w:val="lt-LT"/>
        </w:rPr>
        <w:t>ę</w:t>
      </w:r>
      <w:proofErr w:type="spellEnd"/>
      <w:r w:rsidR="004368DC" w:rsidRPr="004368DC">
        <w:rPr>
          <w:szCs w:val="24"/>
          <w:lang w:val="lt-LT"/>
        </w:rPr>
        <w:t xml:space="preserve"> arterin</w:t>
      </w:r>
      <w:r w:rsidR="004368DC">
        <w:rPr>
          <w:szCs w:val="24"/>
          <w:lang w:val="lt-LT"/>
        </w:rPr>
        <w:t>ę</w:t>
      </w:r>
      <w:r w:rsidR="004368DC" w:rsidRPr="004368DC">
        <w:rPr>
          <w:szCs w:val="24"/>
          <w:lang w:val="lt-LT"/>
        </w:rPr>
        <w:t xml:space="preserve"> hipertenzij</w:t>
      </w:r>
      <w:r w:rsidR="004368DC">
        <w:rPr>
          <w:szCs w:val="24"/>
          <w:lang w:val="lt-LT"/>
        </w:rPr>
        <w:t>ą</w:t>
      </w:r>
      <w:r>
        <w:rPr>
          <w:szCs w:val="24"/>
          <w:lang w:val="lt-LT"/>
        </w:rPr>
        <w:t xml:space="preserve">; </w:t>
      </w:r>
    </w:p>
    <w:p w14:paraId="0E7A8412" w14:textId="69BC3CAD" w:rsidR="00172C88" w:rsidRDefault="00172C88" w:rsidP="00172C88">
      <w:pPr>
        <w:numPr>
          <w:ilvl w:val="0"/>
          <w:numId w:val="1"/>
        </w:numPr>
        <w:ind w:left="567" w:hanging="567"/>
        <w:rPr>
          <w:szCs w:val="24"/>
          <w:lang w:val="lt-LT"/>
        </w:rPr>
      </w:pPr>
      <w:r>
        <w:rPr>
          <w:szCs w:val="24"/>
          <w:lang w:val="lt-LT"/>
        </w:rPr>
        <w:t xml:space="preserve">antrinę </w:t>
      </w:r>
      <w:proofErr w:type="spellStart"/>
      <w:r w:rsidR="004368DC">
        <w:rPr>
          <w:szCs w:val="24"/>
          <w:lang w:val="lt-LT"/>
        </w:rPr>
        <w:t>pl</w:t>
      </w:r>
      <w:r w:rsidR="004368DC" w:rsidRPr="004368DC">
        <w:rPr>
          <w:szCs w:val="24"/>
          <w:lang w:val="lt-LT"/>
        </w:rPr>
        <w:t>autinę</w:t>
      </w:r>
      <w:proofErr w:type="spellEnd"/>
      <w:r w:rsidR="004368DC" w:rsidRPr="004368DC">
        <w:rPr>
          <w:szCs w:val="24"/>
          <w:lang w:val="lt-LT"/>
        </w:rPr>
        <w:t xml:space="preserve"> arterinę hipertenziją</w:t>
      </w:r>
      <w:r>
        <w:rPr>
          <w:szCs w:val="24"/>
          <w:lang w:val="lt-LT"/>
        </w:rPr>
        <w:t xml:space="preserve">, sukeltą </w:t>
      </w:r>
      <w:proofErr w:type="spellStart"/>
      <w:r>
        <w:rPr>
          <w:szCs w:val="24"/>
          <w:lang w:val="lt-LT"/>
        </w:rPr>
        <w:t>sklerodermijos</w:t>
      </w:r>
      <w:proofErr w:type="spellEnd"/>
      <w:r>
        <w:rPr>
          <w:szCs w:val="24"/>
          <w:lang w:val="lt-LT"/>
        </w:rPr>
        <w:t xml:space="preserve"> be reikšmingos </w:t>
      </w:r>
      <w:proofErr w:type="spellStart"/>
      <w:r>
        <w:rPr>
          <w:szCs w:val="24"/>
          <w:lang w:val="lt-LT"/>
        </w:rPr>
        <w:t>intersticinės</w:t>
      </w:r>
      <w:proofErr w:type="spellEnd"/>
      <w:r>
        <w:rPr>
          <w:szCs w:val="24"/>
          <w:lang w:val="lt-LT"/>
        </w:rPr>
        <w:t xml:space="preserve"> plaučių ligos;</w:t>
      </w:r>
    </w:p>
    <w:p w14:paraId="0D296A81" w14:textId="75709F92" w:rsidR="00172C88" w:rsidRPr="00E32052" w:rsidRDefault="004368DC" w:rsidP="00172C88">
      <w:pPr>
        <w:numPr>
          <w:ilvl w:val="0"/>
          <w:numId w:val="1"/>
        </w:numPr>
        <w:ind w:left="567" w:hanging="567"/>
        <w:rPr>
          <w:lang w:val="lt-LT"/>
        </w:rPr>
      </w:pPr>
      <w:proofErr w:type="spellStart"/>
      <w:r>
        <w:rPr>
          <w:szCs w:val="24"/>
          <w:lang w:val="lt-LT"/>
        </w:rPr>
        <w:t>pl</w:t>
      </w:r>
      <w:r w:rsidRPr="004368DC">
        <w:rPr>
          <w:szCs w:val="24"/>
          <w:lang w:val="lt-LT"/>
        </w:rPr>
        <w:t>autinę</w:t>
      </w:r>
      <w:proofErr w:type="spellEnd"/>
      <w:r w:rsidRPr="004368DC">
        <w:rPr>
          <w:szCs w:val="24"/>
          <w:lang w:val="lt-LT"/>
        </w:rPr>
        <w:t xml:space="preserve"> arterinę hipertenziją</w:t>
      </w:r>
      <w:r w:rsidR="00172C88">
        <w:rPr>
          <w:szCs w:val="24"/>
          <w:lang w:val="lt-LT"/>
        </w:rPr>
        <w:t xml:space="preserve">, susijusią su įgimtais sisteminės ir plaučių kraujotakos šuntais ir </w:t>
      </w:r>
      <w:proofErr w:type="spellStart"/>
      <w:r w:rsidR="00172C88">
        <w:rPr>
          <w:szCs w:val="24"/>
          <w:lang w:val="lt-LT"/>
        </w:rPr>
        <w:t>Eizenmengerio</w:t>
      </w:r>
      <w:proofErr w:type="spellEnd"/>
      <w:r w:rsidR="00172C88">
        <w:rPr>
          <w:rFonts w:ascii="Calibri" w:hAnsi="Calibri" w:cs="Calibri"/>
          <w:color w:val="000000"/>
          <w:sz w:val="18"/>
          <w:szCs w:val="18"/>
          <w:lang w:val="lt-LT" w:eastAsia="lt-LT"/>
        </w:rPr>
        <w:t xml:space="preserve"> </w:t>
      </w:r>
      <w:r w:rsidR="00172C88">
        <w:rPr>
          <w:szCs w:val="24"/>
          <w:lang w:val="lt-LT"/>
        </w:rPr>
        <w:t>(</w:t>
      </w:r>
      <w:proofErr w:type="spellStart"/>
      <w:r w:rsidR="00172C88">
        <w:rPr>
          <w:i/>
          <w:iCs/>
          <w:szCs w:val="24"/>
          <w:lang w:val="lt-LT"/>
        </w:rPr>
        <w:t>Eisenmenger</w:t>
      </w:r>
      <w:proofErr w:type="spellEnd"/>
      <w:r w:rsidR="00172C88">
        <w:rPr>
          <w:szCs w:val="24"/>
          <w:lang w:val="lt-LT"/>
        </w:rPr>
        <w:t xml:space="preserve">) fiziologija. </w:t>
      </w:r>
    </w:p>
    <w:p w14:paraId="08E780AD" w14:textId="77777777" w:rsidR="00172C88" w:rsidRDefault="00172C88" w:rsidP="00172C88">
      <w:pPr>
        <w:rPr>
          <w:szCs w:val="24"/>
          <w:lang w:val="lt-LT"/>
        </w:rPr>
      </w:pPr>
    </w:p>
    <w:p w14:paraId="34402DF6" w14:textId="63E570D5" w:rsidR="00172C88" w:rsidRDefault="00172C88" w:rsidP="00172C88">
      <w:pPr>
        <w:rPr>
          <w:szCs w:val="24"/>
          <w:lang w:val="lt-LT"/>
        </w:rPr>
      </w:pPr>
      <w:r>
        <w:rPr>
          <w:szCs w:val="24"/>
          <w:lang w:val="lt-LT"/>
        </w:rPr>
        <w:t xml:space="preserve">Tam tikras būklės pagerėjimas stebėtas ir pacientams, sergantiems PSO II funkcinės klasės </w:t>
      </w:r>
      <w:proofErr w:type="spellStart"/>
      <w:r w:rsidR="004368DC">
        <w:rPr>
          <w:szCs w:val="24"/>
          <w:lang w:val="lt-LT"/>
        </w:rPr>
        <w:t>pl</w:t>
      </w:r>
      <w:r w:rsidR="004368DC" w:rsidRPr="004368DC">
        <w:rPr>
          <w:szCs w:val="24"/>
          <w:lang w:val="lt-LT"/>
        </w:rPr>
        <w:t>autin</w:t>
      </w:r>
      <w:r w:rsidR="004368DC">
        <w:rPr>
          <w:szCs w:val="24"/>
          <w:lang w:val="lt-LT"/>
        </w:rPr>
        <w:t>e</w:t>
      </w:r>
      <w:proofErr w:type="spellEnd"/>
      <w:r w:rsidR="004368DC" w:rsidRPr="004368DC">
        <w:rPr>
          <w:szCs w:val="24"/>
          <w:lang w:val="lt-LT"/>
        </w:rPr>
        <w:t xml:space="preserve"> arterin</w:t>
      </w:r>
      <w:r w:rsidR="004368DC">
        <w:rPr>
          <w:szCs w:val="24"/>
          <w:lang w:val="lt-LT"/>
        </w:rPr>
        <w:t>e</w:t>
      </w:r>
      <w:r w:rsidR="004368DC" w:rsidRPr="004368DC">
        <w:rPr>
          <w:szCs w:val="24"/>
          <w:lang w:val="lt-LT"/>
        </w:rPr>
        <w:t xml:space="preserve"> hipertenzij</w:t>
      </w:r>
      <w:r w:rsidR="004368DC">
        <w:rPr>
          <w:szCs w:val="24"/>
          <w:lang w:val="lt-LT"/>
        </w:rPr>
        <w:t>a (</w:t>
      </w:r>
      <w:r>
        <w:rPr>
          <w:szCs w:val="24"/>
          <w:lang w:val="lt-LT"/>
        </w:rPr>
        <w:t>PAH</w:t>
      </w:r>
      <w:r w:rsidR="004368DC">
        <w:rPr>
          <w:szCs w:val="24"/>
          <w:lang w:val="lt-LT"/>
        </w:rPr>
        <w:t>)</w:t>
      </w:r>
      <w:r>
        <w:rPr>
          <w:szCs w:val="24"/>
          <w:lang w:val="lt-LT"/>
        </w:rPr>
        <w:t xml:space="preserve"> (žr. 5.1 skyrių). </w:t>
      </w:r>
    </w:p>
    <w:p w14:paraId="1D300A4A" w14:textId="77777777" w:rsidR="00172C88" w:rsidRDefault="00172C88" w:rsidP="00172C88">
      <w:pPr>
        <w:rPr>
          <w:szCs w:val="24"/>
          <w:lang w:val="lt-LT"/>
        </w:rPr>
      </w:pPr>
    </w:p>
    <w:p w14:paraId="57077D24" w14:textId="77777777" w:rsidR="00172C88" w:rsidRDefault="00172C88" w:rsidP="00172C88">
      <w:pPr>
        <w:rPr>
          <w:szCs w:val="24"/>
          <w:lang w:val="lt-LT"/>
        </w:rPr>
      </w:pP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sidRPr="00377552">
        <w:rPr>
          <w:szCs w:val="24"/>
          <w:lang w:val="lt-LT"/>
        </w:rPr>
        <w:t xml:space="preserve"> taip pat skiriamas naujų pirštų opų atsiradimui sumažinti pacientams, sergantiems sistemine</w:t>
      </w:r>
      <w:r>
        <w:rPr>
          <w:szCs w:val="24"/>
          <w:lang w:val="lt-LT"/>
        </w:rPr>
        <w:t xml:space="preserve"> </w:t>
      </w:r>
      <w:r w:rsidRPr="00377552">
        <w:rPr>
          <w:szCs w:val="24"/>
          <w:lang w:val="lt-LT"/>
        </w:rPr>
        <w:t>skleroze ir progresuojančia pirštų opalige (žr. 5.1 skyrių).</w:t>
      </w:r>
    </w:p>
    <w:p w14:paraId="5558BA20" w14:textId="77777777" w:rsidR="00172C88" w:rsidRDefault="00172C88" w:rsidP="00172C88">
      <w:pPr>
        <w:rPr>
          <w:szCs w:val="24"/>
          <w:lang w:val="lt-LT"/>
        </w:rPr>
      </w:pPr>
    </w:p>
    <w:p w14:paraId="47E9349E" w14:textId="77777777" w:rsidR="00172C88" w:rsidRDefault="00172C88" w:rsidP="00172C88">
      <w:pPr>
        <w:rPr>
          <w:szCs w:val="24"/>
          <w:lang w:val="lt-LT"/>
        </w:rPr>
      </w:pPr>
    </w:p>
    <w:p w14:paraId="589466D1"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50393C76" w14:textId="77777777" w:rsidR="00FD71D5" w:rsidRPr="00082289" w:rsidRDefault="00FD71D5" w:rsidP="00DE28F3">
      <w:pPr>
        <w:rPr>
          <w:lang w:val="lt-LT"/>
        </w:rPr>
      </w:pPr>
    </w:p>
    <w:p w14:paraId="3ED16138" w14:textId="77777777" w:rsidR="00172C88" w:rsidRPr="007263E8" w:rsidRDefault="00172C88" w:rsidP="00172C88">
      <w:pPr>
        <w:rPr>
          <w:lang w:val="lt-LT"/>
        </w:rPr>
      </w:pPr>
      <w:r>
        <w:rPr>
          <w:u w:val="single"/>
          <w:lang w:val="lt-LT"/>
        </w:rPr>
        <w:t>Dozavimas</w:t>
      </w:r>
    </w:p>
    <w:p w14:paraId="018B7FD5" w14:textId="77777777" w:rsidR="00172C88" w:rsidRDefault="00172C88" w:rsidP="00172C88">
      <w:pPr>
        <w:rPr>
          <w:bCs/>
          <w:iCs/>
          <w:szCs w:val="24"/>
          <w:u w:val="single"/>
          <w:lang w:val="lt-LT"/>
        </w:rPr>
      </w:pPr>
    </w:p>
    <w:p w14:paraId="5FB3C3BA" w14:textId="77777777" w:rsidR="00172C88" w:rsidRPr="00DC170F" w:rsidRDefault="00172C88" w:rsidP="00172C88">
      <w:pPr>
        <w:rPr>
          <w:bCs/>
          <w:i/>
          <w:iCs/>
          <w:szCs w:val="24"/>
          <w:u w:val="single"/>
          <w:lang w:val="lt-LT"/>
        </w:rPr>
      </w:pPr>
      <w:proofErr w:type="spellStart"/>
      <w:r w:rsidRPr="00DC170F">
        <w:rPr>
          <w:bCs/>
          <w:i/>
          <w:iCs/>
          <w:szCs w:val="24"/>
          <w:u w:val="single"/>
          <w:lang w:val="lt-LT"/>
        </w:rPr>
        <w:t>Plautinė</w:t>
      </w:r>
      <w:proofErr w:type="spellEnd"/>
      <w:r w:rsidRPr="00DC170F">
        <w:rPr>
          <w:bCs/>
          <w:i/>
          <w:iCs/>
          <w:szCs w:val="24"/>
          <w:u w:val="single"/>
          <w:lang w:val="lt-LT"/>
        </w:rPr>
        <w:t xml:space="preserve"> arterinė hipertenzija </w:t>
      </w:r>
    </w:p>
    <w:p w14:paraId="0E689D00" w14:textId="77777777" w:rsidR="00172C88" w:rsidRDefault="00172C88" w:rsidP="00172C88">
      <w:pPr>
        <w:rPr>
          <w:szCs w:val="24"/>
          <w:lang w:val="lt-LT"/>
        </w:rPr>
      </w:pPr>
      <w:r>
        <w:rPr>
          <w:szCs w:val="24"/>
          <w:lang w:val="lt-LT"/>
        </w:rPr>
        <w:lastRenderedPageBreak/>
        <w:t xml:space="preserve">Gydymą pradėti ir pacientą prižiūrėti gali tik gydytojas, turintis </w:t>
      </w:r>
      <w:proofErr w:type="spellStart"/>
      <w:r>
        <w:rPr>
          <w:szCs w:val="24"/>
          <w:lang w:val="lt-LT"/>
        </w:rPr>
        <w:t>plautinės</w:t>
      </w:r>
      <w:proofErr w:type="spellEnd"/>
      <w:r>
        <w:rPr>
          <w:szCs w:val="24"/>
          <w:lang w:val="lt-LT"/>
        </w:rPr>
        <w:t xml:space="preserve"> arterinės hipertenzijos gydymo patirties.</w:t>
      </w:r>
      <w:r w:rsidR="00082289" w:rsidRPr="00C54C14">
        <w:rPr>
          <w:lang w:val="lt-LT"/>
        </w:rPr>
        <w:t xml:space="preserve"> </w:t>
      </w:r>
      <w:bookmarkStart w:id="5" w:name="_Hlk36483971"/>
      <w:r w:rsidR="00082289" w:rsidRPr="00C54C14">
        <w:rPr>
          <w:lang w:val="lt-LT"/>
        </w:rPr>
        <w:t>P</w:t>
      </w:r>
      <w:r w:rsidR="00082289" w:rsidRPr="00082289">
        <w:rPr>
          <w:szCs w:val="24"/>
          <w:lang w:val="lt-LT"/>
        </w:rPr>
        <w:t xml:space="preserve">akuotėje yra paciento įspėjamoji kortelė, kurioje pateikiama svarbi </w:t>
      </w:r>
      <w:r w:rsidR="00375FEF" w:rsidRPr="00082289">
        <w:rPr>
          <w:szCs w:val="24"/>
          <w:lang w:val="lt-LT"/>
        </w:rPr>
        <w:t>saug</w:t>
      </w:r>
      <w:r w:rsidR="00375FEF">
        <w:rPr>
          <w:szCs w:val="24"/>
          <w:lang w:val="lt-LT"/>
        </w:rPr>
        <w:t>umo</w:t>
      </w:r>
      <w:r w:rsidR="00375FEF" w:rsidRPr="00082289">
        <w:rPr>
          <w:szCs w:val="24"/>
          <w:lang w:val="lt-LT"/>
        </w:rPr>
        <w:t xml:space="preserve"> </w:t>
      </w:r>
      <w:r w:rsidR="00082289" w:rsidRPr="00082289">
        <w:rPr>
          <w:szCs w:val="24"/>
          <w:lang w:val="lt-LT"/>
        </w:rPr>
        <w:t xml:space="preserve">informacija, kurią pacientai turi žinoti prieš pradėdami gydymą </w:t>
      </w:r>
      <w:proofErr w:type="spellStart"/>
      <w:r w:rsidR="00082289">
        <w:rPr>
          <w:szCs w:val="24"/>
          <w:lang w:val="lt-LT"/>
        </w:rPr>
        <w:t>Bosentan</w:t>
      </w:r>
      <w:proofErr w:type="spellEnd"/>
      <w:r w:rsidR="00082289">
        <w:rPr>
          <w:szCs w:val="24"/>
          <w:lang w:val="lt-LT"/>
        </w:rPr>
        <w:t xml:space="preserve"> </w:t>
      </w:r>
      <w:proofErr w:type="spellStart"/>
      <w:r w:rsidR="00082289">
        <w:rPr>
          <w:szCs w:val="24"/>
          <w:lang w:val="lt-LT"/>
        </w:rPr>
        <w:t>Norameda</w:t>
      </w:r>
      <w:proofErr w:type="spellEnd"/>
      <w:r w:rsidR="00082289" w:rsidRPr="00082289">
        <w:rPr>
          <w:szCs w:val="24"/>
          <w:lang w:val="lt-LT"/>
        </w:rPr>
        <w:t xml:space="preserve"> ir gydymo metu.</w:t>
      </w:r>
    </w:p>
    <w:bookmarkEnd w:id="5"/>
    <w:p w14:paraId="5E5BD38D" w14:textId="77777777" w:rsidR="00172C88" w:rsidRDefault="00172C88" w:rsidP="00172C88">
      <w:pPr>
        <w:rPr>
          <w:szCs w:val="24"/>
          <w:lang w:val="lt-LT"/>
        </w:rPr>
      </w:pPr>
    </w:p>
    <w:p w14:paraId="03CFBE2A" w14:textId="77777777" w:rsidR="00172C88" w:rsidRPr="00DC170F" w:rsidRDefault="00172C88" w:rsidP="00172C88">
      <w:pPr>
        <w:rPr>
          <w:i/>
          <w:szCs w:val="24"/>
          <w:lang w:val="lt-LT"/>
        </w:rPr>
      </w:pPr>
      <w:r w:rsidRPr="00DC170F">
        <w:rPr>
          <w:i/>
          <w:szCs w:val="24"/>
          <w:lang w:val="lt-LT"/>
        </w:rPr>
        <w:t>Suaugusieji</w:t>
      </w:r>
    </w:p>
    <w:p w14:paraId="53BF00FC" w14:textId="77777777" w:rsidR="00172C88" w:rsidRDefault="00172C88" w:rsidP="00172C88">
      <w:pPr>
        <w:rPr>
          <w:szCs w:val="24"/>
          <w:lang w:val="lt-LT"/>
        </w:rPr>
      </w:pPr>
      <w:r>
        <w:rPr>
          <w:szCs w:val="24"/>
          <w:lang w:val="lt-LT"/>
        </w:rPr>
        <w:t xml:space="preserve">Suaugusių pacientų gydymas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pradedamas nuo 62,5 mg dozės, kuri vartojama du kartus per parą 4 savaites, po to dozė didinama iki du kartus per parą vartojamos 125 mg palaikomosios dozės. Tokios pačios rekomendacijos taikomos pakartotinai pradėjus vartoti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po gydymo nutraukimo (žr. 4.4 skyrių).</w:t>
      </w:r>
    </w:p>
    <w:p w14:paraId="6195B86F" w14:textId="77777777" w:rsidR="00172C88" w:rsidRDefault="00172C88" w:rsidP="00172C88">
      <w:pPr>
        <w:rPr>
          <w:szCs w:val="24"/>
          <w:lang w:val="lt-LT"/>
        </w:rPr>
      </w:pPr>
      <w:r>
        <w:rPr>
          <w:szCs w:val="24"/>
          <w:lang w:val="lt-LT"/>
        </w:rPr>
        <w:t xml:space="preserve"> </w:t>
      </w:r>
    </w:p>
    <w:p w14:paraId="47D161F3" w14:textId="77777777" w:rsidR="00172C88" w:rsidRPr="000F0E51" w:rsidRDefault="00172C88" w:rsidP="00172C88">
      <w:pPr>
        <w:rPr>
          <w:i/>
          <w:iCs/>
          <w:szCs w:val="24"/>
          <w:lang w:val="lt-LT"/>
        </w:rPr>
      </w:pPr>
      <w:r w:rsidRPr="000F0E51">
        <w:rPr>
          <w:i/>
          <w:iCs/>
          <w:szCs w:val="24"/>
          <w:lang w:val="lt-LT"/>
        </w:rPr>
        <w:t xml:space="preserve">Vaikų populiacija </w:t>
      </w:r>
    </w:p>
    <w:p w14:paraId="46A78922" w14:textId="77777777" w:rsidR="00172C88" w:rsidRDefault="00172C88" w:rsidP="00172C88">
      <w:pPr>
        <w:rPr>
          <w:szCs w:val="24"/>
          <w:lang w:val="lt-LT"/>
        </w:rPr>
      </w:pPr>
      <w:r>
        <w:rPr>
          <w:szCs w:val="24"/>
          <w:lang w:val="lt-LT"/>
        </w:rPr>
        <w:t xml:space="preserve">Vaikų farmakokinetikos duomenys rodo, kad </w:t>
      </w:r>
      <w:proofErr w:type="spellStart"/>
      <w:r>
        <w:rPr>
          <w:szCs w:val="24"/>
          <w:lang w:val="lt-LT"/>
        </w:rPr>
        <w:t>bozentano</w:t>
      </w:r>
      <w:proofErr w:type="spellEnd"/>
      <w:r>
        <w:rPr>
          <w:szCs w:val="24"/>
          <w:lang w:val="lt-LT"/>
        </w:rPr>
        <w:t xml:space="preserve"> koncentracija 1–15 metų amžiaus vaikų, sergančių PAH, organizme apskritai buvo mažesnė, negu suaugusiųjų ir nepadidėjo 2 mg/kg kūno masės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dozę pakeitus didesne arba vaisto vartojimo dažnumą padidinus nuo dviejų kartų per parą iki trijų kartų per parą (žr. 5.2 skyrių). Padidinta dozė arba dažnesnis vaisto vartojimas neturėtų turėti papildomos klinikinės naudos. </w:t>
      </w:r>
    </w:p>
    <w:p w14:paraId="2444BFBC" w14:textId="77777777" w:rsidR="00172C88" w:rsidRDefault="00172C88" w:rsidP="00172C88">
      <w:pPr>
        <w:rPr>
          <w:szCs w:val="24"/>
          <w:lang w:val="lt-LT"/>
        </w:rPr>
      </w:pPr>
    </w:p>
    <w:p w14:paraId="7C7C55BA" w14:textId="77777777" w:rsidR="00172C88" w:rsidRDefault="00172C88" w:rsidP="00172C88">
      <w:pPr>
        <w:rPr>
          <w:szCs w:val="24"/>
          <w:lang w:val="lt-LT"/>
        </w:rPr>
      </w:pPr>
      <w:r>
        <w:rPr>
          <w:szCs w:val="24"/>
          <w:lang w:val="lt-LT"/>
        </w:rPr>
        <w:t xml:space="preserve">Remiantis šiais farmakokinetikos rezultatais, kai vaistas paskiriamas 1 metų ir vyresniems vaikams, sergantiems PAH, rekomenduojama pradinė ir palaikomoji dozė yra 2 mg/kg ryte ir vakare. </w:t>
      </w:r>
    </w:p>
    <w:p w14:paraId="48F1B6E2" w14:textId="77777777" w:rsidR="00172C88" w:rsidRDefault="00172C88" w:rsidP="00172C88">
      <w:pPr>
        <w:rPr>
          <w:szCs w:val="24"/>
          <w:lang w:val="lt-LT"/>
        </w:rPr>
      </w:pPr>
    </w:p>
    <w:p w14:paraId="7C01CEBE" w14:textId="77777777" w:rsidR="00172C88" w:rsidRDefault="00172C88" w:rsidP="00172C88">
      <w:pPr>
        <w:rPr>
          <w:szCs w:val="24"/>
          <w:lang w:val="lt-LT"/>
        </w:rPr>
      </w:pPr>
      <w:r>
        <w:rPr>
          <w:szCs w:val="24"/>
          <w:lang w:val="lt-LT"/>
        </w:rPr>
        <w:t xml:space="preserve">Taikant standartinį gydymą nenustatyta, kad naujagimiams, sergantiems </w:t>
      </w:r>
      <w:proofErr w:type="spellStart"/>
      <w:r>
        <w:rPr>
          <w:szCs w:val="24"/>
          <w:lang w:val="lt-LT"/>
        </w:rPr>
        <w:t>persistuojančia</w:t>
      </w:r>
      <w:proofErr w:type="spellEnd"/>
      <w:r>
        <w:rPr>
          <w:szCs w:val="24"/>
          <w:lang w:val="lt-LT"/>
        </w:rPr>
        <w:t xml:space="preserve"> naujagimių </w:t>
      </w:r>
      <w:proofErr w:type="spellStart"/>
      <w:r>
        <w:rPr>
          <w:szCs w:val="24"/>
          <w:lang w:val="lt-LT"/>
        </w:rPr>
        <w:t>plautine</w:t>
      </w:r>
      <w:proofErr w:type="spellEnd"/>
      <w:r>
        <w:rPr>
          <w:szCs w:val="24"/>
          <w:lang w:val="lt-LT"/>
        </w:rPr>
        <w:t xml:space="preserve"> hipertenzija (PPHN), </w:t>
      </w:r>
      <w:proofErr w:type="spellStart"/>
      <w:r>
        <w:rPr>
          <w:szCs w:val="24"/>
          <w:lang w:val="lt-LT"/>
        </w:rPr>
        <w:t>bozentanas</w:t>
      </w:r>
      <w:proofErr w:type="spellEnd"/>
      <w:r>
        <w:rPr>
          <w:szCs w:val="24"/>
          <w:lang w:val="lt-LT"/>
        </w:rPr>
        <w:t xml:space="preserve"> turi teigiamą poveikį. Dozavimo rekomendacijų pateikti negalima (žr. 5.1 ir 5.2 skyrius). </w:t>
      </w:r>
    </w:p>
    <w:p w14:paraId="6C655CA3" w14:textId="77777777" w:rsidR="00172C88" w:rsidRDefault="00172C88" w:rsidP="00172C88">
      <w:pPr>
        <w:rPr>
          <w:szCs w:val="24"/>
          <w:lang w:val="lt-LT"/>
        </w:rPr>
      </w:pPr>
    </w:p>
    <w:p w14:paraId="079FBEBF" w14:textId="77777777" w:rsidR="00172C88" w:rsidRPr="00DC170F" w:rsidRDefault="00172C88" w:rsidP="00172C88">
      <w:pPr>
        <w:rPr>
          <w:i/>
          <w:iCs/>
          <w:szCs w:val="24"/>
          <w:lang w:val="lt-LT"/>
        </w:rPr>
      </w:pPr>
      <w:r w:rsidRPr="00DC170F">
        <w:rPr>
          <w:i/>
          <w:iCs/>
          <w:szCs w:val="24"/>
          <w:lang w:val="lt-LT"/>
        </w:rPr>
        <w:t>Gydymo taktika pablogėjus PAH klinikinei būsenai</w:t>
      </w:r>
    </w:p>
    <w:p w14:paraId="16655DA9" w14:textId="77777777" w:rsidR="00172C88" w:rsidRDefault="00172C88" w:rsidP="00172C88">
      <w:pPr>
        <w:rPr>
          <w:szCs w:val="24"/>
          <w:lang w:val="lt-LT"/>
        </w:rPr>
      </w:pPr>
      <w:r>
        <w:rPr>
          <w:szCs w:val="24"/>
          <w:lang w:val="lt-LT"/>
        </w:rPr>
        <w:t xml:space="preserve">Jei klinikinė būklė blogėja (pvz., jei per 6 minutes nueinamo atstumo testo metu atstumas sumažėja bent 10 %, palyginti su rezultatu iki gydymo) nepaisant gydymo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mažiausiai 8 savaites (tikslinę dozę vartojant bent 4 savaites), reikia apsvarstyti alternatyvų gydymą. Vis dėlto kai kuriems pacientams, kuriems po 8 gydymo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savaičių reakcijos nepasireiškia, palankus poveikis gali pasireikšti po papildomų 4</w:t>
      </w:r>
      <w:r>
        <w:rPr>
          <w:szCs w:val="24"/>
          <w:lang w:val="lt-LT"/>
        </w:rPr>
        <w:noBreakHyphen/>
        <w:t>8 gydymo savaičių.</w:t>
      </w:r>
    </w:p>
    <w:p w14:paraId="49C6DFAE" w14:textId="77777777" w:rsidR="00172C88" w:rsidRDefault="00172C88" w:rsidP="00172C88">
      <w:pPr>
        <w:rPr>
          <w:szCs w:val="24"/>
          <w:lang w:val="lt-LT"/>
        </w:rPr>
      </w:pPr>
      <w:r>
        <w:rPr>
          <w:szCs w:val="24"/>
          <w:lang w:val="lt-LT"/>
        </w:rPr>
        <w:t xml:space="preserve"> </w:t>
      </w:r>
    </w:p>
    <w:p w14:paraId="6D7FF465" w14:textId="77777777" w:rsidR="00172C88" w:rsidRDefault="00172C88" w:rsidP="00172C88">
      <w:pPr>
        <w:rPr>
          <w:szCs w:val="24"/>
          <w:lang w:val="lt-LT"/>
        </w:rPr>
      </w:pPr>
      <w:r>
        <w:rPr>
          <w:szCs w:val="24"/>
          <w:lang w:val="lt-LT"/>
        </w:rPr>
        <w:t xml:space="preserve">Jei vėliau klinikinė būklė blogėja nepaisant gydymo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w:t>
      </w:r>
      <w:proofErr w:type="spellStart"/>
      <w:r>
        <w:rPr>
          <w:szCs w:val="24"/>
          <w:lang w:val="lt-LT"/>
        </w:rPr>
        <w:t>t.y</w:t>
      </w:r>
      <w:proofErr w:type="spellEnd"/>
      <w:r>
        <w:rPr>
          <w:szCs w:val="24"/>
          <w:lang w:val="lt-LT"/>
        </w:rPr>
        <w:t xml:space="preserve">. po keleto gydymo mėnesių), gydymą reikėtų iš naujo įvertinti. Kai kurie pacientai, tinkamai nereaguojantys į gydymą du kartus per parą vartojama 125 mg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doze, gali šiek tiek pagerinti fizinį pajėgumą, jei dozė didinama iki du kartus per parą vartojamos 250 mg dozės. Reikia atidžiai įvertinti naudos ir rizikos santykį, atsižvelgiant į tai, kad toksinis poveikis kepenims priklauso nuo dozės (žr. 4.4 ir 5.1 skyrius). </w:t>
      </w:r>
    </w:p>
    <w:p w14:paraId="60CFACE4" w14:textId="77777777" w:rsidR="00172C88" w:rsidRDefault="00172C88" w:rsidP="00172C88">
      <w:pPr>
        <w:rPr>
          <w:szCs w:val="24"/>
          <w:lang w:val="lt-LT"/>
        </w:rPr>
      </w:pPr>
    </w:p>
    <w:p w14:paraId="1A289DBE" w14:textId="77777777" w:rsidR="00172C88" w:rsidRPr="00C54C14" w:rsidRDefault="00172C88" w:rsidP="00172C88">
      <w:pPr>
        <w:rPr>
          <w:lang w:val="lt-LT"/>
        </w:rPr>
      </w:pPr>
      <w:r w:rsidRPr="00DC170F">
        <w:rPr>
          <w:i/>
          <w:szCs w:val="24"/>
          <w:lang w:val="lt-LT"/>
        </w:rPr>
        <w:t>Gydymo nutraukimas</w:t>
      </w:r>
    </w:p>
    <w:p w14:paraId="23383F9E" w14:textId="77777777" w:rsidR="00172C88" w:rsidRDefault="00172C88" w:rsidP="00172C88">
      <w:pPr>
        <w:rPr>
          <w:szCs w:val="24"/>
          <w:lang w:val="lt-LT"/>
        </w:rPr>
      </w:pPr>
      <w:r>
        <w:rPr>
          <w:szCs w:val="24"/>
          <w:lang w:val="lt-LT"/>
        </w:rPr>
        <w:t xml:space="preserve">Nėra sukaupta daug duomenų apie tai, kas vyksta staiga nutraukus gydymą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pacientams, sergantiems </w:t>
      </w:r>
      <w:proofErr w:type="spellStart"/>
      <w:r>
        <w:rPr>
          <w:szCs w:val="24"/>
          <w:lang w:val="lt-LT"/>
        </w:rPr>
        <w:t>plautine</w:t>
      </w:r>
      <w:proofErr w:type="spellEnd"/>
      <w:r>
        <w:rPr>
          <w:szCs w:val="24"/>
          <w:lang w:val="lt-LT"/>
        </w:rPr>
        <w:t xml:space="preserve"> arterine hipertenzija.. Duomenų apie ūminį atoveiksmį negauta. Vis dėlto, siekiant išvengti galimo klinikinio pablogėjimo dėl galimo atoveiksmio poveikio, dozę rekomenduojama mažinti palaipsniui (dozę mažinti perpus 3–7 dienų laikotarpiu). Gydymo nutraukimo laikotarpiu rekomenduojamas intensyvus stebėjimas. Nusprendus nutraukti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vartojimą, tai reikia atlikti laipsniškai ir tuo pat metu pradėti alternatyvų gydymą. </w:t>
      </w:r>
    </w:p>
    <w:p w14:paraId="3FED4FB7" w14:textId="77777777" w:rsidR="00172C88" w:rsidRDefault="00172C88" w:rsidP="00172C88">
      <w:pPr>
        <w:rPr>
          <w:szCs w:val="24"/>
          <w:lang w:val="lt-LT"/>
        </w:rPr>
      </w:pPr>
    </w:p>
    <w:p w14:paraId="0E17E59E" w14:textId="77777777" w:rsidR="00172C88" w:rsidRPr="00DC170F" w:rsidRDefault="00172C88" w:rsidP="00172C88">
      <w:pPr>
        <w:tabs>
          <w:tab w:val="clear" w:pos="567"/>
        </w:tabs>
        <w:suppressAutoHyphens w:val="0"/>
        <w:autoSpaceDE w:val="0"/>
        <w:adjustRightInd w:val="0"/>
        <w:spacing w:line="240" w:lineRule="auto"/>
        <w:textAlignment w:val="auto"/>
        <w:rPr>
          <w:rFonts w:eastAsia="Calibri"/>
          <w:i/>
          <w:color w:val="000000"/>
          <w:szCs w:val="22"/>
          <w:u w:val="single"/>
          <w:lang w:val="lt-LT" w:eastAsia="lt-LT"/>
        </w:rPr>
      </w:pPr>
      <w:r w:rsidRPr="00DC170F">
        <w:rPr>
          <w:rFonts w:eastAsia="Calibri"/>
          <w:i/>
          <w:color w:val="000000"/>
          <w:szCs w:val="22"/>
          <w:u w:val="single"/>
          <w:lang w:val="lt-LT" w:eastAsia="lt-LT"/>
        </w:rPr>
        <w:t xml:space="preserve">Sisteminė sklerozė su progresuojančia pirštų opalige </w:t>
      </w:r>
    </w:p>
    <w:p w14:paraId="45D09279" w14:textId="77777777" w:rsidR="00172C88" w:rsidRDefault="00172C88" w:rsidP="00172C88">
      <w:pPr>
        <w:tabs>
          <w:tab w:val="clear" w:pos="567"/>
        </w:tabs>
        <w:suppressAutoHyphens w:val="0"/>
        <w:autoSpaceDE w:val="0"/>
        <w:adjustRightInd w:val="0"/>
        <w:spacing w:line="240" w:lineRule="auto"/>
        <w:textAlignment w:val="auto"/>
        <w:rPr>
          <w:rFonts w:ascii="Arial" w:eastAsia="Calibri" w:hAnsi="Arial" w:cs="Arial"/>
          <w:color w:val="000000"/>
          <w:sz w:val="16"/>
          <w:szCs w:val="16"/>
          <w:lang w:val="lt-LT" w:eastAsia="lt-LT"/>
        </w:rPr>
      </w:pPr>
      <w:r w:rsidRPr="00604B65">
        <w:rPr>
          <w:rFonts w:eastAsia="Calibri"/>
          <w:color w:val="000000"/>
          <w:szCs w:val="22"/>
          <w:lang w:val="lt-LT" w:eastAsia="lt-LT"/>
        </w:rPr>
        <w:t>Gydymą pradėti ir pacientą prižiūrėti turi gydytojas, turintis patirties gydant sisteminę sklerozę.</w:t>
      </w:r>
      <w:r w:rsidRPr="00604B65">
        <w:rPr>
          <w:rFonts w:ascii="Arial" w:eastAsia="Calibri" w:hAnsi="Arial" w:cs="Arial"/>
          <w:color w:val="000000"/>
          <w:sz w:val="16"/>
          <w:szCs w:val="16"/>
          <w:lang w:val="lt-LT" w:eastAsia="lt-LT"/>
        </w:rPr>
        <w:t xml:space="preserve"> </w:t>
      </w:r>
    </w:p>
    <w:p w14:paraId="6D900F03" w14:textId="77777777" w:rsidR="00BD73AA" w:rsidRDefault="00082289" w:rsidP="00BD73AA">
      <w:pPr>
        <w:rPr>
          <w:rFonts w:eastAsia="Calibri"/>
          <w:i/>
          <w:iCs/>
          <w:color w:val="000000"/>
          <w:szCs w:val="22"/>
          <w:lang w:val="lt-LT" w:eastAsia="lt-LT"/>
        </w:rPr>
      </w:pPr>
      <w:r w:rsidRPr="00C54C14">
        <w:rPr>
          <w:lang w:val="lt-LT"/>
        </w:rPr>
        <w:t>P</w:t>
      </w:r>
      <w:r w:rsidRPr="00082289">
        <w:rPr>
          <w:szCs w:val="24"/>
          <w:lang w:val="lt-LT"/>
        </w:rPr>
        <w:t xml:space="preserve">akuotėje yra paciento įspėjamoji kortelė, kurioje pateikiama svarbi </w:t>
      </w:r>
      <w:r w:rsidR="00375FEF" w:rsidRPr="00082289">
        <w:rPr>
          <w:szCs w:val="24"/>
          <w:lang w:val="lt-LT"/>
        </w:rPr>
        <w:t>saug</w:t>
      </w:r>
      <w:r w:rsidR="00375FEF">
        <w:rPr>
          <w:szCs w:val="24"/>
          <w:lang w:val="lt-LT"/>
        </w:rPr>
        <w:t>umo</w:t>
      </w:r>
      <w:r w:rsidR="00375FEF" w:rsidRPr="00082289">
        <w:rPr>
          <w:szCs w:val="24"/>
          <w:lang w:val="lt-LT"/>
        </w:rPr>
        <w:t xml:space="preserve"> </w:t>
      </w:r>
      <w:r w:rsidRPr="00082289">
        <w:rPr>
          <w:szCs w:val="24"/>
          <w:lang w:val="lt-LT"/>
        </w:rPr>
        <w:t xml:space="preserve">informacija, kurią pacientai turi žinoti prieš pradėdami gydymą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sidRPr="00082289">
        <w:rPr>
          <w:szCs w:val="24"/>
          <w:lang w:val="lt-LT"/>
        </w:rPr>
        <w:t xml:space="preserve"> ir gydymo metu.</w:t>
      </w:r>
    </w:p>
    <w:p w14:paraId="2A3DFADF" w14:textId="77777777" w:rsidR="004A5857" w:rsidRDefault="004A5857" w:rsidP="00BD73AA">
      <w:pPr>
        <w:rPr>
          <w:rFonts w:eastAsia="Calibri"/>
          <w:i/>
          <w:iCs/>
          <w:color w:val="000000"/>
          <w:szCs w:val="22"/>
          <w:lang w:val="lt-LT" w:eastAsia="lt-LT"/>
        </w:rPr>
      </w:pPr>
    </w:p>
    <w:p w14:paraId="4A9CC4E0" w14:textId="63A774F0" w:rsidR="00172C88" w:rsidRPr="001B6018" w:rsidRDefault="00172C88" w:rsidP="00BD73AA">
      <w:pPr>
        <w:rPr>
          <w:rFonts w:eastAsia="Calibri"/>
          <w:color w:val="000000"/>
          <w:szCs w:val="22"/>
          <w:lang w:val="lt-LT" w:eastAsia="lt-LT"/>
        </w:rPr>
      </w:pPr>
      <w:r w:rsidRPr="000F0E51">
        <w:rPr>
          <w:rFonts w:eastAsia="Calibri"/>
          <w:i/>
          <w:iCs/>
          <w:color w:val="000000"/>
          <w:szCs w:val="22"/>
          <w:lang w:val="lt-LT" w:eastAsia="lt-LT"/>
        </w:rPr>
        <w:t xml:space="preserve">Suaugusieji </w:t>
      </w:r>
    </w:p>
    <w:p w14:paraId="7B3996AB" w14:textId="77777777" w:rsidR="00172C88" w:rsidRPr="00604B65" w:rsidRDefault="00172C88" w:rsidP="00172C88">
      <w:pPr>
        <w:tabs>
          <w:tab w:val="clear" w:pos="567"/>
        </w:tabs>
        <w:suppressAutoHyphens w:val="0"/>
        <w:autoSpaceDE w:val="0"/>
        <w:adjustRightInd w:val="0"/>
        <w:spacing w:line="240" w:lineRule="auto"/>
        <w:textAlignment w:val="auto"/>
        <w:rPr>
          <w:rFonts w:eastAsia="Calibri"/>
          <w:color w:val="000000"/>
          <w:szCs w:val="22"/>
          <w:lang w:val="lt-LT" w:eastAsia="lt-LT"/>
        </w:rPr>
      </w:pPr>
      <w:r w:rsidRPr="00604B65">
        <w:rPr>
          <w:rFonts w:eastAsia="Calibri"/>
          <w:color w:val="000000"/>
          <w:szCs w:val="22"/>
          <w:lang w:val="lt-LT" w:eastAsia="lt-LT"/>
        </w:rPr>
        <w:t xml:space="preserve">Gydymą </w:t>
      </w:r>
      <w:proofErr w:type="spellStart"/>
      <w:r>
        <w:rPr>
          <w:rFonts w:eastAsia="Calibri"/>
          <w:color w:val="000000"/>
          <w:szCs w:val="22"/>
          <w:lang w:val="lt-LT" w:eastAsia="lt-LT"/>
        </w:rPr>
        <w:t>Bosentan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Norameda</w:t>
      </w:r>
      <w:proofErr w:type="spellEnd"/>
      <w:r w:rsidRPr="00604B65">
        <w:rPr>
          <w:rFonts w:eastAsia="Calibri"/>
          <w:color w:val="000000"/>
          <w:szCs w:val="22"/>
          <w:lang w:val="lt-LT" w:eastAsia="lt-LT"/>
        </w:rPr>
        <w:t xml:space="preserve"> reikėtų pradėti nuo 62,5</w:t>
      </w:r>
      <w:r>
        <w:rPr>
          <w:rFonts w:eastAsia="Calibri"/>
          <w:color w:val="000000"/>
          <w:szCs w:val="22"/>
          <w:lang w:val="lt-LT" w:eastAsia="lt-LT"/>
        </w:rPr>
        <w:t> </w:t>
      </w:r>
      <w:r w:rsidRPr="00604B65">
        <w:rPr>
          <w:rFonts w:eastAsia="Calibri"/>
          <w:color w:val="000000"/>
          <w:szCs w:val="22"/>
          <w:lang w:val="lt-LT" w:eastAsia="lt-LT"/>
        </w:rPr>
        <w:t>mg dozės dukart per parą 4</w:t>
      </w:r>
      <w:r>
        <w:rPr>
          <w:rFonts w:eastAsia="Calibri"/>
          <w:color w:val="000000"/>
          <w:szCs w:val="22"/>
          <w:lang w:val="lt-LT" w:eastAsia="lt-LT"/>
        </w:rPr>
        <w:t> </w:t>
      </w:r>
      <w:r w:rsidRPr="00604B65">
        <w:rPr>
          <w:rFonts w:eastAsia="Calibri"/>
          <w:color w:val="000000"/>
          <w:szCs w:val="22"/>
          <w:lang w:val="lt-LT" w:eastAsia="lt-LT"/>
        </w:rPr>
        <w:t>savaites, tada dozę didinti iki 125</w:t>
      </w:r>
      <w:r>
        <w:rPr>
          <w:rFonts w:eastAsia="Calibri"/>
          <w:color w:val="000000"/>
          <w:szCs w:val="22"/>
          <w:lang w:val="lt-LT" w:eastAsia="lt-LT"/>
        </w:rPr>
        <w:t> </w:t>
      </w:r>
      <w:r w:rsidRPr="00604B65">
        <w:rPr>
          <w:rFonts w:eastAsia="Calibri"/>
          <w:color w:val="000000"/>
          <w:szCs w:val="22"/>
          <w:lang w:val="lt-LT" w:eastAsia="lt-LT"/>
        </w:rPr>
        <w:t xml:space="preserve">mg palaikomosios dozės dukart per parą. Tokios pačios rekomendacijos taikomos pakartotinai pradėjus vartoti </w:t>
      </w:r>
      <w:proofErr w:type="spellStart"/>
      <w:r>
        <w:rPr>
          <w:rFonts w:eastAsia="Calibri"/>
          <w:color w:val="000000"/>
          <w:szCs w:val="22"/>
          <w:lang w:val="lt-LT" w:eastAsia="lt-LT"/>
        </w:rPr>
        <w:t>Bosentan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Norameda</w:t>
      </w:r>
      <w:proofErr w:type="spellEnd"/>
      <w:r w:rsidRPr="00604B65">
        <w:rPr>
          <w:rFonts w:eastAsia="Calibri"/>
          <w:color w:val="000000"/>
          <w:szCs w:val="22"/>
          <w:lang w:val="lt-LT" w:eastAsia="lt-LT"/>
        </w:rPr>
        <w:t xml:space="preserve"> po gydymo nutraukimo (žr. 4.4 skyrių). </w:t>
      </w:r>
    </w:p>
    <w:p w14:paraId="6B562165" w14:textId="77777777" w:rsidR="00172C88" w:rsidRPr="00604B65" w:rsidRDefault="00172C88" w:rsidP="00172C88">
      <w:pPr>
        <w:tabs>
          <w:tab w:val="clear" w:pos="567"/>
        </w:tabs>
        <w:suppressAutoHyphens w:val="0"/>
        <w:autoSpaceDE w:val="0"/>
        <w:adjustRightInd w:val="0"/>
        <w:spacing w:line="240" w:lineRule="auto"/>
        <w:textAlignment w:val="auto"/>
        <w:rPr>
          <w:rFonts w:eastAsia="Calibri"/>
          <w:color w:val="000000"/>
          <w:szCs w:val="22"/>
          <w:lang w:val="lt-LT" w:eastAsia="lt-LT"/>
        </w:rPr>
      </w:pPr>
      <w:r w:rsidRPr="00604B65">
        <w:rPr>
          <w:rFonts w:eastAsia="Calibri"/>
          <w:color w:val="000000"/>
          <w:szCs w:val="22"/>
          <w:lang w:val="lt-LT" w:eastAsia="lt-LT"/>
        </w:rPr>
        <w:lastRenderedPageBreak/>
        <w:t>Šios indikacijos kontroliniai klinikiniai tyrimai truko tik 6</w:t>
      </w:r>
      <w:r>
        <w:rPr>
          <w:rFonts w:eastAsia="Calibri"/>
          <w:color w:val="000000"/>
          <w:szCs w:val="22"/>
          <w:lang w:val="lt-LT" w:eastAsia="lt-LT"/>
        </w:rPr>
        <w:t> </w:t>
      </w:r>
      <w:r w:rsidRPr="00604B65">
        <w:rPr>
          <w:rFonts w:eastAsia="Calibri"/>
          <w:color w:val="000000"/>
          <w:szCs w:val="22"/>
          <w:lang w:val="lt-LT" w:eastAsia="lt-LT"/>
        </w:rPr>
        <w:t xml:space="preserve">mėnesius (žr. 5.1 skyrių). </w:t>
      </w:r>
    </w:p>
    <w:p w14:paraId="624C0285" w14:textId="77777777" w:rsidR="00172C88" w:rsidRPr="00604B65" w:rsidRDefault="00172C88" w:rsidP="00172C88">
      <w:pPr>
        <w:tabs>
          <w:tab w:val="clear" w:pos="567"/>
        </w:tabs>
        <w:suppressAutoHyphens w:val="0"/>
        <w:autoSpaceDE w:val="0"/>
        <w:adjustRightInd w:val="0"/>
        <w:spacing w:line="240" w:lineRule="auto"/>
        <w:textAlignment w:val="auto"/>
        <w:rPr>
          <w:rFonts w:eastAsia="Calibri"/>
          <w:color w:val="000000"/>
          <w:szCs w:val="22"/>
          <w:lang w:val="lt-LT" w:eastAsia="lt-LT"/>
        </w:rPr>
      </w:pPr>
      <w:r w:rsidRPr="00604B65">
        <w:rPr>
          <w:rFonts w:eastAsia="Calibri"/>
          <w:color w:val="000000"/>
          <w:szCs w:val="22"/>
          <w:lang w:val="lt-LT" w:eastAsia="lt-LT"/>
        </w:rPr>
        <w:t xml:space="preserve">Reguliariai reikia įvertinti paciento atsaką į gydymą ir terapijos tęsimo poreikį. Reikia nuodugniai įvertinti naudos ir rizikos santykį, atsižvelgiant į </w:t>
      </w:r>
      <w:proofErr w:type="spellStart"/>
      <w:r w:rsidRPr="00604B65">
        <w:rPr>
          <w:rFonts w:eastAsia="Calibri"/>
          <w:color w:val="000000"/>
          <w:szCs w:val="22"/>
          <w:lang w:val="lt-LT" w:eastAsia="lt-LT"/>
        </w:rPr>
        <w:t>bozentano</w:t>
      </w:r>
      <w:proofErr w:type="spellEnd"/>
      <w:r w:rsidRPr="00604B65">
        <w:rPr>
          <w:rFonts w:eastAsia="Calibri"/>
          <w:color w:val="000000"/>
          <w:szCs w:val="22"/>
          <w:lang w:val="lt-LT" w:eastAsia="lt-LT"/>
        </w:rPr>
        <w:t xml:space="preserve"> toksinį poveikį kepenims (žr. 4.4 ir 4.8 skyrius). </w:t>
      </w:r>
    </w:p>
    <w:p w14:paraId="190998A3" w14:textId="77777777" w:rsidR="00172C88" w:rsidRDefault="00172C88" w:rsidP="00172C88">
      <w:pPr>
        <w:tabs>
          <w:tab w:val="clear" w:pos="567"/>
        </w:tabs>
        <w:suppressAutoHyphens w:val="0"/>
        <w:autoSpaceDE w:val="0"/>
        <w:adjustRightInd w:val="0"/>
        <w:spacing w:line="240" w:lineRule="auto"/>
        <w:textAlignment w:val="auto"/>
        <w:rPr>
          <w:rFonts w:eastAsia="Calibri"/>
          <w:i/>
          <w:iCs/>
          <w:color w:val="000000"/>
          <w:szCs w:val="22"/>
          <w:lang w:val="lt-LT" w:eastAsia="lt-LT"/>
        </w:rPr>
      </w:pPr>
    </w:p>
    <w:p w14:paraId="20316368" w14:textId="77777777" w:rsidR="00172C88" w:rsidRPr="001B6018" w:rsidRDefault="00172C88" w:rsidP="00172C88">
      <w:pPr>
        <w:tabs>
          <w:tab w:val="clear" w:pos="567"/>
        </w:tabs>
        <w:suppressAutoHyphens w:val="0"/>
        <w:autoSpaceDE w:val="0"/>
        <w:adjustRightInd w:val="0"/>
        <w:spacing w:line="240" w:lineRule="auto"/>
        <w:textAlignment w:val="auto"/>
        <w:rPr>
          <w:rFonts w:eastAsia="Calibri"/>
          <w:color w:val="000000"/>
          <w:szCs w:val="22"/>
          <w:lang w:val="lt-LT" w:eastAsia="lt-LT"/>
        </w:rPr>
      </w:pPr>
      <w:r w:rsidRPr="000F0E51">
        <w:rPr>
          <w:rFonts w:eastAsia="Calibri"/>
          <w:i/>
          <w:iCs/>
          <w:color w:val="000000"/>
          <w:szCs w:val="22"/>
          <w:lang w:val="lt-LT" w:eastAsia="lt-LT"/>
        </w:rPr>
        <w:t xml:space="preserve">Vaikų populiacija </w:t>
      </w:r>
    </w:p>
    <w:p w14:paraId="21BF5D7B" w14:textId="77777777" w:rsidR="00172C88" w:rsidRDefault="00172C88" w:rsidP="00172C88">
      <w:pPr>
        <w:rPr>
          <w:szCs w:val="24"/>
          <w:lang w:val="lt-LT"/>
        </w:rPr>
      </w:pPr>
      <w:r w:rsidRPr="00604B65">
        <w:rPr>
          <w:rFonts w:eastAsia="Calibri"/>
          <w:color w:val="000000"/>
          <w:szCs w:val="22"/>
          <w:lang w:val="lt-LT" w:eastAsia="lt-LT"/>
        </w:rPr>
        <w:t>Saugumo ir veiksmingumo duomenų jaunesniems kaip 18</w:t>
      </w:r>
      <w:r>
        <w:rPr>
          <w:rFonts w:eastAsia="Calibri"/>
          <w:color w:val="000000"/>
          <w:szCs w:val="22"/>
          <w:lang w:val="lt-LT" w:eastAsia="lt-LT"/>
        </w:rPr>
        <w:t> </w:t>
      </w:r>
      <w:r w:rsidRPr="00604B65">
        <w:rPr>
          <w:rFonts w:eastAsia="Calibri"/>
          <w:color w:val="000000"/>
          <w:szCs w:val="22"/>
          <w:lang w:val="lt-LT" w:eastAsia="lt-LT"/>
        </w:rPr>
        <w:t xml:space="preserve">metų pacientams nėra. </w:t>
      </w:r>
      <w:proofErr w:type="spellStart"/>
      <w:r>
        <w:rPr>
          <w:rFonts w:eastAsia="Calibri"/>
          <w:color w:val="000000"/>
          <w:szCs w:val="22"/>
          <w:lang w:val="lt-LT" w:eastAsia="lt-LT"/>
        </w:rPr>
        <w:t>Bosentan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Norameda</w:t>
      </w:r>
      <w:proofErr w:type="spellEnd"/>
      <w:r w:rsidRPr="00604B65">
        <w:rPr>
          <w:rFonts w:eastAsia="Calibri"/>
          <w:color w:val="000000"/>
          <w:szCs w:val="22"/>
          <w:lang w:val="lt-LT" w:eastAsia="lt-LT"/>
        </w:rPr>
        <w:t xml:space="preserve"> farmakokinetikos duomenų mažiems vaikams, sergantiems šia liga, nėra.</w:t>
      </w:r>
    </w:p>
    <w:p w14:paraId="45720336" w14:textId="77777777" w:rsidR="00172C88" w:rsidRDefault="00172C88" w:rsidP="00172C88">
      <w:pPr>
        <w:rPr>
          <w:szCs w:val="24"/>
          <w:lang w:val="lt-LT"/>
        </w:rPr>
      </w:pPr>
      <w:r>
        <w:rPr>
          <w:szCs w:val="24"/>
          <w:lang w:val="lt-LT"/>
        </w:rPr>
        <w:t xml:space="preserve"> </w:t>
      </w:r>
    </w:p>
    <w:p w14:paraId="70E91FFB" w14:textId="77777777" w:rsidR="004A5857" w:rsidRDefault="00172C88" w:rsidP="00172C88">
      <w:pPr>
        <w:rPr>
          <w:i/>
          <w:iCs/>
          <w:color w:val="000000"/>
          <w:szCs w:val="22"/>
          <w:lang w:val="lt-LT"/>
        </w:rPr>
      </w:pPr>
      <w:r w:rsidRPr="00DC170F">
        <w:rPr>
          <w:bCs/>
          <w:i/>
          <w:iCs/>
          <w:szCs w:val="24"/>
          <w:u w:val="single"/>
          <w:lang w:val="lt-LT"/>
        </w:rPr>
        <w:t xml:space="preserve">Ypatingos populiacijos </w:t>
      </w:r>
      <w:r w:rsidRPr="00DC170F">
        <w:rPr>
          <w:bCs/>
          <w:i/>
          <w:iCs/>
          <w:szCs w:val="24"/>
          <w:u w:val="single"/>
          <w:lang w:val="lt-LT"/>
        </w:rPr>
        <w:br/>
      </w:r>
    </w:p>
    <w:p w14:paraId="41F20C0E" w14:textId="03EB31FB" w:rsidR="00172C88" w:rsidRPr="00C54C14" w:rsidRDefault="00172C88" w:rsidP="00172C88">
      <w:pPr>
        <w:rPr>
          <w:lang w:val="pt-PT"/>
        </w:rPr>
      </w:pPr>
      <w:r w:rsidRPr="00DC170F">
        <w:rPr>
          <w:i/>
          <w:iCs/>
          <w:color w:val="000000"/>
          <w:szCs w:val="22"/>
          <w:lang w:val="lt-LT"/>
        </w:rPr>
        <w:t>Pacientams, kurių kepenų funkcija sutrikusi</w:t>
      </w:r>
    </w:p>
    <w:p w14:paraId="7DC53BF7" w14:textId="77777777" w:rsidR="00172C88" w:rsidRPr="00E32052" w:rsidRDefault="00172C88" w:rsidP="00172C88">
      <w:pPr>
        <w:rPr>
          <w:lang w:val="lt-LT"/>
        </w:rPr>
      </w:pPr>
      <w:r>
        <w:rPr>
          <w:szCs w:val="24"/>
          <w:lang w:val="lt-LT"/>
        </w:rPr>
        <w:t>Pacientams, kuriems yra lengvas kepenų funkcijos sutrikimas (</w:t>
      </w:r>
      <w:proofErr w:type="spellStart"/>
      <w:r>
        <w:rPr>
          <w:szCs w:val="24"/>
          <w:lang w:val="lt-LT"/>
        </w:rPr>
        <w:t>t.y</w:t>
      </w:r>
      <w:proofErr w:type="spellEnd"/>
      <w:r>
        <w:rPr>
          <w:szCs w:val="24"/>
          <w:lang w:val="lt-LT"/>
        </w:rPr>
        <w:t xml:space="preserve">. A klasė pagal </w:t>
      </w:r>
      <w:proofErr w:type="spellStart"/>
      <w:r>
        <w:rPr>
          <w:i/>
          <w:szCs w:val="24"/>
          <w:lang w:val="lt-LT"/>
        </w:rPr>
        <w:t>Child-Pugh</w:t>
      </w:r>
      <w:proofErr w:type="spellEnd"/>
      <w:r>
        <w:rPr>
          <w:szCs w:val="24"/>
          <w:lang w:val="lt-LT"/>
        </w:rPr>
        <w:t xml:space="preserve">), dozės koreguoti nereikia (žr. 5.2 skyrių).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draudžiama vartoti pacientams, kuriems yra vidutinio sunkumo ir sunkus kepenų funkcijos sutrikimas (žr. 4.3, 4.4 ir 5.2 skyrius). </w:t>
      </w:r>
      <w:r>
        <w:rPr>
          <w:szCs w:val="24"/>
          <w:lang w:val="lt-LT"/>
        </w:rPr>
        <w:br/>
      </w:r>
    </w:p>
    <w:p w14:paraId="129A6C7E" w14:textId="77777777" w:rsidR="00172C88" w:rsidRPr="001B6018" w:rsidRDefault="00172C88" w:rsidP="00172C88">
      <w:pPr>
        <w:spacing w:line="240" w:lineRule="auto"/>
        <w:rPr>
          <w:lang w:val="lt-LT"/>
        </w:rPr>
      </w:pPr>
      <w:r w:rsidRPr="00DC170F">
        <w:rPr>
          <w:i/>
          <w:iCs/>
          <w:color w:val="000000"/>
          <w:szCs w:val="22"/>
          <w:lang w:val="lt-LT"/>
        </w:rPr>
        <w:t>Pacientams, kurių inkstų funkcija sutrikusi</w:t>
      </w:r>
    </w:p>
    <w:p w14:paraId="4940D7B1" w14:textId="77777777" w:rsidR="00172C88" w:rsidRDefault="00172C88" w:rsidP="00172C88">
      <w:pPr>
        <w:rPr>
          <w:szCs w:val="24"/>
          <w:lang w:val="lt-LT"/>
        </w:rPr>
      </w:pPr>
      <w:r>
        <w:rPr>
          <w:szCs w:val="24"/>
          <w:lang w:val="lt-LT"/>
        </w:rPr>
        <w:t xml:space="preserve">Pacientams, kurių inkstų funkcija sutrikusi, dozės koreguoti nereikia. Dialize gydomiems pacientams dozės koreguoti nereikia (žr. 5.2 skyrių). </w:t>
      </w:r>
      <w:r>
        <w:rPr>
          <w:szCs w:val="24"/>
          <w:lang w:val="lt-LT"/>
        </w:rPr>
        <w:br/>
      </w:r>
    </w:p>
    <w:p w14:paraId="579F8ACC" w14:textId="77777777" w:rsidR="00172C88" w:rsidRPr="001B6018" w:rsidRDefault="00172C88" w:rsidP="00172C88">
      <w:pPr>
        <w:rPr>
          <w:lang w:val="lt-LT"/>
        </w:rPr>
      </w:pPr>
      <w:r w:rsidRPr="00DC170F">
        <w:rPr>
          <w:i/>
          <w:szCs w:val="24"/>
          <w:lang w:val="lt-LT"/>
        </w:rPr>
        <w:t>Senyviems pacientams</w:t>
      </w:r>
    </w:p>
    <w:p w14:paraId="1E9CAAB9" w14:textId="77777777" w:rsidR="00172C88" w:rsidRDefault="00172C88" w:rsidP="00172C88">
      <w:pPr>
        <w:spacing w:line="240" w:lineRule="auto"/>
        <w:rPr>
          <w:iCs/>
          <w:color w:val="000000"/>
          <w:szCs w:val="22"/>
          <w:lang w:val="lt-LT"/>
        </w:rPr>
      </w:pPr>
      <w:r>
        <w:rPr>
          <w:szCs w:val="24"/>
          <w:lang w:val="lt-LT"/>
        </w:rPr>
        <w:t xml:space="preserve">Vyresniems kaip </w:t>
      </w:r>
      <w:r>
        <w:rPr>
          <w:iCs/>
          <w:color w:val="000000"/>
          <w:szCs w:val="22"/>
          <w:lang w:val="lt-LT"/>
        </w:rPr>
        <w:t>65 metų pacientams dozės koreguoti nereikia.</w:t>
      </w:r>
    </w:p>
    <w:p w14:paraId="7B4E4349" w14:textId="77777777" w:rsidR="00172C88" w:rsidRDefault="00172C88" w:rsidP="00172C88">
      <w:pPr>
        <w:spacing w:line="240" w:lineRule="auto"/>
        <w:rPr>
          <w:lang w:val="lt-LT"/>
        </w:rPr>
      </w:pPr>
    </w:p>
    <w:p w14:paraId="04783DAF" w14:textId="77777777" w:rsidR="00172C88" w:rsidRPr="00DC170F" w:rsidRDefault="00172C88" w:rsidP="00172C88">
      <w:pPr>
        <w:spacing w:line="240" w:lineRule="auto"/>
        <w:rPr>
          <w:u w:val="single"/>
          <w:lang w:val="lt-LT"/>
        </w:rPr>
      </w:pPr>
      <w:r w:rsidRPr="00DC170F">
        <w:rPr>
          <w:u w:val="single"/>
          <w:lang w:val="lt-LT"/>
        </w:rPr>
        <w:t>Vartojimo metodas</w:t>
      </w:r>
    </w:p>
    <w:p w14:paraId="13E32749" w14:textId="77777777" w:rsidR="00172C88" w:rsidRPr="00A13CC1" w:rsidRDefault="00172C88" w:rsidP="00172C88">
      <w:pPr>
        <w:spacing w:line="240" w:lineRule="auto"/>
        <w:rPr>
          <w:lang w:val="lt-LT"/>
        </w:rPr>
      </w:pPr>
      <w:r w:rsidRPr="00A13CC1">
        <w:rPr>
          <w:lang w:val="lt-LT"/>
        </w:rPr>
        <w:t xml:space="preserve">Tabletes reikia gerti ryte ir vakare, su maistu arba be maisto. Plėvele dengtas tabletes reikia nuryti užsigeriant vandeniu. </w:t>
      </w:r>
    </w:p>
    <w:p w14:paraId="0C66E4A7" w14:textId="77777777" w:rsidR="00172C88" w:rsidRPr="007263E8" w:rsidRDefault="00172C88" w:rsidP="00172C88">
      <w:pPr>
        <w:spacing w:line="240" w:lineRule="auto"/>
        <w:rPr>
          <w:lang w:val="lt-LT"/>
        </w:rPr>
      </w:pPr>
    </w:p>
    <w:p w14:paraId="625E98EE" w14:textId="77777777" w:rsidR="00172C88" w:rsidRDefault="00172C88" w:rsidP="00172C88">
      <w:pPr>
        <w:rPr>
          <w:szCs w:val="24"/>
          <w:lang w:val="lt-LT"/>
        </w:rPr>
      </w:pPr>
    </w:p>
    <w:p w14:paraId="621DE07D"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2F3A092E" w14:textId="77777777" w:rsidR="00172C88" w:rsidRDefault="00172C88" w:rsidP="00172C88">
      <w:pPr>
        <w:rPr>
          <w:szCs w:val="24"/>
          <w:lang w:val="lt-LT"/>
        </w:rPr>
      </w:pPr>
    </w:p>
    <w:p w14:paraId="607F0785" w14:textId="77777777" w:rsidR="00172C88" w:rsidRDefault="00172C88" w:rsidP="00172C88">
      <w:pPr>
        <w:numPr>
          <w:ilvl w:val="0"/>
          <w:numId w:val="2"/>
        </w:numPr>
        <w:ind w:left="567" w:hanging="567"/>
        <w:rPr>
          <w:szCs w:val="24"/>
          <w:lang w:val="lt-LT"/>
        </w:rPr>
      </w:pPr>
      <w:r>
        <w:rPr>
          <w:szCs w:val="24"/>
          <w:lang w:val="lt-LT"/>
        </w:rPr>
        <w:t>Padidėjęs jautrumas veikliajai arba bet kuriai 6.1 skyriuje nurodytai pagalbinei medžiagai.</w:t>
      </w:r>
    </w:p>
    <w:p w14:paraId="0450630B" w14:textId="77777777" w:rsidR="00172C88" w:rsidRPr="00E32052" w:rsidRDefault="00172C88" w:rsidP="00172C88">
      <w:pPr>
        <w:numPr>
          <w:ilvl w:val="0"/>
          <w:numId w:val="2"/>
        </w:numPr>
        <w:ind w:left="567" w:hanging="567"/>
        <w:rPr>
          <w:lang w:val="lt-LT"/>
        </w:rPr>
      </w:pPr>
      <w:r>
        <w:rPr>
          <w:szCs w:val="24"/>
          <w:lang w:val="lt-LT"/>
        </w:rPr>
        <w:t xml:space="preserve">Vidutinio sunkumo arba sunkus kepenų funkcijos sutrikimas, t. y. B arba C klasės pagal </w:t>
      </w:r>
      <w:proofErr w:type="spellStart"/>
      <w:r>
        <w:rPr>
          <w:i/>
          <w:szCs w:val="24"/>
          <w:lang w:val="lt-LT"/>
        </w:rPr>
        <w:t>Child-Pugh</w:t>
      </w:r>
      <w:proofErr w:type="spellEnd"/>
      <w:r>
        <w:rPr>
          <w:i/>
          <w:szCs w:val="24"/>
          <w:lang w:val="lt-LT"/>
        </w:rPr>
        <w:t xml:space="preserve"> </w:t>
      </w:r>
      <w:r>
        <w:rPr>
          <w:szCs w:val="24"/>
          <w:lang w:val="lt-LT"/>
        </w:rPr>
        <w:t xml:space="preserve">(žr. 5.2 skyrių). </w:t>
      </w:r>
    </w:p>
    <w:p w14:paraId="1AF45BCA" w14:textId="6A7B3FD3" w:rsidR="00172C88" w:rsidRDefault="00172C88" w:rsidP="00172C88">
      <w:pPr>
        <w:numPr>
          <w:ilvl w:val="0"/>
          <w:numId w:val="2"/>
        </w:numPr>
        <w:ind w:left="567" w:hanging="567"/>
        <w:rPr>
          <w:szCs w:val="24"/>
          <w:lang w:val="lt-LT"/>
        </w:rPr>
      </w:pPr>
      <w:r>
        <w:rPr>
          <w:szCs w:val="24"/>
          <w:lang w:val="lt-LT"/>
        </w:rPr>
        <w:t xml:space="preserve">Pradinis kepenų </w:t>
      </w:r>
      <w:proofErr w:type="spellStart"/>
      <w:r>
        <w:rPr>
          <w:szCs w:val="24"/>
          <w:lang w:val="lt-LT"/>
        </w:rPr>
        <w:t>aminotransferazių</w:t>
      </w:r>
      <w:proofErr w:type="spellEnd"/>
      <w:r>
        <w:rPr>
          <w:szCs w:val="24"/>
          <w:lang w:val="lt-LT"/>
        </w:rPr>
        <w:t xml:space="preserve">, </w:t>
      </w:r>
      <w:proofErr w:type="spellStart"/>
      <w:r>
        <w:rPr>
          <w:szCs w:val="24"/>
          <w:lang w:val="lt-LT"/>
        </w:rPr>
        <w:t>t.y</w:t>
      </w:r>
      <w:proofErr w:type="spellEnd"/>
      <w:r>
        <w:rPr>
          <w:szCs w:val="24"/>
          <w:lang w:val="lt-LT"/>
        </w:rPr>
        <w:t xml:space="preserve">. </w:t>
      </w:r>
      <w:proofErr w:type="spellStart"/>
      <w:r>
        <w:rPr>
          <w:szCs w:val="24"/>
          <w:lang w:val="lt-LT"/>
        </w:rPr>
        <w:t>aspartato</w:t>
      </w:r>
      <w:proofErr w:type="spellEnd"/>
      <w:r>
        <w:rPr>
          <w:szCs w:val="24"/>
          <w:lang w:val="lt-LT"/>
        </w:rPr>
        <w:t xml:space="preserve"> </w:t>
      </w:r>
      <w:proofErr w:type="spellStart"/>
      <w:r>
        <w:rPr>
          <w:szCs w:val="24"/>
          <w:lang w:val="lt-LT"/>
        </w:rPr>
        <w:t>aminotransferazės</w:t>
      </w:r>
      <w:proofErr w:type="spellEnd"/>
      <w:r>
        <w:rPr>
          <w:szCs w:val="24"/>
          <w:lang w:val="lt-LT"/>
        </w:rPr>
        <w:t xml:space="preserve"> (AST) ir (arba) </w:t>
      </w:r>
      <w:proofErr w:type="spellStart"/>
      <w:r>
        <w:rPr>
          <w:szCs w:val="24"/>
          <w:lang w:val="lt-LT"/>
        </w:rPr>
        <w:t>alanino</w:t>
      </w:r>
      <w:proofErr w:type="spellEnd"/>
      <w:r>
        <w:rPr>
          <w:szCs w:val="24"/>
          <w:lang w:val="lt-LT"/>
        </w:rPr>
        <w:t xml:space="preserve"> </w:t>
      </w:r>
      <w:proofErr w:type="spellStart"/>
      <w:r>
        <w:rPr>
          <w:szCs w:val="24"/>
          <w:lang w:val="lt-LT"/>
        </w:rPr>
        <w:t>aminotransferazės</w:t>
      </w:r>
      <w:proofErr w:type="spellEnd"/>
      <w:r>
        <w:rPr>
          <w:szCs w:val="24"/>
          <w:lang w:val="lt-LT"/>
        </w:rPr>
        <w:t xml:space="preserve"> (ALT) aktyvumas daugiau nei 3 kartus viršija normalią ribą (</w:t>
      </w:r>
      <w:r w:rsidR="004A5857">
        <w:rPr>
          <w:szCs w:val="24"/>
          <w:lang w:val="lt-LT"/>
        </w:rPr>
        <w:t xml:space="preserve">VNR; </w:t>
      </w:r>
      <w:r>
        <w:rPr>
          <w:szCs w:val="24"/>
          <w:lang w:val="lt-LT"/>
        </w:rPr>
        <w:t xml:space="preserve">žr. 4.4 skyrių). </w:t>
      </w:r>
    </w:p>
    <w:p w14:paraId="2B72101A" w14:textId="77777777" w:rsidR="00172C88" w:rsidRDefault="00172C88" w:rsidP="00172C88">
      <w:pPr>
        <w:numPr>
          <w:ilvl w:val="0"/>
          <w:numId w:val="2"/>
        </w:numPr>
        <w:ind w:left="567" w:hanging="567"/>
        <w:rPr>
          <w:szCs w:val="24"/>
          <w:lang w:val="lt-LT"/>
        </w:rPr>
      </w:pPr>
      <w:r>
        <w:rPr>
          <w:szCs w:val="24"/>
          <w:lang w:val="lt-LT"/>
        </w:rPr>
        <w:t xml:space="preserve">Vartojimas kartu su </w:t>
      </w:r>
      <w:proofErr w:type="spellStart"/>
      <w:r>
        <w:rPr>
          <w:szCs w:val="24"/>
          <w:lang w:val="lt-LT"/>
        </w:rPr>
        <w:t>ciklosporinu</w:t>
      </w:r>
      <w:proofErr w:type="spellEnd"/>
      <w:r>
        <w:rPr>
          <w:szCs w:val="24"/>
          <w:lang w:val="lt-LT"/>
        </w:rPr>
        <w:t xml:space="preserve"> A (žr. 4.5 skyrių). </w:t>
      </w:r>
    </w:p>
    <w:p w14:paraId="51E0865E" w14:textId="77777777" w:rsidR="00172C88" w:rsidRDefault="00172C88" w:rsidP="00172C88">
      <w:pPr>
        <w:numPr>
          <w:ilvl w:val="0"/>
          <w:numId w:val="2"/>
        </w:numPr>
        <w:ind w:left="567" w:hanging="567"/>
        <w:rPr>
          <w:szCs w:val="24"/>
          <w:lang w:val="lt-LT"/>
        </w:rPr>
      </w:pPr>
      <w:r>
        <w:rPr>
          <w:szCs w:val="24"/>
          <w:lang w:val="lt-LT"/>
        </w:rPr>
        <w:t xml:space="preserve">Nėštumas (žr. 4.4 ir 4.6 skyrius). </w:t>
      </w:r>
    </w:p>
    <w:p w14:paraId="2D8FA495" w14:textId="77777777" w:rsidR="00172C88" w:rsidRDefault="00172C88" w:rsidP="00172C88">
      <w:pPr>
        <w:numPr>
          <w:ilvl w:val="0"/>
          <w:numId w:val="2"/>
        </w:numPr>
        <w:ind w:left="567" w:hanging="567"/>
        <w:rPr>
          <w:szCs w:val="24"/>
          <w:lang w:val="lt-LT"/>
        </w:rPr>
      </w:pPr>
      <w:r>
        <w:rPr>
          <w:szCs w:val="24"/>
          <w:lang w:val="lt-LT"/>
        </w:rPr>
        <w:t xml:space="preserve">Pacientė yra vaisingo amžiaus moteris, nevartojanti patikimų kontracepcijos priemonių (žr. 4.4, 4.5 ir 4.6 skyrius). </w:t>
      </w:r>
    </w:p>
    <w:p w14:paraId="7AA9B933" w14:textId="77777777" w:rsidR="00172C88" w:rsidRDefault="00172C88" w:rsidP="00172C88">
      <w:pPr>
        <w:rPr>
          <w:szCs w:val="24"/>
          <w:lang w:val="lt-LT"/>
        </w:rPr>
      </w:pPr>
    </w:p>
    <w:p w14:paraId="5C32C7E5"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232B8B76" w14:textId="77777777" w:rsidR="00172C88" w:rsidRDefault="00172C88" w:rsidP="00172C88">
      <w:pPr>
        <w:rPr>
          <w:szCs w:val="24"/>
          <w:lang w:val="lt-LT"/>
        </w:rPr>
      </w:pPr>
    </w:p>
    <w:p w14:paraId="5891FD97" w14:textId="77777777" w:rsidR="00172C88" w:rsidRDefault="00172C88" w:rsidP="00172C88">
      <w:pPr>
        <w:rPr>
          <w:lang w:val="lt-LT"/>
        </w:rPr>
      </w:pP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veiksmingumas gydant sunkia </w:t>
      </w:r>
      <w:proofErr w:type="spellStart"/>
      <w:r>
        <w:rPr>
          <w:lang w:val="lt-LT"/>
        </w:rPr>
        <w:t>plautine</w:t>
      </w:r>
      <w:proofErr w:type="spellEnd"/>
      <w:r>
        <w:rPr>
          <w:lang w:val="lt-LT"/>
        </w:rPr>
        <w:t xml:space="preserve"> arterine hipertenzija sergančius pacientus nenustatytas. Jei klinikinė būklė blogėja, reikia pradėti gydymą, rekomenduojamą esant sunkiai ligos stadijai (pvz., pradėti vartoti </w:t>
      </w:r>
      <w:proofErr w:type="spellStart"/>
      <w:r>
        <w:rPr>
          <w:lang w:val="lt-LT"/>
        </w:rPr>
        <w:t>epoprostenolio</w:t>
      </w:r>
      <w:proofErr w:type="spellEnd"/>
      <w:r>
        <w:rPr>
          <w:lang w:val="lt-LT"/>
        </w:rPr>
        <w:t xml:space="preserve">) (žr. 4.2 skyrių). </w:t>
      </w:r>
    </w:p>
    <w:p w14:paraId="73BA6DE2" w14:textId="77777777" w:rsidR="00172C88" w:rsidRDefault="00172C88" w:rsidP="00172C88">
      <w:pPr>
        <w:rPr>
          <w:lang w:val="lt-LT"/>
        </w:rPr>
      </w:pPr>
    </w:p>
    <w:p w14:paraId="521663BF" w14:textId="77777777" w:rsidR="00172C88" w:rsidRDefault="00172C88" w:rsidP="00172C88">
      <w:pPr>
        <w:rPr>
          <w:lang w:val="lt-LT"/>
        </w:rPr>
      </w:pPr>
      <w:proofErr w:type="spellStart"/>
      <w:r>
        <w:rPr>
          <w:lang w:val="lt-LT"/>
        </w:rPr>
        <w:t>Bozentano</w:t>
      </w:r>
      <w:proofErr w:type="spellEnd"/>
      <w:r>
        <w:rPr>
          <w:lang w:val="lt-LT"/>
        </w:rPr>
        <w:t xml:space="preserve"> naudos ir rizikos santykis pacientams, kuriems yra PSO I klasės funkcinės būklės </w:t>
      </w:r>
      <w:proofErr w:type="spellStart"/>
      <w:r>
        <w:rPr>
          <w:lang w:val="lt-LT"/>
        </w:rPr>
        <w:t>plautinė</w:t>
      </w:r>
      <w:proofErr w:type="spellEnd"/>
      <w:r>
        <w:rPr>
          <w:lang w:val="lt-LT"/>
        </w:rPr>
        <w:t xml:space="preserve"> hipertenzija, nebuvo nustatytas. </w:t>
      </w:r>
    </w:p>
    <w:p w14:paraId="3FFD7EE9" w14:textId="77777777" w:rsidR="00172C88" w:rsidRDefault="00172C88" w:rsidP="00172C88">
      <w:pPr>
        <w:rPr>
          <w:lang w:val="lt-LT"/>
        </w:rPr>
      </w:pPr>
    </w:p>
    <w:p w14:paraId="7AFA9964" w14:textId="77777777" w:rsidR="00172C88" w:rsidRDefault="00172C88" w:rsidP="00172C88">
      <w:pPr>
        <w:rPr>
          <w:lang w:val="lt-LT"/>
        </w:rPr>
      </w:pPr>
      <w:r>
        <w:rPr>
          <w:lang w:val="lt-LT"/>
        </w:rPr>
        <w:t xml:space="preserve">Gydymą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galima pradėti tik tada, jei sisteminis </w:t>
      </w:r>
      <w:proofErr w:type="spellStart"/>
      <w:r>
        <w:rPr>
          <w:lang w:val="lt-LT"/>
        </w:rPr>
        <w:t>sistolinis</w:t>
      </w:r>
      <w:proofErr w:type="spellEnd"/>
      <w:r>
        <w:rPr>
          <w:lang w:val="lt-LT"/>
        </w:rPr>
        <w:t xml:space="preserve"> kraujospūdis yra didesnis kaip 85 </w:t>
      </w:r>
      <w:proofErr w:type="spellStart"/>
      <w:r>
        <w:rPr>
          <w:lang w:val="lt-LT"/>
        </w:rPr>
        <w:t>mmHg</w:t>
      </w:r>
      <w:proofErr w:type="spellEnd"/>
      <w:r>
        <w:rPr>
          <w:lang w:val="lt-LT"/>
        </w:rPr>
        <w:t xml:space="preserve">. </w:t>
      </w:r>
    </w:p>
    <w:p w14:paraId="7ADB8EFB" w14:textId="77777777" w:rsidR="00172C88" w:rsidRDefault="00172C88" w:rsidP="00172C88">
      <w:pPr>
        <w:rPr>
          <w:lang w:val="lt-LT"/>
        </w:rPr>
      </w:pPr>
    </w:p>
    <w:p w14:paraId="5409248D" w14:textId="77777777" w:rsidR="00172C88" w:rsidRDefault="00172C88" w:rsidP="00172C88">
      <w:pPr>
        <w:rPr>
          <w:lang w:val="lt-LT"/>
        </w:rPr>
      </w:pPr>
      <w:r>
        <w:rPr>
          <w:lang w:val="lt-LT"/>
        </w:rPr>
        <w:t xml:space="preserve">Nenustatyta, ar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sukelia teigiamą poveikį esamų pirštų opų gijimui. </w:t>
      </w:r>
    </w:p>
    <w:p w14:paraId="7DCC0851" w14:textId="77777777" w:rsidR="00172C88" w:rsidRDefault="00172C88" w:rsidP="00172C88">
      <w:pPr>
        <w:rPr>
          <w:lang w:val="lt-LT"/>
        </w:rPr>
      </w:pPr>
    </w:p>
    <w:p w14:paraId="1767F620" w14:textId="77777777" w:rsidR="00172C88" w:rsidRPr="00DC170F" w:rsidRDefault="00172C88" w:rsidP="00172C88">
      <w:pPr>
        <w:rPr>
          <w:i/>
          <w:iCs/>
          <w:lang w:val="lt-LT"/>
        </w:rPr>
      </w:pPr>
      <w:r w:rsidRPr="00DC170F">
        <w:rPr>
          <w:i/>
          <w:iCs/>
          <w:lang w:val="lt-LT"/>
        </w:rPr>
        <w:lastRenderedPageBreak/>
        <w:t>Kepenų funkcija</w:t>
      </w:r>
    </w:p>
    <w:p w14:paraId="0A59F648" w14:textId="77777777" w:rsidR="00172C88" w:rsidRDefault="00172C88" w:rsidP="00172C88">
      <w:pPr>
        <w:rPr>
          <w:lang w:val="lt-LT"/>
        </w:rPr>
      </w:pPr>
    </w:p>
    <w:p w14:paraId="3849D4AA" w14:textId="02E54926" w:rsidR="00172C88" w:rsidRDefault="00172C88" w:rsidP="00172C88">
      <w:pPr>
        <w:rPr>
          <w:lang w:val="lt-LT"/>
        </w:rPr>
      </w:pPr>
      <w:proofErr w:type="spellStart"/>
      <w:r>
        <w:rPr>
          <w:lang w:val="lt-LT"/>
        </w:rPr>
        <w:t>Bozentano</w:t>
      </w:r>
      <w:proofErr w:type="spellEnd"/>
      <w:r>
        <w:rPr>
          <w:lang w:val="lt-LT"/>
        </w:rPr>
        <w:t xml:space="preserve"> sukeliamas kepenų </w:t>
      </w:r>
      <w:proofErr w:type="spellStart"/>
      <w:r>
        <w:rPr>
          <w:lang w:val="lt-LT"/>
        </w:rPr>
        <w:t>aminotransferazių</w:t>
      </w:r>
      <w:proofErr w:type="spellEnd"/>
      <w:r>
        <w:rPr>
          <w:lang w:val="lt-LT"/>
        </w:rPr>
        <w:t xml:space="preserve">, </w:t>
      </w:r>
      <w:proofErr w:type="spellStart"/>
      <w:r>
        <w:rPr>
          <w:lang w:val="lt-LT"/>
        </w:rPr>
        <w:t>t.y</w:t>
      </w:r>
      <w:proofErr w:type="spellEnd"/>
      <w:r>
        <w:rPr>
          <w:lang w:val="lt-LT"/>
        </w:rPr>
        <w:t xml:space="preserve">. </w:t>
      </w:r>
      <w:proofErr w:type="spellStart"/>
      <w:r>
        <w:rPr>
          <w:lang w:val="lt-LT"/>
        </w:rPr>
        <w:t>aspartato</w:t>
      </w:r>
      <w:proofErr w:type="spellEnd"/>
      <w:r>
        <w:rPr>
          <w:lang w:val="lt-LT"/>
        </w:rPr>
        <w:t xml:space="preserve"> ir </w:t>
      </w:r>
      <w:proofErr w:type="spellStart"/>
      <w:r>
        <w:rPr>
          <w:lang w:val="lt-LT"/>
        </w:rPr>
        <w:t>alanino</w:t>
      </w:r>
      <w:proofErr w:type="spellEnd"/>
      <w:r>
        <w:rPr>
          <w:lang w:val="lt-LT"/>
        </w:rPr>
        <w:t xml:space="preserve"> </w:t>
      </w:r>
      <w:proofErr w:type="spellStart"/>
      <w:r>
        <w:rPr>
          <w:lang w:val="lt-LT"/>
        </w:rPr>
        <w:t>aminotransferazės</w:t>
      </w:r>
      <w:proofErr w:type="spellEnd"/>
      <w:r>
        <w:rPr>
          <w:lang w:val="lt-LT"/>
        </w:rPr>
        <w:t xml:space="preserve"> (AST ir (arba) ALT) aktyvumo padidėjimas priklauso nuo dozės. Kepenų fermentų pokyčių paprastai atsiranda per pirmąsias 26 gydymo savaites, tačiau jų gali atsirasti ir vėlesniu gydymo laikotarpiu (žr. 4.8 skyrių). Tokį padidėjimą iš dalies gali sukelti konkurencinis tulžies druskų šalinimo iš kepenų ląstelių slopinimas, tačiau su kepenų funkcijų sutrikimu tikriausiai yra susiję ir kiti mechanizmai, kurie nėra tiksliai nustatyti. Negalima paneigti, kad vyksta </w:t>
      </w:r>
      <w:proofErr w:type="spellStart"/>
      <w:r>
        <w:rPr>
          <w:lang w:val="lt-LT"/>
        </w:rPr>
        <w:t>bozentano</w:t>
      </w:r>
      <w:proofErr w:type="spellEnd"/>
      <w:r>
        <w:rPr>
          <w:lang w:val="lt-LT"/>
        </w:rPr>
        <w:t xml:space="preserve"> kaupimasis </w:t>
      </w:r>
      <w:proofErr w:type="spellStart"/>
      <w:r>
        <w:rPr>
          <w:lang w:val="lt-LT"/>
        </w:rPr>
        <w:t>hepatocituose</w:t>
      </w:r>
      <w:proofErr w:type="spellEnd"/>
      <w:r>
        <w:rPr>
          <w:lang w:val="lt-LT"/>
        </w:rPr>
        <w:t xml:space="preserve">, dėl kurio vyksta galimai sunkų kepenų pažeidimą sukelianti </w:t>
      </w:r>
      <w:proofErr w:type="spellStart"/>
      <w:r>
        <w:rPr>
          <w:lang w:val="lt-LT"/>
        </w:rPr>
        <w:t>citolizė</w:t>
      </w:r>
      <w:proofErr w:type="spellEnd"/>
      <w:r>
        <w:rPr>
          <w:lang w:val="lt-LT"/>
        </w:rPr>
        <w:t xml:space="preserve">, ir su imunine sistema susijusių mechanizmų. </w:t>
      </w:r>
      <w:r w:rsidR="009C7368" w:rsidRPr="000A0850">
        <w:rPr>
          <w:lang w:val="lt-LT"/>
        </w:rPr>
        <w:t>Buvo pranešimų</w:t>
      </w:r>
      <w:r w:rsidR="009C7368">
        <w:rPr>
          <w:lang w:val="lt-LT"/>
        </w:rPr>
        <w:t xml:space="preserve"> </w:t>
      </w:r>
      <w:r w:rsidR="009C7368" w:rsidRPr="000A0850">
        <w:rPr>
          <w:lang w:val="lt-LT"/>
        </w:rPr>
        <w:t>apie retus autoimuninio hepatito atvejus, kurių latentinis laikotarpis truko nuo kelių mėnesių iki</w:t>
      </w:r>
      <w:r w:rsidR="009C7368">
        <w:rPr>
          <w:lang w:val="lt-LT"/>
        </w:rPr>
        <w:t xml:space="preserve"> </w:t>
      </w:r>
      <w:r w:rsidR="009C7368" w:rsidRPr="000A0850">
        <w:rPr>
          <w:lang w:val="lt-LT"/>
        </w:rPr>
        <w:t>metų</w:t>
      </w:r>
      <w:r w:rsidR="009C7368">
        <w:rPr>
          <w:lang w:val="lt-LT"/>
        </w:rPr>
        <w:t xml:space="preserve">. </w:t>
      </w:r>
      <w:r>
        <w:rPr>
          <w:lang w:val="lt-LT"/>
        </w:rPr>
        <w:t xml:space="preserve">Kepenų funkcijų sutrikimo rizika taip pat gali padidėti, kai kartu su </w:t>
      </w:r>
      <w:proofErr w:type="spellStart"/>
      <w:r>
        <w:rPr>
          <w:lang w:val="lt-LT"/>
        </w:rPr>
        <w:t>bozentanu</w:t>
      </w:r>
      <w:proofErr w:type="spellEnd"/>
      <w:r>
        <w:rPr>
          <w:lang w:val="lt-LT"/>
        </w:rPr>
        <w:t xml:space="preserve"> vartojama vaistinių preparatų, kurie slopina tulžies druskų šalinimo siurblį, pvz., </w:t>
      </w:r>
      <w:proofErr w:type="spellStart"/>
      <w:r>
        <w:rPr>
          <w:lang w:val="lt-LT"/>
        </w:rPr>
        <w:t>rifampicino</w:t>
      </w:r>
      <w:proofErr w:type="spellEnd"/>
      <w:r>
        <w:rPr>
          <w:lang w:val="lt-LT"/>
        </w:rPr>
        <w:t xml:space="preserve">, </w:t>
      </w:r>
      <w:proofErr w:type="spellStart"/>
      <w:r>
        <w:rPr>
          <w:lang w:val="lt-LT"/>
        </w:rPr>
        <w:t>glibenklamido</w:t>
      </w:r>
      <w:proofErr w:type="spellEnd"/>
      <w:r>
        <w:rPr>
          <w:lang w:val="lt-LT"/>
        </w:rPr>
        <w:t xml:space="preserve"> ir </w:t>
      </w:r>
      <w:proofErr w:type="spellStart"/>
      <w:r>
        <w:rPr>
          <w:lang w:val="lt-LT"/>
        </w:rPr>
        <w:t>ciklosporino</w:t>
      </w:r>
      <w:proofErr w:type="spellEnd"/>
      <w:r>
        <w:rPr>
          <w:lang w:val="lt-LT"/>
        </w:rPr>
        <w:t xml:space="preserve"> A (žr. 4.3 ir 4.5 skyrius), tačiau duomenų apie tai yra nedaug. </w:t>
      </w:r>
    </w:p>
    <w:p w14:paraId="0370538E" w14:textId="77777777" w:rsidR="00172C88" w:rsidRDefault="00172C88" w:rsidP="00172C88">
      <w:pPr>
        <w:rPr>
          <w:lang w:val="lt-LT"/>
        </w:rPr>
      </w:pPr>
    </w:p>
    <w:p w14:paraId="0742213E" w14:textId="77777777" w:rsidR="00172C88" w:rsidRDefault="00172C88" w:rsidP="00172C88">
      <w:pPr>
        <w:pBdr>
          <w:top w:val="single" w:sz="4" w:space="1" w:color="000000"/>
          <w:left w:val="single" w:sz="4" w:space="4" w:color="000000"/>
          <w:bottom w:val="single" w:sz="4" w:space="1" w:color="000000"/>
          <w:right w:val="single" w:sz="4" w:space="4" w:color="000000"/>
        </w:pBdr>
        <w:rPr>
          <w:b/>
          <w:bCs/>
          <w:lang w:val="lt-LT"/>
        </w:rPr>
      </w:pPr>
      <w:r>
        <w:rPr>
          <w:b/>
          <w:bCs/>
          <w:lang w:val="lt-LT"/>
        </w:rPr>
        <w:t xml:space="preserve">Kepenų </w:t>
      </w:r>
      <w:proofErr w:type="spellStart"/>
      <w:r>
        <w:rPr>
          <w:b/>
          <w:bCs/>
          <w:lang w:val="lt-LT"/>
        </w:rPr>
        <w:t>aminotransferazių</w:t>
      </w:r>
      <w:proofErr w:type="spellEnd"/>
      <w:r>
        <w:rPr>
          <w:b/>
          <w:bCs/>
          <w:lang w:val="lt-LT"/>
        </w:rPr>
        <w:t xml:space="preserve"> aktyvumą reikia išmatuoti prieš pradedant gydymą ir po to kas mėnesį gydymo </w:t>
      </w:r>
      <w:proofErr w:type="spellStart"/>
      <w:r>
        <w:rPr>
          <w:b/>
          <w:bCs/>
          <w:lang w:val="lt-LT"/>
        </w:rPr>
        <w:t>Bosentan</w:t>
      </w:r>
      <w:proofErr w:type="spellEnd"/>
      <w:r>
        <w:rPr>
          <w:b/>
          <w:bCs/>
          <w:lang w:val="lt-LT"/>
        </w:rPr>
        <w:t xml:space="preserve"> </w:t>
      </w:r>
      <w:proofErr w:type="spellStart"/>
      <w:r>
        <w:rPr>
          <w:b/>
          <w:bCs/>
          <w:lang w:val="lt-LT"/>
        </w:rPr>
        <w:t>Norameda</w:t>
      </w:r>
      <w:proofErr w:type="spellEnd"/>
      <w:r>
        <w:rPr>
          <w:b/>
          <w:bCs/>
          <w:lang w:val="lt-LT"/>
        </w:rPr>
        <w:t xml:space="preserve"> metu. Be to, kepenų </w:t>
      </w:r>
      <w:proofErr w:type="spellStart"/>
      <w:r>
        <w:rPr>
          <w:b/>
          <w:bCs/>
          <w:lang w:val="lt-LT"/>
        </w:rPr>
        <w:t>aminotransferazių</w:t>
      </w:r>
      <w:proofErr w:type="spellEnd"/>
      <w:r>
        <w:rPr>
          <w:b/>
          <w:bCs/>
          <w:lang w:val="lt-LT"/>
        </w:rPr>
        <w:t xml:space="preserve"> aktyvumą reikia ištirti praėjus 2 savaitėms po bet kokio dozės padidinimo. </w:t>
      </w:r>
    </w:p>
    <w:p w14:paraId="0F01F2E9" w14:textId="77777777" w:rsidR="00172C88" w:rsidRDefault="00172C88" w:rsidP="00172C88">
      <w:pPr>
        <w:pBdr>
          <w:top w:val="single" w:sz="4" w:space="1" w:color="000000"/>
          <w:left w:val="single" w:sz="4" w:space="4" w:color="000000"/>
          <w:bottom w:val="single" w:sz="4" w:space="1" w:color="000000"/>
          <w:right w:val="single" w:sz="4" w:space="4" w:color="000000"/>
        </w:pBdr>
        <w:rPr>
          <w:lang w:val="lt-LT"/>
        </w:rPr>
      </w:pPr>
    </w:p>
    <w:p w14:paraId="58D08EA3" w14:textId="77777777" w:rsidR="00172C88" w:rsidRDefault="00172C88" w:rsidP="00172C88">
      <w:pPr>
        <w:pBdr>
          <w:top w:val="single" w:sz="4" w:space="1" w:color="000000"/>
          <w:left w:val="single" w:sz="4" w:space="4" w:color="000000"/>
          <w:bottom w:val="single" w:sz="4" w:space="1" w:color="000000"/>
          <w:right w:val="single" w:sz="4" w:space="4" w:color="000000"/>
        </w:pBdr>
        <w:rPr>
          <w:b/>
          <w:bCs/>
          <w:u w:val="single"/>
          <w:lang w:val="lt-LT"/>
        </w:rPr>
      </w:pPr>
      <w:r>
        <w:rPr>
          <w:b/>
          <w:bCs/>
          <w:u w:val="single"/>
          <w:lang w:val="lt-LT"/>
        </w:rPr>
        <w:t xml:space="preserve">Rekomendacijos, padidėjus ALT/AST aktyvumui </w:t>
      </w:r>
    </w:p>
    <w:p w14:paraId="53FCF3AE" w14:textId="77777777" w:rsidR="00172C88" w:rsidRDefault="00172C88" w:rsidP="00172C88">
      <w:pPr>
        <w:pBdr>
          <w:top w:val="single" w:sz="4" w:space="1" w:color="000000"/>
          <w:left w:val="single" w:sz="4" w:space="4" w:color="000000"/>
          <w:bottom w:val="single" w:sz="4" w:space="1" w:color="000000"/>
          <w:right w:val="single" w:sz="4" w:space="4" w:color="000000"/>
        </w:pBdr>
        <w:rPr>
          <w:b/>
          <w:bCs/>
          <w:lang w:val="lt-LT"/>
        </w:rPr>
      </w:pPr>
      <w:r>
        <w:rPr>
          <w:b/>
          <w:bCs/>
          <w:lang w:val="lt-LT"/>
        </w:rPr>
        <w:t>ALT / AST aktyvumas</w:t>
      </w:r>
      <w:r>
        <w:rPr>
          <w:b/>
          <w:bCs/>
          <w:lang w:val="lt-LT"/>
        </w:rPr>
        <w:tab/>
        <w:t xml:space="preserve"> Gydymo ir stebėjimo rekomendacijos </w:t>
      </w:r>
    </w:p>
    <w:p w14:paraId="2A1D4CB4" w14:textId="23F2E595" w:rsidR="00172C88" w:rsidRDefault="00172C88" w:rsidP="00172C88">
      <w:pPr>
        <w:pBdr>
          <w:top w:val="single" w:sz="4" w:space="1" w:color="000000"/>
          <w:left w:val="single" w:sz="4" w:space="4" w:color="000000"/>
          <w:bottom w:val="single" w:sz="4" w:space="1" w:color="000000"/>
          <w:right w:val="single" w:sz="4" w:space="4" w:color="000000"/>
        </w:pBdr>
        <w:ind w:left="2694" w:hanging="2694"/>
        <w:rPr>
          <w:lang w:val="lt-LT"/>
        </w:rPr>
      </w:pPr>
      <w:r>
        <w:rPr>
          <w:lang w:val="lt-LT"/>
        </w:rPr>
        <w:t>&gt; 3 ir ≤ 5</w:t>
      </w:r>
      <w:r w:rsidR="005C7F4A">
        <w:rPr>
          <w:lang w:val="lt-LT"/>
        </w:rPr>
        <w:t> </w:t>
      </w:r>
      <w:r>
        <w:rPr>
          <w:lang w:val="lt-LT"/>
        </w:rPr>
        <w:t>×</w:t>
      </w:r>
      <w:r w:rsidR="005C7F4A">
        <w:rPr>
          <w:lang w:val="lt-LT"/>
        </w:rPr>
        <w:t> </w:t>
      </w:r>
      <w:r>
        <w:rPr>
          <w:lang w:val="lt-LT"/>
        </w:rPr>
        <w:t xml:space="preserve">VNR </w:t>
      </w:r>
      <w:r>
        <w:rPr>
          <w:lang w:val="lt-LT"/>
        </w:rPr>
        <w:tab/>
      </w:r>
      <w:r w:rsidR="001611E9">
        <w:rPr>
          <w:lang w:val="lt-LT"/>
        </w:rPr>
        <w:t>Rezultatas turi būti p</w:t>
      </w:r>
      <w:r>
        <w:rPr>
          <w:lang w:val="lt-LT"/>
        </w:rPr>
        <w:t>atvirtint</w:t>
      </w:r>
      <w:r w:rsidR="001611E9">
        <w:rPr>
          <w:lang w:val="lt-LT"/>
        </w:rPr>
        <w:t>as</w:t>
      </w:r>
      <w:r w:rsidR="00F51B3A">
        <w:rPr>
          <w:lang w:val="lt-LT"/>
        </w:rPr>
        <w:t xml:space="preserve"> </w:t>
      </w:r>
      <w:r w:rsidR="001611E9">
        <w:rPr>
          <w:lang w:val="lt-LT"/>
        </w:rPr>
        <w:t xml:space="preserve">antru </w:t>
      </w:r>
      <w:r>
        <w:rPr>
          <w:lang w:val="lt-LT"/>
        </w:rPr>
        <w:t xml:space="preserve">kepenų fermentų tyrimu; jei patvirtinama, reikia priimti sprendimą dėl tolesnio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vartojimo (ar tęsti gydymą mažesne doze, ar gydymą nutraukti) pagal konkretaus paciento situaciją (žr. 4.2 skyrių). </w:t>
      </w:r>
      <w:proofErr w:type="spellStart"/>
      <w:r w:rsidR="00F51B3A">
        <w:rPr>
          <w:lang w:val="lt-LT"/>
        </w:rPr>
        <w:t>A</w:t>
      </w:r>
      <w:r>
        <w:rPr>
          <w:lang w:val="lt-LT"/>
        </w:rPr>
        <w:t>minotransferazių</w:t>
      </w:r>
      <w:proofErr w:type="spellEnd"/>
      <w:r>
        <w:rPr>
          <w:lang w:val="lt-LT"/>
        </w:rPr>
        <w:t xml:space="preserve"> aktyvum</w:t>
      </w:r>
      <w:r w:rsidR="00F51B3A">
        <w:rPr>
          <w:lang w:val="lt-LT"/>
        </w:rPr>
        <w:t>o stebėjimas turi būti tęsiamas</w:t>
      </w:r>
      <w:r>
        <w:rPr>
          <w:lang w:val="lt-LT"/>
        </w:rPr>
        <w:t xml:space="preserve"> ne rečiau kaip kas 2 savaites. Jei </w:t>
      </w:r>
      <w:proofErr w:type="spellStart"/>
      <w:r>
        <w:rPr>
          <w:lang w:val="lt-LT"/>
        </w:rPr>
        <w:t>aminotransferazių</w:t>
      </w:r>
      <w:proofErr w:type="spellEnd"/>
      <w:r>
        <w:rPr>
          <w:lang w:val="lt-LT"/>
        </w:rPr>
        <w:t xml:space="preserve"> aktyvumas vėl pasidaro toks, koks buvo prieš gydymą, reikia apsvarstyti gydymo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tęsimą ar atnaujinimą toliau nurodytomis sąlygomis.</w:t>
      </w:r>
    </w:p>
    <w:p w14:paraId="41145DD9" w14:textId="3E162A35" w:rsidR="00172C88" w:rsidRDefault="00172C88" w:rsidP="00172C88">
      <w:pPr>
        <w:pBdr>
          <w:top w:val="single" w:sz="4" w:space="1" w:color="000000"/>
          <w:left w:val="single" w:sz="4" w:space="4" w:color="000000"/>
          <w:bottom w:val="single" w:sz="4" w:space="1" w:color="000000"/>
          <w:right w:val="single" w:sz="4" w:space="4" w:color="000000"/>
        </w:pBdr>
        <w:ind w:left="2694" w:hanging="2694"/>
        <w:rPr>
          <w:lang w:val="lt-LT"/>
        </w:rPr>
      </w:pPr>
      <w:r>
        <w:rPr>
          <w:lang w:val="lt-LT"/>
        </w:rPr>
        <w:t>&gt; 5 ir ≤ 8</w:t>
      </w:r>
      <w:r w:rsidR="005C7F4A">
        <w:rPr>
          <w:lang w:val="lt-LT"/>
        </w:rPr>
        <w:t> </w:t>
      </w:r>
      <w:r>
        <w:rPr>
          <w:lang w:val="lt-LT"/>
        </w:rPr>
        <w:t>×</w:t>
      </w:r>
      <w:r w:rsidR="005C7F4A">
        <w:rPr>
          <w:lang w:val="lt-LT"/>
        </w:rPr>
        <w:t> </w:t>
      </w:r>
      <w:r>
        <w:rPr>
          <w:lang w:val="lt-LT"/>
        </w:rPr>
        <w:t xml:space="preserve">VNR </w:t>
      </w:r>
      <w:r>
        <w:rPr>
          <w:lang w:val="lt-LT"/>
        </w:rPr>
        <w:tab/>
      </w:r>
      <w:r w:rsidR="00F51B3A">
        <w:rPr>
          <w:lang w:val="lt-LT"/>
        </w:rPr>
        <w:t>Rezultatą p</w:t>
      </w:r>
      <w:r>
        <w:rPr>
          <w:lang w:val="lt-LT"/>
        </w:rPr>
        <w:t xml:space="preserve">atvirtinti </w:t>
      </w:r>
      <w:r w:rsidR="00F51B3A">
        <w:rPr>
          <w:lang w:val="lt-LT"/>
        </w:rPr>
        <w:t xml:space="preserve">antru </w:t>
      </w:r>
      <w:r>
        <w:rPr>
          <w:lang w:val="lt-LT"/>
        </w:rPr>
        <w:t>kepenų fermentų tyrimu; jei patvirtinama</w:t>
      </w:r>
      <w:r w:rsidR="007F3106">
        <w:rPr>
          <w:lang w:val="lt-LT"/>
        </w:rPr>
        <w:t>,</w:t>
      </w:r>
      <w:r>
        <w:rPr>
          <w:lang w:val="lt-LT"/>
        </w:rPr>
        <w:t xml:space="preserve"> gydym</w:t>
      </w:r>
      <w:r w:rsidR="007F3106">
        <w:rPr>
          <w:lang w:val="lt-LT"/>
        </w:rPr>
        <w:t>as turi būti</w:t>
      </w:r>
      <w:r>
        <w:rPr>
          <w:lang w:val="lt-LT"/>
        </w:rPr>
        <w:t xml:space="preserve"> nutraukt</w:t>
      </w:r>
      <w:r w:rsidR="007F3106">
        <w:rPr>
          <w:lang w:val="lt-LT"/>
        </w:rPr>
        <w:t>as</w:t>
      </w:r>
      <w:r>
        <w:rPr>
          <w:lang w:val="lt-LT"/>
        </w:rPr>
        <w:t xml:space="preserve"> ir </w:t>
      </w:r>
      <w:proofErr w:type="spellStart"/>
      <w:r>
        <w:rPr>
          <w:lang w:val="lt-LT"/>
        </w:rPr>
        <w:t>aminotransferazių</w:t>
      </w:r>
      <w:proofErr w:type="spellEnd"/>
      <w:r>
        <w:rPr>
          <w:lang w:val="lt-LT"/>
        </w:rPr>
        <w:t xml:space="preserve"> aktyvum</w:t>
      </w:r>
      <w:r w:rsidR="007F3106">
        <w:rPr>
          <w:lang w:val="lt-LT"/>
        </w:rPr>
        <w:t>as turi būti stebimas</w:t>
      </w:r>
      <w:r>
        <w:rPr>
          <w:lang w:val="lt-LT"/>
        </w:rPr>
        <w:t xml:space="preserve"> ne rečiau kaip kas 2 savaites. Jei </w:t>
      </w:r>
      <w:proofErr w:type="spellStart"/>
      <w:r>
        <w:rPr>
          <w:lang w:val="lt-LT"/>
        </w:rPr>
        <w:t>aminotransferazių</w:t>
      </w:r>
      <w:proofErr w:type="spellEnd"/>
      <w:r>
        <w:rPr>
          <w:lang w:val="lt-LT"/>
        </w:rPr>
        <w:t xml:space="preserve"> aktyvumas vėl pasidaro toks, koks buvo prieš gydymą, reikia apsvarstyti gydymo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atnaujinimą toliau nurodytomis sąlygomis.</w:t>
      </w:r>
    </w:p>
    <w:p w14:paraId="45611A1C" w14:textId="7757A3D9" w:rsidR="00172C88" w:rsidRDefault="00172C88" w:rsidP="00172C88">
      <w:pPr>
        <w:pBdr>
          <w:top w:val="single" w:sz="4" w:space="1" w:color="000000"/>
          <w:left w:val="single" w:sz="4" w:space="4" w:color="000000"/>
          <w:bottom w:val="single" w:sz="4" w:space="1" w:color="000000"/>
          <w:right w:val="single" w:sz="4" w:space="4" w:color="000000"/>
        </w:pBdr>
        <w:ind w:left="2694" w:hanging="2694"/>
        <w:rPr>
          <w:lang w:val="lt-LT"/>
        </w:rPr>
      </w:pPr>
      <w:r>
        <w:rPr>
          <w:lang w:val="lt-LT"/>
        </w:rPr>
        <w:t>&gt; 8</w:t>
      </w:r>
      <w:r w:rsidR="005C7F4A">
        <w:rPr>
          <w:lang w:val="lt-LT"/>
        </w:rPr>
        <w:t> </w:t>
      </w:r>
      <w:r>
        <w:rPr>
          <w:lang w:val="lt-LT"/>
        </w:rPr>
        <w:t>×</w:t>
      </w:r>
      <w:r w:rsidR="005C7F4A">
        <w:rPr>
          <w:lang w:val="lt-LT"/>
        </w:rPr>
        <w:t> </w:t>
      </w:r>
      <w:r>
        <w:rPr>
          <w:lang w:val="lt-LT"/>
        </w:rPr>
        <w:t xml:space="preserve">VNR </w:t>
      </w:r>
      <w:r>
        <w:rPr>
          <w:lang w:val="lt-LT"/>
        </w:rPr>
        <w:tab/>
        <w:t xml:space="preserve">Gydymą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reikia nutraukti ir nebeatnaujinti. </w:t>
      </w:r>
    </w:p>
    <w:p w14:paraId="39337A91" w14:textId="77777777" w:rsidR="00172C88" w:rsidRDefault="00172C88" w:rsidP="00172C88">
      <w:pPr>
        <w:pBdr>
          <w:top w:val="single" w:sz="4" w:space="1" w:color="000000"/>
          <w:left w:val="single" w:sz="4" w:space="4" w:color="000000"/>
          <w:bottom w:val="single" w:sz="4" w:space="1" w:color="000000"/>
          <w:right w:val="single" w:sz="4" w:space="4" w:color="000000"/>
        </w:pBdr>
        <w:rPr>
          <w:lang w:val="lt-LT"/>
        </w:rPr>
      </w:pPr>
      <w:r>
        <w:rPr>
          <w:lang w:val="lt-LT"/>
        </w:rPr>
        <w:t xml:space="preserve"> </w:t>
      </w:r>
    </w:p>
    <w:p w14:paraId="06F1D0B7" w14:textId="4163E21F" w:rsidR="00172C88" w:rsidRPr="00E32052" w:rsidRDefault="00172C88" w:rsidP="00172C88">
      <w:pPr>
        <w:pBdr>
          <w:top w:val="single" w:sz="4" w:space="1" w:color="000000"/>
          <w:left w:val="single" w:sz="4" w:space="4" w:color="000000"/>
          <w:bottom w:val="single" w:sz="4" w:space="1" w:color="000000"/>
          <w:right w:val="single" w:sz="4" w:space="4" w:color="000000"/>
        </w:pBdr>
        <w:rPr>
          <w:lang w:val="lt-LT"/>
        </w:rPr>
      </w:pPr>
      <w:r>
        <w:rPr>
          <w:b/>
          <w:bCs/>
          <w:lang w:val="lt-LT"/>
        </w:rPr>
        <w:t>Jei atsiranda su kepenų pažeidimu susijusių klinikinių simptomų</w:t>
      </w:r>
      <w:r w:rsidR="00E612EE" w:rsidRPr="00E612EE">
        <w:rPr>
          <w:rFonts w:ascii="TimesNewRoman,Bold" w:eastAsia="Calibri" w:hAnsi="TimesNewRoman,Bold" w:cs="TimesNewRoman,Bold"/>
          <w:b/>
          <w:bCs/>
          <w:szCs w:val="22"/>
          <w:lang w:val="lt-LT" w:eastAsia="lt-LT"/>
        </w:rPr>
        <w:t xml:space="preserve"> </w:t>
      </w:r>
      <w:r w:rsidR="00E612EE" w:rsidRPr="00D34FBF">
        <w:rPr>
          <w:rFonts w:ascii="TimesNewRoman,Bold" w:eastAsia="Calibri" w:hAnsi="TimesNewRoman,Bold" w:cs="TimesNewRoman,Bold"/>
          <w:b/>
          <w:bCs/>
          <w:szCs w:val="22"/>
          <w:lang w:val="lt-LT" w:eastAsia="lt-LT"/>
        </w:rPr>
        <w:t>ar autoimuninio hepatito požymių</w:t>
      </w:r>
      <w:r>
        <w:rPr>
          <w:lang w:val="lt-LT"/>
        </w:rPr>
        <w:t xml:space="preserve">, </w:t>
      </w:r>
      <w:proofErr w:type="spellStart"/>
      <w:r>
        <w:rPr>
          <w:lang w:val="lt-LT"/>
        </w:rPr>
        <w:t>t.y</w:t>
      </w:r>
      <w:proofErr w:type="spellEnd"/>
      <w:r>
        <w:rPr>
          <w:lang w:val="lt-LT"/>
        </w:rPr>
        <w:t xml:space="preserve">. pykinimas, vėmimas, karščiavimas, pilvo skausmas, gelta, neįprastas apsnūdimas, nuovargis ar į gripą panašus sindromas (sąnarių skausmas, raumenų skausmas, karščiavimas), </w:t>
      </w:r>
      <w:r>
        <w:rPr>
          <w:b/>
          <w:bCs/>
          <w:lang w:val="lt-LT"/>
        </w:rPr>
        <w:t xml:space="preserve">gydymą </w:t>
      </w:r>
      <w:proofErr w:type="spellStart"/>
      <w:r>
        <w:rPr>
          <w:b/>
          <w:bCs/>
          <w:lang w:val="lt-LT"/>
        </w:rPr>
        <w:t>Bosentan</w:t>
      </w:r>
      <w:proofErr w:type="spellEnd"/>
      <w:r>
        <w:rPr>
          <w:b/>
          <w:bCs/>
          <w:lang w:val="lt-LT"/>
        </w:rPr>
        <w:t xml:space="preserve"> </w:t>
      </w:r>
      <w:proofErr w:type="spellStart"/>
      <w:r>
        <w:rPr>
          <w:b/>
          <w:bCs/>
          <w:lang w:val="lt-LT"/>
        </w:rPr>
        <w:t>Norameda</w:t>
      </w:r>
      <w:proofErr w:type="spellEnd"/>
      <w:r>
        <w:rPr>
          <w:b/>
          <w:bCs/>
          <w:lang w:val="lt-LT"/>
        </w:rPr>
        <w:t xml:space="preserve"> reikia nutraukti ir nebeatnaujinti</w:t>
      </w:r>
      <w:r>
        <w:rPr>
          <w:lang w:val="lt-LT"/>
        </w:rPr>
        <w:t>.</w:t>
      </w:r>
    </w:p>
    <w:p w14:paraId="05E0AD43" w14:textId="77777777" w:rsidR="00172C88" w:rsidRDefault="00172C88" w:rsidP="00172C88">
      <w:pPr>
        <w:pBdr>
          <w:top w:val="single" w:sz="4" w:space="1" w:color="000000"/>
          <w:left w:val="single" w:sz="4" w:space="4" w:color="000000"/>
          <w:bottom w:val="single" w:sz="4" w:space="1" w:color="000000"/>
          <w:right w:val="single" w:sz="4" w:space="4" w:color="000000"/>
        </w:pBdr>
        <w:rPr>
          <w:lang w:val="lt-LT"/>
        </w:rPr>
      </w:pPr>
    </w:p>
    <w:p w14:paraId="1763A056" w14:textId="77777777" w:rsidR="00172C88" w:rsidRPr="00DC170F" w:rsidRDefault="00172C88" w:rsidP="00172C88">
      <w:pPr>
        <w:pBdr>
          <w:top w:val="single" w:sz="4" w:space="1" w:color="000000"/>
          <w:left w:val="single" w:sz="4" w:space="4" w:color="000000"/>
          <w:bottom w:val="single" w:sz="4" w:space="1" w:color="000000"/>
          <w:right w:val="single" w:sz="4" w:space="4" w:color="000000"/>
        </w:pBdr>
        <w:rPr>
          <w:i/>
          <w:iCs/>
          <w:u w:val="single"/>
          <w:lang w:val="lt-LT"/>
        </w:rPr>
      </w:pPr>
      <w:r w:rsidRPr="00DC170F">
        <w:rPr>
          <w:i/>
          <w:iCs/>
          <w:u w:val="single"/>
          <w:lang w:val="lt-LT"/>
        </w:rPr>
        <w:t>Gydymo atnaujinimas</w:t>
      </w:r>
    </w:p>
    <w:p w14:paraId="640AB12C" w14:textId="77777777" w:rsidR="00172C88" w:rsidRPr="00E32052" w:rsidRDefault="00172C88" w:rsidP="00172C88">
      <w:pPr>
        <w:pBdr>
          <w:top w:val="single" w:sz="4" w:space="1" w:color="000000"/>
          <w:left w:val="single" w:sz="4" w:space="4" w:color="000000"/>
          <w:bottom w:val="single" w:sz="4" w:space="1" w:color="000000"/>
          <w:right w:val="single" w:sz="4" w:space="4" w:color="000000"/>
        </w:pBdr>
        <w:rPr>
          <w:lang w:val="lt-LT"/>
        </w:rPr>
      </w:pPr>
      <w:r>
        <w:rPr>
          <w:lang w:val="lt-LT"/>
        </w:rPr>
        <w:t xml:space="preserve">Gydymo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atnaujinimą reikia svarstyti tik tuo atveju, jei galima gydymo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nauda yra didesnė nei galima rizika ir jei kepenų </w:t>
      </w:r>
      <w:proofErr w:type="spellStart"/>
      <w:r>
        <w:rPr>
          <w:lang w:val="lt-LT"/>
        </w:rPr>
        <w:t>aminotransferazių</w:t>
      </w:r>
      <w:proofErr w:type="spellEnd"/>
      <w:r>
        <w:rPr>
          <w:lang w:val="lt-LT"/>
        </w:rPr>
        <w:t xml:space="preserve"> aktyvumas yra toks, koks buvo prieš gydymą. Rekomenduojama pasikonsultuoti su kepenų ligų gydytoju. Atnaujinant gydymą, reikia vadovautis nurodymais, pateiktais 4.2 skyriuje. </w:t>
      </w:r>
      <w:proofErr w:type="spellStart"/>
      <w:r>
        <w:rPr>
          <w:b/>
          <w:bCs/>
          <w:lang w:val="lt-LT"/>
        </w:rPr>
        <w:t>Aminotransferazių</w:t>
      </w:r>
      <w:proofErr w:type="spellEnd"/>
      <w:r>
        <w:rPr>
          <w:b/>
          <w:bCs/>
          <w:lang w:val="lt-LT"/>
        </w:rPr>
        <w:t xml:space="preserve"> aktyvumą reikia ištirti per 3 dienas po gydymo atnaujinimo pradžios, tada dar po 2 savaičių ir po to pagal aukščiau pateiktas rekomendacijas</w:t>
      </w:r>
      <w:r>
        <w:rPr>
          <w:lang w:val="lt-LT"/>
        </w:rPr>
        <w:t xml:space="preserve">. </w:t>
      </w:r>
    </w:p>
    <w:p w14:paraId="093BCC17" w14:textId="77777777" w:rsidR="00172C88" w:rsidRDefault="00172C88" w:rsidP="00172C88">
      <w:pPr>
        <w:rPr>
          <w:lang w:val="lt-LT"/>
        </w:rPr>
      </w:pPr>
    </w:p>
    <w:p w14:paraId="56113F6F" w14:textId="77777777" w:rsidR="00172C88" w:rsidRDefault="00172C88" w:rsidP="00172C88">
      <w:pPr>
        <w:rPr>
          <w:sz w:val="16"/>
          <w:szCs w:val="16"/>
          <w:lang w:val="lt-LT"/>
        </w:rPr>
      </w:pPr>
      <w:r>
        <w:rPr>
          <w:sz w:val="16"/>
          <w:szCs w:val="16"/>
          <w:lang w:val="lt-LT"/>
        </w:rPr>
        <w:t xml:space="preserve">VNR = viršutinė normos riba </w:t>
      </w:r>
    </w:p>
    <w:p w14:paraId="6EBB5E30" w14:textId="77777777" w:rsidR="00172C88" w:rsidRDefault="00172C88" w:rsidP="00172C88">
      <w:pPr>
        <w:rPr>
          <w:lang w:val="lt-LT"/>
        </w:rPr>
      </w:pPr>
    </w:p>
    <w:p w14:paraId="2519419D" w14:textId="77777777" w:rsidR="00172C88" w:rsidRDefault="00172C88" w:rsidP="00172C88">
      <w:pPr>
        <w:rPr>
          <w:lang w:val="lt-LT"/>
        </w:rPr>
      </w:pPr>
      <w:r w:rsidRPr="00DC170F">
        <w:rPr>
          <w:i/>
          <w:iCs/>
          <w:lang w:val="lt-LT"/>
        </w:rPr>
        <w:t xml:space="preserve">Hemoglobino koncentracija </w:t>
      </w:r>
    </w:p>
    <w:p w14:paraId="54F6E659" w14:textId="77777777" w:rsidR="00172C88" w:rsidRDefault="00172C88" w:rsidP="00172C88">
      <w:pPr>
        <w:rPr>
          <w:lang w:val="lt-LT"/>
        </w:rPr>
      </w:pPr>
      <w:r>
        <w:rPr>
          <w:lang w:val="lt-LT"/>
        </w:rPr>
        <w:t xml:space="preserve">Gydymas </w:t>
      </w:r>
      <w:proofErr w:type="spellStart"/>
      <w:r>
        <w:rPr>
          <w:lang w:val="lt-LT"/>
        </w:rPr>
        <w:t>bozentanu</w:t>
      </w:r>
      <w:proofErr w:type="spellEnd"/>
      <w:r>
        <w:rPr>
          <w:lang w:val="lt-LT"/>
        </w:rPr>
        <w:t xml:space="preserve"> buvo susijęs su nuo dozės priklausomu hemoglobino koncentracijos sumažėjimu (žr. 4.8 skyrių). Placebu kontroliuotų klinikinių tyrimų metu su </w:t>
      </w:r>
      <w:proofErr w:type="spellStart"/>
      <w:r>
        <w:rPr>
          <w:lang w:val="lt-LT"/>
        </w:rPr>
        <w:t>bozentanu</w:t>
      </w:r>
      <w:proofErr w:type="spellEnd"/>
      <w:r>
        <w:rPr>
          <w:lang w:val="lt-LT"/>
        </w:rPr>
        <w:t xml:space="preserve"> susijęs hemoglobino koncentracijos sumažėjimas neprogresavo ir stabilizavosi po pirmųjų 4–12 gydymo savaičių. Hemoglobino koncentraciją rekomenduojama patikrinti prieš gydymo pradžią, kiekvieną mėnesį per </w:t>
      </w:r>
      <w:r>
        <w:rPr>
          <w:lang w:val="lt-LT"/>
        </w:rPr>
        <w:lastRenderedPageBreak/>
        <w:t>pirmus 4 mėnesius ir po to kas ketvirtį. Jei hemoglobino koncentracija sumažėja kliniškai reikšmingai, reikia atlikti tolesnį įvertinimą ir pacientą ištirti, siekiant nustatyti priežastį ir specifinio gydymo poreikį. Po vaistinio preparato pateikimo rinkai gauta pranešimų apie anemijos atvejus, kai reikėjo perpilti eritrocitų masę (žr. 4.8 skyrių).</w:t>
      </w:r>
    </w:p>
    <w:p w14:paraId="1EEFB4A8" w14:textId="77777777" w:rsidR="00172C88" w:rsidRDefault="00172C88" w:rsidP="00172C88">
      <w:pPr>
        <w:rPr>
          <w:lang w:val="lt-LT"/>
        </w:rPr>
      </w:pPr>
    </w:p>
    <w:p w14:paraId="6CF26014" w14:textId="77777777" w:rsidR="00172C88" w:rsidRPr="00DC170F" w:rsidRDefault="00172C88" w:rsidP="00172C88">
      <w:pPr>
        <w:rPr>
          <w:i/>
          <w:iCs/>
          <w:lang w:val="lt-LT"/>
        </w:rPr>
      </w:pPr>
      <w:r w:rsidRPr="00DC170F">
        <w:rPr>
          <w:i/>
          <w:iCs/>
          <w:lang w:val="lt-LT"/>
        </w:rPr>
        <w:t>Vaisingo amžiaus moterys</w:t>
      </w:r>
    </w:p>
    <w:p w14:paraId="295CD14F" w14:textId="77777777" w:rsidR="00172C88" w:rsidRDefault="00172C88" w:rsidP="00172C88">
      <w:pPr>
        <w:rPr>
          <w:lang w:val="lt-LT"/>
        </w:rPr>
      </w:pPr>
      <w:r>
        <w:rPr>
          <w:lang w:val="lt-LT"/>
        </w:rPr>
        <w:t xml:space="preserve">Dėl galimo hormoninių kontraceptikų neveiksmingumo gydymo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metu, taip pat įvertinant tai, kad nėštumo metu padidėja </w:t>
      </w:r>
      <w:proofErr w:type="spellStart"/>
      <w:r>
        <w:rPr>
          <w:lang w:val="lt-LT"/>
        </w:rPr>
        <w:t>plautinės</w:t>
      </w:r>
      <w:proofErr w:type="spellEnd"/>
      <w:r>
        <w:rPr>
          <w:lang w:val="lt-LT"/>
        </w:rPr>
        <w:t xml:space="preserve"> hipertenzijos rizika ir su gyvūnais atlikti tyrimai parodė </w:t>
      </w:r>
      <w:proofErr w:type="spellStart"/>
      <w:r>
        <w:rPr>
          <w:lang w:val="lt-LT"/>
        </w:rPr>
        <w:t>teratogeninį</w:t>
      </w:r>
      <w:proofErr w:type="spellEnd"/>
      <w:r>
        <w:rPr>
          <w:lang w:val="lt-LT"/>
        </w:rPr>
        <w:t xml:space="preserve"> poveikį reprodukcijai:</w:t>
      </w:r>
    </w:p>
    <w:p w14:paraId="68D688DB" w14:textId="77777777" w:rsidR="00172C88" w:rsidRDefault="00172C88" w:rsidP="00172C88">
      <w:pPr>
        <w:rPr>
          <w:lang w:val="lt-LT"/>
        </w:rPr>
      </w:pPr>
      <w:r>
        <w:rPr>
          <w:lang w:val="lt-LT"/>
        </w:rPr>
        <w:t xml:space="preserve">• gydymo vaistiniu preparatu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negalima pradėti vaisingo amžiaus moterims, nebent jos vartoja veiksmingą kontracepcijos metodą, o nėštumo testas prieš pradedant gydymą yra neigiamas;</w:t>
      </w:r>
    </w:p>
    <w:p w14:paraId="094D2C81" w14:textId="77777777" w:rsidR="00172C88" w:rsidRDefault="00172C88" w:rsidP="00172C88">
      <w:pPr>
        <w:rPr>
          <w:lang w:val="lt-LT"/>
        </w:rPr>
      </w:pPr>
      <w:r>
        <w:rPr>
          <w:lang w:val="lt-LT"/>
        </w:rPr>
        <w:t xml:space="preserve">• vaisingo amžiaus moterims draudžiama vartoti vien tik hormoninius kontraceptikus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gydymo metu;</w:t>
      </w:r>
    </w:p>
    <w:p w14:paraId="70B0F666" w14:textId="77777777" w:rsidR="00172C88" w:rsidRDefault="00172C88" w:rsidP="00172C88">
      <w:pPr>
        <w:rPr>
          <w:lang w:val="lt-LT"/>
        </w:rPr>
      </w:pPr>
      <w:r>
        <w:rPr>
          <w:lang w:val="lt-LT"/>
        </w:rPr>
        <w:t xml:space="preserve">• gydantis rekomenduojama kas mėnesį atlikti nėštumo testą siekiant nustatyti ankstyvą nėštumą. </w:t>
      </w:r>
    </w:p>
    <w:p w14:paraId="4FE9A755" w14:textId="77777777" w:rsidR="00172C88" w:rsidRDefault="00172C88" w:rsidP="00172C88">
      <w:pPr>
        <w:rPr>
          <w:lang w:val="lt-LT"/>
        </w:rPr>
      </w:pPr>
    </w:p>
    <w:p w14:paraId="51C54085" w14:textId="77777777" w:rsidR="00172C88" w:rsidRDefault="00172C88" w:rsidP="00172C88">
      <w:pPr>
        <w:rPr>
          <w:lang w:val="lt-LT"/>
        </w:rPr>
      </w:pPr>
      <w:r>
        <w:rPr>
          <w:lang w:val="lt-LT"/>
        </w:rPr>
        <w:t>Daugiau informacijos rasite 4.5 ir 4.6 skyriuose.</w:t>
      </w:r>
    </w:p>
    <w:p w14:paraId="17490396" w14:textId="77777777" w:rsidR="00172C88" w:rsidRDefault="00172C88" w:rsidP="00172C88">
      <w:pPr>
        <w:rPr>
          <w:lang w:val="lt-LT"/>
        </w:rPr>
      </w:pPr>
    </w:p>
    <w:p w14:paraId="671B6017" w14:textId="77777777" w:rsidR="00172C88" w:rsidRPr="00DC170F" w:rsidRDefault="00172C88" w:rsidP="00172C88">
      <w:pPr>
        <w:rPr>
          <w:i/>
          <w:iCs/>
          <w:lang w:val="lt-LT"/>
        </w:rPr>
      </w:pPr>
      <w:r w:rsidRPr="00DC170F">
        <w:rPr>
          <w:i/>
          <w:iCs/>
          <w:lang w:val="lt-LT"/>
        </w:rPr>
        <w:t xml:space="preserve">Plaučių venų </w:t>
      </w:r>
      <w:proofErr w:type="spellStart"/>
      <w:r w:rsidRPr="00DC170F">
        <w:rPr>
          <w:i/>
          <w:iCs/>
          <w:lang w:val="lt-LT"/>
        </w:rPr>
        <w:t>okliuzinė</w:t>
      </w:r>
      <w:proofErr w:type="spellEnd"/>
      <w:r w:rsidRPr="00DC170F">
        <w:rPr>
          <w:i/>
          <w:iCs/>
          <w:lang w:val="lt-LT"/>
        </w:rPr>
        <w:t xml:space="preserve"> liga</w:t>
      </w:r>
    </w:p>
    <w:p w14:paraId="204240F4" w14:textId="77777777" w:rsidR="00172C88" w:rsidRDefault="00172C88" w:rsidP="00172C88">
      <w:pPr>
        <w:rPr>
          <w:lang w:val="lt-LT"/>
        </w:rPr>
      </w:pPr>
      <w:r>
        <w:rPr>
          <w:lang w:val="lt-LT"/>
        </w:rPr>
        <w:t xml:space="preserve">Buvo pranešta apie plaučių edemos atvejus, kraujagysles plečiančiais preparatais (daugiausia </w:t>
      </w:r>
      <w:proofErr w:type="spellStart"/>
      <w:r>
        <w:rPr>
          <w:lang w:val="lt-LT"/>
        </w:rPr>
        <w:t>prostaciklinais</w:t>
      </w:r>
      <w:proofErr w:type="spellEnd"/>
      <w:r>
        <w:rPr>
          <w:lang w:val="lt-LT"/>
        </w:rPr>
        <w:t xml:space="preserve">) gydant plaučių venų </w:t>
      </w:r>
      <w:proofErr w:type="spellStart"/>
      <w:r>
        <w:rPr>
          <w:lang w:val="lt-LT"/>
        </w:rPr>
        <w:t>okliuzine</w:t>
      </w:r>
      <w:proofErr w:type="spellEnd"/>
      <w:r>
        <w:rPr>
          <w:lang w:val="lt-LT"/>
        </w:rPr>
        <w:t xml:space="preserve"> liga sergančius pacientus. Jei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gydomiems PAH sergantiems pacientams atsiradus plaučių edemos požymių, reikia atsižvelgti į susijusios venų </w:t>
      </w:r>
      <w:proofErr w:type="spellStart"/>
      <w:r>
        <w:rPr>
          <w:lang w:val="lt-LT"/>
        </w:rPr>
        <w:t>okliuzinės</w:t>
      </w:r>
      <w:proofErr w:type="spellEnd"/>
      <w:r>
        <w:rPr>
          <w:lang w:val="lt-LT"/>
        </w:rPr>
        <w:t xml:space="preserve"> ligos galimybę. Po vaistinio preparato pasirodymo rinkoje gauta retų pranešimų apie plaučių edemą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gydomiems pacientams, kuriems buvo įtarta plaučių venų </w:t>
      </w:r>
      <w:proofErr w:type="spellStart"/>
      <w:r>
        <w:rPr>
          <w:lang w:val="lt-LT"/>
        </w:rPr>
        <w:t>okliuzinė</w:t>
      </w:r>
      <w:proofErr w:type="spellEnd"/>
      <w:r>
        <w:rPr>
          <w:lang w:val="lt-LT"/>
        </w:rPr>
        <w:t xml:space="preserve"> liga. </w:t>
      </w:r>
    </w:p>
    <w:p w14:paraId="28C28804" w14:textId="77777777" w:rsidR="00172C88" w:rsidRDefault="00172C88" w:rsidP="00172C88">
      <w:pPr>
        <w:rPr>
          <w:lang w:val="lt-LT"/>
        </w:rPr>
      </w:pPr>
    </w:p>
    <w:p w14:paraId="49E8BDD8" w14:textId="77777777" w:rsidR="00172C88" w:rsidRPr="00DC170F" w:rsidRDefault="00172C88" w:rsidP="00172C88">
      <w:pPr>
        <w:rPr>
          <w:i/>
          <w:iCs/>
          <w:lang w:val="lt-LT"/>
        </w:rPr>
      </w:pPr>
      <w:r w:rsidRPr="00DC170F">
        <w:rPr>
          <w:i/>
          <w:iCs/>
          <w:lang w:val="lt-LT"/>
        </w:rPr>
        <w:t xml:space="preserve">Pacientai, sergantys </w:t>
      </w:r>
      <w:proofErr w:type="spellStart"/>
      <w:r w:rsidRPr="00DC170F">
        <w:rPr>
          <w:i/>
          <w:iCs/>
          <w:lang w:val="lt-LT"/>
        </w:rPr>
        <w:t>plautine</w:t>
      </w:r>
      <w:proofErr w:type="spellEnd"/>
      <w:r w:rsidRPr="00DC170F">
        <w:rPr>
          <w:i/>
          <w:iCs/>
          <w:lang w:val="lt-LT"/>
        </w:rPr>
        <w:t xml:space="preserve"> arterine hipertenzija su susijusiu kairiojo skilvelio nepakankamumu </w:t>
      </w:r>
    </w:p>
    <w:p w14:paraId="00C7F0BF" w14:textId="77777777" w:rsidR="00172C88" w:rsidRDefault="00172C88" w:rsidP="00172C88">
      <w:pPr>
        <w:rPr>
          <w:lang w:val="lt-LT"/>
        </w:rPr>
      </w:pPr>
      <w:r>
        <w:rPr>
          <w:lang w:val="lt-LT"/>
        </w:rPr>
        <w:t xml:space="preserve">Pacientams, sergantiems </w:t>
      </w:r>
      <w:proofErr w:type="spellStart"/>
      <w:r>
        <w:rPr>
          <w:lang w:val="lt-LT"/>
        </w:rPr>
        <w:t>plautine</w:t>
      </w:r>
      <w:proofErr w:type="spellEnd"/>
      <w:r>
        <w:rPr>
          <w:lang w:val="lt-LT"/>
        </w:rPr>
        <w:t xml:space="preserve"> hipertenzija ir susijusiu kairiojo skilvelio funkcijos sutrikimu, specifinių tyrimų neatlikta. Vis dėlto placebu kontroliuoto klinikinio tyrimo metu 1611 sunkiu lėtiniu širdies nepakankamumu (LŠN) sergančių pacientų su buvo gydomi vidutiniškai 1,5 metų (804 pacientai vartojo </w:t>
      </w:r>
      <w:proofErr w:type="spellStart"/>
      <w:r>
        <w:rPr>
          <w:lang w:val="lt-LT"/>
        </w:rPr>
        <w:t>bozentano</w:t>
      </w:r>
      <w:proofErr w:type="spellEnd"/>
      <w:r>
        <w:rPr>
          <w:lang w:val="lt-LT"/>
        </w:rPr>
        <w:t xml:space="preserve">, 807– placebo) (tyrimas AC-052-301/302 [ENABLE 1 &amp; 2]). Šio tyrimo metu per pirmąsias 4–8 gydymo </w:t>
      </w:r>
      <w:proofErr w:type="spellStart"/>
      <w:r>
        <w:rPr>
          <w:lang w:val="lt-LT"/>
        </w:rPr>
        <w:t>bozentanu</w:t>
      </w:r>
      <w:proofErr w:type="spellEnd"/>
      <w:r>
        <w:rPr>
          <w:lang w:val="lt-LT"/>
        </w:rPr>
        <w:t xml:space="preserve"> savaites padidėjo hospitalizacijos dėl LŠN dažnis, tai gali būti susiję su skysčių susilaikymu. Šio tyrimo metu skysčių susilaikymas pasireiškė ankstyvu kūno svorio padidėjimu, hemoglobino koncentracijos sumažėjimu ir kojų edemų dažnio padidėjimu. Šio tyrimo pabaigoje </w:t>
      </w:r>
      <w:proofErr w:type="spellStart"/>
      <w:r>
        <w:rPr>
          <w:lang w:val="lt-LT"/>
        </w:rPr>
        <w:t>bozentano</w:t>
      </w:r>
      <w:proofErr w:type="spellEnd"/>
      <w:r>
        <w:rPr>
          <w:lang w:val="lt-LT"/>
        </w:rPr>
        <w:t xml:space="preserve"> ir placebo vartojusių pacientų širdies nepakankamumo gydymo ligoninėje dažnis ir mirtingumas nesiskyrė. Dėl tos priežasties rekomenduojama stebėti, ar pacientams neatsiranda skysčio susilaikymo požymių (pvz., ar nedidėja kūno svoris), ypač jei tuo pat metu pasireiškia sunkus </w:t>
      </w:r>
      <w:proofErr w:type="spellStart"/>
      <w:r>
        <w:rPr>
          <w:lang w:val="lt-LT"/>
        </w:rPr>
        <w:t>sistolinės</w:t>
      </w:r>
      <w:proofErr w:type="spellEnd"/>
      <w:r>
        <w:rPr>
          <w:lang w:val="lt-LT"/>
        </w:rPr>
        <w:t xml:space="preserve"> funkcijos sutrikimas. Jei toks poveikis pasireiškia, rekomenduojama pradėti gydymą diuretikais arba didinti jau vartojamų diuretikų dozę. Gydymą diuretikais reikia apsvarstyti pacientams, kuriems skysčio susilaikymo požymių yra jau prieš gydymo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pradžią. </w:t>
      </w:r>
    </w:p>
    <w:p w14:paraId="116B8ABC" w14:textId="77777777" w:rsidR="00172C88" w:rsidRDefault="00172C88" w:rsidP="00172C88">
      <w:pPr>
        <w:rPr>
          <w:lang w:val="lt-LT"/>
        </w:rPr>
      </w:pPr>
    </w:p>
    <w:p w14:paraId="65B5FC61" w14:textId="77777777" w:rsidR="00172C88" w:rsidRPr="00DC170F" w:rsidRDefault="00172C88" w:rsidP="00172C88">
      <w:pPr>
        <w:rPr>
          <w:i/>
          <w:iCs/>
          <w:lang w:val="lt-LT"/>
        </w:rPr>
      </w:pPr>
      <w:proofErr w:type="spellStart"/>
      <w:r w:rsidRPr="00DC170F">
        <w:rPr>
          <w:i/>
          <w:iCs/>
          <w:lang w:val="lt-LT"/>
        </w:rPr>
        <w:t>Plautinė</w:t>
      </w:r>
      <w:proofErr w:type="spellEnd"/>
      <w:r w:rsidRPr="00DC170F">
        <w:rPr>
          <w:i/>
          <w:iCs/>
          <w:lang w:val="lt-LT"/>
        </w:rPr>
        <w:t xml:space="preserve"> arterinė hipertenzija, susijusi su ŽIV infekcija</w:t>
      </w:r>
    </w:p>
    <w:p w14:paraId="119FEF6B" w14:textId="77777777" w:rsidR="00172C88" w:rsidRDefault="00172C88" w:rsidP="00172C88">
      <w:pPr>
        <w:rPr>
          <w:lang w:val="lt-LT"/>
        </w:rPr>
      </w:pPr>
      <w:r>
        <w:rPr>
          <w:lang w:val="lt-LT"/>
        </w:rPr>
        <w:t xml:space="preserve">Klinikinių tyrimų duomenų apie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poveikį juo gydant pacientus, sergančius su ŽIV infekcija susijusia PAH ir vartojančius vaistinių preparatų nuo </w:t>
      </w:r>
      <w:proofErr w:type="spellStart"/>
      <w:r>
        <w:rPr>
          <w:lang w:val="lt-LT"/>
        </w:rPr>
        <w:t>retrovirusų</w:t>
      </w:r>
      <w:proofErr w:type="spellEnd"/>
      <w:r>
        <w:rPr>
          <w:lang w:val="lt-LT"/>
        </w:rPr>
        <w:t xml:space="preserve">, yra nedaug (žr. 5.1 skyrių). </w:t>
      </w:r>
      <w:proofErr w:type="spellStart"/>
      <w:r>
        <w:rPr>
          <w:lang w:val="lt-LT"/>
        </w:rPr>
        <w:t>Bozentano</w:t>
      </w:r>
      <w:proofErr w:type="spellEnd"/>
      <w:r>
        <w:rPr>
          <w:lang w:val="lt-LT"/>
        </w:rPr>
        <w:t xml:space="preserve"> ir lopinaviro bei ritonaviro sąveikos tyrimo su sveikais žmonėmis metu nustatyta, kad </w:t>
      </w:r>
      <w:proofErr w:type="spellStart"/>
      <w:r>
        <w:rPr>
          <w:lang w:val="lt-LT"/>
        </w:rPr>
        <w:t>bozentano</w:t>
      </w:r>
      <w:proofErr w:type="spellEnd"/>
      <w:r>
        <w:rPr>
          <w:lang w:val="lt-LT"/>
        </w:rPr>
        <w:t xml:space="preserve"> koncentracija plazmoje padidėja, didžiausia koncentracija būna per pirmąsias 4 gydymo dienas (žr. 4.5 skyrių). Jei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pradedami gydyti pacientai, kuriems būtina vartoti ritonaviru suaktyvinamų proteazės inhibitorių, reikia atidžiai stebėti, ar pacientas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toleruoja, ypač atidžiai pacientą reikia stebėti dėl galimos </w:t>
      </w:r>
      <w:proofErr w:type="spellStart"/>
      <w:r>
        <w:rPr>
          <w:lang w:val="lt-LT"/>
        </w:rPr>
        <w:t>hipotenzijos</w:t>
      </w:r>
      <w:proofErr w:type="spellEnd"/>
      <w:r>
        <w:rPr>
          <w:lang w:val="lt-LT"/>
        </w:rPr>
        <w:t xml:space="preserve"> ir kepenų funkcijos tyrimų rodmenų pokyčių (ypač pradedant pirminį gydymą). Jei </w:t>
      </w:r>
      <w:proofErr w:type="spellStart"/>
      <w:r>
        <w:rPr>
          <w:lang w:val="lt-LT"/>
        </w:rPr>
        <w:t>bozentanas</w:t>
      </w:r>
      <w:proofErr w:type="spellEnd"/>
      <w:r>
        <w:rPr>
          <w:lang w:val="lt-LT"/>
        </w:rPr>
        <w:t xml:space="preserve"> yra vartojamas kartu su vaistiniais preparatais nuo </w:t>
      </w:r>
      <w:proofErr w:type="spellStart"/>
      <w:r>
        <w:rPr>
          <w:lang w:val="lt-LT"/>
        </w:rPr>
        <w:t>retrovirusų</w:t>
      </w:r>
      <w:proofErr w:type="spellEnd"/>
      <w:r>
        <w:rPr>
          <w:lang w:val="lt-LT"/>
        </w:rPr>
        <w:t xml:space="preserve">, negalima atmesti ilgalaikės toksinio poveikio kepenims ir nepageidaujamų hematologinių reiškinių rizikos. Kadangi gali pasireikšti sąveika, susijusi su indukuojančiu </w:t>
      </w:r>
      <w:proofErr w:type="spellStart"/>
      <w:r>
        <w:rPr>
          <w:lang w:val="lt-LT"/>
        </w:rPr>
        <w:t>bozentano</w:t>
      </w:r>
      <w:proofErr w:type="spellEnd"/>
      <w:r>
        <w:rPr>
          <w:lang w:val="lt-LT"/>
        </w:rPr>
        <w:t xml:space="preserve"> poveikiu CYP450 sistemai (žr. 4.5 skyrių), gali sumažėti </w:t>
      </w:r>
      <w:proofErr w:type="spellStart"/>
      <w:r>
        <w:rPr>
          <w:lang w:val="lt-LT"/>
        </w:rPr>
        <w:t>priešretrovirusinio</w:t>
      </w:r>
      <w:proofErr w:type="spellEnd"/>
      <w:r>
        <w:rPr>
          <w:lang w:val="lt-LT"/>
        </w:rPr>
        <w:t xml:space="preserve"> gydymo veiksmingumas, todėl tokių pacientų ŽIV infekcijos eigą reikia atidžiai stebėti.</w:t>
      </w:r>
    </w:p>
    <w:p w14:paraId="3FB09352" w14:textId="77777777" w:rsidR="00172C88" w:rsidRDefault="00172C88" w:rsidP="00172C88">
      <w:pPr>
        <w:rPr>
          <w:lang w:val="lt-LT"/>
        </w:rPr>
      </w:pPr>
    </w:p>
    <w:p w14:paraId="74107426" w14:textId="77777777" w:rsidR="00172C88" w:rsidRPr="00DC170F" w:rsidRDefault="00172C88" w:rsidP="00172C88">
      <w:pPr>
        <w:rPr>
          <w:i/>
          <w:iCs/>
          <w:lang w:val="lt-LT"/>
        </w:rPr>
      </w:pPr>
      <w:r w:rsidRPr="00DC170F">
        <w:rPr>
          <w:i/>
          <w:iCs/>
          <w:lang w:val="lt-LT"/>
        </w:rPr>
        <w:t xml:space="preserve">Antrinė </w:t>
      </w:r>
      <w:proofErr w:type="spellStart"/>
      <w:r w:rsidRPr="00DC170F">
        <w:rPr>
          <w:i/>
          <w:iCs/>
          <w:lang w:val="lt-LT"/>
        </w:rPr>
        <w:t>plautinė</w:t>
      </w:r>
      <w:proofErr w:type="spellEnd"/>
      <w:r w:rsidRPr="00DC170F">
        <w:rPr>
          <w:i/>
          <w:iCs/>
          <w:lang w:val="lt-LT"/>
        </w:rPr>
        <w:t xml:space="preserve"> hipertenzija, sukelta lėtinės obstrukcinės plaučių ligos (LOPL) </w:t>
      </w:r>
    </w:p>
    <w:p w14:paraId="3644BAF5" w14:textId="77777777" w:rsidR="00172C88" w:rsidRDefault="00172C88" w:rsidP="00172C88">
      <w:pPr>
        <w:rPr>
          <w:lang w:val="lt-LT"/>
        </w:rPr>
      </w:pPr>
      <w:proofErr w:type="spellStart"/>
      <w:r>
        <w:rPr>
          <w:lang w:val="lt-LT"/>
        </w:rPr>
        <w:t>Bozentano</w:t>
      </w:r>
      <w:proofErr w:type="spellEnd"/>
      <w:r>
        <w:rPr>
          <w:lang w:val="lt-LT"/>
        </w:rPr>
        <w:t xml:space="preserve"> saugumas ir toleravimas buvo analizuojamas žvalgomojo 12 savaičių trukmės tyrimo (be kontrolinės grupės), kuriame dalyvavo 11 pacientų, sergančių antrine sunkios LOPL (III stadijos pagal GOLD klasifikaciją) sukelta </w:t>
      </w:r>
      <w:proofErr w:type="spellStart"/>
      <w:r>
        <w:rPr>
          <w:lang w:val="lt-LT"/>
        </w:rPr>
        <w:t>plautine</w:t>
      </w:r>
      <w:proofErr w:type="spellEnd"/>
      <w:r>
        <w:rPr>
          <w:lang w:val="lt-LT"/>
        </w:rPr>
        <w:t xml:space="preserve"> hipertenzija, metu. Buvo nustatytas minutinės ventiliacijos padidėjimas ir įsotinimo deguonimi sumažėjimas, o dažniausias nepageidaujamas reiškinys buvo dusulys, kuris </w:t>
      </w:r>
      <w:proofErr w:type="spellStart"/>
      <w:r>
        <w:rPr>
          <w:lang w:val="lt-LT"/>
        </w:rPr>
        <w:t>bozentano</w:t>
      </w:r>
      <w:proofErr w:type="spellEnd"/>
      <w:r>
        <w:rPr>
          <w:lang w:val="lt-LT"/>
        </w:rPr>
        <w:t xml:space="preserve"> vartojimą nutraukus išnyko.</w:t>
      </w:r>
    </w:p>
    <w:p w14:paraId="05C52B3D" w14:textId="77777777" w:rsidR="00172C88" w:rsidRDefault="00172C88" w:rsidP="00172C88">
      <w:pPr>
        <w:rPr>
          <w:lang w:val="lt-LT"/>
        </w:rPr>
      </w:pPr>
    </w:p>
    <w:p w14:paraId="78187BA7" w14:textId="77777777" w:rsidR="00172C88" w:rsidRPr="00DC170F" w:rsidRDefault="00172C88" w:rsidP="00172C88">
      <w:pPr>
        <w:rPr>
          <w:i/>
          <w:iCs/>
          <w:lang w:val="lt-LT"/>
        </w:rPr>
      </w:pPr>
      <w:r w:rsidRPr="00DC170F">
        <w:rPr>
          <w:i/>
          <w:iCs/>
          <w:lang w:val="lt-LT"/>
        </w:rPr>
        <w:t xml:space="preserve">Vartojimas kartu su kitais vaistiniais preparatais </w:t>
      </w:r>
    </w:p>
    <w:p w14:paraId="5E4CB438" w14:textId="77777777" w:rsidR="00172C88" w:rsidRDefault="00172C88" w:rsidP="00172C88">
      <w:pPr>
        <w:rPr>
          <w:iCs/>
          <w:lang w:val="lt-LT"/>
        </w:rPr>
      </w:pPr>
      <w:proofErr w:type="spellStart"/>
      <w:r>
        <w:rPr>
          <w:iCs/>
          <w:lang w:val="lt-LT"/>
        </w:rPr>
        <w:t>Bosentan</w:t>
      </w:r>
      <w:proofErr w:type="spellEnd"/>
      <w:r>
        <w:rPr>
          <w:iCs/>
          <w:lang w:val="lt-LT"/>
        </w:rPr>
        <w:t xml:space="preserve"> </w:t>
      </w:r>
      <w:proofErr w:type="spellStart"/>
      <w:r>
        <w:rPr>
          <w:iCs/>
          <w:lang w:val="lt-LT"/>
        </w:rPr>
        <w:t>Norameda</w:t>
      </w:r>
      <w:proofErr w:type="spellEnd"/>
      <w:r>
        <w:rPr>
          <w:iCs/>
          <w:lang w:val="lt-LT"/>
        </w:rPr>
        <w:t xml:space="preserve"> draudžiama vartoti kartu su </w:t>
      </w:r>
      <w:proofErr w:type="spellStart"/>
      <w:r>
        <w:rPr>
          <w:iCs/>
          <w:lang w:val="lt-LT"/>
        </w:rPr>
        <w:t>ciklosporinu</w:t>
      </w:r>
      <w:proofErr w:type="spellEnd"/>
      <w:r>
        <w:rPr>
          <w:iCs/>
          <w:lang w:val="lt-LT"/>
        </w:rPr>
        <w:t xml:space="preserve"> A (žr. 4.3 ir 4.5 skyrius).</w:t>
      </w:r>
    </w:p>
    <w:p w14:paraId="3FAAC09B" w14:textId="77777777" w:rsidR="00172C88" w:rsidRDefault="00172C88" w:rsidP="00172C88">
      <w:pPr>
        <w:rPr>
          <w:iCs/>
          <w:lang w:val="lt-LT"/>
        </w:rPr>
      </w:pPr>
    </w:p>
    <w:p w14:paraId="14ABC23E" w14:textId="77777777" w:rsidR="00172C88" w:rsidRPr="00C54C14" w:rsidRDefault="00172C88" w:rsidP="00172C88">
      <w:pPr>
        <w:rPr>
          <w:lang w:val="lt-LT"/>
        </w:rPr>
      </w:pPr>
      <w:proofErr w:type="spellStart"/>
      <w:r>
        <w:rPr>
          <w:iCs/>
          <w:lang w:val="lt-LT"/>
        </w:rPr>
        <w:t>Bosentan</w:t>
      </w:r>
      <w:proofErr w:type="spellEnd"/>
      <w:r>
        <w:rPr>
          <w:iCs/>
          <w:lang w:val="lt-LT"/>
        </w:rPr>
        <w:t xml:space="preserve"> </w:t>
      </w:r>
      <w:proofErr w:type="spellStart"/>
      <w:r>
        <w:rPr>
          <w:iCs/>
          <w:lang w:val="lt-LT"/>
        </w:rPr>
        <w:t>Norameda</w:t>
      </w:r>
      <w:proofErr w:type="spellEnd"/>
      <w:r>
        <w:rPr>
          <w:iCs/>
          <w:lang w:val="lt-LT"/>
        </w:rPr>
        <w:t xml:space="preserve"> nerekomenduojama vartoti kartu su </w:t>
      </w:r>
      <w:proofErr w:type="spellStart"/>
      <w:r>
        <w:rPr>
          <w:iCs/>
          <w:lang w:val="lt-LT"/>
        </w:rPr>
        <w:t>glibenklamidu</w:t>
      </w:r>
      <w:proofErr w:type="spellEnd"/>
      <w:r>
        <w:rPr>
          <w:iCs/>
          <w:lang w:val="lt-LT"/>
        </w:rPr>
        <w:t xml:space="preserve">, </w:t>
      </w:r>
      <w:proofErr w:type="spellStart"/>
      <w:r>
        <w:rPr>
          <w:iCs/>
          <w:lang w:val="lt-LT"/>
        </w:rPr>
        <w:t>flukonazolu</w:t>
      </w:r>
      <w:proofErr w:type="spellEnd"/>
      <w:r>
        <w:rPr>
          <w:iCs/>
          <w:lang w:val="lt-LT"/>
        </w:rPr>
        <w:t xml:space="preserve"> ir </w:t>
      </w:r>
      <w:proofErr w:type="spellStart"/>
      <w:r>
        <w:rPr>
          <w:iCs/>
          <w:lang w:val="lt-LT"/>
        </w:rPr>
        <w:t>rifampicinu</w:t>
      </w:r>
      <w:proofErr w:type="spellEnd"/>
      <w:r>
        <w:rPr>
          <w:iCs/>
          <w:lang w:val="lt-LT"/>
        </w:rPr>
        <w:t>.</w:t>
      </w:r>
      <w:r>
        <w:rPr>
          <w:i/>
          <w:iCs/>
          <w:lang w:val="lt-LT"/>
        </w:rPr>
        <w:t xml:space="preserve"> </w:t>
      </w:r>
      <w:r>
        <w:rPr>
          <w:iCs/>
          <w:lang w:val="lt-LT"/>
        </w:rPr>
        <w:t>Daugiau informacijos ieškokite 4.5 skyriuje.</w:t>
      </w:r>
      <w:r>
        <w:rPr>
          <w:i/>
          <w:lang w:val="lt-LT"/>
        </w:rPr>
        <w:t xml:space="preserve"> </w:t>
      </w:r>
    </w:p>
    <w:p w14:paraId="1C478663" w14:textId="77777777" w:rsidR="00172C88" w:rsidRDefault="00172C88" w:rsidP="00172C88">
      <w:pPr>
        <w:rPr>
          <w:i/>
          <w:lang w:val="lt-LT"/>
        </w:rPr>
      </w:pPr>
    </w:p>
    <w:p w14:paraId="7EFB50D6" w14:textId="77777777" w:rsidR="00172C88" w:rsidRDefault="00172C88" w:rsidP="00172C88">
      <w:pPr>
        <w:rPr>
          <w:lang w:val="lt-LT"/>
        </w:rPr>
      </w:pP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nerekomenduojama vartoti tiek su CYP3A4 inhibitoriais, tiek su CYP2C9 inhibitoriais (žr. 4.5 skyrių).</w:t>
      </w:r>
    </w:p>
    <w:p w14:paraId="0A592FE2" w14:textId="77777777" w:rsidR="00172C88" w:rsidRDefault="00172C88" w:rsidP="00172C88">
      <w:pPr>
        <w:rPr>
          <w:lang w:val="lt-LT"/>
        </w:rPr>
      </w:pPr>
    </w:p>
    <w:p w14:paraId="5631F005" w14:textId="7835BA3C" w:rsidR="008A0775" w:rsidRDefault="008A0775" w:rsidP="00172C88">
      <w:pPr>
        <w:rPr>
          <w:rFonts w:ascii="TimesNewRoman" w:eastAsia="TimesNewRoman" w:hAnsi="Calibri" w:cs="TimesNewRoman"/>
          <w:szCs w:val="22"/>
          <w:lang w:val="lt-LT" w:eastAsia="lt-LT"/>
        </w:rPr>
      </w:pPr>
      <w:r>
        <w:rPr>
          <w:b/>
          <w:lang w:val="lt-LT"/>
        </w:rPr>
        <w:t>Vaistinio preparato</w:t>
      </w:r>
      <w:r w:rsidRPr="003745D2">
        <w:rPr>
          <w:b/>
          <w:lang w:val="lt-LT"/>
        </w:rPr>
        <w:t xml:space="preserve"> </w:t>
      </w:r>
      <w:r w:rsidR="00172C88" w:rsidRPr="003745D2">
        <w:rPr>
          <w:b/>
          <w:lang w:val="lt-LT"/>
        </w:rPr>
        <w:t>sudėtyje yra natrio</w:t>
      </w:r>
      <w:r w:rsidR="00172C88">
        <w:rPr>
          <w:lang w:val="lt-LT"/>
        </w:rPr>
        <w:t>.</w:t>
      </w:r>
      <w:r w:rsidR="00172C88" w:rsidRPr="00782E61">
        <w:rPr>
          <w:rFonts w:ascii="TimesNewRoman" w:eastAsia="TimesNewRoman" w:hAnsi="Calibri" w:cs="TimesNewRoman"/>
          <w:szCs w:val="22"/>
          <w:lang w:val="lt-LT" w:eastAsia="lt-LT"/>
        </w:rPr>
        <w:t xml:space="preserve"> </w:t>
      </w:r>
    </w:p>
    <w:p w14:paraId="1A8EBA9C" w14:textId="1EEF1CD6" w:rsidR="00172C88" w:rsidRPr="00AD0EA6" w:rsidRDefault="00172C88" w:rsidP="00172C88">
      <w:pPr>
        <w:rPr>
          <w:lang w:val="lt-LT"/>
        </w:rPr>
      </w:pPr>
      <w:r w:rsidRPr="00DC170F">
        <w:rPr>
          <w:rFonts w:eastAsia="TimesNewRoman"/>
          <w:szCs w:val="22"/>
          <w:lang w:val="lt-LT" w:eastAsia="lt-LT"/>
        </w:rPr>
        <w:t xml:space="preserve">Šio vaistinio preparato </w:t>
      </w:r>
      <w:r w:rsidRPr="00AD0EA6">
        <w:rPr>
          <w:lang w:val="lt-LT"/>
        </w:rPr>
        <w:t>kiekvienoje tablet</w:t>
      </w:r>
      <w:r w:rsidRPr="003A6218">
        <w:rPr>
          <w:lang w:val="lt-LT"/>
        </w:rPr>
        <w:t>ė</w:t>
      </w:r>
      <w:r w:rsidRPr="00AD0EA6">
        <w:rPr>
          <w:lang w:val="lt-LT"/>
        </w:rPr>
        <w:t>je yra ma</w:t>
      </w:r>
      <w:r w:rsidRPr="003A6218">
        <w:rPr>
          <w:lang w:val="lt-LT"/>
        </w:rPr>
        <w:t>ž</w:t>
      </w:r>
      <w:r w:rsidRPr="00AD0EA6">
        <w:rPr>
          <w:lang w:val="lt-LT"/>
        </w:rPr>
        <w:t>iau kaip 1 </w:t>
      </w:r>
      <w:proofErr w:type="spellStart"/>
      <w:r w:rsidRPr="00AD0EA6">
        <w:rPr>
          <w:lang w:val="lt-LT"/>
        </w:rPr>
        <w:t>mmol</w:t>
      </w:r>
      <w:proofErr w:type="spellEnd"/>
      <w:r w:rsidRPr="00AD0EA6">
        <w:rPr>
          <w:lang w:val="lt-LT"/>
        </w:rPr>
        <w:t xml:space="preserve"> (23 </w:t>
      </w:r>
      <w:r w:rsidRPr="00572EED">
        <w:rPr>
          <w:lang w:val="lt-LT"/>
        </w:rPr>
        <w:t xml:space="preserve">mg) natrio, </w:t>
      </w:r>
      <w:bookmarkStart w:id="6" w:name="_Hlk36484073"/>
      <w:proofErr w:type="spellStart"/>
      <w:r w:rsidRPr="00572EED">
        <w:rPr>
          <w:lang w:val="lt-LT"/>
        </w:rPr>
        <w:t>t.y</w:t>
      </w:r>
      <w:proofErr w:type="spellEnd"/>
      <w:r w:rsidRPr="00572EED">
        <w:rPr>
          <w:lang w:val="lt-LT"/>
        </w:rPr>
        <w:t>. jis beveik neturi reik</w:t>
      </w:r>
      <w:r w:rsidRPr="003A6218">
        <w:rPr>
          <w:lang w:val="lt-LT"/>
        </w:rPr>
        <w:t>š</w:t>
      </w:r>
      <w:r w:rsidRPr="00AD0EA6">
        <w:rPr>
          <w:lang w:val="lt-LT"/>
        </w:rPr>
        <w:t>m</w:t>
      </w:r>
      <w:r w:rsidRPr="003A6218">
        <w:rPr>
          <w:lang w:val="lt-LT"/>
        </w:rPr>
        <w:t>ė</w:t>
      </w:r>
      <w:r w:rsidRPr="00AD0EA6">
        <w:rPr>
          <w:lang w:val="lt-LT"/>
        </w:rPr>
        <w:t>s.</w:t>
      </w:r>
    </w:p>
    <w:bookmarkEnd w:id="6"/>
    <w:p w14:paraId="7099AD6A" w14:textId="77777777" w:rsidR="00172C88" w:rsidRDefault="00172C88" w:rsidP="00172C88">
      <w:pPr>
        <w:rPr>
          <w:szCs w:val="24"/>
          <w:lang w:val="lt-LT"/>
        </w:rPr>
      </w:pPr>
    </w:p>
    <w:p w14:paraId="529EA4EE"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14:paraId="2B2A2E2E" w14:textId="77777777" w:rsidR="00172C88" w:rsidRDefault="00172C88" w:rsidP="00172C88">
      <w:pPr>
        <w:rPr>
          <w:szCs w:val="24"/>
          <w:lang w:val="lt-LT"/>
        </w:rPr>
      </w:pPr>
    </w:p>
    <w:p w14:paraId="0C3A6DE3" w14:textId="77777777" w:rsidR="00172C88" w:rsidRPr="00E32052" w:rsidRDefault="00172C88" w:rsidP="00172C88">
      <w:pPr>
        <w:rPr>
          <w:lang w:val="lt-LT"/>
        </w:rPr>
      </w:pPr>
      <w:proofErr w:type="spellStart"/>
      <w:r>
        <w:rPr>
          <w:szCs w:val="24"/>
          <w:lang w:val="lt-LT"/>
        </w:rPr>
        <w:t>Bozentanas</w:t>
      </w:r>
      <w:proofErr w:type="spellEnd"/>
      <w:r>
        <w:rPr>
          <w:szCs w:val="24"/>
          <w:lang w:val="lt-LT"/>
        </w:rPr>
        <w:t xml:space="preserve"> yra </w:t>
      </w:r>
      <w:proofErr w:type="spellStart"/>
      <w:r>
        <w:rPr>
          <w:szCs w:val="24"/>
          <w:lang w:val="lt-LT"/>
        </w:rPr>
        <w:t>citochromo</w:t>
      </w:r>
      <w:proofErr w:type="spellEnd"/>
      <w:r>
        <w:rPr>
          <w:szCs w:val="24"/>
          <w:lang w:val="lt-LT"/>
        </w:rPr>
        <w:t xml:space="preserve"> P450 (CYP) </w:t>
      </w:r>
      <w:proofErr w:type="spellStart"/>
      <w:r>
        <w:rPr>
          <w:szCs w:val="24"/>
          <w:lang w:val="lt-LT"/>
        </w:rPr>
        <w:t>izofermentų</w:t>
      </w:r>
      <w:proofErr w:type="spellEnd"/>
      <w:r>
        <w:rPr>
          <w:szCs w:val="24"/>
          <w:lang w:val="lt-LT"/>
        </w:rPr>
        <w:t xml:space="preserve"> CYP2C9 ir CYP3A4 </w:t>
      </w:r>
      <w:proofErr w:type="spellStart"/>
      <w:r>
        <w:rPr>
          <w:szCs w:val="24"/>
          <w:lang w:val="lt-LT"/>
        </w:rPr>
        <w:t>induktorius</w:t>
      </w:r>
      <w:proofErr w:type="spellEnd"/>
      <w:r>
        <w:rPr>
          <w:szCs w:val="24"/>
          <w:lang w:val="lt-LT"/>
        </w:rPr>
        <w:t xml:space="preserve">. </w:t>
      </w:r>
      <w:proofErr w:type="spellStart"/>
      <w:r>
        <w:rPr>
          <w:i/>
          <w:iCs/>
          <w:szCs w:val="24"/>
          <w:lang w:val="lt-LT"/>
        </w:rPr>
        <w:t>In</w:t>
      </w:r>
      <w:proofErr w:type="spellEnd"/>
      <w:r>
        <w:rPr>
          <w:i/>
          <w:iCs/>
          <w:szCs w:val="24"/>
          <w:lang w:val="lt-LT"/>
        </w:rPr>
        <w:t xml:space="preserve"> </w:t>
      </w:r>
      <w:proofErr w:type="spellStart"/>
      <w:r>
        <w:rPr>
          <w:i/>
          <w:iCs/>
          <w:szCs w:val="24"/>
          <w:lang w:val="lt-LT"/>
        </w:rPr>
        <w:t>vitro</w:t>
      </w:r>
      <w:proofErr w:type="spellEnd"/>
      <w:r>
        <w:rPr>
          <w:szCs w:val="24"/>
          <w:lang w:val="lt-LT"/>
        </w:rPr>
        <w:t xml:space="preserve"> duomenys rodo, kad vyksta ir CYP2C19 indukcija. Vadinasi, kartu su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vartojamų medžiagų, kurias </w:t>
      </w:r>
      <w:proofErr w:type="spellStart"/>
      <w:r>
        <w:rPr>
          <w:szCs w:val="24"/>
          <w:lang w:val="lt-LT"/>
        </w:rPr>
        <w:t>metabolizuoja</w:t>
      </w:r>
      <w:proofErr w:type="spellEnd"/>
      <w:r>
        <w:rPr>
          <w:szCs w:val="24"/>
          <w:lang w:val="lt-LT"/>
        </w:rPr>
        <w:t xml:space="preserve"> minėti </w:t>
      </w:r>
      <w:proofErr w:type="spellStart"/>
      <w:r>
        <w:rPr>
          <w:szCs w:val="24"/>
          <w:lang w:val="lt-LT"/>
        </w:rPr>
        <w:t>izofermentai</w:t>
      </w:r>
      <w:proofErr w:type="spellEnd"/>
      <w:r>
        <w:rPr>
          <w:szCs w:val="24"/>
          <w:lang w:val="lt-LT"/>
        </w:rPr>
        <w:t xml:space="preserve">, koncentracija plazmoje sumažės. Reikia atsižvelgti į tai, kad šių </w:t>
      </w:r>
      <w:proofErr w:type="spellStart"/>
      <w:r>
        <w:rPr>
          <w:szCs w:val="24"/>
          <w:lang w:val="lt-LT"/>
        </w:rPr>
        <w:t>izofermentų</w:t>
      </w:r>
      <w:proofErr w:type="spellEnd"/>
      <w:r>
        <w:rPr>
          <w:szCs w:val="24"/>
          <w:lang w:val="lt-LT"/>
        </w:rPr>
        <w:t xml:space="preserve"> </w:t>
      </w:r>
      <w:proofErr w:type="spellStart"/>
      <w:r>
        <w:rPr>
          <w:szCs w:val="24"/>
          <w:lang w:val="lt-LT"/>
        </w:rPr>
        <w:t>metabolizuojamų</w:t>
      </w:r>
      <w:proofErr w:type="spellEnd"/>
      <w:r>
        <w:rPr>
          <w:szCs w:val="24"/>
          <w:lang w:val="lt-LT"/>
        </w:rPr>
        <w:t xml:space="preserve"> vaistinių preparatų veiksmingumas gali sumažėti. Pradėjus gydymą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pakeitus dozę arba gydymą nutraukus, gali reikėti keisti minėtų vaistinių preparatų dozę.</w:t>
      </w:r>
    </w:p>
    <w:p w14:paraId="38964268" w14:textId="77777777" w:rsidR="00172C88" w:rsidRDefault="00172C88" w:rsidP="00172C88">
      <w:pPr>
        <w:rPr>
          <w:szCs w:val="24"/>
          <w:lang w:val="lt-LT"/>
        </w:rPr>
      </w:pPr>
    </w:p>
    <w:p w14:paraId="777E584F" w14:textId="77777777" w:rsidR="00172C88" w:rsidRDefault="00172C88" w:rsidP="00172C88">
      <w:pPr>
        <w:rPr>
          <w:szCs w:val="24"/>
          <w:lang w:val="lt-LT"/>
        </w:rPr>
      </w:pPr>
      <w:proofErr w:type="spellStart"/>
      <w:r>
        <w:rPr>
          <w:szCs w:val="24"/>
          <w:lang w:val="lt-LT"/>
        </w:rPr>
        <w:t>Bozentaną</w:t>
      </w:r>
      <w:proofErr w:type="spellEnd"/>
      <w:r>
        <w:rPr>
          <w:szCs w:val="24"/>
          <w:lang w:val="lt-LT"/>
        </w:rPr>
        <w:t xml:space="preserve"> </w:t>
      </w:r>
      <w:proofErr w:type="spellStart"/>
      <w:r>
        <w:rPr>
          <w:szCs w:val="24"/>
          <w:lang w:val="lt-LT"/>
        </w:rPr>
        <w:t>metabolizuoja</w:t>
      </w:r>
      <w:proofErr w:type="spellEnd"/>
      <w:r>
        <w:rPr>
          <w:szCs w:val="24"/>
          <w:lang w:val="lt-LT"/>
        </w:rPr>
        <w:t xml:space="preserve"> CYP2C9 ir CYP3A4. Šių </w:t>
      </w:r>
      <w:proofErr w:type="spellStart"/>
      <w:r>
        <w:rPr>
          <w:szCs w:val="24"/>
          <w:lang w:val="lt-LT"/>
        </w:rPr>
        <w:t>izofermentų</w:t>
      </w:r>
      <w:proofErr w:type="spellEnd"/>
      <w:r>
        <w:rPr>
          <w:szCs w:val="24"/>
          <w:lang w:val="lt-LT"/>
        </w:rPr>
        <w:t xml:space="preserve"> slopinimas gali padidinti </w:t>
      </w:r>
      <w:proofErr w:type="spellStart"/>
      <w:r>
        <w:rPr>
          <w:szCs w:val="24"/>
          <w:lang w:val="lt-LT"/>
        </w:rPr>
        <w:t>bozentano</w:t>
      </w:r>
      <w:proofErr w:type="spellEnd"/>
      <w:r>
        <w:rPr>
          <w:szCs w:val="24"/>
          <w:lang w:val="lt-LT"/>
        </w:rPr>
        <w:t xml:space="preserve"> koncentraciją plazmoje (žr. poskyrį apie </w:t>
      </w:r>
      <w:proofErr w:type="spellStart"/>
      <w:r>
        <w:rPr>
          <w:szCs w:val="24"/>
          <w:lang w:val="lt-LT"/>
        </w:rPr>
        <w:t>ketokonazolą</w:t>
      </w:r>
      <w:proofErr w:type="spellEnd"/>
      <w:r>
        <w:rPr>
          <w:szCs w:val="24"/>
          <w:lang w:val="lt-LT"/>
        </w:rPr>
        <w:t xml:space="preserve">). CYP2C9 inhibitorių įtaka </w:t>
      </w:r>
      <w:proofErr w:type="spellStart"/>
      <w:r>
        <w:rPr>
          <w:szCs w:val="24"/>
          <w:lang w:val="lt-LT"/>
        </w:rPr>
        <w:t>bozentano</w:t>
      </w:r>
      <w:proofErr w:type="spellEnd"/>
      <w:r>
        <w:rPr>
          <w:szCs w:val="24"/>
          <w:lang w:val="lt-LT"/>
        </w:rPr>
        <w:t xml:space="preserve"> koncentracijai tirta nebuvo. Tokį derinį reikia vartoti atsargiai. </w:t>
      </w:r>
    </w:p>
    <w:p w14:paraId="450EC84F" w14:textId="77777777" w:rsidR="00172C88" w:rsidRDefault="00172C88" w:rsidP="00172C88">
      <w:pPr>
        <w:rPr>
          <w:szCs w:val="24"/>
          <w:lang w:val="lt-LT"/>
        </w:rPr>
      </w:pPr>
    </w:p>
    <w:p w14:paraId="6327510B" w14:textId="77777777" w:rsidR="00172C88" w:rsidRPr="00E32052" w:rsidRDefault="00172C88" w:rsidP="00172C88">
      <w:pPr>
        <w:rPr>
          <w:lang w:val="lt-LT"/>
        </w:rPr>
      </w:pPr>
      <w:proofErr w:type="spellStart"/>
      <w:r>
        <w:rPr>
          <w:i/>
          <w:iCs/>
          <w:szCs w:val="24"/>
          <w:lang w:val="lt-LT"/>
        </w:rPr>
        <w:t>Flukonazolas</w:t>
      </w:r>
      <w:proofErr w:type="spellEnd"/>
      <w:r>
        <w:rPr>
          <w:i/>
          <w:iCs/>
          <w:szCs w:val="24"/>
          <w:lang w:val="lt-LT"/>
        </w:rPr>
        <w:t xml:space="preserve"> ir kiti CYP2C9 ir CYP3A4 inhibitoriai</w:t>
      </w:r>
      <w:r>
        <w:rPr>
          <w:szCs w:val="24"/>
          <w:lang w:val="lt-LT"/>
        </w:rPr>
        <w:t xml:space="preserve">: kartu su </w:t>
      </w:r>
      <w:proofErr w:type="spellStart"/>
      <w:r>
        <w:rPr>
          <w:szCs w:val="24"/>
          <w:lang w:val="lt-LT"/>
        </w:rPr>
        <w:t>flukonazolu</w:t>
      </w:r>
      <w:proofErr w:type="spellEnd"/>
      <w:r>
        <w:rPr>
          <w:szCs w:val="24"/>
          <w:lang w:val="lt-LT"/>
        </w:rPr>
        <w:t xml:space="preserve">, kuris daugiausia slopina CYP2C9, tačiau iš dalies ir CYP3A4, vartojamo </w:t>
      </w:r>
      <w:proofErr w:type="spellStart"/>
      <w:r>
        <w:rPr>
          <w:szCs w:val="24"/>
          <w:lang w:val="lt-LT"/>
        </w:rPr>
        <w:t>bozentano</w:t>
      </w:r>
      <w:proofErr w:type="spellEnd"/>
      <w:r>
        <w:rPr>
          <w:szCs w:val="24"/>
          <w:lang w:val="lt-LT"/>
        </w:rPr>
        <w:t xml:space="preserve"> koncentracija plazmoje gali labai padidėti. Tokio derinio vartoti nerekomenduojama. Dėl tos pačios priežasties stiprių CYP3A4 inhibitorių (pvz., </w:t>
      </w:r>
      <w:proofErr w:type="spellStart"/>
      <w:r>
        <w:rPr>
          <w:szCs w:val="24"/>
          <w:lang w:val="lt-LT"/>
        </w:rPr>
        <w:t>ketokonazolo</w:t>
      </w:r>
      <w:proofErr w:type="spellEnd"/>
      <w:r>
        <w:rPr>
          <w:szCs w:val="24"/>
          <w:lang w:val="lt-LT"/>
        </w:rPr>
        <w:t xml:space="preserve">, </w:t>
      </w:r>
      <w:proofErr w:type="spellStart"/>
      <w:r>
        <w:rPr>
          <w:szCs w:val="24"/>
          <w:lang w:val="lt-LT"/>
        </w:rPr>
        <w:t>itrakonazolo</w:t>
      </w:r>
      <w:proofErr w:type="spellEnd"/>
      <w:r>
        <w:rPr>
          <w:szCs w:val="24"/>
          <w:lang w:val="lt-LT"/>
        </w:rPr>
        <w:t xml:space="preserve"> arba ritonaviro) ir CYP2C9 inhibitorių (pvz., </w:t>
      </w:r>
      <w:proofErr w:type="spellStart"/>
      <w:r>
        <w:rPr>
          <w:szCs w:val="24"/>
          <w:lang w:val="lt-LT"/>
        </w:rPr>
        <w:t>vorikonazolo</w:t>
      </w:r>
      <w:proofErr w:type="spellEnd"/>
      <w:r>
        <w:rPr>
          <w:szCs w:val="24"/>
          <w:lang w:val="lt-LT"/>
        </w:rPr>
        <w:t xml:space="preserve">) vartoti kartu su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nerekomenduojama. </w:t>
      </w:r>
    </w:p>
    <w:p w14:paraId="765D04BC" w14:textId="77777777" w:rsidR="00172C88" w:rsidRDefault="00172C88" w:rsidP="00172C88">
      <w:pPr>
        <w:rPr>
          <w:szCs w:val="24"/>
          <w:lang w:val="lt-LT"/>
        </w:rPr>
      </w:pPr>
      <w:r>
        <w:rPr>
          <w:szCs w:val="24"/>
          <w:lang w:val="lt-LT"/>
        </w:rPr>
        <w:t xml:space="preserve"> </w:t>
      </w:r>
    </w:p>
    <w:p w14:paraId="698B9628" w14:textId="40367A1F" w:rsidR="00172C88" w:rsidRPr="00C54C14" w:rsidRDefault="00172C88" w:rsidP="00172C88">
      <w:pPr>
        <w:rPr>
          <w:lang w:val="pt-PT"/>
        </w:rPr>
      </w:pPr>
      <w:proofErr w:type="spellStart"/>
      <w:r>
        <w:rPr>
          <w:i/>
          <w:iCs/>
          <w:szCs w:val="24"/>
          <w:lang w:val="lt-LT"/>
        </w:rPr>
        <w:t>Ciklosporinas</w:t>
      </w:r>
      <w:proofErr w:type="spellEnd"/>
      <w:r>
        <w:rPr>
          <w:i/>
          <w:iCs/>
          <w:szCs w:val="24"/>
          <w:lang w:val="lt-LT"/>
        </w:rPr>
        <w:t xml:space="preserve"> A</w:t>
      </w:r>
      <w:r>
        <w:rPr>
          <w:szCs w:val="24"/>
          <w:lang w:val="lt-LT"/>
        </w:rPr>
        <w:t xml:space="preserve">: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vartoti kartu su </w:t>
      </w:r>
      <w:proofErr w:type="spellStart"/>
      <w:r>
        <w:rPr>
          <w:szCs w:val="24"/>
          <w:lang w:val="lt-LT"/>
        </w:rPr>
        <w:t>ciklosporinu</w:t>
      </w:r>
      <w:proofErr w:type="spellEnd"/>
      <w:r>
        <w:rPr>
          <w:szCs w:val="24"/>
          <w:lang w:val="lt-LT"/>
        </w:rPr>
        <w:t xml:space="preserve"> A (</w:t>
      </w:r>
      <w:proofErr w:type="spellStart"/>
      <w:r>
        <w:rPr>
          <w:szCs w:val="24"/>
          <w:lang w:val="lt-LT"/>
        </w:rPr>
        <w:t>kalcineurino</w:t>
      </w:r>
      <w:proofErr w:type="spellEnd"/>
      <w:r>
        <w:rPr>
          <w:szCs w:val="24"/>
          <w:lang w:val="lt-LT"/>
        </w:rPr>
        <w:t xml:space="preserve"> inhibitoriumi) draudžiama (žr. 4.3 skyrių). </w:t>
      </w:r>
      <w:r w:rsidR="00936A5C">
        <w:rPr>
          <w:szCs w:val="24"/>
          <w:lang w:val="lt-LT"/>
        </w:rPr>
        <w:t>Š</w:t>
      </w:r>
      <w:r>
        <w:rPr>
          <w:szCs w:val="24"/>
          <w:lang w:val="lt-LT"/>
        </w:rPr>
        <w:t xml:space="preserve">ių preparatų vartojant kartu, pradinė mažiausia </w:t>
      </w:r>
      <w:proofErr w:type="spellStart"/>
      <w:r>
        <w:rPr>
          <w:szCs w:val="24"/>
          <w:lang w:val="lt-LT"/>
        </w:rPr>
        <w:t>bozentano</w:t>
      </w:r>
      <w:proofErr w:type="spellEnd"/>
      <w:r>
        <w:rPr>
          <w:szCs w:val="24"/>
          <w:lang w:val="lt-LT"/>
        </w:rPr>
        <w:t xml:space="preserve"> koncentracija buvo maždaug 30 kartų didesnė, nei vartojant vien </w:t>
      </w:r>
      <w:proofErr w:type="spellStart"/>
      <w:r>
        <w:rPr>
          <w:szCs w:val="24"/>
          <w:lang w:val="lt-LT"/>
        </w:rPr>
        <w:t>bozentano</w:t>
      </w:r>
      <w:proofErr w:type="spellEnd"/>
      <w:r>
        <w:rPr>
          <w:szCs w:val="24"/>
          <w:lang w:val="lt-LT"/>
        </w:rPr>
        <w:t xml:space="preserve">. Nusistovėjus </w:t>
      </w:r>
      <w:proofErr w:type="spellStart"/>
      <w:r>
        <w:rPr>
          <w:szCs w:val="24"/>
          <w:lang w:val="lt-LT"/>
        </w:rPr>
        <w:t>pusiausvyrinei</w:t>
      </w:r>
      <w:proofErr w:type="spellEnd"/>
      <w:r>
        <w:rPr>
          <w:szCs w:val="24"/>
          <w:lang w:val="lt-LT"/>
        </w:rPr>
        <w:t xml:space="preserve"> apykaitai, </w:t>
      </w:r>
      <w:proofErr w:type="spellStart"/>
      <w:r>
        <w:rPr>
          <w:szCs w:val="24"/>
          <w:lang w:val="lt-LT"/>
        </w:rPr>
        <w:t>bozentano</w:t>
      </w:r>
      <w:proofErr w:type="spellEnd"/>
      <w:r>
        <w:rPr>
          <w:szCs w:val="24"/>
          <w:lang w:val="lt-LT"/>
        </w:rPr>
        <w:t xml:space="preserve"> koncentracija plazmoje buvo 3–4 kartus didesnė, nei vartojant vien </w:t>
      </w:r>
      <w:proofErr w:type="spellStart"/>
      <w:r>
        <w:rPr>
          <w:szCs w:val="24"/>
          <w:lang w:val="lt-LT"/>
        </w:rPr>
        <w:t>bozentano</w:t>
      </w:r>
      <w:proofErr w:type="spellEnd"/>
      <w:r>
        <w:rPr>
          <w:szCs w:val="24"/>
          <w:lang w:val="lt-LT"/>
        </w:rPr>
        <w:t xml:space="preserve">. Labiausiai tikėtinas šios sąveikos mechanizmas yra </w:t>
      </w:r>
      <w:proofErr w:type="spellStart"/>
      <w:r>
        <w:rPr>
          <w:szCs w:val="24"/>
          <w:lang w:val="lt-LT"/>
        </w:rPr>
        <w:t>ciklosporino</w:t>
      </w:r>
      <w:proofErr w:type="spellEnd"/>
      <w:r>
        <w:rPr>
          <w:szCs w:val="24"/>
          <w:lang w:val="lt-LT"/>
        </w:rPr>
        <w:t xml:space="preserve"> sukeltas pernašos baltymų veikiamo </w:t>
      </w:r>
      <w:proofErr w:type="spellStart"/>
      <w:r>
        <w:rPr>
          <w:szCs w:val="24"/>
          <w:lang w:val="lt-LT"/>
        </w:rPr>
        <w:t>bozentano</w:t>
      </w:r>
      <w:proofErr w:type="spellEnd"/>
      <w:r>
        <w:rPr>
          <w:szCs w:val="24"/>
          <w:lang w:val="lt-LT"/>
        </w:rPr>
        <w:t xml:space="preserve"> patekimo į </w:t>
      </w:r>
      <w:proofErr w:type="spellStart"/>
      <w:r>
        <w:rPr>
          <w:szCs w:val="24"/>
          <w:lang w:val="lt-LT"/>
        </w:rPr>
        <w:t>hepatocitus</w:t>
      </w:r>
      <w:proofErr w:type="spellEnd"/>
      <w:r>
        <w:rPr>
          <w:szCs w:val="24"/>
          <w:lang w:val="lt-LT"/>
        </w:rPr>
        <w:t xml:space="preserve"> slopinimas. </w:t>
      </w:r>
      <w:proofErr w:type="spellStart"/>
      <w:r>
        <w:rPr>
          <w:szCs w:val="24"/>
          <w:lang w:val="lt-LT"/>
        </w:rPr>
        <w:t>Ciklosporino</w:t>
      </w:r>
      <w:proofErr w:type="spellEnd"/>
      <w:r>
        <w:rPr>
          <w:szCs w:val="24"/>
          <w:lang w:val="lt-LT"/>
        </w:rPr>
        <w:t xml:space="preserve"> A (CYP3A4 substrato) koncentracija kraujyje sumažėjo maždaug 50 %. Tai greičiausiai sukelia </w:t>
      </w:r>
      <w:proofErr w:type="spellStart"/>
      <w:r>
        <w:rPr>
          <w:szCs w:val="24"/>
          <w:lang w:val="lt-LT"/>
        </w:rPr>
        <w:t>bozentano</w:t>
      </w:r>
      <w:proofErr w:type="spellEnd"/>
      <w:r>
        <w:rPr>
          <w:szCs w:val="24"/>
          <w:lang w:val="lt-LT"/>
        </w:rPr>
        <w:t xml:space="preserve"> sukeliama CYP3A4 indukcija. </w:t>
      </w:r>
    </w:p>
    <w:p w14:paraId="2B0C7218" w14:textId="77777777" w:rsidR="00172C88" w:rsidRDefault="00172C88" w:rsidP="00172C88">
      <w:pPr>
        <w:rPr>
          <w:szCs w:val="24"/>
          <w:lang w:val="lt-LT"/>
        </w:rPr>
      </w:pPr>
      <w:r>
        <w:rPr>
          <w:szCs w:val="24"/>
          <w:lang w:val="lt-LT"/>
        </w:rPr>
        <w:t xml:space="preserve"> </w:t>
      </w:r>
    </w:p>
    <w:p w14:paraId="1781DC56" w14:textId="77777777" w:rsidR="00172C88" w:rsidRPr="00E32052" w:rsidRDefault="00172C88" w:rsidP="00172C88">
      <w:pPr>
        <w:rPr>
          <w:lang w:val="lt-LT"/>
        </w:rPr>
      </w:pPr>
      <w:proofErr w:type="spellStart"/>
      <w:r>
        <w:rPr>
          <w:i/>
          <w:iCs/>
          <w:szCs w:val="24"/>
          <w:lang w:val="lt-LT"/>
        </w:rPr>
        <w:t>Takrolimuzas</w:t>
      </w:r>
      <w:proofErr w:type="spellEnd"/>
      <w:r>
        <w:rPr>
          <w:i/>
          <w:iCs/>
          <w:szCs w:val="24"/>
          <w:lang w:val="lt-LT"/>
        </w:rPr>
        <w:t xml:space="preserve">, </w:t>
      </w:r>
      <w:proofErr w:type="spellStart"/>
      <w:r>
        <w:rPr>
          <w:i/>
          <w:iCs/>
          <w:szCs w:val="24"/>
          <w:lang w:val="lt-LT"/>
        </w:rPr>
        <w:t>sirolimuzas</w:t>
      </w:r>
      <w:proofErr w:type="spellEnd"/>
      <w:r>
        <w:rPr>
          <w:szCs w:val="24"/>
          <w:lang w:val="lt-LT"/>
        </w:rPr>
        <w:t xml:space="preserve">: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vartojimas kartu su </w:t>
      </w:r>
      <w:proofErr w:type="spellStart"/>
      <w:r>
        <w:rPr>
          <w:szCs w:val="24"/>
          <w:lang w:val="lt-LT"/>
        </w:rPr>
        <w:t>takrolimuzu</w:t>
      </w:r>
      <w:proofErr w:type="spellEnd"/>
      <w:r>
        <w:rPr>
          <w:szCs w:val="24"/>
          <w:lang w:val="lt-LT"/>
        </w:rPr>
        <w:t xml:space="preserve"> ar </w:t>
      </w:r>
      <w:proofErr w:type="spellStart"/>
      <w:r>
        <w:rPr>
          <w:szCs w:val="24"/>
          <w:lang w:val="lt-LT"/>
        </w:rPr>
        <w:t>sirolimuzu</w:t>
      </w:r>
      <w:proofErr w:type="spellEnd"/>
      <w:r>
        <w:rPr>
          <w:szCs w:val="24"/>
          <w:lang w:val="lt-LT"/>
        </w:rPr>
        <w:t xml:space="preserve"> tyrimų su žmonėmis metu neanalizuotas, tačiau gali didėti kartu su </w:t>
      </w:r>
      <w:proofErr w:type="spellStart"/>
      <w:r>
        <w:rPr>
          <w:szCs w:val="24"/>
          <w:lang w:val="lt-LT"/>
        </w:rPr>
        <w:t>takrolimuzu</w:t>
      </w:r>
      <w:proofErr w:type="spellEnd"/>
      <w:r>
        <w:rPr>
          <w:szCs w:val="24"/>
          <w:lang w:val="lt-LT"/>
        </w:rPr>
        <w:t xml:space="preserve"> ar </w:t>
      </w:r>
      <w:proofErr w:type="spellStart"/>
      <w:r>
        <w:rPr>
          <w:szCs w:val="24"/>
          <w:lang w:val="lt-LT"/>
        </w:rPr>
        <w:t>sirolimuzu</w:t>
      </w:r>
      <w:proofErr w:type="spellEnd"/>
      <w:r>
        <w:rPr>
          <w:szCs w:val="24"/>
          <w:lang w:val="lt-LT"/>
        </w:rPr>
        <w:t xml:space="preserve"> vartojamo </w:t>
      </w:r>
      <w:proofErr w:type="spellStart"/>
      <w:r>
        <w:rPr>
          <w:szCs w:val="24"/>
          <w:lang w:val="lt-LT"/>
        </w:rPr>
        <w:t>bozentano</w:t>
      </w:r>
      <w:proofErr w:type="spellEnd"/>
      <w:r>
        <w:rPr>
          <w:szCs w:val="24"/>
          <w:lang w:val="lt-LT"/>
        </w:rPr>
        <w:t xml:space="preserve"> koncentracija plazmoje (kaip ir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vartojant kartu su </w:t>
      </w:r>
      <w:proofErr w:type="spellStart"/>
      <w:r>
        <w:rPr>
          <w:szCs w:val="24"/>
          <w:lang w:val="lt-LT"/>
        </w:rPr>
        <w:t>ciklosporinu</w:t>
      </w:r>
      <w:proofErr w:type="spellEnd"/>
      <w:r>
        <w:rPr>
          <w:szCs w:val="24"/>
          <w:lang w:val="lt-LT"/>
        </w:rPr>
        <w:t xml:space="preserve"> A).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gali sumažinti kartu vartojamų </w:t>
      </w:r>
      <w:proofErr w:type="spellStart"/>
      <w:r>
        <w:rPr>
          <w:szCs w:val="24"/>
          <w:lang w:val="lt-LT"/>
        </w:rPr>
        <w:t>takrolimuzo</w:t>
      </w:r>
      <w:proofErr w:type="spellEnd"/>
      <w:r>
        <w:rPr>
          <w:szCs w:val="24"/>
          <w:lang w:val="lt-LT"/>
        </w:rPr>
        <w:t xml:space="preserve"> ar </w:t>
      </w:r>
      <w:proofErr w:type="spellStart"/>
      <w:r>
        <w:rPr>
          <w:szCs w:val="24"/>
          <w:lang w:val="lt-LT"/>
        </w:rPr>
        <w:t>sirolimuzo</w:t>
      </w:r>
      <w:proofErr w:type="spellEnd"/>
      <w:r>
        <w:rPr>
          <w:szCs w:val="24"/>
          <w:lang w:val="lt-LT"/>
        </w:rPr>
        <w:t xml:space="preserve"> koncentraciją plazmoje. Todėl dėl šios priežasties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vartoti kartu su ir </w:t>
      </w:r>
      <w:proofErr w:type="spellStart"/>
      <w:r>
        <w:rPr>
          <w:szCs w:val="24"/>
          <w:lang w:val="lt-LT"/>
        </w:rPr>
        <w:t>takrolimuzu</w:t>
      </w:r>
      <w:proofErr w:type="spellEnd"/>
      <w:r>
        <w:rPr>
          <w:szCs w:val="24"/>
          <w:lang w:val="lt-LT"/>
        </w:rPr>
        <w:t xml:space="preserve"> ar </w:t>
      </w:r>
      <w:proofErr w:type="spellStart"/>
      <w:r>
        <w:rPr>
          <w:szCs w:val="24"/>
          <w:lang w:val="lt-LT"/>
        </w:rPr>
        <w:t>sirolimuzu</w:t>
      </w:r>
      <w:proofErr w:type="spellEnd"/>
      <w:r>
        <w:rPr>
          <w:szCs w:val="24"/>
          <w:lang w:val="lt-LT"/>
        </w:rPr>
        <w:t xml:space="preserve"> nerekomenduojama. Pacientus, kuriuos gydyti tokiu vaistinių preparatų deriniu būtina, reikia atidžiai </w:t>
      </w:r>
      <w:r>
        <w:rPr>
          <w:szCs w:val="24"/>
          <w:lang w:val="lt-LT"/>
        </w:rPr>
        <w:lastRenderedPageBreak/>
        <w:t xml:space="preserve">stebėti, ar neatsiranda su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susijusių nepageidaujamų reiškinių, be to, būtina stebėti </w:t>
      </w:r>
      <w:proofErr w:type="spellStart"/>
      <w:r>
        <w:rPr>
          <w:szCs w:val="24"/>
          <w:lang w:val="lt-LT"/>
        </w:rPr>
        <w:t>takrolimuzo</w:t>
      </w:r>
      <w:proofErr w:type="spellEnd"/>
      <w:r>
        <w:rPr>
          <w:szCs w:val="24"/>
          <w:lang w:val="lt-LT"/>
        </w:rPr>
        <w:t xml:space="preserve"> ar </w:t>
      </w:r>
      <w:proofErr w:type="spellStart"/>
      <w:r>
        <w:rPr>
          <w:szCs w:val="24"/>
          <w:lang w:val="lt-LT"/>
        </w:rPr>
        <w:t>sirolimuzo</w:t>
      </w:r>
      <w:proofErr w:type="spellEnd"/>
      <w:r>
        <w:rPr>
          <w:szCs w:val="24"/>
          <w:lang w:val="lt-LT"/>
        </w:rPr>
        <w:t xml:space="preserve"> koncentraciją kraujyje. </w:t>
      </w:r>
    </w:p>
    <w:p w14:paraId="6BEE8C02" w14:textId="77777777" w:rsidR="00172C88" w:rsidRDefault="00172C88" w:rsidP="00172C88">
      <w:pPr>
        <w:rPr>
          <w:szCs w:val="24"/>
          <w:lang w:val="lt-LT"/>
        </w:rPr>
      </w:pPr>
      <w:r>
        <w:rPr>
          <w:szCs w:val="24"/>
          <w:lang w:val="lt-LT"/>
        </w:rPr>
        <w:t xml:space="preserve"> </w:t>
      </w:r>
    </w:p>
    <w:p w14:paraId="397E0E7B" w14:textId="12F8FA49" w:rsidR="00172C88" w:rsidRDefault="00172C88" w:rsidP="00172C88">
      <w:pPr>
        <w:rPr>
          <w:szCs w:val="24"/>
          <w:lang w:val="lt-LT"/>
        </w:rPr>
      </w:pPr>
      <w:proofErr w:type="spellStart"/>
      <w:r>
        <w:rPr>
          <w:i/>
          <w:iCs/>
          <w:szCs w:val="24"/>
          <w:lang w:val="lt-LT"/>
        </w:rPr>
        <w:t>Glibenklamidas</w:t>
      </w:r>
      <w:proofErr w:type="spellEnd"/>
      <w:r>
        <w:rPr>
          <w:szCs w:val="24"/>
          <w:lang w:val="lt-LT"/>
        </w:rPr>
        <w:t xml:space="preserve">: kartu su </w:t>
      </w:r>
      <w:proofErr w:type="spellStart"/>
      <w:r>
        <w:rPr>
          <w:szCs w:val="24"/>
          <w:lang w:val="lt-LT"/>
        </w:rPr>
        <w:t>bozentanu</w:t>
      </w:r>
      <w:proofErr w:type="spellEnd"/>
      <w:r>
        <w:rPr>
          <w:szCs w:val="24"/>
          <w:lang w:val="lt-LT"/>
        </w:rPr>
        <w:t xml:space="preserve"> (po 125 mg du kartus per parą 5 dienas) vartojamo </w:t>
      </w:r>
      <w:proofErr w:type="spellStart"/>
      <w:r>
        <w:rPr>
          <w:szCs w:val="24"/>
          <w:lang w:val="lt-LT"/>
        </w:rPr>
        <w:t>glibenklamido</w:t>
      </w:r>
      <w:proofErr w:type="spellEnd"/>
      <w:r>
        <w:rPr>
          <w:szCs w:val="24"/>
          <w:lang w:val="lt-LT"/>
        </w:rPr>
        <w:t xml:space="preserve"> (CYP3A4 substrato) koncentracija plazmoje sumažėjo 40 %, tai gali reikšmingai sumažinti hipoglikeminį poveikį. </w:t>
      </w:r>
      <w:proofErr w:type="spellStart"/>
      <w:r>
        <w:rPr>
          <w:szCs w:val="24"/>
          <w:lang w:val="lt-LT"/>
        </w:rPr>
        <w:t>Bozentano</w:t>
      </w:r>
      <w:proofErr w:type="spellEnd"/>
      <w:r>
        <w:rPr>
          <w:szCs w:val="24"/>
          <w:lang w:val="lt-LT"/>
        </w:rPr>
        <w:t xml:space="preserve"> koncentracija plazmoje taip pat sumažėjo 29 %. Be to, pacientams, kurie vartojo šį vaistinių preparatų derinį, dažniau padidėjo </w:t>
      </w:r>
      <w:proofErr w:type="spellStart"/>
      <w:r>
        <w:rPr>
          <w:szCs w:val="24"/>
          <w:lang w:val="lt-LT"/>
        </w:rPr>
        <w:t>aminotransferazių</w:t>
      </w:r>
      <w:proofErr w:type="spellEnd"/>
      <w:r>
        <w:rPr>
          <w:szCs w:val="24"/>
          <w:lang w:val="lt-LT"/>
        </w:rPr>
        <w:t xml:space="preserve"> aktyvumas. Ir </w:t>
      </w:r>
      <w:proofErr w:type="spellStart"/>
      <w:r>
        <w:rPr>
          <w:szCs w:val="24"/>
          <w:lang w:val="lt-LT"/>
        </w:rPr>
        <w:t>glibenklamidas</w:t>
      </w:r>
      <w:proofErr w:type="spellEnd"/>
      <w:r>
        <w:rPr>
          <w:szCs w:val="24"/>
          <w:lang w:val="lt-LT"/>
        </w:rPr>
        <w:t xml:space="preserve">, ir </w:t>
      </w:r>
      <w:proofErr w:type="spellStart"/>
      <w:r>
        <w:rPr>
          <w:szCs w:val="24"/>
          <w:lang w:val="lt-LT"/>
        </w:rPr>
        <w:t>bozentanas</w:t>
      </w:r>
      <w:proofErr w:type="spellEnd"/>
      <w:r>
        <w:rPr>
          <w:szCs w:val="24"/>
          <w:lang w:val="lt-LT"/>
        </w:rPr>
        <w:t xml:space="preserve"> slopina tulžies druskų išskyrimo siurblį, tuo galima paaiškinti </w:t>
      </w:r>
      <w:proofErr w:type="spellStart"/>
      <w:r>
        <w:rPr>
          <w:szCs w:val="24"/>
          <w:lang w:val="lt-LT"/>
        </w:rPr>
        <w:t>aminotransferazių</w:t>
      </w:r>
      <w:proofErr w:type="spellEnd"/>
      <w:r>
        <w:rPr>
          <w:szCs w:val="24"/>
          <w:lang w:val="lt-LT"/>
        </w:rPr>
        <w:t xml:space="preserve"> aktyvumo padidėjimą</w:t>
      </w:r>
      <w:r w:rsidR="00936A5C">
        <w:rPr>
          <w:szCs w:val="24"/>
          <w:lang w:val="lt-LT"/>
        </w:rPr>
        <w:t>. M</w:t>
      </w:r>
      <w:r>
        <w:rPr>
          <w:szCs w:val="24"/>
          <w:lang w:val="lt-LT"/>
        </w:rPr>
        <w:t xml:space="preserve">inėtų vaistinių preparatų kartu vartoti nerekomenduojama. Duomenų apie sąveiką su kitais </w:t>
      </w:r>
      <w:proofErr w:type="spellStart"/>
      <w:r>
        <w:rPr>
          <w:szCs w:val="24"/>
          <w:lang w:val="lt-LT"/>
        </w:rPr>
        <w:t>sulfonilšlapalo</w:t>
      </w:r>
      <w:proofErr w:type="spellEnd"/>
      <w:r>
        <w:rPr>
          <w:szCs w:val="24"/>
          <w:lang w:val="lt-LT"/>
        </w:rPr>
        <w:t xml:space="preserve"> preparatais nėra. </w:t>
      </w:r>
    </w:p>
    <w:p w14:paraId="33FE51F0" w14:textId="77777777" w:rsidR="007A7056" w:rsidRDefault="007A7056" w:rsidP="00172C88">
      <w:pPr>
        <w:rPr>
          <w:szCs w:val="24"/>
          <w:lang w:val="lt-LT"/>
        </w:rPr>
      </w:pPr>
    </w:p>
    <w:p w14:paraId="3E9A2214" w14:textId="77777777" w:rsidR="007A7056" w:rsidRPr="007A7056" w:rsidRDefault="007A7056" w:rsidP="007A7056">
      <w:pPr>
        <w:rPr>
          <w:szCs w:val="24"/>
          <w:lang w:val="lt-LT"/>
        </w:rPr>
      </w:pPr>
      <w:proofErr w:type="spellStart"/>
      <w:r w:rsidRPr="007A7056">
        <w:rPr>
          <w:i/>
          <w:iCs/>
          <w:szCs w:val="24"/>
          <w:lang w:val="lt-LT"/>
        </w:rPr>
        <w:t>Rifampicinas</w:t>
      </w:r>
      <w:proofErr w:type="spellEnd"/>
      <w:r w:rsidRPr="007A7056">
        <w:rPr>
          <w:szCs w:val="24"/>
          <w:lang w:val="lt-LT"/>
        </w:rPr>
        <w:t xml:space="preserve">: 9 sveikiems asmenims 7 dienas pavartojus </w:t>
      </w:r>
      <w:proofErr w:type="spellStart"/>
      <w:r w:rsidRPr="007A7056">
        <w:rPr>
          <w:szCs w:val="24"/>
          <w:lang w:val="lt-LT"/>
        </w:rPr>
        <w:t>bozentano</w:t>
      </w:r>
      <w:proofErr w:type="spellEnd"/>
      <w:r w:rsidRPr="007A7056">
        <w:rPr>
          <w:szCs w:val="24"/>
          <w:lang w:val="lt-LT"/>
        </w:rPr>
        <w:t xml:space="preserve"> (po 125 mg du kartus per parą) kartu su stipriu CYP2C9 ir CYP3A4 </w:t>
      </w:r>
      <w:proofErr w:type="spellStart"/>
      <w:r w:rsidRPr="007A7056">
        <w:rPr>
          <w:szCs w:val="24"/>
          <w:lang w:val="lt-LT"/>
        </w:rPr>
        <w:t>induktoriumi</w:t>
      </w:r>
      <w:proofErr w:type="spellEnd"/>
      <w:r w:rsidRPr="007A7056">
        <w:rPr>
          <w:szCs w:val="24"/>
          <w:lang w:val="lt-LT"/>
        </w:rPr>
        <w:t xml:space="preserve"> </w:t>
      </w:r>
      <w:proofErr w:type="spellStart"/>
      <w:r w:rsidRPr="007A7056">
        <w:rPr>
          <w:szCs w:val="24"/>
          <w:lang w:val="lt-LT"/>
        </w:rPr>
        <w:t>rifampicinu</w:t>
      </w:r>
      <w:proofErr w:type="spellEnd"/>
      <w:r w:rsidRPr="007A7056">
        <w:rPr>
          <w:szCs w:val="24"/>
          <w:lang w:val="lt-LT"/>
        </w:rPr>
        <w:t xml:space="preserve">, </w:t>
      </w:r>
      <w:proofErr w:type="spellStart"/>
      <w:r w:rsidRPr="007A7056">
        <w:rPr>
          <w:szCs w:val="24"/>
          <w:lang w:val="lt-LT"/>
        </w:rPr>
        <w:t>bozentano</w:t>
      </w:r>
      <w:proofErr w:type="spellEnd"/>
      <w:r w:rsidRPr="007A7056">
        <w:rPr>
          <w:szCs w:val="24"/>
          <w:lang w:val="lt-LT"/>
        </w:rPr>
        <w:t xml:space="preserve"> koncentracija plazmoje sumažėjo 58 %, </w:t>
      </w:r>
      <w:r w:rsidR="00375FEF" w:rsidRPr="00375FEF">
        <w:rPr>
          <w:szCs w:val="24"/>
          <w:lang w:val="lt-LT"/>
        </w:rPr>
        <w:t xml:space="preserve"> o vienu atveju šis sumažėjimas siekė beveik</w:t>
      </w:r>
      <w:r w:rsidR="00B56636">
        <w:rPr>
          <w:szCs w:val="24"/>
          <w:lang w:val="lt-LT"/>
        </w:rPr>
        <w:t xml:space="preserve"> </w:t>
      </w:r>
      <w:r w:rsidRPr="007A7056">
        <w:rPr>
          <w:szCs w:val="24"/>
          <w:lang w:val="lt-LT"/>
        </w:rPr>
        <w:t xml:space="preserve">90 %. Dėl to tikėtina, kad kartu su </w:t>
      </w:r>
      <w:proofErr w:type="spellStart"/>
      <w:r w:rsidRPr="007A7056">
        <w:rPr>
          <w:szCs w:val="24"/>
          <w:lang w:val="lt-LT"/>
        </w:rPr>
        <w:t>rifampicinu</w:t>
      </w:r>
      <w:proofErr w:type="spellEnd"/>
      <w:r w:rsidRPr="007A7056">
        <w:rPr>
          <w:szCs w:val="24"/>
          <w:lang w:val="lt-LT"/>
        </w:rPr>
        <w:t xml:space="preserve"> vartojamo </w:t>
      </w:r>
      <w:proofErr w:type="spellStart"/>
      <w:r w:rsidRPr="007A7056">
        <w:rPr>
          <w:szCs w:val="24"/>
          <w:lang w:val="lt-LT"/>
        </w:rPr>
        <w:t>bozentano</w:t>
      </w:r>
      <w:proofErr w:type="spellEnd"/>
      <w:r w:rsidRPr="007A7056">
        <w:rPr>
          <w:szCs w:val="24"/>
          <w:lang w:val="lt-LT"/>
        </w:rPr>
        <w:t xml:space="preserve"> poveikis reikšmingai sumažės. </w:t>
      </w:r>
      <w:proofErr w:type="spellStart"/>
      <w:r w:rsidRPr="007A7056">
        <w:rPr>
          <w:szCs w:val="24"/>
          <w:lang w:val="lt-LT"/>
        </w:rPr>
        <w:t>Rifampiciną</w:t>
      </w:r>
      <w:proofErr w:type="spellEnd"/>
      <w:r w:rsidRPr="007A7056">
        <w:rPr>
          <w:szCs w:val="24"/>
          <w:lang w:val="lt-LT"/>
        </w:rPr>
        <w:t xml:space="preserve"> vartoti kartu su </w:t>
      </w:r>
      <w:proofErr w:type="spellStart"/>
      <w:r w:rsidRPr="007A7056">
        <w:rPr>
          <w:szCs w:val="24"/>
          <w:lang w:val="lt-LT"/>
        </w:rPr>
        <w:t>Bosentan</w:t>
      </w:r>
      <w:proofErr w:type="spellEnd"/>
      <w:r w:rsidRPr="007A7056">
        <w:rPr>
          <w:szCs w:val="24"/>
          <w:lang w:val="lt-LT"/>
        </w:rPr>
        <w:t xml:space="preserve"> </w:t>
      </w:r>
      <w:proofErr w:type="spellStart"/>
      <w:r w:rsidRPr="007A7056">
        <w:rPr>
          <w:szCs w:val="24"/>
          <w:lang w:val="lt-LT"/>
        </w:rPr>
        <w:t>Norameda</w:t>
      </w:r>
      <w:proofErr w:type="spellEnd"/>
      <w:r w:rsidRPr="007A7056">
        <w:rPr>
          <w:szCs w:val="24"/>
          <w:lang w:val="lt-LT"/>
        </w:rPr>
        <w:t xml:space="preserve"> nerekomenduojama. Duomenų apie kitus CYP3A4 </w:t>
      </w:r>
      <w:proofErr w:type="spellStart"/>
      <w:r w:rsidRPr="007A7056">
        <w:rPr>
          <w:szCs w:val="24"/>
          <w:lang w:val="lt-LT"/>
        </w:rPr>
        <w:t>induktorius</w:t>
      </w:r>
      <w:proofErr w:type="spellEnd"/>
      <w:r w:rsidRPr="007A7056">
        <w:rPr>
          <w:szCs w:val="24"/>
          <w:lang w:val="lt-LT"/>
        </w:rPr>
        <w:t xml:space="preserve">, pvz., </w:t>
      </w:r>
      <w:proofErr w:type="spellStart"/>
      <w:r w:rsidRPr="007A7056">
        <w:rPr>
          <w:szCs w:val="24"/>
          <w:lang w:val="lt-LT"/>
        </w:rPr>
        <w:t>karbamazepiną</w:t>
      </w:r>
      <w:proofErr w:type="spellEnd"/>
      <w:r w:rsidRPr="007A7056">
        <w:rPr>
          <w:szCs w:val="24"/>
          <w:lang w:val="lt-LT"/>
        </w:rPr>
        <w:t xml:space="preserve">, </w:t>
      </w:r>
      <w:proofErr w:type="spellStart"/>
      <w:r w:rsidRPr="007A7056">
        <w:rPr>
          <w:szCs w:val="24"/>
          <w:lang w:val="lt-LT"/>
        </w:rPr>
        <w:t>fenobarbitalį</w:t>
      </w:r>
      <w:proofErr w:type="spellEnd"/>
      <w:r w:rsidRPr="007A7056">
        <w:rPr>
          <w:szCs w:val="24"/>
          <w:lang w:val="lt-LT"/>
        </w:rPr>
        <w:t xml:space="preserve">, </w:t>
      </w:r>
      <w:proofErr w:type="spellStart"/>
      <w:r w:rsidRPr="007A7056">
        <w:rPr>
          <w:szCs w:val="24"/>
          <w:lang w:val="lt-LT"/>
        </w:rPr>
        <w:t>fenitoiną</w:t>
      </w:r>
      <w:proofErr w:type="spellEnd"/>
      <w:r w:rsidRPr="007A7056">
        <w:rPr>
          <w:szCs w:val="24"/>
          <w:lang w:val="lt-LT"/>
        </w:rPr>
        <w:t xml:space="preserve"> ir jonažolių preparatus, nepakanka, tačiau manoma, kad kartu su šiais vaistiniais preparatais vartojamo </w:t>
      </w:r>
      <w:proofErr w:type="spellStart"/>
      <w:r w:rsidRPr="007A7056">
        <w:rPr>
          <w:szCs w:val="24"/>
          <w:lang w:val="lt-LT"/>
        </w:rPr>
        <w:t>bozentano</w:t>
      </w:r>
      <w:proofErr w:type="spellEnd"/>
      <w:r w:rsidRPr="007A7056">
        <w:rPr>
          <w:szCs w:val="24"/>
          <w:lang w:val="lt-LT"/>
        </w:rPr>
        <w:t xml:space="preserve"> sisteminė ekspozicija sumažės. Negalima paneigti, kad poveikio sumažėjimas bus kliniškai reikšmingas. </w:t>
      </w:r>
    </w:p>
    <w:p w14:paraId="3A1A3474" w14:textId="77777777" w:rsidR="007A7056" w:rsidRPr="007A7056" w:rsidRDefault="007A7056" w:rsidP="007A7056">
      <w:pPr>
        <w:rPr>
          <w:szCs w:val="24"/>
          <w:lang w:val="lt-LT"/>
        </w:rPr>
      </w:pPr>
      <w:r w:rsidRPr="007A7056">
        <w:rPr>
          <w:szCs w:val="24"/>
          <w:lang w:val="lt-LT"/>
        </w:rPr>
        <w:t xml:space="preserve"> </w:t>
      </w:r>
    </w:p>
    <w:p w14:paraId="1A5B2228" w14:textId="77777777" w:rsidR="007A7056" w:rsidRPr="007A7056" w:rsidRDefault="007A7056" w:rsidP="007A7056">
      <w:pPr>
        <w:rPr>
          <w:szCs w:val="24"/>
          <w:lang w:val="lt-LT"/>
        </w:rPr>
      </w:pPr>
      <w:r w:rsidRPr="007A7056">
        <w:rPr>
          <w:i/>
          <w:iCs/>
          <w:szCs w:val="24"/>
          <w:lang w:val="lt-LT"/>
        </w:rPr>
        <w:t>Lopinaviras ir ritonaviras (ir kiti ritonaviro suaktyvinami proteazės inhibitoriai)</w:t>
      </w:r>
      <w:r w:rsidRPr="007A7056">
        <w:rPr>
          <w:szCs w:val="24"/>
          <w:lang w:val="lt-LT"/>
        </w:rPr>
        <w:t xml:space="preserve">: sveikiems savanoriams 9,5 paros vartojus po 125 mg </w:t>
      </w:r>
      <w:proofErr w:type="spellStart"/>
      <w:r w:rsidRPr="007A7056">
        <w:rPr>
          <w:szCs w:val="24"/>
          <w:lang w:val="lt-LT"/>
        </w:rPr>
        <w:t>bozentano</w:t>
      </w:r>
      <w:proofErr w:type="spellEnd"/>
      <w:r w:rsidRPr="007A7056">
        <w:rPr>
          <w:szCs w:val="24"/>
          <w:lang w:val="lt-LT"/>
        </w:rPr>
        <w:t xml:space="preserve"> du kartus per parą kartu su 400 mg lopinaviro ir 100 mg ritonaviro, pradinė mažiausioji </w:t>
      </w:r>
      <w:proofErr w:type="spellStart"/>
      <w:r w:rsidRPr="007A7056">
        <w:rPr>
          <w:szCs w:val="24"/>
          <w:lang w:val="lt-LT"/>
        </w:rPr>
        <w:t>bozentano</w:t>
      </w:r>
      <w:proofErr w:type="spellEnd"/>
      <w:r w:rsidRPr="007A7056">
        <w:rPr>
          <w:szCs w:val="24"/>
          <w:lang w:val="lt-LT"/>
        </w:rPr>
        <w:t xml:space="preserve"> koncentracija plazmoje buvo maždaug 48 kartus didesnė, nei nustatyta pavartojus vien </w:t>
      </w:r>
      <w:proofErr w:type="spellStart"/>
      <w:r w:rsidRPr="007A7056">
        <w:rPr>
          <w:szCs w:val="24"/>
          <w:lang w:val="lt-LT"/>
        </w:rPr>
        <w:t>bozentano</w:t>
      </w:r>
      <w:proofErr w:type="spellEnd"/>
      <w:r w:rsidRPr="007A7056">
        <w:rPr>
          <w:szCs w:val="24"/>
          <w:lang w:val="lt-LT"/>
        </w:rPr>
        <w:t xml:space="preserve">. Devintąją dieną </w:t>
      </w:r>
      <w:proofErr w:type="spellStart"/>
      <w:r w:rsidRPr="007A7056">
        <w:rPr>
          <w:szCs w:val="24"/>
          <w:lang w:val="lt-LT"/>
        </w:rPr>
        <w:t>bozentano</w:t>
      </w:r>
      <w:proofErr w:type="spellEnd"/>
      <w:r w:rsidRPr="007A7056">
        <w:rPr>
          <w:szCs w:val="24"/>
          <w:lang w:val="lt-LT"/>
        </w:rPr>
        <w:t xml:space="preserve"> koncentracija plazmoje buvo maždaug 5 kartus didesnė, nei būna vartojant vien </w:t>
      </w:r>
      <w:proofErr w:type="spellStart"/>
      <w:r w:rsidRPr="007A7056">
        <w:rPr>
          <w:szCs w:val="24"/>
          <w:lang w:val="lt-LT"/>
        </w:rPr>
        <w:t>bozentano</w:t>
      </w:r>
      <w:proofErr w:type="spellEnd"/>
      <w:r w:rsidRPr="007A7056">
        <w:rPr>
          <w:szCs w:val="24"/>
          <w:lang w:val="lt-LT"/>
        </w:rPr>
        <w:t xml:space="preserve">. Šią sąveiką greičiausia sukelia su ritonaviru susijęs pernašos baltymų veikiamo patekimo į </w:t>
      </w:r>
      <w:proofErr w:type="spellStart"/>
      <w:r w:rsidRPr="007A7056">
        <w:rPr>
          <w:szCs w:val="24"/>
          <w:lang w:val="lt-LT"/>
        </w:rPr>
        <w:t>hepatocitus</w:t>
      </w:r>
      <w:proofErr w:type="spellEnd"/>
      <w:r w:rsidRPr="007A7056">
        <w:rPr>
          <w:szCs w:val="24"/>
          <w:lang w:val="lt-LT"/>
        </w:rPr>
        <w:t xml:space="preserve"> ir CYP3A4 slopinimas, dėl kurio sumažėja </w:t>
      </w:r>
      <w:proofErr w:type="spellStart"/>
      <w:r w:rsidRPr="007A7056">
        <w:rPr>
          <w:szCs w:val="24"/>
          <w:lang w:val="lt-LT"/>
        </w:rPr>
        <w:t>bozentano</w:t>
      </w:r>
      <w:proofErr w:type="spellEnd"/>
      <w:r w:rsidRPr="007A7056">
        <w:rPr>
          <w:szCs w:val="24"/>
          <w:lang w:val="lt-LT"/>
        </w:rPr>
        <w:t xml:space="preserve"> klirensas. Jeigu </w:t>
      </w:r>
      <w:proofErr w:type="spellStart"/>
      <w:r w:rsidRPr="007A7056">
        <w:rPr>
          <w:szCs w:val="24"/>
          <w:lang w:val="lt-LT"/>
        </w:rPr>
        <w:t>bozentano</w:t>
      </w:r>
      <w:proofErr w:type="spellEnd"/>
      <w:r w:rsidRPr="007A7056">
        <w:rPr>
          <w:szCs w:val="24"/>
          <w:lang w:val="lt-LT"/>
        </w:rPr>
        <w:t xml:space="preserve"> vartojama kartu su lopinaviru ir ritonaviru arba kitais ritonaviro suaktyvinamais proteazės inhibitoriais, reikia atidžiai stebėti, ar pacientas toleruoja </w:t>
      </w:r>
      <w:proofErr w:type="spellStart"/>
      <w:r w:rsidRPr="007A7056">
        <w:rPr>
          <w:szCs w:val="24"/>
          <w:lang w:val="lt-LT"/>
        </w:rPr>
        <w:t>Bosentan</w:t>
      </w:r>
      <w:proofErr w:type="spellEnd"/>
      <w:r w:rsidRPr="007A7056">
        <w:rPr>
          <w:szCs w:val="24"/>
          <w:lang w:val="lt-LT"/>
        </w:rPr>
        <w:t xml:space="preserve"> </w:t>
      </w:r>
      <w:proofErr w:type="spellStart"/>
      <w:r w:rsidRPr="007A7056">
        <w:rPr>
          <w:szCs w:val="24"/>
          <w:lang w:val="lt-LT"/>
        </w:rPr>
        <w:t>Norameda</w:t>
      </w:r>
      <w:proofErr w:type="spellEnd"/>
      <w:r w:rsidRPr="007A7056">
        <w:rPr>
          <w:szCs w:val="24"/>
          <w:lang w:val="lt-LT"/>
        </w:rPr>
        <w:t xml:space="preserve">. </w:t>
      </w:r>
    </w:p>
    <w:p w14:paraId="353A0E1B" w14:textId="77777777" w:rsidR="007A7056" w:rsidRPr="007A7056" w:rsidRDefault="007A7056" w:rsidP="007A7056">
      <w:pPr>
        <w:rPr>
          <w:szCs w:val="24"/>
          <w:lang w:val="lt-LT"/>
        </w:rPr>
      </w:pPr>
    </w:p>
    <w:p w14:paraId="0F3BF6C8" w14:textId="77777777" w:rsidR="007A7056" w:rsidRPr="007A7056" w:rsidRDefault="007A7056" w:rsidP="007A7056">
      <w:pPr>
        <w:rPr>
          <w:szCs w:val="24"/>
          <w:lang w:val="lt-LT"/>
        </w:rPr>
      </w:pPr>
      <w:r w:rsidRPr="007A7056">
        <w:rPr>
          <w:szCs w:val="24"/>
          <w:lang w:val="lt-LT"/>
        </w:rPr>
        <w:t xml:space="preserve">Po 9,5 paros vartojimo kartu su </w:t>
      </w:r>
      <w:proofErr w:type="spellStart"/>
      <w:r w:rsidRPr="007A7056">
        <w:rPr>
          <w:szCs w:val="24"/>
          <w:lang w:val="lt-LT"/>
        </w:rPr>
        <w:t>bozentanu</w:t>
      </w:r>
      <w:proofErr w:type="spellEnd"/>
      <w:r w:rsidRPr="007A7056">
        <w:rPr>
          <w:szCs w:val="24"/>
          <w:lang w:val="lt-LT"/>
        </w:rPr>
        <w:t xml:space="preserve">, lopinaviro ir ritonaviro ekspozicija plazmoje sumažėjo kliniškai nereikšmingai (atitinkamai maždaug 14 % ir 17 %) Vis dėlto visiškos </w:t>
      </w:r>
      <w:proofErr w:type="spellStart"/>
      <w:r w:rsidRPr="007A7056">
        <w:rPr>
          <w:szCs w:val="24"/>
          <w:lang w:val="lt-LT"/>
        </w:rPr>
        <w:t>bozentano</w:t>
      </w:r>
      <w:proofErr w:type="spellEnd"/>
      <w:r w:rsidRPr="007A7056">
        <w:rPr>
          <w:szCs w:val="24"/>
          <w:lang w:val="lt-LT"/>
        </w:rPr>
        <w:t xml:space="preserve"> indukcijos galėjo nebūti pasiekta, todėl negalima paneigti tolesnio proteazės inhibitorių ekspozicijos mažėjimo. Rekomenduojama tinkamai stebėti ŽIV gydymą. Panašus poveikis tikėtinas ir vartojant kitokių ritonaviro suaktyvinamų proteazės inhibitorių (žr. 4.4 skyrių). </w:t>
      </w:r>
    </w:p>
    <w:p w14:paraId="0A770963" w14:textId="77777777" w:rsidR="007A7056" w:rsidRPr="007A7056" w:rsidRDefault="007A7056" w:rsidP="007A7056">
      <w:pPr>
        <w:rPr>
          <w:szCs w:val="24"/>
          <w:lang w:val="lt-LT"/>
        </w:rPr>
      </w:pPr>
    </w:p>
    <w:p w14:paraId="13AFCD52" w14:textId="74A68727" w:rsidR="00172C88" w:rsidRDefault="007A7056" w:rsidP="00172C88">
      <w:pPr>
        <w:rPr>
          <w:szCs w:val="24"/>
          <w:lang w:val="lt-LT"/>
        </w:rPr>
      </w:pPr>
      <w:r w:rsidRPr="007A7056">
        <w:rPr>
          <w:i/>
          <w:iCs/>
          <w:szCs w:val="24"/>
          <w:lang w:val="lt-LT"/>
        </w:rPr>
        <w:t xml:space="preserve">Kiti vaistiniai preparatai nuo </w:t>
      </w:r>
      <w:proofErr w:type="spellStart"/>
      <w:r w:rsidRPr="007A7056">
        <w:rPr>
          <w:i/>
          <w:iCs/>
          <w:szCs w:val="24"/>
          <w:lang w:val="lt-LT"/>
        </w:rPr>
        <w:t>retrovirusų</w:t>
      </w:r>
      <w:proofErr w:type="spellEnd"/>
      <w:r w:rsidRPr="007A7056">
        <w:rPr>
          <w:szCs w:val="24"/>
          <w:lang w:val="lt-LT"/>
        </w:rPr>
        <w:t xml:space="preserve">: specifinių rekomendacijų dėl kitų rinkoje esančių vaistinių preparatų nuo </w:t>
      </w:r>
      <w:proofErr w:type="spellStart"/>
      <w:r w:rsidRPr="007A7056">
        <w:rPr>
          <w:szCs w:val="24"/>
          <w:lang w:val="lt-LT"/>
        </w:rPr>
        <w:t>retrovirusų</w:t>
      </w:r>
      <w:proofErr w:type="spellEnd"/>
      <w:r w:rsidRPr="007A7056">
        <w:rPr>
          <w:szCs w:val="24"/>
          <w:lang w:val="lt-LT"/>
        </w:rPr>
        <w:t xml:space="preserve"> vartojimo pateikti negalima dėl duomenų stokos. </w:t>
      </w:r>
      <w:r w:rsidR="00936A5C">
        <w:rPr>
          <w:szCs w:val="24"/>
          <w:lang w:val="lt-LT"/>
        </w:rPr>
        <w:t>D</w:t>
      </w:r>
      <w:r w:rsidRPr="007A7056">
        <w:rPr>
          <w:szCs w:val="24"/>
          <w:lang w:val="lt-LT"/>
        </w:rPr>
        <w:t xml:space="preserve">ėl reikšmingo </w:t>
      </w:r>
      <w:proofErr w:type="spellStart"/>
      <w:r w:rsidRPr="007A7056">
        <w:rPr>
          <w:szCs w:val="24"/>
          <w:lang w:val="lt-LT"/>
        </w:rPr>
        <w:t>nevirapino</w:t>
      </w:r>
      <w:proofErr w:type="spellEnd"/>
      <w:r w:rsidRPr="007A7056">
        <w:rPr>
          <w:szCs w:val="24"/>
          <w:lang w:val="lt-LT"/>
        </w:rPr>
        <w:t xml:space="preserve"> </w:t>
      </w:r>
      <w:proofErr w:type="spellStart"/>
      <w:r w:rsidRPr="007A7056">
        <w:rPr>
          <w:szCs w:val="24"/>
          <w:lang w:val="lt-LT"/>
        </w:rPr>
        <w:t>hepatotoksinio</w:t>
      </w:r>
      <w:proofErr w:type="spellEnd"/>
      <w:r w:rsidRPr="007A7056">
        <w:rPr>
          <w:szCs w:val="24"/>
          <w:lang w:val="lt-LT"/>
        </w:rPr>
        <w:t xml:space="preserve"> poveikio, kuris gali sumuotis su </w:t>
      </w:r>
      <w:proofErr w:type="spellStart"/>
      <w:r w:rsidRPr="007A7056">
        <w:rPr>
          <w:szCs w:val="24"/>
          <w:lang w:val="lt-LT"/>
        </w:rPr>
        <w:t>bozentano</w:t>
      </w:r>
      <w:proofErr w:type="spellEnd"/>
      <w:r w:rsidRPr="007A7056">
        <w:rPr>
          <w:szCs w:val="24"/>
          <w:lang w:val="lt-LT"/>
        </w:rPr>
        <w:t xml:space="preserve"> toksiniu poveikiu kepenims, tokio derinio skirti vartoti nerekomenduojama.</w:t>
      </w:r>
      <w:r w:rsidR="00172C88">
        <w:rPr>
          <w:szCs w:val="24"/>
          <w:lang w:val="lt-LT"/>
        </w:rPr>
        <w:t xml:space="preserve"> </w:t>
      </w:r>
    </w:p>
    <w:p w14:paraId="5A6478A9" w14:textId="77777777" w:rsidR="00375FEF" w:rsidRDefault="00375FEF" w:rsidP="00172C88">
      <w:pPr>
        <w:rPr>
          <w:szCs w:val="24"/>
          <w:lang w:val="lt-LT"/>
        </w:rPr>
      </w:pPr>
    </w:p>
    <w:p w14:paraId="5B75DC3C" w14:textId="77777777" w:rsidR="00172C88" w:rsidRPr="00E32052" w:rsidRDefault="00172C88" w:rsidP="00172C88">
      <w:pPr>
        <w:rPr>
          <w:lang w:val="lt-LT"/>
        </w:rPr>
      </w:pPr>
      <w:r>
        <w:rPr>
          <w:i/>
          <w:iCs/>
          <w:szCs w:val="24"/>
          <w:lang w:val="lt-LT"/>
        </w:rPr>
        <w:t>Hormoniniai kontraceptikai</w:t>
      </w:r>
      <w:r>
        <w:rPr>
          <w:szCs w:val="24"/>
          <w:lang w:val="lt-LT"/>
        </w:rPr>
        <w:t xml:space="preserve">: kartu su </w:t>
      </w:r>
      <w:proofErr w:type="spellStart"/>
      <w:r>
        <w:rPr>
          <w:szCs w:val="24"/>
          <w:lang w:val="lt-LT"/>
        </w:rPr>
        <w:t>bozentanu</w:t>
      </w:r>
      <w:proofErr w:type="spellEnd"/>
      <w:r>
        <w:rPr>
          <w:szCs w:val="24"/>
          <w:lang w:val="lt-LT"/>
        </w:rPr>
        <w:t xml:space="preserve"> (po 125 mg du kartus per parą 7 dienas) pavartojus vienkartinę geriamojo kontraceptiko dozę (1 mg </w:t>
      </w:r>
      <w:proofErr w:type="spellStart"/>
      <w:r>
        <w:rPr>
          <w:szCs w:val="24"/>
          <w:lang w:val="lt-LT"/>
        </w:rPr>
        <w:t>noretisterono</w:t>
      </w:r>
      <w:proofErr w:type="spellEnd"/>
      <w:r>
        <w:rPr>
          <w:szCs w:val="24"/>
          <w:lang w:val="lt-LT"/>
        </w:rPr>
        <w:t xml:space="preserve"> ir 35 </w:t>
      </w:r>
      <w:proofErr w:type="spellStart"/>
      <w:r>
        <w:rPr>
          <w:szCs w:val="24"/>
          <w:lang w:val="lt-LT"/>
        </w:rPr>
        <w:t>mikrogramai</w:t>
      </w:r>
      <w:proofErr w:type="spellEnd"/>
      <w:r>
        <w:rPr>
          <w:szCs w:val="24"/>
          <w:lang w:val="lt-LT"/>
        </w:rPr>
        <w:t xml:space="preserve"> </w:t>
      </w:r>
      <w:proofErr w:type="spellStart"/>
      <w:r>
        <w:rPr>
          <w:szCs w:val="24"/>
          <w:lang w:val="lt-LT"/>
        </w:rPr>
        <w:t>etinilestradiolio</w:t>
      </w:r>
      <w:proofErr w:type="spellEnd"/>
      <w:r>
        <w:rPr>
          <w:szCs w:val="24"/>
          <w:lang w:val="lt-LT"/>
        </w:rPr>
        <w:t xml:space="preserve">), </w:t>
      </w:r>
      <w:proofErr w:type="spellStart"/>
      <w:r>
        <w:rPr>
          <w:szCs w:val="24"/>
          <w:lang w:val="lt-LT"/>
        </w:rPr>
        <w:t>noretisterono</w:t>
      </w:r>
      <w:proofErr w:type="spellEnd"/>
      <w:r>
        <w:rPr>
          <w:szCs w:val="24"/>
          <w:lang w:val="lt-LT"/>
        </w:rPr>
        <w:t xml:space="preserve"> ir </w:t>
      </w:r>
      <w:proofErr w:type="spellStart"/>
      <w:r>
        <w:rPr>
          <w:szCs w:val="24"/>
          <w:lang w:val="lt-LT"/>
        </w:rPr>
        <w:t>etinilestradiolio</w:t>
      </w:r>
      <w:proofErr w:type="spellEnd"/>
      <w:r>
        <w:rPr>
          <w:szCs w:val="24"/>
          <w:lang w:val="lt-LT"/>
        </w:rPr>
        <w:t xml:space="preserve"> AUC sumažėjo atitinkamai 14 % ir 31 %. Vis dėlto kai kurių moterų organizme </w:t>
      </w:r>
      <w:proofErr w:type="spellStart"/>
      <w:r>
        <w:rPr>
          <w:szCs w:val="24"/>
          <w:lang w:val="lt-LT"/>
        </w:rPr>
        <w:t>noretisterono</w:t>
      </w:r>
      <w:proofErr w:type="spellEnd"/>
      <w:r>
        <w:rPr>
          <w:szCs w:val="24"/>
          <w:lang w:val="lt-LT"/>
        </w:rPr>
        <w:t xml:space="preserve"> ekspozicija sumažėjo net 56 %, o </w:t>
      </w:r>
      <w:proofErr w:type="spellStart"/>
      <w:r>
        <w:rPr>
          <w:szCs w:val="24"/>
          <w:lang w:val="lt-LT"/>
        </w:rPr>
        <w:t>etinilestradiolio</w:t>
      </w:r>
      <w:proofErr w:type="spellEnd"/>
      <w:r>
        <w:rPr>
          <w:szCs w:val="24"/>
          <w:lang w:val="lt-LT"/>
        </w:rPr>
        <w:t xml:space="preserve"> –66 %. Dėl šios priežasties manoma, kad vien hormoniniai kontraceptikai, nepriklausomai nuo jų vartojimo būdo (geriamieji, </w:t>
      </w:r>
      <w:proofErr w:type="spellStart"/>
      <w:r>
        <w:rPr>
          <w:szCs w:val="24"/>
          <w:lang w:val="lt-LT"/>
        </w:rPr>
        <w:t>transderminiai</w:t>
      </w:r>
      <w:proofErr w:type="spellEnd"/>
      <w:r>
        <w:rPr>
          <w:szCs w:val="24"/>
          <w:lang w:val="lt-LT"/>
        </w:rPr>
        <w:t xml:space="preserve"> ar implantuojamieji), nėra patikimas kontracepcijos būdas (žr. 4.4 ir 4.6 skyrius). </w:t>
      </w:r>
    </w:p>
    <w:p w14:paraId="538ED8C4" w14:textId="77777777" w:rsidR="00172C88" w:rsidRDefault="00172C88" w:rsidP="00172C88">
      <w:pPr>
        <w:rPr>
          <w:szCs w:val="24"/>
          <w:lang w:val="lt-LT"/>
        </w:rPr>
      </w:pPr>
      <w:r>
        <w:rPr>
          <w:szCs w:val="24"/>
          <w:lang w:val="lt-LT"/>
        </w:rPr>
        <w:t xml:space="preserve"> </w:t>
      </w:r>
    </w:p>
    <w:p w14:paraId="2A1EB16B" w14:textId="77777777" w:rsidR="00172C88" w:rsidRPr="00E32052" w:rsidRDefault="00172C88" w:rsidP="00172C88">
      <w:pPr>
        <w:rPr>
          <w:lang w:val="lt-LT"/>
        </w:rPr>
      </w:pPr>
      <w:r>
        <w:rPr>
          <w:i/>
          <w:iCs/>
          <w:szCs w:val="24"/>
          <w:lang w:val="lt-LT"/>
        </w:rPr>
        <w:t>Varfarinas</w:t>
      </w:r>
      <w:r>
        <w:rPr>
          <w:szCs w:val="24"/>
          <w:lang w:val="lt-LT"/>
        </w:rPr>
        <w:t xml:space="preserve">: varfariną vartojant kartu su </w:t>
      </w:r>
      <w:proofErr w:type="spellStart"/>
      <w:r>
        <w:rPr>
          <w:szCs w:val="24"/>
          <w:lang w:val="lt-LT"/>
        </w:rPr>
        <w:t>bozentanu</w:t>
      </w:r>
      <w:proofErr w:type="spellEnd"/>
      <w:r>
        <w:rPr>
          <w:szCs w:val="24"/>
          <w:lang w:val="lt-LT"/>
        </w:rPr>
        <w:t xml:space="preserve"> (po 500 mg du kartus per parą 6 dienas), S-varfarino (CYP2C9 substrato) ir R-varfarino (CYP3A4 substrato) koncentracija plazmoje sumažėjo atitinkamai 29 % ir 38 %. Remiantis klinikine </w:t>
      </w:r>
      <w:proofErr w:type="spellStart"/>
      <w:r>
        <w:rPr>
          <w:szCs w:val="24"/>
          <w:lang w:val="lt-LT"/>
        </w:rPr>
        <w:t>plautine</w:t>
      </w:r>
      <w:proofErr w:type="spellEnd"/>
      <w:r>
        <w:rPr>
          <w:szCs w:val="24"/>
          <w:lang w:val="lt-LT"/>
        </w:rPr>
        <w:t xml:space="preserve"> hipertenzija sergančių pacientų gydymo </w:t>
      </w:r>
      <w:proofErr w:type="spellStart"/>
      <w:r>
        <w:rPr>
          <w:szCs w:val="24"/>
          <w:lang w:val="lt-LT"/>
        </w:rPr>
        <w:t>bozentanu</w:t>
      </w:r>
      <w:proofErr w:type="spellEnd"/>
      <w:r>
        <w:rPr>
          <w:szCs w:val="24"/>
          <w:lang w:val="lt-LT"/>
        </w:rPr>
        <w:t xml:space="preserve"> kartu su varfarinu patirtimi, kliniškai reikšmingo tarptautinio normalizuoto santykio (TNS) pokyčio nebūna, varfarino dozės (lyginant pradinę dozę su doze klinikinio tyrimo pabaigoje) keisti neprireikia.</w:t>
      </w:r>
    </w:p>
    <w:p w14:paraId="76892405" w14:textId="77777777" w:rsidR="00172C88" w:rsidRDefault="00172C88" w:rsidP="00172C88">
      <w:pPr>
        <w:rPr>
          <w:szCs w:val="24"/>
          <w:lang w:val="lt-LT"/>
        </w:rPr>
      </w:pPr>
    </w:p>
    <w:p w14:paraId="0637BEF8" w14:textId="77777777" w:rsidR="00172C88" w:rsidRDefault="00172C88" w:rsidP="00172C88">
      <w:pPr>
        <w:rPr>
          <w:szCs w:val="24"/>
          <w:lang w:val="lt-LT"/>
        </w:rPr>
      </w:pPr>
      <w:r>
        <w:rPr>
          <w:szCs w:val="24"/>
          <w:lang w:val="lt-LT"/>
        </w:rPr>
        <w:lastRenderedPageBreak/>
        <w:t xml:space="preserve">Be to, tyrimų metu varfarino dozės keitimo dėl TNS pokyčių ar nepageidaujamo poveikio dažnis buvo panašus ir </w:t>
      </w:r>
      <w:proofErr w:type="spellStart"/>
      <w:r>
        <w:rPr>
          <w:szCs w:val="24"/>
          <w:lang w:val="lt-LT"/>
        </w:rPr>
        <w:t>bozentano</w:t>
      </w:r>
      <w:proofErr w:type="spellEnd"/>
      <w:r>
        <w:rPr>
          <w:szCs w:val="24"/>
          <w:lang w:val="lt-LT"/>
        </w:rPr>
        <w:t xml:space="preserve">, ir placebo vartojusiems pacientams. Gydymo </w:t>
      </w:r>
      <w:proofErr w:type="spellStart"/>
      <w:r>
        <w:rPr>
          <w:szCs w:val="24"/>
          <w:lang w:val="lt-LT"/>
        </w:rPr>
        <w:t>bozentanu</w:t>
      </w:r>
      <w:proofErr w:type="spellEnd"/>
      <w:r>
        <w:rPr>
          <w:szCs w:val="24"/>
          <w:lang w:val="lt-LT"/>
        </w:rPr>
        <w:t xml:space="preserve"> metu varfarino ir panašių geriamųjų antikoaguliantų dozės keisti nereikia, tačiau rekomenduojama dažniau tirti TNS, ypač gydymo </w:t>
      </w:r>
      <w:proofErr w:type="spellStart"/>
      <w:r>
        <w:rPr>
          <w:szCs w:val="24"/>
          <w:lang w:val="lt-LT"/>
        </w:rPr>
        <w:t>bozentanu</w:t>
      </w:r>
      <w:proofErr w:type="spellEnd"/>
      <w:r>
        <w:rPr>
          <w:szCs w:val="24"/>
          <w:lang w:val="lt-LT"/>
        </w:rPr>
        <w:t xml:space="preserve"> pradžioje ir laipsniško dozės didinimo laikotarpiu. </w:t>
      </w:r>
    </w:p>
    <w:p w14:paraId="23A5D9FB" w14:textId="77777777" w:rsidR="00172C88" w:rsidRDefault="00172C88" w:rsidP="00172C88">
      <w:pPr>
        <w:rPr>
          <w:szCs w:val="24"/>
          <w:lang w:val="lt-LT"/>
        </w:rPr>
      </w:pPr>
      <w:r>
        <w:rPr>
          <w:szCs w:val="24"/>
          <w:lang w:val="lt-LT"/>
        </w:rPr>
        <w:t xml:space="preserve"> </w:t>
      </w:r>
    </w:p>
    <w:p w14:paraId="2CA83A44" w14:textId="77777777" w:rsidR="00172C88" w:rsidRPr="00E32052" w:rsidRDefault="00172C88" w:rsidP="00172C88">
      <w:pPr>
        <w:rPr>
          <w:lang w:val="lt-LT"/>
        </w:rPr>
      </w:pPr>
      <w:proofErr w:type="spellStart"/>
      <w:r>
        <w:rPr>
          <w:i/>
          <w:iCs/>
          <w:szCs w:val="24"/>
          <w:lang w:val="lt-LT"/>
        </w:rPr>
        <w:t>Simvastatinas</w:t>
      </w:r>
      <w:proofErr w:type="spellEnd"/>
      <w:r>
        <w:rPr>
          <w:szCs w:val="24"/>
          <w:lang w:val="lt-LT"/>
        </w:rPr>
        <w:t xml:space="preserve">: </w:t>
      </w:r>
      <w:proofErr w:type="spellStart"/>
      <w:r>
        <w:rPr>
          <w:szCs w:val="24"/>
          <w:lang w:val="lt-LT"/>
        </w:rPr>
        <w:t>simvastatiną</w:t>
      </w:r>
      <w:proofErr w:type="spellEnd"/>
      <w:r>
        <w:rPr>
          <w:szCs w:val="24"/>
          <w:lang w:val="lt-LT"/>
        </w:rPr>
        <w:t xml:space="preserve"> vartojant kartu su </w:t>
      </w:r>
      <w:proofErr w:type="spellStart"/>
      <w:r>
        <w:rPr>
          <w:szCs w:val="24"/>
          <w:lang w:val="lt-LT"/>
        </w:rPr>
        <w:t>bozentanu</w:t>
      </w:r>
      <w:proofErr w:type="spellEnd"/>
      <w:r>
        <w:rPr>
          <w:szCs w:val="24"/>
          <w:lang w:val="lt-LT"/>
        </w:rPr>
        <w:t xml:space="preserve"> (po 125 mg du kartus per parą 5 dienas), </w:t>
      </w:r>
      <w:proofErr w:type="spellStart"/>
      <w:r>
        <w:rPr>
          <w:szCs w:val="24"/>
          <w:lang w:val="lt-LT"/>
        </w:rPr>
        <w:t>simvastatino</w:t>
      </w:r>
      <w:proofErr w:type="spellEnd"/>
      <w:r>
        <w:rPr>
          <w:szCs w:val="24"/>
          <w:lang w:val="lt-LT"/>
        </w:rPr>
        <w:t xml:space="preserve"> (CYP3A4 substrato) ir jo aktyvaus β-</w:t>
      </w:r>
      <w:proofErr w:type="spellStart"/>
      <w:r>
        <w:rPr>
          <w:szCs w:val="24"/>
          <w:lang w:val="lt-LT"/>
        </w:rPr>
        <w:t>hidroksi</w:t>
      </w:r>
      <w:proofErr w:type="spellEnd"/>
      <w:r>
        <w:rPr>
          <w:szCs w:val="24"/>
          <w:lang w:val="lt-LT"/>
        </w:rPr>
        <w:t xml:space="preserve"> rūgšties metabolito koncentracija plazmoje sumažėjo atitinkamai 34 % ir 46 %. </w:t>
      </w:r>
      <w:proofErr w:type="spellStart"/>
      <w:r>
        <w:rPr>
          <w:szCs w:val="24"/>
          <w:lang w:val="lt-LT"/>
        </w:rPr>
        <w:t>Simvastatinas</w:t>
      </w:r>
      <w:proofErr w:type="spellEnd"/>
      <w:r>
        <w:rPr>
          <w:szCs w:val="24"/>
          <w:lang w:val="lt-LT"/>
        </w:rPr>
        <w:t xml:space="preserve"> kartu vartojamo </w:t>
      </w:r>
      <w:proofErr w:type="spellStart"/>
      <w:r>
        <w:rPr>
          <w:szCs w:val="24"/>
          <w:lang w:val="lt-LT"/>
        </w:rPr>
        <w:t>bozentano</w:t>
      </w:r>
      <w:proofErr w:type="spellEnd"/>
      <w:r>
        <w:rPr>
          <w:szCs w:val="24"/>
          <w:lang w:val="lt-LT"/>
        </w:rPr>
        <w:t xml:space="preserve"> koncentracijai plazmoje įtakos neturėjo. Reikia apsvarstyti cholesterolio kiekio stebėjimą ir atitinkamai koreguoti dozavimą. </w:t>
      </w:r>
    </w:p>
    <w:p w14:paraId="4CD01280" w14:textId="77777777" w:rsidR="00172C88" w:rsidRDefault="00172C88" w:rsidP="00172C88">
      <w:pPr>
        <w:rPr>
          <w:szCs w:val="24"/>
          <w:lang w:val="lt-LT"/>
        </w:rPr>
      </w:pPr>
    </w:p>
    <w:p w14:paraId="6562A37F" w14:textId="77777777" w:rsidR="00172C88" w:rsidRPr="00E32052" w:rsidRDefault="00172C88" w:rsidP="00172C88">
      <w:pPr>
        <w:rPr>
          <w:lang w:val="lt-LT"/>
        </w:rPr>
      </w:pPr>
      <w:proofErr w:type="spellStart"/>
      <w:r>
        <w:rPr>
          <w:i/>
          <w:iCs/>
          <w:szCs w:val="24"/>
          <w:lang w:val="lt-LT"/>
        </w:rPr>
        <w:t>Ketokonazolas</w:t>
      </w:r>
      <w:proofErr w:type="spellEnd"/>
      <w:r>
        <w:rPr>
          <w:szCs w:val="24"/>
          <w:lang w:val="lt-LT"/>
        </w:rPr>
        <w:t xml:space="preserve">: stiprų CYP3A4 inhibitorių </w:t>
      </w:r>
      <w:proofErr w:type="spellStart"/>
      <w:r>
        <w:rPr>
          <w:szCs w:val="24"/>
          <w:lang w:val="lt-LT"/>
        </w:rPr>
        <w:t>ketokonazolą</w:t>
      </w:r>
      <w:proofErr w:type="spellEnd"/>
      <w:r>
        <w:rPr>
          <w:szCs w:val="24"/>
          <w:lang w:val="lt-LT"/>
        </w:rPr>
        <w:t xml:space="preserve"> vartojant kartu su </w:t>
      </w:r>
      <w:proofErr w:type="spellStart"/>
      <w:r>
        <w:rPr>
          <w:szCs w:val="24"/>
          <w:lang w:val="lt-LT"/>
        </w:rPr>
        <w:t>bozentanu</w:t>
      </w:r>
      <w:proofErr w:type="spellEnd"/>
      <w:r>
        <w:rPr>
          <w:szCs w:val="24"/>
          <w:lang w:val="lt-LT"/>
        </w:rPr>
        <w:t xml:space="preserve"> (po 62,5 mg du kartus per parą 6 dienas), </w:t>
      </w:r>
      <w:proofErr w:type="spellStart"/>
      <w:r>
        <w:rPr>
          <w:szCs w:val="24"/>
          <w:lang w:val="lt-LT"/>
        </w:rPr>
        <w:t>bozentano</w:t>
      </w:r>
      <w:proofErr w:type="spellEnd"/>
      <w:r>
        <w:rPr>
          <w:szCs w:val="24"/>
          <w:lang w:val="lt-LT"/>
        </w:rPr>
        <w:t xml:space="preserve"> koncentracija plazmoje padidėjo maždaug 2 kartus. Laikoma, kad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dozės koreguoti nereikia. Nors toks poveikis </w:t>
      </w:r>
      <w:proofErr w:type="spellStart"/>
      <w:r>
        <w:rPr>
          <w:i/>
          <w:iCs/>
          <w:szCs w:val="24"/>
          <w:lang w:val="lt-LT"/>
        </w:rPr>
        <w:t>in</w:t>
      </w:r>
      <w:proofErr w:type="spellEnd"/>
      <w:r>
        <w:rPr>
          <w:i/>
          <w:iCs/>
          <w:szCs w:val="24"/>
          <w:lang w:val="lt-LT"/>
        </w:rPr>
        <w:t xml:space="preserve"> </w:t>
      </w:r>
      <w:proofErr w:type="spellStart"/>
      <w:r>
        <w:rPr>
          <w:i/>
          <w:iCs/>
          <w:szCs w:val="24"/>
          <w:lang w:val="lt-LT"/>
        </w:rPr>
        <w:t>vivo</w:t>
      </w:r>
      <w:proofErr w:type="spellEnd"/>
      <w:r>
        <w:rPr>
          <w:szCs w:val="24"/>
          <w:lang w:val="lt-LT"/>
        </w:rPr>
        <w:t xml:space="preserve"> tyrimais patvirtintas nebuvo, panašaus </w:t>
      </w:r>
      <w:proofErr w:type="spellStart"/>
      <w:r>
        <w:rPr>
          <w:szCs w:val="24"/>
          <w:lang w:val="lt-LT"/>
        </w:rPr>
        <w:t>bozentano</w:t>
      </w:r>
      <w:proofErr w:type="spellEnd"/>
      <w:r>
        <w:rPr>
          <w:szCs w:val="24"/>
          <w:lang w:val="lt-LT"/>
        </w:rPr>
        <w:t xml:space="preserve"> koncentracijos plazmoje padidėjimo galima tikėtis kartu vartojant ir kitokių stiprių CYP3A4 inhibitorių (pvz., </w:t>
      </w:r>
      <w:proofErr w:type="spellStart"/>
      <w:r>
        <w:rPr>
          <w:szCs w:val="24"/>
          <w:lang w:val="lt-LT"/>
        </w:rPr>
        <w:t>itrakonazolo</w:t>
      </w:r>
      <w:proofErr w:type="spellEnd"/>
      <w:r>
        <w:rPr>
          <w:szCs w:val="24"/>
          <w:lang w:val="lt-LT"/>
        </w:rPr>
        <w:t xml:space="preserve"> arba ritonaviro). Vis dėlto, jei kartu vartojama CYP3A4 inhibitorių, pacientų, kurių organizme su CYP2C9 susijęs metabolizmas vyksta lėtai, plazmoje </w:t>
      </w:r>
      <w:proofErr w:type="spellStart"/>
      <w:r>
        <w:rPr>
          <w:szCs w:val="24"/>
          <w:lang w:val="lt-LT"/>
        </w:rPr>
        <w:t>bozentano</w:t>
      </w:r>
      <w:proofErr w:type="spellEnd"/>
      <w:r>
        <w:rPr>
          <w:szCs w:val="24"/>
          <w:lang w:val="lt-LT"/>
        </w:rPr>
        <w:t xml:space="preserve"> koncentracija gali padidėti dar labiau ir dėl to gali atsirasti žalingų nepageidaujamų reiškinių. </w:t>
      </w:r>
    </w:p>
    <w:p w14:paraId="142727AA" w14:textId="77777777" w:rsidR="00172C88" w:rsidRDefault="00172C88" w:rsidP="00172C88">
      <w:pPr>
        <w:rPr>
          <w:szCs w:val="24"/>
          <w:lang w:val="lt-LT"/>
        </w:rPr>
      </w:pPr>
      <w:r>
        <w:rPr>
          <w:szCs w:val="24"/>
          <w:lang w:val="lt-LT"/>
        </w:rPr>
        <w:t xml:space="preserve"> </w:t>
      </w:r>
    </w:p>
    <w:p w14:paraId="3D296725" w14:textId="77777777" w:rsidR="00172C88" w:rsidRPr="00E32052" w:rsidRDefault="00172C88" w:rsidP="00172C88">
      <w:pPr>
        <w:rPr>
          <w:lang w:val="lt-LT"/>
        </w:rPr>
      </w:pPr>
      <w:proofErr w:type="spellStart"/>
      <w:r>
        <w:rPr>
          <w:i/>
          <w:iCs/>
          <w:szCs w:val="24"/>
          <w:lang w:val="lt-LT"/>
        </w:rPr>
        <w:t>Epoprostenolis</w:t>
      </w:r>
      <w:proofErr w:type="spellEnd"/>
      <w:r>
        <w:rPr>
          <w:szCs w:val="24"/>
          <w:lang w:val="lt-LT"/>
        </w:rPr>
        <w:t xml:space="preserve">: riboti tyrimų, kurių metu 10 pediatrinių pacientų buvo gydyti </w:t>
      </w:r>
      <w:proofErr w:type="spellStart"/>
      <w:r>
        <w:rPr>
          <w:szCs w:val="24"/>
          <w:lang w:val="lt-LT"/>
        </w:rPr>
        <w:t>bozentano</w:t>
      </w:r>
      <w:proofErr w:type="spellEnd"/>
      <w:r>
        <w:rPr>
          <w:szCs w:val="24"/>
          <w:lang w:val="lt-LT"/>
        </w:rPr>
        <w:t xml:space="preserve"> ir </w:t>
      </w:r>
      <w:proofErr w:type="spellStart"/>
      <w:r>
        <w:rPr>
          <w:szCs w:val="24"/>
          <w:lang w:val="lt-LT"/>
        </w:rPr>
        <w:t>epoprostenolio</w:t>
      </w:r>
      <w:proofErr w:type="spellEnd"/>
      <w:r>
        <w:rPr>
          <w:szCs w:val="24"/>
          <w:lang w:val="lt-LT"/>
        </w:rPr>
        <w:t xml:space="preserve"> deriniu (AC-052-356 [BREATHE-3]), duomenys rodo, kad vartojant ir vienkartinę, ir kartotines dozes, pacientų, kuriems buvo taikomos nuolatinės </w:t>
      </w:r>
      <w:proofErr w:type="spellStart"/>
      <w:r>
        <w:rPr>
          <w:szCs w:val="24"/>
          <w:lang w:val="lt-LT"/>
        </w:rPr>
        <w:t>epoprostenolio</w:t>
      </w:r>
      <w:proofErr w:type="spellEnd"/>
      <w:r>
        <w:rPr>
          <w:szCs w:val="24"/>
          <w:lang w:val="lt-LT"/>
        </w:rPr>
        <w:t xml:space="preserve"> infuzijos, ir ligonių, kuriems toks gydymas nebuvo taikytas, organizme </w:t>
      </w:r>
      <w:proofErr w:type="spellStart"/>
      <w:r>
        <w:rPr>
          <w:szCs w:val="24"/>
          <w:lang w:val="lt-LT"/>
        </w:rPr>
        <w:t>bozentano</w:t>
      </w:r>
      <w:proofErr w:type="spellEnd"/>
      <w:r>
        <w:rPr>
          <w:szCs w:val="24"/>
          <w:lang w:val="lt-LT"/>
        </w:rPr>
        <w:t xml:space="preserve"> </w:t>
      </w:r>
      <w:proofErr w:type="spellStart"/>
      <w:r>
        <w:rPr>
          <w:szCs w:val="24"/>
          <w:lang w:val="lt-LT"/>
        </w:rPr>
        <w:t>C</w:t>
      </w:r>
      <w:r>
        <w:rPr>
          <w:szCs w:val="24"/>
          <w:vertAlign w:val="subscript"/>
          <w:lang w:val="lt-LT"/>
        </w:rPr>
        <w:t>max</w:t>
      </w:r>
      <w:proofErr w:type="spellEnd"/>
      <w:r>
        <w:rPr>
          <w:szCs w:val="24"/>
          <w:lang w:val="lt-LT"/>
        </w:rPr>
        <w:t xml:space="preserve"> ir AUC rodmenys buvo panašūs (žr. 5.1 skyrių). </w:t>
      </w:r>
    </w:p>
    <w:p w14:paraId="7866CDBB" w14:textId="77777777" w:rsidR="00172C88" w:rsidRDefault="00172C88" w:rsidP="00172C88">
      <w:pPr>
        <w:rPr>
          <w:szCs w:val="24"/>
          <w:lang w:val="lt-LT"/>
        </w:rPr>
      </w:pPr>
    </w:p>
    <w:p w14:paraId="1AEF703A" w14:textId="77777777" w:rsidR="00172C88" w:rsidRDefault="00172C88" w:rsidP="00172C88">
      <w:pPr>
        <w:rPr>
          <w:szCs w:val="24"/>
          <w:lang w:val="lt-LT"/>
        </w:rPr>
      </w:pPr>
      <w:proofErr w:type="spellStart"/>
      <w:r>
        <w:rPr>
          <w:i/>
          <w:iCs/>
          <w:szCs w:val="24"/>
          <w:lang w:val="lt-LT"/>
        </w:rPr>
        <w:t>Sildenafilis</w:t>
      </w:r>
      <w:proofErr w:type="spellEnd"/>
      <w:r>
        <w:rPr>
          <w:szCs w:val="24"/>
          <w:lang w:val="lt-LT"/>
        </w:rPr>
        <w:t xml:space="preserve">: sveikiems savanoriams 6 dienas vartojant po 125 mg </w:t>
      </w:r>
      <w:proofErr w:type="spellStart"/>
      <w:r>
        <w:rPr>
          <w:szCs w:val="24"/>
          <w:lang w:val="lt-LT"/>
        </w:rPr>
        <w:t>bozentano</w:t>
      </w:r>
      <w:proofErr w:type="spellEnd"/>
      <w:r>
        <w:rPr>
          <w:szCs w:val="24"/>
          <w:lang w:val="lt-LT"/>
        </w:rPr>
        <w:t xml:space="preserve"> du kartus per parą (nusistovėjus </w:t>
      </w:r>
      <w:proofErr w:type="spellStart"/>
      <w:r>
        <w:rPr>
          <w:szCs w:val="24"/>
          <w:lang w:val="lt-LT"/>
        </w:rPr>
        <w:t>pusiausvyrinei</w:t>
      </w:r>
      <w:proofErr w:type="spellEnd"/>
      <w:r>
        <w:rPr>
          <w:szCs w:val="24"/>
          <w:lang w:val="lt-LT"/>
        </w:rPr>
        <w:t xml:space="preserve"> apykaitai) kartu su </w:t>
      </w:r>
      <w:proofErr w:type="spellStart"/>
      <w:r>
        <w:rPr>
          <w:szCs w:val="24"/>
          <w:lang w:val="lt-LT"/>
        </w:rPr>
        <w:t>sildenafiliu</w:t>
      </w:r>
      <w:proofErr w:type="spellEnd"/>
      <w:r>
        <w:rPr>
          <w:szCs w:val="24"/>
          <w:lang w:val="lt-LT"/>
        </w:rPr>
        <w:t xml:space="preserve"> (po 80 mg tris kartus per parą) (nusistovėjus </w:t>
      </w:r>
      <w:proofErr w:type="spellStart"/>
      <w:r>
        <w:rPr>
          <w:szCs w:val="24"/>
          <w:lang w:val="lt-LT"/>
        </w:rPr>
        <w:t>pusiausvyrinei</w:t>
      </w:r>
      <w:proofErr w:type="spellEnd"/>
      <w:r>
        <w:rPr>
          <w:szCs w:val="24"/>
          <w:lang w:val="lt-LT"/>
        </w:rPr>
        <w:t xml:space="preserve"> apykaitai), </w:t>
      </w:r>
      <w:proofErr w:type="spellStart"/>
      <w:r>
        <w:rPr>
          <w:szCs w:val="24"/>
          <w:lang w:val="lt-LT"/>
        </w:rPr>
        <w:t>sildenafilio</w:t>
      </w:r>
      <w:proofErr w:type="spellEnd"/>
      <w:r>
        <w:rPr>
          <w:szCs w:val="24"/>
          <w:lang w:val="lt-LT"/>
        </w:rPr>
        <w:t xml:space="preserve"> AUC sumažėjo 63 %, o </w:t>
      </w:r>
      <w:proofErr w:type="spellStart"/>
      <w:r>
        <w:rPr>
          <w:szCs w:val="24"/>
          <w:lang w:val="lt-LT"/>
        </w:rPr>
        <w:t>bozentano</w:t>
      </w:r>
      <w:proofErr w:type="spellEnd"/>
      <w:r>
        <w:rPr>
          <w:szCs w:val="24"/>
          <w:lang w:val="lt-LT"/>
        </w:rPr>
        <w:t xml:space="preserve"> AUC padidėjo 50 %. Minėtų vaistinių preparatų vartoti kartu rekomenduojama atsargiai. </w:t>
      </w:r>
    </w:p>
    <w:p w14:paraId="6EB12D1F" w14:textId="77777777" w:rsidR="00172C88" w:rsidRDefault="00172C88" w:rsidP="00172C88">
      <w:pPr>
        <w:rPr>
          <w:szCs w:val="24"/>
          <w:lang w:val="lt-LT"/>
        </w:rPr>
      </w:pPr>
    </w:p>
    <w:p w14:paraId="1E1CE61D" w14:textId="77777777" w:rsidR="00172C88" w:rsidRPr="00E32052" w:rsidRDefault="00172C88" w:rsidP="00172C88">
      <w:pPr>
        <w:rPr>
          <w:lang w:val="lt-LT"/>
        </w:rPr>
      </w:pPr>
      <w:proofErr w:type="spellStart"/>
      <w:r w:rsidRPr="00212D12">
        <w:rPr>
          <w:i/>
          <w:iCs/>
          <w:szCs w:val="22"/>
          <w:lang w:val="lt-LT"/>
        </w:rPr>
        <w:t>Tadalafilis</w:t>
      </w:r>
      <w:proofErr w:type="spellEnd"/>
      <w:r w:rsidRPr="00212D12">
        <w:rPr>
          <w:i/>
          <w:iCs/>
          <w:szCs w:val="22"/>
          <w:lang w:val="lt-LT"/>
        </w:rPr>
        <w:t xml:space="preserve">: </w:t>
      </w:r>
      <w:proofErr w:type="spellStart"/>
      <w:r w:rsidRPr="00212D12">
        <w:rPr>
          <w:szCs w:val="22"/>
          <w:lang w:val="lt-LT"/>
        </w:rPr>
        <w:t>bozentanas</w:t>
      </w:r>
      <w:proofErr w:type="spellEnd"/>
      <w:r w:rsidRPr="00212D12">
        <w:rPr>
          <w:szCs w:val="22"/>
          <w:lang w:val="lt-LT"/>
        </w:rPr>
        <w:t xml:space="preserve"> (po 125</w:t>
      </w:r>
      <w:r>
        <w:rPr>
          <w:szCs w:val="22"/>
          <w:lang w:val="lt-LT"/>
        </w:rPr>
        <w:t> </w:t>
      </w:r>
      <w:r w:rsidRPr="00212D12">
        <w:rPr>
          <w:szCs w:val="22"/>
          <w:lang w:val="lt-LT"/>
        </w:rPr>
        <w:t>mg du kartus per parą) 42</w:t>
      </w:r>
      <w:r>
        <w:rPr>
          <w:szCs w:val="22"/>
          <w:lang w:val="lt-LT"/>
        </w:rPr>
        <w:t> </w:t>
      </w:r>
      <w:r w:rsidRPr="00212D12">
        <w:rPr>
          <w:szCs w:val="22"/>
          <w:lang w:val="lt-LT"/>
        </w:rPr>
        <w:t xml:space="preserve">% sumažino sisteminę </w:t>
      </w:r>
      <w:proofErr w:type="spellStart"/>
      <w:r w:rsidRPr="00212D12">
        <w:rPr>
          <w:szCs w:val="22"/>
          <w:lang w:val="lt-LT"/>
        </w:rPr>
        <w:t>tadalafilio</w:t>
      </w:r>
      <w:proofErr w:type="spellEnd"/>
      <w:r w:rsidRPr="00212D12">
        <w:rPr>
          <w:szCs w:val="22"/>
          <w:lang w:val="lt-LT"/>
        </w:rPr>
        <w:t xml:space="preserve"> (40</w:t>
      </w:r>
      <w:r>
        <w:rPr>
          <w:szCs w:val="22"/>
          <w:lang w:val="lt-LT"/>
        </w:rPr>
        <w:t> </w:t>
      </w:r>
      <w:r w:rsidRPr="00212D12">
        <w:rPr>
          <w:szCs w:val="22"/>
          <w:lang w:val="lt-LT"/>
        </w:rPr>
        <w:t>mg kartą per parą) ekspoziciją ir 27</w:t>
      </w:r>
      <w:r>
        <w:rPr>
          <w:szCs w:val="22"/>
          <w:lang w:val="lt-LT"/>
        </w:rPr>
        <w:t> </w:t>
      </w:r>
      <w:r w:rsidRPr="00212D12">
        <w:rPr>
          <w:szCs w:val="22"/>
          <w:lang w:val="lt-LT"/>
        </w:rPr>
        <w:t xml:space="preserve">% sumažino jo </w:t>
      </w:r>
      <w:proofErr w:type="spellStart"/>
      <w:r w:rsidRPr="00212D12">
        <w:rPr>
          <w:szCs w:val="22"/>
          <w:lang w:val="lt-LT"/>
        </w:rPr>
        <w:t>C</w:t>
      </w:r>
      <w:r w:rsidRPr="00212D12">
        <w:rPr>
          <w:sz w:val="14"/>
          <w:szCs w:val="14"/>
          <w:lang w:val="lt-LT"/>
        </w:rPr>
        <w:t>max</w:t>
      </w:r>
      <w:proofErr w:type="spellEnd"/>
      <w:r w:rsidRPr="00212D12">
        <w:rPr>
          <w:szCs w:val="22"/>
          <w:lang w:val="lt-LT"/>
        </w:rPr>
        <w:t xml:space="preserve">, kai vaistiniai preparatai buvo vartojami kartu ir daugkartinėmis dozėmis. </w:t>
      </w:r>
      <w:proofErr w:type="spellStart"/>
      <w:r w:rsidRPr="00212D12">
        <w:rPr>
          <w:szCs w:val="22"/>
          <w:lang w:val="lt-LT"/>
        </w:rPr>
        <w:t>Tadalafilis</w:t>
      </w:r>
      <w:proofErr w:type="spellEnd"/>
      <w:r w:rsidRPr="00212D12">
        <w:rPr>
          <w:szCs w:val="22"/>
          <w:lang w:val="lt-LT"/>
        </w:rPr>
        <w:t xml:space="preserve"> neturėjo įtakos </w:t>
      </w:r>
      <w:proofErr w:type="spellStart"/>
      <w:r w:rsidRPr="00212D12">
        <w:rPr>
          <w:szCs w:val="22"/>
          <w:lang w:val="lt-LT"/>
        </w:rPr>
        <w:t>bozentano</w:t>
      </w:r>
      <w:proofErr w:type="spellEnd"/>
      <w:r w:rsidRPr="00212D12">
        <w:rPr>
          <w:szCs w:val="22"/>
          <w:lang w:val="lt-LT"/>
        </w:rPr>
        <w:t xml:space="preserve"> ar jo metabolitų ekspozicijai (AUC ir </w:t>
      </w:r>
      <w:proofErr w:type="spellStart"/>
      <w:r w:rsidRPr="00212D12">
        <w:rPr>
          <w:szCs w:val="22"/>
          <w:lang w:val="lt-LT"/>
        </w:rPr>
        <w:t>C</w:t>
      </w:r>
      <w:r w:rsidRPr="00212D12">
        <w:rPr>
          <w:sz w:val="14"/>
          <w:szCs w:val="14"/>
          <w:lang w:val="lt-LT"/>
        </w:rPr>
        <w:t>max</w:t>
      </w:r>
      <w:proofErr w:type="spellEnd"/>
      <w:r w:rsidRPr="00212D12">
        <w:rPr>
          <w:szCs w:val="22"/>
          <w:lang w:val="lt-LT"/>
        </w:rPr>
        <w:t>).</w:t>
      </w:r>
    </w:p>
    <w:p w14:paraId="55B4B715" w14:textId="77777777" w:rsidR="00172C88" w:rsidRDefault="00172C88" w:rsidP="00172C88">
      <w:pPr>
        <w:rPr>
          <w:szCs w:val="24"/>
          <w:lang w:val="lt-LT"/>
        </w:rPr>
      </w:pPr>
    </w:p>
    <w:p w14:paraId="104B2DCF" w14:textId="339BCBB2" w:rsidR="00172C88" w:rsidRDefault="00172C88" w:rsidP="00172C88">
      <w:pPr>
        <w:rPr>
          <w:szCs w:val="24"/>
          <w:lang w:val="lt-LT"/>
        </w:rPr>
      </w:pPr>
      <w:proofErr w:type="spellStart"/>
      <w:r>
        <w:rPr>
          <w:i/>
          <w:iCs/>
          <w:szCs w:val="24"/>
          <w:lang w:val="lt-LT"/>
        </w:rPr>
        <w:t>Digoksinas</w:t>
      </w:r>
      <w:proofErr w:type="spellEnd"/>
      <w:r>
        <w:rPr>
          <w:szCs w:val="24"/>
          <w:lang w:val="lt-LT"/>
        </w:rPr>
        <w:t xml:space="preserve">: 7 dienas vartojant </w:t>
      </w:r>
      <w:proofErr w:type="spellStart"/>
      <w:r>
        <w:rPr>
          <w:szCs w:val="24"/>
          <w:lang w:val="lt-LT"/>
        </w:rPr>
        <w:t>digoksino</w:t>
      </w:r>
      <w:proofErr w:type="spellEnd"/>
      <w:r>
        <w:rPr>
          <w:szCs w:val="24"/>
          <w:lang w:val="lt-LT"/>
        </w:rPr>
        <w:t xml:space="preserve"> kartu su </w:t>
      </w:r>
      <w:proofErr w:type="spellStart"/>
      <w:r>
        <w:rPr>
          <w:szCs w:val="24"/>
          <w:lang w:val="lt-LT"/>
        </w:rPr>
        <w:t>bozentanu</w:t>
      </w:r>
      <w:proofErr w:type="spellEnd"/>
      <w:r>
        <w:rPr>
          <w:szCs w:val="24"/>
          <w:lang w:val="lt-LT"/>
        </w:rPr>
        <w:t xml:space="preserve"> (po 500 mg du kartus per parą), </w:t>
      </w:r>
      <w:proofErr w:type="spellStart"/>
      <w:r>
        <w:rPr>
          <w:szCs w:val="24"/>
          <w:lang w:val="lt-LT"/>
        </w:rPr>
        <w:t>digoksino</w:t>
      </w:r>
      <w:proofErr w:type="spellEnd"/>
      <w:r>
        <w:rPr>
          <w:szCs w:val="24"/>
          <w:lang w:val="lt-LT"/>
        </w:rPr>
        <w:t xml:space="preserve"> AUC, </w:t>
      </w:r>
      <w:proofErr w:type="spellStart"/>
      <w:r>
        <w:rPr>
          <w:szCs w:val="24"/>
          <w:lang w:val="lt-LT"/>
        </w:rPr>
        <w:t>C</w:t>
      </w:r>
      <w:r>
        <w:rPr>
          <w:szCs w:val="24"/>
          <w:vertAlign w:val="subscript"/>
          <w:lang w:val="lt-LT"/>
        </w:rPr>
        <w:t>max</w:t>
      </w:r>
      <w:proofErr w:type="spellEnd"/>
      <w:r>
        <w:rPr>
          <w:szCs w:val="24"/>
          <w:lang w:val="lt-LT"/>
        </w:rPr>
        <w:t xml:space="preserve"> ir </w:t>
      </w:r>
      <w:proofErr w:type="spellStart"/>
      <w:r>
        <w:rPr>
          <w:szCs w:val="24"/>
          <w:lang w:val="lt-LT"/>
        </w:rPr>
        <w:t>C</w:t>
      </w:r>
      <w:r>
        <w:rPr>
          <w:szCs w:val="24"/>
          <w:vertAlign w:val="subscript"/>
          <w:lang w:val="lt-LT"/>
        </w:rPr>
        <w:t>min</w:t>
      </w:r>
      <w:proofErr w:type="spellEnd"/>
      <w:r>
        <w:rPr>
          <w:szCs w:val="24"/>
          <w:lang w:val="lt-LT"/>
        </w:rPr>
        <w:t xml:space="preserve"> sumažėjo atitinkamai 12 %, 9 % ir 23 %. Galimas šios sąveikos mechanizmas yra P-</w:t>
      </w:r>
      <w:proofErr w:type="spellStart"/>
      <w:r>
        <w:rPr>
          <w:szCs w:val="24"/>
          <w:lang w:val="lt-LT"/>
        </w:rPr>
        <w:t>glikoproteino</w:t>
      </w:r>
      <w:proofErr w:type="spellEnd"/>
      <w:r>
        <w:rPr>
          <w:szCs w:val="24"/>
          <w:lang w:val="lt-LT"/>
        </w:rPr>
        <w:t xml:space="preserve"> indukcija. Mažai tikėtina, kad ši sąveika yra kliniškai reikšminga. </w:t>
      </w:r>
    </w:p>
    <w:p w14:paraId="2F292455" w14:textId="77777777" w:rsidR="00172C88" w:rsidRDefault="00172C88" w:rsidP="00172C88">
      <w:pPr>
        <w:rPr>
          <w:szCs w:val="24"/>
          <w:lang w:val="lt-LT"/>
        </w:rPr>
      </w:pPr>
    </w:p>
    <w:p w14:paraId="5863AB51" w14:textId="77777777" w:rsidR="00172C88" w:rsidRDefault="00172C88" w:rsidP="00172C88">
      <w:pPr>
        <w:rPr>
          <w:szCs w:val="24"/>
          <w:u w:val="single"/>
          <w:lang w:val="lt-LT"/>
        </w:rPr>
      </w:pPr>
      <w:r>
        <w:rPr>
          <w:szCs w:val="24"/>
          <w:u w:val="single"/>
          <w:lang w:val="lt-LT"/>
        </w:rPr>
        <w:t xml:space="preserve">Vaikų populiacija </w:t>
      </w:r>
    </w:p>
    <w:p w14:paraId="02B0257C" w14:textId="77777777" w:rsidR="00172C88" w:rsidRDefault="00172C88" w:rsidP="00172C88">
      <w:pPr>
        <w:rPr>
          <w:szCs w:val="24"/>
          <w:lang w:val="lt-LT"/>
        </w:rPr>
      </w:pPr>
      <w:r>
        <w:rPr>
          <w:szCs w:val="24"/>
          <w:lang w:val="lt-LT"/>
        </w:rPr>
        <w:t>Sąveikos tyrimai atlikti tik suaugusiesiems.</w:t>
      </w:r>
    </w:p>
    <w:p w14:paraId="3A9ABE78" w14:textId="77777777" w:rsidR="00172C88" w:rsidRDefault="00172C88" w:rsidP="00172C88">
      <w:pPr>
        <w:rPr>
          <w:szCs w:val="24"/>
          <w:lang w:val="lt-LT"/>
        </w:rPr>
      </w:pPr>
    </w:p>
    <w:p w14:paraId="5D89D2D1"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0B6988E0" w14:textId="77777777" w:rsidR="00172C88" w:rsidRDefault="00172C88" w:rsidP="00172C88">
      <w:pPr>
        <w:rPr>
          <w:szCs w:val="24"/>
          <w:lang w:val="lt-LT"/>
        </w:rPr>
      </w:pPr>
    </w:p>
    <w:p w14:paraId="6AB4B0E5" w14:textId="77777777" w:rsidR="00172C88" w:rsidRDefault="00172C88" w:rsidP="00172C88">
      <w:pPr>
        <w:rPr>
          <w:iCs/>
          <w:color w:val="0D0D0D"/>
          <w:szCs w:val="24"/>
          <w:u w:val="single"/>
          <w:lang w:val="lt-LT"/>
        </w:rPr>
      </w:pPr>
      <w:r>
        <w:rPr>
          <w:iCs/>
          <w:color w:val="0D0D0D"/>
          <w:szCs w:val="24"/>
          <w:u w:val="single"/>
          <w:lang w:val="lt-LT"/>
        </w:rPr>
        <w:t>Nėštumas</w:t>
      </w:r>
    </w:p>
    <w:p w14:paraId="30F331E3" w14:textId="77777777" w:rsidR="00172C88" w:rsidRDefault="00172C88" w:rsidP="00172C88">
      <w:pPr>
        <w:rPr>
          <w:color w:val="0D0D0D"/>
          <w:szCs w:val="24"/>
          <w:lang w:val="lt-LT"/>
        </w:rPr>
      </w:pPr>
      <w:r>
        <w:rPr>
          <w:color w:val="0D0D0D"/>
          <w:szCs w:val="24"/>
          <w:lang w:val="lt-LT"/>
        </w:rPr>
        <w:t>Su gyvūnais atlikti tyrimai parodė toksinį poveikį reprodukcijai (</w:t>
      </w:r>
      <w:proofErr w:type="spellStart"/>
      <w:r>
        <w:rPr>
          <w:color w:val="0D0D0D"/>
          <w:szCs w:val="24"/>
          <w:lang w:val="lt-LT"/>
        </w:rPr>
        <w:t>teratogeninį</w:t>
      </w:r>
      <w:proofErr w:type="spellEnd"/>
      <w:r>
        <w:rPr>
          <w:color w:val="0D0D0D"/>
          <w:szCs w:val="24"/>
          <w:lang w:val="lt-LT"/>
        </w:rPr>
        <w:t xml:space="preserve"> ir </w:t>
      </w:r>
      <w:proofErr w:type="spellStart"/>
      <w:r>
        <w:rPr>
          <w:color w:val="0D0D0D"/>
          <w:szCs w:val="24"/>
          <w:lang w:val="lt-LT"/>
        </w:rPr>
        <w:t>embriotoksinį</w:t>
      </w:r>
      <w:proofErr w:type="spellEnd"/>
      <w:r>
        <w:rPr>
          <w:color w:val="0D0D0D"/>
          <w:szCs w:val="24"/>
          <w:lang w:val="lt-LT"/>
        </w:rPr>
        <w:t xml:space="preserve"> poveikį, žr. 5.3 skyrių). Patikimų duomenų apie nėščių moterų gydymą </w:t>
      </w:r>
      <w:proofErr w:type="spellStart"/>
      <w:r>
        <w:rPr>
          <w:color w:val="0D0D0D"/>
          <w:szCs w:val="24"/>
          <w:lang w:val="lt-LT"/>
        </w:rPr>
        <w:t>Bosentan</w:t>
      </w:r>
      <w:proofErr w:type="spellEnd"/>
      <w:r>
        <w:rPr>
          <w:color w:val="0D0D0D"/>
          <w:szCs w:val="24"/>
          <w:lang w:val="lt-LT"/>
        </w:rPr>
        <w:t xml:space="preserve"> </w:t>
      </w:r>
      <w:proofErr w:type="spellStart"/>
      <w:r>
        <w:rPr>
          <w:color w:val="0D0D0D"/>
          <w:szCs w:val="24"/>
          <w:lang w:val="lt-LT"/>
        </w:rPr>
        <w:t>Norameda</w:t>
      </w:r>
      <w:proofErr w:type="spellEnd"/>
      <w:r>
        <w:rPr>
          <w:color w:val="0D0D0D"/>
          <w:szCs w:val="24"/>
          <w:lang w:val="lt-LT"/>
        </w:rPr>
        <w:t xml:space="preserve"> nėra. Galima su žmonėmis susijusi rizika nėra žinoma. </w:t>
      </w:r>
      <w:proofErr w:type="spellStart"/>
      <w:r>
        <w:rPr>
          <w:color w:val="0D0D0D"/>
          <w:szCs w:val="24"/>
          <w:lang w:val="lt-LT"/>
        </w:rPr>
        <w:t>Bosentan</w:t>
      </w:r>
      <w:proofErr w:type="spellEnd"/>
      <w:r>
        <w:rPr>
          <w:color w:val="0D0D0D"/>
          <w:szCs w:val="24"/>
          <w:lang w:val="lt-LT"/>
        </w:rPr>
        <w:t xml:space="preserve"> </w:t>
      </w:r>
      <w:proofErr w:type="spellStart"/>
      <w:r>
        <w:rPr>
          <w:color w:val="0D0D0D"/>
          <w:szCs w:val="24"/>
          <w:lang w:val="lt-LT"/>
        </w:rPr>
        <w:t>Norameda</w:t>
      </w:r>
      <w:proofErr w:type="spellEnd"/>
      <w:r>
        <w:rPr>
          <w:color w:val="0D0D0D"/>
          <w:szCs w:val="24"/>
          <w:lang w:val="lt-LT"/>
        </w:rPr>
        <w:t xml:space="preserve"> negalima vartoti nėštumo metu (žr. 4.3. skyrių). </w:t>
      </w:r>
    </w:p>
    <w:p w14:paraId="7CCD8C21" w14:textId="77777777" w:rsidR="00172C88" w:rsidRDefault="00172C88" w:rsidP="00172C88">
      <w:pPr>
        <w:rPr>
          <w:color w:val="0D0D0D"/>
          <w:szCs w:val="24"/>
          <w:lang w:val="lt-LT"/>
        </w:rPr>
      </w:pPr>
    </w:p>
    <w:p w14:paraId="7485D6CE" w14:textId="77777777" w:rsidR="00172C88" w:rsidRDefault="00172C88" w:rsidP="00172C88">
      <w:pPr>
        <w:rPr>
          <w:iCs/>
          <w:color w:val="0D0D0D"/>
          <w:szCs w:val="24"/>
          <w:u w:val="single"/>
          <w:lang w:val="lt-LT"/>
        </w:rPr>
      </w:pPr>
      <w:r>
        <w:rPr>
          <w:iCs/>
          <w:color w:val="0D0D0D"/>
          <w:szCs w:val="24"/>
          <w:u w:val="single"/>
          <w:lang w:val="lt-LT"/>
        </w:rPr>
        <w:t xml:space="preserve">Vaisingos moterys </w:t>
      </w:r>
    </w:p>
    <w:p w14:paraId="4D8E90C0" w14:textId="77777777" w:rsidR="00172C88" w:rsidRDefault="00172C88" w:rsidP="00172C88">
      <w:pPr>
        <w:rPr>
          <w:lang w:val="lt-LT"/>
        </w:rPr>
      </w:pPr>
      <w:r>
        <w:rPr>
          <w:lang w:val="lt-LT"/>
        </w:rPr>
        <w:t xml:space="preserve">Prieš pradedant vaisingo amžiaus moters gydymą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reikia patikrinti, ar moteris nėra nėščia, tinkamai patarti dėl patikimų kontracepcijos metodų naudojimo ir pradėti taikyti patikimą kontracepcijos metodą. Pacientės ir vaistinį preparatą skiriantys gydytojai privalo žinoti, kad, vartojant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hormoniniai kontraceptikai dėl galimos </w:t>
      </w:r>
      <w:proofErr w:type="spellStart"/>
      <w:r>
        <w:rPr>
          <w:lang w:val="lt-LT"/>
        </w:rPr>
        <w:t>farmakokinetinės</w:t>
      </w:r>
      <w:proofErr w:type="spellEnd"/>
      <w:r>
        <w:rPr>
          <w:lang w:val="lt-LT"/>
        </w:rPr>
        <w:t xml:space="preserve"> sąveikos gali tapti </w:t>
      </w:r>
      <w:r>
        <w:rPr>
          <w:lang w:val="lt-LT"/>
        </w:rPr>
        <w:lastRenderedPageBreak/>
        <w:t xml:space="preserve">neveiksmingi (žr. 4.5 skyrių). Dėl šios priežasties vien tik hormoninių kontraceptikų (įskaitant geriamuosius, </w:t>
      </w:r>
      <w:proofErr w:type="spellStart"/>
      <w:r>
        <w:rPr>
          <w:lang w:val="lt-LT"/>
        </w:rPr>
        <w:t>injekuojamuosius</w:t>
      </w:r>
      <w:proofErr w:type="spellEnd"/>
      <w:r>
        <w:rPr>
          <w:lang w:val="lt-LT"/>
        </w:rPr>
        <w:t xml:space="preserve">, </w:t>
      </w:r>
      <w:proofErr w:type="spellStart"/>
      <w:r>
        <w:rPr>
          <w:lang w:val="lt-LT"/>
        </w:rPr>
        <w:t>transderminius</w:t>
      </w:r>
      <w:proofErr w:type="spellEnd"/>
      <w:r>
        <w:rPr>
          <w:lang w:val="lt-LT"/>
        </w:rPr>
        <w:t xml:space="preserve"> ir implantuojamuosius) vaisingo amžiaus moterims vartoti draudžiama: reikia naudoti ir papildomą arba alternatyvų patikimą kontracepcijos metodą. Jei kyla bet kokių abejonių, kokį kontracepcijos metodą pasiūlyti konkrečiai pacientei, rekomenduojama pasitarti su ginekologu. Atsižvelgiant į galimą hormoninių kontraceptikų neveiksmingumą gydymo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metu bei įvertinus tai, kad nėštumo metu </w:t>
      </w:r>
      <w:proofErr w:type="spellStart"/>
      <w:r>
        <w:rPr>
          <w:lang w:val="lt-LT"/>
        </w:rPr>
        <w:t>plautinė</w:t>
      </w:r>
      <w:proofErr w:type="spellEnd"/>
      <w:r>
        <w:rPr>
          <w:lang w:val="lt-LT"/>
        </w:rPr>
        <w:t xml:space="preserve"> hipertenzija gali labai pasunkėti, gydymo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metu nėštumo testą rekomenduojama atlikti vieną kartą per mėnesį, kad būtų galima anksti nustatyti nėštumą. </w:t>
      </w:r>
    </w:p>
    <w:p w14:paraId="7153EF96" w14:textId="77777777" w:rsidR="00172C88" w:rsidRDefault="00172C88" w:rsidP="00172C88">
      <w:pPr>
        <w:rPr>
          <w:color w:val="0D0D0D"/>
          <w:szCs w:val="24"/>
          <w:lang w:val="lt-LT"/>
        </w:rPr>
      </w:pPr>
    </w:p>
    <w:p w14:paraId="3C1B4587" w14:textId="77777777" w:rsidR="00172C88" w:rsidRDefault="00172C88" w:rsidP="00172C88">
      <w:pPr>
        <w:rPr>
          <w:iCs/>
          <w:color w:val="0D0D0D"/>
          <w:szCs w:val="24"/>
          <w:u w:val="single"/>
          <w:lang w:val="lt-LT"/>
        </w:rPr>
      </w:pPr>
      <w:r>
        <w:rPr>
          <w:iCs/>
          <w:color w:val="0D0D0D"/>
          <w:szCs w:val="24"/>
          <w:u w:val="single"/>
          <w:lang w:val="lt-LT"/>
        </w:rPr>
        <w:t>Žindymas</w:t>
      </w:r>
    </w:p>
    <w:p w14:paraId="7D472594" w14:textId="52105FE2" w:rsidR="00172C88" w:rsidRDefault="00404C7A" w:rsidP="005E6281">
      <w:pPr>
        <w:rPr>
          <w:color w:val="0D0D0D"/>
          <w:szCs w:val="24"/>
          <w:lang w:val="lt-LT"/>
        </w:rPr>
      </w:pPr>
      <w:r w:rsidRPr="00404C7A">
        <w:rPr>
          <w:color w:val="0D0D0D"/>
          <w:szCs w:val="24"/>
          <w:lang w:val="lt-LT"/>
        </w:rPr>
        <w:t xml:space="preserve">Remiantis atvejo aprašo duomenimis, motinos piene nustatytas mažas </w:t>
      </w:r>
      <w:proofErr w:type="spellStart"/>
      <w:r w:rsidRPr="00404C7A">
        <w:rPr>
          <w:color w:val="0D0D0D"/>
          <w:szCs w:val="24"/>
          <w:lang w:val="lt-LT"/>
        </w:rPr>
        <w:t>bo</w:t>
      </w:r>
      <w:r w:rsidR="00134F8A">
        <w:rPr>
          <w:color w:val="0D0D0D"/>
          <w:szCs w:val="24"/>
          <w:lang w:val="lt-LT"/>
        </w:rPr>
        <w:t>z</w:t>
      </w:r>
      <w:r w:rsidRPr="00404C7A">
        <w:rPr>
          <w:color w:val="0D0D0D"/>
          <w:szCs w:val="24"/>
          <w:lang w:val="lt-LT"/>
        </w:rPr>
        <w:t>entano</w:t>
      </w:r>
      <w:proofErr w:type="spellEnd"/>
      <w:r w:rsidRPr="00404C7A">
        <w:rPr>
          <w:color w:val="0D0D0D"/>
          <w:szCs w:val="24"/>
          <w:lang w:val="lt-LT"/>
        </w:rPr>
        <w:t xml:space="preserve"> kiekis. Informacijos apie </w:t>
      </w:r>
      <w:proofErr w:type="spellStart"/>
      <w:r w:rsidRPr="00404C7A">
        <w:rPr>
          <w:color w:val="0D0D0D"/>
          <w:szCs w:val="24"/>
          <w:lang w:val="lt-LT"/>
        </w:rPr>
        <w:t>bo</w:t>
      </w:r>
      <w:r w:rsidR="00134F8A">
        <w:rPr>
          <w:color w:val="0D0D0D"/>
          <w:szCs w:val="24"/>
          <w:lang w:val="lt-LT"/>
        </w:rPr>
        <w:t>z</w:t>
      </w:r>
      <w:r w:rsidRPr="00404C7A">
        <w:rPr>
          <w:color w:val="0D0D0D"/>
          <w:szCs w:val="24"/>
          <w:lang w:val="lt-LT"/>
        </w:rPr>
        <w:t>entano</w:t>
      </w:r>
      <w:proofErr w:type="spellEnd"/>
      <w:r w:rsidRPr="00404C7A">
        <w:rPr>
          <w:color w:val="0D0D0D"/>
          <w:szCs w:val="24"/>
          <w:lang w:val="lt-LT"/>
        </w:rPr>
        <w:t xml:space="preserve"> poveikį žindomam kūdikiui nepakanka. Negalima atmesti rizikos žindomam kūdikiui.</w:t>
      </w:r>
      <w:r w:rsidR="00133741">
        <w:rPr>
          <w:color w:val="0D0D0D"/>
          <w:szCs w:val="24"/>
          <w:lang w:val="lt-LT"/>
        </w:rPr>
        <w:t xml:space="preserve"> </w:t>
      </w:r>
      <w:proofErr w:type="spellStart"/>
      <w:r w:rsidR="00172C88">
        <w:rPr>
          <w:color w:val="0D0D0D"/>
          <w:szCs w:val="24"/>
          <w:lang w:val="lt-LT"/>
        </w:rPr>
        <w:t>Bosentan</w:t>
      </w:r>
      <w:proofErr w:type="spellEnd"/>
      <w:r w:rsidR="00172C88">
        <w:rPr>
          <w:color w:val="0D0D0D"/>
          <w:szCs w:val="24"/>
          <w:lang w:val="lt-LT"/>
        </w:rPr>
        <w:t xml:space="preserve"> </w:t>
      </w:r>
      <w:proofErr w:type="spellStart"/>
      <w:r w:rsidR="00172C88">
        <w:rPr>
          <w:color w:val="0D0D0D"/>
          <w:szCs w:val="24"/>
          <w:lang w:val="lt-LT"/>
        </w:rPr>
        <w:t>Norameda</w:t>
      </w:r>
      <w:proofErr w:type="spellEnd"/>
      <w:r w:rsidR="00172C88">
        <w:rPr>
          <w:color w:val="0D0D0D"/>
          <w:szCs w:val="24"/>
          <w:lang w:val="lt-LT"/>
        </w:rPr>
        <w:t xml:space="preserve"> nerekomenduojama vartoti žindymo metu.</w:t>
      </w:r>
    </w:p>
    <w:p w14:paraId="2D79A14B" w14:textId="77777777" w:rsidR="00172C88" w:rsidRDefault="00172C88" w:rsidP="00172C88">
      <w:pPr>
        <w:rPr>
          <w:szCs w:val="24"/>
          <w:lang w:val="lt-LT"/>
        </w:rPr>
      </w:pPr>
    </w:p>
    <w:p w14:paraId="2E2D7DE8" w14:textId="77777777" w:rsidR="00172C88" w:rsidRDefault="00172C88" w:rsidP="00172C88">
      <w:pPr>
        <w:rPr>
          <w:szCs w:val="24"/>
          <w:u w:val="single"/>
          <w:lang w:val="lt-LT"/>
        </w:rPr>
      </w:pPr>
      <w:r>
        <w:rPr>
          <w:szCs w:val="24"/>
          <w:u w:val="single"/>
          <w:lang w:val="lt-LT"/>
        </w:rPr>
        <w:t xml:space="preserve">Vaisingumas </w:t>
      </w:r>
    </w:p>
    <w:p w14:paraId="224407F2" w14:textId="14861F08" w:rsidR="00172C88" w:rsidRDefault="00172C88" w:rsidP="00172C88">
      <w:pPr>
        <w:rPr>
          <w:szCs w:val="24"/>
          <w:lang w:val="lt-LT"/>
        </w:rPr>
      </w:pPr>
      <w:r>
        <w:rPr>
          <w:szCs w:val="24"/>
          <w:lang w:val="lt-LT"/>
        </w:rPr>
        <w:t xml:space="preserve">Tyrimai su gyvūnais parodė poveikį sėklidėms (žr. 5.3 skyrių). Tyrime, kuriame buvo tiriamas </w:t>
      </w:r>
      <w:proofErr w:type="spellStart"/>
      <w:r>
        <w:rPr>
          <w:szCs w:val="24"/>
          <w:lang w:val="lt-LT"/>
        </w:rPr>
        <w:t>bozentano</w:t>
      </w:r>
      <w:proofErr w:type="spellEnd"/>
      <w:r>
        <w:rPr>
          <w:szCs w:val="24"/>
          <w:lang w:val="lt-LT"/>
        </w:rPr>
        <w:t xml:space="preserve"> poveikis sėklidžių funkcijai PAH sergantiems pacientams vyrams, </w:t>
      </w:r>
      <w:r w:rsidR="001D187A">
        <w:rPr>
          <w:szCs w:val="24"/>
          <w:lang w:val="lt-LT"/>
        </w:rPr>
        <w:t>šeši</w:t>
      </w:r>
      <w:r w:rsidR="00557533">
        <w:rPr>
          <w:szCs w:val="24"/>
          <w:lang w:val="lt-LT"/>
        </w:rPr>
        <w:t>ems</w:t>
      </w:r>
      <w:r>
        <w:rPr>
          <w:szCs w:val="24"/>
          <w:lang w:val="lt-LT"/>
        </w:rPr>
        <w:t xml:space="preserve"> iš 24 </w:t>
      </w:r>
      <w:r w:rsidR="000D1CE8">
        <w:rPr>
          <w:szCs w:val="24"/>
          <w:lang w:val="lt-LT"/>
        </w:rPr>
        <w:t xml:space="preserve">tiriamųjų </w:t>
      </w:r>
      <w:r w:rsidR="00557533">
        <w:rPr>
          <w:szCs w:val="24"/>
          <w:lang w:val="lt-LT"/>
        </w:rPr>
        <w:t xml:space="preserve">(25 </w:t>
      </w:r>
      <w:r w:rsidR="00557533" w:rsidRPr="00557533">
        <w:rPr>
          <w:szCs w:val="24"/>
          <w:lang w:val="lt-LT"/>
        </w:rPr>
        <w:t>%</w:t>
      </w:r>
      <w:r w:rsidR="00557533">
        <w:rPr>
          <w:szCs w:val="24"/>
          <w:lang w:val="lt-LT"/>
        </w:rPr>
        <w:t xml:space="preserve">) </w:t>
      </w:r>
      <w:r>
        <w:rPr>
          <w:szCs w:val="24"/>
          <w:lang w:val="lt-LT"/>
        </w:rPr>
        <w:t xml:space="preserve">buvo stebėta </w:t>
      </w:r>
      <w:r w:rsidR="00557533">
        <w:rPr>
          <w:szCs w:val="24"/>
          <w:lang w:val="lt-LT"/>
        </w:rPr>
        <w:t>50</w:t>
      </w:r>
      <w:r>
        <w:rPr>
          <w:szCs w:val="24"/>
          <w:lang w:val="lt-LT"/>
        </w:rPr>
        <w:t xml:space="preserve"> % sumažėjusi spermos koncentracija nuo pradinio lygio po 6 gydymo </w:t>
      </w:r>
      <w:proofErr w:type="spellStart"/>
      <w:r>
        <w:rPr>
          <w:szCs w:val="24"/>
          <w:lang w:val="lt-LT"/>
        </w:rPr>
        <w:t>bozentanu</w:t>
      </w:r>
      <w:proofErr w:type="spellEnd"/>
      <w:r>
        <w:rPr>
          <w:szCs w:val="24"/>
          <w:lang w:val="lt-LT"/>
        </w:rPr>
        <w:t xml:space="preserve"> mėnesių. Remiantis šiais duomenimis ir </w:t>
      </w:r>
      <w:proofErr w:type="spellStart"/>
      <w:r>
        <w:rPr>
          <w:szCs w:val="24"/>
          <w:lang w:val="lt-LT"/>
        </w:rPr>
        <w:t>ikiklinikiniais</w:t>
      </w:r>
      <w:proofErr w:type="spellEnd"/>
      <w:r>
        <w:rPr>
          <w:szCs w:val="24"/>
          <w:lang w:val="lt-LT"/>
        </w:rPr>
        <w:t xml:space="preserve"> tyrimais, negalima atmesti, kad </w:t>
      </w:r>
      <w:proofErr w:type="spellStart"/>
      <w:r>
        <w:rPr>
          <w:szCs w:val="24"/>
          <w:lang w:val="lt-LT"/>
        </w:rPr>
        <w:t>bozentanas</w:t>
      </w:r>
      <w:proofErr w:type="spellEnd"/>
      <w:r>
        <w:rPr>
          <w:szCs w:val="24"/>
          <w:lang w:val="lt-LT"/>
        </w:rPr>
        <w:t xml:space="preserve"> gali pasižymėti žalingu poveikiu </w:t>
      </w:r>
      <w:proofErr w:type="spellStart"/>
      <w:r>
        <w:rPr>
          <w:szCs w:val="24"/>
          <w:lang w:val="lt-LT"/>
        </w:rPr>
        <w:t>spermatogenezei</w:t>
      </w:r>
      <w:proofErr w:type="spellEnd"/>
      <w:r>
        <w:rPr>
          <w:szCs w:val="24"/>
          <w:lang w:val="lt-LT"/>
        </w:rPr>
        <w:t xml:space="preserve"> vyrams. Berniukams negalima atmesti ilgalaikio poveikio vaisingumui po gydymo </w:t>
      </w:r>
      <w:proofErr w:type="spellStart"/>
      <w:r>
        <w:rPr>
          <w:szCs w:val="24"/>
          <w:lang w:val="lt-LT"/>
        </w:rPr>
        <w:t>bozentanu</w:t>
      </w:r>
      <w:proofErr w:type="spellEnd"/>
      <w:r>
        <w:rPr>
          <w:szCs w:val="24"/>
          <w:lang w:val="lt-LT"/>
        </w:rPr>
        <w:t>.</w:t>
      </w:r>
    </w:p>
    <w:p w14:paraId="26F1A083" w14:textId="77777777" w:rsidR="00172C88" w:rsidRDefault="00172C88" w:rsidP="00172C88">
      <w:pPr>
        <w:rPr>
          <w:szCs w:val="24"/>
          <w:lang w:val="lt-LT"/>
        </w:rPr>
      </w:pPr>
    </w:p>
    <w:p w14:paraId="1EA79403"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1DE60970" w14:textId="77777777" w:rsidR="00172C88" w:rsidRDefault="00172C88" w:rsidP="00172C88">
      <w:pPr>
        <w:rPr>
          <w:szCs w:val="24"/>
          <w:lang w:val="lt-LT"/>
        </w:rPr>
      </w:pPr>
    </w:p>
    <w:p w14:paraId="1D04D911" w14:textId="77777777" w:rsidR="00172C88" w:rsidRPr="00E32052" w:rsidRDefault="00172C88" w:rsidP="00172C88">
      <w:pPr>
        <w:rPr>
          <w:lang w:val="lt-LT"/>
        </w:rPr>
      </w:pPr>
      <w:r>
        <w:rPr>
          <w:color w:val="0D0D0D"/>
          <w:szCs w:val="24"/>
          <w:lang w:val="lt-LT"/>
        </w:rPr>
        <w:t xml:space="preserve">Tiesioginio </w:t>
      </w:r>
      <w:proofErr w:type="spellStart"/>
      <w:r>
        <w:rPr>
          <w:color w:val="0D0D0D"/>
          <w:szCs w:val="24"/>
          <w:lang w:val="lt-LT"/>
        </w:rPr>
        <w:t>Bosentan</w:t>
      </w:r>
      <w:proofErr w:type="spellEnd"/>
      <w:r>
        <w:rPr>
          <w:color w:val="0D0D0D"/>
          <w:szCs w:val="24"/>
          <w:lang w:val="lt-LT"/>
        </w:rPr>
        <w:t xml:space="preserve"> </w:t>
      </w:r>
      <w:proofErr w:type="spellStart"/>
      <w:r>
        <w:rPr>
          <w:color w:val="0D0D0D"/>
          <w:szCs w:val="24"/>
          <w:lang w:val="lt-LT"/>
        </w:rPr>
        <w:t>Norameda</w:t>
      </w:r>
      <w:proofErr w:type="spellEnd"/>
      <w:r>
        <w:rPr>
          <w:color w:val="0D0D0D"/>
          <w:szCs w:val="24"/>
          <w:lang w:val="lt-LT"/>
        </w:rPr>
        <w:t xml:space="preserve"> </w:t>
      </w:r>
      <w:r>
        <w:rPr>
          <w:szCs w:val="24"/>
          <w:lang w:val="lt-LT"/>
        </w:rPr>
        <w:t xml:space="preserve">poveikio gebėjimui vairuoti ir valdyti mechanizmus specialių tyrimų neatlikta. Vis dėlto </w:t>
      </w:r>
      <w:proofErr w:type="spellStart"/>
      <w:r>
        <w:rPr>
          <w:color w:val="0D0D0D"/>
          <w:szCs w:val="24"/>
          <w:lang w:val="lt-LT"/>
        </w:rPr>
        <w:t>Bosentan</w:t>
      </w:r>
      <w:proofErr w:type="spellEnd"/>
      <w:r>
        <w:rPr>
          <w:color w:val="0D0D0D"/>
          <w:szCs w:val="24"/>
          <w:lang w:val="lt-LT"/>
        </w:rPr>
        <w:t xml:space="preserve"> </w:t>
      </w:r>
      <w:proofErr w:type="spellStart"/>
      <w:r>
        <w:rPr>
          <w:color w:val="0D0D0D"/>
          <w:szCs w:val="24"/>
          <w:lang w:val="lt-LT"/>
        </w:rPr>
        <w:t>Norameda</w:t>
      </w:r>
      <w:proofErr w:type="spellEnd"/>
      <w:r>
        <w:rPr>
          <w:color w:val="0D0D0D"/>
          <w:szCs w:val="24"/>
          <w:lang w:val="lt-LT"/>
        </w:rPr>
        <w:t xml:space="preserve"> </w:t>
      </w:r>
      <w:r>
        <w:rPr>
          <w:szCs w:val="24"/>
          <w:lang w:val="lt-LT"/>
        </w:rPr>
        <w:t xml:space="preserve">gali sukelti </w:t>
      </w:r>
      <w:proofErr w:type="spellStart"/>
      <w:r>
        <w:rPr>
          <w:szCs w:val="24"/>
          <w:lang w:val="lt-LT"/>
        </w:rPr>
        <w:t>hipotenziją</w:t>
      </w:r>
      <w:proofErr w:type="spellEnd"/>
      <w:r>
        <w:rPr>
          <w:szCs w:val="24"/>
          <w:lang w:val="lt-LT"/>
        </w:rPr>
        <w:t xml:space="preserve">, dėl to gali pasireikšti svaigulys, </w:t>
      </w:r>
      <w:r w:rsidRPr="00C82E18">
        <w:rPr>
          <w:lang w:val="lt-LT"/>
        </w:rPr>
        <w:t xml:space="preserve">miglotas matymas </w:t>
      </w:r>
      <w:r>
        <w:rPr>
          <w:szCs w:val="24"/>
          <w:lang w:val="lt-LT"/>
        </w:rPr>
        <w:t xml:space="preserve">ar alpimas, o tai gali turėti įtakos gebėjimui vairuoti ir valdyti mechanizmus. </w:t>
      </w:r>
      <w:r>
        <w:rPr>
          <w:szCs w:val="24"/>
          <w:lang w:val="lt-LT"/>
        </w:rPr>
        <w:br/>
      </w:r>
    </w:p>
    <w:p w14:paraId="5E0830AC" w14:textId="77777777" w:rsidR="00172C88" w:rsidRPr="00E32052" w:rsidRDefault="00172C88" w:rsidP="00172C88">
      <w:pPr>
        <w:spacing w:line="240" w:lineRule="auto"/>
        <w:rPr>
          <w:lang w:val="lt-LT"/>
        </w:rPr>
      </w:pPr>
      <w:r>
        <w:rPr>
          <w:b/>
          <w:lang w:val="lt-LT"/>
        </w:rPr>
        <w:t>4.8</w:t>
      </w:r>
      <w:r>
        <w:rPr>
          <w:b/>
          <w:lang w:val="lt-LT"/>
        </w:rPr>
        <w:tab/>
        <w:t xml:space="preserve">Nepageidaujamas </w:t>
      </w:r>
      <w:r w:rsidRPr="006D2648">
        <w:rPr>
          <w:b/>
          <w:lang w:val="lt-LT"/>
        </w:rPr>
        <w:t>poveikis</w:t>
      </w:r>
    </w:p>
    <w:p w14:paraId="7B402BF8" w14:textId="77777777" w:rsidR="00172C88" w:rsidRDefault="00172C88" w:rsidP="00172C88">
      <w:pPr>
        <w:rPr>
          <w:u w:val="single"/>
          <w:lang w:val="lt-LT"/>
        </w:rPr>
      </w:pPr>
    </w:p>
    <w:p w14:paraId="67E3C21A" w14:textId="681A27C9" w:rsidR="00172C88" w:rsidRDefault="00172C88" w:rsidP="00172C88">
      <w:pPr>
        <w:spacing w:line="240" w:lineRule="auto"/>
        <w:rPr>
          <w:szCs w:val="22"/>
          <w:lang w:val="lt-LT"/>
        </w:rPr>
      </w:pPr>
      <w:r>
        <w:rPr>
          <w:szCs w:val="22"/>
          <w:lang w:val="lt-LT"/>
        </w:rPr>
        <w:t xml:space="preserve">20  placebu kontroliuojamų įvairių terapinių indikacijų tyrimų metu iš viso </w:t>
      </w:r>
      <w:proofErr w:type="spellStart"/>
      <w:r>
        <w:rPr>
          <w:szCs w:val="22"/>
          <w:lang w:val="lt-LT"/>
        </w:rPr>
        <w:t>bozentanu</w:t>
      </w:r>
      <w:proofErr w:type="spellEnd"/>
      <w:r>
        <w:rPr>
          <w:szCs w:val="22"/>
          <w:lang w:val="lt-LT"/>
        </w:rPr>
        <w:t xml:space="preserve"> buvo gydyti 2</w:t>
      </w:r>
      <w:r w:rsidR="00CC7341">
        <w:rPr>
          <w:szCs w:val="22"/>
          <w:lang w:val="lt-LT"/>
        </w:rPr>
        <w:t> </w:t>
      </w:r>
      <w:r>
        <w:rPr>
          <w:szCs w:val="22"/>
          <w:lang w:val="lt-LT"/>
        </w:rPr>
        <w:t>486 pacientai (vartota 100</w:t>
      </w:r>
      <w:r>
        <w:rPr>
          <w:szCs w:val="22"/>
          <w:lang w:val="lt-LT"/>
        </w:rPr>
        <w:noBreakHyphen/>
        <w:t>2</w:t>
      </w:r>
      <w:r w:rsidR="00CC7341">
        <w:rPr>
          <w:szCs w:val="22"/>
          <w:lang w:val="lt-LT"/>
        </w:rPr>
        <w:t> </w:t>
      </w:r>
      <w:r>
        <w:rPr>
          <w:szCs w:val="22"/>
          <w:lang w:val="lt-LT"/>
        </w:rPr>
        <w:t>000 mg dozė), placebo vartojo 1</w:t>
      </w:r>
      <w:r w:rsidR="00CC7341">
        <w:rPr>
          <w:szCs w:val="22"/>
          <w:lang w:val="lt-LT"/>
        </w:rPr>
        <w:t> </w:t>
      </w:r>
      <w:r>
        <w:rPr>
          <w:szCs w:val="22"/>
          <w:lang w:val="lt-LT"/>
        </w:rPr>
        <w:t xml:space="preserve">838 pacientai. Vidutinė gydymo trukmė buvo 45 savaitės. Nepageidaujamos reakcijos pasireiškė ne mažiau nei 1 % </w:t>
      </w:r>
      <w:proofErr w:type="spellStart"/>
      <w:r>
        <w:rPr>
          <w:szCs w:val="22"/>
          <w:lang w:val="lt-LT"/>
        </w:rPr>
        <w:t>bozentaną</w:t>
      </w:r>
      <w:proofErr w:type="spellEnd"/>
      <w:r>
        <w:rPr>
          <w:szCs w:val="22"/>
          <w:lang w:val="lt-LT"/>
        </w:rPr>
        <w:t xml:space="preserve"> vartojusių pacientų ne mažiau nei 0,5 % dažniau, nei placebo grupėje. Dažniausios nepageidaujamos reakcijos buvo galvos skausmas (11,5 %), edema/skysčių susilaikymas (13,2 %), nenormalūs kepenų veiklos tyrimų rodmenys (10,9 %) ir anemija/hemoglobino koncentracijos sumažėjimas (9,9 %). </w:t>
      </w:r>
    </w:p>
    <w:p w14:paraId="279A46C6" w14:textId="77777777" w:rsidR="00172C88" w:rsidRDefault="00172C88" w:rsidP="00172C88">
      <w:pPr>
        <w:spacing w:line="240" w:lineRule="auto"/>
        <w:rPr>
          <w:szCs w:val="22"/>
          <w:lang w:val="lt-LT"/>
        </w:rPr>
      </w:pPr>
      <w:r>
        <w:rPr>
          <w:szCs w:val="22"/>
          <w:lang w:val="lt-LT"/>
        </w:rPr>
        <w:t xml:space="preserve"> </w:t>
      </w:r>
    </w:p>
    <w:p w14:paraId="6499DFE9" w14:textId="77777777" w:rsidR="00172C88" w:rsidRDefault="00172C88" w:rsidP="00172C88">
      <w:pPr>
        <w:spacing w:line="240" w:lineRule="auto"/>
        <w:rPr>
          <w:szCs w:val="22"/>
          <w:lang w:val="lt-LT"/>
        </w:rPr>
      </w:pPr>
      <w:r>
        <w:rPr>
          <w:szCs w:val="22"/>
          <w:lang w:val="lt-LT"/>
        </w:rPr>
        <w:t xml:space="preserve">Gydymas </w:t>
      </w:r>
      <w:proofErr w:type="spellStart"/>
      <w:r>
        <w:rPr>
          <w:szCs w:val="22"/>
          <w:lang w:val="lt-LT"/>
        </w:rPr>
        <w:t>bozentanu</w:t>
      </w:r>
      <w:proofErr w:type="spellEnd"/>
      <w:r>
        <w:rPr>
          <w:szCs w:val="22"/>
          <w:lang w:val="lt-LT"/>
        </w:rPr>
        <w:t xml:space="preserve"> buvo susijęs su nuo dozės priklausomu kepenų </w:t>
      </w:r>
      <w:proofErr w:type="spellStart"/>
      <w:r>
        <w:rPr>
          <w:szCs w:val="22"/>
          <w:lang w:val="lt-LT"/>
        </w:rPr>
        <w:t>aminotransferazių</w:t>
      </w:r>
      <w:proofErr w:type="spellEnd"/>
      <w:r>
        <w:rPr>
          <w:szCs w:val="22"/>
          <w:lang w:val="lt-LT"/>
        </w:rPr>
        <w:t xml:space="preserve"> aktyvumo padidėjimu ir hemoglobino koncentracijos sumažėjimu (žr. 4.4 skyrių). </w:t>
      </w:r>
    </w:p>
    <w:p w14:paraId="7E2FE082" w14:textId="77777777" w:rsidR="00172C88" w:rsidRDefault="00172C88" w:rsidP="00172C88">
      <w:pPr>
        <w:spacing w:line="240" w:lineRule="auto"/>
        <w:rPr>
          <w:szCs w:val="22"/>
          <w:lang w:val="lt-LT"/>
        </w:rPr>
      </w:pPr>
      <w:r>
        <w:rPr>
          <w:szCs w:val="22"/>
          <w:lang w:val="lt-LT"/>
        </w:rPr>
        <w:t xml:space="preserve"> </w:t>
      </w:r>
    </w:p>
    <w:p w14:paraId="0DC4C687" w14:textId="78612063" w:rsidR="00172C88" w:rsidRPr="00E32052" w:rsidRDefault="00172C88" w:rsidP="00172C88">
      <w:pPr>
        <w:spacing w:line="240" w:lineRule="auto"/>
        <w:rPr>
          <w:lang w:val="lt-LT"/>
        </w:rPr>
      </w:pPr>
      <w:r>
        <w:rPr>
          <w:szCs w:val="22"/>
          <w:lang w:val="lt-LT"/>
        </w:rPr>
        <w:t>Nepageidaujamų reakcijų,</w:t>
      </w:r>
      <w:r>
        <w:rPr>
          <w:rFonts w:eastAsia="Calibri"/>
          <w:color w:val="000000"/>
          <w:sz w:val="20"/>
          <w:lang w:val="lt-LT"/>
        </w:rPr>
        <w:t xml:space="preserve"> </w:t>
      </w:r>
      <w:r>
        <w:rPr>
          <w:szCs w:val="22"/>
          <w:lang w:val="lt-LT"/>
        </w:rPr>
        <w:t xml:space="preserve">nustatytų 20-ties placebu kontroliuojamų </w:t>
      </w:r>
      <w:proofErr w:type="spellStart"/>
      <w:r>
        <w:rPr>
          <w:szCs w:val="22"/>
          <w:lang w:val="lt-LT"/>
        </w:rPr>
        <w:t>bozentano</w:t>
      </w:r>
      <w:proofErr w:type="spellEnd"/>
      <w:r>
        <w:rPr>
          <w:szCs w:val="22"/>
          <w:lang w:val="lt-LT"/>
        </w:rPr>
        <w:t xml:space="preserve"> tyrimų metu ir vaistiniam preparatui patekus į rinką,</w:t>
      </w:r>
      <w:r>
        <w:rPr>
          <w:lang w:val="lt-LT"/>
        </w:rPr>
        <w:t xml:space="preserve"> dažnis apibūdinamas taip: labai dažnas (≥ 1/10), dažnas (nuo ≥ 1/100 iki &lt; 1/10), nedažnas (nuo ≥ 1/1 000 iki &lt; 1/100), retas (nuo ≥ 1/10 000 iki &lt; 1/1000), labai retas (&lt; 1/10 000)</w:t>
      </w:r>
      <w:r w:rsidR="00CC7341">
        <w:rPr>
          <w:lang w:val="lt-LT"/>
        </w:rPr>
        <w:t xml:space="preserve"> ir</w:t>
      </w:r>
      <w:r>
        <w:rPr>
          <w:rFonts w:eastAsia="Calibri"/>
          <w:color w:val="000000"/>
          <w:sz w:val="20"/>
          <w:lang w:val="lt-LT"/>
        </w:rPr>
        <w:t xml:space="preserve"> d</w:t>
      </w:r>
      <w:r>
        <w:rPr>
          <w:lang w:val="lt-LT"/>
        </w:rPr>
        <w:t>ažnis nežinomas (negali būti apskaičiuotas pagal turimus duomenis).</w:t>
      </w:r>
    </w:p>
    <w:p w14:paraId="5100E0B7" w14:textId="77777777" w:rsidR="00172C88" w:rsidRDefault="00172C88" w:rsidP="00172C88">
      <w:pPr>
        <w:spacing w:line="240" w:lineRule="auto"/>
        <w:rPr>
          <w:szCs w:val="22"/>
          <w:lang w:val="lt-LT"/>
        </w:rPr>
      </w:pPr>
    </w:p>
    <w:p w14:paraId="29B9A4BF" w14:textId="77777777" w:rsidR="00172C88" w:rsidRDefault="00172C88" w:rsidP="00172C88">
      <w:pPr>
        <w:spacing w:line="240" w:lineRule="auto"/>
        <w:rPr>
          <w:szCs w:val="22"/>
          <w:lang w:val="lt-LT"/>
        </w:rPr>
      </w:pPr>
    </w:p>
    <w:p w14:paraId="51F20C2D" w14:textId="77777777" w:rsidR="00172C88" w:rsidRDefault="00172C88" w:rsidP="00172C88">
      <w:pPr>
        <w:spacing w:line="240" w:lineRule="auto"/>
        <w:rPr>
          <w:szCs w:val="22"/>
          <w:lang w:val="lt-LT"/>
        </w:rPr>
      </w:pPr>
      <w:r>
        <w:rPr>
          <w:szCs w:val="22"/>
          <w:lang w:val="lt-LT"/>
        </w:rPr>
        <w:t>Kiekvienoje dažnio grupėje nepageidaujamos reakcijos pateikiamos mažėjančio sunkumo tvarka. Kliniškai reikšmingų nepageidaujamų reakcijų skirtumų, vertinant apibendrintus ir atskirus kiekvienos patvirtintos indikacijos duomenis, nenustatyta.</w:t>
      </w:r>
    </w:p>
    <w:p w14:paraId="4DC9FD8D" w14:textId="77777777" w:rsidR="00172C88" w:rsidRDefault="00172C88" w:rsidP="00172C88">
      <w:pPr>
        <w:spacing w:line="240" w:lineRule="auto"/>
        <w:rPr>
          <w:szCs w:val="22"/>
          <w:lang w:val="lt-LT"/>
        </w:rPr>
      </w:pPr>
    </w:p>
    <w:tbl>
      <w:tblPr>
        <w:tblW w:w="9060" w:type="dxa"/>
        <w:tblCellMar>
          <w:left w:w="10" w:type="dxa"/>
          <w:right w:w="10" w:type="dxa"/>
        </w:tblCellMar>
        <w:tblLook w:val="04A0" w:firstRow="1" w:lastRow="0" w:firstColumn="1" w:lastColumn="0" w:noHBand="0" w:noVBand="1"/>
      </w:tblPr>
      <w:tblGrid>
        <w:gridCol w:w="3016"/>
        <w:gridCol w:w="3011"/>
        <w:gridCol w:w="3033"/>
      </w:tblGrid>
      <w:tr w:rsidR="00172C88" w14:paraId="3DFD2316" w14:textId="77777777" w:rsidTr="00FE7070">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0F6F1" w14:textId="77777777" w:rsidR="00172C88" w:rsidRDefault="00172C88" w:rsidP="00FE7070">
            <w:pPr>
              <w:pStyle w:val="Default"/>
              <w:rPr>
                <w:sz w:val="22"/>
                <w:szCs w:val="22"/>
                <w:lang w:val="lt-LT"/>
              </w:rPr>
            </w:pPr>
            <w:r>
              <w:rPr>
                <w:sz w:val="22"/>
                <w:szCs w:val="22"/>
                <w:lang w:val="lt-LT"/>
              </w:rPr>
              <w:t>Organų sistemų klasė</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E6AE4" w14:textId="77777777" w:rsidR="00172C88" w:rsidRDefault="00172C88" w:rsidP="00FE7070">
            <w:pPr>
              <w:pStyle w:val="Default"/>
              <w:rPr>
                <w:sz w:val="22"/>
                <w:szCs w:val="22"/>
                <w:lang w:val="lt-LT"/>
              </w:rPr>
            </w:pPr>
            <w:r>
              <w:rPr>
                <w:sz w:val="22"/>
                <w:szCs w:val="22"/>
                <w:lang w:val="lt-LT"/>
              </w:rPr>
              <w:t>Dažnis</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7A9E2" w14:textId="77777777" w:rsidR="00172C88" w:rsidRDefault="00172C88" w:rsidP="00FE7070">
            <w:pPr>
              <w:pStyle w:val="Default"/>
              <w:rPr>
                <w:sz w:val="22"/>
                <w:szCs w:val="22"/>
                <w:lang w:val="lt-LT"/>
              </w:rPr>
            </w:pPr>
            <w:r>
              <w:rPr>
                <w:sz w:val="22"/>
                <w:szCs w:val="22"/>
                <w:lang w:val="lt-LT"/>
              </w:rPr>
              <w:t>Nepageidaujamos reakcijos</w:t>
            </w:r>
          </w:p>
        </w:tc>
      </w:tr>
      <w:tr w:rsidR="00BE3570" w:rsidRPr="00102863" w14:paraId="60C2E2DC" w14:textId="77777777" w:rsidTr="00FE7070">
        <w:trPr>
          <w:trHeight w:val="141"/>
        </w:trPr>
        <w:tc>
          <w:tcPr>
            <w:tcW w:w="30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337D09E" w14:textId="77777777" w:rsidR="00BE3570" w:rsidRDefault="00BE3570" w:rsidP="00FE7070">
            <w:pPr>
              <w:pStyle w:val="Default"/>
              <w:rPr>
                <w:sz w:val="22"/>
                <w:szCs w:val="22"/>
                <w:lang w:val="lt-LT"/>
              </w:rPr>
            </w:pPr>
            <w:r>
              <w:rPr>
                <w:sz w:val="22"/>
                <w:szCs w:val="22"/>
                <w:lang w:val="lt-LT"/>
              </w:rPr>
              <w:t xml:space="preserve">Kraujo ir limfinės sistemos sutrikimai </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B1E21" w14:textId="77777777" w:rsidR="00BE3570" w:rsidRDefault="00BE3570" w:rsidP="00FE7070">
            <w:pPr>
              <w:pStyle w:val="Default"/>
              <w:rPr>
                <w:sz w:val="22"/>
                <w:szCs w:val="22"/>
                <w:lang w:val="lt-LT"/>
              </w:rPr>
            </w:pPr>
            <w:r>
              <w:rPr>
                <w:sz w:val="22"/>
                <w:szCs w:val="22"/>
                <w:lang w:val="lt-LT"/>
              </w:rPr>
              <w:t>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FC4EE" w14:textId="77777777" w:rsidR="00BE3570" w:rsidRDefault="00BE3570" w:rsidP="00FE7070">
            <w:pPr>
              <w:pStyle w:val="Default"/>
              <w:rPr>
                <w:sz w:val="22"/>
                <w:szCs w:val="22"/>
                <w:lang w:val="lt-LT"/>
              </w:rPr>
            </w:pPr>
            <w:r>
              <w:rPr>
                <w:sz w:val="22"/>
                <w:szCs w:val="22"/>
                <w:lang w:val="lt-LT"/>
              </w:rPr>
              <w:t>Anemija, hemoglobino koncentracijos sumažėjimas (žr. 4.4 skyrių)</w:t>
            </w:r>
          </w:p>
        </w:tc>
      </w:tr>
      <w:tr w:rsidR="00BE3570" w:rsidRPr="00102863" w14:paraId="17BDEA5B" w14:textId="77777777" w:rsidTr="00FE7070">
        <w:trPr>
          <w:trHeight w:val="138"/>
        </w:trPr>
        <w:tc>
          <w:tcPr>
            <w:tcW w:w="3016" w:type="dxa"/>
            <w:vMerge/>
            <w:tcBorders>
              <w:left w:val="single" w:sz="4" w:space="0" w:color="000000"/>
              <w:right w:val="single" w:sz="4" w:space="0" w:color="000000"/>
            </w:tcBorders>
            <w:tcMar>
              <w:top w:w="0" w:type="dxa"/>
              <w:left w:w="108" w:type="dxa"/>
              <w:bottom w:w="0" w:type="dxa"/>
              <w:right w:w="108" w:type="dxa"/>
            </w:tcMar>
          </w:tcPr>
          <w:p w14:paraId="2F85EA43" w14:textId="77777777" w:rsidR="00BE3570" w:rsidRDefault="00BE3570" w:rsidP="00FE7070">
            <w:pPr>
              <w:pStyle w:val="Default"/>
              <w:rPr>
                <w:sz w:val="22"/>
                <w:szCs w:val="22"/>
                <w:lang w:val="lt-LT"/>
              </w:rPr>
            </w:pP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8EC19" w14:textId="77777777" w:rsidR="00BE3570" w:rsidRPr="007263E8" w:rsidRDefault="00BE3570" w:rsidP="00FE7070">
            <w:pPr>
              <w:pStyle w:val="Default"/>
            </w:pPr>
            <w:r>
              <w:rPr>
                <w:sz w:val="22"/>
                <w:szCs w:val="22"/>
                <w:lang w:val="lt-LT"/>
              </w:rPr>
              <w:t>Dažnis nežinomas</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5A2B" w14:textId="77777777" w:rsidR="00BE3570" w:rsidRPr="00C54C14" w:rsidRDefault="00BE3570" w:rsidP="00FE7070">
            <w:pPr>
              <w:pStyle w:val="Default"/>
              <w:rPr>
                <w:lang w:val="pt-PT"/>
              </w:rPr>
            </w:pPr>
            <w:r>
              <w:rPr>
                <w:sz w:val="22"/>
                <w:lang w:val="lt-LT"/>
              </w:rPr>
              <w:t xml:space="preserve">Anemija ar hemoglobino koncentracijos sumažėjimas, kai reikia perpilti </w:t>
            </w:r>
            <w:r>
              <w:rPr>
                <w:iCs/>
                <w:sz w:val="22"/>
                <w:szCs w:val="22"/>
                <w:lang w:val="lt-LT"/>
              </w:rPr>
              <w:t>eritrocitų</w:t>
            </w:r>
            <w:r>
              <w:rPr>
                <w:iCs/>
                <w:sz w:val="22"/>
                <w:szCs w:val="22"/>
                <w:vertAlign w:val="superscript"/>
                <w:lang w:val="lt-LT"/>
              </w:rPr>
              <w:t>1</w:t>
            </w:r>
          </w:p>
        </w:tc>
      </w:tr>
      <w:tr w:rsidR="00BE3570" w14:paraId="594671E2" w14:textId="77777777" w:rsidTr="00FE7070">
        <w:trPr>
          <w:trHeight w:val="138"/>
        </w:trPr>
        <w:tc>
          <w:tcPr>
            <w:tcW w:w="3016" w:type="dxa"/>
            <w:vMerge/>
            <w:tcBorders>
              <w:left w:val="single" w:sz="4" w:space="0" w:color="000000"/>
              <w:right w:val="single" w:sz="4" w:space="0" w:color="000000"/>
            </w:tcBorders>
            <w:tcMar>
              <w:top w:w="0" w:type="dxa"/>
              <w:left w:w="108" w:type="dxa"/>
              <w:bottom w:w="0" w:type="dxa"/>
              <w:right w:w="108" w:type="dxa"/>
            </w:tcMar>
          </w:tcPr>
          <w:p w14:paraId="6BD46A84" w14:textId="77777777" w:rsidR="00BE3570" w:rsidRDefault="00BE3570" w:rsidP="00FE7070">
            <w:pPr>
              <w:pStyle w:val="Default"/>
              <w:rPr>
                <w:sz w:val="22"/>
                <w:szCs w:val="22"/>
                <w:lang w:val="lt-LT"/>
              </w:rPr>
            </w:pP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73267" w14:textId="77777777" w:rsidR="00BE3570" w:rsidRDefault="00BE3570" w:rsidP="00FE7070">
            <w:pPr>
              <w:pStyle w:val="Default"/>
              <w:rPr>
                <w:sz w:val="22"/>
                <w:szCs w:val="22"/>
                <w:lang w:val="lt-LT"/>
              </w:rPr>
            </w:pPr>
            <w:r>
              <w:rPr>
                <w:sz w:val="22"/>
                <w:szCs w:val="22"/>
                <w:lang w:val="lt-LT"/>
              </w:rPr>
              <w:t>Nedažni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57B59" w14:textId="77777777" w:rsidR="00BE3570" w:rsidRPr="007263E8" w:rsidRDefault="00BE3570" w:rsidP="00FE7070">
            <w:pPr>
              <w:pStyle w:val="Default"/>
            </w:pPr>
            <w:r>
              <w:rPr>
                <w:iCs/>
                <w:sz w:val="22"/>
                <w:szCs w:val="22"/>
                <w:lang w:val="lt-LT"/>
              </w:rPr>
              <w:t>Trombocitopenija</w:t>
            </w:r>
            <w:r>
              <w:rPr>
                <w:iCs/>
                <w:sz w:val="22"/>
                <w:szCs w:val="22"/>
                <w:vertAlign w:val="superscript"/>
                <w:lang w:val="lt-LT"/>
              </w:rPr>
              <w:t>1</w:t>
            </w:r>
          </w:p>
          <w:p w14:paraId="52F9EEAE" w14:textId="77777777" w:rsidR="00BE3570" w:rsidRPr="007263E8" w:rsidRDefault="00BE3570" w:rsidP="00FE7070">
            <w:pPr>
              <w:pStyle w:val="Default"/>
            </w:pPr>
          </w:p>
        </w:tc>
      </w:tr>
      <w:tr w:rsidR="00BE3570" w14:paraId="152EDA3F" w14:textId="77777777" w:rsidTr="00FE7070">
        <w:trPr>
          <w:trHeight w:val="138"/>
        </w:trPr>
        <w:tc>
          <w:tcPr>
            <w:tcW w:w="301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E8BE1C9" w14:textId="77777777" w:rsidR="00BE3570" w:rsidRDefault="00BE3570" w:rsidP="00BE3570">
            <w:pPr>
              <w:pStyle w:val="Default"/>
              <w:rPr>
                <w:sz w:val="22"/>
                <w:szCs w:val="22"/>
                <w:lang w:val="lt-LT"/>
              </w:rPr>
            </w:pP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1D16E" w14:textId="77777777" w:rsidR="00BE3570" w:rsidRDefault="00BE3570" w:rsidP="00BE3570">
            <w:pPr>
              <w:pStyle w:val="Default"/>
              <w:rPr>
                <w:sz w:val="22"/>
                <w:szCs w:val="22"/>
                <w:lang w:val="lt-LT"/>
              </w:rPr>
            </w:pPr>
            <w:r>
              <w:rPr>
                <w:sz w:val="22"/>
                <w:szCs w:val="22"/>
                <w:lang w:val="lt-LT"/>
              </w:rPr>
              <w:t>Nedažni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C5B13" w14:textId="77777777" w:rsidR="00BE3570" w:rsidRDefault="00BE3570" w:rsidP="00BE3570">
            <w:pPr>
              <w:pStyle w:val="Default"/>
              <w:rPr>
                <w:iCs/>
                <w:sz w:val="22"/>
                <w:szCs w:val="22"/>
                <w:lang w:val="lt-LT"/>
              </w:rPr>
            </w:pPr>
            <w:proofErr w:type="spellStart"/>
            <w:r>
              <w:rPr>
                <w:sz w:val="22"/>
                <w:lang w:val="lt-LT"/>
              </w:rPr>
              <w:t>Neutropenija</w:t>
            </w:r>
            <w:proofErr w:type="spellEnd"/>
            <w:r>
              <w:rPr>
                <w:sz w:val="22"/>
                <w:lang w:val="lt-LT"/>
              </w:rPr>
              <w:t xml:space="preserve">, </w:t>
            </w:r>
            <w:r>
              <w:rPr>
                <w:iCs/>
                <w:sz w:val="22"/>
                <w:szCs w:val="22"/>
                <w:lang w:val="lt-LT"/>
              </w:rPr>
              <w:t>leukopenija</w:t>
            </w:r>
            <w:r>
              <w:rPr>
                <w:iCs/>
                <w:sz w:val="22"/>
                <w:szCs w:val="22"/>
                <w:vertAlign w:val="superscript"/>
                <w:lang w:val="lt-LT"/>
              </w:rPr>
              <w:t>1</w:t>
            </w:r>
          </w:p>
        </w:tc>
      </w:tr>
      <w:tr w:rsidR="00BE3570" w:rsidRPr="00102863" w14:paraId="19A7067B" w14:textId="77777777" w:rsidTr="00FE7070">
        <w:trPr>
          <w:trHeight w:val="135"/>
        </w:trPr>
        <w:tc>
          <w:tcPr>
            <w:tcW w:w="30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75D68" w14:textId="77777777" w:rsidR="00BE3570" w:rsidRDefault="00BE3570" w:rsidP="00BE3570">
            <w:pPr>
              <w:pStyle w:val="Default"/>
              <w:rPr>
                <w:sz w:val="22"/>
                <w:szCs w:val="22"/>
                <w:lang w:val="lt-LT"/>
              </w:rPr>
            </w:pPr>
            <w:r>
              <w:rPr>
                <w:sz w:val="22"/>
                <w:szCs w:val="22"/>
                <w:lang w:val="lt-LT"/>
              </w:rPr>
              <w:t>Imuninės sistemos sutrikimai</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7334E" w14:textId="77777777" w:rsidR="00BE3570" w:rsidRDefault="00BE3570" w:rsidP="00BE3570">
            <w:pPr>
              <w:pStyle w:val="Default"/>
              <w:rPr>
                <w:sz w:val="22"/>
                <w:szCs w:val="22"/>
                <w:lang w:val="lt-LT"/>
              </w:rPr>
            </w:pPr>
            <w:r>
              <w:rPr>
                <w:sz w:val="22"/>
                <w:szCs w:val="22"/>
                <w:lang w:val="lt-LT"/>
              </w:rPr>
              <w:t>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7E69E" w14:textId="77777777" w:rsidR="00BE3570" w:rsidRPr="007263E8" w:rsidRDefault="00BE3570" w:rsidP="00BE3570">
            <w:pPr>
              <w:pStyle w:val="Default"/>
              <w:rPr>
                <w:lang w:val="lt-LT"/>
              </w:rPr>
            </w:pPr>
            <w:r>
              <w:rPr>
                <w:sz w:val="22"/>
                <w:szCs w:val="22"/>
                <w:lang w:val="lt-LT"/>
              </w:rPr>
              <w:t>Padidėjusio jautrumo reakcijos (įskaitant dermatitą, niežulį ir išbėrimą)</w:t>
            </w:r>
            <w:r>
              <w:rPr>
                <w:sz w:val="22"/>
                <w:szCs w:val="22"/>
                <w:vertAlign w:val="superscript"/>
                <w:lang w:val="lt-LT"/>
              </w:rPr>
              <w:t>2</w:t>
            </w:r>
          </w:p>
        </w:tc>
      </w:tr>
      <w:tr w:rsidR="00BE3570" w:rsidRPr="00102863" w14:paraId="2FA274CF" w14:textId="77777777" w:rsidTr="00FE7070">
        <w:trPr>
          <w:trHeight w:val="135"/>
        </w:trPr>
        <w:tc>
          <w:tcPr>
            <w:tcW w:w="3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0504F" w14:textId="77777777" w:rsidR="00BE3570" w:rsidRDefault="00BE3570" w:rsidP="00BE3570">
            <w:pPr>
              <w:pStyle w:val="Default"/>
              <w:rPr>
                <w:sz w:val="22"/>
                <w:szCs w:val="22"/>
                <w:lang w:val="lt-LT"/>
              </w:rPr>
            </w:pP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5C650" w14:textId="77777777" w:rsidR="00BE3570" w:rsidRDefault="00BE3570" w:rsidP="00BE3570">
            <w:pPr>
              <w:pStyle w:val="Default"/>
              <w:rPr>
                <w:sz w:val="22"/>
                <w:szCs w:val="22"/>
                <w:lang w:val="lt-LT"/>
              </w:rPr>
            </w:pPr>
            <w:r>
              <w:rPr>
                <w:sz w:val="22"/>
                <w:szCs w:val="22"/>
                <w:lang w:val="lt-LT"/>
              </w:rPr>
              <w:t>Reti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95D9" w14:textId="77777777" w:rsidR="00BE3570" w:rsidRPr="00C54C14" w:rsidRDefault="00BE3570" w:rsidP="00BE3570">
            <w:pPr>
              <w:pStyle w:val="Default"/>
              <w:rPr>
                <w:lang w:val="pt-PT"/>
              </w:rPr>
            </w:pPr>
            <w:proofErr w:type="spellStart"/>
            <w:r>
              <w:rPr>
                <w:sz w:val="22"/>
                <w:lang w:val="lt-LT"/>
              </w:rPr>
              <w:t>Anafilaksija</w:t>
            </w:r>
            <w:proofErr w:type="spellEnd"/>
            <w:r>
              <w:rPr>
                <w:sz w:val="22"/>
                <w:lang w:val="lt-LT"/>
              </w:rPr>
              <w:t xml:space="preserve"> ir (arba) </w:t>
            </w:r>
            <w:proofErr w:type="spellStart"/>
            <w:r>
              <w:rPr>
                <w:sz w:val="22"/>
                <w:lang w:val="lt-LT"/>
              </w:rPr>
              <w:t>angioneurozinė</w:t>
            </w:r>
            <w:proofErr w:type="spellEnd"/>
            <w:r>
              <w:rPr>
                <w:sz w:val="22"/>
                <w:lang w:val="lt-LT"/>
              </w:rPr>
              <w:t xml:space="preserve"> </w:t>
            </w:r>
            <w:r>
              <w:rPr>
                <w:iCs/>
                <w:sz w:val="22"/>
                <w:szCs w:val="22"/>
                <w:lang w:val="lt-LT"/>
              </w:rPr>
              <w:t>edema</w:t>
            </w:r>
            <w:r>
              <w:rPr>
                <w:iCs/>
                <w:sz w:val="22"/>
                <w:szCs w:val="22"/>
                <w:vertAlign w:val="superscript"/>
                <w:lang w:val="lt-LT"/>
              </w:rPr>
              <w:t>1</w:t>
            </w:r>
          </w:p>
        </w:tc>
      </w:tr>
      <w:tr w:rsidR="00BE3570" w14:paraId="0446EFDE" w14:textId="77777777" w:rsidTr="00FE7070">
        <w:trPr>
          <w:trHeight w:val="135"/>
        </w:trPr>
        <w:tc>
          <w:tcPr>
            <w:tcW w:w="30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804EA" w14:textId="77777777" w:rsidR="00BE3570" w:rsidRDefault="00BE3570" w:rsidP="00BE3570">
            <w:pPr>
              <w:pStyle w:val="Default"/>
              <w:rPr>
                <w:sz w:val="22"/>
                <w:szCs w:val="22"/>
                <w:lang w:val="lt-LT"/>
              </w:rPr>
            </w:pPr>
            <w:r>
              <w:rPr>
                <w:sz w:val="22"/>
                <w:szCs w:val="22"/>
                <w:lang w:val="lt-LT"/>
              </w:rPr>
              <w:t>Nervų sistemos sutrikimai</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14512" w14:textId="77777777" w:rsidR="00BE3570" w:rsidRDefault="00BE3570" w:rsidP="00BE3570">
            <w:pPr>
              <w:pStyle w:val="Default"/>
              <w:rPr>
                <w:sz w:val="22"/>
                <w:szCs w:val="22"/>
                <w:lang w:val="lt-LT"/>
              </w:rPr>
            </w:pPr>
            <w:r>
              <w:rPr>
                <w:sz w:val="22"/>
                <w:szCs w:val="22"/>
                <w:lang w:val="lt-LT"/>
              </w:rPr>
              <w:t>Labai 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3A8FD" w14:textId="77777777" w:rsidR="00BE3570" w:rsidRPr="007263E8" w:rsidRDefault="00BE3570" w:rsidP="00BE3570">
            <w:pPr>
              <w:pStyle w:val="Default"/>
            </w:pPr>
            <w:r>
              <w:rPr>
                <w:sz w:val="22"/>
                <w:szCs w:val="22"/>
                <w:lang w:val="lt-LT"/>
              </w:rPr>
              <w:t>Galvos skausmas</w:t>
            </w:r>
            <w:r>
              <w:rPr>
                <w:sz w:val="22"/>
                <w:szCs w:val="22"/>
                <w:vertAlign w:val="superscript"/>
                <w:lang w:val="lt-LT"/>
              </w:rPr>
              <w:t>3</w:t>
            </w:r>
          </w:p>
        </w:tc>
      </w:tr>
      <w:tr w:rsidR="00BE3570" w14:paraId="6CF0664D" w14:textId="77777777" w:rsidTr="00FE7070">
        <w:trPr>
          <w:trHeight w:val="135"/>
        </w:trPr>
        <w:tc>
          <w:tcPr>
            <w:tcW w:w="3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CD817" w14:textId="77777777" w:rsidR="00BE3570" w:rsidRDefault="00BE3570" w:rsidP="00BE3570">
            <w:pPr>
              <w:pStyle w:val="Default"/>
              <w:rPr>
                <w:sz w:val="22"/>
                <w:szCs w:val="22"/>
                <w:lang w:val="lt-LT"/>
              </w:rPr>
            </w:pP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AA5EC" w14:textId="77777777" w:rsidR="00BE3570" w:rsidRDefault="00BE3570" w:rsidP="00BE3570">
            <w:pPr>
              <w:pStyle w:val="Default"/>
              <w:rPr>
                <w:sz w:val="22"/>
                <w:szCs w:val="22"/>
                <w:lang w:val="lt-LT"/>
              </w:rPr>
            </w:pPr>
            <w:r>
              <w:rPr>
                <w:sz w:val="22"/>
                <w:szCs w:val="22"/>
                <w:lang w:val="lt-LT"/>
              </w:rPr>
              <w:t>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C3815" w14:textId="77777777" w:rsidR="00BE3570" w:rsidRPr="007263E8" w:rsidRDefault="00BE3570" w:rsidP="00BE3570">
            <w:pPr>
              <w:pStyle w:val="Default"/>
            </w:pPr>
            <w:r>
              <w:rPr>
                <w:sz w:val="22"/>
                <w:lang w:val="lt-LT"/>
              </w:rPr>
              <w:t>Apalpimas (sinkopė)</w:t>
            </w:r>
            <w:r>
              <w:rPr>
                <w:rFonts w:eastAsia="Times New Roman"/>
                <w:color w:val="auto"/>
                <w:sz w:val="22"/>
                <w:szCs w:val="22"/>
                <w:vertAlign w:val="superscript"/>
                <w:lang w:val="lt-LT" w:eastAsia="en-US"/>
              </w:rPr>
              <w:t xml:space="preserve"> </w:t>
            </w:r>
            <w:r>
              <w:rPr>
                <w:iCs/>
                <w:sz w:val="22"/>
                <w:szCs w:val="22"/>
                <w:vertAlign w:val="superscript"/>
                <w:lang w:val="lt-LT"/>
              </w:rPr>
              <w:t>1,</w:t>
            </w:r>
            <w:r>
              <w:rPr>
                <w:sz w:val="22"/>
                <w:vertAlign w:val="superscript"/>
                <w:lang w:val="lt-LT"/>
              </w:rPr>
              <w:t>4</w:t>
            </w:r>
          </w:p>
        </w:tc>
      </w:tr>
      <w:tr w:rsidR="00BE3570" w14:paraId="4F2392BA" w14:textId="77777777" w:rsidTr="00FE7070">
        <w:trPr>
          <w:trHeight w:val="135"/>
        </w:trPr>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18EA8" w14:textId="77777777" w:rsidR="00BE3570" w:rsidRPr="00B01CD5" w:rsidRDefault="00BE3570" w:rsidP="00BE3570">
            <w:pPr>
              <w:pStyle w:val="Default"/>
              <w:rPr>
                <w:sz w:val="22"/>
                <w:szCs w:val="22"/>
                <w:lang w:val="lt-LT"/>
              </w:rPr>
            </w:pPr>
            <w:proofErr w:type="spellStart"/>
            <w:r w:rsidRPr="00DC170F">
              <w:rPr>
                <w:sz w:val="22"/>
                <w:szCs w:val="22"/>
              </w:rPr>
              <w:t>Akių</w:t>
            </w:r>
            <w:proofErr w:type="spellEnd"/>
            <w:r w:rsidRPr="00DC170F">
              <w:rPr>
                <w:sz w:val="22"/>
                <w:szCs w:val="22"/>
              </w:rPr>
              <w:t xml:space="preserve"> </w:t>
            </w:r>
            <w:proofErr w:type="spellStart"/>
            <w:r w:rsidRPr="00DC170F">
              <w:rPr>
                <w:sz w:val="22"/>
                <w:szCs w:val="22"/>
              </w:rPr>
              <w:t>sutrikimai</w:t>
            </w:r>
            <w:proofErr w:type="spellEnd"/>
            <w:r w:rsidRPr="00DC170F">
              <w:rPr>
                <w:sz w:val="22"/>
                <w:szCs w:val="22"/>
              </w:rPr>
              <w:t xml:space="preserve"> </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AB872" w14:textId="77777777" w:rsidR="00BE3570" w:rsidRPr="00B01CD5" w:rsidRDefault="00BE3570" w:rsidP="00BE3570">
            <w:pPr>
              <w:pStyle w:val="Default"/>
              <w:rPr>
                <w:sz w:val="22"/>
                <w:szCs w:val="22"/>
                <w:lang w:val="lt-LT"/>
              </w:rPr>
            </w:pPr>
            <w:proofErr w:type="spellStart"/>
            <w:r w:rsidRPr="00DC170F">
              <w:rPr>
                <w:sz w:val="22"/>
                <w:szCs w:val="22"/>
              </w:rPr>
              <w:t>Dažnis</w:t>
            </w:r>
            <w:proofErr w:type="spellEnd"/>
            <w:r w:rsidRPr="00DC170F">
              <w:rPr>
                <w:sz w:val="22"/>
                <w:szCs w:val="22"/>
              </w:rPr>
              <w:t xml:space="preserve"> </w:t>
            </w:r>
            <w:proofErr w:type="spellStart"/>
            <w:r w:rsidRPr="00DC170F">
              <w:rPr>
                <w:sz w:val="22"/>
                <w:szCs w:val="22"/>
              </w:rPr>
              <w:t>nežinomas</w:t>
            </w:r>
            <w:proofErr w:type="spellEnd"/>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2B919" w14:textId="2278E506" w:rsidR="00BE3570" w:rsidRPr="00B01CD5" w:rsidRDefault="00BE3570" w:rsidP="00BE3570">
            <w:pPr>
              <w:pStyle w:val="Default"/>
              <w:rPr>
                <w:sz w:val="22"/>
                <w:szCs w:val="22"/>
                <w:lang w:val="lt-LT"/>
              </w:rPr>
            </w:pPr>
            <w:proofErr w:type="spellStart"/>
            <w:r w:rsidRPr="00DC170F">
              <w:rPr>
                <w:sz w:val="22"/>
                <w:szCs w:val="22"/>
              </w:rPr>
              <w:t>Neryškus</w:t>
            </w:r>
            <w:proofErr w:type="spellEnd"/>
            <w:r w:rsidRPr="00DC170F">
              <w:rPr>
                <w:sz w:val="22"/>
                <w:szCs w:val="22"/>
              </w:rPr>
              <w:t xml:space="preserve"> matymas</w:t>
            </w:r>
            <w:r w:rsidR="00225C92" w:rsidRPr="00082D1A">
              <w:rPr>
                <w:sz w:val="22"/>
                <w:szCs w:val="22"/>
                <w:vertAlign w:val="superscript"/>
              </w:rPr>
              <w:t>1</w:t>
            </w:r>
          </w:p>
        </w:tc>
      </w:tr>
      <w:tr w:rsidR="00BE3570" w14:paraId="38602DDF" w14:textId="77777777" w:rsidTr="00FE7070">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0CE94" w14:textId="77777777" w:rsidR="00BE3570" w:rsidRDefault="00BE3570" w:rsidP="00BE3570">
            <w:pPr>
              <w:pStyle w:val="Default"/>
              <w:rPr>
                <w:sz w:val="22"/>
                <w:szCs w:val="22"/>
                <w:lang w:val="lt-LT"/>
              </w:rPr>
            </w:pPr>
            <w:r>
              <w:rPr>
                <w:sz w:val="22"/>
                <w:szCs w:val="22"/>
                <w:lang w:val="lt-LT"/>
              </w:rPr>
              <w:t>Širdies sutrikimai</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1BFEF" w14:textId="77777777" w:rsidR="00BE3570" w:rsidRDefault="00BE3570" w:rsidP="00BE3570">
            <w:pPr>
              <w:pStyle w:val="Default"/>
              <w:rPr>
                <w:sz w:val="22"/>
                <w:szCs w:val="22"/>
                <w:lang w:val="lt-LT"/>
              </w:rPr>
            </w:pPr>
            <w:r>
              <w:rPr>
                <w:sz w:val="22"/>
                <w:szCs w:val="22"/>
                <w:lang w:val="lt-LT"/>
              </w:rPr>
              <w:t>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D0831" w14:textId="77777777" w:rsidR="00BE3570" w:rsidRPr="007263E8" w:rsidRDefault="00BE3570" w:rsidP="00BE3570">
            <w:pPr>
              <w:pStyle w:val="Default"/>
            </w:pPr>
            <w:r>
              <w:rPr>
                <w:iCs/>
                <w:sz w:val="22"/>
                <w:szCs w:val="22"/>
                <w:lang w:val="lt-LT"/>
              </w:rPr>
              <w:t>Palpitacijos</w:t>
            </w:r>
            <w:r>
              <w:rPr>
                <w:iCs/>
                <w:sz w:val="22"/>
                <w:szCs w:val="22"/>
                <w:vertAlign w:val="superscript"/>
                <w:lang w:val="lt-LT"/>
              </w:rPr>
              <w:t>1,4</w:t>
            </w:r>
          </w:p>
        </w:tc>
      </w:tr>
      <w:tr w:rsidR="00BE3570" w14:paraId="151B89F2" w14:textId="77777777" w:rsidTr="00FE7070">
        <w:tc>
          <w:tcPr>
            <w:tcW w:w="30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CCC9768" w14:textId="77777777" w:rsidR="00BE3570" w:rsidRDefault="00BE3570" w:rsidP="00BE3570">
            <w:pPr>
              <w:pStyle w:val="Default"/>
              <w:rPr>
                <w:sz w:val="22"/>
                <w:szCs w:val="22"/>
                <w:lang w:val="lt-LT"/>
              </w:rPr>
            </w:pPr>
            <w:r>
              <w:rPr>
                <w:sz w:val="22"/>
                <w:szCs w:val="22"/>
                <w:lang w:val="lt-LT"/>
              </w:rPr>
              <w:t>Kraujagyslių sutrikimai</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950FE" w14:textId="77777777" w:rsidR="00BE3570" w:rsidRDefault="00BE3570" w:rsidP="00BE3570">
            <w:pPr>
              <w:pStyle w:val="Default"/>
              <w:rPr>
                <w:sz w:val="22"/>
                <w:szCs w:val="22"/>
                <w:lang w:val="lt-LT"/>
              </w:rPr>
            </w:pPr>
            <w:r>
              <w:rPr>
                <w:sz w:val="22"/>
                <w:szCs w:val="22"/>
                <w:lang w:val="lt-LT"/>
              </w:rPr>
              <w:t>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DC71" w14:textId="77777777" w:rsidR="00BE3570" w:rsidRPr="007263E8" w:rsidRDefault="00BE3570" w:rsidP="00BE3570">
            <w:pPr>
              <w:pStyle w:val="Default"/>
            </w:pPr>
            <w:r>
              <w:rPr>
                <w:sz w:val="22"/>
                <w:szCs w:val="22"/>
                <w:lang w:val="lt-LT"/>
              </w:rPr>
              <w:t>Veido ir kaklo paraudimas</w:t>
            </w:r>
          </w:p>
          <w:p w14:paraId="3889AF6C" w14:textId="77777777" w:rsidR="00BE3570" w:rsidRPr="007263E8" w:rsidRDefault="00BE3570" w:rsidP="00BE3570">
            <w:pPr>
              <w:pStyle w:val="Default"/>
            </w:pPr>
          </w:p>
        </w:tc>
      </w:tr>
      <w:tr w:rsidR="00BE3570" w14:paraId="077EC7EB" w14:textId="77777777" w:rsidTr="00FE7070">
        <w:tc>
          <w:tcPr>
            <w:tcW w:w="301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C87B5DF" w14:textId="77777777" w:rsidR="00BE3570" w:rsidRDefault="00BE3570" w:rsidP="00BE3570">
            <w:pPr>
              <w:pStyle w:val="Default"/>
              <w:rPr>
                <w:sz w:val="22"/>
                <w:szCs w:val="22"/>
                <w:lang w:val="lt-LT"/>
              </w:rPr>
            </w:pP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90540" w14:textId="77777777" w:rsidR="00BE3570" w:rsidRDefault="00BE3570" w:rsidP="00BE3570">
            <w:pPr>
              <w:pStyle w:val="Default"/>
              <w:rPr>
                <w:sz w:val="22"/>
                <w:szCs w:val="22"/>
                <w:lang w:val="lt-LT"/>
              </w:rPr>
            </w:pPr>
            <w:r>
              <w:rPr>
                <w:sz w:val="22"/>
                <w:szCs w:val="22"/>
                <w:lang w:val="lt-LT"/>
              </w:rPr>
              <w:t>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4EE7" w14:textId="77777777" w:rsidR="00BE3570" w:rsidRDefault="00BE3570" w:rsidP="00BE3570">
            <w:pPr>
              <w:pStyle w:val="Default"/>
              <w:rPr>
                <w:sz w:val="22"/>
                <w:szCs w:val="22"/>
                <w:lang w:val="lt-LT"/>
              </w:rPr>
            </w:pPr>
            <w:r>
              <w:rPr>
                <w:sz w:val="22"/>
                <w:lang w:val="lt-LT"/>
              </w:rPr>
              <w:t>Hipotenzija</w:t>
            </w:r>
            <w:r w:rsidRPr="00063601">
              <w:rPr>
                <w:sz w:val="22"/>
                <w:vertAlign w:val="superscript"/>
                <w:lang w:val="lt-LT"/>
              </w:rPr>
              <w:t>1,</w:t>
            </w:r>
            <w:r>
              <w:rPr>
                <w:sz w:val="22"/>
                <w:vertAlign w:val="superscript"/>
                <w:lang w:val="lt-LT"/>
              </w:rPr>
              <w:t>4</w:t>
            </w:r>
          </w:p>
        </w:tc>
      </w:tr>
      <w:tr w:rsidR="00BE3570" w14:paraId="07E1B94D" w14:textId="77777777" w:rsidTr="00FE7070">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8273D" w14:textId="77777777" w:rsidR="00BE3570" w:rsidRDefault="00BE3570" w:rsidP="00BE3570">
            <w:pPr>
              <w:pStyle w:val="Default"/>
              <w:rPr>
                <w:sz w:val="22"/>
                <w:szCs w:val="22"/>
                <w:lang w:val="lt-LT"/>
              </w:rPr>
            </w:pPr>
            <w:r>
              <w:rPr>
                <w:sz w:val="22"/>
                <w:szCs w:val="22"/>
                <w:lang w:val="lt-LT"/>
              </w:rPr>
              <w:t>Kvėpavimo sistemos, krūtinės ląstos ir tarpuplaučio sutrikimai</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10BA" w14:textId="77777777" w:rsidR="00BE3570" w:rsidRDefault="00BE3570" w:rsidP="00BE3570">
            <w:pPr>
              <w:pStyle w:val="Default"/>
              <w:rPr>
                <w:sz w:val="22"/>
                <w:szCs w:val="22"/>
                <w:lang w:val="lt-LT"/>
              </w:rPr>
            </w:pPr>
            <w:r>
              <w:rPr>
                <w:sz w:val="22"/>
                <w:szCs w:val="22"/>
                <w:lang w:val="lt-LT"/>
              </w:rPr>
              <w:t>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C6093" w14:textId="77777777" w:rsidR="00BE3570" w:rsidRDefault="00BE3570" w:rsidP="00BE3570">
            <w:pPr>
              <w:pStyle w:val="Default"/>
              <w:rPr>
                <w:sz w:val="22"/>
                <w:szCs w:val="22"/>
                <w:lang w:val="lt-LT"/>
              </w:rPr>
            </w:pPr>
            <w:r w:rsidRPr="00004B4E">
              <w:rPr>
                <w:sz w:val="22"/>
                <w:szCs w:val="22"/>
                <w:lang w:val="lt-LT"/>
              </w:rPr>
              <w:t>Nosies užgulimas</w:t>
            </w:r>
            <w:r w:rsidRPr="00063601">
              <w:rPr>
                <w:sz w:val="22"/>
                <w:szCs w:val="22"/>
                <w:vertAlign w:val="superscript"/>
                <w:lang w:val="lt-LT"/>
              </w:rPr>
              <w:t>1</w:t>
            </w:r>
          </w:p>
        </w:tc>
      </w:tr>
      <w:tr w:rsidR="00BE3570" w14:paraId="7D5AF914" w14:textId="77777777" w:rsidTr="00FE7070">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E86E7" w14:textId="77777777" w:rsidR="00BE3570" w:rsidRDefault="00BE3570" w:rsidP="00BE3570">
            <w:pPr>
              <w:pStyle w:val="Default"/>
              <w:rPr>
                <w:sz w:val="22"/>
                <w:szCs w:val="22"/>
                <w:lang w:val="lt-LT"/>
              </w:rPr>
            </w:pPr>
            <w:r>
              <w:rPr>
                <w:sz w:val="22"/>
                <w:szCs w:val="22"/>
                <w:lang w:val="lt-LT"/>
              </w:rPr>
              <w:t>Virškinimo trakto sutrikimai</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A3424" w14:textId="77777777" w:rsidR="00BE3570" w:rsidRDefault="00BE3570" w:rsidP="00BE3570">
            <w:pPr>
              <w:pStyle w:val="Default"/>
              <w:rPr>
                <w:sz w:val="22"/>
                <w:szCs w:val="22"/>
                <w:lang w:val="lt-LT"/>
              </w:rPr>
            </w:pPr>
            <w:r>
              <w:rPr>
                <w:sz w:val="22"/>
                <w:szCs w:val="22"/>
                <w:lang w:val="lt-LT"/>
              </w:rPr>
              <w:t>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3C65" w14:textId="77777777" w:rsidR="00BE3570" w:rsidRDefault="00BE3570" w:rsidP="00BE3570">
            <w:pPr>
              <w:pStyle w:val="Default"/>
              <w:rPr>
                <w:sz w:val="22"/>
                <w:szCs w:val="22"/>
                <w:lang w:val="lt-LT"/>
              </w:rPr>
            </w:pPr>
            <w:proofErr w:type="spellStart"/>
            <w:r>
              <w:rPr>
                <w:sz w:val="22"/>
                <w:szCs w:val="22"/>
                <w:lang w:val="lt-LT"/>
              </w:rPr>
              <w:t>Gastroezofaginio</w:t>
            </w:r>
            <w:proofErr w:type="spellEnd"/>
            <w:r>
              <w:rPr>
                <w:sz w:val="22"/>
                <w:szCs w:val="22"/>
                <w:lang w:val="lt-LT"/>
              </w:rPr>
              <w:t xml:space="preserve"> </w:t>
            </w:r>
            <w:proofErr w:type="spellStart"/>
            <w:r>
              <w:rPr>
                <w:sz w:val="22"/>
                <w:szCs w:val="22"/>
                <w:lang w:val="lt-LT"/>
              </w:rPr>
              <w:t>refliukso</w:t>
            </w:r>
            <w:proofErr w:type="spellEnd"/>
            <w:r>
              <w:rPr>
                <w:sz w:val="22"/>
                <w:szCs w:val="22"/>
                <w:lang w:val="lt-LT"/>
              </w:rPr>
              <w:t xml:space="preserve"> liga </w:t>
            </w:r>
          </w:p>
          <w:p w14:paraId="3C8CB726" w14:textId="77777777" w:rsidR="00BE3570" w:rsidRPr="007263E8" w:rsidRDefault="00BE3570" w:rsidP="00BE3570">
            <w:pPr>
              <w:pStyle w:val="Default"/>
            </w:pPr>
            <w:r>
              <w:rPr>
                <w:sz w:val="22"/>
                <w:szCs w:val="22"/>
                <w:lang w:val="lt-LT"/>
              </w:rPr>
              <w:t>Viduriavimas</w:t>
            </w:r>
          </w:p>
        </w:tc>
      </w:tr>
      <w:tr w:rsidR="00BE3570" w:rsidRPr="00102863" w14:paraId="74FF4281" w14:textId="77777777" w:rsidTr="00FE7070">
        <w:trPr>
          <w:trHeight w:val="90"/>
        </w:trPr>
        <w:tc>
          <w:tcPr>
            <w:tcW w:w="30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27106" w14:textId="77777777" w:rsidR="00BE3570" w:rsidRDefault="00BE3570" w:rsidP="00BE3570">
            <w:pPr>
              <w:pStyle w:val="Default"/>
              <w:rPr>
                <w:sz w:val="22"/>
                <w:szCs w:val="22"/>
                <w:lang w:val="lt-LT"/>
              </w:rPr>
            </w:pPr>
            <w:r>
              <w:rPr>
                <w:sz w:val="22"/>
                <w:szCs w:val="22"/>
                <w:lang w:val="lt-LT"/>
              </w:rPr>
              <w:t>Kepenų, tulžies pūslės ir latakų sutrikimai</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6B74B" w14:textId="77777777" w:rsidR="00BE3570" w:rsidRDefault="00BE3570" w:rsidP="00BE3570">
            <w:pPr>
              <w:pStyle w:val="Default"/>
              <w:rPr>
                <w:sz w:val="22"/>
                <w:szCs w:val="22"/>
                <w:lang w:val="lt-LT"/>
              </w:rPr>
            </w:pPr>
            <w:r>
              <w:rPr>
                <w:sz w:val="22"/>
                <w:szCs w:val="22"/>
                <w:lang w:val="lt-LT"/>
              </w:rPr>
              <w:t>Labai 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26FFE" w14:textId="77777777" w:rsidR="00BE3570" w:rsidRDefault="00BE3570" w:rsidP="00BE3570">
            <w:pPr>
              <w:pStyle w:val="Default"/>
              <w:rPr>
                <w:sz w:val="22"/>
                <w:szCs w:val="22"/>
                <w:lang w:val="lt-LT"/>
              </w:rPr>
            </w:pPr>
            <w:r>
              <w:rPr>
                <w:sz w:val="22"/>
                <w:szCs w:val="22"/>
                <w:lang w:val="lt-LT"/>
              </w:rPr>
              <w:t>Nenormalūs kepenų funkcijos tyrimo rodmenys (žr. 4.4 skyrių)</w:t>
            </w:r>
          </w:p>
        </w:tc>
      </w:tr>
      <w:tr w:rsidR="00BE3570" w:rsidRPr="00102863" w14:paraId="7A382497" w14:textId="77777777" w:rsidTr="00FE7070">
        <w:trPr>
          <w:trHeight w:val="90"/>
        </w:trPr>
        <w:tc>
          <w:tcPr>
            <w:tcW w:w="3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749E4" w14:textId="77777777" w:rsidR="00BE3570" w:rsidRDefault="00BE3570" w:rsidP="00BE3570">
            <w:pPr>
              <w:pStyle w:val="Default"/>
              <w:rPr>
                <w:sz w:val="22"/>
                <w:szCs w:val="22"/>
                <w:lang w:val="lt-LT"/>
              </w:rPr>
            </w:pP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B9EC" w14:textId="77777777" w:rsidR="00BE3570" w:rsidRDefault="00BE3570" w:rsidP="00BE3570">
            <w:pPr>
              <w:pStyle w:val="Default"/>
              <w:rPr>
                <w:sz w:val="22"/>
                <w:szCs w:val="22"/>
                <w:lang w:val="lt-LT"/>
              </w:rPr>
            </w:pPr>
            <w:r>
              <w:rPr>
                <w:sz w:val="22"/>
                <w:szCs w:val="22"/>
                <w:lang w:val="lt-LT"/>
              </w:rPr>
              <w:t>Nedažni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B6395" w14:textId="77777777" w:rsidR="00BE3570" w:rsidRPr="007263E8" w:rsidRDefault="00BE3570" w:rsidP="00BE3570">
            <w:pPr>
              <w:pStyle w:val="Default"/>
              <w:rPr>
                <w:lang w:val="lt-LT"/>
              </w:rPr>
            </w:pPr>
            <w:proofErr w:type="spellStart"/>
            <w:r>
              <w:rPr>
                <w:sz w:val="22"/>
                <w:lang w:val="lt-LT"/>
              </w:rPr>
              <w:t>Aminotransferazės</w:t>
            </w:r>
            <w:proofErr w:type="spellEnd"/>
            <w:r>
              <w:rPr>
                <w:sz w:val="22"/>
                <w:lang w:val="lt-LT"/>
              </w:rPr>
              <w:t xml:space="preserve"> aktyvumo padidėjimas, susijęs su hepatitu </w:t>
            </w:r>
            <w:r w:rsidRPr="00304469">
              <w:rPr>
                <w:iCs/>
                <w:sz w:val="22"/>
                <w:lang w:val="lt-LT"/>
              </w:rPr>
              <w:t>(įskaitant galimą jau diagnozuoto hepatito paūmėjimą)</w:t>
            </w:r>
            <w:r>
              <w:rPr>
                <w:iCs/>
                <w:sz w:val="22"/>
                <w:lang w:val="lt-LT"/>
              </w:rPr>
              <w:t xml:space="preserve"> </w:t>
            </w:r>
            <w:r>
              <w:rPr>
                <w:sz w:val="22"/>
                <w:lang w:val="lt-LT"/>
              </w:rPr>
              <w:t xml:space="preserve">ir (arba) </w:t>
            </w:r>
            <w:r>
              <w:rPr>
                <w:iCs/>
                <w:sz w:val="22"/>
                <w:szCs w:val="22"/>
                <w:lang w:val="lt-LT"/>
              </w:rPr>
              <w:t>gelta</w:t>
            </w:r>
            <w:r>
              <w:rPr>
                <w:iCs/>
                <w:sz w:val="22"/>
                <w:szCs w:val="22"/>
                <w:vertAlign w:val="superscript"/>
                <w:lang w:val="lt-LT"/>
              </w:rPr>
              <w:t>1</w:t>
            </w:r>
            <w:r>
              <w:rPr>
                <w:sz w:val="22"/>
                <w:lang w:val="lt-LT"/>
              </w:rPr>
              <w:t xml:space="preserve"> </w:t>
            </w:r>
            <w:r>
              <w:rPr>
                <w:sz w:val="22"/>
                <w:szCs w:val="22"/>
                <w:lang w:val="lt-LT"/>
              </w:rPr>
              <w:t>(žr. 4.4 skyrių)</w:t>
            </w:r>
          </w:p>
        </w:tc>
      </w:tr>
      <w:tr w:rsidR="00BE3570" w:rsidRPr="00102863" w14:paraId="272C7A37" w14:textId="77777777" w:rsidTr="00FE7070">
        <w:trPr>
          <w:trHeight w:val="90"/>
        </w:trPr>
        <w:tc>
          <w:tcPr>
            <w:tcW w:w="3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0B069" w14:textId="77777777" w:rsidR="00BE3570" w:rsidRDefault="00BE3570" w:rsidP="00BE3570">
            <w:pPr>
              <w:pStyle w:val="Default"/>
              <w:rPr>
                <w:sz w:val="22"/>
                <w:szCs w:val="22"/>
                <w:lang w:val="lt-LT"/>
              </w:rPr>
            </w:pP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C9A38" w14:textId="77777777" w:rsidR="00BE3570" w:rsidRDefault="00BE3570" w:rsidP="00BE3570">
            <w:pPr>
              <w:pStyle w:val="Default"/>
              <w:rPr>
                <w:sz w:val="22"/>
                <w:szCs w:val="22"/>
                <w:lang w:val="lt-LT"/>
              </w:rPr>
            </w:pPr>
            <w:r>
              <w:rPr>
                <w:sz w:val="22"/>
                <w:szCs w:val="22"/>
                <w:lang w:val="lt-LT"/>
              </w:rPr>
              <w:t>Reti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5034E" w14:textId="595FF15E" w:rsidR="00BE3570" w:rsidRPr="00102863" w:rsidRDefault="00BE3570" w:rsidP="00BE3570">
            <w:pPr>
              <w:pStyle w:val="Default"/>
              <w:rPr>
                <w:lang w:val="lt-LT"/>
              </w:rPr>
            </w:pPr>
            <w:r>
              <w:rPr>
                <w:sz w:val="22"/>
                <w:lang w:val="lt-LT"/>
              </w:rPr>
              <w:t xml:space="preserve">Kepenų cirozė, kepenų </w:t>
            </w:r>
            <w:r>
              <w:rPr>
                <w:iCs/>
                <w:sz w:val="22"/>
                <w:szCs w:val="22"/>
                <w:lang w:val="lt-LT"/>
              </w:rPr>
              <w:t>nepakankamumas</w:t>
            </w:r>
            <w:r w:rsidR="0018052C">
              <w:rPr>
                <w:iCs/>
                <w:sz w:val="22"/>
                <w:szCs w:val="22"/>
                <w:lang w:val="lt-LT"/>
              </w:rPr>
              <w:t>,</w:t>
            </w:r>
            <w:r w:rsidR="0018052C" w:rsidRPr="00102863">
              <w:rPr>
                <w:lang w:val="lt-LT"/>
              </w:rPr>
              <w:t xml:space="preserve"> </w:t>
            </w:r>
            <w:r w:rsidR="0018052C" w:rsidRPr="0018052C">
              <w:rPr>
                <w:iCs/>
                <w:sz w:val="22"/>
                <w:szCs w:val="22"/>
                <w:lang w:val="lt-LT"/>
              </w:rPr>
              <w:t xml:space="preserve">autoimuninis hepatitas </w:t>
            </w:r>
            <w:r>
              <w:rPr>
                <w:iCs/>
                <w:sz w:val="22"/>
                <w:szCs w:val="22"/>
                <w:vertAlign w:val="superscript"/>
                <w:lang w:val="lt-LT"/>
              </w:rPr>
              <w:t>1</w:t>
            </w:r>
          </w:p>
        </w:tc>
      </w:tr>
      <w:tr w:rsidR="00BE3570" w14:paraId="0E0A676F" w14:textId="77777777" w:rsidTr="00FE7070">
        <w:trPr>
          <w:trHeight w:val="90"/>
        </w:trPr>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95044" w14:textId="77777777" w:rsidR="00BE3570" w:rsidRDefault="00BE3570" w:rsidP="00BE3570">
            <w:pPr>
              <w:pStyle w:val="Default"/>
              <w:rPr>
                <w:sz w:val="22"/>
                <w:szCs w:val="22"/>
                <w:lang w:val="lt-LT"/>
              </w:rPr>
            </w:pPr>
            <w:r>
              <w:rPr>
                <w:sz w:val="22"/>
                <w:szCs w:val="22"/>
                <w:lang w:val="lt-LT"/>
              </w:rPr>
              <w:t>Odos ir poodinio audinio sutrikimai</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93B10" w14:textId="77777777" w:rsidR="00BE3570" w:rsidRDefault="00BE3570" w:rsidP="00BE3570">
            <w:pPr>
              <w:pStyle w:val="Default"/>
              <w:rPr>
                <w:sz w:val="22"/>
                <w:szCs w:val="22"/>
                <w:lang w:val="lt-LT"/>
              </w:rPr>
            </w:pPr>
            <w:r>
              <w:rPr>
                <w:sz w:val="22"/>
                <w:szCs w:val="22"/>
                <w:lang w:val="lt-LT"/>
              </w:rPr>
              <w:t>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BA01E" w14:textId="77777777" w:rsidR="00BE3570" w:rsidRDefault="00BE3570" w:rsidP="00BE3570">
            <w:pPr>
              <w:pStyle w:val="Default"/>
              <w:rPr>
                <w:iCs/>
                <w:sz w:val="22"/>
                <w:szCs w:val="22"/>
                <w:lang w:val="lt-LT"/>
              </w:rPr>
            </w:pPr>
            <w:proofErr w:type="spellStart"/>
            <w:r>
              <w:rPr>
                <w:iCs/>
                <w:sz w:val="22"/>
                <w:szCs w:val="22"/>
                <w:lang w:val="lt-LT"/>
              </w:rPr>
              <w:t>Eritema</w:t>
            </w:r>
            <w:proofErr w:type="spellEnd"/>
          </w:p>
        </w:tc>
      </w:tr>
      <w:tr w:rsidR="00BE3570" w14:paraId="007295C4" w14:textId="77777777" w:rsidTr="00FE7070">
        <w:trPr>
          <w:trHeight w:val="90"/>
        </w:trPr>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BA35" w14:textId="77777777" w:rsidR="00BE3570" w:rsidRDefault="00BE3570" w:rsidP="00BE3570">
            <w:pPr>
              <w:pStyle w:val="Default"/>
              <w:rPr>
                <w:sz w:val="22"/>
                <w:szCs w:val="22"/>
                <w:lang w:val="lt-LT"/>
              </w:rPr>
            </w:pPr>
            <w:r>
              <w:rPr>
                <w:sz w:val="22"/>
                <w:szCs w:val="22"/>
                <w:lang w:val="lt-LT"/>
              </w:rPr>
              <w:t>Bendrieji sutrikimai ir vartojimo vietos pažeidimai</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A5586" w14:textId="77777777" w:rsidR="00BE3570" w:rsidRDefault="00BE3570" w:rsidP="00BE3570">
            <w:pPr>
              <w:pStyle w:val="Default"/>
              <w:rPr>
                <w:sz w:val="22"/>
                <w:szCs w:val="22"/>
                <w:lang w:val="lt-LT"/>
              </w:rPr>
            </w:pPr>
            <w:r>
              <w:rPr>
                <w:sz w:val="22"/>
                <w:szCs w:val="22"/>
                <w:lang w:val="lt-LT"/>
              </w:rPr>
              <w:t>Labai dažni</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FE074" w14:textId="77777777" w:rsidR="00BE3570" w:rsidRPr="007263E8" w:rsidRDefault="00BE3570" w:rsidP="00BE3570">
            <w:pPr>
              <w:pStyle w:val="Default"/>
            </w:pPr>
            <w:r>
              <w:rPr>
                <w:sz w:val="22"/>
                <w:szCs w:val="22"/>
                <w:lang w:val="lt-LT"/>
              </w:rPr>
              <w:t>Edema, skysčių susilaikymas</w:t>
            </w:r>
            <w:r>
              <w:rPr>
                <w:sz w:val="22"/>
                <w:szCs w:val="22"/>
                <w:vertAlign w:val="superscript"/>
                <w:lang w:val="lt-LT"/>
              </w:rPr>
              <w:t>5</w:t>
            </w:r>
          </w:p>
        </w:tc>
      </w:tr>
    </w:tbl>
    <w:p w14:paraId="46E82897" w14:textId="77777777" w:rsidR="00172C88" w:rsidRDefault="00172C88" w:rsidP="00172C88">
      <w:pPr>
        <w:spacing w:line="240" w:lineRule="auto"/>
        <w:rPr>
          <w:szCs w:val="22"/>
          <w:lang w:val="lt-LT"/>
        </w:rPr>
      </w:pPr>
    </w:p>
    <w:p w14:paraId="5369FF06" w14:textId="77777777" w:rsidR="00172C88" w:rsidRPr="007263E8" w:rsidRDefault="00172C88" w:rsidP="00172C88">
      <w:pPr>
        <w:spacing w:line="240" w:lineRule="auto"/>
        <w:rPr>
          <w:lang w:val="lt-LT"/>
        </w:rPr>
      </w:pPr>
      <w:r>
        <w:rPr>
          <w:sz w:val="18"/>
          <w:szCs w:val="18"/>
          <w:vertAlign w:val="superscript"/>
          <w:lang w:val="lt-LT"/>
        </w:rPr>
        <w:t>1</w:t>
      </w:r>
      <w:r>
        <w:rPr>
          <w:sz w:val="18"/>
          <w:szCs w:val="18"/>
          <w:lang w:val="lt-LT"/>
        </w:rPr>
        <w:t xml:space="preserve"> Duomenys, gauti po vaistinio preparato registracijos , dažnis pagrįstas statistinio modeliavimo placebu kontroliuojamų klinikinių tyrimų duomenimis.</w:t>
      </w:r>
    </w:p>
    <w:p w14:paraId="24696A24" w14:textId="77777777" w:rsidR="00172C88" w:rsidRPr="007263E8" w:rsidRDefault="00172C88" w:rsidP="00172C88">
      <w:pPr>
        <w:spacing w:line="240" w:lineRule="auto"/>
        <w:rPr>
          <w:lang w:val="lt-LT"/>
        </w:rPr>
      </w:pPr>
      <w:r>
        <w:rPr>
          <w:sz w:val="18"/>
          <w:szCs w:val="18"/>
          <w:vertAlign w:val="superscript"/>
          <w:lang w:val="lt-LT"/>
        </w:rPr>
        <w:t>2</w:t>
      </w:r>
      <w:r>
        <w:rPr>
          <w:sz w:val="18"/>
          <w:szCs w:val="18"/>
          <w:lang w:val="lt-LT"/>
        </w:rPr>
        <w:t xml:space="preserve"> Pranešta, kad padidėjusio jautrumo reakcijų pasireiškė 9,9% </w:t>
      </w:r>
      <w:proofErr w:type="spellStart"/>
      <w:r>
        <w:rPr>
          <w:sz w:val="18"/>
          <w:szCs w:val="18"/>
          <w:lang w:val="lt-LT"/>
        </w:rPr>
        <w:t>bozentano</w:t>
      </w:r>
      <w:proofErr w:type="spellEnd"/>
      <w:r>
        <w:rPr>
          <w:sz w:val="18"/>
          <w:szCs w:val="18"/>
          <w:lang w:val="lt-LT"/>
        </w:rPr>
        <w:t xml:space="preserve"> ir 9,1% placebo vartojusių pacientų.</w:t>
      </w:r>
    </w:p>
    <w:p w14:paraId="7B199C33" w14:textId="77777777" w:rsidR="00172C88" w:rsidRPr="00C54C14" w:rsidRDefault="00172C88" w:rsidP="00172C88">
      <w:pPr>
        <w:spacing w:line="240" w:lineRule="auto"/>
        <w:rPr>
          <w:lang w:val="pt-PT"/>
        </w:rPr>
      </w:pPr>
      <w:r>
        <w:rPr>
          <w:sz w:val="18"/>
          <w:szCs w:val="18"/>
          <w:vertAlign w:val="superscript"/>
          <w:lang w:val="lt-LT"/>
        </w:rPr>
        <w:t>3</w:t>
      </w:r>
      <w:r>
        <w:rPr>
          <w:sz w:val="18"/>
          <w:szCs w:val="18"/>
          <w:lang w:val="lt-LT"/>
        </w:rPr>
        <w:t xml:space="preserve"> Pranešta, kad galvos skausmą patyrė 11,5% </w:t>
      </w:r>
      <w:proofErr w:type="spellStart"/>
      <w:r>
        <w:rPr>
          <w:sz w:val="18"/>
          <w:szCs w:val="18"/>
          <w:lang w:val="lt-LT"/>
        </w:rPr>
        <w:t>bozentano</w:t>
      </w:r>
      <w:proofErr w:type="spellEnd"/>
      <w:r>
        <w:rPr>
          <w:sz w:val="18"/>
          <w:szCs w:val="18"/>
          <w:lang w:val="lt-LT"/>
        </w:rPr>
        <w:t xml:space="preserve"> ir 9,8% placebo vartojusių pacientų.</w:t>
      </w:r>
    </w:p>
    <w:p w14:paraId="208A486A" w14:textId="77777777" w:rsidR="00172C88" w:rsidRPr="00C54C14" w:rsidRDefault="00172C88" w:rsidP="00172C88">
      <w:pPr>
        <w:spacing w:line="240" w:lineRule="auto"/>
        <w:rPr>
          <w:lang w:val="pt-PT"/>
        </w:rPr>
      </w:pPr>
      <w:r>
        <w:rPr>
          <w:sz w:val="18"/>
          <w:szCs w:val="18"/>
          <w:vertAlign w:val="superscript"/>
          <w:lang w:val="lt-LT"/>
        </w:rPr>
        <w:t>4</w:t>
      </w:r>
      <w:r>
        <w:rPr>
          <w:sz w:val="18"/>
          <w:szCs w:val="18"/>
          <w:lang w:val="lt-LT"/>
        </w:rPr>
        <w:t xml:space="preserve"> Šio tipo reakcijos gali būti susijusios su gydoma liga.</w:t>
      </w:r>
    </w:p>
    <w:p w14:paraId="7408D5F5" w14:textId="77777777" w:rsidR="00172C88" w:rsidRPr="00C54C14" w:rsidRDefault="00172C88" w:rsidP="00172C88">
      <w:pPr>
        <w:spacing w:line="240" w:lineRule="auto"/>
        <w:rPr>
          <w:lang w:val="pt-PT"/>
        </w:rPr>
      </w:pPr>
      <w:r>
        <w:rPr>
          <w:sz w:val="18"/>
          <w:szCs w:val="18"/>
          <w:vertAlign w:val="superscript"/>
          <w:lang w:val="lt-LT"/>
        </w:rPr>
        <w:t xml:space="preserve">5 </w:t>
      </w:r>
      <w:r>
        <w:rPr>
          <w:sz w:val="18"/>
          <w:szCs w:val="18"/>
          <w:lang w:val="lt-LT"/>
        </w:rPr>
        <w:t xml:space="preserve">Pranešta, kad edema arba skysčių susilaikymas pasireiškė 13,2% </w:t>
      </w:r>
      <w:proofErr w:type="spellStart"/>
      <w:r>
        <w:rPr>
          <w:sz w:val="18"/>
          <w:szCs w:val="18"/>
          <w:lang w:val="lt-LT"/>
        </w:rPr>
        <w:t>bozentano</w:t>
      </w:r>
      <w:proofErr w:type="spellEnd"/>
      <w:r>
        <w:rPr>
          <w:sz w:val="18"/>
          <w:szCs w:val="18"/>
          <w:lang w:val="lt-LT"/>
        </w:rPr>
        <w:t xml:space="preserve"> ir 10,9% placebo vartojusių pacientų. </w:t>
      </w:r>
    </w:p>
    <w:p w14:paraId="120514D6" w14:textId="77777777" w:rsidR="00172C88" w:rsidRDefault="00172C88" w:rsidP="00172C88">
      <w:pPr>
        <w:spacing w:line="240" w:lineRule="auto"/>
        <w:rPr>
          <w:szCs w:val="22"/>
          <w:lang w:val="lt-LT"/>
        </w:rPr>
      </w:pPr>
    </w:p>
    <w:p w14:paraId="67FD20E5" w14:textId="372280EB" w:rsidR="00172C88" w:rsidRPr="00E32052" w:rsidRDefault="00172C88" w:rsidP="00853790">
      <w:pPr>
        <w:spacing w:line="240" w:lineRule="auto"/>
        <w:rPr>
          <w:lang w:val="lt-LT"/>
        </w:rPr>
      </w:pPr>
      <w:r>
        <w:rPr>
          <w:szCs w:val="22"/>
          <w:lang w:val="lt-LT"/>
        </w:rPr>
        <w:t xml:space="preserve">Po vaistinio preparato registracijos gauta pranešimų apie neaiškios priežasties sukeltą kepenų cirozę pacientams, kurie buvo ilgai gydyti </w:t>
      </w:r>
      <w:proofErr w:type="spellStart"/>
      <w:r>
        <w:rPr>
          <w:lang w:val="lt-LT"/>
        </w:rPr>
        <w:t>bozentanu</w:t>
      </w:r>
      <w:proofErr w:type="spellEnd"/>
      <w:r>
        <w:rPr>
          <w:lang w:val="lt-LT"/>
        </w:rPr>
        <w:t xml:space="preserve">, </w:t>
      </w:r>
      <w:r>
        <w:rPr>
          <w:szCs w:val="22"/>
          <w:lang w:val="lt-LT"/>
        </w:rPr>
        <w:t>sirgo daugeliu kitų ligų ir vartojo kitokių vaistinių preparatų. Taip pat buvo retų pranešimų apie kepenų nepakankamumo atvejus</w:t>
      </w:r>
      <w:r w:rsidR="00853790" w:rsidRPr="00853790">
        <w:rPr>
          <w:szCs w:val="22"/>
          <w:lang w:val="lt-LT"/>
        </w:rPr>
        <w:t xml:space="preserve"> </w:t>
      </w:r>
      <w:r w:rsidR="00853790" w:rsidRPr="00A14981">
        <w:rPr>
          <w:szCs w:val="22"/>
          <w:lang w:val="lt-LT"/>
        </w:rPr>
        <w:t>ir autoimuninio hepatito</w:t>
      </w:r>
      <w:r w:rsidR="00B42534">
        <w:rPr>
          <w:szCs w:val="22"/>
          <w:lang w:val="lt-LT"/>
        </w:rPr>
        <w:t xml:space="preserve"> </w:t>
      </w:r>
      <w:r w:rsidR="00853790" w:rsidRPr="00A14981">
        <w:rPr>
          <w:szCs w:val="22"/>
          <w:lang w:val="lt-LT"/>
        </w:rPr>
        <w:t>atvejus, kurių latentinis laikotarpis truko nuo kelių mėnesių iki metų</w:t>
      </w:r>
      <w:r>
        <w:rPr>
          <w:szCs w:val="22"/>
          <w:lang w:val="lt-LT"/>
        </w:rPr>
        <w:t xml:space="preserve">. Tokie atvejai patvirtina būtinybę griežtai laikytis kas mėnesį atliekamų kepenų funkcijos patikrinimų grafiko visu gydymo </w:t>
      </w:r>
      <w:proofErr w:type="spellStart"/>
      <w:r>
        <w:rPr>
          <w:szCs w:val="22"/>
          <w:lang w:val="lt-LT"/>
        </w:rPr>
        <w:t>Bosentan</w:t>
      </w:r>
      <w:proofErr w:type="spellEnd"/>
      <w:r>
        <w:rPr>
          <w:szCs w:val="22"/>
          <w:lang w:val="lt-LT"/>
        </w:rPr>
        <w:t xml:space="preserve"> </w:t>
      </w:r>
      <w:proofErr w:type="spellStart"/>
      <w:r>
        <w:rPr>
          <w:szCs w:val="22"/>
          <w:lang w:val="lt-LT"/>
        </w:rPr>
        <w:t>Norameda</w:t>
      </w:r>
      <w:proofErr w:type="spellEnd"/>
      <w:r>
        <w:rPr>
          <w:szCs w:val="22"/>
          <w:lang w:val="lt-LT"/>
        </w:rPr>
        <w:t xml:space="preserve"> laikotarpiu (žr. 4.4 skyrių). </w:t>
      </w:r>
    </w:p>
    <w:p w14:paraId="74E3D225" w14:textId="77777777" w:rsidR="00172C88" w:rsidRDefault="00172C88" w:rsidP="00172C88">
      <w:pPr>
        <w:spacing w:line="240" w:lineRule="auto"/>
        <w:rPr>
          <w:szCs w:val="22"/>
          <w:lang w:val="lt-LT"/>
        </w:rPr>
      </w:pPr>
    </w:p>
    <w:p w14:paraId="6301D74A" w14:textId="77777777" w:rsidR="00172C88" w:rsidRDefault="00172C88" w:rsidP="00172C88">
      <w:pPr>
        <w:spacing w:line="240" w:lineRule="auto"/>
        <w:rPr>
          <w:szCs w:val="22"/>
          <w:u w:val="single"/>
          <w:lang w:val="lt-LT"/>
        </w:rPr>
      </w:pPr>
      <w:r>
        <w:rPr>
          <w:szCs w:val="22"/>
          <w:u w:val="single"/>
          <w:lang w:val="lt-LT"/>
        </w:rPr>
        <w:t xml:space="preserve">Vaikų populiacija </w:t>
      </w:r>
    </w:p>
    <w:p w14:paraId="58AD29D8" w14:textId="77777777" w:rsidR="00172C88" w:rsidRDefault="00172C88" w:rsidP="00172C88">
      <w:pPr>
        <w:spacing w:line="240" w:lineRule="auto"/>
        <w:rPr>
          <w:szCs w:val="22"/>
          <w:u w:val="single"/>
          <w:lang w:val="lt-LT"/>
        </w:rPr>
      </w:pPr>
    </w:p>
    <w:p w14:paraId="062B15E5" w14:textId="77777777" w:rsidR="00172C88" w:rsidRPr="00C54C14" w:rsidRDefault="00172C88" w:rsidP="00172C88">
      <w:pPr>
        <w:spacing w:line="240" w:lineRule="auto"/>
        <w:rPr>
          <w:lang w:val="pt-PT"/>
        </w:rPr>
      </w:pPr>
      <w:r w:rsidRPr="00DC170F">
        <w:rPr>
          <w:i/>
          <w:iCs/>
          <w:szCs w:val="22"/>
          <w:lang w:val="lt-LT"/>
        </w:rPr>
        <w:t xml:space="preserve">Nekontroliuojami klinikiniai pediatrijos pacientų tyrimai </w:t>
      </w:r>
    </w:p>
    <w:p w14:paraId="3DF39E2D" w14:textId="77777777" w:rsidR="00172C88" w:rsidRDefault="00172C88" w:rsidP="00172C88">
      <w:pPr>
        <w:spacing w:line="240" w:lineRule="auto"/>
        <w:rPr>
          <w:szCs w:val="22"/>
          <w:lang w:val="lt-LT"/>
        </w:rPr>
      </w:pPr>
      <w:r>
        <w:rPr>
          <w:szCs w:val="22"/>
          <w:lang w:val="lt-LT"/>
        </w:rPr>
        <w:lastRenderedPageBreak/>
        <w:t xml:space="preserve">Saugumo profilis atliekant pirmąjį nekontroliuojamą pediatrijos pacientų tyrimą, kurio metu buvo naudojamos plėvele dengtos tabletės (BREATHE-3: n = 19, vidutinis amžius 10 metų [nuo 3 iki 15 metų], dukart per parą buvo vartojama 2 mg/kg atvirojo tyrimo </w:t>
      </w:r>
      <w:proofErr w:type="spellStart"/>
      <w:r>
        <w:rPr>
          <w:szCs w:val="22"/>
          <w:lang w:val="lt-LT"/>
        </w:rPr>
        <w:t>bozentano</w:t>
      </w:r>
      <w:proofErr w:type="spellEnd"/>
      <w:r>
        <w:rPr>
          <w:szCs w:val="22"/>
          <w:lang w:val="lt-LT"/>
        </w:rPr>
        <w:t xml:space="preserve">, gydymas truko 12 savaičių) buvo panašus į pagrindiniuose suaugusiųjų, sergančių PAH, tyrimuose nustatytą saugumo profilį. Tyrime BREATHE-3 dažniausiai pasireiškusios nepageidaujamos reakcijos buvo veido raudonis (21 %), galvos skausmas ir nenormalūs kepenų tyrimų rezultatai (po 16 %). </w:t>
      </w:r>
    </w:p>
    <w:p w14:paraId="4607EFBA" w14:textId="77777777" w:rsidR="00172C88" w:rsidRDefault="00172C88" w:rsidP="00172C88">
      <w:pPr>
        <w:spacing w:line="240" w:lineRule="auto"/>
        <w:rPr>
          <w:szCs w:val="22"/>
          <w:lang w:val="lt-LT"/>
        </w:rPr>
      </w:pPr>
    </w:p>
    <w:p w14:paraId="39848212" w14:textId="77777777" w:rsidR="00172C88" w:rsidRDefault="00172C88" w:rsidP="00172C88">
      <w:pPr>
        <w:spacing w:line="240" w:lineRule="auto"/>
        <w:rPr>
          <w:szCs w:val="22"/>
          <w:lang w:val="lt-LT"/>
        </w:rPr>
      </w:pPr>
      <w:r>
        <w:rPr>
          <w:szCs w:val="22"/>
          <w:lang w:val="lt-LT"/>
        </w:rPr>
        <w:t xml:space="preserve">Į nekontroliuojamų vaikų PAH tyrimų, atliktų </w:t>
      </w:r>
      <w:proofErr w:type="spellStart"/>
      <w:r>
        <w:rPr>
          <w:szCs w:val="22"/>
          <w:lang w:val="lt-LT"/>
        </w:rPr>
        <w:t>bozentano</w:t>
      </w:r>
      <w:proofErr w:type="spellEnd"/>
      <w:r>
        <w:rPr>
          <w:szCs w:val="22"/>
          <w:lang w:val="lt-LT"/>
        </w:rPr>
        <w:t xml:space="preserve"> 32 mg disperguojamosios tabletės forma, (FUTURE 1/2, FUTURE 3/pratęsimas), jungtinę analizę buvo įtraukta iš viso 100 vaikų, gydytų </w:t>
      </w:r>
      <w:proofErr w:type="spellStart"/>
      <w:r>
        <w:rPr>
          <w:szCs w:val="22"/>
          <w:lang w:val="lt-LT"/>
        </w:rPr>
        <w:t>bozentanu</w:t>
      </w:r>
      <w:proofErr w:type="spellEnd"/>
      <w:r>
        <w:rPr>
          <w:szCs w:val="22"/>
          <w:lang w:val="lt-LT"/>
        </w:rPr>
        <w:t xml:space="preserve"> 2 mg/kg du kartus per parą (n = 33), 2 mg/kg tris kartus per parą (n = 31) arba 4 mg/kg du kartus per parą (n = 36). Įtraukimo į tyrimą metu šeši pacientai buvo nuo 3 mėnesių iki 1 metų amžiaus, 15 vaikų buvo nuo 1 iki mažiau nei 2 metų amžiaus ir 79 buvo nuo 2 iki 12 metų amžiaus. Vidutinė gydymo trukmė buvo 71,8 savaitės (svyravo nuo 0,4 iki 258 savaičių). </w:t>
      </w:r>
    </w:p>
    <w:p w14:paraId="2B7EBBAA" w14:textId="77777777" w:rsidR="00172C88" w:rsidRDefault="00172C88" w:rsidP="00172C88">
      <w:pPr>
        <w:spacing w:line="240" w:lineRule="auto"/>
        <w:rPr>
          <w:szCs w:val="22"/>
          <w:lang w:val="lt-LT"/>
        </w:rPr>
      </w:pPr>
    </w:p>
    <w:p w14:paraId="37F23B68" w14:textId="77777777" w:rsidR="00172C88" w:rsidRDefault="00172C88" w:rsidP="00172C88">
      <w:pPr>
        <w:spacing w:line="240" w:lineRule="auto"/>
        <w:rPr>
          <w:szCs w:val="22"/>
          <w:lang w:val="lt-LT"/>
        </w:rPr>
      </w:pPr>
      <w:r>
        <w:rPr>
          <w:szCs w:val="22"/>
          <w:lang w:val="lt-LT"/>
        </w:rPr>
        <w:t xml:space="preserve">Saugumo profilis šioje jungtinėje nekontroliuojamų vaikų tyrimų analizėje buvo panašus į stebėtus pilotiniuose tyrimuose su PAH sergančiais suaugusiais pacientais, išskyrus infekcijas, kurios buvo dažniau stebėtos suaugusiems nei vaikams (69,0 %, palyginti su 41,3 %). Šis infekcijų dažnio skirtumas galėtų būti dėl ilgesnio vidutinio gydymo trukmės vaikų grupėje (vidutiniškai 71,8 savaitės), palyginti su suaugusiųjų grupe (vidutiniškai 17,4 savaitės). Dažniausi nepageidaujami poveikiai buvo viršutinių kvėpavimo takų infekcijos (25 %), </w:t>
      </w:r>
      <w:proofErr w:type="spellStart"/>
      <w:r>
        <w:rPr>
          <w:szCs w:val="22"/>
          <w:lang w:val="lt-LT"/>
        </w:rPr>
        <w:t>plautinė</w:t>
      </w:r>
      <w:proofErr w:type="spellEnd"/>
      <w:r>
        <w:rPr>
          <w:szCs w:val="22"/>
          <w:lang w:val="lt-LT"/>
        </w:rPr>
        <w:t xml:space="preserve"> (arterinė) hipertenzija (20 %), </w:t>
      </w:r>
      <w:proofErr w:type="spellStart"/>
      <w:r>
        <w:rPr>
          <w:szCs w:val="22"/>
          <w:lang w:val="lt-LT"/>
        </w:rPr>
        <w:t>nazofaringitas</w:t>
      </w:r>
      <w:proofErr w:type="spellEnd"/>
      <w:r>
        <w:rPr>
          <w:szCs w:val="22"/>
          <w:lang w:val="lt-LT"/>
        </w:rPr>
        <w:t xml:space="preserve"> (17 %), karščiavimas (15 %), vėmimas (13 %), bronchitas (10 %), pilvo skausmas (10 %) ir viduriavimas (10 %). Nebuvo nepageidaujamų poveikių dažnio, susijusio su skirtumu tarp pacientų, jaunesnių ir vyresnių nei 2 metų amžiaus, tačiau tai pagrįsta tik 21 vaiku, jaunesniu nei 2 metų amžiaus, įskaitant 6</w:t>
      </w:r>
      <w:r w:rsidRPr="00C54C14">
        <w:rPr>
          <w:lang w:val="lt-LT"/>
        </w:rPr>
        <w:t> </w:t>
      </w:r>
      <w:r>
        <w:rPr>
          <w:szCs w:val="22"/>
          <w:lang w:val="lt-LT"/>
        </w:rPr>
        <w:t xml:space="preserve">pacientus nuo 3 mėnesių iki 1 metų amžiaus. Nepageidaujami kepenų sutrikimo ir anemijos ar hemoglobino sumažėjimo poveikiai atitinkamai pasireiškė 9 % ir 5 % pacientų. </w:t>
      </w:r>
    </w:p>
    <w:p w14:paraId="62DDC5AB" w14:textId="77777777" w:rsidR="00172C88" w:rsidRDefault="00172C88" w:rsidP="00172C88">
      <w:pPr>
        <w:spacing w:line="240" w:lineRule="auto"/>
        <w:rPr>
          <w:szCs w:val="22"/>
          <w:lang w:val="lt-LT"/>
        </w:rPr>
      </w:pPr>
    </w:p>
    <w:p w14:paraId="70F5167F" w14:textId="77777777" w:rsidR="00172C88" w:rsidRDefault="00172C88" w:rsidP="00172C88">
      <w:pPr>
        <w:spacing w:line="240" w:lineRule="auto"/>
        <w:rPr>
          <w:szCs w:val="22"/>
          <w:lang w:val="lt-LT"/>
        </w:rPr>
      </w:pPr>
      <w:r>
        <w:rPr>
          <w:szCs w:val="22"/>
          <w:lang w:val="lt-LT"/>
        </w:rPr>
        <w:t xml:space="preserve">Atsitiktinių imčių placebu kontroliuojamame tyrime, atliktame su PPHN sergančiais pacientais (FUTURE-4), iš viso 13 naujagimių buvo gydyti </w:t>
      </w:r>
      <w:proofErr w:type="spellStart"/>
      <w:r>
        <w:rPr>
          <w:szCs w:val="22"/>
          <w:lang w:val="lt-LT"/>
        </w:rPr>
        <w:t>bozentano</w:t>
      </w:r>
      <w:proofErr w:type="spellEnd"/>
      <w:r>
        <w:rPr>
          <w:szCs w:val="22"/>
          <w:lang w:val="lt-LT"/>
        </w:rPr>
        <w:t xml:space="preserve"> disperguojamosios tabletės forma, 2 mg/kg du kartus per parą doze (8 pacientai gavo placebą). Vidutinė gydymo </w:t>
      </w:r>
      <w:proofErr w:type="spellStart"/>
      <w:r>
        <w:rPr>
          <w:szCs w:val="22"/>
          <w:lang w:val="lt-LT"/>
        </w:rPr>
        <w:t>bozentanu</w:t>
      </w:r>
      <w:proofErr w:type="spellEnd"/>
      <w:r>
        <w:rPr>
          <w:szCs w:val="22"/>
          <w:lang w:val="lt-LT"/>
        </w:rPr>
        <w:t xml:space="preserve"> ir placebu trukmė buvo atitinkamai 4,5 dienos (nuo 0,5 iki 10,0 dienų) ir 4,0 dienos (nuo 2,5 iki 6,5 dienos). Dažniausi nepageidaujami poveikiai </w:t>
      </w:r>
      <w:proofErr w:type="spellStart"/>
      <w:r>
        <w:rPr>
          <w:szCs w:val="22"/>
          <w:lang w:val="lt-LT"/>
        </w:rPr>
        <w:t>bozentanu</w:t>
      </w:r>
      <w:proofErr w:type="spellEnd"/>
      <w:r>
        <w:rPr>
          <w:szCs w:val="22"/>
          <w:lang w:val="lt-LT"/>
        </w:rPr>
        <w:t xml:space="preserve"> ir placebu gydytiems pacientams buvo atitinkamai anemija arba sumažėjęs hemoglobino kiekis (7 ir 2 pacientai), </w:t>
      </w:r>
      <w:proofErr w:type="spellStart"/>
      <w:r>
        <w:rPr>
          <w:szCs w:val="22"/>
          <w:lang w:val="lt-LT"/>
        </w:rPr>
        <w:t>generalizuota</w:t>
      </w:r>
      <w:proofErr w:type="spellEnd"/>
      <w:r>
        <w:rPr>
          <w:szCs w:val="22"/>
          <w:lang w:val="lt-LT"/>
        </w:rPr>
        <w:t xml:space="preserve"> edema (3 ir 0 pacientų) bei vėmimas (2 ir 0 pacientų) </w:t>
      </w:r>
    </w:p>
    <w:p w14:paraId="056CFD20" w14:textId="77777777" w:rsidR="00172C88" w:rsidRDefault="00172C88" w:rsidP="00172C88">
      <w:pPr>
        <w:spacing w:line="240" w:lineRule="auto"/>
        <w:rPr>
          <w:bCs/>
          <w:szCs w:val="22"/>
          <w:u w:val="single"/>
          <w:lang w:val="lt-LT"/>
        </w:rPr>
      </w:pPr>
    </w:p>
    <w:p w14:paraId="4137792F" w14:textId="77777777" w:rsidR="00172C88" w:rsidRPr="00DC170F" w:rsidRDefault="00172C88" w:rsidP="00172C88">
      <w:pPr>
        <w:spacing w:line="240" w:lineRule="auto"/>
        <w:rPr>
          <w:i/>
          <w:lang w:val="lt-LT"/>
        </w:rPr>
      </w:pPr>
      <w:r w:rsidRPr="00DC170F">
        <w:rPr>
          <w:bCs/>
          <w:i/>
          <w:szCs w:val="22"/>
          <w:u w:val="single"/>
          <w:lang w:val="lt-LT"/>
        </w:rPr>
        <w:t>Laboratorinių</w:t>
      </w:r>
      <w:r w:rsidRPr="00DC170F">
        <w:rPr>
          <w:i/>
          <w:u w:val="single"/>
          <w:lang w:val="lt-LT"/>
        </w:rPr>
        <w:t xml:space="preserve"> tyrimų </w:t>
      </w:r>
      <w:r w:rsidRPr="00DC170F">
        <w:rPr>
          <w:bCs/>
          <w:i/>
          <w:szCs w:val="22"/>
          <w:u w:val="single"/>
          <w:lang w:val="lt-LT"/>
        </w:rPr>
        <w:t>pokyčiai</w:t>
      </w:r>
    </w:p>
    <w:p w14:paraId="0830E1A2" w14:textId="77777777" w:rsidR="00172C88" w:rsidRDefault="00172C88" w:rsidP="00172C88">
      <w:pPr>
        <w:spacing w:line="240" w:lineRule="auto"/>
        <w:rPr>
          <w:bCs/>
          <w:i/>
          <w:szCs w:val="22"/>
          <w:u w:val="single"/>
          <w:lang w:val="lt-LT"/>
        </w:rPr>
      </w:pPr>
    </w:p>
    <w:p w14:paraId="564CCA5C" w14:textId="77777777" w:rsidR="00172C88" w:rsidRPr="0012565B" w:rsidRDefault="00172C88" w:rsidP="00172C88">
      <w:pPr>
        <w:spacing w:line="240" w:lineRule="auto"/>
        <w:rPr>
          <w:lang w:val="lt-LT"/>
        </w:rPr>
      </w:pPr>
      <w:r w:rsidRPr="00DC170F">
        <w:rPr>
          <w:bCs/>
          <w:i/>
          <w:iCs/>
          <w:szCs w:val="22"/>
          <w:lang w:val="lt-LT"/>
        </w:rPr>
        <w:t xml:space="preserve">Kepenų funkcijos tyrimų pokyčiai </w:t>
      </w:r>
    </w:p>
    <w:p w14:paraId="5AFC0256" w14:textId="77777777" w:rsidR="00172C88" w:rsidRDefault="00172C88" w:rsidP="00172C88">
      <w:pPr>
        <w:spacing w:line="240" w:lineRule="auto"/>
        <w:rPr>
          <w:szCs w:val="22"/>
          <w:lang w:val="lt-LT"/>
        </w:rPr>
      </w:pPr>
      <w:r>
        <w:rPr>
          <w:szCs w:val="22"/>
          <w:lang w:val="lt-LT"/>
        </w:rPr>
        <w:t xml:space="preserve">Klinikinės programos metu nuo dozės priklausomas kepenų </w:t>
      </w:r>
      <w:proofErr w:type="spellStart"/>
      <w:r>
        <w:rPr>
          <w:szCs w:val="22"/>
          <w:lang w:val="lt-LT"/>
        </w:rPr>
        <w:t>aminotransferazių</w:t>
      </w:r>
      <w:proofErr w:type="spellEnd"/>
      <w:r>
        <w:rPr>
          <w:szCs w:val="22"/>
          <w:lang w:val="lt-LT"/>
        </w:rPr>
        <w:t xml:space="preserve"> aktyvumo padidėjimas paprastai atsirasdavo per pirmąsias 26 gydymo savaites, paprastai išsivystydavo palaipsniui ir dažniausiai buvo </w:t>
      </w:r>
      <w:proofErr w:type="spellStart"/>
      <w:r>
        <w:rPr>
          <w:szCs w:val="22"/>
          <w:lang w:val="lt-LT"/>
        </w:rPr>
        <w:t>besimptomis</w:t>
      </w:r>
      <w:proofErr w:type="spellEnd"/>
      <w:r>
        <w:rPr>
          <w:szCs w:val="22"/>
          <w:lang w:val="lt-LT"/>
        </w:rPr>
        <w:t xml:space="preserve">. Po vaistinio preparato pateikimo rinkai gauta retų pranešimų apie kepenų cirozės ir kepenų nepakankamumo atvejus. </w:t>
      </w:r>
    </w:p>
    <w:p w14:paraId="10F2920F" w14:textId="77777777" w:rsidR="00172C88" w:rsidRDefault="00172C88" w:rsidP="00172C88">
      <w:pPr>
        <w:spacing w:line="240" w:lineRule="auto"/>
        <w:rPr>
          <w:szCs w:val="22"/>
          <w:lang w:val="lt-LT"/>
        </w:rPr>
      </w:pPr>
    </w:p>
    <w:p w14:paraId="44DA03BE" w14:textId="77777777" w:rsidR="00172C88" w:rsidRDefault="00172C88" w:rsidP="00172C88">
      <w:pPr>
        <w:spacing w:line="240" w:lineRule="auto"/>
        <w:rPr>
          <w:szCs w:val="22"/>
          <w:lang w:val="lt-LT"/>
        </w:rPr>
      </w:pPr>
      <w:r>
        <w:rPr>
          <w:szCs w:val="22"/>
          <w:lang w:val="lt-LT"/>
        </w:rPr>
        <w:t xml:space="preserve">Tokio nepageidaujamo poveikio mechanizmas neaiškus. Šis </w:t>
      </w:r>
      <w:proofErr w:type="spellStart"/>
      <w:r>
        <w:rPr>
          <w:szCs w:val="22"/>
          <w:lang w:val="lt-LT"/>
        </w:rPr>
        <w:t>aminotransferazių</w:t>
      </w:r>
      <w:proofErr w:type="spellEnd"/>
      <w:r>
        <w:rPr>
          <w:szCs w:val="22"/>
          <w:lang w:val="lt-LT"/>
        </w:rPr>
        <w:t xml:space="preserve"> aktyvumo padidėjimas gali savaime išnykti toliau vartojant palaikomąją </w:t>
      </w:r>
      <w:proofErr w:type="spellStart"/>
      <w:r>
        <w:rPr>
          <w:szCs w:val="22"/>
          <w:lang w:val="lt-LT"/>
        </w:rPr>
        <w:t>Bosentan</w:t>
      </w:r>
      <w:proofErr w:type="spellEnd"/>
      <w:r>
        <w:rPr>
          <w:szCs w:val="22"/>
          <w:lang w:val="lt-LT"/>
        </w:rPr>
        <w:t xml:space="preserve"> </w:t>
      </w:r>
      <w:proofErr w:type="spellStart"/>
      <w:r>
        <w:rPr>
          <w:szCs w:val="22"/>
          <w:lang w:val="lt-LT"/>
        </w:rPr>
        <w:t>Norameda</w:t>
      </w:r>
      <w:proofErr w:type="spellEnd"/>
      <w:r>
        <w:rPr>
          <w:szCs w:val="22"/>
          <w:lang w:val="lt-LT"/>
        </w:rPr>
        <w:t xml:space="preserve"> dozę arba dozę sumažinus, tačiau gali prireikti gydymą sustabdyti arba nutraukti (žr. 4.4 skyrių). </w:t>
      </w:r>
    </w:p>
    <w:p w14:paraId="7ACE75FF" w14:textId="77777777" w:rsidR="00172C88" w:rsidRDefault="00172C88" w:rsidP="00172C88">
      <w:pPr>
        <w:spacing w:line="240" w:lineRule="auto"/>
        <w:rPr>
          <w:szCs w:val="22"/>
          <w:lang w:val="lt-LT"/>
        </w:rPr>
      </w:pPr>
    </w:p>
    <w:p w14:paraId="5D91C001" w14:textId="77777777" w:rsidR="00172C88" w:rsidRDefault="00172C88" w:rsidP="00172C88">
      <w:pPr>
        <w:spacing w:line="240" w:lineRule="auto"/>
        <w:rPr>
          <w:szCs w:val="22"/>
          <w:lang w:val="lt-LT"/>
        </w:rPr>
      </w:pPr>
      <w:r>
        <w:rPr>
          <w:szCs w:val="22"/>
          <w:lang w:val="lt-LT"/>
        </w:rPr>
        <w:t xml:space="preserve">20 integruotų placebu kontroliuotų klinikinių tyrimų metu kepenų </w:t>
      </w:r>
      <w:proofErr w:type="spellStart"/>
      <w:r>
        <w:rPr>
          <w:szCs w:val="22"/>
          <w:lang w:val="lt-LT"/>
        </w:rPr>
        <w:t>aminotransferazių</w:t>
      </w:r>
      <w:proofErr w:type="spellEnd"/>
      <w:r>
        <w:rPr>
          <w:szCs w:val="22"/>
          <w:lang w:val="lt-LT"/>
        </w:rPr>
        <w:t xml:space="preserve"> aktyvumas ≥ 3 kartus viršijo viršutinę normos ribą (VNR) 11,2 % pacientų, gydytų </w:t>
      </w:r>
      <w:proofErr w:type="spellStart"/>
      <w:r>
        <w:rPr>
          <w:szCs w:val="22"/>
          <w:lang w:val="lt-LT"/>
        </w:rPr>
        <w:t>bozentanu</w:t>
      </w:r>
      <w:proofErr w:type="spellEnd"/>
      <w:r>
        <w:rPr>
          <w:szCs w:val="22"/>
          <w:lang w:val="lt-LT"/>
        </w:rPr>
        <w:t xml:space="preserve">, palyginti su 2,4 % pacientų, vartojusių placebo. Iki ≥ 8 × VNR </w:t>
      </w:r>
      <w:proofErr w:type="spellStart"/>
      <w:r>
        <w:rPr>
          <w:szCs w:val="22"/>
          <w:lang w:val="lt-LT"/>
        </w:rPr>
        <w:t>aminotransferazių</w:t>
      </w:r>
      <w:proofErr w:type="spellEnd"/>
      <w:r>
        <w:rPr>
          <w:szCs w:val="22"/>
          <w:lang w:val="lt-LT"/>
        </w:rPr>
        <w:t xml:space="preserve"> aktyvumas padidėjo 3,6 % </w:t>
      </w:r>
      <w:proofErr w:type="spellStart"/>
      <w:r>
        <w:rPr>
          <w:szCs w:val="22"/>
          <w:lang w:val="lt-LT"/>
        </w:rPr>
        <w:t>bozentanu</w:t>
      </w:r>
      <w:proofErr w:type="spellEnd"/>
      <w:r>
        <w:rPr>
          <w:szCs w:val="22"/>
          <w:lang w:val="lt-LT"/>
        </w:rPr>
        <w:t xml:space="preserve"> gydytų pacientų ir 0,4 % vartojusių placebo. </w:t>
      </w:r>
      <w:proofErr w:type="spellStart"/>
      <w:r>
        <w:rPr>
          <w:szCs w:val="22"/>
          <w:lang w:val="lt-LT"/>
        </w:rPr>
        <w:t>Aminotransferazių</w:t>
      </w:r>
      <w:proofErr w:type="spellEnd"/>
      <w:r>
        <w:rPr>
          <w:szCs w:val="22"/>
          <w:lang w:val="lt-LT"/>
        </w:rPr>
        <w:t xml:space="preserve"> aktyvumo padidėjimas, susijęs su </w:t>
      </w:r>
      <w:proofErr w:type="spellStart"/>
      <w:r>
        <w:rPr>
          <w:szCs w:val="22"/>
          <w:lang w:val="lt-LT"/>
        </w:rPr>
        <w:t>su</w:t>
      </w:r>
      <w:proofErr w:type="spellEnd"/>
      <w:r>
        <w:rPr>
          <w:szCs w:val="22"/>
          <w:lang w:val="lt-LT"/>
        </w:rPr>
        <w:t xml:space="preserve"> </w:t>
      </w:r>
      <w:proofErr w:type="spellStart"/>
      <w:r>
        <w:rPr>
          <w:szCs w:val="22"/>
          <w:lang w:val="lt-LT"/>
        </w:rPr>
        <w:t>bilirubino</w:t>
      </w:r>
      <w:proofErr w:type="spellEnd"/>
      <w:r>
        <w:rPr>
          <w:szCs w:val="22"/>
          <w:lang w:val="lt-LT"/>
        </w:rPr>
        <w:t xml:space="preserve"> kiekio padidėjimu (≥ 2 × VNR) be tulžies obstrukcijos požymių pasireiškė 0,2 % (5 pacientams) </w:t>
      </w:r>
      <w:proofErr w:type="spellStart"/>
      <w:r>
        <w:rPr>
          <w:szCs w:val="22"/>
          <w:lang w:val="lt-LT"/>
        </w:rPr>
        <w:t>bozentano</w:t>
      </w:r>
      <w:proofErr w:type="spellEnd"/>
      <w:r>
        <w:rPr>
          <w:szCs w:val="22"/>
          <w:lang w:val="lt-LT"/>
        </w:rPr>
        <w:t xml:space="preserve"> ir 0,3 % (6 pacientams) placebo vartojusių pacientų. </w:t>
      </w:r>
    </w:p>
    <w:p w14:paraId="3B7FD6AE" w14:textId="77777777" w:rsidR="00172C88" w:rsidRDefault="00172C88" w:rsidP="00172C88">
      <w:pPr>
        <w:spacing w:line="240" w:lineRule="auto"/>
        <w:rPr>
          <w:szCs w:val="22"/>
          <w:lang w:val="lt-LT"/>
        </w:rPr>
      </w:pPr>
    </w:p>
    <w:p w14:paraId="325BB5C4" w14:textId="77777777" w:rsidR="00172C88" w:rsidRDefault="00172C88" w:rsidP="00172C88">
      <w:pPr>
        <w:spacing w:line="240" w:lineRule="auto"/>
        <w:rPr>
          <w:szCs w:val="22"/>
          <w:lang w:val="lt-LT"/>
        </w:rPr>
      </w:pPr>
      <w:r>
        <w:rPr>
          <w:szCs w:val="22"/>
          <w:lang w:val="lt-LT"/>
        </w:rPr>
        <w:t xml:space="preserve">100 PAH sergančių </w:t>
      </w:r>
      <w:r w:rsidR="00E30D85">
        <w:rPr>
          <w:szCs w:val="22"/>
          <w:lang w:val="lt-LT"/>
        </w:rPr>
        <w:t>vaikų</w:t>
      </w:r>
      <w:r>
        <w:rPr>
          <w:szCs w:val="22"/>
          <w:lang w:val="lt-LT"/>
        </w:rPr>
        <w:t xml:space="preserve">, dalyvavusių FUTURE 1/2 ir FUTURE 3/pratęsimas nekontroliuojamuose vaikų tyrimuose, jungtinėje analizėje kepenų </w:t>
      </w:r>
      <w:proofErr w:type="spellStart"/>
      <w:r>
        <w:rPr>
          <w:szCs w:val="22"/>
          <w:lang w:val="lt-LT"/>
        </w:rPr>
        <w:t>aminotransferazių</w:t>
      </w:r>
      <w:proofErr w:type="spellEnd"/>
      <w:r>
        <w:rPr>
          <w:szCs w:val="22"/>
          <w:lang w:val="lt-LT"/>
        </w:rPr>
        <w:t xml:space="preserve"> aktyvumo padidėjimas ≥ 3 × VNR buvo stebėtas 2 % pacientų. </w:t>
      </w:r>
    </w:p>
    <w:p w14:paraId="0358F0E8" w14:textId="77777777" w:rsidR="00172C88" w:rsidRDefault="00172C88" w:rsidP="00172C88">
      <w:pPr>
        <w:spacing w:line="240" w:lineRule="auto"/>
        <w:rPr>
          <w:szCs w:val="22"/>
          <w:lang w:val="lt-LT"/>
        </w:rPr>
      </w:pPr>
    </w:p>
    <w:p w14:paraId="061E9973" w14:textId="77777777" w:rsidR="00172C88" w:rsidRDefault="00172C88" w:rsidP="00172C88">
      <w:pPr>
        <w:spacing w:line="240" w:lineRule="auto"/>
        <w:rPr>
          <w:szCs w:val="22"/>
          <w:lang w:val="lt-LT"/>
        </w:rPr>
      </w:pPr>
      <w:r>
        <w:rPr>
          <w:szCs w:val="22"/>
          <w:lang w:val="lt-LT"/>
        </w:rPr>
        <w:lastRenderedPageBreak/>
        <w:t xml:space="preserve">FUTURE-4 tyrime, į kurį buvo įtraukta 13 naujagimių, sergančių PPHN, gydytų </w:t>
      </w:r>
      <w:proofErr w:type="spellStart"/>
      <w:r>
        <w:rPr>
          <w:szCs w:val="22"/>
          <w:lang w:val="lt-LT"/>
        </w:rPr>
        <w:t>bozentanu</w:t>
      </w:r>
      <w:proofErr w:type="spellEnd"/>
      <w:r>
        <w:rPr>
          <w:szCs w:val="22"/>
          <w:lang w:val="lt-LT"/>
        </w:rPr>
        <w:t xml:space="preserve"> 2 mg/kg du kartus per parą mažiau nei 10 dienų (nuo 0,5 iki 10,0 dienų), gydymo metu nebuvo kepenų </w:t>
      </w:r>
      <w:proofErr w:type="spellStart"/>
      <w:r>
        <w:rPr>
          <w:szCs w:val="22"/>
          <w:lang w:val="lt-LT"/>
        </w:rPr>
        <w:t>aminotransferazių</w:t>
      </w:r>
      <w:proofErr w:type="spellEnd"/>
      <w:r>
        <w:rPr>
          <w:szCs w:val="22"/>
          <w:lang w:val="lt-LT"/>
        </w:rPr>
        <w:t xml:space="preserve"> aktyvumo padidėjimo ≥ 3 × VNR atvejų, tačiau pasitaikė vienas hepatito, pasireiškusio po 3 dienų po gydymo </w:t>
      </w:r>
      <w:proofErr w:type="spellStart"/>
      <w:r>
        <w:rPr>
          <w:szCs w:val="22"/>
          <w:lang w:val="lt-LT"/>
        </w:rPr>
        <w:t>bozentanu</w:t>
      </w:r>
      <w:proofErr w:type="spellEnd"/>
      <w:r>
        <w:rPr>
          <w:szCs w:val="22"/>
          <w:lang w:val="lt-LT"/>
        </w:rPr>
        <w:t>, atvejis.</w:t>
      </w:r>
    </w:p>
    <w:p w14:paraId="5EF187D9" w14:textId="77777777" w:rsidR="00172C88" w:rsidRDefault="00172C88" w:rsidP="00172C88">
      <w:pPr>
        <w:spacing w:line="240" w:lineRule="auto"/>
        <w:rPr>
          <w:szCs w:val="22"/>
          <w:lang w:val="lt-LT"/>
        </w:rPr>
      </w:pPr>
    </w:p>
    <w:p w14:paraId="72F57D13" w14:textId="77777777" w:rsidR="00172C88" w:rsidRPr="0012565B" w:rsidRDefault="00172C88" w:rsidP="00172C88">
      <w:pPr>
        <w:spacing w:line="240" w:lineRule="auto"/>
        <w:rPr>
          <w:lang w:val="lt-LT"/>
        </w:rPr>
      </w:pPr>
      <w:r w:rsidRPr="00DC170F">
        <w:rPr>
          <w:i/>
          <w:szCs w:val="22"/>
          <w:lang w:val="lt-LT"/>
        </w:rPr>
        <w:t>Hemoglobinas</w:t>
      </w:r>
    </w:p>
    <w:p w14:paraId="4ECC3BA9" w14:textId="77777777" w:rsidR="00172C88" w:rsidRPr="00E32052" w:rsidRDefault="00172C88" w:rsidP="00172C88">
      <w:pPr>
        <w:spacing w:line="240" w:lineRule="auto"/>
        <w:rPr>
          <w:lang w:val="lt-LT"/>
        </w:rPr>
      </w:pPr>
      <w:r>
        <w:rPr>
          <w:szCs w:val="22"/>
          <w:lang w:val="lt-LT"/>
        </w:rPr>
        <w:t>Placebu kontroliuotuose klinikiniuose tyrimuose suaugusiems apie</w:t>
      </w:r>
      <w:r>
        <w:rPr>
          <w:lang w:val="lt-LT"/>
        </w:rPr>
        <w:t xml:space="preserve"> hemoglobino koncentracijos sumažėjimą nuo pradinio rodmens, kai rodmuo tapo mažesnis kaip 10 g/dl, pranešta 8,0 % pacientų, gydytų </w:t>
      </w:r>
      <w:proofErr w:type="spellStart"/>
      <w:r>
        <w:rPr>
          <w:lang w:val="lt-LT"/>
        </w:rPr>
        <w:t>bozentanu</w:t>
      </w:r>
      <w:proofErr w:type="spellEnd"/>
      <w:r>
        <w:rPr>
          <w:lang w:val="lt-LT"/>
        </w:rPr>
        <w:t xml:space="preserve">, ir 3,9 % pacientų, vartojusių placebo (žr.4.4 skyrių). </w:t>
      </w:r>
      <w:r>
        <w:rPr>
          <w:lang w:val="lt-LT"/>
        </w:rPr>
        <w:br/>
      </w:r>
    </w:p>
    <w:p w14:paraId="0C19A2AE" w14:textId="77777777" w:rsidR="00172C88" w:rsidRDefault="00172C88" w:rsidP="00172C88">
      <w:pPr>
        <w:spacing w:line="240" w:lineRule="auto"/>
        <w:rPr>
          <w:lang w:val="lt-LT"/>
        </w:rPr>
      </w:pPr>
      <w:r>
        <w:rPr>
          <w:lang w:val="lt-LT"/>
        </w:rPr>
        <w:t xml:space="preserve">Jungtinėje 100 PAH sergančių vaikų iš nekontroliuojamų vaikų tyrimų FUTURE 1/2 ir FUTURE 3/pratęsimas, analizėje sumažėjusi hemoglobino koncentracija žemiau 10 g/dl buvo stebėta 10,0 % pacientų. Nebuvo sumažėjimo žemiau 8 g/dl. </w:t>
      </w:r>
    </w:p>
    <w:p w14:paraId="4E82B059" w14:textId="77777777" w:rsidR="00172C88" w:rsidRDefault="00172C88" w:rsidP="00172C88">
      <w:pPr>
        <w:spacing w:line="240" w:lineRule="auto"/>
        <w:rPr>
          <w:lang w:val="lt-LT"/>
        </w:rPr>
      </w:pPr>
      <w:r>
        <w:rPr>
          <w:lang w:val="lt-LT"/>
        </w:rPr>
        <w:t>FUTURE-4 tyrimo metu 6 iš 13 </w:t>
      </w:r>
      <w:proofErr w:type="spellStart"/>
      <w:r>
        <w:rPr>
          <w:lang w:val="lt-LT"/>
        </w:rPr>
        <w:t>bozentanu</w:t>
      </w:r>
      <w:proofErr w:type="spellEnd"/>
      <w:r>
        <w:rPr>
          <w:lang w:val="lt-LT"/>
        </w:rPr>
        <w:t xml:space="preserve"> gydytų naujagimių, sergančių PPHN, patyrė hemoglobino kiekio sumažėjimą nuo normos ribų pradiniame lygyje iki apatinės normos ribos gydymo metu.</w:t>
      </w:r>
    </w:p>
    <w:p w14:paraId="06B41696" w14:textId="77777777" w:rsidR="00172C88" w:rsidRDefault="00172C88" w:rsidP="00172C88">
      <w:pPr>
        <w:spacing w:line="240" w:lineRule="auto"/>
        <w:rPr>
          <w:u w:val="single"/>
          <w:lang w:val="lt-LT"/>
        </w:rPr>
      </w:pPr>
    </w:p>
    <w:p w14:paraId="45D31A36" w14:textId="77777777" w:rsidR="00172C88" w:rsidRDefault="00172C88" w:rsidP="00172C88">
      <w:pPr>
        <w:autoSpaceDE w:val="0"/>
        <w:jc w:val="both"/>
        <w:rPr>
          <w:szCs w:val="24"/>
          <w:u w:val="single"/>
          <w:lang w:val="lt-LT"/>
        </w:rPr>
      </w:pPr>
      <w:r>
        <w:rPr>
          <w:szCs w:val="24"/>
          <w:u w:val="single"/>
          <w:lang w:val="lt-LT"/>
        </w:rPr>
        <w:t>Pranešimas apie įtariamas nepageidaujamas reakcijas</w:t>
      </w:r>
    </w:p>
    <w:p w14:paraId="0A1D4D49" w14:textId="52614F05" w:rsidR="00B0372C" w:rsidRPr="00E32052" w:rsidRDefault="00172C88" w:rsidP="00172C88">
      <w:pPr>
        <w:autoSpaceDE w:val="0"/>
        <w:rPr>
          <w:lang w:val="lt-LT"/>
        </w:rPr>
      </w:pPr>
      <w:r>
        <w:rPr>
          <w:szCs w:val="24"/>
          <w:lang w:val="lt-LT"/>
        </w:rPr>
        <w:t xml:space="preserve">Svarbu pranešti apie įtariamas nepageidaujamas reakcijas, pastebėtas po vaistinio preparato registracijos, nes tai leidžia nuolat stebėti vaistinio preparato naudos ir rizikos santykį. </w:t>
      </w:r>
      <w:r w:rsidR="00BB743B" w:rsidRPr="00C54C14">
        <w:rPr>
          <w:color w:val="000000"/>
          <w:szCs w:val="22"/>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B743B" w:rsidRPr="00C54C14">
        <w:rPr>
          <w:color w:val="0000EE"/>
          <w:szCs w:val="22"/>
          <w:u w:val="single"/>
          <w:lang w:val="lt-LT"/>
        </w:rPr>
        <w:t>https://vvkt.lrv.lt/lt/</w:t>
      </w:r>
      <w:r w:rsidR="00BB743B" w:rsidRPr="00C54C14">
        <w:rPr>
          <w:color w:val="000000"/>
          <w:szCs w:val="22"/>
          <w:lang w:val="lt-LT"/>
        </w:rPr>
        <w:t xml:space="preserve"> nurodytais būdais. </w:t>
      </w:r>
    </w:p>
    <w:p w14:paraId="1EF02282" w14:textId="77777777" w:rsidR="00172C88" w:rsidRDefault="00172C88" w:rsidP="00B0372C">
      <w:pPr>
        <w:autoSpaceDE w:val="0"/>
        <w:rPr>
          <w:szCs w:val="24"/>
          <w:lang w:val="lt-LT"/>
        </w:rPr>
      </w:pPr>
    </w:p>
    <w:p w14:paraId="7D689763"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4.9</w:t>
      </w:r>
      <w:r>
        <w:rPr>
          <w:rFonts w:ascii="Times New Roman" w:hAnsi="Times New Roman"/>
          <w:sz w:val="22"/>
          <w:lang w:val="lt-LT"/>
        </w:rPr>
        <w:tab/>
        <w:t>Perdozavimas</w:t>
      </w:r>
    </w:p>
    <w:p w14:paraId="308499B7" w14:textId="77777777" w:rsidR="00172C88" w:rsidRDefault="00172C88" w:rsidP="00172C88">
      <w:pPr>
        <w:rPr>
          <w:szCs w:val="24"/>
          <w:lang w:val="lt-LT"/>
        </w:rPr>
      </w:pPr>
    </w:p>
    <w:p w14:paraId="6A09D8EB" w14:textId="584D7130" w:rsidR="00172C88" w:rsidRDefault="00172C88" w:rsidP="00172C88">
      <w:pPr>
        <w:rPr>
          <w:lang w:val="lt-LT"/>
        </w:rPr>
      </w:pPr>
      <w:r>
        <w:rPr>
          <w:lang w:val="lt-LT"/>
        </w:rPr>
        <w:t>Sveiki tiriamieji vartojo vienkartinę iki 2</w:t>
      </w:r>
      <w:r w:rsidR="00CC7341">
        <w:rPr>
          <w:lang w:val="lt-LT"/>
        </w:rPr>
        <w:t> </w:t>
      </w:r>
      <w:r>
        <w:rPr>
          <w:lang w:val="lt-LT"/>
        </w:rPr>
        <w:t xml:space="preserve">400 mg </w:t>
      </w:r>
      <w:proofErr w:type="spellStart"/>
      <w:r>
        <w:rPr>
          <w:lang w:val="lt-LT"/>
        </w:rPr>
        <w:t>bozentano</w:t>
      </w:r>
      <w:proofErr w:type="spellEnd"/>
      <w:r>
        <w:rPr>
          <w:lang w:val="lt-LT"/>
        </w:rPr>
        <w:t xml:space="preserve"> dozę, o kitomis ligomis (ne </w:t>
      </w:r>
      <w:proofErr w:type="spellStart"/>
      <w:r>
        <w:rPr>
          <w:lang w:val="lt-LT"/>
        </w:rPr>
        <w:t>plautine</w:t>
      </w:r>
      <w:proofErr w:type="spellEnd"/>
      <w:r>
        <w:rPr>
          <w:lang w:val="lt-LT"/>
        </w:rPr>
        <w:t xml:space="preserve"> hipertenzija) sirgę tiriamieji 2 mėnesius vartojo iki 2</w:t>
      </w:r>
      <w:r w:rsidR="00CC7341">
        <w:rPr>
          <w:lang w:val="lt-LT"/>
        </w:rPr>
        <w:t> </w:t>
      </w:r>
      <w:r>
        <w:rPr>
          <w:lang w:val="lt-LT"/>
        </w:rPr>
        <w:t xml:space="preserve">000 mg paros dozę. Dažniausi nepageidaujamos reakcijos buvo silpnas ar vidutinio stiprumo galvos skausmas. </w:t>
      </w:r>
    </w:p>
    <w:p w14:paraId="16D3AE9A" w14:textId="77777777" w:rsidR="00172C88" w:rsidRDefault="00172C88" w:rsidP="00172C88">
      <w:pPr>
        <w:rPr>
          <w:lang w:val="lt-LT"/>
        </w:rPr>
      </w:pPr>
    </w:p>
    <w:p w14:paraId="51DE0DC1" w14:textId="78A98788" w:rsidR="00172C88" w:rsidRPr="00C54C14" w:rsidRDefault="00172C88" w:rsidP="00172C88">
      <w:pPr>
        <w:rPr>
          <w:lang w:val="pt-PT"/>
        </w:rPr>
      </w:pPr>
      <w:r>
        <w:rPr>
          <w:lang w:val="lt-LT"/>
        </w:rPr>
        <w:t xml:space="preserve">Didelis perdozavimas gali sukelti reikšmingą </w:t>
      </w:r>
      <w:proofErr w:type="spellStart"/>
      <w:r>
        <w:rPr>
          <w:lang w:val="lt-LT"/>
        </w:rPr>
        <w:t>hipotenziją</w:t>
      </w:r>
      <w:proofErr w:type="spellEnd"/>
      <w:r>
        <w:rPr>
          <w:lang w:val="lt-LT"/>
        </w:rPr>
        <w:t xml:space="preserve">, kuriai gydyti būtinas aktyvus kardiovaskulinės sistemos palaikymas. </w:t>
      </w:r>
      <w:r>
        <w:rPr>
          <w:szCs w:val="22"/>
          <w:lang w:val="lt-LT"/>
        </w:rPr>
        <w:t xml:space="preserve">Po vaistinio preparato pateikimo rinkai gautas vienas pranešimas apie perdozavimą, kai paauglys pavartojo </w:t>
      </w:r>
      <w:r>
        <w:rPr>
          <w:lang w:val="lt-LT"/>
        </w:rPr>
        <w:t>10</w:t>
      </w:r>
      <w:r w:rsidR="00CC7341">
        <w:rPr>
          <w:lang w:val="lt-LT"/>
        </w:rPr>
        <w:t> </w:t>
      </w:r>
      <w:r>
        <w:rPr>
          <w:lang w:val="lt-LT"/>
        </w:rPr>
        <w:t xml:space="preserve">000 mg </w:t>
      </w:r>
      <w:proofErr w:type="spellStart"/>
      <w:r>
        <w:rPr>
          <w:lang w:val="lt-LT"/>
        </w:rPr>
        <w:t>bozentano</w:t>
      </w:r>
      <w:proofErr w:type="spellEnd"/>
      <w:r>
        <w:rPr>
          <w:lang w:val="lt-LT"/>
        </w:rPr>
        <w:t xml:space="preserve">. Pasireiškę simptomai buvo pykinimas, vėmimas, </w:t>
      </w:r>
      <w:proofErr w:type="spellStart"/>
      <w:r>
        <w:rPr>
          <w:lang w:val="lt-LT"/>
        </w:rPr>
        <w:t>hipotenzija</w:t>
      </w:r>
      <w:proofErr w:type="spellEnd"/>
      <w:r>
        <w:rPr>
          <w:lang w:val="lt-LT"/>
        </w:rPr>
        <w:t xml:space="preserve">, svaigulys, prakaitavimas ir matomo vaizdo </w:t>
      </w:r>
      <w:proofErr w:type="spellStart"/>
      <w:r>
        <w:rPr>
          <w:lang w:val="lt-LT"/>
        </w:rPr>
        <w:t>neryškumas</w:t>
      </w:r>
      <w:proofErr w:type="spellEnd"/>
      <w:r>
        <w:rPr>
          <w:lang w:val="lt-LT"/>
        </w:rPr>
        <w:t xml:space="preserve">. Simptomai visiškai išnyko per 24 valandas (pacientui buvo palaikomas kraujospūdis). Pastaba: dializės metu </w:t>
      </w:r>
      <w:proofErr w:type="spellStart"/>
      <w:r>
        <w:rPr>
          <w:lang w:val="lt-LT"/>
        </w:rPr>
        <w:t>bozentanas</w:t>
      </w:r>
      <w:proofErr w:type="spellEnd"/>
      <w:r>
        <w:rPr>
          <w:lang w:val="lt-LT"/>
        </w:rPr>
        <w:t xml:space="preserve"> nepašalinamas. </w:t>
      </w:r>
      <w:r>
        <w:rPr>
          <w:lang w:val="lt-LT"/>
        </w:rPr>
        <w:br/>
      </w:r>
    </w:p>
    <w:p w14:paraId="4EC28DB6" w14:textId="77777777" w:rsidR="00172C88" w:rsidRDefault="00172C88" w:rsidP="00172C88">
      <w:pPr>
        <w:rPr>
          <w:szCs w:val="24"/>
          <w:lang w:val="lt-LT"/>
        </w:rPr>
      </w:pPr>
    </w:p>
    <w:p w14:paraId="18C36ED7" w14:textId="77777777" w:rsidR="00172C88" w:rsidRDefault="00172C88" w:rsidP="00172C88">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FARMAKOLOGINĖS SAVYBĖS</w:t>
      </w:r>
    </w:p>
    <w:p w14:paraId="1C7FDAEA" w14:textId="77777777" w:rsidR="00172C88" w:rsidRDefault="00172C88" w:rsidP="00172C88">
      <w:pPr>
        <w:rPr>
          <w:szCs w:val="24"/>
          <w:lang w:val="lt-LT"/>
        </w:rPr>
      </w:pPr>
    </w:p>
    <w:p w14:paraId="6FFE0E4F" w14:textId="77777777" w:rsidR="00172C88" w:rsidRPr="007263E8" w:rsidRDefault="00172C88" w:rsidP="00172C88">
      <w:pPr>
        <w:pStyle w:val="Antrat4"/>
        <w:rPr>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r>
      <w:proofErr w:type="spellStart"/>
      <w:r>
        <w:rPr>
          <w:rFonts w:ascii="Times New Roman" w:hAnsi="Times New Roman"/>
          <w:sz w:val="22"/>
          <w:lang w:val="lt-LT"/>
        </w:rPr>
        <w:t>Farmakodinaminės</w:t>
      </w:r>
      <w:proofErr w:type="spellEnd"/>
      <w:r>
        <w:rPr>
          <w:rFonts w:ascii="Times New Roman" w:hAnsi="Times New Roman"/>
          <w:sz w:val="22"/>
          <w:lang w:val="lt-LT"/>
        </w:rPr>
        <w:t xml:space="preserve"> savybės</w:t>
      </w:r>
    </w:p>
    <w:p w14:paraId="0077DB99" w14:textId="77777777" w:rsidR="00172C88" w:rsidRDefault="00172C88" w:rsidP="00172C88">
      <w:pPr>
        <w:rPr>
          <w:szCs w:val="24"/>
          <w:lang w:val="lt-LT"/>
        </w:rPr>
      </w:pPr>
    </w:p>
    <w:p w14:paraId="11302978" w14:textId="77777777" w:rsidR="00172C88" w:rsidRPr="00E32052" w:rsidRDefault="00172C88" w:rsidP="00172C88">
      <w:pPr>
        <w:rPr>
          <w:lang w:val="lt-LT"/>
        </w:rPr>
      </w:pPr>
      <w:proofErr w:type="spellStart"/>
      <w:r>
        <w:rPr>
          <w:szCs w:val="24"/>
          <w:lang w:val="lt-LT"/>
        </w:rPr>
        <w:t>Farmakoterapinė</w:t>
      </w:r>
      <w:proofErr w:type="spellEnd"/>
      <w:r>
        <w:rPr>
          <w:szCs w:val="24"/>
          <w:lang w:val="lt-LT"/>
        </w:rPr>
        <w:t xml:space="preserve"> grupė – kiti </w:t>
      </w:r>
      <w:proofErr w:type="spellStart"/>
      <w:r>
        <w:rPr>
          <w:szCs w:val="24"/>
          <w:lang w:val="lt-LT"/>
        </w:rPr>
        <w:t>antihipertenziniai</w:t>
      </w:r>
      <w:proofErr w:type="spellEnd"/>
      <w:r>
        <w:rPr>
          <w:szCs w:val="24"/>
          <w:lang w:val="lt-LT"/>
        </w:rPr>
        <w:t xml:space="preserve"> vaistiniai preparatai, ATC kodas </w:t>
      </w:r>
      <w:r>
        <w:rPr>
          <w:lang w:val="lt-LT"/>
        </w:rPr>
        <w:t>– C02KX01.</w:t>
      </w:r>
    </w:p>
    <w:p w14:paraId="7FB38C80" w14:textId="77777777" w:rsidR="00172C88" w:rsidRDefault="00172C88" w:rsidP="00172C88">
      <w:pPr>
        <w:rPr>
          <w:szCs w:val="24"/>
          <w:lang w:val="lt-LT"/>
        </w:rPr>
      </w:pPr>
    </w:p>
    <w:p w14:paraId="262200C7" w14:textId="77777777" w:rsidR="00172C88" w:rsidRDefault="00172C88" w:rsidP="00172C88">
      <w:pPr>
        <w:rPr>
          <w:u w:val="single"/>
          <w:lang w:val="lt-LT"/>
        </w:rPr>
      </w:pPr>
      <w:r>
        <w:rPr>
          <w:u w:val="single"/>
          <w:lang w:val="lt-LT"/>
        </w:rPr>
        <w:t>Veikimo mechanizmas</w:t>
      </w:r>
    </w:p>
    <w:p w14:paraId="01848E51" w14:textId="77777777" w:rsidR="00172C88" w:rsidRPr="00E32052" w:rsidRDefault="00172C88" w:rsidP="00172C88">
      <w:pPr>
        <w:rPr>
          <w:lang w:val="lt-LT"/>
        </w:rPr>
      </w:pPr>
      <w:proofErr w:type="spellStart"/>
      <w:r>
        <w:rPr>
          <w:lang w:val="lt-LT"/>
        </w:rPr>
        <w:t>Bozentanas</w:t>
      </w:r>
      <w:proofErr w:type="spellEnd"/>
      <w:r>
        <w:rPr>
          <w:lang w:val="lt-LT"/>
        </w:rPr>
        <w:t xml:space="preserve"> yra dvigubo poveikio </w:t>
      </w:r>
      <w:proofErr w:type="spellStart"/>
      <w:r>
        <w:rPr>
          <w:lang w:val="lt-LT"/>
        </w:rPr>
        <w:t>endotelino</w:t>
      </w:r>
      <w:proofErr w:type="spellEnd"/>
      <w:r>
        <w:rPr>
          <w:lang w:val="lt-LT"/>
        </w:rPr>
        <w:t xml:space="preserve"> receptorių antagonistas (ERA), kuriam būdingas </w:t>
      </w:r>
      <w:proofErr w:type="spellStart"/>
      <w:r>
        <w:rPr>
          <w:lang w:val="lt-LT"/>
        </w:rPr>
        <w:t>afinitetas</w:t>
      </w:r>
      <w:proofErr w:type="spellEnd"/>
      <w:r>
        <w:rPr>
          <w:lang w:val="lt-LT"/>
        </w:rPr>
        <w:t xml:space="preserve"> </w:t>
      </w:r>
      <w:proofErr w:type="spellStart"/>
      <w:r>
        <w:rPr>
          <w:lang w:val="lt-LT"/>
        </w:rPr>
        <w:t>endotelino</w:t>
      </w:r>
      <w:proofErr w:type="spellEnd"/>
      <w:r>
        <w:rPr>
          <w:lang w:val="lt-LT"/>
        </w:rPr>
        <w:t xml:space="preserve"> A ir B (ET</w:t>
      </w:r>
      <w:r>
        <w:rPr>
          <w:vertAlign w:val="subscript"/>
          <w:lang w:val="lt-LT"/>
        </w:rPr>
        <w:t>A</w:t>
      </w:r>
      <w:r>
        <w:rPr>
          <w:lang w:val="lt-LT"/>
        </w:rPr>
        <w:t xml:space="preserve"> ir ET</w:t>
      </w:r>
      <w:r>
        <w:rPr>
          <w:vertAlign w:val="subscript"/>
          <w:lang w:val="lt-LT"/>
        </w:rPr>
        <w:t>B</w:t>
      </w:r>
      <w:r>
        <w:rPr>
          <w:lang w:val="lt-LT"/>
        </w:rPr>
        <w:t xml:space="preserve">) receptoriams. </w:t>
      </w:r>
      <w:proofErr w:type="spellStart"/>
      <w:r>
        <w:rPr>
          <w:lang w:val="lt-LT"/>
        </w:rPr>
        <w:t>Bozentanas</w:t>
      </w:r>
      <w:proofErr w:type="spellEnd"/>
      <w:r>
        <w:rPr>
          <w:lang w:val="lt-LT"/>
        </w:rPr>
        <w:t xml:space="preserve"> mažina ir plaučių, ir sisteminį kraujagyslių pasipriešinimą: padidėja širdies išstumiamas kraujo tūris, tačiau širdies susitraukimai nepadažnėja. </w:t>
      </w:r>
    </w:p>
    <w:p w14:paraId="5554597E" w14:textId="77777777" w:rsidR="00172C88" w:rsidRDefault="00172C88" w:rsidP="00172C88">
      <w:pPr>
        <w:rPr>
          <w:lang w:val="lt-LT"/>
        </w:rPr>
      </w:pPr>
      <w:r>
        <w:rPr>
          <w:lang w:val="lt-LT"/>
        </w:rPr>
        <w:t xml:space="preserve"> </w:t>
      </w:r>
    </w:p>
    <w:p w14:paraId="1FFA2D17" w14:textId="77777777" w:rsidR="00172C88" w:rsidRPr="00E32052" w:rsidRDefault="00172C88" w:rsidP="00172C88">
      <w:pPr>
        <w:rPr>
          <w:lang w:val="lt-LT"/>
        </w:rPr>
      </w:pPr>
      <w:proofErr w:type="spellStart"/>
      <w:r>
        <w:rPr>
          <w:lang w:val="lt-LT"/>
        </w:rPr>
        <w:t>Neurohormonas</w:t>
      </w:r>
      <w:proofErr w:type="spellEnd"/>
      <w:r>
        <w:rPr>
          <w:lang w:val="lt-LT"/>
        </w:rPr>
        <w:t xml:space="preserve"> endotelinas-1 (ET-1) yra vienas iš stipriausių žinomų </w:t>
      </w:r>
      <w:proofErr w:type="spellStart"/>
      <w:r>
        <w:rPr>
          <w:lang w:val="lt-LT"/>
        </w:rPr>
        <w:t>vazokonstriktorių</w:t>
      </w:r>
      <w:proofErr w:type="spellEnd"/>
      <w:r>
        <w:rPr>
          <w:lang w:val="lt-LT"/>
        </w:rPr>
        <w:t xml:space="preserve">, jis taip pat gali skatinti fibrozę, ląstelių </w:t>
      </w:r>
      <w:proofErr w:type="spellStart"/>
      <w:r>
        <w:rPr>
          <w:lang w:val="lt-LT"/>
        </w:rPr>
        <w:t>proliferaciją</w:t>
      </w:r>
      <w:proofErr w:type="spellEnd"/>
      <w:r>
        <w:rPr>
          <w:lang w:val="lt-LT"/>
        </w:rPr>
        <w:t xml:space="preserve">, širdies hipertrofiją ir </w:t>
      </w:r>
      <w:proofErr w:type="spellStart"/>
      <w:r>
        <w:rPr>
          <w:lang w:val="lt-LT"/>
        </w:rPr>
        <w:t>remodeliavimą</w:t>
      </w:r>
      <w:proofErr w:type="spellEnd"/>
      <w:r>
        <w:rPr>
          <w:lang w:val="lt-LT"/>
        </w:rPr>
        <w:t xml:space="preserve">, be to, jis skatina uždegimą. Tokį poveikį sukelia </w:t>
      </w:r>
      <w:proofErr w:type="spellStart"/>
      <w:r>
        <w:rPr>
          <w:lang w:val="lt-LT"/>
        </w:rPr>
        <w:t>endotelino</w:t>
      </w:r>
      <w:proofErr w:type="spellEnd"/>
      <w:r>
        <w:rPr>
          <w:lang w:val="lt-LT"/>
        </w:rPr>
        <w:t xml:space="preserve"> jungimasis prie ET</w:t>
      </w:r>
      <w:r>
        <w:rPr>
          <w:vertAlign w:val="subscript"/>
          <w:lang w:val="lt-LT"/>
        </w:rPr>
        <w:t>A</w:t>
      </w:r>
      <w:r>
        <w:rPr>
          <w:lang w:val="lt-LT"/>
        </w:rPr>
        <w:t xml:space="preserve"> ir ET</w:t>
      </w:r>
      <w:r>
        <w:rPr>
          <w:vertAlign w:val="subscript"/>
          <w:lang w:val="lt-LT"/>
        </w:rPr>
        <w:t>B</w:t>
      </w:r>
      <w:r>
        <w:rPr>
          <w:lang w:val="lt-LT"/>
        </w:rPr>
        <w:t xml:space="preserve"> receptorių, esančių </w:t>
      </w:r>
      <w:proofErr w:type="spellStart"/>
      <w:r>
        <w:rPr>
          <w:lang w:val="lt-LT"/>
        </w:rPr>
        <w:t>endotelyje</w:t>
      </w:r>
      <w:proofErr w:type="spellEnd"/>
      <w:r>
        <w:rPr>
          <w:lang w:val="lt-LT"/>
        </w:rPr>
        <w:t xml:space="preserve"> ir kraujagyslių lygiųjų raumenų ląstelėse. ET-1 koncentracija audiniuose ir plazmoje padidėja esant kai kuriems širdies ir kraujagyslių sutrikimams bei jungiamojo audinio ligoms, įskaitant </w:t>
      </w:r>
      <w:proofErr w:type="spellStart"/>
      <w:r>
        <w:rPr>
          <w:lang w:val="lt-LT"/>
        </w:rPr>
        <w:t>plautinę</w:t>
      </w:r>
      <w:proofErr w:type="spellEnd"/>
      <w:r>
        <w:rPr>
          <w:lang w:val="lt-LT"/>
        </w:rPr>
        <w:t xml:space="preserve"> arterinę hipertenziją, </w:t>
      </w:r>
      <w:proofErr w:type="spellStart"/>
      <w:r>
        <w:rPr>
          <w:lang w:val="lt-LT"/>
        </w:rPr>
        <w:t>sklerodermiją</w:t>
      </w:r>
      <w:proofErr w:type="spellEnd"/>
      <w:r>
        <w:rPr>
          <w:lang w:val="lt-LT"/>
        </w:rPr>
        <w:t xml:space="preserve">, ūminį ir lėtinį širdies nepakankamumą, miokardo išemiją, sisteminę hipertenziją ir aterosklerozę; tai rodo, kad ET-1 gali būti susijęs su minėtų ligų atsiradimu. </w:t>
      </w:r>
      <w:r>
        <w:rPr>
          <w:lang w:val="lt-LT"/>
        </w:rPr>
        <w:lastRenderedPageBreak/>
        <w:t xml:space="preserve">Jei sergama </w:t>
      </w:r>
      <w:proofErr w:type="spellStart"/>
      <w:r>
        <w:rPr>
          <w:lang w:val="lt-LT"/>
        </w:rPr>
        <w:t>plautine</w:t>
      </w:r>
      <w:proofErr w:type="spellEnd"/>
      <w:r>
        <w:rPr>
          <w:lang w:val="lt-LT"/>
        </w:rPr>
        <w:t xml:space="preserve"> arterine hipertenzija ir širdies nepakankamumu bei nėra </w:t>
      </w:r>
      <w:proofErr w:type="spellStart"/>
      <w:r>
        <w:rPr>
          <w:lang w:val="lt-LT"/>
        </w:rPr>
        <w:t>endotelino</w:t>
      </w:r>
      <w:proofErr w:type="spellEnd"/>
      <w:r>
        <w:rPr>
          <w:lang w:val="lt-LT"/>
        </w:rPr>
        <w:t xml:space="preserve"> receptorių antagonizmo, padidėjusi ET-1 koncentracija labai koreliuoja su šių ligų sunkumu ir prognoze. </w:t>
      </w:r>
    </w:p>
    <w:p w14:paraId="5BA08307" w14:textId="77777777" w:rsidR="00172C88" w:rsidRDefault="00172C88" w:rsidP="00172C88">
      <w:pPr>
        <w:rPr>
          <w:lang w:val="lt-LT"/>
        </w:rPr>
      </w:pPr>
      <w:r>
        <w:rPr>
          <w:lang w:val="lt-LT"/>
        </w:rPr>
        <w:t xml:space="preserve"> </w:t>
      </w:r>
    </w:p>
    <w:p w14:paraId="37CF7BCF" w14:textId="77777777" w:rsidR="00172C88" w:rsidRPr="00C54C14" w:rsidRDefault="00172C88" w:rsidP="00172C88">
      <w:pPr>
        <w:rPr>
          <w:lang w:val="pt-PT"/>
        </w:rPr>
      </w:pPr>
      <w:proofErr w:type="spellStart"/>
      <w:r>
        <w:rPr>
          <w:lang w:val="lt-LT"/>
        </w:rPr>
        <w:t>Bozentanas</w:t>
      </w:r>
      <w:proofErr w:type="spellEnd"/>
      <w:r>
        <w:rPr>
          <w:lang w:val="lt-LT"/>
        </w:rPr>
        <w:t xml:space="preserve"> konkuruoja su ET-1 ir kitais ET peptidais dėl jungimosi prie ET</w:t>
      </w:r>
      <w:r>
        <w:rPr>
          <w:vertAlign w:val="subscript"/>
          <w:lang w:val="lt-LT"/>
        </w:rPr>
        <w:t>A</w:t>
      </w:r>
      <w:r>
        <w:rPr>
          <w:lang w:val="lt-LT"/>
        </w:rPr>
        <w:t xml:space="preserve"> ir ET</w:t>
      </w:r>
      <w:r>
        <w:rPr>
          <w:vertAlign w:val="subscript"/>
          <w:lang w:val="lt-LT"/>
        </w:rPr>
        <w:t>B</w:t>
      </w:r>
      <w:r>
        <w:rPr>
          <w:lang w:val="lt-LT"/>
        </w:rPr>
        <w:t xml:space="preserve"> receptorių, </w:t>
      </w:r>
      <w:proofErr w:type="spellStart"/>
      <w:r>
        <w:rPr>
          <w:lang w:val="lt-LT"/>
        </w:rPr>
        <w:t>afinitetas</w:t>
      </w:r>
      <w:proofErr w:type="spellEnd"/>
      <w:r>
        <w:rPr>
          <w:lang w:val="lt-LT"/>
        </w:rPr>
        <w:t xml:space="preserve"> ET</w:t>
      </w:r>
      <w:r>
        <w:rPr>
          <w:vertAlign w:val="subscript"/>
          <w:lang w:val="lt-LT"/>
        </w:rPr>
        <w:t>A</w:t>
      </w:r>
      <w:r>
        <w:rPr>
          <w:lang w:val="lt-LT"/>
        </w:rPr>
        <w:t xml:space="preserve"> receptoriams (</w:t>
      </w:r>
      <w:proofErr w:type="spellStart"/>
      <w:r>
        <w:rPr>
          <w:lang w:val="lt-LT"/>
        </w:rPr>
        <w:t>Ki</w:t>
      </w:r>
      <w:proofErr w:type="spellEnd"/>
      <w:r>
        <w:rPr>
          <w:lang w:val="lt-LT"/>
        </w:rPr>
        <w:t xml:space="preserve"> = 4,1–43 </w:t>
      </w:r>
      <w:proofErr w:type="spellStart"/>
      <w:r>
        <w:rPr>
          <w:lang w:val="lt-LT"/>
        </w:rPr>
        <w:t>nanomoliai</w:t>
      </w:r>
      <w:proofErr w:type="spellEnd"/>
      <w:r>
        <w:rPr>
          <w:lang w:val="lt-LT"/>
        </w:rPr>
        <w:t>) yra kiek didesnis, nei ET</w:t>
      </w:r>
      <w:r>
        <w:rPr>
          <w:vertAlign w:val="subscript"/>
          <w:lang w:val="lt-LT"/>
        </w:rPr>
        <w:t>B</w:t>
      </w:r>
      <w:r>
        <w:rPr>
          <w:lang w:val="lt-LT"/>
        </w:rPr>
        <w:t xml:space="preserve"> receptoriams (</w:t>
      </w:r>
      <w:proofErr w:type="spellStart"/>
      <w:r>
        <w:rPr>
          <w:lang w:val="lt-LT"/>
        </w:rPr>
        <w:t>Ki</w:t>
      </w:r>
      <w:proofErr w:type="spellEnd"/>
      <w:r>
        <w:rPr>
          <w:lang w:val="lt-LT"/>
        </w:rPr>
        <w:t xml:space="preserve"> = 38-730 </w:t>
      </w:r>
      <w:proofErr w:type="spellStart"/>
      <w:r>
        <w:rPr>
          <w:lang w:val="lt-LT"/>
        </w:rPr>
        <w:t>nanomolių</w:t>
      </w:r>
      <w:proofErr w:type="spellEnd"/>
      <w:r>
        <w:rPr>
          <w:lang w:val="lt-LT"/>
        </w:rPr>
        <w:t xml:space="preserve">). </w:t>
      </w:r>
      <w:proofErr w:type="spellStart"/>
      <w:r>
        <w:rPr>
          <w:lang w:val="lt-LT"/>
        </w:rPr>
        <w:t>Bozentanas</w:t>
      </w:r>
      <w:proofErr w:type="spellEnd"/>
      <w:r>
        <w:rPr>
          <w:lang w:val="lt-LT"/>
        </w:rPr>
        <w:t xml:space="preserve"> yra specifinis ET receptorių antagonistas ir prie kitų receptorių nesijungia. </w:t>
      </w:r>
    </w:p>
    <w:p w14:paraId="2DCD8CFE" w14:textId="77777777" w:rsidR="00172C88" w:rsidRDefault="00172C88" w:rsidP="00172C88">
      <w:pPr>
        <w:rPr>
          <w:lang w:val="lt-LT"/>
        </w:rPr>
      </w:pPr>
    </w:p>
    <w:p w14:paraId="41A6A91E" w14:textId="77777777" w:rsidR="00172C88" w:rsidRPr="00DC170F" w:rsidRDefault="00172C88" w:rsidP="00172C88">
      <w:pPr>
        <w:rPr>
          <w:i/>
          <w:iCs/>
          <w:u w:val="single"/>
          <w:lang w:val="lt-LT"/>
        </w:rPr>
      </w:pPr>
      <w:r w:rsidRPr="00DC170F">
        <w:rPr>
          <w:i/>
          <w:iCs/>
          <w:u w:val="single"/>
          <w:lang w:val="lt-LT"/>
        </w:rPr>
        <w:t>Veiksmingumas</w:t>
      </w:r>
    </w:p>
    <w:p w14:paraId="31B2AA42" w14:textId="77777777" w:rsidR="00172C88" w:rsidRDefault="00172C88" w:rsidP="00172C88">
      <w:pPr>
        <w:rPr>
          <w:lang w:val="lt-LT"/>
        </w:rPr>
      </w:pPr>
    </w:p>
    <w:p w14:paraId="2E3A6EF5" w14:textId="77777777" w:rsidR="00172C88" w:rsidRPr="0012565B" w:rsidRDefault="00172C88" w:rsidP="00172C88">
      <w:pPr>
        <w:rPr>
          <w:lang w:val="lt-LT"/>
        </w:rPr>
      </w:pPr>
      <w:r w:rsidRPr="00DC170F">
        <w:rPr>
          <w:i/>
          <w:lang w:val="lt-LT"/>
        </w:rPr>
        <w:t>Gyvūnų modeliai</w:t>
      </w:r>
    </w:p>
    <w:p w14:paraId="12BF83B3" w14:textId="77777777" w:rsidR="00172C88" w:rsidRDefault="00172C88" w:rsidP="00172C88">
      <w:pPr>
        <w:rPr>
          <w:lang w:val="lt-LT"/>
        </w:rPr>
      </w:pPr>
      <w:r>
        <w:rPr>
          <w:lang w:val="lt-LT"/>
        </w:rPr>
        <w:t xml:space="preserve">Tyrimų su gyvūnams sukeltos </w:t>
      </w:r>
      <w:proofErr w:type="spellStart"/>
      <w:r>
        <w:rPr>
          <w:lang w:val="lt-LT"/>
        </w:rPr>
        <w:t>plautinės</w:t>
      </w:r>
      <w:proofErr w:type="spellEnd"/>
      <w:r>
        <w:rPr>
          <w:lang w:val="lt-LT"/>
        </w:rPr>
        <w:t xml:space="preserve"> hipertenzijos modeliais metu ilgalaikis geriamojo </w:t>
      </w:r>
      <w:proofErr w:type="spellStart"/>
      <w:r>
        <w:rPr>
          <w:lang w:val="lt-LT"/>
        </w:rPr>
        <w:t>bozentano</w:t>
      </w:r>
      <w:proofErr w:type="spellEnd"/>
      <w:r>
        <w:rPr>
          <w:lang w:val="lt-LT"/>
        </w:rPr>
        <w:t xml:space="preserve"> vartojimas sumažino plaučių kraujagyslių pasipriešinimą ir neutralizavo plaučių kraujagyslių ir dešiniojo skilvelio hipertrofiją. Tyrimų su gyvūnams sukeltos plaučių fibrozės modeliu metu </w:t>
      </w:r>
      <w:proofErr w:type="spellStart"/>
      <w:r>
        <w:rPr>
          <w:lang w:val="lt-LT"/>
        </w:rPr>
        <w:t>bozentanas</w:t>
      </w:r>
      <w:proofErr w:type="spellEnd"/>
      <w:r>
        <w:rPr>
          <w:lang w:val="lt-LT"/>
        </w:rPr>
        <w:t xml:space="preserve"> sumažino kolageno sankaupas plaučiuose. </w:t>
      </w:r>
    </w:p>
    <w:p w14:paraId="582C2392" w14:textId="77777777" w:rsidR="00172C88" w:rsidRDefault="00172C88" w:rsidP="00172C88">
      <w:pPr>
        <w:rPr>
          <w:lang w:val="lt-LT"/>
        </w:rPr>
      </w:pPr>
    </w:p>
    <w:p w14:paraId="305D8510" w14:textId="77777777" w:rsidR="00172C88" w:rsidRPr="00C54C14" w:rsidRDefault="00172C88" w:rsidP="00172C88">
      <w:pPr>
        <w:rPr>
          <w:lang w:val="pt-PT"/>
        </w:rPr>
      </w:pPr>
      <w:r w:rsidRPr="00DC170F">
        <w:rPr>
          <w:i/>
          <w:lang w:val="lt-LT"/>
        </w:rPr>
        <w:t xml:space="preserve">Veiksmingumas suaugusiems pacientams, kurie serga </w:t>
      </w:r>
      <w:proofErr w:type="spellStart"/>
      <w:r w:rsidRPr="00DC170F">
        <w:rPr>
          <w:i/>
          <w:lang w:val="lt-LT"/>
        </w:rPr>
        <w:t>plautine</w:t>
      </w:r>
      <w:proofErr w:type="spellEnd"/>
      <w:r w:rsidRPr="00DC170F">
        <w:rPr>
          <w:i/>
          <w:lang w:val="lt-LT"/>
        </w:rPr>
        <w:t xml:space="preserve"> arterine hipertenzija </w:t>
      </w:r>
    </w:p>
    <w:p w14:paraId="0EC6754E" w14:textId="77777777" w:rsidR="00172C88" w:rsidRDefault="00172C88" w:rsidP="00172C88">
      <w:pPr>
        <w:rPr>
          <w:lang w:val="lt-LT"/>
        </w:rPr>
      </w:pPr>
      <w:r>
        <w:rPr>
          <w:lang w:val="lt-LT"/>
        </w:rPr>
        <w:t xml:space="preserve">Buvo atlikti du atsitiktinių imčių, dvigubai koduoti, </w:t>
      </w:r>
      <w:proofErr w:type="spellStart"/>
      <w:r>
        <w:rPr>
          <w:lang w:val="lt-LT"/>
        </w:rPr>
        <w:t>daugiacentriai</w:t>
      </w:r>
      <w:proofErr w:type="spellEnd"/>
      <w:r>
        <w:rPr>
          <w:lang w:val="lt-LT"/>
        </w:rPr>
        <w:t xml:space="preserve">, placebu kontroliuoti klinikiniai tyrimai, kuriuose dalyvavo 32 (tyrimas AC-052-351) ir 213 (tyrimas AC-052-352 [BREATHE-1]) suaugusių pacientų, sergančių PSO III–IV funkcinės klasės </w:t>
      </w:r>
      <w:proofErr w:type="spellStart"/>
      <w:r>
        <w:rPr>
          <w:lang w:val="lt-LT"/>
        </w:rPr>
        <w:t>plautine</w:t>
      </w:r>
      <w:proofErr w:type="spellEnd"/>
      <w:r>
        <w:rPr>
          <w:lang w:val="lt-LT"/>
        </w:rPr>
        <w:t xml:space="preserve"> hipertenzija (pirmine </w:t>
      </w:r>
      <w:proofErr w:type="spellStart"/>
      <w:r>
        <w:rPr>
          <w:lang w:val="lt-LT"/>
        </w:rPr>
        <w:t>plautine</w:t>
      </w:r>
      <w:proofErr w:type="spellEnd"/>
      <w:r>
        <w:rPr>
          <w:lang w:val="lt-LT"/>
        </w:rPr>
        <w:t xml:space="preserve"> hipertenzija arba antrine </w:t>
      </w:r>
      <w:proofErr w:type="spellStart"/>
      <w:r>
        <w:rPr>
          <w:lang w:val="lt-LT"/>
        </w:rPr>
        <w:t>plautine</w:t>
      </w:r>
      <w:proofErr w:type="spellEnd"/>
      <w:r>
        <w:rPr>
          <w:lang w:val="lt-LT"/>
        </w:rPr>
        <w:t xml:space="preserve"> hipertenzija, dažniausiai sukelta </w:t>
      </w:r>
      <w:proofErr w:type="spellStart"/>
      <w:r>
        <w:rPr>
          <w:lang w:val="lt-LT"/>
        </w:rPr>
        <w:t>sklerodermijos</w:t>
      </w:r>
      <w:proofErr w:type="spellEnd"/>
      <w:r>
        <w:rPr>
          <w:lang w:val="lt-LT"/>
        </w:rPr>
        <w:t xml:space="preserve">). Po 4 gydymo savaičių (du kartus per parą vartojama 62,5 mg </w:t>
      </w:r>
      <w:proofErr w:type="spellStart"/>
      <w:r>
        <w:rPr>
          <w:lang w:val="lt-LT"/>
        </w:rPr>
        <w:t>bozentano</w:t>
      </w:r>
      <w:proofErr w:type="spellEnd"/>
      <w:r>
        <w:rPr>
          <w:lang w:val="lt-LT"/>
        </w:rPr>
        <w:t xml:space="preserve"> dozė), vartojama palaikomoji dozė buvo po 125 mg du kartus per parą tyrimo AC-052-351 metu ir po 125 mg arba 250 mg du kartus per parą tyrimo AC-052-352 metu. </w:t>
      </w:r>
    </w:p>
    <w:p w14:paraId="6E8EF78B" w14:textId="77777777" w:rsidR="00172C88" w:rsidRDefault="00172C88" w:rsidP="00172C88">
      <w:pPr>
        <w:rPr>
          <w:lang w:val="lt-LT"/>
        </w:rPr>
      </w:pPr>
    </w:p>
    <w:p w14:paraId="7DBB70E6" w14:textId="77777777" w:rsidR="00172C88" w:rsidRDefault="00172C88" w:rsidP="00172C88">
      <w:pPr>
        <w:rPr>
          <w:lang w:val="lt-LT"/>
        </w:rPr>
      </w:pPr>
      <w:proofErr w:type="spellStart"/>
      <w:r>
        <w:rPr>
          <w:lang w:val="lt-LT"/>
        </w:rPr>
        <w:t>Bozentanu</w:t>
      </w:r>
      <w:proofErr w:type="spellEnd"/>
      <w:r>
        <w:rPr>
          <w:lang w:val="lt-LT"/>
        </w:rPr>
        <w:t xml:space="preserve"> buvo papildytas jau taikomas gydymas: ligoniai galėjo vartoti antikoaguliantų, </w:t>
      </w:r>
      <w:proofErr w:type="spellStart"/>
      <w:r>
        <w:rPr>
          <w:lang w:val="lt-LT"/>
        </w:rPr>
        <w:t>vazodilatatorių</w:t>
      </w:r>
      <w:proofErr w:type="spellEnd"/>
      <w:r>
        <w:rPr>
          <w:lang w:val="lt-LT"/>
        </w:rPr>
        <w:t xml:space="preserve"> (pvz., kalcio kanalų blokatorių), diuretikų, deguonies ir </w:t>
      </w:r>
      <w:proofErr w:type="spellStart"/>
      <w:r>
        <w:rPr>
          <w:lang w:val="lt-LT"/>
        </w:rPr>
        <w:t>digoksino</w:t>
      </w:r>
      <w:proofErr w:type="spellEnd"/>
      <w:r>
        <w:rPr>
          <w:lang w:val="lt-LT"/>
        </w:rPr>
        <w:t xml:space="preserve">, tačiau ne </w:t>
      </w:r>
      <w:proofErr w:type="spellStart"/>
      <w:r>
        <w:rPr>
          <w:lang w:val="lt-LT"/>
        </w:rPr>
        <w:t>epoprostenolio</w:t>
      </w:r>
      <w:proofErr w:type="spellEnd"/>
      <w:r>
        <w:rPr>
          <w:lang w:val="lt-LT"/>
        </w:rPr>
        <w:t>. Kontrolinės grupės pacientai tęsė esamą gydymą ir vartojo placebo.</w:t>
      </w:r>
    </w:p>
    <w:p w14:paraId="1AE72CDB" w14:textId="77777777" w:rsidR="00172C88" w:rsidRDefault="00172C88" w:rsidP="00172C88">
      <w:pPr>
        <w:rPr>
          <w:lang w:val="lt-LT"/>
        </w:rPr>
      </w:pPr>
    </w:p>
    <w:p w14:paraId="31B0866E" w14:textId="77777777" w:rsidR="00172C88" w:rsidRPr="00E32052" w:rsidRDefault="00172C88" w:rsidP="00172C88">
      <w:pPr>
        <w:rPr>
          <w:lang w:val="lt-LT"/>
        </w:rPr>
      </w:pPr>
      <w:r>
        <w:rPr>
          <w:lang w:val="lt-LT"/>
        </w:rPr>
        <w:t xml:space="preserve">Pagrindinė kiekvieno tyrimo vertinamoji baigtis buvo per 6 minutes nueinamo atstumo pokytis 12-tą savaitę pirmojo tyrimo metu ir 16-tą savaitę antrojo tyrimo metu. Abiejų tyrimų metu gydymas </w:t>
      </w:r>
      <w:proofErr w:type="spellStart"/>
      <w:r>
        <w:rPr>
          <w:lang w:val="lt-LT"/>
        </w:rPr>
        <w:t>bozentanu</w:t>
      </w:r>
      <w:proofErr w:type="spellEnd"/>
      <w:r>
        <w:rPr>
          <w:lang w:val="lt-LT"/>
        </w:rPr>
        <w:t xml:space="preserve"> reikšmingai padidino fizinį pajėgumą. Atsižvelgiant į placebo poveikį koreguotas nueinamo atstumo padidėjimas tuo metu, kai vertinta kiekvieno tyrimo pagrindinė vertinamoji baigtis, buvo atitinkamai 76 metrai (p = 0,02; t-testas) ir 44 metrai (p = 0,0002; </w:t>
      </w:r>
      <w:proofErr w:type="spellStart"/>
      <w:r>
        <w:rPr>
          <w:i/>
          <w:lang w:val="lt-LT"/>
        </w:rPr>
        <w:t>Mann-Whitney</w:t>
      </w:r>
      <w:proofErr w:type="spellEnd"/>
      <w:r>
        <w:rPr>
          <w:lang w:val="lt-LT"/>
        </w:rPr>
        <w:t xml:space="preserve"> U testas). Skirtumai tarp dviejų grupių pacientų, vartojusių po 125 mg du kartus per parą ir po 250 mg du kartus per parą, nebuvo statistiškai reikšmingi, tačiau vartojant po 250 mg </w:t>
      </w:r>
      <w:proofErr w:type="spellStart"/>
      <w:r>
        <w:rPr>
          <w:lang w:val="lt-LT"/>
        </w:rPr>
        <w:t>bozentano</w:t>
      </w:r>
      <w:proofErr w:type="spellEnd"/>
      <w:r>
        <w:rPr>
          <w:lang w:val="lt-LT"/>
        </w:rPr>
        <w:t xml:space="preserve"> du kartus per parą, buvo nustatyta fizinio pajėgumo didėjimo tendencija. </w:t>
      </w:r>
    </w:p>
    <w:p w14:paraId="5C21FEA1" w14:textId="77777777" w:rsidR="00172C88" w:rsidRDefault="00172C88" w:rsidP="00172C88">
      <w:pPr>
        <w:rPr>
          <w:lang w:val="lt-LT"/>
        </w:rPr>
      </w:pPr>
    </w:p>
    <w:p w14:paraId="1F324A12" w14:textId="77777777" w:rsidR="00172C88" w:rsidRDefault="00172C88" w:rsidP="00172C88">
      <w:pPr>
        <w:rPr>
          <w:lang w:val="lt-LT"/>
        </w:rPr>
      </w:pPr>
      <w:r>
        <w:rPr>
          <w:lang w:val="lt-LT"/>
        </w:rPr>
        <w:t xml:space="preserve">Nueinamo atstumo padidėjimas tapo pastebimas po 4 savaičių ir akivaizdus po 8 gydymo savaičių, poveikis išliko iki 28 dvigubai koduoto gydymo savaičių pacientų populiacijos pogrupyje. </w:t>
      </w:r>
    </w:p>
    <w:p w14:paraId="6750575F" w14:textId="77777777" w:rsidR="00172C88" w:rsidRDefault="00172C88" w:rsidP="00172C88">
      <w:pPr>
        <w:rPr>
          <w:lang w:val="lt-LT"/>
        </w:rPr>
      </w:pPr>
    </w:p>
    <w:p w14:paraId="1034D89E" w14:textId="77777777" w:rsidR="00172C88" w:rsidRDefault="00172C88" w:rsidP="00172C88">
      <w:pPr>
        <w:rPr>
          <w:lang w:val="lt-LT"/>
        </w:rPr>
      </w:pPr>
      <w:r>
        <w:rPr>
          <w:lang w:val="lt-LT"/>
        </w:rPr>
        <w:t xml:space="preserve">Atlikus retrospektyvinę į gydymą reagavusių (remiantis nueinamo atstumo, PSO funkcinės klasės ir dusulio pokyčiu) 95 pacientų, placebu kontroliuotų tyrimų metu atsitiktinai priskyrus du kartus per parą vartojusių po 125 mg </w:t>
      </w:r>
      <w:proofErr w:type="spellStart"/>
      <w:r>
        <w:rPr>
          <w:lang w:val="lt-LT"/>
        </w:rPr>
        <w:t>bozentano</w:t>
      </w:r>
      <w:proofErr w:type="spellEnd"/>
      <w:r>
        <w:rPr>
          <w:lang w:val="lt-LT"/>
        </w:rPr>
        <w:t xml:space="preserve">, duomenų analizę, nustatyta, kad 8 savaitę 66 pacientų būklė pagerėjo, 22 liko stabili ir 7 pablogėjo. Iš 22 pacientų, kurių būklė 8 savaitę buvo stabili, 6 būklė pagerėjo 12/16 savaitę, o 4 būklė pablogėjo, palyginti su pradiniais rodmenimis. Iš 7 pacientų, kurių būklė 8 savaitę pablogėjo, 3 būklė pagerėjo 12/16 savaitę, o 4 būklė pablogėjo, palyginti su pradiniais rodmenimis. </w:t>
      </w:r>
    </w:p>
    <w:p w14:paraId="5666D799" w14:textId="77777777" w:rsidR="00172C88" w:rsidRDefault="00172C88" w:rsidP="00172C88">
      <w:pPr>
        <w:rPr>
          <w:lang w:val="lt-LT"/>
        </w:rPr>
      </w:pPr>
      <w:r>
        <w:rPr>
          <w:lang w:val="lt-LT"/>
        </w:rPr>
        <w:t xml:space="preserve"> </w:t>
      </w:r>
    </w:p>
    <w:p w14:paraId="4269FD3F" w14:textId="77777777" w:rsidR="00172C88" w:rsidRDefault="00172C88" w:rsidP="00172C88">
      <w:pPr>
        <w:rPr>
          <w:lang w:val="lt-LT"/>
        </w:rPr>
      </w:pPr>
      <w:r>
        <w:rPr>
          <w:lang w:val="lt-LT"/>
        </w:rPr>
        <w:t xml:space="preserve">Invaziniai </w:t>
      </w:r>
      <w:proofErr w:type="spellStart"/>
      <w:r>
        <w:rPr>
          <w:lang w:val="lt-LT"/>
        </w:rPr>
        <w:t>hemodinaminiai</w:t>
      </w:r>
      <w:proofErr w:type="spellEnd"/>
      <w:r>
        <w:rPr>
          <w:lang w:val="lt-LT"/>
        </w:rPr>
        <w:t xml:space="preserve"> parametrai buvo vertinami tik pirmo tyrimo metu. </w:t>
      </w:r>
      <w:proofErr w:type="spellStart"/>
      <w:r>
        <w:rPr>
          <w:lang w:val="lt-LT"/>
        </w:rPr>
        <w:t>Bozentanu</w:t>
      </w:r>
      <w:proofErr w:type="spellEnd"/>
      <w:r>
        <w:rPr>
          <w:lang w:val="lt-LT"/>
        </w:rPr>
        <w:t xml:space="preserve"> gydytiems pacientams reikšmingai padidėjo širdies indeksas, be to, reikšmingai sumažėjo plaučių arterijos spaudimas, plaučių kraujagyslių pasipriešinimas ir vidutinis dešiniojo prieširdžio spaudimas. </w:t>
      </w:r>
    </w:p>
    <w:p w14:paraId="77252C9B" w14:textId="77777777" w:rsidR="00172C88" w:rsidRDefault="00172C88" w:rsidP="00172C88">
      <w:pPr>
        <w:rPr>
          <w:lang w:val="lt-LT"/>
        </w:rPr>
      </w:pPr>
    </w:p>
    <w:p w14:paraId="682D2487" w14:textId="77777777" w:rsidR="00172C88" w:rsidRDefault="00172C88" w:rsidP="00172C88">
      <w:pPr>
        <w:rPr>
          <w:lang w:val="lt-LT"/>
        </w:rPr>
      </w:pPr>
      <w:r>
        <w:rPr>
          <w:lang w:val="lt-LT"/>
        </w:rPr>
        <w:t xml:space="preserve">Gydymo </w:t>
      </w:r>
      <w:proofErr w:type="spellStart"/>
      <w:r>
        <w:rPr>
          <w:lang w:val="lt-LT"/>
        </w:rPr>
        <w:t>bozentanu</w:t>
      </w:r>
      <w:proofErr w:type="spellEnd"/>
      <w:r>
        <w:rPr>
          <w:lang w:val="lt-LT"/>
        </w:rPr>
        <w:t xml:space="preserve"> metu pastebėtas </w:t>
      </w:r>
      <w:proofErr w:type="spellStart"/>
      <w:r>
        <w:rPr>
          <w:lang w:val="lt-LT"/>
        </w:rPr>
        <w:t>plautinės</w:t>
      </w:r>
      <w:proofErr w:type="spellEnd"/>
      <w:r>
        <w:rPr>
          <w:lang w:val="lt-LT"/>
        </w:rPr>
        <w:t xml:space="preserve"> arterinės hipertenzijos simptomų palengvėjimas. Dusulio vertinimas nueinamo atstumo testų metu parodė, kad </w:t>
      </w:r>
      <w:proofErr w:type="spellStart"/>
      <w:r>
        <w:rPr>
          <w:lang w:val="lt-LT"/>
        </w:rPr>
        <w:t>bozentanu</w:t>
      </w:r>
      <w:proofErr w:type="spellEnd"/>
      <w:r>
        <w:rPr>
          <w:lang w:val="lt-LT"/>
        </w:rPr>
        <w:t xml:space="preserve"> gydomų pacientų būklė </w:t>
      </w:r>
      <w:r>
        <w:rPr>
          <w:lang w:val="lt-LT"/>
        </w:rPr>
        <w:lastRenderedPageBreak/>
        <w:t xml:space="preserve">pagerėjo. AC-052-352 tyrimo metu 92 % iš 213 pacientų tyrimo pradžioje PSO funkcinė būklė buvo priskirta III klasei, 8 % – IV klasei. Gydymo </w:t>
      </w:r>
      <w:proofErr w:type="spellStart"/>
      <w:r>
        <w:rPr>
          <w:lang w:val="lt-LT"/>
        </w:rPr>
        <w:t>bozentanu</w:t>
      </w:r>
      <w:proofErr w:type="spellEnd"/>
      <w:r>
        <w:rPr>
          <w:lang w:val="lt-LT"/>
        </w:rPr>
        <w:t xml:space="preserve"> metu PSO funkcinė klasė pagerėjo 42,4 % pacientų (30,4 % vartojusių placebo). Bendras PSO funkcinės klasės pokytis abiejų tyrimų metu buvo reikšmingai geresnis pacientams, vartojusiems </w:t>
      </w:r>
      <w:proofErr w:type="spellStart"/>
      <w:r>
        <w:rPr>
          <w:lang w:val="lt-LT"/>
        </w:rPr>
        <w:t>bozentano</w:t>
      </w:r>
      <w:proofErr w:type="spellEnd"/>
      <w:r>
        <w:rPr>
          <w:lang w:val="lt-LT"/>
        </w:rPr>
        <w:t xml:space="preserve">, palyginti su placebo vartojusiais pacientais. Gydymas </w:t>
      </w:r>
      <w:proofErr w:type="spellStart"/>
      <w:r>
        <w:rPr>
          <w:lang w:val="lt-LT"/>
        </w:rPr>
        <w:t>bozentanu</w:t>
      </w:r>
      <w:proofErr w:type="spellEnd"/>
      <w:r>
        <w:rPr>
          <w:lang w:val="lt-LT"/>
        </w:rPr>
        <w:t xml:space="preserve"> buvo susijęs su reikšmingu klinikinio būklės pablogėjimo dažnio sumažėjimu 28 savaitę, palyginti su placebo poveikiu (atitinkamai 10,7 % ir 37,1 %; p = 0,0015). </w:t>
      </w:r>
    </w:p>
    <w:p w14:paraId="26DF3060" w14:textId="77777777" w:rsidR="00172C88" w:rsidRDefault="00172C88" w:rsidP="00172C88">
      <w:pPr>
        <w:rPr>
          <w:lang w:val="lt-LT"/>
        </w:rPr>
      </w:pPr>
      <w:r>
        <w:rPr>
          <w:lang w:val="lt-LT"/>
        </w:rPr>
        <w:t xml:space="preserve"> </w:t>
      </w:r>
    </w:p>
    <w:p w14:paraId="5B4FAAD7" w14:textId="77777777" w:rsidR="00172C88" w:rsidRDefault="00172C88" w:rsidP="00172C88">
      <w:pPr>
        <w:rPr>
          <w:lang w:val="lt-LT"/>
        </w:rPr>
      </w:pPr>
      <w:r>
        <w:rPr>
          <w:lang w:val="lt-LT"/>
        </w:rPr>
        <w:t xml:space="preserve">Atsitiktinių imčių, dvigubai koduoto, </w:t>
      </w:r>
      <w:proofErr w:type="spellStart"/>
      <w:r>
        <w:rPr>
          <w:lang w:val="lt-LT"/>
        </w:rPr>
        <w:t>daugiacentrio</w:t>
      </w:r>
      <w:proofErr w:type="spellEnd"/>
      <w:r>
        <w:rPr>
          <w:lang w:val="lt-LT"/>
        </w:rPr>
        <w:t xml:space="preserve">, placebo kontroliuojamo tyrimo (AC-052-364 [(EARLY)) metu 185 PSO II funkcinės klasės PAH sirgę pacientai (vidutinis prieš tyrimą per 6 minutes nueinamas atstumas buvo 435 metrai) 4 savaites du kartus per parą vartojo po 62,5 mg </w:t>
      </w:r>
      <w:proofErr w:type="spellStart"/>
      <w:r>
        <w:rPr>
          <w:lang w:val="lt-LT"/>
        </w:rPr>
        <w:t>bozentano</w:t>
      </w:r>
      <w:proofErr w:type="spellEnd"/>
      <w:r>
        <w:rPr>
          <w:lang w:val="lt-LT"/>
        </w:rPr>
        <w:t xml:space="preserve"> ir po to 6 mėnesius du kartus per parą po 125 mg </w:t>
      </w:r>
      <w:proofErr w:type="spellStart"/>
      <w:r>
        <w:rPr>
          <w:lang w:val="lt-LT"/>
        </w:rPr>
        <w:t>bozentano</w:t>
      </w:r>
      <w:proofErr w:type="spellEnd"/>
      <w:r>
        <w:rPr>
          <w:lang w:val="lt-LT"/>
        </w:rPr>
        <w:t xml:space="preserve"> (n = 93) arba placebo (n = 92). Į tyrimą buvo įtraukti pacientai, kurių PAH gydyta nebuvo (n = 156) arba kurie vartojo stabilią </w:t>
      </w:r>
      <w:proofErr w:type="spellStart"/>
      <w:r>
        <w:rPr>
          <w:lang w:val="lt-LT"/>
        </w:rPr>
        <w:t>sildenafilio</w:t>
      </w:r>
      <w:proofErr w:type="spellEnd"/>
      <w:r>
        <w:rPr>
          <w:lang w:val="lt-LT"/>
        </w:rPr>
        <w:t xml:space="preserve"> dozę (n = 29). Pagrindinės vertinamosios baigtys buvo plaučių kraujagyslių pasipriešinimo (PKP) procentinis pokytis, palyginti su pradiniu rodmeniu, ir per 6 minutes nueinamo atstumo pokytis (palyginti su placebo poveikiu) po 6 gydymo mėnesių. Toliau lentelėje pateikiami iš anksto numatytos protokolo analizės rezultatai. </w:t>
      </w:r>
    </w:p>
    <w:p w14:paraId="1A59DD63" w14:textId="77777777" w:rsidR="00172C88" w:rsidRDefault="00172C88" w:rsidP="00172C88">
      <w:pPr>
        <w:rPr>
          <w:lang w:val="lt-LT"/>
        </w:rPr>
      </w:pPr>
    </w:p>
    <w:tbl>
      <w:tblPr>
        <w:tblW w:w="9060" w:type="dxa"/>
        <w:tblCellMar>
          <w:left w:w="10" w:type="dxa"/>
          <w:right w:w="10" w:type="dxa"/>
        </w:tblCellMar>
        <w:tblLook w:val="04A0" w:firstRow="1" w:lastRow="0" w:firstColumn="1" w:lastColumn="0" w:noHBand="0" w:noVBand="1"/>
      </w:tblPr>
      <w:tblGrid>
        <w:gridCol w:w="2986"/>
        <w:gridCol w:w="1513"/>
        <w:gridCol w:w="1524"/>
        <w:gridCol w:w="1513"/>
        <w:gridCol w:w="1524"/>
      </w:tblGrid>
      <w:tr w:rsidR="00172C88" w:rsidRPr="00102863" w14:paraId="325AB5EA" w14:textId="77777777" w:rsidTr="00FE7070">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EEC4B" w14:textId="77777777" w:rsidR="00172C88" w:rsidRDefault="00172C88" w:rsidP="00FE7070">
            <w:pPr>
              <w:pStyle w:val="Default"/>
              <w:rPr>
                <w:b/>
                <w:sz w:val="22"/>
                <w:szCs w:val="22"/>
                <w:lang w:val="lt-LT"/>
              </w:rPr>
            </w:pPr>
          </w:p>
        </w:tc>
        <w:tc>
          <w:tcPr>
            <w:tcW w:w="30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BBE1A" w14:textId="77777777" w:rsidR="00172C88" w:rsidRPr="007263E8" w:rsidRDefault="00172C88" w:rsidP="00FE7070">
            <w:pPr>
              <w:pStyle w:val="Default"/>
            </w:pPr>
            <w:r>
              <w:rPr>
                <w:b/>
                <w:sz w:val="22"/>
                <w:szCs w:val="22"/>
                <w:lang w:val="lt-LT"/>
              </w:rPr>
              <w:t>PKR (</w:t>
            </w:r>
            <w:proofErr w:type="spellStart"/>
            <w:r>
              <w:rPr>
                <w:b/>
                <w:sz w:val="22"/>
                <w:szCs w:val="22"/>
                <w:lang w:val="lt-LT"/>
              </w:rPr>
              <w:t>din.sek</w:t>
            </w:r>
            <w:proofErr w:type="spellEnd"/>
            <w:r>
              <w:rPr>
                <w:b/>
                <w:sz w:val="22"/>
                <w:szCs w:val="22"/>
                <w:lang w:val="lt-LT"/>
              </w:rPr>
              <w:t>./cm)</w:t>
            </w:r>
            <w:r>
              <w:rPr>
                <w:b/>
                <w:sz w:val="22"/>
                <w:szCs w:val="22"/>
                <w:vertAlign w:val="superscript"/>
                <w:lang w:val="lt-LT"/>
              </w:rPr>
              <w:t>5</w:t>
            </w:r>
          </w:p>
        </w:tc>
        <w:tc>
          <w:tcPr>
            <w:tcW w:w="30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8E8E0" w14:textId="77777777" w:rsidR="00172C88" w:rsidRDefault="00172C88" w:rsidP="00FE7070">
            <w:pPr>
              <w:pStyle w:val="Default"/>
              <w:rPr>
                <w:b/>
                <w:sz w:val="22"/>
                <w:szCs w:val="22"/>
                <w:lang w:val="lt-LT"/>
              </w:rPr>
            </w:pPr>
            <w:r>
              <w:rPr>
                <w:b/>
                <w:sz w:val="22"/>
                <w:szCs w:val="22"/>
                <w:lang w:val="lt-LT"/>
              </w:rPr>
              <w:t>Per 6 minutes nueinamas atstumas (m)</w:t>
            </w:r>
          </w:p>
        </w:tc>
      </w:tr>
      <w:tr w:rsidR="00172C88" w14:paraId="06CC1E0D" w14:textId="77777777" w:rsidTr="00FE7070">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191FF" w14:textId="77777777" w:rsidR="00172C88" w:rsidRDefault="00172C88" w:rsidP="00FE7070">
            <w:pPr>
              <w:pStyle w:val="Default"/>
              <w:rPr>
                <w:sz w:val="22"/>
                <w:szCs w:val="22"/>
                <w:lang w:val="lt-LT"/>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AC220" w14:textId="77777777" w:rsidR="00172C88" w:rsidRDefault="00172C88" w:rsidP="00FE7070">
            <w:pPr>
              <w:pStyle w:val="Default"/>
              <w:rPr>
                <w:sz w:val="22"/>
                <w:szCs w:val="22"/>
                <w:lang w:val="lt-LT"/>
              </w:rPr>
            </w:pPr>
            <w:r>
              <w:rPr>
                <w:sz w:val="22"/>
                <w:szCs w:val="22"/>
                <w:lang w:val="lt-LT"/>
              </w:rPr>
              <w:t>Placebas (n=88)</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5FAF9" w14:textId="77777777" w:rsidR="00172C88" w:rsidRDefault="00172C88" w:rsidP="00FE7070">
            <w:pPr>
              <w:pStyle w:val="Default"/>
              <w:rPr>
                <w:sz w:val="22"/>
                <w:szCs w:val="22"/>
                <w:lang w:val="lt-LT"/>
              </w:rPr>
            </w:pPr>
            <w:proofErr w:type="spellStart"/>
            <w:r>
              <w:rPr>
                <w:sz w:val="22"/>
                <w:szCs w:val="22"/>
                <w:lang w:val="lt-LT"/>
              </w:rPr>
              <w:t>Bozentanas</w:t>
            </w:r>
            <w:proofErr w:type="spellEnd"/>
            <w:r>
              <w:rPr>
                <w:sz w:val="22"/>
                <w:szCs w:val="22"/>
                <w:lang w:val="lt-LT"/>
              </w:rPr>
              <w:t xml:space="preserve"> (n=80)</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A08E2" w14:textId="77777777" w:rsidR="00172C88" w:rsidRDefault="00172C88" w:rsidP="00FE7070">
            <w:pPr>
              <w:pStyle w:val="Default"/>
              <w:rPr>
                <w:sz w:val="22"/>
                <w:szCs w:val="22"/>
                <w:lang w:val="lt-LT"/>
              </w:rPr>
            </w:pPr>
            <w:r>
              <w:rPr>
                <w:sz w:val="22"/>
                <w:szCs w:val="22"/>
                <w:lang w:val="lt-LT"/>
              </w:rPr>
              <w:t>Placebas (n=91)</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3ABA2" w14:textId="77777777" w:rsidR="00172C88" w:rsidRDefault="00172C88" w:rsidP="00FE7070">
            <w:pPr>
              <w:pStyle w:val="Default"/>
              <w:rPr>
                <w:sz w:val="22"/>
                <w:szCs w:val="22"/>
                <w:lang w:val="lt-LT"/>
              </w:rPr>
            </w:pPr>
            <w:proofErr w:type="spellStart"/>
            <w:r>
              <w:rPr>
                <w:sz w:val="22"/>
                <w:szCs w:val="22"/>
                <w:lang w:val="lt-LT"/>
              </w:rPr>
              <w:t>Bozentanas</w:t>
            </w:r>
            <w:proofErr w:type="spellEnd"/>
            <w:r>
              <w:rPr>
                <w:sz w:val="22"/>
                <w:szCs w:val="22"/>
                <w:lang w:val="lt-LT"/>
              </w:rPr>
              <w:t xml:space="preserve"> (n=86)</w:t>
            </w:r>
          </w:p>
        </w:tc>
      </w:tr>
      <w:tr w:rsidR="00172C88" w14:paraId="0D150B2F" w14:textId="77777777" w:rsidTr="00FE7070">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950A" w14:textId="77777777" w:rsidR="00172C88" w:rsidRDefault="00172C88" w:rsidP="00FE7070">
            <w:pPr>
              <w:pStyle w:val="Default"/>
              <w:rPr>
                <w:sz w:val="22"/>
                <w:szCs w:val="22"/>
                <w:lang w:val="lt-LT"/>
              </w:rPr>
            </w:pPr>
            <w:r>
              <w:rPr>
                <w:sz w:val="22"/>
                <w:szCs w:val="22"/>
                <w:lang w:val="lt-LT"/>
              </w:rPr>
              <w:t>Pradinis rodmuo (PR); vidurkis (SN)</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782F1" w14:textId="77777777" w:rsidR="00172C88" w:rsidRDefault="00172C88" w:rsidP="00FE7070">
            <w:pPr>
              <w:pStyle w:val="Default"/>
              <w:rPr>
                <w:sz w:val="22"/>
                <w:szCs w:val="22"/>
                <w:lang w:val="lt-LT"/>
              </w:rPr>
            </w:pPr>
            <w:r>
              <w:rPr>
                <w:sz w:val="22"/>
                <w:szCs w:val="22"/>
                <w:lang w:val="lt-LT"/>
              </w:rPr>
              <w:t>802 (365)</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71705" w14:textId="77777777" w:rsidR="00172C88" w:rsidRDefault="00172C88" w:rsidP="00FE7070">
            <w:pPr>
              <w:pStyle w:val="Default"/>
              <w:rPr>
                <w:sz w:val="22"/>
                <w:szCs w:val="22"/>
                <w:lang w:val="lt-LT"/>
              </w:rPr>
            </w:pPr>
            <w:r>
              <w:rPr>
                <w:sz w:val="22"/>
                <w:szCs w:val="22"/>
                <w:lang w:val="lt-LT"/>
              </w:rPr>
              <w:t>851 (535)</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AC886" w14:textId="77777777" w:rsidR="00172C88" w:rsidRDefault="00172C88" w:rsidP="00FE7070">
            <w:pPr>
              <w:pStyle w:val="Default"/>
              <w:rPr>
                <w:sz w:val="22"/>
                <w:szCs w:val="22"/>
                <w:lang w:val="lt-LT"/>
              </w:rPr>
            </w:pPr>
            <w:r>
              <w:rPr>
                <w:sz w:val="22"/>
                <w:szCs w:val="22"/>
                <w:lang w:val="lt-LT"/>
              </w:rPr>
              <w:t>431 (92)</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8EE0" w14:textId="77777777" w:rsidR="00172C88" w:rsidRDefault="00172C88" w:rsidP="00FE7070">
            <w:pPr>
              <w:pStyle w:val="Default"/>
              <w:rPr>
                <w:sz w:val="22"/>
                <w:szCs w:val="22"/>
                <w:lang w:val="lt-LT"/>
              </w:rPr>
            </w:pPr>
            <w:r>
              <w:rPr>
                <w:sz w:val="22"/>
                <w:szCs w:val="22"/>
                <w:lang w:val="lt-LT"/>
              </w:rPr>
              <w:t>443 (83)</w:t>
            </w:r>
          </w:p>
        </w:tc>
      </w:tr>
      <w:tr w:rsidR="00172C88" w14:paraId="71D04B90" w14:textId="77777777" w:rsidTr="00FE7070">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BB73" w14:textId="77777777" w:rsidR="00172C88" w:rsidRDefault="00172C88" w:rsidP="00FE7070">
            <w:pPr>
              <w:pStyle w:val="Default"/>
              <w:rPr>
                <w:sz w:val="22"/>
                <w:szCs w:val="22"/>
                <w:lang w:val="lt-LT"/>
              </w:rPr>
            </w:pPr>
            <w:r>
              <w:rPr>
                <w:sz w:val="22"/>
                <w:szCs w:val="22"/>
                <w:lang w:val="lt-LT"/>
              </w:rPr>
              <w:t>Pokytis nuo PR; vidurkis (SN)</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61F84" w14:textId="77777777" w:rsidR="00172C88" w:rsidRDefault="00172C88" w:rsidP="00FE7070">
            <w:pPr>
              <w:pStyle w:val="Default"/>
              <w:rPr>
                <w:sz w:val="22"/>
                <w:szCs w:val="22"/>
                <w:lang w:val="lt-LT"/>
              </w:rPr>
            </w:pPr>
            <w:r>
              <w:rPr>
                <w:sz w:val="22"/>
                <w:szCs w:val="22"/>
                <w:lang w:val="lt-LT"/>
              </w:rPr>
              <w:t>128 (465)</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3E4CB" w14:textId="77777777" w:rsidR="00172C88" w:rsidRDefault="00172C88" w:rsidP="00FE7070">
            <w:pPr>
              <w:pStyle w:val="Default"/>
              <w:rPr>
                <w:sz w:val="22"/>
                <w:szCs w:val="22"/>
                <w:lang w:val="lt-LT"/>
              </w:rPr>
            </w:pPr>
            <w:r>
              <w:rPr>
                <w:sz w:val="22"/>
                <w:szCs w:val="22"/>
                <w:lang w:val="lt-LT"/>
              </w:rPr>
              <w:t>−69 (475)</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D116C" w14:textId="77777777" w:rsidR="00172C88" w:rsidRDefault="00172C88" w:rsidP="00FE7070">
            <w:pPr>
              <w:pStyle w:val="Default"/>
              <w:rPr>
                <w:sz w:val="22"/>
                <w:szCs w:val="22"/>
                <w:lang w:val="lt-LT"/>
              </w:rPr>
            </w:pPr>
            <w:r>
              <w:rPr>
                <w:sz w:val="22"/>
                <w:szCs w:val="22"/>
                <w:lang w:val="lt-LT"/>
              </w:rPr>
              <w:t>−8 (79)</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0F43" w14:textId="77777777" w:rsidR="00172C88" w:rsidRDefault="00172C88" w:rsidP="00FE7070">
            <w:pPr>
              <w:pStyle w:val="Default"/>
              <w:rPr>
                <w:sz w:val="22"/>
                <w:szCs w:val="22"/>
                <w:lang w:val="lt-LT"/>
              </w:rPr>
            </w:pPr>
            <w:r>
              <w:rPr>
                <w:sz w:val="22"/>
                <w:szCs w:val="22"/>
                <w:lang w:val="lt-LT"/>
              </w:rPr>
              <w:t>11 (74)</w:t>
            </w:r>
          </w:p>
        </w:tc>
      </w:tr>
      <w:tr w:rsidR="00172C88" w14:paraId="162300F4" w14:textId="77777777" w:rsidTr="00FE7070">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FC56D" w14:textId="77777777" w:rsidR="00172C88" w:rsidRDefault="00172C88" w:rsidP="00FE7070">
            <w:pPr>
              <w:pStyle w:val="Default"/>
              <w:rPr>
                <w:sz w:val="22"/>
                <w:szCs w:val="22"/>
                <w:lang w:val="lt-LT"/>
              </w:rPr>
            </w:pPr>
            <w:r>
              <w:rPr>
                <w:sz w:val="22"/>
                <w:szCs w:val="22"/>
                <w:lang w:val="lt-LT"/>
              </w:rPr>
              <w:t>Gydymo poveikis</w:t>
            </w:r>
          </w:p>
        </w:tc>
        <w:tc>
          <w:tcPr>
            <w:tcW w:w="30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5D904" w14:textId="77777777" w:rsidR="00172C88" w:rsidRDefault="00172C88" w:rsidP="00FE7070">
            <w:pPr>
              <w:pStyle w:val="Default"/>
              <w:rPr>
                <w:sz w:val="22"/>
                <w:szCs w:val="22"/>
                <w:lang w:val="lt-LT"/>
              </w:rPr>
            </w:pPr>
            <w:r>
              <w:rPr>
                <w:sz w:val="22"/>
                <w:szCs w:val="22"/>
                <w:lang w:val="lt-LT"/>
              </w:rPr>
              <w:t>−22,6 %</w:t>
            </w:r>
          </w:p>
        </w:tc>
        <w:tc>
          <w:tcPr>
            <w:tcW w:w="30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32FF0" w14:textId="77777777" w:rsidR="00172C88" w:rsidRDefault="00172C88" w:rsidP="00FE7070">
            <w:pPr>
              <w:pStyle w:val="Default"/>
              <w:rPr>
                <w:sz w:val="22"/>
                <w:szCs w:val="22"/>
                <w:lang w:val="lt-LT"/>
              </w:rPr>
            </w:pPr>
            <w:r>
              <w:rPr>
                <w:sz w:val="22"/>
                <w:szCs w:val="22"/>
                <w:lang w:val="lt-LT"/>
              </w:rPr>
              <w:t>19</w:t>
            </w:r>
          </w:p>
        </w:tc>
      </w:tr>
      <w:tr w:rsidR="00172C88" w14:paraId="677405D8" w14:textId="77777777" w:rsidTr="00FE7070">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8404B" w14:textId="77777777" w:rsidR="00172C88" w:rsidRDefault="00172C88" w:rsidP="00FE7070">
            <w:pPr>
              <w:pStyle w:val="Default"/>
              <w:rPr>
                <w:sz w:val="22"/>
                <w:szCs w:val="22"/>
                <w:lang w:val="lt-LT"/>
              </w:rPr>
            </w:pPr>
            <w:r>
              <w:rPr>
                <w:sz w:val="22"/>
                <w:szCs w:val="22"/>
                <w:lang w:val="lt-LT"/>
              </w:rPr>
              <w:t>95% PI</w:t>
            </w:r>
          </w:p>
        </w:tc>
        <w:tc>
          <w:tcPr>
            <w:tcW w:w="30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6B2B" w14:textId="77777777" w:rsidR="00172C88" w:rsidRDefault="00172C88" w:rsidP="00FE7070">
            <w:pPr>
              <w:pStyle w:val="Default"/>
              <w:rPr>
                <w:sz w:val="22"/>
                <w:szCs w:val="22"/>
                <w:lang w:val="lt-LT"/>
              </w:rPr>
            </w:pPr>
            <w:r>
              <w:rPr>
                <w:sz w:val="22"/>
                <w:szCs w:val="22"/>
                <w:lang w:val="lt-LT"/>
              </w:rPr>
              <w:t>−34, −10</w:t>
            </w:r>
          </w:p>
        </w:tc>
        <w:tc>
          <w:tcPr>
            <w:tcW w:w="30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71601" w14:textId="77777777" w:rsidR="00172C88" w:rsidRDefault="00172C88" w:rsidP="00FE7070">
            <w:pPr>
              <w:pStyle w:val="Default"/>
              <w:rPr>
                <w:sz w:val="22"/>
                <w:szCs w:val="22"/>
                <w:lang w:val="lt-LT"/>
              </w:rPr>
            </w:pPr>
            <w:r>
              <w:rPr>
                <w:sz w:val="22"/>
                <w:szCs w:val="22"/>
                <w:lang w:val="lt-LT"/>
              </w:rPr>
              <w:t>−4, 42</w:t>
            </w:r>
          </w:p>
        </w:tc>
      </w:tr>
      <w:tr w:rsidR="00172C88" w14:paraId="25E392CA" w14:textId="77777777" w:rsidTr="00FE7070">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1155E" w14:textId="77777777" w:rsidR="00172C88" w:rsidRDefault="00172C88" w:rsidP="00FE7070">
            <w:pPr>
              <w:pStyle w:val="Default"/>
              <w:rPr>
                <w:sz w:val="22"/>
                <w:szCs w:val="22"/>
                <w:lang w:val="lt-LT"/>
              </w:rPr>
            </w:pPr>
            <w:r>
              <w:rPr>
                <w:sz w:val="22"/>
                <w:szCs w:val="22"/>
                <w:lang w:val="lt-LT"/>
              </w:rPr>
              <w:t>P rodmuo</w:t>
            </w:r>
          </w:p>
        </w:tc>
        <w:tc>
          <w:tcPr>
            <w:tcW w:w="30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DB88D" w14:textId="77777777" w:rsidR="00172C88" w:rsidRDefault="00172C88" w:rsidP="00FE7070">
            <w:pPr>
              <w:pStyle w:val="Default"/>
              <w:rPr>
                <w:sz w:val="22"/>
                <w:szCs w:val="22"/>
                <w:lang w:val="lt-LT"/>
              </w:rPr>
            </w:pPr>
            <w:r>
              <w:rPr>
                <w:sz w:val="22"/>
                <w:szCs w:val="22"/>
                <w:lang w:val="lt-LT"/>
              </w:rPr>
              <w:t>&lt; 0,0001</w:t>
            </w:r>
          </w:p>
        </w:tc>
        <w:tc>
          <w:tcPr>
            <w:tcW w:w="30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C74C" w14:textId="77777777" w:rsidR="00172C88" w:rsidRDefault="00172C88" w:rsidP="00FE7070">
            <w:pPr>
              <w:pStyle w:val="Default"/>
              <w:rPr>
                <w:sz w:val="22"/>
                <w:szCs w:val="22"/>
                <w:lang w:val="lt-LT"/>
              </w:rPr>
            </w:pPr>
            <w:r>
              <w:rPr>
                <w:sz w:val="22"/>
                <w:szCs w:val="22"/>
                <w:lang w:val="lt-LT"/>
              </w:rPr>
              <w:t>0,0758</w:t>
            </w:r>
          </w:p>
        </w:tc>
      </w:tr>
    </w:tbl>
    <w:p w14:paraId="2683239B" w14:textId="77777777" w:rsidR="00172C88" w:rsidRDefault="00DC76E3" w:rsidP="00172C88">
      <w:pPr>
        <w:rPr>
          <w:sz w:val="18"/>
          <w:szCs w:val="18"/>
          <w:lang w:val="lt-LT"/>
        </w:rPr>
      </w:pPr>
      <w:r w:rsidRPr="00FE7070">
        <w:rPr>
          <w:sz w:val="18"/>
          <w:szCs w:val="18"/>
        </w:rPr>
        <w:t>P</w:t>
      </w:r>
      <w:r>
        <w:rPr>
          <w:sz w:val="18"/>
          <w:szCs w:val="18"/>
        </w:rPr>
        <w:t>I</w:t>
      </w:r>
      <w:r w:rsidRPr="00FE7070">
        <w:rPr>
          <w:sz w:val="18"/>
          <w:szCs w:val="18"/>
        </w:rPr>
        <w:t xml:space="preserve"> </w:t>
      </w:r>
      <w:r w:rsidR="00FE7070" w:rsidRPr="00FE7070">
        <w:rPr>
          <w:sz w:val="18"/>
          <w:szCs w:val="18"/>
        </w:rPr>
        <w:t xml:space="preserve">= </w:t>
      </w:r>
      <w:proofErr w:type="spellStart"/>
      <w:r w:rsidR="00FE7070" w:rsidRPr="00FE7070">
        <w:rPr>
          <w:sz w:val="18"/>
          <w:szCs w:val="18"/>
        </w:rPr>
        <w:t>pasikliautinumo</w:t>
      </w:r>
      <w:proofErr w:type="spellEnd"/>
      <w:r w:rsidR="00FE7070" w:rsidRPr="00FE7070">
        <w:rPr>
          <w:sz w:val="18"/>
          <w:szCs w:val="18"/>
        </w:rPr>
        <w:t xml:space="preserve"> </w:t>
      </w:r>
      <w:proofErr w:type="spellStart"/>
      <w:r w:rsidR="00FE7070" w:rsidRPr="00FE7070">
        <w:rPr>
          <w:sz w:val="18"/>
          <w:szCs w:val="18"/>
        </w:rPr>
        <w:t>ribos</w:t>
      </w:r>
      <w:proofErr w:type="spellEnd"/>
      <w:proofErr w:type="gramStart"/>
      <w:r w:rsidR="00FE7070" w:rsidRPr="00FE7070">
        <w:rPr>
          <w:sz w:val="18"/>
          <w:szCs w:val="18"/>
        </w:rPr>
        <w:t>;.</w:t>
      </w:r>
      <w:r w:rsidR="00172C88">
        <w:rPr>
          <w:sz w:val="18"/>
          <w:szCs w:val="18"/>
          <w:lang w:val="lt-LT"/>
        </w:rPr>
        <w:t>PKP</w:t>
      </w:r>
      <w:proofErr w:type="gramEnd"/>
      <w:r w:rsidR="00172C88">
        <w:rPr>
          <w:sz w:val="18"/>
          <w:szCs w:val="18"/>
          <w:lang w:val="lt-LT"/>
        </w:rPr>
        <w:t xml:space="preserve"> = plaučių kraujagyslių pasipriešinimas </w:t>
      </w:r>
      <w:r w:rsidRPr="00FE7070">
        <w:rPr>
          <w:sz w:val="18"/>
          <w:szCs w:val="18"/>
          <w:lang w:val="lt-LT"/>
        </w:rPr>
        <w:t>S</w:t>
      </w:r>
      <w:r>
        <w:rPr>
          <w:sz w:val="18"/>
          <w:szCs w:val="18"/>
          <w:lang w:val="lt-LT"/>
        </w:rPr>
        <w:t>N</w:t>
      </w:r>
      <w:r w:rsidRPr="00FE7070">
        <w:rPr>
          <w:sz w:val="18"/>
          <w:szCs w:val="18"/>
          <w:lang w:val="lt-LT"/>
        </w:rPr>
        <w:t xml:space="preserve"> </w:t>
      </w:r>
      <w:r w:rsidR="00FE7070" w:rsidRPr="00FE7070">
        <w:rPr>
          <w:sz w:val="18"/>
          <w:szCs w:val="18"/>
          <w:lang w:val="lt-LT"/>
        </w:rPr>
        <w:t>= standartinis nuokrypis</w:t>
      </w:r>
    </w:p>
    <w:p w14:paraId="0FF9AB15" w14:textId="77777777" w:rsidR="00172C88" w:rsidRDefault="00172C88" w:rsidP="00172C88">
      <w:pPr>
        <w:rPr>
          <w:lang w:val="lt-LT"/>
        </w:rPr>
      </w:pPr>
    </w:p>
    <w:p w14:paraId="7824F9D3" w14:textId="77777777" w:rsidR="00172C88" w:rsidRDefault="00172C88" w:rsidP="00172C88">
      <w:pPr>
        <w:rPr>
          <w:lang w:val="lt-LT"/>
        </w:rPr>
      </w:pPr>
      <w:r>
        <w:rPr>
          <w:lang w:val="lt-LT"/>
        </w:rPr>
        <w:t xml:space="preserve">Gydymas </w:t>
      </w:r>
      <w:proofErr w:type="spellStart"/>
      <w:r>
        <w:rPr>
          <w:lang w:val="lt-LT"/>
        </w:rPr>
        <w:t>bozentanu</w:t>
      </w:r>
      <w:proofErr w:type="spellEnd"/>
      <w:r>
        <w:rPr>
          <w:lang w:val="lt-LT"/>
        </w:rPr>
        <w:t xml:space="preserve"> buvo susijęs su klinikinės būklės pasunkėjimo dažnio sumažėjimu (vertinant kombinuotąją baigtį, apimančią simptomų progresavimą, PAH gydymą ligoninėje ir mirtį), palyginti su placebo poveikiu (proporcinis rizikos sumažėjimas buvo 77 %, 95 % PI = 20–95 %, p = 0,0014). Gydomąjį poveikį lėmė ligos simptomų progresavimo sumažėjimas. Dėl PAH pasunkėjimo ligoninėje reikėjo gydyti vieną </w:t>
      </w:r>
      <w:proofErr w:type="spellStart"/>
      <w:r>
        <w:rPr>
          <w:lang w:val="lt-LT"/>
        </w:rPr>
        <w:t>bozentano</w:t>
      </w:r>
      <w:proofErr w:type="spellEnd"/>
      <w:r>
        <w:rPr>
          <w:lang w:val="lt-LT"/>
        </w:rPr>
        <w:t xml:space="preserve"> vartojusių tiriamųjų grupės pacientą ir tris placebo vartojusius pacientus. Kiekvienoje gydymo grupėje per 6 mėnesių dvigubai koduotą tyrimo laikotarpį mirė po vieną pacientą, todėl su išgyvenamumu susijusių išvadų padaryti neįmanoma. </w:t>
      </w:r>
    </w:p>
    <w:p w14:paraId="3D911282" w14:textId="77777777" w:rsidR="00172C88" w:rsidRDefault="00172C88" w:rsidP="00172C88">
      <w:pPr>
        <w:rPr>
          <w:lang w:val="lt-LT"/>
        </w:rPr>
      </w:pPr>
    </w:p>
    <w:p w14:paraId="017FCCA3" w14:textId="77777777" w:rsidR="00172C88" w:rsidRPr="00E32052" w:rsidRDefault="00172C88" w:rsidP="00172C88">
      <w:pPr>
        <w:rPr>
          <w:lang w:val="lt-LT"/>
        </w:rPr>
      </w:pPr>
      <w:r>
        <w:rPr>
          <w:lang w:val="lt-LT"/>
        </w:rPr>
        <w:t xml:space="preserve">Ilgalaikiai duomenys gauti iš visų 173 pacientų, kurie buvo gydomi </w:t>
      </w:r>
      <w:proofErr w:type="spellStart"/>
      <w:r>
        <w:rPr>
          <w:lang w:val="lt-LT"/>
        </w:rPr>
        <w:t>bozentanu</w:t>
      </w:r>
      <w:proofErr w:type="spellEnd"/>
      <w:r>
        <w:rPr>
          <w:lang w:val="lt-LT"/>
        </w:rPr>
        <w:t xml:space="preserve"> kontroliuojamos fazės metu ir (arba) kurie </w:t>
      </w:r>
      <w:proofErr w:type="spellStart"/>
      <w:r>
        <w:rPr>
          <w:lang w:val="lt-LT"/>
        </w:rPr>
        <w:t>bozentano</w:t>
      </w:r>
      <w:proofErr w:type="spellEnd"/>
      <w:r>
        <w:rPr>
          <w:lang w:val="lt-LT"/>
        </w:rPr>
        <w:t xml:space="preserve"> pradėjo vartoti vietoj placebo EARLY tyrimo atvirosios pratęsimo fazės metu. Vidutinė gydymo </w:t>
      </w:r>
      <w:proofErr w:type="spellStart"/>
      <w:r>
        <w:rPr>
          <w:lang w:val="lt-LT"/>
        </w:rPr>
        <w:t>bozentanu</w:t>
      </w:r>
      <w:proofErr w:type="spellEnd"/>
      <w:r>
        <w:rPr>
          <w:lang w:val="lt-LT"/>
        </w:rPr>
        <w:t xml:space="preserve"> trukmė buvo 3,6 ± 1,8 metų (ne ilgiau nei 6,1 metų), 73 % pacientų buvo gydyti ne trumpiau kaip 3 metus, 62 % - ne trumpiau kaip 4 metus. Atvirosios pratęsimo fazės metu pacientams pagal poreikį buvo galima skirti papildomą PAH gydymą. Daugumai (61 %) pacientų buvo diagnozuota idiopatinė arba paveldima </w:t>
      </w:r>
      <w:proofErr w:type="spellStart"/>
      <w:r>
        <w:rPr>
          <w:lang w:val="lt-LT"/>
        </w:rPr>
        <w:t>plautinė</w:t>
      </w:r>
      <w:proofErr w:type="spellEnd"/>
      <w:r>
        <w:rPr>
          <w:lang w:val="lt-LT"/>
        </w:rPr>
        <w:t xml:space="preserve"> arterinė hipertenzija. Iš viso 78 % pacientų liga ir toliau išliko PSO II funkcinės klasės. Išgyvenamumo </w:t>
      </w:r>
      <w:proofErr w:type="spellStart"/>
      <w:r>
        <w:rPr>
          <w:i/>
          <w:lang w:val="lt-LT"/>
        </w:rPr>
        <w:t>Kaplan-Meier</w:t>
      </w:r>
      <w:proofErr w:type="spellEnd"/>
      <w:r>
        <w:rPr>
          <w:lang w:val="lt-LT"/>
        </w:rPr>
        <w:t xml:space="preserve"> įvertis po gydymo pradžios praėjus 3 ir 4 metams buvo atitinkamai 90 % ir 85 %. Tais pačiais laiko taškais PAH nepasunkėjo 88 % ir 79 % pacientų (vertinant mirtį nuo bet kokios priežasties, plaučių transplantaciją, prieširdžių </w:t>
      </w:r>
      <w:proofErr w:type="spellStart"/>
      <w:r>
        <w:rPr>
          <w:lang w:val="lt-LT"/>
        </w:rPr>
        <w:t>septostomiją</w:t>
      </w:r>
      <w:proofErr w:type="spellEnd"/>
      <w:r>
        <w:rPr>
          <w:lang w:val="lt-LT"/>
        </w:rPr>
        <w:t xml:space="preserve"> bei gydymo į veną arba po oda leidžiamais </w:t>
      </w:r>
      <w:proofErr w:type="spellStart"/>
      <w:r>
        <w:rPr>
          <w:lang w:val="lt-LT"/>
        </w:rPr>
        <w:t>prostanoidais</w:t>
      </w:r>
      <w:proofErr w:type="spellEnd"/>
      <w:r>
        <w:rPr>
          <w:lang w:val="lt-LT"/>
        </w:rPr>
        <w:t xml:space="preserve"> pradėjimą). Reliatyvi ankstesnio placebo vartojimo dvigubai koduotos fazės metu arba gydymo kitais vaistiniais preparatais pradėjimo atviruoju pratęsimo periodu įtaka nėra žinoma. </w:t>
      </w:r>
    </w:p>
    <w:p w14:paraId="1EDA40AA" w14:textId="77777777" w:rsidR="00172C88" w:rsidRDefault="00172C88" w:rsidP="00172C88">
      <w:pPr>
        <w:rPr>
          <w:lang w:val="lt-LT"/>
        </w:rPr>
      </w:pPr>
    </w:p>
    <w:p w14:paraId="35EF7D1F" w14:textId="77777777" w:rsidR="00172C88" w:rsidRDefault="00172C88" w:rsidP="00172C88">
      <w:pPr>
        <w:rPr>
          <w:lang w:val="lt-LT"/>
        </w:rPr>
      </w:pPr>
      <w:r>
        <w:rPr>
          <w:lang w:val="lt-LT"/>
        </w:rPr>
        <w:t xml:space="preserve">Žvalgomojo, </w:t>
      </w:r>
      <w:proofErr w:type="spellStart"/>
      <w:r>
        <w:rPr>
          <w:lang w:val="lt-LT"/>
        </w:rPr>
        <w:t>daugiacentrio</w:t>
      </w:r>
      <w:proofErr w:type="spellEnd"/>
      <w:r>
        <w:rPr>
          <w:lang w:val="lt-LT"/>
        </w:rPr>
        <w:t xml:space="preserve">, atsitiktinių imčių, dvigubai koduoto placebu kontroliuojamo klinikinio tyrimo (AC-052-405 [BREATHE-5]) metu III PSO funkcinės klasės ir </w:t>
      </w:r>
      <w:proofErr w:type="spellStart"/>
      <w:r>
        <w:rPr>
          <w:lang w:val="lt-LT"/>
        </w:rPr>
        <w:t>Eisenmenger</w:t>
      </w:r>
      <w:proofErr w:type="spellEnd"/>
      <w:r>
        <w:rPr>
          <w:lang w:val="lt-LT"/>
        </w:rPr>
        <w:t xml:space="preserve"> fiziologijos pacientai, sergantys PAH, susijusia su įgimta širdies liga, 4 savaites vartojo po 62,5 mg </w:t>
      </w:r>
      <w:proofErr w:type="spellStart"/>
      <w:r>
        <w:rPr>
          <w:lang w:val="lt-LT"/>
        </w:rPr>
        <w:t>bozentano</w:t>
      </w:r>
      <w:proofErr w:type="spellEnd"/>
      <w:r>
        <w:rPr>
          <w:lang w:val="lt-LT"/>
        </w:rPr>
        <w:t xml:space="preserve"> du kartus per parą ir po to kitas 12 savaičių po 125 mg </w:t>
      </w:r>
      <w:proofErr w:type="spellStart"/>
      <w:r>
        <w:rPr>
          <w:lang w:val="lt-LT"/>
        </w:rPr>
        <w:t>bozentano</w:t>
      </w:r>
      <w:proofErr w:type="spellEnd"/>
      <w:r>
        <w:rPr>
          <w:lang w:val="lt-LT"/>
        </w:rPr>
        <w:t xml:space="preserve"> du kartus per parą (n = 37; 31 iš jų turėjo dvikryptį šuntą, daugiausia iš dešinės į kairę). Pagrindinis tikslas buvo įrodyti, kad </w:t>
      </w:r>
      <w:proofErr w:type="spellStart"/>
      <w:r>
        <w:rPr>
          <w:lang w:val="lt-LT"/>
        </w:rPr>
        <w:t>bozentanas</w:t>
      </w:r>
      <w:proofErr w:type="spellEnd"/>
      <w:r>
        <w:rPr>
          <w:lang w:val="lt-LT"/>
        </w:rPr>
        <w:t xml:space="preserve"> </w:t>
      </w:r>
      <w:r>
        <w:rPr>
          <w:lang w:val="lt-LT"/>
        </w:rPr>
        <w:lastRenderedPageBreak/>
        <w:t xml:space="preserve">nedidina </w:t>
      </w:r>
      <w:proofErr w:type="spellStart"/>
      <w:r>
        <w:rPr>
          <w:lang w:val="lt-LT"/>
        </w:rPr>
        <w:t>hipoksemijos</w:t>
      </w:r>
      <w:proofErr w:type="spellEnd"/>
      <w:r>
        <w:rPr>
          <w:lang w:val="lt-LT"/>
        </w:rPr>
        <w:t xml:space="preserve">. Po 16 savaičių </w:t>
      </w:r>
      <w:proofErr w:type="spellStart"/>
      <w:r>
        <w:rPr>
          <w:lang w:val="lt-LT"/>
        </w:rPr>
        <w:t>bozentano</w:t>
      </w:r>
      <w:proofErr w:type="spellEnd"/>
      <w:r>
        <w:rPr>
          <w:lang w:val="lt-LT"/>
        </w:rPr>
        <w:t xml:space="preserve"> vartojusiųjų pacientų grupėje įsotinimas deguonimi padidėjo 1,0 % (95 % PI –0,7 %–2,8 %), palyginti su placebo vartojusių pacientų (n = 17) rodmeniu; tokiu būdu nustatyta, kad </w:t>
      </w:r>
      <w:proofErr w:type="spellStart"/>
      <w:r>
        <w:rPr>
          <w:lang w:val="lt-LT"/>
        </w:rPr>
        <w:t>bozentanas</w:t>
      </w:r>
      <w:proofErr w:type="spellEnd"/>
      <w:r>
        <w:rPr>
          <w:lang w:val="lt-LT"/>
        </w:rPr>
        <w:t xml:space="preserve"> </w:t>
      </w:r>
      <w:proofErr w:type="spellStart"/>
      <w:r>
        <w:rPr>
          <w:lang w:val="lt-LT"/>
        </w:rPr>
        <w:t>hipoksemijos</w:t>
      </w:r>
      <w:proofErr w:type="spellEnd"/>
      <w:r>
        <w:rPr>
          <w:lang w:val="lt-LT"/>
        </w:rPr>
        <w:t xml:space="preserve"> nepadidina. </w:t>
      </w:r>
      <w:proofErr w:type="spellStart"/>
      <w:r>
        <w:rPr>
          <w:lang w:val="lt-LT"/>
        </w:rPr>
        <w:t>Bozentano</w:t>
      </w:r>
      <w:proofErr w:type="spellEnd"/>
      <w:r>
        <w:rPr>
          <w:lang w:val="lt-LT"/>
        </w:rPr>
        <w:t xml:space="preserve"> vartojusiųjų grupėje reikšmingai sumažėjo vidutinis plaučių kraujagyslių pasipriešinimas (stipriausias poveikis buvo stebimas pacientų, kurie turėjo dvikryptį </w:t>
      </w:r>
      <w:proofErr w:type="spellStart"/>
      <w:r>
        <w:rPr>
          <w:lang w:val="lt-LT"/>
        </w:rPr>
        <w:t>intrakardinį</w:t>
      </w:r>
      <w:proofErr w:type="spellEnd"/>
      <w:r>
        <w:rPr>
          <w:lang w:val="lt-LT"/>
        </w:rPr>
        <w:t xml:space="preserve"> šuntą, pogrupyje). Po 16 savaičių vidutinis pagal placebo poveikį koreguotas per 6 minutes nueinamas atstumas padidėjo 53 metrais (p = 0,0079), tai rodo fizinio pajėgumo pagerėjimą. Dvidešimt šeši pacientai toliau vartojo </w:t>
      </w:r>
      <w:proofErr w:type="spellStart"/>
      <w:r>
        <w:rPr>
          <w:lang w:val="lt-LT"/>
        </w:rPr>
        <w:t>bozentano</w:t>
      </w:r>
      <w:proofErr w:type="spellEnd"/>
      <w:r>
        <w:rPr>
          <w:lang w:val="lt-LT"/>
        </w:rPr>
        <w:t xml:space="preserve"> 24 savaičių BREATHE-5 studijos atvirojoje tęstinėje fazėje (AC-052-409) (vidutinė gydymo trukmė = 24,4 ± 2,0 savaičių) ir, iš esmės, veiksmingumas išliko. </w:t>
      </w:r>
    </w:p>
    <w:p w14:paraId="3F9FD88E" w14:textId="77777777" w:rsidR="00172C88" w:rsidRDefault="00172C88" w:rsidP="00172C88">
      <w:pPr>
        <w:rPr>
          <w:lang w:val="lt-LT"/>
        </w:rPr>
      </w:pPr>
    </w:p>
    <w:p w14:paraId="724389E9" w14:textId="77777777" w:rsidR="00172C88" w:rsidRDefault="00172C88" w:rsidP="00172C88">
      <w:pPr>
        <w:rPr>
          <w:lang w:val="lt-LT"/>
        </w:rPr>
      </w:pPr>
      <w:r>
        <w:rPr>
          <w:lang w:val="lt-LT"/>
        </w:rPr>
        <w:t xml:space="preserve">16 pacientų, sergančių PSO III funkcinės klasės PAH, susijusia su ŽIV infekcija, buvo įtraukti į atvirą tyrimą be palyginamosios grupės (AC-052-362 [BREATHE-4]). Jo metu pacientai vartojo po 62,5 mg </w:t>
      </w:r>
      <w:proofErr w:type="spellStart"/>
      <w:r>
        <w:rPr>
          <w:lang w:val="lt-LT"/>
        </w:rPr>
        <w:t>bozentano</w:t>
      </w:r>
      <w:proofErr w:type="spellEnd"/>
      <w:r>
        <w:rPr>
          <w:lang w:val="lt-LT"/>
        </w:rPr>
        <w:t xml:space="preserve"> du kartus per parą 4 savaites ir po to po125 mg </w:t>
      </w:r>
      <w:proofErr w:type="spellStart"/>
      <w:r>
        <w:rPr>
          <w:lang w:val="lt-LT"/>
        </w:rPr>
        <w:t>bozentano</w:t>
      </w:r>
      <w:proofErr w:type="spellEnd"/>
      <w:r>
        <w:rPr>
          <w:lang w:val="lt-LT"/>
        </w:rPr>
        <w:t xml:space="preserve"> du kartus per parą kitas 12 savaičių. Po 16 gydymo savaičių, palyginti su pradiniu rodmeniu, fizinis pajėgumas reikšmingai pagerėjo: vidutinis per 6 minutes nueinamas atstumas padidėjo 91,4 metro (vidutinis rodmuo prieš tyrimo pradžią buvo 332,6 metro) (p &lt; 0,001). Formalių išvadų, susijusių su </w:t>
      </w:r>
      <w:proofErr w:type="spellStart"/>
      <w:r>
        <w:rPr>
          <w:lang w:val="lt-LT"/>
        </w:rPr>
        <w:t>bozentano</w:t>
      </w:r>
      <w:proofErr w:type="spellEnd"/>
      <w:r>
        <w:rPr>
          <w:lang w:val="lt-LT"/>
        </w:rPr>
        <w:t xml:space="preserve"> poveikiu gydymo vaistiniais preparatais nuo </w:t>
      </w:r>
      <w:proofErr w:type="spellStart"/>
      <w:r>
        <w:rPr>
          <w:lang w:val="lt-LT"/>
        </w:rPr>
        <w:t>retrovirusų</w:t>
      </w:r>
      <w:proofErr w:type="spellEnd"/>
      <w:r>
        <w:rPr>
          <w:lang w:val="lt-LT"/>
        </w:rPr>
        <w:t xml:space="preserve"> veiksmingumui, padaryti negalima (žr. 4.4 skyrių). </w:t>
      </w:r>
    </w:p>
    <w:p w14:paraId="240EB70B" w14:textId="77777777" w:rsidR="00172C88" w:rsidRDefault="00172C88" w:rsidP="00172C88">
      <w:pPr>
        <w:rPr>
          <w:lang w:val="lt-LT"/>
        </w:rPr>
      </w:pPr>
    </w:p>
    <w:p w14:paraId="6390DD29" w14:textId="77777777" w:rsidR="00172C88" w:rsidRPr="00E32052" w:rsidRDefault="00172C88" w:rsidP="00172C88">
      <w:pPr>
        <w:rPr>
          <w:lang w:val="lt-LT"/>
        </w:rPr>
      </w:pPr>
      <w:r>
        <w:rPr>
          <w:lang w:val="lt-LT"/>
        </w:rPr>
        <w:t xml:space="preserve">Tyrimų, įrodančių teigiamą gydymo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poveikį išgyvenamumui, nėra. Vis dėlto buvo gauti ilgalaikiai duomenys apie išgyvenamumą visų 235 pacientų, kurie buvo gydyti </w:t>
      </w:r>
      <w:proofErr w:type="spellStart"/>
      <w:r>
        <w:rPr>
          <w:lang w:val="lt-LT"/>
        </w:rPr>
        <w:t>bozentanu</w:t>
      </w:r>
      <w:proofErr w:type="spellEnd"/>
      <w:r>
        <w:rPr>
          <w:lang w:val="lt-LT"/>
        </w:rPr>
        <w:t xml:space="preserve"> dviejų pagrindinių placebu kontroliuotų tyrimų (AC-052-351 ir AC-052-352) ir (arba) jų dviejų atvirųjų pratęsimų (be kontrolinių grupių) metu. Vidutinė gydymo </w:t>
      </w:r>
      <w:proofErr w:type="spellStart"/>
      <w:r>
        <w:rPr>
          <w:lang w:val="lt-LT"/>
        </w:rPr>
        <w:t>bozentanu</w:t>
      </w:r>
      <w:proofErr w:type="spellEnd"/>
      <w:r>
        <w:rPr>
          <w:lang w:val="lt-LT"/>
        </w:rPr>
        <w:t xml:space="preserve"> trukmė buvo 1,9 ± 0,7 metų (mažiausia trukmė- 0,1 metų, didžiausia trukmė - 3,3 metų), pacientai vidutiniškai buvo stebimi 2,0 ± 0,6 metų. Daugumai pacientų buvo diagnozuota pirminė </w:t>
      </w:r>
      <w:proofErr w:type="spellStart"/>
      <w:r>
        <w:rPr>
          <w:lang w:val="lt-LT"/>
        </w:rPr>
        <w:t>plautinė</w:t>
      </w:r>
      <w:proofErr w:type="spellEnd"/>
      <w:r>
        <w:rPr>
          <w:lang w:val="lt-LT"/>
        </w:rPr>
        <w:t xml:space="preserve"> hipertenzija (72 %) ir dauguma jų buvo priskirti III PSO funkcinei klasei (84 %). Išgyvenamumo </w:t>
      </w:r>
      <w:proofErr w:type="spellStart"/>
      <w:r>
        <w:rPr>
          <w:i/>
          <w:lang w:val="lt-LT"/>
        </w:rPr>
        <w:t>Kaplan-Meier</w:t>
      </w:r>
      <w:proofErr w:type="spellEnd"/>
      <w:r>
        <w:rPr>
          <w:lang w:val="lt-LT"/>
        </w:rPr>
        <w:t xml:space="preserve"> įvertis po gydymo </w:t>
      </w:r>
      <w:proofErr w:type="spellStart"/>
      <w:r>
        <w:rPr>
          <w:lang w:val="lt-LT"/>
        </w:rPr>
        <w:t>bozentanu</w:t>
      </w:r>
      <w:proofErr w:type="spellEnd"/>
      <w:r>
        <w:rPr>
          <w:lang w:val="lt-LT"/>
        </w:rPr>
        <w:t xml:space="preserve"> pradžios praėjus 1 ir 2 metams šioje bendroje populiacijoje buvo atitinkamai 93 % ir 84 %. Apskaičiuotas išgyvenamumas buvo trumpesnis pacientų, sirgusių sisteminės sklerozės sukelta PAH, popgrupėje. Tokiems apskaičiavimams įtakos galėjo turėti 43 iš 235 pacientų gydymo </w:t>
      </w:r>
      <w:proofErr w:type="spellStart"/>
      <w:r>
        <w:rPr>
          <w:lang w:val="lt-LT"/>
        </w:rPr>
        <w:t>epoprostenoliu</w:t>
      </w:r>
      <w:proofErr w:type="spellEnd"/>
      <w:r>
        <w:rPr>
          <w:lang w:val="lt-LT"/>
        </w:rPr>
        <w:t xml:space="preserve"> pradėjimas.</w:t>
      </w:r>
    </w:p>
    <w:p w14:paraId="478168A0" w14:textId="77777777" w:rsidR="00172C88" w:rsidRDefault="00172C88" w:rsidP="00172C88">
      <w:pPr>
        <w:rPr>
          <w:lang w:val="lt-LT"/>
        </w:rPr>
      </w:pPr>
      <w:r>
        <w:rPr>
          <w:lang w:val="lt-LT"/>
        </w:rPr>
        <w:t xml:space="preserve"> </w:t>
      </w:r>
    </w:p>
    <w:p w14:paraId="4A97B032" w14:textId="77777777" w:rsidR="00172C88" w:rsidRPr="00C54C14" w:rsidRDefault="00172C88" w:rsidP="00172C88">
      <w:pPr>
        <w:rPr>
          <w:lang w:val="pt-PT"/>
        </w:rPr>
      </w:pPr>
      <w:r w:rsidRPr="00DC170F">
        <w:rPr>
          <w:i/>
          <w:lang w:val="lt-LT"/>
        </w:rPr>
        <w:t xml:space="preserve">Tyrimai, atlikti su </w:t>
      </w:r>
      <w:proofErr w:type="spellStart"/>
      <w:r w:rsidRPr="00DC170F">
        <w:rPr>
          <w:i/>
          <w:lang w:val="lt-LT"/>
        </w:rPr>
        <w:t>plautine</w:t>
      </w:r>
      <w:proofErr w:type="spellEnd"/>
      <w:r w:rsidRPr="00DC170F">
        <w:rPr>
          <w:i/>
          <w:lang w:val="lt-LT"/>
        </w:rPr>
        <w:t xml:space="preserve"> arterine hipertenzija sergančiais vaikais</w:t>
      </w:r>
    </w:p>
    <w:p w14:paraId="384F417C" w14:textId="77777777" w:rsidR="00172C88" w:rsidRDefault="00172C88" w:rsidP="00172C88">
      <w:pPr>
        <w:rPr>
          <w:lang w:val="lt-LT"/>
        </w:rPr>
      </w:pPr>
      <w:r>
        <w:rPr>
          <w:lang w:val="lt-LT"/>
        </w:rPr>
        <w:t xml:space="preserve">BREATHE-3 (AC-052-356) </w:t>
      </w:r>
    </w:p>
    <w:p w14:paraId="53900B49" w14:textId="77777777" w:rsidR="00172C88" w:rsidRDefault="00172C88" w:rsidP="00172C88">
      <w:pPr>
        <w:rPr>
          <w:lang w:val="lt-LT"/>
        </w:rPr>
      </w:pPr>
      <w:proofErr w:type="spellStart"/>
      <w:r>
        <w:rPr>
          <w:lang w:val="lt-LT"/>
        </w:rPr>
        <w:t>Bozentano</w:t>
      </w:r>
      <w:proofErr w:type="spellEnd"/>
      <w:r>
        <w:rPr>
          <w:lang w:val="lt-LT"/>
        </w:rPr>
        <w:t xml:space="preserve"> plėvele dengtos tabletės buvo įvertintos atviro nekontroliuojamo klinikinio tyrimo metu 19 pediatrijos pacientams nuo 3 iki 15 metų, sergantiems </w:t>
      </w:r>
      <w:proofErr w:type="spellStart"/>
      <w:r>
        <w:rPr>
          <w:lang w:val="lt-LT"/>
        </w:rPr>
        <w:t>plautine</w:t>
      </w:r>
      <w:proofErr w:type="spellEnd"/>
      <w:r>
        <w:rPr>
          <w:lang w:val="lt-LT"/>
        </w:rPr>
        <w:t xml:space="preserve"> arterine hipertenzija. Šis tyrimas pirmiausia buvo sumodeliuotas kaip farmakokinetikos tyrimas (žr. 5.2 skyrių). Pacientai sirgo pirmine </w:t>
      </w:r>
      <w:proofErr w:type="spellStart"/>
      <w:r>
        <w:rPr>
          <w:lang w:val="lt-LT"/>
        </w:rPr>
        <w:t>plautine</w:t>
      </w:r>
      <w:proofErr w:type="spellEnd"/>
      <w:r>
        <w:rPr>
          <w:lang w:val="lt-LT"/>
        </w:rPr>
        <w:t xml:space="preserve"> hipertenzija (10 pacientų) arba </w:t>
      </w:r>
      <w:proofErr w:type="spellStart"/>
      <w:r>
        <w:rPr>
          <w:lang w:val="lt-LT"/>
        </w:rPr>
        <w:t>plautine</w:t>
      </w:r>
      <w:proofErr w:type="spellEnd"/>
      <w:r>
        <w:rPr>
          <w:lang w:val="lt-LT"/>
        </w:rPr>
        <w:t xml:space="preserve"> hipertenzija, susijusia su įgimtomis širdies ligomis (9 pacientai) ir tyrimo pradžioje jie priklausė II (n = 15 pacientų, 79 %) arba III (n = 4 pacientų, 21 %) PSO funkcinei klasei. Pacientai buvo padalinti į tris dozavimo grupes atsižvelgiant į jų svorį ir 12 savaičių bėgyje jiems buvo skiriama maždaug 2 mg/kg </w:t>
      </w:r>
      <w:proofErr w:type="spellStart"/>
      <w:r>
        <w:rPr>
          <w:lang w:val="lt-LT"/>
        </w:rPr>
        <w:t>bozentano</w:t>
      </w:r>
      <w:proofErr w:type="spellEnd"/>
      <w:r>
        <w:rPr>
          <w:lang w:val="lt-LT"/>
        </w:rPr>
        <w:t xml:space="preserve"> 2 kartus per parą. Pusė pacientų kiekvienoje grupėje jau buvo gydomi </w:t>
      </w:r>
      <w:proofErr w:type="spellStart"/>
      <w:r>
        <w:rPr>
          <w:lang w:val="lt-LT"/>
        </w:rPr>
        <w:t>intraveniškai</w:t>
      </w:r>
      <w:proofErr w:type="spellEnd"/>
      <w:r>
        <w:rPr>
          <w:lang w:val="lt-LT"/>
        </w:rPr>
        <w:t xml:space="preserve"> </w:t>
      </w:r>
      <w:proofErr w:type="spellStart"/>
      <w:r>
        <w:rPr>
          <w:lang w:val="lt-LT"/>
        </w:rPr>
        <w:t>epoprostenoliu</w:t>
      </w:r>
      <w:proofErr w:type="spellEnd"/>
      <w:r>
        <w:rPr>
          <w:lang w:val="lt-LT"/>
        </w:rPr>
        <w:t xml:space="preserve">, ir </w:t>
      </w:r>
      <w:proofErr w:type="spellStart"/>
      <w:r>
        <w:rPr>
          <w:lang w:val="lt-LT"/>
        </w:rPr>
        <w:t>epoprostenolio</w:t>
      </w:r>
      <w:proofErr w:type="spellEnd"/>
      <w:r>
        <w:rPr>
          <w:lang w:val="lt-LT"/>
        </w:rPr>
        <w:t xml:space="preserve"> dozė buvo pastovi tyrimų metu. </w:t>
      </w:r>
    </w:p>
    <w:p w14:paraId="580DD62C" w14:textId="77777777" w:rsidR="00172C88" w:rsidRDefault="00172C88" w:rsidP="00172C88">
      <w:pPr>
        <w:rPr>
          <w:lang w:val="lt-LT"/>
        </w:rPr>
      </w:pPr>
    </w:p>
    <w:p w14:paraId="25DE29FB" w14:textId="77777777" w:rsidR="00172C88" w:rsidRDefault="00172C88" w:rsidP="00172C88">
      <w:pPr>
        <w:rPr>
          <w:lang w:val="lt-LT"/>
        </w:rPr>
      </w:pPr>
      <w:r>
        <w:rPr>
          <w:lang w:val="lt-LT"/>
        </w:rPr>
        <w:t>Hemodinamika buvo išmatuota 17 pacientų. Vidutinis širdies indekso padidėjimas palyginti su tyrimo pradžia buvo 0,5 l/min./m</w:t>
      </w:r>
      <w:r w:rsidRPr="00FA280E">
        <w:rPr>
          <w:vertAlign w:val="superscript"/>
          <w:lang w:val="lt-LT"/>
        </w:rPr>
        <w:t>2</w:t>
      </w:r>
      <w:r>
        <w:rPr>
          <w:lang w:val="lt-LT"/>
        </w:rPr>
        <w:t>, vidutinis plaučių arterijos spaudimo sumažėjimas buvo 8 </w:t>
      </w:r>
      <w:proofErr w:type="spellStart"/>
      <w:r>
        <w:rPr>
          <w:lang w:val="lt-LT"/>
        </w:rPr>
        <w:t>mmHg</w:t>
      </w:r>
      <w:proofErr w:type="spellEnd"/>
      <w:r>
        <w:rPr>
          <w:lang w:val="lt-LT"/>
        </w:rPr>
        <w:t>, o vidutinis PKP buvo 389 </w:t>
      </w:r>
      <w:proofErr w:type="spellStart"/>
      <w:r>
        <w:rPr>
          <w:lang w:val="lt-LT"/>
        </w:rPr>
        <w:t>din·sek</w:t>
      </w:r>
      <w:proofErr w:type="spellEnd"/>
      <w:r>
        <w:rPr>
          <w:lang w:val="lt-LT"/>
        </w:rPr>
        <w:t xml:space="preserve">./cm-5. Šis hemodinamikos pagerėjimas palyginti su tyrimo pradžia buvo panašūs ir kartu vartojant </w:t>
      </w:r>
      <w:proofErr w:type="spellStart"/>
      <w:r>
        <w:rPr>
          <w:lang w:val="lt-LT"/>
        </w:rPr>
        <w:t>epoprostenolį</w:t>
      </w:r>
      <w:proofErr w:type="spellEnd"/>
      <w:r>
        <w:rPr>
          <w:lang w:val="lt-LT"/>
        </w:rPr>
        <w:t xml:space="preserve">, ir be jo. Fizinio krūvio testo parametrų pokyčiai 12 savaitę nuo tyrimo pradžios buvo nepastovūs ir nereikšmingi. </w:t>
      </w:r>
    </w:p>
    <w:p w14:paraId="56FD4D69" w14:textId="77777777" w:rsidR="00172C88" w:rsidRDefault="00172C88" w:rsidP="00172C88">
      <w:pPr>
        <w:rPr>
          <w:lang w:val="lt-LT"/>
        </w:rPr>
      </w:pPr>
    </w:p>
    <w:p w14:paraId="4E8F9D12" w14:textId="77777777" w:rsidR="00172C88" w:rsidRDefault="00172C88" w:rsidP="00172C88">
      <w:pPr>
        <w:rPr>
          <w:lang w:val="lt-LT"/>
        </w:rPr>
      </w:pPr>
      <w:r>
        <w:rPr>
          <w:lang w:val="lt-LT"/>
        </w:rPr>
        <w:t xml:space="preserve">FUTURE 1/2 (AC-052-365/AC-052-367) </w:t>
      </w:r>
    </w:p>
    <w:p w14:paraId="768992E7" w14:textId="69C043A0" w:rsidR="00172C88" w:rsidRDefault="00172C88" w:rsidP="00172C88">
      <w:pPr>
        <w:rPr>
          <w:lang w:val="lt-LT"/>
        </w:rPr>
      </w:pPr>
      <w:r>
        <w:rPr>
          <w:lang w:val="lt-LT"/>
        </w:rPr>
        <w:t xml:space="preserve">FUTURE 1 buvo atviras, nekontroliuojamas tyrimas, kuris buvo atliekamas su </w:t>
      </w:r>
      <w:proofErr w:type="spellStart"/>
      <w:r>
        <w:rPr>
          <w:lang w:val="lt-LT"/>
        </w:rPr>
        <w:t>bozentano</w:t>
      </w:r>
      <w:proofErr w:type="spellEnd"/>
      <w:r>
        <w:rPr>
          <w:lang w:val="lt-LT"/>
        </w:rPr>
        <w:t xml:space="preserve"> disperguojamos tabletės forma, skiriant 4 mg/kg palaikomąją dozę du kartus per parą 36 pacientams nuo 2 iki 11 metų amžiaus. Pradžioje šis tyrimas buvo sumodeliuotas kaip farmakokinetikos tyrimas (žr. 5.2 skyrių). Pradžioje pacientai sirgo idiopatine (31 pacientas [86 %]) arba šeimine (5 pacientai [14 %]) PAH ir buvo II PSO funkcinės klasės (n = 23, 64 %) arba III klasės (n = 13, 36 %). FUTURE 1 tyrime vidutinis gydymo tiriamuoju preparatu laikas buvo 13,1 savaitės (nuo 8,4 iki 21,1). 33 iš šių </w:t>
      </w:r>
      <w:r>
        <w:rPr>
          <w:lang w:val="lt-LT"/>
        </w:rPr>
        <w:lastRenderedPageBreak/>
        <w:t xml:space="preserve">pacientų buvo tęsiamas gydymas </w:t>
      </w:r>
      <w:proofErr w:type="spellStart"/>
      <w:r>
        <w:rPr>
          <w:lang w:val="lt-LT"/>
        </w:rPr>
        <w:t>bozentano</w:t>
      </w:r>
      <w:proofErr w:type="spellEnd"/>
      <w:r>
        <w:rPr>
          <w:lang w:val="lt-LT"/>
        </w:rPr>
        <w:t xml:space="preserve"> disperguojamosiomis tabletėmis 4 mg/kg doze du kartus per parą FUTURE 2 nekontroliuojamoje pratęsimo fazėje, ir vidutinė gydymo trukmė buvo 2,3 metų (nuo: 0,2 iki 5,0 metų). Pradiniame lygyje FUTURE 1 tyrime 9 pacientai vartojo </w:t>
      </w:r>
      <w:proofErr w:type="spellStart"/>
      <w:r>
        <w:rPr>
          <w:lang w:val="lt-LT"/>
        </w:rPr>
        <w:t>epoprostenolį</w:t>
      </w:r>
      <w:proofErr w:type="spellEnd"/>
      <w:r>
        <w:rPr>
          <w:lang w:val="lt-LT"/>
        </w:rPr>
        <w:t xml:space="preserve">. Tyrimo metu 9 pacientams buvo naujai pradėtas PAH specifinis vaistas. </w:t>
      </w:r>
      <w:proofErr w:type="spellStart"/>
      <w:r w:rsidRPr="00DC170F">
        <w:rPr>
          <w:i/>
          <w:lang w:val="lt-LT"/>
        </w:rPr>
        <w:t>Kaplan-Meier</w:t>
      </w:r>
      <w:proofErr w:type="spellEnd"/>
      <w:r>
        <w:rPr>
          <w:lang w:val="lt-LT"/>
        </w:rPr>
        <w:t xml:space="preserve"> PAH pablogėjimo įvykių nebuvimo vertinimo kriterijus (mirtis, plaučių transplantacija ar hospitalizacija dėl PAH pablogėjimo) 2 metais buvo 78,9 %. </w:t>
      </w:r>
      <w:proofErr w:type="spellStart"/>
      <w:r w:rsidRPr="00DC170F">
        <w:rPr>
          <w:i/>
          <w:lang w:val="lt-LT"/>
        </w:rPr>
        <w:t>Kaplan-Meier</w:t>
      </w:r>
      <w:proofErr w:type="spellEnd"/>
      <w:r>
        <w:rPr>
          <w:lang w:val="lt-LT"/>
        </w:rPr>
        <w:t xml:space="preserve"> bendro išgyvenamumo vertinimas 2 metais buvo 91,2 %. </w:t>
      </w:r>
    </w:p>
    <w:p w14:paraId="16D5A02E" w14:textId="77777777" w:rsidR="00172C88" w:rsidRDefault="00172C88" w:rsidP="00172C88">
      <w:pPr>
        <w:rPr>
          <w:lang w:val="lt-LT"/>
        </w:rPr>
      </w:pPr>
    </w:p>
    <w:p w14:paraId="1C6ECCB8" w14:textId="77777777" w:rsidR="00172C88" w:rsidRDefault="00172C88" w:rsidP="00172C88">
      <w:pPr>
        <w:rPr>
          <w:lang w:val="lt-LT"/>
        </w:rPr>
      </w:pPr>
      <w:r>
        <w:rPr>
          <w:lang w:val="lt-LT"/>
        </w:rPr>
        <w:t xml:space="preserve">FUTURE 3 (AC-052-373) </w:t>
      </w:r>
    </w:p>
    <w:p w14:paraId="61B077AC" w14:textId="6E7FF666" w:rsidR="00172C88" w:rsidRDefault="00172C88" w:rsidP="00172C88">
      <w:pPr>
        <w:rPr>
          <w:lang w:val="lt-LT"/>
        </w:rPr>
      </w:pPr>
      <w:r>
        <w:rPr>
          <w:lang w:val="lt-LT"/>
        </w:rPr>
        <w:t xml:space="preserve">Šiame atvirame, atsitiktinių imčių tyrime su </w:t>
      </w:r>
      <w:proofErr w:type="spellStart"/>
      <w:r>
        <w:rPr>
          <w:lang w:val="lt-LT"/>
        </w:rPr>
        <w:t>bozentano</w:t>
      </w:r>
      <w:proofErr w:type="spellEnd"/>
      <w:r>
        <w:rPr>
          <w:lang w:val="lt-LT"/>
        </w:rPr>
        <w:t xml:space="preserve"> 32 mg disperguojamosios tabletės forma, 64 vaikai su stabilia PAH nuo 3 mėnesių iki 11 metų amžiaus buvo </w:t>
      </w:r>
      <w:proofErr w:type="spellStart"/>
      <w:r>
        <w:rPr>
          <w:lang w:val="lt-LT"/>
        </w:rPr>
        <w:t>randomizuoti</w:t>
      </w:r>
      <w:proofErr w:type="spellEnd"/>
      <w:r>
        <w:rPr>
          <w:lang w:val="lt-LT"/>
        </w:rPr>
        <w:t xml:space="preserve"> į 24 savaičių gydymo </w:t>
      </w:r>
      <w:proofErr w:type="spellStart"/>
      <w:r>
        <w:rPr>
          <w:lang w:val="lt-LT"/>
        </w:rPr>
        <w:t>bozentanu</w:t>
      </w:r>
      <w:proofErr w:type="spellEnd"/>
      <w:r>
        <w:rPr>
          <w:lang w:val="lt-LT"/>
        </w:rPr>
        <w:t xml:space="preserve"> 2 mg/kg du kartus per parą (n = 33) arba 2 mg/kg tris kartus per parą (n = 31) grupę. 43 (67,2 %) buvo ≥ 2 metų iki 11 metų amžiaus, 15 (23,4 %) buvo nuo 1 iki 2 metų amžiaus ir 6 (9,4 %) buvo nuo 3 mėnesių iki 1 metų amžiaus. Tyrimas pirmiausia buvo sukurtas kaip farmakokinetikos tyrimas (žr. 5.2 skyrių) ir veiksmingumo vertinimo kriterijai buvo tik žvalgomieji. PAH etiologija pagal </w:t>
      </w:r>
      <w:r w:rsidRPr="00DC170F">
        <w:rPr>
          <w:i/>
          <w:lang w:val="lt-LT"/>
        </w:rPr>
        <w:t xml:space="preserve">Dana </w:t>
      </w:r>
      <w:proofErr w:type="spellStart"/>
      <w:r w:rsidRPr="00DC170F">
        <w:rPr>
          <w:i/>
          <w:lang w:val="lt-LT"/>
        </w:rPr>
        <w:t>Point</w:t>
      </w:r>
      <w:proofErr w:type="spellEnd"/>
      <w:r>
        <w:rPr>
          <w:lang w:val="lt-LT"/>
        </w:rPr>
        <w:t xml:space="preserve"> klasifikaciją apėmė idiopatinę PAH (46 %), paveldimą PAH (3 %), antrinę PAH po korekcinės širdies operacijos (38 %) ir su LŠN susijusi PAH su sisteminiais-plaučių šuntais, įskaitant </w:t>
      </w:r>
      <w:proofErr w:type="spellStart"/>
      <w:r>
        <w:rPr>
          <w:lang w:val="lt-LT"/>
        </w:rPr>
        <w:t>Eizenmengerio</w:t>
      </w:r>
      <w:proofErr w:type="spellEnd"/>
      <w:r>
        <w:rPr>
          <w:lang w:val="lt-LT"/>
        </w:rPr>
        <w:t xml:space="preserve"> sindromą (13 %). Gydymo tiriamuoju vaistiniu preparatu pradžioje pacientai buvo PSO I funkcinės klasės (n = 19, 29 %), II klasės (n = 27, 42 %) arba III klasės (n = 18, 28 %). Įtraukimą į tyrimą metu pacientai buvo gydomi PAH vaistais (dažniausiai tik PDE-5 inhibitoriumi [</w:t>
      </w:r>
      <w:proofErr w:type="spellStart"/>
      <w:r>
        <w:rPr>
          <w:lang w:val="lt-LT"/>
        </w:rPr>
        <w:t>sildenafiliu</w:t>
      </w:r>
      <w:proofErr w:type="spellEnd"/>
      <w:r>
        <w:rPr>
          <w:lang w:val="lt-LT"/>
        </w:rPr>
        <w:t xml:space="preserve">] [35,9 %], tik </w:t>
      </w:r>
      <w:proofErr w:type="spellStart"/>
      <w:r>
        <w:rPr>
          <w:lang w:val="lt-LT"/>
        </w:rPr>
        <w:t>bozentanu</w:t>
      </w:r>
      <w:proofErr w:type="spellEnd"/>
      <w:r>
        <w:rPr>
          <w:lang w:val="lt-LT"/>
        </w:rPr>
        <w:t xml:space="preserve"> [10,9 %] ir </w:t>
      </w:r>
      <w:proofErr w:type="spellStart"/>
      <w:r>
        <w:rPr>
          <w:lang w:val="lt-LT"/>
        </w:rPr>
        <w:t>bozentano</w:t>
      </w:r>
      <w:proofErr w:type="spellEnd"/>
      <w:r>
        <w:rPr>
          <w:lang w:val="lt-LT"/>
        </w:rPr>
        <w:t xml:space="preserve">, </w:t>
      </w:r>
      <w:proofErr w:type="spellStart"/>
      <w:r>
        <w:rPr>
          <w:lang w:val="lt-LT"/>
        </w:rPr>
        <w:t>iloprosto</w:t>
      </w:r>
      <w:proofErr w:type="spellEnd"/>
      <w:r>
        <w:rPr>
          <w:lang w:val="lt-LT"/>
        </w:rPr>
        <w:t xml:space="preserve"> bei </w:t>
      </w:r>
      <w:proofErr w:type="spellStart"/>
      <w:r>
        <w:rPr>
          <w:lang w:val="lt-LT"/>
        </w:rPr>
        <w:t>sildenafilio</w:t>
      </w:r>
      <w:proofErr w:type="spellEnd"/>
      <w:r>
        <w:rPr>
          <w:lang w:val="lt-LT"/>
        </w:rPr>
        <w:t xml:space="preserve"> deriniu – 10,9 %) ir tęsė savo gydymą nuo PAH tyrimo metu. </w:t>
      </w:r>
    </w:p>
    <w:p w14:paraId="49EBF09A" w14:textId="77777777" w:rsidR="00172C88" w:rsidRDefault="00172C88" w:rsidP="00172C88">
      <w:pPr>
        <w:rPr>
          <w:lang w:val="lt-LT"/>
        </w:rPr>
      </w:pPr>
      <w:r>
        <w:rPr>
          <w:lang w:val="lt-LT"/>
        </w:rPr>
        <w:t xml:space="preserve">Tyrimo pradžioje mažiau nei pusė į tyrimą įtrauktų pacientų (45,3 % = 29/64) buvo gydomi tik </w:t>
      </w:r>
      <w:proofErr w:type="spellStart"/>
      <w:r>
        <w:rPr>
          <w:lang w:val="lt-LT"/>
        </w:rPr>
        <w:t>bozentanu</w:t>
      </w:r>
      <w:proofErr w:type="spellEnd"/>
      <w:r>
        <w:rPr>
          <w:lang w:val="lt-LT"/>
        </w:rPr>
        <w:t xml:space="preserve"> nederinant su kitais PAH vaistais. 40,6 % (26/64) toliau vartojo </w:t>
      </w:r>
      <w:proofErr w:type="spellStart"/>
      <w:r>
        <w:rPr>
          <w:lang w:val="lt-LT"/>
        </w:rPr>
        <w:t>bozentano</w:t>
      </w:r>
      <w:proofErr w:type="spellEnd"/>
      <w:r>
        <w:rPr>
          <w:lang w:val="lt-LT"/>
        </w:rPr>
        <w:t xml:space="preserve"> </w:t>
      </w:r>
      <w:proofErr w:type="spellStart"/>
      <w:r>
        <w:rPr>
          <w:lang w:val="lt-LT"/>
        </w:rPr>
        <w:t>monoterapiją</w:t>
      </w:r>
      <w:proofErr w:type="spellEnd"/>
      <w:r>
        <w:rPr>
          <w:lang w:val="lt-LT"/>
        </w:rPr>
        <w:t xml:space="preserve"> 24 savaičių gydymo tiriamuoju vaistiniu preparatu laikotarpiu be PAH pablogėjimo. Bendros į tyrimą įtrauktos populiacijos (64 pacientai) analizė parodė, kad dauguma bent jau liko stabilūs (t. y. be pablogėjimo), remiantis ne vaikų PSO funkcinės klasės vertinimu (97 % du kartus per parą, 100 % tris kartus per parą) bei gydytojo bendru klinikiniu įspūdžiu (94 % du kartus per parą, 93 % tris kartus per parą) gydymo laikotarpiu. </w:t>
      </w:r>
      <w:proofErr w:type="spellStart"/>
      <w:r w:rsidRPr="00DC170F">
        <w:rPr>
          <w:i/>
          <w:lang w:val="lt-LT"/>
        </w:rPr>
        <w:t>Kaplan-Meier</w:t>
      </w:r>
      <w:proofErr w:type="spellEnd"/>
      <w:r>
        <w:rPr>
          <w:lang w:val="lt-LT"/>
        </w:rPr>
        <w:t xml:space="preserve"> PAH pablogėjimo įvykių nebuvimo vertinimo kriterijus (mirtis, plaučių transplantacija ar hospitalizacija dėl PAH pablogėjimo) 24 savaitę buvo 96,9 % ir 96,7 % dviejų kartų per parą ir trijų kartų per parą grupėse, atitinkamai. </w:t>
      </w:r>
    </w:p>
    <w:p w14:paraId="7B7A2C18" w14:textId="77777777" w:rsidR="00172C88" w:rsidRDefault="00172C88" w:rsidP="00172C88">
      <w:pPr>
        <w:rPr>
          <w:lang w:val="lt-LT"/>
        </w:rPr>
      </w:pPr>
      <w:r>
        <w:rPr>
          <w:lang w:val="lt-LT"/>
        </w:rPr>
        <w:t xml:space="preserve">Nebuvo klinikinės naudos įrodymų su 2 mg/kg tris kartus per parą doze, palyginti su 2 mg/kg du kartus per parą doze. </w:t>
      </w:r>
    </w:p>
    <w:p w14:paraId="18FA80FE" w14:textId="77777777" w:rsidR="00172C88" w:rsidRDefault="00172C88" w:rsidP="00172C88">
      <w:pPr>
        <w:rPr>
          <w:i/>
          <w:iCs/>
          <w:lang w:val="lt-LT"/>
        </w:rPr>
      </w:pPr>
    </w:p>
    <w:p w14:paraId="5D3355E1" w14:textId="77777777" w:rsidR="00172C88" w:rsidRPr="00C54C14" w:rsidRDefault="00172C88" w:rsidP="00172C88">
      <w:pPr>
        <w:rPr>
          <w:lang w:val="pt-PT"/>
        </w:rPr>
      </w:pPr>
      <w:r>
        <w:rPr>
          <w:i/>
          <w:iCs/>
          <w:lang w:val="lt-LT"/>
        </w:rPr>
        <w:t xml:space="preserve">Tyrimas, atliktas su naujagimiais, sergančiais naujagimių </w:t>
      </w:r>
      <w:proofErr w:type="spellStart"/>
      <w:r>
        <w:rPr>
          <w:i/>
          <w:iCs/>
          <w:lang w:val="lt-LT"/>
        </w:rPr>
        <w:t>persistuojančia</w:t>
      </w:r>
      <w:proofErr w:type="spellEnd"/>
      <w:r>
        <w:rPr>
          <w:i/>
          <w:iCs/>
          <w:lang w:val="lt-LT"/>
        </w:rPr>
        <w:t xml:space="preserve"> </w:t>
      </w:r>
      <w:proofErr w:type="spellStart"/>
      <w:r>
        <w:rPr>
          <w:i/>
          <w:iCs/>
          <w:lang w:val="lt-LT"/>
        </w:rPr>
        <w:t>plautine</w:t>
      </w:r>
      <w:proofErr w:type="spellEnd"/>
      <w:r>
        <w:rPr>
          <w:i/>
          <w:iCs/>
          <w:lang w:val="lt-LT"/>
        </w:rPr>
        <w:t xml:space="preserve"> hipertenzija (PPHN): </w:t>
      </w:r>
    </w:p>
    <w:p w14:paraId="15728F21" w14:textId="77777777" w:rsidR="00172C88" w:rsidRDefault="00172C88" w:rsidP="00172C88">
      <w:pPr>
        <w:rPr>
          <w:lang w:val="lt-LT"/>
        </w:rPr>
      </w:pPr>
    </w:p>
    <w:p w14:paraId="66E9982A" w14:textId="77777777" w:rsidR="00172C88" w:rsidRDefault="00172C88" w:rsidP="00172C88">
      <w:pPr>
        <w:rPr>
          <w:lang w:val="lt-LT"/>
        </w:rPr>
      </w:pPr>
      <w:r>
        <w:rPr>
          <w:lang w:val="lt-LT"/>
        </w:rPr>
        <w:t xml:space="preserve">FUTURE 4 (AC-052-391) </w:t>
      </w:r>
    </w:p>
    <w:p w14:paraId="2A7F5F6C" w14:textId="77777777" w:rsidR="00172C88" w:rsidRDefault="00172C88" w:rsidP="00172C88">
      <w:pPr>
        <w:rPr>
          <w:lang w:val="lt-LT"/>
        </w:rPr>
      </w:pPr>
      <w:r>
        <w:rPr>
          <w:lang w:val="lt-LT"/>
        </w:rPr>
        <w:t xml:space="preserve">Tai buvo dvigubai koduotas, placebu kontroliuojamas, atsitiktinių imčių tyrimas su neišnešiotais ir išnešiotais naujagimiais (36–42 savaičių nėštumo amžius), sergančiais PPHN. Pacientai su </w:t>
      </w:r>
      <w:proofErr w:type="spellStart"/>
      <w:r>
        <w:rPr>
          <w:lang w:val="lt-LT"/>
        </w:rPr>
        <w:t>suboptimaliu</w:t>
      </w:r>
      <w:proofErr w:type="spellEnd"/>
      <w:r>
        <w:rPr>
          <w:lang w:val="lt-LT"/>
        </w:rPr>
        <w:t xml:space="preserve"> atsaku į </w:t>
      </w:r>
      <w:proofErr w:type="spellStart"/>
      <w:r>
        <w:rPr>
          <w:lang w:val="lt-LT"/>
        </w:rPr>
        <w:t>inhaliuojamą</w:t>
      </w:r>
      <w:proofErr w:type="spellEnd"/>
      <w:r>
        <w:rPr>
          <w:lang w:val="lt-LT"/>
        </w:rPr>
        <w:t xml:space="preserve"> azoto oksidą (</w:t>
      </w:r>
      <w:proofErr w:type="spellStart"/>
      <w:r>
        <w:rPr>
          <w:lang w:val="lt-LT"/>
        </w:rPr>
        <w:t>iNO</w:t>
      </w:r>
      <w:proofErr w:type="spellEnd"/>
      <w:r>
        <w:rPr>
          <w:lang w:val="lt-LT"/>
        </w:rPr>
        <w:t xml:space="preserve">) nepaisant mažiausiai 4 valandų nuolatinį gydymą buvo gydomi </w:t>
      </w:r>
      <w:proofErr w:type="spellStart"/>
      <w:r>
        <w:rPr>
          <w:lang w:val="lt-LT"/>
        </w:rPr>
        <w:t>bozentano</w:t>
      </w:r>
      <w:proofErr w:type="spellEnd"/>
      <w:r>
        <w:rPr>
          <w:lang w:val="lt-LT"/>
        </w:rPr>
        <w:t xml:space="preserve"> disperguojamosiomis tabletėmis 2 mg/kg du kartus per parą (N = 13) arba placebu (N = 8) per </w:t>
      </w:r>
      <w:proofErr w:type="spellStart"/>
      <w:r>
        <w:rPr>
          <w:lang w:val="lt-LT"/>
        </w:rPr>
        <w:t>nazogastrinį</w:t>
      </w:r>
      <w:proofErr w:type="spellEnd"/>
      <w:r>
        <w:rPr>
          <w:lang w:val="lt-LT"/>
        </w:rPr>
        <w:t xml:space="preserve"> vamzdelį kaip papildomas </w:t>
      </w:r>
      <w:proofErr w:type="spellStart"/>
      <w:r>
        <w:rPr>
          <w:lang w:val="lt-LT"/>
        </w:rPr>
        <w:t>iNO</w:t>
      </w:r>
      <w:proofErr w:type="spellEnd"/>
      <w:r>
        <w:rPr>
          <w:lang w:val="lt-LT"/>
        </w:rPr>
        <w:t xml:space="preserve"> gydymas arba iki gydymo nesėkmės (apibūdinama kaip </w:t>
      </w:r>
      <w:proofErr w:type="spellStart"/>
      <w:r>
        <w:rPr>
          <w:lang w:val="lt-LT"/>
        </w:rPr>
        <w:t>ekstrakorporinės</w:t>
      </w:r>
      <w:proofErr w:type="spellEnd"/>
      <w:r>
        <w:rPr>
          <w:lang w:val="lt-LT"/>
        </w:rPr>
        <w:t xml:space="preserve"> membraninės </w:t>
      </w:r>
      <w:proofErr w:type="spellStart"/>
      <w:r>
        <w:rPr>
          <w:lang w:val="lt-LT"/>
        </w:rPr>
        <w:t>oksigenacijos</w:t>
      </w:r>
      <w:proofErr w:type="spellEnd"/>
      <w:r>
        <w:rPr>
          <w:lang w:val="lt-LT"/>
        </w:rPr>
        <w:t xml:space="preserve"> [ECMO] arba alternatyvių plaučių </w:t>
      </w:r>
      <w:proofErr w:type="spellStart"/>
      <w:r>
        <w:rPr>
          <w:lang w:val="lt-LT"/>
        </w:rPr>
        <w:t>vazodilatatorių</w:t>
      </w:r>
      <w:proofErr w:type="spellEnd"/>
      <w:r>
        <w:rPr>
          <w:lang w:val="lt-LT"/>
        </w:rPr>
        <w:t xml:space="preserve"> inhaliacijos poreikis) daugiausia 14 dienų.  </w:t>
      </w:r>
    </w:p>
    <w:p w14:paraId="737C75BE" w14:textId="77777777" w:rsidR="00172C88" w:rsidRDefault="00172C88" w:rsidP="00172C88">
      <w:pPr>
        <w:rPr>
          <w:lang w:val="lt-LT"/>
        </w:rPr>
      </w:pPr>
    </w:p>
    <w:p w14:paraId="08BDED1E" w14:textId="77777777" w:rsidR="00172C88" w:rsidRDefault="00172C88" w:rsidP="00172C88">
      <w:pPr>
        <w:rPr>
          <w:lang w:val="lt-LT"/>
        </w:rPr>
      </w:pPr>
      <w:r>
        <w:rPr>
          <w:lang w:val="lt-LT"/>
        </w:rPr>
        <w:t xml:space="preserve">Vidutinė gydymo tiriamuoju vaistiniu preparatu trukmė buvo 4,5 (nuo 0,5 iki 10,0) dienos </w:t>
      </w:r>
      <w:proofErr w:type="spellStart"/>
      <w:r>
        <w:rPr>
          <w:lang w:val="lt-LT"/>
        </w:rPr>
        <w:t>bozentano</w:t>
      </w:r>
      <w:proofErr w:type="spellEnd"/>
      <w:r>
        <w:rPr>
          <w:lang w:val="lt-LT"/>
        </w:rPr>
        <w:t xml:space="preserve"> grupėje ir 4,0 (nuo 2,5 iki 6,5) dienos placebo grupėje. </w:t>
      </w:r>
    </w:p>
    <w:p w14:paraId="793E4B5F" w14:textId="77777777" w:rsidR="00172C88" w:rsidRDefault="00172C88" w:rsidP="00172C88">
      <w:pPr>
        <w:rPr>
          <w:lang w:val="lt-LT"/>
        </w:rPr>
      </w:pPr>
      <w:r>
        <w:rPr>
          <w:lang w:val="lt-LT"/>
        </w:rPr>
        <w:t xml:space="preserve">Rezultatai nerodo papildomos </w:t>
      </w:r>
      <w:proofErr w:type="spellStart"/>
      <w:r>
        <w:rPr>
          <w:lang w:val="lt-LT"/>
        </w:rPr>
        <w:t>bozentano</w:t>
      </w:r>
      <w:proofErr w:type="spellEnd"/>
      <w:r>
        <w:rPr>
          <w:lang w:val="lt-LT"/>
        </w:rPr>
        <w:t xml:space="preserve"> naudos šioje populiacijoje: </w:t>
      </w:r>
    </w:p>
    <w:p w14:paraId="65DE738B" w14:textId="77777777" w:rsidR="00172C88" w:rsidRDefault="00172C88" w:rsidP="00172C88">
      <w:pPr>
        <w:rPr>
          <w:lang w:val="lt-LT"/>
        </w:rPr>
      </w:pPr>
      <w:r>
        <w:rPr>
          <w:lang w:val="lt-LT"/>
        </w:rPr>
        <w:t xml:space="preserve">• Vidutinis nujunkymo nuo </w:t>
      </w:r>
      <w:proofErr w:type="spellStart"/>
      <w:r>
        <w:rPr>
          <w:lang w:val="lt-LT"/>
        </w:rPr>
        <w:t>iNO</w:t>
      </w:r>
      <w:proofErr w:type="spellEnd"/>
      <w:r>
        <w:rPr>
          <w:lang w:val="lt-LT"/>
        </w:rPr>
        <w:t xml:space="preserve"> laikas buvo 3,7 dienos (95 % PL 1,17, 6,95) </w:t>
      </w:r>
      <w:proofErr w:type="spellStart"/>
      <w:r>
        <w:rPr>
          <w:lang w:val="lt-LT"/>
        </w:rPr>
        <w:t>bozentano</w:t>
      </w:r>
      <w:proofErr w:type="spellEnd"/>
      <w:r>
        <w:rPr>
          <w:lang w:val="lt-LT"/>
        </w:rPr>
        <w:t xml:space="preserve"> grupėje ir 2,9 dienos (95 % PL 1,26, 4,23) placebo grupėje (p = 0,34). </w:t>
      </w:r>
    </w:p>
    <w:p w14:paraId="22039B67" w14:textId="77777777" w:rsidR="00172C88" w:rsidRDefault="00172C88" w:rsidP="00172C88">
      <w:pPr>
        <w:rPr>
          <w:lang w:val="lt-LT"/>
        </w:rPr>
      </w:pPr>
      <w:r>
        <w:rPr>
          <w:lang w:val="lt-LT"/>
        </w:rPr>
        <w:t xml:space="preserve">• Vidutinis nujunkymo nuo mechaninės ventiliacijos laikas buvo 10,8 dienos (95 % PL 3,21, 12,21 dienos) </w:t>
      </w:r>
      <w:proofErr w:type="spellStart"/>
      <w:r>
        <w:rPr>
          <w:lang w:val="lt-LT"/>
        </w:rPr>
        <w:t>bozentano</w:t>
      </w:r>
      <w:proofErr w:type="spellEnd"/>
      <w:r>
        <w:rPr>
          <w:lang w:val="lt-LT"/>
        </w:rPr>
        <w:t xml:space="preserve"> grupėje ir 8,6 dienos (95 % PL 3,71, 9,66 dienos) placebo grupėje (p = 0,24). </w:t>
      </w:r>
    </w:p>
    <w:p w14:paraId="7F6D7437" w14:textId="77777777" w:rsidR="00172C88" w:rsidRDefault="00172C88" w:rsidP="00172C88">
      <w:pPr>
        <w:rPr>
          <w:lang w:val="lt-LT"/>
        </w:rPr>
      </w:pPr>
      <w:r>
        <w:rPr>
          <w:lang w:val="lt-LT"/>
        </w:rPr>
        <w:t xml:space="preserve">• Vienam pacientui </w:t>
      </w:r>
      <w:proofErr w:type="spellStart"/>
      <w:r>
        <w:rPr>
          <w:lang w:val="lt-LT"/>
        </w:rPr>
        <w:t>bozentano</w:t>
      </w:r>
      <w:proofErr w:type="spellEnd"/>
      <w:r>
        <w:rPr>
          <w:lang w:val="lt-LT"/>
        </w:rPr>
        <w:t xml:space="preserve"> grupėje gydymas buvo nesėkmingas (ECMO poreikis pagal protokolo apibūdinimą), kuris, buvo deklaruojama, pagrįstas </w:t>
      </w:r>
      <w:proofErr w:type="spellStart"/>
      <w:r>
        <w:rPr>
          <w:lang w:val="lt-LT"/>
        </w:rPr>
        <w:t>oksigenacijos</w:t>
      </w:r>
      <w:proofErr w:type="spellEnd"/>
      <w:r>
        <w:rPr>
          <w:lang w:val="lt-LT"/>
        </w:rPr>
        <w:t xml:space="preserve"> indekso reikšmių padidėjimu per </w:t>
      </w:r>
      <w:r>
        <w:rPr>
          <w:lang w:val="lt-LT"/>
        </w:rPr>
        <w:lastRenderedPageBreak/>
        <w:t xml:space="preserve">8 valandas po pirmosios tiriamojo vaistinio preparato dozės. Šis pacientas pasveiko per 60 dienų stebėjimo laikotarpį. </w:t>
      </w:r>
    </w:p>
    <w:p w14:paraId="25104BDB" w14:textId="77777777" w:rsidR="00172C88" w:rsidRDefault="00172C88" w:rsidP="00172C88">
      <w:pPr>
        <w:rPr>
          <w:lang w:val="lt-LT"/>
        </w:rPr>
      </w:pPr>
    </w:p>
    <w:p w14:paraId="7D3ADD5B" w14:textId="77777777" w:rsidR="00172C88" w:rsidRPr="00C54C14" w:rsidRDefault="00172C88" w:rsidP="00172C88">
      <w:pPr>
        <w:rPr>
          <w:lang w:val="lt-LT"/>
        </w:rPr>
      </w:pPr>
      <w:r w:rsidRPr="00DC170F">
        <w:rPr>
          <w:i/>
          <w:lang w:val="lt-LT"/>
        </w:rPr>
        <w:t xml:space="preserve">Derinys su </w:t>
      </w:r>
      <w:proofErr w:type="spellStart"/>
      <w:r w:rsidRPr="00DC170F">
        <w:rPr>
          <w:i/>
          <w:lang w:val="lt-LT"/>
        </w:rPr>
        <w:t>epoprostenoliu</w:t>
      </w:r>
      <w:proofErr w:type="spellEnd"/>
      <w:r w:rsidRPr="00DC170F">
        <w:rPr>
          <w:i/>
          <w:lang w:val="lt-LT"/>
        </w:rPr>
        <w:t xml:space="preserve"> </w:t>
      </w:r>
    </w:p>
    <w:p w14:paraId="564AF33A" w14:textId="77777777" w:rsidR="00172C88" w:rsidRDefault="00172C88" w:rsidP="00172C88">
      <w:pPr>
        <w:rPr>
          <w:lang w:val="lt-LT"/>
        </w:rPr>
      </w:pPr>
      <w:proofErr w:type="spellStart"/>
      <w:r>
        <w:rPr>
          <w:lang w:val="lt-LT"/>
        </w:rPr>
        <w:t>Bozentano</w:t>
      </w:r>
      <w:proofErr w:type="spellEnd"/>
      <w:r>
        <w:rPr>
          <w:lang w:val="lt-LT"/>
        </w:rPr>
        <w:t xml:space="preserve"> ir </w:t>
      </w:r>
      <w:proofErr w:type="spellStart"/>
      <w:r>
        <w:rPr>
          <w:lang w:val="lt-LT"/>
        </w:rPr>
        <w:t>epoprostenolio</w:t>
      </w:r>
      <w:proofErr w:type="spellEnd"/>
      <w:r>
        <w:rPr>
          <w:lang w:val="lt-LT"/>
        </w:rPr>
        <w:t xml:space="preserve"> derinys buvo analizuojamas dviejų tyrimų metu: AC-052-355 (BREATHE-2) ir AC-052-356 (BREATHE-3). AC-052-355 buvo </w:t>
      </w:r>
      <w:proofErr w:type="spellStart"/>
      <w:r>
        <w:rPr>
          <w:lang w:val="lt-LT"/>
        </w:rPr>
        <w:t>daugiacentris</w:t>
      </w:r>
      <w:proofErr w:type="spellEnd"/>
      <w:r>
        <w:rPr>
          <w:lang w:val="lt-LT"/>
        </w:rPr>
        <w:t xml:space="preserve">, atsitiktinių imčių, dvigubai koduotas paralelinių grupių </w:t>
      </w:r>
      <w:proofErr w:type="spellStart"/>
      <w:r>
        <w:rPr>
          <w:lang w:val="lt-LT"/>
        </w:rPr>
        <w:t>bozentano</w:t>
      </w:r>
      <w:proofErr w:type="spellEnd"/>
      <w:r>
        <w:rPr>
          <w:lang w:val="lt-LT"/>
        </w:rPr>
        <w:t xml:space="preserve"> ir placebo poveikio palyginimo tyrimas, kuriame dalyvavo 33 sunkia </w:t>
      </w:r>
      <w:proofErr w:type="spellStart"/>
      <w:r>
        <w:rPr>
          <w:lang w:val="lt-LT"/>
        </w:rPr>
        <w:t>plautine</w:t>
      </w:r>
      <w:proofErr w:type="spellEnd"/>
      <w:r>
        <w:rPr>
          <w:lang w:val="lt-LT"/>
        </w:rPr>
        <w:t xml:space="preserve"> arterine hipertenzija sirgę pacientai, kartu gydomi </w:t>
      </w:r>
      <w:proofErr w:type="spellStart"/>
      <w:r>
        <w:rPr>
          <w:lang w:val="lt-LT"/>
        </w:rPr>
        <w:t>epoprostenoliu</w:t>
      </w:r>
      <w:proofErr w:type="spellEnd"/>
      <w:r>
        <w:rPr>
          <w:lang w:val="lt-LT"/>
        </w:rPr>
        <w:t xml:space="preserve">. AC-052-356 buvo atviras, nekontroliuojamas klinikinis tyrimas; 10 iš 19 pediatrinių pacientų 12 savaičių tyrimo laikotarpiu vienu metu buvo gydomi ir </w:t>
      </w:r>
      <w:proofErr w:type="spellStart"/>
      <w:r>
        <w:rPr>
          <w:lang w:val="lt-LT"/>
        </w:rPr>
        <w:t>bozentanu</w:t>
      </w:r>
      <w:proofErr w:type="spellEnd"/>
      <w:r>
        <w:rPr>
          <w:lang w:val="lt-LT"/>
        </w:rPr>
        <w:t xml:space="preserve">, ir </w:t>
      </w:r>
      <w:proofErr w:type="spellStart"/>
      <w:r>
        <w:rPr>
          <w:lang w:val="lt-LT"/>
        </w:rPr>
        <w:t>epoprostenoliu</w:t>
      </w:r>
      <w:proofErr w:type="spellEnd"/>
      <w:r>
        <w:rPr>
          <w:lang w:val="lt-LT"/>
        </w:rPr>
        <w:t>. Šio derinio saugumo savybės nesiskyrė nuo savybių, tikėtinų kiekvienos veikliosios medžiagos vartojant atskirai, o kombinuotąjį gydymą gerai toleravo ir vaikai, ir suaugusieji. Šio derinio klinikinė nauda nebuvo nustatyta.</w:t>
      </w:r>
    </w:p>
    <w:p w14:paraId="1461EBFD" w14:textId="77777777" w:rsidR="00172C88" w:rsidRDefault="00172C88" w:rsidP="00172C88">
      <w:pPr>
        <w:rPr>
          <w:lang w:val="lt-LT"/>
        </w:rPr>
      </w:pPr>
    </w:p>
    <w:p w14:paraId="0BA6FC51" w14:textId="77777777" w:rsidR="00172C88" w:rsidRPr="005C16FB" w:rsidRDefault="00172C88" w:rsidP="00172C88">
      <w:pPr>
        <w:rPr>
          <w:lang w:val="lt-LT"/>
        </w:rPr>
      </w:pPr>
      <w:r w:rsidRPr="005C16FB">
        <w:rPr>
          <w:i/>
          <w:iCs/>
          <w:lang w:val="lt-LT"/>
        </w:rPr>
        <w:t xml:space="preserve">Sisteminė sklerozė su progresuojančia pirštų opalige </w:t>
      </w:r>
    </w:p>
    <w:p w14:paraId="202A53C5" w14:textId="77777777" w:rsidR="00172C88" w:rsidRPr="005C16FB" w:rsidRDefault="00172C88" w:rsidP="00172C88">
      <w:pPr>
        <w:rPr>
          <w:lang w:val="lt-LT"/>
        </w:rPr>
      </w:pPr>
      <w:r w:rsidRPr="005C16FB">
        <w:rPr>
          <w:lang w:val="lt-LT"/>
        </w:rPr>
        <w:t xml:space="preserve">Dviejuose atsitiktinių imčių, dvigubai koduotuose, </w:t>
      </w:r>
      <w:proofErr w:type="spellStart"/>
      <w:r w:rsidRPr="005C16FB">
        <w:rPr>
          <w:lang w:val="lt-LT"/>
        </w:rPr>
        <w:t>daugiacentriuose</w:t>
      </w:r>
      <w:proofErr w:type="spellEnd"/>
      <w:r w:rsidRPr="005C16FB">
        <w:rPr>
          <w:lang w:val="lt-LT"/>
        </w:rPr>
        <w:t>, placebu kontroliuotuose klinikiniuose tyrimuose, kuriuose dalyvavo 122 (tyrimas AC-052-401 [RAPIDS-1]) ir 190 (tyrimas AC-052-331 [RAPIDS-2]) suaugusių pacientų, sergančių sistemine skleroze ir pirštų opalige (progresuojančia pirštų opalige arba jeigu pirštų opaligė buvo pasireiškusi per ankstesnius metus). Tyrime AC-052-331 dalyvavo pacientai, kuriems neseniai pirštų opaligė buvo pasireiškusi bent vieną kartą, o abiejuose tyrimuose 85</w:t>
      </w:r>
      <w:r>
        <w:rPr>
          <w:lang w:val="lt-LT"/>
        </w:rPr>
        <w:t> %</w:t>
      </w:r>
      <w:r w:rsidRPr="005C16FB">
        <w:rPr>
          <w:lang w:val="lt-LT"/>
        </w:rPr>
        <w:t xml:space="preserve"> pacientų progresuojančia pirštų opalige sirgo tyrimų pradžioje. Po 4</w:t>
      </w:r>
      <w:r>
        <w:rPr>
          <w:lang w:val="lt-LT"/>
        </w:rPr>
        <w:t> </w:t>
      </w:r>
      <w:r w:rsidRPr="005C16FB">
        <w:rPr>
          <w:lang w:val="lt-LT"/>
        </w:rPr>
        <w:t>savaičių gydymo 62,5</w:t>
      </w:r>
      <w:r>
        <w:rPr>
          <w:lang w:val="lt-LT"/>
        </w:rPr>
        <w:t> mg</w:t>
      </w:r>
      <w:r w:rsidRPr="005C16FB">
        <w:rPr>
          <w:lang w:val="lt-LT"/>
        </w:rPr>
        <w:t xml:space="preserve"> </w:t>
      </w:r>
      <w:proofErr w:type="spellStart"/>
      <w:r w:rsidRPr="005C16FB">
        <w:rPr>
          <w:lang w:val="lt-LT"/>
        </w:rPr>
        <w:t>bozentano</w:t>
      </w:r>
      <w:proofErr w:type="spellEnd"/>
      <w:r w:rsidRPr="005C16FB">
        <w:rPr>
          <w:lang w:val="lt-LT"/>
        </w:rPr>
        <w:t xml:space="preserve"> doze dukart per parą šiuose abiejuose tyrimuose buvo tiriama 125</w:t>
      </w:r>
      <w:r>
        <w:rPr>
          <w:lang w:val="lt-LT"/>
        </w:rPr>
        <w:t> mg</w:t>
      </w:r>
      <w:r w:rsidRPr="005C16FB">
        <w:rPr>
          <w:lang w:val="lt-LT"/>
        </w:rPr>
        <w:t xml:space="preserve"> palaikomoji dozė, suvartojama per parą per du kartus. Gydymas dvigubai koduotu būdu truko 16 savaičių tyrime AC-052-401 ir 24 savaites tyrime AC-052-331. </w:t>
      </w:r>
    </w:p>
    <w:p w14:paraId="12DC63B7" w14:textId="77777777" w:rsidR="00172C88" w:rsidRPr="005C16FB" w:rsidRDefault="00172C88" w:rsidP="00172C88">
      <w:pPr>
        <w:rPr>
          <w:lang w:val="lt-LT"/>
        </w:rPr>
      </w:pPr>
      <w:r w:rsidRPr="005C16FB">
        <w:rPr>
          <w:lang w:val="lt-LT"/>
        </w:rPr>
        <w:t xml:space="preserve">Papildomai gydyti sisteminę sklerozę ir pirštų opas buvo leidžiama, jei nuolatinis gydymas truko ne mažiau kaip 1 mėnesį prieš gydymą tiriamuoju vaistu ir dvigubai koduotų tyrimų metu. </w:t>
      </w:r>
    </w:p>
    <w:p w14:paraId="2BEA3155" w14:textId="77777777" w:rsidR="00172C88" w:rsidRDefault="00172C88" w:rsidP="00172C88">
      <w:pPr>
        <w:rPr>
          <w:lang w:val="lt-LT"/>
        </w:rPr>
      </w:pPr>
    </w:p>
    <w:p w14:paraId="52735927" w14:textId="77777777" w:rsidR="00172C88" w:rsidRPr="005C16FB" w:rsidRDefault="00172C88" w:rsidP="00172C88">
      <w:pPr>
        <w:rPr>
          <w:lang w:val="lt-LT"/>
        </w:rPr>
      </w:pPr>
      <w:r w:rsidRPr="005C16FB">
        <w:rPr>
          <w:lang w:val="lt-LT"/>
        </w:rPr>
        <w:t xml:space="preserve">Pirminis vertinimo kriterijus abiejuose tyrimuose buvo naujų pirštų opų, atsivėrusių nuo tyrimų pradžios, skaičius. </w:t>
      </w:r>
      <w:proofErr w:type="spellStart"/>
      <w:r w:rsidRPr="005C16FB">
        <w:rPr>
          <w:lang w:val="lt-LT"/>
        </w:rPr>
        <w:t>Bozentanu</w:t>
      </w:r>
      <w:proofErr w:type="spellEnd"/>
      <w:r w:rsidRPr="005C16FB">
        <w:rPr>
          <w:lang w:val="lt-LT"/>
        </w:rPr>
        <w:t xml:space="preserve"> gydomiems pacientams terapijos metu atsivėrė mažiau naujų pirštų opų nei placebą vartojusiems ligoniams. Tyrime AC-052-401 per 16</w:t>
      </w:r>
      <w:r>
        <w:rPr>
          <w:lang w:val="lt-LT"/>
        </w:rPr>
        <w:t> </w:t>
      </w:r>
      <w:r w:rsidRPr="005C16FB">
        <w:rPr>
          <w:lang w:val="lt-LT"/>
        </w:rPr>
        <w:t xml:space="preserve">gydymo savaičių dvigubai koduotu būdu </w:t>
      </w:r>
      <w:proofErr w:type="spellStart"/>
      <w:r w:rsidRPr="005C16FB">
        <w:rPr>
          <w:lang w:val="lt-LT"/>
        </w:rPr>
        <w:t>bozentano</w:t>
      </w:r>
      <w:proofErr w:type="spellEnd"/>
      <w:r w:rsidRPr="005C16FB">
        <w:rPr>
          <w:lang w:val="lt-LT"/>
        </w:rPr>
        <w:t xml:space="preserve"> grupės pacientams išsivystė vidutiniškai 1,4 naujos pirštų opos, palyginti su 2,7 naujos pirštų opos placebo grupėje (p = 0,0042). Tyrime AC-052-331 per 24</w:t>
      </w:r>
      <w:r>
        <w:rPr>
          <w:lang w:val="lt-LT"/>
        </w:rPr>
        <w:t> </w:t>
      </w:r>
      <w:r w:rsidRPr="005C16FB">
        <w:rPr>
          <w:lang w:val="lt-LT"/>
        </w:rPr>
        <w:t xml:space="preserve">gydymo savaites dvigubai koduotu būdu naujų opų kiekis buvo atitinkamai 1,9 ir 2,7 (p = 0,0351). Abiejuose tyrimuose </w:t>
      </w:r>
      <w:proofErr w:type="spellStart"/>
      <w:r w:rsidRPr="005C16FB">
        <w:rPr>
          <w:lang w:val="lt-LT"/>
        </w:rPr>
        <w:t>bozentaną</w:t>
      </w:r>
      <w:proofErr w:type="spellEnd"/>
      <w:r w:rsidRPr="005C16FB">
        <w:rPr>
          <w:lang w:val="lt-LT"/>
        </w:rPr>
        <w:t xml:space="preserve"> vartojusiems pacientams gydymo metu išsivystė mažiau naujų </w:t>
      </w:r>
      <w:proofErr w:type="spellStart"/>
      <w:r w:rsidRPr="005C16FB">
        <w:rPr>
          <w:lang w:val="lt-LT"/>
        </w:rPr>
        <w:t>daugiažidininių</w:t>
      </w:r>
      <w:proofErr w:type="spellEnd"/>
      <w:r w:rsidRPr="005C16FB">
        <w:rPr>
          <w:lang w:val="lt-LT"/>
        </w:rPr>
        <w:t xml:space="preserve"> pirštų opų ir laikotarpis tarp naujų pirštų opų išsivystymo buvo ilgesnis nei placebo grupėje. </w:t>
      </w:r>
      <w:proofErr w:type="spellStart"/>
      <w:r w:rsidRPr="005C16FB">
        <w:rPr>
          <w:lang w:val="lt-LT"/>
        </w:rPr>
        <w:t>Bozentano</w:t>
      </w:r>
      <w:proofErr w:type="spellEnd"/>
      <w:r w:rsidRPr="005C16FB">
        <w:rPr>
          <w:lang w:val="lt-LT"/>
        </w:rPr>
        <w:t xml:space="preserve"> naujų pirštų opų atsivėrimo mažinimo poveikis stipriau pasireiškė pacientams, turintiems </w:t>
      </w:r>
      <w:proofErr w:type="spellStart"/>
      <w:r w:rsidRPr="005C16FB">
        <w:rPr>
          <w:lang w:val="lt-LT"/>
        </w:rPr>
        <w:t>daugiažidininių</w:t>
      </w:r>
      <w:proofErr w:type="spellEnd"/>
      <w:r w:rsidRPr="005C16FB">
        <w:rPr>
          <w:lang w:val="lt-LT"/>
        </w:rPr>
        <w:t xml:space="preserve"> pirštų opų. </w:t>
      </w:r>
    </w:p>
    <w:p w14:paraId="2E300DC0" w14:textId="77777777" w:rsidR="00172C88" w:rsidRDefault="00172C88" w:rsidP="00172C88">
      <w:pPr>
        <w:rPr>
          <w:lang w:val="lt-LT"/>
        </w:rPr>
      </w:pPr>
      <w:r w:rsidRPr="005C16FB">
        <w:rPr>
          <w:lang w:val="lt-LT"/>
        </w:rPr>
        <w:t xml:space="preserve">Abiejuose tyrimuose nebuvo stebimas ilgalaikis </w:t>
      </w:r>
      <w:proofErr w:type="spellStart"/>
      <w:r w:rsidRPr="005C16FB">
        <w:rPr>
          <w:lang w:val="lt-LT"/>
        </w:rPr>
        <w:t>bozentano</w:t>
      </w:r>
      <w:proofErr w:type="spellEnd"/>
      <w:r w:rsidRPr="005C16FB">
        <w:rPr>
          <w:lang w:val="lt-LT"/>
        </w:rPr>
        <w:t xml:space="preserve"> poveikis pirštų opų gijimui.</w:t>
      </w:r>
    </w:p>
    <w:p w14:paraId="17F5C19B" w14:textId="77777777" w:rsidR="00172C88" w:rsidRDefault="00172C88" w:rsidP="00172C88">
      <w:pPr>
        <w:rPr>
          <w:lang w:val="lt-LT"/>
        </w:rPr>
      </w:pPr>
    </w:p>
    <w:p w14:paraId="4A1120E3"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r>
      <w:proofErr w:type="spellStart"/>
      <w:r>
        <w:rPr>
          <w:rFonts w:ascii="Times New Roman" w:hAnsi="Times New Roman"/>
          <w:sz w:val="22"/>
          <w:lang w:val="lt-LT"/>
        </w:rPr>
        <w:t>Farmakokinetinės</w:t>
      </w:r>
      <w:proofErr w:type="spellEnd"/>
      <w:r>
        <w:rPr>
          <w:rFonts w:ascii="Times New Roman" w:hAnsi="Times New Roman"/>
          <w:sz w:val="22"/>
          <w:lang w:val="lt-LT"/>
        </w:rPr>
        <w:t xml:space="preserve"> savybės</w:t>
      </w:r>
    </w:p>
    <w:p w14:paraId="0E278C8B" w14:textId="77777777" w:rsidR="00172C88" w:rsidRDefault="00172C88" w:rsidP="00172C88">
      <w:pPr>
        <w:tabs>
          <w:tab w:val="clear" w:pos="567"/>
        </w:tabs>
        <w:spacing w:line="240" w:lineRule="auto"/>
        <w:rPr>
          <w:szCs w:val="24"/>
          <w:lang w:val="lt-LT"/>
        </w:rPr>
      </w:pPr>
    </w:p>
    <w:p w14:paraId="1E476F70" w14:textId="77777777" w:rsidR="00172C88" w:rsidRDefault="00172C88" w:rsidP="00172C88">
      <w:pPr>
        <w:ind w:right="-142"/>
        <w:rPr>
          <w:lang w:val="lt-LT"/>
        </w:rPr>
      </w:pPr>
      <w:proofErr w:type="spellStart"/>
      <w:r>
        <w:rPr>
          <w:lang w:val="lt-LT"/>
        </w:rPr>
        <w:t>Bozentano</w:t>
      </w:r>
      <w:proofErr w:type="spellEnd"/>
      <w:r>
        <w:rPr>
          <w:lang w:val="lt-LT"/>
        </w:rPr>
        <w:t xml:space="preserve"> farmakokinetika daugiausiai buvo dokumentuojama atlikus tyrimus su sveikais asmenimis. Riboti tiriant pacientus gauti duomenys rodo, kad </w:t>
      </w:r>
      <w:proofErr w:type="spellStart"/>
      <w:r>
        <w:rPr>
          <w:lang w:val="lt-LT"/>
        </w:rPr>
        <w:t>bozentano</w:t>
      </w:r>
      <w:proofErr w:type="spellEnd"/>
      <w:r>
        <w:rPr>
          <w:lang w:val="lt-LT"/>
        </w:rPr>
        <w:t xml:space="preserve"> ekspozicija </w:t>
      </w:r>
      <w:proofErr w:type="spellStart"/>
      <w:r>
        <w:rPr>
          <w:lang w:val="lt-LT"/>
        </w:rPr>
        <w:t>plautine</w:t>
      </w:r>
      <w:proofErr w:type="spellEnd"/>
      <w:r>
        <w:rPr>
          <w:lang w:val="lt-LT"/>
        </w:rPr>
        <w:t xml:space="preserve"> arterine hipertenzija sergančių suaugusių pacientų organizme yra maždaug 2 kartus didesnė, nei sveikų žmonių organizme. </w:t>
      </w:r>
    </w:p>
    <w:p w14:paraId="358AE558" w14:textId="77777777" w:rsidR="00172C88" w:rsidRDefault="00172C88" w:rsidP="00172C88">
      <w:pPr>
        <w:ind w:right="-142"/>
        <w:rPr>
          <w:lang w:val="lt-LT"/>
        </w:rPr>
      </w:pPr>
      <w:r>
        <w:rPr>
          <w:lang w:val="lt-LT"/>
        </w:rPr>
        <w:t xml:space="preserve"> </w:t>
      </w:r>
    </w:p>
    <w:p w14:paraId="2C8D29A7" w14:textId="77777777" w:rsidR="00172C88" w:rsidRPr="00E32052" w:rsidRDefault="00172C88" w:rsidP="00172C88">
      <w:pPr>
        <w:ind w:right="-142"/>
        <w:rPr>
          <w:lang w:val="lt-LT"/>
        </w:rPr>
      </w:pPr>
      <w:r>
        <w:rPr>
          <w:lang w:val="lt-LT"/>
        </w:rPr>
        <w:t xml:space="preserve">Sveikų asmenų organizme </w:t>
      </w:r>
      <w:proofErr w:type="spellStart"/>
      <w:r>
        <w:rPr>
          <w:lang w:val="lt-LT"/>
        </w:rPr>
        <w:t>bozentano</w:t>
      </w:r>
      <w:proofErr w:type="spellEnd"/>
      <w:r>
        <w:rPr>
          <w:lang w:val="lt-LT"/>
        </w:rPr>
        <w:t xml:space="preserve"> farmakokinetika priklauso nuo dozės ir laiko. Vartojant didesnes į veną leidžiamas dozes ir ilginant gydymo trukmę, klirensas ir pasiskirstymo tūris sumažėja. Vaistinio preparato išgėrus, sisteminė ekspozicija padidėja proporcingai 500 mg dozės pavartojimui. Išgėrus didesnes dozes, </w:t>
      </w:r>
      <w:proofErr w:type="spellStart"/>
      <w:r>
        <w:rPr>
          <w:lang w:val="lt-LT"/>
        </w:rPr>
        <w:t>C</w:t>
      </w:r>
      <w:r>
        <w:rPr>
          <w:vertAlign w:val="subscript"/>
          <w:lang w:val="lt-LT"/>
        </w:rPr>
        <w:t>max</w:t>
      </w:r>
      <w:proofErr w:type="spellEnd"/>
      <w:r>
        <w:rPr>
          <w:lang w:val="lt-LT"/>
        </w:rPr>
        <w:t xml:space="preserve"> ir AUC padidėja mažiau nei proporcingai, atsižvelgiant į suvartotą dozę. </w:t>
      </w:r>
    </w:p>
    <w:p w14:paraId="3E83A67D" w14:textId="77777777" w:rsidR="00172C88" w:rsidRDefault="00172C88" w:rsidP="00172C88">
      <w:pPr>
        <w:ind w:right="-142"/>
        <w:rPr>
          <w:lang w:val="lt-LT"/>
        </w:rPr>
      </w:pPr>
    </w:p>
    <w:p w14:paraId="5B96D370" w14:textId="77777777" w:rsidR="00172C88" w:rsidRDefault="00172C88" w:rsidP="00172C88">
      <w:pPr>
        <w:ind w:right="-142"/>
        <w:rPr>
          <w:iCs/>
          <w:u w:val="single"/>
          <w:lang w:val="lt-LT"/>
        </w:rPr>
      </w:pPr>
      <w:r>
        <w:rPr>
          <w:iCs/>
          <w:u w:val="single"/>
          <w:lang w:val="lt-LT"/>
        </w:rPr>
        <w:t xml:space="preserve">Absorbcija </w:t>
      </w:r>
    </w:p>
    <w:p w14:paraId="443A5B36" w14:textId="77777777" w:rsidR="00172C88" w:rsidRDefault="00172C88" w:rsidP="00172C88">
      <w:pPr>
        <w:ind w:right="-142"/>
        <w:rPr>
          <w:lang w:val="lt-LT"/>
        </w:rPr>
      </w:pPr>
      <w:r>
        <w:rPr>
          <w:lang w:val="lt-LT"/>
        </w:rPr>
        <w:t xml:space="preserve">Sveikiems asmenims absoliutus </w:t>
      </w:r>
      <w:proofErr w:type="spellStart"/>
      <w:r>
        <w:rPr>
          <w:lang w:val="lt-LT"/>
        </w:rPr>
        <w:t>bozentano</w:t>
      </w:r>
      <w:proofErr w:type="spellEnd"/>
      <w:r>
        <w:rPr>
          <w:lang w:val="lt-LT"/>
        </w:rPr>
        <w:t xml:space="preserve"> biologinis prieinamumas yra maždaug 50 %, maistas jam poveikio neturi. Maksimali koncentracija plazmoje pasiekiama per 3–5 valandas. </w:t>
      </w:r>
    </w:p>
    <w:p w14:paraId="0DC9F333" w14:textId="77777777" w:rsidR="00172C88" w:rsidRDefault="00172C88" w:rsidP="00172C88">
      <w:pPr>
        <w:ind w:right="-142"/>
        <w:rPr>
          <w:lang w:val="lt-LT"/>
        </w:rPr>
      </w:pPr>
    </w:p>
    <w:p w14:paraId="17839112" w14:textId="77777777" w:rsidR="00172C88" w:rsidRDefault="00172C88" w:rsidP="00172C88">
      <w:pPr>
        <w:ind w:right="-142"/>
        <w:rPr>
          <w:iCs/>
          <w:u w:val="single"/>
          <w:lang w:val="lt-LT"/>
        </w:rPr>
      </w:pPr>
      <w:r>
        <w:rPr>
          <w:iCs/>
          <w:u w:val="single"/>
          <w:lang w:val="lt-LT"/>
        </w:rPr>
        <w:t>Pasiskirstymas</w:t>
      </w:r>
    </w:p>
    <w:p w14:paraId="2D611317" w14:textId="77777777" w:rsidR="00172C88" w:rsidRDefault="00172C88" w:rsidP="00172C88">
      <w:pPr>
        <w:ind w:right="-142"/>
        <w:rPr>
          <w:lang w:val="lt-LT"/>
        </w:rPr>
      </w:pPr>
      <w:r>
        <w:rPr>
          <w:lang w:val="lt-LT"/>
        </w:rPr>
        <w:lastRenderedPageBreak/>
        <w:t xml:space="preserve">Daug (&gt; 98 %) </w:t>
      </w:r>
      <w:proofErr w:type="spellStart"/>
      <w:r>
        <w:rPr>
          <w:lang w:val="lt-LT"/>
        </w:rPr>
        <w:t>bozentano</w:t>
      </w:r>
      <w:proofErr w:type="spellEnd"/>
      <w:r>
        <w:rPr>
          <w:lang w:val="lt-LT"/>
        </w:rPr>
        <w:t xml:space="preserve"> jungiasi su plazmos baltymais, ypač </w:t>
      </w:r>
      <w:proofErr w:type="spellStart"/>
      <w:r>
        <w:rPr>
          <w:lang w:val="lt-LT"/>
        </w:rPr>
        <w:t>albuminu</w:t>
      </w:r>
      <w:proofErr w:type="spellEnd"/>
      <w:r>
        <w:rPr>
          <w:lang w:val="lt-LT"/>
        </w:rPr>
        <w:t xml:space="preserve">. </w:t>
      </w:r>
      <w:proofErr w:type="spellStart"/>
      <w:r>
        <w:rPr>
          <w:lang w:val="lt-LT"/>
        </w:rPr>
        <w:t>Bozentanas</w:t>
      </w:r>
      <w:proofErr w:type="spellEnd"/>
      <w:r>
        <w:rPr>
          <w:lang w:val="lt-LT"/>
        </w:rPr>
        <w:t xml:space="preserve"> neprasiskverbia į eritrocitus. </w:t>
      </w:r>
    </w:p>
    <w:p w14:paraId="00263200" w14:textId="77777777" w:rsidR="00172C88" w:rsidRDefault="00172C88" w:rsidP="00172C88">
      <w:pPr>
        <w:ind w:right="-142"/>
        <w:rPr>
          <w:lang w:val="lt-LT"/>
        </w:rPr>
      </w:pPr>
    </w:p>
    <w:p w14:paraId="5458D8E7" w14:textId="77777777" w:rsidR="00172C88" w:rsidRPr="00E32052" w:rsidRDefault="00172C88" w:rsidP="00172C88">
      <w:pPr>
        <w:ind w:right="-142"/>
        <w:rPr>
          <w:lang w:val="lt-LT"/>
        </w:rPr>
      </w:pPr>
      <w:r>
        <w:rPr>
          <w:lang w:val="lt-LT"/>
        </w:rPr>
        <w:t>Į veną suleidus 250 mg dozę, pasiskirstymo tūris (</w:t>
      </w:r>
      <w:proofErr w:type="spellStart"/>
      <w:r>
        <w:rPr>
          <w:lang w:val="lt-LT"/>
        </w:rPr>
        <w:t>V</w:t>
      </w:r>
      <w:r>
        <w:rPr>
          <w:vertAlign w:val="subscript"/>
          <w:lang w:val="lt-LT"/>
        </w:rPr>
        <w:t>ss</w:t>
      </w:r>
      <w:proofErr w:type="spellEnd"/>
      <w:r>
        <w:rPr>
          <w:lang w:val="lt-LT"/>
        </w:rPr>
        <w:t>) buvo18 litrų.</w:t>
      </w:r>
    </w:p>
    <w:p w14:paraId="6F860AE1" w14:textId="77777777" w:rsidR="00172C88" w:rsidRDefault="00172C88" w:rsidP="00172C88">
      <w:pPr>
        <w:ind w:right="-142"/>
        <w:rPr>
          <w:lang w:val="lt-LT"/>
        </w:rPr>
      </w:pPr>
    </w:p>
    <w:p w14:paraId="045C56B9" w14:textId="77777777" w:rsidR="00172C88" w:rsidRDefault="00172C88" w:rsidP="00172C88">
      <w:pPr>
        <w:ind w:right="-142"/>
        <w:rPr>
          <w:iCs/>
          <w:u w:val="single"/>
          <w:lang w:val="lt-LT"/>
        </w:rPr>
      </w:pPr>
      <w:proofErr w:type="spellStart"/>
      <w:r>
        <w:rPr>
          <w:iCs/>
          <w:u w:val="single"/>
          <w:lang w:val="lt-LT"/>
        </w:rPr>
        <w:t>Biotransformacija</w:t>
      </w:r>
      <w:proofErr w:type="spellEnd"/>
      <w:r>
        <w:rPr>
          <w:iCs/>
          <w:u w:val="single"/>
          <w:lang w:val="lt-LT"/>
        </w:rPr>
        <w:t xml:space="preserve"> ir eliminacija </w:t>
      </w:r>
    </w:p>
    <w:p w14:paraId="6577A9C8" w14:textId="77777777" w:rsidR="00172C88" w:rsidRPr="00E32052" w:rsidRDefault="00172C88" w:rsidP="00172C88">
      <w:pPr>
        <w:ind w:right="-142"/>
        <w:rPr>
          <w:lang w:val="lt-LT"/>
        </w:rPr>
      </w:pPr>
      <w:r>
        <w:rPr>
          <w:lang w:val="lt-LT"/>
        </w:rPr>
        <w:t>Po vienos 250 mg dozės suleidimo į veną klirensas buvo 8,2</w:t>
      </w:r>
      <w:r w:rsidRPr="00C54C14">
        <w:rPr>
          <w:lang w:val="pt-PT"/>
        </w:rPr>
        <w:t> </w:t>
      </w:r>
      <w:r>
        <w:rPr>
          <w:lang w:val="lt-LT"/>
        </w:rPr>
        <w:t>l/val. Galutinis pusinės eliminacijos laikas (t</w:t>
      </w:r>
      <w:r>
        <w:rPr>
          <w:vertAlign w:val="subscript"/>
          <w:lang w:val="lt-LT"/>
        </w:rPr>
        <w:t>1/2</w:t>
      </w:r>
      <w:r>
        <w:rPr>
          <w:lang w:val="lt-LT"/>
        </w:rPr>
        <w:t xml:space="preserve">) yra 5,4 valandos. </w:t>
      </w:r>
    </w:p>
    <w:p w14:paraId="3AB94ECC" w14:textId="77777777" w:rsidR="00172C88" w:rsidRDefault="00172C88" w:rsidP="00172C88">
      <w:pPr>
        <w:ind w:right="-142"/>
        <w:rPr>
          <w:lang w:val="lt-LT"/>
        </w:rPr>
      </w:pPr>
      <w:r>
        <w:rPr>
          <w:lang w:val="lt-LT"/>
        </w:rPr>
        <w:t xml:space="preserve"> </w:t>
      </w:r>
    </w:p>
    <w:p w14:paraId="7210CC96" w14:textId="77777777" w:rsidR="00172C88" w:rsidRDefault="00172C88" w:rsidP="00172C88">
      <w:pPr>
        <w:ind w:right="-142"/>
        <w:rPr>
          <w:lang w:val="lt-LT"/>
        </w:rPr>
      </w:pPr>
      <w:r>
        <w:rPr>
          <w:lang w:val="lt-LT"/>
        </w:rPr>
        <w:t xml:space="preserve">Vartojant kartotines dozes, </w:t>
      </w:r>
      <w:proofErr w:type="spellStart"/>
      <w:r>
        <w:rPr>
          <w:lang w:val="lt-LT"/>
        </w:rPr>
        <w:t>bozentano</w:t>
      </w:r>
      <w:proofErr w:type="spellEnd"/>
      <w:r>
        <w:rPr>
          <w:lang w:val="lt-LT"/>
        </w:rPr>
        <w:t xml:space="preserve"> koncentracija plazmoje palaipsniui sumažėja iki 50–65 %, palyginti su koncentracija po vienkartinės dozės pavartojimo. Šį sumažėjimą tikriausiai lemia metabolizme dalyvaujančių kepenų fermentų </w:t>
      </w:r>
      <w:proofErr w:type="spellStart"/>
      <w:r>
        <w:rPr>
          <w:lang w:val="lt-LT"/>
        </w:rPr>
        <w:t>autoindukcija</w:t>
      </w:r>
      <w:proofErr w:type="spellEnd"/>
      <w:r>
        <w:rPr>
          <w:lang w:val="lt-LT"/>
        </w:rPr>
        <w:t xml:space="preserve">. </w:t>
      </w:r>
      <w:proofErr w:type="spellStart"/>
      <w:r>
        <w:rPr>
          <w:lang w:val="lt-LT"/>
        </w:rPr>
        <w:t>Pusiausvyrinė</w:t>
      </w:r>
      <w:proofErr w:type="spellEnd"/>
      <w:r>
        <w:rPr>
          <w:lang w:val="lt-LT"/>
        </w:rPr>
        <w:t xml:space="preserve"> apykaita pasiekiama per 3</w:t>
      </w:r>
      <w:r>
        <w:rPr>
          <w:lang w:val="lt-LT"/>
        </w:rPr>
        <w:noBreakHyphen/>
        <w:t xml:space="preserve">5 dienas. </w:t>
      </w:r>
    </w:p>
    <w:p w14:paraId="09858697" w14:textId="77777777" w:rsidR="00172C88" w:rsidRDefault="00172C88" w:rsidP="00172C88">
      <w:pPr>
        <w:ind w:right="-142"/>
        <w:rPr>
          <w:lang w:val="lt-LT"/>
        </w:rPr>
      </w:pPr>
      <w:r>
        <w:rPr>
          <w:lang w:val="lt-LT"/>
        </w:rPr>
        <w:t xml:space="preserve"> </w:t>
      </w:r>
    </w:p>
    <w:p w14:paraId="6288F824" w14:textId="77777777" w:rsidR="00172C88" w:rsidRDefault="00172C88" w:rsidP="00172C88">
      <w:pPr>
        <w:ind w:right="-142"/>
        <w:rPr>
          <w:lang w:val="lt-LT"/>
        </w:rPr>
      </w:pPr>
      <w:proofErr w:type="spellStart"/>
      <w:r>
        <w:rPr>
          <w:lang w:val="lt-LT"/>
        </w:rPr>
        <w:t>Bozentanas</w:t>
      </w:r>
      <w:proofErr w:type="spellEnd"/>
      <w:r>
        <w:rPr>
          <w:lang w:val="lt-LT"/>
        </w:rPr>
        <w:t xml:space="preserve"> pašalinamas tulžies </w:t>
      </w:r>
      <w:proofErr w:type="spellStart"/>
      <w:r>
        <w:rPr>
          <w:lang w:val="lt-LT"/>
        </w:rPr>
        <w:t>ekskrecijos</w:t>
      </w:r>
      <w:proofErr w:type="spellEnd"/>
      <w:r>
        <w:rPr>
          <w:lang w:val="lt-LT"/>
        </w:rPr>
        <w:t xml:space="preserve"> metu, prieš tai jis kepenyse dalyvaujant P450 </w:t>
      </w:r>
      <w:proofErr w:type="spellStart"/>
      <w:r>
        <w:rPr>
          <w:lang w:val="lt-LT"/>
        </w:rPr>
        <w:t>izofermentams</w:t>
      </w:r>
      <w:proofErr w:type="spellEnd"/>
      <w:r>
        <w:rPr>
          <w:lang w:val="lt-LT"/>
        </w:rPr>
        <w:t xml:space="preserve"> CYP2C9 ir CYP3A4 </w:t>
      </w:r>
      <w:proofErr w:type="spellStart"/>
      <w:r>
        <w:rPr>
          <w:lang w:val="lt-LT"/>
        </w:rPr>
        <w:t>metabolizuojamas</w:t>
      </w:r>
      <w:proofErr w:type="spellEnd"/>
      <w:r>
        <w:rPr>
          <w:lang w:val="lt-LT"/>
        </w:rPr>
        <w:t xml:space="preserve">. Mažiau nei 3 % išgertos dozės išskiriama su šlapimu. </w:t>
      </w:r>
    </w:p>
    <w:p w14:paraId="3BA45A24" w14:textId="77777777" w:rsidR="00172C88" w:rsidRDefault="00172C88" w:rsidP="00172C88">
      <w:pPr>
        <w:ind w:right="-142"/>
        <w:rPr>
          <w:lang w:val="lt-LT"/>
        </w:rPr>
      </w:pPr>
    </w:p>
    <w:p w14:paraId="2B22E17C" w14:textId="77777777" w:rsidR="00172C88" w:rsidRDefault="00172C88" w:rsidP="00172C88">
      <w:pPr>
        <w:ind w:right="-142"/>
        <w:rPr>
          <w:lang w:val="lt-LT"/>
        </w:rPr>
      </w:pPr>
      <w:r>
        <w:rPr>
          <w:lang w:val="lt-LT"/>
        </w:rPr>
        <w:t xml:space="preserve">Susidaro trys </w:t>
      </w:r>
      <w:proofErr w:type="spellStart"/>
      <w:r>
        <w:rPr>
          <w:lang w:val="lt-LT"/>
        </w:rPr>
        <w:t>bozentano</w:t>
      </w:r>
      <w:proofErr w:type="spellEnd"/>
      <w:r>
        <w:rPr>
          <w:lang w:val="lt-LT"/>
        </w:rPr>
        <w:t xml:space="preserve"> metabolitai ir tik vienas iš jų yra farmakologiškai aktyvus. Šis metabolitas daugiausia išskiriamas nepakitęs per tulžį. Suaugusių pacientų organizme aktyvaus metabolito ekspozicija būna didesnė, nei sveikų asmenų. Pacientų, kuriems yra </w:t>
      </w:r>
      <w:proofErr w:type="spellStart"/>
      <w:r>
        <w:rPr>
          <w:lang w:val="lt-LT"/>
        </w:rPr>
        <w:t>cholestazė</w:t>
      </w:r>
      <w:proofErr w:type="spellEnd"/>
      <w:r>
        <w:rPr>
          <w:lang w:val="lt-LT"/>
        </w:rPr>
        <w:t xml:space="preserve">, organizme aktyvaus metabolito ekspozicija gali būti didesnė. </w:t>
      </w:r>
    </w:p>
    <w:p w14:paraId="743113AE" w14:textId="77777777" w:rsidR="00172C88" w:rsidRDefault="00172C88" w:rsidP="00172C88">
      <w:pPr>
        <w:ind w:right="-142"/>
        <w:rPr>
          <w:lang w:val="lt-LT"/>
        </w:rPr>
      </w:pPr>
      <w:r>
        <w:rPr>
          <w:lang w:val="lt-LT"/>
        </w:rPr>
        <w:t xml:space="preserve"> </w:t>
      </w:r>
    </w:p>
    <w:p w14:paraId="19CCFEE9" w14:textId="77777777" w:rsidR="00172C88" w:rsidRPr="00E32052" w:rsidRDefault="00172C88" w:rsidP="00172C88">
      <w:pPr>
        <w:ind w:right="-142"/>
        <w:rPr>
          <w:lang w:val="lt-LT"/>
        </w:rPr>
      </w:pPr>
      <w:proofErr w:type="spellStart"/>
      <w:r>
        <w:rPr>
          <w:lang w:val="lt-LT"/>
        </w:rPr>
        <w:t>Bozentanas</w:t>
      </w:r>
      <w:proofErr w:type="spellEnd"/>
      <w:r>
        <w:rPr>
          <w:lang w:val="lt-LT"/>
        </w:rPr>
        <w:t xml:space="preserve"> yra CYP2C9 ir CYP3A4 bei tikriausiai CYP2C19 ir P-</w:t>
      </w:r>
      <w:proofErr w:type="spellStart"/>
      <w:r>
        <w:rPr>
          <w:lang w:val="lt-LT"/>
        </w:rPr>
        <w:t>glikoproteino</w:t>
      </w:r>
      <w:proofErr w:type="spellEnd"/>
      <w:r>
        <w:rPr>
          <w:lang w:val="lt-LT"/>
        </w:rPr>
        <w:t xml:space="preserve"> </w:t>
      </w:r>
      <w:proofErr w:type="spellStart"/>
      <w:r>
        <w:rPr>
          <w:lang w:val="lt-LT"/>
        </w:rPr>
        <w:t>induktorius</w:t>
      </w:r>
      <w:proofErr w:type="spellEnd"/>
      <w:r>
        <w:rPr>
          <w:lang w:val="lt-LT"/>
        </w:rPr>
        <w:t xml:space="preserve">. </w:t>
      </w:r>
      <w:proofErr w:type="spellStart"/>
      <w:r>
        <w:rPr>
          <w:i/>
          <w:iCs/>
          <w:lang w:val="lt-LT"/>
        </w:rPr>
        <w:t>In</w:t>
      </w:r>
      <w:proofErr w:type="spellEnd"/>
      <w:r>
        <w:rPr>
          <w:i/>
          <w:iCs/>
          <w:lang w:val="lt-LT"/>
        </w:rPr>
        <w:t xml:space="preserve"> </w:t>
      </w:r>
      <w:proofErr w:type="spellStart"/>
      <w:r>
        <w:rPr>
          <w:i/>
          <w:iCs/>
          <w:lang w:val="lt-LT"/>
        </w:rPr>
        <w:t>vitro</w:t>
      </w:r>
      <w:proofErr w:type="spellEnd"/>
      <w:r>
        <w:rPr>
          <w:lang w:val="lt-LT"/>
        </w:rPr>
        <w:t xml:space="preserve"> </w:t>
      </w:r>
      <w:proofErr w:type="spellStart"/>
      <w:r>
        <w:rPr>
          <w:lang w:val="lt-LT"/>
        </w:rPr>
        <w:t>bozentanas</w:t>
      </w:r>
      <w:proofErr w:type="spellEnd"/>
      <w:r>
        <w:rPr>
          <w:lang w:val="lt-LT"/>
        </w:rPr>
        <w:t xml:space="preserve"> slopina tulžies druskų išskyrimo siurblį kepenų ląstelių kultūrose. </w:t>
      </w:r>
    </w:p>
    <w:p w14:paraId="685BFE7E" w14:textId="77777777" w:rsidR="00172C88" w:rsidRDefault="00172C88" w:rsidP="00172C88">
      <w:pPr>
        <w:ind w:right="-142"/>
        <w:rPr>
          <w:lang w:val="lt-LT"/>
        </w:rPr>
      </w:pPr>
    </w:p>
    <w:p w14:paraId="2C3F1D6A" w14:textId="77777777" w:rsidR="00172C88" w:rsidRPr="00E32052" w:rsidRDefault="00172C88" w:rsidP="00172C88">
      <w:pPr>
        <w:ind w:right="-142"/>
        <w:rPr>
          <w:lang w:val="lt-LT"/>
        </w:rPr>
      </w:pPr>
      <w:proofErr w:type="spellStart"/>
      <w:r>
        <w:rPr>
          <w:i/>
          <w:iCs/>
          <w:lang w:val="lt-LT"/>
        </w:rPr>
        <w:t>In</w:t>
      </w:r>
      <w:proofErr w:type="spellEnd"/>
      <w:r>
        <w:rPr>
          <w:i/>
          <w:iCs/>
          <w:lang w:val="lt-LT"/>
        </w:rPr>
        <w:t xml:space="preserve"> </w:t>
      </w:r>
      <w:proofErr w:type="spellStart"/>
      <w:r>
        <w:rPr>
          <w:i/>
          <w:iCs/>
          <w:lang w:val="lt-LT"/>
        </w:rPr>
        <w:t>vitro</w:t>
      </w:r>
      <w:proofErr w:type="spellEnd"/>
      <w:r>
        <w:rPr>
          <w:lang w:val="lt-LT"/>
        </w:rPr>
        <w:t xml:space="preserve"> duomenys parodė, kad </w:t>
      </w:r>
      <w:proofErr w:type="spellStart"/>
      <w:r>
        <w:rPr>
          <w:lang w:val="lt-LT"/>
        </w:rPr>
        <w:t>bozentanas</w:t>
      </w:r>
      <w:proofErr w:type="spellEnd"/>
      <w:r>
        <w:rPr>
          <w:lang w:val="lt-LT"/>
        </w:rPr>
        <w:t xml:space="preserve"> neturėjo jokio reikšmingo slopinamojo poveikio tirtiems CYP </w:t>
      </w:r>
      <w:proofErr w:type="spellStart"/>
      <w:r>
        <w:rPr>
          <w:lang w:val="lt-LT"/>
        </w:rPr>
        <w:t>izofermentams</w:t>
      </w:r>
      <w:proofErr w:type="spellEnd"/>
      <w:r>
        <w:rPr>
          <w:lang w:val="lt-LT"/>
        </w:rPr>
        <w:t xml:space="preserve"> (CYP1A2, 2A6, 2B6, 2C8, 2C9, 2D6, 2E1, 3A4). Dėl šios priežasties </w:t>
      </w:r>
      <w:proofErr w:type="spellStart"/>
      <w:r>
        <w:rPr>
          <w:lang w:val="lt-LT"/>
        </w:rPr>
        <w:t>bozentanas</w:t>
      </w:r>
      <w:proofErr w:type="spellEnd"/>
      <w:r>
        <w:rPr>
          <w:lang w:val="lt-LT"/>
        </w:rPr>
        <w:t xml:space="preserve"> neturėtų didinti šių </w:t>
      </w:r>
      <w:proofErr w:type="spellStart"/>
      <w:r>
        <w:rPr>
          <w:lang w:val="lt-LT"/>
        </w:rPr>
        <w:t>izofermentų</w:t>
      </w:r>
      <w:proofErr w:type="spellEnd"/>
      <w:r>
        <w:rPr>
          <w:lang w:val="lt-LT"/>
        </w:rPr>
        <w:t xml:space="preserve"> </w:t>
      </w:r>
      <w:proofErr w:type="spellStart"/>
      <w:r>
        <w:rPr>
          <w:lang w:val="lt-LT"/>
        </w:rPr>
        <w:t>metabolizuojamų</w:t>
      </w:r>
      <w:proofErr w:type="spellEnd"/>
      <w:r>
        <w:rPr>
          <w:lang w:val="lt-LT"/>
        </w:rPr>
        <w:t xml:space="preserve"> vaistinių preparatų koncentracijos plazmoje. </w:t>
      </w:r>
    </w:p>
    <w:p w14:paraId="0C5825BB" w14:textId="77777777" w:rsidR="00172C88" w:rsidRDefault="00172C88" w:rsidP="00172C88">
      <w:pPr>
        <w:ind w:right="-142"/>
        <w:rPr>
          <w:lang w:val="lt-LT"/>
        </w:rPr>
      </w:pPr>
    </w:p>
    <w:p w14:paraId="2CAC2F95" w14:textId="67EE12E6" w:rsidR="00172C88" w:rsidRPr="00E32052" w:rsidRDefault="00172C88" w:rsidP="00172C88">
      <w:pPr>
        <w:ind w:right="-142"/>
        <w:rPr>
          <w:lang w:val="lt-LT"/>
        </w:rPr>
      </w:pPr>
      <w:r>
        <w:rPr>
          <w:iCs/>
          <w:u w:val="single"/>
          <w:lang w:val="lt-LT"/>
        </w:rPr>
        <w:t xml:space="preserve">Farmakokinetika </w:t>
      </w:r>
      <w:r w:rsidR="00CC7341">
        <w:rPr>
          <w:iCs/>
          <w:u w:val="single"/>
          <w:lang w:val="lt-LT"/>
        </w:rPr>
        <w:t>ypatingose</w:t>
      </w:r>
      <w:r w:rsidR="00AB78DB">
        <w:rPr>
          <w:iCs/>
          <w:u w:val="single"/>
          <w:lang w:val="lt-LT"/>
        </w:rPr>
        <w:t xml:space="preserve"> populiacijose</w:t>
      </w:r>
      <w:r>
        <w:rPr>
          <w:iCs/>
          <w:u w:val="single"/>
          <w:lang w:val="lt-LT"/>
        </w:rPr>
        <w:t xml:space="preserve"> </w:t>
      </w:r>
    </w:p>
    <w:p w14:paraId="64AA26E4" w14:textId="77777777" w:rsidR="00172C88" w:rsidRDefault="00172C88" w:rsidP="00172C88">
      <w:pPr>
        <w:ind w:right="-142"/>
        <w:rPr>
          <w:lang w:val="lt-LT"/>
        </w:rPr>
      </w:pPr>
      <w:r>
        <w:rPr>
          <w:lang w:val="lt-LT"/>
        </w:rPr>
        <w:t xml:space="preserve">Atsižvelgiant į kiekvieno tirto kintamojo rodmenis, nesitikima, kad suaugusiųjų populiacijoje </w:t>
      </w:r>
      <w:proofErr w:type="spellStart"/>
      <w:r>
        <w:rPr>
          <w:lang w:val="lt-LT"/>
        </w:rPr>
        <w:t>bozentano</w:t>
      </w:r>
      <w:proofErr w:type="spellEnd"/>
      <w:r>
        <w:rPr>
          <w:lang w:val="lt-LT"/>
        </w:rPr>
        <w:t xml:space="preserve"> farmakokinetikai kokios nors įtakos turėtų lytis, kūno svoris, rasė ar amžius. </w:t>
      </w:r>
    </w:p>
    <w:p w14:paraId="6EA2E8C5" w14:textId="77777777" w:rsidR="00172C88" w:rsidRDefault="00172C88" w:rsidP="00172C88">
      <w:pPr>
        <w:ind w:right="-142"/>
        <w:rPr>
          <w:i/>
          <w:u w:val="single"/>
          <w:lang w:val="lt-LT"/>
        </w:rPr>
      </w:pPr>
    </w:p>
    <w:p w14:paraId="7AC8B5A3" w14:textId="77777777" w:rsidR="00172C88" w:rsidRPr="00C54C14" w:rsidRDefault="00172C88" w:rsidP="00172C88">
      <w:pPr>
        <w:ind w:right="-142"/>
        <w:rPr>
          <w:u w:val="single"/>
          <w:lang w:val="lt-LT"/>
        </w:rPr>
      </w:pPr>
      <w:r w:rsidRPr="00DC170F">
        <w:rPr>
          <w:u w:val="single"/>
          <w:lang w:val="lt-LT"/>
        </w:rPr>
        <w:t>Vaikų populiacija</w:t>
      </w:r>
    </w:p>
    <w:p w14:paraId="00ED39F6" w14:textId="77777777" w:rsidR="00172C88" w:rsidRDefault="00172C88" w:rsidP="00172C88">
      <w:pPr>
        <w:ind w:right="-142"/>
        <w:rPr>
          <w:lang w:val="lt-LT"/>
        </w:rPr>
      </w:pPr>
      <w:r>
        <w:rPr>
          <w:lang w:val="lt-LT"/>
        </w:rPr>
        <w:t xml:space="preserve">Farmakokinetika buvo tirta pacientams vaikams 4 klinikiniuose tyrimuose (BREATHE-3, FUTURE 1, FUTURE-3 ir FUTURE-4, žr. 5.1 skyrių). Dėl ribotų duomenų apie jaunesnius nei 2 metų amžiaus vaikus farmakokinetika lieka gerai neapibūdinta šioje amžiaus kategorijoje. </w:t>
      </w:r>
    </w:p>
    <w:p w14:paraId="27D53CB4" w14:textId="77777777" w:rsidR="00172C88" w:rsidRDefault="00172C88" w:rsidP="00172C88">
      <w:pPr>
        <w:ind w:right="-142"/>
        <w:rPr>
          <w:lang w:val="lt-LT"/>
        </w:rPr>
      </w:pPr>
    </w:p>
    <w:p w14:paraId="3A8690EC" w14:textId="77777777" w:rsidR="00172C88" w:rsidRDefault="00172C88" w:rsidP="00172C88">
      <w:pPr>
        <w:ind w:right="-142"/>
        <w:rPr>
          <w:lang w:val="lt-LT"/>
        </w:rPr>
      </w:pPr>
      <w:r>
        <w:rPr>
          <w:lang w:val="lt-LT"/>
        </w:rPr>
        <w:t xml:space="preserve">AC-052-356 [BREATHE-3] tyrimo metu buvo įvertinta vienos ir dauginių geriamų dozių </w:t>
      </w:r>
      <w:proofErr w:type="spellStart"/>
      <w:r>
        <w:rPr>
          <w:lang w:val="lt-LT"/>
        </w:rPr>
        <w:t>bozentano</w:t>
      </w:r>
      <w:proofErr w:type="spellEnd"/>
      <w:r>
        <w:rPr>
          <w:lang w:val="lt-LT"/>
        </w:rPr>
        <w:t xml:space="preserve"> plėvele dengtos tabletės formos farmakokinetika 19 vaikų nuo 3 iki 15 metų, sergančių </w:t>
      </w:r>
      <w:proofErr w:type="spellStart"/>
      <w:r>
        <w:rPr>
          <w:lang w:val="lt-LT"/>
        </w:rPr>
        <w:t>plautine</w:t>
      </w:r>
      <w:proofErr w:type="spellEnd"/>
      <w:r>
        <w:rPr>
          <w:lang w:val="lt-LT"/>
        </w:rPr>
        <w:t xml:space="preserve"> arterine hipertenzija (PAH), kuriems buvo skiriama 2 mg/kg du kartus per parą priklausomai nuo kūno svorio. Tyrimo metu </w:t>
      </w:r>
      <w:proofErr w:type="spellStart"/>
      <w:r>
        <w:rPr>
          <w:lang w:val="lt-LT"/>
        </w:rPr>
        <w:t>bozentano</w:t>
      </w:r>
      <w:proofErr w:type="spellEnd"/>
      <w:r>
        <w:rPr>
          <w:lang w:val="lt-LT"/>
        </w:rPr>
        <w:t xml:space="preserve"> poveikis su laiku mažėja atitinkamai pagal žinomas </w:t>
      </w:r>
      <w:proofErr w:type="spellStart"/>
      <w:r>
        <w:rPr>
          <w:lang w:val="lt-LT"/>
        </w:rPr>
        <w:t>bozentano</w:t>
      </w:r>
      <w:proofErr w:type="spellEnd"/>
      <w:r>
        <w:rPr>
          <w:lang w:val="lt-LT"/>
        </w:rPr>
        <w:t xml:space="preserve"> </w:t>
      </w:r>
      <w:proofErr w:type="spellStart"/>
      <w:r>
        <w:rPr>
          <w:lang w:val="lt-LT"/>
        </w:rPr>
        <w:t>autoindukcijos</w:t>
      </w:r>
      <w:proofErr w:type="spellEnd"/>
      <w:r>
        <w:rPr>
          <w:lang w:val="lt-LT"/>
        </w:rPr>
        <w:t xml:space="preserve"> savybes. Vidutinės </w:t>
      </w:r>
      <w:proofErr w:type="spellStart"/>
      <w:r>
        <w:rPr>
          <w:lang w:val="lt-LT"/>
        </w:rPr>
        <w:t>bozentano</w:t>
      </w:r>
      <w:proofErr w:type="spellEnd"/>
      <w:r>
        <w:rPr>
          <w:lang w:val="lt-LT"/>
        </w:rPr>
        <w:t xml:space="preserve"> AUC (CV%) reikšmės pediatrijos pacientams, gydomiems su 31,25; 62,5 ar 125 mg dukart per parą, buvo atitinkamai 3496 (49), 5428 (79), ir 6124 19 </w:t>
      </w:r>
    </w:p>
    <w:p w14:paraId="5772704F" w14:textId="77777777" w:rsidR="00172C88" w:rsidRDefault="00172C88" w:rsidP="00172C88">
      <w:pPr>
        <w:ind w:right="-142"/>
        <w:rPr>
          <w:lang w:val="lt-LT"/>
        </w:rPr>
      </w:pPr>
      <w:r>
        <w:rPr>
          <w:lang w:val="lt-LT"/>
        </w:rPr>
        <w:t>(27) </w:t>
      </w:r>
      <w:proofErr w:type="spellStart"/>
      <w:r>
        <w:rPr>
          <w:lang w:val="lt-LT"/>
        </w:rPr>
        <w:t>ng·h</w:t>
      </w:r>
      <w:proofErr w:type="spellEnd"/>
      <w:r>
        <w:rPr>
          <w:lang w:val="lt-LT"/>
        </w:rPr>
        <w:t>/ml, ir buvo mažesnės nei 8149 (47) </w:t>
      </w:r>
      <w:proofErr w:type="spellStart"/>
      <w:r>
        <w:rPr>
          <w:lang w:val="lt-LT"/>
        </w:rPr>
        <w:t>ng·h</w:t>
      </w:r>
      <w:proofErr w:type="spellEnd"/>
      <w:r>
        <w:rPr>
          <w:lang w:val="lt-LT"/>
        </w:rPr>
        <w:t xml:space="preserve">/ml reikšmė, nustatyta suaugusiems pacientams, sergantiems PAH, gaunant 125 mg dukart per parą. Esant stabiliai būsenai sisteminis poveikis pediatrijos pacientams, sveriantiems 10–20 kg, 20–40 kg ir &gt; 40 kg atitinkamai buvo 43 %, 67 % ir 75 %, palyginti su sistematiniu poveikiu suaugusiems. </w:t>
      </w:r>
    </w:p>
    <w:p w14:paraId="5C4B5C44" w14:textId="77777777" w:rsidR="00172C88" w:rsidRDefault="00172C88" w:rsidP="00172C88">
      <w:pPr>
        <w:ind w:right="-142"/>
        <w:rPr>
          <w:lang w:val="lt-LT"/>
        </w:rPr>
      </w:pPr>
    </w:p>
    <w:p w14:paraId="521F872D" w14:textId="77777777" w:rsidR="00172C88" w:rsidRDefault="00172C88" w:rsidP="00172C88">
      <w:pPr>
        <w:ind w:right="-142"/>
        <w:rPr>
          <w:lang w:val="lt-LT"/>
        </w:rPr>
      </w:pPr>
      <w:r>
        <w:rPr>
          <w:lang w:val="lt-LT"/>
        </w:rPr>
        <w:t xml:space="preserve">AC-052-365 [FUTURE 1] tyrimo metu 36 vaikai, kurie sirgo PAH ir kurių amžius nuo 2 iki 11 metų, vartojo disperguojamąsias tabletes. Dozės proporcingumo nenustatyta, nes pastovioji </w:t>
      </w:r>
      <w:proofErr w:type="spellStart"/>
      <w:r>
        <w:rPr>
          <w:lang w:val="lt-LT"/>
        </w:rPr>
        <w:t>bozentano</w:t>
      </w:r>
      <w:proofErr w:type="spellEnd"/>
      <w:r>
        <w:rPr>
          <w:lang w:val="lt-LT"/>
        </w:rPr>
        <w:t xml:space="preserve"> koncentracija plazmoje ir AUC per burną vartojant 2 ir 4 mg/kg dozes buvo panaši (</w:t>
      </w:r>
      <w:proofErr w:type="spellStart"/>
      <w:r>
        <w:rPr>
          <w:lang w:val="lt-LT"/>
        </w:rPr>
        <w:t>AUCτ</w:t>
      </w:r>
      <w:proofErr w:type="spellEnd"/>
      <w:r>
        <w:rPr>
          <w:lang w:val="lt-LT"/>
        </w:rPr>
        <w:t xml:space="preserve"> paskirta 3,577 </w:t>
      </w:r>
      <w:proofErr w:type="spellStart"/>
      <w:r>
        <w:rPr>
          <w:lang w:val="lt-LT"/>
        </w:rPr>
        <w:t>ng·val</w:t>
      </w:r>
      <w:proofErr w:type="spellEnd"/>
      <w:r>
        <w:rPr>
          <w:lang w:val="lt-LT"/>
        </w:rPr>
        <w:t xml:space="preserve">/ml, vartojant 2 mg/kg dukart per parą, ir 3,371 </w:t>
      </w:r>
      <w:proofErr w:type="spellStart"/>
      <w:r>
        <w:rPr>
          <w:lang w:val="lt-LT"/>
        </w:rPr>
        <w:t>ng·val</w:t>
      </w:r>
      <w:proofErr w:type="spellEnd"/>
      <w:r>
        <w:rPr>
          <w:lang w:val="lt-LT"/>
        </w:rPr>
        <w:t xml:space="preserve">/ml, vartojant 4 mg/kg dukart per parą.). Vartojant 125 mg dukart per parą palaikomąją dozę, vidutinė </w:t>
      </w:r>
      <w:proofErr w:type="spellStart"/>
      <w:r>
        <w:rPr>
          <w:lang w:val="lt-LT"/>
        </w:rPr>
        <w:t>bozentano</w:t>
      </w:r>
      <w:proofErr w:type="spellEnd"/>
      <w:r>
        <w:rPr>
          <w:lang w:val="lt-LT"/>
        </w:rPr>
        <w:t xml:space="preserve"> ekspozicija šiems </w:t>
      </w:r>
      <w:r>
        <w:rPr>
          <w:lang w:val="lt-LT"/>
        </w:rPr>
        <w:lastRenderedPageBreak/>
        <w:t xml:space="preserve">vaikams buvo maždaug dvigubai mažesnė, negu suaugusiesiems, tačiau daugeliu atvejų sutapo su ekspozicija suaugusiesiems. </w:t>
      </w:r>
    </w:p>
    <w:p w14:paraId="1E91A776" w14:textId="77777777" w:rsidR="00172C88" w:rsidRDefault="00172C88" w:rsidP="00172C88">
      <w:pPr>
        <w:ind w:right="-142"/>
        <w:rPr>
          <w:lang w:val="lt-LT"/>
        </w:rPr>
      </w:pPr>
    </w:p>
    <w:p w14:paraId="54D212BD" w14:textId="77777777" w:rsidR="00172C88" w:rsidRDefault="00172C88" w:rsidP="00172C88">
      <w:pPr>
        <w:ind w:right="-142"/>
        <w:rPr>
          <w:lang w:val="lt-LT"/>
        </w:rPr>
      </w:pPr>
      <w:r>
        <w:rPr>
          <w:lang w:val="lt-LT"/>
        </w:rPr>
        <w:t xml:space="preserve">AC-052-373 [FUTURE 3] tyrimo metu naudojant disperguojamąsias tabletes </w:t>
      </w:r>
      <w:proofErr w:type="spellStart"/>
      <w:r>
        <w:rPr>
          <w:lang w:val="lt-LT"/>
        </w:rPr>
        <w:t>bozentano</w:t>
      </w:r>
      <w:proofErr w:type="spellEnd"/>
      <w:r>
        <w:rPr>
          <w:lang w:val="lt-LT"/>
        </w:rPr>
        <w:t xml:space="preserve"> poveikis pacientams, gydytiems 2 mg/kg du kartus per parą doze, buvo lyginamas su FUTURE 1 tyrimu. Bendrojoje populiacijoje (n = 31) 2 mg/kg du kartus per parą įtakos turėjo 8,535 </w:t>
      </w:r>
      <w:proofErr w:type="spellStart"/>
      <w:r>
        <w:rPr>
          <w:lang w:val="lt-LT"/>
        </w:rPr>
        <w:t>ng</w:t>
      </w:r>
      <w:proofErr w:type="spellEnd"/>
      <w:r>
        <w:rPr>
          <w:lang w:val="lt-LT"/>
        </w:rPr>
        <w:t xml:space="preserve"> </w:t>
      </w:r>
      <w:proofErr w:type="spellStart"/>
      <w:r>
        <w:rPr>
          <w:lang w:val="lt-LT"/>
        </w:rPr>
        <w:t>val</w:t>
      </w:r>
      <w:proofErr w:type="spellEnd"/>
      <w:r>
        <w:rPr>
          <w:lang w:val="lt-LT"/>
        </w:rPr>
        <w:t xml:space="preserve">/ml paros ekspozicija; </w:t>
      </w:r>
      <w:proofErr w:type="spellStart"/>
      <w:r>
        <w:rPr>
          <w:lang w:val="lt-LT"/>
        </w:rPr>
        <w:t>AUCτ</w:t>
      </w:r>
      <w:proofErr w:type="spellEnd"/>
      <w:r>
        <w:rPr>
          <w:lang w:val="lt-LT"/>
        </w:rPr>
        <w:t xml:space="preserve"> buvo 4,268 </w:t>
      </w:r>
      <w:proofErr w:type="spellStart"/>
      <w:r>
        <w:rPr>
          <w:lang w:val="lt-LT"/>
        </w:rPr>
        <w:t>ng</w:t>
      </w:r>
      <w:proofErr w:type="spellEnd"/>
      <w:r>
        <w:rPr>
          <w:lang w:val="lt-LT"/>
        </w:rPr>
        <w:t xml:space="preserve"> val./ml (CV: 61 %). Pacientams nuo 3 mėnesių iki 2 metų paros ekspozicija buvo 7,879 </w:t>
      </w:r>
      <w:proofErr w:type="spellStart"/>
      <w:r>
        <w:rPr>
          <w:lang w:val="lt-LT"/>
        </w:rPr>
        <w:t>ng</w:t>
      </w:r>
      <w:proofErr w:type="spellEnd"/>
      <w:r>
        <w:rPr>
          <w:lang w:val="lt-LT"/>
        </w:rPr>
        <w:t xml:space="preserve"> val./ml; </w:t>
      </w:r>
      <w:proofErr w:type="spellStart"/>
      <w:r>
        <w:rPr>
          <w:lang w:val="lt-LT"/>
        </w:rPr>
        <w:t>AUCτ</w:t>
      </w:r>
      <w:proofErr w:type="spellEnd"/>
      <w:r>
        <w:rPr>
          <w:lang w:val="lt-LT"/>
        </w:rPr>
        <w:t xml:space="preserve"> buvo 3,939 </w:t>
      </w:r>
      <w:proofErr w:type="spellStart"/>
      <w:r>
        <w:rPr>
          <w:lang w:val="lt-LT"/>
        </w:rPr>
        <w:t>ng</w:t>
      </w:r>
      <w:proofErr w:type="spellEnd"/>
      <w:r>
        <w:rPr>
          <w:lang w:val="lt-LT"/>
        </w:rPr>
        <w:t xml:space="preserve"> val./ml (CV: 72 %). Pacientams nuo 3 mėnesių iki 1 metų (n = 2) </w:t>
      </w:r>
      <w:proofErr w:type="spellStart"/>
      <w:r>
        <w:rPr>
          <w:lang w:val="lt-LT"/>
        </w:rPr>
        <w:t>AUCτ</w:t>
      </w:r>
      <w:proofErr w:type="spellEnd"/>
      <w:r>
        <w:rPr>
          <w:lang w:val="lt-LT"/>
        </w:rPr>
        <w:t xml:space="preserve"> buvo 5,914 </w:t>
      </w:r>
      <w:proofErr w:type="spellStart"/>
      <w:r>
        <w:rPr>
          <w:lang w:val="lt-LT"/>
        </w:rPr>
        <w:t>ng</w:t>
      </w:r>
      <w:proofErr w:type="spellEnd"/>
      <w:r>
        <w:rPr>
          <w:lang w:val="lt-LT"/>
        </w:rPr>
        <w:t xml:space="preserve"> val./ml (CV: 85 %), o pacientams nuo 1 iki 2 metų (n = 7) AUC0τ buvo 3,507 </w:t>
      </w:r>
      <w:proofErr w:type="spellStart"/>
      <w:r>
        <w:rPr>
          <w:lang w:val="lt-LT"/>
        </w:rPr>
        <w:t>ng</w:t>
      </w:r>
      <w:proofErr w:type="spellEnd"/>
      <w:r>
        <w:rPr>
          <w:lang w:val="lt-LT"/>
        </w:rPr>
        <w:t xml:space="preserve"> val./ml (CV: 70 %). Pacientams, kuriems daugiau nei 2 metai (n = 22), paros ekspozicija buvo 8,820 </w:t>
      </w:r>
      <w:proofErr w:type="spellStart"/>
      <w:r>
        <w:rPr>
          <w:lang w:val="lt-LT"/>
        </w:rPr>
        <w:t>ng</w:t>
      </w:r>
      <w:proofErr w:type="spellEnd"/>
      <w:r>
        <w:rPr>
          <w:lang w:val="lt-LT"/>
        </w:rPr>
        <w:t xml:space="preserve"> val./ml; </w:t>
      </w:r>
      <w:proofErr w:type="spellStart"/>
      <w:r>
        <w:rPr>
          <w:lang w:val="lt-LT"/>
        </w:rPr>
        <w:t>AUCτ</w:t>
      </w:r>
      <w:proofErr w:type="spellEnd"/>
      <w:r>
        <w:rPr>
          <w:lang w:val="lt-LT"/>
        </w:rPr>
        <w:t xml:space="preserve"> buvo 4,410 </w:t>
      </w:r>
      <w:proofErr w:type="spellStart"/>
      <w:r>
        <w:rPr>
          <w:lang w:val="lt-LT"/>
        </w:rPr>
        <w:t>ng</w:t>
      </w:r>
      <w:proofErr w:type="spellEnd"/>
      <w:r>
        <w:rPr>
          <w:lang w:val="lt-LT"/>
        </w:rPr>
        <w:t xml:space="preserve"> val./ml (CV: 58 %). </w:t>
      </w:r>
      <w:proofErr w:type="spellStart"/>
      <w:r>
        <w:rPr>
          <w:lang w:val="lt-LT"/>
        </w:rPr>
        <w:t>Bozentano</w:t>
      </w:r>
      <w:proofErr w:type="spellEnd"/>
      <w:r>
        <w:rPr>
          <w:lang w:val="lt-LT"/>
        </w:rPr>
        <w:t xml:space="preserve"> 2 mg/kg tris kartus per parą dozė nepadidino ekspozicijos, paros ekspozicija buvo 7,275 </w:t>
      </w:r>
      <w:proofErr w:type="spellStart"/>
      <w:r>
        <w:rPr>
          <w:lang w:val="lt-LT"/>
        </w:rPr>
        <w:t>ng</w:t>
      </w:r>
      <w:proofErr w:type="spellEnd"/>
      <w:r>
        <w:rPr>
          <w:lang w:val="lt-LT"/>
        </w:rPr>
        <w:t xml:space="preserve"> val./ml (CV: 83 %, n = 27). </w:t>
      </w:r>
    </w:p>
    <w:p w14:paraId="1A25B155" w14:textId="77777777" w:rsidR="00172C88" w:rsidRDefault="00172C88" w:rsidP="00172C88">
      <w:pPr>
        <w:ind w:right="-142"/>
        <w:rPr>
          <w:lang w:val="lt-LT"/>
        </w:rPr>
      </w:pPr>
    </w:p>
    <w:p w14:paraId="3310C719" w14:textId="77777777" w:rsidR="00172C88" w:rsidRDefault="00172C88" w:rsidP="00172C88">
      <w:pPr>
        <w:ind w:right="-142"/>
        <w:rPr>
          <w:lang w:val="lt-LT"/>
        </w:rPr>
      </w:pPr>
      <w:r>
        <w:rPr>
          <w:lang w:val="lt-LT"/>
        </w:rPr>
        <w:t xml:space="preserve">Remiantis tyrimų BREATHE-3, FUTURE 1 ir FUTURE 3 išvadomis manoma, kad </w:t>
      </w:r>
      <w:proofErr w:type="spellStart"/>
      <w:r>
        <w:rPr>
          <w:lang w:val="lt-LT"/>
        </w:rPr>
        <w:t>bozentano</w:t>
      </w:r>
      <w:proofErr w:type="spellEnd"/>
      <w:r>
        <w:rPr>
          <w:lang w:val="lt-LT"/>
        </w:rPr>
        <w:t xml:space="preserve"> ekspozicija vaikams stabilizuojasi vartojant mažesnes dozes, negu suaugusiesiems, ir kad vartojant didesnes, nei 2 mg/kg dozes dukart per parą (4 mg/kg dukart per parą arba 2 mg/kg triskart per parą), </w:t>
      </w:r>
      <w:proofErr w:type="spellStart"/>
      <w:r>
        <w:rPr>
          <w:lang w:val="lt-LT"/>
        </w:rPr>
        <w:t>bozentano</w:t>
      </w:r>
      <w:proofErr w:type="spellEnd"/>
      <w:r>
        <w:rPr>
          <w:lang w:val="lt-LT"/>
        </w:rPr>
        <w:t xml:space="preserve"> ekspozicija vaikų organizme nepadidėja. </w:t>
      </w:r>
    </w:p>
    <w:p w14:paraId="25B2CCEC" w14:textId="77777777" w:rsidR="00172C88" w:rsidRDefault="00172C88" w:rsidP="00172C88">
      <w:pPr>
        <w:ind w:right="-142"/>
        <w:rPr>
          <w:lang w:val="lt-LT"/>
        </w:rPr>
      </w:pPr>
    </w:p>
    <w:p w14:paraId="576C2E1C" w14:textId="77777777" w:rsidR="00172C88" w:rsidRDefault="00172C88" w:rsidP="00172C88">
      <w:pPr>
        <w:ind w:right="-142"/>
        <w:rPr>
          <w:lang w:val="lt-LT"/>
        </w:rPr>
      </w:pPr>
      <w:r>
        <w:rPr>
          <w:lang w:val="lt-LT"/>
        </w:rPr>
        <w:t xml:space="preserve">Su naujagimiais atlikto AC-052-391 [FUTURE 4] tyrimo metu </w:t>
      </w:r>
      <w:proofErr w:type="spellStart"/>
      <w:r>
        <w:rPr>
          <w:lang w:val="lt-LT"/>
        </w:rPr>
        <w:t>bozentano</w:t>
      </w:r>
      <w:proofErr w:type="spellEnd"/>
      <w:r>
        <w:rPr>
          <w:lang w:val="lt-LT"/>
        </w:rPr>
        <w:t xml:space="preserve"> koncentracijos didėjo lėtai ir pastoviai pirmajame dozavimo intervale, todėl ekspozicija buvo žema (AUC0-12 kraujyje: 164 </w:t>
      </w:r>
      <w:proofErr w:type="spellStart"/>
      <w:r>
        <w:rPr>
          <w:lang w:val="lt-LT"/>
        </w:rPr>
        <w:t>ng</w:t>
      </w:r>
      <w:proofErr w:type="spellEnd"/>
      <w:r>
        <w:rPr>
          <w:lang w:val="lt-LT"/>
        </w:rPr>
        <w:t xml:space="preserve"> val./ml, n = 11). Esant pastoviai būklei, </w:t>
      </w:r>
      <w:proofErr w:type="spellStart"/>
      <w:r>
        <w:rPr>
          <w:lang w:val="lt-LT"/>
        </w:rPr>
        <w:t>AUCτ</w:t>
      </w:r>
      <w:proofErr w:type="spellEnd"/>
      <w:r>
        <w:rPr>
          <w:lang w:val="lt-LT"/>
        </w:rPr>
        <w:t xml:space="preserve"> buvo 6,165 </w:t>
      </w:r>
      <w:proofErr w:type="spellStart"/>
      <w:r>
        <w:rPr>
          <w:lang w:val="lt-LT"/>
        </w:rPr>
        <w:t>ng</w:t>
      </w:r>
      <w:proofErr w:type="spellEnd"/>
      <w:r>
        <w:rPr>
          <w:lang w:val="lt-LT"/>
        </w:rPr>
        <w:t xml:space="preserve"> val./ml (CV: 133 %, n = 7), ir tai yra panašu į ekspoziciją, stebėtą suaugusiems pacientams, sergantiems PAH, kurie gauna 125 mg du kartus per parą ir atsižvelgiant į 0,6 pasiskirstymo kraujyje / plazmoje santykį.</w:t>
      </w:r>
    </w:p>
    <w:p w14:paraId="6C31C0BC" w14:textId="77777777" w:rsidR="00172C88" w:rsidRDefault="00172C88" w:rsidP="00172C88">
      <w:pPr>
        <w:ind w:right="-142"/>
        <w:rPr>
          <w:lang w:val="lt-LT"/>
        </w:rPr>
      </w:pPr>
    </w:p>
    <w:p w14:paraId="4BBBE0F6" w14:textId="77777777" w:rsidR="00172C88" w:rsidRDefault="00172C88" w:rsidP="00172C88">
      <w:pPr>
        <w:ind w:right="-142"/>
        <w:rPr>
          <w:lang w:val="lt-LT"/>
        </w:rPr>
      </w:pPr>
      <w:r>
        <w:rPr>
          <w:lang w:val="lt-LT"/>
        </w:rPr>
        <w:t xml:space="preserve">Šių duomenų įtaka toksiniam poveikiui kepenims nežinoma. Lytis ir intraveninio </w:t>
      </w:r>
      <w:proofErr w:type="spellStart"/>
      <w:r>
        <w:rPr>
          <w:lang w:val="lt-LT"/>
        </w:rPr>
        <w:t>epoprostenolio</w:t>
      </w:r>
      <w:proofErr w:type="spellEnd"/>
      <w:r>
        <w:rPr>
          <w:lang w:val="lt-LT"/>
        </w:rPr>
        <w:t xml:space="preserve"> vartojimas tuo pačiu metu žymaus poveikio </w:t>
      </w:r>
      <w:proofErr w:type="spellStart"/>
      <w:r>
        <w:rPr>
          <w:lang w:val="lt-LT"/>
        </w:rPr>
        <w:t>bozentano</w:t>
      </w:r>
      <w:proofErr w:type="spellEnd"/>
      <w:r>
        <w:rPr>
          <w:lang w:val="lt-LT"/>
        </w:rPr>
        <w:t xml:space="preserve"> farmakokinetikai neturėjo. </w:t>
      </w:r>
    </w:p>
    <w:p w14:paraId="01B2102B" w14:textId="77777777" w:rsidR="00172C88" w:rsidRDefault="00172C88" w:rsidP="00172C88">
      <w:pPr>
        <w:ind w:right="-142"/>
        <w:rPr>
          <w:lang w:val="lt-LT"/>
        </w:rPr>
      </w:pPr>
    </w:p>
    <w:p w14:paraId="2722EA16" w14:textId="77777777" w:rsidR="00172C88" w:rsidRDefault="00172C88" w:rsidP="00172C88">
      <w:pPr>
        <w:ind w:right="-142"/>
        <w:rPr>
          <w:u w:val="single"/>
          <w:lang w:val="lt-LT"/>
        </w:rPr>
      </w:pPr>
      <w:r>
        <w:rPr>
          <w:u w:val="single"/>
          <w:lang w:val="lt-LT"/>
        </w:rPr>
        <w:t>Sutrikusi kepenų funkcija</w:t>
      </w:r>
    </w:p>
    <w:p w14:paraId="017B04C5" w14:textId="77777777" w:rsidR="00172C88" w:rsidRPr="00E32052" w:rsidRDefault="00172C88" w:rsidP="00172C88">
      <w:pPr>
        <w:ind w:right="-142"/>
        <w:rPr>
          <w:lang w:val="lt-LT"/>
        </w:rPr>
      </w:pPr>
      <w:r>
        <w:rPr>
          <w:lang w:val="lt-LT"/>
        </w:rPr>
        <w:t xml:space="preserve">Pacientams, kuriems buvo lengvas kepenų funkcijos sutrikimas (A klasė pagal </w:t>
      </w:r>
      <w:proofErr w:type="spellStart"/>
      <w:r>
        <w:rPr>
          <w:i/>
          <w:lang w:val="lt-LT"/>
        </w:rPr>
        <w:t>Child-Pugh</w:t>
      </w:r>
      <w:proofErr w:type="spellEnd"/>
      <w:r>
        <w:rPr>
          <w:lang w:val="lt-LT"/>
        </w:rPr>
        <w:t xml:space="preserve">), reikšmingų farmakokinetikos pokyčių nebuvo pastebėta. </w:t>
      </w:r>
      <w:proofErr w:type="spellStart"/>
      <w:r>
        <w:rPr>
          <w:lang w:val="lt-LT"/>
        </w:rPr>
        <w:t>Pusiausvyrinė</w:t>
      </w:r>
      <w:proofErr w:type="spellEnd"/>
      <w:r>
        <w:rPr>
          <w:lang w:val="lt-LT"/>
        </w:rPr>
        <w:t xml:space="preserve"> </w:t>
      </w:r>
      <w:proofErr w:type="spellStart"/>
      <w:r>
        <w:rPr>
          <w:lang w:val="lt-LT"/>
        </w:rPr>
        <w:t>bozentano</w:t>
      </w:r>
      <w:proofErr w:type="spellEnd"/>
      <w:r>
        <w:rPr>
          <w:lang w:val="lt-LT"/>
        </w:rPr>
        <w:t xml:space="preserve"> AUC buvo 9 % didesnė, o aktyvaus metabolito </w:t>
      </w:r>
      <w:proofErr w:type="spellStart"/>
      <w:r>
        <w:rPr>
          <w:lang w:val="lt-LT"/>
        </w:rPr>
        <w:t>Ro</w:t>
      </w:r>
      <w:proofErr w:type="spellEnd"/>
      <w:r>
        <w:rPr>
          <w:lang w:val="lt-LT"/>
        </w:rPr>
        <w:t xml:space="preserve"> 48-5033 AUC – 33 % didesnė pacientams, kuriems buvo lengvas kepenų funkcijos sutrikimas, nei sveikiems savanoriams.</w:t>
      </w:r>
    </w:p>
    <w:p w14:paraId="6772BB93" w14:textId="77777777" w:rsidR="00172C88" w:rsidRDefault="00172C88" w:rsidP="00172C88">
      <w:pPr>
        <w:ind w:right="-142"/>
        <w:rPr>
          <w:lang w:val="lt-LT"/>
        </w:rPr>
      </w:pPr>
    </w:p>
    <w:p w14:paraId="3792F795" w14:textId="77777777" w:rsidR="00172C88" w:rsidRPr="00E32052" w:rsidRDefault="00172C88" w:rsidP="00172C88">
      <w:pPr>
        <w:ind w:right="-142"/>
        <w:rPr>
          <w:lang w:val="lt-LT"/>
        </w:rPr>
      </w:pPr>
      <w:r>
        <w:rPr>
          <w:lang w:val="lt-LT"/>
        </w:rPr>
        <w:t>Vidutinio sunkumo kepenų funkcijos sutrikimo (</w:t>
      </w:r>
      <w:proofErr w:type="spellStart"/>
      <w:r w:rsidRPr="00DC170F">
        <w:rPr>
          <w:i/>
          <w:lang w:val="lt-LT"/>
        </w:rPr>
        <w:t>Child-Pugh</w:t>
      </w:r>
      <w:proofErr w:type="spellEnd"/>
      <w:r>
        <w:rPr>
          <w:lang w:val="lt-LT"/>
        </w:rPr>
        <w:t xml:space="preserve"> B klasė) poveikis </w:t>
      </w:r>
      <w:proofErr w:type="spellStart"/>
      <w:r>
        <w:rPr>
          <w:lang w:val="lt-LT"/>
        </w:rPr>
        <w:t>bozentano</w:t>
      </w:r>
      <w:proofErr w:type="spellEnd"/>
      <w:r>
        <w:rPr>
          <w:lang w:val="lt-LT"/>
        </w:rPr>
        <w:t xml:space="preserve"> ir jo svarbiausio metabolito </w:t>
      </w:r>
      <w:proofErr w:type="spellStart"/>
      <w:r>
        <w:rPr>
          <w:lang w:val="lt-LT"/>
        </w:rPr>
        <w:t>Ro</w:t>
      </w:r>
      <w:proofErr w:type="spellEnd"/>
      <w:r>
        <w:rPr>
          <w:lang w:val="lt-LT"/>
        </w:rPr>
        <w:t xml:space="preserve"> 48-5033 farmakokinetikai buvo ištirtas tyrime, įskaitant 5 pacientus, sergančius plaučių hipertenzija, siejama su vartų venos hipertenzija ir </w:t>
      </w:r>
      <w:proofErr w:type="spellStart"/>
      <w:r w:rsidRPr="00DC170F">
        <w:rPr>
          <w:i/>
          <w:lang w:val="lt-LT"/>
        </w:rPr>
        <w:t>Child-Pugh</w:t>
      </w:r>
      <w:proofErr w:type="spellEnd"/>
      <w:r>
        <w:rPr>
          <w:lang w:val="lt-LT"/>
        </w:rPr>
        <w:t xml:space="preserve"> B klasės kepenų nepakankamumu, ir 3 pacientus, sergančius kitų priežasčių sukelta plaučių arterine hipertenzija ir esant normaliai kepenų funkcijai. Pacientams sirgusiems </w:t>
      </w:r>
      <w:proofErr w:type="spellStart"/>
      <w:r w:rsidRPr="00DC170F">
        <w:rPr>
          <w:i/>
          <w:lang w:val="lt-LT"/>
        </w:rPr>
        <w:t>Child-Pugh</w:t>
      </w:r>
      <w:proofErr w:type="spellEnd"/>
      <w:r>
        <w:rPr>
          <w:lang w:val="lt-LT"/>
        </w:rPr>
        <w:t xml:space="preserve"> B klasės kepenų nepakankamumu, susidarius </w:t>
      </w:r>
      <w:proofErr w:type="spellStart"/>
      <w:r>
        <w:rPr>
          <w:lang w:val="lt-LT"/>
        </w:rPr>
        <w:t>pusiausvyrinei</w:t>
      </w:r>
      <w:proofErr w:type="spellEnd"/>
      <w:r>
        <w:rPr>
          <w:lang w:val="lt-LT"/>
        </w:rPr>
        <w:t xml:space="preserve"> koncentracijai, </w:t>
      </w:r>
      <w:proofErr w:type="spellStart"/>
      <w:r>
        <w:rPr>
          <w:lang w:val="lt-LT"/>
        </w:rPr>
        <w:t>bozentano</w:t>
      </w:r>
      <w:proofErr w:type="spellEnd"/>
      <w:r>
        <w:rPr>
          <w:lang w:val="lt-LT"/>
        </w:rPr>
        <w:t xml:space="preserve"> AUC vidurkis (95 % CI) buvo 360 (212</w:t>
      </w:r>
      <w:r>
        <w:rPr>
          <w:i/>
          <w:iCs/>
          <w:lang w:val="lt-LT"/>
        </w:rPr>
        <w:t>–</w:t>
      </w:r>
      <w:r>
        <w:rPr>
          <w:lang w:val="lt-LT"/>
        </w:rPr>
        <w:t xml:space="preserve">613) </w:t>
      </w:r>
      <w:proofErr w:type="spellStart"/>
      <w:r>
        <w:rPr>
          <w:lang w:val="lt-LT"/>
        </w:rPr>
        <w:t>ng.val</w:t>
      </w:r>
      <w:proofErr w:type="spellEnd"/>
      <w:r>
        <w:rPr>
          <w:lang w:val="lt-LT"/>
        </w:rPr>
        <w:t xml:space="preserve">./ml, t. y. 4,7 karto didesnis, o aktyviojo metabolito </w:t>
      </w:r>
      <w:proofErr w:type="spellStart"/>
      <w:r>
        <w:rPr>
          <w:lang w:val="lt-LT"/>
        </w:rPr>
        <w:t>Ro</w:t>
      </w:r>
      <w:proofErr w:type="spellEnd"/>
      <w:r>
        <w:rPr>
          <w:lang w:val="lt-LT"/>
        </w:rPr>
        <w:t xml:space="preserve"> 48-5033 AUC vidurkis (95</w:t>
      </w:r>
      <w:r w:rsidRPr="00C54C14">
        <w:rPr>
          <w:lang w:val="lt-LT"/>
        </w:rPr>
        <w:t> </w:t>
      </w:r>
      <w:r>
        <w:rPr>
          <w:lang w:val="lt-LT"/>
        </w:rPr>
        <w:t>% CI) buvo 106 (58,4</w:t>
      </w:r>
      <w:r>
        <w:rPr>
          <w:i/>
          <w:iCs/>
          <w:lang w:val="lt-LT"/>
        </w:rPr>
        <w:t>–</w:t>
      </w:r>
      <w:r>
        <w:rPr>
          <w:lang w:val="lt-LT"/>
        </w:rPr>
        <w:t>192) </w:t>
      </w:r>
      <w:proofErr w:type="spellStart"/>
      <w:r>
        <w:rPr>
          <w:lang w:val="lt-LT"/>
        </w:rPr>
        <w:t>ng.h</w:t>
      </w:r>
      <w:proofErr w:type="spellEnd"/>
      <w:r>
        <w:rPr>
          <w:lang w:val="lt-LT"/>
        </w:rPr>
        <w:t>/ml, t. y. 12,4 karto didesnis negu pacientams, kurių kepenų funkcija normali (</w:t>
      </w:r>
      <w:proofErr w:type="spellStart"/>
      <w:r>
        <w:rPr>
          <w:lang w:val="lt-LT"/>
        </w:rPr>
        <w:t>bozentano</w:t>
      </w:r>
      <w:proofErr w:type="spellEnd"/>
      <w:r>
        <w:rPr>
          <w:lang w:val="lt-LT"/>
        </w:rPr>
        <w:t xml:space="preserve"> AUC vidurkis [95 % CI] : 76,1 [9,07-638] </w:t>
      </w:r>
      <w:proofErr w:type="spellStart"/>
      <w:r>
        <w:rPr>
          <w:lang w:val="lt-LT"/>
        </w:rPr>
        <w:t>ng.val</w:t>
      </w:r>
      <w:proofErr w:type="spellEnd"/>
      <w:r>
        <w:rPr>
          <w:lang w:val="lt-LT"/>
        </w:rPr>
        <w:t xml:space="preserve">./ml; </w:t>
      </w:r>
      <w:proofErr w:type="spellStart"/>
      <w:r>
        <w:rPr>
          <w:lang w:val="lt-LT"/>
        </w:rPr>
        <w:t>Ro</w:t>
      </w:r>
      <w:proofErr w:type="spellEnd"/>
      <w:r>
        <w:rPr>
          <w:lang w:val="lt-LT"/>
        </w:rPr>
        <w:t xml:space="preserve"> 48-5033 AUC vidurkis (95 % CI): [95 % CI] 8,57 [1,28</w:t>
      </w:r>
      <w:r>
        <w:rPr>
          <w:i/>
          <w:iCs/>
          <w:lang w:val="lt-LT"/>
        </w:rPr>
        <w:t>–</w:t>
      </w:r>
      <w:r>
        <w:rPr>
          <w:lang w:val="lt-LT"/>
        </w:rPr>
        <w:t>57,2] </w:t>
      </w:r>
      <w:proofErr w:type="spellStart"/>
      <w:r>
        <w:rPr>
          <w:lang w:val="lt-LT"/>
        </w:rPr>
        <w:t>ng.val</w:t>
      </w:r>
      <w:proofErr w:type="spellEnd"/>
      <w:r>
        <w:rPr>
          <w:lang w:val="lt-LT"/>
        </w:rPr>
        <w:t xml:space="preserve">/ml). Nors į tyrimą įtrauktų pacientų skaičius buvo ribotas ir kintamumas buvo aukštas, šie duomenys rodo žymų </w:t>
      </w:r>
      <w:proofErr w:type="spellStart"/>
      <w:r>
        <w:rPr>
          <w:lang w:val="lt-LT"/>
        </w:rPr>
        <w:t>bozentano</w:t>
      </w:r>
      <w:proofErr w:type="spellEnd"/>
      <w:r>
        <w:rPr>
          <w:lang w:val="lt-LT"/>
        </w:rPr>
        <w:t xml:space="preserve"> ir jo svarbiausio metabolito </w:t>
      </w:r>
      <w:proofErr w:type="spellStart"/>
      <w:r>
        <w:rPr>
          <w:lang w:val="lt-LT"/>
        </w:rPr>
        <w:t>Ro</w:t>
      </w:r>
      <w:proofErr w:type="spellEnd"/>
      <w:r>
        <w:rPr>
          <w:lang w:val="lt-LT"/>
        </w:rPr>
        <w:t xml:space="preserve"> 48-5033 ekspozicijos padidėjimą pacientams, kuriems yra vidutinio sunkumo kepenų funkcijos sutrikimas (</w:t>
      </w:r>
      <w:proofErr w:type="spellStart"/>
      <w:r w:rsidRPr="00DC170F">
        <w:rPr>
          <w:i/>
          <w:lang w:val="lt-LT"/>
        </w:rPr>
        <w:t>Child-Pugh</w:t>
      </w:r>
      <w:proofErr w:type="spellEnd"/>
      <w:r>
        <w:rPr>
          <w:lang w:val="lt-LT"/>
        </w:rPr>
        <w:t xml:space="preserve"> B klasė).</w:t>
      </w:r>
    </w:p>
    <w:p w14:paraId="1C30D3C4" w14:textId="77777777" w:rsidR="00172C88" w:rsidRDefault="00172C88" w:rsidP="00172C88">
      <w:pPr>
        <w:ind w:right="-142"/>
        <w:rPr>
          <w:lang w:val="lt-LT"/>
        </w:rPr>
      </w:pPr>
    </w:p>
    <w:p w14:paraId="1838C85E" w14:textId="77777777" w:rsidR="00172C88" w:rsidRPr="00E32052" w:rsidRDefault="00172C88" w:rsidP="00172C88">
      <w:pPr>
        <w:ind w:right="-142"/>
        <w:rPr>
          <w:lang w:val="lt-LT"/>
        </w:rPr>
      </w:pPr>
      <w:proofErr w:type="spellStart"/>
      <w:r>
        <w:rPr>
          <w:lang w:val="lt-LT"/>
        </w:rPr>
        <w:t>Bozentano</w:t>
      </w:r>
      <w:proofErr w:type="spellEnd"/>
      <w:r>
        <w:rPr>
          <w:lang w:val="lt-LT"/>
        </w:rPr>
        <w:t xml:space="preserve"> farmakokinetika nebuvo tiriama pacientams, sergantiems C klasės pagal </w:t>
      </w:r>
      <w:proofErr w:type="spellStart"/>
      <w:r>
        <w:rPr>
          <w:i/>
          <w:lang w:val="lt-LT"/>
        </w:rPr>
        <w:t>Child-Pugh</w:t>
      </w:r>
      <w:proofErr w:type="spellEnd"/>
      <w:r>
        <w:rPr>
          <w:lang w:val="lt-LT"/>
        </w:rPr>
        <w:t xml:space="preserve"> kepenų ciroze.</w:t>
      </w:r>
      <w:r>
        <w:rPr>
          <w:rFonts w:eastAsia="Calibri"/>
          <w:color w:val="000000"/>
          <w:sz w:val="20"/>
          <w:lang w:val="lt-LT"/>
        </w:rPr>
        <w:t xml:space="preserve"> P</w:t>
      </w:r>
      <w:r>
        <w:rPr>
          <w:lang w:val="lt-LT"/>
        </w:rPr>
        <w:t xml:space="preserve">acientams, kuriems nustatytas vidutinis arba sunkus kepenų funkcijos sutrikimas, pvz., </w:t>
      </w:r>
      <w:proofErr w:type="spellStart"/>
      <w:r>
        <w:rPr>
          <w:i/>
          <w:lang w:val="lt-LT"/>
        </w:rPr>
        <w:t>Child-Pugh</w:t>
      </w:r>
      <w:proofErr w:type="spellEnd"/>
      <w:r>
        <w:rPr>
          <w:lang w:val="lt-LT"/>
        </w:rPr>
        <w:t xml:space="preserve"> B ar C klasė, </w:t>
      </w:r>
      <w:proofErr w:type="spellStart"/>
      <w:r>
        <w:rPr>
          <w:lang w:val="lt-LT"/>
        </w:rPr>
        <w:t>Bosentan</w:t>
      </w:r>
      <w:proofErr w:type="spellEnd"/>
      <w:r>
        <w:rPr>
          <w:lang w:val="lt-LT"/>
        </w:rPr>
        <w:t xml:space="preserve"> </w:t>
      </w:r>
      <w:proofErr w:type="spellStart"/>
      <w:r>
        <w:rPr>
          <w:lang w:val="lt-LT"/>
        </w:rPr>
        <w:t>Norameda</w:t>
      </w:r>
      <w:proofErr w:type="spellEnd"/>
      <w:r>
        <w:rPr>
          <w:lang w:val="lt-LT"/>
        </w:rPr>
        <w:t xml:space="preserve"> vartoti draudžiama (žr. 4.3 skyrių). </w:t>
      </w:r>
    </w:p>
    <w:p w14:paraId="556B8089" w14:textId="77777777" w:rsidR="00172C88" w:rsidRDefault="00172C88" w:rsidP="00172C88">
      <w:pPr>
        <w:ind w:right="-142"/>
        <w:rPr>
          <w:lang w:val="lt-LT"/>
        </w:rPr>
      </w:pPr>
    </w:p>
    <w:p w14:paraId="182EDF10" w14:textId="77777777" w:rsidR="00172C88" w:rsidRDefault="00172C88" w:rsidP="00172C88">
      <w:pPr>
        <w:ind w:right="-142"/>
        <w:rPr>
          <w:u w:val="single"/>
          <w:lang w:val="lt-LT"/>
        </w:rPr>
      </w:pPr>
      <w:r>
        <w:rPr>
          <w:u w:val="single"/>
          <w:lang w:val="lt-LT"/>
        </w:rPr>
        <w:t>Sutrikusi inkstų funkcija</w:t>
      </w:r>
    </w:p>
    <w:p w14:paraId="593033BD" w14:textId="77777777" w:rsidR="00172C88" w:rsidRPr="007263E8" w:rsidRDefault="00172C88" w:rsidP="00172C88">
      <w:pPr>
        <w:ind w:right="-142"/>
        <w:rPr>
          <w:lang w:val="lt-LT"/>
        </w:rPr>
      </w:pPr>
      <w:r>
        <w:rPr>
          <w:lang w:val="lt-LT"/>
        </w:rPr>
        <w:t xml:space="preserve">Pacientų, kuriems yra sunkus inkstų funkcijos sutrikimas (kreatinino klirensas 15–30 ml/min.), </w:t>
      </w:r>
      <w:proofErr w:type="spellStart"/>
      <w:r>
        <w:rPr>
          <w:lang w:val="lt-LT"/>
        </w:rPr>
        <w:t>bozentano</w:t>
      </w:r>
      <w:proofErr w:type="spellEnd"/>
      <w:r>
        <w:rPr>
          <w:lang w:val="lt-LT"/>
        </w:rPr>
        <w:t xml:space="preserve"> koncentracija plazmoje sumažėjo maždaug 10 %. </w:t>
      </w:r>
      <w:proofErr w:type="spellStart"/>
      <w:r>
        <w:rPr>
          <w:lang w:val="lt-LT"/>
        </w:rPr>
        <w:t>Bozentano</w:t>
      </w:r>
      <w:proofErr w:type="spellEnd"/>
      <w:r>
        <w:rPr>
          <w:lang w:val="lt-LT"/>
        </w:rPr>
        <w:t xml:space="preserve"> metabolitų koncentracija tokių </w:t>
      </w:r>
      <w:r>
        <w:rPr>
          <w:lang w:val="lt-LT"/>
        </w:rPr>
        <w:lastRenderedPageBreak/>
        <w:t xml:space="preserve">ligonių plazmoje padidėjo maždaug 2 kartus, palyginti su asmenimis, kurių inkstų funkcija buvo normali. Pacientams, kurių inkstų funkcija sutrikusi, dozės koreguoti nereikia. Specifinės klinikinės patirties su dializėmis gydomais pacientais nėra. Atsižvelgiant į fizikines bei chemines savybes ir didelio laipsnio jungimąsi su baltymais, </w:t>
      </w:r>
      <w:proofErr w:type="spellStart"/>
      <w:r>
        <w:rPr>
          <w:lang w:val="lt-LT"/>
        </w:rPr>
        <w:t>bozentanas</w:t>
      </w:r>
      <w:proofErr w:type="spellEnd"/>
      <w:r>
        <w:rPr>
          <w:lang w:val="lt-LT"/>
        </w:rPr>
        <w:t xml:space="preserve"> dializės metu neturėtų būti pašalinamas iš kraujotakos reikšmingais kiekiais (žr. 4.2 skyrių). </w:t>
      </w:r>
      <w:r>
        <w:rPr>
          <w:lang w:val="lt-LT"/>
        </w:rPr>
        <w:br/>
      </w:r>
    </w:p>
    <w:p w14:paraId="293DCC14"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r>
      <w:proofErr w:type="spellStart"/>
      <w:r>
        <w:rPr>
          <w:rFonts w:ascii="Times New Roman" w:hAnsi="Times New Roman"/>
          <w:sz w:val="22"/>
          <w:lang w:val="lt-LT"/>
        </w:rPr>
        <w:t>Ikiklinikinių</w:t>
      </w:r>
      <w:proofErr w:type="spellEnd"/>
      <w:r>
        <w:rPr>
          <w:rFonts w:ascii="Times New Roman" w:hAnsi="Times New Roman"/>
          <w:sz w:val="22"/>
          <w:lang w:val="lt-LT"/>
        </w:rPr>
        <w:t xml:space="preserve"> saugumo tyrimų duomenys</w:t>
      </w:r>
    </w:p>
    <w:p w14:paraId="42CADCC1" w14:textId="77777777" w:rsidR="00172C88" w:rsidRDefault="00172C88" w:rsidP="00172C88">
      <w:pPr>
        <w:tabs>
          <w:tab w:val="clear" w:pos="567"/>
        </w:tabs>
        <w:spacing w:line="240" w:lineRule="auto"/>
        <w:rPr>
          <w:szCs w:val="24"/>
          <w:lang w:val="lt-LT"/>
        </w:rPr>
      </w:pPr>
    </w:p>
    <w:p w14:paraId="7B83A882" w14:textId="77777777" w:rsidR="00172C88" w:rsidRDefault="00172C88" w:rsidP="00172C88">
      <w:pPr>
        <w:tabs>
          <w:tab w:val="clear" w:pos="567"/>
        </w:tabs>
        <w:spacing w:line="240" w:lineRule="auto"/>
        <w:rPr>
          <w:szCs w:val="24"/>
          <w:lang w:val="lt-LT"/>
        </w:rPr>
      </w:pPr>
      <w:r>
        <w:rPr>
          <w:szCs w:val="24"/>
          <w:lang w:val="lt-LT"/>
        </w:rPr>
        <w:t xml:space="preserve">2 metų </w:t>
      </w:r>
      <w:proofErr w:type="spellStart"/>
      <w:r>
        <w:rPr>
          <w:szCs w:val="24"/>
          <w:lang w:val="lt-LT"/>
        </w:rPr>
        <w:t>kancerogeniškumo</w:t>
      </w:r>
      <w:proofErr w:type="spellEnd"/>
      <w:r>
        <w:rPr>
          <w:szCs w:val="24"/>
          <w:lang w:val="lt-LT"/>
        </w:rPr>
        <w:t xml:space="preserve"> tyrimai su pelėmis parodė padidėjusį jungtinį kepenų ląstelių adenomų ir karcinomų dažnį patinams, bet ne patelėms, kai koncentracija plazmoje buvo maždaug 2–4 kartus didesnė, palyginti su būnančia žmonėms vartojant terapinę dozę. Žiurkėms 2 metus girdant </w:t>
      </w:r>
      <w:proofErr w:type="spellStart"/>
      <w:r>
        <w:rPr>
          <w:szCs w:val="24"/>
          <w:lang w:val="lt-LT"/>
        </w:rPr>
        <w:t>bozentano</w:t>
      </w:r>
      <w:proofErr w:type="spellEnd"/>
      <w:r>
        <w:rPr>
          <w:szCs w:val="24"/>
          <w:lang w:val="lt-LT"/>
        </w:rPr>
        <w:t>, pasireiškė nedidelis, bet statistiškai reikšmingas skydliaukės folikulinių ląstelių adenomų ir karcinomų jungtinio dažnio padidėjimas patinams, bet ne patelėms, kai koncentracija plazmoje buvo maždaug 9</w:t>
      </w:r>
      <w:r>
        <w:rPr>
          <w:szCs w:val="24"/>
          <w:lang w:val="lt-LT"/>
        </w:rPr>
        <w:noBreakHyphen/>
        <w:t xml:space="preserve">14 kartų didesnė, palyginti su būnančia žmonėms vartojant terapinę dozę. </w:t>
      </w:r>
      <w:proofErr w:type="spellStart"/>
      <w:r>
        <w:rPr>
          <w:szCs w:val="24"/>
          <w:lang w:val="lt-LT"/>
        </w:rPr>
        <w:t>Bozentano</w:t>
      </w:r>
      <w:proofErr w:type="spellEnd"/>
      <w:r>
        <w:rPr>
          <w:szCs w:val="24"/>
          <w:lang w:val="lt-LT"/>
        </w:rPr>
        <w:t xml:space="preserve"> </w:t>
      </w:r>
      <w:proofErr w:type="spellStart"/>
      <w:r>
        <w:rPr>
          <w:szCs w:val="24"/>
          <w:lang w:val="lt-LT"/>
        </w:rPr>
        <w:t>genotoksiškumo</w:t>
      </w:r>
      <w:proofErr w:type="spellEnd"/>
      <w:r>
        <w:rPr>
          <w:szCs w:val="24"/>
          <w:lang w:val="lt-LT"/>
        </w:rPr>
        <w:t xml:space="preserve"> tyrimai buvo neigiami. Gauta duomenų, kad žiurkėms </w:t>
      </w:r>
      <w:proofErr w:type="spellStart"/>
      <w:r>
        <w:rPr>
          <w:szCs w:val="24"/>
          <w:lang w:val="lt-LT"/>
        </w:rPr>
        <w:t>bozentanas</w:t>
      </w:r>
      <w:proofErr w:type="spellEnd"/>
      <w:r>
        <w:rPr>
          <w:szCs w:val="24"/>
          <w:lang w:val="lt-LT"/>
        </w:rPr>
        <w:t xml:space="preserve"> šiek tiek sutrikdė skydliaukės hormonų pusiausvyrą. Vis dėlto duomenų, kad </w:t>
      </w:r>
      <w:proofErr w:type="spellStart"/>
      <w:r>
        <w:rPr>
          <w:szCs w:val="24"/>
          <w:lang w:val="lt-LT"/>
        </w:rPr>
        <w:t>bozentanas</w:t>
      </w:r>
      <w:proofErr w:type="spellEnd"/>
      <w:r>
        <w:rPr>
          <w:szCs w:val="24"/>
          <w:lang w:val="lt-LT"/>
        </w:rPr>
        <w:t xml:space="preserve"> turėtų įtakos žmonių skydliaukės veiklai (</w:t>
      </w:r>
      <w:proofErr w:type="spellStart"/>
      <w:r>
        <w:rPr>
          <w:szCs w:val="24"/>
          <w:lang w:val="lt-LT"/>
        </w:rPr>
        <w:t>tiroksino</w:t>
      </w:r>
      <w:proofErr w:type="spellEnd"/>
      <w:r>
        <w:rPr>
          <w:szCs w:val="24"/>
          <w:lang w:val="lt-LT"/>
        </w:rPr>
        <w:t>, TSH kiekiui), negauta.</w:t>
      </w:r>
    </w:p>
    <w:p w14:paraId="04E47F9D" w14:textId="77777777" w:rsidR="00172C88" w:rsidRDefault="00172C88" w:rsidP="00172C88">
      <w:pPr>
        <w:tabs>
          <w:tab w:val="clear" w:pos="567"/>
        </w:tabs>
        <w:spacing w:line="240" w:lineRule="auto"/>
        <w:rPr>
          <w:szCs w:val="24"/>
          <w:lang w:val="lt-LT"/>
        </w:rPr>
      </w:pPr>
      <w:r>
        <w:rPr>
          <w:szCs w:val="24"/>
          <w:lang w:val="lt-LT"/>
        </w:rPr>
        <w:t xml:space="preserve"> </w:t>
      </w:r>
    </w:p>
    <w:p w14:paraId="4D004B3A" w14:textId="77777777" w:rsidR="00172C88" w:rsidRDefault="00172C88" w:rsidP="00172C88">
      <w:pPr>
        <w:tabs>
          <w:tab w:val="clear" w:pos="567"/>
        </w:tabs>
        <w:spacing w:line="240" w:lineRule="auto"/>
        <w:rPr>
          <w:szCs w:val="24"/>
          <w:lang w:val="lt-LT"/>
        </w:rPr>
      </w:pPr>
      <w:proofErr w:type="spellStart"/>
      <w:r>
        <w:rPr>
          <w:szCs w:val="24"/>
          <w:lang w:val="lt-LT"/>
        </w:rPr>
        <w:t>Bozentano</w:t>
      </w:r>
      <w:proofErr w:type="spellEnd"/>
      <w:r>
        <w:rPr>
          <w:szCs w:val="24"/>
          <w:lang w:val="lt-LT"/>
        </w:rPr>
        <w:t xml:space="preserve"> poveikis </w:t>
      </w:r>
      <w:proofErr w:type="spellStart"/>
      <w:r>
        <w:rPr>
          <w:szCs w:val="24"/>
          <w:lang w:val="lt-LT"/>
        </w:rPr>
        <w:t>mitochondrijų</w:t>
      </w:r>
      <w:proofErr w:type="spellEnd"/>
      <w:r>
        <w:rPr>
          <w:szCs w:val="24"/>
          <w:lang w:val="lt-LT"/>
        </w:rPr>
        <w:t xml:space="preserve"> funkcijai nežinomas. </w:t>
      </w:r>
    </w:p>
    <w:p w14:paraId="1F52DBD2" w14:textId="77777777" w:rsidR="00172C88" w:rsidRDefault="00172C88" w:rsidP="00172C88">
      <w:pPr>
        <w:tabs>
          <w:tab w:val="clear" w:pos="567"/>
        </w:tabs>
        <w:spacing w:line="240" w:lineRule="auto"/>
        <w:rPr>
          <w:szCs w:val="24"/>
          <w:lang w:val="lt-LT"/>
        </w:rPr>
      </w:pPr>
    </w:p>
    <w:p w14:paraId="48C7C268" w14:textId="77777777" w:rsidR="00172C88" w:rsidRDefault="00172C88" w:rsidP="00172C88">
      <w:pPr>
        <w:tabs>
          <w:tab w:val="clear" w:pos="567"/>
        </w:tabs>
        <w:spacing w:line="240" w:lineRule="auto"/>
        <w:rPr>
          <w:szCs w:val="24"/>
          <w:lang w:val="lt-LT"/>
        </w:rPr>
      </w:pPr>
      <w:r>
        <w:rPr>
          <w:szCs w:val="24"/>
          <w:lang w:val="lt-LT"/>
        </w:rPr>
        <w:t xml:space="preserve">Nustatyta, kad </w:t>
      </w:r>
      <w:proofErr w:type="spellStart"/>
      <w:r>
        <w:rPr>
          <w:szCs w:val="24"/>
          <w:lang w:val="lt-LT"/>
        </w:rPr>
        <w:t>bozentanas</w:t>
      </w:r>
      <w:proofErr w:type="spellEnd"/>
      <w:r>
        <w:rPr>
          <w:szCs w:val="24"/>
          <w:lang w:val="lt-LT"/>
        </w:rPr>
        <w:t xml:space="preserve"> sukelia </w:t>
      </w:r>
      <w:proofErr w:type="spellStart"/>
      <w:r>
        <w:rPr>
          <w:szCs w:val="24"/>
          <w:lang w:val="lt-LT"/>
        </w:rPr>
        <w:t>teratogeninį</w:t>
      </w:r>
      <w:proofErr w:type="spellEnd"/>
      <w:r>
        <w:rPr>
          <w:szCs w:val="24"/>
          <w:lang w:val="lt-LT"/>
        </w:rPr>
        <w:t xml:space="preserve"> poveikį žiurkėms, kai koncentracija plazmoje yra 1,5 karto didesnė, palyginti su būnančia žmonėms vartojant terapinę dozę. </w:t>
      </w:r>
      <w:proofErr w:type="spellStart"/>
      <w:r>
        <w:rPr>
          <w:szCs w:val="24"/>
          <w:lang w:val="lt-LT"/>
        </w:rPr>
        <w:t>Teratogeninis</w:t>
      </w:r>
      <w:proofErr w:type="spellEnd"/>
      <w:r>
        <w:rPr>
          <w:szCs w:val="24"/>
          <w:lang w:val="lt-LT"/>
        </w:rPr>
        <w:t xml:space="preserve"> poveikis, įskaitant galvos ir veido bei pagrindinių kraujagyslių sklaidos defektus, priklausė nuo dozės. Panašaus pobūdžio sklaidos defektų pobūdis buvo pastebėtas vartojant ir kitų ET receptorių antagonistų bei ET genetiškai modifikuotoms pelėms, tai rodo, kad tai yra klasei būdingas poveikis. Vaisingo amžiaus moterims reikia laikytis atitinkamų saugumo priemonių (žr. 4.3, 4.4 ir 4.6 skyrius). </w:t>
      </w:r>
    </w:p>
    <w:p w14:paraId="3279F5AF" w14:textId="77777777" w:rsidR="00172C88" w:rsidRDefault="00172C88" w:rsidP="00172C88">
      <w:pPr>
        <w:tabs>
          <w:tab w:val="clear" w:pos="567"/>
        </w:tabs>
        <w:spacing w:line="240" w:lineRule="auto"/>
        <w:rPr>
          <w:szCs w:val="24"/>
          <w:lang w:val="lt-LT"/>
        </w:rPr>
      </w:pPr>
      <w:r>
        <w:rPr>
          <w:szCs w:val="24"/>
          <w:lang w:val="lt-LT"/>
        </w:rPr>
        <w:t xml:space="preserve"> </w:t>
      </w:r>
    </w:p>
    <w:p w14:paraId="0BD3159E" w14:textId="77777777" w:rsidR="00172C88" w:rsidRDefault="00172C88" w:rsidP="00172C88">
      <w:pPr>
        <w:tabs>
          <w:tab w:val="clear" w:pos="567"/>
        </w:tabs>
        <w:spacing w:line="240" w:lineRule="auto"/>
        <w:rPr>
          <w:szCs w:val="24"/>
          <w:lang w:val="lt-LT"/>
        </w:rPr>
      </w:pPr>
      <w:r>
        <w:rPr>
          <w:szCs w:val="24"/>
          <w:lang w:val="lt-LT"/>
        </w:rPr>
        <w:t xml:space="preserve">Sėklidžių kanalėlių atrofijos atsiradimas ir vaisingumo sutrikimas buvo susietas su lėtiniu </w:t>
      </w:r>
      <w:proofErr w:type="spellStart"/>
      <w:r>
        <w:rPr>
          <w:szCs w:val="24"/>
          <w:lang w:val="lt-LT"/>
        </w:rPr>
        <w:t>endotelino</w:t>
      </w:r>
      <w:proofErr w:type="spellEnd"/>
      <w:r>
        <w:rPr>
          <w:szCs w:val="24"/>
          <w:lang w:val="lt-LT"/>
        </w:rPr>
        <w:t xml:space="preserve"> receptorių antagonistų skyrimu graužikams. </w:t>
      </w:r>
    </w:p>
    <w:p w14:paraId="3BF0F61C" w14:textId="77777777" w:rsidR="00172C88" w:rsidRDefault="00172C88" w:rsidP="00172C88">
      <w:pPr>
        <w:tabs>
          <w:tab w:val="clear" w:pos="567"/>
        </w:tabs>
        <w:spacing w:line="240" w:lineRule="auto"/>
        <w:rPr>
          <w:szCs w:val="24"/>
          <w:lang w:val="lt-LT"/>
        </w:rPr>
      </w:pPr>
      <w:r>
        <w:rPr>
          <w:szCs w:val="24"/>
          <w:lang w:val="lt-LT"/>
        </w:rPr>
        <w:t xml:space="preserve">Atliekant vyriškos ir moteriškos lyties žiurkių vaisingumo tyrimus, kiekį atitinkamai padidinus 21 ir 43 kartus, koks galėtų būti gydant žmonėms, poveikio spermatozoidų skaičiui, judrumui, gyvybingumui, poravimuisi ar vaisingumui, nepastebėta, taip pat nepasireiškė neigiamas poveikis embriono vystymuisi nei prieš, nei po implantacijos. </w:t>
      </w:r>
    </w:p>
    <w:p w14:paraId="261E745A" w14:textId="77777777" w:rsidR="00172C88" w:rsidRDefault="00172C88" w:rsidP="00172C88">
      <w:pPr>
        <w:tabs>
          <w:tab w:val="clear" w:pos="567"/>
        </w:tabs>
        <w:spacing w:line="240" w:lineRule="auto"/>
        <w:rPr>
          <w:szCs w:val="24"/>
          <w:lang w:val="lt-LT"/>
        </w:rPr>
      </w:pPr>
    </w:p>
    <w:p w14:paraId="796274E9" w14:textId="3357FBFD" w:rsidR="00172C88" w:rsidRDefault="00172C88" w:rsidP="00172C88">
      <w:pPr>
        <w:tabs>
          <w:tab w:val="clear" w:pos="567"/>
        </w:tabs>
        <w:spacing w:line="240" w:lineRule="auto"/>
        <w:rPr>
          <w:szCs w:val="24"/>
          <w:lang w:val="lt-LT"/>
        </w:rPr>
      </w:pPr>
      <w:r>
        <w:rPr>
          <w:szCs w:val="24"/>
          <w:lang w:val="lt-LT"/>
        </w:rPr>
        <w:t xml:space="preserve">Šiek tiek didesnis sėklidžių kanalėlių atrofijos dažnis buvo stebėtas žiurkėms, kurioms buvo skiriamas per burną vartojamas </w:t>
      </w:r>
      <w:proofErr w:type="spellStart"/>
      <w:r>
        <w:rPr>
          <w:szCs w:val="24"/>
          <w:lang w:val="lt-LT"/>
        </w:rPr>
        <w:t>bozentanas</w:t>
      </w:r>
      <w:proofErr w:type="spellEnd"/>
      <w:r>
        <w:rPr>
          <w:szCs w:val="24"/>
          <w:lang w:val="lt-LT"/>
        </w:rPr>
        <w:t>, ne mažesnėmis nei 125 mg/kg/d dozėmis (apytiksliai 4 kartus viršija didžiausią rekomenduojamą dozę žmonėms [MRHD] ir mažiausias tirtas dozes) skiriant ne ilgiau nei dvejus metus, tačiau ne didesnėmis nei 1</w:t>
      </w:r>
      <w:r w:rsidR="00AB78DB">
        <w:rPr>
          <w:szCs w:val="24"/>
          <w:lang w:val="lt-LT"/>
        </w:rPr>
        <w:t> </w:t>
      </w:r>
      <w:r>
        <w:rPr>
          <w:szCs w:val="24"/>
          <w:lang w:val="lt-LT"/>
        </w:rPr>
        <w:t xml:space="preserve">500 mg/kg/d (apie 50 kartų didesnė nei MRHD) 6 mėnesius. Žiurkių jauniklių toksiškumo tyrime, kur žiurkės buvo gydomos nuo 4 dienos po gimimo iki brandos, po nujunkymo sumažėjo absoliutus sėklidžių ir </w:t>
      </w:r>
      <w:proofErr w:type="spellStart"/>
      <w:r>
        <w:rPr>
          <w:szCs w:val="24"/>
          <w:lang w:val="lt-LT"/>
        </w:rPr>
        <w:t>antsėklidžių</w:t>
      </w:r>
      <w:proofErr w:type="spellEnd"/>
      <w:r>
        <w:rPr>
          <w:szCs w:val="24"/>
          <w:lang w:val="lt-LT"/>
        </w:rPr>
        <w:t xml:space="preserve"> svoris ir sumažėjo spermatozoidų skaičius </w:t>
      </w:r>
      <w:proofErr w:type="spellStart"/>
      <w:r>
        <w:rPr>
          <w:szCs w:val="24"/>
          <w:lang w:val="lt-LT"/>
        </w:rPr>
        <w:t>antsėklidžiuose</w:t>
      </w:r>
      <w:proofErr w:type="spellEnd"/>
      <w:r>
        <w:rPr>
          <w:szCs w:val="24"/>
          <w:lang w:val="lt-LT"/>
        </w:rPr>
        <w:t xml:space="preserve">. NOAEL buvo 21 kartą (21 dieną po gimimo) ir 2,3 karto (69 dieną po gimimo) didesnis nei terapinė ekspozicija žmonėms, atitinkamai. </w:t>
      </w:r>
    </w:p>
    <w:p w14:paraId="512C1524" w14:textId="77777777" w:rsidR="00172C88" w:rsidRDefault="00172C88" w:rsidP="00172C88">
      <w:pPr>
        <w:tabs>
          <w:tab w:val="clear" w:pos="567"/>
        </w:tabs>
        <w:spacing w:line="240" w:lineRule="auto"/>
        <w:rPr>
          <w:szCs w:val="24"/>
          <w:lang w:val="lt-LT"/>
        </w:rPr>
      </w:pPr>
    </w:p>
    <w:p w14:paraId="2333E1B8" w14:textId="77777777" w:rsidR="00172C88" w:rsidRDefault="00172C88" w:rsidP="00172C88">
      <w:pPr>
        <w:tabs>
          <w:tab w:val="clear" w:pos="567"/>
        </w:tabs>
        <w:spacing w:line="240" w:lineRule="auto"/>
        <w:rPr>
          <w:szCs w:val="24"/>
          <w:lang w:val="lt-LT"/>
        </w:rPr>
      </w:pPr>
      <w:r>
        <w:rPr>
          <w:szCs w:val="24"/>
          <w:lang w:val="lt-LT"/>
        </w:rPr>
        <w:t xml:space="preserve">Tačiau nebuvo nustatyta poveikis bendrajam vystymuisi, augimui, jutiminėms, pažintinėms funkcijoms ir reprodukciniam elgesiui esant 7 kartus (patinams) ir 19 kartų (patelėms) didesnei nei žmonių terapinė ekspozicija 21 dieną po gimimo. Tiriant suaugusio amžiaus (69 dienos po gimimo), nebuvo aptikta </w:t>
      </w:r>
      <w:proofErr w:type="spellStart"/>
      <w:r>
        <w:rPr>
          <w:szCs w:val="24"/>
          <w:lang w:val="lt-LT"/>
        </w:rPr>
        <w:t>bozentano</w:t>
      </w:r>
      <w:proofErr w:type="spellEnd"/>
      <w:r>
        <w:rPr>
          <w:szCs w:val="24"/>
          <w:lang w:val="lt-LT"/>
        </w:rPr>
        <w:t xml:space="preserve"> poveikio esant 1,3 (patinai) ir 2,6 (patelės) kartus didesnei ekspozicijai vaikams, sergantiems PAH. </w:t>
      </w:r>
    </w:p>
    <w:p w14:paraId="186708F1" w14:textId="77777777" w:rsidR="00172C88" w:rsidRDefault="00172C88" w:rsidP="00172C88">
      <w:pPr>
        <w:tabs>
          <w:tab w:val="clear" w:pos="567"/>
        </w:tabs>
        <w:spacing w:line="240" w:lineRule="auto"/>
        <w:rPr>
          <w:szCs w:val="24"/>
          <w:lang w:val="lt-LT"/>
        </w:rPr>
      </w:pPr>
    </w:p>
    <w:p w14:paraId="43CEC8C3" w14:textId="77777777" w:rsidR="00172C88" w:rsidRDefault="00172C88" w:rsidP="00172C88">
      <w:pPr>
        <w:tabs>
          <w:tab w:val="clear" w:pos="567"/>
        </w:tabs>
        <w:spacing w:line="240" w:lineRule="auto"/>
        <w:rPr>
          <w:szCs w:val="24"/>
          <w:lang w:val="lt-LT"/>
        </w:rPr>
      </w:pPr>
    </w:p>
    <w:p w14:paraId="6EF8B80E" w14:textId="77777777" w:rsidR="00172C88" w:rsidRDefault="00172C88" w:rsidP="00172C88">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56B9DB68" w14:textId="77777777" w:rsidR="00172C88" w:rsidRDefault="00172C88" w:rsidP="00172C88">
      <w:pPr>
        <w:tabs>
          <w:tab w:val="clear" w:pos="567"/>
        </w:tabs>
        <w:spacing w:line="240" w:lineRule="auto"/>
        <w:rPr>
          <w:szCs w:val="24"/>
          <w:lang w:val="lt-LT"/>
        </w:rPr>
      </w:pPr>
    </w:p>
    <w:p w14:paraId="33231B65"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64DEB9C5" w14:textId="77777777" w:rsidR="00172C88" w:rsidRDefault="00172C88" w:rsidP="00172C88">
      <w:pPr>
        <w:tabs>
          <w:tab w:val="clear" w:pos="567"/>
        </w:tabs>
        <w:spacing w:line="240" w:lineRule="auto"/>
        <w:rPr>
          <w:szCs w:val="24"/>
          <w:lang w:val="lt-LT"/>
        </w:rPr>
      </w:pPr>
    </w:p>
    <w:p w14:paraId="4F89B0BA" w14:textId="77777777" w:rsidR="00172C88" w:rsidRDefault="00172C88" w:rsidP="00172C88">
      <w:pPr>
        <w:tabs>
          <w:tab w:val="clear" w:pos="567"/>
        </w:tabs>
        <w:spacing w:line="240" w:lineRule="auto"/>
        <w:rPr>
          <w:szCs w:val="24"/>
          <w:u w:val="single"/>
          <w:lang w:val="lt-LT"/>
        </w:rPr>
      </w:pPr>
      <w:r>
        <w:rPr>
          <w:szCs w:val="24"/>
          <w:u w:val="single"/>
          <w:lang w:val="lt-LT"/>
        </w:rPr>
        <w:t>Tabletės šerdis</w:t>
      </w:r>
    </w:p>
    <w:p w14:paraId="704DBA91" w14:textId="77777777" w:rsidR="00172C88" w:rsidRDefault="00172C88" w:rsidP="00172C88">
      <w:pPr>
        <w:tabs>
          <w:tab w:val="clear" w:pos="567"/>
        </w:tabs>
        <w:spacing w:line="240" w:lineRule="auto"/>
        <w:rPr>
          <w:szCs w:val="24"/>
          <w:lang w:val="lt-LT"/>
        </w:rPr>
      </w:pPr>
      <w:r>
        <w:rPr>
          <w:szCs w:val="24"/>
          <w:lang w:val="lt-LT"/>
        </w:rPr>
        <w:t>Kukurūzų krakmolas</w:t>
      </w:r>
    </w:p>
    <w:p w14:paraId="70FB3533" w14:textId="77777777" w:rsidR="00172C88" w:rsidRDefault="00172C88" w:rsidP="00172C88">
      <w:pPr>
        <w:tabs>
          <w:tab w:val="clear" w:pos="567"/>
        </w:tabs>
        <w:spacing w:line="240" w:lineRule="auto"/>
        <w:rPr>
          <w:szCs w:val="24"/>
          <w:lang w:val="lt-LT"/>
        </w:rPr>
      </w:pPr>
      <w:proofErr w:type="spellStart"/>
      <w:r>
        <w:rPr>
          <w:szCs w:val="24"/>
          <w:lang w:val="lt-LT"/>
        </w:rPr>
        <w:lastRenderedPageBreak/>
        <w:t>Pregelifikuotas</w:t>
      </w:r>
      <w:proofErr w:type="spellEnd"/>
      <w:r>
        <w:rPr>
          <w:szCs w:val="24"/>
          <w:lang w:val="lt-LT"/>
        </w:rPr>
        <w:t xml:space="preserve"> kukurūzų krakmolas </w:t>
      </w:r>
    </w:p>
    <w:p w14:paraId="7034CE59" w14:textId="77777777" w:rsidR="00172C88" w:rsidRPr="00C54C14" w:rsidRDefault="00172C88" w:rsidP="00172C88">
      <w:pPr>
        <w:tabs>
          <w:tab w:val="clear" w:pos="567"/>
        </w:tabs>
        <w:autoSpaceDE w:val="0"/>
        <w:spacing w:line="240" w:lineRule="auto"/>
        <w:rPr>
          <w:lang w:val="lt-LT"/>
        </w:rPr>
      </w:pPr>
      <w:proofErr w:type="spellStart"/>
      <w:r>
        <w:rPr>
          <w:rFonts w:eastAsia="Calibri"/>
          <w:color w:val="000000"/>
          <w:sz w:val="23"/>
          <w:szCs w:val="23"/>
          <w:lang w:val="lt-LT" w:eastAsia="zh-CN" w:bidi="lo-LA"/>
        </w:rPr>
        <w:t>Karboksimetilkrakmolo</w:t>
      </w:r>
      <w:proofErr w:type="spellEnd"/>
      <w:r>
        <w:rPr>
          <w:rFonts w:eastAsia="Calibri"/>
          <w:color w:val="000000"/>
          <w:sz w:val="23"/>
          <w:szCs w:val="23"/>
          <w:lang w:val="lt-LT" w:eastAsia="zh-CN" w:bidi="lo-LA"/>
        </w:rPr>
        <w:t xml:space="preserve"> A natrio druska</w:t>
      </w:r>
    </w:p>
    <w:p w14:paraId="34DD3108" w14:textId="77777777" w:rsidR="00172C88" w:rsidRDefault="00172C88" w:rsidP="00172C88">
      <w:pPr>
        <w:tabs>
          <w:tab w:val="clear" w:pos="567"/>
        </w:tabs>
        <w:spacing w:line="240" w:lineRule="auto"/>
        <w:rPr>
          <w:szCs w:val="24"/>
          <w:lang w:val="lt-LT"/>
        </w:rPr>
      </w:pPr>
      <w:proofErr w:type="spellStart"/>
      <w:r>
        <w:rPr>
          <w:szCs w:val="24"/>
          <w:lang w:val="lt-LT"/>
        </w:rPr>
        <w:t>Povidonas</w:t>
      </w:r>
      <w:proofErr w:type="spellEnd"/>
      <w:r>
        <w:rPr>
          <w:szCs w:val="24"/>
          <w:lang w:val="lt-LT"/>
        </w:rPr>
        <w:t xml:space="preserve"> K-30</w:t>
      </w:r>
    </w:p>
    <w:p w14:paraId="24AECDC2" w14:textId="77777777" w:rsidR="00172C88" w:rsidRDefault="00172C88" w:rsidP="00172C88">
      <w:pPr>
        <w:tabs>
          <w:tab w:val="clear" w:pos="567"/>
        </w:tabs>
        <w:spacing w:line="240" w:lineRule="auto"/>
        <w:rPr>
          <w:szCs w:val="24"/>
          <w:lang w:val="lt-LT"/>
        </w:rPr>
      </w:pPr>
      <w:proofErr w:type="spellStart"/>
      <w:r>
        <w:rPr>
          <w:szCs w:val="24"/>
          <w:lang w:val="lt-LT"/>
        </w:rPr>
        <w:t>Poloksameras</w:t>
      </w:r>
      <w:proofErr w:type="spellEnd"/>
      <w:r>
        <w:rPr>
          <w:szCs w:val="24"/>
          <w:lang w:val="lt-LT"/>
        </w:rPr>
        <w:t xml:space="preserve"> 188</w:t>
      </w:r>
    </w:p>
    <w:p w14:paraId="61185AC0" w14:textId="77777777" w:rsidR="00172C88" w:rsidRDefault="00172C88" w:rsidP="00172C88">
      <w:pPr>
        <w:tabs>
          <w:tab w:val="clear" w:pos="567"/>
        </w:tabs>
        <w:spacing w:line="240" w:lineRule="auto"/>
        <w:rPr>
          <w:szCs w:val="24"/>
          <w:lang w:val="lt-LT"/>
        </w:rPr>
      </w:pPr>
      <w:r>
        <w:rPr>
          <w:szCs w:val="24"/>
          <w:lang w:val="lt-LT"/>
        </w:rPr>
        <w:t>Koloidinis silicio dioksidas</w:t>
      </w:r>
    </w:p>
    <w:p w14:paraId="7E5E5854" w14:textId="77777777" w:rsidR="00172C88" w:rsidRDefault="00172C88" w:rsidP="00172C88">
      <w:pPr>
        <w:tabs>
          <w:tab w:val="clear" w:pos="567"/>
        </w:tabs>
        <w:spacing w:line="240" w:lineRule="auto"/>
        <w:rPr>
          <w:szCs w:val="24"/>
          <w:lang w:val="lt-LT"/>
        </w:rPr>
      </w:pPr>
      <w:proofErr w:type="spellStart"/>
      <w:r>
        <w:rPr>
          <w:szCs w:val="24"/>
          <w:lang w:val="lt-LT"/>
        </w:rPr>
        <w:t>Glicerolio</w:t>
      </w:r>
      <w:proofErr w:type="spellEnd"/>
      <w:r>
        <w:rPr>
          <w:szCs w:val="24"/>
          <w:lang w:val="lt-LT"/>
        </w:rPr>
        <w:t xml:space="preserve"> </w:t>
      </w:r>
      <w:proofErr w:type="spellStart"/>
      <w:r>
        <w:rPr>
          <w:szCs w:val="24"/>
          <w:lang w:val="lt-LT"/>
        </w:rPr>
        <w:t>dibehenatas</w:t>
      </w:r>
      <w:proofErr w:type="spellEnd"/>
      <w:r>
        <w:rPr>
          <w:szCs w:val="24"/>
          <w:lang w:val="lt-LT"/>
        </w:rPr>
        <w:t xml:space="preserve"> </w:t>
      </w:r>
    </w:p>
    <w:p w14:paraId="046F93E4" w14:textId="77777777" w:rsidR="00172C88" w:rsidRDefault="00172C88" w:rsidP="00172C88">
      <w:pPr>
        <w:tabs>
          <w:tab w:val="clear" w:pos="567"/>
        </w:tabs>
        <w:spacing w:line="240" w:lineRule="auto"/>
        <w:rPr>
          <w:szCs w:val="24"/>
          <w:lang w:val="lt-LT"/>
        </w:rPr>
      </w:pPr>
      <w:r>
        <w:rPr>
          <w:szCs w:val="24"/>
          <w:lang w:val="lt-LT"/>
        </w:rPr>
        <w:t xml:space="preserve">Magnio </w:t>
      </w:r>
      <w:proofErr w:type="spellStart"/>
      <w:r>
        <w:rPr>
          <w:szCs w:val="24"/>
          <w:lang w:val="lt-LT"/>
        </w:rPr>
        <w:t>stearatas</w:t>
      </w:r>
      <w:proofErr w:type="spellEnd"/>
      <w:r>
        <w:rPr>
          <w:szCs w:val="24"/>
          <w:lang w:val="lt-LT"/>
        </w:rPr>
        <w:t xml:space="preserve"> </w:t>
      </w:r>
    </w:p>
    <w:p w14:paraId="47895198" w14:textId="77777777" w:rsidR="00172C88" w:rsidRDefault="00172C88" w:rsidP="00172C88">
      <w:pPr>
        <w:tabs>
          <w:tab w:val="clear" w:pos="567"/>
        </w:tabs>
        <w:spacing w:line="240" w:lineRule="auto"/>
        <w:rPr>
          <w:szCs w:val="24"/>
          <w:lang w:val="lt-LT"/>
        </w:rPr>
      </w:pPr>
    </w:p>
    <w:p w14:paraId="7A0BFDCC" w14:textId="77777777" w:rsidR="00172C88" w:rsidRDefault="00172C88" w:rsidP="00172C88">
      <w:pPr>
        <w:tabs>
          <w:tab w:val="clear" w:pos="567"/>
        </w:tabs>
        <w:spacing w:line="240" w:lineRule="auto"/>
        <w:rPr>
          <w:szCs w:val="24"/>
          <w:u w:val="single"/>
          <w:lang w:val="lt-LT"/>
        </w:rPr>
      </w:pPr>
      <w:r>
        <w:rPr>
          <w:szCs w:val="24"/>
          <w:u w:val="single"/>
          <w:lang w:val="lt-LT"/>
        </w:rPr>
        <w:t>Tabletės plėvelė</w:t>
      </w:r>
    </w:p>
    <w:p w14:paraId="3914632F" w14:textId="77777777" w:rsidR="00172C88" w:rsidRDefault="00172C88" w:rsidP="00172C88">
      <w:pPr>
        <w:tabs>
          <w:tab w:val="clear" w:pos="567"/>
        </w:tabs>
        <w:spacing w:line="240" w:lineRule="auto"/>
        <w:rPr>
          <w:szCs w:val="24"/>
          <w:lang w:val="lt-LT"/>
        </w:rPr>
      </w:pPr>
      <w:proofErr w:type="spellStart"/>
      <w:r>
        <w:rPr>
          <w:szCs w:val="24"/>
          <w:lang w:val="lt-LT"/>
        </w:rPr>
        <w:t>Hipromeliozė</w:t>
      </w:r>
      <w:proofErr w:type="spellEnd"/>
      <w:r>
        <w:rPr>
          <w:szCs w:val="24"/>
          <w:lang w:val="lt-LT"/>
        </w:rPr>
        <w:t xml:space="preserve"> </w:t>
      </w:r>
    </w:p>
    <w:p w14:paraId="5E2DE773" w14:textId="77777777" w:rsidR="00172C88" w:rsidRDefault="00172C88" w:rsidP="00172C88">
      <w:pPr>
        <w:tabs>
          <w:tab w:val="clear" w:pos="567"/>
        </w:tabs>
        <w:spacing w:line="240" w:lineRule="auto"/>
        <w:rPr>
          <w:szCs w:val="24"/>
          <w:lang w:val="lt-LT"/>
        </w:rPr>
      </w:pPr>
      <w:r>
        <w:rPr>
          <w:szCs w:val="24"/>
          <w:lang w:val="lt-LT"/>
        </w:rPr>
        <w:t xml:space="preserve">Titano dioksidas (E171) </w:t>
      </w:r>
    </w:p>
    <w:p w14:paraId="22151DC4" w14:textId="77777777" w:rsidR="00172C88" w:rsidRDefault="00172C88" w:rsidP="00172C88">
      <w:pPr>
        <w:tabs>
          <w:tab w:val="clear" w:pos="567"/>
        </w:tabs>
        <w:spacing w:line="240" w:lineRule="auto"/>
        <w:rPr>
          <w:szCs w:val="24"/>
          <w:lang w:val="lt-LT"/>
        </w:rPr>
      </w:pPr>
      <w:proofErr w:type="spellStart"/>
      <w:r>
        <w:rPr>
          <w:szCs w:val="24"/>
          <w:lang w:val="lt-LT"/>
        </w:rPr>
        <w:t>Etilceliuliozė</w:t>
      </w:r>
      <w:proofErr w:type="spellEnd"/>
    </w:p>
    <w:p w14:paraId="1F23ACC4" w14:textId="77777777" w:rsidR="00172C88" w:rsidRDefault="00172C88" w:rsidP="00172C88">
      <w:pPr>
        <w:tabs>
          <w:tab w:val="clear" w:pos="567"/>
        </w:tabs>
        <w:spacing w:line="240" w:lineRule="auto"/>
        <w:rPr>
          <w:szCs w:val="24"/>
          <w:lang w:val="lt-LT"/>
        </w:rPr>
      </w:pPr>
      <w:proofErr w:type="spellStart"/>
      <w:r>
        <w:rPr>
          <w:szCs w:val="24"/>
          <w:lang w:val="lt-LT"/>
        </w:rPr>
        <w:t>Triacetinas</w:t>
      </w:r>
      <w:proofErr w:type="spellEnd"/>
      <w:r>
        <w:rPr>
          <w:szCs w:val="24"/>
          <w:lang w:val="lt-LT"/>
        </w:rPr>
        <w:t xml:space="preserve"> (E1518)</w:t>
      </w:r>
    </w:p>
    <w:p w14:paraId="36A79666" w14:textId="77777777" w:rsidR="00172C88" w:rsidRDefault="00172C88" w:rsidP="00172C88">
      <w:pPr>
        <w:tabs>
          <w:tab w:val="clear" w:pos="567"/>
        </w:tabs>
        <w:spacing w:line="240" w:lineRule="auto"/>
        <w:rPr>
          <w:szCs w:val="24"/>
          <w:lang w:val="lt-LT"/>
        </w:rPr>
      </w:pPr>
      <w:r>
        <w:rPr>
          <w:szCs w:val="24"/>
          <w:lang w:val="lt-LT"/>
        </w:rPr>
        <w:t xml:space="preserve">Talkas </w:t>
      </w:r>
    </w:p>
    <w:p w14:paraId="56418D90" w14:textId="77777777" w:rsidR="00172C88" w:rsidRDefault="00172C88" w:rsidP="00172C88">
      <w:pPr>
        <w:tabs>
          <w:tab w:val="clear" w:pos="567"/>
        </w:tabs>
        <w:spacing w:line="240" w:lineRule="auto"/>
        <w:rPr>
          <w:szCs w:val="24"/>
          <w:lang w:val="lt-LT"/>
        </w:rPr>
      </w:pPr>
      <w:r>
        <w:rPr>
          <w:szCs w:val="24"/>
          <w:lang w:val="lt-LT"/>
        </w:rPr>
        <w:t xml:space="preserve">Geltonasis geležies oksidas (E172) </w:t>
      </w:r>
    </w:p>
    <w:p w14:paraId="2BE0A43B" w14:textId="77777777" w:rsidR="00172C88" w:rsidRDefault="00172C88" w:rsidP="00172C88">
      <w:pPr>
        <w:tabs>
          <w:tab w:val="clear" w:pos="567"/>
        </w:tabs>
        <w:spacing w:line="240" w:lineRule="auto"/>
        <w:rPr>
          <w:szCs w:val="24"/>
          <w:lang w:val="lt-LT"/>
        </w:rPr>
      </w:pPr>
      <w:r>
        <w:rPr>
          <w:szCs w:val="24"/>
          <w:lang w:val="lt-LT"/>
        </w:rPr>
        <w:t xml:space="preserve">Raudonasis geležies oksidas (E172) </w:t>
      </w:r>
    </w:p>
    <w:p w14:paraId="640939E2" w14:textId="77777777" w:rsidR="00172C88" w:rsidRDefault="00172C88" w:rsidP="00172C88">
      <w:pPr>
        <w:tabs>
          <w:tab w:val="clear" w:pos="567"/>
        </w:tabs>
        <w:spacing w:line="240" w:lineRule="auto"/>
        <w:rPr>
          <w:szCs w:val="24"/>
          <w:lang w:val="lt-LT"/>
        </w:rPr>
      </w:pPr>
      <w:r>
        <w:rPr>
          <w:szCs w:val="24"/>
          <w:lang w:val="lt-LT"/>
        </w:rPr>
        <w:t xml:space="preserve">Juodasis geležies oksidas (E172) </w:t>
      </w:r>
    </w:p>
    <w:p w14:paraId="50FE73C2" w14:textId="77777777" w:rsidR="00172C88" w:rsidRDefault="00172C88" w:rsidP="00172C88">
      <w:pPr>
        <w:tabs>
          <w:tab w:val="clear" w:pos="567"/>
        </w:tabs>
        <w:spacing w:line="240" w:lineRule="auto"/>
        <w:rPr>
          <w:szCs w:val="24"/>
          <w:lang w:val="lt-LT"/>
        </w:rPr>
      </w:pPr>
    </w:p>
    <w:p w14:paraId="4CABBF74"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14:paraId="73DCA725" w14:textId="77777777" w:rsidR="00172C88" w:rsidRDefault="00172C88" w:rsidP="00172C88">
      <w:pPr>
        <w:tabs>
          <w:tab w:val="clear" w:pos="567"/>
        </w:tabs>
        <w:spacing w:line="240" w:lineRule="auto"/>
        <w:rPr>
          <w:szCs w:val="24"/>
          <w:lang w:val="lt-LT"/>
        </w:rPr>
      </w:pPr>
    </w:p>
    <w:p w14:paraId="730526C2" w14:textId="77777777" w:rsidR="00172C88" w:rsidRDefault="00172C88" w:rsidP="00172C88">
      <w:pPr>
        <w:tabs>
          <w:tab w:val="clear" w:pos="567"/>
        </w:tabs>
        <w:spacing w:line="240" w:lineRule="auto"/>
        <w:rPr>
          <w:szCs w:val="24"/>
          <w:lang w:val="lt-LT"/>
        </w:rPr>
      </w:pPr>
      <w:r>
        <w:rPr>
          <w:szCs w:val="24"/>
          <w:lang w:val="lt-LT"/>
        </w:rPr>
        <w:t>Duomenys nebūtini.</w:t>
      </w:r>
    </w:p>
    <w:p w14:paraId="27ACC51B" w14:textId="77777777" w:rsidR="00172C88" w:rsidRDefault="00172C88" w:rsidP="00172C88">
      <w:pPr>
        <w:tabs>
          <w:tab w:val="clear" w:pos="567"/>
        </w:tabs>
        <w:spacing w:line="240" w:lineRule="auto"/>
        <w:rPr>
          <w:szCs w:val="24"/>
          <w:lang w:val="lt-LT"/>
        </w:rPr>
      </w:pPr>
    </w:p>
    <w:p w14:paraId="2A12748D"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210E139A" w14:textId="77777777" w:rsidR="00172C88" w:rsidRDefault="00172C88" w:rsidP="00172C88">
      <w:pPr>
        <w:tabs>
          <w:tab w:val="clear" w:pos="567"/>
        </w:tabs>
        <w:spacing w:line="240" w:lineRule="auto"/>
        <w:rPr>
          <w:szCs w:val="24"/>
          <w:lang w:val="lt-LT"/>
        </w:rPr>
      </w:pPr>
    </w:p>
    <w:p w14:paraId="3412AE46" w14:textId="376E46CE" w:rsidR="00172C88" w:rsidRDefault="000F798B" w:rsidP="00172C88">
      <w:pPr>
        <w:tabs>
          <w:tab w:val="clear" w:pos="567"/>
        </w:tabs>
        <w:spacing w:line="240" w:lineRule="auto"/>
        <w:rPr>
          <w:szCs w:val="24"/>
          <w:lang w:val="lt-LT"/>
        </w:rPr>
      </w:pPr>
      <w:r>
        <w:rPr>
          <w:szCs w:val="24"/>
          <w:lang w:val="lt-LT"/>
        </w:rPr>
        <w:t>5</w:t>
      </w:r>
      <w:r w:rsidR="00172C88">
        <w:rPr>
          <w:szCs w:val="24"/>
          <w:lang w:val="lt-LT"/>
        </w:rPr>
        <w:t xml:space="preserve"> metai</w:t>
      </w:r>
    </w:p>
    <w:p w14:paraId="4BB4772A" w14:textId="77777777" w:rsidR="00172C88" w:rsidRDefault="00172C88" w:rsidP="00172C88">
      <w:pPr>
        <w:tabs>
          <w:tab w:val="clear" w:pos="567"/>
        </w:tabs>
        <w:spacing w:line="240" w:lineRule="auto"/>
        <w:rPr>
          <w:szCs w:val="24"/>
          <w:lang w:val="lt-LT"/>
        </w:rPr>
      </w:pPr>
    </w:p>
    <w:p w14:paraId="654C67E3"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3F3A634E" w14:textId="77777777" w:rsidR="00172C88" w:rsidRDefault="00172C88" w:rsidP="00172C88">
      <w:pPr>
        <w:tabs>
          <w:tab w:val="clear" w:pos="567"/>
        </w:tabs>
        <w:spacing w:line="240" w:lineRule="auto"/>
        <w:rPr>
          <w:szCs w:val="24"/>
          <w:lang w:val="lt-LT"/>
        </w:rPr>
      </w:pPr>
    </w:p>
    <w:p w14:paraId="3E007A22" w14:textId="77777777" w:rsidR="00172C88" w:rsidRDefault="00172C88" w:rsidP="00172C88">
      <w:pPr>
        <w:rPr>
          <w:lang w:val="lt-LT"/>
        </w:rPr>
      </w:pPr>
      <w:r>
        <w:rPr>
          <w:lang w:val="lt-LT"/>
        </w:rPr>
        <w:t>Šiam vaistiniam preparatui specialių laikymo sąlygų nereikia.</w:t>
      </w:r>
    </w:p>
    <w:p w14:paraId="335A392D" w14:textId="77777777" w:rsidR="00172C88" w:rsidRDefault="00172C88" w:rsidP="00172C88">
      <w:pPr>
        <w:tabs>
          <w:tab w:val="clear" w:pos="567"/>
        </w:tabs>
        <w:spacing w:line="240" w:lineRule="auto"/>
        <w:rPr>
          <w:szCs w:val="24"/>
          <w:lang w:val="lt-LT"/>
        </w:rPr>
      </w:pPr>
    </w:p>
    <w:p w14:paraId="2750507C"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r>
      <w:proofErr w:type="spellStart"/>
      <w:r>
        <w:rPr>
          <w:rFonts w:ascii="Times New Roman" w:hAnsi="Times New Roman"/>
          <w:sz w:val="22"/>
          <w:lang w:val="lt-LT"/>
        </w:rPr>
        <w:t>Talpyklės</w:t>
      </w:r>
      <w:proofErr w:type="spellEnd"/>
      <w:r>
        <w:rPr>
          <w:rFonts w:ascii="Times New Roman" w:hAnsi="Times New Roman"/>
          <w:sz w:val="22"/>
          <w:lang w:val="lt-LT"/>
        </w:rPr>
        <w:t xml:space="preserve"> pobūdis ir jos turinys</w:t>
      </w:r>
    </w:p>
    <w:p w14:paraId="4F2C766B" w14:textId="77777777" w:rsidR="00172C88" w:rsidRDefault="00172C88" w:rsidP="00172C88">
      <w:pPr>
        <w:tabs>
          <w:tab w:val="clear" w:pos="567"/>
        </w:tabs>
        <w:spacing w:line="240" w:lineRule="auto"/>
        <w:rPr>
          <w:szCs w:val="24"/>
          <w:lang w:val="lt-LT"/>
        </w:rPr>
      </w:pPr>
    </w:p>
    <w:p w14:paraId="77C7CABF" w14:textId="77777777" w:rsidR="00172C88" w:rsidRDefault="00172C88" w:rsidP="00172C88">
      <w:pPr>
        <w:pStyle w:val="Default"/>
        <w:rPr>
          <w:sz w:val="22"/>
          <w:szCs w:val="22"/>
          <w:lang w:val="lt-LT"/>
        </w:rPr>
      </w:pPr>
      <w:r>
        <w:rPr>
          <w:sz w:val="22"/>
          <w:szCs w:val="22"/>
          <w:lang w:val="lt-LT"/>
        </w:rPr>
        <w:t>Nepermatoma PVC/</w:t>
      </w:r>
      <w:proofErr w:type="spellStart"/>
      <w:r>
        <w:rPr>
          <w:sz w:val="22"/>
          <w:szCs w:val="22"/>
          <w:lang w:val="lt-LT"/>
        </w:rPr>
        <w:t>PVdC</w:t>
      </w:r>
      <w:proofErr w:type="spellEnd"/>
      <w:r>
        <w:rPr>
          <w:sz w:val="22"/>
          <w:szCs w:val="22"/>
          <w:lang w:val="lt-LT"/>
        </w:rPr>
        <w:t xml:space="preserve">–aliuminio folijos lizdinė plokštelė, kurioje yra 14 plėvele dengtų tablečių. </w:t>
      </w:r>
    </w:p>
    <w:p w14:paraId="46BA0676" w14:textId="77777777" w:rsidR="00172C88" w:rsidRDefault="00172C88" w:rsidP="00172C88">
      <w:pPr>
        <w:pStyle w:val="Default"/>
        <w:rPr>
          <w:sz w:val="22"/>
          <w:szCs w:val="22"/>
          <w:lang w:val="lt-LT"/>
        </w:rPr>
      </w:pPr>
    </w:p>
    <w:p w14:paraId="6996A71E" w14:textId="77777777" w:rsidR="00172C88" w:rsidRDefault="00172C88" w:rsidP="00172C88">
      <w:pPr>
        <w:pStyle w:val="Default"/>
        <w:rPr>
          <w:sz w:val="22"/>
          <w:szCs w:val="22"/>
          <w:lang w:val="lt-LT"/>
        </w:rPr>
      </w:pPr>
      <w:r>
        <w:rPr>
          <w:sz w:val="22"/>
          <w:szCs w:val="22"/>
          <w:lang w:val="lt-LT"/>
        </w:rPr>
        <w:t xml:space="preserve">Dėžutėje yra 14, 56 arba 112 plėvele dengtų tablečių. </w:t>
      </w:r>
    </w:p>
    <w:p w14:paraId="53962A53" w14:textId="77777777" w:rsidR="00172C88" w:rsidRDefault="00172C88" w:rsidP="00172C88">
      <w:pPr>
        <w:pStyle w:val="Default"/>
        <w:rPr>
          <w:sz w:val="22"/>
          <w:szCs w:val="22"/>
          <w:lang w:val="lt-LT"/>
        </w:rPr>
      </w:pPr>
    </w:p>
    <w:p w14:paraId="42E298BB" w14:textId="77777777" w:rsidR="00172C88" w:rsidRDefault="00172C88" w:rsidP="00172C88">
      <w:pPr>
        <w:tabs>
          <w:tab w:val="clear" w:pos="567"/>
        </w:tabs>
        <w:spacing w:line="240" w:lineRule="auto"/>
        <w:rPr>
          <w:szCs w:val="24"/>
          <w:lang w:val="lt-LT"/>
        </w:rPr>
      </w:pPr>
      <w:r>
        <w:rPr>
          <w:szCs w:val="24"/>
          <w:lang w:val="lt-LT"/>
        </w:rPr>
        <w:t>Gali būti tiekiamos ne visų dydžių pakuotės.</w:t>
      </w:r>
    </w:p>
    <w:p w14:paraId="0A0A0AF7" w14:textId="77777777" w:rsidR="00172C88" w:rsidRDefault="00172C88" w:rsidP="00172C88">
      <w:pPr>
        <w:tabs>
          <w:tab w:val="clear" w:pos="567"/>
        </w:tabs>
        <w:spacing w:line="240" w:lineRule="auto"/>
        <w:rPr>
          <w:szCs w:val="24"/>
          <w:lang w:val="lt-LT"/>
        </w:rPr>
      </w:pPr>
    </w:p>
    <w:p w14:paraId="3E534EB7" w14:textId="77777777" w:rsidR="00172C88" w:rsidRDefault="00172C88" w:rsidP="00172C88">
      <w:pPr>
        <w:pStyle w:val="Antrat4"/>
        <w:rPr>
          <w:rFonts w:ascii="Times New Roman" w:hAnsi="Times New Roman"/>
          <w:sz w:val="22"/>
          <w:lang w:val="lt-LT"/>
        </w:rPr>
      </w:pPr>
      <w:bookmarkStart w:id="7" w:name="OLE_LINK1"/>
      <w:r>
        <w:rPr>
          <w:rFonts w:ascii="Times New Roman" w:hAnsi="Times New Roman"/>
          <w:sz w:val="22"/>
          <w:lang w:val="lt-LT"/>
        </w:rPr>
        <w:t>6.6</w:t>
      </w:r>
      <w:r>
        <w:rPr>
          <w:rFonts w:ascii="Times New Roman" w:hAnsi="Times New Roman"/>
          <w:sz w:val="22"/>
          <w:lang w:val="lt-LT"/>
        </w:rPr>
        <w:tab/>
        <w:t>Specialūs reikalavimai atliekoms tvarkyti</w:t>
      </w:r>
    </w:p>
    <w:bookmarkEnd w:id="7"/>
    <w:p w14:paraId="1CFFAA09" w14:textId="77777777" w:rsidR="00172C88" w:rsidRDefault="00172C88" w:rsidP="00172C88">
      <w:pPr>
        <w:tabs>
          <w:tab w:val="clear" w:pos="567"/>
        </w:tabs>
        <w:spacing w:line="240" w:lineRule="auto"/>
        <w:rPr>
          <w:szCs w:val="24"/>
          <w:lang w:val="lt-LT"/>
        </w:rPr>
      </w:pPr>
    </w:p>
    <w:p w14:paraId="172ACFCC" w14:textId="77777777" w:rsidR="00172C88" w:rsidRDefault="00172C88" w:rsidP="00172C88">
      <w:pPr>
        <w:tabs>
          <w:tab w:val="clear" w:pos="567"/>
        </w:tabs>
        <w:spacing w:line="240" w:lineRule="auto"/>
        <w:rPr>
          <w:szCs w:val="24"/>
          <w:lang w:val="lt-LT"/>
        </w:rPr>
      </w:pPr>
      <w:r>
        <w:rPr>
          <w:szCs w:val="24"/>
          <w:lang w:val="lt-LT"/>
        </w:rPr>
        <w:t>Specialių reikalavimų nėra.</w:t>
      </w:r>
    </w:p>
    <w:p w14:paraId="6072853F" w14:textId="77777777" w:rsidR="00172C88" w:rsidRDefault="00172C88" w:rsidP="00172C88">
      <w:pPr>
        <w:tabs>
          <w:tab w:val="clear" w:pos="567"/>
        </w:tabs>
        <w:spacing w:line="240" w:lineRule="auto"/>
        <w:rPr>
          <w:szCs w:val="24"/>
          <w:lang w:val="lt-LT"/>
        </w:rPr>
      </w:pPr>
    </w:p>
    <w:p w14:paraId="246EAE4F" w14:textId="77777777" w:rsidR="00172C88" w:rsidRDefault="00172C88" w:rsidP="00172C88">
      <w:pPr>
        <w:tabs>
          <w:tab w:val="clear" w:pos="567"/>
        </w:tabs>
        <w:spacing w:line="240" w:lineRule="auto"/>
        <w:rPr>
          <w:szCs w:val="24"/>
          <w:lang w:val="lt-LT"/>
        </w:rPr>
      </w:pPr>
    </w:p>
    <w:p w14:paraId="4521E02B" w14:textId="77777777" w:rsidR="00172C88" w:rsidRDefault="00172C88" w:rsidP="00172C88">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3FA1B8CC" w14:textId="77777777" w:rsidR="00172C88" w:rsidRDefault="00172C88" w:rsidP="00172C88">
      <w:pPr>
        <w:tabs>
          <w:tab w:val="clear" w:pos="567"/>
        </w:tabs>
        <w:spacing w:line="240" w:lineRule="auto"/>
        <w:rPr>
          <w:szCs w:val="22"/>
          <w:lang w:val="lt-LT"/>
        </w:rPr>
      </w:pPr>
    </w:p>
    <w:p w14:paraId="3A3B4885" w14:textId="77777777" w:rsidR="00172C88" w:rsidRPr="00E82DB5" w:rsidRDefault="00172C88" w:rsidP="00172C88">
      <w:pPr>
        <w:pStyle w:val="Default"/>
        <w:rPr>
          <w:bCs/>
          <w:sz w:val="22"/>
          <w:szCs w:val="22"/>
          <w:lang w:val="lt-LT"/>
        </w:rPr>
      </w:pPr>
      <w:r w:rsidRPr="00E82DB5">
        <w:rPr>
          <w:bCs/>
          <w:sz w:val="22"/>
          <w:szCs w:val="22"/>
          <w:lang w:val="lt-LT"/>
        </w:rPr>
        <w:t xml:space="preserve">UAB </w:t>
      </w:r>
      <w:proofErr w:type="spellStart"/>
      <w:r w:rsidRPr="00E82DB5">
        <w:rPr>
          <w:bCs/>
          <w:sz w:val="22"/>
          <w:szCs w:val="22"/>
          <w:lang w:val="lt-LT"/>
        </w:rPr>
        <w:t>Norameda</w:t>
      </w:r>
      <w:proofErr w:type="spellEnd"/>
    </w:p>
    <w:p w14:paraId="0F59EB10" w14:textId="2AE1A2CD" w:rsidR="00172C88" w:rsidRDefault="00172C88" w:rsidP="00172C88">
      <w:pPr>
        <w:rPr>
          <w:szCs w:val="22"/>
          <w:lang w:val="lt-LT"/>
        </w:rPr>
      </w:pPr>
      <w:r w:rsidRPr="00E82DB5">
        <w:rPr>
          <w:szCs w:val="22"/>
          <w:lang w:val="lt-LT"/>
        </w:rPr>
        <w:t xml:space="preserve">Meistrų </w:t>
      </w:r>
      <w:r w:rsidR="00853790">
        <w:rPr>
          <w:szCs w:val="22"/>
          <w:lang w:val="lt-LT"/>
        </w:rPr>
        <w:t xml:space="preserve">g. </w:t>
      </w:r>
      <w:r w:rsidRPr="00E82DB5">
        <w:rPr>
          <w:szCs w:val="22"/>
          <w:lang w:val="lt-LT"/>
        </w:rPr>
        <w:t>8</w:t>
      </w:r>
      <w:r w:rsidR="00853790">
        <w:rPr>
          <w:szCs w:val="22"/>
          <w:lang w:val="lt-LT"/>
        </w:rPr>
        <w:t>A</w:t>
      </w:r>
    </w:p>
    <w:p w14:paraId="079B8900" w14:textId="2D2F571C" w:rsidR="00172C88" w:rsidRPr="00E82DB5" w:rsidRDefault="00172C88" w:rsidP="00172C88">
      <w:pPr>
        <w:rPr>
          <w:szCs w:val="22"/>
          <w:lang w:val="lt-LT"/>
        </w:rPr>
      </w:pPr>
      <w:r w:rsidRPr="00E82DB5">
        <w:rPr>
          <w:szCs w:val="22"/>
          <w:lang w:val="lt-LT"/>
        </w:rPr>
        <w:t>LT-021</w:t>
      </w:r>
      <w:r w:rsidR="00853790">
        <w:rPr>
          <w:szCs w:val="22"/>
          <w:lang w:val="lt-LT"/>
        </w:rPr>
        <w:t>90</w:t>
      </w:r>
      <w:r w:rsidRPr="00E82DB5">
        <w:rPr>
          <w:szCs w:val="22"/>
          <w:lang w:val="lt-LT"/>
        </w:rPr>
        <w:t xml:space="preserve"> Vilnius</w:t>
      </w:r>
    </w:p>
    <w:p w14:paraId="74E383B6" w14:textId="77777777" w:rsidR="00172C88" w:rsidRPr="00E82DB5" w:rsidRDefault="00172C88" w:rsidP="00172C88">
      <w:pPr>
        <w:autoSpaceDE w:val="0"/>
        <w:rPr>
          <w:rFonts w:eastAsia="Batang"/>
          <w:bCs/>
          <w:szCs w:val="22"/>
          <w:lang w:val="lt-LT"/>
        </w:rPr>
      </w:pPr>
      <w:r w:rsidRPr="00E82DB5">
        <w:rPr>
          <w:rFonts w:eastAsia="Batang"/>
          <w:bCs/>
          <w:szCs w:val="22"/>
          <w:lang w:val="lt-LT"/>
        </w:rPr>
        <w:t>Lietuva</w:t>
      </w:r>
    </w:p>
    <w:p w14:paraId="5740DE98" w14:textId="77777777" w:rsidR="00172C88" w:rsidRPr="00E82DB5" w:rsidRDefault="00172C88" w:rsidP="00172C88">
      <w:pPr>
        <w:tabs>
          <w:tab w:val="clear" w:pos="567"/>
        </w:tabs>
        <w:spacing w:line="240" w:lineRule="auto"/>
        <w:rPr>
          <w:szCs w:val="22"/>
          <w:lang w:val="lt-LT"/>
        </w:rPr>
      </w:pPr>
    </w:p>
    <w:p w14:paraId="6EA84243" w14:textId="77777777" w:rsidR="00172C88" w:rsidRPr="00E82DB5" w:rsidRDefault="00172C88" w:rsidP="00172C88">
      <w:pPr>
        <w:tabs>
          <w:tab w:val="clear" w:pos="567"/>
        </w:tabs>
        <w:spacing w:line="240" w:lineRule="auto"/>
        <w:rPr>
          <w:szCs w:val="22"/>
          <w:lang w:val="lt-LT"/>
        </w:rPr>
      </w:pPr>
    </w:p>
    <w:p w14:paraId="4802E466" w14:textId="77777777" w:rsidR="00172C88" w:rsidRPr="00C54C14" w:rsidRDefault="00172C88" w:rsidP="00172C88">
      <w:pPr>
        <w:pStyle w:val="Antrat3"/>
        <w:spacing w:before="0" w:after="0" w:line="240" w:lineRule="auto"/>
        <w:rPr>
          <w:sz w:val="22"/>
          <w:szCs w:val="22"/>
          <w:lang w:val="pt-PT"/>
        </w:rPr>
      </w:pPr>
      <w:r w:rsidRPr="00E82DB5">
        <w:rPr>
          <w:rFonts w:ascii="Times New Roman" w:hAnsi="Times New Roman"/>
          <w:sz w:val="22"/>
          <w:szCs w:val="22"/>
          <w:lang w:val="lt-LT"/>
        </w:rPr>
        <w:t>8.</w:t>
      </w:r>
      <w:r w:rsidRPr="00E82DB5">
        <w:rPr>
          <w:rFonts w:ascii="Times New Roman" w:hAnsi="Times New Roman"/>
          <w:sz w:val="22"/>
          <w:szCs w:val="22"/>
          <w:lang w:val="lt-LT"/>
        </w:rPr>
        <w:tab/>
        <w:t xml:space="preserve">REGISTRACIJOS PAŽYMĖJIMO NUMERIS (-IAI) </w:t>
      </w:r>
    </w:p>
    <w:p w14:paraId="3200F1CD" w14:textId="77777777" w:rsidR="00172C88" w:rsidRPr="00E82DB5" w:rsidRDefault="00172C88" w:rsidP="00172C88">
      <w:pPr>
        <w:tabs>
          <w:tab w:val="clear" w:pos="567"/>
        </w:tabs>
        <w:spacing w:line="240" w:lineRule="auto"/>
        <w:rPr>
          <w:szCs w:val="22"/>
          <w:lang w:val="lt-LT"/>
        </w:rPr>
      </w:pPr>
    </w:p>
    <w:tbl>
      <w:tblPr>
        <w:tblW w:w="0" w:type="auto"/>
        <w:tblLook w:val="04A0" w:firstRow="1" w:lastRow="0" w:firstColumn="1" w:lastColumn="0" w:noHBand="0" w:noVBand="1"/>
      </w:tblPr>
      <w:tblGrid>
        <w:gridCol w:w="4530"/>
        <w:gridCol w:w="4530"/>
      </w:tblGrid>
      <w:tr w:rsidR="00083DD5" w:rsidRPr="00102863" w14:paraId="70046188" w14:textId="77777777" w:rsidTr="00172C88">
        <w:tc>
          <w:tcPr>
            <w:tcW w:w="4530" w:type="dxa"/>
          </w:tcPr>
          <w:p w14:paraId="694909A8" w14:textId="77777777" w:rsidR="00172C88" w:rsidRPr="00CC033A" w:rsidRDefault="00172C88" w:rsidP="00FE7070">
            <w:pPr>
              <w:rPr>
                <w:bCs/>
                <w:szCs w:val="22"/>
                <w:lang w:val="lt-LT" w:eastAsia="lt-LT"/>
              </w:rPr>
            </w:pPr>
            <w:r w:rsidRPr="00CC033A">
              <w:rPr>
                <w:szCs w:val="22"/>
                <w:lang w:val="lt-LT" w:eastAsia="lt-LT"/>
              </w:rPr>
              <w:t>62,5 mg</w:t>
            </w:r>
          </w:p>
          <w:p w14:paraId="3204571C" w14:textId="77777777" w:rsidR="00172C88" w:rsidRPr="00CC033A" w:rsidRDefault="00172C88" w:rsidP="00FE7070">
            <w:pPr>
              <w:rPr>
                <w:bCs/>
                <w:szCs w:val="22"/>
                <w:lang w:val="lt-LT" w:eastAsia="lt-LT"/>
              </w:rPr>
            </w:pPr>
            <w:r w:rsidRPr="00CC033A">
              <w:rPr>
                <w:bCs/>
                <w:szCs w:val="22"/>
                <w:lang w:val="lt-LT" w:eastAsia="lt-LT"/>
              </w:rPr>
              <w:t>LT/1/13/3441/001 – N14</w:t>
            </w:r>
          </w:p>
          <w:p w14:paraId="6B8EA848" w14:textId="77777777" w:rsidR="00172C88" w:rsidRPr="00CC033A" w:rsidRDefault="00172C88" w:rsidP="00FE7070">
            <w:pPr>
              <w:rPr>
                <w:bCs/>
                <w:szCs w:val="22"/>
                <w:lang w:val="lt-LT" w:eastAsia="lt-LT"/>
              </w:rPr>
            </w:pPr>
            <w:r w:rsidRPr="00CC033A">
              <w:rPr>
                <w:bCs/>
                <w:szCs w:val="22"/>
                <w:lang w:val="lt-LT" w:eastAsia="lt-LT"/>
              </w:rPr>
              <w:t>LT/1/13/3441/002 – N56</w:t>
            </w:r>
          </w:p>
          <w:p w14:paraId="5ADACD90" w14:textId="77777777" w:rsidR="00172C88" w:rsidRPr="00CC033A" w:rsidRDefault="00172C88" w:rsidP="00FE7070">
            <w:pPr>
              <w:pStyle w:val="Default"/>
              <w:rPr>
                <w:sz w:val="22"/>
                <w:szCs w:val="22"/>
                <w:lang w:val="lt-LT"/>
              </w:rPr>
            </w:pPr>
            <w:r w:rsidRPr="00CC033A">
              <w:rPr>
                <w:bCs/>
                <w:sz w:val="22"/>
                <w:szCs w:val="22"/>
                <w:lang w:val="lt-LT"/>
              </w:rPr>
              <w:lastRenderedPageBreak/>
              <w:t>LT/1/13/3441/003 – N112</w:t>
            </w:r>
          </w:p>
        </w:tc>
        <w:tc>
          <w:tcPr>
            <w:tcW w:w="4530" w:type="dxa"/>
          </w:tcPr>
          <w:p w14:paraId="170CED73" w14:textId="77777777" w:rsidR="00172C88" w:rsidRPr="00CC033A" w:rsidRDefault="00172C88" w:rsidP="00FE7070">
            <w:pPr>
              <w:pStyle w:val="Default"/>
              <w:rPr>
                <w:sz w:val="22"/>
                <w:szCs w:val="22"/>
                <w:lang w:val="lt-LT"/>
              </w:rPr>
            </w:pPr>
            <w:r w:rsidRPr="00CC033A">
              <w:rPr>
                <w:sz w:val="22"/>
                <w:szCs w:val="22"/>
                <w:lang w:val="lt-LT"/>
              </w:rPr>
              <w:lastRenderedPageBreak/>
              <w:t>125 mg</w:t>
            </w:r>
          </w:p>
          <w:p w14:paraId="65FE09F9" w14:textId="77777777" w:rsidR="00172C88" w:rsidRPr="00CC033A" w:rsidRDefault="00172C88" w:rsidP="00FE7070">
            <w:pPr>
              <w:rPr>
                <w:bCs/>
                <w:szCs w:val="22"/>
                <w:lang w:val="lt-LT" w:eastAsia="lt-LT"/>
              </w:rPr>
            </w:pPr>
            <w:r w:rsidRPr="00CC033A">
              <w:rPr>
                <w:bCs/>
                <w:szCs w:val="22"/>
                <w:lang w:val="lt-LT" w:eastAsia="lt-LT"/>
              </w:rPr>
              <w:t>LT/1/13/3441/004 – N14</w:t>
            </w:r>
          </w:p>
          <w:p w14:paraId="5DD1944F" w14:textId="77777777" w:rsidR="00172C88" w:rsidRPr="00CC033A" w:rsidRDefault="00172C88" w:rsidP="00FE7070">
            <w:pPr>
              <w:rPr>
                <w:bCs/>
                <w:szCs w:val="22"/>
                <w:lang w:val="lt-LT" w:eastAsia="lt-LT"/>
              </w:rPr>
            </w:pPr>
            <w:r w:rsidRPr="00CC033A">
              <w:rPr>
                <w:bCs/>
                <w:szCs w:val="22"/>
                <w:lang w:val="lt-LT" w:eastAsia="lt-LT"/>
              </w:rPr>
              <w:t>LT/1/13/3441/005 – N56</w:t>
            </w:r>
          </w:p>
          <w:p w14:paraId="4C338865" w14:textId="77777777" w:rsidR="00172C88" w:rsidRPr="00CC033A" w:rsidRDefault="00172C88" w:rsidP="00FE7070">
            <w:pPr>
              <w:pStyle w:val="Default"/>
              <w:rPr>
                <w:sz w:val="22"/>
                <w:szCs w:val="22"/>
                <w:lang w:val="lt-LT"/>
              </w:rPr>
            </w:pPr>
            <w:r w:rsidRPr="00CC033A">
              <w:rPr>
                <w:bCs/>
                <w:sz w:val="22"/>
                <w:szCs w:val="22"/>
                <w:lang w:val="lt-LT"/>
              </w:rPr>
              <w:lastRenderedPageBreak/>
              <w:t>LT/1/13/3441/006 – N112</w:t>
            </w:r>
          </w:p>
        </w:tc>
      </w:tr>
    </w:tbl>
    <w:p w14:paraId="731E8C40" w14:textId="77777777" w:rsidR="00172C88" w:rsidRDefault="00172C88" w:rsidP="00172C88">
      <w:pPr>
        <w:pStyle w:val="Default"/>
        <w:rPr>
          <w:sz w:val="22"/>
          <w:szCs w:val="22"/>
          <w:lang w:val="lt-LT"/>
        </w:rPr>
      </w:pPr>
    </w:p>
    <w:p w14:paraId="75F7582D" w14:textId="77777777" w:rsidR="00172C88" w:rsidRPr="00E82DB5" w:rsidRDefault="00172C88" w:rsidP="00172C88">
      <w:pPr>
        <w:tabs>
          <w:tab w:val="clear" w:pos="567"/>
        </w:tabs>
        <w:spacing w:line="240" w:lineRule="auto"/>
        <w:rPr>
          <w:szCs w:val="22"/>
          <w:lang w:val="lt-LT"/>
        </w:rPr>
      </w:pPr>
    </w:p>
    <w:p w14:paraId="2CFEA9F7" w14:textId="77777777" w:rsidR="00172C88" w:rsidRPr="00E82DB5" w:rsidRDefault="00172C88" w:rsidP="00172C88">
      <w:pPr>
        <w:pStyle w:val="Antrat3"/>
        <w:spacing w:before="0" w:after="0" w:line="240" w:lineRule="auto"/>
        <w:rPr>
          <w:rFonts w:ascii="Times New Roman" w:hAnsi="Times New Roman"/>
          <w:sz w:val="22"/>
          <w:szCs w:val="22"/>
          <w:lang w:val="lt-LT"/>
        </w:rPr>
      </w:pPr>
      <w:r w:rsidRPr="00E82DB5">
        <w:rPr>
          <w:rFonts w:ascii="Times New Roman" w:hAnsi="Times New Roman"/>
          <w:sz w:val="22"/>
          <w:szCs w:val="22"/>
          <w:lang w:val="lt-LT"/>
        </w:rPr>
        <w:t>9.</w:t>
      </w:r>
      <w:r w:rsidRPr="00E82DB5">
        <w:rPr>
          <w:rFonts w:ascii="Times New Roman" w:hAnsi="Times New Roman"/>
          <w:sz w:val="22"/>
          <w:szCs w:val="22"/>
          <w:lang w:val="lt-LT"/>
        </w:rPr>
        <w:tab/>
        <w:t>REGISTRAVIMO / PERREGISTRAVIMO DATA</w:t>
      </w:r>
    </w:p>
    <w:p w14:paraId="40CB26B2" w14:textId="77777777" w:rsidR="00172C88" w:rsidRPr="00E82DB5" w:rsidRDefault="00172C88" w:rsidP="00172C88">
      <w:pPr>
        <w:tabs>
          <w:tab w:val="clear" w:pos="567"/>
        </w:tabs>
        <w:spacing w:line="240" w:lineRule="auto"/>
        <w:rPr>
          <w:szCs w:val="22"/>
          <w:lang w:val="lt-LT"/>
        </w:rPr>
      </w:pPr>
    </w:p>
    <w:p w14:paraId="4C985CD2" w14:textId="77777777" w:rsidR="00172C88" w:rsidRDefault="00172C88" w:rsidP="00172C88">
      <w:pPr>
        <w:tabs>
          <w:tab w:val="clear" w:pos="567"/>
        </w:tabs>
        <w:spacing w:line="240" w:lineRule="auto"/>
        <w:rPr>
          <w:szCs w:val="22"/>
          <w:lang w:val="lt-LT"/>
        </w:rPr>
      </w:pPr>
      <w:r w:rsidRPr="00E82DB5">
        <w:rPr>
          <w:szCs w:val="22"/>
          <w:lang w:val="lt-LT"/>
        </w:rPr>
        <w:t>Registravimo data 2013</w:t>
      </w:r>
      <w:r>
        <w:rPr>
          <w:szCs w:val="22"/>
          <w:lang w:val="lt-LT"/>
        </w:rPr>
        <w:t> </w:t>
      </w:r>
      <w:r w:rsidRPr="00E82DB5">
        <w:rPr>
          <w:szCs w:val="22"/>
          <w:lang w:val="lt-LT"/>
        </w:rPr>
        <w:t>m. lapkričio 22</w:t>
      </w:r>
      <w:r>
        <w:rPr>
          <w:szCs w:val="22"/>
          <w:lang w:val="lt-LT"/>
        </w:rPr>
        <w:t> </w:t>
      </w:r>
      <w:r w:rsidRPr="00E82DB5">
        <w:rPr>
          <w:szCs w:val="22"/>
          <w:lang w:val="lt-LT"/>
        </w:rPr>
        <w:t>d.</w:t>
      </w:r>
    </w:p>
    <w:p w14:paraId="0C2DBC2F" w14:textId="77777777" w:rsidR="00172C88" w:rsidRPr="00E82DB5" w:rsidRDefault="00172C88" w:rsidP="00172C88">
      <w:pPr>
        <w:tabs>
          <w:tab w:val="clear" w:pos="567"/>
        </w:tabs>
        <w:spacing w:line="240" w:lineRule="auto"/>
        <w:rPr>
          <w:szCs w:val="22"/>
          <w:lang w:val="lt-LT"/>
        </w:rPr>
      </w:pPr>
      <w:r>
        <w:rPr>
          <w:szCs w:val="22"/>
          <w:lang w:val="lt-LT"/>
        </w:rPr>
        <w:t>Perregistravimo data 2019 m. kovo 25 d.</w:t>
      </w:r>
    </w:p>
    <w:p w14:paraId="51990D06" w14:textId="77777777" w:rsidR="00172C88" w:rsidRPr="00E82DB5" w:rsidRDefault="00172C88" w:rsidP="00172C88">
      <w:pPr>
        <w:tabs>
          <w:tab w:val="clear" w:pos="567"/>
        </w:tabs>
        <w:spacing w:line="240" w:lineRule="auto"/>
        <w:rPr>
          <w:szCs w:val="22"/>
          <w:lang w:val="lt-LT"/>
        </w:rPr>
      </w:pPr>
    </w:p>
    <w:p w14:paraId="779570A0" w14:textId="77777777" w:rsidR="00172C88" w:rsidRPr="00E82DB5" w:rsidRDefault="00172C88" w:rsidP="00172C88">
      <w:pPr>
        <w:tabs>
          <w:tab w:val="clear" w:pos="567"/>
        </w:tabs>
        <w:spacing w:line="240" w:lineRule="auto"/>
        <w:rPr>
          <w:szCs w:val="22"/>
          <w:lang w:val="lt-LT"/>
        </w:rPr>
      </w:pPr>
    </w:p>
    <w:p w14:paraId="3B0E94F9" w14:textId="77777777" w:rsidR="00172C88" w:rsidRPr="00E82DB5" w:rsidRDefault="00172C88" w:rsidP="00172C88">
      <w:pPr>
        <w:pStyle w:val="Antrat3"/>
        <w:spacing w:before="0" w:after="0" w:line="240" w:lineRule="auto"/>
        <w:rPr>
          <w:rFonts w:ascii="Times New Roman" w:hAnsi="Times New Roman"/>
          <w:sz w:val="22"/>
          <w:szCs w:val="22"/>
          <w:lang w:val="lt-LT"/>
        </w:rPr>
      </w:pPr>
      <w:r w:rsidRPr="00E82DB5">
        <w:rPr>
          <w:rFonts w:ascii="Times New Roman" w:hAnsi="Times New Roman"/>
          <w:sz w:val="22"/>
          <w:szCs w:val="22"/>
          <w:lang w:val="lt-LT"/>
        </w:rPr>
        <w:t>10.</w:t>
      </w:r>
      <w:r w:rsidRPr="00E82DB5">
        <w:rPr>
          <w:rFonts w:ascii="Times New Roman" w:hAnsi="Times New Roman"/>
          <w:sz w:val="22"/>
          <w:szCs w:val="22"/>
          <w:lang w:val="lt-LT"/>
        </w:rPr>
        <w:tab/>
        <w:t>TEKSTO PERŽIŪROS DATA</w:t>
      </w:r>
    </w:p>
    <w:p w14:paraId="3975EF32" w14:textId="77777777" w:rsidR="00172C88" w:rsidRDefault="00172C88" w:rsidP="00172C88">
      <w:pPr>
        <w:rPr>
          <w:szCs w:val="22"/>
          <w:lang w:val="lt-LT"/>
        </w:rPr>
      </w:pPr>
    </w:p>
    <w:p w14:paraId="765BB93B" w14:textId="0C2D8F56" w:rsidR="00172C88" w:rsidRDefault="00C54C14" w:rsidP="00172C88">
      <w:pPr>
        <w:tabs>
          <w:tab w:val="clear" w:pos="567"/>
        </w:tabs>
        <w:spacing w:line="240" w:lineRule="auto"/>
        <w:rPr>
          <w:szCs w:val="22"/>
          <w:lang w:val="lt-LT"/>
        </w:rPr>
      </w:pPr>
      <w:r>
        <w:rPr>
          <w:szCs w:val="22"/>
          <w:lang w:val="lt-LT"/>
        </w:rPr>
        <w:t>202</w:t>
      </w:r>
      <w:r w:rsidR="00102863">
        <w:rPr>
          <w:szCs w:val="22"/>
          <w:lang w:val="lt-LT"/>
        </w:rPr>
        <w:t>6</w:t>
      </w:r>
      <w:r>
        <w:rPr>
          <w:szCs w:val="22"/>
          <w:lang w:val="lt-LT"/>
        </w:rPr>
        <w:t xml:space="preserve"> m. </w:t>
      </w:r>
      <w:r w:rsidR="00102863">
        <w:rPr>
          <w:szCs w:val="22"/>
          <w:lang w:val="lt-LT"/>
        </w:rPr>
        <w:t>kovo 11 d.</w:t>
      </w:r>
    </w:p>
    <w:p w14:paraId="60ECD44C" w14:textId="77777777" w:rsidR="00FC6E72" w:rsidRPr="00E82DB5" w:rsidRDefault="00FC6E72" w:rsidP="00172C88">
      <w:pPr>
        <w:tabs>
          <w:tab w:val="clear" w:pos="567"/>
        </w:tabs>
        <w:spacing w:line="240" w:lineRule="auto"/>
        <w:rPr>
          <w:szCs w:val="22"/>
          <w:lang w:val="lt-LT"/>
        </w:rPr>
      </w:pPr>
    </w:p>
    <w:p w14:paraId="5B89671E" w14:textId="2536B4C7" w:rsidR="00172C88" w:rsidRDefault="00172C88" w:rsidP="00DC1E04">
      <w:pPr>
        <w:pStyle w:val="Paprastasistekstas"/>
        <w:rPr>
          <w:szCs w:val="24"/>
          <w:lang w:val="lt-LT"/>
        </w:rPr>
      </w:pPr>
      <w:r w:rsidRPr="00E82DB5">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E82DB5">
        <w:rPr>
          <w:rFonts w:ascii="Times New Roman" w:hAnsi="Times New Roman"/>
          <w:i/>
          <w:sz w:val="22"/>
          <w:szCs w:val="22"/>
          <w:lang w:val="lt-LT"/>
        </w:rPr>
        <w:t xml:space="preserve"> </w:t>
      </w:r>
      <w:r w:rsidR="00DC1E04" w:rsidRPr="00DC1E04">
        <w:rPr>
          <w:rFonts w:ascii="Times New Roman" w:hAnsi="Times New Roman"/>
          <w:sz w:val="22"/>
          <w:szCs w:val="22"/>
          <w:lang w:val="lt-LT"/>
        </w:rPr>
        <w:t>https://vvkt.lrv.lt/lt/.</w:t>
      </w:r>
    </w:p>
    <w:p w14:paraId="4145CE01" w14:textId="77777777" w:rsidR="00172C88" w:rsidRDefault="00172C88" w:rsidP="00172C88">
      <w:pPr>
        <w:rPr>
          <w:szCs w:val="24"/>
          <w:lang w:val="lt-LT"/>
        </w:rPr>
      </w:pPr>
    </w:p>
    <w:p w14:paraId="2DFCC99E" w14:textId="77777777" w:rsidR="00172C88" w:rsidRDefault="00172C88" w:rsidP="00172C88">
      <w:pPr>
        <w:rPr>
          <w:szCs w:val="24"/>
          <w:lang w:val="lt-LT"/>
        </w:rPr>
      </w:pPr>
    </w:p>
    <w:p w14:paraId="55CF704A" w14:textId="77777777" w:rsidR="00172C88" w:rsidRDefault="00172C88" w:rsidP="00172C88">
      <w:pPr>
        <w:rPr>
          <w:szCs w:val="24"/>
          <w:lang w:val="lt-LT"/>
        </w:rPr>
      </w:pPr>
    </w:p>
    <w:p w14:paraId="1213A213" w14:textId="77777777" w:rsidR="00172C88" w:rsidRDefault="00172C88" w:rsidP="00172C88">
      <w:pPr>
        <w:rPr>
          <w:szCs w:val="24"/>
          <w:lang w:val="lt-LT"/>
        </w:rPr>
      </w:pPr>
    </w:p>
    <w:p w14:paraId="163D688E" w14:textId="77777777" w:rsidR="00172C88" w:rsidRDefault="00172C88" w:rsidP="00172C88">
      <w:pPr>
        <w:rPr>
          <w:szCs w:val="24"/>
          <w:lang w:val="lt-LT"/>
        </w:rPr>
      </w:pPr>
    </w:p>
    <w:p w14:paraId="40251693" w14:textId="77777777" w:rsidR="004F738A" w:rsidRDefault="004F738A" w:rsidP="00172C88">
      <w:pPr>
        <w:rPr>
          <w:szCs w:val="24"/>
          <w:lang w:val="lt-LT"/>
        </w:rPr>
      </w:pPr>
    </w:p>
    <w:p w14:paraId="0C9386AD" w14:textId="77777777" w:rsidR="004F738A" w:rsidRDefault="004F738A" w:rsidP="00172C88">
      <w:pPr>
        <w:rPr>
          <w:szCs w:val="24"/>
          <w:lang w:val="lt-LT"/>
        </w:rPr>
      </w:pPr>
    </w:p>
    <w:p w14:paraId="7A7DB6F9" w14:textId="77777777" w:rsidR="004F738A" w:rsidRDefault="004F738A" w:rsidP="00172C88">
      <w:pPr>
        <w:rPr>
          <w:szCs w:val="24"/>
          <w:lang w:val="lt-LT"/>
        </w:rPr>
      </w:pPr>
    </w:p>
    <w:p w14:paraId="38AA2ECD" w14:textId="77777777" w:rsidR="004F738A" w:rsidRDefault="004F738A" w:rsidP="00172C88">
      <w:pPr>
        <w:rPr>
          <w:szCs w:val="24"/>
          <w:lang w:val="lt-LT"/>
        </w:rPr>
      </w:pPr>
    </w:p>
    <w:p w14:paraId="624A37F8" w14:textId="77777777" w:rsidR="004F738A" w:rsidRDefault="004F738A" w:rsidP="00172C88">
      <w:pPr>
        <w:rPr>
          <w:szCs w:val="24"/>
          <w:lang w:val="lt-LT"/>
        </w:rPr>
      </w:pPr>
    </w:p>
    <w:p w14:paraId="6C1D80EC" w14:textId="77777777" w:rsidR="004F738A" w:rsidRDefault="004F738A" w:rsidP="00172C88">
      <w:pPr>
        <w:rPr>
          <w:szCs w:val="24"/>
          <w:lang w:val="lt-LT"/>
        </w:rPr>
      </w:pPr>
    </w:p>
    <w:p w14:paraId="4F26CC64" w14:textId="77777777" w:rsidR="004F738A" w:rsidRDefault="004F738A" w:rsidP="00172C88">
      <w:pPr>
        <w:rPr>
          <w:szCs w:val="24"/>
          <w:lang w:val="lt-LT"/>
        </w:rPr>
      </w:pPr>
    </w:p>
    <w:p w14:paraId="1270DF88" w14:textId="77777777" w:rsidR="004F738A" w:rsidRDefault="004F738A" w:rsidP="00172C88">
      <w:pPr>
        <w:rPr>
          <w:szCs w:val="24"/>
          <w:lang w:val="lt-LT"/>
        </w:rPr>
      </w:pPr>
    </w:p>
    <w:p w14:paraId="103361DA" w14:textId="77777777" w:rsidR="004F738A" w:rsidRDefault="004F738A" w:rsidP="00172C88">
      <w:pPr>
        <w:rPr>
          <w:szCs w:val="24"/>
          <w:lang w:val="lt-LT"/>
        </w:rPr>
      </w:pPr>
    </w:p>
    <w:p w14:paraId="3FD9E101" w14:textId="77777777" w:rsidR="004F738A" w:rsidRDefault="004F738A" w:rsidP="00172C88">
      <w:pPr>
        <w:rPr>
          <w:szCs w:val="24"/>
          <w:lang w:val="lt-LT"/>
        </w:rPr>
      </w:pPr>
    </w:p>
    <w:p w14:paraId="3AB411C7" w14:textId="77777777" w:rsidR="004F738A" w:rsidRDefault="004F738A" w:rsidP="00172C88">
      <w:pPr>
        <w:rPr>
          <w:szCs w:val="24"/>
          <w:lang w:val="lt-LT"/>
        </w:rPr>
      </w:pPr>
    </w:p>
    <w:p w14:paraId="03767CA5" w14:textId="77777777" w:rsidR="004F738A" w:rsidRDefault="004F738A" w:rsidP="00172C88">
      <w:pPr>
        <w:rPr>
          <w:szCs w:val="24"/>
          <w:lang w:val="lt-LT"/>
        </w:rPr>
      </w:pPr>
    </w:p>
    <w:p w14:paraId="39184AD5" w14:textId="77777777" w:rsidR="004F738A" w:rsidRDefault="004F738A" w:rsidP="00172C88">
      <w:pPr>
        <w:rPr>
          <w:szCs w:val="24"/>
          <w:lang w:val="lt-LT"/>
        </w:rPr>
      </w:pPr>
    </w:p>
    <w:p w14:paraId="1650F7C8" w14:textId="77777777" w:rsidR="004F738A" w:rsidRDefault="004F738A" w:rsidP="00172C88">
      <w:pPr>
        <w:rPr>
          <w:szCs w:val="24"/>
          <w:lang w:val="lt-LT"/>
        </w:rPr>
      </w:pPr>
    </w:p>
    <w:p w14:paraId="6371DBBF" w14:textId="77777777" w:rsidR="004F738A" w:rsidRDefault="004F738A" w:rsidP="00172C88">
      <w:pPr>
        <w:rPr>
          <w:szCs w:val="24"/>
          <w:lang w:val="lt-LT"/>
        </w:rPr>
      </w:pPr>
    </w:p>
    <w:p w14:paraId="2C7D84B9" w14:textId="77777777" w:rsidR="004F738A" w:rsidRDefault="004F738A" w:rsidP="00172C88">
      <w:pPr>
        <w:rPr>
          <w:szCs w:val="24"/>
          <w:lang w:val="lt-LT"/>
        </w:rPr>
      </w:pPr>
    </w:p>
    <w:p w14:paraId="1034D059" w14:textId="77777777" w:rsidR="004F738A" w:rsidRDefault="004F738A" w:rsidP="00172C88">
      <w:pPr>
        <w:rPr>
          <w:szCs w:val="24"/>
          <w:lang w:val="lt-LT"/>
        </w:rPr>
      </w:pPr>
    </w:p>
    <w:p w14:paraId="3197B026" w14:textId="77777777" w:rsidR="004F738A" w:rsidRDefault="004F738A" w:rsidP="00172C88">
      <w:pPr>
        <w:rPr>
          <w:szCs w:val="24"/>
          <w:lang w:val="lt-LT"/>
        </w:rPr>
      </w:pPr>
    </w:p>
    <w:p w14:paraId="4318BD89" w14:textId="77777777" w:rsidR="004F738A" w:rsidRDefault="004F738A" w:rsidP="00172C88">
      <w:pPr>
        <w:rPr>
          <w:szCs w:val="24"/>
          <w:lang w:val="lt-LT"/>
        </w:rPr>
      </w:pPr>
    </w:p>
    <w:p w14:paraId="5F0A5B11" w14:textId="77777777" w:rsidR="004F738A" w:rsidRDefault="004F738A" w:rsidP="00172C88">
      <w:pPr>
        <w:rPr>
          <w:szCs w:val="24"/>
          <w:lang w:val="lt-LT"/>
        </w:rPr>
      </w:pPr>
    </w:p>
    <w:p w14:paraId="6567061A" w14:textId="77777777" w:rsidR="004F738A" w:rsidRDefault="004F738A" w:rsidP="00172C88">
      <w:pPr>
        <w:rPr>
          <w:szCs w:val="24"/>
          <w:lang w:val="lt-LT"/>
        </w:rPr>
      </w:pPr>
    </w:p>
    <w:p w14:paraId="162EC04B" w14:textId="77777777" w:rsidR="004F738A" w:rsidRDefault="004F738A" w:rsidP="00172C88">
      <w:pPr>
        <w:rPr>
          <w:szCs w:val="24"/>
          <w:lang w:val="lt-LT"/>
        </w:rPr>
      </w:pPr>
    </w:p>
    <w:p w14:paraId="32A41034" w14:textId="77777777" w:rsidR="004F738A" w:rsidRDefault="004F738A" w:rsidP="00172C88">
      <w:pPr>
        <w:rPr>
          <w:szCs w:val="24"/>
          <w:lang w:val="lt-LT"/>
        </w:rPr>
      </w:pPr>
    </w:p>
    <w:p w14:paraId="51FA9A20" w14:textId="77777777" w:rsidR="004F738A" w:rsidRDefault="004F738A" w:rsidP="00172C88">
      <w:pPr>
        <w:rPr>
          <w:szCs w:val="24"/>
          <w:lang w:val="lt-LT"/>
        </w:rPr>
      </w:pPr>
    </w:p>
    <w:p w14:paraId="586EAB66" w14:textId="77777777" w:rsidR="004F738A" w:rsidRDefault="004F738A" w:rsidP="00172C88">
      <w:pPr>
        <w:rPr>
          <w:szCs w:val="24"/>
          <w:lang w:val="lt-LT"/>
        </w:rPr>
      </w:pPr>
    </w:p>
    <w:p w14:paraId="5B4BAC34" w14:textId="77777777" w:rsidR="004F738A" w:rsidRDefault="004F738A" w:rsidP="00172C88">
      <w:pPr>
        <w:rPr>
          <w:szCs w:val="24"/>
          <w:lang w:val="lt-LT"/>
        </w:rPr>
      </w:pPr>
    </w:p>
    <w:p w14:paraId="66320BE4" w14:textId="77777777" w:rsidR="004F738A" w:rsidRDefault="004F738A" w:rsidP="00172C88">
      <w:pPr>
        <w:rPr>
          <w:szCs w:val="24"/>
          <w:lang w:val="lt-LT"/>
        </w:rPr>
      </w:pPr>
    </w:p>
    <w:p w14:paraId="4CE0C529" w14:textId="77777777" w:rsidR="00172C88" w:rsidRDefault="00172C88" w:rsidP="00172C88">
      <w:pPr>
        <w:rPr>
          <w:szCs w:val="24"/>
          <w:lang w:val="lt-LT"/>
        </w:rPr>
      </w:pPr>
    </w:p>
    <w:p w14:paraId="65F88ADC" w14:textId="77777777" w:rsidR="00172C88" w:rsidRDefault="00172C88" w:rsidP="00172C88">
      <w:pPr>
        <w:rPr>
          <w:szCs w:val="24"/>
          <w:lang w:val="lt-LT"/>
        </w:rPr>
      </w:pPr>
    </w:p>
    <w:p w14:paraId="0AF41961" w14:textId="77777777" w:rsidR="00172C88" w:rsidRDefault="00172C88" w:rsidP="00172C88">
      <w:pPr>
        <w:rPr>
          <w:szCs w:val="24"/>
          <w:lang w:val="lt-LT"/>
        </w:rPr>
      </w:pPr>
    </w:p>
    <w:p w14:paraId="517E5097" w14:textId="77777777" w:rsidR="00172C88" w:rsidRDefault="00172C88" w:rsidP="00172C88">
      <w:pPr>
        <w:rPr>
          <w:szCs w:val="24"/>
          <w:lang w:val="lt-LT"/>
        </w:rPr>
      </w:pPr>
    </w:p>
    <w:p w14:paraId="75E68D17" w14:textId="77777777" w:rsidR="00172C88" w:rsidRDefault="00172C88" w:rsidP="00172C88">
      <w:pPr>
        <w:rPr>
          <w:szCs w:val="24"/>
          <w:lang w:val="lt-LT"/>
        </w:rPr>
      </w:pPr>
    </w:p>
    <w:p w14:paraId="28BF9C33" w14:textId="77777777" w:rsidR="00172C88" w:rsidRDefault="00172C88" w:rsidP="00172C88">
      <w:pPr>
        <w:rPr>
          <w:szCs w:val="24"/>
          <w:lang w:val="lt-LT"/>
        </w:rPr>
      </w:pPr>
    </w:p>
    <w:p w14:paraId="59D81948" w14:textId="77777777" w:rsidR="00172C88" w:rsidRDefault="00172C88" w:rsidP="00172C88">
      <w:pPr>
        <w:rPr>
          <w:szCs w:val="24"/>
          <w:lang w:val="lt-LT"/>
        </w:rPr>
      </w:pPr>
    </w:p>
    <w:p w14:paraId="524EC74E" w14:textId="77777777" w:rsidR="00172C88" w:rsidRDefault="00172C88" w:rsidP="00172C88">
      <w:pPr>
        <w:rPr>
          <w:szCs w:val="24"/>
          <w:lang w:val="lt-LT"/>
        </w:rPr>
      </w:pPr>
    </w:p>
    <w:p w14:paraId="3340E79C" w14:textId="77777777" w:rsidR="00172C88" w:rsidRDefault="00172C88" w:rsidP="00172C88">
      <w:pPr>
        <w:rPr>
          <w:szCs w:val="24"/>
          <w:lang w:val="lt-LT"/>
        </w:rPr>
      </w:pPr>
    </w:p>
    <w:p w14:paraId="5C021134" w14:textId="77777777" w:rsidR="00172C88" w:rsidRDefault="00172C88" w:rsidP="00172C88">
      <w:pPr>
        <w:rPr>
          <w:szCs w:val="24"/>
          <w:lang w:val="lt-LT"/>
        </w:rPr>
      </w:pPr>
    </w:p>
    <w:p w14:paraId="565AE74F" w14:textId="77777777" w:rsidR="00172C88" w:rsidRDefault="00172C88" w:rsidP="00172C88">
      <w:pPr>
        <w:rPr>
          <w:szCs w:val="24"/>
          <w:lang w:val="lt-LT"/>
        </w:rPr>
      </w:pPr>
    </w:p>
    <w:p w14:paraId="78689F5B" w14:textId="77777777" w:rsidR="00172C88" w:rsidRDefault="00172C88" w:rsidP="00172C88">
      <w:pPr>
        <w:jc w:val="center"/>
        <w:rPr>
          <w:b/>
          <w:lang w:val="lt-LT"/>
        </w:rPr>
      </w:pPr>
    </w:p>
    <w:p w14:paraId="60B66835" w14:textId="77777777" w:rsidR="00172C88" w:rsidRDefault="00172C88" w:rsidP="00172C88">
      <w:pPr>
        <w:jc w:val="center"/>
        <w:rPr>
          <w:b/>
          <w:lang w:val="lt-LT"/>
        </w:rPr>
      </w:pPr>
    </w:p>
    <w:p w14:paraId="6B2F731D" w14:textId="77777777" w:rsidR="004F738A" w:rsidRDefault="004F738A" w:rsidP="00172C88">
      <w:pPr>
        <w:jc w:val="center"/>
        <w:rPr>
          <w:b/>
          <w:lang w:val="lt-LT"/>
        </w:rPr>
      </w:pPr>
    </w:p>
    <w:p w14:paraId="2B9CB34D" w14:textId="77777777" w:rsidR="004F738A" w:rsidRDefault="004F738A" w:rsidP="00172C88">
      <w:pPr>
        <w:jc w:val="center"/>
        <w:rPr>
          <w:b/>
          <w:lang w:val="lt-LT"/>
        </w:rPr>
      </w:pPr>
    </w:p>
    <w:p w14:paraId="0909D75B" w14:textId="77777777" w:rsidR="004F738A" w:rsidRDefault="004F738A" w:rsidP="00172C88">
      <w:pPr>
        <w:jc w:val="center"/>
        <w:rPr>
          <w:b/>
          <w:lang w:val="lt-LT"/>
        </w:rPr>
      </w:pPr>
    </w:p>
    <w:p w14:paraId="2466A9DD" w14:textId="77777777" w:rsidR="004F738A" w:rsidRDefault="004F738A" w:rsidP="00172C88">
      <w:pPr>
        <w:jc w:val="center"/>
        <w:rPr>
          <w:b/>
          <w:lang w:val="lt-LT"/>
        </w:rPr>
      </w:pPr>
    </w:p>
    <w:p w14:paraId="1579287F" w14:textId="77777777" w:rsidR="004F738A" w:rsidRDefault="004F738A" w:rsidP="00172C88">
      <w:pPr>
        <w:jc w:val="center"/>
        <w:rPr>
          <w:b/>
          <w:lang w:val="lt-LT"/>
        </w:rPr>
      </w:pPr>
    </w:p>
    <w:p w14:paraId="190B2EA3" w14:textId="77777777" w:rsidR="004F738A" w:rsidRDefault="004F738A" w:rsidP="00172C88">
      <w:pPr>
        <w:jc w:val="center"/>
        <w:rPr>
          <w:b/>
          <w:lang w:val="lt-LT"/>
        </w:rPr>
      </w:pPr>
    </w:p>
    <w:p w14:paraId="36270CBA" w14:textId="77777777" w:rsidR="004F738A" w:rsidRDefault="004F738A" w:rsidP="00172C88">
      <w:pPr>
        <w:jc w:val="center"/>
        <w:rPr>
          <w:b/>
          <w:lang w:val="lt-LT"/>
        </w:rPr>
      </w:pPr>
    </w:p>
    <w:p w14:paraId="4F416191" w14:textId="77777777" w:rsidR="004F738A" w:rsidRDefault="004F738A" w:rsidP="00172C88">
      <w:pPr>
        <w:jc w:val="center"/>
        <w:rPr>
          <w:b/>
          <w:lang w:val="lt-LT"/>
        </w:rPr>
      </w:pPr>
    </w:p>
    <w:p w14:paraId="79D9413F" w14:textId="77777777" w:rsidR="004F738A" w:rsidRDefault="004F738A" w:rsidP="00172C88">
      <w:pPr>
        <w:jc w:val="center"/>
        <w:rPr>
          <w:b/>
          <w:lang w:val="lt-LT"/>
        </w:rPr>
      </w:pPr>
    </w:p>
    <w:p w14:paraId="563AFDED" w14:textId="77777777" w:rsidR="004F738A" w:rsidRDefault="004F738A" w:rsidP="00172C88">
      <w:pPr>
        <w:jc w:val="center"/>
        <w:rPr>
          <w:b/>
          <w:lang w:val="lt-LT"/>
        </w:rPr>
      </w:pPr>
    </w:p>
    <w:p w14:paraId="50C8A6B9" w14:textId="77777777" w:rsidR="00172C88" w:rsidRDefault="00172C88" w:rsidP="00172C88">
      <w:pPr>
        <w:jc w:val="center"/>
        <w:rPr>
          <w:b/>
          <w:lang w:val="lt-LT"/>
        </w:rPr>
      </w:pPr>
    </w:p>
    <w:p w14:paraId="3CB0EF82" w14:textId="77777777" w:rsidR="00172C88" w:rsidRDefault="00172C88" w:rsidP="00172C88">
      <w:pPr>
        <w:jc w:val="center"/>
        <w:rPr>
          <w:b/>
          <w:lang w:val="lt-LT"/>
        </w:rPr>
      </w:pPr>
    </w:p>
    <w:p w14:paraId="6AE12212" w14:textId="77777777" w:rsidR="00172C88" w:rsidRDefault="00172C88" w:rsidP="00172C88">
      <w:pPr>
        <w:jc w:val="center"/>
        <w:rPr>
          <w:b/>
          <w:lang w:val="lt-LT"/>
        </w:rPr>
      </w:pPr>
    </w:p>
    <w:p w14:paraId="59E4F031" w14:textId="77777777" w:rsidR="00172C88" w:rsidRDefault="00172C88" w:rsidP="00172C88">
      <w:pPr>
        <w:jc w:val="center"/>
        <w:rPr>
          <w:b/>
          <w:lang w:val="lt-LT"/>
        </w:rPr>
      </w:pPr>
    </w:p>
    <w:p w14:paraId="3EDF781E" w14:textId="77777777" w:rsidR="00172C88" w:rsidRDefault="00172C88" w:rsidP="00172C88">
      <w:pPr>
        <w:jc w:val="center"/>
        <w:rPr>
          <w:b/>
          <w:lang w:val="lt-LT"/>
        </w:rPr>
      </w:pPr>
      <w:r>
        <w:rPr>
          <w:b/>
          <w:lang w:val="lt-LT"/>
        </w:rPr>
        <w:t>II PRIEDAS</w:t>
      </w:r>
    </w:p>
    <w:p w14:paraId="1E0FFB74" w14:textId="77777777" w:rsidR="00172C88" w:rsidRDefault="00172C88" w:rsidP="00172C88">
      <w:pPr>
        <w:ind w:left="1701" w:right="1416" w:hanging="567"/>
        <w:rPr>
          <w:lang w:val="lt-LT"/>
        </w:rPr>
      </w:pPr>
    </w:p>
    <w:p w14:paraId="662E61D6" w14:textId="77777777" w:rsidR="00172C88" w:rsidRPr="00C54C14" w:rsidRDefault="00172C88" w:rsidP="00172C88">
      <w:pPr>
        <w:jc w:val="center"/>
        <w:rPr>
          <w:lang w:val="pt-PT"/>
        </w:rPr>
      </w:pPr>
      <w:r>
        <w:rPr>
          <w:b/>
          <w:lang w:val="lt-LT"/>
        </w:rPr>
        <w:t>REGISTRACIJOS SĄLYGOS</w:t>
      </w:r>
    </w:p>
    <w:p w14:paraId="1C6C40A3" w14:textId="77777777" w:rsidR="00172C88" w:rsidRDefault="00172C88" w:rsidP="00172C88">
      <w:pPr>
        <w:rPr>
          <w:lang w:val="lt-LT"/>
        </w:rPr>
      </w:pPr>
    </w:p>
    <w:p w14:paraId="7FF86449" w14:textId="77777777" w:rsidR="00172C88" w:rsidRDefault="00172C88" w:rsidP="00172C88">
      <w:pPr>
        <w:tabs>
          <w:tab w:val="clear" w:pos="567"/>
          <w:tab w:val="left" w:pos="1701"/>
        </w:tabs>
        <w:ind w:left="1701" w:right="567" w:hanging="567"/>
        <w:rPr>
          <w:b/>
          <w:szCs w:val="24"/>
          <w:lang w:val="lt-LT"/>
        </w:rPr>
      </w:pPr>
      <w:r>
        <w:rPr>
          <w:b/>
          <w:szCs w:val="24"/>
          <w:lang w:val="lt-LT"/>
        </w:rPr>
        <w:t>A.</w:t>
      </w:r>
      <w:r>
        <w:rPr>
          <w:b/>
          <w:szCs w:val="24"/>
          <w:lang w:val="lt-LT"/>
        </w:rPr>
        <w:tab/>
        <w:t>GAMINTOJAS (-AI), ATSAKINGAS (-I) UŽ SERIJŲ IŠLEIDIMĄ</w:t>
      </w:r>
    </w:p>
    <w:p w14:paraId="772C31C3" w14:textId="77777777" w:rsidR="00172C88" w:rsidRDefault="00172C88" w:rsidP="00172C88">
      <w:pPr>
        <w:tabs>
          <w:tab w:val="clear" w:pos="567"/>
          <w:tab w:val="left" w:pos="1701"/>
        </w:tabs>
        <w:ind w:left="567" w:right="567" w:hanging="567"/>
        <w:rPr>
          <w:szCs w:val="24"/>
          <w:lang w:val="lt-LT"/>
        </w:rPr>
      </w:pPr>
    </w:p>
    <w:p w14:paraId="757DFFBF" w14:textId="77777777" w:rsidR="00172C88" w:rsidRDefault="00172C88" w:rsidP="00172C88">
      <w:pPr>
        <w:tabs>
          <w:tab w:val="clear" w:pos="567"/>
          <w:tab w:val="left" w:pos="1701"/>
        </w:tabs>
        <w:ind w:left="1701" w:right="567" w:hanging="567"/>
        <w:rPr>
          <w:b/>
          <w:lang w:val="lt-LT"/>
        </w:rPr>
      </w:pPr>
      <w:r>
        <w:rPr>
          <w:b/>
          <w:lang w:val="lt-LT"/>
        </w:rPr>
        <w:t>B.</w:t>
      </w:r>
      <w:r>
        <w:rPr>
          <w:b/>
          <w:lang w:val="lt-LT"/>
        </w:rPr>
        <w:tab/>
        <w:t>TIEKIMO IR VARTOJIMO SĄLYGOS AR APRIBOJIMAI</w:t>
      </w:r>
    </w:p>
    <w:p w14:paraId="7DC9309A" w14:textId="77777777" w:rsidR="00172C88" w:rsidRDefault="00172C88" w:rsidP="00172C88">
      <w:pPr>
        <w:tabs>
          <w:tab w:val="clear" w:pos="567"/>
          <w:tab w:val="left" w:pos="1701"/>
        </w:tabs>
        <w:ind w:left="567" w:right="567" w:hanging="567"/>
        <w:rPr>
          <w:lang w:val="lt-LT"/>
        </w:rPr>
      </w:pPr>
    </w:p>
    <w:p w14:paraId="2A5A8BA4" w14:textId="77777777" w:rsidR="00172C88" w:rsidRDefault="00172C88" w:rsidP="00172C88">
      <w:pPr>
        <w:ind w:left="567" w:hanging="567"/>
        <w:rPr>
          <w:lang w:val="lt-LT"/>
        </w:rPr>
      </w:pPr>
    </w:p>
    <w:p w14:paraId="6EABEA9E" w14:textId="77777777" w:rsidR="00172C88" w:rsidRDefault="00172C88" w:rsidP="00172C88">
      <w:pPr>
        <w:ind w:right="-1"/>
        <w:rPr>
          <w:lang w:val="lt-LT"/>
        </w:rPr>
      </w:pPr>
    </w:p>
    <w:p w14:paraId="545499A5" w14:textId="77777777" w:rsidR="00172C88" w:rsidRPr="00C54C14" w:rsidRDefault="00172C88" w:rsidP="00172C88">
      <w:pPr>
        <w:pageBreakBefore/>
        <w:ind w:left="567" w:hanging="567"/>
        <w:rPr>
          <w:lang w:val="pt-PT"/>
        </w:rPr>
      </w:pPr>
      <w:r>
        <w:rPr>
          <w:b/>
          <w:lang w:val="lt-LT"/>
        </w:rPr>
        <w:lastRenderedPageBreak/>
        <w:t>A.</w:t>
      </w:r>
      <w:r>
        <w:rPr>
          <w:b/>
          <w:szCs w:val="24"/>
          <w:lang w:val="lt-LT"/>
        </w:rPr>
        <w:tab/>
      </w:r>
      <w:r>
        <w:rPr>
          <w:b/>
          <w:lang w:val="lt-LT"/>
        </w:rPr>
        <w:t xml:space="preserve"> GAMINTOJAS (-AI), ATSAKINGAS (-I) UŽ SERIJŲ IŠLEIDIMĄ</w:t>
      </w:r>
    </w:p>
    <w:p w14:paraId="4C973EA9" w14:textId="77777777" w:rsidR="00172C88" w:rsidRDefault="00172C88" w:rsidP="00172C88">
      <w:pPr>
        <w:rPr>
          <w:szCs w:val="24"/>
          <w:lang w:val="lt-LT"/>
        </w:rPr>
      </w:pPr>
    </w:p>
    <w:p w14:paraId="614BAC90" w14:textId="56CB0662" w:rsidR="00172C88" w:rsidRPr="00E32052" w:rsidRDefault="00172C88" w:rsidP="00172C88">
      <w:pPr>
        <w:spacing w:line="240" w:lineRule="auto"/>
        <w:jc w:val="both"/>
        <w:rPr>
          <w:lang w:val="lt-LT"/>
        </w:rPr>
      </w:pPr>
      <w:r>
        <w:rPr>
          <w:szCs w:val="24"/>
          <w:u w:val="single"/>
          <w:lang w:val="lt-LT"/>
        </w:rPr>
        <w:t xml:space="preserve">Gamintojo, atsakingo už serijų išleidimą, pavadinimas ir adresas </w:t>
      </w:r>
    </w:p>
    <w:p w14:paraId="2F2801FB" w14:textId="77777777" w:rsidR="00172C88" w:rsidRDefault="00172C88" w:rsidP="00E9334E">
      <w:pPr>
        <w:rPr>
          <w:szCs w:val="24"/>
          <w:lang w:val="lt-LT"/>
        </w:rPr>
      </w:pPr>
    </w:p>
    <w:p w14:paraId="51CD7B5C" w14:textId="77777777" w:rsidR="00172C88" w:rsidRPr="00D23D7D" w:rsidRDefault="00172C88" w:rsidP="00172C88">
      <w:pPr>
        <w:autoSpaceDE w:val="0"/>
        <w:rPr>
          <w:rFonts w:eastAsia="Batang"/>
          <w:bCs/>
          <w:szCs w:val="22"/>
          <w:lang w:val="lt-LT"/>
        </w:rPr>
      </w:pPr>
      <w:r w:rsidRPr="00D23D7D">
        <w:rPr>
          <w:rFonts w:eastAsia="Batang"/>
          <w:bCs/>
          <w:szCs w:val="22"/>
          <w:lang w:val="lt-LT"/>
        </w:rPr>
        <w:t xml:space="preserve">UAB </w:t>
      </w:r>
      <w:proofErr w:type="spellStart"/>
      <w:r w:rsidRPr="00D23D7D">
        <w:rPr>
          <w:rFonts w:eastAsia="Batang"/>
          <w:bCs/>
          <w:szCs w:val="22"/>
          <w:lang w:val="lt-LT"/>
        </w:rPr>
        <w:t>Norameda</w:t>
      </w:r>
      <w:proofErr w:type="spellEnd"/>
    </w:p>
    <w:p w14:paraId="5302472C" w14:textId="4AE098A1" w:rsidR="00172C88" w:rsidRPr="00D23D7D" w:rsidRDefault="00172C88" w:rsidP="00172C88">
      <w:pPr>
        <w:autoSpaceDE w:val="0"/>
        <w:rPr>
          <w:rFonts w:eastAsia="Batang"/>
          <w:bCs/>
          <w:szCs w:val="22"/>
          <w:lang w:val="lt-LT"/>
        </w:rPr>
      </w:pPr>
      <w:r w:rsidRPr="00D23D7D">
        <w:rPr>
          <w:rFonts w:eastAsia="Batang"/>
          <w:bCs/>
          <w:szCs w:val="22"/>
          <w:lang w:val="lt-LT"/>
        </w:rPr>
        <w:t xml:space="preserve">Meistrų </w:t>
      </w:r>
      <w:r w:rsidR="00853790">
        <w:rPr>
          <w:rFonts w:eastAsia="Batang"/>
          <w:bCs/>
          <w:szCs w:val="22"/>
          <w:lang w:val="lt-LT"/>
        </w:rPr>
        <w:t xml:space="preserve">g. </w:t>
      </w:r>
      <w:r w:rsidRPr="00D23D7D">
        <w:rPr>
          <w:rFonts w:eastAsia="Batang"/>
          <w:bCs/>
          <w:szCs w:val="22"/>
          <w:lang w:val="lt-LT"/>
        </w:rPr>
        <w:t>8</w:t>
      </w:r>
      <w:r w:rsidR="00853790">
        <w:rPr>
          <w:rFonts w:eastAsia="Batang"/>
          <w:bCs/>
          <w:szCs w:val="22"/>
          <w:lang w:val="lt-LT"/>
        </w:rPr>
        <w:t>A</w:t>
      </w:r>
    </w:p>
    <w:p w14:paraId="19713928" w14:textId="254C2FC8" w:rsidR="00172C88" w:rsidRPr="00D23D7D" w:rsidRDefault="00172C88" w:rsidP="00172C88">
      <w:pPr>
        <w:autoSpaceDE w:val="0"/>
        <w:rPr>
          <w:rFonts w:eastAsia="Batang"/>
          <w:bCs/>
          <w:szCs w:val="22"/>
          <w:lang w:val="lt-LT"/>
        </w:rPr>
      </w:pPr>
      <w:r w:rsidRPr="00D23D7D">
        <w:rPr>
          <w:rFonts w:eastAsia="Batang"/>
          <w:bCs/>
          <w:szCs w:val="22"/>
          <w:lang w:val="lt-LT"/>
        </w:rPr>
        <w:t>LT-021</w:t>
      </w:r>
      <w:r w:rsidR="00853790">
        <w:rPr>
          <w:rFonts w:eastAsia="Batang"/>
          <w:bCs/>
          <w:szCs w:val="22"/>
          <w:lang w:val="lt-LT"/>
        </w:rPr>
        <w:t>90</w:t>
      </w:r>
      <w:r w:rsidRPr="00D23D7D">
        <w:rPr>
          <w:rFonts w:eastAsia="Batang"/>
          <w:bCs/>
          <w:szCs w:val="22"/>
          <w:lang w:val="lt-LT"/>
        </w:rPr>
        <w:t xml:space="preserve"> Vilnius</w:t>
      </w:r>
    </w:p>
    <w:p w14:paraId="27AA62AA" w14:textId="77777777" w:rsidR="00172C88" w:rsidRPr="00D23D7D" w:rsidRDefault="00172C88" w:rsidP="00172C88">
      <w:pPr>
        <w:autoSpaceDE w:val="0"/>
        <w:rPr>
          <w:rFonts w:eastAsia="Batang"/>
          <w:bCs/>
          <w:szCs w:val="22"/>
          <w:lang w:val="lt-LT"/>
        </w:rPr>
      </w:pPr>
      <w:r w:rsidRPr="00D23D7D">
        <w:rPr>
          <w:rFonts w:eastAsia="Batang"/>
          <w:bCs/>
          <w:szCs w:val="22"/>
          <w:lang w:val="lt-LT"/>
        </w:rPr>
        <w:t>Lietuva</w:t>
      </w:r>
    </w:p>
    <w:p w14:paraId="4E97D0E6" w14:textId="77777777" w:rsidR="00172C88" w:rsidRDefault="00172C88" w:rsidP="00172C88">
      <w:pPr>
        <w:autoSpaceDE w:val="0"/>
        <w:rPr>
          <w:rFonts w:eastAsia="Batang"/>
          <w:bCs/>
          <w:szCs w:val="22"/>
          <w:lang w:val="lt-LT"/>
        </w:rPr>
      </w:pPr>
    </w:p>
    <w:p w14:paraId="22B369EE" w14:textId="77777777" w:rsidR="00172C88" w:rsidRDefault="00172C88" w:rsidP="00172C88">
      <w:pPr>
        <w:rPr>
          <w:szCs w:val="24"/>
          <w:lang w:val="lt-LT"/>
        </w:rPr>
      </w:pPr>
    </w:p>
    <w:p w14:paraId="57F3A15B" w14:textId="77777777" w:rsidR="00172C88" w:rsidRDefault="00172C88" w:rsidP="00172C88">
      <w:pPr>
        <w:rPr>
          <w:szCs w:val="24"/>
          <w:lang w:val="lt-LT"/>
        </w:rPr>
      </w:pPr>
    </w:p>
    <w:p w14:paraId="38820E5B" w14:textId="77777777" w:rsidR="00172C88" w:rsidRPr="00C54C14" w:rsidRDefault="00172C88" w:rsidP="00172C88">
      <w:pPr>
        <w:spacing w:line="240" w:lineRule="auto"/>
        <w:ind w:left="567" w:hanging="567"/>
        <w:rPr>
          <w:lang w:val="pt-PT"/>
        </w:rPr>
      </w:pPr>
      <w:r>
        <w:rPr>
          <w:b/>
          <w:szCs w:val="24"/>
          <w:lang w:val="lt-LT"/>
        </w:rPr>
        <w:t>B.</w:t>
      </w:r>
      <w:r>
        <w:rPr>
          <w:b/>
          <w:szCs w:val="24"/>
          <w:lang w:val="lt-LT"/>
        </w:rPr>
        <w:tab/>
        <w:t>TIEKIMO IR VARTOJIMO SĄLYGOS AR APRIBOJIMAI</w:t>
      </w:r>
    </w:p>
    <w:p w14:paraId="706D7AEB" w14:textId="77777777" w:rsidR="00172C88" w:rsidRDefault="00172C88" w:rsidP="00172C88">
      <w:pPr>
        <w:rPr>
          <w:szCs w:val="24"/>
          <w:lang w:val="lt-LT"/>
        </w:rPr>
      </w:pPr>
    </w:p>
    <w:p w14:paraId="33117C9D" w14:textId="77777777" w:rsidR="00172C88" w:rsidRPr="00C54C14" w:rsidRDefault="00172C88" w:rsidP="00172C88">
      <w:pPr>
        <w:rPr>
          <w:lang w:val="pt-PT"/>
        </w:rPr>
      </w:pPr>
      <w:r>
        <w:rPr>
          <w:lang w:val="lt-LT"/>
        </w:rPr>
        <w:t>Receptinis vaistinis preparatas.</w:t>
      </w:r>
    </w:p>
    <w:p w14:paraId="40E65499" w14:textId="77777777" w:rsidR="00172C88" w:rsidRPr="00C54C14" w:rsidRDefault="00172C88" w:rsidP="00172C88">
      <w:pPr>
        <w:pStyle w:val="Paprastasistekstas"/>
        <w:pageBreakBefore/>
        <w:tabs>
          <w:tab w:val="left" w:pos="5954"/>
          <w:tab w:val="left" w:pos="6237"/>
          <w:tab w:val="left" w:pos="6663"/>
          <w:tab w:val="left" w:pos="6946"/>
        </w:tabs>
        <w:jc w:val="center"/>
        <w:rPr>
          <w:lang w:val="pt-PT"/>
        </w:rPr>
      </w:pPr>
    </w:p>
    <w:p w14:paraId="5F4848F2" w14:textId="77777777" w:rsidR="00172C88" w:rsidRDefault="00172C88" w:rsidP="00172C88">
      <w:pPr>
        <w:ind w:right="566"/>
        <w:rPr>
          <w:szCs w:val="24"/>
          <w:lang w:val="lt-LT"/>
        </w:rPr>
      </w:pPr>
    </w:p>
    <w:p w14:paraId="7323642C" w14:textId="77777777" w:rsidR="00172C88" w:rsidRDefault="00172C88" w:rsidP="00172C88">
      <w:pPr>
        <w:rPr>
          <w:lang w:val="lt-LT"/>
        </w:rPr>
      </w:pPr>
    </w:p>
    <w:p w14:paraId="2FC6DA48" w14:textId="77777777" w:rsidR="00172C88" w:rsidRDefault="00172C88" w:rsidP="00172C88">
      <w:pPr>
        <w:rPr>
          <w:lang w:val="lt-LT"/>
        </w:rPr>
      </w:pPr>
    </w:p>
    <w:p w14:paraId="7AB0BE04" w14:textId="77777777" w:rsidR="00172C88" w:rsidRDefault="00172C88" w:rsidP="00172C88">
      <w:pPr>
        <w:rPr>
          <w:lang w:val="lt-LT"/>
        </w:rPr>
      </w:pPr>
    </w:p>
    <w:p w14:paraId="697692B1" w14:textId="77777777" w:rsidR="00172C88" w:rsidRDefault="00172C88" w:rsidP="00172C88">
      <w:pPr>
        <w:rPr>
          <w:lang w:val="lt-LT"/>
        </w:rPr>
      </w:pPr>
    </w:p>
    <w:p w14:paraId="04E6783B" w14:textId="77777777" w:rsidR="00172C88" w:rsidRDefault="00172C88" w:rsidP="00172C88">
      <w:pPr>
        <w:rPr>
          <w:lang w:val="lt-LT"/>
        </w:rPr>
      </w:pPr>
    </w:p>
    <w:p w14:paraId="189F2070" w14:textId="77777777" w:rsidR="00172C88" w:rsidRDefault="00172C88" w:rsidP="00172C88">
      <w:pPr>
        <w:rPr>
          <w:lang w:val="lt-LT"/>
        </w:rPr>
      </w:pPr>
    </w:p>
    <w:p w14:paraId="2BAC3A96" w14:textId="77777777" w:rsidR="00172C88" w:rsidRDefault="00172C88" w:rsidP="00172C88">
      <w:pPr>
        <w:rPr>
          <w:lang w:val="lt-LT"/>
        </w:rPr>
      </w:pPr>
    </w:p>
    <w:p w14:paraId="0950546D" w14:textId="77777777" w:rsidR="00172C88" w:rsidRDefault="00172C88" w:rsidP="00172C88">
      <w:pPr>
        <w:rPr>
          <w:lang w:val="lt-LT"/>
        </w:rPr>
      </w:pPr>
    </w:p>
    <w:p w14:paraId="69C39B75" w14:textId="77777777" w:rsidR="00172C88" w:rsidRDefault="00172C88" w:rsidP="00172C88">
      <w:pPr>
        <w:rPr>
          <w:lang w:val="lt-LT"/>
        </w:rPr>
      </w:pPr>
    </w:p>
    <w:p w14:paraId="102FCABF" w14:textId="77777777" w:rsidR="00172C88" w:rsidRDefault="00172C88" w:rsidP="00172C88">
      <w:pPr>
        <w:rPr>
          <w:lang w:val="lt-LT"/>
        </w:rPr>
      </w:pPr>
    </w:p>
    <w:p w14:paraId="1481C2CD" w14:textId="77777777" w:rsidR="00172C88" w:rsidRDefault="00172C88" w:rsidP="00172C88">
      <w:pPr>
        <w:rPr>
          <w:lang w:val="lt-LT"/>
        </w:rPr>
      </w:pPr>
    </w:p>
    <w:p w14:paraId="511AFBE7" w14:textId="77777777" w:rsidR="00172C88" w:rsidRDefault="00172C88" w:rsidP="00172C88">
      <w:pPr>
        <w:rPr>
          <w:lang w:val="lt-LT"/>
        </w:rPr>
      </w:pPr>
    </w:p>
    <w:p w14:paraId="133EA70F" w14:textId="77777777" w:rsidR="00172C88" w:rsidRDefault="00172C88" w:rsidP="00172C88">
      <w:pPr>
        <w:rPr>
          <w:lang w:val="lt-LT"/>
        </w:rPr>
      </w:pPr>
    </w:p>
    <w:p w14:paraId="659BB1A1" w14:textId="77777777" w:rsidR="00172C88" w:rsidRDefault="00172C88" w:rsidP="00172C88">
      <w:pPr>
        <w:rPr>
          <w:lang w:val="lt-LT"/>
        </w:rPr>
      </w:pPr>
    </w:p>
    <w:p w14:paraId="20FA5CC2" w14:textId="77777777" w:rsidR="00172C88" w:rsidRDefault="00172C88" w:rsidP="00172C88">
      <w:pPr>
        <w:rPr>
          <w:lang w:val="lt-LT"/>
        </w:rPr>
      </w:pPr>
    </w:p>
    <w:p w14:paraId="3FC54E33" w14:textId="77777777" w:rsidR="00172C88" w:rsidRDefault="00172C88" w:rsidP="00172C88">
      <w:pPr>
        <w:rPr>
          <w:lang w:val="lt-LT"/>
        </w:rPr>
      </w:pPr>
    </w:p>
    <w:p w14:paraId="0F55DE8F" w14:textId="77777777" w:rsidR="00172C88" w:rsidRDefault="00172C88" w:rsidP="00172C88">
      <w:pPr>
        <w:rPr>
          <w:b/>
          <w:lang w:val="lt-LT"/>
        </w:rPr>
      </w:pPr>
    </w:p>
    <w:p w14:paraId="6C47DA3B" w14:textId="77777777" w:rsidR="00172C88" w:rsidRDefault="00172C88" w:rsidP="00172C88">
      <w:pPr>
        <w:rPr>
          <w:b/>
          <w:lang w:val="lt-LT"/>
        </w:rPr>
      </w:pPr>
    </w:p>
    <w:p w14:paraId="1B8BF1D0" w14:textId="77777777" w:rsidR="00172C88" w:rsidRDefault="00172C88" w:rsidP="00172C88">
      <w:pPr>
        <w:rPr>
          <w:b/>
          <w:lang w:val="lt-LT"/>
        </w:rPr>
      </w:pPr>
    </w:p>
    <w:p w14:paraId="62C86D16" w14:textId="77777777" w:rsidR="00172C88" w:rsidRDefault="00172C88" w:rsidP="00172C88">
      <w:pPr>
        <w:rPr>
          <w:b/>
          <w:lang w:val="lt-LT"/>
        </w:rPr>
      </w:pPr>
    </w:p>
    <w:p w14:paraId="3E0DCB7F" w14:textId="77777777" w:rsidR="00172C88" w:rsidRDefault="00172C88" w:rsidP="00172C88">
      <w:pPr>
        <w:rPr>
          <w:b/>
          <w:lang w:val="lt-LT"/>
        </w:rPr>
      </w:pPr>
    </w:p>
    <w:p w14:paraId="32448D32" w14:textId="77777777" w:rsidR="00172C88" w:rsidRPr="00C54C14" w:rsidRDefault="00172C88" w:rsidP="00172C88">
      <w:pPr>
        <w:pStyle w:val="Antrat2"/>
        <w:spacing w:before="0" w:after="0" w:line="240" w:lineRule="auto"/>
        <w:jc w:val="center"/>
        <w:rPr>
          <w:rFonts w:ascii="Times New Roman" w:hAnsi="Times New Roman"/>
          <w:sz w:val="22"/>
          <w:szCs w:val="22"/>
          <w:lang w:val="pt-PT"/>
        </w:rPr>
      </w:pPr>
      <w:r w:rsidRPr="00572EED">
        <w:rPr>
          <w:rFonts w:ascii="Times New Roman" w:hAnsi="Times New Roman"/>
          <w:i w:val="0"/>
          <w:sz w:val="22"/>
          <w:szCs w:val="22"/>
          <w:lang w:val="lt-LT"/>
        </w:rPr>
        <w:t>III PRIEDAS</w:t>
      </w:r>
    </w:p>
    <w:p w14:paraId="0AE98AA3" w14:textId="77777777" w:rsidR="00172C88" w:rsidRPr="00572EED" w:rsidRDefault="00172C88" w:rsidP="00172C88">
      <w:pPr>
        <w:rPr>
          <w:szCs w:val="22"/>
          <w:lang w:val="lt-LT"/>
        </w:rPr>
      </w:pPr>
    </w:p>
    <w:p w14:paraId="3C785007" w14:textId="77777777" w:rsidR="00172C88" w:rsidRPr="00C54C14" w:rsidRDefault="00172C88" w:rsidP="00172C88">
      <w:pPr>
        <w:pStyle w:val="Antrat2"/>
        <w:spacing w:before="0" w:after="0" w:line="240" w:lineRule="auto"/>
        <w:jc w:val="center"/>
        <w:rPr>
          <w:rFonts w:ascii="Times New Roman" w:hAnsi="Times New Roman"/>
          <w:sz w:val="22"/>
          <w:szCs w:val="22"/>
          <w:lang w:val="pt-PT"/>
        </w:rPr>
      </w:pPr>
      <w:r w:rsidRPr="00572EED">
        <w:rPr>
          <w:rFonts w:ascii="Times New Roman" w:hAnsi="Times New Roman"/>
          <w:i w:val="0"/>
          <w:sz w:val="22"/>
          <w:szCs w:val="22"/>
          <w:lang w:val="lt-LT"/>
        </w:rPr>
        <w:t>ŽENKLINIMAS IR PAKUOTĖS LAPELIS</w:t>
      </w:r>
    </w:p>
    <w:p w14:paraId="6EA2FAF3" w14:textId="77777777" w:rsidR="00172C88" w:rsidRDefault="00172C88" w:rsidP="00172C88">
      <w:pPr>
        <w:pageBreakBefore/>
        <w:rPr>
          <w:szCs w:val="24"/>
          <w:lang w:val="lt-LT"/>
        </w:rPr>
      </w:pPr>
    </w:p>
    <w:p w14:paraId="7D823762" w14:textId="77777777" w:rsidR="00172C88" w:rsidRDefault="00172C88" w:rsidP="00172C88">
      <w:pPr>
        <w:rPr>
          <w:szCs w:val="24"/>
          <w:lang w:val="lt-LT"/>
        </w:rPr>
      </w:pPr>
    </w:p>
    <w:p w14:paraId="0793953A" w14:textId="77777777" w:rsidR="00172C88" w:rsidRDefault="00172C88" w:rsidP="00172C88">
      <w:pPr>
        <w:rPr>
          <w:szCs w:val="24"/>
          <w:lang w:val="lt-LT"/>
        </w:rPr>
      </w:pPr>
    </w:p>
    <w:p w14:paraId="43D097D4" w14:textId="77777777" w:rsidR="00172C88" w:rsidRDefault="00172C88" w:rsidP="00172C88">
      <w:pPr>
        <w:rPr>
          <w:szCs w:val="24"/>
          <w:lang w:val="lt-LT"/>
        </w:rPr>
      </w:pPr>
    </w:p>
    <w:p w14:paraId="345D7DFA" w14:textId="77777777" w:rsidR="00172C88" w:rsidRDefault="00172C88" w:rsidP="00172C88">
      <w:pPr>
        <w:rPr>
          <w:szCs w:val="24"/>
          <w:lang w:val="lt-LT"/>
        </w:rPr>
      </w:pPr>
    </w:p>
    <w:p w14:paraId="01B6B11F" w14:textId="77777777" w:rsidR="00172C88" w:rsidRDefault="00172C88" w:rsidP="00172C88">
      <w:pPr>
        <w:rPr>
          <w:szCs w:val="24"/>
          <w:lang w:val="lt-LT"/>
        </w:rPr>
      </w:pPr>
    </w:p>
    <w:p w14:paraId="58B5A8CF" w14:textId="77777777" w:rsidR="00172C88" w:rsidRDefault="00172C88" w:rsidP="00172C88">
      <w:pPr>
        <w:rPr>
          <w:szCs w:val="24"/>
          <w:lang w:val="lt-LT"/>
        </w:rPr>
      </w:pPr>
    </w:p>
    <w:p w14:paraId="4C19F008" w14:textId="77777777" w:rsidR="00172C88" w:rsidRDefault="00172C88" w:rsidP="00172C88">
      <w:pPr>
        <w:rPr>
          <w:szCs w:val="24"/>
          <w:lang w:val="lt-LT"/>
        </w:rPr>
      </w:pPr>
    </w:p>
    <w:p w14:paraId="1A1A43CB" w14:textId="77777777" w:rsidR="00172C88" w:rsidRDefault="00172C88" w:rsidP="00172C88">
      <w:pPr>
        <w:rPr>
          <w:szCs w:val="24"/>
          <w:lang w:val="lt-LT"/>
        </w:rPr>
      </w:pPr>
    </w:p>
    <w:p w14:paraId="7CA770E6" w14:textId="77777777" w:rsidR="00172C88" w:rsidRDefault="00172C88" w:rsidP="00172C88">
      <w:pPr>
        <w:rPr>
          <w:szCs w:val="24"/>
          <w:lang w:val="lt-LT"/>
        </w:rPr>
      </w:pPr>
    </w:p>
    <w:p w14:paraId="3EA32390" w14:textId="77777777" w:rsidR="00172C88" w:rsidRDefault="00172C88" w:rsidP="00172C88">
      <w:pPr>
        <w:rPr>
          <w:szCs w:val="24"/>
          <w:lang w:val="lt-LT"/>
        </w:rPr>
      </w:pPr>
    </w:p>
    <w:p w14:paraId="13981678" w14:textId="77777777" w:rsidR="00172C88" w:rsidRDefault="00172C88" w:rsidP="00172C88">
      <w:pPr>
        <w:rPr>
          <w:szCs w:val="24"/>
          <w:lang w:val="lt-LT"/>
        </w:rPr>
      </w:pPr>
    </w:p>
    <w:p w14:paraId="4CA2B430" w14:textId="77777777" w:rsidR="00172C88" w:rsidRDefault="00172C88" w:rsidP="00172C88">
      <w:pPr>
        <w:rPr>
          <w:szCs w:val="24"/>
          <w:lang w:val="lt-LT"/>
        </w:rPr>
      </w:pPr>
    </w:p>
    <w:p w14:paraId="18E770ED" w14:textId="77777777" w:rsidR="00172C88" w:rsidRDefault="00172C88" w:rsidP="00172C88">
      <w:pPr>
        <w:rPr>
          <w:szCs w:val="24"/>
          <w:lang w:val="lt-LT"/>
        </w:rPr>
      </w:pPr>
    </w:p>
    <w:p w14:paraId="01E405A0" w14:textId="77777777" w:rsidR="00172C88" w:rsidRDefault="00172C88" w:rsidP="00172C88">
      <w:pPr>
        <w:rPr>
          <w:szCs w:val="24"/>
          <w:lang w:val="lt-LT"/>
        </w:rPr>
      </w:pPr>
    </w:p>
    <w:p w14:paraId="23B87037" w14:textId="77777777" w:rsidR="00172C88" w:rsidRDefault="00172C88" w:rsidP="00172C88">
      <w:pPr>
        <w:rPr>
          <w:szCs w:val="24"/>
          <w:lang w:val="lt-LT"/>
        </w:rPr>
      </w:pPr>
    </w:p>
    <w:p w14:paraId="75B5C472" w14:textId="77777777" w:rsidR="00172C88" w:rsidRDefault="00172C88" w:rsidP="00172C88">
      <w:pPr>
        <w:rPr>
          <w:szCs w:val="24"/>
          <w:lang w:val="lt-LT"/>
        </w:rPr>
      </w:pPr>
    </w:p>
    <w:p w14:paraId="593E51C8" w14:textId="77777777" w:rsidR="00172C88" w:rsidRDefault="00172C88" w:rsidP="00172C88">
      <w:pPr>
        <w:rPr>
          <w:szCs w:val="24"/>
          <w:lang w:val="lt-LT"/>
        </w:rPr>
      </w:pPr>
    </w:p>
    <w:p w14:paraId="46D455F9" w14:textId="77777777" w:rsidR="00172C88" w:rsidRDefault="00172C88" w:rsidP="00172C88">
      <w:pPr>
        <w:rPr>
          <w:szCs w:val="24"/>
          <w:lang w:val="lt-LT"/>
        </w:rPr>
      </w:pPr>
    </w:p>
    <w:p w14:paraId="5AF31602" w14:textId="77777777" w:rsidR="00172C88" w:rsidRDefault="00172C88" w:rsidP="00172C88">
      <w:pPr>
        <w:rPr>
          <w:szCs w:val="24"/>
          <w:lang w:val="lt-LT"/>
        </w:rPr>
      </w:pPr>
    </w:p>
    <w:p w14:paraId="3AA041CA" w14:textId="77777777" w:rsidR="00172C88" w:rsidRDefault="00172C88" w:rsidP="00172C88">
      <w:pPr>
        <w:rPr>
          <w:szCs w:val="24"/>
          <w:lang w:val="lt-LT"/>
        </w:rPr>
      </w:pPr>
    </w:p>
    <w:p w14:paraId="3108ADE9" w14:textId="77777777" w:rsidR="00172C88" w:rsidRDefault="00172C88" w:rsidP="00172C88">
      <w:pPr>
        <w:rPr>
          <w:szCs w:val="24"/>
          <w:lang w:val="lt-LT"/>
        </w:rPr>
      </w:pPr>
    </w:p>
    <w:p w14:paraId="3504A115" w14:textId="77777777" w:rsidR="00172C88" w:rsidRDefault="00172C88" w:rsidP="00172C88">
      <w:pPr>
        <w:rPr>
          <w:szCs w:val="24"/>
          <w:lang w:val="lt-LT"/>
        </w:rPr>
      </w:pPr>
    </w:p>
    <w:p w14:paraId="0DA46984" w14:textId="77777777" w:rsidR="00172C88" w:rsidRPr="00C54C14" w:rsidRDefault="00172C88" w:rsidP="00172C88">
      <w:pPr>
        <w:pStyle w:val="Antrat2"/>
        <w:spacing w:before="0" w:after="0" w:line="240" w:lineRule="auto"/>
        <w:jc w:val="center"/>
        <w:rPr>
          <w:rFonts w:ascii="Times New Roman" w:hAnsi="Times New Roman"/>
          <w:sz w:val="22"/>
          <w:szCs w:val="22"/>
          <w:lang w:val="pt-PT"/>
        </w:rPr>
      </w:pPr>
      <w:r w:rsidRPr="00572EED">
        <w:rPr>
          <w:rFonts w:ascii="Times New Roman" w:hAnsi="Times New Roman"/>
          <w:i w:val="0"/>
          <w:sz w:val="22"/>
          <w:szCs w:val="22"/>
          <w:lang w:val="lt-LT"/>
        </w:rPr>
        <w:t>A. ŽENKLINIMAS</w:t>
      </w:r>
    </w:p>
    <w:p w14:paraId="777099FB" w14:textId="77777777" w:rsidR="00172C88" w:rsidRDefault="00172C88" w:rsidP="00172C88">
      <w:pPr>
        <w:pageBreakBefore/>
        <w:rPr>
          <w:szCs w:val="24"/>
          <w:lang w:val="lt-LT"/>
        </w:rPr>
      </w:pPr>
    </w:p>
    <w:p w14:paraId="35D038C1" w14:textId="77777777" w:rsidR="00172C88" w:rsidRDefault="00172C88" w:rsidP="00172C88">
      <w:pPr>
        <w:pBdr>
          <w:top w:val="single" w:sz="4" w:space="1" w:color="000000"/>
          <w:left w:val="single" w:sz="4" w:space="4" w:color="000000"/>
          <w:bottom w:val="single" w:sz="4" w:space="1" w:color="000000"/>
          <w:right w:val="single" w:sz="4" w:space="4" w:color="000000"/>
        </w:pBdr>
        <w:spacing w:line="240" w:lineRule="auto"/>
        <w:rPr>
          <w:b/>
          <w:szCs w:val="24"/>
          <w:lang w:val="lt-LT"/>
        </w:rPr>
      </w:pPr>
      <w:r>
        <w:rPr>
          <w:b/>
          <w:szCs w:val="24"/>
          <w:lang w:val="lt-LT"/>
        </w:rPr>
        <w:t>INFORMACIJA ANT IŠORINĖS PAKUOTĖS</w:t>
      </w:r>
    </w:p>
    <w:p w14:paraId="101E26A6" w14:textId="77777777" w:rsidR="00172C88" w:rsidRDefault="00172C88" w:rsidP="00172C88">
      <w:pPr>
        <w:pBdr>
          <w:top w:val="single" w:sz="4" w:space="1" w:color="000000"/>
          <w:left w:val="single" w:sz="4" w:space="4" w:color="000000"/>
          <w:bottom w:val="single" w:sz="4" w:space="1" w:color="000000"/>
          <w:right w:val="single" w:sz="4" w:space="4" w:color="000000"/>
        </w:pBdr>
        <w:spacing w:line="240" w:lineRule="auto"/>
        <w:ind w:left="567" w:hanging="567"/>
        <w:rPr>
          <w:b/>
          <w:szCs w:val="24"/>
          <w:lang w:val="lt-LT"/>
        </w:rPr>
      </w:pPr>
    </w:p>
    <w:p w14:paraId="6FBD5C4F" w14:textId="77777777" w:rsidR="00172C88" w:rsidRDefault="00172C88" w:rsidP="00172C88">
      <w:pPr>
        <w:pBdr>
          <w:top w:val="single" w:sz="4" w:space="1" w:color="000000"/>
          <w:left w:val="single" w:sz="4" w:space="4" w:color="000000"/>
          <w:bottom w:val="single" w:sz="4" w:space="1" w:color="000000"/>
          <w:right w:val="single" w:sz="4" w:space="4" w:color="000000"/>
        </w:pBdr>
        <w:spacing w:line="240" w:lineRule="auto"/>
        <w:rPr>
          <w:b/>
          <w:szCs w:val="24"/>
          <w:lang w:val="lt-LT"/>
        </w:rPr>
      </w:pPr>
      <w:r>
        <w:rPr>
          <w:b/>
          <w:szCs w:val="24"/>
          <w:lang w:val="lt-LT"/>
        </w:rPr>
        <w:t>KARTONO DĖŽUTĖ</w:t>
      </w:r>
    </w:p>
    <w:p w14:paraId="4E8B30C5" w14:textId="77777777" w:rsidR="00172C88" w:rsidRDefault="00172C88" w:rsidP="00172C88">
      <w:pPr>
        <w:rPr>
          <w:szCs w:val="24"/>
          <w:lang w:val="lt-LT"/>
        </w:rPr>
      </w:pPr>
    </w:p>
    <w:p w14:paraId="4CDAC8F6" w14:textId="77777777" w:rsidR="00172C88" w:rsidRDefault="00172C88" w:rsidP="00172C88">
      <w:pPr>
        <w:rPr>
          <w:szCs w:val="24"/>
          <w:lang w:val="lt-LT"/>
        </w:rPr>
      </w:pPr>
    </w:p>
    <w:p w14:paraId="005C6594" w14:textId="77777777" w:rsidR="00172C88" w:rsidRPr="00C54C14" w:rsidRDefault="00172C88" w:rsidP="00172C88">
      <w:pPr>
        <w:pBdr>
          <w:top w:val="single" w:sz="4" w:space="1" w:color="000000"/>
          <w:left w:val="single" w:sz="4" w:space="4" w:color="000000"/>
          <w:bottom w:val="single" w:sz="4" w:space="1" w:color="000000"/>
          <w:right w:val="single" w:sz="4" w:space="4" w:color="000000"/>
        </w:pBdr>
        <w:spacing w:line="240" w:lineRule="auto"/>
        <w:ind w:left="567" w:hanging="567"/>
        <w:rPr>
          <w:lang w:val="pt-PT"/>
        </w:rPr>
      </w:pPr>
      <w:r>
        <w:rPr>
          <w:b/>
          <w:szCs w:val="24"/>
          <w:lang w:val="lt-LT"/>
        </w:rPr>
        <w:t>1.</w:t>
      </w:r>
      <w:r>
        <w:rPr>
          <w:b/>
          <w:szCs w:val="24"/>
          <w:lang w:val="lt-LT"/>
        </w:rPr>
        <w:tab/>
      </w:r>
      <w:r>
        <w:rPr>
          <w:b/>
          <w:caps/>
          <w:szCs w:val="24"/>
          <w:lang w:val="lt-LT"/>
        </w:rPr>
        <w:t>VAISTINIO</w:t>
      </w:r>
      <w:r>
        <w:rPr>
          <w:b/>
          <w:szCs w:val="24"/>
          <w:lang w:val="lt-LT"/>
        </w:rPr>
        <w:t xml:space="preserve"> PREPARATO PAVADINIMAS</w:t>
      </w:r>
    </w:p>
    <w:p w14:paraId="73B19AEE" w14:textId="77777777" w:rsidR="00172C88" w:rsidRDefault="00172C88" w:rsidP="00172C88">
      <w:pPr>
        <w:rPr>
          <w:szCs w:val="24"/>
          <w:lang w:val="lt-LT"/>
        </w:rPr>
      </w:pPr>
    </w:p>
    <w:p w14:paraId="7F919731" w14:textId="77777777" w:rsidR="00172C88" w:rsidRDefault="00172C88" w:rsidP="00172C88">
      <w:pPr>
        <w:rPr>
          <w:szCs w:val="24"/>
          <w:lang w:val="lt-LT"/>
        </w:rPr>
      </w:pPr>
      <w:bookmarkStart w:id="8" w:name="_Hlk529212130"/>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62,5 mg plėvele dengtos tabletės</w:t>
      </w:r>
    </w:p>
    <w:p w14:paraId="0F622F43" w14:textId="77777777" w:rsidR="00172C88" w:rsidRDefault="00172C88" w:rsidP="00172C88">
      <w:pPr>
        <w:rPr>
          <w:szCs w:val="24"/>
          <w:lang w:val="lt-LT"/>
        </w:rPr>
      </w:pPr>
      <w:proofErr w:type="spellStart"/>
      <w:r w:rsidRPr="00172C88">
        <w:rPr>
          <w:szCs w:val="24"/>
          <w:highlight w:val="lightGray"/>
          <w:lang w:val="lt-LT"/>
        </w:rPr>
        <w:t>Bosentan</w:t>
      </w:r>
      <w:proofErr w:type="spellEnd"/>
      <w:r w:rsidRPr="00172C88">
        <w:rPr>
          <w:szCs w:val="24"/>
          <w:highlight w:val="lightGray"/>
          <w:lang w:val="lt-LT"/>
        </w:rPr>
        <w:t xml:space="preserve"> </w:t>
      </w:r>
      <w:proofErr w:type="spellStart"/>
      <w:r w:rsidRPr="00172C88">
        <w:rPr>
          <w:szCs w:val="24"/>
          <w:highlight w:val="lightGray"/>
          <w:lang w:val="lt-LT"/>
        </w:rPr>
        <w:t>Norameda</w:t>
      </w:r>
      <w:proofErr w:type="spellEnd"/>
      <w:r w:rsidRPr="00172C88">
        <w:rPr>
          <w:szCs w:val="24"/>
          <w:highlight w:val="lightGray"/>
          <w:lang w:val="lt-LT"/>
        </w:rPr>
        <w:t xml:space="preserve"> 125 mg plėvele dengtos tabletės</w:t>
      </w:r>
    </w:p>
    <w:bookmarkEnd w:id="8"/>
    <w:p w14:paraId="44BBC594" w14:textId="77777777" w:rsidR="00172C88" w:rsidRDefault="00172C88" w:rsidP="00172C88">
      <w:pPr>
        <w:rPr>
          <w:szCs w:val="22"/>
          <w:lang w:val="lt-LT"/>
        </w:rPr>
      </w:pPr>
      <w:proofErr w:type="spellStart"/>
      <w:r>
        <w:rPr>
          <w:szCs w:val="22"/>
          <w:lang w:val="lt-LT"/>
        </w:rPr>
        <w:t>Bosentanum</w:t>
      </w:r>
      <w:proofErr w:type="spellEnd"/>
    </w:p>
    <w:p w14:paraId="729786FE" w14:textId="77777777" w:rsidR="00172C88" w:rsidRDefault="00172C88" w:rsidP="00172C88">
      <w:pPr>
        <w:rPr>
          <w:szCs w:val="22"/>
          <w:lang w:val="lt-LT"/>
        </w:rPr>
      </w:pPr>
    </w:p>
    <w:p w14:paraId="3A22C25F" w14:textId="77777777" w:rsidR="00172C88" w:rsidRDefault="00172C88" w:rsidP="00172C88">
      <w:pPr>
        <w:rPr>
          <w:szCs w:val="22"/>
          <w:lang w:val="lt-LT"/>
        </w:rPr>
      </w:pPr>
    </w:p>
    <w:p w14:paraId="62879957" w14:textId="77777777" w:rsidR="00172C88" w:rsidRDefault="00172C88" w:rsidP="00172C88">
      <w:pPr>
        <w:pBdr>
          <w:top w:val="single" w:sz="4" w:space="1" w:color="000000"/>
          <w:left w:val="single" w:sz="4" w:space="4" w:color="000000"/>
          <w:bottom w:val="single" w:sz="4" w:space="1" w:color="000000"/>
          <w:right w:val="single" w:sz="4" w:space="4" w:color="000000"/>
        </w:pBdr>
        <w:spacing w:line="240" w:lineRule="auto"/>
        <w:ind w:left="567" w:hanging="567"/>
        <w:rPr>
          <w:b/>
          <w:szCs w:val="24"/>
          <w:lang w:val="lt-LT"/>
        </w:rPr>
      </w:pPr>
      <w:r>
        <w:rPr>
          <w:b/>
          <w:szCs w:val="24"/>
          <w:lang w:val="lt-LT"/>
        </w:rPr>
        <w:t>2.</w:t>
      </w:r>
      <w:r>
        <w:rPr>
          <w:b/>
          <w:szCs w:val="24"/>
          <w:lang w:val="lt-LT"/>
        </w:rPr>
        <w:tab/>
        <w:t>VEIKLIOJI (-IOS) MEDŽIAGA (-OS) IR JOS (-Ų) KIEKIS (-IAI)</w:t>
      </w:r>
    </w:p>
    <w:p w14:paraId="07128EDA" w14:textId="77777777" w:rsidR="00172C88" w:rsidRDefault="00172C88" w:rsidP="00172C88">
      <w:pPr>
        <w:rPr>
          <w:szCs w:val="22"/>
          <w:lang w:val="lt-LT"/>
        </w:rPr>
      </w:pPr>
    </w:p>
    <w:p w14:paraId="6DFEF86A" w14:textId="77777777" w:rsidR="00172C88" w:rsidRPr="00C54C14" w:rsidRDefault="00172C88" w:rsidP="00172C88">
      <w:pPr>
        <w:rPr>
          <w:szCs w:val="22"/>
          <w:lang w:val="pt-PT"/>
        </w:rPr>
      </w:pPr>
      <w:r w:rsidRPr="009E6254">
        <w:rPr>
          <w:szCs w:val="22"/>
          <w:lang w:val="lt-LT"/>
        </w:rPr>
        <w:t>Kiekvienoje plėvele dengtoje tabletėje yra 62,5</w:t>
      </w:r>
      <w:r>
        <w:rPr>
          <w:szCs w:val="22"/>
          <w:lang w:val="lt-LT"/>
        </w:rPr>
        <w:t> mg</w:t>
      </w:r>
      <w:r w:rsidRPr="009E6254">
        <w:rPr>
          <w:szCs w:val="22"/>
          <w:lang w:val="lt-LT"/>
        </w:rPr>
        <w:t xml:space="preserve"> </w:t>
      </w:r>
      <w:proofErr w:type="spellStart"/>
      <w:r w:rsidRPr="009E6254">
        <w:rPr>
          <w:szCs w:val="22"/>
          <w:lang w:val="lt-LT"/>
        </w:rPr>
        <w:t>bozentano</w:t>
      </w:r>
      <w:proofErr w:type="spellEnd"/>
      <w:r w:rsidRPr="009E6254">
        <w:rPr>
          <w:szCs w:val="22"/>
          <w:lang w:val="lt-LT"/>
        </w:rPr>
        <w:t xml:space="preserve"> (atitinka 64,541</w:t>
      </w:r>
      <w:r>
        <w:rPr>
          <w:szCs w:val="22"/>
          <w:lang w:val="lt-LT"/>
        </w:rPr>
        <w:t> mg</w:t>
      </w:r>
      <w:r w:rsidRPr="009E6254">
        <w:rPr>
          <w:szCs w:val="22"/>
          <w:lang w:val="lt-LT"/>
        </w:rPr>
        <w:t xml:space="preserve"> </w:t>
      </w:r>
      <w:proofErr w:type="spellStart"/>
      <w:r w:rsidRPr="009E6254">
        <w:rPr>
          <w:szCs w:val="22"/>
          <w:lang w:val="lt-LT"/>
        </w:rPr>
        <w:t>bozentano</w:t>
      </w:r>
      <w:proofErr w:type="spellEnd"/>
      <w:r w:rsidRPr="009E6254">
        <w:rPr>
          <w:szCs w:val="22"/>
          <w:lang w:val="lt-LT"/>
        </w:rPr>
        <w:t xml:space="preserve"> </w:t>
      </w:r>
      <w:proofErr w:type="spellStart"/>
      <w:r w:rsidRPr="009E6254">
        <w:rPr>
          <w:szCs w:val="22"/>
          <w:lang w:val="lt-LT"/>
        </w:rPr>
        <w:t>monohidrato</w:t>
      </w:r>
      <w:proofErr w:type="spellEnd"/>
      <w:r w:rsidRPr="009E6254">
        <w:rPr>
          <w:szCs w:val="22"/>
          <w:lang w:val="lt-LT"/>
        </w:rPr>
        <w:t xml:space="preserve">). </w:t>
      </w:r>
    </w:p>
    <w:p w14:paraId="698CF5B0" w14:textId="77777777" w:rsidR="00172C88" w:rsidRPr="00C54C14" w:rsidRDefault="00172C88" w:rsidP="00172C88">
      <w:pPr>
        <w:rPr>
          <w:szCs w:val="22"/>
          <w:lang w:val="pt-PT"/>
        </w:rPr>
      </w:pPr>
      <w:r w:rsidRPr="00172C88">
        <w:rPr>
          <w:szCs w:val="22"/>
          <w:highlight w:val="lightGray"/>
          <w:lang w:val="lt-LT"/>
        </w:rPr>
        <w:t xml:space="preserve">Kiekvienoje plėvele dengtoje tabletėje yra 125 mg </w:t>
      </w:r>
      <w:proofErr w:type="spellStart"/>
      <w:r w:rsidRPr="00172C88">
        <w:rPr>
          <w:szCs w:val="22"/>
          <w:highlight w:val="lightGray"/>
          <w:lang w:val="lt-LT"/>
        </w:rPr>
        <w:t>bozentano</w:t>
      </w:r>
      <w:proofErr w:type="spellEnd"/>
      <w:r w:rsidRPr="00172C88">
        <w:rPr>
          <w:szCs w:val="22"/>
          <w:highlight w:val="lightGray"/>
          <w:lang w:val="lt-LT"/>
        </w:rPr>
        <w:t xml:space="preserve"> (atitinka 129,082 mg </w:t>
      </w:r>
      <w:proofErr w:type="spellStart"/>
      <w:r w:rsidRPr="00172C88">
        <w:rPr>
          <w:szCs w:val="22"/>
          <w:highlight w:val="lightGray"/>
          <w:lang w:val="lt-LT"/>
        </w:rPr>
        <w:t>bozentano</w:t>
      </w:r>
      <w:proofErr w:type="spellEnd"/>
      <w:r w:rsidRPr="00172C88">
        <w:rPr>
          <w:szCs w:val="22"/>
          <w:highlight w:val="lightGray"/>
          <w:lang w:val="lt-LT"/>
        </w:rPr>
        <w:t xml:space="preserve"> </w:t>
      </w:r>
      <w:proofErr w:type="spellStart"/>
      <w:r w:rsidRPr="00172C88">
        <w:rPr>
          <w:szCs w:val="22"/>
          <w:highlight w:val="lightGray"/>
          <w:lang w:val="lt-LT"/>
        </w:rPr>
        <w:t>monohidrato</w:t>
      </w:r>
      <w:proofErr w:type="spellEnd"/>
      <w:r w:rsidRPr="00172C88">
        <w:rPr>
          <w:szCs w:val="22"/>
          <w:highlight w:val="lightGray"/>
          <w:lang w:val="lt-LT"/>
        </w:rPr>
        <w:t>).</w:t>
      </w:r>
      <w:r w:rsidRPr="009E6254">
        <w:rPr>
          <w:szCs w:val="22"/>
          <w:lang w:val="lt-LT"/>
        </w:rPr>
        <w:t xml:space="preserve"> </w:t>
      </w:r>
    </w:p>
    <w:p w14:paraId="5FBA5274" w14:textId="77777777" w:rsidR="00172C88" w:rsidRDefault="00172C88" w:rsidP="00172C88">
      <w:pPr>
        <w:rPr>
          <w:szCs w:val="22"/>
          <w:lang w:val="lt-LT"/>
        </w:rPr>
      </w:pPr>
    </w:p>
    <w:p w14:paraId="09FA0D1A" w14:textId="77777777" w:rsidR="00172C88" w:rsidRDefault="00172C88" w:rsidP="00172C88">
      <w:pPr>
        <w:rPr>
          <w:szCs w:val="22"/>
          <w:lang w:val="lt-LT"/>
        </w:rPr>
      </w:pPr>
    </w:p>
    <w:p w14:paraId="58D55391" w14:textId="77777777" w:rsidR="00172C88" w:rsidRPr="00E32052" w:rsidRDefault="00172C88" w:rsidP="00172C88">
      <w:pPr>
        <w:pBdr>
          <w:top w:val="single" w:sz="4" w:space="1" w:color="000000"/>
          <w:left w:val="single" w:sz="4" w:space="4" w:color="000000"/>
          <w:bottom w:val="single" w:sz="4" w:space="1" w:color="000000"/>
          <w:right w:val="single" w:sz="4" w:space="4" w:color="000000"/>
        </w:pBdr>
        <w:spacing w:line="240" w:lineRule="auto"/>
        <w:ind w:left="567" w:hanging="567"/>
        <w:rPr>
          <w:lang w:val="lt-LT"/>
        </w:rPr>
      </w:pPr>
      <w:r>
        <w:rPr>
          <w:b/>
          <w:szCs w:val="22"/>
          <w:lang w:val="lt-LT"/>
        </w:rPr>
        <w:t>3.</w:t>
      </w:r>
      <w:r>
        <w:rPr>
          <w:b/>
          <w:szCs w:val="22"/>
          <w:lang w:val="lt-LT"/>
        </w:rPr>
        <w:tab/>
        <w:t>PAGALBINIŲ MEDŽIAGŲ SĄRAŠAS</w:t>
      </w:r>
    </w:p>
    <w:p w14:paraId="0AF3D991" w14:textId="77777777" w:rsidR="00172C88" w:rsidRDefault="00172C88" w:rsidP="00172C88">
      <w:pPr>
        <w:rPr>
          <w:szCs w:val="24"/>
          <w:lang w:val="lt-LT"/>
        </w:rPr>
      </w:pPr>
    </w:p>
    <w:p w14:paraId="47EE34C4" w14:textId="77777777" w:rsidR="00172C88" w:rsidRDefault="00172C88" w:rsidP="00172C88">
      <w:pPr>
        <w:rPr>
          <w:szCs w:val="24"/>
          <w:lang w:val="lt-LT"/>
        </w:rPr>
      </w:pPr>
      <w:r>
        <w:rPr>
          <w:szCs w:val="24"/>
          <w:lang w:val="lt-LT"/>
        </w:rPr>
        <w:t>Sudėtyje yra nedidelis kiekis natrio. Daugiau informacijos pateikta pakuotės lapelyje.</w:t>
      </w:r>
    </w:p>
    <w:p w14:paraId="186B19AC" w14:textId="77777777" w:rsidR="00172C88" w:rsidRDefault="00172C88" w:rsidP="00172C88">
      <w:pPr>
        <w:rPr>
          <w:szCs w:val="24"/>
          <w:lang w:val="lt-LT"/>
        </w:rPr>
      </w:pPr>
    </w:p>
    <w:p w14:paraId="5FC4A67C" w14:textId="77777777" w:rsidR="00172C88" w:rsidRDefault="00172C88" w:rsidP="00172C88">
      <w:pPr>
        <w:rPr>
          <w:szCs w:val="24"/>
          <w:lang w:val="lt-LT"/>
        </w:rPr>
      </w:pPr>
    </w:p>
    <w:p w14:paraId="1633DC6F" w14:textId="77777777" w:rsidR="00172C88" w:rsidRPr="00C54C14" w:rsidRDefault="00172C88" w:rsidP="00172C88">
      <w:pPr>
        <w:pBdr>
          <w:top w:val="single" w:sz="4" w:space="1" w:color="000000"/>
          <w:left w:val="single" w:sz="4" w:space="4" w:color="000000"/>
          <w:bottom w:val="single" w:sz="4" w:space="1" w:color="000000"/>
          <w:right w:val="single" w:sz="4" w:space="4" w:color="000000"/>
        </w:pBdr>
        <w:spacing w:line="240" w:lineRule="auto"/>
        <w:ind w:left="567" w:hanging="567"/>
        <w:rPr>
          <w:lang w:val="pt-PT"/>
        </w:rPr>
      </w:pPr>
      <w:r>
        <w:rPr>
          <w:b/>
          <w:szCs w:val="24"/>
          <w:lang w:val="lt-LT"/>
        </w:rPr>
        <w:t>4.</w:t>
      </w:r>
      <w:r>
        <w:rPr>
          <w:b/>
          <w:szCs w:val="24"/>
          <w:lang w:val="lt-LT"/>
        </w:rPr>
        <w:tab/>
        <w:t>FARMACINĖ FORMA IR KIEKIS PAKUOTĖJE</w:t>
      </w:r>
    </w:p>
    <w:p w14:paraId="5E9C4BB0" w14:textId="77777777" w:rsidR="00172C88" w:rsidRDefault="00172C88" w:rsidP="00172C88">
      <w:pPr>
        <w:rPr>
          <w:szCs w:val="24"/>
          <w:lang w:val="lt-LT"/>
        </w:rPr>
      </w:pPr>
    </w:p>
    <w:p w14:paraId="2D109613" w14:textId="77777777" w:rsidR="00172C88" w:rsidRDefault="00172C88" w:rsidP="00172C88">
      <w:pPr>
        <w:pStyle w:val="Default"/>
        <w:rPr>
          <w:sz w:val="22"/>
          <w:szCs w:val="22"/>
          <w:lang w:val="lt-LT"/>
        </w:rPr>
      </w:pPr>
      <w:r w:rsidRPr="00172C88">
        <w:rPr>
          <w:sz w:val="22"/>
          <w:szCs w:val="22"/>
          <w:highlight w:val="lightGray"/>
          <w:lang w:val="lt-LT"/>
        </w:rPr>
        <w:t>Plėvele dengta tabletė</w:t>
      </w:r>
    </w:p>
    <w:p w14:paraId="705A2965" w14:textId="77777777" w:rsidR="00172C88" w:rsidRDefault="00172C88" w:rsidP="00172C88">
      <w:pPr>
        <w:pStyle w:val="Default"/>
        <w:rPr>
          <w:sz w:val="22"/>
          <w:szCs w:val="22"/>
          <w:lang w:val="lt-LT"/>
        </w:rPr>
      </w:pPr>
      <w:r>
        <w:rPr>
          <w:sz w:val="22"/>
          <w:szCs w:val="22"/>
          <w:lang w:val="lt-LT"/>
        </w:rPr>
        <w:t xml:space="preserve">14 plėvele dengtų tablečių </w:t>
      </w:r>
    </w:p>
    <w:p w14:paraId="4DF3075E" w14:textId="77777777" w:rsidR="00172C88" w:rsidRPr="007263E8" w:rsidRDefault="00172C88" w:rsidP="00172C88">
      <w:pPr>
        <w:pStyle w:val="Default"/>
        <w:rPr>
          <w:sz w:val="22"/>
          <w:shd w:val="clear" w:color="auto" w:fill="A9A9A9"/>
          <w:lang w:val="lt-LT"/>
        </w:rPr>
      </w:pPr>
      <w:r w:rsidRPr="007263E8">
        <w:rPr>
          <w:sz w:val="22"/>
          <w:shd w:val="clear" w:color="auto" w:fill="A9A9A9"/>
          <w:lang w:val="lt-LT"/>
        </w:rPr>
        <w:t>56 plėvele dengtos tabletės</w:t>
      </w:r>
    </w:p>
    <w:p w14:paraId="7F6E8EC4" w14:textId="77777777" w:rsidR="00172C88" w:rsidRPr="00C54C14" w:rsidRDefault="00172C88" w:rsidP="00172C88">
      <w:pPr>
        <w:rPr>
          <w:lang w:val="pt-PT"/>
        </w:rPr>
      </w:pPr>
      <w:r w:rsidRPr="007263E8">
        <w:rPr>
          <w:shd w:val="clear" w:color="auto" w:fill="A9A9A9"/>
          <w:lang w:val="lt-LT"/>
        </w:rPr>
        <w:t>112 plėvele dengtų tablečių</w:t>
      </w:r>
    </w:p>
    <w:p w14:paraId="4F67EB70" w14:textId="77777777" w:rsidR="00172C88" w:rsidRDefault="00172C88" w:rsidP="00172C88">
      <w:pPr>
        <w:rPr>
          <w:szCs w:val="22"/>
          <w:lang w:val="lt-LT"/>
        </w:rPr>
      </w:pPr>
    </w:p>
    <w:p w14:paraId="60C019CD" w14:textId="77777777" w:rsidR="00172C88" w:rsidRDefault="00172C88" w:rsidP="00172C88">
      <w:pPr>
        <w:rPr>
          <w:szCs w:val="24"/>
          <w:lang w:val="lt-LT"/>
        </w:rPr>
      </w:pPr>
    </w:p>
    <w:p w14:paraId="44AABFD0" w14:textId="77777777" w:rsidR="00172C88" w:rsidRPr="00C54C14" w:rsidRDefault="00172C88" w:rsidP="00172C88">
      <w:pPr>
        <w:pBdr>
          <w:top w:val="single" w:sz="4" w:space="1" w:color="000000"/>
          <w:left w:val="single" w:sz="4" w:space="4" w:color="000000"/>
          <w:bottom w:val="single" w:sz="4" w:space="1" w:color="000000"/>
          <w:right w:val="single" w:sz="4" w:space="4" w:color="000000"/>
        </w:pBdr>
        <w:spacing w:line="240" w:lineRule="auto"/>
        <w:ind w:left="567" w:hanging="567"/>
        <w:rPr>
          <w:lang w:val="pt-PT"/>
        </w:rPr>
      </w:pPr>
      <w:r>
        <w:rPr>
          <w:b/>
          <w:szCs w:val="24"/>
          <w:lang w:val="lt-LT"/>
        </w:rPr>
        <w:t>5.</w:t>
      </w:r>
      <w:r>
        <w:rPr>
          <w:b/>
          <w:szCs w:val="24"/>
          <w:lang w:val="lt-LT"/>
        </w:rPr>
        <w:tab/>
        <w:t>VARTOJIMO METODAS IR BŪDAS (-AI)</w:t>
      </w:r>
    </w:p>
    <w:p w14:paraId="658D6F71" w14:textId="77777777" w:rsidR="00172C88" w:rsidRDefault="00172C88" w:rsidP="00172C88">
      <w:pPr>
        <w:rPr>
          <w:szCs w:val="24"/>
          <w:lang w:val="lt-LT"/>
        </w:rPr>
      </w:pPr>
    </w:p>
    <w:p w14:paraId="7DF93CEE" w14:textId="77777777" w:rsidR="00172C88" w:rsidRDefault="00172C88" w:rsidP="00172C88">
      <w:pPr>
        <w:rPr>
          <w:szCs w:val="24"/>
          <w:lang w:val="lt-LT"/>
        </w:rPr>
      </w:pPr>
      <w:r>
        <w:rPr>
          <w:szCs w:val="24"/>
          <w:lang w:val="lt-LT"/>
        </w:rPr>
        <w:t>Prieš vartojimą perskaitykite pakuotės lapelį.</w:t>
      </w:r>
    </w:p>
    <w:p w14:paraId="5DA37277" w14:textId="77777777" w:rsidR="00172C88" w:rsidRDefault="00172C88" w:rsidP="00172C88">
      <w:pPr>
        <w:rPr>
          <w:szCs w:val="24"/>
          <w:lang w:val="lt-LT"/>
        </w:rPr>
      </w:pPr>
      <w:r>
        <w:rPr>
          <w:szCs w:val="24"/>
          <w:lang w:val="lt-LT"/>
        </w:rPr>
        <w:t>Vartoti per burną.</w:t>
      </w:r>
    </w:p>
    <w:p w14:paraId="626B30BF" w14:textId="77777777" w:rsidR="00172C88" w:rsidRDefault="00172C88" w:rsidP="00172C88">
      <w:pPr>
        <w:rPr>
          <w:szCs w:val="24"/>
          <w:lang w:val="lt-LT"/>
        </w:rPr>
      </w:pPr>
    </w:p>
    <w:p w14:paraId="4539F058" w14:textId="77777777" w:rsidR="00172C88" w:rsidRDefault="00172C88" w:rsidP="00172C88">
      <w:pPr>
        <w:rPr>
          <w:szCs w:val="24"/>
          <w:lang w:val="lt-LT"/>
        </w:rPr>
      </w:pPr>
    </w:p>
    <w:p w14:paraId="5AC63B74" w14:textId="77777777" w:rsidR="00172C88" w:rsidRPr="00E32052" w:rsidRDefault="00172C88" w:rsidP="00172C88">
      <w:pPr>
        <w:pBdr>
          <w:top w:val="single" w:sz="4" w:space="1" w:color="000000"/>
          <w:left w:val="single" w:sz="4" w:space="4" w:color="000000"/>
          <w:bottom w:val="single" w:sz="4" w:space="1" w:color="000000"/>
          <w:right w:val="single" w:sz="4" w:space="4" w:color="000000"/>
        </w:pBdr>
        <w:spacing w:line="240" w:lineRule="auto"/>
        <w:ind w:left="567" w:hanging="567"/>
        <w:rPr>
          <w:lang w:val="lt-LT"/>
        </w:rPr>
      </w:pPr>
      <w:r>
        <w:rPr>
          <w:b/>
          <w:szCs w:val="24"/>
          <w:lang w:val="lt-LT"/>
        </w:rPr>
        <w:t>6.</w:t>
      </w:r>
      <w:r>
        <w:rPr>
          <w:b/>
          <w:szCs w:val="24"/>
          <w:lang w:val="lt-LT"/>
        </w:rPr>
        <w:tab/>
        <w:t>SPECIALUS ĮSPĖJIMAS, KAD VAISTINĮ PREPARATĄ BŪTINA LAIKYTI VAIKAMS NEPASTEBIMOJE IR NEPASIEKIAMOJE VIETOJE</w:t>
      </w:r>
    </w:p>
    <w:p w14:paraId="01E3C908" w14:textId="77777777" w:rsidR="00172C88" w:rsidRDefault="00172C88" w:rsidP="00172C88">
      <w:pPr>
        <w:rPr>
          <w:szCs w:val="24"/>
          <w:lang w:val="lt-LT"/>
        </w:rPr>
      </w:pPr>
    </w:p>
    <w:p w14:paraId="1AA3DD00" w14:textId="77777777" w:rsidR="00172C88" w:rsidRDefault="00172C88" w:rsidP="00172C88">
      <w:pPr>
        <w:rPr>
          <w:szCs w:val="24"/>
          <w:lang w:val="lt-LT"/>
        </w:rPr>
      </w:pPr>
      <w:r>
        <w:rPr>
          <w:szCs w:val="24"/>
          <w:lang w:val="lt-LT"/>
        </w:rPr>
        <w:t>Laikyti vaikams nepastebimoje ir nepasiekiamoje vietoje.</w:t>
      </w:r>
    </w:p>
    <w:p w14:paraId="1B61F91C" w14:textId="77777777" w:rsidR="00172C88" w:rsidRDefault="00172C88" w:rsidP="00172C88">
      <w:pPr>
        <w:rPr>
          <w:szCs w:val="24"/>
          <w:lang w:val="lt-LT"/>
        </w:rPr>
      </w:pPr>
    </w:p>
    <w:p w14:paraId="189E62D1" w14:textId="77777777" w:rsidR="00172C88" w:rsidRDefault="00172C88" w:rsidP="00172C88">
      <w:pPr>
        <w:rPr>
          <w:szCs w:val="24"/>
          <w:lang w:val="lt-LT"/>
        </w:rPr>
      </w:pPr>
    </w:p>
    <w:p w14:paraId="0F41B5E2" w14:textId="77777777" w:rsidR="00172C88" w:rsidRPr="00C54C14" w:rsidRDefault="00172C88" w:rsidP="00172C88">
      <w:pPr>
        <w:pBdr>
          <w:top w:val="single" w:sz="4" w:space="1" w:color="000000"/>
          <w:left w:val="single" w:sz="4" w:space="4" w:color="000000"/>
          <w:bottom w:val="single" w:sz="4" w:space="1" w:color="000000"/>
          <w:right w:val="single" w:sz="4" w:space="4" w:color="000000"/>
        </w:pBdr>
        <w:spacing w:line="240" w:lineRule="auto"/>
        <w:ind w:left="567" w:hanging="567"/>
        <w:rPr>
          <w:lang w:val="pt-PT"/>
        </w:rPr>
      </w:pPr>
      <w:r>
        <w:rPr>
          <w:b/>
          <w:szCs w:val="24"/>
          <w:lang w:val="lt-LT"/>
        </w:rPr>
        <w:t>7.</w:t>
      </w:r>
      <w:r>
        <w:rPr>
          <w:b/>
          <w:szCs w:val="24"/>
          <w:lang w:val="lt-LT"/>
        </w:rPr>
        <w:tab/>
        <w:t>KITAS (-I) SPECIALUS (-ŪS) ĮSPĖJIMAS (-AI) (JEI REIKIA)</w:t>
      </w:r>
    </w:p>
    <w:p w14:paraId="66EB5D4A" w14:textId="77777777" w:rsidR="00172C88" w:rsidRDefault="00172C88" w:rsidP="00172C88">
      <w:pPr>
        <w:rPr>
          <w:szCs w:val="24"/>
          <w:lang w:val="lt-LT"/>
        </w:rPr>
      </w:pPr>
    </w:p>
    <w:p w14:paraId="6E66D6F1" w14:textId="77777777" w:rsidR="00172C88" w:rsidRDefault="00172C88" w:rsidP="00172C88">
      <w:pPr>
        <w:rPr>
          <w:szCs w:val="24"/>
          <w:lang w:val="lt-LT"/>
        </w:rPr>
      </w:pPr>
    </w:p>
    <w:p w14:paraId="7A50CD70" w14:textId="77777777" w:rsidR="00172C88" w:rsidRPr="00C54C14" w:rsidRDefault="00172C88" w:rsidP="00172C88">
      <w:pPr>
        <w:pBdr>
          <w:top w:val="single" w:sz="4" w:space="1" w:color="000000"/>
          <w:left w:val="single" w:sz="4" w:space="4" w:color="000000"/>
          <w:bottom w:val="single" w:sz="4" w:space="1" w:color="000000"/>
          <w:right w:val="single" w:sz="4" w:space="4" w:color="000000"/>
        </w:pBdr>
        <w:spacing w:line="240" w:lineRule="auto"/>
        <w:ind w:left="567" w:hanging="567"/>
        <w:rPr>
          <w:lang w:val="pt-PT"/>
        </w:rPr>
      </w:pPr>
      <w:r>
        <w:rPr>
          <w:b/>
          <w:szCs w:val="24"/>
          <w:lang w:val="lt-LT"/>
        </w:rPr>
        <w:t>8.</w:t>
      </w:r>
      <w:r>
        <w:rPr>
          <w:b/>
          <w:szCs w:val="24"/>
          <w:lang w:val="lt-LT"/>
        </w:rPr>
        <w:tab/>
        <w:t>TINKAMUMO LAIKAS</w:t>
      </w:r>
    </w:p>
    <w:p w14:paraId="08E6457D" w14:textId="77777777" w:rsidR="00172C88" w:rsidRDefault="00172C88" w:rsidP="00172C88">
      <w:pPr>
        <w:rPr>
          <w:szCs w:val="24"/>
          <w:lang w:val="lt-LT"/>
        </w:rPr>
      </w:pPr>
    </w:p>
    <w:p w14:paraId="0504935F" w14:textId="77777777" w:rsidR="00172C88" w:rsidRPr="00C54C14" w:rsidRDefault="00172C88" w:rsidP="00172C88">
      <w:pPr>
        <w:rPr>
          <w:lang w:val="pt-PT"/>
        </w:rPr>
      </w:pPr>
      <w:r>
        <w:rPr>
          <w:lang w:val="lt-LT"/>
        </w:rPr>
        <w:t xml:space="preserve">EXP: </w:t>
      </w:r>
      <w:r w:rsidRPr="00C54C14">
        <w:rPr>
          <w:lang w:val="pt-PT"/>
        </w:rPr>
        <w:t>{mm MMMM}</w:t>
      </w:r>
    </w:p>
    <w:p w14:paraId="1B965784" w14:textId="77777777" w:rsidR="00172C88" w:rsidRDefault="00172C88" w:rsidP="00172C88">
      <w:pPr>
        <w:rPr>
          <w:szCs w:val="24"/>
          <w:lang w:val="lt-LT"/>
        </w:rPr>
      </w:pPr>
    </w:p>
    <w:p w14:paraId="71A818AD" w14:textId="77777777" w:rsidR="00172C88" w:rsidRPr="00C54C14" w:rsidRDefault="00172C88" w:rsidP="00172C88">
      <w:pPr>
        <w:keepNext/>
        <w:pBdr>
          <w:top w:val="single" w:sz="4" w:space="1" w:color="000000"/>
          <w:left w:val="single" w:sz="4" w:space="4" w:color="000000"/>
          <w:bottom w:val="single" w:sz="4" w:space="1" w:color="000000"/>
          <w:right w:val="single" w:sz="4" w:space="4" w:color="000000"/>
        </w:pBdr>
        <w:spacing w:line="240" w:lineRule="auto"/>
        <w:ind w:left="567" w:hanging="567"/>
        <w:rPr>
          <w:lang w:val="pt-PT"/>
        </w:rPr>
      </w:pPr>
      <w:r>
        <w:rPr>
          <w:b/>
          <w:szCs w:val="24"/>
          <w:lang w:val="lt-LT"/>
        </w:rPr>
        <w:lastRenderedPageBreak/>
        <w:t>9.</w:t>
      </w:r>
      <w:r>
        <w:rPr>
          <w:b/>
          <w:szCs w:val="24"/>
          <w:lang w:val="lt-LT"/>
        </w:rPr>
        <w:tab/>
        <w:t>SPECIALIOS LAIKYMO SĄLYGOS</w:t>
      </w:r>
    </w:p>
    <w:p w14:paraId="58C787C0" w14:textId="77777777" w:rsidR="00172C88" w:rsidRDefault="00172C88" w:rsidP="00172C88">
      <w:pPr>
        <w:rPr>
          <w:szCs w:val="24"/>
          <w:lang w:val="lt-LT"/>
        </w:rPr>
      </w:pPr>
    </w:p>
    <w:p w14:paraId="79AFC7F5" w14:textId="77777777" w:rsidR="00172C88" w:rsidRDefault="00172C88" w:rsidP="00172C88">
      <w:pPr>
        <w:rPr>
          <w:szCs w:val="24"/>
          <w:lang w:val="lt-LT"/>
        </w:rPr>
      </w:pPr>
    </w:p>
    <w:p w14:paraId="679701D4" w14:textId="77777777" w:rsidR="00172C88" w:rsidRDefault="00172C88" w:rsidP="00172C88">
      <w:pPr>
        <w:pBdr>
          <w:top w:val="single" w:sz="4" w:space="1" w:color="000000"/>
          <w:left w:val="single" w:sz="4" w:space="4" w:color="000000"/>
          <w:bottom w:val="single" w:sz="4" w:space="1" w:color="000000"/>
          <w:right w:val="single" w:sz="4" w:space="4" w:color="000000"/>
        </w:pBdr>
        <w:spacing w:line="240" w:lineRule="auto"/>
        <w:rPr>
          <w:b/>
          <w:szCs w:val="24"/>
          <w:lang w:val="lt-LT"/>
        </w:rPr>
      </w:pPr>
      <w:r>
        <w:rPr>
          <w:b/>
          <w:szCs w:val="24"/>
          <w:lang w:val="lt-LT"/>
        </w:rPr>
        <w:t>10.</w:t>
      </w:r>
      <w:r>
        <w:rPr>
          <w:b/>
          <w:szCs w:val="24"/>
          <w:lang w:val="lt-LT"/>
        </w:rPr>
        <w:tab/>
        <w:t>SPECIALIOS ATSARGUMO PRIEMONĖS DĖL NESUVARTOTO VAISTINIO PREPARATO AR JO ATLIEKŲ TVARKYMO (JEI REIKIA)</w:t>
      </w:r>
    </w:p>
    <w:p w14:paraId="272E1DB9" w14:textId="77777777" w:rsidR="00172C88" w:rsidRDefault="00172C88" w:rsidP="00172C88">
      <w:pPr>
        <w:rPr>
          <w:szCs w:val="24"/>
          <w:lang w:val="lt-LT"/>
        </w:rPr>
      </w:pPr>
    </w:p>
    <w:p w14:paraId="2F3717C7" w14:textId="77777777" w:rsidR="00172C88" w:rsidRDefault="00172C88" w:rsidP="00172C88">
      <w:pPr>
        <w:rPr>
          <w:szCs w:val="24"/>
          <w:lang w:val="lt-LT"/>
        </w:rPr>
      </w:pPr>
    </w:p>
    <w:p w14:paraId="6F97F166" w14:textId="77777777" w:rsidR="00172C88" w:rsidRPr="00C54C14" w:rsidRDefault="00172C88" w:rsidP="00172C88">
      <w:pPr>
        <w:pBdr>
          <w:top w:val="single" w:sz="4" w:space="1" w:color="000000"/>
          <w:left w:val="single" w:sz="4" w:space="4" w:color="000000"/>
          <w:bottom w:val="single" w:sz="4" w:space="1" w:color="000000"/>
          <w:right w:val="single" w:sz="4" w:space="4" w:color="000000"/>
        </w:pBdr>
        <w:spacing w:line="240" w:lineRule="auto"/>
        <w:rPr>
          <w:lang w:val="pt-PT"/>
        </w:rPr>
      </w:pPr>
      <w:r>
        <w:rPr>
          <w:b/>
          <w:szCs w:val="24"/>
          <w:lang w:val="lt-LT"/>
        </w:rPr>
        <w:t>11.</w:t>
      </w:r>
      <w:r>
        <w:rPr>
          <w:b/>
          <w:szCs w:val="24"/>
          <w:lang w:val="lt-LT"/>
        </w:rPr>
        <w:tab/>
      </w:r>
      <w:r>
        <w:rPr>
          <w:b/>
          <w:caps/>
          <w:szCs w:val="24"/>
          <w:lang w:val="lt-LT"/>
        </w:rPr>
        <w:t>REGISTRUOTOJO PAVADINIMAS IR ADRESAS</w:t>
      </w:r>
    </w:p>
    <w:p w14:paraId="3314DA87" w14:textId="77777777" w:rsidR="00172C88" w:rsidRDefault="00172C88" w:rsidP="00172C88">
      <w:pPr>
        <w:rPr>
          <w:szCs w:val="22"/>
          <w:lang w:val="lt-LT"/>
        </w:rPr>
      </w:pPr>
    </w:p>
    <w:p w14:paraId="42104C47" w14:textId="77777777" w:rsidR="00172C88" w:rsidRDefault="00172C88" w:rsidP="00172C88">
      <w:pPr>
        <w:pStyle w:val="Default"/>
        <w:rPr>
          <w:bCs/>
          <w:sz w:val="22"/>
          <w:szCs w:val="22"/>
          <w:lang w:val="lt-LT"/>
        </w:rPr>
      </w:pPr>
      <w:r>
        <w:rPr>
          <w:bCs/>
          <w:sz w:val="22"/>
          <w:szCs w:val="22"/>
          <w:lang w:val="lt-LT"/>
        </w:rPr>
        <w:t xml:space="preserve">UAB </w:t>
      </w:r>
      <w:proofErr w:type="spellStart"/>
      <w:r>
        <w:rPr>
          <w:bCs/>
          <w:sz w:val="22"/>
          <w:szCs w:val="22"/>
          <w:lang w:val="lt-LT"/>
        </w:rPr>
        <w:t>Norameda</w:t>
      </w:r>
      <w:proofErr w:type="spellEnd"/>
    </w:p>
    <w:p w14:paraId="064B1477" w14:textId="76D1D695" w:rsidR="00172C88" w:rsidRDefault="00172C88" w:rsidP="00172C88">
      <w:pPr>
        <w:rPr>
          <w:szCs w:val="22"/>
          <w:lang w:val="lt-LT"/>
        </w:rPr>
      </w:pPr>
      <w:r>
        <w:rPr>
          <w:szCs w:val="22"/>
          <w:lang w:val="lt-LT"/>
        </w:rPr>
        <w:t>Meistrų</w:t>
      </w:r>
      <w:r w:rsidR="000C080D">
        <w:rPr>
          <w:szCs w:val="22"/>
          <w:lang w:val="lt-LT"/>
        </w:rPr>
        <w:t xml:space="preserve"> g.</w:t>
      </w:r>
      <w:r>
        <w:rPr>
          <w:szCs w:val="22"/>
          <w:lang w:val="lt-LT"/>
        </w:rPr>
        <w:t xml:space="preserve"> 8</w:t>
      </w:r>
      <w:r w:rsidR="000C080D">
        <w:rPr>
          <w:szCs w:val="22"/>
          <w:lang w:val="lt-LT"/>
        </w:rPr>
        <w:t>A</w:t>
      </w:r>
    </w:p>
    <w:p w14:paraId="095CD673" w14:textId="6B22048B" w:rsidR="00172C88" w:rsidRDefault="00172C88" w:rsidP="00172C88">
      <w:pPr>
        <w:rPr>
          <w:szCs w:val="22"/>
          <w:lang w:val="lt-LT"/>
        </w:rPr>
      </w:pPr>
      <w:r>
        <w:rPr>
          <w:szCs w:val="22"/>
          <w:lang w:val="lt-LT"/>
        </w:rPr>
        <w:t>LT-021</w:t>
      </w:r>
      <w:r w:rsidR="000C080D">
        <w:rPr>
          <w:szCs w:val="22"/>
          <w:lang w:val="lt-LT"/>
        </w:rPr>
        <w:t>90</w:t>
      </w:r>
      <w:r>
        <w:rPr>
          <w:szCs w:val="22"/>
          <w:lang w:val="lt-LT"/>
        </w:rPr>
        <w:t xml:space="preserve"> Vilnius</w:t>
      </w:r>
    </w:p>
    <w:p w14:paraId="499BBC9D" w14:textId="77777777" w:rsidR="00172C88" w:rsidRDefault="00172C88" w:rsidP="00172C88">
      <w:pPr>
        <w:autoSpaceDE w:val="0"/>
        <w:rPr>
          <w:rFonts w:eastAsia="Batang"/>
          <w:bCs/>
          <w:szCs w:val="22"/>
          <w:lang w:val="lt-LT"/>
        </w:rPr>
      </w:pPr>
      <w:r>
        <w:rPr>
          <w:rFonts w:eastAsia="Batang"/>
          <w:bCs/>
          <w:szCs w:val="22"/>
          <w:lang w:val="lt-LT"/>
        </w:rPr>
        <w:t>Lietuva</w:t>
      </w:r>
    </w:p>
    <w:p w14:paraId="769FADC5" w14:textId="77777777" w:rsidR="00172C88" w:rsidRDefault="00172C88" w:rsidP="00172C88">
      <w:pPr>
        <w:rPr>
          <w:szCs w:val="22"/>
          <w:lang w:val="lt-LT"/>
        </w:rPr>
      </w:pPr>
    </w:p>
    <w:p w14:paraId="66DA5D7E" w14:textId="77777777" w:rsidR="00172C88" w:rsidRDefault="00172C88" w:rsidP="00172C88">
      <w:pPr>
        <w:rPr>
          <w:szCs w:val="24"/>
          <w:lang w:val="lt-LT"/>
        </w:rPr>
      </w:pPr>
    </w:p>
    <w:p w14:paraId="62419F96" w14:textId="77777777" w:rsidR="00172C88" w:rsidRPr="00C54C14" w:rsidRDefault="00172C88" w:rsidP="00172C88">
      <w:pPr>
        <w:pBdr>
          <w:top w:val="single" w:sz="4" w:space="1" w:color="000000"/>
          <w:left w:val="single" w:sz="4" w:space="4" w:color="000000"/>
          <w:bottom w:val="single" w:sz="4" w:space="1" w:color="000000"/>
          <w:right w:val="single" w:sz="4" w:space="4" w:color="000000"/>
        </w:pBdr>
        <w:spacing w:line="240" w:lineRule="auto"/>
        <w:rPr>
          <w:lang w:val="pt-PT"/>
        </w:rPr>
      </w:pPr>
      <w:r>
        <w:rPr>
          <w:b/>
          <w:szCs w:val="24"/>
          <w:lang w:val="lt-LT"/>
        </w:rPr>
        <w:t>12.</w:t>
      </w:r>
      <w:r>
        <w:rPr>
          <w:b/>
          <w:szCs w:val="24"/>
          <w:lang w:val="lt-LT"/>
        </w:rPr>
        <w:tab/>
        <w:t xml:space="preserve">REGISTRACIJOS PAŽYMĖJIMO NUMERIS (-IAI) </w:t>
      </w:r>
    </w:p>
    <w:p w14:paraId="0A941E27" w14:textId="77777777" w:rsidR="00172C88" w:rsidRDefault="00172C88" w:rsidP="00172C88">
      <w:pPr>
        <w:rPr>
          <w:szCs w:val="24"/>
          <w:lang w:val="lt-LT"/>
        </w:rPr>
      </w:pPr>
    </w:p>
    <w:p w14:paraId="6F557DC8" w14:textId="77777777" w:rsidR="00172C88" w:rsidRDefault="00172C88" w:rsidP="00172C88">
      <w:pPr>
        <w:rPr>
          <w:bCs/>
          <w:lang w:val="lt-LT"/>
        </w:rPr>
      </w:pPr>
      <w:r w:rsidRPr="00172C88">
        <w:rPr>
          <w:szCs w:val="22"/>
          <w:highlight w:val="lightGray"/>
          <w:lang w:val="lt-LT"/>
        </w:rPr>
        <w:t>62,5 mg</w:t>
      </w:r>
    </w:p>
    <w:p w14:paraId="3DC743AA" w14:textId="77777777" w:rsidR="00172C88" w:rsidRPr="00172C88" w:rsidRDefault="00172C88" w:rsidP="00172C88">
      <w:pPr>
        <w:rPr>
          <w:bCs/>
          <w:highlight w:val="lightGray"/>
          <w:lang w:val="lt-LT"/>
        </w:rPr>
      </w:pPr>
      <w:r>
        <w:rPr>
          <w:bCs/>
          <w:lang w:val="lt-LT"/>
        </w:rPr>
        <w:t>LT/1/13</w:t>
      </w:r>
      <w:r w:rsidRPr="003677FF">
        <w:rPr>
          <w:bCs/>
          <w:lang w:val="lt-LT"/>
        </w:rPr>
        <w:t>/</w:t>
      </w:r>
      <w:r>
        <w:rPr>
          <w:bCs/>
          <w:lang w:val="lt-LT"/>
        </w:rPr>
        <w:t xml:space="preserve">3441/001 </w:t>
      </w:r>
      <w:r w:rsidRPr="00172C88">
        <w:rPr>
          <w:bCs/>
          <w:highlight w:val="lightGray"/>
          <w:lang w:val="lt-LT"/>
        </w:rPr>
        <w:t>– N14</w:t>
      </w:r>
    </w:p>
    <w:p w14:paraId="207B9AB7" w14:textId="77777777" w:rsidR="00172C88" w:rsidRPr="00172C88" w:rsidRDefault="00172C88" w:rsidP="00172C88">
      <w:pPr>
        <w:rPr>
          <w:bCs/>
          <w:highlight w:val="lightGray"/>
          <w:lang w:val="lt-LT"/>
        </w:rPr>
      </w:pPr>
      <w:r w:rsidRPr="00172C88">
        <w:rPr>
          <w:bCs/>
          <w:highlight w:val="lightGray"/>
          <w:lang w:val="lt-LT"/>
        </w:rPr>
        <w:t>LT/1/13/3441/002 – N56</w:t>
      </w:r>
    </w:p>
    <w:p w14:paraId="40EB1CAC" w14:textId="77777777" w:rsidR="00172C88" w:rsidRPr="00172C88" w:rsidRDefault="00172C88" w:rsidP="00172C88">
      <w:pPr>
        <w:rPr>
          <w:szCs w:val="24"/>
          <w:highlight w:val="lightGray"/>
          <w:lang w:val="lt-LT"/>
        </w:rPr>
      </w:pPr>
      <w:r w:rsidRPr="00172C88">
        <w:rPr>
          <w:bCs/>
          <w:highlight w:val="lightGray"/>
          <w:lang w:val="lt-LT"/>
        </w:rPr>
        <w:t>LT/1/13/3441/003 – N112</w:t>
      </w:r>
    </w:p>
    <w:p w14:paraId="16B7C32F" w14:textId="77777777" w:rsidR="00172C88" w:rsidRPr="00172C88" w:rsidRDefault="00172C88" w:rsidP="00172C88">
      <w:pPr>
        <w:rPr>
          <w:szCs w:val="24"/>
          <w:highlight w:val="lightGray"/>
          <w:lang w:val="lt-LT"/>
        </w:rPr>
      </w:pPr>
    </w:p>
    <w:p w14:paraId="22C7AD9B" w14:textId="77777777" w:rsidR="00172C88" w:rsidRPr="00172C88" w:rsidRDefault="00172C88" w:rsidP="00172C88">
      <w:pPr>
        <w:pStyle w:val="Default"/>
        <w:rPr>
          <w:sz w:val="22"/>
          <w:szCs w:val="22"/>
          <w:highlight w:val="lightGray"/>
          <w:lang w:val="lt-LT"/>
        </w:rPr>
      </w:pPr>
      <w:r w:rsidRPr="00172C88">
        <w:rPr>
          <w:sz w:val="22"/>
          <w:szCs w:val="22"/>
          <w:highlight w:val="lightGray"/>
          <w:lang w:val="lt-LT"/>
        </w:rPr>
        <w:t>125 mg</w:t>
      </w:r>
    </w:p>
    <w:p w14:paraId="615BCA61" w14:textId="77777777" w:rsidR="00172C88" w:rsidRPr="00172C88" w:rsidRDefault="00172C88" w:rsidP="00172C88">
      <w:pPr>
        <w:rPr>
          <w:bCs/>
          <w:highlight w:val="lightGray"/>
          <w:lang w:val="lt-LT"/>
        </w:rPr>
      </w:pPr>
      <w:r w:rsidRPr="00172C88">
        <w:rPr>
          <w:bCs/>
          <w:highlight w:val="lightGray"/>
          <w:lang w:val="lt-LT"/>
        </w:rPr>
        <w:t>LT/1/13/3441/004 – N14</w:t>
      </w:r>
    </w:p>
    <w:p w14:paraId="196FD87D" w14:textId="77777777" w:rsidR="00172C88" w:rsidRPr="00172C88" w:rsidRDefault="00172C88" w:rsidP="00172C88">
      <w:pPr>
        <w:rPr>
          <w:bCs/>
          <w:highlight w:val="lightGray"/>
          <w:lang w:val="lt-LT"/>
        </w:rPr>
      </w:pPr>
      <w:r w:rsidRPr="00172C88">
        <w:rPr>
          <w:bCs/>
          <w:highlight w:val="lightGray"/>
          <w:lang w:val="lt-LT"/>
        </w:rPr>
        <w:t>LT/1/13/3441/005 – N56</w:t>
      </w:r>
    </w:p>
    <w:p w14:paraId="72D0E070" w14:textId="77777777" w:rsidR="00172C88" w:rsidRDefault="00172C88" w:rsidP="00172C88">
      <w:pPr>
        <w:rPr>
          <w:bCs/>
          <w:lang w:val="lt-LT"/>
        </w:rPr>
      </w:pPr>
      <w:r w:rsidRPr="00172C88">
        <w:rPr>
          <w:bCs/>
          <w:highlight w:val="lightGray"/>
          <w:lang w:val="lt-LT"/>
        </w:rPr>
        <w:t>LT/1/13/3441/006 – N112</w:t>
      </w:r>
    </w:p>
    <w:p w14:paraId="523F2F42" w14:textId="77777777" w:rsidR="00172C88" w:rsidRDefault="00172C88" w:rsidP="00172C88">
      <w:pPr>
        <w:rPr>
          <w:szCs w:val="24"/>
          <w:lang w:val="lt-LT"/>
        </w:rPr>
      </w:pPr>
    </w:p>
    <w:p w14:paraId="5D04D981" w14:textId="77777777" w:rsidR="00172C88" w:rsidRDefault="00172C88" w:rsidP="00172C88">
      <w:pPr>
        <w:rPr>
          <w:szCs w:val="24"/>
          <w:lang w:val="lt-LT"/>
        </w:rPr>
      </w:pPr>
    </w:p>
    <w:p w14:paraId="1E192499" w14:textId="77777777" w:rsidR="00172C88" w:rsidRPr="00C54C14" w:rsidRDefault="00172C88" w:rsidP="00172C88">
      <w:pPr>
        <w:pBdr>
          <w:top w:val="single" w:sz="4" w:space="1" w:color="000000"/>
          <w:left w:val="single" w:sz="4" w:space="4" w:color="000000"/>
          <w:bottom w:val="single" w:sz="4" w:space="1" w:color="000000"/>
          <w:right w:val="single" w:sz="4" w:space="4" w:color="000000"/>
        </w:pBdr>
        <w:spacing w:line="240" w:lineRule="auto"/>
        <w:rPr>
          <w:lang w:val="pt-PT"/>
        </w:rPr>
      </w:pPr>
      <w:r>
        <w:rPr>
          <w:b/>
          <w:szCs w:val="24"/>
          <w:lang w:val="lt-LT"/>
        </w:rPr>
        <w:t>13.</w:t>
      </w:r>
      <w:r>
        <w:rPr>
          <w:b/>
          <w:szCs w:val="24"/>
          <w:lang w:val="lt-LT"/>
        </w:rPr>
        <w:tab/>
        <w:t xml:space="preserve">SERIJOS NUMERIS </w:t>
      </w:r>
    </w:p>
    <w:p w14:paraId="459DC94A" w14:textId="77777777" w:rsidR="00172C88" w:rsidRDefault="00172C88" w:rsidP="00172C88">
      <w:pPr>
        <w:rPr>
          <w:lang w:val="lt-LT"/>
        </w:rPr>
      </w:pPr>
    </w:p>
    <w:p w14:paraId="513FEF34" w14:textId="77777777" w:rsidR="00172C88" w:rsidRDefault="00172C88" w:rsidP="00172C88">
      <w:pPr>
        <w:rPr>
          <w:lang w:val="lt-LT"/>
        </w:rPr>
      </w:pPr>
      <w:r>
        <w:rPr>
          <w:lang w:val="lt-LT"/>
        </w:rPr>
        <w:t>Lot:</w:t>
      </w:r>
    </w:p>
    <w:p w14:paraId="1CC87722" w14:textId="77777777" w:rsidR="00172C88" w:rsidRDefault="00172C88" w:rsidP="00172C88">
      <w:pPr>
        <w:rPr>
          <w:szCs w:val="24"/>
          <w:lang w:val="lt-LT"/>
        </w:rPr>
      </w:pPr>
    </w:p>
    <w:p w14:paraId="518F13A4" w14:textId="77777777" w:rsidR="00172C88" w:rsidRDefault="00172C88" w:rsidP="00172C88">
      <w:pPr>
        <w:rPr>
          <w:szCs w:val="24"/>
          <w:lang w:val="lt-LT"/>
        </w:rPr>
      </w:pPr>
    </w:p>
    <w:p w14:paraId="78F14E92" w14:textId="77777777" w:rsidR="00172C88" w:rsidRPr="00C54C14" w:rsidRDefault="00172C88" w:rsidP="00172C88">
      <w:pPr>
        <w:pBdr>
          <w:top w:val="single" w:sz="4" w:space="1" w:color="000000"/>
          <w:left w:val="single" w:sz="4" w:space="4" w:color="000000"/>
          <w:bottom w:val="single" w:sz="4" w:space="1" w:color="000000"/>
          <w:right w:val="single" w:sz="4" w:space="4" w:color="000000"/>
        </w:pBdr>
        <w:spacing w:line="240" w:lineRule="auto"/>
        <w:rPr>
          <w:lang w:val="pt-PT"/>
        </w:rPr>
      </w:pPr>
      <w:r>
        <w:rPr>
          <w:b/>
          <w:szCs w:val="24"/>
          <w:lang w:val="lt-LT"/>
        </w:rPr>
        <w:t>14.</w:t>
      </w:r>
      <w:r>
        <w:rPr>
          <w:b/>
          <w:szCs w:val="24"/>
          <w:lang w:val="lt-LT"/>
        </w:rPr>
        <w:tab/>
        <w:t>PARDAVIMO (IŠDAVIMO) TVARKA</w:t>
      </w:r>
    </w:p>
    <w:p w14:paraId="5C6028A1" w14:textId="77777777" w:rsidR="00172C88" w:rsidRDefault="00172C88" w:rsidP="00172C88">
      <w:pPr>
        <w:rPr>
          <w:szCs w:val="24"/>
          <w:lang w:val="lt-LT"/>
        </w:rPr>
      </w:pPr>
    </w:p>
    <w:p w14:paraId="70039069" w14:textId="77777777" w:rsidR="00172C88" w:rsidRPr="00C54C14" w:rsidRDefault="00172C88" w:rsidP="00172C88">
      <w:pPr>
        <w:rPr>
          <w:lang w:val="pt-PT"/>
        </w:rPr>
      </w:pPr>
      <w:r>
        <w:rPr>
          <w:lang w:val="lt-LT"/>
        </w:rPr>
        <w:t>Receptinis vaistas</w:t>
      </w:r>
    </w:p>
    <w:p w14:paraId="53C809E0" w14:textId="77777777" w:rsidR="00172C88" w:rsidRDefault="00172C88" w:rsidP="00172C88">
      <w:pPr>
        <w:rPr>
          <w:szCs w:val="24"/>
          <w:lang w:val="lt-LT"/>
        </w:rPr>
      </w:pPr>
    </w:p>
    <w:p w14:paraId="3C2FA86C" w14:textId="77777777" w:rsidR="00172C88" w:rsidRDefault="00172C88" w:rsidP="00172C88">
      <w:pPr>
        <w:rPr>
          <w:szCs w:val="24"/>
          <w:lang w:val="lt-LT"/>
        </w:rPr>
      </w:pPr>
    </w:p>
    <w:p w14:paraId="0B5D0D1B" w14:textId="77777777" w:rsidR="00172C88" w:rsidRPr="00C54C14" w:rsidRDefault="00172C88" w:rsidP="00172C88">
      <w:pPr>
        <w:pBdr>
          <w:top w:val="single" w:sz="4" w:space="2" w:color="000000"/>
          <w:left w:val="single" w:sz="4" w:space="4" w:color="000000"/>
          <w:bottom w:val="single" w:sz="4" w:space="1" w:color="000000"/>
          <w:right w:val="single" w:sz="4" w:space="4" w:color="000000"/>
        </w:pBdr>
        <w:spacing w:line="240" w:lineRule="auto"/>
        <w:rPr>
          <w:lang w:val="pt-PT"/>
        </w:rPr>
      </w:pPr>
      <w:r>
        <w:rPr>
          <w:b/>
          <w:szCs w:val="24"/>
          <w:lang w:val="lt-LT"/>
        </w:rPr>
        <w:t>15.</w:t>
      </w:r>
      <w:r>
        <w:rPr>
          <w:b/>
          <w:szCs w:val="24"/>
          <w:lang w:val="lt-LT"/>
        </w:rPr>
        <w:tab/>
        <w:t>VARTOJIMO INSTRUKCIJA</w:t>
      </w:r>
    </w:p>
    <w:p w14:paraId="0BCC7E6F" w14:textId="77777777" w:rsidR="00172C88" w:rsidRDefault="00172C88" w:rsidP="00172C88">
      <w:pPr>
        <w:rPr>
          <w:szCs w:val="24"/>
          <w:lang w:val="lt-LT"/>
        </w:rPr>
      </w:pPr>
    </w:p>
    <w:p w14:paraId="3F1B0F96" w14:textId="77777777" w:rsidR="00172C88" w:rsidRDefault="00172C88" w:rsidP="00172C88">
      <w:pPr>
        <w:rPr>
          <w:szCs w:val="24"/>
          <w:lang w:val="lt-LT"/>
        </w:rPr>
      </w:pPr>
    </w:p>
    <w:p w14:paraId="0C31CE3A" w14:textId="77777777" w:rsidR="00172C88" w:rsidRPr="00C54C14" w:rsidRDefault="00172C88" w:rsidP="00172C88">
      <w:pPr>
        <w:pBdr>
          <w:top w:val="single" w:sz="4" w:space="1" w:color="000000"/>
          <w:left w:val="single" w:sz="4" w:space="4" w:color="000000"/>
          <w:bottom w:val="single" w:sz="4" w:space="0" w:color="000000"/>
          <w:right w:val="single" w:sz="4" w:space="4" w:color="000000"/>
        </w:pBdr>
        <w:spacing w:line="240" w:lineRule="auto"/>
        <w:rPr>
          <w:lang w:val="pt-PT"/>
        </w:rPr>
      </w:pPr>
      <w:r>
        <w:rPr>
          <w:b/>
          <w:szCs w:val="24"/>
          <w:lang w:val="lt-LT"/>
        </w:rPr>
        <w:t>16.</w:t>
      </w:r>
      <w:r>
        <w:rPr>
          <w:b/>
          <w:szCs w:val="24"/>
          <w:lang w:val="lt-LT"/>
        </w:rPr>
        <w:tab/>
        <w:t>INFORMACIJA BRAILIO RAŠTU</w:t>
      </w:r>
    </w:p>
    <w:p w14:paraId="6DC14DA6" w14:textId="77777777" w:rsidR="00172C88" w:rsidRDefault="00172C88" w:rsidP="00172C88">
      <w:pPr>
        <w:rPr>
          <w:szCs w:val="22"/>
          <w:lang w:val="lt-LT"/>
        </w:rPr>
      </w:pPr>
    </w:p>
    <w:p w14:paraId="2BCCDD8E" w14:textId="77777777" w:rsidR="00172C88" w:rsidRDefault="00172C88" w:rsidP="00172C88">
      <w:pPr>
        <w:rPr>
          <w:szCs w:val="24"/>
          <w:lang w:val="lt-LT"/>
        </w:rPr>
      </w:pP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62,5 mg </w:t>
      </w:r>
      <w:r w:rsidRPr="00172C88">
        <w:rPr>
          <w:szCs w:val="24"/>
          <w:highlight w:val="lightGray"/>
          <w:lang w:val="lt-LT"/>
        </w:rPr>
        <w:t>plėvele dengtos tabletės</w:t>
      </w:r>
    </w:p>
    <w:p w14:paraId="6D5C5AFD" w14:textId="77777777" w:rsidR="00172C88" w:rsidRDefault="00172C88" w:rsidP="00172C88">
      <w:pPr>
        <w:rPr>
          <w:szCs w:val="24"/>
          <w:lang w:val="lt-LT"/>
        </w:rPr>
      </w:pPr>
      <w:proofErr w:type="spellStart"/>
      <w:r w:rsidRPr="00172C88">
        <w:rPr>
          <w:szCs w:val="24"/>
          <w:highlight w:val="lightGray"/>
          <w:lang w:val="lt-LT"/>
        </w:rPr>
        <w:t>Bosentan</w:t>
      </w:r>
      <w:proofErr w:type="spellEnd"/>
      <w:r w:rsidRPr="00172C88">
        <w:rPr>
          <w:szCs w:val="24"/>
          <w:highlight w:val="lightGray"/>
          <w:lang w:val="lt-LT"/>
        </w:rPr>
        <w:t xml:space="preserve"> </w:t>
      </w:r>
      <w:proofErr w:type="spellStart"/>
      <w:r w:rsidRPr="00172C88">
        <w:rPr>
          <w:szCs w:val="24"/>
          <w:highlight w:val="lightGray"/>
          <w:lang w:val="lt-LT"/>
        </w:rPr>
        <w:t>Norameda</w:t>
      </w:r>
      <w:proofErr w:type="spellEnd"/>
      <w:r w:rsidRPr="00172C88">
        <w:rPr>
          <w:szCs w:val="24"/>
          <w:highlight w:val="lightGray"/>
          <w:lang w:val="lt-LT"/>
        </w:rPr>
        <w:t xml:space="preserve"> 125 mg plėvele dengtos tabletės</w:t>
      </w:r>
    </w:p>
    <w:p w14:paraId="0B1B83EA" w14:textId="77777777" w:rsidR="00172C88" w:rsidRDefault="00172C88" w:rsidP="00172C88">
      <w:pPr>
        <w:pStyle w:val="Default"/>
        <w:rPr>
          <w:sz w:val="22"/>
          <w:shd w:val="clear" w:color="auto" w:fill="D3D3D3"/>
          <w:lang w:val="lt-LT"/>
        </w:rPr>
      </w:pPr>
    </w:p>
    <w:p w14:paraId="39A05FFB" w14:textId="77777777" w:rsidR="00172C88" w:rsidRPr="00C1068D" w:rsidRDefault="00172C88" w:rsidP="00172C88">
      <w:pPr>
        <w:suppressAutoHyphens w:val="0"/>
        <w:autoSpaceDN/>
        <w:spacing w:line="240" w:lineRule="auto"/>
        <w:textAlignment w:val="auto"/>
        <w:rPr>
          <w:noProof/>
          <w:szCs w:val="22"/>
          <w:shd w:val="clear" w:color="auto" w:fill="CCCCCC"/>
          <w:lang w:val="lt-LT" w:eastAsia="lt-LT" w:bidi="lt-LT"/>
        </w:rPr>
      </w:pPr>
    </w:p>
    <w:p w14:paraId="588EEDF5" w14:textId="77777777" w:rsidR="00172C88" w:rsidRPr="00C1068D" w:rsidRDefault="00172C88" w:rsidP="00172C88">
      <w:pPr>
        <w:widowControl w:val="0"/>
        <w:pBdr>
          <w:top w:val="single" w:sz="4" w:space="1" w:color="auto"/>
          <w:left w:val="single" w:sz="4" w:space="4" w:color="auto"/>
          <w:bottom w:val="single" w:sz="4" w:space="1" w:color="auto"/>
          <w:right w:val="single" w:sz="4" w:space="4" w:color="auto"/>
        </w:pBdr>
        <w:suppressAutoHyphens w:val="0"/>
        <w:autoSpaceDN/>
        <w:spacing w:before="10" w:after="10" w:line="240" w:lineRule="auto"/>
        <w:ind w:right="51"/>
        <w:jc w:val="both"/>
        <w:textAlignment w:val="auto"/>
        <w:rPr>
          <w:b/>
          <w:szCs w:val="22"/>
          <w:lang w:val="lt-LT"/>
        </w:rPr>
      </w:pPr>
      <w:r w:rsidRPr="00C1068D">
        <w:rPr>
          <w:b/>
          <w:szCs w:val="22"/>
          <w:lang w:val="lt-LT"/>
        </w:rPr>
        <w:t>17.</w:t>
      </w:r>
      <w:r w:rsidRPr="00C1068D">
        <w:rPr>
          <w:b/>
          <w:szCs w:val="22"/>
          <w:lang w:val="lt-LT"/>
        </w:rPr>
        <w:tab/>
        <w:t>UNIKALUS IDENTIFIKATORIUS – 2D BRŪKŠNINIS KODAS</w:t>
      </w:r>
    </w:p>
    <w:p w14:paraId="7E4BBEAB" w14:textId="77777777" w:rsidR="00172C88" w:rsidRPr="00C1068D" w:rsidRDefault="00172C88" w:rsidP="00172C88">
      <w:pPr>
        <w:suppressAutoHyphens w:val="0"/>
        <w:autoSpaceDN/>
        <w:spacing w:line="240" w:lineRule="auto"/>
        <w:textAlignment w:val="auto"/>
        <w:rPr>
          <w:noProof/>
          <w:lang w:val="lt-LT" w:eastAsia="lt-LT" w:bidi="lt-LT"/>
        </w:rPr>
      </w:pPr>
    </w:p>
    <w:p w14:paraId="3ADEB130" w14:textId="77777777" w:rsidR="00172C88" w:rsidRPr="00C1068D" w:rsidRDefault="00172C88" w:rsidP="00172C88">
      <w:pPr>
        <w:suppressAutoHyphens w:val="0"/>
        <w:autoSpaceDN/>
        <w:spacing w:line="240" w:lineRule="auto"/>
        <w:textAlignment w:val="auto"/>
        <w:rPr>
          <w:noProof/>
          <w:szCs w:val="22"/>
          <w:shd w:val="clear" w:color="auto" w:fill="CCCCCC"/>
          <w:lang w:val="lt-LT" w:eastAsia="lt-LT" w:bidi="lt-LT"/>
        </w:rPr>
      </w:pPr>
      <w:r w:rsidRPr="00172C88">
        <w:rPr>
          <w:noProof/>
          <w:highlight w:val="lightGray"/>
          <w:lang w:val="lt-LT" w:eastAsia="lt-LT" w:bidi="lt-LT"/>
        </w:rPr>
        <w:t>2D brūkšninis kodas su nurodytu unikaliu identifikatoriumi.</w:t>
      </w:r>
    </w:p>
    <w:p w14:paraId="0C405D13" w14:textId="77777777" w:rsidR="00172C88" w:rsidRPr="00C1068D" w:rsidRDefault="00172C88" w:rsidP="00172C88">
      <w:pPr>
        <w:suppressAutoHyphens w:val="0"/>
        <w:autoSpaceDN/>
        <w:spacing w:line="240" w:lineRule="auto"/>
        <w:textAlignment w:val="auto"/>
        <w:rPr>
          <w:noProof/>
          <w:vanish/>
          <w:szCs w:val="22"/>
          <w:lang w:val="lt-LT" w:eastAsia="lt-LT" w:bidi="lt-LT"/>
        </w:rPr>
      </w:pPr>
    </w:p>
    <w:p w14:paraId="1C3F6531" w14:textId="77777777" w:rsidR="00172C88" w:rsidRPr="00C1068D" w:rsidRDefault="00172C88" w:rsidP="00172C88">
      <w:pPr>
        <w:suppressAutoHyphens w:val="0"/>
        <w:autoSpaceDN/>
        <w:spacing w:line="240" w:lineRule="auto"/>
        <w:textAlignment w:val="auto"/>
        <w:rPr>
          <w:noProof/>
          <w:lang w:val="lt-LT" w:eastAsia="lt-LT" w:bidi="lt-LT"/>
        </w:rPr>
      </w:pPr>
    </w:p>
    <w:p w14:paraId="4719C09F" w14:textId="77777777" w:rsidR="00172C88" w:rsidRPr="00C1068D" w:rsidRDefault="00172C88" w:rsidP="00172C88">
      <w:pPr>
        <w:widowControl w:val="0"/>
        <w:pBdr>
          <w:top w:val="single" w:sz="4" w:space="1" w:color="auto"/>
          <w:left w:val="single" w:sz="4" w:space="4" w:color="auto"/>
          <w:bottom w:val="single" w:sz="4" w:space="1" w:color="auto"/>
          <w:right w:val="single" w:sz="4" w:space="4" w:color="auto"/>
        </w:pBdr>
        <w:suppressAutoHyphens w:val="0"/>
        <w:autoSpaceDN/>
        <w:spacing w:before="10" w:after="10" w:line="240" w:lineRule="auto"/>
        <w:ind w:right="51"/>
        <w:jc w:val="both"/>
        <w:textAlignment w:val="auto"/>
        <w:rPr>
          <w:i/>
          <w:noProof/>
          <w:lang w:val="lt-LT" w:eastAsia="lt-LT" w:bidi="lt-LT"/>
        </w:rPr>
      </w:pPr>
      <w:r w:rsidRPr="00C1068D">
        <w:rPr>
          <w:b/>
          <w:szCs w:val="22"/>
          <w:lang w:val="lt-LT"/>
        </w:rPr>
        <w:t>18.</w:t>
      </w:r>
      <w:r w:rsidRPr="00C1068D">
        <w:rPr>
          <w:b/>
          <w:szCs w:val="22"/>
          <w:lang w:val="lt-LT"/>
        </w:rPr>
        <w:tab/>
        <w:t>UNIKALUS IDENTIFIKATORIUS – ŽMONĖMS SUPRANTAMI DUOMENYS</w:t>
      </w:r>
    </w:p>
    <w:p w14:paraId="41FF79F7" w14:textId="77777777" w:rsidR="00172C88" w:rsidRPr="00C1068D" w:rsidRDefault="00172C88" w:rsidP="00172C88">
      <w:pPr>
        <w:tabs>
          <w:tab w:val="clear" w:pos="567"/>
        </w:tabs>
        <w:suppressAutoHyphens w:val="0"/>
        <w:autoSpaceDN/>
        <w:spacing w:line="240" w:lineRule="auto"/>
        <w:textAlignment w:val="auto"/>
        <w:rPr>
          <w:noProof/>
          <w:lang w:val="lt-LT" w:eastAsia="lt-LT" w:bidi="lt-LT"/>
        </w:rPr>
      </w:pPr>
    </w:p>
    <w:p w14:paraId="00F6C948" w14:textId="77777777" w:rsidR="00172C88" w:rsidRPr="00DC170F" w:rsidRDefault="00172C88" w:rsidP="00172C88">
      <w:pPr>
        <w:suppressAutoHyphens w:val="0"/>
        <w:autoSpaceDN/>
        <w:textAlignment w:val="auto"/>
        <w:rPr>
          <w:lang w:val="lt-LT" w:eastAsia="lt-LT" w:bidi="lt-LT"/>
        </w:rPr>
      </w:pPr>
      <w:r w:rsidRPr="00DC170F">
        <w:rPr>
          <w:lang w:val="lt-LT" w:eastAsia="lt-LT" w:bidi="lt-LT"/>
        </w:rPr>
        <w:lastRenderedPageBreak/>
        <w:t xml:space="preserve">PC: {numeris} </w:t>
      </w:r>
    </w:p>
    <w:p w14:paraId="16948CC0" w14:textId="77777777" w:rsidR="00172C88" w:rsidRPr="00DC170F" w:rsidRDefault="00172C88" w:rsidP="00172C88">
      <w:pPr>
        <w:suppressAutoHyphens w:val="0"/>
        <w:autoSpaceDN/>
        <w:textAlignment w:val="auto"/>
        <w:rPr>
          <w:lang w:val="lt-LT" w:eastAsia="lt-LT" w:bidi="lt-LT"/>
        </w:rPr>
      </w:pPr>
      <w:r w:rsidRPr="00DC170F">
        <w:rPr>
          <w:lang w:val="lt-LT" w:eastAsia="lt-LT" w:bidi="lt-LT"/>
        </w:rPr>
        <w:t xml:space="preserve">SN: {numeris} </w:t>
      </w:r>
    </w:p>
    <w:p w14:paraId="5BE86110" w14:textId="77777777" w:rsidR="00172C88" w:rsidRPr="00C1068D" w:rsidRDefault="00172C88" w:rsidP="00172C88">
      <w:pPr>
        <w:suppressAutoHyphens w:val="0"/>
        <w:autoSpaceDN/>
        <w:textAlignment w:val="auto"/>
        <w:rPr>
          <w:szCs w:val="22"/>
          <w:lang w:val="lt-LT" w:eastAsia="lt-LT" w:bidi="lt-LT"/>
        </w:rPr>
      </w:pPr>
      <w:r w:rsidRPr="00172C88">
        <w:rPr>
          <w:highlight w:val="lightGray"/>
          <w:lang w:val="lt-LT" w:eastAsia="lt-LT" w:bidi="lt-LT"/>
        </w:rPr>
        <w:t>NN: {numeris}</w:t>
      </w:r>
      <w:r w:rsidRPr="00C1068D">
        <w:rPr>
          <w:lang w:val="lt-LT" w:eastAsia="lt-LT" w:bidi="lt-LT"/>
        </w:rPr>
        <w:t xml:space="preserve"> </w:t>
      </w:r>
    </w:p>
    <w:p w14:paraId="7CE09ACF" w14:textId="77777777" w:rsidR="00172C88" w:rsidRPr="00C1068D" w:rsidRDefault="00172C88" w:rsidP="00172C88">
      <w:pPr>
        <w:suppressAutoHyphens w:val="0"/>
        <w:autoSpaceDN/>
        <w:spacing w:line="240" w:lineRule="auto"/>
        <w:textAlignment w:val="auto"/>
        <w:rPr>
          <w:noProof/>
          <w:vanish/>
          <w:szCs w:val="22"/>
          <w:lang w:val="lt-LT" w:eastAsia="lt-LT" w:bidi="lt-LT"/>
        </w:rPr>
      </w:pPr>
    </w:p>
    <w:p w14:paraId="4F9FE040" w14:textId="77777777" w:rsidR="00172C88" w:rsidRPr="00C1068D" w:rsidRDefault="00172C88" w:rsidP="00172C88">
      <w:pPr>
        <w:tabs>
          <w:tab w:val="clear" w:pos="567"/>
        </w:tabs>
        <w:suppressAutoHyphens w:val="0"/>
        <w:autoSpaceDN/>
        <w:spacing w:line="240" w:lineRule="auto"/>
        <w:textAlignment w:val="auto"/>
        <w:rPr>
          <w:noProof/>
          <w:vanish/>
          <w:szCs w:val="22"/>
          <w:lang w:val="lt-LT" w:eastAsia="lt-LT" w:bidi="lt-LT"/>
        </w:rPr>
      </w:pPr>
    </w:p>
    <w:p w14:paraId="436AC434" w14:textId="77777777" w:rsidR="00172C88" w:rsidRDefault="00172C88" w:rsidP="00172C88">
      <w:pPr>
        <w:rPr>
          <w:szCs w:val="24"/>
          <w:lang w:val="lt-LT"/>
        </w:rPr>
      </w:pPr>
      <w:r w:rsidRPr="00C1068D">
        <w:rPr>
          <w:lang w:val="lt-LT" w:eastAsia="lt-LT" w:bidi="lt-LT"/>
        </w:rPr>
        <w:br w:type="page"/>
      </w:r>
    </w:p>
    <w:p w14:paraId="71F5C745" w14:textId="77777777" w:rsidR="00172C88" w:rsidRDefault="00172C88" w:rsidP="00172C88">
      <w:pPr>
        <w:pBdr>
          <w:top w:val="single" w:sz="4" w:space="1" w:color="000000"/>
          <w:left w:val="single" w:sz="4" w:space="4" w:color="000000"/>
          <w:bottom w:val="single" w:sz="4" w:space="1" w:color="000000"/>
          <w:right w:val="single" w:sz="4" w:space="4" w:color="000000"/>
        </w:pBdr>
        <w:tabs>
          <w:tab w:val="clear" w:pos="567"/>
          <w:tab w:val="left" w:pos="0"/>
        </w:tabs>
        <w:rPr>
          <w:b/>
          <w:szCs w:val="24"/>
          <w:lang w:val="lt-LT"/>
        </w:rPr>
      </w:pPr>
      <w:r>
        <w:rPr>
          <w:b/>
          <w:szCs w:val="24"/>
          <w:lang w:val="lt-LT"/>
        </w:rPr>
        <w:lastRenderedPageBreak/>
        <w:t>MINIMALI INFORMACIJA ANT LIZDINIŲ PLOKŠTELIŲ ARBA DVISLUOKSNIŲ JUOSTELIŲ</w:t>
      </w:r>
    </w:p>
    <w:p w14:paraId="7CEA8DBC" w14:textId="77777777" w:rsidR="00172C88" w:rsidRDefault="00172C88" w:rsidP="00172C88">
      <w:pPr>
        <w:pBdr>
          <w:top w:val="single" w:sz="4" w:space="1" w:color="000000"/>
          <w:left w:val="single" w:sz="4" w:space="4" w:color="000000"/>
          <w:bottom w:val="single" w:sz="4" w:space="1" w:color="000000"/>
          <w:right w:val="single" w:sz="4" w:space="4" w:color="000000"/>
        </w:pBdr>
        <w:ind w:left="567" w:hanging="567"/>
        <w:rPr>
          <w:b/>
          <w:szCs w:val="24"/>
          <w:lang w:val="lt-LT"/>
        </w:rPr>
      </w:pPr>
    </w:p>
    <w:p w14:paraId="4D4C663F" w14:textId="77777777" w:rsidR="00172C88" w:rsidRDefault="00172C88" w:rsidP="00172C88">
      <w:pPr>
        <w:pBdr>
          <w:top w:val="single" w:sz="4" w:space="1" w:color="000000"/>
          <w:left w:val="single" w:sz="4" w:space="4" w:color="000000"/>
          <w:bottom w:val="single" w:sz="4" w:space="1" w:color="000000"/>
          <w:right w:val="single" w:sz="4" w:space="4" w:color="000000"/>
        </w:pBdr>
        <w:ind w:left="567" w:hanging="567"/>
        <w:rPr>
          <w:b/>
          <w:lang w:val="lt-LT"/>
        </w:rPr>
      </w:pPr>
      <w:r>
        <w:rPr>
          <w:b/>
          <w:lang w:val="lt-LT"/>
        </w:rPr>
        <w:t>LIZDINĖ PLOKŠTELĖ</w:t>
      </w:r>
    </w:p>
    <w:p w14:paraId="06FB6FF5" w14:textId="77777777" w:rsidR="00172C88" w:rsidRDefault="00172C88" w:rsidP="00172C88">
      <w:pPr>
        <w:rPr>
          <w:lang w:val="lt-LT"/>
        </w:rPr>
      </w:pPr>
    </w:p>
    <w:p w14:paraId="7702C126" w14:textId="77777777" w:rsidR="00172C88" w:rsidRDefault="00172C88" w:rsidP="00172C88">
      <w:pPr>
        <w:rPr>
          <w:szCs w:val="24"/>
          <w:lang w:val="lt-LT"/>
        </w:rPr>
      </w:pPr>
    </w:p>
    <w:p w14:paraId="3FB8C305" w14:textId="77777777" w:rsidR="00172C88" w:rsidRPr="00C54C14" w:rsidRDefault="00172C88" w:rsidP="00172C88">
      <w:pPr>
        <w:pBdr>
          <w:top w:val="single" w:sz="4" w:space="1" w:color="000000"/>
          <w:left w:val="single" w:sz="4" w:space="4" w:color="000000"/>
          <w:bottom w:val="single" w:sz="4" w:space="1" w:color="000000"/>
          <w:right w:val="single" w:sz="4" w:space="4" w:color="000000"/>
        </w:pBdr>
        <w:spacing w:line="240" w:lineRule="auto"/>
        <w:rPr>
          <w:lang w:val="pt-PT"/>
        </w:rPr>
      </w:pPr>
      <w:r>
        <w:rPr>
          <w:b/>
          <w:szCs w:val="24"/>
          <w:lang w:val="lt-LT"/>
        </w:rPr>
        <w:t>1.</w:t>
      </w:r>
      <w:r>
        <w:rPr>
          <w:b/>
          <w:szCs w:val="24"/>
          <w:lang w:val="lt-LT"/>
        </w:rPr>
        <w:tab/>
      </w:r>
      <w:r>
        <w:rPr>
          <w:b/>
          <w:caps/>
          <w:szCs w:val="24"/>
          <w:lang w:val="lt-LT"/>
        </w:rPr>
        <w:t>VAISTINIO</w:t>
      </w:r>
      <w:r>
        <w:rPr>
          <w:b/>
          <w:szCs w:val="24"/>
          <w:lang w:val="lt-LT"/>
        </w:rPr>
        <w:t xml:space="preserve"> PREPARATO PAVADINIMAS</w:t>
      </w:r>
    </w:p>
    <w:p w14:paraId="2E1E662B" w14:textId="77777777" w:rsidR="00172C88" w:rsidRDefault="00172C88" w:rsidP="00172C88">
      <w:pPr>
        <w:rPr>
          <w:szCs w:val="22"/>
          <w:lang w:val="lt-LT"/>
        </w:rPr>
      </w:pPr>
    </w:p>
    <w:p w14:paraId="5F4240CF" w14:textId="77777777" w:rsidR="00172C88" w:rsidRDefault="00172C88" w:rsidP="00172C88">
      <w:pPr>
        <w:rPr>
          <w:szCs w:val="24"/>
          <w:lang w:val="lt-LT"/>
        </w:rPr>
      </w:pP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62,5 mg plėvele dengtos tabletės</w:t>
      </w:r>
    </w:p>
    <w:p w14:paraId="0BBD2017" w14:textId="77777777" w:rsidR="00172C88" w:rsidRDefault="00172C88" w:rsidP="00172C88">
      <w:pPr>
        <w:rPr>
          <w:shd w:val="clear" w:color="auto" w:fill="D3D3D3"/>
          <w:lang w:val="lt-LT"/>
        </w:rPr>
      </w:pPr>
      <w:proofErr w:type="spellStart"/>
      <w:r w:rsidRPr="00172C88">
        <w:rPr>
          <w:szCs w:val="24"/>
          <w:highlight w:val="lightGray"/>
          <w:lang w:val="lt-LT"/>
        </w:rPr>
        <w:t>Bosentan</w:t>
      </w:r>
      <w:proofErr w:type="spellEnd"/>
      <w:r w:rsidRPr="00172C88">
        <w:rPr>
          <w:szCs w:val="24"/>
          <w:highlight w:val="lightGray"/>
          <w:lang w:val="lt-LT"/>
        </w:rPr>
        <w:t xml:space="preserve"> </w:t>
      </w:r>
      <w:proofErr w:type="spellStart"/>
      <w:r w:rsidRPr="00172C88">
        <w:rPr>
          <w:szCs w:val="24"/>
          <w:highlight w:val="lightGray"/>
          <w:lang w:val="lt-LT"/>
        </w:rPr>
        <w:t>Norameda</w:t>
      </w:r>
      <w:proofErr w:type="spellEnd"/>
      <w:r w:rsidRPr="00172C88">
        <w:rPr>
          <w:szCs w:val="24"/>
          <w:highlight w:val="lightGray"/>
          <w:lang w:val="lt-LT"/>
        </w:rPr>
        <w:t xml:space="preserve"> 125 mg plėvele dengtos tabletės</w:t>
      </w:r>
    </w:p>
    <w:p w14:paraId="7184D27E" w14:textId="77777777" w:rsidR="00172C88" w:rsidRDefault="00172C88" w:rsidP="00172C88">
      <w:pPr>
        <w:rPr>
          <w:szCs w:val="22"/>
          <w:lang w:val="lt-LT"/>
        </w:rPr>
      </w:pPr>
      <w:proofErr w:type="spellStart"/>
      <w:r>
        <w:rPr>
          <w:szCs w:val="22"/>
          <w:lang w:val="lt-LT"/>
        </w:rPr>
        <w:t>Bosentanum</w:t>
      </w:r>
      <w:proofErr w:type="spellEnd"/>
      <w:r>
        <w:rPr>
          <w:szCs w:val="22"/>
          <w:lang w:val="lt-LT"/>
        </w:rPr>
        <w:t xml:space="preserve"> </w:t>
      </w:r>
    </w:p>
    <w:p w14:paraId="0F8C1833" w14:textId="77777777" w:rsidR="00172C88" w:rsidRDefault="00172C88" w:rsidP="00172C88">
      <w:pPr>
        <w:rPr>
          <w:szCs w:val="22"/>
          <w:lang w:val="lt-LT"/>
        </w:rPr>
      </w:pPr>
    </w:p>
    <w:p w14:paraId="0C8909B6" w14:textId="77777777" w:rsidR="00172C88" w:rsidRDefault="00172C88" w:rsidP="00172C88">
      <w:pPr>
        <w:rPr>
          <w:szCs w:val="22"/>
          <w:lang w:val="lt-LT"/>
        </w:rPr>
      </w:pPr>
    </w:p>
    <w:p w14:paraId="004652E7" w14:textId="77777777" w:rsidR="00172C88" w:rsidRPr="00C54C14" w:rsidRDefault="00172C88" w:rsidP="00172C88">
      <w:pPr>
        <w:pBdr>
          <w:top w:val="single" w:sz="4" w:space="1" w:color="000000"/>
          <w:left w:val="single" w:sz="4" w:space="4" w:color="000000"/>
          <w:bottom w:val="single" w:sz="4" w:space="1" w:color="000000"/>
          <w:right w:val="single" w:sz="4" w:space="4" w:color="000000"/>
        </w:pBdr>
        <w:spacing w:line="240" w:lineRule="auto"/>
        <w:rPr>
          <w:lang w:val="pt-PT"/>
        </w:rPr>
      </w:pPr>
      <w:r>
        <w:rPr>
          <w:b/>
          <w:szCs w:val="24"/>
          <w:lang w:val="lt-LT"/>
        </w:rPr>
        <w:t>2.</w:t>
      </w:r>
      <w:r>
        <w:rPr>
          <w:b/>
          <w:szCs w:val="24"/>
          <w:lang w:val="lt-LT"/>
        </w:rPr>
        <w:tab/>
      </w:r>
      <w:r>
        <w:rPr>
          <w:b/>
          <w:caps/>
          <w:szCs w:val="24"/>
          <w:lang w:val="lt-LT"/>
        </w:rPr>
        <w:t>REGISTRUOTOJO pavadinimas</w:t>
      </w:r>
    </w:p>
    <w:p w14:paraId="24E71BD8" w14:textId="77777777" w:rsidR="00172C88" w:rsidRDefault="00172C88" w:rsidP="00172C88">
      <w:pPr>
        <w:rPr>
          <w:szCs w:val="24"/>
          <w:lang w:val="lt-LT"/>
        </w:rPr>
      </w:pPr>
    </w:p>
    <w:p w14:paraId="51240297" w14:textId="77777777" w:rsidR="00172C88" w:rsidRDefault="00172C88" w:rsidP="00172C88">
      <w:pPr>
        <w:pStyle w:val="Default"/>
        <w:rPr>
          <w:bCs/>
          <w:sz w:val="22"/>
          <w:szCs w:val="22"/>
          <w:lang w:val="lt-LT"/>
        </w:rPr>
      </w:pPr>
      <w:r>
        <w:rPr>
          <w:bCs/>
          <w:sz w:val="22"/>
          <w:szCs w:val="22"/>
          <w:lang w:val="lt-LT"/>
        </w:rPr>
        <w:t xml:space="preserve">UAB </w:t>
      </w:r>
      <w:proofErr w:type="spellStart"/>
      <w:r>
        <w:rPr>
          <w:bCs/>
          <w:sz w:val="22"/>
          <w:szCs w:val="22"/>
          <w:lang w:val="lt-LT"/>
        </w:rPr>
        <w:t>Norameda</w:t>
      </w:r>
      <w:proofErr w:type="spellEnd"/>
    </w:p>
    <w:p w14:paraId="6D8429E7" w14:textId="77777777" w:rsidR="00172C88" w:rsidRDefault="00172C88" w:rsidP="00172C88">
      <w:pPr>
        <w:rPr>
          <w:szCs w:val="24"/>
          <w:lang w:val="lt-LT"/>
        </w:rPr>
      </w:pPr>
    </w:p>
    <w:p w14:paraId="024874F7" w14:textId="77777777" w:rsidR="00172C88" w:rsidRDefault="00172C88" w:rsidP="00172C88">
      <w:pPr>
        <w:rPr>
          <w:szCs w:val="24"/>
          <w:lang w:val="lt-LT"/>
        </w:rPr>
      </w:pPr>
    </w:p>
    <w:p w14:paraId="30BBC687" w14:textId="77777777" w:rsidR="00172C88" w:rsidRDefault="00172C88" w:rsidP="00172C88">
      <w:pPr>
        <w:pBdr>
          <w:top w:val="single" w:sz="4" w:space="1" w:color="000000"/>
          <w:left w:val="single" w:sz="4" w:space="4" w:color="000000"/>
          <w:bottom w:val="single" w:sz="4" w:space="2" w:color="000000"/>
          <w:right w:val="single" w:sz="4" w:space="4" w:color="000000"/>
        </w:pBdr>
        <w:spacing w:line="240" w:lineRule="auto"/>
        <w:rPr>
          <w:b/>
          <w:szCs w:val="24"/>
          <w:lang w:val="lt-LT"/>
        </w:rPr>
      </w:pPr>
      <w:r>
        <w:rPr>
          <w:b/>
          <w:szCs w:val="24"/>
          <w:lang w:val="lt-LT"/>
        </w:rPr>
        <w:t>3.</w:t>
      </w:r>
      <w:r>
        <w:rPr>
          <w:b/>
          <w:szCs w:val="24"/>
          <w:lang w:val="lt-LT"/>
        </w:rPr>
        <w:tab/>
        <w:t>TINKAMUMO LAIKAS</w:t>
      </w:r>
    </w:p>
    <w:p w14:paraId="2EBBF5A0" w14:textId="77777777" w:rsidR="00172C88" w:rsidRDefault="00172C88" w:rsidP="00172C88">
      <w:pPr>
        <w:rPr>
          <w:szCs w:val="24"/>
          <w:lang w:val="lt-LT"/>
        </w:rPr>
      </w:pPr>
    </w:p>
    <w:p w14:paraId="7BCAB7AA" w14:textId="77777777" w:rsidR="00172C88" w:rsidRPr="007263E8" w:rsidRDefault="00172C88" w:rsidP="00172C88">
      <w:r>
        <w:rPr>
          <w:lang w:val="lt-LT"/>
        </w:rPr>
        <w:t>EXP</w:t>
      </w:r>
      <w:r>
        <w:t>{mm MMMM}</w:t>
      </w:r>
    </w:p>
    <w:p w14:paraId="2AF4EBF8" w14:textId="77777777" w:rsidR="00172C88" w:rsidRDefault="00172C88" w:rsidP="00172C88">
      <w:pPr>
        <w:rPr>
          <w:lang w:val="lt-LT"/>
        </w:rPr>
      </w:pPr>
    </w:p>
    <w:p w14:paraId="110D62A3" w14:textId="77777777" w:rsidR="00172C88" w:rsidRDefault="00172C88" w:rsidP="00172C88">
      <w:pPr>
        <w:rPr>
          <w:szCs w:val="24"/>
          <w:lang w:val="lt-LT"/>
        </w:rPr>
      </w:pPr>
    </w:p>
    <w:p w14:paraId="498DBD03" w14:textId="77777777" w:rsidR="00172C88" w:rsidRDefault="00172C88" w:rsidP="00172C88">
      <w:pPr>
        <w:suppressLineNumbers/>
        <w:pBdr>
          <w:top w:val="single" w:sz="4" w:space="1" w:color="000000"/>
          <w:left w:val="single" w:sz="4" w:space="4" w:color="000000"/>
          <w:bottom w:val="single" w:sz="4" w:space="1" w:color="000000"/>
          <w:right w:val="single" w:sz="4" w:space="4" w:color="000000"/>
        </w:pBdr>
        <w:spacing w:line="240" w:lineRule="auto"/>
        <w:rPr>
          <w:b/>
          <w:szCs w:val="24"/>
          <w:lang w:val="lt-LT"/>
        </w:rPr>
      </w:pPr>
      <w:r>
        <w:rPr>
          <w:b/>
          <w:szCs w:val="24"/>
          <w:lang w:val="lt-LT"/>
        </w:rPr>
        <w:t>4.</w:t>
      </w:r>
      <w:r>
        <w:rPr>
          <w:b/>
          <w:szCs w:val="24"/>
          <w:lang w:val="lt-LT"/>
        </w:rPr>
        <w:tab/>
        <w:t>SERIJOS NUMERIS</w:t>
      </w:r>
    </w:p>
    <w:p w14:paraId="5D9905F6" w14:textId="77777777" w:rsidR="00172C88" w:rsidRDefault="00172C88" w:rsidP="00172C88">
      <w:pPr>
        <w:rPr>
          <w:lang w:val="lt-LT"/>
        </w:rPr>
      </w:pPr>
    </w:p>
    <w:p w14:paraId="5286A175" w14:textId="77777777" w:rsidR="00172C88" w:rsidRDefault="00172C88" w:rsidP="00172C88">
      <w:pPr>
        <w:rPr>
          <w:lang w:val="lt-LT"/>
        </w:rPr>
      </w:pPr>
      <w:r>
        <w:rPr>
          <w:lang w:val="lt-LT"/>
        </w:rPr>
        <w:t>Lot</w:t>
      </w:r>
    </w:p>
    <w:p w14:paraId="11ECDF59" w14:textId="77777777" w:rsidR="00172C88" w:rsidRDefault="00172C88" w:rsidP="00172C88">
      <w:pPr>
        <w:rPr>
          <w:lang w:val="lt-LT"/>
        </w:rPr>
      </w:pPr>
    </w:p>
    <w:p w14:paraId="474104A4" w14:textId="77777777" w:rsidR="00172C88" w:rsidRDefault="00172C88" w:rsidP="00172C88">
      <w:pPr>
        <w:rPr>
          <w:szCs w:val="24"/>
          <w:lang w:val="lt-LT"/>
        </w:rPr>
      </w:pPr>
    </w:p>
    <w:p w14:paraId="245BE0F8" w14:textId="77777777" w:rsidR="00172C88" w:rsidRDefault="00172C88" w:rsidP="00172C88">
      <w:pPr>
        <w:pBdr>
          <w:top w:val="single" w:sz="4" w:space="1" w:color="000000"/>
          <w:left w:val="single" w:sz="4" w:space="4" w:color="000000"/>
          <w:bottom w:val="single" w:sz="4" w:space="1" w:color="000000"/>
          <w:right w:val="single" w:sz="4" w:space="4" w:color="000000"/>
        </w:pBdr>
        <w:spacing w:line="240" w:lineRule="auto"/>
        <w:rPr>
          <w:b/>
          <w:szCs w:val="24"/>
          <w:lang w:val="lt-LT"/>
        </w:rPr>
      </w:pPr>
      <w:r>
        <w:rPr>
          <w:b/>
          <w:szCs w:val="24"/>
          <w:lang w:val="lt-LT"/>
        </w:rPr>
        <w:t>5.</w:t>
      </w:r>
      <w:r>
        <w:rPr>
          <w:b/>
          <w:szCs w:val="24"/>
          <w:lang w:val="lt-LT"/>
        </w:rPr>
        <w:tab/>
        <w:t>KITA</w:t>
      </w:r>
    </w:p>
    <w:p w14:paraId="73D25851" w14:textId="77777777" w:rsidR="00172C88" w:rsidRDefault="00172C88" w:rsidP="00172C88">
      <w:pPr>
        <w:rPr>
          <w:szCs w:val="24"/>
          <w:lang w:val="lt-LT"/>
        </w:rPr>
      </w:pPr>
    </w:p>
    <w:p w14:paraId="67930D8A" w14:textId="77777777" w:rsidR="003B5AD5" w:rsidRDefault="003B5AD5" w:rsidP="00172C88">
      <w:pPr>
        <w:rPr>
          <w:szCs w:val="24"/>
          <w:lang w:val="lt-LT"/>
        </w:rPr>
      </w:pPr>
    </w:p>
    <w:p w14:paraId="0F7B598D" w14:textId="77777777" w:rsidR="003B5AD5" w:rsidRDefault="003B5AD5" w:rsidP="00172C88">
      <w:pPr>
        <w:rPr>
          <w:szCs w:val="24"/>
          <w:lang w:val="lt-LT"/>
        </w:rPr>
      </w:pPr>
    </w:p>
    <w:p w14:paraId="0A2737B7" w14:textId="77777777" w:rsidR="003B5AD5" w:rsidRDefault="003B5AD5" w:rsidP="00172C88">
      <w:pPr>
        <w:rPr>
          <w:szCs w:val="24"/>
          <w:lang w:val="lt-LT"/>
        </w:rPr>
      </w:pPr>
    </w:p>
    <w:p w14:paraId="1D911185" w14:textId="77777777" w:rsidR="003B5AD5" w:rsidRDefault="003B5AD5" w:rsidP="00172C88">
      <w:pPr>
        <w:rPr>
          <w:szCs w:val="24"/>
          <w:lang w:val="lt-LT"/>
        </w:rPr>
      </w:pPr>
    </w:p>
    <w:p w14:paraId="6159CAF8" w14:textId="77777777" w:rsidR="003B5AD5" w:rsidRDefault="003B5AD5" w:rsidP="00172C88">
      <w:pPr>
        <w:rPr>
          <w:szCs w:val="24"/>
          <w:lang w:val="lt-LT"/>
        </w:rPr>
      </w:pPr>
    </w:p>
    <w:p w14:paraId="4CCC7A03" w14:textId="77777777" w:rsidR="003B5AD5" w:rsidRDefault="003B5AD5" w:rsidP="00172C88">
      <w:pPr>
        <w:rPr>
          <w:szCs w:val="24"/>
          <w:lang w:val="lt-LT"/>
        </w:rPr>
      </w:pPr>
    </w:p>
    <w:p w14:paraId="5B71B0D6" w14:textId="77777777" w:rsidR="003B5AD5" w:rsidRDefault="003B5AD5" w:rsidP="00172C88">
      <w:pPr>
        <w:rPr>
          <w:szCs w:val="24"/>
          <w:lang w:val="lt-LT"/>
        </w:rPr>
      </w:pPr>
    </w:p>
    <w:p w14:paraId="3399E33A" w14:textId="77777777" w:rsidR="003B5AD5" w:rsidRDefault="003B5AD5" w:rsidP="00172C88">
      <w:pPr>
        <w:rPr>
          <w:szCs w:val="24"/>
          <w:lang w:val="lt-LT"/>
        </w:rPr>
      </w:pPr>
    </w:p>
    <w:p w14:paraId="31AEE79C" w14:textId="77777777" w:rsidR="003B5AD5" w:rsidRDefault="003B5AD5" w:rsidP="00172C88">
      <w:pPr>
        <w:rPr>
          <w:szCs w:val="24"/>
          <w:lang w:val="lt-LT"/>
        </w:rPr>
      </w:pPr>
    </w:p>
    <w:p w14:paraId="1DF826B6" w14:textId="77777777" w:rsidR="003B5AD5" w:rsidRDefault="003B5AD5" w:rsidP="00172C88">
      <w:pPr>
        <w:rPr>
          <w:szCs w:val="24"/>
          <w:lang w:val="lt-LT"/>
        </w:rPr>
      </w:pPr>
    </w:p>
    <w:p w14:paraId="53F1E231" w14:textId="77777777" w:rsidR="003B5AD5" w:rsidRDefault="003B5AD5" w:rsidP="00172C88">
      <w:pPr>
        <w:rPr>
          <w:szCs w:val="24"/>
          <w:lang w:val="lt-LT"/>
        </w:rPr>
      </w:pPr>
    </w:p>
    <w:p w14:paraId="017F55FC" w14:textId="77777777" w:rsidR="003B5AD5" w:rsidRDefault="003B5AD5" w:rsidP="00172C88">
      <w:pPr>
        <w:rPr>
          <w:szCs w:val="24"/>
          <w:lang w:val="lt-LT"/>
        </w:rPr>
      </w:pPr>
    </w:p>
    <w:p w14:paraId="0D125268" w14:textId="77777777" w:rsidR="003B5AD5" w:rsidRDefault="003B5AD5" w:rsidP="00172C88">
      <w:pPr>
        <w:rPr>
          <w:szCs w:val="24"/>
          <w:lang w:val="lt-LT"/>
        </w:rPr>
      </w:pPr>
    </w:p>
    <w:p w14:paraId="12F0198E" w14:textId="77777777" w:rsidR="003B5AD5" w:rsidRDefault="003B5AD5" w:rsidP="00172C88">
      <w:pPr>
        <w:rPr>
          <w:szCs w:val="24"/>
          <w:lang w:val="lt-LT"/>
        </w:rPr>
      </w:pPr>
    </w:p>
    <w:p w14:paraId="20111D4A" w14:textId="77777777" w:rsidR="003B5AD5" w:rsidRDefault="003B5AD5" w:rsidP="00172C88">
      <w:pPr>
        <w:rPr>
          <w:szCs w:val="24"/>
          <w:lang w:val="lt-LT"/>
        </w:rPr>
      </w:pPr>
    </w:p>
    <w:p w14:paraId="4B9D60A8" w14:textId="77777777" w:rsidR="003B5AD5" w:rsidRDefault="003B5AD5" w:rsidP="00172C88">
      <w:pPr>
        <w:rPr>
          <w:szCs w:val="24"/>
          <w:lang w:val="lt-LT"/>
        </w:rPr>
      </w:pPr>
    </w:p>
    <w:p w14:paraId="6F91FB23" w14:textId="77777777" w:rsidR="003B5AD5" w:rsidRDefault="003B5AD5" w:rsidP="00172C88">
      <w:pPr>
        <w:rPr>
          <w:szCs w:val="24"/>
          <w:lang w:val="lt-LT"/>
        </w:rPr>
      </w:pPr>
    </w:p>
    <w:p w14:paraId="4E5C57AA" w14:textId="77777777" w:rsidR="003B5AD5" w:rsidRDefault="003B5AD5" w:rsidP="00172C88">
      <w:pPr>
        <w:rPr>
          <w:szCs w:val="24"/>
          <w:lang w:val="lt-LT"/>
        </w:rPr>
      </w:pPr>
    </w:p>
    <w:p w14:paraId="479BE89A" w14:textId="77777777" w:rsidR="003B5AD5" w:rsidRDefault="003B5AD5" w:rsidP="00172C88">
      <w:pPr>
        <w:rPr>
          <w:szCs w:val="24"/>
          <w:lang w:val="lt-LT"/>
        </w:rPr>
      </w:pPr>
    </w:p>
    <w:p w14:paraId="43373F9A" w14:textId="77777777" w:rsidR="003B5AD5" w:rsidRDefault="003B5AD5" w:rsidP="00172C88">
      <w:pPr>
        <w:rPr>
          <w:szCs w:val="24"/>
          <w:lang w:val="lt-LT"/>
        </w:rPr>
      </w:pPr>
    </w:p>
    <w:p w14:paraId="398FC0C0" w14:textId="77777777" w:rsidR="003B5AD5" w:rsidRDefault="003B5AD5" w:rsidP="00172C88">
      <w:pPr>
        <w:rPr>
          <w:szCs w:val="24"/>
          <w:lang w:val="lt-LT"/>
        </w:rPr>
      </w:pPr>
    </w:p>
    <w:p w14:paraId="5AE25C5E" w14:textId="77777777" w:rsidR="003B5AD5" w:rsidRDefault="003B5AD5" w:rsidP="00172C88">
      <w:pPr>
        <w:rPr>
          <w:szCs w:val="24"/>
          <w:lang w:val="lt-LT"/>
        </w:rPr>
      </w:pPr>
    </w:p>
    <w:p w14:paraId="38FE5B17" w14:textId="77777777" w:rsidR="003B5AD5" w:rsidRDefault="003B5AD5" w:rsidP="00172C88">
      <w:pPr>
        <w:rPr>
          <w:szCs w:val="24"/>
          <w:lang w:val="lt-LT"/>
        </w:rPr>
      </w:pPr>
    </w:p>
    <w:p w14:paraId="10F94C23" w14:textId="4E264C7F" w:rsidR="00537330" w:rsidRPr="00537330" w:rsidRDefault="00537330" w:rsidP="003B5AD5">
      <w:pPr>
        <w:tabs>
          <w:tab w:val="clear" w:pos="567"/>
        </w:tabs>
        <w:suppressAutoHyphens w:val="0"/>
        <w:autoSpaceDN/>
        <w:spacing w:after="200" w:line="276" w:lineRule="auto"/>
        <w:textAlignment w:val="auto"/>
        <w:rPr>
          <w:bCs/>
          <w:szCs w:val="22"/>
          <w:lang w:val="lt-LT"/>
        </w:rPr>
      </w:pPr>
      <w:r>
        <w:rPr>
          <w:rFonts w:ascii="Calibri" w:hAnsi="Calibri" w:cs="Arial"/>
          <w:b/>
          <w:szCs w:val="22"/>
          <w:lang w:val="lt-LT"/>
        </w:rPr>
        <w:tab/>
      </w:r>
      <w:r>
        <w:rPr>
          <w:rFonts w:ascii="Calibri" w:hAnsi="Calibri" w:cs="Arial"/>
          <w:b/>
          <w:szCs w:val="22"/>
          <w:lang w:val="lt-LT"/>
        </w:rPr>
        <w:tab/>
      </w:r>
      <w:r>
        <w:rPr>
          <w:rFonts w:ascii="Calibri" w:hAnsi="Calibri" w:cs="Arial"/>
          <w:b/>
          <w:szCs w:val="22"/>
          <w:lang w:val="lt-LT"/>
        </w:rPr>
        <w:tab/>
      </w:r>
      <w:r>
        <w:rPr>
          <w:rFonts w:ascii="Calibri" w:hAnsi="Calibri" w:cs="Arial"/>
          <w:b/>
          <w:szCs w:val="22"/>
          <w:lang w:val="lt-LT"/>
        </w:rPr>
        <w:tab/>
      </w:r>
      <w:r>
        <w:rPr>
          <w:rFonts w:ascii="Calibri" w:hAnsi="Calibri" w:cs="Arial"/>
          <w:b/>
          <w:szCs w:val="22"/>
          <w:lang w:val="lt-LT"/>
        </w:rPr>
        <w:tab/>
      </w:r>
    </w:p>
    <w:p w14:paraId="46EA98D5" w14:textId="77777777" w:rsidR="003B5AD5" w:rsidRPr="00537330" w:rsidRDefault="003B5AD5" w:rsidP="003B5AD5">
      <w:pPr>
        <w:tabs>
          <w:tab w:val="clear" w:pos="567"/>
        </w:tabs>
        <w:suppressAutoHyphens w:val="0"/>
        <w:autoSpaceDN/>
        <w:spacing w:after="200" w:line="276" w:lineRule="auto"/>
        <w:textAlignment w:val="auto"/>
        <w:rPr>
          <w:b/>
          <w:szCs w:val="22"/>
          <w:lang w:val="lt-LT"/>
        </w:rPr>
      </w:pPr>
      <w:r w:rsidRPr="00537330">
        <w:rPr>
          <w:b/>
          <w:szCs w:val="22"/>
          <w:lang w:val="lt-LT"/>
        </w:rPr>
        <w:lastRenderedPageBreak/>
        <w:t>PACIENTO ĮSPĖJAMOJI KORTELĖ</w:t>
      </w:r>
    </w:p>
    <w:p w14:paraId="30F5ED1C" w14:textId="77777777" w:rsidR="003B5AD5" w:rsidRPr="003B5AD5" w:rsidRDefault="003B5AD5" w:rsidP="003B5AD5">
      <w:pPr>
        <w:tabs>
          <w:tab w:val="clear" w:pos="567"/>
        </w:tabs>
        <w:suppressAutoHyphens w:val="0"/>
        <w:autoSpaceDE w:val="0"/>
        <w:adjustRightInd w:val="0"/>
        <w:spacing w:line="240" w:lineRule="auto"/>
        <w:jc w:val="center"/>
        <w:textAlignment w:val="auto"/>
        <w:rPr>
          <w:b/>
          <w:bCs/>
          <w:color w:val="000000"/>
          <w:szCs w:val="22"/>
          <w:lang w:val="lt-LT"/>
        </w:rPr>
      </w:pPr>
    </w:p>
    <w:p w14:paraId="65961AD2" w14:textId="77777777" w:rsidR="003B5AD5" w:rsidRPr="003B5AD5" w:rsidRDefault="003B5AD5" w:rsidP="003B5AD5">
      <w:pPr>
        <w:tabs>
          <w:tab w:val="clear" w:pos="567"/>
        </w:tabs>
        <w:suppressAutoHyphens w:val="0"/>
        <w:autoSpaceDE w:val="0"/>
        <w:adjustRightInd w:val="0"/>
        <w:spacing w:line="240" w:lineRule="auto"/>
        <w:jc w:val="center"/>
        <w:textAlignment w:val="auto"/>
        <w:rPr>
          <w:b/>
          <w:bCs/>
          <w:color w:val="000000"/>
          <w:szCs w:val="22"/>
          <w:lang w:val="lt-LT"/>
        </w:rPr>
      </w:pPr>
      <w:r w:rsidRPr="003B5AD5">
        <w:rPr>
          <w:b/>
          <w:bCs/>
          <w:color w:val="000000"/>
          <w:szCs w:val="22"/>
          <w:lang w:val="lt-LT"/>
        </w:rPr>
        <w:t xml:space="preserve">Svarbūs su saugumu susiję priminimai pacientams, vartojantiems </w:t>
      </w:r>
    </w:p>
    <w:p w14:paraId="4A8FC75A" w14:textId="77777777" w:rsidR="003B5AD5" w:rsidRPr="003B5AD5" w:rsidRDefault="003B5AD5" w:rsidP="003B5AD5">
      <w:pPr>
        <w:tabs>
          <w:tab w:val="clear" w:pos="567"/>
        </w:tabs>
        <w:suppressAutoHyphens w:val="0"/>
        <w:autoSpaceDE w:val="0"/>
        <w:adjustRightInd w:val="0"/>
        <w:spacing w:line="240" w:lineRule="auto"/>
        <w:jc w:val="center"/>
        <w:textAlignment w:val="auto"/>
        <w:rPr>
          <w:b/>
          <w:bCs/>
          <w:color w:val="000000"/>
          <w:szCs w:val="22"/>
          <w:lang w:val="lt-LT"/>
        </w:rPr>
      </w:pPr>
      <w:r w:rsidRPr="003B5AD5">
        <w:rPr>
          <w:b/>
          <w:bCs/>
          <w:color w:val="000000"/>
          <w:szCs w:val="22"/>
          <w:lang w:val="lt-LT"/>
        </w:rPr>
        <w:t>BOSENTAN NORAMEDA</w:t>
      </w:r>
    </w:p>
    <w:p w14:paraId="08DF921A"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03F4B116"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 xml:space="preserve">Šioje kortelėje yra svarbios informacijos apie </w:t>
      </w:r>
      <w:r w:rsidRPr="003B5AD5">
        <w:rPr>
          <w:bCs/>
          <w:color w:val="000000"/>
          <w:szCs w:val="22"/>
          <w:lang w:val="lt-LT"/>
        </w:rPr>
        <w:t>BOSENTAN NORAMEDA</w:t>
      </w:r>
      <w:r w:rsidRPr="003B5AD5">
        <w:rPr>
          <w:color w:val="000000"/>
          <w:szCs w:val="22"/>
          <w:lang w:val="lt-LT"/>
        </w:rPr>
        <w:t xml:space="preserve">. Prieš pradėdami gydymą </w:t>
      </w:r>
      <w:r w:rsidRPr="003B5AD5">
        <w:rPr>
          <w:bCs/>
          <w:color w:val="000000"/>
          <w:szCs w:val="22"/>
          <w:lang w:val="lt-LT"/>
        </w:rPr>
        <w:t>BOSENTAN NORAMEDA, atidžiai perskaitykite šią kortelę.</w:t>
      </w:r>
    </w:p>
    <w:p w14:paraId="5D3A50F6"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2140E182"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 xml:space="preserve">Jūsų vardas ir pavardė: __________________________________________________ </w:t>
      </w:r>
    </w:p>
    <w:p w14:paraId="51180088"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 xml:space="preserve">Vaistą skyręs gydytojas: ________________________________________ </w:t>
      </w:r>
    </w:p>
    <w:p w14:paraId="20D9461D"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4A637ECE"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 xml:space="preserve">Jei turite klausimų apie </w:t>
      </w:r>
      <w:r w:rsidRPr="003B5AD5">
        <w:rPr>
          <w:bCs/>
          <w:color w:val="000000"/>
          <w:szCs w:val="22"/>
          <w:lang w:val="lt-LT"/>
        </w:rPr>
        <w:t xml:space="preserve">BOSENTAN NORAMEDA, </w:t>
      </w:r>
      <w:r w:rsidRPr="003B5AD5">
        <w:rPr>
          <w:color w:val="000000"/>
          <w:szCs w:val="22"/>
          <w:lang w:val="lt-LT"/>
        </w:rPr>
        <w:t xml:space="preserve">aptarkite juos su savo gydytoju. </w:t>
      </w:r>
    </w:p>
    <w:p w14:paraId="66048E7C" w14:textId="77777777" w:rsidR="003B5AD5" w:rsidRPr="003B5AD5" w:rsidRDefault="003B5AD5" w:rsidP="003B5AD5">
      <w:pPr>
        <w:tabs>
          <w:tab w:val="clear" w:pos="567"/>
        </w:tabs>
        <w:suppressAutoHyphens w:val="0"/>
        <w:autoSpaceDN/>
        <w:spacing w:line="240" w:lineRule="auto"/>
        <w:textAlignment w:val="auto"/>
        <w:rPr>
          <w:rFonts w:ascii="Calibri" w:hAnsi="Calibri" w:cs="Arial"/>
          <w:szCs w:val="22"/>
          <w:lang w:val="lt-LT"/>
        </w:rPr>
      </w:pPr>
    </w:p>
    <w:p w14:paraId="57DB093B"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 xml:space="preserve">UAB NORAMEDA </w:t>
      </w:r>
    </w:p>
    <w:p w14:paraId="08FE02A4" w14:textId="77777777" w:rsidR="003B5AD5" w:rsidRPr="003B5AD5" w:rsidRDefault="003B5AD5" w:rsidP="003B5AD5">
      <w:pPr>
        <w:tabs>
          <w:tab w:val="clear" w:pos="567"/>
        </w:tabs>
        <w:suppressAutoHyphens w:val="0"/>
        <w:autoSpaceDN/>
        <w:spacing w:after="200" w:line="276" w:lineRule="auto"/>
        <w:textAlignment w:val="auto"/>
        <w:rPr>
          <w:rFonts w:ascii="Calibri" w:hAnsi="Calibri" w:cs="Arial"/>
          <w:szCs w:val="22"/>
          <w:lang w:val="lt-LT"/>
        </w:rPr>
      </w:pPr>
      <w:r w:rsidRPr="003B5AD5">
        <w:rPr>
          <w:rFonts w:ascii="Calibri" w:hAnsi="Calibri" w:cs="Arial"/>
          <w:szCs w:val="22"/>
          <w:lang w:val="lt-LT"/>
        </w:rPr>
        <w:t>____________________________________________________________________</w:t>
      </w:r>
    </w:p>
    <w:p w14:paraId="13B7F7C4" w14:textId="77777777" w:rsidR="003B5AD5" w:rsidRPr="003B5AD5" w:rsidRDefault="003B5AD5" w:rsidP="003B5AD5">
      <w:pPr>
        <w:tabs>
          <w:tab w:val="clear" w:pos="567"/>
        </w:tabs>
        <w:suppressAutoHyphens w:val="0"/>
        <w:autoSpaceDE w:val="0"/>
        <w:adjustRightInd w:val="0"/>
        <w:spacing w:line="240" w:lineRule="auto"/>
        <w:textAlignment w:val="auto"/>
        <w:rPr>
          <w:b/>
          <w:bCs/>
          <w:color w:val="000000"/>
          <w:szCs w:val="22"/>
          <w:lang w:val="lt-LT"/>
        </w:rPr>
      </w:pPr>
      <w:r w:rsidRPr="003B5AD5">
        <w:rPr>
          <w:b/>
          <w:bCs/>
          <w:color w:val="000000"/>
          <w:szCs w:val="22"/>
          <w:lang w:val="lt-LT"/>
        </w:rPr>
        <w:t xml:space="preserve">Jeigu esate vaisingo amžiaus moteris, atidžiai perskaitykite šiame puslapyje pateikiamą informaciją. </w:t>
      </w:r>
    </w:p>
    <w:p w14:paraId="13A8D7CC"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4F6B6C6C"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b/>
          <w:bCs/>
          <w:color w:val="000000"/>
          <w:szCs w:val="22"/>
          <w:lang w:val="lt-LT"/>
        </w:rPr>
        <w:t>Nėštumas</w:t>
      </w:r>
    </w:p>
    <w:p w14:paraId="672B57BA"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bCs/>
          <w:color w:val="000000"/>
          <w:szCs w:val="22"/>
          <w:lang w:val="lt-LT"/>
        </w:rPr>
        <w:t xml:space="preserve">BOSENTAN NORAMEDA </w:t>
      </w:r>
      <w:r w:rsidRPr="003B5AD5">
        <w:rPr>
          <w:color w:val="000000"/>
          <w:szCs w:val="22"/>
          <w:lang w:val="lt-LT"/>
        </w:rPr>
        <w:t xml:space="preserve">gali pakenkti vaisiaus vystymuisi. Todėl, jei esate nėščia,  </w:t>
      </w:r>
      <w:r w:rsidRPr="003B5AD5">
        <w:rPr>
          <w:bCs/>
          <w:color w:val="000000"/>
          <w:szCs w:val="22"/>
          <w:lang w:val="lt-LT"/>
        </w:rPr>
        <w:t xml:space="preserve">BOSENTAN NORAMEDA </w:t>
      </w:r>
      <w:r w:rsidRPr="003B5AD5">
        <w:rPr>
          <w:color w:val="000000"/>
          <w:szCs w:val="22"/>
          <w:lang w:val="lt-LT"/>
        </w:rPr>
        <w:t xml:space="preserve">vartoti draudžiama, be to, gydymo </w:t>
      </w:r>
      <w:r w:rsidRPr="003B5AD5">
        <w:rPr>
          <w:bCs/>
          <w:color w:val="000000"/>
          <w:szCs w:val="22"/>
          <w:lang w:val="lt-LT"/>
        </w:rPr>
        <w:t>BOSENTAN NORAMEDA laikotarpiu draudžiama pastoti</w:t>
      </w:r>
      <w:r w:rsidRPr="003B5AD5">
        <w:rPr>
          <w:color w:val="000000"/>
          <w:szCs w:val="22"/>
          <w:lang w:val="lt-LT"/>
        </w:rPr>
        <w:t xml:space="preserve">. </w:t>
      </w:r>
    </w:p>
    <w:p w14:paraId="04D17B60"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 xml:space="preserve">Be to, jei Jūs sergate </w:t>
      </w:r>
      <w:proofErr w:type="spellStart"/>
      <w:r w:rsidRPr="003B5AD5">
        <w:rPr>
          <w:color w:val="000000"/>
          <w:szCs w:val="22"/>
          <w:lang w:val="lt-LT"/>
        </w:rPr>
        <w:t>plautine</w:t>
      </w:r>
      <w:proofErr w:type="spellEnd"/>
      <w:r w:rsidRPr="003B5AD5">
        <w:rPr>
          <w:color w:val="000000"/>
          <w:szCs w:val="22"/>
          <w:lang w:val="lt-LT"/>
        </w:rPr>
        <w:t xml:space="preserve"> hipertenzija, pastojimas gali labai pasunkinti Jūsų ligos simptomus. Jei manote, kad galite būti pastojusi, apie tai pasakykite savo gydytojui arba ginekologui.</w:t>
      </w:r>
    </w:p>
    <w:p w14:paraId="7376CE90"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2FDF6F76" w14:textId="77777777" w:rsidR="003B5AD5" w:rsidRPr="003B5AD5" w:rsidRDefault="003B5AD5" w:rsidP="003B5AD5">
      <w:pPr>
        <w:tabs>
          <w:tab w:val="clear" w:pos="567"/>
        </w:tabs>
        <w:suppressAutoHyphens w:val="0"/>
        <w:autoSpaceDE w:val="0"/>
        <w:adjustRightInd w:val="0"/>
        <w:spacing w:line="240" w:lineRule="auto"/>
        <w:textAlignment w:val="auto"/>
        <w:rPr>
          <w:b/>
          <w:color w:val="000000"/>
          <w:szCs w:val="22"/>
          <w:lang w:val="lt-LT"/>
        </w:rPr>
      </w:pPr>
      <w:r w:rsidRPr="003B5AD5">
        <w:rPr>
          <w:b/>
          <w:bCs/>
          <w:color w:val="000000"/>
          <w:szCs w:val="22"/>
          <w:lang w:val="lt-LT"/>
        </w:rPr>
        <w:t>Kontracepcija</w:t>
      </w:r>
    </w:p>
    <w:p w14:paraId="29C3D32B"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 xml:space="preserve">Vartojant </w:t>
      </w:r>
      <w:r w:rsidRPr="003B5AD5">
        <w:rPr>
          <w:bCs/>
          <w:color w:val="000000"/>
          <w:szCs w:val="22"/>
          <w:lang w:val="lt-LT"/>
        </w:rPr>
        <w:t>BOSENTAN NORAMEDA,</w:t>
      </w:r>
      <w:r w:rsidRPr="003B5AD5">
        <w:rPr>
          <w:color w:val="000000"/>
          <w:szCs w:val="22"/>
          <w:lang w:val="lt-LT"/>
        </w:rPr>
        <w:t xml:space="preserve"> hormoninės kontracepcijos priemonės (pvz., geriamieji kontraceptikai, hormoninės švirkščiamosios ar implantuojamosios priemonės ar kontraceptiniai odos pleistrai) patikimai nuo nėštumo neapsaugo. Kartu su bet kokiomis minėtomis hormoninėmis kontracepcijos priemonėmis būtina naudoti barjerines kontracepcijos priemones, pvz., prezervatyvą, diafragmą ar makšties kempinę. Visus iškilusius klausimus būtinai aptarkite su savo gydytoju ar ginekologu. Užpildykite duomenis šios kortelės nugarinėje pusėje ir paduokite šią kortelę savo gydytojui ar ginekologui kito apsilankymo metu. </w:t>
      </w:r>
    </w:p>
    <w:p w14:paraId="5888CF2B"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13808774"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bCs/>
          <w:color w:val="000000"/>
          <w:szCs w:val="22"/>
          <w:lang w:val="lt-LT"/>
        </w:rPr>
        <w:t>Nėštumo testą turite atlikti prieš gydymo BOSENTAN NORAMEDA pradžią ir po to kas mėnesį gydymo metu, ne</w:t>
      </w:r>
      <w:r w:rsidRPr="003B5AD5">
        <w:rPr>
          <w:color w:val="000000"/>
          <w:szCs w:val="22"/>
          <w:lang w:val="lt-LT"/>
        </w:rPr>
        <w:t>t jei manote, kad nesate pastojusi.</w:t>
      </w:r>
    </w:p>
    <w:p w14:paraId="44D93705"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5C209867" w14:textId="77777777" w:rsidR="003B5AD5" w:rsidRPr="003B5AD5" w:rsidRDefault="003B5AD5" w:rsidP="003B5AD5">
      <w:pPr>
        <w:tabs>
          <w:tab w:val="clear" w:pos="567"/>
        </w:tabs>
        <w:suppressAutoHyphens w:val="0"/>
        <w:autoSpaceDN/>
        <w:spacing w:after="200" w:line="276" w:lineRule="auto"/>
        <w:textAlignment w:val="auto"/>
        <w:rPr>
          <w:szCs w:val="22"/>
          <w:lang w:val="lt-LT"/>
        </w:rPr>
      </w:pPr>
      <w:r w:rsidRPr="003B5AD5">
        <w:rPr>
          <w:szCs w:val="22"/>
          <w:lang w:val="lt-LT"/>
        </w:rPr>
        <w:t>Pirmojo kasmėnesinio nėštumo testo data: ___________________________________________________</w:t>
      </w:r>
    </w:p>
    <w:p w14:paraId="69837C3C" w14:textId="77777777" w:rsidR="003B5AD5" w:rsidRPr="003B5AD5" w:rsidRDefault="003B5AD5" w:rsidP="003B5AD5">
      <w:pPr>
        <w:tabs>
          <w:tab w:val="clear" w:pos="567"/>
        </w:tabs>
        <w:suppressAutoHyphens w:val="0"/>
        <w:autoSpaceDN/>
        <w:spacing w:after="200" w:line="276" w:lineRule="auto"/>
        <w:textAlignment w:val="auto"/>
        <w:rPr>
          <w:b/>
          <w:szCs w:val="22"/>
          <w:lang w:val="lt-LT"/>
        </w:rPr>
      </w:pPr>
      <w:r w:rsidRPr="003B5AD5">
        <w:rPr>
          <w:b/>
          <w:szCs w:val="22"/>
          <w:lang w:val="lt-LT"/>
        </w:rPr>
        <w:t xml:space="preserve">__________________________________________________________________________________ </w:t>
      </w:r>
    </w:p>
    <w:p w14:paraId="7441FB4F"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b/>
          <w:bCs/>
          <w:color w:val="000000"/>
          <w:szCs w:val="22"/>
          <w:lang w:val="lt-LT"/>
        </w:rPr>
        <w:t>Kontracepcija</w:t>
      </w:r>
    </w:p>
    <w:p w14:paraId="22530D06"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Ar šiuo metu vartojate kontraceptikų?</w:t>
      </w:r>
    </w:p>
    <w:p w14:paraId="67275474"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sym w:font="Symbol" w:char="F07F"/>
      </w:r>
      <w:r w:rsidRPr="003B5AD5">
        <w:rPr>
          <w:color w:val="000000"/>
          <w:szCs w:val="22"/>
          <w:lang w:val="lt-LT"/>
        </w:rPr>
        <w:t xml:space="preserve"> Taip                       </w:t>
      </w:r>
      <w:r w:rsidRPr="003B5AD5">
        <w:rPr>
          <w:color w:val="000000"/>
          <w:szCs w:val="22"/>
          <w:lang w:val="lt-LT"/>
        </w:rPr>
        <w:sym w:font="Symbol" w:char="F07F"/>
      </w:r>
      <w:r w:rsidRPr="003B5AD5">
        <w:rPr>
          <w:color w:val="000000"/>
          <w:szCs w:val="22"/>
          <w:lang w:val="lt-LT"/>
        </w:rPr>
        <w:t xml:space="preserve"> Ne</w:t>
      </w:r>
    </w:p>
    <w:p w14:paraId="6ADFC599" w14:textId="77777777" w:rsidR="003B5AD5" w:rsidRPr="003B5AD5" w:rsidRDefault="003B5AD5" w:rsidP="003B5AD5">
      <w:pPr>
        <w:tabs>
          <w:tab w:val="clear" w:pos="567"/>
        </w:tabs>
        <w:suppressAutoHyphens w:val="0"/>
        <w:autoSpaceDE w:val="0"/>
        <w:adjustRightInd w:val="0"/>
        <w:spacing w:line="240" w:lineRule="auto"/>
        <w:jc w:val="center"/>
        <w:textAlignment w:val="auto"/>
        <w:rPr>
          <w:color w:val="000000"/>
          <w:szCs w:val="22"/>
          <w:lang w:val="lt-LT"/>
        </w:rPr>
      </w:pPr>
    </w:p>
    <w:p w14:paraId="25AC6828"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Jei „Taip“, čia užrašykite jų pavadinimus:</w:t>
      </w:r>
    </w:p>
    <w:p w14:paraId="62249DD2"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______________________________________</w:t>
      </w:r>
    </w:p>
    <w:p w14:paraId="31C77295"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______________________________________</w:t>
      </w:r>
    </w:p>
    <w:p w14:paraId="4B838A2E" w14:textId="77777777" w:rsidR="003B5AD5" w:rsidRPr="003B5AD5" w:rsidRDefault="003B5AD5" w:rsidP="003B5AD5">
      <w:pPr>
        <w:tabs>
          <w:tab w:val="clear" w:pos="567"/>
        </w:tabs>
        <w:suppressAutoHyphens w:val="0"/>
        <w:autoSpaceDE w:val="0"/>
        <w:adjustRightInd w:val="0"/>
        <w:spacing w:line="240" w:lineRule="auto"/>
        <w:textAlignment w:val="auto"/>
        <w:rPr>
          <w:b/>
          <w:color w:val="000000"/>
          <w:szCs w:val="22"/>
          <w:lang w:val="lt-LT"/>
        </w:rPr>
      </w:pPr>
    </w:p>
    <w:p w14:paraId="1058EE91" w14:textId="77777777" w:rsidR="003B5AD5" w:rsidRPr="003B5AD5" w:rsidRDefault="003B5AD5" w:rsidP="003B5AD5">
      <w:pPr>
        <w:pBdr>
          <w:bottom w:val="single" w:sz="12" w:space="1" w:color="auto"/>
        </w:pBd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Kito apsilankymo metu šią kortelę pateikite savo gydytojui arba ginekologui, kad jis galėtų patarti, ar reikia naudoti papildomą arba alternatyvų kontracepcijos metodą.</w:t>
      </w:r>
    </w:p>
    <w:p w14:paraId="3EC4DAB6" w14:textId="77777777" w:rsidR="003B5AD5" w:rsidRPr="003B5AD5" w:rsidRDefault="003B5AD5" w:rsidP="003B5AD5">
      <w:pPr>
        <w:pBdr>
          <w:bottom w:val="single" w:sz="12" w:space="1" w:color="auto"/>
        </w:pBdr>
        <w:tabs>
          <w:tab w:val="clear" w:pos="567"/>
        </w:tabs>
        <w:suppressAutoHyphens w:val="0"/>
        <w:autoSpaceDE w:val="0"/>
        <w:adjustRightInd w:val="0"/>
        <w:spacing w:line="240" w:lineRule="auto"/>
        <w:textAlignment w:val="auto"/>
        <w:rPr>
          <w:color w:val="000000"/>
          <w:szCs w:val="22"/>
          <w:lang w:val="lt-LT"/>
        </w:rPr>
      </w:pPr>
    </w:p>
    <w:p w14:paraId="21074E23" w14:textId="77777777" w:rsidR="003B5AD5" w:rsidRPr="003B5AD5" w:rsidRDefault="003B5AD5" w:rsidP="003B5AD5">
      <w:pPr>
        <w:tabs>
          <w:tab w:val="clear" w:pos="567"/>
        </w:tabs>
        <w:suppressAutoHyphens w:val="0"/>
        <w:autoSpaceDN/>
        <w:spacing w:after="200" w:line="276" w:lineRule="auto"/>
        <w:textAlignment w:val="auto"/>
        <w:rPr>
          <w:szCs w:val="22"/>
          <w:lang w:val="lt-LT"/>
        </w:rPr>
      </w:pPr>
    </w:p>
    <w:p w14:paraId="304D5C46" w14:textId="77777777" w:rsidR="003B5AD5" w:rsidRPr="003B5AD5" w:rsidRDefault="003B5AD5" w:rsidP="003B5AD5">
      <w:pPr>
        <w:tabs>
          <w:tab w:val="clear" w:pos="567"/>
        </w:tabs>
        <w:suppressAutoHyphens w:val="0"/>
        <w:autoSpaceDN/>
        <w:spacing w:after="200" w:line="276" w:lineRule="auto"/>
        <w:textAlignment w:val="auto"/>
        <w:rPr>
          <w:rFonts w:ascii="Calibri" w:hAnsi="Calibri" w:cs="Arial"/>
          <w:b/>
          <w:szCs w:val="22"/>
          <w:lang w:val="lt-LT"/>
        </w:rPr>
      </w:pPr>
      <w:r w:rsidRPr="003B5AD5">
        <w:rPr>
          <w:rFonts w:ascii="Calibri" w:hAnsi="Calibri" w:cs="Arial"/>
          <w:b/>
          <w:szCs w:val="22"/>
          <w:lang w:val="lt-LT"/>
        </w:rPr>
        <w:lastRenderedPageBreak/>
        <w:t>__________________________________________________________________________________</w:t>
      </w:r>
    </w:p>
    <w:p w14:paraId="22D9AED1" w14:textId="77777777" w:rsidR="003B5AD5" w:rsidRPr="003B5AD5" w:rsidRDefault="003B5AD5" w:rsidP="003B5AD5">
      <w:pPr>
        <w:tabs>
          <w:tab w:val="clear" w:pos="567"/>
        </w:tabs>
        <w:suppressAutoHyphens w:val="0"/>
        <w:autoSpaceDE w:val="0"/>
        <w:adjustRightInd w:val="0"/>
        <w:spacing w:line="240" w:lineRule="auto"/>
        <w:textAlignment w:val="auto"/>
        <w:rPr>
          <w:b/>
          <w:bCs/>
          <w:color w:val="000000"/>
          <w:szCs w:val="22"/>
          <w:lang w:val="lt-LT"/>
        </w:rPr>
      </w:pPr>
      <w:r w:rsidRPr="003B5AD5">
        <w:rPr>
          <w:b/>
          <w:bCs/>
          <w:color w:val="000000"/>
          <w:szCs w:val="22"/>
          <w:lang w:val="lt-LT"/>
        </w:rPr>
        <w:t>Kraujo tyrimai kepenų funkcijai įvertinti</w:t>
      </w:r>
    </w:p>
    <w:p w14:paraId="1414430C"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685CE2E5"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 xml:space="preserve">Kai kuriems </w:t>
      </w:r>
      <w:r w:rsidRPr="003B5AD5">
        <w:rPr>
          <w:bCs/>
          <w:color w:val="000000"/>
          <w:szCs w:val="22"/>
          <w:lang w:val="lt-LT"/>
        </w:rPr>
        <w:t xml:space="preserve">BOSENTAN NORAMEDA </w:t>
      </w:r>
      <w:r w:rsidRPr="003B5AD5">
        <w:rPr>
          <w:color w:val="000000"/>
          <w:szCs w:val="22"/>
          <w:lang w:val="lt-LT"/>
        </w:rPr>
        <w:t xml:space="preserve">vartojantiems pacientams buvo nustatyti nenormalūs kepenų funkcijos tyrimų rodmenys. Gydymo </w:t>
      </w:r>
      <w:r w:rsidRPr="003B5AD5">
        <w:rPr>
          <w:bCs/>
          <w:color w:val="000000"/>
          <w:szCs w:val="22"/>
          <w:lang w:val="lt-LT"/>
        </w:rPr>
        <w:t>BOSENTAN NORAMEDA metu Jūsų gydytojas</w:t>
      </w:r>
      <w:r w:rsidRPr="003B5AD5">
        <w:rPr>
          <w:color w:val="000000"/>
          <w:szCs w:val="22"/>
          <w:lang w:val="lt-LT"/>
        </w:rPr>
        <w:t xml:space="preserve"> nurodys reguliariai atlikinėti kraujo tyrimus kepenų funkcijos pokyčiams patikrinti. </w:t>
      </w:r>
    </w:p>
    <w:p w14:paraId="4E796C98" w14:textId="77777777" w:rsidR="003B5AD5" w:rsidRPr="003B5AD5" w:rsidRDefault="003B5AD5" w:rsidP="003B5AD5">
      <w:pPr>
        <w:tabs>
          <w:tab w:val="clear" w:pos="567"/>
        </w:tabs>
        <w:suppressAutoHyphens w:val="0"/>
        <w:autoSpaceDE w:val="0"/>
        <w:adjustRightInd w:val="0"/>
        <w:spacing w:line="240" w:lineRule="auto"/>
        <w:textAlignment w:val="auto"/>
        <w:rPr>
          <w:b/>
          <w:bCs/>
          <w:color w:val="000000"/>
          <w:szCs w:val="22"/>
          <w:lang w:val="lt-LT"/>
        </w:rPr>
      </w:pPr>
    </w:p>
    <w:p w14:paraId="2347D14C" w14:textId="77777777" w:rsidR="003B5AD5" w:rsidRPr="003B5AD5" w:rsidRDefault="003B5AD5" w:rsidP="003B5AD5">
      <w:pPr>
        <w:tabs>
          <w:tab w:val="clear" w:pos="567"/>
        </w:tabs>
        <w:suppressAutoHyphens w:val="0"/>
        <w:autoSpaceDE w:val="0"/>
        <w:adjustRightInd w:val="0"/>
        <w:spacing w:line="240" w:lineRule="auto"/>
        <w:textAlignment w:val="auto"/>
        <w:rPr>
          <w:b/>
          <w:color w:val="000000"/>
          <w:szCs w:val="22"/>
          <w:lang w:val="lt-LT"/>
        </w:rPr>
      </w:pPr>
      <w:r w:rsidRPr="003B5AD5">
        <w:rPr>
          <w:b/>
          <w:color w:val="000000"/>
          <w:szCs w:val="22"/>
          <w:lang w:val="lt-LT"/>
        </w:rPr>
        <w:t xml:space="preserve">Atsiminkite, kad kraujo tyrimą kepenų funkcijai įvertinti reikia atlikti kas mėnesį gydymo metu. </w:t>
      </w:r>
    </w:p>
    <w:p w14:paraId="15350E6E" w14:textId="77777777" w:rsidR="003B5AD5" w:rsidRPr="003B5AD5" w:rsidRDefault="003B5AD5" w:rsidP="003B5AD5">
      <w:pPr>
        <w:tabs>
          <w:tab w:val="clear" w:pos="567"/>
        </w:tabs>
        <w:suppressAutoHyphens w:val="0"/>
        <w:autoSpaceDE w:val="0"/>
        <w:adjustRightInd w:val="0"/>
        <w:spacing w:line="240" w:lineRule="auto"/>
        <w:textAlignment w:val="auto"/>
        <w:rPr>
          <w:b/>
          <w:color w:val="000000"/>
          <w:szCs w:val="22"/>
          <w:lang w:val="lt-LT"/>
        </w:rPr>
      </w:pPr>
      <w:r w:rsidRPr="003B5AD5">
        <w:rPr>
          <w:b/>
          <w:color w:val="000000"/>
          <w:szCs w:val="22"/>
          <w:lang w:val="lt-LT"/>
        </w:rPr>
        <w:t xml:space="preserve">Po dozės padidinimo papildomą tyrimą reikia atlikti po 2 savaičių. </w:t>
      </w:r>
    </w:p>
    <w:p w14:paraId="2F773FD2"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0CD81510"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 xml:space="preserve">Pirmojo kasmėnesinio kepenų funkcijos tyrimo data: _________________________________ </w:t>
      </w:r>
    </w:p>
    <w:p w14:paraId="58ACBC03"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75B59794"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5284F676"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r w:rsidRPr="003B5AD5">
        <w:rPr>
          <w:color w:val="000000"/>
          <w:szCs w:val="22"/>
          <w:lang w:val="lt-LT"/>
        </w:rPr>
        <w:t>Jūsų kasmėnesinių kepenų funkcijos tyrimų grafikas:</w:t>
      </w:r>
    </w:p>
    <w:p w14:paraId="51EFE3B5"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7AFF8498" w14:textId="77777777" w:rsidR="003B5AD5" w:rsidRPr="003B5AD5" w:rsidRDefault="003B5AD5" w:rsidP="003B5AD5">
      <w:pPr>
        <w:tabs>
          <w:tab w:val="clear" w:pos="567"/>
        </w:tabs>
        <w:suppressAutoHyphens w:val="0"/>
        <w:autoSpaceDN/>
        <w:spacing w:after="200" w:line="276" w:lineRule="auto"/>
        <w:textAlignment w:val="auto"/>
        <w:rPr>
          <w:szCs w:val="22"/>
          <w:lang w:val="lt-LT"/>
        </w:rPr>
      </w:pPr>
      <w:r w:rsidRPr="003B5AD5">
        <w:rPr>
          <w:szCs w:val="22"/>
          <w:lang w:val="lt-LT"/>
        </w:rPr>
        <w:t xml:space="preserve"> Sausis ______               </w:t>
      </w:r>
      <w:r w:rsidRPr="003B5AD5">
        <w:rPr>
          <w:szCs w:val="22"/>
          <w:lang w:val="lt-LT"/>
        </w:rPr>
        <w:t xml:space="preserve">    Gegužė ______             </w:t>
      </w:r>
      <w:r w:rsidRPr="003B5AD5">
        <w:rPr>
          <w:szCs w:val="22"/>
          <w:lang w:val="lt-LT"/>
        </w:rPr>
        <w:t xml:space="preserve">   Rugsėjis _____ </w:t>
      </w:r>
    </w:p>
    <w:p w14:paraId="378EC65D" w14:textId="77777777" w:rsidR="003B5AD5" w:rsidRPr="003B5AD5" w:rsidRDefault="003B5AD5" w:rsidP="003B5AD5">
      <w:pPr>
        <w:tabs>
          <w:tab w:val="clear" w:pos="567"/>
        </w:tabs>
        <w:suppressAutoHyphens w:val="0"/>
        <w:autoSpaceDN/>
        <w:spacing w:after="200" w:line="276" w:lineRule="auto"/>
        <w:textAlignment w:val="auto"/>
        <w:rPr>
          <w:szCs w:val="22"/>
          <w:lang w:val="lt-LT"/>
        </w:rPr>
      </w:pPr>
      <w:r w:rsidRPr="003B5AD5">
        <w:rPr>
          <w:szCs w:val="22"/>
          <w:lang w:val="lt-LT"/>
        </w:rPr>
        <w:t xml:space="preserve"> Vasaris ______             </w:t>
      </w:r>
      <w:r w:rsidRPr="003B5AD5">
        <w:rPr>
          <w:szCs w:val="22"/>
          <w:lang w:val="lt-LT"/>
        </w:rPr>
        <w:t xml:space="preserve">     Birželis ______            </w:t>
      </w:r>
      <w:r w:rsidRPr="003B5AD5">
        <w:rPr>
          <w:szCs w:val="22"/>
          <w:lang w:val="lt-LT"/>
        </w:rPr>
        <w:t xml:space="preserve">   Spalis _____ </w:t>
      </w:r>
    </w:p>
    <w:p w14:paraId="7B5C9D19" w14:textId="77777777" w:rsidR="003B5AD5" w:rsidRPr="003B5AD5" w:rsidRDefault="003B5AD5" w:rsidP="003B5AD5">
      <w:pPr>
        <w:tabs>
          <w:tab w:val="clear" w:pos="567"/>
        </w:tabs>
        <w:suppressAutoHyphens w:val="0"/>
        <w:autoSpaceDN/>
        <w:spacing w:after="200" w:line="276" w:lineRule="auto"/>
        <w:textAlignment w:val="auto"/>
        <w:rPr>
          <w:szCs w:val="22"/>
          <w:lang w:val="lt-LT"/>
        </w:rPr>
      </w:pPr>
      <w:r w:rsidRPr="003B5AD5">
        <w:rPr>
          <w:szCs w:val="22"/>
          <w:lang w:val="lt-LT"/>
        </w:rPr>
        <w:t xml:space="preserve"> Kovas ______               </w:t>
      </w:r>
      <w:r w:rsidRPr="003B5AD5">
        <w:rPr>
          <w:szCs w:val="22"/>
          <w:lang w:val="lt-LT"/>
        </w:rPr>
        <w:t xml:space="preserve">     Liepa ______               </w:t>
      </w:r>
      <w:r w:rsidRPr="003B5AD5">
        <w:rPr>
          <w:szCs w:val="22"/>
          <w:lang w:val="lt-LT"/>
        </w:rPr>
        <w:t xml:space="preserve">   Lapkritis _____ </w:t>
      </w:r>
    </w:p>
    <w:p w14:paraId="2B03B494" w14:textId="77777777" w:rsidR="003B5AD5" w:rsidRPr="003B5AD5" w:rsidRDefault="003B5AD5" w:rsidP="003B5AD5">
      <w:pPr>
        <w:tabs>
          <w:tab w:val="clear" w:pos="567"/>
        </w:tabs>
        <w:suppressAutoHyphens w:val="0"/>
        <w:autoSpaceDN/>
        <w:spacing w:line="240" w:lineRule="auto"/>
        <w:textAlignment w:val="auto"/>
        <w:rPr>
          <w:rFonts w:ascii="Calibri" w:hAnsi="Calibri" w:cs="Arial"/>
          <w:szCs w:val="22"/>
          <w:lang w:val="lt-LT"/>
        </w:rPr>
      </w:pPr>
      <w:r w:rsidRPr="003B5AD5">
        <w:rPr>
          <w:szCs w:val="22"/>
          <w:lang w:val="lt-LT"/>
        </w:rPr>
        <w:t xml:space="preserve"> Balandis ______           </w:t>
      </w:r>
      <w:r w:rsidRPr="003B5AD5">
        <w:rPr>
          <w:szCs w:val="22"/>
          <w:lang w:val="lt-LT"/>
        </w:rPr>
        <w:t xml:space="preserve">     Rugpjūtis ______         </w:t>
      </w:r>
      <w:r w:rsidRPr="003B5AD5">
        <w:rPr>
          <w:szCs w:val="22"/>
          <w:lang w:val="lt-LT"/>
        </w:rPr>
        <w:t>    Gruodis _____</w:t>
      </w:r>
    </w:p>
    <w:p w14:paraId="48336C34" w14:textId="77777777" w:rsidR="003B5AD5" w:rsidRPr="003B5AD5" w:rsidRDefault="003B5AD5" w:rsidP="003B5AD5">
      <w:pPr>
        <w:tabs>
          <w:tab w:val="clear" w:pos="567"/>
        </w:tabs>
        <w:suppressAutoHyphens w:val="0"/>
        <w:autoSpaceDN/>
        <w:spacing w:after="200" w:line="276" w:lineRule="auto"/>
        <w:textAlignment w:val="auto"/>
        <w:rPr>
          <w:rFonts w:ascii="Calibri" w:hAnsi="Calibri" w:cs="Arial"/>
          <w:szCs w:val="22"/>
          <w:lang w:val="lt-LT"/>
        </w:rPr>
      </w:pPr>
    </w:p>
    <w:p w14:paraId="77CAE9F1" w14:textId="77777777" w:rsidR="003B5AD5" w:rsidRPr="003B5AD5" w:rsidRDefault="003B5AD5" w:rsidP="003B5AD5">
      <w:pPr>
        <w:tabs>
          <w:tab w:val="clear" w:pos="567"/>
        </w:tabs>
        <w:suppressAutoHyphens w:val="0"/>
        <w:autoSpaceDE w:val="0"/>
        <w:adjustRightInd w:val="0"/>
        <w:spacing w:line="240" w:lineRule="auto"/>
        <w:textAlignment w:val="auto"/>
        <w:rPr>
          <w:color w:val="000000"/>
          <w:szCs w:val="22"/>
          <w:lang w:val="lt-LT"/>
        </w:rPr>
      </w:pPr>
    </w:p>
    <w:p w14:paraId="3E7DC7B3" w14:textId="77777777" w:rsidR="003B5AD5" w:rsidRPr="003B5AD5" w:rsidRDefault="003B5AD5" w:rsidP="003B5AD5">
      <w:pPr>
        <w:tabs>
          <w:tab w:val="clear" w:pos="567"/>
        </w:tabs>
        <w:suppressAutoHyphens w:val="0"/>
        <w:autoSpaceDN/>
        <w:spacing w:after="200" w:line="276" w:lineRule="auto"/>
        <w:textAlignment w:val="auto"/>
        <w:rPr>
          <w:rFonts w:ascii="Calibri" w:hAnsi="Calibri" w:cs="Arial"/>
          <w:szCs w:val="22"/>
          <w:lang w:val="lt-LT"/>
        </w:rPr>
      </w:pPr>
    </w:p>
    <w:p w14:paraId="7A62EF52" w14:textId="77777777" w:rsidR="003B5AD5" w:rsidRPr="003B5AD5" w:rsidRDefault="003B5AD5" w:rsidP="003B5AD5">
      <w:pPr>
        <w:tabs>
          <w:tab w:val="clear" w:pos="567"/>
        </w:tabs>
        <w:suppressAutoHyphens w:val="0"/>
        <w:autoSpaceDN/>
        <w:spacing w:after="200" w:line="276" w:lineRule="auto"/>
        <w:textAlignment w:val="auto"/>
        <w:rPr>
          <w:rFonts w:ascii="Calibri" w:hAnsi="Calibri" w:cs="Arial"/>
          <w:szCs w:val="22"/>
          <w:lang w:val="lt-LT"/>
        </w:rPr>
      </w:pPr>
    </w:p>
    <w:p w14:paraId="40842010" w14:textId="77777777" w:rsidR="003B5AD5" w:rsidRDefault="003B5AD5" w:rsidP="00172C88">
      <w:pPr>
        <w:rPr>
          <w:szCs w:val="24"/>
          <w:lang w:val="lt-LT"/>
        </w:rPr>
      </w:pPr>
    </w:p>
    <w:p w14:paraId="27CEE8A5" w14:textId="77777777" w:rsidR="003B5AD5" w:rsidRDefault="003B5AD5" w:rsidP="00172C88">
      <w:pPr>
        <w:rPr>
          <w:szCs w:val="24"/>
          <w:lang w:val="lt-LT"/>
        </w:rPr>
      </w:pPr>
    </w:p>
    <w:p w14:paraId="47BFCBD2" w14:textId="77777777" w:rsidR="003B5AD5" w:rsidRDefault="003B5AD5" w:rsidP="00172C88">
      <w:pPr>
        <w:rPr>
          <w:szCs w:val="24"/>
          <w:lang w:val="lt-LT"/>
        </w:rPr>
      </w:pPr>
    </w:p>
    <w:p w14:paraId="23FB14E0" w14:textId="77777777" w:rsidR="003B5AD5" w:rsidRDefault="003B5AD5" w:rsidP="00172C88">
      <w:pPr>
        <w:rPr>
          <w:szCs w:val="24"/>
          <w:lang w:val="lt-LT"/>
        </w:rPr>
      </w:pPr>
    </w:p>
    <w:p w14:paraId="725CAA31" w14:textId="77777777" w:rsidR="003B5AD5" w:rsidRDefault="003B5AD5" w:rsidP="00172C88">
      <w:pPr>
        <w:rPr>
          <w:szCs w:val="24"/>
          <w:lang w:val="lt-LT"/>
        </w:rPr>
      </w:pPr>
    </w:p>
    <w:p w14:paraId="67FA0B51" w14:textId="77777777" w:rsidR="003B5AD5" w:rsidRDefault="003B5AD5" w:rsidP="00172C88">
      <w:pPr>
        <w:rPr>
          <w:szCs w:val="24"/>
          <w:lang w:val="lt-LT"/>
        </w:rPr>
      </w:pPr>
    </w:p>
    <w:p w14:paraId="7E910374" w14:textId="77777777" w:rsidR="00172C88" w:rsidRDefault="00172C88" w:rsidP="00172C88">
      <w:pPr>
        <w:pageBreakBefore/>
        <w:rPr>
          <w:lang w:val="lt-LT"/>
        </w:rPr>
      </w:pPr>
    </w:p>
    <w:p w14:paraId="1C3E81F6" w14:textId="77777777" w:rsidR="00172C88" w:rsidRDefault="00172C88" w:rsidP="00172C88">
      <w:pPr>
        <w:rPr>
          <w:lang w:val="lt-LT"/>
        </w:rPr>
      </w:pPr>
    </w:p>
    <w:p w14:paraId="250C87EC" w14:textId="77777777" w:rsidR="00172C88" w:rsidRDefault="00172C88" w:rsidP="00172C88">
      <w:pPr>
        <w:rPr>
          <w:lang w:val="lt-LT"/>
        </w:rPr>
      </w:pPr>
    </w:p>
    <w:p w14:paraId="6CC71C22" w14:textId="77777777" w:rsidR="00172C88" w:rsidRDefault="00172C88" w:rsidP="00172C88">
      <w:pPr>
        <w:rPr>
          <w:lang w:val="lt-LT"/>
        </w:rPr>
      </w:pPr>
    </w:p>
    <w:p w14:paraId="2D8F356B" w14:textId="77777777" w:rsidR="00172C88" w:rsidRDefault="00172C88" w:rsidP="00172C88">
      <w:pPr>
        <w:rPr>
          <w:lang w:val="lt-LT"/>
        </w:rPr>
      </w:pPr>
    </w:p>
    <w:p w14:paraId="6A012774" w14:textId="77777777" w:rsidR="00172C88" w:rsidRDefault="00172C88" w:rsidP="00172C88">
      <w:pPr>
        <w:rPr>
          <w:lang w:val="lt-LT"/>
        </w:rPr>
      </w:pPr>
    </w:p>
    <w:p w14:paraId="49538853" w14:textId="77777777" w:rsidR="00172C88" w:rsidRDefault="00172C88" w:rsidP="00172C88">
      <w:pPr>
        <w:rPr>
          <w:lang w:val="lt-LT"/>
        </w:rPr>
      </w:pPr>
    </w:p>
    <w:p w14:paraId="24A1A34F" w14:textId="77777777" w:rsidR="00172C88" w:rsidRDefault="00172C88" w:rsidP="00172C88">
      <w:pPr>
        <w:rPr>
          <w:lang w:val="lt-LT"/>
        </w:rPr>
      </w:pPr>
    </w:p>
    <w:p w14:paraId="6802C84B" w14:textId="77777777" w:rsidR="00172C88" w:rsidRDefault="00172C88" w:rsidP="00172C88">
      <w:pPr>
        <w:rPr>
          <w:lang w:val="lt-LT"/>
        </w:rPr>
      </w:pPr>
    </w:p>
    <w:p w14:paraId="4DCAC0BC" w14:textId="77777777" w:rsidR="00172C88" w:rsidRDefault="00172C88" w:rsidP="00172C88">
      <w:pPr>
        <w:rPr>
          <w:lang w:val="lt-LT"/>
        </w:rPr>
      </w:pPr>
    </w:p>
    <w:p w14:paraId="7650BDD1" w14:textId="77777777" w:rsidR="00172C88" w:rsidRDefault="00172C88" w:rsidP="00172C88">
      <w:pPr>
        <w:rPr>
          <w:lang w:val="lt-LT"/>
        </w:rPr>
      </w:pPr>
    </w:p>
    <w:p w14:paraId="128EECBF" w14:textId="77777777" w:rsidR="00172C88" w:rsidRDefault="00172C88" w:rsidP="00172C88">
      <w:pPr>
        <w:rPr>
          <w:lang w:val="lt-LT"/>
        </w:rPr>
      </w:pPr>
    </w:p>
    <w:p w14:paraId="101D0B92" w14:textId="77777777" w:rsidR="00172C88" w:rsidRDefault="00172C88" w:rsidP="00172C88">
      <w:pPr>
        <w:rPr>
          <w:lang w:val="lt-LT"/>
        </w:rPr>
      </w:pPr>
    </w:p>
    <w:p w14:paraId="45518BA6" w14:textId="77777777" w:rsidR="00172C88" w:rsidRDefault="00172C88" w:rsidP="00172C88">
      <w:pPr>
        <w:rPr>
          <w:lang w:val="lt-LT"/>
        </w:rPr>
      </w:pPr>
    </w:p>
    <w:p w14:paraId="64672E34" w14:textId="77777777" w:rsidR="00172C88" w:rsidRDefault="00172C88" w:rsidP="00172C88">
      <w:pPr>
        <w:rPr>
          <w:lang w:val="lt-LT"/>
        </w:rPr>
      </w:pPr>
    </w:p>
    <w:p w14:paraId="656464FE" w14:textId="77777777" w:rsidR="00172C88" w:rsidRDefault="00172C88" w:rsidP="00172C88">
      <w:pPr>
        <w:rPr>
          <w:lang w:val="lt-LT"/>
        </w:rPr>
      </w:pPr>
    </w:p>
    <w:p w14:paraId="578357E3" w14:textId="77777777" w:rsidR="00172C88" w:rsidRDefault="00172C88" w:rsidP="00172C88">
      <w:pPr>
        <w:rPr>
          <w:lang w:val="lt-LT"/>
        </w:rPr>
      </w:pPr>
    </w:p>
    <w:p w14:paraId="64CF83B8" w14:textId="77777777" w:rsidR="00172C88" w:rsidRDefault="00172C88" w:rsidP="00172C88">
      <w:pPr>
        <w:rPr>
          <w:lang w:val="lt-LT"/>
        </w:rPr>
      </w:pPr>
    </w:p>
    <w:p w14:paraId="07FD0509" w14:textId="77777777" w:rsidR="00172C88" w:rsidRDefault="00172C88" w:rsidP="00172C88">
      <w:pPr>
        <w:rPr>
          <w:lang w:val="lt-LT"/>
        </w:rPr>
      </w:pPr>
    </w:p>
    <w:p w14:paraId="10B6DFEC" w14:textId="77777777" w:rsidR="00172C88" w:rsidRDefault="00172C88" w:rsidP="00172C88">
      <w:pPr>
        <w:rPr>
          <w:lang w:val="lt-LT"/>
        </w:rPr>
      </w:pPr>
    </w:p>
    <w:p w14:paraId="52B9164F" w14:textId="77777777" w:rsidR="00172C88" w:rsidRDefault="00172C88" w:rsidP="00172C88">
      <w:pPr>
        <w:rPr>
          <w:lang w:val="lt-LT"/>
        </w:rPr>
      </w:pPr>
    </w:p>
    <w:p w14:paraId="2199A9AC" w14:textId="77777777" w:rsidR="00172C88" w:rsidRDefault="00172C88" w:rsidP="00172C88">
      <w:pPr>
        <w:rPr>
          <w:lang w:val="lt-LT"/>
        </w:rPr>
      </w:pPr>
    </w:p>
    <w:p w14:paraId="1F0EDE37" w14:textId="77777777" w:rsidR="00172C88" w:rsidRDefault="00172C88" w:rsidP="00172C88">
      <w:pPr>
        <w:rPr>
          <w:lang w:val="lt-LT"/>
        </w:rPr>
      </w:pPr>
    </w:p>
    <w:p w14:paraId="186F9656" w14:textId="77777777" w:rsidR="00172C88" w:rsidRDefault="00172C88" w:rsidP="00172C88">
      <w:pPr>
        <w:jc w:val="center"/>
        <w:rPr>
          <w:b/>
          <w:lang w:val="lt-LT"/>
        </w:rPr>
      </w:pPr>
      <w:r>
        <w:rPr>
          <w:b/>
          <w:lang w:val="lt-LT"/>
        </w:rPr>
        <w:t>B. PAKUOTĖS LAPELIS</w:t>
      </w:r>
    </w:p>
    <w:p w14:paraId="0BE7171E" w14:textId="77777777" w:rsidR="00172C88" w:rsidRPr="00C54C14" w:rsidRDefault="00172C88" w:rsidP="00172C88">
      <w:pPr>
        <w:pStyle w:val="Antrat2"/>
        <w:pageBreakBefore/>
        <w:spacing w:before="0" w:after="0" w:line="240" w:lineRule="auto"/>
        <w:jc w:val="center"/>
        <w:rPr>
          <w:rFonts w:ascii="Times New Roman" w:hAnsi="Times New Roman"/>
          <w:sz w:val="22"/>
          <w:szCs w:val="22"/>
          <w:lang w:val="pt-PT"/>
        </w:rPr>
      </w:pPr>
      <w:r w:rsidRPr="002A0D2D">
        <w:rPr>
          <w:rFonts w:ascii="Times New Roman" w:hAnsi="Times New Roman"/>
          <w:i w:val="0"/>
          <w:sz w:val="22"/>
          <w:szCs w:val="22"/>
          <w:lang w:val="lt-LT"/>
        </w:rPr>
        <w:lastRenderedPageBreak/>
        <w:t>Pakuotės lapelis:</w:t>
      </w:r>
      <w:r w:rsidRPr="002A0D2D">
        <w:rPr>
          <w:rFonts w:ascii="Times New Roman" w:hAnsi="Times New Roman"/>
          <w:bCs w:val="0"/>
          <w:i w:val="0"/>
          <w:iCs w:val="0"/>
          <w:sz w:val="22"/>
          <w:szCs w:val="22"/>
          <w:lang w:val="lt-LT"/>
        </w:rPr>
        <w:t xml:space="preserve"> </w:t>
      </w:r>
      <w:r w:rsidRPr="002A0D2D">
        <w:rPr>
          <w:rFonts w:ascii="Times New Roman" w:hAnsi="Times New Roman"/>
          <w:i w:val="0"/>
          <w:sz w:val="22"/>
          <w:szCs w:val="22"/>
          <w:lang w:val="lt-LT"/>
        </w:rPr>
        <w:t>informacija vartotojui</w:t>
      </w:r>
    </w:p>
    <w:p w14:paraId="3B6EA461" w14:textId="77777777" w:rsidR="00172C88" w:rsidRPr="002A0D2D" w:rsidRDefault="00172C88" w:rsidP="00172C88">
      <w:pPr>
        <w:shd w:val="clear" w:color="auto" w:fill="FFFFFF"/>
        <w:tabs>
          <w:tab w:val="clear" w:pos="567"/>
        </w:tabs>
        <w:spacing w:line="240" w:lineRule="auto"/>
        <w:jc w:val="center"/>
        <w:rPr>
          <w:szCs w:val="22"/>
          <w:lang w:val="lt-LT"/>
        </w:rPr>
      </w:pPr>
    </w:p>
    <w:p w14:paraId="1EA4E5D9" w14:textId="77777777" w:rsidR="00172C88" w:rsidRPr="00C54C14" w:rsidRDefault="00172C88" w:rsidP="00172C88">
      <w:pPr>
        <w:jc w:val="center"/>
        <w:rPr>
          <w:b/>
          <w:lang w:val="pt-PT"/>
        </w:rPr>
      </w:pPr>
      <w:r w:rsidRPr="00C54C14">
        <w:rPr>
          <w:b/>
          <w:lang w:val="pt-PT"/>
        </w:rPr>
        <w:t>Bosentan Norameda 62,5 mg plėvele dengtos tabletės</w:t>
      </w:r>
    </w:p>
    <w:p w14:paraId="371269AF" w14:textId="77777777" w:rsidR="00172C88" w:rsidRPr="00C54C14" w:rsidRDefault="00172C88" w:rsidP="00172C88">
      <w:pPr>
        <w:jc w:val="center"/>
        <w:rPr>
          <w:b/>
          <w:lang w:val="pt-PT"/>
        </w:rPr>
      </w:pPr>
      <w:r w:rsidRPr="00C54C14">
        <w:rPr>
          <w:b/>
          <w:lang w:val="pt-PT"/>
        </w:rPr>
        <w:t>Bosentan Norameda 125 mg plėvele dengtos tabletės</w:t>
      </w:r>
    </w:p>
    <w:p w14:paraId="586D2CB9" w14:textId="77777777" w:rsidR="00172C88" w:rsidRDefault="001C3824" w:rsidP="00172C88">
      <w:pPr>
        <w:tabs>
          <w:tab w:val="clear" w:pos="567"/>
        </w:tabs>
        <w:spacing w:line="240" w:lineRule="auto"/>
        <w:jc w:val="center"/>
        <w:rPr>
          <w:szCs w:val="22"/>
          <w:lang w:val="lt-LT"/>
        </w:rPr>
      </w:pPr>
      <w:proofErr w:type="spellStart"/>
      <w:r>
        <w:rPr>
          <w:szCs w:val="22"/>
          <w:lang w:val="lt-LT"/>
        </w:rPr>
        <w:t>b</w:t>
      </w:r>
      <w:r w:rsidR="00172C88">
        <w:rPr>
          <w:szCs w:val="22"/>
          <w:lang w:val="lt-LT"/>
        </w:rPr>
        <w:t>ozentanas</w:t>
      </w:r>
      <w:proofErr w:type="spellEnd"/>
    </w:p>
    <w:p w14:paraId="6F59A05A" w14:textId="77777777" w:rsidR="00172C88" w:rsidRDefault="00172C88" w:rsidP="00172C88">
      <w:pPr>
        <w:tabs>
          <w:tab w:val="clear" w:pos="567"/>
        </w:tabs>
        <w:spacing w:line="240" w:lineRule="auto"/>
        <w:ind w:left="142" w:hanging="142"/>
        <w:rPr>
          <w:szCs w:val="22"/>
          <w:lang w:val="lt-LT"/>
        </w:rPr>
      </w:pPr>
    </w:p>
    <w:p w14:paraId="5C699328" w14:textId="77777777" w:rsidR="00172C88" w:rsidRPr="00C54C14" w:rsidRDefault="00172C88" w:rsidP="00172C88">
      <w:pPr>
        <w:tabs>
          <w:tab w:val="clear" w:pos="567"/>
        </w:tabs>
        <w:spacing w:line="240" w:lineRule="auto"/>
        <w:rPr>
          <w:lang w:val="pt-PT"/>
        </w:rPr>
      </w:pPr>
      <w:r>
        <w:rPr>
          <w:b/>
          <w:szCs w:val="24"/>
          <w:lang w:val="lt-LT"/>
        </w:rPr>
        <w:t>Atidžiai perskaitykite visą šį lapelį, prieš pradėdami vartoti vaistą, nes jame pateikiama Jums svarbi informacija.</w:t>
      </w:r>
    </w:p>
    <w:p w14:paraId="593F461D" w14:textId="77777777" w:rsidR="00172C88" w:rsidRDefault="00172C88" w:rsidP="00172C88">
      <w:pPr>
        <w:numPr>
          <w:ilvl w:val="0"/>
          <w:numId w:val="3"/>
        </w:numPr>
        <w:tabs>
          <w:tab w:val="clear" w:pos="567"/>
        </w:tabs>
        <w:spacing w:line="240" w:lineRule="auto"/>
        <w:ind w:left="567" w:right="-2" w:hanging="567"/>
        <w:rPr>
          <w:szCs w:val="24"/>
          <w:lang w:val="lt-LT"/>
        </w:rPr>
      </w:pPr>
      <w:r>
        <w:rPr>
          <w:szCs w:val="24"/>
          <w:lang w:val="lt-LT"/>
        </w:rPr>
        <w:t xml:space="preserve">Neišmeskite šio lapelio, nes vėl gali prireikti jį perskaityti. </w:t>
      </w:r>
    </w:p>
    <w:p w14:paraId="6B71A58B" w14:textId="77777777" w:rsidR="00172C88" w:rsidRDefault="00172C88" w:rsidP="00172C88">
      <w:pPr>
        <w:numPr>
          <w:ilvl w:val="0"/>
          <w:numId w:val="3"/>
        </w:numPr>
        <w:tabs>
          <w:tab w:val="clear" w:pos="567"/>
        </w:tabs>
        <w:spacing w:line="240" w:lineRule="auto"/>
        <w:ind w:left="567" w:right="-2" w:hanging="567"/>
        <w:rPr>
          <w:szCs w:val="24"/>
          <w:lang w:val="lt-LT"/>
        </w:rPr>
      </w:pPr>
      <w:r>
        <w:rPr>
          <w:szCs w:val="24"/>
          <w:lang w:val="lt-LT"/>
        </w:rPr>
        <w:t>Jeigu kiltų daugiau klausimų, kreipkitės į gydytoją arba vaistininką.</w:t>
      </w:r>
    </w:p>
    <w:p w14:paraId="01E8ABA1" w14:textId="77777777" w:rsidR="00172C88" w:rsidRDefault="00172C88" w:rsidP="00172C88">
      <w:pPr>
        <w:spacing w:line="240" w:lineRule="auto"/>
        <w:ind w:left="567" w:right="-2" w:hanging="567"/>
        <w:rPr>
          <w:szCs w:val="24"/>
          <w:lang w:val="lt-LT"/>
        </w:rPr>
      </w:pPr>
      <w:r>
        <w:rPr>
          <w:szCs w:val="24"/>
          <w:lang w:val="lt-LT"/>
        </w:rPr>
        <w:t>-</w:t>
      </w:r>
      <w:r>
        <w:rPr>
          <w:szCs w:val="24"/>
          <w:lang w:val="lt-LT"/>
        </w:rPr>
        <w:tab/>
        <w:t>Šis vaistas skirtas tik Jums, todėl kitiems žmonėms jo duoti negalima. Vaistas gali jiems pakenkti (net tiems, kurių ligos požymiai yra tokie patys kaip Jūsų).</w:t>
      </w:r>
    </w:p>
    <w:p w14:paraId="560CE2C7" w14:textId="77777777" w:rsidR="00172C88" w:rsidRDefault="00172C88" w:rsidP="00172C88">
      <w:pPr>
        <w:numPr>
          <w:ilvl w:val="0"/>
          <w:numId w:val="3"/>
        </w:numPr>
        <w:spacing w:line="240" w:lineRule="auto"/>
        <w:ind w:left="567" w:hanging="567"/>
        <w:rPr>
          <w:szCs w:val="24"/>
          <w:lang w:val="lt-LT"/>
        </w:rPr>
      </w:pPr>
      <w:r>
        <w:rPr>
          <w:szCs w:val="24"/>
          <w:lang w:val="lt-LT"/>
        </w:rPr>
        <w:t>Jeigu pasireiškė šalutinis poveikis (net jeigu jis šiame lapelyje nenurodytas), kreipkitės į gydytoją arba vaistininką. Žr. 4 skyrių.</w:t>
      </w:r>
    </w:p>
    <w:p w14:paraId="4764DB57" w14:textId="77777777" w:rsidR="00172C88" w:rsidRDefault="00172C88" w:rsidP="00172C88">
      <w:pPr>
        <w:tabs>
          <w:tab w:val="clear" w:pos="567"/>
        </w:tabs>
        <w:spacing w:line="240" w:lineRule="auto"/>
        <w:ind w:right="-2"/>
        <w:rPr>
          <w:szCs w:val="24"/>
          <w:lang w:val="lt-LT"/>
        </w:rPr>
      </w:pPr>
    </w:p>
    <w:p w14:paraId="033F6A6E"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Apie ką rašoma šiame lapelyje?</w:t>
      </w:r>
    </w:p>
    <w:p w14:paraId="32E2BEED" w14:textId="77777777" w:rsidR="00172C88" w:rsidRDefault="00172C88" w:rsidP="00172C88">
      <w:pPr>
        <w:tabs>
          <w:tab w:val="clear" w:pos="567"/>
        </w:tabs>
        <w:spacing w:line="240" w:lineRule="auto"/>
        <w:ind w:left="567" w:right="-2" w:hanging="567"/>
        <w:rPr>
          <w:szCs w:val="24"/>
          <w:lang w:val="lt-LT"/>
        </w:rPr>
      </w:pPr>
    </w:p>
    <w:p w14:paraId="3FC35015" w14:textId="77777777" w:rsidR="00172C88" w:rsidRPr="00C54C14" w:rsidRDefault="00172C88" w:rsidP="00172C88">
      <w:pPr>
        <w:tabs>
          <w:tab w:val="clear" w:pos="567"/>
        </w:tabs>
        <w:spacing w:line="240" w:lineRule="auto"/>
        <w:ind w:left="567" w:right="-2" w:hanging="567"/>
        <w:rPr>
          <w:lang w:val="pt-PT"/>
        </w:rPr>
      </w:pPr>
      <w:r>
        <w:rPr>
          <w:szCs w:val="24"/>
          <w:lang w:val="lt-LT"/>
        </w:rPr>
        <w:t>1.</w:t>
      </w:r>
      <w:r>
        <w:rPr>
          <w:szCs w:val="24"/>
          <w:lang w:val="lt-LT"/>
        </w:rPr>
        <w:tab/>
      </w:r>
      <w:r>
        <w:rPr>
          <w:lang w:val="lt-LT"/>
        </w:rPr>
        <w:t xml:space="preserve">Kas yra </w:t>
      </w:r>
      <w:proofErr w:type="spellStart"/>
      <w:r>
        <w:rPr>
          <w:szCs w:val="22"/>
          <w:lang w:val="lt-LT"/>
        </w:rPr>
        <w:t>Bosentan</w:t>
      </w:r>
      <w:proofErr w:type="spellEnd"/>
      <w:r>
        <w:rPr>
          <w:szCs w:val="22"/>
          <w:lang w:val="lt-LT"/>
        </w:rPr>
        <w:t xml:space="preserve"> </w:t>
      </w:r>
      <w:proofErr w:type="spellStart"/>
      <w:r>
        <w:rPr>
          <w:szCs w:val="22"/>
          <w:lang w:val="lt-LT"/>
        </w:rPr>
        <w:t>Norameda</w:t>
      </w:r>
      <w:proofErr w:type="spellEnd"/>
      <w:r>
        <w:rPr>
          <w:szCs w:val="22"/>
          <w:lang w:val="lt-LT"/>
        </w:rPr>
        <w:t xml:space="preserve"> </w:t>
      </w:r>
      <w:r>
        <w:rPr>
          <w:lang w:val="lt-LT"/>
        </w:rPr>
        <w:t>ir kam jis vartojamas</w:t>
      </w:r>
      <w:r>
        <w:rPr>
          <w:szCs w:val="24"/>
          <w:lang w:val="lt-LT"/>
        </w:rPr>
        <w:t xml:space="preserve"> </w:t>
      </w:r>
    </w:p>
    <w:p w14:paraId="42E41922" w14:textId="77777777" w:rsidR="00172C88" w:rsidRPr="00C54C14" w:rsidRDefault="00172C88" w:rsidP="00172C88">
      <w:pPr>
        <w:tabs>
          <w:tab w:val="clear" w:pos="567"/>
        </w:tabs>
        <w:spacing w:line="240" w:lineRule="auto"/>
        <w:ind w:left="567" w:right="-2" w:hanging="567"/>
        <w:rPr>
          <w:lang w:val="pt-PT"/>
        </w:rPr>
      </w:pPr>
      <w:r>
        <w:rPr>
          <w:szCs w:val="24"/>
          <w:lang w:val="lt-LT"/>
        </w:rPr>
        <w:t>2.</w:t>
      </w:r>
      <w:r>
        <w:rPr>
          <w:szCs w:val="24"/>
          <w:lang w:val="lt-LT"/>
        </w:rPr>
        <w:tab/>
        <w:t xml:space="preserve">Kas žinotina prieš vartojant </w:t>
      </w:r>
      <w:proofErr w:type="spellStart"/>
      <w:r>
        <w:rPr>
          <w:szCs w:val="22"/>
          <w:lang w:val="lt-LT"/>
        </w:rPr>
        <w:t>Bosentan</w:t>
      </w:r>
      <w:proofErr w:type="spellEnd"/>
      <w:r>
        <w:rPr>
          <w:szCs w:val="22"/>
          <w:lang w:val="lt-LT"/>
        </w:rPr>
        <w:t xml:space="preserve"> </w:t>
      </w:r>
      <w:proofErr w:type="spellStart"/>
      <w:r>
        <w:rPr>
          <w:szCs w:val="22"/>
          <w:lang w:val="lt-LT"/>
        </w:rPr>
        <w:t>Norameda</w:t>
      </w:r>
      <w:proofErr w:type="spellEnd"/>
    </w:p>
    <w:p w14:paraId="43A50F95" w14:textId="77777777" w:rsidR="00172C88" w:rsidRPr="00C54C14" w:rsidRDefault="00172C88" w:rsidP="00172C88">
      <w:pPr>
        <w:tabs>
          <w:tab w:val="clear" w:pos="567"/>
        </w:tabs>
        <w:spacing w:line="240" w:lineRule="auto"/>
        <w:ind w:left="567" w:right="-2" w:hanging="567"/>
        <w:rPr>
          <w:lang w:val="pt-PT"/>
        </w:rPr>
      </w:pPr>
      <w:r>
        <w:rPr>
          <w:szCs w:val="24"/>
          <w:lang w:val="lt-LT"/>
        </w:rPr>
        <w:t>3.</w:t>
      </w:r>
      <w:r>
        <w:rPr>
          <w:szCs w:val="24"/>
          <w:lang w:val="lt-LT"/>
        </w:rPr>
        <w:tab/>
        <w:t xml:space="preserve">Kaip vartoti </w:t>
      </w:r>
      <w:proofErr w:type="spellStart"/>
      <w:r>
        <w:rPr>
          <w:szCs w:val="22"/>
          <w:lang w:val="lt-LT"/>
        </w:rPr>
        <w:t>Bosentan</w:t>
      </w:r>
      <w:proofErr w:type="spellEnd"/>
      <w:r>
        <w:rPr>
          <w:szCs w:val="22"/>
          <w:lang w:val="lt-LT"/>
        </w:rPr>
        <w:t xml:space="preserve"> </w:t>
      </w:r>
      <w:proofErr w:type="spellStart"/>
      <w:r>
        <w:rPr>
          <w:szCs w:val="22"/>
          <w:lang w:val="lt-LT"/>
        </w:rPr>
        <w:t>Norameda</w:t>
      </w:r>
      <w:proofErr w:type="spellEnd"/>
    </w:p>
    <w:p w14:paraId="2E53A5FD" w14:textId="77777777" w:rsidR="00172C88" w:rsidRPr="00C54C14" w:rsidRDefault="00172C88" w:rsidP="00172C88">
      <w:pPr>
        <w:tabs>
          <w:tab w:val="clear" w:pos="567"/>
        </w:tabs>
        <w:spacing w:line="240" w:lineRule="auto"/>
        <w:ind w:left="567" w:right="-2" w:hanging="567"/>
        <w:rPr>
          <w:lang w:val="pt-PT"/>
        </w:rPr>
      </w:pPr>
      <w:r>
        <w:rPr>
          <w:szCs w:val="24"/>
          <w:lang w:val="lt-LT"/>
        </w:rPr>
        <w:t>4.</w:t>
      </w:r>
      <w:r>
        <w:rPr>
          <w:szCs w:val="24"/>
          <w:lang w:val="lt-LT"/>
        </w:rPr>
        <w:tab/>
      </w:r>
      <w:r>
        <w:rPr>
          <w:lang w:val="lt-LT"/>
        </w:rPr>
        <w:t>Galimas šalutinis poveikis</w:t>
      </w:r>
    </w:p>
    <w:p w14:paraId="5A13B319" w14:textId="77777777" w:rsidR="00172C88" w:rsidRPr="00C54C14" w:rsidRDefault="00172C88" w:rsidP="00172C88">
      <w:pPr>
        <w:tabs>
          <w:tab w:val="clear" w:pos="567"/>
          <w:tab w:val="left" w:pos="709"/>
        </w:tabs>
        <w:spacing w:line="240" w:lineRule="auto"/>
        <w:ind w:left="567" w:right="-2" w:hanging="567"/>
        <w:rPr>
          <w:lang w:val="pt-PT"/>
        </w:rPr>
      </w:pPr>
      <w:r>
        <w:rPr>
          <w:szCs w:val="24"/>
          <w:lang w:val="lt-LT"/>
        </w:rPr>
        <w:t>5.</w:t>
      </w:r>
      <w:r>
        <w:rPr>
          <w:szCs w:val="24"/>
          <w:lang w:val="lt-LT"/>
        </w:rPr>
        <w:tab/>
      </w:r>
      <w:r>
        <w:rPr>
          <w:lang w:val="lt-LT"/>
        </w:rPr>
        <w:t xml:space="preserve">Kaip laikyti </w:t>
      </w:r>
      <w:proofErr w:type="spellStart"/>
      <w:r>
        <w:rPr>
          <w:szCs w:val="22"/>
          <w:lang w:val="lt-LT"/>
        </w:rPr>
        <w:t>Bosentan</w:t>
      </w:r>
      <w:proofErr w:type="spellEnd"/>
      <w:r>
        <w:rPr>
          <w:szCs w:val="22"/>
          <w:lang w:val="lt-LT"/>
        </w:rPr>
        <w:t xml:space="preserve"> </w:t>
      </w:r>
      <w:proofErr w:type="spellStart"/>
      <w:r>
        <w:rPr>
          <w:szCs w:val="22"/>
          <w:lang w:val="lt-LT"/>
        </w:rPr>
        <w:t>Norameda</w:t>
      </w:r>
      <w:proofErr w:type="spellEnd"/>
    </w:p>
    <w:p w14:paraId="40CABE44" w14:textId="77777777" w:rsidR="00172C88" w:rsidRDefault="00172C88" w:rsidP="00172C88">
      <w:pPr>
        <w:tabs>
          <w:tab w:val="clear" w:pos="567"/>
        </w:tabs>
        <w:spacing w:line="240" w:lineRule="auto"/>
        <w:ind w:left="567" w:right="-2" w:hanging="567"/>
        <w:rPr>
          <w:szCs w:val="24"/>
          <w:lang w:val="lt-LT"/>
        </w:rPr>
      </w:pPr>
      <w:r>
        <w:rPr>
          <w:szCs w:val="24"/>
          <w:lang w:val="lt-LT"/>
        </w:rPr>
        <w:t>6.</w:t>
      </w:r>
      <w:r>
        <w:rPr>
          <w:szCs w:val="24"/>
          <w:lang w:val="lt-LT"/>
        </w:rPr>
        <w:tab/>
        <w:t>Pakuotės turinys ir kita informacija</w:t>
      </w:r>
    </w:p>
    <w:p w14:paraId="3CF21E08" w14:textId="77777777" w:rsidR="00172C88" w:rsidRDefault="00172C88" w:rsidP="00172C88">
      <w:pPr>
        <w:tabs>
          <w:tab w:val="clear" w:pos="567"/>
        </w:tabs>
        <w:spacing w:line="240" w:lineRule="auto"/>
        <w:ind w:right="-2"/>
        <w:rPr>
          <w:szCs w:val="24"/>
          <w:lang w:val="lt-LT"/>
        </w:rPr>
      </w:pPr>
    </w:p>
    <w:p w14:paraId="2F76DEE4" w14:textId="77777777" w:rsidR="00172C88" w:rsidRDefault="00172C88" w:rsidP="00172C88">
      <w:pPr>
        <w:tabs>
          <w:tab w:val="clear" w:pos="567"/>
        </w:tabs>
        <w:spacing w:line="240" w:lineRule="auto"/>
        <w:ind w:right="-2"/>
        <w:rPr>
          <w:szCs w:val="24"/>
          <w:lang w:val="lt-LT"/>
        </w:rPr>
      </w:pPr>
    </w:p>
    <w:p w14:paraId="7E519D54" w14:textId="77777777" w:rsidR="00172C88" w:rsidRPr="00C54C14" w:rsidRDefault="00172C88" w:rsidP="00172C88">
      <w:pPr>
        <w:pStyle w:val="Antrat4"/>
        <w:rPr>
          <w:lang w:val="pt-PT"/>
        </w:rPr>
      </w:pPr>
      <w:r>
        <w:rPr>
          <w:rFonts w:ascii="Times New Roman" w:hAnsi="Times New Roman"/>
          <w:sz w:val="22"/>
          <w:lang w:val="lt-LT"/>
        </w:rPr>
        <w:t>1.</w:t>
      </w:r>
      <w:r>
        <w:rPr>
          <w:rFonts w:ascii="Times New Roman" w:hAnsi="Times New Roman"/>
          <w:sz w:val="22"/>
          <w:lang w:val="lt-LT"/>
        </w:rPr>
        <w:tab/>
        <w:t xml:space="preserve">Kas yra </w:t>
      </w:r>
      <w:proofErr w:type="spellStart"/>
      <w:r>
        <w:rPr>
          <w:rFonts w:ascii="Times New Roman" w:hAnsi="Times New Roman"/>
          <w:sz w:val="22"/>
          <w:szCs w:val="22"/>
          <w:lang w:val="lt-LT"/>
        </w:rPr>
        <w:t>Bosentan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Pr>
          <w:rFonts w:ascii="Times New Roman" w:hAnsi="Times New Roman"/>
          <w:sz w:val="22"/>
          <w:szCs w:val="22"/>
          <w:lang w:val="lt-LT"/>
        </w:rPr>
        <w:t xml:space="preserve"> </w:t>
      </w:r>
      <w:r>
        <w:rPr>
          <w:rFonts w:ascii="Times New Roman" w:hAnsi="Times New Roman"/>
          <w:sz w:val="22"/>
          <w:lang w:val="lt-LT"/>
        </w:rPr>
        <w:t>ir kam jis vartojamas</w:t>
      </w:r>
    </w:p>
    <w:p w14:paraId="1C0D8AD1" w14:textId="77777777" w:rsidR="00172C88" w:rsidRDefault="00172C88" w:rsidP="00172C88">
      <w:pPr>
        <w:tabs>
          <w:tab w:val="clear" w:pos="567"/>
        </w:tabs>
        <w:spacing w:line="240" w:lineRule="auto"/>
        <w:ind w:right="-2"/>
        <w:rPr>
          <w:szCs w:val="24"/>
          <w:lang w:val="lt-LT"/>
        </w:rPr>
      </w:pPr>
    </w:p>
    <w:p w14:paraId="4E932B99" w14:textId="77777777" w:rsidR="00172C88" w:rsidRDefault="00172C88" w:rsidP="00172C88">
      <w:pPr>
        <w:tabs>
          <w:tab w:val="clear" w:pos="567"/>
        </w:tabs>
        <w:spacing w:line="240" w:lineRule="auto"/>
        <w:ind w:right="-2"/>
        <w:rPr>
          <w:szCs w:val="24"/>
          <w:lang w:val="lt-LT"/>
        </w:rPr>
      </w:pP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tabletėse yra </w:t>
      </w:r>
      <w:proofErr w:type="spellStart"/>
      <w:r>
        <w:rPr>
          <w:szCs w:val="24"/>
          <w:lang w:val="lt-LT"/>
        </w:rPr>
        <w:t>bozentano</w:t>
      </w:r>
      <w:proofErr w:type="spellEnd"/>
      <w:r>
        <w:rPr>
          <w:szCs w:val="24"/>
          <w:lang w:val="lt-LT"/>
        </w:rPr>
        <w:t xml:space="preserve">, kuris blokuoja natūralų hormoną, vadinamą endotelinu-1 (ET-1), kuris sukelia kraujagyslių susiaurėjimą.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skatina kraujagyslių išsiplėtimą ir jos priskiriamos </w:t>
      </w:r>
      <w:proofErr w:type="spellStart"/>
      <w:r>
        <w:rPr>
          <w:szCs w:val="24"/>
          <w:lang w:val="lt-LT"/>
        </w:rPr>
        <w:t>preparatų,vadinamų</w:t>
      </w:r>
      <w:proofErr w:type="spellEnd"/>
      <w:r>
        <w:rPr>
          <w:szCs w:val="24"/>
          <w:lang w:val="lt-LT"/>
        </w:rPr>
        <w:t xml:space="preserve"> </w:t>
      </w:r>
      <w:proofErr w:type="spellStart"/>
      <w:r>
        <w:rPr>
          <w:szCs w:val="24"/>
          <w:lang w:val="lt-LT"/>
        </w:rPr>
        <w:t>endotelino</w:t>
      </w:r>
      <w:proofErr w:type="spellEnd"/>
      <w:r>
        <w:rPr>
          <w:szCs w:val="24"/>
          <w:lang w:val="lt-LT"/>
        </w:rPr>
        <w:t xml:space="preserve"> receptorių antagonistais, klasei. </w:t>
      </w:r>
    </w:p>
    <w:p w14:paraId="7EFC64D8" w14:textId="77777777" w:rsidR="00172C88" w:rsidRDefault="00172C88" w:rsidP="00172C88">
      <w:pPr>
        <w:tabs>
          <w:tab w:val="clear" w:pos="567"/>
        </w:tabs>
        <w:spacing w:line="240" w:lineRule="auto"/>
        <w:ind w:right="-2"/>
        <w:rPr>
          <w:szCs w:val="24"/>
          <w:lang w:val="lt-LT"/>
        </w:rPr>
      </w:pPr>
    </w:p>
    <w:p w14:paraId="33B5B1A0" w14:textId="77777777" w:rsidR="00172C88" w:rsidRDefault="00172C88" w:rsidP="00172C88">
      <w:pPr>
        <w:tabs>
          <w:tab w:val="clear" w:pos="567"/>
        </w:tabs>
        <w:spacing w:line="240" w:lineRule="auto"/>
        <w:ind w:right="-2"/>
        <w:rPr>
          <w:szCs w:val="24"/>
          <w:lang w:val="lt-LT"/>
        </w:rPr>
      </w:pP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skirtas gydyti toliau nurodytas ligas. </w:t>
      </w:r>
    </w:p>
    <w:p w14:paraId="5C6C040A" w14:textId="77777777" w:rsidR="00172C88" w:rsidRDefault="00172C88" w:rsidP="00172C88">
      <w:pPr>
        <w:tabs>
          <w:tab w:val="clear" w:pos="567"/>
        </w:tabs>
        <w:spacing w:line="240" w:lineRule="auto"/>
        <w:ind w:right="-2"/>
        <w:rPr>
          <w:szCs w:val="24"/>
          <w:lang w:val="lt-LT"/>
        </w:rPr>
      </w:pPr>
    </w:p>
    <w:p w14:paraId="36E3E753" w14:textId="77777777" w:rsidR="00172C88" w:rsidRPr="00E32052" w:rsidRDefault="00172C88" w:rsidP="00172C88">
      <w:pPr>
        <w:tabs>
          <w:tab w:val="clear" w:pos="567"/>
        </w:tabs>
        <w:spacing w:line="240" w:lineRule="auto"/>
        <w:ind w:right="-2"/>
        <w:rPr>
          <w:lang w:val="lt-LT"/>
        </w:rPr>
      </w:pPr>
      <w:r>
        <w:rPr>
          <w:szCs w:val="24"/>
          <w:lang w:val="lt-LT"/>
        </w:rPr>
        <w:t xml:space="preserve">• </w:t>
      </w:r>
      <w:proofErr w:type="spellStart"/>
      <w:r w:rsidRPr="00DC170F">
        <w:rPr>
          <w:b/>
          <w:bCs/>
          <w:szCs w:val="24"/>
          <w:lang w:val="lt-LT"/>
        </w:rPr>
        <w:t>Plautinę</w:t>
      </w:r>
      <w:proofErr w:type="spellEnd"/>
      <w:r w:rsidRPr="00DC170F">
        <w:rPr>
          <w:b/>
          <w:bCs/>
          <w:szCs w:val="24"/>
          <w:lang w:val="lt-LT"/>
        </w:rPr>
        <w:t xml:space="preserve"> arterinę hipertenziją</w:t>
      </w:r>
      <w:r w:rsidRPr="00DC7D37">
        <w:rPr>
          <w:b/>
          <w:bCs/>
          <w:szCs w:val="24"/>
          <w:lang w:val="lt-LT"/>
        </w:rPr>
        <w:t xml:space="preserve"> </w:t>
      </w:r>
      <w:r w:rsidRPr="00DC7D37">
        <w:rPr>
          <w:szCs w:val="24"/>
          <w:lang w:val="lt-LT"/>
        </w:rPr>
        <w:t>(PAH):</w:t>
      </w:r>
      <w:r>
        <w:rPr>
          <w:szCs w:val="24"/>
          <w:lang w:val="lt-LT"/>
        </w:rPr>
        <w:t xml:space="preserve"> PAH yra liga, kuriai būdingas smarkus kraujagyslių susiaurėjimas plaučiuose, kuris sukelia aukštą kraujospūdį kraujagyslėse (plaučių arterijose), kuriomis kraujas iš širdies teka į plaučius. Šis spaudimas sumažina deguonies kiekį, kuris patenka į kraują plaučiuose, todėl pasunkėja fizinis aktyvumas.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išplečia plaučių arterijas, todėl širdžiai lengviau varyti jomis kraują. Taip sumažėja kraujospūdis ir palengvėja simptomai. </w:t>
      </w:r>
    </w:p>
    <w:p w14:paraId="602E2003" w14:textId="77777777" w:rsidR="00172C88" w:rsidRDefault="00172C88" w:rsidP="00172C88">
      <w:pPr>
        <w:tabs>
          <w:tab w:val="clear" w:pos="567"/>
        </w:tabs>
        <w:spacing w:line="240" w:lineRule="auto"/>
        <w:ind w:right="-2"/>
        <w:rPr>
          <w:szCs w:val="24"/>
          <w:lang w:val="lt-LT"/>
        </w:rPr>
      </w:pPr>
    </w:p>
    <w:p w14:paraId="648EEA28" w14:textId="77777777" w:rsidR="00172C88" w:rsidRDefault="00172C88" w:rsidP="00172C88">
      <w:pPr>
        <w:tabs>
          <w:tab w:val="clear" w:pos="567"/>
        </w:tabs>
        <w:spacing w:line="240" w:lineRule="auto"/>
        <w:ind w:right="-2"/>
        <w:rPr>
          <w:szCs w:val="24"/>
          <w:lang w:val="lt-LT"/>
        </w:rPr>
      </w:pP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skiriamas gydyti pacientus, sergančius III klasės </w:t>
      </w:r>
      <w:proofErr w:type="spellStart"/>
      <w:r>
        <w:rPr>
          <w:szCs w:val="24"/>
          <w:lang w:val="lt-LT"/>
        </w:rPr>
        <w:t>plautine</w:t>
      </w:r>
      <w:proofErr w:type="spellEnd"/>
      <w:r>
        <w:rPr>
          <w:szCs w:val="24"/>
          <w:lang w:val="lt-LT"/>
        </w:rPr>
        <w:t xml:space="preserve"> arterine hipertenzija (PAH), siekiant pagerinti fizinį pajėgumą (gebėjimą atlikti fizinę veiklą) ir palengvinti simptomus. „Klasė“ rodo ligos sunkumą: „III klasė“ apima ženkliai sumažėjusį fizinį pajėgumą. Šioks toks pagerėjimas taip pat buvo įrodytas pacientams, sergantiems II klasės PAH. „II klasė“ apima nežymiai sumažėjusį fizinį pajėgumą. PAH, kuriai gydyti skiriamas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gali būti: </w:t>
      </w:r>
    </w:p>
    <w:p w14:paraId="59B9DCEB" w14:textId="77777777" w:rsidR="00172C88" w:rsidRDefault="00172C88" w:rsidP="00172C88">
      <w:pPr>
        <w:tabs>
          <w:tab w:val="clear" w:pos="567"/>
        </w:tabs>
        <w:spacing w:line="240" w:lineRule="auto"/>
        <w:ind w:right="-2"/>
        <w:rPr>
          <w:szCs w:val="24"/>
          <w:lang w:val="lt-LT"/>
        </w:rPr>
      </w:pPr>
      <w:r>
        <w:rPr>
          <w:szCs w:val="24"/>
          <w:lang w:val="lt-LT"/>
        </w:rPr>
        <w:t xml:space="preserve">• pirminė (be nustatytos priežasties ar šeiminė); </w:t>
      </w:r>
    </w:p>
    <w:p w14:paraId="4A5CFBC9" w14:textId="77777777" w:rsidR="00172C88" w:rsidRDefault="00172C88" w:rsidP="00172C88">
      <w:pPr>
        <w:tabs>
          <w:tab w:val="clear" w:pos="567"/>
        </w:tabs>
        <w:spacing w:line="240" w:lineRule="auto"/>
        <w:ind w:right="-2"/>
        <w:rPr>
          <w:szCs w:val="24"/>
          <w:lang w:val="lt-LT"/>
        </w:rPr>
      </w:pPr>
      <w:r>
        <w:rPr>
          <w:szCs w:val="24"/>
          <w:lang w:val="lt-LT"/>
        </w:rPr>
        <w:t xml:space="preserve">• sukelta </w:t>
      </w:r>
      <w:proofErr w:type="spellStart"/>
      <w:r>
        <w:rPr>
          <w:szCs w:val="24"/>
          <w:lang w:val="lt-LT"/>
        </w:rPr>
        <w:t>sklerodermijos</w:t>
      </w:r>
      <w:proofErr w:type="spellEnd"/>
      <w:r>
        <w:rPr>
          <w:szCs w:val="24"/>
          <w:lang w:val="lt-LT"/>
        </w:rPr>
        <w:t xml:space="preserve"> (dar vadinamos sistemine skleroze – liga, kai yra nenormalus jungiamojo audinio, kuris palaiko odą ir kitus organus, augimas); </w:t>
      </w:r>
    </w:p>
    <w:p w14:paraId="6C3434BE" w14:textId="77777777" w:rsidR="00172C88" w:rsidRDefault="00172C88" w:rsidP="00172C88">
      <w:pPr>
        <w:tabs>
          <w:tab w:val="clear" w:pos="567"/>
        </w:tabs>
        <w:spacing w:line="240" w:lineRule="auto"/>
        <w:ind w:right="-2"/>
        <w:rPr>
          <w:szCs w:val="24"/>
          <w:lang w:val="lt-LT"/>
        </w:rPr>
      </w:pPr>
      <w:r>
        <w:rPr>
          <w:szCs w:val="24"/>
          <w:lang w:val="lt-LT"/>
        </w:rPr>
        <w:t xml:space="preserve">• sukelta įgimtų širdies ydų su šuntais (patologiniais kanalais), sukeliančių nenormalų kraujo srautą per širdį ir plaučius. </w:t>
      </w:r>
    </w:p>
    <w:p w14:paraId="29D85E5A" w14:textId="77777777" w:rsidR="00172C88" w:rsidRDefault="00172C88" w:rsidP="00172C88">
      <w:pPr>
        <w:tabs>
          <w:tab w:val="clear" w:pos="567"/>
        </w:tabs>
        <w:spacing w:line="240" w:lineRule="auto"/>
        <w:ind w:right="-2"/>
        <w:rPr>
          <w:szCs w:val="24"/>
          <w:lang w:val="lt-LT"/>
        </w:rPr>
      </w:pPr>
      <w:r>
        <w:rPr>
          <w:szCs w:val="24"/>
          <w:lang w:val="lt-LT"/>
        </w:rPr>
        <w:t xml:space="preserve">• </w:t>
      </w:r>
      <w:r>
        <w:rPr>
          <w:b/>
          <w:szCs w:val="24"/>
          <w:lang w:val="lt-LT"/>
        </w:rPr>
        <w:t>P</w:t>
      </w:r>
      <w:r w:rsidRPr="00DC170F">
        <w:rPr>
          <w:b/>
          <w:szCs w:val="24"/>
          <w:lang w:val="lt-LT"/>
        </w:rPr>
        <w:t>irštų opas</w:t>
      </w:r>
      <w:r w:rsidRPr="00521E80">
        <w:rPr>
          <w:szCs w:val="24"/>
          <w:lang w:val="lt-LT"/>
        </w:rPr>
        <w:t xml:space="preserve"> (žaizdas rankų ir kojų pirštuose) suaugusiesiems, sergantiems </w:t>
      </w:r>
      <w:proofErr w:type="spellStart"/>
      <w:r w:rsidRPr="00521E80">
        <w:rPr>
          <w:szCs w:val="24"/>
          <w:lang w:val="lt-LT"/>
        </w:rPr>
        <w:t>sklerodermija</w:t>
      </w:r>
      <w:proofErr w:type="spellEnd"/>
      <w:r w:rsidRPr="00521E80">
        <w:rPr>
          <w:szCs w:val="24"/>
          <w:lang w:val="lt-LT"/>
        </w:rPr>
        <w:t xml:space="preserve">. Vartojant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sidRPr="00521E80">
        <w:rPr>
          <w:szCs w:val="24"/>
          <w:lang w:val="lt-LT"/>
        </w:rPr>
        <w:t xml:space="preserve"> naujų opų rankų ir kojų pirštuose atsiranda mažiau.</w:t>
      </w:r>
    </w:p>
    <w:p w14:paraId="4BD17874" w14:textId="77777777" w:rsidR="000532BE" w:rsidRDefault="000532BE" w:rsidP="00172C88">
      <w:pPr>
        <w:tabs>
          <w:tab w:val="clear" w:pos="567"/>
        </w:tabs>
        <w:spacing w:line="240" w:lineRule="auto"/>
        <w:ind w:right="-2"/>
        <w:rPr>
          <w:szCs w:val="24"/>
          <w:lang w:val="lt-LT"/>
        </w:rPr>
      </w:pPr>
    </w:p>
    <w:p w14:paraId="6CA869F3" w14:textId="77777777" w:rsidR="00172C88" w:rsidRDefault="00172C88" w:rsidP="00172C88">
      <w:pPr>
        <w:tabs>
          <w:tab w:val="clear" w:pos="567"/>
        </w:tabs>
        <w:spacing w:line="240" w:lineRule="auto"/>
        <w:ind w:right="-2"/>
        <w:rPr>
          <w:szCs w:val="24"/>
          <w:lang w:val="lt-LT"/>
        </w:rPr>
      </w:pPr>
    </w:p>
    <w:p w14:paraId="13F58584" w14:textId="77777777" w:rsidR="00172C88" w:rsidRPr="00C54C14" w:rsidRDefault="00172C88" w:rsidP="00172C88">
      <w:pPr>
        <w:pStyle w:val="Antrat4"/>
        <w:rPr>
          <w:lang w:val="pt-PT"/>
        </w:rPr>
      </w:pPr>
      <w:r>
        <w:rPr>
          <w:rFonts w:ascii="Times New Roman" w:hAnsi="Times New Roman"/>
          <w:sz w:val="22"/>
          <w:lang w:val="lt-LT"/>
        </w:rPr>
        <w:t>2.</w:t>
      </w:r>
      <w:r>
        <w:rPr>
          <w:rFonts w:ascii="Times New Roman" w:hAnsi="Times New Roman"/>
          <w:sz w:val="22"/>
          <w:lang w:val="lt-LT"/>
        </w:rPr>
        <w:tab/>
        <w:t xml:space="preserve">Kas žinotina prieš vartojant </w:t>
      </w:r>
      <w:proofErr w:type="spellStart"/>
      <w:r>
        <w:rPr>
          <w:rFonts w:ascii="Times New Roman" w:hAnsi="Times New Roman"/>
          <w:sz w:val="22"/>
          <w:szCs w:val="22"/>
          <w:lang w:val="lt-LT"/>
        </w:rPr>
        <w:t>Bosentan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p>
    <w:p w14:paraId="4D0FE4B5" w14:textId="77777777" w:rsidR="00172C88" w:rsidRDefault="00172C88" w:rsidP="00172C88">
      <w:pPr>
        <w:tabs>
          <w:tab w:val="clear" w:pos="567"/>
        </w:tabs>
        <w:spacing w:line="240" w:lineRule="auto"/>
        <w:ind w:right="-2"/>
        <w:rPr>
          <w:szCs w:val="24"/>
          <w:lang w:val="lt-LT"/>
        </w:rPr>
      </w:pPr>
    </w:p>
    <w:p w14:paraId="75C5BFBA" w14:textId="3EC204AB" w:rsidR="00172C88" w:rsidRPr="007263E8" w:rsidRDefault="00172C88" w:rsidP="00172C88">
      <w:pPr>
        <w:pStyle w:val="Antrat4"/>
        <w:rPr>
          <w:lang w:val="lt-LT"/>
        </w:rPr>
      </w:pPr>
      <w:proofErr w:type="spellStart"/>
      <w:r>
        <w:rPr>
          <w:rFonts w:ascii="Times New Roman" w:hAnsi="Times New Roman"/>
          <w:sz w:val="22"/>
          <w:szCs w:val="22"/>
          <w:lang w:val="lt-LT"/>
        </w:rPr>
        <w:lastRenderedPageBreak/>
        <w:t>Bosentan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Pr>
          <w:rFonts w:ascii="Times New Roman" w:hAnsi="Times New Roman"/>
          <w:sz w:val="22"/>
          <w:szCs w:val="22"/>
          <w:lang w:val="lt-LT"/>
        </w:rPr>
        <w:t xml:space="preserve"> </w:t>
      </w:r>
      <w:r>
        <w:rPr>
          <w:rFonts w:ascii="Times New Roman" w:hAnsi="Times New Roman"/>
          <w:sz w:val="22"/>
          <w:lang w:val="lt-LT"/>
        </w:rPr>
        <w:t xml:space="preserve">vartoti </w:t>
      </w:r>
      <w:r w:rsidR="001B580C">
        <w:rPr>
          <w:rFonts w:ascii="Times New Roman" w:hAnsi="Times New Roman"/>
          <w:sz w:val="22"/>
          <w:lang w:val="lt-LT"/>
        </w:rPr>
        <w:t>draudžiama</w:t>
      </w:r>
      <w:r>
        <w:rPr>
          <w:rFonts w:ascii="Times New Roman" w:hAnsi="Times New Roman"/>
          <w:sz w:val="22"/>
          <w:lang w:val="lt-LT"/>
        </w:rPr>
        <w:t>:</w:t>
      </w:r>
    </w:p>
    <w:p w14:paraId="3E5949D1" w14:textId="77777777" w:rsidR="00172C88" w:rsidRPr="00E32052" w:rsidRDefault="00172C88" w:rsidP="00172C88">
      <w:pPr>
        <w:spacing w:line="240" w:lineRule="auto"/>
        <w:ind w:left="567" w:hanging="567"/>
        <w:rPr>
          <w:lang w:val="lt-LT"/>
        </w:rPr>
      </w:pPr>
      <w:r>
        <w:rPr>
          <w:szCs w:val="24"/>
          <w:lang w:val="lt-LT"/>
        </w:rPr>
        <w:t>-</w:t>
      </w:r>
      <w:r>
        <w:rPr>
          <w:szCs w:val="24"/>
          <w:lang w:val="lt-LT"/>
        </w:rPr>
        <w:tab/>
      </w:r>
      <w:r>
        <w:rPr>
          <w:b/>
          <w:bCs/>
          <w:szCs w:val="24"/>
          <w:lang w:val="lt-LT"/>
        </w:rPr>
        <w:t xml:space="preserve">jeigu yra alergija </w:t>
      </w:r>
      <w:proofErr w:type="spellStart"/>
      <w:r>
        <w:rPr>
          <w:b/>
          <w:bCs/>
          <w:szCs w:val="24"/>
          <w:lang w:val="lt-LT"/>
        </w:rPr>
        <w:t>bozentanui</w:t>
      </w:r>
      <w:proofErr w:type="spellEnd"/>
      <w:r>
        <w:rPr>
          <w:szCs w:val="24"/>
          <w:lang w:val="lt-LT"/>
        </w:rPr>
        <w:t xml:space="preserve"> arba bet kuriai pagalbinei šio vaisto medžiagai (jos išvardytos 6 skyriuje);</w:t>
      </w:r>
    </w:p>
    <w:p w14:paraId="0271AB86" w14:textId="77777777" w:rsidR="00172C88" w:rsidRPr="00C54C14" w:rsidRDefault="00172C88" w:rsidP="00172C88">
      <w:pPr>
        <w:spacing w:line="240" w:lineRule="auto"/>
        <w:ind w:left="567" w:hanging="567"/>
        <w:rPr>
          <w:lang w:val="lt-LT"/>
        </w:rPr>
      </w:pPr>
      <w:r>
        <w:rPr>
          <w:szCs w:val="24"/>
          <w:lang w:val="lt-LT"/>
        </w:rPr>
        <w:t>-</w:t>
      </w:r>
      <w:r>
        <w:rPr>
          <w:szCs w:val="24"/>
          <w:lang w:val="lt-LT"/>
        </w:rPr>
        <w:tab/>
      </w:r>
      <w:r>
        <w:rPr>
          <w:b/>
          <w:bCs/>
          <w:szCs w:val="24"/>
          <w:lang w:val="lt-LT"/>
        </w:rPr>
        <w:t>jeigu yra kepenų sutrikimų</w:t>
      </w:r>
      <w:r>
        <w:rPr>
          <w:szCs w:val="24"/>
          <w:lang w:val="lt-LT"/>
        </w:rPr>
        <w:t xml:space="preserve"> (pasiteiraukite gydytojo); </w:t>
      </w:r>
    </w:p>
    <w:p w14:paraId="5DCDE9ED" w14:textId="77777777" w:rsidR="00172C88" w:rsidRPr="00C54C14" w:rsidRDefault="00172C88" w:rsidP="00172C88">
      <w:pPr>
        <w:spacing w:line="240" w:lineRule="auto"/>
        <w:ind w:left="567" w:hanging="567"/>
        <w:rPr>
          <w:lang w:val="pt-PT"/>
        </w:rPr>
      </w:pPr>
      <w:r>
        <w:rPr>
          <w:szCs w:val="24"/>
          <w:lang w:val="lt-LT"/>
        </w:rPr>
        <w:t>-</w:t>
      </w:r>
      <w:r>
        <w:rPr>
          <w:szCs w:val="24"/>
          <w:lang w:val="lt-LT"/>
        </w:rPr>
        <w:tab/>
      </w:r>
      <w:r>
        <w:rPr>
          <w:b/>
          <w:bCs/>
          <w:szCs w:val="24"/>
          <w:lang w:val="lt-LT"/>
        </w:rPr>
        <w:t>jeigu esate nėščia arba galite pastoti</w:t>
      </w:r>
      <w:r>
        <w:rPr>
          <w:szCs w:val="24"/>
          <w:lang w:val="lt-LT"/>
        </w:rPr>
        <w:t>, nes nesinaudojate patikimomis kontraceptinėmis priemonėmis.</w:t>
      </w:r>
      <w:r>
        <w:rPr>
          <w:rFonts w:eastAsia="Calibri"/>
          <w:color w:val="000000"/>
          <w:sz w:val="24"/>
          <w:szCs w:val="24"/>
          <w:lang w:val="lt-LT"/>
        </w:rPr>
        <w:t xml:space="preserve"> </w:t>
      </w:r>
      <w:r>
        <w:rPr>
          <w:szCs w:val="24"/>
          <w:lang w:val="lt-LT"/>
        </w:rPr>
        <w:t xml:space="preserve">Perskaitykite informaciją skyriuose „Kontraceptikai“ ir „Kiti vaistai ir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w:t>
      </w:r>
    </w:p>
    <w:p w14:paraId="3F94166C" w14:textId="77777777" w:rsidR="00172C88" w:rsidRPr="00C54C14" w:rsidRDefault="00172C88" w:rsidP="00172C88">
      <w:pPr>
        <w:spacing w:line="240" w:lineRule="auto"/>
        <w:ind w:left="567" w:hanging="567"/>
        <w:rPr>
          <w:lang w:val="pt-PT"/>
        </w:rPr>
      </w:pPr>
      <w:r>
        <w:rPr>
          <w:szCs w:val="24"/>
          <w:lang w:val="lt-LT"/>
        </w:rPr>
        <w:t>-</w:t>
      </w:r>
      <w:r>
        <w:rPr>
          <w:szCs w:val="24"/>
          <w:lang w:val="lt-LT"/>
        </w:rPr>
        <w:tab/>
      </w:r>
      <w:r>
        <w:rPr>
          <w:b/>
          <w:bCs/>
          <w:szCs w:val="24"/>
          <w:lang w:val="lt-LT"/>
        </w:rPr>
        <w:t xml:space="preserve">jeigu vartojate </w:t>
      </w:r>
      <w:proofErr w:type="spellStart"/>
      <w:r>
        <w:rPr>
          <w:b/>
          <w:bCs/>
          <w:szCs w:val="24"/>
          <w:lang w:val="lt-LT"/>
        </w:rPr>
        <w:t>ciklosporiną</w:t>
      </w:r>
      <w:proofErr w:type="spellEnd"/>
      <w:r>
        <w:rPr>
          <w:b/>
          <w:bCs/>
          <w:szCs w:val="24"/>
          <w:lang w:val="lt-LT"/>
        </w:rPr>
        <w:t xml:space="preserve"> A</w:t>
      </w:r>
      <w:r>
        <w:rPr>
          <w:szCs w:val="24"/>
          <w:lang w:val="lt-LT"/>
        </w:rPr>
        <w:t xml:space="preserve"> (vaistą, vartojamą po organo persodinimo ar psoriazei gydyti). </w:t>
      </w:r>
    </w:p>
    <w:p w14:paraId="2F2CF83D" w14:textId="77777777" w:rsidR="00172C88" w:rsidRDefault="00172C88" w:rsidP="00172C88">
      <w:pPr>
        <w:tabs>
          <w:tab w:val="clear" w:pos="567"/>
        </w:tabs>
        <w:spacing w:line="240" w:lineRule="auto"/>
        <w:ind w:right="-2"/>
        <w:rPr>
          <w:szCs w:val="24"/>
          <w:lang w:val="lt-LT"/>
        </w:rPr>
      </w:pPr>
    </w:p>
    <w:p w14:paraId="6B3C0F2E" w14:textId="77777777" w:rsidR="00172C88" w:rsidRDefault="00172C88" w:rsidP="00172C88">
      <w:pPr>
        <w:tabs>
          <w:tab w:val="clear" w:pos="567"/>
        </w:tabs>
        <w:spacing w:line="240" w:lineRule="auto"/>
        <w:ind w:right="-2"/>
        <w:rPr>
          <w:szCs w:val="24"/>
          <w:lang w:val="lt-LT"/>
        </w:rPr>
      </w:pPr>
      <w:r>
        <w:rPr>
          <w:szCs w:val="24"/>
          <w:lang w:val="lt-LT"/>
        </w:rPr>
        <w:t xml:space="preserve">Jeigu bet kuri šių sąlygų tinka Jums, pasakykite gydytojui. </w:t>
      </w:r>
      <w:r>
        <w:rPr>
          <w:szCs w:val="24"/>
          <w:lang w:val="lt-LT"/>
        </w:rPr>
        <w:br/>
      </w:r>
    </w:p>
    <w:p w14:paraId="7A1F3B70"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 xml:space="preserve">Įspėjimai ir atsargumo priemonės </w:t>
      </w:r>
    </w:p>
    <w:p w14:paraId="1B382EE7" w14:textId="77777777" w:rsidR="00172C88" w:rsidRPr="00C54C14" w:rsidRDefault="00172C88" w:rsidP="00172C88">
      <w:pPr>
        <w:tabs>
          <w:tab w:val="clear" w:pos="567"/>
        </w:tabs>
        <w:spacing w:line="240" w:lineRule="auto"/>
        <w:ind w:right="-2"/>
        <w:rPr>
          <w:lang w:val="pt-PT"/>
        </w:rPr>
      </w:pPr>
      <w:r>
        <w:rPr>
          <w:szCs w:val="24"/>
          <w:lang w:val="lt-LT"/>
        </w:rPr>
        <w:t xml:space="preserve">Pasitarkite su gydytoju, prieš pradėdami vartoti </w:t>
      </w:r>
      <w:proofErr w:type="spellStart"/>
      <w:r>
        <w:rPr>
          <w:szCs w:val="22"/>
          <w:lang w:val="lt-LT"/>
        </w:rPr>
        <w:t>Bosentan</w:t>
      </w:r>
      <w:proofErr w:type="spellEnd"/>
      <w:r>
        <w:rPr>
          <w:szCs w:val="22"/>
          <w:lang w:val="lt-LT"/>
        </w:rPr>
        <w:t xml:space="preserve"> </w:t>
      </w:r>
      <w:proofErr w:type="spellStart"/>
      <w:r>
        <w:rPr>
          <w:szCs w:val="22"/>
          <w:lang w:val="lt-LT"/>
        </w:rPr>
        <w:t>Norameda</w:t>
      </w:r>
      <w:proofErr w:type="spellEnd"/>
      <w:r>
        <w:rPr>
          <w:szCs w:val="24"/>
          <w:lang w:val="lt-LT"/>
        </w:rPr>
        <w:t>.</w:t>
      </w:r>
    </w:p>
    <w:p w14:paraId="556C0718" w14:textId="77777777" w:rsidR="00172C88" w:rsidRDefault="00172C88" w:rsidP="00172C88">
      <w:pPr>
        <w:tabs>
          <w:tab w:val="clear" w:pos="567"/>
        </w:tabs>
        <w:spacing w:line="240" w:lineRule="auto"/>
        <w:ind w:right="-2"/>
        <w:rPr>
          <w:szCs w:val="24"/>
          <w:lang w:val="lt-LT"/>
        </w:rPr>
      </w:pPr>
    </w:p>
    <w:p w14:paraId="2C58FFE2" w14:textId="77777777" w:rsidR="00172C88" w:rsidRPr="00E32052" w:rsidRDefault="00172C88" w:rsidP="00172C88">
      <w:pPr>
        <w:tabs>
          <w:tab w:val="clear" w:pos="567"/>
        </w:tabs>
        <w:spacing w:line="240" w:lineRule="auto"/>
        <w:ind w:right="-2"/>
        <w:rPr>
          <w:lang w:val="lt-LT"/>
        </w:rPr>
      </w:pPr>
      <w:r>
        <w:rPr>
          <w:b/>
          <w:bCs/>
          <w:szCs w:val="24"/>
          <w:lang w:val="lt-LT"/>
        </w:rPr>
        <w:t>Tyrimai, kuriuos atliks Jūsų gydytojas prieš pradėdamas gydymą</w:t>
      </w:r>
    </w:p>
    <w:p w14:paraId="6D5D449C" w14:textId="77777777" w:rsidR="00172C88" w:rsidRDefault="00172C88" w:rsidP="00172C88">
      <w:pPr>
        <w:numPr>
          <w:ilvl w:val="0"/>
          <w:numId w:val="4"/>
        </w:numPr>
        <w:tabs>
          <w:tab w:val="clear" w:pos="567"/>
        </w:tabs>
        <w:spacing w:line="240" w:lineRule="auto"/>
        <w:ind w:left="567" w:right="-2" w:hanging="567"/>
        <w:rPr>
          <w:szCs w:val="24"/>
          <w:lang w:val="lt-LT"/>
        </w:rPr>
      </w:pPr>
      <w:r>
        <w:rPr>
          <w:szCs w:val="24"/>
          <w:lang w:val="lt-LT"/>
        </w:rPr>
        <w:t>Kraujo tyrimas kepenų funkcijai patikrinti</w:t>
      </w:r>
    </w:p>
    <w:p w14:paraId="2E1E07C3" w14:textId="77777777" w:rsidR="00172C88" w:rsidRDefault="00172C88" w:rsidP="00172C88">
      <w:pPr>
        <w:numPr>
          <w:ilvl w:val="0"/>
          <w:numId w:val="4"/>
        </w:numPr>
        <w:tabs>
          <w:tab w:val="clear" w:pos="567"/>
        </w:tabs>
        <w:spacing w:line="240" w:lineRule="auto"/>
        <w:ind w:left="567" w:right="-2" w:hanging="567"/>
        <w:rPr>
          <w:szCs w:val="24"/>
          <w:lang w:val="lt-LT"/>
        </w:rPr>
      </w:pPr>
      <w:r>
        <w:rPr>
          <w:szCs w:val="24"/>
          <w:lang w:val="lt-LT"/>
        </w:rPr>
        <w:t>Kraujo tyrimas patikrinti, ar nėra mažakraujystės (ar hemoglobino kiekis nėra mažas)</w:t>
      </w:r>
    </w:p>
    <w:p w14:paraId="511C9DAE" w14:textId="77777777" w:rsidR="00172C88" w:rsidRDefault="00172C88" w:rsidP="00172C88">
      <w:pPr>
        <w:numPr>
          <w:ilvl w:val="0"/>
          <w:numId w:val="4"/>
        </w:numPr>
        <w:tabs>
          <w:tab w:val="clear" w:pos="567"/>
        </w:tabs>
        <w:spacing w:line="240" w:lineRule="auto"/>
        <w:ind w:left="567" w:right="-2" w:hanging="567"/>
        <w:rPr>
          <w:szCs w:val="24"/>
          <w:lang w:val="lt-LT"/>
        </w:rPr>
      </w:pPr>
      <w:r>
        <w:rPr>
          <w:szCs w:val="24"/>
          <w:lang w:val="lt-LT"/>
        </w:rPr>
        <w:t>Nėštumo testas (jeigu esate vaisingo amžiaus moteris).</w:t>
      </w:r>
    </w:p>
    <w:p w14:paraId="51D9EDE2" w14:textId="77777777" w:rsidR="00172C88" w:rsidRDefault="00172C88" w:rsidP="00172C88">
      <w:pPr>
        <w:tabs>
          <w:tab w:val="clear" w:pos="567"/>
        </w:tabs>
        <w:spacing w:line="240" w:lineRule="auto"/>
        <w:ind w:right="-2"/>
        <w:rPr>
          <w:szCs w:val="24"/>
          <w:lang w:val="lt-LT"/>
        </w:rPr>
      </w:pPr>
      <w:r>
        <w:rPr>
          <w:szCs w:val="24"/>
          <w:lang w:val="lt-LT"/>
        </w:rPr>
        <w:t xml:space="preserve">Kai kurių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vartojančių pacientų kepenų veiklos tyrimų rezultatai buvo nenormalūs ir buvo nustatyta mažakraujystė (mažas hemoglobino kiekis). </w:t>
      </w:r>
    </w:p>
    <w:p w14:paraId="3087D07E" w14:textId="77777777" w:rsidR="00172C88" w:rsidRDefault="00172C88" w:rsidP="00172C88">
      <w:pPr>
        <w:tabs>
          <w:tab w:val="clear" w:pos="567"/>
        </w:tabs>
        <w:spacing w:line="240" w:lineRule="auto"/>
        <w:ind w:right="-2"/>
        <w:rPr>
          <w:szCs w:val="24"/>
          <w:lang w:val="lt-LT"/>
        </w:rPr>
      </w:pPr>
    </w:p>
    <w:p w14:paraId="65563FFF" w14:textId="77777777" w:rsidR="00172C88" w:rsidRPr="00C54C14" w:rsidRDefault="00172C88" w:rsidP="00172C88">
      <w:pPr>
        <w:tabs>
          <w:tab w:val="clear" w:pos="567"/>
        </w:tabs>
        <w:spacing w:line="240" w:lineRule="auto"/>
        <w:ind w:right="-2"/>
        <w:rPr>
          <w:lang w:val="lt-LT"/>
        </w:rPr>
      </w:pPr>
      <w:r>
        <w:rPr>
          <w:b/>
          <w:bCs/>
          <w:szCs w:val="24"/>
          <w:lang w:val="lt-LT"/>
        </w:rPr>
        <w:t>Tyrimai, kuriuos atliks Jūsų gydytojas gydymo metu</w:t>
      </w:r>
    </w:p>
    <w:p w14:paraId="38E20BC1" w14:textId="77777777" w:rsidR="00172C88" w:rsidRDefault="00172C88" w:rsidP="00172C88">
      <w:pPr>
        <w:tabs>
          <w:tab w:val="clear" w:pos="567"/>
        </w:tabs>
        <w:spacing w:line="240" w:lineRule="auto"/>
        <w:ind w:right="-2"/>
        <w:rPr>
          <w:szCs w:val="24"/>
          <w:lang w:val="lt-LT"/>
        </w:rPr>
      </w:pPr>
      <w:r>
        <w:rPr>
          <w:szCs w:val="24"/>
          <w:lang w:val="lt-LT"/>
        </w:rPr>
        <w:t xml:space="preserve">Gydymo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metu gydytojas reguliariai nurodys atlikti kraujo tyrimus kepenų veiklai ir hemoglobino kiekiui patikrinti.</w:t>
      </w:r>
    </w:p>
    <w:p w14:paraId="52E9B717" w14:textId="77777777" w:rsidR="00172C88" w:rsidRDefault="00172C88" w:rsidP="00172C88">
      <w:pPr>
        <w:tabs>
          <w:tab w:val="clear" w:pos="567"/>
        </w:tabs>
        <w:spacing w:line="240" w:lineRule="auto"/>
        <w:ind w:right="-2"/>
        <w:rPr>
          <w:szCs w:val="24"/>
          <w:lang w:val="lt-LT"/>
        </w:rPr>
      </w:pPr>
    </w:p>
    <w:p w14:paraId="6B21CE3C" w14:textId="77777777" w:rsidR="00172C88" w:rsidRDefault="00172C88" w:rsidP="00172C88">
      <w:pPr>
        <w:tabs>
          <w:tab w:val="clear" w:pos="567"/>
        </w:tabs>
        <w:spacing w:line="240" w:lineRule="auto"/>
        <w:ind w:right="-2"/>
        <w:rPr>
          <w:szCs w:val="24"/>
          <w:lang w:val="lt-LT"/>
        </w:rPr>
      </w:pPr>
      <w:r>
        <w:rPr>
          <w:szCs w:val="24"/>
          <w:lang w:val="lt-LT"/>
        </w:rPr>
        <w:t xml:space="preserve">Daugiau informacijos apie šiuos tyrimus pateikta paciento įspėjamojoje kortelėje (ji yra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tablečių pakuotės viduje). Gydymo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metu labai svarbu reguliariai atlikti šiuos kraujo tyrimus. Paciento įspėjamojoje kortelėje siūlome užsirašyti paskutinio tyrimo datą ir kito tyrimo datą (kada reikės atlikti kitą tyrimą, klauskite gydytojo), kad lengviau prisimintumėte, kada reikia atlikti tyrimą. </w:t>
      </w:r>
    </w:p>
    <w:p w14:paraId="0AF1CEAF" w14:textId="77777777" w:rsidR="00172C88" w:rsidRDefault="00172C88" w:rsidP="00172C88">
      <w:pPr>
        <w:tabs>
          <w:tab w:val="clear" w:pos="567"/>
        </w:tabs>
        <w:spacing w:line="240" w:lineRule="auto"/>
        <w:ind w:right="-2"/>
        <w:rPr>
          <w:szCs w:val="24"/>
          <w:lang w:val="lt-LT"/>
        </w:rPr>
      </w:pPr>
    </w:p>
    <w:p w14:paraId="7992BEDA" w14:textId="77777777" w:rsidR="00172C88" w:rsidRDefault="00172C88" w:rsidP="00172C88">
      <w:pPr>
        <w:tabs>
          <w:tab w:val="clear" w:pos="567"/>
        </w:tabs>
        <w:spacing w:line="240" w:lineRule="auto"/>
        <w:ind w:right="-2"/>
        <w:rPr>
          <w:b/>
          <w:lang w:val="lt-LT"/>
        </w:rPr>
      </w:pPr>
      <w:r>
        <w:rPr>
          <w:b/>
          <w:lang w:val="lt-LT"/>
        </w:rPr>
        <w:t xml:space="preserve">Kraujo tyrimai kepenų veiklai įvertinti </w:t>
      </w:r>
    </w:p>
    <w:p w14:paraId="0DB0A2A4" w14:textId="77777777" w:rsidR="00172C88" w:rsidRDefault="00172C88" w:rsidP="00172C88">
      <w:pPr>
        <w:tabs>
          <w:tab w:val="clear" w:pos="567"/>
        </w:tabs>
        <w:spacing w:line="240" w:lineRule="auto"/>
        <w:ind w:right="-2"/>
        <w:rPr>
          <w:szCs w:val="24"/>
          <w:lang w:val="lt-LT"/>
        </w:rPr>
      </w:pPr>
      <w:r>
        <w:rPr>
          <w:szCs w:val="24"/>
          <w:lang w:val="lt-LT"/>
        </w:rPr>
        <w:t xml:space="preserve">Šie tyrimai bus atliekami kas mėnesį visu gydymo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laikotarpiu. Padidinus dozę, papildomas tyrimas bus atliekamas po 2 savaičių. </w:t>
      </w:r>
    </w:p>
    <w:p w14:paraId="4C5C215A" w14:textId="77777777" w:rsidR="00172C88" w:rsidRDefault="00172C88" w:rsidP="00172C88">
      <w:pPr>
        <w:tabs>
          <w:tab w:val="clear" w:pos="567"/>
        </w:tabs>
        <w:spacing w:line="240" w:lineRule="auto"/>
        <w:ind w:right="-2"/>
        <w:rPr>
          <w:szCs w:val="24"/>
          <w:lang w:val="lt-LT"/>
        </w:rPr>
      </w:pPr>
    </w:p>
    <w:p w14:paraId="0578673F" w14:textId="77777777" w:rsidR="00172C88" w:rsidRDefault="00172C88" w:rsidP="00172C88">
      <w:pPr>
        <w:tabs>
          <w:tab w:val="clear" w:pos="567"/>
        </w:tabs>
        <w:spacing w:line="240" w:lineRule="auto"/>
        <w:ind w:right="-2"/>
        <w:rPr>
          <w:b/>
          <w:lang w:val="lt-LT"/>
        </w:rPr>
      </w:pPr>
      <w:r>
        <w:rPr>
          <w:b/>
          <w:lang w:val="lt-LT"/>
        </w:rPr>
        <w:t xml:space="preserve">Kraujo tyrimai mažakraujystei nustatyti </w:t>
      </w:r>
    </w:p>
    <w:p w14:paraId="771D7E6D" w14:textId="77777777" w:rsidR="00172C88" w:rsidRDefault="00172C88" w:rsidP="00172C88">
      <w:pPr>
        <w:tabs>
          <w:tab w:val="clear" w:pos="567"/>
        </w:tabs>
        <w:spacing w:line="240" w:lineRule="auto"/>
        <w:ind w:right="-2"/>
        <w:rPr>
          <w:szCs w:val="24"/>
          <w:lang w:val="lt-LT"/>
        </w:rPr>
      </w:pPr>
      <w:r>
        <w:rPr>
          <w:szCs w:val="24"/>
          <w:lang w:val="lt-LT"/>
        </w:rPr>
        <w:t xml:space="preserve">Šie tyrimai bus atliekami pirmaisiais 4 gydymo mėnesiais 1 kartą per mėnesį ir po to kas 3 mėnesius, nes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vartojantiems pacientams gali pasireikšti mažakraujystė. </w:t>
      </w:r>
    </w:p>
    <w:p w14:paraId="418811AF" w14:textId="77777777" w:rsidR="00172C88" w:rsidRDefault="00172C88" w:rsidP="00172C88">
      <w:pPr>
        <w:tabs>
          <w:tab w:val="clear" w:pos="567"/>
        </w:tabs>
        <w:spacing w:line="240" w:lineRule="auto"/>
        <w:ind w:right="-2"/>
        <w:rPr>
          <w:szCs w:val="24"/>
          <w:lang w:val="lt-LT"/>
        </w:rPr>
      </w:pPr>
      <w:r>
        <w:rPr>
          <w:szCs w:val="24"/>
          <w:lang w:val="lt-LT"/>
        </w:rPr>
        <w:t xml:space="preserve"> </w:t>
      </w:r>
    </w:p>
    <w:p w14:paraId="1C1B4A9B" w14:textId="77777777" w:rsidR="00172C88" w:rsidRDefault="00172C88" w:rsidP="00172C88">
      <w:pPr>
        <w:tabs>
          <w:tab w:val="clear" w:pos="567"/>
        </w:tabs>
        <w:spacing w:line="240" w:lineRule="auto"/>
        <w:ind w:right="-2"/>
        <w:rPr>
          <w:szCs w:val="24"/>
          <w:lang w:val="lt-LT"/>
        </w:rPr>
      </w:pPr>
      <w:r>
        <w:rPr>
          <w:szCs w:val="24"/>
          <w:lang w:val="lt-LT"/>
        </w:rPr>
        <w:t xml:space="preserve">Jeigu tyrimo rezultatai nėra normalūs, gydytojas gali nuspręsti sumažinti vaisto dozę arba nutraukti gydymą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ir atlikti tolesnius tyrimus tokio poveikio priežasčiai nustatyti. </w:t>
      </w:r>
    </w:p>
    <w:p w14:paraId="5E09E297" w14:textId="77777777" w:rsidR="00172C88" w:rsidRDefault="00172C88" w:rsidP="00172C88">
      <w:pPr>
        <w:tabs>
          <w:tab w:val="clear" w:pos="567"/>
        </w:tabs>
        <w:spacing w:line="240" w:lineRule="auto"/>
        <w:ind w:right="-2"/>
        <w:rPr>
          <w:szCs w:val="24"/>
          <w:lang w:val="lt-LT"/>
        </w:rPr>
      </w:pPr>
    </w:p>
    <w:p w14:paraId="3C46A33B" w14:textId="2D65084D" w:rsidR="00172C88" w:rsidRPr="00C54C14" w:rsidRDefault="00172C88" w:rsidP="00172C88">
      <w:pPr>
        <w:tabs>
          <w:tab w:val="clear" w:pos="567"/>
        </w:tabs>
        <w:spacing w:line="240" w:lineRule="auto"/>
        <w:ind w:right="-2"/>
        <w:rPr>
          <w:lang w:val="pt-PT"/>
        </w:rPr>
      </w:pPr>
      <w:r>
        <w:rPr>
          <w:b/>
          <w:bCs/>
          <w:szCs w:val="24"/>
          <w:lang w:val="lt-LT"/>
        </w:rPr>
        <w:t>Vaika</w:t>
      </w:r>
      <w:r w:rsidR="005C7F4A">
        <w:rPr>
          <w:b/>
          <w:bCs/>
          <w:szCs w:val="24"/>
          <w:lang w:val="lt-LT"/>
        </w:rPr>
        <w:t>ms</w:t>
      </w:r>
      <w:r>
        <w:rPr>
          <w:b/>
          <w:bCs/>
          <w:szCs w:val="24"/>
          <w:lang w:val="lt-LT"/>
        </w:rPr>
        <w:t xml:space="preserve"> ir paauglia</w:t>
      </w:r>
      <w:r w:rsidR="005C7F4A">
        <w:rPr>
          <w:b/>
          <w:bCs/>
          <w:szCs w:val="24"/>
          <w:lang w:val="lt-LT"/>
        </w:rPr>
        <w:t>ms</w:t>
      </w:r>
    </w:p>
    <w:p w14:paraId="7CF0E93E" w14:textId="77777777" w:rsidR="00172C88" w:rsidRPr="00C54C14" w:rsidRDefault="00172C88" w:rsidP="00172C88">
      <w:pPr>
        <w:tabs>
          <w:tab w:val="clear" w:pos="567"/>
        </w:tabs>
        <w:spacing w:line="240" w:lineRule="auto"/>
        <w:ind w:right="-2"/>
        <w:rPr>
          <w:lang w:val="pt-PT"/>
        </w:rPr>
      </w:pPr>
      <w:proofErr w:type="spellStart"/>
      <w:r>
        <w:rPr>
          <w:bCs/>
          <w:szCs w:val="24"/>
          <w:lang w:val="lt-LT"/>
        </w:rPr>
        <w:t>Bosentan</w:t>
      </w:r>
      <w:proofErr w:type="spellEnd"/>
      <w:r>
        <w:rPr>
          <w:bCs/>
          <w:szCs w:val="24"/>
          <w:lang w:val="lt-LT"/>
        </w:rPr>
        <w:t xml:space="preserve"> </w:t>
      </w:r>
      <w:proofErr w:type="spellStart"/>
      <w:r>
        <w:rPr>
          <w:bCs/>
          <w:szCs w:val="24"/>
          <w:lang w:val="lt-LT"/>
        </w:rPr>
        <w:t>Norameda</w:t>
      </w:r>
      <w:proofErr w:type="spellEnd"/>
      <w:r>
        <w:rPr>
          <w:bCs/>
          <w:szCs w:val="24"/>
          <w:lang w:val="lt-LT"/>
        </w:rPr>
        <w:t xml:space="preserve"> nerekomenduojamas vaikams, sergantiems sistemine skleroze</w:t>
      </w:r>
      <w:r>
        <w:rPr>
          <w:rFonts w:eastAsia="Calibri"/>
          <w:color w:val="000000"/>
          <w:sz w:val="20"/>
          <w:lang w:val="lt-LT"/>
        </w:rPr>
        <w:t xml:space="preserve"> </w:t>
      </w:r>
      <w:r>
        <w:rPr>
          <w:bCs/>
          <w:szCs w:val="24"/>
          <w:lang w:val="lt-LT"/>
        </w:rPr>
        <w:t xml:space="preserve">ir progresuojančia pirštų opalige. Prašome taip pat žiūrėti 3 skyrių „Kaip vartoti </w:t>
      </w:r>
      <w:proofErr w:type="spellStart"/>
      <w:r>
        <w:rPr>
          <w:bCs/>
          <w:szCs w:val="24"/>
          <w:lang w:val="lt-LT"/>
        </w:rPr>
        <w:t>Bosentan</w:t>
      </w:r>
      <w:proofErr w:type="spellEnd"/>
      <w:r>
        <w:rPr>
          <w:bCs/>
          <w:szCs w:val="24"/>
          <w:lang w:val="lt-LT"/>
        </w:rPr>
        <w:t xml:space="preserve"> </w:t>
      </w:r>
      <w:proofErr w:type="spellStart"/>
      <w:r>
        <w:rPr>
          <w:bCs/>
          <w:szCs w:val="24"/>
          <w:lang w:val="lt-LT"/>
        </w:rPr>
        <w:t>Norameda</w:t>
      </w:r>
      <w:proofErr w:type="spellEnd"/>
      <w:r>
        <w:rPr>
          <w:bCs/>
          <w:szCs w:val="24"/>
          <w:lang w:val="lt-LT"/>
        </w:rPr>
        <w:t xml:space="preserve">“. </w:t>
      </w:r>
    </w:p>
    <w:p w14:paraId="4130F56C" w14:textId="77777777" w:rsidR="00172C88" w:rsidRDefault="00172C88" w:rsidP="00172C88">
      <w:pPr>
        <w:tabs>
          <w:tab w:val="clear" w:pos="567"/>
        </w:tabs>
        <w:spacing w:line="240" w:lineRule="auto"/>
        <w:ind w:right="-2"/>
        <w:rPr>
          <w:b/>
          <w:bCs/>
          <w:szCs w:val="24"/>
          <w:lang w:val="lt-LT"/>
        </w:rPr>
      </w:pPr>
    </w:p>
    <w:p w14:paraId="0E43FA7E" w14:textId="77777777" w:rsidR="00172C88" w:rsidRPr="00C54C14" w:rsidRDefault="00172C88" w:rsidP="00172C88">
      <w:pPr>
        <w:tabs>
          <w:tab w:val="clear" w:pos="567"/>
        </w:tabs>
        <w:spacing w:line="240" w:lineRule="auto"/>
        <w:ind w:right="-2"/>
        <w:rPr>
          <w:lang w:val="pt-PT"/>
        </w:rPr>
      </w:pPr>
      <w:r>
        <w:rPr>
          <w:b/>
          <w:bCs/>
          <w:szCs w:val="24"/>
          <w:lang w:val="lt-LT"/>
        </w:rPr>
        <w:t xml:space="preserve">Kiti vaistai ir </w:t>
      </w:r>
      <w:proofErr w:type="spellStart"/>
      <w:r>
        <w:rPr>
          <w:b/>
          <w:bCs/>
          <w:szCs w:val="24"/>
          <w:lang w:val="lt-LT"/>
        </w:rPr>
        <w:t>Bosentan</w:t>
      </w:r>
      <w:proofErr w:type="spellEnd"/>
      <w:r>
        <w:rPr>
          <w:b/>
          <w:bCs/>
          <w:szCs w:val="24"/>
          <w:lang w:val="lt-LT"/>
        </w:rPr>
        <w:t xml:space="preserve"> </w:t>
      </w:r>
      <w:proofErr w:type="spellStart"/>
      <w:r>
        <w:rPr>
          <w:b/>
          <w:bCs/>
          <w:szCs w:val="24"/>
          <w:lang w:val="lt-LT"/>
        </w:rPr>
        <w:t>Norameda</w:t>
      </w:r>
      <w:proofErr w:type="spellEnd"/>
      <w:r>
        <w:rPr>
          <w:b/>
          <w:bCs/>
          <w:szCs w:val="24"/>
          <w:lang w:val="lt-LT"/>
        </w:rPr>
        <w:t xml:space="preserve"> </w:t>
      </w:r>
    </w:p>
    <w:p w14:paraId="60ED6779" w14:textId="77777777" w:rsidR="00172C88" w:rsidRDefault="00172C88" w:rsidP="00172C88">
      <w:pPr>
        <w:tabs>
          <w:tab w:val="clear" w:pos="567"/>
        </w:tabs>
        <w:spacing w:line="240" w:lineRule="auto"/>
        <w:ind w:right="-2"/>
        <w:rPr>
          <w:bCs/>
          <w:szCs w:val="24"/>
          <w:lang w:val="lt-LT"/>
        </w:rPr>
      </w:pPr>
      <w:r>
        <w:rPr>
          <w:bCs/>
          <w:szCs w:val="24"/>
          <w:lang w:val="lt-LT"/>
        </w:rPr>
        <w:t>Jeigu vartojate ar neseniai vartojote kitų vaistų ar</w:t>
      </w:r>
      <w:r w:rsidRPr="00DC7D37">
        <w:rPr>
          <w:bCs/>
          <w:szCs w:val="24"/>
          <w:lang w:val="lt-LT"/>
        </w:rPr>
        <w:t xml:space="preserve">ba dėl to nesate tikri, apie tai </w:t>
      </w:r>
      <w:r>
        <w:rPr>
          <w:bCs/>
          <w:szCs w:val="24"/>
          <w:lang w:val="lt-LT"/>
        </w:rPr>
        <w:t xml:space="preserve">pasakykite gydytojui arba vaistininkui. Itin svarbu pasakyti gydytojui, jeigu vartojate: </w:t>
      </w:r>
    </w:p>
    <w:p w14:paraId="0EA7738A" w14:textId="77777777" w:rsidR="00172C88" w:rsidRDefault="00172C88" w:rsidP="00172C88">
      <w:pPr>
        <w:pStyle w:val="Sraopastraipa"/>
        <w:numPr>
          <w:ilvl w:val="0"/>
          <w:numId w:val="5"/>
        </w:numPr>
        <w:tabs>
          <w:tab w:val="clear" w:pos="567"/>
        </w:tabs>
        <w:spacing w:line="240" w:lineRule="auto"/>
        <w:ind w:right="-2"/>
        <w:rPr>
          <w:bCs/>
          <w:szCs w:val="24"/>
          <w:lang w:val="lt-LT"/>
        </w:rPr>
      </w:pPr>
      <w:proofErr w:type="spellStart"/>
      <w:r>
        <w:rPr>
          <w:bCs/>
          <w:szCs w:val="24"/>
          <w:lang w:val="lt-LT"/>
        </w:rPr>
        <w:t>ciklosporiną</w:t>
      </w:r>
      <w:proofErr w:type="spellEnd"/>
      <w:r>
        <w:rPr>
          <w:bCs/>
          <w:szCs w:val="24"/>
          <w:lang w:val="lt-LT"/>
        </w:rPr>
        <w:t xml:space="preserve"> A (vaistą, vartojamą po transplantacijos ar gydant psoriazę), kurį draudžiama vartoti kartu su </w:t>
      </w:r>
      <w:proofErr w:type="spellStart"/>
      <w:r>
        <w:rPr>
          <w:bCs/>
          <w:szCs w:val="24"/>
          <w:lang w:val="lt-LT"/>
        </w:rPr>
        <w:t>Bosentan</w:t>
      </w:r>
      <w:proofErr w:type="spellEnd"/>
      <w:r>
        <w:rPr>
          <w:bCs/>
          <w:szCs w:val="24"/>
          <w:lang w:val="lt-LT"/>
        </w:rPr>
        <w:t xml:space="preserve"> </w:t>
      </w:r>
      <w:proofErr w:type="spellStart"/>
      <w:r>
        <w:rPr>
          <w:bCs/>
          <w:szCs w:val="24"/>
          <w:lang w:val="lt-LT"/>
        </w:rPr>
        <w:t>Norameda</w:t>
      </w:r>
      <w:proofErr w:type="spellEnd"/>
      <w:r>
        <w:rPr>
          <w:bCs/>
          <w:szCs w:val="24"/>
          <w:lang w:val="lt-LT"/>
        </w:rPr>
        <w:t xml:space="preserve">; </w:t>
      </w:r>
    </w:p>
    <w:p w14:paraId="49081BCC" w14:textId="77777777" w:rsidR="00172C88" w:rsidRDefault="00172C88" w:rsidP="00172C88">
      <w:pPr>
        <w:pStyle w:val="Sraopastraipa"/>
        <w:numPr>
          <w:ilvl w:val="0"/>
          <w:numId w:val="5"/>
        </w:numPr>
        <w:tabs>
          <w:tab w:val="clear" w:pos="567"/>
        </w:tabs>
        <w:spacing w:line="240" w:lineRule="auto"/>
        <w:ind w:right="-2"/>
        <w:rPr>
          <w:bCs/>
          <w:szCs w:val="24"/>
          <w:lang w:val="lt-LT"/>
        </w:rPr>
      </w:pPr>
      <w:proofErr w:type="spellStart"/>
      <w:r>
        <w:rPr>
          <w:bCs/>
          <w:szCs w:val="24"/>
          <w:lang w:val="lt-LT"/>
        </w:rPr>
        <w:t>sirolimuzą</w:t>
      </w:r>
      <w:proofErr w:type="spellEnd"/>
      <w:r>
        <w:rPr>
          <w:bCs/>
          <w:szCs w:val="24"/>
          <w:lang w:val="lt-LT"/>
        </w:rPr>
        <w:t xml:space="preserve"> ar </w:t>
      </w:r>
      <w:proofErr w:type="spellStart"/>
      <w:r>
        <w:rPr>
          <w:bCs/>
          <w:szCs w:val="24"/>
          <w:lang w:val="lt-LT"/>
        </w:rPr>
        <w:t>takrolimuzą</w:t>
      </w:r>
      <w:proofErr w:type="spellEnd"/>
      <w:r>
        <w:rPr>
          <w:bCs/>
          <w:szCs w:val="24"/>
          <w:lang w:val="lt-LT"/>
        </w:rPr>
        <w:t xml:space="preserve"> (vaistus, vartojamus po transplantacijos), nes nerekomenduojama jų vartoti kartu su </w:t>
      </w:r>
      <w:proofErr w:type="spellStart"/>
      <w:r>
        <w:rPr>
          <w:bCs/>
          <w:szCs w:val="24"/>
          <w:lang w:val="lt-LT"/>
        </w:rPr>
        <w:t>Bosentan</w:t>
      </w:r>
      <w:proofErr w:type="spellEnd"/>
      <w:r>
        <w:rPr>
          <w:bCs/>
          <w:szCs w:val="24"/>
          <w:lang w:val="lt-LT"/>
        </w:rPr>
        <w:t xml:space="preserve"> </w:t>
      </w:r>
      <w:proofErr w:type="spellStart"/>
      <w:r>
        <w:rPr>
          <w:bCs/>
          <w:szCs w:val="24"/>
          <w:lang w:val="lt-LT"/>
        </w:rPr>
        <w:t>Norameda</w:t>
      </w:r>
      <w:proofErr w:type="spellEnd"/>
      <w:r>
        <w:rPr>
          <w:bCs/>
          <w:szCs w:val="24"/>
          <w:lang w:val="lt-LT"/>
        </w:rPr>
        <w:t xml:space="preserve">; </w:t>
      </w:r>
    </w:p>
    <w:p w14:paraId="571F3075" w14:textId="77777777" w:rsidR="00172C88" w:rsidRDefault="00172C88" w:rsidP="00172C88">
      <w:pPr>
        <w:pStyle w:val="Sraopastraipa"/>
        <w:numPr>
          <w:ilvl w:val="0"/>
          <w:numId w:val="5"/>
        </w:numPr>
        <w:tabs>
          <w:tab w:val="clear" w:pos="567"/>
        </w:tabs>
        <w:spacing w:line="240" w:lineRule="auto"/>
        <w:ind w:right="-2"/>
        <w:rPr>
          <w:bCs/>
          <w:szCs w:val="24"/>
          <w:lang w:val="lt-LT"/>
        </w:rPr>
      </w:pPr>
      <w:proofErr w:type="spellStart"/>
      <w:r>
        <w:rPr>
          <w:bCs/>
          <w:szCs w:val="24"/>
          <w:lang w:val="lt-LT"/>
        </w:rPr>
        <w:t>glibenklamidą</w:t>
      </w:r>
      <w:proofErr w:type="spellEnd"/>
      <w:r>
        <w:rPr>
          <w:bCs/>
          <w:szCs w:val="24"/>
          <w:lang w:val="lt-LT"/>
        </w:rPr>
        <w:t xml:space="preserve"> (cukriniam diabetui gydyti), </w:t>
      </w:r>
      <w:proofErr w:type="spellStart"/>
      <w:r>
        <w:rPr>
          <w:bCs/>
          <w:szCs w:val="24"/>
          <w:lang w:val="lt-LT"/>
        </w:rPr>
        <w:t>rifampiciną</w:t>
      </w:r>
      <w:proofErr w:type="spellEnd"/>
      <w:r>
        <w:rPr>
          <w:bCs/>
          <w:szCs w:val="24"/>
          <w:lang w:val="lt-LT"/>
        </w:rPr>
        <w:t xml:space="preserve"> (tuberkuliozei gydyti) ar </w:t>
      </w:r>
      <w:proofErr w:type="spellStart"/>
      <w:r>
        <w:rPr>
          <w:bCs/>
          <w:szCs w:val="24"/>
          <w:lang w:val="lt-LT"/>
        </w:rPr>
        <w:t>flukonazolą</w:t>
      </w:r>
      <w:proofErr w:type="spellEnd"/>
      <w:r>
        <w:rPr>
          <w:bCs/>
          <w:szCs w:val="24"/>
          <w:lang w:val="lt-LT"/>
        </w:rPr>
        <w:t xml:space="preserve"> (grybelinėms infekcijoms gydyti), </w:t>
      </w:r>
      <w:proofErr w:type="spellStart"/>
      <w:r w:rsidR="00FE7070" w:rsidRPr="00C54C14">
        <w:rPr>
          <w:lang w:val="lt-LT"/>
        </w:rPr>
        <w:t>ketokonazolą</w:t>
      </w:r>
      <w:proofErr w:type="spellEnd"/>
      <w:r w:rsidR="00FE7070" w:rsidRPr="00C54C14">
        <w:rPr>
          <w:lang w:val="lt-LT"/>
        </w:rPr>
        <w:t xml:space="preserve"> (vaistą </w:t>
      </w:r>
      <w:proofErr w:type="spellStart"/>
      <w:r w:rsidR="00FE7070" w:rsidRPr="00C54C14">
        <w:rPr>
          <w:lang w:val="lt-LT"/>
        </w:rPr>
        <w:t>Kušingo</w:t>
      </w:r>
      <w:proofErr w:type="spellEnd"/>
      <w:r w:rsidR="00FE7070" w:rsidRPr="00C54C14">
        <w:rPr>
          <w:lang w:val="lt-LT"/>
        </w:rPr>
        <w:t xml:space="preserve"> sindromui gydyti) arba </w:t>
      </w:r>
      <w:proofErr w:type="spellStart"/>
      <w:r>
        <w:rPr>
          <w:bCs/>
          <w:szCs w:val="24"/>
          <w:lang w:val="lt-LT"/>
        </w:rPr>
        <w:lastRenderedPageBreak/>
        <w:t>nevirapiną</w:t>
      </w:r>
      <w:proofErr w:type="spellEnd"/>
      <w:r>
        <w:rPr>
          <w:bCs/>
          <w:szCs w:val="24"/>
          <w:lang w:val="lt-LT"/>
        </w:rPr>
        <w:t xml:space="preserve"> (ŽIV infekcijai gydyti), nes nerekomenduojama šių vaistų vartoti kartu su </w:t>
      </w:r>
      <w:proofErr w:type="spellStart"/>
      <w:r>
        <w:rPr>
          <w:bCs/>
          <w:szCs w:val="24"/>
          <w:lang w:val="lt-LT"/>
        </w:rPr>
        <w:t>Bosentan</w:t>
      </w:r>
      <w:proofErr w:type="spellEnd"/>
      <w:r>
        <w:rPr>
          <w:bCs/>
          <w:szCs w:val="24"/>
          <w:lang w:val="lt-LT"/>
        </w:rPr>
        <w:t xml:space="preserve"> </w:t>
      </w:r>
      <w:proofErr w:type="spellStart"/>
      <w:r>
        <w:rPr>
          <w:bCs/>
          <w:szCs w:val="24"/>
          <w:lang w:val="lt-LT"/>
        </w:rPr>
        <w:t>Norameda</w:t>
      </w:r>
      <w:proofErr w:type="spellEnd"/>
      <w:r>
        <w:rPr>
          <w:bCs/>
          <w:szCs w:val="24"/>
          <w:lang w:val="lt-LT"/>
        </w:rPr>
        <w:t xml:space="preserve">; </w:t>
      </w:r>
    </w:p>
    <w:p w14:paraId="6292E00E" w14:textId="77777777" w:rsidR="00172C88" w:rsidRDefault="00172C88" w:rsidP="00172C88">
      <w:pPr>
        <w:pStyle w:val="Sraopastraipa"/>
        <w:numPr>
          <w:ilvl w:val="0"/>
          <w:numId w:val="5"/>
        </w:numPr>
        <w:tabs>
          <w:tab w:val="clear" w:pos="567"/>
        </w:tabs>
        <w:spacing w:line="240" w:lineRule="auto"/>
        <w:ind w:right="-2"/>
        <w:rPr>
          <w:bCs/>
          <w:szCs w:val="24"/>
          <w:lang w:val="lt-LT"/>
        </w:rPr>
      </w:pPr>
      <w:r>
        <w:rPr>
          <w:bCs/>
          <w:szCs w:val="24"/>
          <w:lang w:val="lt-LT"/>
        </w:rPr>
        <w:t xml:space="preserve">kitų vaistų ŽIV infekcijai gydyti, kuriems gali reikėti specialaus stebėjimo, vartojant kartu su </w:t>
      </w:r>
      <w:proofErr w:type="spellStart"/>
      <w:r>
        <w:rPr>
          <w:bCs/>
          <w:szCs w:val="24"/>
          <w:lang w:val="lt-LT"/>
        </w:rPr>
        <w:t>Bosentan</w:t>
      </w:r>
      <w:proofErr w:type="spellEnd"/>
      <w:r>
        <w:rPr>
          <w:bCs/>
          <w:szCs w:val="24"/>
          <w:lang w:val="lt-LT"/>
        </w:rPr>
        <w:t xml:space="preserve"> </w:t>
      </w:r>
      <w:proofErr w:type="spellStart"/>
      <w:r>
        <w:rPr>
          <w:bCs/>
          <w:szCs w:val="24"/>
          <w:lang w:val="lt-LT"/>
        </w:rPr>
        <w:t>Norameda</w:t>
      </w:r>
      <w:proofErr w:type="spellEnd"/>
      <w:r>
        <w:rPr>
          <w:bCs/>
          <w:szCs w:val="24"/>
          <w:lang w:val="lt-LT"/>
        </w:rPr>
        <w:t>;</w:t>
      </w:r>
    </w:p>
    <w:p w14:paraId="37AA53FA" w14:textId="77777777" w:rsidR="00172C88" w:rsidRDefault="00172C88" w:rsidP="00172C88">
      <w:pPr>
        <w:pStyle w:val="Sraopastraipa"/>
        <w:numPr>
          <w:ilvl w:val="0"/>
          <w:numId w:val="5"/>
        </w:numPr>
        <w:tabs>
          <w:tab w:val="clear" w:pos="567"/>
        </w:tabs>
        <w:spacing w:line="240" w:lineRule="auto"/>
        <w:ind w:right="-2"/>
        <w:rPr>
          <w:bCs/>
          <w:szCs w:val="24"/>
          <w:lang w:val="lt-LT"/>
        </w:rPr>
      </w:pPr>
      <w:r>
        <w:rPr>
          <w:bCs/>
          <w:szCs w:val="24"/>
          <w:lang w:val="lt-LT"/>
        </w:rPr>
        <w:t xml:space="preserve">hormoninių kontraceptikų (nes gydantis </w:t>
      </w:r>
      <w:proofErr w:type="spellStart"/>
      <w:r>
        <w:rPr>
          <w:bCs/>
          <w:szCs w:val="24"/>
          <w:lang w:val="lt-LT"/>
        </w:rPr>
        <w:t>Bosentan</w:t>
      </w:r>
      <w:proofErr w:type="spellEnd"/>
      <w:r>
        <w:rPr>
          <w:bCs/>
          <w:szCs w:val="24"/>
          <w:lang w:val="lt-LT"/>
        </w:rPr>
        <w:t xml:space="preserve"> </w:t>
      </w:r>
      <w:proofErr w:type="spellStart"/>
      <w:r>
        <w:rPr>
          <w:bCs/>
          <w:szCs w:val="24"/>
          <w:lang w:val="lt-LT"/>
        </w:rPr>
        <w:t>Norameda</w:t>
      </w:r>
      <w:proofErr w:type="spellEnd"/>
      <w:r>
        <w:rPr>
          <w:bCs/>
          <w:szCs w:val="24"/>
          <w:lang w:val="lt-LT"/>
        </w:rPr>
        <w:t xml:space="preserve"> jie nėra veiksmingi vartojant kaip vienintelį kontracepcijos metodą). </w:t>
      </w:r>
      <w:proofErr w:type="spellStart"/>
      <w:r>
        <w:rPr>
          <w:bCs/>
          <w:szCs w:val="24"/>
          <w:lang w:val="lt-LT"/>
        </w:rPr>
        <w:t>Bosentan</w:t>
      </w:r>
      <w:proofErr w:type="spellEnd"/>
      <w:r>
        <w:rPr>
          <w:bCs/>
          <w:szCs w:val="24"/>
          <w:lang w:val="lt-LT"/>
        </w:rPr>
        <w:t xml:space="preserve"> </w:t>
      </w:r>
      <w:proofErr w:type="spellStart"/>
      <w:r>
        <w:rPr>
          <w:bCs/>
          <w:szCs w:val="24"/>
          <w:lang w:val="lt-LT"/>
        </w:rPr>
        <w:t>Norameda</w:t>
      </w:r>
      <w:proofErr w:type="spellEnd"/>
      <w:r>
        <w:rPr>
          <w:bCs/>
          <w:szCs w:val="24"/>
          <w:lang w:val="lt-LT"/>
        </w:rPr>
        <w:t xml:space="preserve"> tablečių pakuotėje Jūs rasite paciento įspėjamąją kortelę, kurią turite įdėmiai perskaityti. Jūsų gydytojas ir (arba) ginekologas parinks Jums tinkamą kontracepcijos metodą;</w:t>
      </w:r>
    </w:p>
    <w:p w14:paraId="1C645DF6" w14:textId="77777777" w:rsidR="00172C88" w:rsidRPr="002421D2" w:rsidRDefault="00172C88" w:rsidP="00172C88">
      <w:pPr>
        <w:pStyle w:val="Sraopastraipa"/>
        <w:numPr>
          <w:ilvl w:val="0"/>
          <w:numId w:val="5"/>
        </w:numPr>
        <w:tabs>
          <w:tab w:val="clear" w:pos="567"/>
        </w:tabs>
        <w:spacing w:line="240" w:lineRule="auto"/>
        <w:ind w:right="-2"/>
        <w:rPr>
          <w:bCs/>
          <w:szCs w:val="24"/>
          <w:lang w:val="lt-LT"/>
        </w:rPr>
      </w:pPr>
      <w:r w:rsidRPr="002421D2">
        <w:rPr>
          <w:bCs/>
          <w:szCs w:val="24"/>
          <w:lang w:val="lt-LT"/>
        </w:rPr>
        <w:t xml:space="preserve">kitų vaistų </w:t>
      </w:r>
      <w:proofErr w:type="spellStart"/>
      <w:r w:rsidRPr="002421D2">
        <w:rPr>
          <w:bCs/>
          <w:szCs w:val="24"/>
          <w:lang w:val="lt-LT"/>
        </w:rPr>
        <w:t>plautinei</w:t>
      </w:r>
      <w:proofErr w:type="spellEnd"/>
      <w:r w:rsidRPr="002421D2">
        <w:rPr>
          <w:bCs/>
          <w:szCs w:val="24"/>
          <w:lang w:val="lt-LT"/>
        </w:rPr>
        <w:t xml:space="preserve"> hipertenzijai gydyti: </w:t>
      </w:r>
      <w:proofErr w:type="spellStart"/>
      <w:r w:rsidRPr="002421D2">
        <w:rPr>
          <w:bCs/>
          <w:szCs w:val="24"/>
          <w:lang w:val="lt-LT"/>
        </w:rPr>
        <w:t>sildenafilio</w:t>
      </w:r>
      <w:proofErr w:type="spellEnd"/>
      <w:r w:rsidRPr="002421D2">
        <w:rPr>
          <w:bCs/>
          <w:szCs w:val="24"/>
          <w:lang w:val="lt-LT"/>
        </w:rPr>
        <w:t xml:space="preserve">, </w:t>
      </w:r>
      <w:proofErr w:type="spellStart"/>
      <w:r w:rsidRPr="002421D2">
        <w:rPr>
          <w:bCs/>
          <w:szCs w:val="24"/>
          <w:lang w:val="lt-LT"/>
        </w:rPr>
        <w:t>tadalafilio</w:t>
      </w:r>
      <w:proofErr w:type="spellEnd"/>
      <w:r w:rsidRPr="002421D2">
        <w:rPr>
          <w:bCs/>
          <w:szCs w:val="24"/>
          <w:lang w:val="lt-LT"/>
        </w:rPr>
        <w:t>;</w:t>
      </w:r>
    </w:p>
    <w:p w14:paraId="51756C6D" w14:textId="77777777" w:rsidR="00172C88" w:rsidRPr="002421D2" w:rsidRDefault="00172C88" w:rsidP="00172C88">
      <w:pPr>
        <w:pStyle w:val="Sraopastraipa"/>
        <w:numPr>
          <w:ilvl w:val="0"/>
          <w:numId w:val="5"/>
        </w:numPr>
        <w:tabs>
          <w:tab w:val="clear" w:pos="567"/>
        </w:tabs>
        <w:spacing w:line="240" w:lineRule="auto"/>
        <w:ind w:right="-2"/>
        <w:rPr>
          <w:bCs/>
          <w:szCs w:val="24"/>
          <w:lang w:val="lt-LT"/>
        </w:rPr>
      </w:pPr>
      <w:r w:rsidRPr="002421D2">
        <w:rPr>
          <w:bCs/>
          <w:szCs w:val="24"/>
          <w:lang w:val="lt-LT"/>
        </w:rPr>
        <w:t>varfarino (krešėjimą slopinančio vaisto);</w:t>
      </w:r>
    </w:p>
    <w:p w14:paraId="20CD6512" w14:textId="77777777" w:rsidR="00172C88" w:rsidRDefault="00172C88" w:rsidP="00172C88">
      <w:pPr>
        <w:pStyle w:val="Sraopastraipa"/>
        <w:numPr>
          <w:ilvl w:val="0"/>
          <w:numId w:val="5"/>
        </w:numPr>
        <w:tabs>
          <w:tab w:val="clear" w:pos="567"/>
        </w:tabs>
        <w:spacing w:line="240" w:lineRule="auto"/>
        <w:ind w:right="-2"/>
        <w:rPr>
          <w:bCs/>
          <w:szCs w:val="24"/>
          <w:lang w:val="lt-LT"/>
        </w:rPr>
      </w:pPr>
      <w:proofErr w:type="spellStart"/>
      <w:r w:rsidRPr="002421D2">
        <w:rPr>
          <w:bCs/>
          <w:szCs w:val="24"/>
          <w:lang w:val="lt-LT"/>
        </w:rPr>
        <w:t>simvastatino</w:t>
      </w:r>
      <w:proofErr w:type="spellEnd"/>
      <w:r w:rsidRPr="002421D2">
        <w:rPr>
          <w:bCs/>
          <w:szCs w:val="24"/>
          <w:lang w:val="lt-LT"/>
        </w:rPr>
        <w:t xml:space="preserve"> (</w:t>
      </w:r>
      <w:proofErr w:type="spellStart"/>
      <w:r w:rsidRPr="002421D2">
        <w:rPr>
          <w:bCs/>
          <w:szCs w:val="24"/>
          <w:lang w:val="lt-LT"/>
        </w:rPr>
        <w:t>hipercholesterolemijai</w:t>
      </w:r>
      <w:proofErr w:type="spellEnd"/>
      <w:r w:rsidRPr="002421D2">
        <w:rPr>
          <w:bCs/>
          <w:szCs w:val="24"/>
          <w:lang w:val="lt-LT"/>
        </w:rPr>
        <w:t xml:space="preserve"> gydyti).</w:t>
      </w:r>
    </w:p>
    <w:p w14:paraId="02AB245B" w14:textId="77777777" w:rsidR="00172C88" w:rsidRDefault="00172C88" w:rsidP="00172C88">
      <w:pPr>
        <w:tabs>
          <w:tab w:val="clear" w:pos="567"/>
        </w:tabs>
        <w:spacing w:line="240" w:lineRule="auto"/>
        <w:ind w:right="-2"/>
        <w:rPr>
          <w:bCs/>
          <w:szCs w:val="24"/>
          <w:lang w:val="lt-LT"/>
        </w:rPr>
      </w:pPr>
    </w:p>
    <w:p w14:paraId="7A9E6F1A" w14:textId="77777777" w:rsidR="00172C88" w:rsidRPr="007263E8" w:rsidRDefault="00172C88" w:rsidP="00172C88">
      <w:pPr>
        <w:tabs>
          <w:tab w:val="clear" w:pos="567"/>
        </w:tabs>
        <w:spacing w:line="240" w:lineRule="auto"/>
        <w:ind w:right="-2"/>
      </w:pPr>
      <w:r>
        <w:rPr>
          <w:b/>
          <w:lang w:val="lt-LT"/>
        </w:rPr>
        <w:t>Vairavimas ir mechanizmų valdymas</w:t>
      </w:r>
      <w:r>
        <w:rPr>
          <w:b/>
          <w:bCs/>
          <w:szCs w:val="24"/>
          <w:lang w:val="lt-LT"/>
        </w:rPr>
        <w:t xml:space="preserve"> </w:t>
      </w:r>
    </w:p>
    <w:p w14:paraId="2B19338E" w14:textId="77777777" w:rsidR="00172C88" w:rsidRDefault="00172C88" w:rsidP="00172C88">
      <w:pPr>
        <w:tabs>
          <w:tab w:val="clear" w:pos="567"/>
        </w:tabs>
        <w:spacing w:line="240" w:lineRule="auto"/>
        <w:ind w:right="-2"/>
        <w:rPr>
          <w:bCs/>
          <w:szCs w:val="24"/>
          <w:lang w:val="lt-LT"/>
        </w:rPr>
      </w:pPr>
      <w:proofErr w:type="spellStart"/>
      <w:r>
        <w:rPr>
          <w:bCs/>
          <w:szCs w:val="24"/>
          <w:lang w:val="lt-LT"/>
        </w:rPr>
        <w:t>Bosentan</w:t>
      </w:r>
      <w:proofErr w:type="spellEnd"/>
      <w:r>
        <w:rPr>
          <w:bCs/>
          <w:szCs w:val="24"/>
          <w:lang w:val="lt-LT"/>
        </w:rPr>
        <w:t xml:space="preserve"> </w:t>
      </w:r>
      <w:proofErr w:type="spellStart"/>
      <w:r>
        <w:rPr>
          <w:bCs/>
          <w:szCs w:val="24"/>
          <w:lang w:val="lt-LT"/>
        </w:rPr>
        <w:t>Norameda</w:t>
      </w:r>
      <w:proofErr w:type="spellEnd"/>
      <w:r>
        <w:rPr>
          <w:bCs/>
          <w:szCs w:val="24"/>
          <w:lang w:val="lt-LT"/>
        </w:rPr>
        <w:t xml:space="preserve"> neveikia arba veikia nereikšmingai gebėjimą vairuoti ir valdyti mechanizmus. Vis dėlto </w:t>
      </w:r>
      <w:proofErr w:type="spellStart"/>
      <w:r>
        <w:rPr>
          <w:bCs/>
          <w:szCs w:val="24"/>
          <w:lang w:val="lt-LT"/>
        </w:rPr>
        <w:t>Bosentan</w:t>
      </w:r>
      <w:proofErr w:type="spellEnd"/>
      <w:r>
        <w:rPr>
          <w:bCs/>
          <w:szCs w:val="24"/>
          <w:lang w:val="lt-LT"/>
        </w:rPr>
        <w:t xml:space="preserve"> </w:t>
      </w:r>
      <w:proofErr w:type="spellStart"/>
      <w:r>
        <w:rPr>
          <w:bCs/>
          <w:szCs w:val="24"/>
          <w:lang w:val="lt-LT"/>
        </w:rPr>
        <w:t>Norameda</w:t>
      </w:r>
      <w:proofErr w:type="spellEnd"/>
      <w:r>
        <w:rPr>
          <w:bCs/>
          <w:szCs w:val="24"/>
          <w:lang w:val="lt-LT"/>
        </w:rPr>
        <w:t xml:space="preserve"> gali sukelti </w:t>
      </w:r>
      <w:proofErr w:type="spellStart"/>
      <w:r>
        <w:rPr>
          <w:bCs/>
          <w:szCs w:val="24"/>
          <w:lang w:val="lt-LT"/>
        </w:rPr>
        <w:t>hipotenziją</w:t>
      </w:r>
      <w:proofErr w:type="spellEnd"/>
      <w:r>
        <w:rPr>
          <w:bCs/>
          <w:szCs w:val="24"/>
          <w:lang w:val="lt-LT"/>
        </w:rPr>
        <w:t xml:space="preserve"> (sumažinti jūsų kraujospūdį), dėl to gali pasireikšti svaigulys,</w:t>
      </w:r>
      <w:r w:rsidRPr="00717F30">
        <w:rPr>
          <w:rFonts w:eastAsia="Calibri"/>
          <w:szCs w:val="22"/>
          <w:lang w:val="lt-LT"/>
        </w:rPr>
        <w:t xml:space="preserve"> </w:t>
      </w:r>
      <w:r w:rsidRPr="00717F30">
        <w:rPr>
          <w:bCs/>
          <w:szCs w:val="24"/>
          <w:lang w:val="lt-LT"/>
        </w:rPr>
        <w:t>pablogėti regėjimas</w:t>
      </w:r>
      <w:r>
        <w:rPr>
          <w:bCs/>
          <w:szCs w:val="24"/>
          <w:lang w:val="lt-LT"/>
        </w:rPr>
        <w:t xml:space="preserve"> ir suprastėti gebėjimas vairuoti bei valdyti mechanizmus. Taigi, jeigu jaučiatės apsvaigęs</w:t>
      </w:r>
      <w:r w:rsidRPr="00C54C14">
        <w:rPr>
          <w:lang w:val="lt-LT"/>
        </w:rPr>
        <w:t xml:space="preserve"> arba matote lyg per miglą (neryškiai)</w:t>
      </w:r>
      <w:r>
        <w:rPr>
          <w:bCs/>
          <w:szCs w:val="24"/>
          <w:lang w:val="lt-LT"/>
        </w:rPr>
        <w:t xml:space="preserve"> vartodamas </w:t>
      </w:r>
      <w:proofErr w:type="spellStart"/>
      <w:r>
        <w:rPr>
          <w:bCs/>
          <w:szCs w:val="24"/>
          <w:lang w:val="lt-LT"/>
        </w:rPr>
        <w:t>Bosentan</w:t>
      </w:r>
      <w:proofErr w:type="spellEnd"/>
      <w:r>
        <w:rPr>
          <w:bCs/>
          <w:szCs w:val="24"/>
          <w:lang w:val="lt-LT"/>
        </w:rPr>
        <w:t xml:space="preserve"> </w:t>
      </w:r>
      <w:proofErr w:type="spellStart"/>
      <w:r>
        <w:rPr>
          <w:bCs/>
          <w:szCs w:val="24"/>
          <w:lang w:val="lt-LT"/>
        </w:rPr>
        <w:t>Norameda</w:t>
      </w:r>
      <w:proofErr w:type="spellEnd"/>
      <w:r>
        <w:rPr>
          <w:bCs/>
          <w:szCs w:val="24"/>
          <w:lang w:val="lt-LT"/>
        </w:rPr>
        <w:t>, nevairuokite ir nesinaudokite mechanizmais.</w:t>
      </w:r>
    </w:p>
    <w:p w14:paraId="00DBA9C7" w14:textId="77777777" w:rsidR="00172C88" w:rsidRDefault="00172C88" w:rsidP="00172C88">
      <w:pPr>
        <w:tabs>
          <w:tab w:val="clear" w:pos="567"/>
        </w:tabs>
        <w:spacing w:line="240" w:lineRule="auto"/>
        <w:ind w:right="-2"/>
        <w:rPr>
          <w:bCs/>
          <w:szCs w:val="24"/>
          <w:lang w:val="lt-LT"/>
        </w:rPr>
      </w:pPr>
    </w:p>
    <w:p w14:paraId="060CECF2" w14:textId="77777777" w:rsidR="00172C88" w:rsidRPr="00C54C14" w:rsidRDefault="00172C88" w:rsidP="00172C88">
      <w:pPr>
        <w:tabs>
          <w:tab w:val="clear" w:pos="567"/>
        </w:tabs>
        <w:spacing w:line="240" w:lineRule="auto"/>
        <w:ind w:right="-2"/>
        <w:rPr>
          <w:lang w:val="pt-PT"/>
        </w:rPr>
      </w:pPr>
      <w:r>
        <w:rPr>
          <w:b/>
          <w:bCs/>
          <w:szCs w:val="24"/>
          <w:lang w:val="lt-LT"/>
        </w:rPr>
        <w:t xml:space="preserve">Vaisingo amžiaus moterys </w:t>
      </w:r>
    </w:p>
    <w:p w14:paraId="38EAB57D" w14:textId="77777777" w:rsidR="00172C88" w:rsidRDefault="00172C88" w:rsidP="00172C88">
      <w:pPr>
        <w:tabs>
          <w:tab w:val="clear" w:pos="567"/>
        </w:tabs>
        <w:spacing w:line="240" w:lineRule="auto"/>
        <w:ind w:right="-2"/>
        <w:rPr>
          <w:bCs/>
          <w:szCs w:val="24"/>
          <w:lang w:val="lt-LT"/>
        </w:rPr>
      </w:pPr>
      <w:r>
        <w:rPr>
          <w:bCs/>
          <w:szCs w:val="24"/>
          <w:lang w:val="lt-LT"/>
        </w:rPr>
        <w:t xml:space="preserve">NEVARTOKITE </w:t>
      </w:r>
      <w:proofErr w:type="spellStart"/>
      <w:r>
        <w:rPr>
          <w:bCs/>
          <w:szCs w:val="24"/>
          <w:lang w:val="lt-LT"/>
        </w:rPr>
        <w:t>Bosentan</w:t>
      </w:r>
      <w:proofErr w:type="spellEnd"/>
      <w:r>
        <w:rPr>
          <w:bCs/>
          <w:szCs w:val="24"/>
          <w:lang w:val="lt-LT"/>
        </w:rPr>
        <w:t xml:space="preserve"> </w:t>
      </w:r>
      <w:proofErr w:type="spellStart"/>
      <w:r>
        <w:rPr>
          <w:bCs/>
          <w:szCs w:val="24"/>
          <w:lang w:val="lt-LT"/>
        </w:rPr>
        <w:t>Norameda</w:t>
      </w:r>
      <w:proofErr w:type="spellEnd"/>
      <w:r>
        <w:rPr>
          <w:bCs/>
          <w:szCs w:val="24"/>
          <w:lang w:val="lt-LT"/>
        </w:rPr>
        <w:t>, jeigu esate nėščia arba planuojate pastoti.</w:t>
      </w:r>
    </w:p>
    <w:p w14:paraId="1F415CE1" w14:textId="77777777" w:rsidR="00172C88" w:rsidRDefault="00172C88" w:rsidP="00172C88">
      <w:pPr>
        <w:tabs>
          <w:tab w:val="clear" w:pos="567"/>
        </w:tabs>
        <w:spacing w:line="240" w:lineRule="auto"/>
        <w:ind w:right="-2"/>
        <w:rPr>
          <w:bCs/>
          <w:szCs w:val="24"/>
          <w:lang w:val="lt-LT"/>
        </w:rPr>
      </w:pPr>
    </w:p>
    <w:p w14:paraId="2994DD82" w14:textId="77777777" w:rsidR="00172C88" w:rsidRDefault="00172C88" w:rsidP="00172C88">
      <w:pPr>
        <w:tabs>
          <w:tab w:val="clear" w:pos="567"/>
        </w:tabs>
        <w:spacing w:line="240" w:lineRule="auto"/>
        <w:ind w:right="-2"/>
        <w:rPr>
          <w:b/>
          <w:lang w:val="lt-LT"/>
        </w:rPr>
      </w:pPr>
      <w:r>
        <w:rPr>
          <w:b/>
          <w:lang w:val="lt-LT"/>
        </w:rPr>
        <w:t xml:space="preserve">Nėštumo testai </w:t>
      </w:r>
    </w:p>
    <w:p w14:paraId="4F029FCA" w14:textId="77777777" w:rsidR="00172C88" w:rsidRDefault="00172C88" w:rsidP="00172C88">
      <w:pPr>
        <w:tabs>
          <w:tab w:val="clear" w:pos="567"/>
        </w:tabs>
        <w:spacing w:line="240" w:lineRule="auto"/>
        <w:ind w:right="-2"/>
        <w:rPr>
          <w:szCs w:val="24"/>
          <w:lang w:val="lt-LT"/>
        </w:rPr>
      </w:pPr>
      <w:r>
        <w:rPr>
          <w:szCs w:val="24"/>
          <w:lang w:val="lt-LT"/>
        </w:rPr>
        <w:t xml:space="preserve">Jeigu moteris pastoja prieš gydymo pradžią arba gydymo metu,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gali pakenkti dar negimusiam vaikui. Jeigu esate vaisingo amžiaus moteris, gydytojas paprašys atlikti nėštumo testą prieš pradedant gydymą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ir reguliariai jo metu. </w:t>
      </w:r>
    </w:p>
    <w:p w14:paraId="32B8E0E0" w14:textId="77777777" w:rsidR="00172C88" w:rsidRDefault="00172C88" w:rsidP="00172C88">
      <w:pPr>
        <w:tabs>
          <w:tab w:val="clear" w:pos="567"/>
        </w:tabs>
        <w:spacing w:line="240" w:lineRule="auto"/>
        <w:ind w:right="-2"/>
        <w:rPr>
          <w:b/>
          <w:lang w:val="lt-LT"/>
        </w:rPr>
      </w:pPr>
    </w:p>
    <w:p w14:paraId="7997B8B4" w14:textId="77777777" w:rsidR="00172C88" w:rsidRPr="007263E8" w:rsidRDefault="00172C88" w:rsidP="00172C88">
      <w:pPr>
        <w:tabs>
          <w:tab w:val="clear" w:pos="567"/>
        </w:tabs>
        <w:spacing w:line="240" w:lineRule="auto"/>
        <w:ind w:right="-2"/>
        <w:rPr>
          <w:lang w:val="lt-LT"/>
        </w:rPr>
      </w:pPr>
      <w:r>
        <w:rPr>
          <w:b/>
          <w:bCs/>
          <w:szCs w:val="24"/>
          <w:lang w:val="lt-LT"/>
        </w:rPr>
        <w:t>Kontraceptikai</w:t>
      </w:r>
    </w:p>
    <w:p w14:paraId="4C95CE98" w14:textId="77777777" w:rsidR="00172C88" w:rsidRDefault="00172C88" w:rsidP="00172C88">
      <w:pPr>
        <w:tabs>
          <w:tab w:val="clear" w:pos="567"/>
        </w:tabs>
        <w:spacing w:line="240" w:lineRule="auto"/>
        <w:ind w:right="-2"/>
        <w:rPr>
          <w:szCs w:val="24"/>
          <w:lang w:val="lt-LT"/>
        </w:rPr>
      </w:pPr>
      <w:r>
        <w:rPr>
          <w:szCs w:val="24"/>
          <w:lang w:val="lt-LT"/>
        </w:rPr>
        <w:t xml:space="preserve">Jeigu yra galimybė pastoti,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vartojimo laikotarpiu naudokite patikimą pastojimo kontrolės (kontracepcijos) priemonę. Gydytojas arba ginekologas patars, kokios kontracepcijos priemonės yra patikimos vartojant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Kadangi vartojant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hormoninės kontracepcijos priemonės (pvz., geriamosios, švirkščiamosios, implantuojamosios arba pleistrai) gali tapti neveiksmingos, vien tik šis metodas nėra patikimas. Todėl, jeigu vartojate hormoninių kontraceptikų, turite kartu naudoti ir barjerines apsaugos priemones (pvz., prezervatyvus moterims, diafragmas, kontraceptinę kempinę, arba Jūsų partneris turi naudoti prezervatyvą).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tablečių pakuotėje rasite paciento įspėjamąją kortelę. Būtinai užpildykite šią kortelę ir paduokite ją gydytojui kito vizito metu, kad gydytojas arba ginekologas galėtų įvertinti, ar Jums reikia naudoti papildomą arba alternatyvų patikimą kontracepcijos metodą. Jeigu esate vaisingo amžiaus,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vartojimo laikotarpiu rekomenduojama kas mėnesį atlikti nėštumo testą. </w:t>
      </w:r>
    </w:p>
    <w:p w14:paraId="2A238B24" w14:textId="77777777" w:rsidR="00172C88" w:rsidRDefault="00172C88" w:rsidP="00172C88">
      <w:pPr>
        <w:tabs>
          <w:tab w:val="clear" w:pos="567"/>
        </w:tabs>
        <w:spacing w:line="240" w:lineRule="auto"/>
        <w:ind w:left="567" w:right="-2" w:hanging="567"/>
        <w:rPr>
          <w:b/>
          <w:lang w:val="lt-LT"/>
        </w:rPr>
      </w:pPr>
    </w:p>
    <w:p w14:paraId="309DA977" w14:textId="77777777" w:rsidR="00172C88" w:rsidRDefault="00172C88" w:rsidP="00172C88">
      <w:pPr>
        <w:tabs>
          <w:tab w:val="clear" w:pos="567"/>
        </w:tabs>
        <w:spacing w:line="240" w:lineRule="auto"/>
        <w:ind w:right="-2"/>
        <w:rPr>
          <w:szCs w:val="24"/>
          <w:lang w:val="lt-LT"/>
        </w:rPr>
      </w:pPr>
      <w:r>
        <w:rPr>
          <w:szCs w:val="24"/>
          <w:lang w:val="lt-LT"/>
        </w:rPr>
        <w:t xml:space="preserve">Nedelsdama praneškite gydytojui, jeigu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vartojimo laikotarpiu pastojote arba planuojate pastoti netolimoje ateityje. </w:t>
      </w:r>
    </w:p>
    <w:p w14:paraId="2B7AF55A" w14:textId="77777777" w:rsidR="00172C88" w:rsidRDefault="00172C88" w:rsidP="00172C88">
      <w:pPr>
        <w:rPr>
          <w:b/>
          <w:bCs/>
          <w:u w:val="single"/>
          <w:lang w:val="lt-LT"/>
        </w:rPr>
      </w:pPr>
    </w:p>
    <w:p w14:paraId="27233D3D" w14:textId="17FC2D3E" w:rsidR="00172C88" w:rsidRDefault="00172C88" w:rsidP="00172C88">
      <w:pPr>
        <w:rPr>
          <w:b/>
          <w:lang w:val="lt-LT"/>
        </w:rPr>
      </w:pPr>
      <w:r>
        <w:rPr>
          <w:b/>
          <w:lang w:val="lt-LT"/>
        </w:rPr>
        <w:t>Žindym</w:t>
      </w:r>
      <w:r w:rsidR="005C7F4A">
        <w:rPr>
          <w:b/>
          <w:lang w:val="lt-LT"/>
        </w:rPr>
        <w:t>o laikotarpis</w:t>
      </w:r>
    </w:p>
    <w:p w14:paraId="0DF101D7" w14:textId="7B0D3089" w:rsidR="00172C88" w:rsidRPr="00C54C14" w:rsidRDefault="001E159B" w:rsidP="00172C88">
      <w:pPr>
        <w:tabs>
          <w:tab w:val="clear" w:pos="567"/>
        </w:tabs>
        <w:spacing w:line="240" w:lineRule="auto"/>
        <w:ind w:right="-2"/>
        <w:rPr>
          <w:lang w:val="lt-LT"/>
        </w:rPr>
      </w:pPr>
      <w:proofErr w:type="spellStart"/>
      <w:r w:rsidRPr="001E159B">
        <w:rPr>
          <w:szCs w:val="24"/>
          <w:lang w:val="lt-LT"/>
        </w:rPr>
        <w:t>Bo</w:t>
      </w:r>
      <w:r w:rsidR="008040BB">
        <w:rPr>
          <w:szCs w:val="24"/>
          <w:lang w:val="lt-LT"/>
        </w:rPr>
        <w:t>z</w:t>
      </w:r>
      <w:r w:rsidRPr="001E159B">
        <w:rPr>
          <w:szCs w:val="24"/>
          <w:lang w:val="lt-LT"/>
        </w:rPr>
        <w:t>entan</w:t>
      </w:r>
      <w:r w:rsidR="008040BB">
        <w:rPr>
          <w:szCs w:val="24"/>
          <w:lang w:val="lt-LT"/>
        </w:rPr>
        <w:t>o</w:t>
      </w:r>
      <w:proofErr w:type="spellEnd"/>
      <w:r w:rsidRPr="001E159B">
        <w:rPr>
          <w:szCs w:val="24"/>
          <w:lang w:val="lt-LT"/>
        </w:rPr>
        <w:t xml:space="preserve"> </w:t>
      </w:r>
      <w:r w:rsidR="005C7F4A">
        <w:rPr>
          <w:szCs w:val="24"/>
          <w:lang w:val="lt-LT"/>
        </w:rPr>
        <w:t>išsiskiria</w:t>
      </w:r>
      <w:r w:rsidRPr="001E159B">
        <w:rPr>
          <w:szCs w:val="24"/>
          <w:lang w:val="lt-LT"/>
        </w:rPr>
        <w:t xml:space="preserve"> į motinos pieną. Jeigu Jums paskirtas </w:t>
      </w:r>
      <w:proofErr w:type="spellStart"/>
      <w:r w:rsidRPr="001E159B">
        <w:rPr>
          <w:szCs w:val="24"/>
          <w:lang w:val="lt-LT"/>
        </w:rPr>
        <w:t>Bosentan</w:t>
      </w:r>
      <w:proofErr w:type="spellEnd"/>
      <w:r w:rsidRPr="001E159B">
        <w:rPr>
          <w:szCs w:val="24"/>
          <w:lang w:val="lt-LT"/>
        </w:rPr>
        <w:t xml:space="preserve"> </w:t>
      </w:r>
      <w:proofErr w:type="spellStart"/>
      <w:r w:rsidR="00840763">
        <w:rPr>
          <w:szCs w:val="24"/>
          <w:lang w:val="lt-LT"/>
        </w:rPr>
        <w:t>Norameda</w:t>
      </w:r>
      <w:proofErr w:type="spellEnd"/>
      <w:r w:rsidRPr="001E159B">
        <w:rPr>
          <w:szCs w:val="24"/>
          <w:lang w:val="lt-LT"/>
        </w:rPr>
        <w:t xml:space="preserve">, patariama nutraukti žindymą, nes nežinoma, ar motinos piene esantis </w:t>
      </w:r>
      <w:proofErr w:type="spellStart"/>
      <w:r w:rsidR="00840763">
        <w:rPr>
          <w:szCs w:val="24"/>
          <w:lang w:val="lt-LT"/>
        </w:rPr>
        <w:t>bo</w:t>
      </w:r>
      <w:r w:rsidR="008040BB">
        <w:rPr>
          <w:szCs w:val="24"/>
          <w:lang w:val="lt-LT"/>
        </w:rPr>
        <w:t>z</w:t>
      </w:r>
      <w:r w:rsidR="00840763">
        <w:rPr>
          <w:szCs w:val="24"/>
          <w:lang w:val="lt-LT"/>
        </w:rPr>
        <w:t>entanas</w:t>
      </w:r>
      <w:proofErr w:type="spellEnd"/>
      <w:r w:rsidRPr="001E159B">
        <w:rPr>
          <w:szCs w:val="24"/>
          <w:lang w:val="lt-LT"/>
        </w:rPr>
        <w:t xml:space="preserve"> gali pakenkti Jūsų kūdikiui. </w:t>
      </w:r>
      <w:r w:rsidR="005C7F4A">
        <w:rPr>
          <w:szCs w:val="24"/>
          <w:lang w:val="lt-LT"/>
        </w:rPr>
        <w:t>Dėl to p</w:t>
      </w:r>
      <w:r w:rsidRPr="001E159B">
        <w:rPr>
          <w:szCs w:val="24"/>
          <w:lang w:val="lt-LT"/>
        </w:rPr>
        <w:t>asitarkite su savo gydytoju.</w:t>
      </w:r>
      <w:r w:rsidR="008040BB">
        <w:rPr>
          <w:szCs w:val="24"/>
          <w:lang w:val="lt-LT"/>
        </w:rPr>
        <w:t xml:space="preserve"> </w:t>
      </w:r>
    </w:p>
    <w:p w14:paraId="71E03CD1" w14:textId="77777777" w:rsidR="00172C88" w:rsidRDefault="00172C88" w:rsidP="00172C88">
      <w:pPr>
        <w:tabs>
          <w:tab w:val="clear" w:pos="567"/>
        </w:tabs>
        <w:spacing w:line="240" w:lineRule="auto"/>
        <w:ind w:right="-2"/>
        <w:rPr>
          <w:szCs w:val="24"/>
          <w:lang w:val="lt-LT"/>
        </w:rPr>
      </w:pPr>
    </w:p>
    <w:p w14:paraId="428A021B" w14:textId="77777777" w:rsidR="00172C88" w:rsidRPr="00E32052" w:rsidRDefault="00172C88" w:rsidP="00172C88">
      <w:pPr>
        <w:tabs>
          <w:tab w:val="clear" w:pos="567"/>
        </w:tabs>
        <w:spacing w:line="240" w:lineRule="auto"/>
        <w:ind w:right="-2"/>
        <w:rPr>
          <w:lang w:val="lt-LT"/>
        </w:rPr>
      </w:pPr>
      <w:r>
        <w:rPr>
          <w:b/>
          <w:bCs/>
          <w:szCs w:val="24"/>
          <w:lang w:val="lt-LT"/>
        </w:rPr>
        <w:t xml:space="preserve">Vaisingumas </w:t>
      </w:r>
    </w:p>
    <w:p w14:paraId="437F9A1A" w14:textId="77777777" w:rsidR="00172C88" w:rsidRPr="00E32052" w:rsidRDefault="00172C88" w:rsidP="00172C88">
      <w:pPr>
        <w:tabs>
          <w:tab w:val="clear" w:pos="567"/>
        </w:tabs>
        <w:spacing w:line="240" w:lineRule="auto"/>
        <w:ind w:right="-2"/>
        <w:rPr>
          <w:lang w:val="lt-LT"/>
        </w:rPr>
      </w:pPr>
      <w:r>
        <w:rPr>
          <w:szCs w:val="24"/>
          <w:lang w:val="lt-LT"/>
        </w:rPr>
        <w:t xml:space="preserve">Jeigu esate vyras, vartojantis </w:t>
      </w:r>
      <w:proofErr w:type="spellStart"/>
      <w:r>
        <w:rPr>
          <w:lang w:val="lt-LT"/>
        </w:rPr>
        <w:t>Bosentan</w:t>
      </w:r>
      <w:proofErr w:type="spellEnd"/>
      <w:r>
        <w:rPr>
          <w:lang w:val="lt-LT"/>
        </w:rPr>
        <w:t xml:space="preserve"> </w:t>
      </w:r>
      <w:proofErr w:type="spellStart"/>
      <w:r>
        <w:rPr>
          <w:lang w:val="lt-LT"/>
        </w:rPr>
        <w:t>Norameda</w:t>
      </w:r>
      <w:proofErr w:type="spellEnd"/>
      <w:r>
        <w:rPr>
          <w:szCs w:val="24"/>
          <w:lang w:val="lt-LT"/>
        </w:rPr>
        <w:t>, gali būti, kad šis vaistas gali sumažinti Jūsų spermatozoidų skaičių. Negalima atmesti, kad tai gali turėti įtakos Jūsų gebėjimui susilaukti vaikų. Jeigu iškilo klausimų apie tai ar Jums tai kelia rūpesčių, pasitarkite</w:t>
      </w:r>
      <w:r>
        <w:rPr>
          <w:lang w:val="lt-LT"/>
        </w:rPr>
        <w:t xml:space="preserve"> su </w:t>
      </w:r>
      <w:r>
        <w:rPr>
          <w:szCs w:val="24"/>
          <w:lang w:val="lt-LT"/>
        </w:rPr>
        <w:t>gydytoju.</w:t>
      </w:r>
    </w:p>
    <w:p w14:paraId="1147BE8D" w14:textId="77777777" w:rsidR="00172C88" w:rsidRDefault="00172C88" w:rsidP="00172C88">
      <w:pPr>
        <w:tabs>
          <w:tab w:val="clear" w:pos="567"/>
        </w:tabs>
        <w:spacing w:line="240" w:lineRule="auto"/>
        <w:ind w:right="-2"/>
        <w:rPr>
          <w:b/>
          <w:bCs/>
          <w:szCs w:val="28"/>
          <w:lang w:val="lt-LT"/>
        </w:rPr>
      </w:pPr>
    </w:p>
    <w:p w14:paraId="0865D84E" w14:textId="77777777" w:rsidR="00172C88" w:rsidRDefault="00172C88" w:rsidP="00172C88">
      <w:pPr>
        <w:rPr>
          <w:lang w:val="lt-LT"/>
        </w:rPr>
      </w:pPr>
      <w:proofErr w:type="spellStart"/>
      <w:r>
        <w:rPr>
          <w:b/>
          <w:bCs/>
          <w:szCs w:val="28"/>
          <w:lang w:val="lt-LT"/>
        </w:rPr>
        <w:t>Bosentan</w:t>
      </w:r>
      <w:proofErr w:type="spellEnd"/>
      <w:r>
        <w:rPr>
          <w:b/>
          <w:bCs/>
          <w:szCs w:val="28"/>
          <w:lang w:val="lt-LT"/>
        </w:rPr>
        <w:t xml:space="preserve"> </w:t>
      </w:r>
      <w:proofErr w:type="spellStart"/>
      <w:r>
        <w:rPr>
          <w:b/>
          <w:bCs/>
          <w:szCs w:val="28"/>
          <w:lang w:val="lt-LT"/>
        </w:rPr>
        <w:t>Norameda</w:t>
      </w:r>
      <w:proofErr w:type="spellEnd"/>
      <w:r>
        <w:rPr>
          <w:b/>
          <w:bCs/>
          <w:szCs w:val="28"/>
          <w:lang w:val="lt-LT"/>
        </w:rPr>
        <w:t xml:space="preserve"> sudėtyje yra natrio</w:t>
      </w:r>
    </w:p>
    <w:p w14:paraId="4627DAD6" w14:textId="77777777" w:rsidR="00172C88" w:rsidRDefault="00172C88" w:rsidP="00172C88">
      <w:pPr>
        <w:rPr>
          <w:lang w:val="lt-LT"/>
        </w:rPr>
      </w:pPr>
      <w:r>
        <w:rPr>
          <w:lang w:val="lt-LT"/>
        </w:rPr>
        <w:t xml:space="preserve">Šio vaisto </w:t>
      </w:r>
      <w:r w:rsidRPr="00782E61">
        <w:rPr>
          <w:lang w:val="lt-LT"/>
        </w:rPr>
        <w:t>kiekvienoje tablet</w:t>
      </w:r>
      <w:r w:rsidRPr="00782E61">
        <w:rPr>
          <w:rFonts w:hint="eastAsia"/>
          <w:lang w:val="lt-LT"/>
        </w:rPr>
        <w:t>ė</w:t>
      </w:r>
      <w:r w:rsidRPr="00782E61">
        <w:rPr>
          <w:lang w:val="lt-LT"/>
        </w:rPr>
        <w:t>je yra ma</w:t>
      </w:r>
      <w:r w:rsidRPr="00782E61">
        <w:rPr>
          <w:rFonts w:hint="eastAsia"/>
          <w:lang w:val="lt-LT"/>
        </w:rPr>
        <w:t>ž</w:t>
      </w:r>
      <w:r w:rsidRPr="00782E61">
        <w:rPr>
          <w:lang w:val="lt-LT"/>
        </w:rPr>
        <w:t>iau kaip 1</w:t>
      </w:r>
      <w:r>
        <w:rPr>
          <w:lang w:val="lt-LT"/>
        </w:rPr>
        <w:t> </w:t>
      </w:r>
      <w:proofErr w:type="spellStart"/>
      <w:r w:rsidRPr="00782E61">
        <w:rPr>
          <w:lang w:val="lt-LT"/>
        </w:rPr>
        <w:t>mmol</w:t>
      </w:r>
      <w:proofErr w:type="spellEnd"/>
      <w:r w:rsidRPr="00782E61">
        <w:rPr>
          <w:lang w:val="lt-LT"/>
        </w:rPr>
        <w:t xml:space="preserve"> (23</w:t>
      </w:r>
      <w:r>
        <w:rPr>
          <w:lang w:val="lt-LT"/>
        </w:rPr>
        <w:t> </w:t>
      </w:r>
      <w:r w:rsidRPr="00782E61">
        <w:rPr>
          <w:lang w:val="lt-LT"/>
        </w:rPr>
        <w:t xml:space="preserve">mg) natrio, </w:t>
      </w:r>
      <w:proofErr w:type="spellStart"/>
      <w:r w:rsidRPr="00782E61">
        <w:rPr>
          <w:lang w:val="lt-LT"/>
        </w:rPr>
        <w:t>t.y</w:t>
      </w:r>
      <w:proofErr w:type="spellEnd"/>
      <w:r w:rsidRPr="00782E61">
        <w:rPr>
          <w:lang w:val="lt-LT"/>
        </w:rPr>
        <w:t>. jis beveik neturi reik</w:t>
      </w:r>
      <w:r w:rsidRPr="00782E61">
        <w:rPr>
          <w:rFonts w:hint="eastAsia"/>
          <w:lang w:val="lt-LT"/>
        </w:rPr>
        <w:t>š</w:t>
      </w:r>
      <w:r w:rsidRPr="00782E61">
        <w:rPr>
          <w:lang w:val="lt-LT"/>
        </w:rPr>
        <w:t>m</w:t>
      </w:r>
      <w:r w:rsidRPr="00782E61">
        <w:rPr>
          <w:rFonts w:hint="eastAsia"/>
          <w:lang w:val="lt-LT"/>
        </w:rPr>
        <w:t>ė</w:t>
      </w:r>
      <w:r w:rsidRPr="00782E61">
        <w:rPr>
          <w:lang w:val="lt-LT"/>
        </w:rPr>
        <w:t>s.</w:t>
      </w:r>
    </w:p>
    <w:p w14:paraId="02032DEB" w14:textId="77777777" w:rsidR="00172C88" w:rsidRDefault="00172C88" w:rsidP="00172C88">
      <w:pPr>
        <w:tabs>
          <w:tab w:val="clear" w:pos="567"/>
        </w:tabs>
        <w:spacing w:line="240" w:lineRule="auto"/>
        <w:ind w:right="-2"/>
        <w:rPr>
          <w:b/>
          <w:bCs/>
          <w:szCs w:val="28"/>
          <w:lang w:val="lt-LT"/>
        </w:rPr>
      </w:pPr>
    </w:p>
    <w:p w14:paraId="4F05529B" w14:textId="77777777" w:rsidR="00172C88" w:rsidRDefault="00172C88" w:rsidP="00172C88">
      <w:pPr>
        <w:tabs>
          <w:tab w:val="clear" w:pos="567"/>
        </w:tabs>
        <w:spacing w:line="240" w:lineRule="auto"/>
        <w:ind w:right="-2"/>
        <w:rPr>
          <w:szCs w:val="24"/>
          <w:lang w:val="lt-LT"/>
        </w:rPr>
      </w:pPr>
    </w:p>
    <w:p w14:paraId="1A3EF408" w14:textId="77777777" w:rsidR="00172C88" w:rsidRPr="00C54C14" w:rsidRDefault="00172C88" w:rsidP="00172C88">
      <w:pPr>
        <w:pStyle w:val="Antrat3"/>
        <w:spacing w:before="0" w:after="0" w:line="240" w:lineRule="auto"/>
        <w:rPr>
          <w:lang w:val="lt-LT"/>
        </w:rPr>
      </w:pPr>
      <w:r>
        <w:rPr>
          <w:rFonts w:ascii="Times New Roman" w:hAnsi="Times New Roman"/>
          <w:sz w:val="22"/>
          <w:lang w:val="lt-LT"/>
        </w:rPr>
        <w:t>3.</w:t>
      </w:r>
      <w:r>
        <w:rPr>
          <w:rFonts w:ascii="Times New Roman" w:hAnsi="Times New Roman"/>
          <w:sz w:val="22"/>
          <w:lang w:val="lt-LT"/>
        </w:rPr>
        <w:tab/>
        <w:t xml:space="preserve">Kaip vartoti </w:t>
      </w:r>
      <w:proofErr w:type="spellStart"/>
      <w:r>
        <w:rPr>
          <w:rFonts w:ascii="Times New Roman" w:hAnsi="Times New Roman"/>
          <w:sz w:val="22"/>
          <w:szCs w:val="22"/>
          <w:lang w:val="lt-LT"/>
        </w:rPr>
        <w:t>Bosentan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p>
    <w:p w14:paraId="7C249AB7" w14:textId="77777777" w:rsidR="00172C88" w:rsidRDefault="00172C88" w:rsidP="00172C88">
      <w:pPr>
        <w:tabs>
          <w:tab w:val="clear" w:pos="567"/>
        </w:tabs>
        <w:spacing w:line="240" w:lineRule="auto"/>
        <w:ind w:right="-2"/>
        <w:rPr>
          <w:szCs w:val="24"/>
          <w:lang w:val="lt-LT"/>
        </w:rPr>
      </w:pPr>
    </w:p>
    <w:p w14:paraId="23504715" w14:textId="27C40C01" w:rsidR="00172C88" w:rsidRDefault="00172C88" w:rsidP="00172C88">
      <w:pPr>
        <w:tabs>
          <w:tab w:val="clear" w:pos="567"/>
        </w:tabs>
        <w:spacing w:line="240" w:lineRule="auto"/>
        <w:ind w:right="-2"/>
        <w:rPr>
          <w:szCs w:val="24"/>
          <w:lang w:val="lt-LT"/>
        </w:rPr>
      </w:pPr>
      <w:r>
        <w:rPr>
          <w:szCs w:val="24"/>
          <w:lang w:val="lt-LT"/>
        </w:rPr>
        <w:t xml:space="preserve">Gydymą vartojant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gali pradėti ir stebėti tik gydytojas, turintis patirties gydant </w:t>
      </w:r>
      <w:proofErr w:type="spellStart"/>
      <w:r>
        <w:rPr>
          <w:szCs w:val="24"/>
          <w:lang w:val="lt-LT"/>
        </w:rPr>
        <w:t>plautinę</w:t>
      </w:r>
      <w:proofErr w:type="spellEnd"/>
      <w:r>
        <w:rPr>
          <w:szCs w:val="24"/>
          <w:lang w:val="lt-LT"/>
        </w:rPr>
        <w:t xml:space="preserve"> arterinę hipertenziją ar sisteminę sklerozę. Visada vartokite šį vaistą tiksliai</w:t>
      </w:r>
      <w:r w:rsidR="005C7F4A">
        <w:rPr>
          <w:szCs w:val="24"/>
          <w:lang w:val="lt-LT"/>
        </w:rPr>
        <w:t>,</w:t>
      </w:r>
      <w:r>
        <w:rPr>
          <w:szCs w:val="24"/>
          <w:lang w:val="lt-LT"/>
        </w:rPr>
        <w:t xml:space="preserve"> kaip nurodė gydytojas. Jeigu abejojate, kreipkitės į gydytoją arba vaistininką. </w:t>
      </w:r>
    </w:p>
    <w:p w14:paraId="59C3B9FC" w14:textId="77777777" w:rsidR="00172C88" w:rsidRDefault="00172C88" w:rsidP="00172C88">
      <w:pPr>
        <w:tabs>
          <w:tab w:val="clear" w:pos="567"/>
        </w:tabs>
        <w:spacing w:line="240" w:lineRule="auto"/>
        <w:ind w:right="-2"/>
        <w:rPr>
          <w:szCs w:val="24"/>
          <w:lang w:val="lt-LT"/>
        </w:rPr>
      </w:pPr>
    </w:p>
    <w:p w14:paraId="44C2CBB8" w14:textId="77777777" w:rsidR="00172C88" w:rsidRPr="00C54C14" w:rsidRDefault="00172C88" w:rsidP="00172C88">
      <w:pPr>
        <w:tabs>
          <w:tab w:val="clear" w:pos="567"/>
        </w:tabs>
        <w:spacing w:line="240" w:lineRule="auto"/>
        <w:ind w:right="-2"/>
        <w:rPr>
          <w:lang w:val="pt-PT"/>
        </w:rPr>
      </w:pPr>
      <w:proofErr w:type="spellStart"/>
      <w:r>
        <w:rPr>
          <w:b/>
          <w:lang w:val="lt-LT"/>
        </w:rPr>
        <w:t>Bosentan</w:t>
      </w:r>
      <w:proofErr w:type="spellEnd"/>
      <w:r>
        <w:rPr>
          <w:b/>
          <w:lang w:val="lt-LT"/>
        </w:rPr>
        <w:t xml:space="preserve"> </w:t>
      </w:r>
      <w:proofErr w:type="spellStart"/>
      <w:r>
        <w:rPr>
          <w:b/>
          <w:lang w:val="lt-LT"/>
        </w:rPr>
        <w:t>Norameda</w:t>
      </w:r>
      <w:proofErr w:type="spellEnd"/>
      <w:r>
        <w:rPr>
          <w:b/>
          <w:lang w:val="lt-LT"/>
        </w:rPr>
        <w:t xml:space="preserve"> </w:t>
      </w:r>
      <w:r>
        <w:rPr>
          <w:b/>
          <w:bCs/>
          <w:szCs w:val="24"/>
          <w:lang w:val="lt-LT"/>
        </w:rPr>
        <w:t>vartojimas su maistu</w:t>
      </w:r>
      <w:r>
        <w:rPr>
          <w:b/>
          <w:lang w:val="lt-LT"/>
        </w:rPr>
        <w:t xml:space="preserve"> ir </w:t>
      </w:r>
      <w:r>
        <w:rPr>
          <w:b/>
          <w:bCs/>
          <w:szCs w:val="24"/>
          <w:lang w:val="lt-LT"/>
        </w:rPr>
        <w:t xml:space="preserve">gėrimais </w:t>
      </w:r>
    </w:p>
    <w:p w14:paraId="000E1D27" w14:textId="77777777" w:rsidR="00172C88" w:rsidRDefault="00172C88" w:rsidP="00172C88">
      <w:pPr>
        <w:tabs>
          <w:tab w:val="clear" w:pos="567"/>
        </w:tabs>
        <w:spacing w:line="240" w:lineRule="auto"/>
        <w:ind w:right="-2"/>
        <w:rPr>
          <w:szCs w:val="24"/>
          <w:lang w:val="lt-LT"/>
        </w:rPr>
      </w:pP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gali būti vartojamas su maistu ar be maisto.</w:t>
      </w:r>
    </w:p>
    <w:p w14:paraId="38810356" w14:textId="77777777" w:rsidR="00172C88" w:rsidRDefault="00172C88" w:rsidP="00172C88">
      <w:pPr>
        <w:tabs>
          <w:tab w:val="clear" w:pos="567"/>
        </w:tabs>
        <w:spacing w:line="240" w:lineRule="auto"/>
        <w:ind w:right="-2"/>
        <w:rPr>
          <w:szCs w:val="24"/>
          <w:lang w:val="lt-LT"/>
        </w:rPr>
      </w:pPr>
    </w:p>
    <w:p w14:paraId="4869CD7D" w14:textId="77777777" w:rsidR="00172C88" w:rsidRPr="007263E8" w:rsidRDefault="00172C88" w:rsidP="00172C88">
      <w:pPr>
        <w:tabs>
          <w:tab w:val="clear" w:pos="567"/>
        </w:tabs>
        <w:spacing w:line="240" w:lineRule="auto"/>
        <w:ind w:right="-2"/>
        <w:rPr>
          <w:lang w:val="lt-LT"/>
        </w:rPr>
      </w:pPr>
      <w:r>
        <w:rPr>
          <w:b/>
          <w:szCs w:val="24"/>
          <w:lang w:val="lt-LT"/>
        </w:rPr>
        <w:t>Rekomenduojama</w:t>
      </w:r>
      <w:r>
        <w:rPr>
          <w:b/>
          <w:bCs/>
          <w:szCs w:val="24"/>
          <w:lang w:val="lt-LT"/>
        </w:rPr>
        <w:t xml:space="preserve"> dozė </w:t>
      </w:r>
    </w:p>
    <w:p w14:paraId="1DFD1452" w14:textId="77777777" w:rsidR="00172C88" w:rsidRDefault="00172C88" w:rsidP="00172C88">
      <w:pPr>
        <w:tabs>
          <w:tab w:val="clear" w:pos="567"/>
        </w:tabs>
        <w:spacing w:line="240" w:lineRule="auto"/>
        <w:ind w:right="-2"/>
        <w:rPr>
          <w:szCs w:val="24"/>
          <w:lang w:val="lt-LT"/>
        </w:rPr>
      </w:pPr>
    </w:p>
    <w:p w14:paraId="11015473" w14:textId="77777777" w:rsidR="00172C88" w:rsidRPr="00DC170F" w:rsidRDefault="00172C88" w:rsidP="00172C88">
      <w:pPr>
        <w:tabs>
          <w:tab w:val="clear" w:pos="567"/>
        </w:tabs>
        <w:spacing w:line="240" w:lineRule="auto"/>
        <w:ind w:right="-2"/>
        <w:rPr>
          <w:b/>
          <w:szCs w:val="24"/>
          <w:lang w:val="lt-LT"/>
        </w:rPr>
      </w:pPr>
      <w:r w:rsidRPr="00DC170F">
        <w:rPr>
          <w:b/>
          <w:szCs w:val="24"/>
          <w:lang w:val="lt-LT"/>
        </w:rPr>
        <w:t xml:space="preserve">Suaugusieji </w:t>
      </w:r>
    </w:p>
    <w:p w14:paraId="7B117E44" w14:textId="77777777" w:rsidR="00172C88" w:rsidRDefault="00172C88" w:rsidP="00172C88">
      <w:pPr>
        <w:tabs>
          <w:tab w:val="clear" w:pos="567"/>
        </w:tabs>
        <w:spacing w:line="240" w:lineRule="auto"/>
        <w:ind w:right="-2"/>
        <w:rPr>
          <w:szCs w:val="24"/>
          <w:lang w:val="lt-LT"/>
        </w:rPr>
      </w:pPr>
      <w:r>
        <w:rPr>
          <w:szCs w:val="24"/>
          <w:lang w:val="lt-LT"/>
        </w:rPr>
        <w:t xml:space="preserve">Suaugusiesiems paprastai pirmąsias 4 savaites reikia du kartus per parą (ryte ir vakare) vartoti 62,5 mg dozę, po to gydytojas paprastai pataria du kartus per parą vartoti 125 mg tabletes (tai priklauso nuo Jūsų organizmo reakcijos į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w:t>
      </w:r>
    </w:p>
    <w:p w14:paraId="6925E346" w14:textId="77777777" w:rsidR="00172C88" w:rsidRDefault="00172C88" w:rsidP="00172C88">
      <w:pPr>
        <w:tabs>
          <w:tab w:val="clear" w:pos="567"/>
        </w:tabs>
        <w:spacing w:line="240" w:lineRule="auto"/>
        <w:ind w:right="-2"/>
        <w:rPr>
          <w:szCs w:val="24"/>
          <w:lang w:val="lt-LT"/>
        </w:rPr>
      </w:pPr>
    </w:p>
    <w:p w14:paraId="6D8CD5E9" w14:textId="77777777" w:rsidR="00172C88" w:rsidRPr="00DC170F" w:rsidRDefault="00172C88" w:rsidP="00172C88">
      <w:pPr>
        <w:tabs>
          <w:tab w:val="clear" w:pos="567"/>
        </w:tabs>
        <w:spacing w:line="240" w:lineRule="auto"/>
        <w:ind w:right="-2"/>
        <w:rPr>
          <w:b/>
          <w:szCs w:val="24"/>
          <w:lang w:val="lt-LT"/>
        </w:rPr>
      </w:pPr>
      <w:r w:rsidRPr="00DC170F">
        <w:rPr>
          <w:b/>
          <w:szCs w:val="24"/>
          <w:lang w:val="lt-LT"/>
        </w:rPr>
        <w:t xml:space="preserve">Vartojimas vaikams ir paaugliams </w:t>
      </w:r>
    </w:p>
    <w:p w14:paraId="4EF7318C" w14:textId="77777777" w:rsidR="00172C88" w:rsidRDefault="00172C88" w:rsidP="00172C88">
      <w:pPr>
        <w:tabs>
          <w:tab w:val="clear" w:pos="567"/>
        </w:tabs>
        <w:spacing w:line="240" w:lineRule="auto"/>
        <w:ind w:right="-2"/>
        <w:rPr>
          <w:szCs w:val="24"/>
          <w:lang w:val="lt-LT"/>
        </w:rPr>
      </w:pPr>
      <w:r>
        <w:rPr>
          <w:szCs w:val="24"/>
          <w:lang w:val="lt-LT"/>
        </w:rPr>
        <w:t xml:space="preserve">Dozavimo rekomendacijos taikomos tik vaikams, sergantiems </w:t>
      </w:r>
      <w:proofErr w:type="spellStart"/>
      <w:r>
        <w:rPr>
          <w:szCs w:val="24"/>
          <w:lang w:val="lt-LT"/>
        </w:rPr>
        <w:t>plautine</w:t>
      </w:r>
      <w:proofErr w:type="spellEnd"/>
      <w:r>
        <w:rPr>
          <w:szCs w:val="24"/>
          <w:lang w:val="lt-LT"/>
        </w:rPr>
        <w:t xml:space="preserve"> arterine hipertenzija. </w:t>
      </w:r>
    </w:p>
    <w:p w14:paraId="7C34A2E5" w14:textId="77777777" w:rsidR="00172C88" w:rsidRDefault="00172C88" w:rsidP="00172C88">
      <w:pPr>
        <w:tabs>
          <w:tab w:val="clear" w:pos="567"/>
        </w:tabs>
        <w:spacing w:line="240" w:lineRule="auto"/>
        <w:ind w:right="-2"/>
        <w:rPr>
          <w:szCs w:val="24"/>
          <w:lang w:val="lt-LT"/>
        </w:rPr>
      </w:pPr>
      <w:r>
        <w:rPr>
          <w:szCs w:val="24"/>
          <w:lang w:val="lt-LT"/>
        </w:rPr>
        <w:t xml:space="preserve">1 metų ir vyresniems vaikams gydymo pradžioje paprastai skiriama 2 mg vienam kūno masės kilogramui dozė dukart per parą (ryte ir vakare). Gydytojas nurodys, kokią dozę turite vartoti. </w:t>
      </w:r>
    </w:p>
    <w:p w14:paraId="0A5A1FA2" w14:textId="77777777" w:rsidR="00172C88" w:rsidRDefault="00172C88" w:rsidP="00172C88">
      <w:pPr>
        <w:tabs>
          <w:tab w:val="clear" w:pos="567"/>
        </w:tabs>
        <w:spacing w:line="240" w:lineRule="auto"/>
        <w:ind w:right="-2"/>
        <w:rPr>
          <w:szCs w:val="24"/>
          <w:lang w:val="lt-LT"/>
        </w:rPr>
      </w:pPr>
      <w:r>
        <w:rPr>
          <w:szCs w:val="24"/>
          <w:lang w:val="lt-LT"/>
        </w:rPr>
        <w:t xml:space="preserve"> </w:t>
      </w:r>
    </w:p>
    <w:p w14:paraId="3E7C47D1" w14:textId="77777777" w:rsidR="00172C88" w:rsidRDefault="00172C88" w:rsidP="00172C88">
      <w:pPr>
        <w:tabs>
          <w:tab w:val="clear" w:pos="567"/>
        </w:tabs>
        <w:spacing w:line="240" w:lineRule="auto"/>
        <w:ind w:right="-2"/>
        <w:rPr>
          <w:szCs w:val="24"/>
          <w:lang w:val="lt-LT"/>
        </w:rPr>
      </w:pPr>
      <w:r>
        <w:rPr>
          <w:szCs w:val="24"/>
          <w:lang w:val="lt-LT"/>
        </w:rPr>
        <w:t xml:space="preserve">Jei Jums atrodo, kad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poveikis yra per stiprus arba per silpnas, pasitarkite su gydytoju, kad išsiaiškintumėte, ar dozę reikia keisti. </w:t>
      </w:r>
    </w:p>
    <w:p w14:paraId="40DBFF15" w14:textId="77777777" w:rsidR="00172C88" w:rsidRDefault="00172C88" w:rsidP="00172C88">
      <w:pPr>
        <w:tabs>
          <w:tab w:val="clear" w:pos="567"/>
        </w:tabs>
        <w:spacing w:line="240" w:lineRule="auto"/>
        <w:ind w:right="-2"/>
        <w:rPr>
          <w:szCs w:val="24"/>
          <w:lang w:val="lt-LT"/>
        </w:rPr>
      </w:pPr>
    </w:p>
    <w:p w14:paraId="52D5A085" w14:textId="77777777" w:rsidR="00172C88" w:rsidRDefault="00172C88" w:rsidP="00172C88">
      <w:pPr>
        <w:tabs>
          <w:tab w:val="clear" w:pos="567"/>
        </w:tabs>
        <w:spacing w:line="240" w:lineRule="auto"/>
        <w:ind w:right="-2"/>
        <w:rPr>
          <w:b/>
          <w:bCs/>
          <w:szCs w:val="24"/>
          <w:lang w:val="lt-LT"/>
        </w:rPr>
      </w:pPr>
      <w:r>
        <w:rPr>
          <w:b/>
          <w:bCs/>
          <w:szCs w:val="24"/>
          <w:lang w:val="lt-LT"/>
        </w:rPr>
        <w:t xml:space="preserve">Kaip vartoti </w:t>
      </w:r>
      <w:proofErr w:type="spellStart"/>
      <w:r>
        <w:rPr>
          <w:b/>
          <w:bCs/>
          <w:szCs w:val="24"/>
          <w:lang w:val="lt-LT"/>
        </w:rPr>
        <w:t>Bosentan</w:t>
      </w:r>
      <w:proofErr w:type="spellEnd"/>
      <w:r>
        <w:rPr>
          <w:b/>
          <w:bCs/>
          <w:szCs w:val="24"/>
          <w:lang w:val="lt-LT"/>
        </w:rPr>
        <w:t xml:space="preserve"> </w:t>
      </w:r>
      <w:proofErr w:type="spellStart"/>
      <w:r>
        <w:rPr>
          <w:b/>
          <w:bCs/>
          <w:szCs w:val="24"/>
          <w:lang w:val="lt-LT"/>
        </w:rPr>
        <w:t>Norameda</w:t>
      </w:r>
      <w:proofErr w:type="spellEnd"/>
    </w:p>
    <w:p w14:paraId="687BEAA0" w14:textId="77777777" w:rsidR="00172C88" w:rsidRDefault="00172C88" w:rsidP="00172C88">
      <w:pPr>
        <w:tabs>
          <w:tab w:val="clear" w:pos="567"/>
        </w:tabs>
        <w:spacing w:line="240" w:lineRule="auto"/>
        <w:ind w:right="-2"/>
        <w:rPr>
          <w:szCs w:val="24"/>
          <w:lang w:val="lt-LT"/>
        </w:rPr>
      </w:pPr>
      <w:r>
        <w:rPr>
          <w:szCs w:val="24"/>
          <w:lang w:val="lt-LT"/>
        </w:rPr>
        <w:t xml:space="preserve">Tabletes reikia vartoti ryte ir vakare, užgeriant vandeniu. Tabletes galima vartoti su maistu arba be jo. </w:t>
      </w:r>
    </w:p>
    <w:p w14:paraId="74E4F3EF" w14:textId="77777777" w:rsidR="00172C88" w:rsidRDefault="00172C88" w:rsidP="00172C88">
      <w:pPr>
        <w:tabs>
          <w:tab w:val="clear" w:pos="567"/>
        </w:tabs>
        <w:spacing w:line="240" w:lineRule="auto"/>
        <w:ind w:right="-2"/>
        <w:rPr>
          <w:szCs w:val="24"/>
          <w:lang w:val="lt-LT"/>
        </w:rPr>
      </w:pPr>
    </w:p>
    <w:p w14:paraId="0E6F02AD" w14:textId="440BFCD8" w:rsidR="00172C88" w:rsidRPr="00C54C14" w:rsidRDefault="00172C88" w:rsidP="00172C88">
      <w:pPr>
        <w:pStyle w:val="Antrat4"/>
        <w:rPr>
          <w:lang w:val="pt-PT"/>
        </w:rPr>
      </w:pPr>
      <w:r>
        <w:rPr>
          <w:rFonts w:ascii="Times New Roman" w:hAnsi="Times New Roman"/>
          <w:sz w:val="22"/>
          <w:lang w:val="lt-LT"/>
        </w:rPr>
        <w:t xml:space="preserve">Ką daryti pavartojus per didelę </w:t>
      </w:r>
      <w:proofErr w:type="spellStart"/>
      <w:r>
        <w:rPr>
          <w:rFonts w:ascii="Times New Roman" w:hAnsi="Times New Roman"/>
          <w:sz w:val="22"/>
          <w:szCs w:val="22"/>
          <w:lang w:val="lt-LT"/>
        </w:rPr>
        <w:t>Bosentan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Pr>
          <w:rFonts w:ascii="Times New Roman" w:hAnsi="Times New Roman"/>
          <w:sz w:val="22"/>
          <w:szCs w:val="22"/>
          <w:lang w:val="lt-LT"/>
        </w:rPr>
        <w:t xml:space="preserve"> </w:t>
      </w:r>
      <w:r>
        <w:rPr>
          <w:rFonts w:ascii="Times New Roman" w:hAnsi="Times New Roman"/>
          <w:sz w:val="22"/>
          <w:lang w:val="lt-LT"/>
        </w:rPr>
        <w:t>dozę</w:t>
      </w:r>
    </w:p>
    <w:p w14:paraId="53C65B39" w14:textId="77777777" w:rsidR="00172C88" w:rsidRDefault="00172C88" w:rsidP="00172C88">
      <w:pPr>
        <w:tabs>
          <w:tab w:val="clear" w:pos="567"/>
        </w:tabs>
        <w:spacing w:line="240" w:lineRule="auto"/>
        <w:ind w:right="-2"/>
        <w:rPr>
          <w:szCs w:val="24"/>
          <w:lang w:val="lt-LT"/>
        </w:rPr>
      </w:pPr>
      <w:r>
        <w:rPr>
          <w:szCs w:val="24"/>
          <w:lang w:val="lt-LT"/>
        </w:rPr>
        <w:t xml:space="preserve">Jei išgėrėte daugiau tablečių, nei Jums buvo nurodyta, iš karto kreipkitės į gydytoją. </w:t>
      </w:r>
    </w:p>
    <w:p w14:paraId="7BA67245" w14:textId="77777777" w:rsidR="00172C88" w:rsidRDefault="00172C88" w:rsidP="00172C88">
      <w:pPr>
        <w:tabs>
          <w:tab w:val="clear" w:pos="567"/>
        </w:tabs>
        <w:spacing w:line="240" w:lineRule="auto"/>
        <w:ind w:right="-2"/>
        <w:rPr>
          <w:szCs w:val="24"/>
          <w:lang w:val="lt-LT"/>
        </w:rPr>
      </w:pPr>
    </w:p>
    <w:p w14:paraId="3B7AB5BB" w14:textId="77777777" w:rsidR="00172C88" w:rsidRPr="00C54C14" w:rsidRDefault="00172C88" w:rsidP="00172C88">
      <w:pPr>
        <w:pStyle w:val="Antrat4"/>
        <w:rPr>
          <w:lang w:val="lt-LT"/>
        </w:rPr>
      </w:pPr>
      <w:r>
        <w:rPr>
          <w:rFonts w:ascii="Times New Roman" w:hAnsi="Times New Roman"/>
          <w:sz w:val="22"/>
          <w:lang w:val="lt-LT"/>
        </w:rPr>
        <w:t xml:space="preserve">Pamiršus pavartoti </w:t>
      </w:r>
      <w:proofErr w:type="spellStart"/>
      <w:r>
        <w:rPr>
          <w:rFonts w:ascii="Times New Roman" w:hAnsi="Times New Roman"/>
          <w:sz w:val="22"/>
          <w:szCs w:val="22"/>
          <w:lang w:val="lt-LT"/>
        </w:rPr>
        <w:t>Bosentan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p>
    <w:p w14:paraId="6D9A99BA" w14:textId="77777777" w:rsidR="00172C88" w:rsidRDefault="00172C88" w:rsidP="00172C88">
      <w:pPr>
        <w:tabs>
          <w:tab w:val="clear" w:pos="567"/>
        </w:tabs>
        <w:spacing w:line="240" w:lineRule="auto"/>
        <w:ind w:right="-2"/>
        <w:rPr>
          <w:szCs w:val="24"/>
          <w:lang w:val="lt-LT"/>
        </w:rPr>
      </w:pPr>
      <w:r>
        <w:rPr>
          <w:szCs w:val="24"/>
          <w:lang w:val="lt-LT"/>
        </w:rPr>
        <w:t xml:space="preserve">Jei pamiršote išgerti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tabletę, ją išgerkite iš karto, kai prisiminsite, tada tabletes vartokite įprastu laiku. Negalima vartoti dvigubos dozės norint kompensuoti praleistą tabletę. </w:t>
      </w:r>
    </w:p>
    <w:p w14:paraId="5F0869C2" w14:textId="77777777" w:rsidR="00172C88" w:rsidRDefault="00172C88" w:rsidP="00172C88">
      <w:pPr>
        <w:tabs>
          <w:tab w:val="clear" w:pos="567"/>
        </w:tabs>
        <w:spacing w:line="240" w:lineRule="auto"/>
        <w:ind w:right="-2"/>
        <w:rPr>
          <w:szCs w:val="24"/>
          <w:lang w:val="lt-LT"/>
        </w:rPr>
      </w:pPr>
    </w:p>
    <w:p w14:paraId="60CE149C" w14:textId="77777777" w:rsidR="00172C88" w:rsidRPr="00C54C14" w:rsidRDefault="00172C88" w:rsidP="00172C88">
      <w:pPr>
        <w:pStyle w:val="Antrat4"/>
        <w:rPr>
          <w:lang w:val="pt-PT"/>
        </w:rPr>
      </w:pPr>
      <w:r>
        <w:rPr>
          <w:rFonts w:ascii="Times New Roman" w:hAnsi="Times New Roman"/>
          <w:sz w:val="22"/>
          <w:lang w:val="lt-LT"/>
        </w:rPr>
        <w:t xml:space="preserve">Nustojus vartoti </w:t>
      </w:r>
      <w:proofErr w:type="spellStart"/>
      <w:r>
        <w:rPr>
          <w:rFonts w:ascii="Times New Roman" w:hAnsi="Times New Roman"/>
          <w:sz w:val="22"/>
          <w:szCs w:val="22"/>
          <w:lang w:val="lt-LT"/>
        </w:rPr>
        <w:t>Bosentan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p>
    <w:p w14:paraId="5CF99C68" w14:textId="77777777" w:rsidR="00172C88" w:rsidRDefault="00172C88" w:rsidP="00172C88">
      <w:pPr>
        <w:tabs>
          <w:tab w:val="clear" w:pos="567"/>
        </w:tabs>
        <w:spacing w:line="240" w:lineRule="auto"/>
        <w:ind w:right="-2"/>
        <w:rPr>
          <w:szCs w:val="24"/>
          <w:lang w:val="lt-LT"/>
        </w:rPr>
      </w:pPr>
      <w:r>
        <w:rPr>
          <w:szCs w:val="24"/>
          <w:lang w:val="lt-LT"/>
        </w:rPr>
        <w:t xml:space="preserve">Staiga nutraukus gydymą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simptomai gali pablogėti. </w:t>
      </w:r>
      <w:proofErr w:type="spellStart"/>
      <w:r>
        <w:rPr>
          <w:szCs w:val="24"/>
          <w:lang w:val="lt-LT"/>
        </w:rPr>
        <w:t>Bosentan</w:t>
      </w:r>
      <w:proofErr w:type="spellEnd"/>
      <w:r>
        <w:rPr>
          <w:szCs w:val="24"/>
          <w:lang w:val="lt-LT"/>
        </w:rPr>
        <w:t xml:space="preserve"> </w:t>
      </w:r>
      <w:proofErr w:type="spellStart"/>
      <w:r>
        <w:rPr>
          <w:szCs w:val="24"/>
          <w:lang w:val="lt-LT"/>
        </w:rPr>
        <w:t>Norameda</w:t>
      </w:r>
      <w:proofErr w:type="spellEnd"/>
      <w:r>
        <w:rPr>
          <w:szCs w:val="24"/>
          <w:lang w:val="lt-LT"/>
        </w:rPr>
        <w:t xml:space="preserve"> vartoti nenustokite, nebent tai nurodys gydytojas. Gydytojas gali liepti kelias diena mažinti dozę ir tik po to gydymą nutraukti visiškai.</w:t>
      </w:r>
    </w:p>
    <w:p w14:paraId="6EF225A8" w14:textId="77777777" w:rsidR="00172C88" w:rsidRDefault="00172C88" w:rsidP="00172C88">
      <w:pPr>
        <w:tabs>
          <w:tab w:val="clear" w:pos="567"/>
        </w:tabs>
        <w:spacing w:line="240" w:lineRule="auto"/>
        <w:ind w:right="-29"/>
        <w:rPr>
          <w:szCs w:val="24"/>
          <w:lang w:val="lt-LT"/>
        </w:rPr>
      </w:pPr>
      <w:r>
        <w:rPr>
          <w:szCs w:val="24"/>
          <w:lang w:val="lt-LT"/>
        </w:rPr>
        <w:t>Jeigu kiltų daugiau klausimų dėl šio vaisto vartojimo, kreipkitės į gydytoją arba vaistininką.</w:t>
      </w:r>
    </w:p>
    <w:p w14:paraId="5A9BA31A" w14:textId="77777777" w:rsidR="00172C88" w:rsidRDefault="00172C88" w:rsidP="00172C88">
      <w:pPr>
        <w:tabs>
          <w:tab w:val="clear" w:pos="567"/>
        </w:tabs>
        <w:spacing w:line="240" w:lineRule="auto"/>
        <w:rPr>
          <w:szCs w:val="24"/>
          <w:lang w:val="lt-LT"/>
        </w:rPr>
      </w:pPr>
    </w:p>
    <w:p w14:paraId="1FCD0D11" w14:textId="77777777" w:rsidR="00172C88" w:rsidRDefault="00172C88" w:rsidP="00172C88">
      <w:pPr>
        <w:tabs>
          <w:tab w:val="clear" w:pos="567"/>
        </w:tabs>
        <w:spacing w:line="240" w:lineRule="auto"/>
        <w:rPr>
          <w:szCs w:val="24"/>
          <w:lang w:val="lt-LT"/>
        </w:rPr>
      </w:pPr>
    </w:p>
    <w:p w14:paraId="187AF8E1" w14:textId="77777777" w:rsidR="00172C88" w:rsidRDefault="00172C88" w:rsidP="00172C88">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40AA8FF4" w14:textId="77777777" w:rsidR="00172C88" w:rsidRDefault="00172C88" w:rsidP="00172C88">
      <w:pPr>
        <w:tabs>
          <w:tab w:val="clear" w:pos="567"/>
        </w:tabs>
        <w:spacing w:line="240" w:lineRule="auto"/>
        <w:rPr>
          <w:szCs w:val="24"/>
          <w:lang w:val="lt-LT"/>
        </w:rPr>
      </w:pPr>
    </w:p>
    <w:p w14:paraId="6A6150AA" w14:textId="77777777" w:rsidR="00172C88" w:rsidRDefault="00172C88" w:rsidP="00172C88">
      <w:pPr>
        <w:tabs>
          <w:tab w:val="clear" w:pos="567"/>
        </w:tabs>
        <w:spacing w:line="240" w:lineRule="auto"/>
        <w:ind w:right="-29"/>
        <w:rPr>
          <w:szCs w:val="24"/>
          <w:lang w:val="lt-LT"/>
        </w:rPr>
      </w:pPr>
      <w:r>
        <w:rPr>
          <w:szCs w:val="24"/>
          <w:lang w:val="lt-LT"/>
        </w:rPr>
        <w:t>Šis vaistas, kaip ir visi kiti, gali sukelti šalutinį poveikį, nors jis pasireiškia ne visiems žmonėms.</w:t>
      </w:r>
    </w:p>
    <w:p w14:paraId="32607F79" w14:textId="77777777" w:rsidR="00172C88" w:rsidRDefault="00172C88" w:rsidP="00172C88">
      <w:pPr>
        <w:tabs>
          <w:tab w:val="clear" w:pos="567"/>
        </w:tabs>
        <w:spacing w:line="240" w:lineRule="auto"/>
        <w:ind w:right="-29"/>
        <w:rPr>
          <w:szCs w:val="24"/>
          <w:lang w:val="lt-LT"/>
        </w:rPr>
      </w:pPr>
    </w:p>
    <w:p w14:paraId="3B070625" w14:textId="77777777" w:rsidR="00172C88" w:rsidRDefault="00172C88" w:rsidP="00172C88">
      <w:pPr>
        <w:spacing w:line="240" w:lineRule="auto"/>
        <w:rPr>
          <w:szCs w:val="28"/>
          <w:lang w:val="lt-LT"/>
        </w:rPr>
      </w:pPr>
      <w:r>
        <w:rPr>
          <w:szCs w:val="28"/>
          <w:lang w:val="lt-LT"/>
        </w:rPr>
        <w:t xml:space="preserve">Vartojant </w:t>
      </w:r>
      <w:proofErr w:type="spellStart"/>
      <w:r>
        <w:rPr>
          <w:szCs w:val="28"/>
          <w:lang w:val="lt-LT"/>
        </w:rPr>
        <w:t>Bosentan</w:t>
      </w:r>
      <w:proofErr w:type="spellEnd"/>
      <w:r>
        <w:rPr>
          <w:szCs w:val="28"/>
          <w:lang w:val="lt-LT"/>
        </w:rPr>
        <w:t xml:space="preserve"> </w:t>
      </w:r>
      <w:proofErr w:type="spellStart"/>
      <w:r>
        <w:rPr>
          <w:szCs w:val="28"/>
          <w:lang w:val="lt-LT"/>
        </w:rPr>
        <w:t>Norameda</w:t>
      </w:r>
      <w:proofErr w:type="spellEnd"/>
      <w:r>
        <w:rPr>
          <w:szCs w:val="28"/>
          <w:lang w:val="lt-LT"/>
        </w:rPr>
        <w:t xml:space="preserve"> sunkiausias šalutinis poveikis: </w:t>
      </w:r>
    </w:p>
    <w:p w14:paraId="17839455" w14:textId="1AEFB4BA" w:rsidR="00172C88" w:rsidRDefault="005C7F4A" w:rsidP="00172C88">
      <w:pPr>
        <w:pStyle w:val="Sraopastraipa"/>
        <w:numPr>
          <w:ilvl w:val="0"/>
          <w:numId w:val="6"/>
        </w:numPr>
        <w:spacing w:line="240" w:lineRule="auto"/>
        <w:rPr>
          <w:szCs w:val="28"/>
          <w:lang w:val="lt-LT"/>
        </w:rPr>
      </w:pPr>
      <w:r>
        <w:rPr>
          <w:szCs w:val="28"/>
          <w:lang w:val="lt-LT"/>
        </w:rPr>
        <w:t>n</w:t>
      </w:r>
      <w:r w:rsidR="00172C88">
        <w:rPr>
          <w:szCs w:val="28"/>
          <w:lang w:val="lt-LT"/>
        </w:rPr>
        <w:t xml:space="preserve">enormali kepenų veikla, kuri gali pasireikšti dažniau nei vienam iš 10 žmonių; </w:t>
      </w:r>
    </w:p>
    <w:p w14:paraId="2DDE4105" w14:textId="78F4F745" w:rsidR="00172C88" w:rsidRDefault="005C7F4A" w:rsidP="00172C88">
      <w:pPr>
        <w:pStyle w:val="Sraopastraipa"/>
        <w:numPr>
          <w:ilvl w:val="0"/>
          <w:numId w:val="6"/>
        </w:numPr>
        <w:spacing w:line="240" w:lineRule="auto"/>
        <w:rPr>
          <w:szCs w:val="28"/>
          <w:lang w:val="lt-LT"/>
        </w:rPr>
      </w:pPr>
      <w:r>
        <w:rPr>
          <w:szCs w:val="28"/>
          <w:lang w:val="lt-LT"/>
        </w:rPr>
        <w:t>a</w:t>
      </w:r>
      <w:r w:rsidR="00172C88">
        <w:rPr>
          <w:szCs w:val="28"/>
          <w:lang w:val="lt-LT"/>
        </w:rPr>
        <w:t xml:space="preserve">nemija (mažakraujystė), kuri gali pasireikšti rečiau nei 1 iš 10 žmonių. Sergant anemija kartais gali reikėti perpilti kraują. </w:t>
      </w:r>
    </w:p>
    <w:p w14:paraId="427122E0" w14:textId="77777777" w:rsidR="00172C88" w:rsidRDefault="00172C88" w:rsidP="00172C88">
      <w:pPr>
        <w:spacing w:line="240" w:lineRule="auto"/>
        <w:rPr>
          <w:szCs w:val="28"/>
          <w:lang w:val="lt-LT"/>
        </w:rPr>
      </w:pPr>
    </w:p>
    <w:p w14:paraId="0953BED9" w14:textId="77777777" w:rsidR="00172C88" w:rsidRDefault="00172C88" w:rsidP="00172C88">
      <w:pPr>
        <w:spacing w:line="240" w:lineRule="auto"/>
        <w:rPr>
          <w:szCs w:val="28"/>
          <w:lang w:val="lt-LT"/>
        </w:rPr>
      </w:pPr>
      <w:r>
        <w:rPr>
          <w:szCs w:val="28"/>
          <w:lang w:val="lt-LT"/>
        </w:rPr>
        <w:t xml:space="preserve">Gydymo </w:t>
      </w:r>
      <w:proofErr w:type="spellStart"/>
      <w:r>
        <w:rPr>
          <w:szCs w:val="28"/>
          <w:lang w:val="lt-LT"/>
        </w:rPr>
        <w:t>Bosentan</w:t>
      </w:r>
      <w:proofErr w:type="spellEnd"/>
      <w:r>
        <w:rPr>
          <w:szCs w:val="28"/>
          <w:lang w:val="lt-LT"/>
        </w:rPr>
        <w:t xml:space="preserve"> </w:t>
      </w:r>
      <w:proofErr w:type="spellStart"/>
      <w:r>
        <w:rPr>
          <w:szCs w:val="28"/>
          <w:lang w:val="lt-LT"/>
        </w:rPr>
        <w:t>Norameda</w:t>
      </w:r>
      <w:proofErr w:type="spellEnd"/>
      <w:r>
        <w:rPr>
          <w:szCs w:val="28"/>
          <w:lang w:val="lt-LT"/>
        </w:rPr>
        <w:t xml:space="preserve"> metu bus stebimos Jūsų kepenų ir kraujo tyrimų reikšmės (žr. 2 skyrių). Svarbu, kad atliktumėte šiuos tyrimus, kaip nurodė gydytojas. </w:t>
      </w:r>
    </w:p>
    <w:p w14:paraId="6CCD4BA5" w14:textId="77777777" w:rsidR="00172C88" w:rsidRDefault="00172C88" w:rsidP="00172C88">
      <w:pPr>
        <w:spacing w:line="240" w:lineRule="auto"/>
        <w:rPr>
          <w:szCs w:val="28"/>
          <w:lang w:val="lt-LT"/>
        </w:rPr>
      </w:pPr>
    </w:p>
    <w:p w14:paraId="1ADBD75B" w14:textId="5A3ADEB9" w:rsidR="00172C88" w:rsidRDefault="00172C88" w:rsidP="00172C88">
      <w:pPr>
        <w:spacing w:line="240" w:lineRule="auto"/>
        <w:rPr>
          <w:szCs w:val="28"/>
          <w:lang w:val="lt-LT"/>
        </w:rPr>
      </w:pPr>
      <w:r>
        <w:rPr>
          <w:szCs w:val="28"/>
          <w:lang w:val="lt-LT"/>
        </w:rPr>
        <w:t xml:space="preserve">Kepenų veiklos sutrikimo požymiai yra šie: </w:t>
      </w:r>
    </w:p>
    <w:p w14:paraId="7EE16C70" w14:textId="77777777" w:rsidR="00172C88" w:rsidRDefault="00172C88" w:rsidP="00172C88">
      <w:pPr>
        <w:pStyle w:val="Sraopastraipa"/>
        <w:numPr>
          <w:ilvl w:val="0"/>
          <w:numId w:val="6"/>
        </w:numPr>
        <w:spacing w:line="240" w:lineRule="auto"/>
        <w:rPr>
          <w:szCs w:val="28"/>
          <w:lang w:val="lt-LT"/>
        </w:rPr>
      </w:pPr>
      <w:r>
        <w:rPr>
          <w:szCs w:val="28"/>
          <w:lang w:val="lt-LT"/>
        </w:rPr>
        <w:t xml:space="preserve"> pykinimas (noras vemti); </w:t>
      </w:r>
    </w:p>
    <w:p w14:paraId="2909EF3D" w14:textId="77777777" w:rsidR="00172C88" w:rsidRDefault="00172C88" w:rsidP="00172C88">
      <w:pPr>
        <w:pStyle w:val="Sraopastraipa"/>
        <w:numPr>
          <w:ilvl w:val="0"/>
          <w:numId w:val="6"/>
        </w:numPr>
        <w:spacing w:line="240" w:lineRule="auto"/>
        <w:rPr>
          <w:szCs w:val="28"/>
          <w:lang w:val="lt-LT"/>
        </w:rPr>
      </w:pPr>
      <w:r>
        <w:rPr>
          <w:szCs w:val="28"/>
          <w:lang w:val="lt-LT"/>
        </w:rPr>
        <w:t xml:space="preserve"> vėmimas; </w:t>
      </w:r>
    </w:p>
    <w:p w14:paraId="7D2BB606" w14:textId="77777777" w:rsidR="00172C88" w:rsidRDefault="00172C88" w:rsidP="00172C88">
      <w:pPr>
        <w:pStyle w:val="Sraopastraipa"/>
        <w:numPr>
          <w:ilvl w:val="0"/>
          <w:numId w:val="6"/>
        </w:numPr>
        <w:spacing w:line="240" w:lineRule="auto"/>
        <w:rPr>
          <w:szCs w:val="28"/>
          <w:lang w:val="lt-LT"/>
        </w:rPr>
      </w:pPr>
      <w:r>
        <w:rPr>
          <w:szCs w:val="28"/>
          <w:lang w:val="lt-LT"/>
        </w:rPr>
        <w:lastRenderedPageBreak/>
        <w:t xml:space="preserve"> karščiavimas (aukšta temperatūra); </w:t>
      </w:r>
    </w:p>
    <w:p w14:paraId="10F2ED3B" w14:textId="77777777" w:rsidR="00172C88" w:rsidRDefault="00172C88" w:rsidP="00172C88">
      <w:pPr>
        <w:pStyle w:val="Sraopastraipa"/>
        <w:numPr>
          <w:ilvl w:val="0"/>
          <w:numId w:val="6"/>
        </w:numPr>
        <w:spacing w:line="240" w:lineRule="auto"/>
        <w:rPr>
          <w:szCs w:val="28"/>
          <w:lang w:val="lt-LT"/>
        </w:rPr>
      </w:pPr>
      <w:r>
        <w:rPr>
          <w:szCs w:val="28"/>
          <w:lang w:val="lt-LT"/>
        </w:rPr>
        <w:t xml:space="preserve"> skrandžio (pilvo) skausmas; </w:t>
      </w:r>
    </w:p>
    <w:p w14:paraId="5283BD62" w14:textId="77777777" w:rsidR="00172C88" w:rsidRDefault="00172C88" w:rsidP="00172C88">
      <w:pPr>
        <w:pStyle w:val="Sraopastraipa"/>
        <w:numPr>
          <w:ilvl w:val="0"/>
          <w:numId w:val="6"/>
        </w:numPr>
        <w:spacing w:line="240" w:lineRule="auto"/>
        <w:rPr>
          <w:szCs w:val="28"/>
          <w:lang w:val="lt-LT"/>
        </w:rPr>
      </w:pPr>
      <w:r>
        <w:rPr>
          <w:szCs w:val="28"/>
          <w:lang w:val="lt-LT"/>
        </w:rPr>
        <w:t xml:space="preserve"> gelta (pageltusi oda arba akių baltymai); </w:t>
      </w:r>
    </w:p>
    <w:p w14:paraId="23054759" w14:textId="77777777" w:rsidR="00172C88" w:rsidRDefault="00172C88" w:rsidP="00172C88">
      <w:pPr>
        <w:pStyle w:val="Sraopastraipa"/>
        <w:numPr>
          <w:ilvl w:val="0"/>
          <w:numId w:val="6"/>
        </w:numPr>
        <w:spacing w:line="240" w:lineRule="auto"/>
        <w:rPr>
          <w:szCs w:val="28"/>
          <w:lang w:val="lt-LT"/>
        </w:rPr>
      </w:pPr>
      <w:r>
        <w:rPr>
          <w:szCs w:val="28"/>
          <w:lang w:val="lt-LT"/>
        </w:rPr>
        <w:t xml:space="preserve"> patamsėjęs šlapimas; </w:t>
      </w:r>
    </w:p>
    <w:p w14:paraId="1C8EE6A5" w14:textId="77777777" w:rsidR="00172C88" w:rsidRDefault="00172C88" w:rsidP="00172C88">
      <w:pPr>
        <w:pStyle w:val="Sraopastraipa"/>
        <w:numPr>
          <w:ilvl w:val="0"/>
          <w:numId w:val="6"/>
        </w:numPr>
        <w:spacing w:line="240" w:lineRule="auto"/>
        <w:rPr>
          <w:szCs w:val="28"/>
          <w:lang w:val="lt-LT"/>
        </w:rPr>
      </w:pPr>
      <w:r>
        <w:rPr>
          <w:szCs w:val="28"/>
          <w:lang w:val="lt-LT"/>
        </w:rPr>
        <w:t xml:space="preserve"> odos niežėjimas; </w:t>
      </w:r>
    </w:p>
    <w:p w14:paraId="3132FC18" w14:textId="77777777" w:rsidR="00172C88" w:rsidRDefault="00172C88" w:rsidP="00172C88">
      <w:pPr>
        <w:pStyle w:val="Sraopastraipa"/>
        <w:numPr>
          <w:ilvl w:val="0"/>
          <w:numId w:val="6"/>
        </w:numPr>
        <w:spacing w:line="240" w:lineRule="auto"/>
        <w:rPr>
          <w:szCs w:val="28"/>
          <w:lang w:val="lt-LT"/>
        </w:rPr>
      </w:pPr>
      <w:r>
        <w:rPr>
          <w:szCs w:val="28"/>
          <w:lang w:val="lt-LT"/>
        </w:rPr>
        <w:t xml:space="preserve"> letargija arba nuovargis (neįprastas nuvargimo arba išsekimo jausmas);</w:t>
      </w:r>
    </w:p>
    <w:p w14:paraId="0BFDE862" w14:textId="77777777" w:rsidR="00172C88" w:rsidRDefault="00172C88" w:rsidP="00172C88">
      <w:pPr>
        <w:pStyle w:val="Sraopastraipa"/>
        <w:numPr>
          <w:ilvl w:val="0"/>
          <w:numId w:val="6"/>
        </w:numPr>
        <w:rPr>
          <w:szCs w:val="28"/>
          <w:lang w:val="lt-LT"/>
        </w:rPr>
      </w:pPr>
      <w:r>
        <w:rPr>
          <w:szCs w:val="28"/>
          <w:lang w:val="lt-LT"/>
        </w:rPr>
        <w:t xml:space="preserve"> į gripą panašus sindromas (sąnarių ir raumenų skausmas su karščiavimu).</w:t>
      </w:r>
    </w:p>
    <w:p w14:paraId="26C8ABE7" w14:textId="77777777" w:rsidR="00172C88" w:rsidRDefault="00172C88" w:rsidP="00172C88">
      <w:pPr>
        <w:pStyle w:val="Sraopastraipa"/>
        <w:tabs>
          <w:tab w:val="clear" w:pos="567"/>
          <w:tab w:val="left" w:pos="0"/>
        </w:tabs>
        <w:ind w:left="0"/>
        <w:rPr>
          <w:szCs w:val="28"/>
          <w:lang w:val="lt-LT"/>
        </w:rPr>
      </w:pPr>
    </w:p>
    <w:p w14:paraId="7B778E83" w14:textId="77777777" w:rsidR="00172C88" w:rsidRPr="007263E8" w:rsidRDefault="00172C88" w:rsidP="00172C88">
      <w:pPr>
        <w:pStyle w:val="Sraopastraipa"/>
        <w:tabs>
          <w:tab w:val="clear" w:pos="567"/>
          <w:tab w:val="left" w:pos="0"/>
        </w:tabs>
        <w:ind w:left="0"/>
        <w:rPr>
          <w:lang w:val="lt-LT"/>
        </w:rPr>
      </w:pPr>
      <w:r>
        <w:rPr>
          <w:szCs w:val="28"/>
          <w:lang w:val="lt-LT"/>
        </w:rPr>
        <w:t xml:space="preserve">Jeigu pastebite kuriuos nors iš šių simptomų, </w:t>
      </w:r>
      <w:r>
        <w:rPr>
          <w:bCs/>
          <w:szCs w:val="28"/>
          <w:lang w:val="lt-LT"/>
        </w:rPr>
        <w:t>nedelsdami pasakykite gydytojui.</w:t>
      </w:r>
    </w:p>
    <w:p w14:paraId="34A33060" w14:textId="77777777" w:rsidR="00172C88" w:rsidRDefault="00172C88" w:rsidP="00172C88">
      <w:pPr>
        <w:tabs>
          <w:tab w:val="clear" w:pos="567"/>
          <w:tab w:val="left" w:pos="0"/>
        </w:tabs>
        <w:rPr>
          <w:szCs w:val="28"/>
          <w:u w:val="single"/>
          <w:lang w:val="lt-LT"/>
        </w:rPr>
      </w:pPr>
    </w:p>
    <w:p w14:paraId="7383A538" w14:textId="68BEF8A4" w:rsidR="00172C88" w:rsidRDefault="00172C88" w:rsidP="00172C88">
      <w:pPr>
        <w:tabs>
          <w:tab w:val="clear" w:pos="567"/>
          <w:tab w:val="left" w:pos="0"/>
        </w:tabs>
        <w:rPr>
          <w:szCs w:val="28"/>
          <w:u w:val="single"/>
          <w:lang w:val="lt-LT"/>
        </w:rPr>
      </w:pPr>
      <w:r>
        <w:rPr>
          <w:szCs w:val="28"/>
          <w:u w:val="single"/>
          <w:lang w:val="lt-LT"/>
        </w:rPr>
        <w:t>Kiti šalutiniai poveikiai</w:t>
      </w:r>
    </w:p>
    <w:p w14:paraId="1C664716" w14:textId="7960C37E" w:rsidR="00172C88" w:rsidRPr="00082D1A" w:rsidRDefault="00172C88" w:rsidP="00172C88">
      <w:pPr>
        <w:spacing w:line="240" w:lineRule="auto"/>
        <w:rPr>
          <w:b/>
          <w:bCs/>
          <w:szCs w:val="28"/>
          <w:lang w:val="lt-LT"/>
        </w:rPr>
      </w:pPr>
      <w:r w:rsidRPr="00EF5BD3">
        <w:rPr>
          <w:b/>
          <w:bCs/>
          <w:szCs w:val="28"/>
          <w:lang w:val="lt-LT"/>
        </w:rPr>
        <w:t>Labai dažni</w:t>
      </w:r>
      <w:r w:rsidRPr="00082D1A">
        <w:rPr>
          <w:b/>
          <w:bCs/>
          <w:szCs w:val="28"/>
          <w:lang w:val="lt-LT"/>
        </w:rPr>
        <w:t xml:space="preserve"> </w:t>
      </w:r>
      <w:r w:rsidR="00EF5BD3" w:rsidRPr="00082D1A">
        <w:rPr>
          <w:b/>
          <w:bCs/>
          <w:szCs w:val="28"/>
          <w:lang w:val="lt-LT"/>
        </w:rPr>
        <w:t xml:space="preserve">šalutinio poveikio reiškiniai </w:t>
      </w:r>
      <w:r w:rsidRPr="00082D1A">
        <w:rPr>
          <w:b/>
          <w:bCs/>
          <w:szCs w:val="28"/>
          <w:lang w:val="lt-LT"/>
        </w:rPr>
        <w:t xml:space="preserve">(gali pasireikšti </w:t>
      </w:r>
      <w:r w:rsidR="00EF5BD3" w:rsidRPr="00082D1A">
        <w:rPr>
          <w:b/>
          <w:bCs/>
          <w:szCs w:val="28"/>
          <w:lang w:val="lt-LT"/>
        </w:rPr>
        <w:t>ne rečiau kaip</w:t>
      </w:r>
      <w:r w:rsidR="00B65B66" w:rsidRPr="00082D1A">
        <w:rPr>
          <w:b/>
          <w:bCs/>
          <w:szCs w:val="28"/>
          <w:lang w:val="lt-LT"/>
        </w:rPr>
        <w:t xml:space="preserve"> </w:t>
      </w:r>
      <w:r w:rsidRPr="00082D1A">
        <w:rPr>
          <w:b/>
          <w:bCs/>
          <w:szCs w:val="28"/>
          <w:lang w:val="lt-LT"/>
        </w:rPr>
        <w:t>1 iš 10 </w:t>
      </w:r>
      <w:r w:rsidR="00EF5BD3" w:rsidRPr="00082D1A">
        <w:rPr>
          <w:b/>
          <w:bCs/>
          <w:szCs w:val="28"/>
          <w:lang w:val="lt-LT"/>
        </w:rPr>
        <w:t>asmenų</w:t>
      </w:r>
      <w:r w:rsidRPr="00082D1A">
        <w:rPr>
          <w:b/>
          <w:bCs/>
          <w:szCs w:val="28"/>
          <w:lang w:val="lt-LT"/>
        </w:rPr>
        <w:t>)</w:t>
      </w:r>
      <w:r w:rsidR="00EF5BD3">
        <w:rPr>
          <w:b/>
          <w:bCs/>
          <w:szCs w:val="28"/>
          <w:lang w:val="lt-LT"/>
        </w:rPr>
        <w:t>:</w:t>
      </w:r>
    </w:p>
    <w:p w14:paraId="1AC1E6A5" w14:textId="10389F81" w:rsidR="00172C88" w:rsidRDefault="005C7F4A" w:rsidP="00172C88">
      <w:pPr>
        <w:numPr>
          <w:ilvl w:val="0"/>
          <w:numId w:val="6"/>
        </w:numPr>
        <w:spacing w:line="240" w:lineRule="auto"/>
        <w:ind w:left="567" w:hanging="567"/>
        <w:rPr>
          <w:szCs w:val="28"/>
          <w:lang w:val="lt-LT"/>
        </w:rPr>
      </w:pPr>
      <w:r>
        <w:rPr>
          <w:szCs w:val="28"/>
          <w:lang w:val="lt-LT"/>
        </w:rPr>
        <w:t>g</w:t>
      </w:r>
      <w:r w:rsidR="00172C88">
        <w:rPr>
          <w:szCs w:val="28"/>
          <w:lang w:val="lt-LT"/>
        </w:rPr>
        <w:t>alvos skausmas</w:t>
      </w:r>
      <w:r>
        <w:rPr>
          <w:szCs w:val="28"/>
          <w:lang w:val="lt-LT"/>
        </w:rPr>
        <w:t>;</w:t>
      </w:r>
    </w:p>
    <w:p w14:paraId="1BB9FEA4" w14:textId="674BCC89" w:rsidR="00172C88" w:rsidRDefault="005C7F4A" w:rsidP="00172C88">
      <w:pPr>
        <w:numPr>
          <w:ilvl w:val="0"/>
          <w:numId w:val="6"/>
        </w:numPr>
        <w:spacing w:line="240" w:lineRule="auto"/>
        <w:ind w:left="567" w:hanging="567"/>
        <w:rPr>
          <w:szCs w:val="28"/>
          <w:lang w:val="lt-LT"/>
        </w:rPr>
      </w:pPr>
      <w:r>
        <w:rPr>
          <w:szCs w:val="28"/>
          <w:lang w:val="lt-LT"/>
        </w:rPr>
        <w:t>e</w:t>
      </w:r>
      <w:r w:rsidR="00172C88">
        <w:rPr>
          <w:szCs w:val="28"/>
          <w:lang w:val="lt-LT"/>
        </w:rPr>
        <w:t>dema (kojų ir kulkšnių patinimas arba kiti skysčių susilaikymo požymiai)</w:t>
      </w:r>
      <w:r>
        <w:rPr>
          <w:szCs w:val="28"/>
          <w:lang w:val="lt-LT"/>
        </w:rPr>
        <w:t>.</w:t>
      </w:r>
    </w:p>
    <w:p w14:paraId="496AA3FB" w14:textId="77777777" w:rsidR="00172C88" w:rsidRDefault="00172C88" w:rsidP="00172C88">
      <w:pPr>
        <w:spacing w:line="240" w:lineRule="auto"/>
        <w:rPr>
          <w:szCs w:val="28"/>
          <w:lang w:val="lt-LT"/>
        </w:rPr>
      </w:pPr>
      <w:r>
        <w:rPr>
          <w:szCs w:val="28"/>
          <w:lang w:val="lt-LT"/>
        </w:rPr>
        <w:t xml:space="preserve"> </w:t>
      </w:r>
    </w:p>
    <w:p w14:paraId="1B21BC30" w14:textId="32C60D6F" w:rsidR="00172C88" w:rsidRPr="00082D1A" w:rsidRDefault="00172C88" w:rsidP="00172C88">
      <w:pPr>
        <w:spacing w:line="240" w:lineRule="auto"/>
        <w:rPr>
          <w:b/>
          <w:bCs/>
          <w:lang w:val="lt-LT"/>
        </w:rPr>
      </w:pPr>
      <w:r>
        <w:rPr>
          <w:b/>
          <w:bCs/>
          <w:szCs w:val="28"/>
          <w:lang w:val="lt-LT"/>
        </w:rPr>
        <w:t>Dažni</w:t>
      </w:r>
      <w:r>
        <w:rPr>
          <w:szCs w:val="28"/>
          <w:lang w:val="lt-LT"/>
        </w:rPr>
        <w:t xml:space="preserve"> </w:t>
      </w:r>
      <w:r w:rsidR="00EF5BD3" w:rsidRPr="00082D1A">
        <w:rPr>
          <w:b/>
          <w:bCs/>
          <w:szCs w:val="28"/>
          <w:lang w:val="lt-LT"/>
        </w:rPr>
        <w:t xml:space="preserve">šalutinio poveikio reiškiniai </w:t>
      </w:r>
      <w:r w:rsidRPr="00082D1A">
        <w:rPr>
          <w:b/>
          <w:bCs/>
          <w:szCs w:val="28"/>
          <w:lang w:val="lt-LT"/>
        </w:rPr>
        <w:t>(gali pasireikšti rečiau</w:t>
      </w:r>
      <w:r w:rsidR="00EF5BD3" w:rsidRPr="00082D1A">
        <w:rPr>
          <w:b/>
          <w:bCs/>
          <w:szCs w:val="28"/>
          <w:lang w:val="lt-LT"/>
        </w:rPr>
        <w:t xml:space="preserve"> kaip</w:t>
      </w:r>
      <w:r w:rsidR="00B65B66" w:rsidRPr="00082D1A">
        <w:rPr>
          <w:b/>
          <w:bCs/>
          <w:szCs w:val="28"/>
          <w:lang w:val="lt-LT"/>
        </w:rPr>
        <w:t xml:space="preserve"> </w:t>
      </w:r>
      <w:r w:rsidRPr="00082D1A">
        <w:rPr>
          <w:b/>
          <w:bCs/>
          <w:szCs w:val="28"/>
          <w:lang w:val="lt-LT"/>
        </w:rPr>
        <w:t>1 iš 10 </w:t>
      </w:r>
      <w:r w:rsidR="00EF5BD3" w:rsidRPr="00082D1A">
        <w:rPr>
          <w:b/>
          <w:bCs/>
          <w:szCs w:val="28"/>
          <w:lang w:val="lt-LT"/>
        </w:rPr>
        <w:t>asmenų</w:t>
      </w:r>
      <w:r w:rsidRPr="00082D1A">
        <w:rPr>
          <w:b/>
          <w:bCs/>
          <w:szCs w:val="28"/>
          <w:lang w:val="lt-LT"/>
        </w:rPr>
        <w:t>)</w:t>
      </w:r>
      <w:r w:rsidR="00EF5BD3" w:rsidRPr="00082D1A">
        <w:rPr>
          <w:b/>
          <w:bCs/>
          <w:szCs w:val="28"/>
          <w:lang w:val="lt-LT"/>
        </w:rPr>
        <w:t>:</w:t>
      </w:r>
    </w:p>
    <w:p w14:paraId="783D3568" w14:textId="1C72C7A2" w:rsidR="00172C88" w:rsidRDefault="005C7F4A" w:rsidP="00172C88">
      <w:pPr>
        <w:numPr>
          <w:ilvl w:val="0"/>
          <w:numId w:val="6"/>
        </w:numPr>
        <w:spacing w:line="240" w:lineRule="auto"/>
        <w:ind w:left="567" w:hanging="567"/>
        <w:rPr>
          <w:szCs w:val="28"/>
          <w:lang w:val="lt-LT"/>
        </w:rPr>
      </w:pPr>
      <w:r>
        <w:rPr>
          <w:szCs w:val="28"/>
          <w:lang w:val="lt-LT"/>
        </w:rPr>
        <w:t>r</w:t>
      </w:r>
      <w:r w:rsidR="00172C88">
        <w:rPr>
          <w:szCs w:val="28"/>
          <w:lang w:val="lt-LT"/>
        </w:rPr>
        <w:t>audonis ar odos paraudimas</w:t>
      </w:r>
      <w:r>
        <w:rPr>
          <w:szCs w:val="28"/>
          <w:lang w:val="lt-LT"/>
        </w:rPr>
        <w:t>;</w:t>
      </w:r>
    </w:p>
    <w:p w14:paraId="5F36CAEB" w14:textId="7A61471F" w:rsidR="00172C88" w:rsidRDefault="005C7F4A" w:rsidP="00172C88">
      <w:pPr>
        <w:numPr>
          <w:ilvl w:val="0"/>
          <w:numId w:val="6"/>
        </w:numPr>
        <w:spacing w:line="240" w:lineRule="auto"/>
        <w:ind w:left="567" w:hanging="567"/>
        <w:rPr>
          <w:szCs w:val="28"/>
          <w:lang w:val="lt-LT"/>
        </w:rPr>
      </w:pPr>
      <w:r>
        <w:rPr>
          <w:szCs w:val="28"/>
          <w:lang w:val="lt-LT"/>
        </w:rPr>
        <w:t>p</w:t>
      </w:r>
      <w:r w:rsidR="00172C88">
        <w:rPr>
          <w:szCs w:val="28"/>
          <w:lang w:val="lt-LT"/>
        </w:rPr>
        <w:t>adidėjusio jautrumo reakcijos (įskaitant odos uždegimą, niežėjimą ir išbėrimą)</w:t>
      </w:r>
      <w:r>
        <w:rPr>
          <w:szCs w:val="28"/>
          <w:lang w:val="lt-LT"/>
        </w:rPr>
        <w:t>;</w:t>
      </w:r>
    </w:p>
    <w:p w14:paraId="54138830" w14:textId="00F27616" w:rsidR="00172C88" w:rsidRDefault="005C7F4A" w:rsidP="00172C88">
      <w:pPr>
        <w:numPr>
          <w:ilvl w:val="0"/>
          <w:numId w:val="6"/>
        </w:numPr>
        <w:spacing w:line="240" w:lineRule="auto"/>
        <w:ind w:left="567" w:hanging="567"/>
        <w:rPr>
          <w:szCs w:val="28"/>
          <w:lang w:val="lt-LT"/>
        </w:rPr>
      </w:pPr>
      <w:proofErr w:type="spellStart"/>
      <w:r>
        <w:rPr>
          <w:szCs w:val="28"/>
          <w:lang w:val="lt-LT"/>
        </w:rPr>
        <w:t>g</w:t>
      </w:r>
      <w:r w:rsidR="00172C88">
        <w:rPr>
          <w:szCs w:val="28"/>
          <w:lang w:val="lt-LT"/>
        </w:rPr>
        <w:t>astroezofaginio</w:t>
      </w:r>
      <w:proofErr w:type="spellEnd"/>
      <w:r w:rsidR="00172C88">
        <w:rPr>
          <w:szCs w:val="28"/>
          <w:lang w:val="lt-LT"/>
        </w:rPr>
        <w:t xml:space="preserve"> </w:t>
      </w:r>
      <w:proofErr w:type="spellStart"/>
      <w:r w:rsidR="00172C88">
        <w:rPr>
          <w:szCs w:val="28"/>
          <w:lang w:val="lt-LT"/>
        </w:rPr>
        <w:t>refliukso</w:t>
      </w:r>
      <w:proofErr w:type="spellEnd"/>
      <w:r w:rsidR="00172C88">
        <w:rPr>
          <w:szCs w:val="28"/>
          <w:lang w:val="lt-LT"/>
        </w:rPr>
        <w:t xml:space="preserve"> liga (rūgštaus skrandžio turinio atpylimas)</w:t>
      </w:r>
      <w:r>
        <w:rPr>
          <w:szCs w:val="28"/>
          <w:lang w:val="lt-LT"/>
        </w:rPr>
        <w:t>;</w:t>
      </w:r>
    </w:p>
    <w:p w14:paraId="0C5C8C15" w14:textId="70A8ED5A" w:rsidR="00172C88" w:rsidRPr="007263E8" w:rsidRDefault="005C7F4A" w:rsidP="00172C88">
      <w:pPr>
        <w:numPr>
          <w:ilvl w:val="0"/>
          <w:numId w:val="6"/>
        </w:numPr>
        <w:tabs>
          <w:tab w:val="clear" w:pos="567"/>
        </w:tabs>
        <w:autoSpaceDE w:val="0"/>
        <w:spacing w:line="240" w:lineRule="auto"/>
        <w:ind w:left="567" w:hanging="567"/>
      </w:pPr>
      <w:r>
        <w:rPr>
          <w:szCs w:val="28"/>
          <w:lang w:val="lt-LT"/>
        </w:rPr>
        <w:t>v</w:t>
      </w:r>
      <w:r w:rsidR="00172C88">
        <w:rPr>
          <w:szCs w:val="28"/>
          <w:lang w:val="lt-LT"/>
        </w:rPr>
        <w:t>iduriavimas</w:t>
      </w:r>
      <w:r>
        <w:rPr>
          <w:szCs w:val="28"/>
          <w:lang w:val="lt-LT"/>
        </w:rPr>
        <w:t>;</w:t>
      </w:r>
    </w:p>
    <w:p w14:paraId="5576B1A8" w14:textId="1BA67ADA" w:rsidR="00172C88" w:rsidRDefault="005C7F4A" w:rsidP="00172C88">
      <w:pPr>
        <w:numPr>
          <w:ilvl w:val="0"/>
          <w:numId w:val="6"/>
        </w:numPr>
        <w:tabs>
          <w:tab w:val="clear" w:pos="567"/>
        </w:tabs>
        <w:autoSpaceDE w:val="0"/>
        <w:spacing w:line="240" w:lineRule="auto"/>
        <w:ind w:left="567" w:hanging="567"/>
        <w:rPr>
          <w:rFonts w:eastAsia="Calibri"/>
          <w:color w:val="000000"/>
          <w:lang w:val="lt-LT"/>
        </w:rPr>
      </w:pPr>
      <w:r>
        <w:rPr>
          <w:rFonts w:eastAsia="Calibri"/>
          <w:color w:val="000000"/>
          <w:lang w:val="lt-LT"/>
        </w:rPr>
        <w:t>s</w:t>
      </w:r>
      <w:r w:rsidR="00172C88">
        <w:rPr>
          <w:rFonts w:eastAsia="Calibri"/>
          <w:color w:val="000000"/>
          <w:lang w:val="lt-LT"/>
        </w:rPr>
        <w:t>inkopė (apalpimas)</w:t>
      </w:r>
      <w:r>
        <w:rPr>
          <w:rFonts w:eastAsia="Calibri"/>
          <w:color w:val="000000"/>
          <w:lang w:val="lt-LT"/>
        </w:rPr>
        <w:t>;</w:t>
      </w:r>
    </w:p>
    <w:p w14:paraId="458A646E" w14:textId="5CC3C473" w:rsidR="00172C88" w:rsidRPr="007263E8" w:rsidRDefault="005C7F4A" w:rsidP="00172C88">
      <w:pPr>
        <w:numPr>
          <w:ilvl w:val="0"/>
          <w:numId w:val="6"/>
        </w:numPr>
        <w:tabs>
          <w:tab w:val="clear" w:pos="567"/>
        </w:tabs>
        <w:autoSpaceDE w:val="0"/>
        <w:spacing w:line="240" w:lineRule="auto"/>
        <w:ind w:left="567" w:hanging="567"/>
      </w:pPr>
      <w:r>
        <w:rPr>
          <w:rFonts w:eastAsia="Calibri"/>
          <w:color w:val="000000"/>
          <w:szCs w:val="22"/>
          <w:lang w:val="lt-LT"/>
        </w:rPr>
        <w:t>š</w:t>
      </w:r>
      <w:r w:rsidR="00172C88">
        <w:rPr>
          <w:rFonts w:eastAsia="Calibri"/>
          <w:color w:val="000000"/>
          <w:szCs w:val="22"/>
          <w:lang w:val="lt-LT"/>
        </w:rPr>
        <w:t>irdies plakimai (pagreitėjęs</w:t>
      </w:r>
      <w:r w:rsidR="00172C88">
        <w:rPr>
          <w:rFonts w:eastAsia="Calibri"/>
          <w:color w:val="000000"/>
          <w:lang w:val="lt-LT"/>
        </w:rPr>
        <w:t xml:space="preserve"> arba nereguliarus širdies </w:t>
      </w:r>
      <w:r w:rsidR="00172C88">
        <w:rPr>
          <w:rFonts w:eastAsia="Calibri"/>
          <w:color w:val="000000"/>
          <w:szCs w:val="22"/>
          <w:lang w:val="lt-LT"/>
        </w:rPr>
        <w:t>ritmas</w:t>
      </w:r>
      <w:r w:rsidR="00172C88">
        <w:rPr>
          <w:rFonts w:eastAsia="Calibri"/>
          <w:color w:val="000000"/>
          <w:lang w:val="lt-LT"/>
        </w:rPr>
        <w:t>)</w:t>
      </w:r>
      <w:r>
        <w:rPr>
          <w:rFonts w:eastAsia="Calibri"/>
          <w:color w:val="000000"/>
          <w:lang w:val="lt-LT"/>
        </w:rPr>
        <w:t>;</w:t>
      </w:r>
    </w:p>
    <w:p w14:paraId="693BA71A" w14:textId="09DA730F" w:rsidR="00172C88" w:rsidRPr="007263E8" w:rsidRDefault="005C7F4A" w:rsidP="00172C88">
      <w:pPr>
        <w:numPr>
          <w:ilvl w:val="0"/>
          <w:numId w:val="6"/>
        </w:numPr>
        <w:tabs>
          <w:tab w:val="clear" w:pos="567"/>
        </w:tabs>
        <w:autoSpaceDE w:val="0"/>
        <w:spacing w:line="240" w:lineRule="auto"/>
        <w:ind w:left="567" w:hanging="567"/>
      </w:pPr>
      <w:r>
        <w:rPr>
          <w:rFonts w:eastAsia="Calibri"/>
          <w:color w:val="000000"/>
          <w:szCs w:val="22"/>
          <w:lang w:val="lt-LT"/>
        </w:rPr>
        <w:t>ž</w:t>
      </w:r>
      <w:r w:rsidR="00172C88">
        <w:rPr>
          <w:rFonts w:eastAsia="Calibri"/>
          <w:color w:val="000000"/>
          <w:szCs w:val="22"/>
          <w:lang w:val="lt-LT"/>
        </w:rPr>
        <w:t>emas</w:t>
      </w:r>
      <w:r w:rsidR="00172C88">
        <w:rPr>
          <w:rFonts w:eastAsia="Calibri"/>
          <w:color w:val="000000"/>
          <w:lang w:val="lt-LT"/>
        </w:rPr>
        <w:t xml:space="preserve"> kraujospūdis</w:t>
      </w:r>
      <w:r>
        <w:rPr>
          <w:rFonts w:eastAsia="Calibri"/>
          <w:color w:val="000000"/>
          <w:szCs w:val="22"/>
          <w:lang w:val="lt-LT"/>
        </w:rPr>
        <w:t>;</w:t>
      </w:r>
    </w:p>
    <w:p w14:paraId="308673CD" w14:textId="1C7CC47E" w:rsidR="00172C88" w:rsidRDefault="005C7F4A" w:rsidP="00172C88">
      <w:pPr>
        <w:numPr>
          <w:ilvl w:val="0"/>
          <w:numId w:val="7"/>
        </w:numPr>
        <w:tabs>
          <w:tab w:val="clear" w:pos="567"/>
        </w:tabs>
        <w:suppressAutoHyphens w:val="0"/>
        <w:autoSpaceDE w:val="0"/>
        <w:autoSpaceDN/>
        <w:spacing w:line="240" w:lineRule="auto"/>
        <w:ind w:left="567" w:hanging="567"/>
        <w:textAlignment w:val="auto"/>
      </w:pPr>
      <w:r>
        <w:rPr>
          <w:szCs w:val="28"/>
          <w:lang w:val="lt-LT" w:eastAsia="x-none"/>
        </w:rPr>
        <w:t>n</w:t>
      </w:r>
      <w:r w:rsidR="00172C88" w:rsidRPr="000B0CAC">
        <w:rPr>
          <w:szCs w:val="28"/>
          <w:lang w:val="lt-LT" w:eastAsia="x-none"/>
        </w:rPr>
        <w:t>osies užgulimas</w:t>
      </w:r>
      <w:r>
        <w:rPr>
          <w:szCs w:val="28"/>
          <w:lang w:val="lt-LT" w:eastAsia="x-none"/>
        </w:rPr>
        <w:t>.</w:t>
      </w:r>
    </w:p>
    <w:p w14:paraId="311553C5" w14:textId="77777777" w:rsidR="00172C88" w:rsidRDefault="00172C88" w:rsidP="00172C88">
      <w:pPr>
        <w:spacing w:line="240" w:lineRule="auto"/>
        <w:rPr>
          <w:szCs w:val="28"/>
          <w:lang w:val="lt-LT"/>
        </w:rPr>
      </w:pPr>
    </w:p>
    <w:p w14:paraId="1A3B6D4F" w14:textId="5EA1D38A" w:rsidR="00172C88" w:rsidRPr="00082D1A" w:rsidRDefault="00172C88" w:rsidP="00172C88">
      <w:pPr>
        <w:spacing w:line="240" w:lineRule="auto"/>
        <w:rPr>
          <w:b/>
          <w:bCs/>
          <w:lang w:val="lt-LT"/>
        </w:rPr>
      </w:pPr>
      <w:r>
        <w:rPr>
          <w:b/>
          <w:bCs/>
          <w:szCs w:val="28"/>
          <w:lang w:val="lt-LT"/>
        </w:rPr>
        <w:t>Nedažni</w:t>
      </w:r>
      <w:r w:rsidRPr="00082D1A">
        <w:rPr>
          <w:b/>
          <w:bCs/>
          <w:szCs w:val="28"/>
          <w:lang w:val="lt-LT"/>
        </w:rPr>
        <w:t xml:space="preserve"> </w:t>
      </w:r>
      <w:r w:rsidR="00EF5BD3" w:rsidRPr="00082D1A">
        <w:rPr>
          <w:b/>
          <w:bCs/>
          <w:szCs w:val="28"/>
          <w:lang w:val="lt-LT"/>
        </w:rPr>
        <w:t xml:space="preserve">šalutinio poveikio reiškiniai </w:t>
      </w:r>
      <w:r w:rsidRPr="00082D1A">
        <w:rPr>
          <w:b/>
          <w:bCs/>
          <w:szCs w:val="28"/>
          <w:lang w:val="lt-LT"/>
        </w:rPr>
        <w:t xml:space="preserve">(gali pasireikšti rečiau </w:t>
      </w:r>
      <w:r w:rsidR="00D72C6C" w:rsidRPr="00082D1A">
        <w:rPr>
          <w:b/>
          <w:bCs/>
          <w:szCs w:val="28"/>
          <w:lang w:val="lt-LT"/>
        </w:rPr>
        <w:t xml:space="preserve">kaip </w:t>
      </w:r>
      <w:r w:rsidRPr="00082D1A">
        <w:rPr>
          <w:b/>
          <w:bCs/>
          <w:szCs w:val="28"/>
          <w:lang w:val="lt-LT"/>
        </w:rPr>
        <w:t>1 iš 100 </w:t>
      </w:r>
      <w:r w:rsidR="00D72C6C" w:rsidRPr="00082D1A">
        <w:rPr>
          <w:b/>
          <w:bCs/>
          <w:szCs w:val="28"/>
          <w:lang w:val="lt-LT"/>
        </w:rPr>
        <w:t>asmenų</w:t>
      </w:r>
      <w:r w:rsidRPr="00082D1A">
        <w:rPr>
          <w:b/>
          <w:bCs/>
          <w:szCs w:val="28"/>
          <w:lang w:val="lt-LT"/>
        </w:rPr>
        <w:t>)</w:t>
      </w:r>
      <w:r w:rsidR="00D72C6C" w:rsidRPr="00082D1A">
        <w:rPr>
          <w:b/>
          <w:bCs/>
          <w:szCs w:val="28"/>
          <w:lang w:val="lt-LT"/>
        </w:rPr>
        <w:t>:</w:t>
      </w:r>
    </w:p>
    <w:p w14:paraId="74DD20C6" w14:textId="013D31F9" w:rsidR="00172C88" w:rsidRDefault="005C7F4A" w:rsidP="00172C88">
      <w:pPr>
        <w:numPr>
          <w:ilvl w:val="0"/>
          <w:numId w:val="6"/>
        </w:numPr>
        <w:spacing w:line="240" w:lineRule="auto"/>
        <w:ind w:left="567" w:hanging="567"/>
        <w:rPr>
          <w:szCs w:val="28"/>
          <w:lang w:val="lt-LT"/>
        </w:rPr>
      </w:pPr>
      <w:proofErr w:type="spellStart"/>
      <w:r>
        <w:rPr>
          <w:szCs w:val="28"/>
          <w:lang w:val="lt-LT"/>
        </w:rPr>
        <w:t>t</w:t>
      </w:r>
      <w:r w:rsidR="00172C88">
        <w:rPr>
          <w:szCs w:val="28"/>
          <w:lang w:val="lt-LT"/>
        </w:rPr>
        <w:t>rombocitopenija</w:t>
      </w:r>
      <w:proofErr w:type="spellEnd"/>
      <w:r w:rsidR="00172C88">
        <w:rPr>
          <w:szCs w:val="28"/>
          <w:lang w:val="lt-LT"/>
        </w:rPr>
        <w:t xml:space="preserve"> (mažas trombocitų kiekis kraujyje)</w:t>
      </w:r>
      <w:r>
        <w:rPr>
          <w:szCs w:val="28"/>
          <w:lang w:val="lt-LT"/>
        </w:rPr>
        <w:t>;</w:t>
      </w:r>
    </w:p>
    <w:p w14:paraId="623F4B28" w14:textId="23B2D2F5" w:rsidR="00172C88" w:rsidRDefault="005C7F4A" w:rsidP="00172C88">
      <w:pPr>
        <w:numPr>
          <w:ilvl w:val="0"/>
          <w:numId w:val="6"/>
        </w:numPr>
        <w:spacing w:line="240" w:lineRule="auto"/>
        <w:ind w:left="567" w:hanging="567"/>
        <w:rPr>
          <w:szCs w:val="28"/>
          <w:lang w:val="lt-LT"/>
        </w:rPr>
      </w:pPr>
      <w:proofErr w:type="spellStart"/>
      <w:r>
        <w:rPr>
          <w:szCs w:val="28"/>
          <w:lang w:val="lt-LT"/>
        </w:rPr>
        <w:t>n</w:t>
      </w:r>
      <w:r w:rsidR="00172C88">
        <w:rPr>
          <w:szCs w:val="28"/>
          <w:lang w:val="lt-LT"/>
        </w:rPr>
        <w:t>eutropenija</w:t>
      </w:r>
      <w:proofErr w:type="spellEnd"/>
      <w:r w:rsidR="00172C88">
        <w:rPr>
          <w:szCs w:val="28"/>
          <w:lang w:val="lt-LT"/>
        </w:rPr>
        <w:t>/</w:t>
      </w:r>
      <w:proofErr w:type="spellStart"/>
      <w:r w:rsidR="00172C88">
        <w:rPr>
          <w:szCs w:val="28"/>
          <w:lang w:val="lt-LT"/>
        </w:rPr>
        <w:t>leukopenija</w:t>
      </w:r>
      <w:proofErr w:type="spellEnd"/>
      <w:r w:rsidR="00172C88">
        <w:rPr>
          <w:szCs w:val="28"/>
          <w:lang w:val="lt-LT"/>
        </w:rPr>
        <w:t xml:space="preserve"> (mažas baltųjų kraujo ląstelių kiekis)</w:t>
      </w:r>
      <w:r>
        <w:rPr>
          <w:szCs w:val="28"/>
          <w:lang w:val="lt-LT"/>
        </w:rPr>
        <w:t>;</w:t>
      </w:r>
    </w:p>
    <w:p w14:paraId="313327DB" w14:textId="1E53CF02" w:rsidR="00172C88" w:rsidRDefault="005C7F4A" w:rsidP="00172C88">
      <w:pPr>
        <w:numPr>
          <w:ilvl w:val="0"/>
          <w:numId w:val="6"/>
        </w:numPr>
        <w:spacing w:line="240" w:lineRule="auto"/>
        <w:ind w:left="567" w:hanging="567"/>
        <w:rPr>
          <w:szCs w:val="28"/>
          <w:lang w:val="lt-LT"/>
        </w:rPr>
      </w:pPr>
      <w:r>
        <w:rPr>
          <w:szCs w:val="28"/>
          <w:lang w:val="lt-LT"/>
        </w:rPr>
        <w:t>p</w:t>
      </w:r>
      <w:r w:rsidR="00172C88">
        <w:rPr>
          <w:szCs w:val="28"/>
          <w:lang w:val="lt-LT"/>
        </w:rPr>
        <w:t>adidėjęs kepenų veiklą atspindinčių fermentų aktyvumas bei hepatitas (kepenų uždegimas,</w:t>
      </w:r>
      <w:r w:rsidR="00172C88" w:rsidRPr="000B0CAC">
        <w:rPr>
          <w:snapToGrid w:val="0"/>
          <w:szCs w:val="28"/>
          <w:lang w:val="lt-LT" w:eastAsia="x-none"/>
        </w:rPr>
        <w:t xml:space="preserve"> </w:t>
      </w:r>
      <w:r w:rsidR="00172C88" w:rsidRPr="000B0CAC">
        <w:rPr>
          <w:szCs w:val="28"/>
          <w:lang w:val="lt-LT"/>
        </w:rPr>
        <w:t>įskaitant galimą jau diagnozuoto hepatito paūmėjimą)</w:t>
      </w:r>
      <w:r w:rsidR="00172C88">
        <w:rPr>
          <w:szCs w:val="28"/>
          <w:lang w:val="lt-LT"/>
        </w:rPr>
        <w:t xml:space="preserve"> ir (arba) gelta (odos ir akių baltymų pageltimas)</w:t>
      </w:r>
      <w:r>
        <w:rPr>
          <w:szCs w:val="28"/>
          <w:lang w:val="lt-LT"/>
        </w:rPr>
        <w:t>.</w:t>
      </w:r>
    </w:p>
    <w:p w14:paraId="128CCCBC" w14:textId="77777777" w:rsidR="00172C88" w:rsidRDefault="00172C88" w:rsidP="00172C88">
      <w:pPr>
        <w:spacing w:line="240" w:lineRule="auto"/>
        <w:rPr>
          <w:szCs w:val="28"/>
          <w:lang w:val="lt-LT"/>
        </w:rPr>
      </w:pPr>
    </w:p>
    <w:p w14:paraId="3E970969" w14:textId="7FA8B9E3" w:rsidR="00172C88" w:rsidRPr="00082D1A" w:rsidRDefault="00172C88" w:rsidP="00172C88">
      <w:pPr>
        <w:spacing w:line="240" w:lineRule="auto"/>
        <w:rPr>
          <w:b/>
          <w:bCs/>
          <w:lang w:val="lt-LT"/>
        </w:rPr>
      </w:pPr>
      <w:r>
        <w:rPr>
          <w:b/>
          <w:bCs/>
          <w:szCs w:val="28"/>
          <w:lang w:val="lt-LT"/>
        </w:rPr>
        <w:t>Reti</w:t>
      </w:r>
      <w:r>
        <w:rPr>
          <w:szCs w:val="28"/>
          <w:lang w:val="lt-LT"/>
        </w:rPr>
        <w:t xml:space="preserve"> </w:t>
      </w:r>
      <w:r w:rsidR="00F555F9" w:rsidRPr="00082D1A">
        <w:rPr>
          <w:b/>
          <w:bCs/>
          <w:szCs w:val="28"/>
          <w:lang w:val="lt-LT"/>
        </w:rPr>
        <w:t xml:space="preserve">šalutinio poveikio reiškiniai </w:t>
      </w:r>
      <w:r w:rsidRPr="00082D1A">
        <w:rPr>
          <w:b/>
          <w:bCs/>
          <w:szCs w:val="28"/>
          <w:lang w:val="lt-LT"/>
        </w:rPr>
        <w:t xml:space="preserve">(gali pasireikšti rečiau </w:t>
      </w:r>
      <w:r w:rsidR="00C472F0" w:rsidRPr="00082D1A">
        <w:rPr>
          <w:b/>
          <w:bCs/>
          <w:szCs w:val="28"/>
          <w:lang w:val="lt-LT"/>
        </w:rPr>
        <w:t>kaip</w:t>
      </w:r>
      <w:r w:rsidRPr="00082D1A">
        <w:rPr>
          <w:b/>
          <w:bCs/>
          <w:szCs w:val="28"/>
          <w:lang w:val="lt-LT"/>
        </w:rPr>
        <w:t xml:space="preserve"> 1 iš 1000 </w:t>
      </w:r>
      <w:r w:rsidR="00C472F0" w:rsidRPr="00082D1A">
        <w:rPr>
          <w:b/>
          <w:bCs/>
          <w:szCs w:val="28"/>
          <w:lang w:val="lt-LT"/>
        </w:rPr>
        <w:t>asmenų</w:t>
      </w:r>
      <w:r w:rsidRPr="00082D1A">
        <w:rPr>
          <w:b/>
          <w:bCs/>
          <w:szCs w:val="28"/>
          <w:lang w:val="lt-LT"/>
        </w:rPr>
        <w:t>)</w:t>
      </w:r>
      <w:r w:rsidR="00C472F0" w:rsidRPr="00082D1A">
        <w:rPr>
          <w:b/>
          <w:bCs/>
          <w:szCs w:val="28"/>
          <w:lang w:val="lt-LT"/>
        </w:rPr>
        <w:t>:</w:t>
      </w:r>
    </w:p>
    <w:p w14:paraId="4350D510" w14:textId="06F04001" w:rsidR="00172C88" w:rsidRDefault="005C7F4A" w:rsidP="00172C88">
      <w:pPr>
        <w:numPr>
          <w:ilvl w:val="0"/>
          <w:numId w:val="6"/>
        </w:numPr>
        <w:spacing w:line="240" w:lineRule="auto"/>
        <w:ind w:left="567" w:hanging="567"/>
        <w:rPr>
          <w:szCs w:val="28"/>
          <w:lang w:val="lt-LT"/>
        </w:rPr>
      </w:pPr>
      <w:proofErr w:type="spellStart"/>
      <w:r>
        <w:rPr>
          <w:szCs w:val="28"/>
          <w:lang w:val="lt-LT"/>
        </w:rPr>
        <w:t>a</w:t>
      </w:r>
      <w:r w:rsidR="00172C88">
        <w:rPr>
          <w:szCs w:val="28"/>
          <w:lang w:val="lt-LT"/>
        </w:rPr>
        <w:t>nafilaksija</w:t>
      </w:r>
      <w:proofErr w:type="spellEnd"/>
      <w:r w:rsidR="00172C88">
        <w:rPr>
          <w:szCs w:val="28"/>
          <w:lang w:val="lt-LT"/>
        </w:rPr>
        <w:t xml:space="preserve"> (bendroji alerginė reakcija), </w:t>
      </w:r>
      <w:proofErr w:type="spellStart"/>
      <w:r w:rsidR="00172C88">
        <w:rPr>
          <w:szCs w:val="28"/>
          <w:lang w:val="lt-LT"/>
        </w:rPr>
        <w:t>angioneurozinė</w:t>
      </w:r>
      <w:proofErr w:type="spellEnd"/>
      <w:r w:rsidR="00172C88">
        <w:rPr>
          <w:szCs w:val="28"/>
          <w:lang w:val="lt-LT"/>
        </w:rPr>
        <w:t xml:space="preserve"> edema (tinimas, dažniausiai aplink akis, lūpas, liežuvį arba gerklę)</w:t>
      </w:r>
      <w:r>
        <w:rPr>
          <w:szCs w:val="28"/>
          <w:lang w:val="lt-LT"/>
        </w:rPr>
        <w:t>;</w:t>
      </w:r>
    </w:p>
    <w:p w14:paraId="0F0AB170" w14:textId="1315306D" w:rsidR="00172C88" w:rsidRPr="00DF05B7" w:rsidRDefault="005C7F4A" w:rsidP="00DF05B7">
      <w:pPr>
        <w:numPr>
          <w:ilvl w:val="0"/>
          <w:numId w:val="6"/>
        </w:numPr>
        <w:spacing w:line="240" w:lineRule="auto"/>
        <w:ind w:left="567" w:hanging="567"/>
        <w:rPr>
          <w:szCs w:val="28"/>
          <w:lang w:val="lt-LT"/>
        </w:rPr>
      </w:pPr>
      <w:r>
        <w:rPr>
          <w:szCs w:val="28"/>
          <w:lang w:val="lt-LT"/>
        </w:rPr>
        <w:t>k</w:t>
      </w:r>
      <w:r w:rsidR="00172C88">
        <w:rPr>
          <w:szCs w:val="28"/>
          <w:lang w:val="lt-LT"/>
        </w:rPr>
        <w:t>epenų cirozė (randėjimas), kepenų nepakankamumas (sunkus kepenų veiklos sutrikimas)</w:t>
      </w:r>
      <w:r w:rsidR="00FB3F29">
        <w:rPr>
          <w:szCs w:val="28"/>
          <w:lang w:val="lt-LT"/>
        </w:rPr>
        <w:t>,</w:t>
      </w:r>
      <w:r w:rsidR="00FB3F29" w:rsidRPr="00FB3F29">
        <w:rPr>
          <w:szCs w:val="28"/>
          <w:lang w:val="lt-LT"/>
        </w:rPr>
        <w:t xml:space="preserve"> </w:t>
      </w:r>
      <w:r w:rsidR="00FB3F29">
        <w:rPr>
          <w:szCs w:val="28"/>
          <w:lang w:val="lt-LT"/>
        </w:rPr>
        <w:t>a</w:t>
      </w:r>
      <w:r w:rsidR="00FB3F29" w:rsidRPr="00617B52">
        <w:rPr>
          <w:szCs w:val="28"/>
          <w:lang w:val="lt-LT"/>
        </w:rPr>
        <w:t>utoimuninis hepatitas (organizmo apsauginės sistemos, puolančios kepenų ląsteles, sukeltas</w:t>
      </w:r>
      <w:r w:rsidR="00DF05B7">
        <w:rPr>
          <w:szCs w:val="28"/>
          <w:lang w:val="lt-LT"/>
        </w:rPr>
        <w:t xml:space="preserve"> </w:t>
      </w:r>
      <w:r w:rsidR="00FB3F29" w:rsidRPr="00DF05B7">
        <w:rPr>
          <w:szCs w:val="28"/>
          <w:lang w:val="lt-LT"/>
        </w:rPr>
        <w:t>kepenų uždegimas), galintis pasireikšti praėjus net keliems mėnesiams ar metams nuo gydymo</w:t>
      </w:r>
      <w:r w:rsidR="00DF05B7">
        <w:rPr>
          <w:szCs w:val="28"/>
          <w:lang w:val="lt-LT"/>
        </w:rPr>
        <w:t xml:space="preserve"> </w:t>
      </w:r>
      <w:r w:rsidR="00FB3F29" w:rsidRPr="00DF05B7">
        <w:rPr>
          <w:szCs w:val="28"/>
          <w:lang w:val="lt-LT"/>
        </w:rPr>
        <w:t>pradžios.</w:t>
      </w:r>
    </w:p>
    <w:p w14:paraId="2845DB5F" w14:textId="77777777" w:rsidR="00172C88" w:rsidRDefault="00172C88" w:rsidP="00172C88">
      <w:pPr>
        <w:spacing w:line="240" w:lineRule="auto"/>
        <w:rPr>
          <w:szCs w:val="28"/>
          <w:lang w:val="lt-LT"/>
        </w:rPr>
      </w:pPr>
    </w:p>
    <w:p w14:paraId="1AFDA282" w14:textId="66D976D4" w:rsidR="00172C88" w:rsidRPr="00C54C14" w:rsidRDefault="00172C88" w:rsidP="00172C88">
      <w:pPr>
        <w:spacing w:line="240" w:lineRule="auto"/>
        <w:rPr>
          <w:lang w:val="lt-LT"/>
        </w:rPr>
      </w:pPr>
      <w:r w:rsidRPr="00C54C14">
        <w:rPr>
          <w:lang w:val="lt-LT"/>
        </w:rPr>
        <w:t xml:space="preserve">Taip pat užregistruota neryškaus (migloto) matymo atvejų, bet šio reiškinio dažnis nežinomas (negali būti </w:t>
      </w:r>
      <w:r w:rsidR="005C7F4A" w:rsidRPr="00C54C14">
        <w:rPr>
          <w:lang w:val="lt-LT"/>
        </w:rPr>
        <w:t xml:space="preserve">apskaičiuotas </w:t>
      </w:r>
      <w:r w:rsidRPr="00C54C14">
        <w:rPr>
          <w:lang w:val="lt-LT"/>
        </w:rPr>
        <w:t>pagal turimus duomenis).</w:t>
      </w:r>
    </w:p>
    <w:p w14:paraId="0F500449" w14:textId="77777777" w:rsidR="00172C88" w:rsidRDefault="00172C88" w:rsidP="00172C88">
      <w:pPr>
        <w:spacing w:line="240" w:lineRule="auto"/>
        <w:rPr>
          <w:szCs w:val="28"/>
          <w:lang w:val="lt-LT"/>
        </w:rPr>
      </w:pPr>
    </w:p>
    <w:p w14:paraId="0BC11AB2" w14:textId="3FB0A205" w:rsidR="00172C88" w:rsidRPr="00A67E5B" w:rsidRDefault="005C7F4A" w:rsidP="00172C88">
      <w:pPr>
        <w:widowControl w:val="0"/>
        <w:tabs>
          <w:tab w:val="clear" w:pos="567"/>
        </w:tabs>
        <w:suppressAutoHyphens w:val="0"/>
        <w:autoSpaceDE w:val="0"/>
        <w:adjustRightInd w:val="0"/>
        <w:spacing w:line="240" w:lineRule="auto"/>
        <w:textAlignment w:val="auto"/>
        <w:rPr>
          <w:b/>
          <w:bCs/>
          <w:color w:val="000000"/>
          <w:spacing w:val="-1"/>
          <w:szCs w:val="22"/>
          <w:lang w:val="lt-LT" w:eastAsia="lt-LT" w:bidi="lt-LT"/>
        </w:rPr>
      </w:pPr>
      <w:r>
        <w:rPr>
          <w:rFonts w:eastAsia="Calibri"/>
          <w:b/>
          <w:color w:val="000000"/>
          <w:spacing w:val="-1"/>
          <w:szCs w:val="22"/>
          <w:lang w:val="lt-LT" w:eastAsia="lt-LT" w:bidi="lt-LT"/>
        </w:rPr>
        <w:t>Kitas š</w:t>
      </w:r>
      <w:r w:rsidR="00172C88" w:rsidRPr="00A67E5B">
        <w:rPr>
          <w:rFonts w:eastAsia="Calibri"/>
          <w:b/>
          <w:color w:val="000000"/>
          <w:spacing w:val="-1"/>
          <w:szCs w:val="22"/>
          <w:lang w:val="lt-LT" w:eastAsia="lt-LT" w:bidi="lt-LT"/>
        </w:rPr>
        <w:t>alutinis poveikis, kuris gali pasireikšti vaikams ir paaugliams</w:t>
      </w:r>
    </w:p>
    <w:p w14:paraId="0A29DEA8" w14:textId="682B04EE" w:rsidR="00172C88" w:rsidRDefault="00172C88" w:rsidP="00172C88">
      <w:pPr>
        <w:widowControl w:val="0"/>
        <w:tabs>
          <w:tab w:val="clear" w:pos="567"/>
        </w:tabs>
        <w:suppressAutoHyphens w:val="0"/>
        <w:autoSpaceDE w:val="0"/>
        <w:adjustRightInd w:val="0"/>
        <w:spacing w:line="240" w:lineRule="auto"/>
        <w:textAlignment w:val="auto"/>
        <w:rPr>
          <w:szCs w:val="28"/>
          <w:lang w:val="lt-LT"/>
        </w:rPr>
      </w:pPr>
      <w:r w:rsidRPr="00A67E5B">
        <w:rPr>
          <w:rFonts w:eastAsia="Calibri"/>
          <w:color w:val="000000"/>
          <w:spacing w:val="-1"/>
          <w:szCs w:val="22"/>
          <w:lang w:val="lt-LT" w:eastAsia="lt-LT" w:bidi="lt-LT"/>
        </w:rPr>
        <w:t xml:space="preserve">Šalutinis poveikis, kuris buvo pastebėtas vaikams, gydytiems vaistu </w:t>
      </w:r>
      <w:proofErr w:type="spellStart"/>
      <w:r w:rsidRPr="00A67E5B">
        <w:rPr>
          <w:rFonts w:eastAsia="Calibri"/>
          <w:color w:val="000000"/>
          <w:spacing w:val="-1"/>
          <w:szCs w:val="22"/>
          <w:lang w:val="lt-LT" w:eastAsia="lt-LT" w:bidi="lt-LT"/>
        </w:rPr>
        <w:t>Bosentan</w:t>
      </w:r>
      <w:proofErr w:type="spellEnd"/>
      <w:r w:rsidRPr="00A67E5B">
        <w:rPr>
          <w:rFonts w:eastAsia="Calibri"/>
          <w:color w:val="000000"/>
          <w:spacing w:val="-1"/>
          <w:szCs w:val="22"/>
          <w:lang w:val="lt-LT" w:eastAsia="lt-LT" w:bidi="lt-LT"/>
        </w:rPr>
        <w:t xml:space="preserve"> </w:t>
      </w:r>
      <w:proofErr w:type="spellStart"/>
      <w:r>
        <w:rPr>
          <w:rFonts w:eastAsia="Calibri"/>
          <w:color w:val="000000"/>
          <w:spacing w:val="-1"/>
          <w:szCs w:val="22"/>
          <w:lang w:val="lt-LT" w:eastAsia="lt-LT" w:bidi="lt-LT"/>
        </w:rPr>
        <w:t>Norameda</w:t>
      </w:r>
      <w:proofErr w:type="spellEnd"/>
      <w:r w:rsidRPr="00A67E5B">
        <w:rPr>
          <w:rFonts w:eastAsia="Calibri"/>
          <w:color w:val="000000"/>
          <w:spacing w:val="-1"/>
          <w:szCs w:val="22"/>
          <w:lang w:val="lt-LT" w:eastAsia="lt-LT" w:bidi="lt-LT"/>
        </w:rPr>
        <w:t>, yra toks pat</w:t>
      </w:r>
      <w:r w:rsidR="005C7F4A">
        <w:rPr>
          <w:rFonts w:eastAsia="Calibri"/>
          <w:color w:val="000000"/>
          <w:spacing w:val="-1"/>
          <w:szCs w:val="22"/>
          <w:lang w:val="lt-LT" w:eastAsia="lt-LT" w:bidi="lt-LT"/>
        </w:rPr>
        <w:t>,</w:t>
      </w:r>
      <w:r w:rsidRPr="00A67E5B">
        <w:rPr>
          <w:rFonts w:eastAsia="Calibri"/>
          <w:color w:val="000000"/>
          <w:spacing w:val="-1"/>
          <w:szCs w:val="22"/>
          <w:lang w:val="lt-LT" w:eastAsia="lt-LT" w:bidi="lt-LT"/>
        </w:rPr>
        <w:t xml:space="preserve"> kaip ir suaugusiesiems.</w:t>
      </w:r>
    </w:p>
    <w:p w14:paraId="034F8B28" w14:textId="77777777" w:rsidR="00172C88" w:rsidRDefault="00172C88" w:rsidP="00172C88">
      <w:pPr>
        <w:spacing w:line="240" w:lineRule="auto"/>
        <w:rPr>
          <w:szCs w:val="28"/>
          <w:lang w:val="lt-LT"/>
        </w:rPr>
      </w:pPr>
    </w:p>
    <w:p w14:paraId="1D9A32E2" w14:textId="77777777" w:rsidR="00172C88" w:rsidRDefault="00172C88" w:rsidP="00172C88">
      <w:pPr>
        <w:spacing w:line="240" w:lineRule="auto"/>
        <w:rPr>
          <w:b/>
          <w:szCs w:val="24"/>
          <w:lang w:val="lt-LT"/>
        </w:rPr>
      </w:pPr>
      <w:r>
        <w:rPr>
          <w:b/>
          <w:szCs w:val="24"/>
          <w:lang w:val="lt-LT"/>
        </w:rPr>
        <w:t>Pranešimas apie šalutinį poveikį</w:t>
      </w:r>
    </w:p>
    <w:p w14:paraId="3F9EC82B" w14:textId="5F90F0F4" w:rsidR="00172C88" w:rsidRPr="00C54C14" w:rsidRDefault="00172C88" w:rsidP="001A4863">
      <w:pPr>
        <w:spacing w:line="240" w:lineRule="auto"/>
        <w:rPr>
          <w:lang w:val="lt-LT"/>
        </w:rPr>
      </w:pPr>
      <w:r>
        <w:rPr>
          <w:lang w:val="lt-LT"/>
        </w:rPr>
        <w:t>Jeigu pasireiškė šalutinis poveikis, įskaitant šiame lapelyje nenurodytą, pasakykite gydytojui arba vaistininkui.</w:t>
      </w:r>
      <w:r w:rsidR="00EC6A90" w:rsidRPr="00EC6A90">
        <w:rPr>
          <w:szCs w:val="22"/>
          <w:lang w:val="lt-LT"/>
        </w:rPr>
        <w:t xml:space="preserve"> </w:t>
      </w:r>
      <w:r w:rsidR="00602B7E" w:rsidRPr="00C54C14">
        <w:rPr>
          <w:lang w:val="lt-LT"/>
        </w:rPr>
        <w:t xml:space="preserve">Pranešimą apie šalutinį poveikį galite </w:t>
      </w:r>
      <w:r w:rsidR="00602B7E" w:rsidRPr="00C54C14">
        <w:rPr>
          <w:lang w:val="lt-LT" w:eastAsia="lt-LT"/>
        </w:rPr>
        <w:t xml:space="preserve">užpildyti ir pateikti Valstybinės vaistų kontrolės tarnybos prie Lietuvos Respublikos sveikatos apsaugos ministerijos tinklalapyje </w:t>
      </w:r>
      <w:r w:rsidR="00602B7E" w:rsidRPr="00C54C14">
        <w:rPr>
          <w:u w:val="single"/>
          <w:lang w:val="lt-LT" w:eastAsia="lt-LT"/>
        </w:rPr>
        <w:t>https://vvkt.lrv.lt/lt/</w:t>
      </w:r>
      <w:r w:rsidR="00602B7E" w:rsidRPr="00C54C14">
        <w:rPr>
          <w:lang w:val="lt-LT" w:eastAsia="lt-LT"/>
        </w:rPr>
        <w:t xml:space="preserve"> nurodytais būdais arba paskambinti nemokamu telefonu +370 800 73 568.</w:t>
      </w:r>
      <w:r w:rsidR="003559EF" w:rsidRPr="00C54C14">
        <w:rPr>
          <w:lang w:val="lt-LT" w:eastAsia="lt-LT"/>
        </w:rPr>
        <w:t xml:space="preserve"> </w:t>
      </w:r>
      <w:r>
        <w:rPr>
          <w:lang w:val="lt-LT"/>
        </w:rPr>
        <w:t>Pranešdami apie šalutinį poveikį galite mums padėti gauti daugiau informacijos apie šio vaisto saugumą.</w:t>
      </w:r>
    </w:p>
    <w:p w14:paraId="4971EFB7" w14:textId="482F1147" w:rsidR="00172C88" w:rsidRDefault="00172C88" w:rsidP="00172C88">
      <w:pPr>
        <w:ind w:right="-449"/>
        <w:rPr>
          <w:szCs w:val="24"/>
          <w:lang w:val="lt-LT"/>
        </w:rPr>
      </w:pPr>
    </w:p>
    <w:p w14:paraId="6F68AD33" w14:textId="77777777" w:rsidR="00EC6A90" w:rsidRDefault="00EC6A90" w:rsidP="00172C88">
      <w:pPr>
        <w:ind w:right="-449"/>
        <w:rPr>
          <w:szCs w:val="24"/>
          <w:lang w:val="lt-LT"/>
        </w:rPr>
      </w:pPr>
    </w:p>
    <w:p w14:paraId="0A5423FE" w14:textId="77777777" w:rsidR="00172C88" w:rsidRPr="007263E8" w:rsidRDefault="00172C88" w:rsidP="00172C88">
      <w:pPr>
        <w:pStyle w:val="Antrat3"/>
        <w:spacing w:before="0" w:after="0" w:line="240" w:lineRule="auto"/>
        <w:rPr>
          <w:lang w:val="lt-LT"/>
        </w:rPr>
      </w:pPr>
      <w:r>
        <w:rPr>
          <w:rFonts w:ascii="Times New Roman" w:hAnsi="Times New Roman"/>
          <w:sz w:val="22"/>
          <w:lang w:val="lt-LT"/>
        </w:rPr>
        <w:lastRenderedPageBreak/>
        <w:t>5.</w:t>
      </w:r>
      <w:r>
        <w:rPr>
          <w:rFonts w:ascii="Times New Roman" w:hAnsi="Times New Roman"/>
          <w:sz w:val="22"/>
          <w:lang w:val="lt-LT"/>
        </w:rPr>
        <w:tab/>
        <w:t xml:space="preserve">Kaip laikyti </w:t>
      </w:r>
      <w:proofErr w:type="spellStart"/>
      <w:r>
        <w:rPr>
          <w:rFonts w:ascii="Times New Roman" w:hAnsi="Times New Roman"/>
          <w:sz w:val="22"/>
          <w:szCs w:val="22"/>
          <w:lang w:val="lt-LT"/>
        </w:rPr>
        <w:t>Bosentan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p>
    <w:p w14:paraId="58F582C4" w14:textId="77777777" w:rsidR="00172C88" w:rsidRDefault="00172C88" w:rsidP="00172C88">
      <w:pPr>
        <w:tabs>
          <w:tab w:val="clear" w:pos="567"/>
        </w:tabs>
        <w:spacing w:line="240" w:lineRule="auto"/>
        <w:ind w:right="-2"/>
        <w:rPr>
          <w:szCs w:val="24"/>
          <w:lang w:val="lt-LT"/>
        </w:rPr>
      </w:pPr>
    </w:p>
    <w:p w14:paraId="5DA67B95" w14:textId="77777777" w:rsidR="00172C88" w:rsidRDefault="00172C88" w:rsidP="00172C88">
      <w:pPr>
        <w:tabs>
          <w:tab w:val="clear" w:pos="567"/>
        </w:tabs>
        <w:spacing w:line="240" w:lineRule="auto"/>
        <w:ind w:right="-2"/>
        <w:rPr>
          <w:szCs w:val="24"/>
          <w:lang w:val="lt-LT"/>
        </w:rPr>
      </w:pPr>
      <w:r>
        <w:rPr>
          <w:szCs w:val="24"/>
          <w:lang w:val="lt-LT"/>
        </w:rPr>
        <w:t>Šiam vaistui specialių laikymo sąlygų nereikia.</w:t>
      </w:r>
    </w:p>
    <w:p w14:paraId="56DFEFEC" w14:textId="77777777" w:rsidR="00172C88" w:rsidRDefault="00172C88" w:rsidP="00172C88">
      <w:pPr>
        <w:tabs>
          <w:tab w:val="clear" w:pos="567"/>
        </w:tabs>
        <w:spacing w:line="240" w:lineRule="auto"/>
        <w:ind w:right="-2"/>
        <w:rPr>
          <w:szCs w:val="24"/>
          <w:lang w:val="lt-LT"/>
        </w:rPr>
      </w:pPr>
    </w:p>
    <w:p w14:paraId="6804270B" w14:textId="77777777" w:rsidR="00172C88" w:rsidRDefault="00172C88" w:rsidP="00172C88">
      <w:pPr>
        <w:tabs>
          <w:tab w:val="clear" w:pos="567"/>
        </w:tabs>
        <w:spacing w:line="240" w:lineRule="auto"/>
        <w:ind w:right="-2"/>
        <w:rPr>
          <w:szCs w:val="24"/>
          <w:lang w:val="lt-LT"/>
        </w:rPr>
      </w:pPr>
      <w:r>
        <w:rPr>
          <w:szCs w:val="24"/>
          <w:lang w:val="lt-LT"/>
        </w:rPr>
        <w:t>Šį vaistą laikykite vaikams nepastebimoje ir nepasiekiamoje vietoje.</w:t>
      </w:r>
    </w:p>
    <w:p w14:paraId="025AC9EF" w14:textId="77777777" w:rsidR="00172C88" w:rsidRDefault="00172C88" w:rsidP="00172C88">
      <w:pPr>
        <w:tabs>
          <w:tab w:val="clear" w:pos="567"/>
        </w:tabs>
        <w:spacing w:line="240" w:lineRule="auto"/>
        <w:ind w:right="-2"/>
        <w:rPr>
          <w:szCs w:val="24"/>
          <w:lang w:val="lt-LT"/>
        </w:rPr>
      </w:pPr>
    </w:p>
    <w:p w14:paraId="70018FBE" w14:textId="77777777" w:rsidR="00172C88" w:rsidRDefault="00172C88" w:rsidP="00172C88">
      <w:pPr>
        <w:tabs>
          <w:tab w:val="clear" w:pos="567"/>
        </w:tabs>
        <w:spacing w:line="240" w:lineRule="auto"/>
        <w:ind w:right="-2"/>
        <w:rPr>
          <w:szCs w:val="24"/>
          <w:lang w:val="lt-LT"/>
        </w:rPr>
      </w:pPr>
      <w:r>
        <w:rPr>
          <w:szCs w:val="24"/>
          <w:lang w:val="lt-LT"/>
        </w:rPr>
        <w:t xml:space="preserve">Ant dėžutės ir lizdinės plokštelės po „EXP“ nurodytam tinkamumo laikui pasibaigus, šio vaisto vartoti negalima. </w:t>
      </w:r>
    </w:p>
    <w:p w14:paraId="06F45587" w14:textId="77777777" w:rsidR="00172C88" w:rsidRDefault="00172C88" w:rsidP="00172C88">
      <w:pPr>
        <w:tabs>
          <w:tab w:val="clear" w:pos="567"/>
        </w:tabs>
        <w:spacing w:line="240" w:lineRule="auto"/>
        <w:ind w:right="-2"/>
        <w:rPr>
          <w:szCs w:val="24"/>
          <w:lang w:val="lt-LT"/>
        </w:rPr>
      </w:pPr>
    </w:p>
    <w:p w14:paraId="6681DD01" w14:textId="77777777" w:rsidR="00172C88" w:rsidRPr="007263E8" w:rsidRDefault="00172C88" w:rsidP="00172C88">
      <w:pPr>
        <w:tabs>
          <w:tab w:val="clear" w:pos="567"/>
        </w:tabs>
        <w:spacing w:line="240" w:lineRule="auto"/>
        <w:ind w:right="-2"/>
        <w:rPr>
          <w:lang w:val="lt-LT"/>
        </w:rPr>
      </w:pPr>
      <w:r>
        <w:rPr>
          <w:szCs w:val="24"/>
          <w:lang w:val="lt-LT"/>
        </w:rPr>
        <w:t>Vaistų negalima išmesti į kanalizaciją arba su buitinėmis atliekomis. Kaip išmesti nereikalingus vaistus, klauskite vaistininko. Šios priemonės padės apsaugoti aplinką.</w:t>
      </w:r>
    </w:p>
    <w:p w14:paraId="1F085BB6" w14:textId="77777777" w:rsidR="00172C88" w:rsidRDefault="00172C88" w:rsidP="00172C88">
      <w:pPr>
        <w:tabs>
          <w:tab w:val="clear" w:pos="567"/>
        </w:tabs>
        <w:spacing w:line="240" w:lineRule="auto"/>
        <w:ind w:right="-2"/>
        <w:rPr>
          <w:szCs w:val="24"/>
          <w:lang w:val="lt-LT"/>
        </w:rPr>
      </w:pPr>
    </w:p>
    <w:p w14:paraId="1EB3219F" w14:textId="77777777" w:rsidR="00172C88" w:rsidRDefault="00172C88" w:rsidP="00172C88">
      <w:pPr>
        <w:tabs>
          <w:tab w:val="clear" w:pos="567"/>
        </w:tabs>
        <w:spacing w:line="240" w:lineRule="auto"/>
        <w:ind w:right="-2"/>
        <w:rPr>
          <w:szCs w:val="24"/>
          <w:lang w:val="lt-LT"/>
        </w:rPr>
      </w:pPr>
    </w:p>
    <w:p w14:paraId="591D95B2" w14:textId="77777777" w:rsidR="00172C88" w:rsidRPr="00C54C14" w:rsidRDefault="00172C88" w:rsidP="00172C88">
      <w:pPr>
        <w:pStyle w:val="Antrat3"/>
        <w:spacing w:before="0" w:after="0" w:line="240" w:lineRule="auto"/>
        <w:rPr>
          <w:lang w:val="pt-P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5F04ABB3" w14:textId="77777777" w:rsidR="00172C88" w:rsidRDefault="00172C88" w:rsidP="00172C88">
      <w:pPr>
        <w:tabs>
          <w:tab w:val="clear" w:pos="567"/>
        </w:tabs>
        <w:spacing w:line="240" w:lineRule="auto"/>
        <w:rPr>
          <w:szCs w:val="24"/>
          <w:lang w:val="lt-LT"/>
        </w:rPr>
      </w:pPr>
    </w:p>
    <w:p w14:paraId="513BCA4B" w14:textId="77777777" w:rsidR="00172C88" w:rsidRPr="00C54C14" w:rsidRDefault="00172C88" w:rsidP="00172C88">
      <w:pPr>
        <w:pStyle w:val="Antrat4"/>
        <w:rPr>
          <w:lang w:val="pt-PT"/>
        </w:rPr>
      </w:pPr>
      <w:proofErr w:type="spellStart"/>
      <w:r>
        <w:rPr>
          <w:rFonts w:ascii="Times New Roman" w:hAnsi="Times New Roman"/>
          <w:sz w:val="22"/>
          <w:szCs w:val="22"/>
          <w:lang w:val="lt-LT"/>
        </w:rPr>
        <w:t>Bosentan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Pr>
          <w:rFonts w:ascii="Times New Roman" w:hAnsi="Times New Roman"/>
          <w:sz w:val="22"/>
          <w:szCs w:val="22"/>
          <w:lang w:val="lt-LT"/>
        </w:rPr>
        <w:t xml:space="preserve"> </w:t>
      </w:r>
      <w:r>
        <w:rPr>
          <w:rFonts w:ascii="Times New Roman" w:hAnsi="Times New Roman"/>
          <w:sz w:val="22"/>
          <w:lang w:val="lt-LT"/>
        </w:rPr>
        <w:t>sudėtis</w:t>
      </w:r>
    </w:p>
    <w:p w14:paraId="7DCC7808" w14:textId="77777777" w:rsidR="00172C88" w:rsidRDefault="00172C88" w:rsidP="00172C88">
      <w:pPr>
        <w:rPr>
          <w:lang w:val="lt-LT"/>
        </w:rPr>
      </w:pPr>
    </w:p>
    <w:p w14:paraId="2825D47A" w14:textId="77777777" w:rsidR="00172C88" w:rsidRPr="00C54C14" w:rsidRDefault="00172C88" w:rsidP="00172C88">
      <w:pPr>
        <w:rPr>
          <w:lang w:val="pt-PT"/>
        </w:rPr>
      </w:pPr>
      <w:r w:rsidRPr="00C54C14">
        <w:rPr>
          <w:lang w:val="pt-PT"/>
        </w:rPr>
        <w:t xml:space="preserve">- </w:t>
      </w:r>
      <w:r w:rsidRPr="00C54C14">
        <w:rPr>
          <w:b/>
          <w:lang w:val="pt-PT"/>
        </w:rPr>
        <w:t>Bosentan Norameda 62,5 mg plėvele dengtos tabletės</w:t>
      </w:r>
      <w:r w:rsidRPr="00C54C14">
        <w:rPr>
          <w:lang w:val="pt-PT"/>
        </w:rPr>
        <w:t>. Veiklioji medžiaga yra bozentanas</w:t>
      </w:r>
      <w:r w:rsidR="005364A3" w:rsidRPr="00C54C14">
        <w:rPr>
          <w:lang w:val="pt-PT"/>
        </w:rPr>
        <w:t xml:space="preserve"> monohidrato pavidalu</w:t>
      </w:r>
      <w:r w:rsidRPr="00C54C14">
        <w:rPr>
          <w:lang w:val="pt-PT"/>
        </w:rPr>
        <w:t>. Kiekvienoje tabletėje yra 62,5 mg bozentano (</w:t>
      </w:r>
      <w:r w:rsidR="00AD43B0" w:rsidRPr="00C54C14">
        <w:rPr>
          <w:lang w:val="pt-PT"/>
        </w:rPr>
        <w:t>m</w:t>
      </w:r>
      <w:r w:rsidRPr="00C54C14">
        <w:rPr>
          <w:lang w:val="pt-PT"/>
        </w:rPr>
        <w:t>onohidrato</w:t>
      </w:r>
      <w:r w:rsidR="005364A3" w:rsidRPr="00C54C14">
        <w:rPr>
          <w:lang w:val="pt-PT"/>
        </w:rPr>
        <w:t xml:space="preserve"> pavidalu</w:t>
      </w:r>
      <w:r w:rsidRPr="00C54C14">
        <w:rPr>
          <w:lang w:val="pt-PT"/>
        </w:rPr>
        <w:t xml:space="preserve">). </w:t>
      </w:r>
    </w:p>
    <w:p w14:paraId="4E5512AD" w14:textId="77777777" w:rsidR="00172C88" w:rsidRPr="00C54C14" w:rsidRDefault="00172C88" w:rsidP="00172C88">
      <w:pPr>
        <w:rPr>
          <w:lang w:val="pt-PT"/>
        </w:rPr>
      </w:pPr>
    </w:p>
    <w:p w14:paraId="30BA6631" w14:textId="77777777" w:rsidR="00172C88" w:rsidRPr="00C54C14" w:rsidRDefault="00172C88" w:rsidP="00172C88">
      <w:pPr>
        <w:rPr>
          <w:lang w:val="pt-PT"/>
        </w:rPr>
      </w:pPr>
      <w:r w:rsidRPr="00C54C14">
        <w:rPr>
          <w:lang w:val="pt-PT"/>
        </w:rPr>
        <w:t xml:space="preserve">- </w:t>
      </w:r>
      <w:r w:rsidRPr="00C54C14">
        <w:rPr>
          <w:b/>
          <w:lang w:val="pt-PT"/>
        </w:rPr>
        <w:t>Bosentan Norameda 125 mg plėvele dengtos tabletės</w:t>
      </w:r>
      <w:r w:rsidRPr="00C54C14">
        <w:rPr>
          <w:lang w:val="pt-PT"/>
        </w:rPr>
        <w:t>. Veiklioji medžiaga yra bozentanas</w:t>
      </w:r>
      <w:r w:rsidR="005364A3" w:rsidRPr="00C54C14">
        <w:rPr>
          <w:lang w:val="pt-PT"/>
        </w:rPr>
        <w:t xml:space="preserve"> monohidrato pavidalu</w:t>
      </w:r>
      <w:r w:rsidRPr="00C54C14">
        <w:rPr>
          <w:lang w:val="pt-PT"/>
        </w:rPr>
        <w:t>. Kiekvienoje tabletėje yra 125 mg bozentano (monohidrato</w:t>
      </w:r>
      <w:r w:rsidR="005364A3" w:rsidRPr="00C54C14">
        <w:rPr>
          <w:lang w:val="pt-PT"/>
        </w:rPr>
        <w:t xml:space="preserve"> pavidalu</w:t>
      </w:r>
      <w:r w:rsidRPr="00C54C14">
        <w:rPr>
          <w:lang w:val="pt-PT"/>
        </w:rPr>
        <w:t>).</w:t>
      </w:r>
    </w:p>
    <w:p w14:paraId="79EF3C7D" w14:textId="77777777" w:rsidR="00172C88" w:rsidRPr="00C54C14" w:rsidRDefault="00172C88" w:rsidP="00172C88">
      <w:pPr>
        <w:rPr>
          <w:lang w:val="pt-PT"/>
        </w:rPr>
      </w:pPr>
    </w:p>
    <w:p w14:paraId="69F08DAE" w14:textId="77777777" w:rsidR="00172C88" w:rsidRPr="00E32052" w:rsidRDefault="00172C88" w:rsidP="00172C88">
      <w:pPr>
        <w:tabs>
          <w:tab w:val="clear" w:pos="567"/>
        </w:tabs>
        <w:spacing w:line="240" w:lineRule="auto"/>
        <w:ind w:left="567" w:hanging="567"/>
        <w:rPr>
          <w:lang w:val="lt-LT"/>
        </w:rPr>
      </w:pPr>
      <w:r>
        <w:rPr>
          <w:szCs w:val="24"/>
          <w:lang w:val="lt-LT"/>
        </w:rPr>
        <w:t>-</w:t>
      </w:r>
      <w:r>
        <w:rPr>
          <w:szCs w:val="24"/>
          <w:lang w:val="lt-LT"/>
        </w:rPr>
        <w:tab/>
      </w:r>
      <w:r>
        <w:rPr>
          <w:b/>
          <w:bCs/>
          <w:szCs w:val="24"/>
          <w:lang w:val="lt-LT"/>
        </w:rPr>
        <w:t>Pagalbinės medžiagos</w:t>
      </w:r>
      <w:r>
        <w:rPr>
          <w:szCs w:val="24"/>
          <w:lang w:val="lt-LT"/>
        </w:rPr>
        <w:t xml:space="preserve"> tabletės šerdyje yra kukurūzų krakmolas, </w:t>
      </w:r>
      <w:proofErr w:type="spellStart"/>
      <w:r>
        <w:rPr>
          <w:szCs w:val="24"/>
          <w:lang w:val="lt-LT"/>
        </w:rPr>
        <w:t>pregelifikuotas</w:t>
      </w:r>
      <w:proofErr w:type="spellEnd"/>
      <w:r>
        <w:rPr>
          <w:szCs w:val="24"/>
          <w:lang w:val="lt-LT"/>
        </w:rPr>
        <w:t xml:space="preserve"> kukurūzų krakmolas, </w:t>
      </w:r>
      <w:proofErr w:type="spellStart"/>
      <w:r w:rsidRPr="007F2C87">
        <w:rPr>
          <w:szCs w:val="22"/>
          <w:lang w:val="lt-LT"/>
        </w:rPr>
        <w:t>k</w:t>
      </w:r>
      <w:r w:rsidRPr="00082D1A">
        <w:rPr>
          <w:rFonts w:eastAsia="Calibri"/>
          <w:color w:val="000000"/>
          <w:szCs w:val="22"/>
          <w:lang w:val="lt-LT" w:eastAsia="zh-CN" w:bidi="lo-LA"/>
        </w:rPr>
        <w:t>arboksimetilkrakmolo</w:t>
      </w:r>
      <w:proofErr w:type="spellEnd"/>
      <w:r w:rsidRPr="00082D1A">
        <w:rPr>
          <w:rFonts w:eastAsia="Calibri"/>
          <w:color w:val="000000"/>
          <w:szCs w:val="22"/>
          <w:lang w:val="lt-LT" w:eastAsia="zh-CN" w:bidi="lo-LA"/>
        </w:rPr>
        <w:t xml:space="preserve"> A natrio druska</w:t>
      </w:r>
      <w:r>
        <w:rPr>
          <w:rFonts w:eastAsia="Calibri"/>
          <w:color w:val="000000"/>
          <w:sz w:val="23"/>
          <w:szCs w:val="23"/>
          <w:lang w:val="lt-LT" w:eastAsia="zh-CN" w:bidi="lo-LA"/>
        </w:rPr>
        <w:t xml:space="preserve">, </w:t>
      </w:r>
      <w:proofErr w:type="spellStart"/>
      <w:r>
        <w:rPr>
          <w:rFonts w:eastAsia="Calibri"/>
          <w:color w:val="000000"/>
          <w:sz w:val="23"/>
          <w:szCs w:val="23"/>
          <w:lang w:val="lt-LT" w:eastAsia="zh-CN" w:bidi="lo-LA"/>
        </w:rPr>
        <w:t>p</w:t>
      </w:r>
      <w:r>
        <w:rPr>
          <w:szCs w:val="24"/>
          <w:lang w:val="lt-LT"/>
        </w:rPr>
        <w:t>ovidonas</w:t>
      </w:r>
      <w:proofErr w:type="spellEnd"/>
      <w:r>
        <w:rPr>
          <w:szCs w:val="24"/>
          <w:lang w:val="lt-LT"/>
        </w:rPr>
        <w:t xml:space="preserve"> K-30, </w:t>
      </w:r>
      <w:proofErr w:type="spellStart"/>
      <w:r>
        <w:rPr>
          <w:szCs w:val="24"/>
          <w:lang w:val="lt-LT"/>
        </w:rPr>
        <w:t>glicerolio</w:t>
      </w:r>
      <w:proofErr w:type="spellEnd"/>
      <w:r>
        <w:rPr>
          <w:szCs w:val="24"/>
          <w:lang w:val="lt-LT"/>
        </w:rPr>
        <w:t xml:space="preserve"> </w:t>
      </w:r>
      <w:proofErr w:type="spellStart"/>
      <w:r>
        <w:rPr>
          <w:szCs w:val="24"/>
          <w:lang w:val="lt-LT"/>
        </w:rPr>
        <w:t>dibehenatas</w:t>
      </w:r>
      <w:proofErr w:type="spellEnd"/>
      <w:r>
        <w:rPr>
          <w:szCs w:val="24"/>
          <w:lang w:val="lt-LT"/>
        </w:rPr>
        <w:t xml:space="preserve">, magnio </w:t>
      </w:r>
      <w:proofErr w:type="spellStart"/>
      <w:r>
        <w:rPr>
          <w:szCs w:val="24"/>
          <w:lang w:val="lt-LT"/>
        </w:rPr>
        <w:t>stearatas</w:t>
      </w:r>
      <w:proofErr w:type="spellEnd"/>
      <w:r>
        <w:rPr>
          <w:szCs w:val="24"/>
          <w:lang w:val="lt-LT"/>
        </w:rPr>
        <w:t xml:space="preserve">, </w:t>
      </w:r>
      <w:proofErr w:type="spellStart"/>
      <w:r>
        <w:rPr>
          <w:szCs w:val="24"/>
          <w:lang w:val="lt-LT"/>
        </w:rPr>
        <w:t>poloksameras</w:t>
      </w:r>
      <w:proofErr w:type="spellEnd"/>
      <w:r>
        <w:rPr>
          <w:szCs w:val="24"/>
          <w:lang w:val="lt-LT"/>
        </w:rPr>
        <w:t xml:space="preserve"> 188, koloidinis silicio dioksidas, o tabletės plėvelėje - </w:t>
      </w:r>
      <w:proofErr w:type="spellStart"/>
      <w:r>
        <w:rPr>
          <w:szCs w:val="24"/>
          <w:lang w:val="lt-LT"/>
        </w:rPr>
        <w:t>hipromeliozė</w:t>
      </w:r>
      <w:proofErr w:type="spellEnd"/>
      <w:r>
        <w:rPr>
          <w:szCs w:val="24"/>
          <w:lang w:val="lt-LT"/>
        </w:rPr>
        <w:t xml:space="preserve">, titano dioksidas (E171), </w:t>
      </w:r>
      <w:proofErr w:type="spellStart"/>
      <w:r>
        <w:rPr>
          <w:szCs w:val="24"/>
          <w:lang w:val="lt-LT"/>
        </w:rPr>
        <w:t>etilceliuliozė</w:t>
      </w:r>
      <w:proofErr w:type="spellEnd"/>
      <w:r>
        <w:rPr>
          <w:szCs w:val="24"/>
          <w:lang w:val="lt-LT"/>
        </w:rPr>
        <w:t xml:space="preserve">, </w:t>
      </w:r>
      <w:proofErr w:type="spellStart"/>
      <w:r>
        <w:rPr>
          <w:szCs w:val="24"/>
          <w:lang w:val="lt-LT"/>
        </w:rPr>
        <w:t>triacetinas</w:t>
      </w:r>
      <w:proofErr w:type="spellEnd"/>
      <w:r>
        <w:rPr>
          <w:szCs w:val="24"/>
          <w:lang w:val="lt-LT"/>
        </w:rPr>
        <w:t xml:space="preserve"> (E1518), talkas, geltonasis geležies oksidas (E172), raudonasis geležies oksidas (E172), juodasis geležies oksidas (E172).</w:t>
      </w:r>
    </w:p>
    <w:p w14:paraId="4C78393B" w14:textId="77777777" w:rsidR="00172C88" w:rsidRDefault="00172C88" w:rsidP="00172C88">
      <w:pPr>
        <w:tabs>
          <w:tab w:val="clear" w:pos="567"/>
        </w:tabs>
        <w:spacing w:line="240" w:lineRule="auto"/>
        <w:ind w:right="-2"/>
        <w:rPr>
          <w:szCs w:val="24"/>
          <w:lang w:val="lt-LT"/>
        </w:rPr>
      </w:pPr>
    </w:p>
    <w:p w14:paraId="3B38714A" w14:textId="77777777" w:rsidR="00172C88" w:rsidRPr="00C54C14" w:rsidRDefault="00172C88" w:rsidP="00172C88">
      <w:pPr>
        <w:pStyle w:val="Antrat4"/>
        <w:rPr>
          <w:lang w:val="pt-PT"/>
        </w:rPr>
      </w:pPr>
      <w:proofErr w:type="spellStart"/>
      <w:r>
        <w:rPr>
          <w:rFonts w:ascii="Times New Roman" w:hAnsi="Times New Roman"/>
          <w:sz w:val="22"/>
          <w:szCs w:val="22"/>
          <w:lang w:val="lt-LT"/>
        </w:rPr>
        <w:t>Bosentan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Pr>
          <w:rFonts w:ascii="Times New Roman" w:hAnsi="Times New Roman"/>
          <w:sz w:val="22"/>
          <w:szCs w:val="22"/>
          <w:lang w:val="lt-LT"/>
        </w:rPr>
        <w:t xml:space="preserve"> </w:t>
      </w:r>
      <w:r>
        <w:rPr>
          <w:rFonts w:ascii="Times New Roman" w:hAnsi="Times New Roman"/>
          <w:sz w:val="22"/>
          <w:lang w:val="lt-LT"/>
        </w:rPr>
        <w:t>išvaizda ir kiekis pakuotėje</w:t>
      </w:r>
    </w:p>
    <w:p w14:paraId="7F5EEA16" w14:textId="77777777" w:rsidR="00172C88" w:rsidRPr="00C54C14" w:rsidRDefault="00172C88" w:rsidP="00172C88">
      <w:pPr>
        <w:rPr>
          <w:lang w:val="pt-PT"/>
        </w:rPr>
      </w:pPr>
      <w:r w:rsidRPr="00C54C14">
        <w:rPr>
          <w:lang w:val="pt-PT"/>
        </w:rPr>
        <w:t xml:space="preserve">Bosentan Norameda 62,5 mg plėvele dengtos tabletės yra šviesiai oranžinės, apvalios, abipus išgaubtos, 6 mm dydžio. </w:t>
      </w:r>
    </w:p>
    <w:p w14:paraId="774755C2" w14:textId="77777777" w:rsidR="00172C88" w:rsidRPr="00C54C14" w:rsidRDefault="00172C88" w:rsidP="00172C88">
      <w:pPr>
        <w:rPr>
          <w:lang w:val="pt-PT"/>
        </w:rPr>
      </w:pPr>
      <w:r w:rsidRPr="00C54C14">
        <w:rPr>
          <w:lang w:val="pt-PT"/>
        </w:rPr>
        <w:t>Bosentan Norameda 125 mg plėvele dengtos tabletės yra šviesiai oranžinės, ovalios, abipus išgaubtos, 11 mm dydžio.</w:t>
      </w:r>
    </w:p>
    <w:p w14:paraId="06B1F8C7" w14:textId="77777777" w:rsidR="00172C88" w:rsidRPr="00C54C14" w:rsidRDefault="00172C88" w:rsidP="00172C88">
      <w:pPr>
        <w:rPr>
          <w:lang w:val="pt-PT"/>
        </w:rPr>
      </w:pPr>
    </w:p>
    <w:p w14:paraId="74A1A329" w14:textId="77777777" w:rsidR="00172C88" w:rsidRPr="00DC170F" w:rsidRDefault="00172C88" w:rsidP="00172C88">
      <w:pPr>
        <w:pStyle w:val="Default"/>
        <w:rPr>
          <w:bCs/>
          <w:sz w:val="22"/>
          <w:szCs w:val="22"/>
          <w:lang w:val="lt-LT"/>
        </w:rPr>
      </w:pPr>
      <w:r w:rsidRPr="00DC170F">
        <w:rPr>
          <w:bCs/>
          <w:sz w:val="22"/>
          <w:szCs w:val="22"/>
          <w:lang w:val="lt-LT"/>
        </w:rPr>
        <w:t>PVC/</w:t>
      </w:r>
      <w:proofErr w:type="spellStart"/>
      <w:r w:rsidRPr="00DC170F">
        <w:rPr>
          <w:bCs/>
          <w:sz w:val="22"/>
          <w:szCs w:val="22"/>
          <w:lang w:val="lt-LT"/>
        </w:rPr>
        <w:t>PVdC</w:t>
      </w:r>
      <w:proofErr w:type="spellEnd"/>
      <w:r w:rsidRPr="00DC170F">
        <w:rPr>
          <w:bCs/>
          <w:sz w:val="22"/>
          <w:szCs w:val="22"/>
          <w:lang w:val="lt-LT"/>
        </w:rPr>
        <w:t>/Al lizdinės plokštelės</w:t>
      </w:r>
    </w:p>
    <w:p w14:paraId="77FD56EC" w14:textId="77777777" w:rsidR="00172C88" w:rsidRPr="00C54C14" w:rsidRDefault="00172C88" w:rsidP="00172C88">
      <w:pPr>
        <w:rPr>
          <w:lang w:val="pt-PT"/>
        </w:rPr>
      </w:pPr>
      <w:r w:rsidRPr="00C54C14">
        <w:rPr>
          <w:lang w:val="pt-PT"/>
        </w:rPr>
        <w:t xml:space="preserve">Dėžutėje yra 14, 56 arba 112 plėvele dengtų tablečių. </w:t>
      </w:r>
    </w:p>
    <w:p w14:paraId="4CFCA5D4" w14:textId="77777777" w:rsidR="00172C88" w:rsidRPr="00C54C14" w:rsidRDefault="00172C88" w:rsidP="00172C88">
      <w:pPr>
        <w:rPr>
          <w:lang w:val="pt-PT"/>
        </w:rPr>
      </w:pPr>
    </w:p>
    <w:p w14:paraId="137286DE" w14:textId="77777777" w:rsidR="00172C88" w:rsidRDefault="00172C88" w:rsidP="00172C88">
      <w:pPr>
        <w:tabs>
          <w:tab w:val="clear" w:pos="567"/>
        </w:tabs>
        <w:spacing w:line="240" w:lineRule="auto"/>
        <w:rPr>
          <w:szCs w:val="24"/>
          <w:lang w:val="lt-LT"/>
        </w:rPr>
      </w:pPr>
      <w:r>
        <w:rPr>
          <w:szCs w:val="24"/>
          <w:lang w:val="lt-LT"/>
        </w:rPr>
        <w:t>Gali būti tiekiamos ne visų dydžių pakuotės.</w:t>
      </w:r>
    </w:p>
    <w:p w14:paraId="2BACA5C0" w14:textId="77777777" w:rsidR="00172C88" w:rsidRDefault="00172C88" w:rsidP="00172C88">
      <w:pPr>
        <w:tabs>
          <w:tab w:val="clear" w:pos="567"/>
        </w:tabs>
        <w:spacing w:line="240" w:lineRule="auto"/>
        <w:ind w:right="-2"/>
        <w:rPr>
          <w:szCs w:val="24"/>
          <w:lang w:val="lt-LT"/>
        </w:rPr>
      </w:pPr>
    </w:p>
    <w:p w14:paraId="195F8BF2"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Registruotojas</w:t>
      </w:r>
    </w:p>
    <w:p w14:paraId="01888A8D" w14:textId="5556B361" w:rsidR="00172C88" w:rsidRDefault="00172C88" w:rsidP="00172C88">
      <w:pPr>
        <w:pStyle w:val="Default"/>
        <w:rPr>
          <w:bCs/>
          <w:sz w:val="22"/>
          <w:szCs w:val="22"/>
          <w:lang w:val="lt-LT"/>
        </w:rPr>
      </w:pPr>
      <w:r>
        <w:rPr>
          <w:bCs/>
          <w:sz w:val="22"/>
          <w:szCs w:val="22"/>
          <w:lang w:val="lt-LT"/>
        </w:rPr>
        <w:t xml:space="preserve">UAB </w:t>
      </w:r>
      <w:proofErr w:type="spellStart"/>
      <w:r>
        <w:rPr>
          <w:bCs/>
          <w:sz w:val="22"/>
          <w:szCs w:val="22"/>
          <w:lang w:val="lt-LT"/>
        </w:rPr>
        <w:t>Norameda</w:t>
      </w:r>
      <w:proofErr w:type="spellEnd"/>
    </w:p>
    <w:p w14:paraId="6E37E935" w14:textId="2EEF76AD" w:rsidR="00172C88" w:rsidRDefault="00172C88" w:rsidP="00172C88">
      <w:pPr>
        <w:rPr>
          <w:szCs w:val="22"/>
          <w:lang w:val="lt-LT"/>
        </w:rPr>
      </w:pPr>
      <w:r>
        <w:rPr>
          <w:szCs w:val="22"/>
          <w:lang w:val="lt-LT"/>
        </w:rPr>
        <w:t xml:space="preserve">Meistrų </w:t>
      </w:r>
      <w:r w:rsidR="00542385">
        <w:rPr>
          <w:szCs w:val="22"/>
          <w:lang w:val="lt-LT"/>
        </w:rPr>
        <w:t xml:space="preserve">g. </w:t>
      </w:r>
      <w:r>
        <w:rPr>
          <w:szCs w:val="22"/>
          <w:lang w:val="lt-LT"/>
        </w:rPr>
        <w:t>8</w:t>
      </w:r>
      <w:r w:rsidR="00542385">
        <w:rPr>
          <w:szCs w:val="22"/>
          <w:lang w:val="lt-LT"/>
        </w:rPr>
        <w:t>A</w:t>
      </w:r>
    </w:p>
    <w:p w14:paraId="71FA99FA" w14:textId="33A8A3B7" w:rsidR="00172C88" w:rsidRDefault="00172C88" w:rsidP="00172C88">
      <w:pPr>
        <w:rPr>
          <w:szCs w:val="22"/>
          <w:lang w:val="lt-LT"/>
        </w:rPr>
      </w:pPr>
      <w:r>
        <w:rPr>
          <w:szCs w:val="22"/>
          <w:lang w:val="lt-LT"/>
        </w:rPr>
        <w:t>LT-021</w:t>
      </w:r>
      <w:r w:rsidR="00542385">
        <w:rPr>
          <w:szCs w:val="22"/>
          <w:lang w:val="lt-LT"/>
        </w:rPr>
        <w:t>90</w:t>
      </w:r>
      <w:r>
        <w:rPr>
          <w:szCs w:val="22"/>
          <w:lang w:val="lt-LT"/>
        </w:rPr>
        <w:t xml:space="preserve"> Vilnius</w:t>
      </w:r>
    </w:p>
    <w:p w14:paraId="35F1FDA3" w14:textId="77777777" w:rsidR="00172C88" w:rsidRDefault="00172C88" w:rsidP="00172C88">
      <w:pPr>
        <w:autoSpaceDE w:val="0"/>
        <w:rPr>
          <w:rFonts w:eastAsia="Batang"/>
          <w:bCs/>
          <w:szCs w:val="22"/>
          <w:lang w:val="lt-LT"/>
        </w:rPr>
      </w:pPr>
      <w:r>
        <w:rPr>
          <w:rFonts w:eastAsia="Batang"/>
          <w:bCs/>
          <w:szCs w:val="22"/>
          <w:lang w:val="lt-LT"/>
        </w:rPr>
        <w:t>Lietuva</w:t>
      </w:r>
    </w:p>
    <w:p w14:paraId="1F9C2CC2" w14:textId="77777777" w:rsidR="00172C88" w:rsidRDefault="00172C88" w:rsidP="00172C88">
      <w:pPr>
        <w:pStyle w:val="Antrat4"/>
        <w:rPr>
          <w:rFonts w:ascii="Times New Roman" w:hAnsi="Times New Roman"/>
          <w:sz w:val="22"/>
          <w:lang w:val="lt-LT"/>
        </w:rPr>
      </w:pPr>
    </w:p>
    <w:p w14:paraId="456DE073" w14:textId="77777777" w:rsidR="00172C88" w:rsidRDefault="00172C88" w:rsidP="00172C88">
      <w:pPr>
        <w:pStyle w:val="Antrat4"/>
        <w:rPr>
          <w:rFonts w:ascii="Times New Roman" w:hAnsi="Times New Roman"/>
          <w:sz w:val="22"/>
          <w:lang w:val="lt-LT"/>
        </w:rPr>
      </w:pPr>
      <w:r>
        <w:rPr>
          <w:rFonts w:ascii="Times New Roman" w:hAnsi="Times New Roman"/>
          <w:sz w:val="22"/>
          <w:lang w:val="lt-LT"/>
        </w:rPr>
        <w:t>Gamintojas</w:t>
      </w:r>
    </w:p>
    <w:p w14:paraId="02E877AF" w14:textId="77777777" w:rsidR="00172C88" w:rsidRPr="00172C88" w:rsidRDefault="00172C88" w:rsidP="00172C88">
      <w:pPr>
        <w:autoSpaceDE w:val="0"/>
        <w:rPr>
          <w:rFonts w:eastAsia="Batang"/>
          <w:bCs/>
          <w:szCs w:val="22"/>
          <w:highlight w:val="lightGray"/>
          <w:lang w:val="lt-LT"/>
        </w:rPr>
      </w:pPr>
    </w:p>
    <w:p w14:paraId="2B4421E8" w14:textId="77777777" w:rsidR="00172C88" w:rsidRPr="00E9334E" w:rsidRDefault="00172C88" w:rsidP="00172C88">
      <w:pPr>
        <w:autoSpaceDE w:val="0"/>
        <w:rPr>
          <w:rFonts w:eastAsia="Batang"/>
          <w:lang w:val="lt-LT"/>
        </w:rPr>
      </w:pPr>
      <w:r w:rsidRPr="00E9334E">
        <w:rPr>
          <w:rFonts w:eastAsia="Batang"/>
          <w:lang w:val="lt-LT"/>
        </w:rPr>
        <w:t xml:space="preserve">UAB </w:t>
      </w:r>
      <w:proofErr w:type="spellStart"/>
      <w:r w:rsidRPr="00E9334E">
        <w:rPr>
          <w:rFonts w:eastAsia="Batang"/>
          <w:lang w:val="lt-LT"/>
        </w:rPr>
        <w:t>Norameda</w:t>
      </w:r>
      <w:proofErr w:type="spellEnd"/>
    </w:p>
    <w:p w14:paraId="6FD59700" w14:textId="679D674A" w:rsidR="00172C88" w:rsidRPr="00E9334E" w:rsidRDefault="00172C88" w:rsidP="00172C88">
      <w:pPr>
        <w:autoSpaceDE w:val="0"/>
        <w:rPr>
          <w:rFonts w:eastAsia="Batang"/>
          <w:lang w:val="lt-LT"/>
        </w:rPr>
      </w:pPr>
      <w:r w:rsidRPr="00E9334E">
        <w:rPr>
          <w:rFonts w:eastAsia="Batang"/>
          <w:lang w:val="lt-LT"/>
        </w:rPr>
        <w:t xml:space="preserve">Meistrų </w:t>
      </w:r>
      <w:r w:rsidR="00542385">
        <w:rPr>
          <w:rFonts w:eastAsia="Batang"/>
          <w:lang w:val="lt-LT"/>
        </w:rPr>
        <w:t xml:space="preserve">g. </w:t>
      </w:r>
      <w:r w:rsidRPr="00E9334E">
        <w:rPr>
          <w:rFonts w:eastAsia="Batang"/>
          <w:lang w:val="lt-LT"/>
        </w:rPr>
        <w:t>8</w:t>
      </w:r>
      <w:r w:rsidR="00542385">
        <w:rPr>
          <w:rFonts w:eastAsia="Batang"/>
          <w:lang w:val="lt-LT"/>
        </w:rPr>
        <w:t>A</w:t>
      </w:r>
    </w:p>
    <w:p w14:paraId="700EC40C" w14:textId="1C906A7C" w:rsidR="00172C88" w:rsidRPr="00E9334E" w:rsidRDefault="00172C88" w:rsidP="00172C88">
      <w:pPr>
        <w:autoSpaceDE w:val="0"/>
        <w:rPr>
          <w:rFonts w:eastAsia="Batang"/>
          <w:lang w:val="lt-LT"/>
        </w:rPr>
      </w:pPr>
      <w:r w:rsidRPr="00E9334E">
        <w:rPr>
          <w:rFonts w:eastAsia="Batang"/>
          <w:lang w:val="lt-LT"/>
        </w:rPr>
        <w:t>LT-021</w:t>
      </w:r>
      <w:r w:rsidR="00542385">
        <w:rPr>
          <w:rFonts w:eastAsia="Batang"/>
          <w:lang w:val="lt-LT"/>
        </w:rPr>
        <w:t>90</w:t>
      </w:r>
      <w:r w:rsidRPr="00E9334E">
        <w:rPr>
          <w:rFonts w:eastAsia="Batang"/>
          <w:lang w:val="lt-LT"/>
        </w:rPr>
        <w:t xml:space="preserve"> Vilnius</w:t>
      </w:r>
    </w:p>
    <w:p w14:paraId="0183F3AE" w14:textId="77777777" w:rsidR="00172C88" w:rsidRPr="00D23D7D" w:rsidRDefault="00172C88" w:rsidP="00172C88">
      <w:pPr>
        <w:autoSpaceDE w:val="0"/>
        <w:rPr>
          <w:rFonts w:eastAsia="Batang"/>
          <w:bCs/>
          <w:szCs w:val="22"/>
          <w:lang w:val="lt-LT"/>
        </w:rPr>
      </w:pPr>
      <w:r w:rsidRPr="00E9334E">
        <w:rPr>
          <w:rFonts w:eastAsia="Batang"/>
          <w:lang w:val="lt-LT"/>
        </w:rPr>
        <w:t>Lietuva</w:t>
      </w:r>
    </w:p>
    <w:p w14:paraId="3E27FC4E" w14:textId="77777777" w:rsidR="00172C88" w:rsidRDefault="00172C88" w:rsidP="00E9334E">
      <w:pPr>
        <w:autoSpaceDE w:val="0"/>
        <w:rPr>
          <w:rFonts w:eastAsia="Batang"/>
          <w:bCs/>
          <w:szCs w:val="22"/>
          <w:lang w:val="lt-LT"/>
        </w:rPr>
      </w:pPr>
    </w:p>
    <w:p w14:paraId="64461D35" w14:textId="77777777" w:rsidR="00172C88" w:rsidRDefault="00172C88" w:rsidP="00172C88">
      <w:pPr>
        <w:spacing w:line="240" w:lineRule="auto"/>
        <w:ind w:right="-2"/>
        <w:rPr>
          <w:szCs w:val="24"/>
          <w:lang w:val="lt-LT"/>
        </w:rPr>
      </w:pPr>
      <w:r>
        <w:rPr>
          <w:szCs w:val="24"/>
          <w:lang w:val="lt-LT"/>
        </w:rPr>
        <w:t>Jeigu apie šį vaistą norite sužinoti daugiau, kreipkitės į vietinį registruotojo atstovą:</w:t>
      </w:r>
    </w:p>
    <w:p w14:paraId="70DB671F" w14:textId="77777777" w:rsidR="00172C88" w:rsidRPr="007263E8" w:rsidRDefault="00172C88" w:rsidP="00172C88">
      <w:pPr>
        <w:spacing w:line="240" w:lineRule="auto"/>
        <w:rPr>
          <w:shd w:val="clear" w:color="auto" w:fill="FFFF00"/>
          <w:lang w:val="lt-LT"/>
        </w:rPr>
      </w:pPr>
    </w:p>
    <w:p w14:paraId="2C100D8B" w14:textId="77777777" w:rsidR="00172C88" w:rsidRDefault="00172C88" w:rsidP="00172C88">
      <w:pPr>
        <w:pStyle w:val="Default"/>
        <w:rPr>
          <w:bCs/>
          <w:sz w:val="22"/>
          <w:szCs w:val="22"/>
          <w:lang w:val="lt-LT"/>
        </w:rPr>
      </w:pPr>
      <w:r>
        <w:rPr>
          <w:bCs/>
          <w:sz w:val="22"/>
          <w:szCs w:val="22"/>
          <w:lang w:val="lt-LT"/>
        </w:rPr>
        <w:t xml:space="preserve">UAB </w:t>
      </w:r>
      <w:proofErr w:type="spellStart"/>
      <w:r>
        <w:rPr>
          <w:bCs/>
          <w:sz w:val="22"/>
          <w:szCs w:val="22"/>
          <w:lang w:val="lt-LT"/>
        </w:rPr>
        <w:t>Norameda</w:t>
      </w:r>
      <w:proofErr w:type="spellEnd"/>
    </w:p>
    <w:p w14:paraId="7EE45BF1" w14:textId="3F1AA297" w:rsidR="00172C88" w:rsidRDefault="00172C88" w:rsidP="00172C88">
      <w:pPr>
        <w:rPr>
          <w:szCs w:val="22"/>
          <w:lang w:val="lt-LT"/>
        </w:rPr>
      </w:pPr>
      <w:r>
        <w:rPr>
          <w:szCs w:val="22"/>
          <w:lang w:val="lt-LT"/>
        </w:rPr>
        <w:lastRenderedPageBreak/>
        <w:t xml:space="preserve">Meistrų </w:t>
      </w:r>
      <w:r w:rsidR="00E9477B">
        <w:rPr>
          <w:szCs w:val="22"/>
          <w:lang w:val="lt-LT"/>
        </w:rPr>
        <w:t xml:space="preserve">g. </w:t>
      </w:r>
      <w:r>
        <w:rPr>
          <w:szCs w:val="22"/>
          <w:lang w:val="lt-LT"/>
        </w:rPr>
        <w:t>8</w:t>
      </w:r>
      <w:r w:rsidR="00E9477B">
        <w:rPr>
          <w:szCs w:val="22"/>
          <w:lang w:val="lt-LT"/>
        </w:rPr>
        <w:t>A</w:t>
      </w:r>
      <w:r>
        <w:rPr>
          <w:szCs w:val="22"/>
          <w:lang w:val="lt-LT"/>
        </w:rPr>
        <w:t>, LT-021</w:t>
      </w:r>
      <w:r w:rsidR="00E9477B">
        <w:rPr>
          <w:szCs w:val="22"/>
          <w:lang w:val="lt-LT"/>
        </w:rPr>
        <w:t>90</w:t>
      </w:r>
      <w:r>
        <w:rPr>
          <w:szCs w:val="22"/>
          <w:lang w:val="lt-LT"/>
        </w:rPr>
        <w:t xml:space="preserve"> Vilnius</w:t>
      </w:r>
    </w:p>
    <w:p w14:paraId="19A83393" w14:textId="77777777" w:rsidR="00172C88" w:rsidRDefault="00172C88" w:rsidP="00172C88">
      <w:pPr>
        <w:autoSpaceDE w:val="0"/>
        <w:rPr>
          <w:rFonts w:eastAsia="Batang"/>
          <w:bCs/>
          <w:szCs w:val="22"/>
          <w:lang w:val="lt-LT"/>
        </w:rPr>
      </w:pPr>
      <w:r>
        <w:rPr>
          <w:rFonts w:eastAsia="Batang"/>
          <w:bCs/>
          <w:szCs w:val="22"/>
          <w:lang w:val="lt-LT"/>
        </w:rPr>
        <w:t>Lietuva</w:t>
      </w:r>
    </w:p>
    <w:p w14:paraId="64CF4E2A" w14:textId="77777777" w:rsidR="00172C88" w:rsidRDefault="00172C88" w:rsidP="00172C88">
      <w:pPr>
        <w:autoSpaceDE w:val="0"/>
        <w:rPr>
          <w:rFonts w:eastAsia="Batang"/>
          <w:bCs/>
          <w:szCs w:val="22"/>
          <w:lang w:val="lt-LT"/>
        </w:rPr>
      </w:pPr>
    </w:p>
    <w:p w14:paraId="7FF69132" w14:textId="77777777" w:rsidR="00172C88" w:rsidRDefault="00172C88" w:rsidP="00172C88">
      <w:pPr>
        <w:autoSpaceDE w:val="0"/>
        <w:rPr>
          <w:lang w:val="lt-LT"/>
        </w:rPr>
      </w:pPr>
    </w:p>
    <w:p w14:paraId="312D399B" w14:textId="56789B87" w:rsidR="00172C88" w:rsidRPr="00D73367" w:rsidRDefault="00172C88" w:rsidP="00172C88">
      <w:pPr>
        <w:ind w:right="-2"/>
        <w:rPr>
          <w:lang w:val="lt-LT"/>
        </w:rPr>
      </w:pPr>
      <w:r>
        <w:rPr>
          <w:b/>
          <w:lang w:val="lt-LT"/>
        </w:rPr>
        <w:t xml:space="preserve">Šis vaistas </w:t>
      </w:r>
      <w:r w:rsidR="00E32B70" w:rsidRPr="00E32B70">
        <w:rPr>
          <w:b/>
          <w:lang w:val="lt-LT"/>
        </w:rPr>
        <w:t>Europos ekonominės erdvės</w:t>
      </w:r>
      <w:r>
        <w:rPr>
          <w:b/>
          <w:lang w:val="lt-LT"/>
        </w:rPr>
        <w:t xml:space="preserve"> valstybėse narėse registruotas tokiais pavadinimais</w:t>
      </w:r>
      <w:r>
        <w:rPr>
          <w:lang w:val="lt-LT"/>
        </w:rPr>
        <w:t>:</w:t>
      </w:r>
    </w:p>
    <w:p w14:paraId="2F07AE53" w14:textId="77777777" w:rsidR="00172C88" w:rsidRDefault="00172C88" w:rsidP="00172C88">
      <w:pPr>
        <w:tabs>
          <w:tab w:val="clear" w:pos="567"/>
        </w:tabs>
        <w:spacing w:line="240" w:lineRule="auto"/>
        <w:ind w:right="-2"/>
        <w:rPr>
          <w:lang w:val="lt-LT"/>
        </w:rPr>
      </w:pPr>
    </w:p>
    <w:p w14:paraId="54B776C6" w14:textId="77777777" w:rsidR="00172C88" w:rsidRPr="00102863" w:rsidRDefault="00172C88" w:rsidP="00172C88">
      <w:pPr>
        <w:rPr>
          <w:lang w:val="es-ES"/>
        </w:rPr>
      </w:pPr>
      <w:r w:rsidRPr="00102863">
        <w:rPr>
          <w:rFonts w:eastAsia="Batang"/>
          <w:lang w:val="es-ES"/>
        </w:rPr>
        <w:t>Čekija             Bosentan Abdi 62.5 mg</w:t>
      </w:r>
    </w:p>
    <w:p w14:paraId="1D5474DB" w14:textId="77777777" w:rsidR="00172C88" w:rsidRPr="00102863" w:rsidRDefault="00172C88" w:rsidP="00172C88">
      <w:pPr>
        <w:rPr>
          <w:lang w:val="es-ES"/>
        </w:rPr>
      </w:pPr>
      <w:r w:rsidRPr="00102863">
        <w:rPr>
          <w:rFonts w:eastAsia="Batang"/>
          <w:lang w:val="es-ES"/>
        </w:rPr>
        <w:t xml:space="preserve">                       Bosentan Abdi 125 mg</w:t>
      </w:r>
    </w:p>
    <w:p w14:paraId="4C13B0C0" w14:textId="77777777" w:rsidR="00172C88" w:rsidRPr="00102863" w:rsidRDefault="00172C88" w:rsidP="00172C88">
      <w:pPr>
        <w:rPr>
          <w:rFonts w:eastAsia="Batang"/>
          <w:lang w:val="es-ES"/>
        </w:rPr>
      </w:pPr>
    </w:p>
    <w:p w14:paraId="2A70A29F" w14:textId="77777777" w:rsidR="00172C88" w:rsidRPr="00C54C14" w:rsidRDefault="00172C88" w:rsidP="00172C88">
      <w:pPr>
        <w:rPr>
          <w:lang w:val="pt-PT"/>
        </w:rPr>
      </w:pPr>
      <w:r w:rsidRPr="00C54C14">
        <w:rPr>
          <w:rFonts w:eastAsia="Batang"/>
          <w:lang w:val="pt-PT"/>
        </w:rPr>
        <w:t>Estija</w:t>
      </w:r>
      <w:r w:rsidRPr="00C54C14">
        <w:rPr>
          <w:rFonts w:eastAsia="Batang"/>
          <w:lang w:val="pt-PT"/>
        </w:rPr>
        <w:tab/>
      </w:r>
      <w:r w:rsidRPr="00C54C14">
        <w:rPr>
          <w:rFonts w:eastAsia="Batang"/>
          <w:lang w:val="pt-PT"/>
        </w:rPr>
        <w:tab/>
        <w:t>Bosentan Norameda 62.5 mg</w:t>
      </w:r>
    </w:p>
    <w:p w14:paraId="3E1B84AE" w14:textId="77777777" w:rsidR="00172C88" w:rsidRPr="00C54C14" w:rsidRDefault="00172C88" w:rsidP="00172C88">
      <w:pPr>
        <w:rPr>
          <w:lang w:val="pt-PT"/>
        </w:rPr>
      </w:pPr>
      <w:r w:rsidRPr="00C54C14">
        <w:rPr>
          <w:rFonts w:eastAsia="Batang"/>
          <w:lang w:val="pt-PT"/>
        </w:rPr>
        <w:tab/>
      </w:r>
      <w:r w:rsidRPr="00C54C14">
        <w:rPr>
          <w:rFonts w:eastAsia="Batang"/>
          <w:lang w:val="pt-PT"/>
        </w:rPr>
        <w:tab/>
        <w:t>Bosentan Norameda 125 mg</w:t>
      </w:r>
    </w:p>
    <w:p w14:paraId="40BDD5A9" w14:textId="77777777" w:rsidR="00172C88" w:rsidRPr="00C54C14" w:rsidRDefault="00172C88" w:rsidP="00172C88">
      <w:pPr>
        <w:rPr>
          <w:rFonts w:eastAsia="Batang"/>
          <w:lang w:val="pt-PT"/>
        </w:rPr>
      </w:pPr>
    </w:p>
    <w:p w14:paraId="4DBA950D" w14:textId="77777777" w:rsidR="00172C88" w:rsidRPr="00C54C14" w:rsidRDefault="00172C88" w:rsidP="00172C88">
      <w:pPr>
        <w:rPr>
          <w:lang w:val="pt-PT"/>
        </w:rPr>
      </w:pPr>
      <w:r w:rsidRPr="00C54C14">
        <w:rPr>
          <w:rFonts w:eastAsia="Batang"/>
          <w:lang w:val="pt-PT"/>
        </w:rPr>
        <w:t xml:space="preserve">Lietuva </w:t>
      </w:r>
      <w:r w:rsidRPr="00C54C14">
        <w:rPr>
          <w:rFonts w:eastAsia="Batang"/>
          <w:lang w:val="pt-PT"/>
        </w:rPr>
        <w:tab/>
        <w:t>Bosentan Norameda 62,5 mg plėvele dengtos tabletės</w:t>
      </w:r>
    </w:p>
    <w:p w14:paraId="09F4F9B4" w14:textId="77777777" w:rsidR="00172C88" w:rsidRPr="00C54C14" w:rsidRDefault="00172C88" w:rsidP="00172C88">
      <w:pPr>
        <w:rPr>
          <w:lang w:val="pt-PT"/>
        </w:rPr>
      </w:pPr>
      <w:r w:rsidRPr="00C54C14">
        <w:rPr>
          <w:rFonts w:eastAsia="Batang"/>
          <w:lang w:val="pt-PT"/>
        </w:rPr>
        <w:tab/>
      </w:r>
      <w:r w:rsidRPr="00C54C14">
        <w:rPr>
          <w:rFonts w:eastAsia="Batang"/>
          <w:lang w:val="pt-PT"/>
        </w:rPr>
        <w:tab/>
        <w:t>Bosentan Norameda 125 mg plėvele dengtos tabletės</w:t>
      </w:r>
    </w:p>
    <w:p w14:paraId="161C2A09" w14:textId="77777777" w:rsidR="00172C88" w:rsidRPr="00C54C14" w:rsidRDefault="00172C88" w:rsidP="00172C88">
      <w:pPr>
        <w:rPr>
          <w:lang w:val="pt-PT"/>
        </w:rPr>
      </w:pPr>
    </w:p>
    <w:p w14:paraId="51856539" w14:textId="77777777" w:rsidR="00172C88" w:rsidRPr="00C54C14" w:rsidRDefault="00172C88" w:rsidP="00172C88">
      <w:pPr>
        <w:rPr>
          <w:lang w:val="pt-PT"/>
        </w:rPr>
      </w:pPr>
      <w:r w:rsidRPr="00C54C14">
        <w:rPr>
          <w:rFonts w:eastAsia="Batang"/>
          <w:lang w:val="pt-PT"/>
        </w:rPr>
        <w:t>Latvija</w:t>
      </w:r>
      <w:r w:rsidRPr="00C54C14">
        <w:rPr>
          <w:rFonts w:eastAsia="Batang"/>
          <w:lang w:val="pt-PT"/>
        </w:rPr>
        <w:tab/>
        <w:t>Bosentan Norameda 62.5 mg apvalkotās tabletes</w:t>
      </w:r>
    </w:p>
    <w:p w14:paraId="05892044" w14:textId="77777777" w:rsidR="00172C88" w:rsidRPr="00C54C14" w:rsidRDefault="00172C88" w:rsidP="00172C88">
      <w:pPr>
        <w:rPr>
          <w:lang w:val="pt-PT"/>
        </w:rPr>
      </w:pPr>
      <w:r w:rsidRPr="00C54C14">
        <w:rPr>
          <w:rFonts w:eastAsia="Batang"/>
          <w:lang w:val="pt-PT"/>
        </w:rPr>
        <w:tab/>
      </w:r>
      <w:r w:rsidRPr="00C54C14">
        <w:rPr>
          <w:rFonts w:eastAsia="Batang"/>
          <w:lang w:val="pt-PT"/>
        </w:rPr>
        <w:tab/>
        <w:t>Bosentan Norameda 125 mg apvalkotās tabletes</w:t>
      </w:r>
    </w:p>
    <w:p w14:paraId="78A77B09" w14:textId="77777777" w:rsidR="00172C88" w:rsidRPr="00C54C14" w:rsidRDefault="00172C88" w:rsidP="00172C88">
      <w:pPr>
        <w:rPr>
          <w:rFonts w:eastAsia="Batang"/>
          <w:lang w:val="pt-PT"/>
        </w:rPr>
      </w:pPr>
    </w:p>
    <w:p w14:paraId="4C27FA29" w14:textId="77777777" w:rsidR="00172C88" w:rsidRPr="00C54C14" w:rsidRDefault="00172C88" w:rsidP="00172C88">
      <w:pPr>
        <w:rPr>
          <w:lang w:val="pt-PT"/>
        </w:rPr>
      </w:pPr>
      <w:r w:rsidRPr="00C54C14">
        <w:rPr>
          <w:rFonts w:eastAsia="Batang"/>
          <w:lang w:val="pt-PT"/>
        </w:rPr>
        <w:t>Slovėnija</w:t>
      </w:r>
      <w:r w:rsidRPr="00C54C14">
        <w:rPr>
          <w:rFonts w:eastAsia="Batang"/>
          <w:lang w:val="pt-PT"/>
        </w:rPr>
        <w:tab/>
        <w:t>Bosentan Norameda 62.5 mg</w:t>
      </w:r>
    </w:p>
    <w:p w14:paraId="34B4D455" w14:textId="77777777" w:rsidR="00172C88" w:rsidRPr="00C54C14" w:rsidRDefault="00172C88" w:rsidP="00172C88">
      <w:pPr>
        <w:rPr>
          <w:lang w:val="pt-PT"/>
        </w:rPr>
      </w:pPr>
      <w:r w:rsidRPr="00C54C14">
        <w:rPr>
          <w:rFonts w:eastAsia="Batang"/>
          <w:lang w:val="pt-PT"/>
        </w:rPr>
        <w:tab/>
      </w:r>
      <w:r w:rsidRPr="00C54C14">
        <w:rPr>
          <w:rFonts w:eastAsia="Batang"/>
          <w:lang w:val="pt-PT"/>
        </w:rPr>
        <w:tab/>
        <w:t>Bosentan Norameda 125 mg</w:t>
      </w:r>
    </w:p>
    <w:p w14:paraId="184287C4" w14:textId="77777777" w:rsidR="00172C88" w:rsidRPr="00C54C14" w:rsidRDefault="00172C88" w:rsidP="00172C88">
      <w:pPr>
        <w:rPr>
          <w:lang w:val="pt-PT"/>
        </w:rPr>
      </w:pPr>
    </w:p>
    <w:p w14:paraId="4B5F173C" w14:textId="77777777" w:rsidR="00172C88" w:rsidRPr="00C54C14" w:rsidRDefault="00172C88" w:rsidP="00172C88">
      <w:pPr>
        <w:rPr>
          <w:lang w:val="pt-PT"/>
        </w:rPr>
      </w:pPr>
    </w:p>
    <w:p w14:paraId="1A0B3902" w14:textId="7BDC464E" w:rsidR="00172C88" w:rsidRDefault="00172C88" w:rsidP="00A63B59">
      <w:pPr>
        <w:tabs>
          <w:tab w:val="clear" w:pos="567"/>
        </w:tabs>
        <w:spacing w:line="240" w:lineRule="auto"/>
        <w:ind w:right="-2"/>
        <w:rPr>
          <w:lang w:val="lt-LT"/>
        </w:rPr>
      </w:pPr>
      <w:r>
        <w:rPr>
          <w:b/>
          <w:lang w:val="lt-LT"/>
        </w:rPr>
        <w:t xml:space="preserve">Šis pakuotės lapelis paskutinį kartą peržiūrėtas </w:t>
      </w:r>
      <w:r w:rsidR="00102863">
        <w:rPr>
          <w:b/>
          <w:lang w:val="lt-LT"/>
        </w:rPr>
        <w:t>2026-03-11.</w:t>
      </w:r>
    </w:p>
    <w:p w14:paraId="3B96BDE5" w14:textId="77777777" w:rsidR="00F26C37" w:rsidRDefault="00F26C37" w:rsidP="00A63B59">
      <w:pPr>
        <w:tabs>
          <w:tab w:val="clear" w:pos="567"/>
        </w:tabs>
        <w:spacing w:line="240" w:lineRule="auto"/>
        <w:ind w:right="-2"/>
        <w:rPr>
          <w:lang w:val="lt-LT"/>
        </w:rPr>
      </w:pPr>
    </w:p>
    <w:p w14:paraId="20FFCE90" w14:textId="04C5BAEC" w:rsidR="00172C88" w:rsidRPr="00E32052" w:rsidRDefault="00172C88" w:rsidP="00172C88">
      <w:pPr>
        <w:spacing w:line="240" w:lineRule="auto"/>
        <w:ind w:right="-2"/>
        <w:rPr>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sidR="008212CD" w:rsidRPr="00C54C14">
        <w:rPr>
          <w:color w:val="0000EE"/>
          <w:szCs w:val="22"/>
          <w:u w:val="single"/>
          <w:lang w:val="lt-LT"/>
        </w:rPr>
        <w:t xml:space="preserve"> https://vvkt.lrv.lt/lt/</w:t>
      </w:r>
      <w:r>
        <w:rPr>
          <w:lang w:val="lt-LT"/>
        </w:rPr>
        <w:t>.</w:t>
      </w:r>
    </w:p>
    <w:p w14:paraId="10A43206" w14:textId="77777777" w:rsidR="00172C88" w:rsidRDefault="00172C88" w:rsidP="00172C88">
      <w:pPr>
        <w:rPr>
          <w:lang w:val="lt-LT"/>
        </w:rPr>
      </w:pPr>
    </w:p>
    <w:p w14:paraId="061FBD24" w14:textId="77777777" w:rsidR="00172C88" w:rsidRPr="00E32052" w:rsidRDefault="00172C88" w:rsidP="00172C88">
      <w:pPr>
        <w:rPr>
          <w:lang w:val="lt-LT"/>
        </w:rPr>
      </w:pPr>
    </w:p>
    <w:p w14:paraId="0AA7C0F5" w14:textId="77777777" w:rsidR="00172C88" w:rsidRPr="00C82E18" w:rsidRDefault="00172C88" w:rsidP="00172C88">
      <w:pPr>
        <w:rPr>
          <w:lang w:val="lt-LT"/>
        </w:rPr>
      </w:pPr>
    </w:p>
    <w:p w14:paraId="60A2374A" w14:textId="77777777" w:rsidR="00172C88" w:rsidRPr="00212D12" w:rsidRDefault="00172C88" w:rsidP="00172C88">
      <w:pPr>
        <w:rPr>
          <w:lang w:val="lt-LT"/>
        </w:rPr>
      </w:pPr>
    </w:p>
    <w:p w14:paraId="4A300C3E" w14:textId="77777777" w:rsidR="00172C88" w:rsidRPr="00C54C14" w:rsidRDefault="00172C88" w:rsidP="00172C88">
      <w:pPr>
        <w:rPr>
          <w:lang w:val="lt-LT"/>
        </w:rPr>
      </w:pPr>
    </w:p>
    <w:p w14:paraId="305271C1" w14:textId="77777777" w:rsidR="00FE7070" w:rsidRPr="00C54C14" w:rsidRDefault="00FE7070">
      <w:pPr>
        <w:rPr>
          <w:lang w:val="lt-LT"/>
        </w:rPr>
      </w:pPr>
    </w:p>
    <w:sectPr w:rsidR="00FE7070" w:rsidRPr="00C54C14" w:rsidSect="00CC033A">
      <w:headerReference w:type="default" r:id="rId7"/>
      <w:footerReference w:type="default" r:id="rId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1B9D" w14:textId="77777777" w:rsidR="001E5B17" w:rsidRDefault="001E5B17">
      <w:pPr>
        <w:spacing w:line="240" w:lineRule="auto"/>
      </w:pPr>
      <w:r>
        <w:separator/>
      </w:r>
    </w:p>
  </w:endnote>
  <w:endnote w:type="continuationSeparator" w:id="0">
    <w:p w14:paraId="3D2687A3" w14:textId="77777777" w:rsidR="001E5B17" w:rsidRDefault="001E5B17">
      <w:pPr>
        <w:spacing w:line="240" w:lineRule="auto"/>
      </w:pPr>
      <w:r>
        <w:continuationSeparator/>
      </w:r>
    </w:p>
  </w:endnote>
  <w:endnote w:type="continuationNotice" w:id="1">
    <w:p w14:paraId="2BBE8F67" w14:textId="77777777" w:rsidR="001E5B17" w:rsidRDefault="001E5B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Bold">
    <w:altName w:val="Times New Roman"/>
    <w:panose1 w:val="00000000000000000000"/>
    <w:charset w:val="00"/>
    <w:family w:val="auto"/>
    <w:notTrueType/>
    <w:pitch w:val="default"/>
    <w:sig w:usb0="00000007" w:usb1="00000000" w:usb2="00000000" w:usb3="00000000" w:csb0="00000003" w:csb1="00000000"/>
  </w:font>
  <w:font w:name="TimesNewRoman">
    <w:altName w:val="MS Gothic"/>
    <w:panose1 w:val="00000000000000000000"/>
    <w:charset w:val="80"/>
    <w:family w:val="auto"/>
    <w:notTrueType/>
    <w:pitch w:val="default"/>
    <w:sig w:usb0="00000000" w:usb1="08070000" w:usb2="00000010" w:usb3="00000000" w:csb0="00020000"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5AD" w14:textId="6F824744" w:rsidR="00FE7070" w:rsidRDefault="00FE7070">
    <w:pPr>
      <w:pStyle w:val="Porat"/>
      <w:jc w:val="right"/>
    </w:pPr>
    <w:r>
      <w:rPr>
        <w:lang w:val="lt-LT"/>
      </w:rPr>
      <w:fldChar w:fldCharType="begin"/>
    </w:r>
    <w:r>
      <w:rPr>
        <w:lang w:val="lt-LT"/>
      </w:rPr>
      <w:instrText xml:space="preserve"> PAGE </w:instrText>
    </w:r>
    <w:r>
      <w:rPr>
        <w:lang w:val="lt-LT"/>
      </w:rPr>
      <w:fldChar w:fldCharType="separate"/>
    </w:r>
    <w:r w:rsidR="000E13AB">
      <w:rPr>
        <w:noProof/>
        <w:lang w:val="lt-LT"/>
      </w:rPr>
      <w:t>1</w:t>
    </w:r>
    <w:r>
      <w:rPr>
        <w:lang w:val="lt-LT"/>
      </w:rPr>
      <w:fldChar w:fldCharType="end"/>
    </w:r>
  </w:p>
  <w:p w14:paraId="08191735" w14:textId="77777777" w:rsidR="00FE7070" w:rsidRDefault="00FE70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3F6B" w14:textId="77777777" w:rsidR="001E5B17" w:rsidRDefault="001E5B17">
      <w:pPr>
        <w:spacing w:line="240" w:lineRule="auto"/>
      </w:pPr>
      <w:r>
        <w:separator/>
      </w:r>
    </w:p>
  </w:footnote>
  <w:footnote w:type="continuationSeparator" w:id="0">
    <w:p w14:paraId="01ECE1CF" w14:textId="77777777" w:rsidR="001E5B17" w:rsidRDefault="001E5B17">
      <w:pPr>
        <w:spacing w:line="240" w:lineRule="auto"/>
      </w:pPr>
      <w:r>
        <w:continuationSeparator/>
      </w:r>
    </w:p>
  </w:footnote>
  <w:footnote w:type="continuationNotice" w:id="1">
    <w:p w14:paraId="3C86331B" w14:textId="77777777" w:rsidR="001E5B17" w:rsidRDefault="001E5B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7537" w14:textId="77777777" w:rsidR="00141216" w:rsidRDefault="001412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425FB"/>
    <w:multiLevelType w:val="multilevel"/>
    <w:tmpl w:val="7F64A68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6D939DA"/>
    <w:multiLevelType w:val="hybridMultilevel"/>
    <w:tmpl w:val="2C401824"/>
    <w:lvl w:ilvl="0" w:tplc="A6FA5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07A74"/>
    <w:multiLevelType w:val="multilevel"/>
    <w:tmpl w:val="0C36DD5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4A0D9F"/>
    <w:multiLevelType w:val="hybridMultilevel"/>
    <w:tmpl w:val="634CFA90"/>
    <w:lvl w:ilvl="0" w:tplc="C9AA1E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E9233D"/>
    <w:multiLevelType w:val="multilevel"/>
    <w:tmpl w:val="2E70D39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95033CE"/>
    <w:multiLevelType w:val="hybridMultilevel"/>
    <w:tmpl w:val="6A50D804"/>
    <w:lvl w:ilvl="0" w:tplc="C9AA1E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63343"/>
    <w:multiLevelType w:val="hybridMultilevel"/>
    <w:tmpl w:val="41E08338"/>
    <w:lvl w:ilvl="0" w:tplc="A6FA5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803D1"/>
    <w:multiLevelType w:val="multilevel"/>
    <w:tmpl w:val="10AABDC0"/>
    <w:lvl w:ilvl="0">
      <w:numFmt w:val="bullet"/>
      <w:lvlText w:val="-"/>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D807B39"/>
    <w:multiLevelType w:val="multilevel"/>
    <w:tmpl w:val="3C1667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1F72F7D"/>
    <w:multiLevelType w:val="multilevel"/>
    <w:tmpl w:val="0B7038B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82F430F"/>
    <w:multiLevelType w:val="hybridMultilevel"/>
    <w:tmpl w:val="BB64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C540E"/>
    <w:multiLevelType w:val="hybridMultilevel"/>
    <w:tmpl w:val="E0AC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707176"/>
    <w:multiLevelType w:val="hybridMultilevel"/>
    <w:tmpl w:val="8E7A8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1B75F0"/>
    <w:multiLevelType w:val="hybridMultilevel"/>
    <w:tmpl w:val="ABAEE24E"/>
    <w:lvl w:ilvl="0" w:tplc="A6FA5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FB327F"/>
    <w:multiLevelType w:val="hybridMultilevel"/>
    <w:tmpl w:val="F0AA3012"/>
    <w:lvl w:ilvl="0" w:tplc="C9AA1E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630BC"/>
    <w:multiLevelType w:val="hybridMultilevel"/>
    <w:tmpl w:val="6C4641BE"/>
    <w:lvl w:ilvl="0" w:tplc="C9AA1E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029147">
    <w:abstractNumId w:val="11"/>
  </w:num>
  <w:num w:numId="2" w16cid:durableId="829445133">
    <w:abstractNumId w:val="2"/>
  </w:num>
  <w:num w:numId="3" w16cid:durableId="1916626988">
    <w:abstractNumId w:val="9"/>
  </w:num>
  <w:num w:numId="4" w16cid:durableId="1608849377">
    <w:abstractNumId w:val="4"/>
  </w:num>
  <w:num w:numId="5" w16cid:durableId="1731880625">
    <w:abstractNumId w:val="10"/>
  </w:num>
  <w:num w:numId="6" w16cid:durableId="1761561717">
    <w:abstractNumId w:val="6"/>
  </w:num>
  <w:num w:numId="7" w16cid:durableId="590118557">
    <w:abstractNumId w:val="18"/>
  </w:num>
  <w:num w:numId="8" w16cid:durableId="1584220813">
    <w:abstractNumId w:val="1"/>
  </w:num>
  <w:num w:numId="9" w16cid:durableId="1801921864">
    <w:abstractNumId w:val="14"/>
  </w:num>
  <w:num w:numId="10" w16cid:durableId="1993214969">
    <w:abstractNumId w:val="0"/>
    <w:lvlOverride w:ilvl="0">
      <w:lvl w:ilvl="0">
        <w:start w:val="1"/>
        <w:numFmt w:val="bullet"/>
        <w:lvlText w:val="-"/>
        <w:lvlJc w:val="left"/>
        <w:pPr>
          <w:ind w:left="360" w:hanging="360"/>
        </w:pPr>
      </w:lvl>
    </w:lvlOverride>
  </w:num>
  <w:num w:numId="11" w16cid:durableId="714237092">
    <w:abstractNumId w:val="0"/>
    <w:lvlOverride w:ilvl="0">
      <w:lvl w:ilvl="0">
        <w:start w:val="1"/>
        <w:numFmt w:val="bullet"/>
        <w:lvlText w:val=""/>
        <w:lvlJc w:val="left"/>
        <w:pPr>
          <w:ind w:left="360" w:hanging="360"/>
        </w:pPr>
        <w:rPr>
          <w:rFonts w:ascii="Symbol" w:hAnsi="Symbol" w:hint="default"/>
        </w:rPr>
      </w:lvl>
    </w:lvlOverride>
  </w:num>
  <w:num w:numId="12" w16cid:durableId="2002198985">
    <w:abstractNumId w:val="0"/>
    <w:lvlOverride w:ilvl="0">
      <w:lvl w:ilvl="0">
        <w:start w:val="1"/>
        <w:numFmt w:val="bullet"/>
        <w:lvlText w:val="-"/>
        <w:lvlJc w:val="left"/>
        <w:pPr>
          <w:ind w:left="360" w:hanging="360"/>
        </w:pPr>
      </w:lvl>
    </w:lvlOverride>
  </w:num>
  <w:num w:numId="13" w16cid:durableId="651131466">
    <w:abstractNumId w:val="12"/>
  </w:num>
  <w:num w:numId="14" w16cid:durableId="489566675">
    <w:abstractNumId w:val="17"/>
  </w:num>
  <w:num w:numId="15" w16cid:durableId="423303944">
    <w:abstractNumId w:val="7"/>
  </w:num>
  <w:num w:numId="16" w16cid:durableId="1137145417">
    <w:abstractNumId w:val="13"/>
  </w:num>
  <w:num w:numId="17" w16cid:durableId="868836889">
    <w:abstractNumId w:val="8"/>
  </w:num>
  <w:num w:numId="18" w16cid:durableId="2002417485">
    <w:abstractNumId w:val="3"/>
  </w:num>
  <w:num w:numId="19" w16cid:durableId="1331980545">
    <w:abstractNumId w:val="16"/>
  </w:num>
  <w:num w:numId="20" w16cid:durableId="1367096990">
    <w:abstractNumId w:val="15"/>
  </w:num>
  <w:num w:numId="21" w16cid:durableId="545601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88"/>
    <w:rsid w:val="0001074B"/>
    <w:rsid w:val="000532BE"/>
    <w:rsid w:val="000547A1"/>
    <w:rsid w:val="00080C63"/>
    <w:rsid w:val="00082289"/>
    <w:rsid w:val="00082D1A"/>
    <w:rsid w:val="00083DD5"/>
    <w:rsid w:val="000A2508"/>
    <w:rsid w:val="000C080D"/>
    <w:rsid w:val="000D1CE8"/>
    <w:rsid w:val="000E13AB"/>
    <w:rsid w:val="000F633F"/>
    <w:rsid w:val="000F798B"/>
    <w:rsid w:val="00102863"/>
    <w:rsid w:val="001238D9"/>
    <w:rsid w:val="00133741"/>
    <w:rsid w:val="00134F8A"/>
    <w:rsid w:val="00141216"/>
    <w:rsid w:val="001611E9"/>
    <w:rsid w:val="00172C88"/>
    <w:rsid w:val="0018052C"/>
    <w:rsid w:val="001A4863"/>
    <w:rsid w:val="001B580C"/>
    <w:rsid w:val="001C3824"/>
    <w:rsid w:val="001D187A"/>
    <w:rsid w:val="001E159B"/>
    <w:rsid w:val="001E5B17"/>
    <w:rsid w:val="001F0DA4"/>
    <w:rsid w:val="001F3376"/>
    <w:rsid w:val="001F4DC4"/>
    <w:rsid w:val="002104AF"/>
    <w:rsid w:val="00225C92"/>
    <w:rsid w:val="00235B3D"/>
    <w:rsid w:val="00242458"/>
    <w:rsid w:val="002863E6"/>
    <w:rsid w:val="00292C38"/>
    <w:rsid w:val="002A0CC8"/>
    <w:rsid w:val="002B32DB"/>
    <w:rsid w:val="003421E1"/>
    <w:rsid w:val="003559EF"/>
    <w:rsid w:val="00370EC5"/>
    <w:rsid w:val="00375FEF"/>
    <w:rsid w:val="00382DB8"/>
    <w:rsid w:val="003907B5"/>
    <w:rsid w:val="003B375F"/>
    <w:rsid w:val="003B5AD5"/>
    <w:rsid w:val="003C1435"/>
    <w:rsid w:val="003C1959"/>
    <w:rsid w:val="003C748E"/>
    <w:rsid w:val="003D3D72"/>
    <w:rsid w:val="003D458E"/>
    <w:rsid w:val="004000F3"/>
    <w:rsid w:val="00404C7A"/>
    <w:rsid w:val="004368DC"/>
    <w:rsid w:val="00447A4C"/>
    <w:rsid w:val="00482AE3"/>
    <w:rsid w:val="00484CBA"/>
    <w:rsid w:val="004A50F0"/>
    <w:rsid w:val="004A5857"/>
    <w:rsid w:val="004F738A"/>
    <w:rsid w:val="00507EE3"/>
    <w:rsid w:val="00515D6B"/>
    <w:rsid w:val="005360BD"/>
    <w:rsid w:val="005364A3"/>
    <w:rsid w:val="00537330"/>
    <w:rsid w:val="00542385"/>
    <w:rsid w:val="00557533"/>
    <w:rsid w:val="00577F7A"/>
    <w:rsid w:val="00581C87"/>
    <w:rsid w:val="0059398A"/>
    <w:rsid w:val="005B249D"/>
    <w:rsid w:val="005C7F4A"/>
    <w:rsid w:val="005E6281"/>
    <w:rsid w:val="00602B7E"/>
    <w:rsid w:val="00607CA1"/>
    <w:rsid w:val="0063663F"/>
    <w:rsid w:val="00647A7E"/>
    <w:rsid w:val="0065185A"/>
    <w:rsid w:val="00653927"/>
    <w:rsid w:val="00664719"/>
    <w:rsid w:val="006A3517"/>
    <w:rsid w:val="007315F7"/>
    <w:rsid w:val="007334D4"/>
    <w:rsid w:val="007A7056"/>
    <w:rsid w:val="007B2743"/>
    <w:rsid w:val="007D7CB5"/>
    <w:rsid w:val="007E7BED"/>
    <w:rsid w:val="007F2C87"/>
    <w:rsid w:val="007F3106"/>
    <w:rsid w:val="008040BB"/>
    <w:rsid w:val="008212CD"/>
    <w:rsid w:val="00840763"/>
    <w:rsid w:val="00853790"/>
    <w:rsid w:val="00887F20"/>
    <w:rsid w:val="008A0775"/>
    <w:rsid w:val="008B11E7"/>
    <w:rsid w:val="009012E1"/>
    <w:rsid w:val="009159E0"/>
    <w:rsid w:val="00936A5C"/>
    <w:rsid w:val="00946D9A"/>
    <w:rsid w:val="009A7334"/>
    <w:rsid w:val="009C3079"/>
    <w:rsid w:val="009C7368"/>
    <w:rsid w:val="009D15D7"/>
    <w:rsid w:val="009F516E"/>
    <w:rsid w:val="009F60EA"/>
    <w:rsid w:val="00A63B59"/>
    <w:rsid w:val="00AA13EC"/>
    <w:rsid w:val="00AB78DB"/>
    <w:rsid w:val="00AC6D34"/>
    <w:rsid w:val="00AD43B0"/>
    <w:rsid w:val="00AF0434"/>
    <w:rsid w:val="00B01AD3"/>
    <w:rsid w:val="00B0372C"/>
    <w:rsid w:val="00B42534"/>
    <w:rsid w:val="00B548C9"/>
    <w:rsid w:val="00B56636"/>
    <w:rsid w:val="00B611DD"/>
    <w:rsid w:val="00B65B66"/>
    <w:rsid w:val="00B70962"/>
    <w:rsid w:val="00B85478"/>
    <w:rsid w:val="00BB662F"/>
    <w:rsid w:val="00BB743B"/>
    <w:rsid w:val="00BC67A3"/>
    <w:rsid w:val="00BD0E9A"/>
    <w:rsid w:val="00BD73AA"/>
    <w:rsid w:val="00BE3570"/>
    <w:rsid w:val="00C138A8"/>
    <w:rsid w:val="00C26C48"/>
    <w:rsid w:val="00C472F0"/>
    <w:rsid w:val="00C54C14"/>
    <w:rsid w:val="00C74AB3"/>
    <w:rsid w:val="00C94585"/>
    <w:rsid w:val="00CC033A"/>
    <w:rsid w:val="00CC7341"/>
    <w:rsid w:val="00CD1920"/>
    <w:rsid w:val="00CF2097"/>
    <w:rsid w:val="00D23AEF"/>
    <w:rsid w:val="00D37C4B"/>
    <w:rsid w:val="00D65C82"/>
    <w:rsid w:val="00D67F4F"/>
    <w:rsid w:val="00D72C6C"/>
    <w:rsid w:val="00D87B60"/>
    <w:rsid w:val="00DA75B8"/>
    <w:rsid w:val="00DC1E04"/>
    <w:rsid w:val="00DC76E3"/>
    <w:rsid w:val="00DE28F3"/>
    <w:rsid w:val="00DE7304"/>
    <w:rsid w:val="00DF05B7"/>
    <w:rsid w:val="00DF31E8"/>
    <w:rsid w:val="00DF55D9"/>
    <w:rsid w:val="00E06E0D"/>
    <w:rsid w:val="00E30D85"/>
    <w:rsid w:val="00E32B70"/>
    <w:rsid w:val="00E612EE"/>
    <w:rsid w:val="00E9334E"/>
    <w:rsid w:val="00E9477B"/>
    <w:rsid w:val="00EC6A90"/>
    <w:rsid w:val="00EF5BD3"/>
    <w:rsid w:val="00F1522A"/>
    <w:rsid w:val="00F26C37"/>
    <w:rsid w:val="00F47A7F"/>
    <w:rsid w:val="00F51B3A"/>
    <w:rsid w:val="00F555F9"/>
    <w:rsid w:val="00F75F2A"/>
    <w:rsid w:val="00F83C76"/>
    <w:rsid w:val="00F92E45"/>
    <w:rsid w:val="00FB3F29"/>
    <w:rsid w:val="00FB6C8C"/>
    <w:rsid w:val="00FC16BE"/>
    <w:rsid w:val="00FC6E72"/>
    <w:rsid w:val="00FD3744"/>
    <w:rsid w:val="00FD71D5"/>
    <w:rsid w:val="00FE7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7034"/>
  <w15:chartTrackingRefBased/>
  <w15:docId w15:val="{B7530E62-F9F8-4C16-8428-C031D03B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289"/>
    <w:pPr>
      <w:tabs>
        <w:tab w:val="left" w:pos="567"/>
      </w:tabs>
      <w:suppressAutoHyphens/>
      <w:autoSpaceDN w:val="0"/>
      <w:spacing w:line="260" w:lineRule="exact"/>
      <w:textAlignment w:val="baseline"/>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172C88"/>
    <w:p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172C88"/>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172C88"/>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172C88"/>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172C88"/>
    <w:pPr>
      <w:keepNext/>
      <w:jc w:val="both"/>
      <w:outlineLvl w:val="4"/>
    </w:pPr>
    <w:rPr>
      <w:rFonts w:eastAsia="SimSun"/>
    </w:rPr>
  </w:style>
  <w:style w:type="paragraph" w:styleId="Antrat6">
    <w:name w:val="heading 6"/>
    <w:basedOn w:val="prastasis"/>
    <w:next w:val="prastasis"/>
    <w:link w:val="Antrat6Diagrama"/>
    <w:uiPriority w:val="99"/>
    <w:qFormat/>
    <w:rsid w:val="00172C88"/>
    <w:pPr>
      <w:keepNext/>
      <w:tabs>
        <w:tab w:val="left" w:pos="-720"/>
        <w:tab w:val="left" w:pos="4536"/>
      </w:tabs>
      <w:outlineLvl w:val="5"/>
    </w:pPr>
    <w:rPr>
      <w:rFonts w:eastAsia="SimSun"/>
      <w:i/>
    </w:rPr>
  </w:style>
  <w:style w:type="paragraph" w:styleId="Antrat7">
    <w:name w:val="heading 7"/>
    <w:basedOn w:val="prastasis"/>
    <w:next w:val="prastasis"/>
    <w:link w:val="Antrat7Diagrama"/>
    <w:uiPriority w:val="99"/>
    <w:qFormat/>
    <w:rsid w:val="00172C88"/>
    <w:pPr>
      <w:keepNext/>
      <w:tabs>
        <w:tab w:val="left" w:pos="-720"/>
        <w:tab w:val="left" w:pos="4536"/>
      </w:tabs>
      <w:jc w:val="both"/>
      <w:outlineLvl w:val="6"/>
    </w:pPr>
    <w:rPr>
      <w:rFonts w:eastAsia="SimSun"/>
      <w:i/>
    </w:rPr>
  </w:style>
  <w:style w:type="paragraph" w:styleId="Antrat8">
    <w:name w:val="heading 8"/>
    <w:basedOn w:val="prastasis"/>
    <w:next w:val="prastasis"/>
    <w:link w:val="Antrat8Diagrama"/>
    <w:uiPriority w:val="99"/>
    <w:qFormat/>
    <w:rsid w:val="00172C88"/>
    <w:pPr>
      <w:keepNext/>
      <w:ind w:left="567" w:hanging="567"/>
      <w:jc w:val="both"/>
      <w:outlineLvl w:val="7"/>
    </w:pPr>
    <w:rPr>
      <w:rFonts w:eastAsia="SimSun"/>
      <w:b/>
      <w:i/>
    </w:rPr>
  </w:style>
  <w:style w:type="paragraph" w:styleId="Antrat9">
    <w:name w:val="heading 9"/>
    <w:basedOn w:val="prastasis"/>
    <w:next w:val="prastasis"/>
    <w:link w:val="Antrat9Diagrama"/>
    <w:uiPriority w:val="99"/>
    <w:qFormat/>
    <w:rsid w:val="00172C88"/>
    <w:pPr>
      <w:keepNext/>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172C88"/>
    <w:rPr>
      <w:rFonts w:ascii="Calibri Light" w:eastAsia="Times New Roman" w:hAnsi="Calibri Light" w:cs="Times New Roman"/>
      <w:color w:val="2F5496"/>
      <w:sz w:val="32"/>
      <w:szCs w:val="32"/>
      <w:lang w:val="en-GB"/>
    </w:rPr>
  </w:style>
  <w:style w:type="character" w:customStyle="1" w:styleId="Heading2Char">
    <w:name w:val="Heading 2 Char"/>
    <w:rsid w:val="00172C88"/>
    <w:rPr>
      <w:rFonts w:ascii="Calibri Light" w:eastAsia="Times New Roman" w:hAnsi="Calibri Light" w:cs="Times New Roman"/>
      <w:color w:val="2F5496"/>
      <w:sz w:val="26"/>
      <w:szCs w:val="26"/>
      <w:lang w:val="en-GB"/>
    </w:rPr>
  </w:style>
  <w:style w:type="character" w:customStyle="1" w:styleId="Heading3Char">
    <w:name w:val="Heading 3 Char"/>
    <w:rsid w:val="00172C88"/>
    <w:rPr>
      <w:rFonts w:ascii="Calibri Light" w:eastAsia="Times New Roman" w:hAnsi="Calibri Light" w:cs="Times New Roman"/>
      <w:color w:val="1F3763"/>
      <w:sz w:val="24"/>
      <w:szCs w:val="24"/>
      <w:lang w:val="en-GB"/>
    </w:rPr>
  </w:style>
  <w:style w:type="character" w:customStyle="1" w:styleId="Heading4Char">
    <w:name w:val="Heading 4 Char"/>
    <w:rsid w:val="00172C88"/>
    <w:rPr>
      <w:rFonts w:ascii="Calibri Light" w:eastAsia="Times New Roman" w:hAnsi="Calibri Light" w:cs="Times New Roman"/>
      <w:i/>
      <w:iCs/>
      <w:color w:val="2F5496"/>
      <w:szCs w:val="20"/>
      <w:lang w:val="en-GB"/>
    </w:rPr>
  </w:style>
  <w:style w:type="character" w:customStyle="1" w:styleId="Heading5Char">
    <w:name w:val="Heading 5 Char"/>
    <w:rsid w:val="00172C88"/>
    <w:rPr>
      <w:rFonts w:ascii="Calibri Light" w:eastAsia="Times New Roman" w:hAnsi="Calibri Light" w:cs="Times New Roman"/>
      <w:color w:val="2F5496"/>
      <w:szCs w:val="20"/>
      <w:lang w:val="en-GB"/>
    </w:rPr>
  </w:style>
  <w:style w:type="character" w:customStyle="1" w:styleId="Heading6Char">
    <w:name w:val="Heading 6 Char"/>
    <w:rsid w:val="00172C88"/>
    <w:rPr>
      <w:rFonts w:ascii="Calibri Light" w:eastAsia="Times New Roman" w:hAnsi="Calibri Light" w:cs="Times New Roman"/>
      <w:color w:val="1F3763"/>
      <w:szCs w:val="20"/>
      <w:lang w:val="en-GB"/>
    </w:rPr>
  </w:style>
  <w:style w:type="character" w:customStyle="1" w:styleId="Heading7Char">
    <w:name w:val="Heading 7 Char"/>
    <w:rsid w:val="00172C88"/>
    <w:rPr>
      <w:rFonts w:ascii="Calibri Light" w:eastAsia="Times New Roman" w:hAnsi="Calibri Light" w:cs="Times New Roman"/>
      <w:i/>
      <w:iCs/>
      <w:color w:val="1F3763"/>
      <w:szCs w:val="20"/>
      <w:lang w:val="en-GB"/>
    </w:rPr>
  </w:style>
  <w:style w:type="character" w:customStyle="1" w:styleId="Heading8Char">
    <w:name w:val="Heading 8 Char"/>
    <w:rsid w:val="00172C88"/>
    <w:rPr>
      <w:rFonts w:ascii="Calibri Light" w:eastAsia="Times New Roman" w:hAnsi="Calibri Light" w:cs="Times New Roman"/>
      <w:color w:val="272727"/>
      <w:sz w:val="21"/>
      <w:szCs w:val="21"/>
      <w:lang w:val="en-GB"/>
    </w:rPr>
  </w:style>
  <w:style w:type="character" w:customStyle="1" w:styleId="Heading9Char">
    <w:name w:val="Heading 9 Char"/>
    <w:rsid w:val="00172C88"/>
    <w:rPr>
      <w:rFonts w:ascii="Calibri Light" w:eastAsia="Times New Roman" w:hAnsi="Calibri Light" w:cs="Times New Roman"/>
      <w:i/>
      <w:iCs/>
      <w:color w:val="272727"/>
      <w:sz w:val="21"/>
      <w:szCs w:val="21"/>
      <w:lang w:val="en-GB"/>
    </w:rPr>
  </w:style>
  <w:style w:type="paragraph" w:styleId="Porat">
    <w:name w:val="footer"/>
    <w:basedOn w:val="prastasis"/>
    <w:link w:val="PoratDiagrama"/>
    <w:uiPriority w:val="99"/>
    <w:rsid w:val="00172C88"/>
    <w:pPr>
      <w:tabs>
        <w:tab w:val="center" w:pos="4536"/>
        <w:tab w:val="right" w:pos="8306"/>
      </w:tabs>
    </w:pPr>
  </w:style>
  <w:style w:type="character" w:customStyle="1" w:styleId="FooterChar">
    <w:name w:val="Footer Char"/>
    <w:rsid w:val="00172C88"/>
    <w:rPr>
      <w:rFonts w:ascii="Times New Roman" w:eastAsia="Times New Roman" w:hAnsi="Times New Roman" w:cs="Times New Roman"/>
      <w:szCs w:val="20"/>
      <w:lang w:val="en-GB"/>
    </w:rPr>
  </w:style>
  <w:style w:type="character" w:customStyle="1" w:styleId="HeaderChar">
    <w:name w:val="Header Char"/>
    <w:rsid w:val="00172C88"/>
    <w:rPr>
      <w:sz w:val="22"/>
      <w:lang w:val="en-GB" w:eastAsia="en-US"/>
    </w:rPr>
  </w:style>
  <w:style w:type="character" w:styleId="Puslapionumeris">
    <w:name w:val="page number"/>
    <w:uiPriority w:val="99"/>
    <w:rsid w:val="00172C88"/>
    <w:rPr>
      <w:rFonts w:cs="Times New Roman"/>
    </w:rPr>
  </w:style>
  <w:style w:type="character" w:styleId="Hipersaitas">
    <w:name w:val="Hyperlink"/>
    <w:uiPriority w:val="99"/>
    <w:rsid w:val="00172C88"/>
    <w:rPr>
      <w:color w:val="0000FF"/>
      <w:u w:val="single"/>
    </w:rPr>
  </w:style>
  <w:style w:type="paragraph" w:customStyle="1" w:styleId="BodytextAgency">
    <w:name w:val="Body text (Agency)"/>
    <w:basedOn w:val="prastasis"/>
    <w:link w:val="BodytextAgencyChar"/>
    <w:uiPriority w:val="99"/>
    <w:rsid w:val="00172C88"/>
    <w:pPr>
      <w:tabs>
        <w:tab w:val="clear" w:pos="567"/>
      </w:tabs>
      <w:spacing w:after="140" w:line="280" w:lineRule="atLeast"/>
    </w:pPr>
    <w:rPr>
      <w:rFonts w:ascii="Verdana" w:hAnsi="Verdana" w:cs="Arial Unicode MS"/>
      <w:sz w:val="18"/>
      <w:lang w:bidi="lo-LA"/>
    </w:rPr>
  </w:style>
  <w:style w:type="character" w:customStyle="1" w:styleId="BodytextAgencyChar">
    <w:name w:val="Body text (Agency) Char"/>
    <w:link w:val="BodytextAgency"/>
    <w:uiPriority w:val="99"/>
    <w:rsid w:val="00172C88"/>
    <w:rPr>
      <w:rFonts w:ascii="Verdana" w:eastAsia="Times New Roman" w:hAnsi="Verdana" w:cs="Arial Unicode MS"/>
      <w:sz w:val="18"/>
      <w:szCs w:val="20"/>
      <w:lang w:val="en-GB" w:bidi="lo-LA"/>
    </w:rPr>
  </w:style>
  <w:style w:type="paragraph" w:customStyle="1" w:styleId="NormalAgency">
    <w:name w:val="Normal (Agency)"/>
    <w:link w:val="NormalAgencyChar"/>
    <w:uiPriority w:val="99"/>
    <w:rsid w:val="00172C88"/>
    <w:pPr>
      <w:suppressAutoHyphens/>
      <w:autoSpaceDN w:val="0"/>
      <w:textAlignment w:val="baseline"/>
    </w:pPr>
    <w:rPr>
      <w:rFonts w:ascii="Verdana" w:eastAsia="Times New Roman" w:hAnsi="Verdana"/>
      <w:sz w:val="18"/>
      <w:szCs w:val="22"/>
      <w:lang w:val="en-GB"/>
    </w:rPr>
  </w:style>
  <w:style w:type="character" w:customStyle="1" w:styleId="NormalAgencyChar">
    <w:name w:val="Normal (Agency) Char"/>
    <w:link w:val="NormalAgency"/>
    <w:uiPriority w:val="99"/>
    <w:rsid w:val="00172C88"/>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172C88"/>
    <w:pPr>
      <w:tabs>
        <w:tab w:val="clear" w:pos="567"/>
      </w:tabs>
      <w:spacing w:line="280" w:lineRule="exact"/>
    </w:pPr>
    <w:rPr>
      <w:rFonts w:ascii="Verdana" w:hAnsi="Verdana"/>
      <w:sz w:val="18"/>
    </w:rPr>
  </w:style>
  <w:style w:type="character" w:customStyle="1" w:styleId="tw4winError">
    <w:name w:val="tw4winError"/>
    <w:uiPriority w:val="99"/>
    <w:rsid w:val="00172C88"/>
    <w:rPr>
      <w:rFonts w:ascii="Courier New" w:hAnsi="Courier New"/>
      <w:color w:val="00FF00"/>
      <w:sz w:val="40"/>
    </w:rPr>
  </w:style>
  <w:style w:type="character" w:customStyle="1" w:styleId="tw4winTerm">
    <w:name w:val="tw4winTerm"/>
    <w:uiPriority w:val="99"/>
    <w:rsid w:val="00172C88"/>
    <w:rPr>
      <w:color w:val="0000FF"/>
    </w:rPr>
  </w:style>
  <w:style w:type="character" w:customStyle="1" w:styleId="tw4winPopup">
    <w:name w:val="tw4winPopup"/>
    <w:uiPriority w:val="99"/>
    <w:rsid w:val="00172C88"/>
    <w:rPr>
      <w:rFonts w:ascii="Courier New" w:hAnsi="Courier New"/>
      <w:color w:val="008000"/>
    </w:rPr>
  </w:style>
  <w:style w:type="character" w:customStyle="1" w:styleId="tw4winJump">
    <w:name w:val="tw4winJump"/>
    <w:uiPriority w:val="99"/>
    <w:rsid w:val="00172C88"/>
    <w:rPr>
      <w:rFonts w:ascii="Courier New" w:hAnsi="Courier New"/>
      <w:color w:val="008080"/>
    </w:rPr>
  </w:style>
  <w:style w:type="character" w:customStyle="1" w:styleId="tw4winExternal">
    <w:name w:val="tw4winExternal"/>
    <w:uiPriority w:val="99"/>
    <w:rsid w:val="00172C88"/>
    <w:rPr>
      <w:rFonts w:ascii="Courier New" w:hAnsi="Courier New"/>
      <w:color w:val="808080"/>
    </w:rPr>
  </w:style>
  <w:style w:type="character" w:customStyle="1" w:styleId="tw4winInternal">
    <w:name w:val="tw4winInternal"/>
    <w:uiPriority w:val="99"/>
    <w:rsid w:val="00172C88"/>
    <w:rPr>
      <w:rFonts w:ascii="Courier New" w:hAnsi="Courier New"/>
      <w:color w:val="FF0000"/>
    </w:rPr>
  </w:style>
  <w:style w:type="character" w:customStyle="1" w:styleId="DONOTTRANSLATE">
    <w:name w:val="DO_NOT_TRANSLATE"/>
    <w:uiPriority w:val="99"/>
    <w:rsid w:val="00172C88"/>
    <w:rPr>
      <w:rFonts w:ascii="Courier New" w:hAnsi="Courier New"/>
      <w:color w:val="800000"/>
    </w:rPr>
  </w:style>
  <w:style w:type="paragraph" w:styleId="Debesliotekstas">
    <w:name w:val="Balloon Text"/>
    <w:basedOn w:val="prastasis"/>
    <w:link w:val="DebesliotekstasDiagrama"/>
    <w:uiPriority w:val="99"/>
    <w:rsid w:val="00172C88"/>
    <w:pPr>
      <w:spacing w:line="240" w:lineRule="auto"/>
    </w:pPr>
    <w:rPr>
      <w:rFonts w:ascii="Tahoma" w:hAnsi="Tahoma"/>
      <w:sz w:val="16"/>
      <w:szCs w:val="16"/>
    </w:rPr>
  </w:style>
  <w:style w:type="character" w:customStyle="1" w:styleId="BalloonTextChar">
    <w:name w:val="Balloon Text Char"/>
    <w:rsid w:val="00172C88"/>
    <w:rPr>
      <w:rFonts w:ascii="Segoe UI" w:eastAsia="Times New Roman" w:hAnsi="Segoe UI" w:cs="Segoe UI"/>
      <w:sz w:val="18"/>
      <w:szCs w:val="18"/>
      <w:lang w:val="en-GB"/>
    </w:rPr>
  </w:style>
  <w:style w:type="character" w:styleId="Komentaronuoroda">
    <w:name w:val="annotation reference"/>
    <w:uiPriority w:val="99"/>
    <w:rsid w:val="00172C88"/>
    <w:rPr>
      <w:sz w:val="16"/>
      <w:szCs w:val="16"/>
    </w:rPr>
  </w:style>
  <w:style w:type="paragraph" w:styleId="Komentarotekstas">
    <w:name w:val="annotation text"/>
    <w:basedOn w:val="prastasis"/>
    <w:link w:val="KomentarotekstasDiagrama"/>
    <w:uiPriority w:val="99"/>
    <w:rsid w:val="00172C88"/>
    <w:rPr>
      <w:sz w:val="20"/>
    </w:rPr>
  </w:style>
  <w:style w:type="character" w:customStyle="1" w:styleId="CommentTextChar">
    <w:name w:val="Comment Text Char"/>
    <w:rsid w:val="00172C8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172C88"/>
    <w:rPr>
      <w:b/>
      <w:bCs/>
    </w:rPr>
  </w:style>
  <w:style w:type="character" w:customStyle="1" w:styleId="CommentSubjectChar">
    <w:name w:val="Comment Subject Char"/>
    <w:rsid w:val="00172C88"/>
    <w:rPr>
      <w:rFonts w:ascii="Times New Roman" w:eastAsia="Times New Roman" w:hAnsi="Times New Roman" w:cs="Times New Roman"/>
      <w:b/>
      <w:bCs/>
      <w:sz w:val="20"/>
      <w:szCs w:val="20"/>
      <w:lang w:val="en-GB"/>
    </w:rPr>
  </w:style>
  <w:style w:type="paragraph" w:customStyle="1" w:styleId="EMEAEnBodyText">
    <w:name w:val="EMEA En Body Text"/>
    <w:basedOn w:val="prastasis"/>
    <w:uiPriority w:val="99"/>
    <w:rsid w:val="00172C88"/>
    <w:pPr>
      <w:tabs>
        <w:tab w:val="clear" w:pos="567"/>
      </w:tabs>
      <w:spacing w:before="120" w:after="120" w:line="240" w:lineRule="auto"/>
      <w:jc w:val="both"/>
    </w:pPr>
    <w:rPr>
      <w:rFonts w:eastAsia="SimSun"/>
      <w:lang w:val="en-US" w:eastAsia="zh-CN"/>
    </w:rPr>
  </w:style>
  <w:style w:type="character" w:customStyle="1" w:styleId="tw4winMark">
    <w:name w:val="tw4winMark"/>
    <w:uiPriority w:val="99"/>
    <w:rsid w:val="00172C88"/>
    <w:rPr>
      <w:rFonts w:ascii="Courier New" w:hAnsi="Courier New"/>
      <w:vanish/>
      <w:color w:val="800080"/>
      <w:position w:val="0"/>
      <w:sz w:val="24"/>
      <w:vertAlign w:val="subscript"/>
    </w:rPr>
  </w:style>
  <w:style w:type="paragraph" w:styleId="Antrats">
    <w:name w:val="header"/>
    <w:basedOn w:val="prastasis"/>
    <w:link w:val="AntratsDiagrama"/>
    <w:uiPriority w:val="99"/>
    <w:rsid w:val="00172C88"/>
    <w:pPr>
      <w:tabs>
        <w:tab w:val="clear" w:pos="567"/>
        <w:tab w:val="center" w:pos="4320"/>
        <w:tab w:val="right" w:pos="8640"/>
      </w:tabs>
    </w:pPr>
    <w:rPr>
      <w:rFonts w:eastAsia="SimSun"/>
      <w:lang w:eastAsia="zh-CN"/>
    </w:rPr>
  </w:style>
  <w:style w:type="character" w:customStyle="1" w:styleId="HeaderChar1">
    <w:name w:val="Header Char1"/>
    <w:rsid w:val="00172C88"/>
    <w:rPr>
      <w:rFonts w:ascii="Times New Roman" w:eastAsia="Times New Roman" w:hAnsi="Times New Roman" w:cs="Times New Roman"/>
      <w:szCs w:val="20"/>
      <w:lang w:val="en-GB"/>
    </w:rPr>
  </w:style>
  <w:style w:type="paragraph" w:styleId="Dokumentostruktra">
    <w:name w:val="Document Map"/>
    <w:basedOn w:val="prastasis"/>
    <w:link w:val="DokumentostruktraDiagrama"/>
    <w:uiPriority w:val="99"/>
    <w:rsid w:val="00172C88"/>
    <w:pPr>
      <w:shd w:val="clear" w:color="auto" w:fill="000080"/>
    </w:pPr>
    <w:rPr>
      <w:rFonts w:ascii="Tahoma" w:eastAsia="SimSun" w:hAnsi="Tahoma"/>
      <w:sz w:val="20"/>
      <w:lang w:eastAsia="zh-CN"/>
    </w:rPr>
  </w:style>
  <w:style w:type="character" w:customStyle="1" w:styleId="DocumentMapChar">
    <w:name w:val="Document Map Char"/>
    <w:rsid w:val="00172C88"/>
    <w:rPr>
      <w:rFonts w:ascii="Segoe UI" w:eastAsia="Times New Roman" w:hAnsi="Segoe UI" w:cs="Segoe UI"/>
      <w:sz w:val="16"/>
      <w:szCs w:val="16"/>
      <w:lang w:val="en-GB"/>
    </w:rPr>
  </w:style>
  <w:style w:type="paragraph" w:styleId="Pagrindiniotekstotrauka">
    <w:name w:val="Body Text Indent"/>
    <w:basedOn w:val="prastasis"/>
    <w:link w:val="PagrindiniotekstotraukaDiagrama"/>
    <w:uiPriority w:val="99"/>
    <w:rsid w:val="00172C88"/>
    <w:pPr>
      <w:tabs>
        <w:tab w:val="clear" w:pos="567"/>
      </w:tabs>
      <w:autoSpaceDE w:val="0"/>
      <w:spacing w:line="240" w:lineRule="auto"/>
      <w:ind w:left="720"/>
      <w:jc w:val="both"/>
    </w:pPr>
    <w:rPr>
      <w:rFonts w:eastAsia="SimSun"/>
      <w:szCs w:val="22"/>
      <w:lang w:eastAsia="en-GB"/>
    </w:rPr>
  </w:style>
  <w:style w:type="character" w:customStyle="1" w:styleId="BodyTextIndentChar">
    <w:name w:val="Body Text Indent Char"/>
    <w:rsid w:val="00172C88"/>
    <w:rPr>
      <w:rFonts w:ascii="Times New Roman" w:eastAsia="Times New Roman" w:hAnsi="Times New Roman" w:cs="Times New Roman"/>
      <w:szCs w:val="20"/>
      <w:lang w:val="en-GB"/>
    </w:rPr>
  </w:style>
  <w:style w:type="paragraph" w:styleId="Pagrindinistekstas3">
    <w:name w:val="Body Text 3"/>
    <w:basedOn w:val="prastasis"/>
    <w:link w:val="Pagrindinistekstas3Diagrama"/>
    <w:uiPriority w:val="99"/>
    <w:rsid w:val="00172C88"/>
    <w:pPr>
      <w:tabs>
        <w:tab w:val="clear" w:pos="567"/>
      </w:tabs>
      <w:autoSpaceDE w:val="0"/>
      <w:spacing w:line="240" w:lineRule="auto"/>
      <w:jc w:val="both"/>
    </w:pPr>
    <w:rPr>
      <w:rFonts w:eastAsia="SimSun"/>
      <w:color w:val="0000FF"/>
      <w:szCs w:val="22"/>
      <w:lang w:eastAsia="en-GB"/>
    </w:rPr>
  </w:style>
  <w:style w:type="character" w:customStyle="1" w:styleId="BodyText3Char">
    <w:name w:val="Body Text 3 Char"/>
    <w:rsid w:val="00172C88"/>
    <w:rPr>
      <w:rFonts w:ascii="Times New Roman" w:eastAsia="Times New Roman" w:hAnsi="Times New Roman" w:cs="Times New Roman"/>
      <w:sz w:val="16"/>
      <w:szCs w:val="16"/>
      <w:lang w:val="en-GB"/>
    </w:rPr>
  </w:style>
  <w:style w:type="paragraph" w:styleId="Pagrindiniotekstotrauka2">
    <w:name w:val="Body Text Indent 2"/>
    <w:basedOn w:val="prastasis"/>
    <w:link w:val="Pagrindiniotekstotrauka2Diagrama"/>
    <w:uiPriority w:val="99"/>
    <w:rsid w:val="00172C88"/>
    <w:pPr>
      <w:pBdr>
        <w:top w:val="single" w:sz="24" w:space="0" w:color="000000"/>
        <w:left w:val="single" w:sz="24" w:space="3" w:color="000000"/>
        <w:bottom w:val="single" w:sz="24" w:space="1" w:color="000000"/>
        <w:right w:val="single" w:sz="24" w:space="4" w:color="000000"/>
      </w:pBdr>
      <w:autoSpaceDE w:val="0"/>
      <w:ind w:left="1134"/>
      <w:jc w:val="both"/>
    </w:pPr>
    <w:rPr>
      <w:rFonts w:eastAsia="SimSun"/>
      <w:b/>
      <w:bCs/>
      <w:color w:val="0000FF"/>
      <w:szCs w:val="22"/>
    </w:rPr>
  </w:style>
  <w:style w:type="character" w:customStyle="1" w:styleId="BodyTextIndent2Char">
    <w:name w:val="Body Text Indent 2 Char"/>
    <w:rsid w:val="00172C88"/>
    <w:rPr>
      <w:rFonts w:ascii="Times New Roman" w:eastAsia="Times New Roman" w:hAnsi="Times New Roman" w:cs="Times New Roman"/>
      <w:szCs w:val="20"/>
      <w:lang w:val="en-GB"/>
    </w:rPr>
  </w:style>
  <w:style w:type="paragraph" w:styleId="Pagrindinistekstas">
    <w:name w:val="Body Text"/>
    <w:basedOn w:val="prastasis"/>
    <w:link w:val="PagrindinistekstasDiagrama"/>
    <w:uiPriority w:val="99"/>
    <w:rsid w:val="00172C88"/>
    <w:pPr>
      <w:tabs>
        <w:tab w:val="clear" w:pos="567"/>
      </w:tabs>
      <w:spacing w:line="240" w:lineRule="auto"/>
    </w:pPr>
    <w:rPr>
      <w:rFonts w:eastAsia="SimSun"/>
      <w:i/>
      <w:color w:val="008000"/>
    </w:rPr>
  </w:style>
  <w:style w:type="character" w:customStyle="1" w:styleId="BodyTextChar">
    <w:name w:val="Body Text Char"/>
    <w:rsid w:val="00172C88"/>
    <w:rPr>
      <w:rFonts w:ascii="Times New Roman" w:eastAsia="Times New Roman" w:hAnsi="Times New Roman" w:cs="Times New Roman"/>
      <w:szCs w:val="20"/>
      <w:lang w:val="en-GB"/>
    </w:rPr>
  </w:style>
  <w:style w:type="paragraph" w:styleId="Pagrindinistekstas2">
    <w:name w:val="Body Text 2"/>
    <w:basedOn w:val="prastasis"/>
    <w:link w:val="Pagrindinistekstas2Diagrama"/>
    <w:uiPriority w:val="99"/>
    <w:rsid w:val="00172C88"/>
    <w:pPr>
      <w:pBdr>
        <w:top w:val="single" w:sz="24" w:space="0" w:color="000000"/>
        <w:left w:val="single" w:sz="24" w:space="3" w:color="000000"/>
        <w:bottom w:val="single" w:sz="24" w:space="1" w:color="000000"/>
        <w:right w:val="single" w:sz="24" w:space="4" w:color="000000"/>
      </w:pBdr>
      <w:autoSpaceDE w:val="0"/>
      <w:jc w:val="both"/>
    </w:pPr>
    <w:rPr>
      <w:rFonts w:eastAsia="SimSun"/>
      <w:b/>
      <w:bCs/>
      <w:color w:val="0000FF"/>
      <w:szCs w:val="22"/>
      <w:u w:val="single"/>
    </w:rPr>
  </w:style>
  <w:style w:type="character" w:customStyle="1" w:styleId="BodyText2Char">
    <w:name w:val="Body Text 2 Char"/>
    <w:rsid w:val="00172C88"/>
    <w:rPr>
      <w:rFonts w:ascii="Times New Roman" w:eastAsia="Times New Roman" w:hAnsi="Times New Roman" w:cs="Times New Roman"/>
      <w:szCs w:val="20"/>
      <w:lang w:val="en-GB"/>
    </w:rPr>
  </w:style>
  <w:style w:type="paragraph" w:customStyle="1" w:styleId="AHeader1">
    <w:name w:val="AHeader 1"/>
    <w:basedOn w:val="prastasis"/>
    <w:uiPriority w:val="99"/>
    <w:rsid w:val="00172C88"/>
    <w:pPr>
      <w:tabs>
        <w:tab w:val="clear" w:pos="567"/>
        <w:tab w:val="left"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172C88"/>
    <w:pPr>
      <w:tabs>
        <w:tab w:val="clear" w:pos="720"/>
        <w:tab w:val="left" w:pos="360"/>
      </w:tabs>
      <w:ind w:left="709" w:hanging="425"/>
    </w:pPr>
    <w:rPr>
      <w:sz w:val="22"/>
    </w:rPr>
  </w:style>
  <w:style w:type="paragraph" w:customStyle="1" w:styleId="AHeader3">
    <w:name w:val="AHeader 3"/>
    <w:basedOn w:val="AHeader2"/>
    <w:uiPriority w:val="99"/>
    <w:rsid w:val="00172C88"/>
    <w:pPr>
      <w:ind w:left="1276" w:hanging="567"/>
    </w:pPr>
  </w:style>
  <w:style w:type="paragraph" w:customStyle="1" w:styleId="AHeader2abc">
    <w:name w:val="AHeader 2 abc"/>
    <w:basedOn w:val="AHeader3"/>
    <w:uiPriority w:val="99"/>
    <w:rsid w:val="00172C88"/>
    <w:pPr>
      <w:jc w:val="both"/>
    </w:pPr>
    <w:rPr>
      <w:b w:val="0"/>
      <w:bCs w:val="0"/>
    </w:rPr>
  </w:style>
  <w:style w:type="paragraph" w:customStyle="1" w:styleId="AHeader3abc">
    <w:name w:val="AHeader 3 abc"/>
    <w:basedOn w:val="AHeader2abc"/>
    <w:uiPriority w:val="99"/>
    <w:rsid w:val="00172C88"/>
    <w:pPr>
      <w:ind w:left="1701" w:hanging="425"/>
    </w:pPr>
  </w:style>
  <w:style w:type="paragraph" w:styleId="Pagrindiniotekstotrauka3">
    <w:name w:val="Body Text Indent 3"/>
    <w:basedOn w:val="prastasis"/>
    <w:link w:val="Pagrindiniotekstotrauka3Diagrama"/>
    <w:uiPriority w:val="99"/>
    <w:rsid w:val="00172C88"/>
    <w:pPr>
      <w:tabs>
        <w:tab w:val="left" w:pos="1134"/>
      </w:tabs>
      <w:autoSpaceDE w:val="0"/>
      <w:ind w:left="633"/>
      <w:jc w:val="both"/>
    </w:pPr>
    <w:rPr>
      <w:rFonts w:eastAsia="SimSun"/>
      <w:szCs w:val="21"/>
    </w:rPr>
  </w:style>
  <w:style w:type="character" w:customStyle="1" w:styleId="BodyTextIndent3Char">
    <w:name w:val="Body Text Indent 3 Char"/>
    <w:rsid w:val="00172C88"/>
    <w:rPr>
      <w:rFonts w:ascii="Times New Roman" w:eastAsia="Times New Roman" w:hAnsi="Times New Roman" w:cs="Times New Roman"/>
      <w:sz w:val="16"/>
      <w:szCs w:val="16"/>
      <w:lang w:val="en-GB"/>
    </w:rPr>
  </w:style>
  <w:style w:type="character" w:styleId="Perirtashipersaitas">
    <w:name w:val="FollowedHyperlink"/>
    <w:uiPriority w:val="99"/>
    <w:rsid w:val="00172C88"/>
    <w:rPr>
      <w:rFonts w:cs="Times New Roman"/>
      <w:color w:val="800080"/>
      <w:u w:val="single"/>
    </w:rPr>
  </w:style>
  <w:style w:type="character" w:styleId="Grietas">
    <w:name w:val="Strong"/>
    <w:uiPriority w:val="99"/>
    <w:qFormat/>
    <w:rsid w:val="00172C88"/>
    <w:rPr>
      <w:rFonts w:cs="Times New Roman"/>
      <w:b/>
      <w:bCs/>
    </w:rPr>
  </w:style>
  <w:style w:type="paragraph" w:customStyle="1" w:styleId="TableheadingrowsAgency">
    <w:name w:val="Table heading rows (Agency)"/>
    <w:basedOn w:val="BodytextAgency"/>
    <w:uiPriority w:val="99"/>
    <w:rsid w:val="00172C88"/>
    <w:pPr>
      <w:keepNext/>
    </w:pPr>
    <w:rPr>
      <w:rFonts w:eastAsia="SimSun" w:cs="Verdana"/>
      <w:b/>
      <w:szCs w:val="18"/>
      <w:lang w:eastAsia="en-GB"/>
    </w:rPr>
  </w:style>
  <w:style w:type="paragraph" w:styleId="Paprastasistekstas">
    <w:name w:val="Plain Text"/>
    <w:basedOn w:val="prastasis"/>
    <w:link w:val="PaprastasistekstasDiagrama"/>
    <w:uiPriority w:val="99"/>
    <w:rsid w:val="00172C88"/>
    <w:pPr>
      <w:tabs>
        <w:tab w:val="clear" w:pos="567"/>
      </w:tabs>
      <w:spacing w:line="240" w:lineRule="auto"/>
    </w:pPr>
    <w:rPr>
      <w:rFonts w:ascii="Courier New" w:eastAsia="SimSun" w:hAnsi="Courier New"/>
      <w:sz w:val="20"/>
      <w:lang w:val="en-US"/>
    </w:rPr>
  </w:style>
  <w:style w:type="character" w:customStyle="1" w:styleId="PlainTextChar">
    <w:name w:val="Plain Text Char"/>
    <w:rsid w:val="00172C88"/>
    <w:rPr>
      <w:rFonts w:ascii="Consolas" w:eastAsia="Times New Roman" w:hAnsi="Consolas" w:cs="Times New Roman"/>
      <w:sz w:val="21"/>
      <w:szCs w:val="21"/>
      <w:lang w:val="en-GB"/>
    </w:rPr>
  </w:style>
  <w:style w:type="paragraph" w:customStyle="1" w:styleId="Default">
    <w:name w:val="Default"/>
    <w:uiPriority w:val="99"/>
    <w:rsid w:val="00172C88"/>
    <w:pPr>
      <w:suppressAutoHyphens/>
      <w:autoSpaceDE w:val="0"/>
      <w:autoSpaceDN w:val="0"/>
      <w:textAlignment w:val="baseline"/>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172C88"/>
    <w:pPr>
      <w:tabs>
        <w:tab w:val="clear" w:pos="567"/>
      </w:tabs>
      <w:spacing w:line="240" w:lineRule="auto"/>
      <w:jc w:val="center"/>
    </w:pPr>
    <w:rPr>
      <w:rFonts w:eastAsia="SimSun"/>
      <w:b/>
    </w:rPr>
  </w:style>
  <w:style w:type="character" w:customStyle="1" w:styleId="TitleChar">
    <w:name w:val="Title Char"/>
    <w:rsid w:val="00172C88"/>
    <w:rPr>
      <w:rFonts w:ascii="Calibri Light" w:eastAsia="Times New Roman" w:hAnsi="Calibri Light" w:cs="Times New Roman"/>
      <w:spacing w:val="-10"/>
      <w:kern w:val="28"/>
      <w:sz w:val="56"/>
      <w:szCs w:val="56"/>
      <w:lang w:val="en-GB"/>
    </w:rPr>
  </w:style>
  <w:style w:type="paragraph" w:styleId="Dokumentoinaostekstas">
    <w:name w:val="endnote text"/>
    <w:basedOn w:val="prastasis"/>
    <w:link w:val="DokumentoinaostekstasDiagrama"/>
    <w:uiPriority w:val="99"/>
    <w:rsid w:val="00172C88"/>
    <w:pPr>
      <w:spacing w:line="240" w:lineRule="auto"/>
    </w:pPr>
    <w:rPr>
      <w:rFonts w:eastAsia="SimSun"/>
    </w:rPr>
  </w:style>
  <w:style w:type="character" w:customStyle="1" w:styleId="EndnoteTextChar">
    <w:name w:val="Endnote Text Char"/>
    <w:rsid w:val="00172C88"/>
    <w:rPr>
      <w:rFonts w:ascii="Times New Roman" w:eastAsia="Times New Roman" w:hAnsi="Times New Roman" w:cs="Times New Roman"/>
      <w:sz w:val="20"/>
      <w:szCs w:val="20"/>
      <w:lang w:val="en-GB"/>
    </w:rPr>
  </w:style>
  <w:style w:type="paragraph" w:customStyle="1" w:styleId="BTEMEASMCA">
    <w:name w:val="BT EMEA_SMCA"/>
    <w:basedOn w:val="prastasis"/>
    <w:link w:val="BTEMEASMCAChar"/>
    <w:autoRedefine/>
    <w:uiPriority w:val="99"/>
    <w:rsid w:val="00172C88"/>
    <w:pPr>
      <w:tabs>
        <w:tab w:val="clear" w:pos="567"/>
      </w:tabs>
      <w:spacing w:line="240" w:lineRule="auto"/>
    </w:pPr>
    <w:rPr>
      <w:rFonts w:eastAsia="SimSun" w:cs="Arial Unicode MS"/>
      <w:sz w:val="20"/>
      <w:lang w:bidi="lo-LA"/>
    </w:rPr>
  </w:style>
  <w:style w:type="character" w:customStyle="1" w:styleId="BTEMEASMCAChar">
    <w:name w:val="BT EMEA_SMCA Char"/>
    <w:link w:val="BTEMEASMCA"/>
    <w:uiPriority w:val="99"/>
    <w:rsid w:val="00172C88"/>
    <w:rPr>
      <w:rFonts w:ascii="Times New Roman" w:eastAsia="SimSun" w:hAnsi="Times New Roman" w:cs="Arial Unicode MS"/>
      <w:sz w:val="20"/>
      <w:szCs w:val="20"/>
      <w:lang w:val="en-GB" w:bidi="lo-LA"/>
    </w:rPr>
  </w:style>
  <w:style w:type="character" w:customStyle="1" w:styleId="CharChar12">
    <w:name w:val="Char Char12"/>
    <w:rsid w:val="00172C88"/>
    <w:rPr>
      <w:lang w:val="en-GB" w:eastAsia="en-US" w:bidi="ar-SA"/>
    </w:rPr>
  </w:style>
  <w:style w:type="paragraph" w:styleId="Sraopastraipa">
    <w:name w:val="List Paragraph"/>
    <w:basedOn w:val="prastasis"/>
    <w:uiPriority w:val="34"/>
    <w:qFormat/>
    <w:rsid w:val="00172C88"/>
    <w:pPr>
      <w:ind w:left="720"/>
    </w:pPr>
  </w:style>
  <w:style w:type="character" w:customStyle="1" w:styleId="Antrat1Diagrama">
    <w:name w:val="Antraštė 1 Diagrama"/>
    <w:link w:val="Antrat1"/>
    <w:uiPriority w:val="99"/>
    <w:rsid w:val="00172C88"/>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172C88"/>
    <w:rPr>
      <w:rFonts w:ascii="Cambria" w:eastAsia="Times New Roman" w:hAnsi="Cambria" w:cs="Times New Roman"/>
      <w:b/>
      <w:bCs/>
      <w:i/>
      <w:iCs/>
      <w:sz w:val="28"/>
      <w:szCs w:val="28"/>
      <w:lang w:val="en-GB"/>
    </w:rPr>
  </w:style>
  <w:style w:type="character" w:customStyle="1" w:styleId="Antrat3Diagrama">
    <w:name w:val="Antraštė 3 Diagrama"/>
    <w:link w:val="Antrat3"/>
    <w:uiPriority w:val="99"/>
    <w:rsid w:val="00172C88"/>
    <w:rPr>
      <w:rFonts w:ascii="Cambria" w:eastAsia="Times New Roman" w:hAnsi="Cambria" w:cs="Times New Roman"/>
      <w:b/>
      <w:bCs/>
      <w:sz w:val="26"/>
      <w:szCs w:val="26"/>
      <w:lang w:val="en-GB"/>
    </w:rPr>
  </w:style>
  <w:style w:type="character" w:customStyle="1" w:styleId="Antrat4Diagrama">
    <w:name w:val="Antraštė 4 Diagrama"/>
    <w:link w:val="Antrat4"/>
    <w:uiPriority w:val="99"/>
    <w:rsid w:val="00172C88"/>
    <w:rPr>
      <w:rFonts w:ascii="Calibri" w:eastAsia="Times New Roman" w:hAnsi="Calibri" w:cs="Times New Roman"/>
      <w:b/>
      <w:bCs/>
      <w:sz w:val="28"/>
      <w:szCs w:val="28"/>
      <w:lang w:val="en-GB"/>
    </w:rPr>
  </w:style>
  <w:style w:type="character" w:customStyle="1" w:styleId="Antrat5Diagrama">
    <w:name w:val="Antraštė 5 Diagrama"/>
    <w:link w:val="Antrat5"/>
    <w:uiPriority w:val="99"/>
    <w:rsid w:val="00172C88"/>
    <w:rPr>
      <w:rFonts w:ascii="Times New Roman" w:eastAsia="SimSun" w:hAnsi="Times New Roman" w:cs="Times New Roman"/>
      <w:szCs w:val="20"/>
      <w:lang w:val="en-GB"/>
    </w:rPr>
  </w:style>
  <w:style w:type="character" w:customStyle="1" w:styleId="Antrat6Diagrama">
    <w:name w:val="Antraštė 6 Diagrama"/>
    <w:link w:val="Antrat6"/>
    <w:uiPriority w:val="99"/>
    <w:rsid w:val="00172C88"/>
    <w:rPr>
      <w:rFonts w:ascii="Times New Roman" w:eastAsia="SimSun" w:hAnsi="Times New Roman" w:cs="Times New Roman"/>
      <w:i/>
      <w:szCs w:val="20"/>
      <w:lang w:val="en-GB"/>
    </w:rPr>
  </w:style>
  <w:style w:type="character" w:customStyle="1" w:styleId="Antrat7Diagrama">
    <w:name w:val="Antraštė 7 Diagrama"/>
    <w:link w:val="Antrat7"/>
    <w:uiPriority w:val="99"/>
    <w:rsid w:val="00172C88"/>
    <w:rPr>
      <w:rFonts w:ascii="Times New Roman" w:eastAsia="SimSun" w:hAnsi="Times New Roman" w:cs="Times New Roman"/>
      <w:i/>
      <w:szCs w:val="20"/>
      <w:lang w:val="en-GB"/>
    </w:rPr>
  </w:style>
  <w:style w:type="character" w:customStyle="1" w:styleId="Antrat8Diagrama">
    <w:name w:val="Antraštė 8 Diagrama"/>
    <w:link w:val="Antrat8"/>
    <w:uiPriority w:val="99"/>
    <w:rsid w:val="00172C88"/>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172C88"/>
    <w:rPr>
      <w:rFonts w:ascii="Times New Roman" w:eastAsia="SimSun" w:hAnsi="Times New Roman" w:cs="Times New Roman"/>
      <w:b/>
      <w:i/>
      <w:szCs w:val="20"/>
      <w:lang w:val="en-GB"/>
    </w:rPr>
  </w:style>
  <w:style w:type="character" w:customStyle="1" w:styleId="PoratDiagrama">
    <w:name w:val="Poraštė Diagrama"/>
    <w:link w:val="Porat"/>
    <w:uiPriority w:val="99"/>
    <w:rsid w:val="00172C88"/>
    <w:rPr>
      <w:rFonts w:ascii="Times New Roman" w:eastAsia="Times New Roman" w:hAnsi="Times New Roman" w:cs="Times New Roman"/>
      <w:szCs w:val="20"/>
      <w:lang w:val="en-GB"/>
    </w:rPr>
  </w:style>
  <w:style w:type="character" w:customStyle="1" w:styleId="DebesliotekstasDiagrama">
    <w:name w:val="Debesėlio tekstas Diagrama"/>
    <w:link w:val="Debesliotekstas"/>
    <w:uiPriority w:val="99"/>
    <w:rsid w:val="00172C88"/>
    <w:rPr>
      <w:rFonts w:ascii="Tahoma" w:eastAsia="Times New Roman" w:hAnsi="Tahoma" w:cs="Times New Roman"/>
      <w:sz w:val="16"/>
      <w:szCs w:val="16"/>
      <w:lang w:val="en-GB"/>
    </w:rPr>
  </w:style>
  <w:style w:type="character" w:customStyle="1" w:styleId="KomentarotekstasDiagrama">
    <w:name w:val="Komentaro tekstas Diagrama"/>
    <w:link w:val="Komentarotekstas"/>
    <w:uiPriority w:val="99"/>
    <w:rsid w:val="00172C88"/>
    <w:rPr>
      <w:rFonts w:ascii="Times New Roman" w:eastAsia="Times New Roman" w:hAnsi="Times New Roman" w:cs="Times New Roman"/>
      <w:sz w:val="20"/>
      <w:szCs w:val="20"/>
      <w:lang w:val="en-GB"/>
    </w:rPr>
  </w:style>
  <w:style w:type="character" w:customStyle="1" w:styleId="KomentarotemaDiagrama">
    <w:name w:val="Komentaro tema Diagrama"/>
    <w:link w:val="Komentarotema"/>
    <w:uiPriority w:val="99"/>
    <w:rsid w:val="00172C88"/>
    <w:rPr>
      <w:rFonts w:ascii="Times New Roman" w:eastAsia="Times New Roman" w:hAnsi="Times New Roman" w:cs="Times New Roman"/>
      <w:b/>
      <w:bCs/>
      <w:sz w:val="20"/>
      <w:szCs w:val="20"/>
      <w:lang w:val="en-GB"/>
    </w:rPr>
  </w:style>
  <w:style w:type="paragraph" w:customStyle="1" w:styleId="Pataisymai1">
    <w:name w:val="Pataisymai1"/>
    <w:hidden/>
    <w:uiPriority w:val="99"/>
    <w:semiHidden/>
    <w:rsid w:val="00172C88"/>
    <w:rPr>
      <w:rFonts w:ascii="Times New Roman" w:eastAsia="Times New Roman" w:hAnsi="Times New Roman"/>
      <w:snapToGrid w:val="0"/>
      <w:sz w:val="22"/>
      <w:lang w:val="en-GB" w:eastAsia="en-US"/>
    </w:rPr>
  </w:style>
  <w:style w:type="character" w:customStyle="1" w:styleId="AntratsDiagrama">
    <w:name w:val="Antraštės Diagrama"/>
    <w:link w:val="Antrats"/>
    <w:uiPriority w:val="99"/>
    <w:rsid w:val="00172C88"/>
    <w:rPr>
      <w:rFonts w:ascii="Times New Roman" w:eastAsia="SimSun" w:hAnsi="Times New Roman" w:cs="Times New Roman"/>
      <w:szCs w:val="20"/>
      <w:lang w:val="en-GB" w:eastAsia="zh-CN"/>
    </w:rPr>
  </w:style>
  <w:style w:type="character" w:customStyle="1" w:styleId="DokumentostruktraDiagrama">
    <w:name w:val="Dokumento struktūra Diagrama"/>
    <w:link w:val="Dokumentostruktra"/>
    <w:uiPriority w:val="99"/>
    <w:rsid w:val="00172C88"/>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link w:val="Pagrindiniotekstotrauka"/>
    <w:uiPriority w:val="99"/>
    <w:rsid w:val="00172C88"/>
    <w:rPr>
      <w:rFonts w:ascii="Times New Roman" w:eastAsia="SimSun" w:hAnsi="Times New Roman" w:cs="Times New Roman"/>
      <w:lang w:val="en-GB" w:eastAsia="en-GB"/>
    </w:rPr>
  </w:style>
  <w:style w:type="character" w:customStyle="1" w:styleId="Pagrindinistekstas3Diagrama">
    <w:name w:val="Pagrindinis tekstas 3 Diagrama"/>
    <w:link w:val="Pagrindinistekstas3"/>
    <w:uiPriority w:val="99"/>
    <w:rsid w:val="00172C88"/>
    <w:rPr>
      <w:rFonts w:ascii="Times New Roman" w:eastAsia="SimSun" w:hAnsi="Times New Roman" w:cs="Times New Roman"/>
      <w:color w:val="0000FF"/>
      <w:lang w:val="en-GB" w:eastAsia="en-GB"/>
    </w:rPr>
  </w:style>
  <w:style w:type="character" w:customStyle="1" w:styleId="Pagrindiniotekstotrauka2Diagrama">
    <w:name w:val="Pagrindinio teksto įtrauka 2 Diagrama"/>
    <w:link w:val="Pagrindiniotekstotrauka2"/>
    <w:uiPriority w:val="99"/>
    <w:rsid w:val="00172C88"/>
    <w:rPr>
      <w:rFonts w:ascii="Times New Roman" w:eastAsia="SimSun" w:hAnsi="Times New Roman" w:cs="Times New Roman"/>
      <w:b/>
      <w:bCs/>
      <w:color w:val="0000FF"/>
      <w:lang w:val="en-GB"/>
    </w:rPr>
  </w:style>
  <w:style w:type="character" w:customStyle="1" w:styleId="PagrindinistekstasDiagrama">
    <w:name w:val="Pagrindinis tekstas Diagrama"/>
    <w:link w:val="Pagrindinistekstas"/>
    <w:uiPriority w:val="99"/>
    <w:rsid w:val="00172C88"/>
    <w:rPr>
      <w:rFonts w:ascii="Times New Roman" w:eastAsia="SimSun" w:hAnsi="Times New Roman" w:cs="Times New Roman"/>
      <w:i/>
      <w:color w:val="008000"/>
      <w:szCs w:val="20"/>
      <w:lang w:val="en-GB"/>
    </w:rPr>
  </w:style>
  <w:style w:type="character" w:customStyle="1" w:styleId="Pagrindinistekstas2Diagrama">
    <w:name w:val="Pagrindinis tekstas 2 Diagrama"/>
    <w:link w:val="Pagrindinistekstas2"/>
    <w:uiPriority w:val="99"/>
    <w:rsid w:val="00172C88"/>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link w:val="Pagrindiniotekstotrauka3"/>
    <w:uiPriority w:val="99"/>
    <w:rsid w:val="00172C88"/>
    <w:rPr>
      <w:rFonts w:ascii="Times New Roman" w:eastAsia="SimSun" w:hAnsi="Times New Roman" w:cs="Times New Roman"/>
      <w:szCs w:val="21"/>
      <w:lang w:val="en-GB"/>
    </w:rPr>
  </w:style>
  <w:style w:type="table" w:customStyle="1" w:styleId="TablegridAgencyblack">
    <w:name w:val="Table grid (Agency) black"/>
    <w:uiPriority w:val="99"/>
    <w:semiHidden/>
    <w:rsid w:val="00172C88"/>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PaprastasistekstasDiagrama">
    <w:name w:val="Paprastasis tekstas Diagrama"/>
    <w:link w:val="Paprastasistekstas"/>
    <w:uiPriority w:val="99"/>
    <w:rsid w:val="00172C88"/>
    <w:rPr>
      <w:rFonts w:ascii="Courier New" w:eastAsia="SimSun" w:hAnsi="Courier New" w:cs="Times New Roman"/>
      <w:sz w:val="20"/>
      <w:szCs w:val="20"/>
      <w:lang w:val="en-US"/>
    </w:rPr>
  </w:style>
  <w:style w:type="character" w:customStyle="1" w:styleId="PavadinimasDiagrama">
    <w:name w:val="Pavadinimas Diagrama"/>
    <w:link w:val="Pavadinimas"/>
    <w:uiPriority w:val="99"/>
    <w:rsid w:val="00172C88"/>
    <w:rPr>
      <w:rFonts w:ascii="Times New Roman" w:eastAsia="SimSun" w:hAnsi="Times New Roman" w:cs="Times New Roman"/>
      <w:b/>
      <w:szCs w:val="20"/>
      <w:lang w:val="en-GB"/>
    </w:rPr>
  </w:style>
  <w:style w:type="character" w:customStyle="1" w:styleId="DokumentoinaostekstasDiagrama">
    <w:name w:val="Dokumento išnašos tekstas Diagrama"/>
    <w:link w:val="Dokumentoinaostekstas"/>
    <w:uiPriority w:val="99"/>
    <w:rsid w:val="00172C88"/>
    <w:rPr>
      <w:rFonts w:ascii="Times New Roman" w:eastAsia="SimSun" w:hAnsi="Times New Roman" w:cs="Times New Roman"/>
      <w:szCs w:val="20"/>
      <w:lang w:val="en-GB"/>
    </w:rPr>
  </w:style>
  <w:style w:type="paragraph" w:styleId="Pataisymai">
    <w:name w:val="Revision"/>
    <w:hidden/>
    <w:uiPriority w:val="99"/>
    <w:semiHidden/>
    <w:rsid w:val="00172C88"/>
    <w:rPr>
      <w:rFonts w:ascii="Times New Roman" w:eastAsia="Times New Roman" w:hAnsi="Times New Roman"/>
      <w:snapToGrid w:val="0"/>
      <w:sz w:val="22"/>
      <w:lang w:val="en-GB" w:eastAsia="en-US"/>
    </w:rPr>
  </w:style>
  <w:style w:type="table" w:styleId="Lentelstinklelis">
    <w:name w:val="Table Grid"/>
    <w:basedOn w:val="prastojilentel"/>
    <w:uiPriority w:val="39"/>
    <w:rsid w:val="0017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C7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62891</Words>
  <Characters>35849</Characters>
  <Application>Microsoft Office Word</Application>
  <DocSecurity>4</DocSecurity>
  <Lines>298</Lines>
  <Paragraphs>197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20</vt:i4>
      </vt:variant>
    </vt:vector>
  </HeadingPairs>
  <TitlesOfParts>
    <vt:vector size="22" baseType="lpstr">
      <vt:lpstr/>
      <vt:lpstr/>
      <vt:lpstr>    </vt:lpstr>
      <vt:lpstr>    I PRIEDAS</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III PRIEDAS</vt:lpstr>
      <vt:lpstr>    ŽENKLINIMAS IR PAKUOTĖS LAPELIS</vt:lpstr>
      <vt:lpstr>    A. ŽENKLINIMAS</vt:lpstr>
      <vt:lpstr>    Pakuotės lapelis: informacija vartotojui</vt:lpstr>
      <vt:lpstr>        3.	Kaip vartoti Bosentan Norameda</vt:lpstr>
      <vt:lpstr>        4.	Galimas šalutinis poveikis</vt:lpstr>
      <vt:lpstr>        5.	Kaip laikyti Bosentan Norameda</vt:lpstr>
      <vt:lpstr>        6.	Pakuotės turinys ir kita informacija</vt:lpstr>
    </vt:vector>
  </TitlesOfParts>
  <Company/>
  <LinksUpToDate>false</LinksUpToDate>
  <CharactersWithSpaces>98543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2</cp:revision>
  <dcterms:created xsi:type="dcterms:W3CDTF">2026-03-26T09:38:00Z</dcterms:created>
  <dcterms:modified xsi:type="dcterms:W3CDTF">2026-03-26T09:38:00Z</dcterms:modified>
</cp:coreProperties>
</file>