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 PRIEDAS</w:t>
      </w:r>
    </w:p>
    <w:p w:rsidR="002A1BE8" w:rsidRPr="001E2876" w:rsidRDefault="002A1BE8" w:rsidP="00DE5A01">
      <w:pPr>
        <w:spacing w:line="240" w:lineRule="auto"/>
        <w:rPr>
          <w:lang w:val="lt-LT"/>
        </w:rPr>
      </w:pPr>
    </w:p>
    <w:p w:rsidR="002A1BE8" w:rsidRPr="001E2876" w:rsidRDefault="002A1BE8" w:rsidP="001E2876">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PREPARATO CHARAKTERISTIKŲ SANTRAUKA</w:t>
      </w:r>
    </w:p>
    <w:p w:rsidR="002A1BE8" w:rsidRPr="001E2876" w:rsidRDefault="002A1BE8" w:rsidP="00DE5A01">
      <w:pPr>
        <w:tabs>
          <w:tab w:val="left" w:pos="-1440"/>
          <w:tab w:val="left" w:pos="-720"/>
        </w:tabs>
        <w:spacing w:line="240" w:lineRule="auto"/>
        <w:rPr>
          <w:lang w:val="lt-LT"/>
        </w:rPr>
      </w:pPr>
      <w:r w:rsidRPr="001E2876">
        <w:rPr>
          <w:lang w:val="lt-LT" w:eastAsia="zh-CN"/>
        </w:rPr>
        <w:br w:type="page"/>
      </w: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1.</w:t>
      </w:r>
      <w:r w:rsidRPr="001E2876">
        <w:rPr>
          <w:rFonts w:ascii="Times New Roman" w:hAnsi="Times New Roman" w:cs="Times New Roman"/>
          <w:sz w:val="22"/>
          <w:szCs w:val="22"/>
          <w:lang w:val="lt-LT"/>
        </w:rPr>
        <w:tab/>
        <w:t>VAISTINIO PREPARATO PAVADINIMAS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Xenazine 25 mg tabletės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2.</w:t>
      </w:r>
      <w:r w:rsidRPr="001E2876">
        <w:rPr>
          <w:rFonts w:ascii="Times New Roman" w:hAnsi="Times New Roman" w:cs="Times New Roman"/>
          <w:sz w:val="22"/>
          <w:szCs w:val="22"/>
          <w:lang w:val="lt-LT"/>
        </w:rPr>
        <w:tab/>
        <w:t>KOKYBINĖ IR KIEKYBINĖ SUDĖTIS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Kiekvienoje tabletėje yra 25 mg tetrabenazino.</w:t>
      </w:r>
    </w:p>
    <w:p w:rsidR="002A1BE8" w:rsidRPr="001E2876" w:rsidRDefault="002A1BE8" w:rsidP="00DE5A01">
      <w:pPr>
        <w:spacing w:line="240" w:lineRule="auto"/>
        <w:rPr>
          <w:lang w:val="lt-LT"/>
        </w:rPr>
      </w:pPr>
      <w:r w:rsidRPr="006B256C">
        <w:rPr>
          <w:u w:val="single"/>
          <w:lang w:val="lt-LT"/>
        </w:rPr>
        <w:t>Pagalbinė medžiaga, kurios poveikis žinomas</w:t>
      </w:r>
      <w:r w:rsidRPr="001E2876">
        <w:rPr>
          <w:lang w:val="lt-LT"/>
        </w:rPr>
        <w:t>: kiekvienoje tabletėje taip pat yra 64 mg laktozės monohidrato.</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Visos pagalbinės medžiagos išvardytos 6.1 skyriuje.</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3.</w:t>
      </w:r>
      <w:r w:rsidRPr="001E2876">
        <w:rPr>
          <w:rFonts w:ascii="Times New Roman" w:hAnsi="Times New Roman" w:cs="Times New Roman"/>
          <w:sz w:val="22"/>
          <w:szCs w:val="22"/>
          <w:lang w:val="lt-LT"/>
        </w:rPr>
        <w:tab/>
        <w:t>FARMACINĖ FORMA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Tabletė.</w:t>
      </w:r>
    </w:p>
    <w:p w:rsidR="002A1BE8" w:rsidRPr="001E2876" w:rsidRDefault="002A1BE8" w:rsidP="00DE5A01">
      <w:pPr>
        <w:spacing w:line="240" w:lineRule="auto"/>
        <w:rPr>
          <w:lang w:val="lt-LT"/>
        </w:rPr>
      </w:pPr>
      <w:r w:rsidRPr="001E2876">
        <w:rPr>
          <w:lang w:val="lt-LT"/>
        </w:rPr>
        <w:t>Gelsvos, cilindrinės, nuožulniais kraštais, 7 mm skersmens tabletės. Vienoje tabletės pusėje yra žyma „CL25“, kitoje – vagelė. Tabletę galima padalyti į lygias dozes.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w:t>
      </w:r>
      <w:r w:rsidRPr="001E2876">
        <w:rPr>
          <w:rFonts w:ascii="Times New Roman" w:hAnsi="Times New Roman" w:cs="Times New Roman"/>
          <w:sz w:val="22"/>
          <w:szCs w:val="22"/>
          <w:lang w:val="lt-LT"/>
        </w:rPr>
        <w:tab/>
        <w:t>KLINIKINĖ INFORMACIJA</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4.1</w:t>
      </w:r>
      <w:r w:rsidRPr="001E2876">
        <w:rPr>
          <w:rFonts w:ascii="Times New Roman" w:hAnsi="Times New Roman" w:cs="Times New Roman"/>
          <w:sz w:val="22"/>
          <w:szCs w:val="22"/>
          <w:lang w:val="lt-LT"/>
        </w:rPr>
        <w:tab/>
        <w:t>Terapinės indikacijos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 xml:space="preserve">Suaugusiųjų </w:t>
      </w:r>
      <w:r w:rsidRPr="00AC6CFE">
        <w:rPr>
          <w:lang w:val="lt-LT"/>
        </w:rPr>
        <w:t>Hantingtono (</w:t>
      </w:r>
      <w:r w:rsidRPr="00AC6CFE">
        <w:rPr>
          <w:i/>
          <w:iCs/>
          <w:lang w:val="lt-LT"/>
        </w:rPr>
        <w:t>Huntington</w:t>
      </w:r>
      <w:r w:rsidRPr="00AC6CFE">
        <w:rPr>
          <w:lang w:val="lt-LT"/>
        </w:rPr>
        <w:t xml:space="preserve">) </w:t>
      </w:r>
      <w:r w:rsidRPr="001E2876">
        <w:rPr>
          <w:lang w:val="lt-LT"/>
        </w:rPr>
        <w:t>chorėjos gydymas.</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4.2</w:t>
      </w:r>
      <w:r w:rsidRPr="001E2876">
        <w:rPr>
          <w:rFonts w:ascii="Times New Roman" w:hAnsi="Times New Roman" w:cs="Times New Roman"/>
          <w:sz w:val="22"/>
          <w:szCs w:val="22"/>
          <w:lang w:val="lt-LT"/>
        </w:rPr>
        <w:tab/>
        <w:t>Dozavimas ir vartojimo metodas</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Dozavimas</w:t>
      </w:r>
    </w:p>
    <w:p w:rsidR="002A1BE8" w:rsidRPr="001E2876" w:rsidRDefault="002A1BE8" w:rsidP="001E2876">
      <w:pPr>
        <w:spacing w:line="240" w:lineRule="auto"/>
        <w:rPr>
          <w:lang w:val="lt-LT"/>
        </w:rPr>
      </w:pPr>
    </w:p>
    <w:p w:rsidR="002A1BE8" w:rsidRPr="001E2876" w:rsidRDefault="002A1BE8" w:rsidP="001E2876">
      <w:pPr>
        <w:spacing w:line="240" w:lineRule="auto"/>
        <w:rPr>
          <w:i/>
          <w:iCs/>
          <w:lang w:val="lt-LT"/>
        </w:rPr>
      </w:pPr>
      <w:r w:rsidRPr="001E2876">
        <w:rPr>
          <w:i/>
          <w:iCs/>
          <w:lang w:val="lt-LT"/>
        </w:rPr>
        <w:t>Suaugusiesiems</w:t>
      </w:r>
    </w:p>
    <w:p w:rsidR="002A1BE8" w:rsidRPr="001E2876" w:rsidRDefault="002A1BE8" w:rsidP="00DE5A01">
      <w:pPr>
        <w:spacing w:line="240" w:lineRule="auto"/>
        <w:rPr>
          <w:lang w:val="lt-LT"/>
        </w:rPr>
      </w:pPr>
      <w:r w:rsidRPr="001E2876">
        <w:rPr>
          <w:lang w:val="lt-LT"/>
        </w:rPr>
        <w:t>Dozavimas ir vartojimas yra įvairūs, čia pateikiamos tik bendros rekomendacijos. Šio vaistinio preparato vartojantį pacientą turi prižiūrėti gydytojas, turintis hiperkinezinių sutrikimų gydymo patirties.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Pradinė dozė – 12,5 mg 1 kartą per parą (ji vartojama pirmą savaitę). Antrą savaitę vartojama po 12,5 mg 2 kartus per parą, trečią – po 12,5 mg 3 kartus per parą. Paros dozė didinama kas savaitę po 12,5 mg.</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Individualus optimalių paros dozių diapazonas paprastai būna 25-100 mg (paros dozė padalijama į 2</w:t>
      </w:r>
      <w:r w:rsidRPr="001E2876">
        <w:rPr>
          <w:lang w:val="lt-LT"/>
        </w:rPr>
        <w:noBreakHyphen/>
        <w:t xml:space="preserve">3 vienkartines). Didžiausia paros dozė – 100 mg. Didesnes kaip 50 mg paros dozes reikia padalinti į 3 vienkartines. Didžiausia rekomenduojama vienkartinė dozė yra 37,5 mg. </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Jeigu pasireikštų nepageidaujamas reiškinys, pvz., akatizija, parkinsonizmas, depresija, nemiga, nerimas arba sedacija, dozės daugiau didinti negalima, ją reikia mažinti. Jeigu nepageidaujamas reiškinys nepraeitų, reikia svarstyti tikslingumą nutraukti tetrabenazino vartojimą arba pradėti kitą specialų gydymą (pvz., antidepresantu).</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Jeigu 7 dienas didžiausią dozę vartojusio paciento būklė nepagerėjo, tai šio vaistinio preparato palankaus poveikio nereikia tikėtis nei dar labiau padidinus dozę, nei vartojant jį ilgiau.</w:t>
      </w:r>
    </w:p>
    <w:p w:rsidR="002A1BE8" w:rsidRPr="001E2876" w:rsidRDefault="002A1BE8" w:rsidP="001E2876">
      <w:pPr>
        <w:spacing w:line="240" w:lineRule="auto"/>
        <w:rPr>
          <w:lang w:val="lt-LT"/>
        </w:rPr>
      </w:pPr>
    </w:p>
    <w:p w:rsidR="002A1BE8" w:rsidRPr="001E2876" w:rsidRDefault="002A1BE8" w:rsidP="001E2876">
      <w:pPr>
        <w:spacing w:line="240" w:lineRule="auto"/>
        <w:rPr>
          <w:i/>
          <w:iCs/>
          <w:lang w:val="lt-LT"/>
        </w:rPr>
      </w:pPr>
      <w:r w:rsidRPr="001E2876">
        <w:rPr>
          <w:i/>
          <w:iCs/>
          <w:lang w:val="lt-LT"/>
        </w:rPr>
        <w:t>Senyviems pacientams</w:t>
      </w:r>
    </w:p>
    <w:p w:rsidR="002A1BE8" w:rsidRPr="001E2876" w:rsidRDefault="002A1BE8" w:rsidP="00DE5A01">
      <w:pPr>
        <w:spacing w:line="240" w:lineRule="auto"/>
        <w:rPr>
          <w:lang w:val="lt-LT"/>
        </w:rPr>
      </w:pPr>
      <w:r w:rsidRPr="001E2876">
        <w:rPr>
          <w:lang w:val="lt-LT"/>
        </w:rPr>
        <w:t>Formalių poveikio senyviems pacientams tyrimų neatlikta, o iš turimų farmakokinetikos duomenų išvadų daryti negalima. Senyviems pacientams skiriamos įprastos tetrabenazino dozės nepasireiškiant kenksmingo poveikio, tačiau jiems gana dažnai būna parkinsonizmo pobūdžio nepageidaujamų reakcijų, dėl kurių gali tekti riboti dozę.</w:t>
      </w:r>
    </w:p>
    <w:p w:rsidR="002A1BE8" w:rsidRPr="001E2876" w:rsidRDefault="002A1BE8" w:rsidP="00DE5A01">
      <w:pPr>
        <w:spacing w:line="240" w:lineRule="auto"/>
        <w:rPr>
          <w:lang w:val="lt-LT"/>
        </w:rPr>
      </w:pPr>
    </w:p>
    <w:p w:rsidR="002A1BE8" w:rsidRPr="001E2876" w:rsidRDefault="002A1BE8" w:rsidP="00DE5A01">
      <w:pPr>
        <w:spacing w:line="240" w:lineRule="auto"/>
        <w:rPr>
          <w:i/>
          <w:iCs/>
          <w:lang w:val="lt-LT"/>
        </w:rPr>
      </w:pPr>
      <w:r w:rsidRPr="001E2876">
        <w:rPr>
          <w:i/>
          <w:iCs/>
          <w:lang w:val="lt-LT"/>
        </w:rPr>
        <w:t>Vaikų populiacija</w:t>
      </w:r>
    </w:p>
    <w:p w:rsidR="002A1BE8" w:rsidRPr="001E2876" w:rsidRDefault="002A1BE8" w:rsidP="00DE5A01">
      <w:pPr>
        <w:spacing w:line="240" w:lineRule="auto"/>
        <w:rPr>
          <w:lang w:val="lt-LT"/>
        </w:rPr>
      </w:pPr>
      <w:r w:rsidRPr="001E2876">
        <w:rPr>
          <w:lang w:val="lt-LT"/>
        </w:rPr>
        <w:t xml:space="preserve">Tetrabenazinas nėra skirtas </w:t>
      </w:r>
      <w:r w:rsidRPr="00AC6CFE">
        <w:rPr>
          <w:lang w:val="lt-LT"/>
        </w:rPr>
        <w:t>Hantingtono (</w:t>
      </w:r>
      <w:r w:rsidRPr="00AC6CFE">
        <w:rPr>
          <w:i/>
          <w:iCs/>
          <w:lang w:val="lt-LT"/>
        </w:rPr>
        <w:t>Huntington</w:t>
      </w:r>
      <w:r w:rsidRPr="00AC6CFE">
        <w:rPr>
          <w:lang w:val="lt-LT"/>
        </w:rPr>
        <w:t xml:space="preserve">) </w:t>
      </w:r>
      <w:r w:rsidRPr="001E2876">
        <w:rPr>
          <w:lang w:val="lt-LT"/>
        </w:rPr>
        <w:t>ligai gydyti vaikų populiacijai.</w:t>
      </w:r>
    </w:p>
    <w:p w:rsidR="002A1BE8" w:rsidRPr="001E2876" w:rsidRDefault="002A1BE8" w:rsidP="00DE5A01">
      <w:pPr>
        <w:tabs>
          <w:tab w:val="left" w:pos="720"/>
        </w:tabs>
        <w:spacing w:line="240" w:lineRule="auto"/>
        <w:rPr>
          <w:i/>
          <w:iCs/>
          <w:lang w:val="lt-LT"/>
        </w:rPr>
      </w:pPr>
    </w:p>
    <w:p w:rsidR="002A1BE8" w:rsidRPr="001E2876" w:rsidRDefault="002A1BE8" w:rsidP="00DE5A01">
      <w:pPr>
        <w:spacing w:line="240" w:lineRule="auto"/>
        <w:rPr>
          <w:i/>
          <w:iCs/>
          <w:lang w:val="lt-LT"/>
        </w:rPr>
      </w:pPr>
      <w:r w:rsidRPr="001E2876">
        <w:rPr>
          <w:i/>
          <w:iCs/>
          <w:lang w:val="lt-LT"/>
        </w:rPr>
        <w:t>Pacientams, kurių kepenų funkcija sutrikusi</w:t>
      </w:r>
    </w:p>
    <w:p w:rsidR="002A1BE8" w:rsidRPr="001E2876" w:rsidRDefault="002A1BE8" w:rsidP="00DE5A01">
      <w:pPr>
        <w:spacing w:line="240" w:lineRule="auto"/>
        <w:rPr>
          <w:lang w:val="lt-LT"/>
        </w:rPr>
      </w:pPr>
      <w:r w:rsidRPr="001E2876">
        <w:rPr>
          <w:lang w:val="lt-LT"/>
        </w:rPr>
        <w:t>Pacientams, kurių kepenų funkcija sutrikusi (Child-Pugh klasė nuo A iki C arba rodiklis ≥ 5), tetrabenazino vartoti negalima(žr. 4.3, 4.4 ir 5.2 skyrius).</w:t>
      </w:r>
    </w:p>
    <w:p w:rsidR="002A1BE8" w:rsidRPr="001E2876" w:rsidRDefault="002A1BE8" w:rsidP="00DE5A01">
      <w:pPr>
        <w:spacing w:line="240" w:lineRule="auto"/>
        <w:rPr>
          <w:lang w:val="lt-LT"/>
        </w:rPr>
      </w:pPr>
    </w:p>
    <w:p w:rsidR="002A1BE8" w:rsidRPr="001E2876" w:rsidRDefault="002A1BE8" w:rsidP="00DE5A01">
      <w:pPr>
        <w:spacing w:line="240" w:lineRule="auto"/>
        <w:rPr>
          <w:i/>
          <w:iCs/>
          <w:lang w:val="lt-LT"/>
        </w:rPr>
      </w:pPr>
      <w:r w:rsidRPr="001E2876">
        <w:rPr>
          <w:i/>
          <w:iCs/>
          <w:lang w:val="lt-LT"/>
        </w:rPr>
        <w:t>Pacientams, kurių inkstų funkcija sutrikusi</w:t>
      </w:r>
    </w:p>
    <w:p w:rsidR="002A1BE8" w:rsidRPr="001E2876" w:rsidRDefault="002A1BE8" w:rsidP="00DE5A01">
      <w:pPr>
        <w:spacing w:line="240" w:lineRule="auto"/>
        <w:rPr>
          <w:lang w:val="lt-LT"/>
        </w:rPr>
      </w:pPr>
      <w:r w:rsidRPr="001E2876">
        <w:rPr>
          <w:lang w:val="lt-LT"/>
        </w:rPr>
        <w:t>Pacientų, kurių inkstų funkcija sutrikusi, tyrimų neatlikta. Jeigu inkstų funkcija sutrikusi vidutiniškai (kreatinino klirensas ≥ 30 ir &lt; 50 ml/min.) arba sunkiai (kreatinino klirensas &lt; 30 ml/min.), dozę reikia didinti atsargiau, kad būtų pusiausvyra tarp chorėjos palengvėjimo ir galimų nepageidaujamų poveikių (žr. 4.4 skyrių).</w:t>
      </w:r>
    </w:p>
    <w:p w:rsidR="002A1BE8" w:rsidRPr="001E2876" w:rsidRDefault="002A1BE8" w:rsidP="00DE5A01">
      <w:pPr>
        <w:spacing w:line="240" w:lineRule="auto"/>
        <w:rPr>
          <w:i/>
          <w:iCs/>
          <w:lang w:val="lt-LT"/>
        </w:rPr>
      </w:pPr>
    </w:p>
    <w:p w:rsidR="002A1BE8" w:rsidRPr="001E2876" w:rsidRDefault="002A1BE8" w:rsidP="00DE5A01">
      <w:pPr>
        <w:spacing w:line="240" w:lineRule="auto"/>
        <w:rPr>
          <w:i/>
          <w:iCs/>
          <w:lang w:val="lt-LT"/>
        </w:rPr>
      </w:pPr>
      <w:r w:rsidRPr="001E2876">
        <w:rPr>
          <w:i/>
          <w:iCs/>
          <w:lang w:val="lt-LT"/>
        </w:rPr>
        <w:t>CYP2D6 polimorfizmas</w:t>
      </w:r>
    </w:p>
    <w:p w:rsidR="002A1BE8" w:rsidRPr="001E2876" w:rsidRDefault="002A1BE8" w:rsidP="00DE5A01">
      <w:pPr>
        <w:spacing w:line="240" w:lineRule="auto"/>
        <w:rPr>
          <w:lang w:val="lt-LT"/>
        </w:rPr>
      </w:pPr>
      <w:r w:rsidRPr="001E2876">
        <w:rPr>
          <w:lang w:val="lt-LT"/>
        </w:rPr>
        <w:t>Jeigu reikia didesnės kaip 50 mg paros dozės, tai esant klinikiniam poreikiui būtina svarstyti tikslingumą ištirti CYP2D6 genotipą, kad būtų galima nustatyti, ar nuo CYP2D6 priklausomas metabolizmas nėra lėtas (žr. 4.5 skyrių).</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Lėtiems metabolizuotojams</w:t>
      </w:r>
    </w:p>
    <w:p w:rsidR="002A1BE8" w:rsidRPr="001E2876" w:rsidRDefault="002A1BE8" w:rsidP="00DE5A01">
      <w:pPr>
        <w:spacing w:line="240" w:lineRule="auto"/>
        <w:rPr>
          <w:lang w:val="lt-LT"/>
        </w:rPr>
      </w:pPr>
      <w:r w:rsidRPr="001E2876">
        <w:rPr>
          <w:lang w:val="lt-LT"/>
        </w:rPr>
        <w:t>Pacientams, kurių organizme nuo CYP2D6 priklausomas metabolizmas yra lėtas.</w:t>
      </w:r>
      <w:r>
        <w:rPr>
          <w:lang w:val="lt-LT"/>
        </w:rPr>
        <w:t xml:space="preserve"> </w:t>
      </w:r>
      <w:r w:rsidRPr="001E2876">
        <w:rPr>
          <w:lang w:val="lt-LT"/>
        </w:rPr>
        <w:t>Didžiausia rekomenduojama paros dozė yra 50 mg, didžiausia rekomenduojama vienkartinė – 25 mg.</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Greitiems ir vidutiniams metabolizuotojams</w:t>
      </w:r>
    </w:p>
    <w:p w:rsidR="002A1BE8" w:rsidRPr="001E2876" w:rsidRDefault="002A1BE8" w:rsidP="00DE5A01">
      <w:pPr>
        <w:spacing w:line="240" w:lineRule="auto"/>
        <w:rPr>
          <w:lang w:val="lt-LT"/>
        </w:rPr>
      </w:pPr>
      <w:r w:rsidRPr="001E2876">
        <w:rPr>
          <w:lang w:val="lt-LT"/>
        </w:rPr>
        <w:t>Pacientų, kurių organizme nuo CYP2D6 priklausomas metabolizmas yra greitas arba vidutinis, chorėjai palengvinti gali reikėti daugiau kaip 50 mg tetrabenazino per parą. Dozę reikia didinti lėtai (kas savaitę po 12,5 mg per parą). Didžiausia rekomenduojama paros dozė yra 100 mg, didžiausia rekomenduojama vienkartinė – 37,5 mg.</w:t>
      </w:r>
    </w:p>
    <w:p w:rsidR="002A1BE8" w:rsidRPr="001E2876" w:rsidRDefault="002A1BE8" w:rsidP="00DE5A01">
      <w:pPr>
        <w:tabs>
          <w:tab w:val="left" w:pos="720"/>
        </w:tabs>
        <w:spacing w:line="240" w:lineRule="auto"/>
        <w:rPr>
          <w:u w:val="single"/>
          <w:lang w:val="lt-LT"/>
        </w:rPr>
      </w:pPr>
    </w:p>
    <w:p w:rsidR="002A1BE8" w:rsidRPr="001E2876" w:rsidRDefault="002A1BE8" w:rsidP="00DE5A01">
      <w:pPr>
        <w:spacing w:line="240" w:lineRule="auto"/>
        <w:rPr>
          <w:u w:val="single"/>
          <w:lang w:val="lt-LT"/>
        </w:rPr>
      </w:pPr>
      <w:r w:rsidRPr="001E2876">
        <w:rPr>
          <w:u w:val="single"/>
          <w:lang w:val="lt-LT"/>
        </w:rPr>
        <w:t xml:space="preserve">Vartojimo metodas </w:t>
      </w:r>
    </w:p>
    <w:p w:rsidR="002A1BE8" w:rsidRPr="001E2876" w:rsidRDefault="002A1BE8" w:rsidP="00DE5A01">
      <w:pPr>
        <w:spacing w:line="240" w:lineRule="auto"/>
        <w:rPr>
          <w:lang w:val="lt-LT"/>
        </w:rPr>
      </w:pPr>
      <w:r w:rsidRPr="001E2876">
        <w:rPr>
          <w:lang w:val="lt-LT"/>
        </w:rPr>
        <w:t xml:space="preserve">Šios tabletės vartojamos per burną. </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4.3</w:t>
      </w:r>
      <w:r w:rsidRPr="001E2876">
        <w:rPr>
          <w:rFonts w:ascii="Times New Roman" w:hAnsi="Times New Roman" w:cs="Times New Roman"/>
          <w:sz w:val="22"/>
          <w:szCs w:val="22"/>
          <w:lang w:val="lt-LT"/>
        </w:rPr>
        <w:tab/>
        <w:t>Kontraindikacijos</w:t>
      </w:r>
    </w:p>
    <w:p w:rsidR="002A1BE8" w:rsidRPr="001E2876" w:rsidRDefault="002A1BE8" w:rsidP="00DE5A01">
      <w:pPr>
        <w:pStyle w:val="Sraopastraipa"/>
        <w:ind w:left="0"/>
        <w:rPr>
          <w:sz w:val="22"/>
          <w:szCs w:val="22"/>
          <w:lang w:val="lt-LT"/>
        </w:rPr>
      </w:pPr>
    </w:p>
    <w:p w:rsidR="002A1BE8" w:rsidRPr="001E2876" w:rsidRDefault="002A1BE8" w:rsidP="00DE5A01">
      <w:pPr>
        <w:pStyle w:val="Sraopastraipa"/>
        <w:numPr>
          <w:ilvl w:val="0"/>
          <w:numId w:val="6"/>
        </w:numPr>
        <w:rPr>
          <w:sz w:val="22"/>
          <w:szCs w:val="22"/>
          <w:lang w:val="lt-LT"/>
        </w:rPr>
      </w:pPr>
      <w:r w:rsidRPr="001E2876">
        <w:rPr>
          <w:sz w:val="22"/>
          <w:szCs w:val="22"/>
          <w:lang w:val="lt-LT"/>
        </w:rPr>
        <w:t>Padidėjęs jautrumas veikliajai arba bet kuriai 6.1 skyriuje nurodytai pagalbinei medžiagai.</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kurie šiuo metu turi minčių apie savižudybę arba savižudiškai elgiasi (žr. 4.4 ir 4.8 skyrius).</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sergantiems negydyta ar netinkamai gydyta depresija (žr. 4.4 ir 4.8 skyrius).</w:t>
      </w:r>
    </w:p>
    <w:p w:rsidR="002A1BE8" w:rsidRPr="001E2876" w:rsidRDefault="002A1BE8" w:rsidP="00DE5A01">
      <w:pPr>
        <w:pStyle w:val="Sraopastraipa"/>
        <w:numPr>
          <w:ilvl w:val="0"/>
          <w:numId w:val="6"/>
        </w:numPr>
        <w:rPr>
          <w:sz w:val="22"/>
          <w:szCs w:val="22"/>
          <w:lang w:val="lt-LT"/>
        </w:rPr>
      </w:pPr>
      <w:r w:rsidRPr="001E2876">
        <w:rPr>
          <w:sz w:val="22"/>
          <w:szCs w:val="22"/>
          <w:lang w:val="lt-LT"/>
        </w:rPr>
        <w:t>Žindymas.</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kurie vartoja arba per paskutines 14 dienų vartojo monoaminooksidazės inhibitorių (MAOI) (žr. 4.5 ir 4.8 skyrius).</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kurių kepenų funkcija sutrikusi (</w:t>
      </w:r>
      <w:r w:rsidRPr="006B256C">
        <w:rPr>
          <w:i/>
          <w:iCs/>
          <w:sz w:val="22"/>
          <w:szCs w:val="22"/>
          <w:lang w:val="lt-LT"/>
        </w:rPr>
        <w:t>Child-Pugh</w:t>
      </w:r>
      <w:r w:rsidRPr="001E2876">
        <w:rPr>
          <w:sz w:val="22"/>
          <w:szCs w:val="22"/>
          <w:lang w:val="lt-LT"/>
        </w:rPr>
        <w:t xml:space="preserve"> klasė nuo A iki C,</w:t>
      </w:r>
      <w:r>
        <w:rPr>
          <w:sz w:val="22"/>
          <w:szCs w:val="22"/>
          <w:lang w:val="lt-LT"/>
        </w:rPr>
        <w:t xml:space="preserve"> </w:t>
      </w:r>
      <w:r w:rsidRPr="001E2876">
        <w:rPr>
          <w:sz w:val="22"/>
          <w:szCs w:val="22"/>
          <w:lang w:val="lt-LT"/>
        </w:rPr>
        <w:t>rodiklis ≥ 5) (žr. 4.2, 4.4 ir 5.2 skyrius).</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kurie vartoja arba per paskutines 20 dienų vartojo rezerpino (žr. 4.5 ir 5.1 skyrius).</w:t>
      </w:r>
    </w:p>
    <w:p w:rsidR="002A1BE8" w:rsidRPr="001E2876" w:rsidRDefault="002A1BE8" w:rsidP="00DE5A01">
      <w:pPr>
        <w:pStyle w:val="Sraopastraipa"/>
        <w:numPr>
          <w:ilvl w:val="0"/>
          <w:numId w:val="6"/>
        </w:numPr>
        <w:rPr>
          <w:sz w:val="22"/>
          <w:szCs w:val="22"/>
          <w:lang w:val="lt-LT"/>
        </w:rPr>
      </w:pPr>
      <w:r w:rsidRPr="001E2876">
        <w:rPr>
          <w:sz w:val="22"/>
          <w:szCs w:val="22"/>
          <w:lang w:val="lt-LT"/>
        </w:rPr>
        <w:t>Pacientams, sergantiems parkinsonizmu arba hipokinezės-rigidiškumo sindromu.</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4.4</w:t>
      </w:r>
      <w:r w:rsidRPr="001E2876">
        <w:rPr>
          <w:rFonts w:ascii="Times New Roman" w:hAnsi="Times New Roman" w:cs="Times New Roman"/>
          <w:sz w:val="22"/>
          <w:szCs w:val="22"/>
          <w:lang w:val="lt-LT"/>
        </w:rPr>
        <w:tab/>
        <w:t>Specialūs įspėjimai ir atsargumo priemonės</w:t>
      </w:r>
    </w:p>
    <w:p w:rsidR="002A1BE8" w:rsidRPr="001E2876" w:rsidRDefault="002A1BE8" w:rsidP="00DE5A01">
      <w:pPr>
        <w:spacing w:line="240" w:lineRule="auto"/>
        <w:rPr>
          <w:lang w:val="lt-LT"/>
        </w:rPr>
      </w:pPr>
    </w:p>
    <w:p w:rsidR="002A1BE8" w:rsidRPr="001E2876" w:rsidRDefault="002A1BE8" w:rsidP="00DE5A01">
      <w:pPr>
        <w:pStyle w:val="prastojitrauka"/>
        <w:spacing w:after="0"/>
        <w:ind w:left="0"/>
        <w:rPr>
          <w:lang w:val="lt-LT"/>
        </w:rPr>
      </w:pPr>
      <w:r w:rsidRPr="001E2876">
        <w:rPr>
          <w:lang w:val="lt-LT"/>
        </w:rPr>
        <w:t>Tinkamiausią tetrabenazino dozę kiekvienam pacientui reikia parinkti individualiai. Pirmą kartą pradėto vartoti tetrabenazino dozė lėtai (kelias savaites) didinama, kad paaiškėtų, kokia palengvina chorėją ir yra gerai toleruojama (žr. 4.2 skyrių). Jeigu pasireiškia nepageidaujamas poveikis, kuris nepraeina ir nesilpnėja, reikia svarstyti galimybę nutraukti tetrabenazino vartojimą.</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lang w:val="lt-LT"/>
        </w:rPr>
      </w:pPr>
      <w:r w:rsidRPr="001E2876">
        <w:rPr>
          <w:lang w:val="lt-LT"/>
        </w:rPr>
        <w:t xml:space="preserve">Parinkus stabilią vaistinio preparato dozę, reikia periodiškai vertinti jo poveikį atsižvelgiant į gydomą ligą. </w:t>
      </w:r>
    </w:p>
    <w:p w:rsidR="002A1BE8" w:rsidRPr="001E2876" w:rsidRDefault="002A1BE8" w:rsidP="00DE5A01">
      <w:pPr>
        <w:pStyle w:val="prastojitrauka"/>
        <w:spacing w:after="0"/>
        <w:ind w:left="0"/>
        <w:rPr>
          <w:lang w:val="lt-LT"/>
        </w:rPr>
      </w:pPr>
    </w:p>
    <w:p w:rsidR="002A1BE8" w:rsidRPr="001E2876" w:rsidRDefault="002A1BE8" w:rsidP="00DE5A01">
      <w:pPr>
        <w:autoSpaceDE w:val="0"/>
        <w:autoSpaceDN w:val="0"/>
        <w:adjustRightInd w:val="0"/>
        <w:spacing w:line="240" w:lineRule="auto"/>
        <w:rPr>
          <w:u w:val="single"/>
          <w:lang w:val="lt-LT"/>
        </w:rPr>
      </w:pPr>
      <w:r w:rsidRPr="001E2876">
        <w:rPr>
          <w:u w:val="single"/>
          <w:lang w:val="lt-LT"/>
        </w:rPr>
        <w:lastRenderedPageBreak/>
        <w:t>Depresija</w:t>
      </w:r>
      <w:r>
        <w:rPr>
          <w:u w:val="single"/>
          <w:lang w:val="lt-LT"/>
        </w:rPr>
        <w:t>,</w:t>
      </w:r>
      <w:r w:rsidRPr="001E2876">
        <w:rPr>
          <w:u w:val="single"/>
          <w:lang w:val="lt-LT"/>
        </w:rPr>
        <w:t xml:space="preserve"> </w:t>
      </w:r>
      <w:r>
        <w:rPr>
          <w:u w:val="single"/>
          <w:lang w:val="lt-LT"/>
        </w:rPr>
        <w:t xml:space="preserve">polinkis į </w:t>
      </w:r>
      <w:r w:rsidRPr="001E2876">
        <w:rPr>
          <w:u w:val="single"/>
          <w:lang w:val="lt-LT"/>
        </w:rPr>
        <w:t>savižud</w:t>
      </w:r>
      <w:r>
        <w:rPr>
          <w:u w:val="single"/>
          <w:lang w:val="lt-LT"/>
        </w:rPr>
        <w:t>ybę</w:t>
      </w:r>
    </w:p>
    <w:p w:rsidR="002A1BE8" w:rsidRPr="001E2876" w:rsidRDefault="002A1BE8" w:rsidP="00DE5A01">
      <w:pPr>
        <w:autoSpaceDE w:val="0"/>
        <w:autoSpaceDN w:val="0"/>
        <w:adjustRightInd w:val="0"/>
        <w:spacing w:line="240" w:lineRule="auto"/>
        <w:rPr>
          <w:lang w:val="lt-LT" w:eastAsia="en-GB"/>
        </w:rPr>
      </w:pPr>
      <w:r w:rsidRPr="001E2876">
        <w:rPr>
          <w:lang w:val="lt-LT"/>
        </w:rPr>
        <w:t>Tetrabenazinas gali sukelti ar pasunkinti depresiją. Be to, šio vaistinio preparato vartojantiems pacientams užfiksuota savižudiškų minčių ir savižudiško elgesio atvejų</w:t>
      </w:r>
      <w:r w:rsidRPr="001E2876">
        <w:rPr>
          <w:lang w:val="lt-LT" w:eastAsia="en-GB"/>
        </w:rPr>
        <w:t xml:space="preserve">. Dėl to pacientus, sirgusius depresija, mėginusius nusižudyti arba turėjusius minčių apie savižudybę, reikia gydyti ypač atsargiai (taip pat žr. 4.3 skyrių). </w:t>
      </w:r>
      <w:r w:rsidRPr="001E2876">
        <w:rPr>
          <w:lang w:val="lt-LT"/>
        </w:rPr>
        <w:t xml:space="preserve">Pacientams, kurie šiuo metu turi minčių apie savižudybę, savižudiškai elgiasi arba serga negydyta ar netinkamai gydyta depresija, tetrabenazino vartoti negalima </w:t>
      </w:r>
      <w:r w:rsidRPr="001E2876">
        <w:rPr>
          <w:lang w:val="lt-LT" w:eastAsia="en-GB"/>
        </w:rPr>
        <w:t>(žr. 4.3, 4.8 skyrius).</w:t>
      </w:r>
    </w:p>
    <w:p w:rsidR="002A1BE8" w:rsidRPr="001E2876" w:rsidRDefault="002A1BE8" w:rsidP="00DE5A01">
      <w:pPr>
        <w:autoSpaceDE w:val="0"/>
        <w:autoSpaceDN w:val="0"/>
        <w:adjustRightInd w:val="0"/>
        <w:spacing w:line="240" w:lineRule="auto"/>
        <w:rPr>
          <w:lang w:val="lt-LT" w:eastAsia="en-GB"/>
        </w:rPr>
      </w:pPr>
    </w:p>
    <w:p w:rsidR="002A1BE8" w:rsidRPr="001E2876" w:rsidRDefault="002A1BE8" w:rsidP="00DE5A01">
      <w:pPr>
        <w:autoSpaceDE w:val="0"/>
        <w:autoSpaceDN w:val="0"/>
        <w:adjustRightInd w:val="0"/>
        <w:spacing w:line="240" w:lineRule="auto"/>
        <w:rPr>
          <w:lang w:val="lt-LT" w:eastAsia="en-GB"/>
        </w:rPr>
      </w:pPr>
      <w:r w:rsidRPr="001E2876">
        <w:rPr>
          <w:lang w:val="lt-LT" w:eastAsia="en-GB"/>
        </w:rPr>
        <w:t>Dėl tokių galimų nepageidaujamų reiškinių pacientus reikia atidžiai stebėti. Juos ir jų globėjus būtina įspėti apie galimus pavojus ir paprašyti, kad, įtarę tokių reiškinių, nedelsdami apie tai praneštų gydytojui.</w:t>
      </w:r>
    </w:p>
    <w:p w:rsidR="002A1BE8" w:rsidRPr="001E2876" w:rsidRDefault="002A1BE8" w:rsidP="00DE5A01">
      <w:pPr>
        <w:autoSpaceDE w:val="0"/>
        <w:autoSpaceDN w:val="0"/>
        <w:adjustRightInd w:val="0"/>
        <w:spacing w:line="240" w:lineRule="auto"/>
        <w:rPr>
          <w:lang w:val="lt-LT" w:eastAsia="en-GB"/>
        </w:rPr>
      </w:pPr>
    </w:p>
    <w:p w:rsidR="002A1BE8" w:rsidRPr="001E2876" w:rsidRDefault="002A1BE8" w:rsidP="00DE5A01">
      <w:pPr>
        <w:autoSpaceDE w:val="0"/>
        <w:autoSpaceDN w:val="0"/>
        <w:adjustRightInd w:val="0"/>
        <w:spacing w:line="240" w:lineRule="auto"/>
        <w:rPr>
          <w:lang w:val="lt-LT"/>
        </w:rPr>
      </w:pPr>
      <w:r w:rsidRPr="001E2876">
        <w:rPr>
          <w:lang w:val="lt-LT"/>
        </w:rPr>
        <w:t>Pasireiškusią depresiją ar mintis apie savižudybę gali palengvinti tetrabenazino dozės sumažinimas ir (ar) gydymas antidepresantu. Jeigu depresija yra gili, mintys apie savižudybę grėsmingos arba nepraeina, svarstytina būtinybė nutraukti tetrabenazino vartojimą ir skirti antidepresanto.</w:t>
      </w:r>
    </w:p>
    <w:p w:rsidR="002A1BE8" w:rsidRPr="001E2876" w:rsidRDefault="002A1BE8" w:rsidP="00DE5A01">
      <w:pPr>
        <w:autoSpaceDE w:val="0"/>
        <w:autoSpaceDN w:val="0"/>
        <w:adjustRightInd w:val="0"/>
        <w:spacing w:line="240" w:lineRule="auto"/>
        <w:rPr>
          <w:i/>
          <w:iCs/>
          <w:lang w:val="lt-LT"/>
        </w:rPr>
      </w:pPr>
    </w:p>
    <w:p w:rsidR="002A1BE8" w:rsidRPr="001E2876" w:rsidRDefault="002A1BE8" w:rsidP="00DE5A01">
      <w:pPr>
        <w:autoSpaceDE w:val="0"/>
        <w:autoSpaceDN w:val="0"/>
        <w:adjustRightInd w:val="0"/>
        <w:spacing w:line="240" w:lineRule="auto"/>
        <w:rPr>
          <w:u w:val="single"/>
          <w:lang w:val="lt-LT"/>
        </w:rPr>
      </w:pPr>
      <w:r w:rsidRPr="001E2876">
        <w:rPr>
          <w:u w:val="single"/>
          <w:lang w:val="lt-LT"/>
        </w:rPr>
        <w:t>Pyktis ir agresyvumas</w:t>
      </w:r>
    </w:p>
    <w:p w:rsidR="002A1BE8" w:rsidRPr="001E2876" w:rsidRDefault="002A1BE8" w:rsidP="00DE5A01">
      <w:pPr>
        <w:autoSpaceDE w:val="0"/>
        <w:autoSpaceDN w:val="0"/>
        <w:adjustRightInd w:val="0"/>
        <w:spacing w:line="240" w:lineRule="auto"/>
        <w:rPr>
          <w:lang w:val="lt-LT"/>
        </w:rPr>
      </w:pPr>
      <w:r w:rsidRPr="001E2876">
        <w:rPr>
          <w:lang w:val="lt-LT"/>
        </w:rPr>
        <w:t>Pacientams, sergantiems ar sirgusiems depresija arba kita psichikos liga, gali atsirasti pyktis, jie gali pradėti elgtis agresyviai. Jeigu tokių sutrikimų jau yra, jie gali pasunkėti.</w:t>
      </w:r>
    </w:p>
    <w:p w:rsidR="002A1BE8" w:rsidRPr="001E2876" w:rsidRDefault="002A1BE8" w:rsidP="00DE5A01">
      <w:pPr>
        <w:autoSpaceDE w:val="0"/>
        <w:autoSpaceDN w:val="0"/>
        <w:adjustRightInd w:val="0"/>
        <w:spacing w:line="240" w:lineRule="auto"/>
        <w:rPr>
          <w:u w:val="single"/>
          <w:lang w:val="lt-LT"/>
        </w:rPr>
      </w:pPr>
    </w:p>
    <w:p w:rsidR="002A1BE8" w:rsidRPr="001E2876" w:rsidRDefault="002A1BE8" w:rsidP="00DE5A01">
      <w:pPr>
        <w:autoSpaceDE w:val="0"/>
        <w:autoSpaceDN w:val="0"/>
        <w:adjustRightInd w:val="0"/>
        <w:spacing w:line="240" w:lineRule="auto"/>
        <w:rPr>
          <w:u w:val="single"/>
          <w:lang w:val="lt-LT"/>
        </w:rPr>
      </w:pPr>
      <w:r w:rsidRPr="001E2876">
        <w:rPr>
          <w:u w:val="single"/>
          <w:lang w:val="lt-LT"/>
        </w:rPr>
        <w:t>Parkinsonizmas</w:t>
      </w:r>
    </w:p>
    <w:p w:rsidR="002A1BE8" w:rsidRPr="001E2876" w:rsidRDefault="002A1BE8" w:rsidP="00DE5A01">
      <w:pPr>
        <w:autoSpaceDE w:val="0"/>
        <w:autoSpaceDN w:val="0"/>
        <w:adjustRightInd w:val="0"/>
        <w:spacing w:line="240" w:lineRule="auto"/>
        <w:rPr>
          <w:lang w:val="lt-LT"/>
        </w:rPr>
      </w:pPr>
      <w:r w:rsidRPr="001E2876">
        <w:rPr>
          <w:lang w:val="lt-LT"/>
        </w:rPr>
        <w:t xml:space="preserve">Pacientams, sergantiems parkinsonizmu, tetrabenazino vartoti negalima (žr. 4.3 skyrių). Šis vaistinis preparatas gali sukelti parkinsonizmą ar pasunkinti esamus Parkinsono ligos simptomus. Esant klinikiniam poreikiui būtina sumažinti tetrabenazino dozę, kad toks nepageidaujamas poveikis palengvėtų. </w:t>
      </w:r>
    </w:p>
    <w:p w:rsidR="002A1BE8" w:rsidRPr="001E2876" w:rsidRDefault="002A1BE8" w:rsidP="00DE5A01">
      <w:pPr>
        <w:autoSpaceDE w:val="0"/>
        <w:autoSpaceDN w:val="0"/>
        <w:adjustRightInd w:val="0"/>
        <w:spacing w:line="240" w:lineRule="auto"/>
        <w:rPr>
          <w:i/>
          <w:iCs/>
          <w:lang w:val="lt-LT"/>
        </w:rPr>
      </w:pPr>
    </w:p>
    <w:p w:rsidR="002A1BE8" w:rsidRPr="001E2876" w:rsidRDefault="002A1BE8" w:rsidP="00DE5A01">
      <w:pPr>
        <w:autoSpaceDE w:val="0"/>
        <w:autoSpaceDN w:val="0"/>
        <w:adjustRightInd w:val="0"/>
        <w:spacing w:line="240" w:lineRule="auto"/>
        <w:rPr>
          <w:u w:val="single"/>
          <w:lang w:val="lt-LT"/>
        </w:rPr>
      </w:pPr>
      <w:r w:rsidRPr="001E2876">
        <w:rPr>
          <w:u w:val="single"/>
          <w:lang w:val="lt-LT"/>
        </w:rPr>
        <w:t>Vėlyvoji diskinezija</w:t>
      </w:r>
    </w:p>
    <w:p w:rsidR="002A1BE8" w:rsidRPr="001E2876" w:rsidRDefault="002A1BE8" w:rsidP="00DE5A01">
      <w:pPr>
        <w:autoSpaceDE w:val="0"/>
        <w:autoSpaceDN w:val="0"/>
        <w:adjustRightInd w:val="0"/>
        <w:spacing w:line="240" w:lineRule="auto"/>
        <w:rPr>
          <w:i/>
          <w:iCs/>
          <w:lang w:val="lt-LT"/>
        </w:rPr>
      </w:pPr>
      <w:r w:rsidRPr="001E2876">
        <w:rPr>
          <w:lang w:val="lt-LT"/>
        </w:rPr>
        <w:t>Tetrabenazinas mažina monoaminų kiekį CNS, todėl gali sukelti ekstrapiramidinių simptomų ir (teoriškai) vėlyvąją diskineziją žmonėms.</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pStyle w:val="Pagrindiniotekstotrauka"/>
        <w:ind w:left="0"/>
        <w:rPr>
          <w:b/>
          <w:bCs/>
          <w:u w:val="single"/>
          <w:lang w:val="lt-LT"/>
        </w:rPr>
      </w:pPr>
      <w:r>
        <w:rPr>
          <w:u w:val="single"/>
          <w:lang w:val="lt-LT"/>
        </w:rPr>
        <w:t>P</w:t>
      </w:r>
      <w:r w:rsidRPr="001E2876">
        <w:rPr>
          <w:u w:val="single"/>
          <w:lang w:val="lt-LT"/>
        </w:rPr>
        <w:t>iktybinis</w:t>
      </w:r>
      <w:r>
        <w:rPr>
          <w:u w:val="single"/>
          <w:lang w:val="lt-LT"/>
        </w:rPr>
        <w:t xml:space="preserve"> neurolepsinis</w:t>
      </w:r>
      <w:r w:rsidRPr="001E2876">
        <w:rPr>
          <w:u w:val="single"/>
          <w:lang w:val="lt-LT"/>
        </w:rPr>
        <w:t xml:space="preserve"> sindromas</w:t>
      </w:r>
    </w:p>
    <w:p w:rsidR="002A1BE8" w:rsidRPr="001E2876" w:rsidRDefault="002A1BE8" w:rsidP="00DE5A01">
      <w:pPr>
        <w:widowControl w:val="0"/>
        <w:spacing w:line="240" w:lineRule="auto"/>
        <w:rPr>
          <w:lang w:val="lt-LT"/>
        </w:rPr>
      </w:pPr>
      <w:r w:rsidRPr="001E2876">
        <w:rPr>
          <w:lang w:val="lt-LT"/>
        </w:rPr>
        <w:t>Gauta pranešimų apie labai retus piktybinio</w:t>
      </w:r>
      <w:r w:rsidRPr="005054C1">
        <w:rPr>
          <w:u w:val="single"/>
          <w:lang w:val="lt-LT"/>
        </w:rPr>
        <w:t xml:space="preserve"> </w:t>
      </w:r>
      <w:r>
        <w:rPr>
          <w:u w:val="single"/>
          <w:lang w:val="lt-LT"/>
        </w:rPr>
        <w:t>neurolepsinio</w:t>
      </w:r>
      <w:r w:rsidRPr="001E2876">
        <w:rPr>
          <w:lang w:val="lt-LT"/>
        </w:rPr>
        <w:t xml:space="preserve"> sindromo (toliau – P</w:t>
      </w:r>
      <w:r>
        <w:rPr>
          <w:lang w:val="lt-LT"/>
        </w:rPr>
        <w:t>N</w:t>
      </w:r>
      <w:r w:rsidRPr="001E2876">
        <w:rPr>
          <w:lang w:val="lt-LT"/>
        </w:rPr>
        <w:t>S) pasireiškimo vartojant tetrabenazino atvejus. Toks sindromas gali pasireikšti netrukus po to, kai pradedama vartoti šio vaistinio preparato, pakeičiama jo dozė arba gydžius ilgai. Klinikiniai P</w:t>
      </w:r>
      <w:r>
        <w:rPr>
          <w:lang w:val="lt-LT"/>
        </w:rPr>
        <w:t>N</w:t>
      </w:r>
      <w:r w:rsidRPr="001E2876">
        <w:rPr>
          <w:lang w:val="lt-LT"/>
        </w:rPr>
        <w:t>S reiškiniai yra hiperpireksija, rigidiški</w:t>
      </w:r>
      <w:r>
        <w:rPr>
          <w:lang w:val="lt-LT"/>
        </w:rPr>
        <w:t xml:space="preserve"> </w:t>
      </w:r>
      <w:r w:rsidRPr="001E2876">
        <w:rPr>
          <w:lang w:val="lt-LT"/>
        </w:rPr>
        <w:t>raumenys, pakitusi psichikos būklė ir nestabili autonominė nervų sistema (nereguliarus pulsas, nestabilus kraujospūdis, tachikardija, prakaitavimas, širdies aritmija). Be to, gali padidėti kreatinkinazės koncentracija, pasireikšti mioglobinurija, rabdomiolizė ir ištikti ūminis inkstų nepakankamumas. Įtarus P</w:t>
      </w:r>
      <w:r>
        <w:rPr>
          <w:lang w:val="lt-LT"/>
        </w:rPr>
        <w:t>N</w:t>
      </w:r>
      <w:r w:rsidRPr="001E2876">
        <w:rPr>
          <w:lang w:val="lt-LT"/>
        </w:rPr>
        <w:t>S, reikia nedelsiant nutraukti tetrabenazino vartojimą ir pradėti atitinkamą palaikomąjį gydymą.</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lang w:val="lt-LT"/>
        </w:rPr>
        <w:t>Jeigu, praėjus P</w:t>
      </w:r>
      <w:r>
        <w:rPr>
          <w:lang w:val="lt-LT"/>
        </w:rPr>
        <w:t>N</w:t>
      </w:r>
      <w:r w:rsidRPr="001E2876">
        <w:rPr>
          <w:lang w:val="lt-LT"/>
        </w:rPr>
        <w:t>S, reikia toliau vartoti tetrabenazino, tolesnio šio vaistinio preparato vartojimo galimybę reikia kruopščiai apsvarstyti. Pacientą būtina atidžiai stebėti, kadangi buvo P</w:t>
      </w:r>
      <w:r>
        <w:rPr>
          <w:lang w:val="lt-LT"/>
        </w:rPr>
        <w:t>N</w:t>
      </w:r>
      <w:r w:rsidRPr="001E2876">
        <w:rPr>
          <w:lang w:val="lt-LT"/>
        </w:rPr>
        <w:t>S pasikartojimo atvejų.</w:t>
      </w:r>
    </w:p>
    <w:p w:rsidR="002A1BE8" w:rsidRPr="001E2876" w:rsidRDefault="002A1BE8" w:rsidP="00DE5A01">
      <w:pPr>
        <w:widowControl w:val="0"/>
        <w:spacing w:line="240" w:lineRule="auto"/>
        <w:rPr>
          <w:u w:val="single"/>
          <w:lang w:val="lt-LT" w:eastAsia="en-GB"/>
        </w:rPr>
      </w:pPr>
    </w:p>
    <w:p w:rsidR="002A1BE8" w:rsidRPr="001E2876" w:rsidRDefault="002A1BE8" w:rsidP="00DE5A01">
      <w:pPr>
        <w:autoSpaceDE w:val="0"/>
        <w:autoSpaceDN w:val="0"/>
        <w:adjustRightInd w:val="0"/>
        <w:spacing w:line="240" w:lineRule="auto"/>
        <w:rPr>
          <w:u w:val="single"/>
          <w:lang w:val="lt-LT" w:eastAsia="en-GB"/>
        </w:rPr>
      </w:pPr>
      <w:r w:rsidRPr="001E2876">
        <w:rPr>
          <w:u w:val="single"/>
          <w:lang w:val="lt-LT" w:eastAsia="en-GB"/>
        </w:rPr>
        <w:t>Pailgėjęs koreguotas QT intervalas</w:t>
      </w:r>
    </w:p>
    <w:p w:rsidR="002A1BE8" w:rsidRPr="001E2876" w:rsidRDefault="002A1BE8" w:rsidP="00DE5A01">
      <w:pPr>
        <w:autoSpaceDE w:val="0"/>
        <w:autoSpaceDN w:val="0"/>
        <w:adjustRightInd w:val="0"/>
        <w:spacing w:line="240" w:lineRule="auto"/>
        <w:rPr>
          <w:lang w:val="lt-LT" w:eastAsia="en-GB"/>
        </w:rPr>
      </w:pPr>
      <w:r w:rsidRPr="001E2876">
        <w:rPr>
          <w:lang w:val="lt-LT" w:eastAsia="en-GB"/>
        </w:rPr>
        <w:t>Tetrabenazinas šiek tiek (iki 8 ms) pailgina koreguotą QT intervalą.</w:t>
      </w:r>
    </w:p>
    <w:p w:rsidR="002A1BE8" w:rsidRPr="001E2876" w:rsidRDefault="002A1BE8" w:rsidP="00DE5A01">
      <w:pPr>
        <w:autoSpaceDE w:val="0"/>
        <w:autoSpaceDN w:val="0"/>
        <w:adjustRightInd w:val="0"/>
        <w:spacing w:line="240" w:lineRule="auto"/>
        <w:rPr>
          <w:lang w:val="lt-LT" w:eastAsia="en-GB"/>
        </w:rPr>
      </w:pPr>
      <w:r w:rsidRPr="001E2876">
        <w:rPr>
          <w:lang w:val="lt-LT" w:eastAsia="en-GB"/>
        </w:rPr>
        <w:t>Jo atsargiai skiriama kartu su kitais koreguotą QT intervalą ilginančiais vaistiniais preparatais, taip pat įgimto ilgo koreguoto QT intervalo sindromu sergantiems pacientams, esant ar buvus širdies ritmo sutrikimų (žr. 4.5 ir 5.1 skyrius) bei</w:t>
      </w:r>
      <w:r w:rsidRPr="001E2876">
        <w:rPr>
          <w:lang w:val="lt-LT"/>
        </w:rPr>
        <w:t xml:space="preserve"> sutrikus </w:t>
      </w:r>
      <w:r w:rsidRPr="001E2876">
        <w:rPr>
          <w:lang w:val="lt-LT" w:eastAsia="en-GB"/>
        </w:rPr>
        <w:t>elektrolitų pusiausvyrai (pvz., esant hipokalemijai).</w:t>
      </w:r>
    </w:p>
    <w:p w:rsidR="002A1BE8" w:rsidRPr="001E2876" w:rsidRDefault="002A1BE8" w:rsidP="00DE5A01">
      <w:pPr>
        <w:autoSpaceDE w:val="0"/>
        <w:autoSpaceDN w:val="0"/>
        <w:adjustRightInd w:val="0"/>
        <w:spacing w:line="240" w:lineRule="auto"/>
        <w:rPr>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Širdies ligos</w:t>
      </w:r>
    </w:p>
    <w:p w:rsidR="002A1BE8" w:rsidRPr="001E2876" w:rsidRDefault="002A1BE8" w:rsidP="00DE5A01">
      <w:pPr>
        <w:pStyle w:val="Default"/>
        <w:rPr>
          <w:sz w:val="22"/>
          <w:szCs w:val="22"/>
          <w:lang w:val="lt-LT" w:eastAsia="fi-FI"/>
        </w:rPr>
      </w:pPr>
      <w:r w:rsidRPr="001E2876">
        <w:rPr>
          <w:sz w:val="22"/>
          <w:szCs w:val="22"/>
          <w:lang w:val="lt-LT" w:eastAsia="fi-FI"/>
        </w:rPr>
        <w:t>Pacientams, neseniai patyrusiems miokardo infarktą ar sergantiems nestabiliomis širdies ligomis, tetrabenazino poveikis netirtas.</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Akatizija, nenustygimas ir ažitacija</w:t>
      </w:r>
    </w:p>
    <w:p w:rsidR="002A1BE8" w:rsidRPr="001E2876" w:rsidRDefault="002A1BE8" w:rsidP="00DE5A01">
      <w:pPr>
        <w:pStyle w:val="Default"/>
        <w:rPr>
          <w:sz w:val="22"/>
          <w:szCs w:val="22"/>
          <w:lang w:val="lt-LT" w:eastAsia="fi-FI"/>
        </w:rPr>
      </w:pPr>
      <w:r w:rsidRPr="001E2876">
        <w:rPr>
          <w:sz w:val="22"/>
          <w:szCs w:val="22"/>
          <w:lang w:val="lt-LT" w:eastAsia="fi-FI"/>
        </w:rPr>
        <w:t>Reikia stebėti, ar tetrabenazino</w:t>
      </w:r>
      <w:r>
        <w:rPr>
          <w:sz w:val="22"/>
          <w:szCs w:val="22"/>
          <w:lang w:val="lt-LT" w:eastAsia="fi-FI"/>
        </w:rPr>
        <w:t xml:space="preserve"> </w:t>
      </w:r>
      <w:r w:rsidRPr="001E2876">
        <w:rPr>
          <w:sz w:val="22"/>
          <w:szCs w:val="22"/>
          <w:lang w:val="lt-LT" w:eastAsia="fi-FI"/>
        </w:rPr>
        <w:t>vartojančiam pacientui nėra akatizijos bei nenustygimo arba</w:t>
      </w:r>
      <w:r>
        <w:rPr>
          <w:sz w:val="22"/>
          <w:szCs w:val="22"/>
          <w:lang w:val="lt-LT" w:eastAsia="fi-FI"/>
        </w:rPr>
        <w:t xml:space="preserve"> </w:t>
      </w:r>
      <w:r w:rsidRPr="001E2876">
        <w:rPr>
          <w:sz w:val="22"/>
          <w:szCs w:val="22"/>
          <w:lang w:val="lt-LT" w:eastAsia="fi-FI"/>
        </w:rPr>
        <w:t>ažitacijos</w:t>
      </w:r>
      <w:r>
        <w:rPr>
          <w:sz w:val="22"/>
          <w:szCs w:val="22"/>
          <w:lang w:val="lt-LT" w:eastAsia="fi-FI"/>
        </w:rPr>
        <w:t xml:space="preserve"> </w:t>
      </w:r>
      <w:r w:rsidRPr="001E2876">
        <w:rPr>
          <w:sz w:val="22"/>
          <w:szCs w:val="22"/>
          <w:lang w:val="lt-LT" w:eastAsia="fi-FI"/>
        </w:rPr>
        <w:t>požymių ir simptomų (jie gali rodyti prasidedančią akatiziją). Jeigu pasireikštų akatizija, reikia sumažinti tetrabenazino dozę, kaikuriems pacientams gali tekti nutraukti šio vaistinio preparato vartojimą.</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Sedacija ir mieguistumas</w:t>
      </w:r>
    </w:p>
    <w:p w:rsidR="002A1BE8" w:rsidRPr="001E2876" w:rsidRDefault="002A1BE8" w:rsidP="00DE5A01">
      <w:pPr>
        <w:pStyle w:val="Default"/>
        <w:rPr>
          <w:sz w:val="22"/>
          <w:szCs w:val="22"/>
          <w:lang w:val="lt-LT" w:eastAsia="fi-FI"/>
        </w:rPr>
      </w:pPr>
      <w:r w:rsidRPr="001E2876">
        <w:rPr>
          <w:sz w:val="22"/>
          <w:szCs w:val="22"/>
          <w:lang w:val="lt-LT" w:eastAsia="fi-FI"/>
        </w:rPr>
        <w:lastRenderedPageBreak/>
        <w:t>Sedacija – tai nepageidaujamas poveikis, dėl kurio dažniausiai tenka riboti tetrabenazino dozę. Pacientą būtina įspėti dėl veiklų, kurioms reikia psichinio budrumo (pvz., motorinių transporto priemonių vairavimo ir darbo su pavojingais įrengimais), kol bus pasiekta palaikomoji tetrabenazino dozė ir paaiškės, kaip jį / ją veikia šis vaistinis preparatas.</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Ortostatinė</w:t>
      </w:r>
      <w:r>
        <w:rPr>
          <w:sz w:val="22"/>
          <w:szCs w:val="22"/>
          <w:u w:val="single"/>
          <w:lang w:val="lt-LT" w:eastAsia="fi-FI"/>
        </w:rPr>
        <w:t xml:space="preserve"> </w:t>
      </w:r>
      <w:r w:rsidRPr="001E2876">
        <w:rPr>
          <w:sz w:val="22"/>
          <w:szCs w:val="22"/>
          <w:u w:val="single"/>
          <w:lang w:val="lt-LT" w:eastAsia="fi-FI"/>
        </w:rPr>
        <w:t>hipotenzija</w:t>
      </w:r>
    </w:p>
    <w:p w:rsidR="002A1BE8" w:rsidRPr="001E2876" w:rsidRDefault="002A1BE8" w:rsidP="00DE5A01">
      <w:pPr>
        <w:pStyle w:val="Default"/>
        <w:rPr>
          <w:sz w:val="22"/>
          <w:szCs w:val="22"/>
          <w:lang w:val="lt-LT" w:eastAsia="fi-FI"/>
        </w:rPr>
      </w:pPr>
      <w:r w:rsidRPr="001E2876">
        <w:rPr>
          <w:sz w:val="22"/>
          <w:szCs w:val="22"/>
          <w:lang w:val="lt-LT" w:eastAsia="fi-FI"/>
        </w:rPr>
        <w:t>Tetrabenazino gydomosios dozės gali sukelti ortostatinę</w:t>
      </w:r>
      <w:r>
        <w:rPr>
          <w:sz w:val="22"/>
          <w:szCs w:val="22"/>
          <w:lang w:val="lt-LT" w:eastAsia="fi-FI"/>
        </w:rPr>
        <w:t xml:space="preserve"> </w:t>
      </w:r>
      <w:r w:rsidRPr="001E2876">
        <w:rPr>
          <w:sz w:val="22"/>
          <w:szCs w:val="22"/>
          <w:lang w:val="lt-LT" w:eastAsia="fi-FI"/>
        </w:rPr>
        <w:t>hipotenziją. Į tai svarbu atsižvelgti, jeigu pacientas gali būti jautrus pačiai ortostatinei</w:t>
      </w:r>
      <w:r>
        <w:rPr>
          <w:sz w:val="22"/>
          <w:szCs w:val="22"/>
          <w:lang w:val="lt-LT" w:eastAsia="fi-FI"/>
        </w:rPr>
        <w:t xml:space="preserve"> </w:t>
      </w:r>
      <w:r w:rsidRPr="001E2876">
        <w:rPr>
          <w:sz w:val="22"/>
          <w:szCs w:val="22"/>
          <w:lang w:val="lt-LT" w:eastAsia="fi-FI"/>
        </w:rPr>
        <w:t>hipotenzijai arba jos pasekmėms. Jei pacientas jautrus hipotenzijai, svarstytina būtinybė tirti gyvybinius požymius stovint.</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Hiperprolaktinemija</w:t>
      </w:r>
    </w:p>
    <w:p w:rsidR="002A1BE8" w:rsidRPr="001E2876" w:rsidRDefault="002A1BE8" w:rsidP="00DE5A01">
      <w:pPr>
        <w:pStyle w:val="Default"/>
        <w:rPr>
          <w:sz w:val="22"/>
          <w:szCs w:val="22"/>
          <w:lang w:val="lt-LT" w:eastAsia="fi-FI"/>
        </w:rPr>
      </w:pPr>
      <w:r w:rsidRPr="001E2876">
        <w:rPr>
          <w:sz w:val="22"/>
          <w:szCs w:val="22"/>
          <w:lang w:val="lt-LT" w:eastAsia="fi-FI"/>
        </w:rPr>
        <w:t>Tetrabenazinas</w:t>
      </w:r>
      <w:r>
        <w:rPr>
          <w:sz w:val="22"/>
          <w:szCs w:val="22"/>
          <w:lang w:val="lt-LT" w:eastAsia="fi-FI"/>
        </w:rPr>
        <w:t xml:space="preserve"> </w:t>
      </w:r>
      <w:r w:rsidRPr="001E2876">
        <w:rPr>
          <w:sz w:val="22"/>
          <w:szCs w:val="22"/>
          <w:lang w:val="lt-LT" w:eastAsia="fi-FI"/>
        </w:rPr>
        <w:t>didina prolaktino koncentraciją žmonių serume. Sveikų savanorių, pavartojusių 25 mg, plazmoje didžiausia prolaktino koncentracija buvo 4</w:t>
      </w:r>
      <w:r w:rsidRPr="001E2876">
        <w:rPr>
          <w:sz w:val="22"/>
          <w:szCs w:val="22"/>
          <w:lang w:val="lt-LT" w:eastAsia="fi-FI"/>
        </w:rPr>
        <w:noBreakHyphen/>
        <w:t xml:space="preserve">5 kartus didesnė. Eksperimentų su auginamais audiniais duomenimis, maždaug 1/3 atvejų žmogaus krūties vėžys priklauso nuo prolaktino </w:t>
      </w:r>
      <w:r w:rsidRPr="001E2876">
        <w:rPr>
          <w:i/>
          <w:iCs/>
          <w:sz w:val="22"/>
          <w:szCs w:val="22"/>
          <w:lang w:val="lt-LT" w:eastAsia="fi-FI"/>
        </w:rPr>
        <w:t>in</w:t>
      </w:r>
      <w:r>
        <w:rPr>
          <w:i/>
          <w:iCs/>
          <w:sz w:val="22"/>
          <w:szCs w:val="22"/>
          <w:lang w:val="lt-LT" w:eastAsia="fi-FI"/>
        </w:rPr>
        <w:t xml:space="preserve"> </w:t>
      </w:r>
      <w:r w:rsidRPr="001E2876">
        <w:rPr>
          <w:i/>
          <w:iCs/>
          <w:sz w:val="22"/>
          <w:szCs w:val="22"/>
          <w:lang w:val="lt-LT" w:eastAsia="fi-FI"/>
        </w:rPr>
        <w:t>vitro</w:t>
      </w:r>
      <w:r w:rsidRPr="001E2876">
        <w:rPr>
          <w:sz w:val="22"/>
          <w:szCs w:val="22"/>
          <w:lang w:val="lt-LT" w:eastAsia="fi-FI"/>
        </w:rPr>
        <w:t>– į tai būtina atsižvelgti svarstant tikslingumą tetrabenazino skirti pacientui (-ei), kuriam (-iai) nustatytas krūties vėžys. Nors dėl padidėjusios prolaktino koncentracijos serume gali pasireikšti amenorėja, galaktorėja, ginekomastija ir impotencija, tačiau jos klinikinė reikšmė daugumai pacientų nežinoma.</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lang w:val="lt-LT" w:eastAsia="fi-FI"/>
        </w:rPr>
      </w:pPr>
      <w:r w:rsidRPr="001E2876">
        <w:rPr>
          <w:sz w:val="22"/>
          <w:szCs w:val="22"/>
          <w:lang w:val="lt-LT" w:eastAsia="fi-FI"/>
        </w:rPr>
        <w:t>Ilgai padidėjusi prolaktino koncentracija serume yra susijusi su maža estrogenų koncentracija ir padidėjusia osteoporozės rizika (kuriant tetrabenaziną tai netirta). Kliniškai įtarus simptominę hiperprolaktinemiją, reikia atlikti atitinkamus laboratorinius tyrimus ir svarstyti būtinybę nutraukti tetrabenazino vartojimą.</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Prisijungimas melanino turinčiuose audiniuose</w:t>
      </w:r>
    </w:p>
    <w:p w:rsidR="002A1BE8" w:rsidRPr="001E2876" w:rsidRDefault="002A1BE8" w:rsidP="00DE5A01">
      <w:pPr>
        <w:pStyle w:val="Default"/>
        <w:rPr>
          <w:sz w:val="22"/>
          <w:szCs w:val="22"/>
          <w:lang w:val="lt-LT" w:eastAsia="fi-FI"/>
        </w:rPr>
      </w:pPr>
      <w:r w:rsidRPr="001E2876">
        <w:rPr>
          <w:sz w:val="22"/>
          <w:szCs w:val="22"/>
          <w:lang w:val="lt-LT" w:eastAsia="fi-FI"/>
        </w:rPr>
        <w:t>Tetrabenazino ar jo metabolitų prisijungia melanino turinčiuose audiniuose ir ilgainiui ten gali susikaupti – tai didina toksinio poveikio jiems galimybę vartojant ilgai. Tetrabenazino prisijungimo melanino turinčiuose audiniuose klinikinė reikšmė nežinoma. Specialių rekomendacijų dėl periodinių akių tyrimų nėra, tačiau šio vaistinio preparato skiriantys gydytojai turi prisiminti jo poveikio akims galimybę vartojant ilgai (žr. 5.1 skyrių).</w:t>
      </w:r>
    </w:p>
    <w:p w:rsidR="002A1BE8" w:rsidRPr="001E2876" w:rsidRDefault="002A1BE8" w:rsidP="00DE5A01">
      <w:pPr>
        <w:pStyle w:val="Default"/>
        <w:rPr>
          <w:sz w:val="22"/>
          <w:szCs w:val="22"/>
          <w:u w:val="single"/>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Disfagija</w:t>
      </w:r>
    </w:p>
    <w:p w:rsidR="002A1BE8" w:rsidRPr="001E2876" w:rsidRDefault="002A1BE8" w:rsidP="00DE5A01">
      <w:pPr>
        <w:pStyle w:val="Default"/>
        <w:rPr>
          <w:sz w:val="22"/>
          <w:szCs w:val="22"/>
          <w:lang w:val="lt-LT" w:eastAsia="fi-FI"/>
        </w:rPr>
      </w:pPr>
      <w:r w:rsidRPr="001E2876">
        <w:rPr>
          <w:sz w:val="22"/>
          <w:szCs w:val="22"/>
          <w:lang w:val="lt-LT" w:eastAsia="fi-FI"/>
        </w:rPr>
        <w:t xml:space="preserve">Disfagija yra vienas iš </w:t>
      </w:r>
      <w:r w:rsidRPr="006B256C">
        <w:rPr>
          <w:i/>
          <w:iCs/>
          <w:sz w:val="22"/>
          <w:szCs w:val="22"/>
          <w:lang w:val="lt-LT"/>
        </w:rPr>
        <w:t>Huntington</w:t>
      </w:r>
      <w:r w:rsidRPr="001E2876">
        <w:rPr>
          <w:sz w:val="22"/>
          <w:szCs w:val="22"/>
          <w:lang w:val="lt-LT"/>
        </w:rPr>
        <w:t xml:space="preserve"> ligos sukeliamų sutrikimų</w:t>
      </w:r>
      <w:r w:rsidRPr="001E2876">
        <w:rPr>
          <w:sz w:val="22"/>
          <w:szCs w:val="22"/>
          <w:lang w:val="lt-LT" w:eastAsia="fi-FI"/>
        </w:rPr>
        <w:t xml:space="preserve">. Be to, dopaminerginių impulsų perdavimą slopinantys vaistiniai preparatai trikdo stemplės judesius ir sukelia disfagiją. Dėl disfagijos gali pasireikšti aspiracinė pneumonija. 12 savaičių dvigubai aklo placebu kontroliuojamo su </w:t>
      </w:r>
      <w:r w:rsidRPr="006B256C">
        <w:rPr>
          <w:i/>
          <w:iCs/>
          <w:sz w:val="22"/>
          <w:szCs w:val="22"/>
          <w:lang w:val="lt-LT"/>
        </w:rPr>
        <w:t>Huntington</w:t>
      </w:r>
      <w:r w:rsidRPr="001E2876">
        <w:rPr>
          <w:sz w:val="22"/>
          <w:szCs w:val="22"/>
          <w:lang w:val="lt-LT"/>
        </w:rPr>
        <w:t xml:space="preserve"> liga susijusios chorėjos</w:t>
      </w:r>
      <w:r>
        <w:rPr>
          <w:sz w:val="22"/>
          <w:szCs w:val="22"/>
          <w:lang w:val="lt-LT"/>
        </w:rPr>
        <w:t xml:space="preserve"> </w:t>
      </w:r>
      <w:r w:rsidRPr="001E2876">
        <w:rPr>
          <w:sz w:val="22"/>
          <w:szCs w:val="22"/>
          <w:lang w:val="lt-LT" w:eastAsia="fi-FI"/>
        </w:rPr>
        <w:t>tyrimo metu disfagija užfiksuota 4 % tetrabenazino ir 3 % placebo vartojusių pacientų. 48 ir 80 savaičių atvirų tyrimų metu disfagija užfiksuota atitinkamai 10 % ir 8 % tetrabenazino</w:t>
      </w:r>
      <w:r>
        <w:rPr>
          <w:sz w:val="22"/>
          <w:szCs w:val="22"/>
          <w:lang w:val="lt-LT" w:eastAsia="fi-FI"/>
        </w:rPr>
        <w:t xml:space="preserve"> </w:t>
      </w:r>
      <w:r w:rsidRPr="001E2876">
        <w:rPr>
          <w:sz w:val="22"/>
          <w:szCs w:val="22"/>
          <w:lang w:val="lt-LT" w:eastAsia="fi-FI"/>
        </w:rPr>
        <w:t>vartojusių pacientų. Kai</w:t>
      </w:r>
      <w:r w:rsidR="006B256C">
        <w:rPr>
          <w:sz w:val="22"/>
          <w:szCs w:val="22"/>
          <w:lang w:val="lt-LT" w:eastAsia="fi-FI"/>
        </w:rPr>
        <w:t xml:space="preserve"> </w:t>
      </w:r>
      <w:r w:rsidRPr="001E2876">
        <w:rPr>
          <w:sz w:val="22"/>
          <w:szCs w:val="22"/>
          <w:lang w:val="lt-LT" w:eastAsia="fi-FI"/>
        </w:rPr>
        <w:t>kuriais atvejais disfagija buvo susijusi su aspiracine pneumonija, tačiau nėra žinoma, ar šiuos reiškinius sukėlė</w:t>
      </w:r>
      <w:r>
        <w:rPr>
          <w:sz w:val="22"/>
          <w:szCs w:val="22"/>
          <w:lang w:val="lt-LT" w:eastAsia="fi-FI"/>
        </w:rPr>
        <w:t xml:space="preserve"> </w:t>
      </w:r>
      <w:r w:rsidRPr="001E2876">
        <w:rPr>
          <w:sz w:val="22"/>
          <w:szCs w:val="22"/>
          <w:lang w:val="lt-LT" w:eastAsia="fi-FI"/>
        </w:rPr>
        <w:t>tetrabenazinas.</w:t>
      </w:r>
    </w:p>
    <w:p w:rsidR="002A1BE8" w:rsidRPr="001E2876" w:rsidRDefault="002A1BE8" w:rsidP="00DE5A01">
      <w:pPr>
        <w:pStyle w:val="Default"/>
        <w:rPr>
          <w:sz w:val="22"/>
          <w:szCs w:val="22"/>
          <w:u w:val="single"/>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Sutrikusi kepenų funkcija</w:t>
      </w:r>
    </w:p>
    <w:p w:rsidR="002A1BE8" w:rsidRPr="001E2876" w:rsidRDefault="002A1BE8" w:rsidP="00DE5A01">
      <w:pPr>
        <w:pStyle w:val="Default"/>
        <w:rPr>
          <w:sz w:val="22"/>
          <w:szCs w:val="22"/>
          <w:lang w:val="lt-LT" w:eastAsia="fi-FI"/>
        </w:rPr>
      </w:pPr>
      <w:r w:rsidRPr="001E2876">
        <w:rPr>
          <w:sz w:val="22"/>
          <w:szCs w:val="22"/>
          <w:lang w:val="lt-LT" w:eastAsia="fi-FI"/>
        </w:rPr>
        <w:t>Tetrabenazino vienos dozės saugumas ir farmakokinetika pacientams, kurių kepenų funkcija sutrikusi (</w:t>
      </w:r>
      <w:r w:rsidRPr="00FE798E">
        <w:rPr>
          <w:i/>
          <w:iCs/>
          <w:sz w:val="22"/>
          <w:szCs w:val="22"/>
          <w:lang w:val="lt-LT"/>
        </w:rPr>
        <w:t>Child</w:t>
      </w:r>
      <w:r w:rsidRPr="001E2876">
        <w:rPr>
          <w:sz w:val="22"/>
          <w:szCs w:val="22"/>
          <w:lang w:val="lt-LT"/>
        </w:rPr>
        <w:t>-</w:t>
      </w:r>
      <w:r w:rsidRPr="00FE798E">
        <w:rPr>
          <w:i/>
          <w:iCs/>
          <w:sz w:val="22"/>
          <w:szCs w:val="22"/>
          <w:lang w:val="lt-LT"/>
        </w:rPr>
        <w:t>Pugh</w:t>
      </w:r>
      <w:r w:rsidRPr="001E2876">
        <w:rPr>
          <w:sz w:val="22"/>
          <w:szCs w:val="22"/>
          <w:lang w:val="lt-LT"/>
        </w:rPr>
        <w:t xml:space="preserve"> klasė nuo A iki C,</w:t>
      </w:r>
      <w:r>
        <w:rPr>
          <w:sz w:val="22"/>
          <w:szCs w:val="22"/>
          <w:lang w:val="lt-LT"/>
        </w:rPr>
        <w:t xml:space="preserve"> </w:t>
      </w:r>
      <w:r w:rsidRPr="001E2876">
        <w:rPr>
          <w:sz w:val="22"/>
          <w:szCs w:val="22"/>
          <w:lang w:val="lt-LT"/>
        </w:rPr>
        <w:t>rodiklis ≥ 5</w:t>
      </w:r>
      <w:r w:rsidRPr="001E2876">
        <w:rPr>
          <w:sz w:val="22"/>
          <w:szCs w:val="22"/>
          <w:lang w:val="lt-LT" w:eastAsia="fi-FI"/>
        </w:rPr>
        <w:t>), pilnai neištirti. Kartotinių tetrabenazino dozių vartojimo sutrikusią kepenų funkciją turintiems pacientams duomenų nėra. Kai kepenų funkcija sutrikusi (</w:t>
      </w:r>
      <w:r w:rsidRPr="001E2876">
        <w:rPr>
          <w:sz w:val="22"/>
          <w:szCs w:val="22"/>
          <w:lang w:val="lt-LT"/>
        </w:rPr>
        <w:t>Child-Pugh rodiklis 5</w:t>
      </w:r>
      <w:r w:rsidRPr="001E2876">
        <w:rPr>
          <w:sz w:val="22"/>
          <w:szCs w:val="22"/>
          <w:lang w:val="lt-LT"/>
        </w:rPr>
        <w:noBreakHyphen/>
        <w:t>9</w:t>
      </w:r>
      <w:r w:rsidRPr="001E2876">
        <w:rPr>
          <w:sz w:val="22"/>
          <w:szCs w:val="22"/>
          <w:lang w:val="lt-LT" w:eastAsia="fi-FI"/>
        </w:rPr>
        <w:t>), tetrabenazinas lėčiau virsta pagrindiniais metabolitais α-HTBZ ir β-HTBZ, tačiau jų ekspozicija</w:t>
      </w:r>
      <w:r>
        <w:rPr>
          <w:sz w:val="22"/>
          <w:szCs w:val="22"/>
          <w:lang w:val="lt-LT" w:eastAsia="fi-FI"/>
        </w:rPr>
        <w:t xml:space="preserve"> </w:t>
      </w:r>
      <w:r w:rsidRPr="001E2876">
        <w:rPr>
          <w:sz w:val="22"/>
          <w:szCs w:val="22"/>
          <w:lang w:val="lt-LT" w:eastAsia="fi-FI"/>
        </w:rPr>
        <w:t>padidėja, o pusin</w:t>
      </w:r>
      <w:r>
        <w:rPr>
          <w:sz w:val="22"/>
          <w:szCs w:val="22"/>
          <w:lang w:val="lt-LT" w:eastAsia="fi-FI"/>
        </w:rPr>
        <w:t>ės eliminacijos</w:t>
      </w:r>
      <w:r w:rsidRPr="001E2876">
        <w:rPr>
          <w:sz w:val="22"/>
          <w:szCs w:val="22"/>
          <w:lang w:val="lt-LT" w:eastAsia="fi-FI"/>
        </w:rPr>
        <w:t xml:space="preserve"> periodai – pailgėja (žr. 4.2, 4.3 ir 5.2 skyrius).</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Sutrikusi inkstų funkcija</w:t>
      </w:r>
    </w:p>
    <w:p w:rsidR="002A1BE8" w:rsidRPr="001E2876" w:rsidRDefault="002A1BE8" w:rsidP="00DE5A01">
      <w:pPr>
        <w:spacing w:line="240" w:lineRule="auto"/>
        <w:rPr>
          <w:lang w:val="lt-LT"/>
        </w:rPr>
      </w:pPr>
      <w:r w:rsidRPr="001E2876">
        <w:rPr>
          <w:lang w:val="lt-LT"/>
        </w:rPr>
        <w:t>Formalių sutrikusią inkstų funkciją turinčių pacientų tyrimų neatlikta. Vis dėlto žinoma, kad senstant inkstų funkcija silpnėja, todėl gali sumažėti tetrabenazino, α-HTBZ ir β-HTBZ klirensas. Kryžminio tyrimo populiacinės</w:t>
      </w:r>
      <w:r>
        <w:rPr>
          <w:lang w:val="lt-LT"/>
        </w:rPr>
        <w:t xml:space="preserve"> </w:t>
      </w:r>
      <w:r w:rsidRPr="001E2876">
        <w:rPr>
          <w:lang w:val="lt-LT"/>
        </w:rPr>
        <w:t xml:space="preserve">farmakokinetikos analizės duomenimis, senstant mažėja tetrabenazino, α-HTBZ ir β-HTBZ klirensas. Statistinis ryšys tarp amžiaus ir klirenso laikomas reikšmingu. </w:t>
      </w:r>
    </w:p>
    <w:p w:rsidR="002A1BE8" w:rsidRPr="001E2876" w:rsidRDefault="002A1BE8" w:rsidP="00DE5A01">
      <w:pPr>
        <w:pStyle w:val="Default"/>
        <w:rPr>
          <w:sz w:val="22"/>
          <w:szCs w:val="22"/>
          <w:lang w:val="lt-LT" w:eastAsia="fi-FI"/>
        </w:rPr>
      </w:pPr>
    </w:p>
    <w:p w:rsidR="002A1BE8" w:rsidRPr="001E2876" w:rsidRDefault="002A1BE8" w:rsidP="00DE5A01">
      <w:pPr>
        <w:pStyle w:val="Default"/>
        <w:rPr>
          <w:sz w:val="22"/>
          <w:szCs w:val="22"/>
          <w:u w:val="single"/>
          <w:lang w:val="lt-LT" w:eastAsia="fi-FI"/>
        </w:rPr>
      </w:pPr>
      <w:r w:rsidRPr="001E2876">
        <w:rPr>
          <w:sz w:val="22"/>
          <w:szCs w:val="22"/>
          <w:u w:val="single"/>
          <w:lang w:val="lt-LT" w:eastAsia="fi-FI"/>
        </w:rPr>
        <w:t>Laboratoriniai tyrimai</w:t>
      </w:r>
    </w:p>
    <w:p w:rsidR="002A1BE8" w:rsidRPr="001E2876" w:rsidRDefault="002A1BE8" w:rsidP="00DE5A01">
      <w:pPr>
        <w:pStyle w:val="Default"/>
        <w:rPr>
          <w:sz w:val="22"/>
          <w:szCs w:val="22"/>
          <w:lang w:val="lt-LT" w:eastAsia="fi-FI"/>
        </w:rPr>
      </w:pPr>
      <w:r w:rsidRPr="001E2876">
        <w:rPr>
          <w:sz w:val="22"/>
          <w:szCs w:val="22"/>
          <w:lang w:val="lt-LT" w:eastAsia="fi-FI"/>
        </w:rPr>
        <w:t>Klinikai reikšmingų laboratorinių duomenų pokyčių tetrabenazino klinikinių tyrimų metu neužfiksuota. Kontroliuojamų klinikinių tyrimų metu tetrabenazinas, palyginus su placebu, sukėlė nedidelį ALT ir AST koncentracijų padidėjimą.</w:t>
      </w:r>
    </w:p>
    <w:p w:rsidR="002A1BE8" w:rsidRPr="001E2876" w:rsidRDefault="002A1BE8" w:rsidP="00DE5A01">
      <w:pPr>
        <w:pStyle w:val="Default"/>
        <w:rPr>
          <w:sz w:val="22"/>
          <w:szCs w:val="22"/>
          <w:lang w:val="lt-LT" w:eastAsia="fi-FI"/>
        </w:rPr>
      </w:pPr>
    </w:p>
    <w:p w:rsidR="002A1BE8" w:rsidRPr="001E2876" w:rsidRDefault="002A1BE8" w:rsidP="00DE5A01">
      <w:pPr>
        <w:spacing w:line="240" w:lineRule="auto"/>
        <w:rPr>
          <w:u w:val="single"/>
          <w:lang w:val="lt-LT"/>
        </w:rPr>
      </w:pPr>
      <w:r w:rsidRPr="001E2876">
        <w:rPr>
          <w:u w:val="single"/>
          <w:lang w:val="lt-LT"/>
        </w:rPr>
        <w:t>Vaikų populiacija</w:t>
      </w:r>
    </w:p>
    <w:p w:rsidR="002A1BE8" w:rsidRPr="001E2876" w:rsidRDefault="002A1BE8" w:rsidP="00DE5A01">
      <w:pPr>
        <w:pStyle w:val="Default"/>
        <w:rPr>
          <w:sz w:val="22"/>
          <w:szCs w:val="22"/>
          <w:lang w:val="lt-LT" w:eastAsia="fi-FI"/>
        </w:rPr>
      </w:pPr>
      <w:r w:rsidRPr="001E2876">
        <w:rPr>
          <w:sz w:val="22"/>
          <w:szCs w:val="22"/>
          <w:lang w:val="lt-LT" w:eastAsia="fi-FI"/>
        </w:rPr>
        <w:t>Tetrabenazino saugumas ir veiksmingumas vaikams neištirti.</w:t>
      </w:r>
    </w:p>
    <w:p w:rsidR="002A1BE8" w:rsidRPr="001E2876" w:rsidRDefault="002A1BE8" w:rsidP="00DE5A01">
      <w:pPr>
        <w:pStyle w:val="Default"/>
        <w:rPr>
          <w:sz w:val="22"/>
          <w:szCs w:val="22"/>
          <w:lang w:val="lt-LT" w:eastAsia="fi-FI"/>
        </w:rPr>
      </w:pPr>
    </w:p>
    <w:p w:rsidR="002A1BE8" w:rsidRPr="001E2876" w:rsidRDefault="002A1BE8" w:rsidP="00DE5A01">
      <w:pPr>
        <w:pStyle w:val="Pagrindiniotekstotrauka"/>
        <w:ind w:left="0"/>
        <w:rPr>
          <w:b/>
          <w:bCs/>
          <w:u w:val="single"/>
          <w:lang w:val="lt-LT"/>
        </w:rPr>
      </w:pPr>
      <w:r w:rsidRPr="001E2876">
        <w:rPr>
          <w:u w:val="single"/>
          <w:lang w:val="lt-LT"/>
        </w:rPr>
        <w:t>Laktozė</w:t>
      </w:r>
    </w:p>
    <w:p w:rsidR="002A1BE8" w:rsidRPr="001E2876" w:rsidRDefault="002A1BE8" w:rsidP="00DE5A01">
      <w:pPr>
        <w:pStyle w:val="Pagrindiniotekstotrauka"/>
        <w:ind w:left="0"/>
        <w:rPr>
          <w:lang w:val="lt-LT"/>
        </w:rPr>
      </w:pPr>
      <w:r w:rsidRPr="001E2876">
        <w:rPr>
          <w:lang w:val="lt-LT"/>
        </w:rPr>
        <w:t xml:space="preserve">Šio vaistinio preparato negalima vartoti pacientams, kuriems nustatytas retas paveldimas sutrikimas – galaktozės netoleravimas, </w:t>
      </w:r>
      <w:r w:rsidRPr="001E2876">
        <w:rPr>
          <w:i/>
          <w:iCs/>
          <w:lang w:val="lt-LT"/>
        </w:rPr>
        <w:t>Lapp</w:t>
      </w:r>
      <w:r w:rsidRPr="001E2876">
        <w:rPr>
          <w:lang w:val="lt-LT"/>
        </w:rPr>
        <w:t xml:space="preserve"> laktazės stygius arba gliukozės ir galaktozės</w:t>
      </w:r>
      <w:r>
        <w:rPr>
          <w:lang w:val="lt-LT"/>
        </w:rPr>
        <w:t xml:space="preserve"> </w:t>
      </w:r>
      <w:r w:rsidRPr="001E2876">
        <w:rPr>
          <w:lang w:val="lt-LT"/>
        </w:rPr>
        <w:t>malabsorbcija.</w:t>
      </w:r>
    </w:p>
    <w:p w:rsidR="002A1BE8" w:rsidRPr="001E2876" w:rsidRDefault="002A1BE8" w:rsidP="00DE5A01">
      <w:pPr>
        <w:pStyle w:val="Pagrindiniotekstotrauka"/>
        <w:ind w:left="0"/>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4.5</w:t>
      </w:r>
      <w:r w:rsidRPr="001E2876">
        <w:rPr>
          <w:rFonts w:ascii="Times New Roman" w:hAnsi="Times New Roman" w:cs="Times New Roman"/>
          <w:sz w:val="22"/>
          <w:szCs w:val="22"/>
          <w:lang w:val="lt-LT"/>
        </w:rPr>
        <w:tab/>
        <w:t>Sąveika su kitais vaistiniais preparatais ir kitokia sąveika</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Monoaminooksidazės inhibitoriai (MAOI)</w:t>
      </w:r>
    </w:p>
    <w:p w:rsidR="002A1BE8" w:rsidRPr="001E2876" w:rsidRDefault="002A1BE8" w:rsidP="00DE5A01">
      <w:pPr>
        <w:spacing w:line="240" w:lineRule="auto"/>
        <w:rPr>
          <w:lang w:val="lt-LT"/>
        </w:rPr>
      </w:pPr>
      <w:r w:rsidRPr="001E2876">
        <w:rPr>
          <w:lang w:val="lt-LT"/>
        </w:rPr>
        <w:t>Tetrabenazino negalima vartoti kartu su MAOI dėl galimų sunkių sąveikos pasekmių (hipertenzinės krizės) (žr. 4.3 skyrių). Pacientui, baigusiam vartoti MAOI, tetrabenazino galima skirti ne anksčiau kaip po 14 dienų.</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Rezerpinas</w:t>
      </w:r>
    </w:p>
    <w:p w:rsidR="002A1BE8" w:rsidRPr="001E2876" w:rsidRDefault="002A1BE8" w:rsidP="00DE5A01">
      <w:pPr>
        <w:spacing w:line="240" w:lineRule="auto"/>
        <w:rPr>
          <w:lang w:val="lt-LT"/>
        </w:rPr>
      </w:pPr>
      <w:r w:rsidRPr="001E2876">
        <w:rPr>
          <w:lang w:val="lt-LT"/>
        </w:rPr>
        <w:t>Tetrabenazino negalima vartoti kartu su rezerpinu (žr. 4.3 skyrių). Pastarasis negrįžtamai prisijungia prie VMAT2, šis jo poveikis trunka kelias dienas. Dėl to rezerpinas</w:t>
      </w:r>
      <w:r>
        <w:rPr>
          <w:lang w:val="lt-LT"/>
        </w:rPr>
        <w:t xml:space="preserve"> </w:t>
      </w:r>
      <w:r w:rsidRPr="001E2876">
        <w:rPr>
          <w:lang w:val="lt-LT"/>
        </w:rPr>
        <w:t>į tetrabenaziną keičiamas atsargiai. Prieš skirdamas tetrabenazino, gydytojas turi palaukti, kol vėl pasireikš chorėja, kad būtų išvengta perdozavimo ir ryškaus serotonino bei norepinefrino kiekio CNS sumažėjimo. Rezerpinas gali veikti ilgai, todėl kada nutraukti jo vartojimą (prieš skiriant tetrabenazino) reikia spręsti atsargiai, atsižvelgiant į klinikinę situaciją.</w:t>
      </w:r>
    </w:p>
    <w:p w:rsidR="002A1BE8" w:rsidRPr="001E2876" w:rsidRDefault="002A1BE8" w:rsidP="00DE5A01">
      <w:pPr>
        <w:spacing w:line="240" w:lineRule="auto"/>
        <w:rPr>
          <w:lang w:val="lt-LT"/>
        </w:rPr>
      </w:pPr>
    </w:p>
    <w:p w:rsidR="002A1BE8" w:rsidRPr="001E2876" w:rsidRDefault="002A1BE8" w:rsidP="00DE5A01">
      <w:pPr>
        <w:widowControl w:val="0"/>
        <w:spacing w:line="240" w:lineRule="auto"/>
        <w:rPr>
          <w:u w:val="single"/>
          <w:lang w:val="lt-LT"/>
        </w:rPr>
      </w:pPr>
      <w:r w:rsidRPr="001E2876">
        <w:rPr>
          <w:u w:val="single"/>
          <w:lang w:val="lt-LT"/>
        </w:rPr>
        <w:t>CYP2D6 inhibitoriai</w:t>
      </w:r>
    </w:p>
    <w:p w:rsidR="002A1BE8" w:rsidRPr="001E2876" w:rsidRDefault="002A1BE8" w:rsidP="00DE5A01">
      <w:pPr>
        <w:spacing w:line="240" w:lineRule="auto"/>
        <w:rPr>
          <w:lang w:val="lt-LT"/>
        </w:rPr>
      </w:pPr>
      <w:r w:rsidRPr="001E2876">
        <w:rPr>
          <w:lang w:val="lt-LT" w:eastAsia="en-GB"/>
        </w:rPr>
        <w:t xml:space="preserve">Tyrimų </w:t>
      </w:r>
      <w:r w:rsidRPr="001E2876">
        <w:rPr>
          <w:i/>
          <w:iCs/>
          <w:lang w:val="lt-LT" w:eastAsia="en-GB"/>
        </w:rPr>
        <w:t>in</w:t>
      </w:r>
      <w:r>
        <w:rPr>
          <w:i/>
          <w:iCs/>
          <w:lang w:val="lt-LT" w:eastAsia="en-GB"/>
        </w:rPr>
        <w:t xml:space="preserve"> </w:t>
      </w:r>
      <w:r w:rsidRPr="001E2876">
        <w:rPr>
          <w:i/>
          <w:iCs/>
          <w:lang w:val="lt-LT" w:eastAsia="en-GB"/>
        </w:rPr>
        <w:t>vitro</w:t>
      </w:r>
      <w:r>
        <w:rPr>
          <w:i/>
          <w:iCs/>
          <w:lang w:val="lt-LT" w:eastAsia="en-GB"/>
        </w:rPr>
        <w:t xml:space="preserve"> </w:t>
      </w:r>
      <w:r w:rsidRPr="001E2876">
        <w:rPr>
          <w:lang w:val="lt-LT" w:eastAsia="en-GB"/>
        </w:rPr>
        <w:t>ir</w:t>
      </w:r>
      <w:r>
        <w:rPr>
          <w:lang w:val="lt-LT" w:eastAsia="en-GB"/>
        </w:rPr>
        <w:t xml:space="preserve"> </w:t>
      </w:r>
      <w:r w:rsidRPr="001E2876">
        <w:rPr>
          <w:i/>
          <w:iCs/>
          <w:lang w:val="lt-LT" w:eastAsia="en-GB"/>
        </w:rPr>
        <w:t>in</w:t>
      </w:r>
      <w:r>
        <w:rPr>
          <w:i/>
          <w:iCs/>
          <w:lang w:val="lt-LT" w:eastAsia="en-GB"/>
        </w:rPr>
        <w:t xml:space="preserve"> </w:t>
      </w:r>
      <w:r w:rsidRPr="001E2876">
        <w:rPr>
          <w:i/>
          <w:iCs/>
          <w:lang w:val="lt-LT" w:eastAsia="en-GB"/>
        </w:rPr>
        <w:t>vivo</w:t>
      </w:r>
      <w:r w:rsidRPr="001E2876">
        <w:rPr>
          <w:lang w:val="lt-LT" w:eastAsia="en-GB"/>
        </w:rPr>
        <w:t xml:space="preserve"> duomenimis, tetrabenazino metabolitai α-HTBZ ir β-HTBZ yra CYP2D6 substratai. Dėl to stabilią tetrabenazino dozę vartojantiems pacientams stipriai CYP2D6 slopinančių vaistinių preparatų (pvz., fluoksetino, paroksetino, </w:t>
      </w:r>
      <w:r>
        <w:rPr>
          <w:lang w:val="lt-LT" w:eastAsia="en-GB"/>
        </w:rPr>
        <w:t>ch</w:t>
      </w:r>
      <w:r w:rsidRPr="001E2876">
        <w:rPr>
          <w:lang w:val="lt-LT" w:eastAsia="en-GB"/>
        </w:rPr>
        <w:t>inidino, bupropiono) skiriama atsargiai (žr. 4.2 skyrių), apsvarsčius tikslingumą mažinti tetrabenazino dozę. Vaistinių preparatų, kurie slopina CYP2D6 vidutiniškai arba silpnai, poveikis nežinomas. Tiriant tetrabenazino klinikinę sąveiką su paroksetinu, stipriai slopinančiu CYP2D6, α</w:t>
      </w:r>
      <w:r w:rsidRPr="001E2876">
        <w:rPr>
          <w:lang w:val="lt-LT" w:eastAsia="en-GB"/>
        </w:rPr>
        <w:noBreakHyphen/>
        <w:t>HTBZ AUC padidėjo 3,4, o β</w:t>
      </w:r>
      <w:r w:rsidRPr="001E2876">
        <w:rPr>
          <w:lang w:val="lt-LT" w:eastAsia="en-GB"/>
        </w:rPr>
        <w:noBreakHyphen/>
        <w:t xml:space="preserve">HTBZ – 9,6 karto. Kartu su vaistiniais preparatais, kurie stipriai slopina </w:t>
      </w:r>
      <w:r w:rsidRPr="001E2876">
        <w:rPr>
          <w:lang w:val="lt-LT"/>
        </w:rPr>
        <w:t>CYP2D6, galima vartoti ne daugiau kaip 25-50 mg tetrabenazino per parą.</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eastAsia="en-GB"/>
        </w:rPr>
      </w:pPr>
      <w:r w:rsidRPr="001E2876">
        <w:rPr>
          <w:u w:val="single"/>
          <w:lang w:val="lt-LT" w:eastAsia="en-GB"/>
        </w:rPr>
        <w:t>Kiti citochromo P450 inhibitoriai</w:t>
      </w:r>
    </w:p>
    <w:p w:rsidR="002A1BE8" w:rsidRPr="001E2876" w:rsidRDefault="002A1BE8" w:rsidP="00DE5A01">
      <w:pPr>
        <w:spacing w:line="240" w:lineRule="auto"/>
        <w:rPr>
          <w:lang w:val="lt-LT" w:eastAsia="en-GB"/>
        </w:rPr>
      </w:pPr>
      <w:r w:rsidRPr="001E2876">
        <w:rPr>
          <w:lang w:val="lt-LT" w:eastAsia="en-GB"/>
        </w:rPr>
        <w:t xml:space="preserve">Remiantis tyrimų </w:t>
      </w:r>
      <w:r w:rsidRPr="001E2876">
        <w:rPr>
          <w:i/>
          <w:iCs/>
          <w:lang w:val="lt-LT" w:eastAsia="en-GB"/>
        </w:rPr>
        <w:t>in</w:t>
      </w:r>
      <w:r>
        <w:rPr>
          <w:i/>
          <w:iCs/>
          <w:lang w:val="lt-LT" w:eastAsia="en-GB"/>
        </w:rPr>
        <w:t xml:space="preserve"> </w:t>
      </w:r>
      <w:r w:rsidRPr="001E2876">
        <w:rPr>
          <w:i/>
          <w:iCs/>
          <w:lang w:val="lt-LT" w:eastAsia="en-GB"/>
        </w:rPr>
        <w:t>vitro</w:t>
      </w:r>
      <w:r>
        <w:rPr>
          <w:i/>
          <w:iCs/>
          <w:lang w:val="lt-LT" w:eastAsia="en-GB"/>
        </w:rPr>
        <w:t xml:space="preserve"> </w:t>
      </w:r>
      <w:r w:rsidRPr="001E2876">
        <w:rPr>
          <w:lang w:val="lt-LT" w:eastAsia="en-GB"/>
        </w:rPr>
        <w:t xml:space="preserve">duomenimis, klinikai reikšmingos tetrabenazino ar </w:t>
      </w:r>
      <w:r w:rsidRPr="001E2876">
        <w:rPr>
          <w:lang w:val="lt-LT"/>
        </w:rPr>
        <w:t xml:space="preserve">β-HTBZ </w:t>
      </w:r>
      <w:r w:rsidRPr="001E2876">
        <w:rPr>
          <w:lang w:val="lt-LT" w:eastAsia="en-GB"/>
        </w:rPr>
        <w:t xml:space="preserve">sąveikos su kitais P450 inhibitoriais ar induktoriais nesitikima. Aktyvų metabolitą α-HTBZ </w:t>
      </w:r>
      <w:r w:rsidRPr="001E2876">
        <w:rPr>
          <w:i/>
          <w:iCs/>
          <w:lang w:val="lt-LT" w:eastAsia="en-GB"/>
        </w:rPr>
        <w:t>in</w:t>
      </w:r>
      <w:r>
        <w:rPr>
          <w:i/>
          <w:iCs/>
          <w:lang w:val="lt-LT" w:eastAsia="en-GB"/>
        </w:rPr>
        <w:t xml:space="preserve"> </w:t>
      </w:r>
      <w:r w:rsidRPr="001E2876">
        <w:rPr>
          <w:i/>
          <w:iCs/>
          <w:lang w:val="lt-LT" w:eastAsia="en-GB"/>
        </w:rPr>
        <w:t>vitro</w:t>
      </w:r>
      <w:r w:rsidRPr="001E2876">
        <w:rPr>
          <w:lang w:val="lt-LT" w:eastAsia="en-GB"/>
        </w:rPr>
        <w:t xml:space="preserve"> taip pat metabolizuoja CYP1A2 ir CYP3A4, o šių fermentų inhibitorių tyrimų </w:t>
      </w:r>
      <w:r w:rsidRPr="001E2876">
        <w:rPr>
          <w:i/>
          <w:iCs/>
          <w:lang w:val="lt-LT" w:eastAsia="en-GB"/>
        </w:rPr>
        <w:t>in</w:t>
      </w:r>
      <w:r>
        <w:rPr>
          <w:i/>
          <w:iCs/>
          <w:lang w:val="lt-LT" w:eastAsia="en-GB"/>
        </w:rPr>
        <w:t xml:space="preserve"> </w:t>
      </w:r>
      <w:r w:rsidRPr="001E2876">
        <w:rPr>
          <w:i/>
          <w:iCs/>
          <w:lang w:val="lt-LT" w:eastAsia="en-GB"/>
        </w:rPr>
        <w:t>vivo</w:t>
      </w:r>
      <w:r w:rsidRPr="001E2876">
        <w:rPr>
          <w:lang w:val="lt-LT" w:eastAsia="en-GB"/>
        </w:rPr>
        <w:t xml:space="preserve"> neatlikta. Stabilią tetrabenazino dozę vartojantiems pacientams stiprių CYP1A2 (pvz., ciprofloksacino, fluvoksamino) ar CYP3A4 (pvz., ketokonazolo, ritonaviro) inhibitorių skiriama atsargiai. Jeigu CYP2D6 metabolizmas yra lėtas arba kartu vartojama CYP2D6 inhibitorių, gali tekti sumažinti dozę.</w:t>
      </w:r>
    </w:p>
    <w:p w:rsidR="002A1BE8" w:rsidRPr="001E2876" w:rsidRDefault="002A1BE8" w:rsidP="00DE5A01">
      <w:pPr>
        <w:spacing w:line="240" w:lineRule="auto"/>
        <w:rPr>
          <w:lang w:val="lt-LT" w:eastAsia="en-GB"/>
        </w:rPr>
      </w:pPr>
    </w:p>
    <w:p w:rsidR="002A1BE8" w:rsidRPr="001E2876" w:rsidRDefault="002A1BE8" w:rsidP="00DE5A01">
      <w:pPr>
        <w:widowControl w:val="0"/>
        <w:spacing w:line="240" w:lineRule="auto"/>
        <w:rPr>
          <w:u w:val="single"/>
          <w:lang w:val="lt-LT"/>
        </w:rPr>
      </w:pPr>
      <w:r w:rsidRPr="001E2876">
        <w:rPr>
          <w:u w:val="single"/>
          <w:lang w:val="lt-LT"/>
        </w:rPr>
        <w:t>Levodopa</w:t>
      </w:r>
    </w:p>
    <w:p w:rsidR="002A1BE8" w:rsidRPr="001E2876" w:rsidRDefault="002A1BE8" w:rsidP="00DE5A01">
      <w:pPr>
        <w:widowControl w:val="0"/>
        <w:spacing w:line="240" w:lineRule="auto"/>
        <w:rPr>
          <w:lang w:val="lt-LT"/>
        </w:rPr>
      </w:pPr>
      <w:r w:rsidRPr="001E2876">
        <w:rPr>
          <w:lang w:val="lt-LT"/>
        </w:rPr>
        <w:t>Tetrabenazinas slopina levodopa veikimą ir silpnina jos poveikį organizmui.</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Vartojimas kartu su vaistiniais preparatais nuo psichozės</w:t>
      </w:r>
    </w:p>
    <w:p w:rsidR="002A1BE8" w:rsidRPr="001E2876" w:rsidRDefault="002A1BE8" w:rsidP="00DE5A01">
      <w:pPr>
        <w:autoSpaceDE w:val="0"/>
        <w:autoSpaceDN w:val="0"/>
        <w:adjustRightInd w:val="0"/>
        <w:spacing w:line="240" w:lineRule="auto"/>
        <w:rPr>
          <w:lang w:val="lt-LT"/>
        </w:rPr>
      </w:pPr>
      <w:r w:rsidRPr="001E2876">
        <w:rPr>
          <w:lang w:val="lt-LT"/>
        </w:rPr>
        <w:t>Tetrabenazino vartojant kartu su dopamino antagonistais, nepageidaujamos reakcijos (pvz., koreguoto QT intervalo pailgėjimas, NPS ir ekstrapiramidiniai sutrikimai) gali būti sunkesnės. Tetrabenazino vartojant kartu su vaistiniais preparatais nuo psichozės (pvz., haloperidoliu, chlorpromazinu) arba dopamino receptorių antagonistais (pvz., metoklopramidu), gali gerokai sumažėti dopamino, todėl pacientą reikia atidžiai stebėti dėl galimo parkinsonizmo pasireiškimo.</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autoSpaceDE w:val="0"/>
        <w:autoSpaceDN w:val="0"/>
        <w:adjustRightInd w:val="0"/>
        <w:spacing w:line="240" w:lineRule="auto"/>
        <w:rPr>
          <w:u w:val="single"/>
          <w:lang w:val="lt-LT"/>
        </w:rPr>
      </w:pPr>
      <w:r w:rsidRPr="001E2876">
        <w:rPr>
          <w:u w:val="single"/>
          <w:lang w:val="lt-LT"/>
        </w:rPr>
        <w:t>Vaistiniai preparatai nuo hipertenzijos ir beta blokatoriai</w:t>
      </w:r>
    </w:p>
    <w:p w:rsidR="002A1BE8" w:rsidRPr="001E2876" w:rsidRDefault="002A1BE8" w:rsidP="00DE5A01">
      <w:pPr>
        <w:widowControl w:val="0"/>
        <w:spacing w:line="240" w:lineRule="auto"/>
        <w:rPr>
          <w:lang w:val="lt-LT"/>
        </w:rPr>
      </w:pPr>
      <w:r w:rsidRPr="001E2876">
        <w:rPr>
          <w:lang w:val="lt-LT"/>
        </w:rPr>
        <w:t>Tetrabenazino vartojant kartu su vaistiniais preparatai nuo hipertenzijos ar beta blokatoriais, gali padidėti ortostatinės</w:t>
      </w:r>
      <w:r>
        <w:rPr>
          <w:lang w:val="lt-LT"/>
        </w:rPr>
        <w:t xml:space="preserve"> </w:t>
      </w:r>
      <w:r w:rsidRPr="001E2876">
        <w:rPr>
          <w:lang w:val="lt-LT"/>
        </w:rPr>
        <w:t>hipotenzijos rizika.</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u w:val="single"/>
          <w:lang w:val="lt-LT"/>
        </w:rPr>
      </w:pPr>
      <w:r w:rsidRPr="001E2876">
        <w:rPr>
          <w:u w:val="single"/>
          <w:lang w:val="lt-LT"/>
        </w:rPr>
        <w:t>Sąveika su CNS slopinančiomis medžiagomis</w:t>
      </w:r>
    </w:p>
    <w:p w:rsidR="002A1BE8" w:rsidRPr="001E2876" w:rsidRDefault="002A1BE8" w:rsidP="00DE5A01">
      <w:pPr>
        <w:spacing w:line="240" w:lineRule="auto"/>
        <w:rPr>
          <w:lang w:val="lt-LT"/>
        </w:rPr>
      </w:pPr>
      <w:r w:rsidRPr="001E2876">
        <w:rPr>
          <w:lang w:val="lt-LT"/>
        </w:rPr>
        <w:lastRenderedPageBreak/>
        <w:t>Tetrabenazino vartojant kartu su CNS slopinančiomis medžiagomis (alkoholiu, antipsichoziniais vaistiniais preparatais, migdomaisiais, opioidais ir kt.), reikia atsižvelgti į suminio sedatyvinio poveikio galimybę.</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Koreguotą QT intervalą ilginantys vaistiniai preparatai</w:t>
      </w:r>
    </w:p>
    <w:p w:rsidR="002A1BE8" w:rsidRPr="001E2876" w:rsidRDefault="002A1BE8" w:rsidP="00DE5A01">
      <w:pPr>
        <w:spacing w:line="240" w:lineRule="auto"/>
        <w:rPr>
          <w:lang w:val="lt-LT"/>
        </w:rPr>
      </w:pPr>
      <w:r w:rsidRPr="001E2876">
        <w:rPr>
          <w:lang w:val="lt-LT"/>
        </w:rPr>
        <w:t xml:space="preserve">Tetrabenazino atsargiai skiriama kartu su koreguotą QT intervalą ilginančiais vaistiniais preparatais: antipsichoziniais (pvz., chlorpromazinu, tioridazinu), antibiotikais (pvz., gatifloksacinu, moksifloksacinu) bei IA ir III klasės antiaritminiais (pvz., </w:t>
      </w:r>
      <w:r>
        <w:rPr>
          <w:lang w:val="lt-LT"/>
        </w:rPr>
        <w:t>ch</w:t>
      </w:r>
      <w:r w:rsidRPr="001E2876">
        <w:rPr>
          <w:lang w:val="lt-LT"/>
        </w:rPr>
        <w:t>inidinu, prokainamidu, amjodaronu, sotaloliu) (žr. 4.4 ir 5.1 skyrius).</w:t>
      </w:r>
    </w:p>
    <w:p w:rsidR="002A1BE8" w:rsidRPr="001E2876" w:rsidRDefault="002A1BE8" w:rsidP="00DE5A01">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P glikoproteinas (P-gp)</w:t>
      </w:r>
    </w:p>
    <w:p w:rsidR="002A1BE8" w:rsidRPr="001E2876" w:rsidRDefault="002A1BE8" w:rsidP="00DE5A01">
      <w:pPr>
        <w:spacing w:line="240" w:lineRule="auto"/>
        <w:rPr>
          <w:lang w:val="lt-LT"/>
        </w:rPr>
      </w:pPr>
      <w:r w:rsidRPr="001E2876">
        <w:rPr>
          <w:lang w:val="lt-LT"/>
        </w:rPr>
        <w:t>Sveikų savanorių tyrimas parodė, kad tetrabenazinas (3 dienas po 25 mg 2 kartus per parą) neveikia virškinimo trakto P-gp. Be to, jis neturi įtakos P-gp substrato digoksino</w:t>
      </w:r>
      <w:r>
        <w:rPr>
          <w:lang w:val="lt-LT"/>
        </w:rPr>
        <w:t xml:space="preserve"> </w:t>
      </w:r>
      <w:r w:rsidRPr="001E2876">
        <w:rPr>
          <w:lang w:val="lt-LT"/>
        </w:rPr>
        <w:t xml:space="preserve">farmakokinetikai. Tyrimų </w:t>
      </w:r>
      <w:r w:rsidRPr="001E2876">
        <w:rPr>
          <w:i/>
          <w:iCs/>
          <w:lang w:val="lt-LT"/>
        </w:rPr>
        <w:t>in</w:t>
      </w:r>
      <w:r>
        <w:rPr>
          <w:i/>
          <w:iCs/>
          <w:lang w:val="lt-LT"/>
        </w:rPr>
        <w:t xml:space="preserve"> </w:t>
      </w:r>
      <w:r w:rsidRPr="001E2876">
        <w:rPr>
          <w:i/>
          <w:iCs/>
          <w:lang w:val="lt-LT"/>
        </w:rPr>
        <w:t>vitro</w:t>
      </w:r>
      <w:r w:rsidRPr="001E2876">
        <w:rPr>
          <w:lang w:val="lt-LT"/>
        </w:rPr>
        <w:t xml:space="preserve"> duomenys tetrabenazino</w:t>
      </w:r>
      <w:r>
        <w:rPr>
          <w:lang w:val="lt-LT"/>
        </w:rPr>
        <w:t xml:space="preserve"> </w:t>
      </w:r>
      <w:r w:rsidRPr="001E2876">
        <w:rPr>
          <w:lang w:val="lt-LT"/>
        </w:rPr>
        <w:t>ar jo metabolitų sukeliamos P-gp indukcijos ar slopinimo taip pat nerodo.</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4.6</w:t>
      </w:r>
      <w:r w:rsidRPr="001E2876">
        <w:rPr>
          <w:rFonts w:ascii="Times New Roman" w:hAnsi="Times New Roman" w:cs="Times New Roman"/>
          <w:sz w:val="22"/>
          <w:szCs w:val="22"/>
          <w:lang w:val="lt-LT"/>
        </w:rPr>
        <w:tab/>
        <w:t>Vaisingumas, nėštumo ir žindymo laikotarpis</w:t>
      </w:r>
    </w:p>
    <w:p w:rsidR="002A1BE8" w:rsidRPr="001E2876" w:rsidRDefault="002A1BE8" w:rsidP="00DE5A01">
      <w:pPr>
        <w:spacing w:line="240" w:lineRule="auto"/>
        <w:rPr>
          <w:lang w:val="lt-LT"/>
        </w:rPr>
      </w:pPr>
    </w:p>
    <w:p w:rsidR="002A1BE8" w:rsidRPr="001E2876" w:rsidRDefault="002A1BE8" w:rsidP="00DE5A01">
      <w:pPr>
        <w:spacing w:line="240" w:lineRule="auto"/>
        <w:rPr>
          <w:color w:val="0D0D0D"/>
          <w:lang w:val="lt-LT"/>
        </w:rPr>
      </w:pPr>
      <w:r w:rsidRPr="001E2876">
        <w:rPr>
          <w:color w:val="0D0D0D"/>
          <w:u w:val="single"/>
          <w:lang w:val="lt-LT"/>
        </w:rPr>
        <w:t>Nėštumas</w:t>
      </w:r>
    </w:p>
    <w:p w:rsidR="002A1BE8" w:rsidRPr="001E2876" w:rsidRDefault="002A1BE8" w:rsidP="00DE5A01">
      <w:pPr>
        <w:widowControl w:val="0"/>
        <w:spacing w:line="240" w:lineRule="auto"/>
        <w:rPr>
          <w:lang w:val="lt-LT"/>
        </w:rPr>
      </w:pPr>
      <w:r w:rsidRPr="001E2876">
        <w:rPr>
          <w:lang w:val="lt-LT"/>
        </w:rPr>
        <w:t>Duomenų apie tetrabenazino vartojimą nėštumo metu nėra arba jų nepakanka. Su gyvūnais atlikti tyrimai parodė toksinį poveikį reprodukcijai (žr. 5.3 skyrių). Galimas pavojus žmonės nežinomas. Dėl duomenų stokos tetrabenazino nerekomenduojama vartoti nėštumo metu ir vaisingoms moterims, kurios nevartoja kontracepcijos priemonių.</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lang w:val="lt-LT"/>
        </w:rPr>
        <w:t>Tetrabenazino poveikis žmonių gimdymui nežinomas.</w:t>
      </w:r>
    </w:p>
    <w:p w:rsidR="002A1BE8" w:rsidRPr="001E2876" w:rsidRDefault="002A1BE8" w:rsidP="00DE5A01">
      <w:pPr>
        <w:spacing w:line="240" w:lineRule="auto"/>
        <w:rPr>
          <w:color w:val="0D0D0D"/>
          <w:lang w:val="lt-LT"/>
        </w:rPr>
      </w:pPr>
    </w:p>
    <w:p w:rsidR="002A1BE8" w:rsidRPr="001E2876" w:rsidRDefault="002A1BE8" w:rsidP="00DE5A01">
      <w:pPr>
        <w:spacing w:line="240" w:lineRule="auto"/>
        <w:rPr>
          <w:color w:val="0D0D0D"/>
          <w:lang w:val="lt-LT"/>
        </w:rPr>
      </w:pPr>
      <w:r w:rsidRPr="001E2876">
        <w:rPr>
          <w:color w:val="0D0D0D"/>
          <w:u w:val="single"/>
          <w:lang w:val="lt-LT"/>
        </w:rPr>
        <w:t>Žindymas</w:t>
      </w:r>
    </w:p>
    <w:p w:rsidR="002A1BE8" w:rsidRPr="001E2876" w:rsidRDefault="002A1BE8" w:rsidP="00DE5A01">
      <w:pPr>
        <w:widowControl w:val="0"/>
        <w:spacing w:line="240" w:lineRule="auto"/>
        <w:rPr>
          <w:lang w:val="lt-LT"/>
        </w:rPr>
      </w:pPr>
      <w:r w:rsidRPr="001E2876">
        <w:rPr>
          <w:lang w:val="lt-LT"/>
        </w:rPr>
        <w:t>Nežinoma, ar tetrabenazino / metabolitų išsiskiria į moters pieną. Pavojaus žindomiems kūdikiams negalima atmesti. Tetrabenazino negalima vartoti žindymo metu (žr. 4.3 skyrių).</w:t>
      </w:r>
    </w:p>
    <w:p w:rsidR="002A1BE8" w:rsidRPr="001E2876" w:rsidRDefault="002A1BE8" w:rsidP="00DE5A01">
      <w:pPr>
        <w:spacing w:line="240" w:lineRule="auto"/>
        <w:rPr>
          <w:color w:val="0D0D0D"/>
          <w:lang w:val="lt-LT"/>
        </w:rPr>
      </w:pPr>
    </w:p>
    <w:p w:rsidR="002A1BE8" w:rsidRPr="001E2876" w:rsidRDefault="002A1BE8" w:rsidP="00DE5A01">
      <w:pPr>
        <w:spacing w:line="240" w:lineRule="auto"/>
        <w:rPr>
          <w:color w:val="0D0D0D"/>
          <w:lang w:val="lt-LT"/>
        </w:rPr>
      </w:pPr>
      <w:r w:rsidRPr="001E2876">
        <w:rPr>
          <w:color w:val="0D0D0D"/>
          <w:u w:val="single"/>
          <w:lang w:val="lt-LT"/>
        </w:rPr>
        <w:t>Vaisingumas</w:t>
      </w:r>
    </w:p>
    <w:p w:rsidR="002A1BE8" w:rsidRPr="001E2876" w:rsidRDefault="002A1BE8" w:rsidP="00DE5A01">
      <w:pPr>
        <w:widowControl w:val="0"/>
        <w:spacing w:line="240" w:lineRule="auto"/>
        <w:rPr>
          <w:lang w:val="lt-LT"/>
        </w:rPr>
      </w:pPr>
      <w:r w:rsidRPr="001E2876">
        <w:rPr>
          <w:lang w:val="lt-LT"/>
        </w:rPr>
        <w:t>Tetrabenazino poveikio žmogaus vaisingumui duomenų nėra. Pastebėtas pakitęs žiurkių rujos cikliškumas (žr. 5.3 skyrių). Tetrabenazinas gali sumažinti moters galimybę pastoti.</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4.7</w:t>
      </w:r>
      <w:r w:rsidRPr="001E2876">
        <w:rPr>
          <w:rFonts w:ascii="Times New Roman" w:hAnsi="Times New Roman" w:cs="Times New Roman"/>
          <w:sz w:val="22"/>
          <w:szCs w:val="22"/>
          <w:lang w:val="lt-LT"/>
        </w:rPr>
        <w:tab/>
        <w:t>Poveikis gebėjimui vairuoti ir valdyti mechanizmus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Tetrabenazinas gebėjimą vairuoti ir valdyti mechanizmus veikia vidutiniškai arba stipriai. Pacientus būtina perspėti, kad jis gali sukelti mieguistumą ir dėl to sutrikdyti gebėjimą dirbti įgūdžių reikalaujančius darbus (vairuoti, valdyti mechanizmus ir kt.). Šie sutrikimai gali būti įvairaus laipsnio, priklausomai nuo dozės ir individualaus jautrumo (žr. 4.4 ir 4.8 skyrius).</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4.8</w:t>
      </w:r>
      <w:r w:rsidRPr="001E2876">
        <w:rPr>
          <w:rFonts w:ascii="Times New Roman" w:hAnsi="Times New Roman" w:cs="Times New Roman"/>
          <w:sz w:val="22"/>
          <w:szCs w:val="22"/>
          <w:lang w:val="lt-LT"/>
        </w:rPr>
        <w:tab/>
        <w:t>Nepageidaujamas poveikis</w:t>
      </w:r>
    </w:p>
    <w:p w:rsidR="002A1BE8" w:rsidRPr="001E2876" w:rsidRDefault="002A1BE8" w:rsidP="00DE5A01">
      <w:pPr>
        <w:tabs>
          <w:tab w:val="clear" w:pos="567"/>
        </w:tabs>
        <w:autoSpaceDE w:val="0"/>
        <w:spacing w:line="240" w:lineRule="auto"/>
        <w:rPr>
          <w:lang w:val="lt-LT"/>
        </w:rPr>
      </w:pPr>
    </w:p>
    <w:p w:rsidR="002A1BE8" w:rsidRPr="00FE798E" w:rsidRDefault="002A1BE8" w:rsidP="00DE5A01">
      <w:pPr>
        <w:autoSpaceDE w:val="0"/>
        <w:autoSpaceDN w:val="0"/>
        <w:adjustRightInd w:val="0"/>
        <w:spacing w:line="240" w:lineRule="auto"/>
        <w:rPr>
          <w:u w:val="single"/>
          <w:lang w:val="lt-LT"/>
        </w:rPr>
      </w:pPr>
      <w:r w:rsidRPr="00FE798E">
        <w:rPr>
          <w:u w:val="single"/>
          <w:lang w:val="lt-LT"/>
        </w:rPr>
        <w:t>Saugumo duomenų santrauka</w:t>
      </w:r>
    </w:p>
    <w:p w:rsidR="002A1BE8" w:rsidRPr="001E2876" w:rsidRDefault="002A1BE8" w:rsidP="00DE5A01">
      <w:pPr>
        <w:autoSpaceDE w:val="0"/>
        <w:autoSpaceDN w:val="0"/>
        <w:adjustRightInd w:val="0"/>
        <w:spacing w:line="240" w:lineRule="auto"/>
        <w:rPr>
          <w:color w:val="000000"/>
          <w:lang w:val="lt-LT"/>
        </w:rPr>
      </w:pPr>
      <w:r w:rsidRPr="001E2876">
        <w:rPr>
          <w:lang w:val="lt-LT"/>
        </w:rPr>
        <w:t xml:space="preserve">Klinikinių tyrimų metu </w:t>
      </w:r>
      <w:r w:rsidRPr="001E2876">
        <w:rPr>
          <w:color w:val="000000"/>
          <w:lang w:val="lt-LT"/>
        </w:rPr>
        <w:t>tetrabenazino vartojo 773 pacientai ir kiti asmenys. Jo vartojimo sąlygos ir trukmė gerokai skyrėsi: atlikta vienos ir kartotinių dozių klinikinės farmakologijos tyrimų su sveikais savanoriais (n = 259) bei atvirų (n = 529) ir dvigubai aklų (n = 84) tyrimų su pacientais.</w:t>
      </w:r>
    </w:p>
    <w:p w:rsidR="002A1BE8" w:rsidRPr="001E2876" w:rsidRDefault="002A1BE8" w:rsidP="00DE5A01">
      <w:pPr>
        <w:autoSpaceDE w:val="0"/>
        <w:autoSpaceDN w:val="0"/>
        <w:adjustRightInd w:val="0"/>
        <w:spacing w:line="240" w:lineRule="auto"/>
        <w:rPr>
          <w:color w:val="000000"/>
          <w:lang w:val="lt-LT"/>
        </w:rPr>
      </w:pPr>
    </w:p>
    <w:p w:rsidR="002A1BE8" w:rsidRPr="001E2876" w:rsidRDefault="002A1BE8" w:rsidP="00DE5A01">
      <w:pPr>
        <w:autoSpaceDE w:val="0"/>
        <w:autoSpaceDN w:val="0"/>
        <w:adjustRightInd w:val="0"/>
        <w:spacing w:line="240" w:lineRule="auto"/>
        <w:rPr>
          <w:lang w:val="lt-LT"/>
        </w:rPr>
      </w:pPr>
      <w:r w:rsidRPr="001E2876">
        <w:rPr>
          <w:lang w:val="lt-LT"/>
        </w:rPr>
        <w:t xml:space="preserve">Atsitiktinės atrankos 12 savaičių placebu kontroliuojamo </w:t>
      </w:r>
      <w:r w:rsidRPr="00FE798E">
        <w:rPr>
          <w:i/>
          <w:iCs/>
          <w:lang w:val="lt-LT"/>
        </w:rPr>
        <w:t>Huntington</w:t>
      </w:r>
      <w:r w:rsidRPr="001E2876">
        <w:rPr>
          <w:lang w:val="lt-LT"/>
        </w:rPr>
        <w:t xml:space="preserve"> ligos tyrimo metu tetrabenazino grupės pacientams nepageidaujamų reakcijų dažniau pasireiškė dažniau negu placebo. 49 iš 54 (91 %) Xenazine vartojusių pacientų tyrimo metu užfiksuota viena ar kelios nepageidaujamos reakcijos. Dažniausios nepageidaujamos reakcijos (užfiksuotos daugiau kaip 10 % tiriamųjų ir bent 5 % dažniau negu vartojant placebą) buvo sedacija ar mieguistumas – 31 % (vartojant placebo – 3 %), nuovargis – 22 % (vartojant placebo – 13 %), nemiga – 22 % (vartojant placebo – 0 %), depresija – 19 % (vartojant placebo – 0 %), akatizija – 19 % (vartojant placebo – 0 %) ir pykinimas – 13 % (vartojant placebo – 7 %).</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lang w:val="lt-LT"/>
        </w:rPr>
        <w:t xml:space="preserve">28 iš 54 (52 %) pacientų, atsitiktinai atrinktų vartoti tetrabenazino, dėl vienos ar kelių nepageidaujamų reakcijų buvo nustota didinti jo dozę arba ji buvo sumažinta. Tokios nepageidaujamos reakcijos buvo </w:t>
      </w:r>
      <w:r w:rsidRPr="001E2876">
        <w:rPr>
          <w:lang w:val="lt-LT"/>
        </w:rPr>
        <w:lastRenderedPageBreak/>
        <w:t>sedacija (15 %), akatizija (7 %), parkinsonizmas (4 %), depresija (3 %), nerimas (2 %), nuovargis (1 %) ir viduriavimas (1 %). Kai kuriems pacientams pasireiškė daugiau kaip viena nepageidaujama reakcija, todėl jų duomenys čia įskaičiuoti daugiau kaip kartą. Depresija, nuovargis, nemiga, sedacija ar mieguistumas, parkinsonizmas ir akatizija gali priklausyti nuo dozės ir praeiti arba susilpnėti ją sumažinus ar pradėjus specifinį gydymą. Jeigu nepageidaujamas poveikis nepraeitų ir nesusilpnėtų, svarstytina būtinybė nutraukti tetrabenazino vartojimą. Klinikinių tyrimų metu dažniausios tetrabenazino vartojimo nutraukimo priežastys buvo depresija, sedacija ar mieguistumas ir</w:t>
      </w:r>
      <w:r>
        <w:rPr>
          <w:lang w:val="lt-LT"/>
        </w:rPr>
        <w:t xml:space="preserve"> </w:t>
      </w:r>
      <w:r w:rsidRPr="001E2876">
        <w:rPr>
          <w:lang w:val="lt-LT"/>
        </w:rPr>
        <w:t>parkinsonizmas ar akatizija.</w:t>
      </w:r>
    </w:p>
    <w:p w:rsidR="002A1BE8" w:rsidRPr="001E2876" w:rsidRDefault="002A1BE8" w:rsidP="00DE5A01">
      <w:pPr>
        <w:autoSpaceDE w:val="0"/>
        <w:autoSpaceDN w:val="0"/>
        <w:adjustRightInd w:val="0"/>
        <w:spacing w:line="240" w:lineRule="auto"/>
        <w:rPr>
          <w:u w:val="single"/>
          <w:lang w:val="lt-LT"/>
        </w:rPr>
      </w:pPr>
    </w:p>
    <w:p w:rsidR="002A1BE8" w:rsidRPr="00FE798E" w:rsidRDefault="002A1BE8" w:rsidP="00DE5A01">
      <w:pPr>
        <w:autoSpaceDE w:val="0"/>
        <w:autoSpaceDN w:val="0"/>
        <w:adjustRightInd w:val="0"/>
        <w:spacing w:line="240" w:lineRule="auto"/>
        <w:rPr>
          <w:u w:val="single"/>
          <w:lang w:val="lt-LT"/>
        </w:rPr>
      </w:pPr>
      <w:r w:rsidRPr="00FE798E">
        <w:rPr>
          <w:u w:val="single"/>
          <w:lang w:val="lt-LT"/>
        </w:rPr>
        <w:t>Nepageidaujamų reakcijų santrauka lentelėje</w:t>
      </w:r>
    </w:p>
    <w:p w:rsidR="002A1BE8" w:rsidRPr="001E2876" w:rsidRDefault="002A1BE8" w:rsidP="00DE5A01">
      <w:pPr>
        <w:tabs>
          <w:tab w:val="clear" w:pos="567"/>
        </w:tabs>
        <w:autoSpaceDE w:val="0"/>
        <w:spacing w:line="240" w:lineRule="auto"/>
        <w:rPr>
          <w:lang w:val="lt-LT"/>
        </w:rPr>
      </w:pPr>
      <w:r w:rsidRPr="001E2876">
        <w:rPr>
          <w:lang w:val="lt-LT"/>
        </w:rPr>
        <w:t>Nepageidaujamas poveikis žemiau suklasifikuotas pagal organų sistemų grupes ir dažnį:</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labai dažnas (≥ 1/10);</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dažnas (nuo ≥ 1/100 iki &lt; 1/10);</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nedažnas (nuo ≥ 1/1 000 iki &lt; 1/100);</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retas (nuo ≥ 1/10 000 iki &lt; 1/1000);</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labai retas (&lt; 1/10 000);</w:t>
      </w:r>
    </w:p>
    <w:p w:rsidR="002A1BE8" w:rsidRPr="001E2876" w:rsidRDefault="002A1BE8" w:rsidP="00DE5A01">
      <w:pPr>
        <w:numPr>
          <w:ilvl w:val="0"/>
          <w:numId w:val="7"/>
        </w:numPr>
        <w:tabs>
          <w:tab w:val="clear" w:pos="567"/>
        </w:tabs>
        <w:autoSpaceDE w:val="0"/>
        <w:spacing w:line="240" w:lineRule="auto"/>
        <w:rPr>
          <w:lang w:val="lt-LT"/>
        </w:rPr>
      </w:pPr>
      <w:r w:rsidRPr="001E2876">
        <w:rPr>
          <w:lang w:val="lt-LT"/>
        </w:rPr>
        <w:t>nežinomas (negali būti apskaičiuotas pagal turimus duomenis).</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lang w:val="lt-LT"/>
        </w:rPr>
        <w:t>Vaistinio preparato vartojimą nutraukus, nepageidaujamas poveikis dažniausiai praeina. Nepageidaujamo poveikio dažnis nurodomas, jeigu yra žinomas, tačiau kai kuriais atvejais pagal turimus duomenis jo tiksliai apskaičiuoti negalima.</w:t>
      </w:r>
    </w:p>
    <w:p w:rsidR="002A1BE8" w:rsidRPr="001E2876" w:rsidRDefault="002A1BE8" w:rsidP="00DE5A01">
      <w:pPr>
        <w:widowControl w:val="0"/>
        <w:spacing w:line="240" w:lineRule="auto"/>
        <w:rPr>
          <w:lang w:val="lt-LT"/>
        </w:rPr>
      </w:pPr>
    </w:p>
    <w:tbl>
      <w:tblPr>
        <w:tblW w:w="0" w:type="auto"/>
        <w:tblInd w:w="-106" w:type="dxa"/>
        <w:tblLook w:val="01E0" w:firstRow="1" w:lastRow="1" w:firstColumn="1" w:lastColumn="1" w:noHBand="0" w:noVBand="0"/>
      </w:tblPr>
      <w:tblGrid>
        <w:gridCol w:w="1738"/>
        <w:gridCol w:w="1772"/>
        <w:gridCol w:w="1058"/>
        <w:gridCol w:w="863"/>
        <w:gridCol w:w="472"/>
        <w:gridCol w:w="1396"/>
        <w:gridCol w:w="2501"/>
      </w:tblGrid>
      <w:tr w:rsidR="002A1BE8" w:rsidRPr="005F12EC" w:rsidTr="006C49B7">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sidRPr="005F12EC">
              <w:rPr>
                <w:b/>
                <w:bCs/>
                <w:i/>
                <w:iCs/>
                <w:sz w:val="22"/>
                <w:szCs w:val="22"/>
                <w:lang w:val="lt-LT"/>
              </w:rPr>
              <w:t>Organų sistemų grupė</w:t>
            </w:r>
          </w:p>
        </w:tc>
        <w:tc>
          <w:tcPr>
            <w:tcW w:w="0" w:type="auto"/>
            <w:gridSpan w:val="6"/>
            <w:tcMar>
              <w:left w:w="28" w:type="dxa"/>
              <w:right w:w="28" w:type="dxa"/>
            </w:tcMar>
          </w:tcPr>
          <w:p w:rsidR="002A1BE8" w:rsidRPr="00FE798E" w:rsidRDefault="002A1BE8" w:rsidP="00F00B20">
            <w:pPr>
              <w:pStyle w:val="prastasistinklapis"/>
              <w:spacing w:before="0" w:beforeAutospacing="0" w:after="0" w:afterAutospacing="0"/>
              <w:jc w:val="center"/>
              <w:rPr>
                <w:b/>
                <w:bCs/>
                <w:sz w:val="22"/>
                <w:szCs w:val="22"/>
                <w:lang w:val="lt-LT"/>
              </w:rPr>
            </w:pPr>
            <w:r w:rsidRPr="005F12EC">
              <w:rPr>
                <w:b/>
                <w:bCs/>
                <w:sz w:val="22"/>
                <w:szCs w:val="22"/>
                <w:lang w:val="lt-LT"/>
              </w:rPr>
              <w:t>Nepageidaujamas poveikis</w:t>
            </w:r>
          </w:p>
        </w:tc>
      </w:tr>
      <w:tr w:rsidR="002A1BE8" w:rsidRPr="005F12EC" w:rsidTr="006C49B7">
        <w:tc>
          <w:tcPr>
            <w:tcW w:w="0" w:type="auto"/>
            <w:tcMar>
              <w:left w:w="28" w:type="dxa"/>
              <w:right w:w="28" w:type="dxa"/>
            </w:tcMar>
          </w:tcPr>
          <w:p w:rsidR="002A1BE8" w:rsidRPr="00FE798E" w:rsidRDefault="002A1BE8" w:rsidP="00F00B20">
            <w:pPr>
              <w:pStyle w:val="prastasistinklapis"/>
              <w:spacing w:before="0" w:beforeAutospacing="0" w:after="0" w:afterAutospacing="0"/>
              <w:ind w:left="357" w:hanging="357"/>
              <w:jc w:val="center"/>
              <w:outlineLvl w:val="0"/>
              <w:rPr>
                <w:b/>
                <w:bCs/>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labai dažnas</w:t>
            </w: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dažnas</w:t>
            </w: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nedažnas</w:t>
            </w: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retas</w:t>
            </w: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labai retas</w:t>
            </w:r>
          </w:p>
        </w:tc>
        <w:tc>
          <w:tcPr>
            <w:tcW w:w="0" w:type="auto"/>
            <w:tcMar>
              <w:left w:w="28" w:type="dxa"/>
              <w:right w:w="28" w:type="dxa"/>
            </w:tcMar>
          </w:tcPr>
          <w:p w:rsidR="002A1BE8" w:rsidRPr="00FE798E" w:rsidRDefault="002A1BE8" w:rsidP="00F00B20">
            <w:pPr>
              <w:pStyle w:val="prastasistinklapis"/>
              <w:spacing w:before="0" w:beforeAutospacing="0" w:after="0" w:afterAutospacing="0"/>
              <w:jc w:val="center"/>
              <w:rPr>
                <w:sz w:val="22"/>
                <w:szCs w:val="22"/>
                <w:lang w:val="lt-LT"/>
              </w:rPr>
            </w:pPr>
            <w:r>
              <w:rPr>
                <w:sz w:val="22"/>
                <w:szCs w:val="22"/>
                <w:lang w:val="lt-LT"/>
              </w:rPr>
              <w:t>nežinomas</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Infekcijos ir infestacijos</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pneumonija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Kraujo ir limfinės sistemos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leukopenija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Psichikos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depresija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ažitacija, nerimas, nemiga, konfūzija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agresija, pyktis, mintys apie savižudybę</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dezorientacija, nervingumas, nenustygimas, miego sutrikimai</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Metabolizmo ir mitybos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sumažėjęs apetitas, dehidratacija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r>
      <w:tr w:rsidR="002A1BE8" w:rsidRPr="005F12EC" w:rsidTr="006C49B7">
        <w:tc>
          <w:tcPr>
            <w:tcW w:w="0" w:type="auto"/>
            <w:tcMar>
              <w:left w:w="28" w:type="dxa"/>
              <w:right w:w="28" w:type="dxa"/>
            </w:tcMar>
          </w:tcPr>
          <w:p w:rsidR="002A1BE8" w:rsidRPr="00FE798E" w:rsidRDefault="002A1BE8" w:rsidP="00F00B20">
            <w:pPr>
              <w:pStyle w:val="prastasistinklapis"/>
              <w:spacing w:before="0" w:beforeAutospacing="0" w:after="0" w:afterAutospacing="0"/>
              <w:rPr>
                <w:b/>
                <w:bCs/>
                <w:i/>
                <w:iCs/>
                <w:sz w:val="22"/>
                <w:szCs w:val="22"/>
                <w:lang w:val="lt-LT"/>
              </w:rPr>
            </w:pPr>
            <w:r>
              <w:rPr>
                <w:b/>
                <w:bCs/>
                <w:sz w:val="22"/>
                <w:szCs w:val="22"/>
                <w:lang w:val="lt-LT"/>
              </w:rPr>
              <w:t>Nervų sistemos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akatizija</w:t>
            </w:r>
            <w:r w:rsidRPr="005F12EC">
              <w:rPr>
                <w:color w:val="000000"/>
                <w:sz w:val="22"/>
                <w:szCs w:val="22"/>
                <w:lang w:val="lt-LT"/>
              </w:rPr>
              <w:t>, mieguistumas, parkinsonizmas, drebulys, seilėtekis</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neurolepsinis piktybinis sindromas</w:t>
            </w:r>
          </w:p>
        </w:tc>
        <w:tc>
          <w:tcPr>
            <w:tcW w:w="0" w:type="auto"/>
            <w:tcMar>
              <w:left w:w="28" w:type="dxa"/>
              <w:right w:w="28" w:type="dxa"/>
            </w:tcMar>
          </w:tcPr>
          <w:p w:rsidR="002A1BE8" w:rsidRPr="00FE798E" w:rsidRDefault="002A1BE8" w:rsidP="003E466E">
            <w:pPr>
              <w:pStyle w:val="prastasistinklapis"/>
              <w:spacing w:before="0" w:beforeAutospacing="0" w:after="0" w:afterAutospacing="0"/>
              <w:rPr>
                <w:sz w:val="22"/>
                <w:szCs w:val="22"/>
                <w:lang w:val="lt-LT"/>
              </w:rPr>
            </w:pPr>
            <w:r w:rsidRPr="005F12EC">
              <w:rPr>
                <w:sz w:val="22"/>
                <w:szCs w:val="22"/>
                <w:lang w:val="lt-LT"/>
              </w:rPr>
              <w:t>ataksija</w:t>
            </w:r>
            <w:r w:rsidRPr="005F12EC">
              <w:rPr>
                <w:i/>
                <w:iCs/>
                <w:sz w:val="22"/>
                <w:szCs w:val="22"/>
                <w:lang w:val="lt-LT"/>
              </w:rPr>
              <w:t>,</w:t>
            </w:r>
            <w:r w:rsidRPr="005F12EC">
              <w:rPr>
                <w:sz w:val="22"/>
                <w:szCs w:val="22"/>
                <w:lang w:val="lt-LT"/>
              </w:rPr>
              <w:t xml:space="preserve"> distonija, atminties netekimas, </w:t>
            </w:r>
            <w:r w:rsidR="003E466E">
              <w:rPr>
                <w:sz w:val="22"/>
                <w:szCs w:val="22"/>
                <w:lang w:val="lt-LT"/>
              </w:rPr>
              <w:t>svaigulys</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Akių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okulogirinė krizė, fotofobija</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Širdies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bradikardija</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 xml:space="preserve">Kraujagyslių sutrikimai </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642A60" w:rsidP="00F00B20">
            <w:pPr>
              <w:pStyle w:val="prastasistinklapis"/>
              <w:spacing w:before="0" w:beforeAutospacing="0" w:after="0" w:afterAutospacing="0"/>
              <w:rPr>
                <w:sz w:val="22"/>
                <w:szCs w:val="22"/>
                <w:lang w:val="lt-LT"/>
              </w:rPr>
            </w:pPr>
            <w:r>
              <w:rPr>
                <w:sz w:val="22"/>
                <w:szCs w:val="22"/>
                <w:lang w:val="lt-LT"/>
              </w:rPr>
              <w:t>o</w:t>
            </w:r>
            <w:r w:rsidR="002A1BE8" w:rsidRPr="005F12EC">
              <w:rPr>
                <w:sz w:val="22"/>
                <w:szCs w:val="22"/>
                <w:lang w:val="lt-LT"/>
              </w:rPr>
              <w:t>rtostatinė</w:t>
            </w:r>
            <w:r w:rsidR="002A1BE8">
              <w:rPr>
                <w:sz w:val="22"/>
                <w:szCs w:val="22"/>
                <w:lang w:val="lt-LT"/>
              </w:rPr>
              <w:t xml:space="preserve"> </w:t>
            </w:r>
            <w:r w:rsidR="002A1BE8" w:rsidRPr="005F12EC">
              <w:rPr>
                <w:sz w:val="22"/>
                <w:szCs w:val="22"/>
                <w:lang w:val="lt-LT"/>
              </w:rPr>
              <w:t>hipotenzija, hipertenzinė krizė</w:t>
            </w:r>
          </w:p>
        </w:tc>
      </w:tr>
      <w:tr w:rsidR="002A1BE8" w:rsidRPr="0067211B"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 xml:space="preserve">Virškinimo trakto sutrikimai </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 xml:space="preserve">rijimo sutrikimai, pykinimas, vėmimas, epigastriumo </w:t>
            </w:r>
            <w:r>
              <w:rPr>
                <w:sz w:val="22"/>
                <w:szCs w:val="22"/>
                <w:lang w:val="lt-LT"/>
              </w:rPr>
              <w:t xml:space="preserve">(pakrūtinio) </w:t>
            </w:r>
            <w:r w:rsidRPr="005F12EC">
              <w:rPr>
                <w:sz w:val="22"/>
                <w:szCs w:val="22"/>
                <w:lang w:val="lt-LT"/>
              </w:rPr>
              <w:t>skausmas, viduriavimas, vidurių užkietėjimas, sausa burna</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 xml:space="preserve">Odos ir poodinio audinio </w:t>
            </w:r>
            <w:r>
              <w:rPr>
                <w:b/>
                <w:bCs/>
                <w:sz w:val="22"/>
                <w:szCs w:val="22"/>
                <w:lang w:val="lt-LT"/>
              </w:rPr>
              <w:lastRenderedPageBreak/>
              <w:t xml:space="preserve">sutrikimai </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3E466E">
            <w:pPr>
              <w:pStyle w:val="prastasistinklapis"/>
              <w:spacing w:before="0" w:beforeAutospacing="0" w:after="0" w:afterAutospacing="0"/>
              <w:rPr>
                <w:sz w:val="22"/>
                <w:szCs w:val="22"/>
                <w:lang w:val="lt-LT"/>
              </w:rPr>
            </w:pPr>
            <w:r w:rsidRPr="005F12EC">
              <w:rPr>
                <w:sz w:val="22"/>
                <w:szCs w:val="22"/>
                <w:lang w:val="lt-LT"/>
              </w:rPr>
              <w:t>išbėrimas, niež</w:t>
            </w:r>
            <w:r w:rsidR="003E466E">
              <w:rPr>
                <w:sz w:val="22"/>
                <w:szCs w:val="22"/>
                <w:lang w:val="lt-LT"/>
              </w:rPr>
              <w:t>ėjimas</w:t>
            </w:r>
            <w:r w:rsidRPr="005F12EC">
              <w:rPr>
                <w:sz w:val="22"/>
                <w:szCs w:val="22"/>
                <w:lang w:val="lt-LT"/>
              </w:rPr>
              <w:t xml:space="preserve">, </w:t>
            </w:r>
            <w:r w:rsidRPr="005F12EC">
              <w:rPr>
                <w:sz w:val="22"/>
                <w:szCs w:val="22"/>
                <w:lang w:val="lt-LT"/>
              </w:rPr>
              <w:lastRenderedPageBreak/>
              <w:t>dilgėlinė</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lastRenderedPageBreak/>
              <w:t>hiperhidrozė</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lastRenderedPageBreak/>
              <w:t>Lytinės sistemos ir krūties sutrikimai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nereguliarus menstruacijų ciklas</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Bendrieji sutrikimai ir vartojimo vietos pažeidimai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nuovargis, silpnumas, hipotermija</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Tyrimai</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sumažėjęs svoris</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hiperprolaktinemija, padidėjusi ALT koncentracija, padidėjusi AST koncentracija</w:t>
            </w:r>
          </w:p>
        </w:tc>
      </w:tr>
      <w:tr w:rsidR="002A1BE8" w:rsidRPr="005F12EC" w:rsidTr="006C49B7">
        <w:tc>
          <w:tcPr>
            <w:tcW w:w="0" w:type="auto"/>
            <w:tcMar>
              <w:left w:w="28" w:type="dxa"/>
              <w:right w:w="28" w:type="dxa"/>
            </w:tcMar>
          </w:tcPr>
          <w:p w:rsidR="002A1BE8" w:rsidRPr="005F12EC" w:rsidRDefault="002A1BE8" w:rsidP="00F00B20">
            <w:pPr>
              <w:pStyle w:val="prastasistinklapis"/>
              <w:spacing w:before="0" w:beforeAutospacing="0" w:after="0" w:afterAutospacing="0"/>
              <w:rPr>
                <w:b/>
                <w:bCs/>
                <w:sz w:val="22"/>
                <w:szCs w:val="22"/>
                <w:lang w:val="lt-LT"/>
              </w:rPr>
            </w:pPr>
            <w:r>
              <w:rPr>
                <w:b/>
                <w:bCs/>
                <w:sz w:val="22"/>
                <w:szCs w:val="22"/>
                <w:lang w:val="lt-LT"/>
              </w:rPr>
              <w:t>Sužalojimai, apsinuodijimai ir procedūrų komplikacijos</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r w:rsidRPr="005F12EC">
              <w:rPr>
                <w:sz w:val="22"/>
                <w:szCs w:val="22"/>
                <w:lang w:val="lt-LT"/>
              </w:rPr>
              <w:t>griuvimas</w:t>
            </w:r>
          </w:p>
        </w:tc>
        <w:tc>
          <w:tcPr>
            <w:tcW w:w="0" w:type="auto"/>
            <w:tcMar>
              <w:left w:w="28" w:type="dxa"/>
              <w:right w:w="28" w:type="dxa"/>
            </w:tcMar>
          </w:tcPr>
          <w:p w:rsidR="002A1BE8" w:rsidRPr="00FE798E" w:rsidRDefault="002A1BE8" w:rsidP="00F00B20">
            <w:pPr>
              <w:pStyle w:val="prastasistinklapis"/>
              <w:spacing w:before="0" w:beforeAutospacing="0" w:after="0" w:afterAutospacing="0"/>
              <w:rPr>
                <w:sz w:val="22"/>
                <w:szCs w:val="22"/>
                <w:lang w:val="lt-LT"/>
              </w:rPr>
            </w:pPr>
          </w:p>
        </w:tc>
      </w:tr>
    </w:tbl>
    <w:p w:rsidR="002A1BE8" w:rsidRPr="001E2876" w:rsidRDefault="002A1BE8" w:rsidP="00DE5A01">
      <w:pPr>
        <w:widowControl w:val="0"/>
        <w:spacing w:line="240" w:lineRule="auto"/>
        <w:rPr>
          <w:lang w:val="lt-LT"/>
        </w:rPr>
      </w:pPr>
    </w:p>
    <w:p w:rsidR="002A1BE8" w:rsidRPr="00FE798E" w:rsidRDefault="002A1BE8" w:rsidP="00DE5A01">
      <w:pPr>
        <w:widowControl w:val="0"/>
        <w:spacing w:line="240" w:lineRule="auto"/>
        <w:rPr>
          <w:lang w:val="lt-LT"/>
        </w:rPr>
      </w:pPr>
      <w:r w:rsidRPr="00FE798E">
        <w:rPr>
          <w:u w:val="single"/>
          <w:lang w:val="lt-LT"/>
        </w:rPr>
        <w:t>Atrinktų nepageidaujamų reakcijų apibūdinimas</w:t>
      </w:r>
    </w:p>
    <w:p w:rsidR="002A1BE8" w:rsidRPr="001E2876" w:rsidRDefault="002A1BE8" w:rsidP="00DE5A01">
      <w:pPr>
        <w:widowControl w:val="0"/>
        <w:spacing w:line="240" w:lineRule="auto"/>
        <w:rPr>
          <w:u w:val="single"/>
          <w:lang w:val="lt-LT"/>
        </w:rPr>
      </w:pPr>
    </w:p>
    <w:p w:rsidR="002A1BE8" w:rsidRPr="00FE798E" w:rsidRDefault="002A1BE8" w:rsidP="00DE5A01">
      <w:pPr>
        <w:widowControl w:val="0"/>
        <w:spacing w:line="240" w:lineRule="auto"/>
        <w:rPr>
          <w:i/>
          <w:iCs/>
          <w:u w:val="single"/>
          <w:lang w:val="lt-LT"/>
        </w:rPr>
      </w:pPr>
      <w:r w:rsidRPr="00FE798E">
        <w:rPr>
          <w:i/>
          <w:iCs/>
          <w:u w:val="single"/>
          <w:lang w:val="lt-LT"/>
        </w:rPr>
        <w:t>Ekstrapiramidiniai simptomai (EPS)</w:t>
      </w:r>
    </w:p>
    <w:p w:rsidR="002A1BE8" w:rsidRPr="001E2876" w:rsidRDefault="002A1BE8" w:rsidP="00DE5A01">
      <w:pPr>
        <w:widowControl w:val="0"/>
        <w:spacing w:line="240" w:lineRule="auto"/>
        <w:rPr>
          <w:lang w:val="lt-LT"/>
        </w:rPr>
      </w:pPr>
      <w:r w:rsidRPr="001E2876">
        <w:rPr>
          <w:lang w:val="lt-LT"/>
        </w:rPr>
        <w:t>Dvigubai aklo placebu kontroliuojamo atsitiktinės atrankos tyrimo metu akatizija (hiperkinezė ar nenustygimas) užfiksuota 10 iš 54 (19 %)tetrabenazino vartojusių pacientų. To paties tyrimo metu ekstrapiramidinių reiškinių –parkinsonizmas(eisenos, pusiausvyros sutrikimai ar bradikinezė) arba distonija – nustatyta8 šio vaistinio preparato vartojusiems pacientams (15 %). Koks</w:t>
      </w:r>
      <w:r>
        <w:rPr>
          <w:lang w:val="lt-LT"/>
        </w:rPr>
        <w:t xml:space="preserve"> </w:t>
      </w:r>
      <w:r w:rsidRPr="001E2876">
        <w:rPr>
          <w:lang w:val="lt-LT"/>
        </w:rPr>
        <w:t>nors ekstrapiramidinis reiškinys užfiksuotas 18 (33 %)tetrabenazino grupės pacientų ir nė vienam iš 30 placebo grupės pacientų (žr. 4.4 skyrių).</w:t>
      </w:r>
    </w:p>
    <w:p w:rsidR="002A1BE8" w:rsidRPr="001E2876" w:rsidRDefault="002A1BE8" w:rsidP="00DE5A01">
      <w:pPr>
        <w:widowControl w:val="0"/>
        <w:spacing w:line="240" w:lineRule="auto"/>
        <w:rPr>
          <w:lang w:val="lt-LT"/>
        </w:rPr>
      </w:pPr>
    </w:p>
    <w:p w:rsidR="002A1BE8" w:rsidRPr="00FE798E" w:rsidRDefault="002A1BE8" w:rsidP="00DE5A01">
      <w:pPr>
        <w:widowControl w:val="0"/>
        <w:spacing w:line="240" w:lineRule="auto"/>
        <w:rPr>
          <w:i/>
          <w:iCs/>
          <w:u w:val="single"/>
          <w:lang w:val="lt-LT"/>
        </w:rPr>
      </w:pPr>
      <w:r>
        <w:rPr>
          <w:i/>
          <w:iCs/>
          <w:u w:val="single"/>
          <w:lang w:val="lt-LT"/>
        </w:rPr>
        <w:t>P</w:t>
      </w:r>
      <w:r w:rsidRPr="00FE798E">
        <w:rPr>
          <w:i/>
          <w:iCs/>
          <w:u w:val="single"/>
          <w:lang w:val="lt-LT"/>
        </w:rPr>
        <w:t xml:space="preserve">iktybinis </w:t>
      </w:r>
      <w:r>
        <w:rPr>
          <w:i/>
          <w:iCs/>
          <w:u w:val="single"/>
          <w:lang w:val="lt-LT"/>
        </w:rPr>
        <w:t xml:space="preserve">neurolepsinis </w:t>
      </w:r>
      <w:r w:rsidRPr="00FE798E">
        <w:rPr>
          <w:i/>
          <w:iCs/>
          <w:u w:val="single"/>
          <w:lang w:val="lt-LT"/>
        </w:rPr>
        <w:t>sindromas (P</w:t>
      </w:r>
      <w:r>
        <w:rPr>
          <w:i/>
          <w:iCs/>
          <w:u w:val="single"/>
          <w:lang w:val="lt-LT"/>
        </w:rPr>
        <w:t>N</w:t>
      </w:r>
      <w:r w:rsidRPr="00FE798E">
        <w:rPr>
          <w:i/>
          <w:iCs/>
          <w:u w:val="single"/>
          <w:lang w:val="lt-LT"/>
        </w:rPr>
        <w:t>S)</w:t>
      </w:r>
    </w:p>
    <w:p w:rsidR="002A1BE8" w:rsidRPr="001E2876" w:rsidRDefault="002A1BE8" w:rsidP="00DE5A01">
      <w:pPr>
        <w:widowControl w:val="0"/>
        <w:spacing w:line="240" w:lineRule="auto"/>
        <w:rPr>
          <w:lang w:val="lt-LT"/>
        </w:rPr>
      </w:pPr>
      <w:r w:rsidRPr="001E2876">
        <w:rPr>
          <w:lang w:val="lt-LT"/>
        </w:rPr>
        <w:t>Neurolepsinis piktybinis sindromas (P</w:t>
      </w:r>
      <w:r>
        <w:rPr>
          <w:lang w:val="lt-LT"/>
        </w:rPr>
        <w:t>N</w:t>
      </w:r>
      <w:r w:rsidRPr="001E2876">
        <w:rPr>
          <w:lang w:val="lt-LT"/>
        </w:rPr>
        <w:t>S) – tai gyvybei pavojinga būklė, labai retais atvejais užfiksuota tetrabenaziną vartojusiems pacientams. Gydymo metu jis gali pasireikšti bet kada. P</w:t>
      </w:r>
      <w:r>
        <w:rPr>
          <w:lang w:val="lt-LT"/>
        </w:rPr>
        <w:t>N</w:t>
      </w:r>
      <w:r w:rsidRPr="001E2876">
        <w:rPr>
          <w:lang w:val="lt-LT"/>
        </w:rPr>
        <w:t>S kliniškai pasireiškia hiperpireksija, raumenų rigidiškumu, pakitusia psichine būkle ir autonominės nervų sistemos nestabilumu (nereguliariu pulsu ar nestabiliu kraujospūdžiu, tachikardija, padidėjusiu prakaitavimu, širdies aritmija). Kiti galimi požymiai yra padidėjusi kreatinkinazės koncentracija, mioglobinurija, rabdomiolizė ir ūminis inkstų nepakankamumas. Įtarus P</w:t>
      </w:r>
      <w:r>
        <w:rPr>
          <w:lang w:val="lt-LT"/>
        </w:rPr>
        <w:t>N</w:t>
      </w:r>
      <w:r w:rsidRPr="001E2876">
        <w:rPr>
          <w:lang w:val="lt-LT"/>
        </w:rPr>
        <w:t>S, reikia nedelsiant nutraukti tetrabenazino vartojimą ir pradėti atitinkamą palaikomąjį gydymą (žr. 4.4 skyrių).</w:t>
      </w:r>
    </w:p>
    <w:p w:rsidR="002A1BE8" w:rsidRPr="001E2876" w:rsidRDefault="002A1BE8" w:rsidP="00DE5A01">
      <w:pPr>
        <w:widowControl w:val="0"/>
        <w:spacing w:line="240" w:lineRule="auto"/>
        <w:rPr>
          <w:lang w:val="lt-LT"/>
        </w:rPr>
      </w:pPr>
    </w:p>
    <w:p w:rsidR="002A1BE8" w:rsidRPr="00FE798E" w:rsidRDefault="002A1BE8" w:rsidP="00DE5A01">
      <w:pPr>
        <w:widowControl w:val="0"/>
        <w:spacing w:line="240" w:lineRule="auto"/>
        <w:rPr>
          <w:i/>
          <w:iCs/>
          <w:u w:val="single"/>
          <w:lang w:val="lt-LT"/>
        </w:rPr>
      </w:pPr>
      <w:r w:rsidRPr="00FE798E">
        <w:rPr>
          <w:i/>
          <w:iCs/>
          <w:u w:val="single"/>
          <w:lang w:val="lt-LT"/>
        </w:rPr>
        <w:t>Depresija ir polinkis į savižudybę</w:t>
      </w:r>
    </w:p>
    <w:p w:rsidR="002A1BE8" w:rsidRPr="001E2876" w:rsidRDefault="002A1BE8" w:rsidP="00DE5A01">
      <w:pPr>
        <w:widowControl w:val="0"/>
        <w:spacing w:line="240" w:lineRule="auto"/>
        <w:rPr>
          <w:lang w:val="lt-LT"/>
        </w:rPr>
      </w:pPr>
      <w:r w:rsidRPr="001E2876">
        <w:rPr>
          <w:lang w:val="lt-LT"/>
        </w:rPr>
        <w:t xml:space="preserve">12 savaičių dvigubai aklo placebu kontroliuojamo </w:t>
      </w:r>
      <w:r w:rsidRPr="00FE798E">
        <w:rPr>
          <w:i/>
          <w:iCs/>
          <w:lang w:val="lt-LT"/>
        </w:rPr>
        <w:t>Huntington</w:t>
      </w:r>
      <w:r>
        <w:rPr>
          <w:lang w:val="lt-LT"/>
        </w:rPr>
        <w:t xml:space="preserve"> </w:t>
      </w:r>
      <w:r w:rsidRPr="001E2876">
        <w:rPr>
          <w:lang w:val="lt-LT"/>
        </w:rPr>
        <w:t xml:space="preserve">chorėja sergančių pacientų tyrimo metu 10 iš 54 tetrabenazino vartojusių pacientų (19 %) kaip nepageidaujamas reiškinys užfiksuota depresija ar jos pasunkėjimas, o nė vienam iš 30 placebo vartojusių pacientų tokių sutrikimų nebuvo. Dviejų atvirų tyrimų metu (viename 29 pacientai vartojo tetrabenazino iki 48 savaičių, kitame – 75 pacientai iki 80 savaičių) depresija pasireiškė ar pasunkėjo 35 % pacientų. Per visus tetrabenazino poveikio </w:t>
      </w:r>
      <w:r w:rsidRPr="00FE798E">
        <w:rPr>
          <w:i/>
          <w:iCs/>
          <w:lang w:val="lt-LT"/>
        </w:rPr>
        <w:t>Huntington</w:t>
      </w:r>
      <w:r>
        <w:rPr>
          <w:lang w:val="lt-LT"/>
        </w:rPr>
        <w:t xml:space="preserve"> </w:t>
      </w:r>
      <w:r w:rsidRPr="001E2876">
        <w:rPr>
          <w:lang w:val="lt-LT"/>
        </w:rPr>
        <w:t xml:space="preserve">chorėja sergantiems pacientams tyrimus kartu paėmus (n = 187) vienas pacientas nusižudė, vienas mėgino nusižudyti, 6 turėjo minčių apie savižudybę. Vis dėlto pažymėtina, kad </w:t>
      </w:r>
      <w:r w:rsidRPr="00FE798E">
        <w:rPr>
          <w:i/>
          <w:iCs/>
          <w:lang w:val="lt-LT"/>
        </w:rPr>
        <w:t>Huntington</w:t>
      </w:r>
      <w:r>
        <w:rPr>
          <w:lang w:val="lt-LT"/>
        </w:rPr>
        <w:t xml:space="preserve"> </w:t>
      </w:r>
      <w:r w:rsidRPr="001E2876">
        <w:rPr>
          <w:lang w:val="lt-LT"/>
        </w:rPr>
        <w:t>chorėja sergančių pacientų savižudybės rizika yra didesnė nepriklausomai nuo depresijos rodiklių. Tikslios minčių apie savižudybę atsiradimo ar savižudiško elgesio rizikos, susijusios su tetrabenazinu, apskaičiuoti negalima (žr. 4.3, 4.4 ir 5.1 skyrius).</w:t>
      </w:r>
    </w:p>
    <w:p w:rsidR="002A1BE8" w:rsidRPr="001E2876" w:rsidRDefault="002A1BE8" w:rsidP="00DE5A01">
      <w:pPr>
        <w:widowControl w:val="0"/>
        <w:spacing w:line="240" w:lineRule="auto"/>
        <w:rPr>
          <w:lang w:val="lt-LT"/>
        </w:rPr>
      </w:pPr>
    </w:p>
    <w:p w:rsidR="002A1BE8" w:rsidRPr="00FE798E" w:rsidRDefault="002A1BE8" w:rsidP="00DE5A01">
      <w:pPr>
        <w:widowControl w:val="0"/>
        <w:spacing w:line="240" w:lineRule="auto"/>
        <w:rPr>
          <w:i/>
          <w:iCs/>
          <w:u w:val="single"/>
          <w:lang w:val="lt-LT"/>
        </w:rPr>
      </w:pPr>
      <w:r w:rsidRPr="00FE798E">
        <w:rPr>
          <w:i/>
          <w:iCs/>
          <w:u w:val="single"/>
          <w:lang w:val="lt-LT"/>
        </w:rPr>
        <w:t>Mieguistumas</w:t>
      </w:r>
    </w:p>
    <w:p w:rsidR="002A1BE8" w:rsidRPr="001E2876" w:rsidRDefault="002A1BE8" w:rsidP="00DE5A01">
      <w:pPr>
        <w:widowControl w:val="0"/>
        <w:spacing w:line="240" w:lineRule="auto"/>
        <w:rPr>
          <w:lang w:val="lt-LT"/>
        </w:rPr>
      </w:pPr>
      <w:r w:rsidRPr="001E2876">
        <w:rPr>
          <w:lang w:val="lt-LT"/>
        </w:rPr>
        <w:t>Mieguistumas yra dažniausias nepageidaujamas poveikis, dėl kurio tenka riboti tetrabenazino</w:t>
      </w:r>
      <w:r>
        <w:rPr>
          <w:lang w:val="lt-LT"/>
        </w:rPr>
        <w:t xml:space="preserve"> </w:t>
      </w:r>
      <w:r w:rsidRPr="001E2876">
        <w:rPr>
          <w:lang w:val="lt-LT"/>
        </w:rPr>
        <w:t xml:space="preserve">dozę. 12 savaičių dvigubai aklo placebu kontroliuojamo </w:t>
      </w:r>
      <w:r w:rsidRPr="00FE798E">
        <w:rPr>
          <w:i/>
          <w:iCs/>
          <w:lang w:val="lt-LT"/>
        </w:rPr>
        <w:t>Huntington</w:t>
      </w:r>
      <w:r>
        <w:rPr>
          <w:lang w:val="lt-LT"/>
        </w:rPr>
        <w:t xml:space="preserve"> </w:t>
      </w:r>
      <w:r w:rsidRPr="001E2876">
        <w:rPr>
          <w:lang w:val="lt-LT"/>
        </w:rPr>
        <w:t>chorėja sergančių pacientų tyrimo metu mieguistumas užfiksuotas 17 iš 54 (31 %) pacientų, vartojusių</w:t>
      </w:r>
      <w:r>
        <w:rPr>
          <w:lang w:val="lt-LT"/>
        </w:rPr>
        <w:t xml:space="preserve"> </w:t>
      </w:r>
      <w:r w:rsidRPr="001E2876">
        <w:rPr>
          <w:lang w:val="lt-LT"/>
        </w:rPr>
        <w:t xml:space="preserve">tetrabenazino, ir vienam (3 %) vartojusiam placebo. Dėl mieguistumo tetrabenazino dozę buvo nustota didinti ir (arba) ji buvo sumažinta 15 iš 54 (28 %) pacientų. Visais atvejais, išskyrus vieną, sumažinus tetrabenazino dozę sumažėjo ir sedacija. 48 ir 80 savaičių trukmės atvirų tyrimų metu mieguistumas nustatytas atitinkamai 17 % ir 57 % tetrabenazino </w:t>
      </w:r>
      <w:r w:rsidRPr="001E2876">
        <w:rPr>
          <w:lang w:val="lt-LT"/>
        </w:rPr>
        <w:lastRenderedPageBreak/>
        <w:t>vartojusių pacientų. Kai kuriems pacientams mieguistumas pasireiškė vartojant mažesnę negu rekomenduojamą dozę (žr. 4.4 skyrių).</w:t>
      </w:r>
    </w:p>
    <w:p w:rsidR="002A1BE8" w:rsidRPr="001E2876" w:rsidRDefault="002A1BE8" w:rsidP="00DE5A01">
      <w:pPr>
        <w:widowControl w:val="0"/>
        <w:spacing w:line="240" w:lineRule="auto"/>
        <w:rPr>
          <w:lang w:val="lt-LT"/>
        </w:rPr>
      </w:pPr>
    </w:p>
    <w:p w:rsidR="002A1BE8" w:rsidRPr="00FE798E" w:rsidRDefault="002A1BE8" w:rsidP="00DE5A01">
      <w:pPr>
        <w:widowControl w:val="0"/>
        <w:spacing w:line="240" w:lineRule="auto"/>
        <w:rPr>
          <w:i/>
          <w:iCs/>
          <w:u w:val="single"/>
          <w:lang w:val="lt-LT"/>
        </w:rPr>
      </w:pPr>
      <w:r w:rsidRPr="00FE798E">
        <w:rPr>
          <w:i/>
          <w:iCs/>
          <w:u w:val="single"/>
          <w:lang w:val="lt-LT"/>
        </w:rPr>
        <w:t>Laboratoriniai tyrimai</w:t>
      </w:r>
    </w:p>
    <w:p w:rsidR="002A1BE8" w:rsidRPr="001E2876" w:rsidRDefault="002A1BE8" w:rsidP="00DE5A01">
      <w:pPr>
        <w:widowControl w:val="0"/>
        <w:spacing w:line="240" w:lineRule="auto"/>
        <w:rPr>
          <w:color w:val="000000"/>
          <w:lang w:val="lt-LT"/>
        </w:rPr>
      </w:pPr>
      <w:r w:rsidRPr="001E2876">
        <w:rPr>
          <w:color w:val="000000"/>
          <w:lang w:val="lt-LT"/>
        </w:rPr>
        <w:t>Didžiausia prolaktino koncentracija 25 mg tetrabenazino išgėrusių sveikų savanorių plazmoje buvo 4</w:t>
      </w:r>
      <w:r w:rsidRPr="001E2876">
        <w:rPr>
          <w:color w:val="000000"/>
          <w:lang w:val="lt-LT"/>
        </w:rPr>
        <w:noBreakHyphen/>
        <w:t>5 kartus didesnė. Kuriant tetrabenaziną prolaktino koncentracijos plazmoje pokyčiai netirti.</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lang w:val="lt-LT"/>
        </w:rPr>
        <w:t>Tetrabenazino klinikinių tyrimų metu pranešimų apie klinikai reikšmingus laboratorinių rodiklių pokyčius negauta. Kontroliuojamų klinikinių tyrimų metu tetrabenazinas sukėlė nežymų alanino</w:t>
      </w:r>
      <w:r>
        <w:rPr>
          <w:lang w:val="lt-LT"/>
        </w:rPr>
        <w:t xml:space="preserve"> </w:t>
      </w:r>
      <w:r w:rsidRPr="001E2876">
        <w:rPr>
          <w:lang w:val="lt-LT"/>
        </w:rPr>
        <w:t>aminotransferazės (ALT) ir aspartato</w:t>
      </w:r>
      <w:r>
        <w:rPr>
          <w:lang w:val="lt-LT"/>
        </w:rPr>
        <w:t xml:space="preserve"> </w:t>
      </w:r>
      <w:r w:rsidRPr="001E2876">
        <w:rPr>
          <w:lang w:val="lt-LT"/>
        </w:rPr>
        <w:t>aminotransferazės (AST) vidutinės koncentracijos padidėjimą palyginus su placebo grupe.</w:t>
      </w:r>
    </w:p>
    <w:p w:rsidR="002A1BE8" w:rsidRPr="001E2876" w:rsidRDefault="002A1BE8" w:rsidP="00D47133">
      <w:pPr>
        <w:widowControl w:val="0"/>
        <w:spacing w:line="240" w:lineRule="auto"/>
        <w:rPr>
          <w:lang w:val="lt-LT"/>
        </w:rPr>
      </w:pPr>
    </w:p>
    <w:p w:rsidR="002A1BE8" w:rsidRPr="00FE798E" w:rsidRDefault="002A1BE8" w:rsidP="00D47133">
      <w:pPr>
        <w:widowControl w:val="0"/>
        <w:spacing w:line="240" w:lineRule="auto"/>
        <w:rPr>
          <w:u w:val="single"/>
          <w:lang w:val="lt-LT"/>
        </w:rPr>
      </w:pPr>
      <w:r w:rsidRPr="00FE798E">
        <w:rPr>
          <w:u w:val="single"/>
          <w:lang w:val="lt-LT"/>
        </w:rPr>
        <w:t>Vaikų populiacija</w:t>
      </w:r>
    </w:p>
    <w:p w:rsidR="002A1BE8" w:rsidRPr="001E2876" w:rsidRDefault="002A1BE8" w:rsidP="00D47133">
      <w:pPr>
        <w:widowControl w:val="0"/>
        <w:spacing w:line="240" w:lineRule="auto"/>
        <w:rPr>
          <w:lang w:val="lt-LT"/>
        </w:rPr>
      </w:pPr>
      <w:r w:rsidRPr="001E2876">
        <w:rPr>
          <w:lang w:val="lt-LT"/>
        </w:rPr>
        <w:t>Tetrabenazinas nėra skirtas vaikų populiacijai, saugumo vaikams ir paaugliams duomenų nėra.</w:t>
      </w:r>
    </w:p>
    <w:p w:rsidR="002A1BE8" w:rsidRPr="001E2876" w:rsidRDefault="002A1BE8" w:rsidP="00D47133">
      <w:pPr>
        <w:widowControl w:val="0"/>
        <w:spacing w:line="240" w:lineRule="auto"/>
        <w:rPr>
          <w:lang w:val="lt-LT"/>
        </w:rPr>
      </w:pPr>
    </w:p>
    <w:p w:rsidR="002A1BE8" w:rsidRPr="001E2876" w:rsidRDefault="002A1BE8" w:rsidP="00D47133">
      <w:pPr>
        <w:autoSpaceDE w:val="0"/>
        <w:autoSpaceDN w:val="0"/>
        <w:adjustRightInd w:val="0"/>
        <w:spacing w:line="240" w:lineRule="auto"/>
        <w:rPr>
          <w:u w:val="single"/>
          <w:lang w:val="lt-LT"/>
        </w:rPr>
      </w:pPr>
      <w:r w:rsidRPr="001E2876">
        <w:rPr>
          <w:u w:val="single"/>
          <w:lang w:val="lt-LT"/>
        </w:rPr>
        <w:t>Pranešimas apie įtariamas nepageidaujamas reakcijas</w:t>
      </w:r>
    </w:p>
    <w:p w:rsidR="002A1BE8" w:rsidRPr="001E2876" w:rsidRDefault="002A1BE8" w:rsidP="00D47133">
      <w:pPr>
        <w:autoSpaceDE w:val="0"/>
        <w:autoSpaceDN w:val="0"/>
        <w:adjustRightInd w:val="0"/>
        <w:spacing w:line="240" w:lineRule="auto"/>
        <w:rPr>
          <w:lang w:val="lt-LT"/>
        </w:rPr>
      </w:pPr>
      <w:r w:rsidRPr="001E2876">
        <w:rPr>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0" w:history="1">
        <w:r w:rsidRPr="001E2876">
          <w:rPr>
            <w:rStyle w:val="Hipersaitas"/>
            <w:rFonts w:eastAsia="SimSun"/>
            <w:lang w:val="lt-LT"/>
          </w:rPr>
          <w:t>www.vvkt.lt</w:t>
        </w:r>
      </w:hyperlink>
      <w:r w:rsidRPr="001E2876">
        <w:rPr>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1E2876">
          <w:rPr>
            <w:rStyle w:val="Hipersaitas"/>
            <w:rFonts w:eastAsia="SimSun"/>
            <w:lang w:val="lt-LT"/>
          </w:rPr>
          <w:t>NepageidaujamaR@vvkt.lt</w:t>
        </w:r>
      </w:hyperlink>
      <w:r w:rsidRPr="001E2876">
        <w:rPr>
          <w:lang w:val="lt-LT"/>
        </w:rPr>
        <w:t>.</w:t>
      </w:r>
    </w:p>
    <w:p w:rsidR="002A1BE8" w:rsidRPr="001E2876" w:rsidRDefault="002A1BE8" w:rsidP="00D47133">
      <w:pPr>
        <w:spacing w:line="240" w:lineRule="auto"/>
        <w:rPr>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4.9</w:t>
      </w:r>
      <w:r w:rsidRPr="001E2876">
        <w:rPr>
          <w:rFonts w:ascii="Times New Roman" w:hAnsi="Times New Roman" w:cs="Times New Roman"/>
          <w:sz w:val="22"/>
          <w:szCs w:val="22"/>
          <w:lang w:val="lt-LT"/>
        </w:rPr>
        <w:tab/>
        <w:t>Perdozavimas</w:t>
      </w:r>
    </w:p>
    <w:p w:rsidR="002A1BE8" w:rsidRPr="001E2876" w:rsidRDefault="002A1BE8" w:rsidP="00D47133">
      <w:pPr>
        <w:spacing w:line="240" w:lineRule="auto"/>
        <w:rPr>
          <w:lang w:val="lt-LT"/>
        </w:rPr>
      </w:pPr>
    </w:p>
    <w:p w:rsidR="002A1BE8" w:rsidRPr="001E2876" w:rsidRDefault="002A1BE8" w:rsidP="00D47133">
      <w:pPr>
        <w:widowControl w:val="0"/>
        <w:spacing w:line="240" w:lineRule="auto"/>
        <w:rPr>
          <w:lang w:val="lt-LT"/>
        </w:rPr>
      </w:pPr>
      <w:r w:rsidRPr="001E2876">
        <w:rPr>
          <w:lang w:val="lt-LT"/>
        </w:rPr>
        <w:t xml:space="preserve">Galimi tetrabenazino perdozavimo simptomai yra ūminė distonija, okulogirinė krizė, pykinimas, vėmimas, viduriavimas, prakaitavimas, hipotermija, hipotenzija, konfūzija, haliucinacijos, sedacija, paraudimas ir drebulys. </w:t>
      </w:r>
    </w:p>
    <w:p w:rsidR="002A1BE8" w:rsidRPr="001E2876" w:rsidRDefault="002A1BE8" w:rsidP="00D47133">
      <w:pPr>
        <w:widowControl w:val="0"/>
        <w:spacing w:line="240" w:lineRule="auto"/>
        <w:rPr>
          <w:lang w:val="lt-LT"/>
        </w:rPr>
      </w:pPr>
    </w:p>
    <w:p w:rsidR="002A1BE8" w:rsidRPr="001E2876" w:rsidRDefault="002A1BE8" w:rsidP="00D47133">
      <w:pPr>
        <w:widowControl w:val="0"/>
        <w:spacing w:line="240" w:lineRule="auto"/>
        <w:rPr>
          <w:lang w:val="lt-LT"/>
        </w:rPr>
      </w:pPr>
      <w:r w:rsidRPr="001E2876">
        <w:rPr>
          <w:lang w:val="lt-LT"/>
        </w:rPr>
        <w:t>Gydyti reikia tokiomis pačiomis bendromis priemonėmis kaip perdozavus bet kurio kito CNS veikiančio vaistinio preparato. Rekomenduojamos bendros palaikomosios ir simptominės priemonės. Būtina nuolat tirti širdies ritmą ir gyvybės požymius. Gydant perdozavimą, visada reikia atsižvelgti į apsinuodijimo kelias vaistiniais preparatais galimybę. Jeigu</w:t>
      </w:r>
      <w:r>
        <w:rPr>
          <w:lang w:val="lt-LT"/>
        </w:rPr>
        <w:t xml:space="preserve"> </w:t>
      </w:r>
      <w:r w:rsidRPr="001E2876">
        <w:rPr>
          <w:lang w:val="lt-LT"/>
        </w:rPr>
        <w:t>po perdozavimo praėjo nedaug laiko, gali būti naudinga aktyvintoji anglis.</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b/>
          <w:bCs/>
          <w:lang w:val="lt-LT"/>
        </w:rPr>
      </w:pPr>
      <w:r w:rsidRPr="001E2876">
        <w:rPr>
          <w:lang w:val="lt-LT"/>
        </w:rPr>
        <w:t>Ar tetrabenazinas, α-HTBZ ir β-HTBZ šalinami hemodializės metu, netirta. Tetrabenazinui būdingas greitas ir ekstensyvus priešsisteminis metabolizmas kepenyse. Dėl didelio tetrabenazino ir jo pagrindinių metabolitų pasiskirstymo tūrio ir vidutinio (apie60 %) prie baltymų prisijungusio kiekio hemodializė gali neužtikrinti pakankamo koncentracijos plazmoje sumažėjimo perdozavus.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w:t>
      </w:r>
      <w:r w:rsidRPr="001E2876">
        <w:rPr>
          <w:rFonts w:ascii="Times New Roman" w:hAnsi="Times New Roman" w:cs="Times New Roman"/>
          <w:sz w:val="22"/>
          <w:szCs w:val="22"/>
          <w:lang w:val="lt-LT"/>
        </w:rPr>
        <w:tab/>
        <w:t>FARMAKOLOGINĖS SAVYBĖS</w:t>
      </w:r>
    </w:p>
    <w:p w:rsidR="002A1BE8" w:rsidRPr="001E2876" w:rsidRDefault="002A1BE8" w:rsidP="00DE5A01">
      <w:pPr>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5.1</w:t>
      </w:r>
      <w:r w:rsidRPr="001E2876">
        <w:rPr>
          <w:rFonts w:ascii="Times New Roman" w:hAnsi="Times New Roman" w:cs="Times New Roman"/>
          <w:sz w:val="22"/>
          <w:szCs w:val="22"/>
          <w:lang w:val="lt-LT"/>
        </w:rPr>
        <w:tab/>
        <w:t>Farmakodinaminės savybės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Farmakoterapinė grupė – kiti nervų sistemą veikiantys vaistiniai preparatai, ATC kodas – N07XX06.</w:t>
      </w:r>
    </w:p>
    <w:p w:rsidR="002A1BE8" w:rsidRPr="001E2876" w:rsidRDefault="002A1BE8" w:rsidP="00DE5A01">
      <w:pPr>
        <w:spacing w:line="240" w:lineRule="auto"/>
        <w:rPr>
          <w:lang w:val="lt-LT"/>
        </w:rPr>
      </w:pPr>
    </w:p>
    <w:p w:rsidR="002A1BE8" w:rsidRPr="001E2876" w:rsidRDefault="002A1BE8" w:rsidP="00DE5A01">
      <w:pPr>
        <w:widowControl w:val="0"/>
        <w:spacing w:line="240" w:lineRule="auto"/>
        <w:rPr>
          <w:lang w:val="lt-LT"/>
        </w:rPr>
      </w:pPr>
      <w:r w:rsidRPr="001E2876">
        <w:rPr>
          <w:lang w:val="lt-LT"/>
        </w:rPr>
        <w:t>Tetrabenazinas yra sintetinis benzilkvinolizino darinys.</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u w:val="single"/>
          <w:lang w:val="lt-LT"/>
        </w:rPr>
        <w:t>Veikimo mechanizmas</w:t>
      </w:r>
    </w:p>
    <w:p w:rsidR="002A1BE8" w:rsidRPr="001E2876" w:rsidRDefault="002A1BE8" w:rsidP="00DE5A01">
      <w:pPr>
        <w:widowControl w:val="0"/>
        <w:spacing w:line="240" w:lineRule="auto"/>
        <w:rPr>
          <w:lang w:val="lt-LT"/>
        </w:rPr>
      </w:pPr>
      <w:r w:rsidRPr="001E2876">
        <w:rPr>
          <w:lang w:val="lt-LT"/>
        </w:rPr>
        <w:t xml:space="preserve">Tyrimų </w:t>
      </w:r>
      <w:r w:rsidRPr="001E2876">
        <w:rPr>
          <w:i/>
          <w:iCs/>
          <w:lang w:val="lt-LT"/>
        </w:rPr>
        <w:t>in</w:t>
      </w:r>
      <w:r>
        <w:rPr>
          <w:i/>
          <w:iCs/>
          <w:lang w:val="lt-LT"/>
        </w:rPr>
        <w:t xml:space="preserve"> </w:t>
      </w:r>
      <w:r w:rsidRPr="001E2876">
        <w:rPr>
          <w:i/>
          <w:iCs/>
          <w:lang w:val="lt-LT"/>
        </w:rPr>
        <w:t>vitro</w:t>
      </w:r>
      <w:r w:rsidRPr="001E2876">
        <w:rPr>
          <w:lang w:val="lt-LT"/>
        </w:rPr>
        <w:t xml:space="preserve"> duomenimis, tetrabenazinas laikinai slopina žmogaus pūslelių monoaminų 2 tipo nešiklį VMAT2 (Ki ≈ 100 nM), todėl mažiau monoaminų patenka į sinapsines pūsleles ir sumažėja jų atsargos. Daugiausia VMAT2 yra CNS esančių sinapsinių pūslelių išorinėse membranose. Tyrimų duomenimis, pagrindinio aktyvaus tetrabenazino</w:t>
      </w:r>
      <w:r>
        <w:rPr>
          <w:lang w:val="lt-LT"/>
        </w:rPr>
        <w:t xml:space="preserve"> </w:t>
      </w:r>
      <w:r w:rsidRPr="001E2876">
        <w:rPr>
          <w:lang w:val="lt-LT"/>
        </w:rPr>
        <w:t xml:space="preserve">metabolito α-HTBZ (dihidrotetrabenazino) afinitetas VMAT2 yra panašus, o selektyvumas – reikšmingesnis. Dėl labai greito tetrabenazino metabolizmo daugumą jo farmakologinių poveikių tikriausiai lemia </w:t>
      </w:r>
      <w:r w:rsidRPr="001E2876">
        <w:rPr>
          <w:rFonts w:eastAsia="TimesNewRoman"/>
          <w:lang w:val="lt-LT" w:eastAsia="fi-FI"/>
        </w:rPr>
        <w:t>α</w:t>
      </w:r>
      <w:r w:rsidRPr="001E2876">
        <w:rPr>
          <w:lang w:val="lt-LT" w:eastAsia="fi-FI"/>
        </w:rPr>
        <w:t xml:space="preserve">-HTBZ. Skirtingai nuo pastarojo, </w:t>
      </w:r>
      <w:r w:rsidRPr="001E2876">
        <w:rPr>
          <w:rFonts w:eastAsia="TimesNewRoman"/>
          <w:lang w:val="lt-LT" w:eastAsia="fi-FI"/>
        </w:rPr>
        <w:t>β</w:t>
      </w:r>
      <w:r w:rsidRPr="001E2876">
        <w:rPr>
          <w:lang w:val="lt-LT" w:eastAsia="fi-FI"/>
        </w:rPr>
        <w:t xml:space="preserve">-HTBZ prie VMAT2 </w:t>
      </w:r>
      <w:r w:rsidRPr="001E2876">
        <w:rPr>
          <w:lang w:val="lt-LT" w:eastAsia="fi-FI"/>
        </w:rPr>
        <w:lastRenderedPageBreak/>
        <w:t>nesijungia.</w:t>
      </w:r>
    </w:p>
    <w:p w:rsidR="002A1BE8" w:rsidRPr="001E2876" w:rsidRDefault="002A1BE8" w:rsidP="00DE5A01">
      <w:pPr>
        <w:widowControl w:val="0"/>
        <w:spacing w:line="240" w:lineRule="auto"/>
        <w:rPr>
          <w:lang w:val="lt-LT"/>
        </w:rPr>
      </w:pPr>
    </w:p>
    <w:p w:rsidR="002A1BE8" w:rsidRPr="001E2876" w:rsidRDefault="002A1BE8" w:rsidP="00DE5A01">
      <w:pPr>
        <w:pStyle w:val="prastojitrauka"/>
        <w:spacing w:after="0"/>
        <w:ind w:left="0"/>
        <w:rPr>
          <w:lang w:val="lt-LT"/>
        </w:rPr>
      </w:pPr>
      <w:r w:rsidRPr="001E2876">
        <w:rPr>
          <w:lang w:val="lt-LT"/>
        </w:rPr>
        <w:t>Tetrabenazinui veikiant sinapses, laikinai sumažėja monoaminų</w:t>
      </w:r>
      <w:r>
        <w:rPr>
          <w:lang w:val="lt-LT"/>
        </w:rPr>
        <w:t xml:space="preserve"> </w:t>
      </w:r>
      <w:r w:rsidRPr="001E2876">
        <w:rPr>
          <w:lang w:val="lt-LT"/>
        </w:rPr>
        <w:t>priešsinapsinėse pūslelėse. Tetrabenazinas</w:t>
      </w:r>
      <w:r>
        <w:rPr>
          <w:lang w:val="lt-LT"/>
        </w:rPr>
        <w:t xml:space="preserve"> </w:t>
      </w:r>
      <w:r w:rsidRPr="001E2876">
        <w:rPr>
          <w:lang w:val="lt-LT"/>
        </w:rPr>
        <w:t>labiausiai mažina dopamino</w:t>
      </w:r>
      <w:r>
        <w:rPr>
          <w:lang w:val="lt-LT"/>
        </w:rPr>
        <w:t xml:space="preserve"> </w:t>
      </w:r>
      <w:r w:rsidRPr="001E2876">
        <w:rPr>
          <w:lang w:val="lt-LT"/>
        </w:rPr>
        <w:t>ir mažiau veikia kitų monoaminų (noradrenalino, serotonino) kiekį. Pavartojus vieną tetrabenazino dozę, nervų sistemos mediatorių kiekis sumažėja</w:t>
      </w:r>
      <w:r>
        <w:rPr>
          <w:lang w:val="lt-LT"/>
        </w:rPr>
        <w:t xml:space="preserve"> </w:t>
      </w:r>
      <w:r w:rsidRPr="001E2876">
        <w:rPr>
          <w:lang w:val="lt-LT"/>
        </w:rPr>
        <w:t>tik kelioms valandoms (skirtingai nuo rezerpino, sukeliančio ilgalaikį monoaminų kiekio sumažėjimą).</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color w:val="000000"/>
          <w:lang w:val="lt-LT"/>
        </w:rPr>
      </w:pPr>
      <w:r w:rsidRPr="001E2876">
        <w:rPr>
          <w:i/>
          <w:iCs/>
          <w:color w:val="000000"/>
          <w:lang w:val="lt-LT"/>
        </w:rPr>
        <w:t>In</w:t>
      </w:r>
      <w:r>
        <w:rPr>
          <w:i/>
          <w:iCs/>
          <w:color w:val="000000"/>
          <w:lang w:val="lt-LT"/>
        </w:rPr>
        <w:t xml:space="preserve"> </w:t>
      </w:r>
      <w:r w:rsidRPr="001E2876">
        <w:rPr>
          <w:i/>
          <w:iCs/>
          <w:color w:val="000000"/>
          <w:lang w:val="lt-LT"/>
        </w:rPr>
        <w:t>vitro</w:t>
      </w:r>
      <w:r>
        <w:rPr>
          <w:i/>
          <w:iCs/>
          <w:color w:val="000000"/>
          <w:lang w:val="lt-LT"/>
        </w:rPr>
        <w:t xml:space="preserve"> </w:t>
      </w:r>
      <w:r w:rsidRPr="001E2876">
        <w:rPr>
          <w:color w:val="000000"/>
          <w:lang w:val="lt-LT"/>
        </w:rPr>
        <w:t>tetrabenazinas turi silpną afinitetą prisijungti prie dopamino D2 receptorių (Ki = 2100 nM).</w:t>
      </w:r>
    </w:p>
    <w:p w:rsidR="002A1BE8" w:rsidRPr="001E2876" w:rsidRDefault="002A1BE8" w:rsidP="00DE5A01">
      <w:pPr>
        <w:pStyle w:val="prastojitrauka"/>
        <w:spacing w:after="0"/>
        <w:ind w:left="0"/>
        <w:rPr>
          <w:color w:val="000000"/>
          <w:lang w:val="lt-LT"/>
        </w:rPr>
      </w:pPr>
    </w:p>
    <w:p w:rsidR="002A1BE8" w:rsidRPr="001E2876" w:rsidRDefault="002A1BE8" w:rsidP="00DE5A01">
      <w:pPr>
        <w:pStyle w:val="prastojitrauka"/>
        <w:spacing w:after="0"/>
        <w:ind w:left="0"/>
        <w:rPr>
          <w:u w:val="single"/>
          <w:lang w:val="lt-LT"/>
        </w:rPr>
      </w:pPr>
      <w:r w:rsidRPr="001E2876">
        <w:rPr>
          <w:u w:val="single"/>
          <w:lang w:val="lt-LT"/>
        </w:rPr>
        <w:t>Farmakodinaminis poveikis</w:t>
      </w:r>
    </w:p>
    <w:p w:rsidR="002A1BE8" w:rsidRPr="001E2876" w:rsidRDefault="002A1BE8" w:rsidP="00DE5A01">
      <w:pPr>
        <w:pStyle w:val="prastojitrauka"/>
        <w:spacing w:after="0"/>
        <w:ind w:left="0"/>
        <w:rPr>
          <w:lang w:val="lt-LT"/>
        </w:rPr>
      </w:pPr>
      <w:r w:rsidRPr="001E2876">
        <w:rPr>
          <w:color w:val="000000"/>
          <w:lang w:val="lt-LT"/>
        </w:rPr>
        <w:t>Vienos 25 mg ir 50 mg tetrabenazino dozės poveikis sveikų vyrų ir moterų QT intervalui tirtas atsitiktinės atrankos dvigubai aklo placebu kontroliuojamo kryžminio tyrimo metu su</w:t>
      </w:r>
      <w:r>
        <w:rPr>
          <w:color w:val="000000"/>
          <w:lang w:val="lt-LT"/>
        </w:rPr>
        <w:t xml:space="preserve"> </w:t>
      </w:r>
      <w:r w:rsidRPr="001E2876">
        <w:rPr>
          <w:color w:val="000000"/>
          <w:lang w:val="lt-LT"/>
        </w:rPr>
        <w:t>moksifloksacinu pozityviai kontrolei. 50 mg tetrabenazino</w:t>
      </w:r>
      <w:r>
        <w:rPr>
          <w:color w:val="000000"/>
          <w:lang w:val="lt-LT"/>
        </w:rPr>
        <w:t xml:space="preserve"> </w:t>
      </w:r>
      <w:r w:rsidRPr="001E2876">
        <w:rPr>
          <w:color w:val="000000"/>
          <w:lang w:val="lt-LT"/>
        </w:rPr>
        <w:t>pailgino koreguotą QT intervalą maždaug 8 ms (90 % PI –5,0</w:t>
      </w:r>
      <w:r w:rsidRPr="001E2876">
        <w:rPr>
          <w:color w:val="000000"/>
          <w:lang w:val="lt-LT"/>
        </w:rPr>
        <w:noBreakHyphen/>
        <w:t>10,4 ms). Papildomais duomenimis, sveikų asmenų, pavartojusių vieną 50 mg tetrabenazino dozę, koreguotas QT intervalas dėl CYP2D6 slopinimo labiau nepailgėja. Didesnės tetrabenazino ir jo metabolitų ekspozicijos poveikis netirtas (žr. 4.4 ir 4.5 skyrius).</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lang w:val="lt-LT"/>
        </w:rPr>
      </w:pPr>
      <w:r w:rsidRPr="001E2876">
        <w:rPr>
          <w:lang w:val="lt-LT" w:eastAsia="fi-FI"/>
        </w:rPr>
        <w:t xml:space="preserve">Tetrabenazino ar jo metabolitų prisijungia ir ilgainiui gali susikaupti melanino turinčiuose audiniuose </w:t>
      </w:r>
      <w:r w:rsidRPr="001E2876">
        <w:rPr>
          <w:lang w:val="lt-LT"/>
        </w:rPr>
        <w:t>(žr. 4.4 ir 5.3 skyrius).</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u w:val="single"/>
          <w:lang w:val="lt-LT"/>
        </w:rPr>
      </w:pPr>
      <w:r w:rsidRPr="001E2876">
        <w:rPr>
          <w:u w:val="single"/>
          <w:lang w:val="lt-LT"/>
        </w:rPr>
        <w:t>Klinikinis veiksmingumas ir saugumas</w:t>
      </w:r>
    </w:p>
    <w:p w:rsidR="002A1BE8" w:rsidRPr="001E2876" w:rsidRDefault="002A1BE8" w:rsidP="00DE5A01">
      <w:pPr>
        <w:pStyle w:val="prastojitrauka"/>
        <w:spacing w:after="0"/>
        <w:ind w:left="0"/>
        <w:rPr>
          <w:lang w:val="lt-LT"/>
        </w:rPr>
      </w:pPr>
      <w:r w:rsidRPr="001E2876">
        <w:rPr>
          <w:lang w:val="lt-LT"/>
        </w:rPr>
        <w:t xml:space="preserve">Svarbiausias tyrimas, kuriuo įrodytas tetrabenazino veiksmingumas </w:t>
      </w:r>
      <w:r w:rsidRPr="00FE798E">
        <w:rPr>
          <w:i/>
          <w:iCs/>
          <w:lang w:val="lt-LT"/>
        </w:rPr>
        <w:t>Huntington</w:t>
      </w:r>
      <w:r w:rsidRPr="001E2876">
        <w:rPr>
          <w:lang w:val="lt-LT"/>
        </w:rPr>
        <w:t xml:space="preserve"> ligos chorėjai gydyti, yra daugelyje centrų atliktas atsitiktinės atrankos dvigubai aklas placebu kontroliuojamas tyrimas Nr. 103 004. Jame dalyvavo 84 ambulatoriškai besigydę pacientai, kuriems diagnozuota </w:t>
      </w:r>
      <w:r w:rsidRPr="00FE798E">
        <w:rPr>
          <w:i/>
          <w:iCs/>
          <w:lang w:val="lt-LT"/>
        </w:rPr>
        <w:t>Huntington</w:t>
      </w:r>
      <w:r w:rsidRPr="001E2876">
        <w:rPr>
          <w:lang w:val="lt-LT"/>
        </w:rPr>
        <w:t xml:space="preserve"> liga (54 buvo atsitiktinai atrinkti vartoti tetrabenazino ir 30 – placebo). </w:t>
      </w:r>
      <w:r w:rsidRPr="00FE798E">
        <w:rPr>
          <w:i/>
          <w:iCs/>
          <w:lang w:val="lt-LT"/>
        </w:rPr>
        <w:t>Huntington</w:t>
      </w:r>
      <w:r w:rsidRPr="001E2876">
        <w:rPr>
          <w:lang w:val="lt-LT"/>
        </w:rPr>
        <w:t xml:space="preserve"> ligos diagnozė buvo pagrįsta šeimos anamneze, neurologiniu ir genetiniu tyrimais. Gydyta 12 savaičių: 7 savaites truko dozės parinkimas, 5 savaites vartota palaikomoji dozė, paskui 1 savaitę vaistinio preparato nevartota. Pradinė dozė tetrabenazino dozė buvo 12,5 mg per parą, ji didinta kas savaitę po 12,5 mg, kol chorėjos kontrolė pasidarys patenkinama, pasireikš netoleruojamų nepageidaujamų poveikių arba bus pasiekta didžiausia 100 mg paros dozė.</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lang w:val="lt-LT"/>
        </w:rPr>
      </w:pPr>
      <w:r w:rsidRPr="001E2876">
        <w:rPr>
          <w:lang w:val="lt-LT"/>
        </w:rPr>
        <w:t xml:space="preserve">Pagrindinis veiksmingumo rodiklis buvo bendras chorėjos rodmuo pagal suvienodintą </w:t>
      </w:r>
      <w:r w:rsidRPr="00FE798E">
        <w:rPr>
          <w:i/>
          <w:iCs/>
          <w:lang w:val="lt-LT"/>
        </w:rPr>
        <w:t>Huntington</w:t>
      </w:r>
      <w:r w:rsidRPr="001E2876">
        <w:rPr>
          <w:lang w:val="lt-LT"/>
        </w:rPr>
        <w:t xml:space="preserve"> ligos vertinimo skalę UHDRS (angl. </w:t>
      </w:r>
      <w:r w:rsidRPr="001E2876">
        <w:rPr>
          <w:i/>
          <w:iCs/>
          <w:lang w:val="lt-LT"/>
        </w:rPr>
        <w:t>Unified</w:t>
      </w:r>
      <w:r>
        <w:rPr>
          <w:i/>
          <w:iCs/>
          <w:lang w:val="lt-LT"/>
        </w:rPr>
        <w:t xml:space="preserve"> </w:t>
      </w:r>
      <w:r w:rsidRPr="001E2876">
        <w:rPr>
          <w:i/>
          <w:iCs/>
          <w:lang w:val="lt-LT"/>
        </w:rPr>
        <w:t>Huntington’s</w:t>
      </w:r>
      <w:r>
        <w:rPr>
          <w:i/>
          <w:iCs/>
          <w:lang w:val="lt-LT"/>
        </w:rPr>
        <w:t xml:space="preserve"> </w:t>
      </w:r>
      <w:r w:rsidRPr="001E2876">
        <w:rPr>
          <w:i/>
          <w:iCs/>
          <w:lang w:val="lt-LT"/>
        </w:rPr>
        <w:t>Disease</w:t>
      </w:r>
      <w:r>
        <w:rPr>
          <w:i/>
          <w:iCs/>
          <w:lang w:val="lt-LT"/>
        </w:rPr>
        <w:t xml:space="preserve"> </w:t>
      </w:r>
      <w:r w:rsidRPr="001E2876">
        <w:rPr>
          <w:i/>
          <w:iCs/>
          <w:lang w:val="lt-LT"/>
        </w:rPr>
        <w:t>Rating</w:t>
      </w:r>
      <w:r>
        <w:rPr>
          <w:i/>
          <w:iCs/>
          <w:lang w:val="lt-LT"/>
        </w:rPr>
        <w:t xml:space="preserve"> </w:t>
      </w:r>
      <w:r w:rsidRPr="001E2876">
        <w:rPr>
          <w:i/>
          <w:iCs/>
          <w:lang w:val="lt-LT"/>
        </w:rPr>
        <w:t>Scale</w:t>
      </w:r>
      <w:r w:rsidRPr="001E2876">
        <w:rPr>
          <w:lang w:val="lt-LT"/>
        </w:rPr>
        <w:t>). Pagal ją</w:t>
      </w:r>
      <w:r>
        <w:rPr>
          <w:lang w:val="lt-LT"/>
        </w:rPr>
        <w:t xml:space="preserve"> </w:t>
      </w:r>
      <w:r w:rsidRPr="001E2876">
        <w:rPr>
          <w:lang w:val="lt-LT"/>
        </w:rPr>
        <w:t xml:space="preserve">chorėjos sunkumas vertinamas 7 skirtingose kūno dalyse nuo 0 iki 4 balų (0 balų rodo, kad chorėjos nėra). Įtraukimo kriterijus buvo bendras chorėjos rodmuo TCS (angl. </w:t>
      </w:r>
      <w:r w:rsidRPr="001E2876">
        <w:rPr>
          <w:i/>
          <w:iCs/>
          <w:lang w:val="lt-LT"/>
        </w:rPr>
        <w:t>Total</w:t>
      </w:r>
      <w:r>
        <w:rPr>
          <w:i/>
          <w:iCs/>
          <w:lang w:val="lt-LT"/>
        </w:rPr>
        <w:t xml:space="preserve"> </w:t>
      </w:r>
      <w:r w:rsidRPr="001E2876">
        <w:rPr>
          <w:i/>
          <w:iCs/>
          <w:lang w:val="lt-LT"/>
        </w:rPr>
        <w:t>Chorea</w:t>
      </w:r>
      <w:r>
        <w:rPr>
          <w:i/>
          <w:iCs/>
          <w:lang w:val="lt-LT"/>
        </w:rPr>
        <w:t xml:space="preserve"> </w:t>
      </w:r>
      <w:r w:rsidRPr="001E2876">
        <w:rPr>
          <w:i/>
          <w:iCs/>
          <w:lang w:val="lt-LT"/>
        </w:rPr>
        <w:t>Score</w:t>
      </w:r>
      <w:r w:rsidRPr="001E2876">
        <w:rPr>
          <w:lang w:val="lt-LT"/>
        </w:rPr>
        <w:t>) ≥ 10 (mediana – 14 balų). Palaikomojo</w:t>
      </w:r>
      <w:r>
        <w:rPr>
          <w:lang w:val="lt-LT"/>
        </w:rPr>
        <w:t xml:space="preserve"> </w:t>
      </w:r>
      <w:r w:rsidRPr="001E2876">
        <w:rPr>
          <w:lang w:val="lt-LT"/>
        </w:rPr>
        <w:t>gydymo metu (palyginus vidutinius rodiklius po 9 ir 12 savaičių su pradiniais) vaistinio preparato grupės pacientų TCS sumažėjo 5, placebo – 1,5 balo. Gydomasis pokytis (3,5 balo) buvo reikšmingas statistikai. Pirmojo tyrimo metu po 13 savaičių (t.y. praėjus savaitei po paskutinės tiriamojo vaistinio preparato dozės)</w:t>
      </w:r>
      <w:r>
        <w:rPr>
          <w:lang w:val="lt-LT"/>
        </w:rPr>
        <w:t xml:space="preserve"> </w:t>
      </w:r>
      <w:r w:rsidRPr="001E2876">
        <w:rPr>
          <w:lang w:val="lt-LT"/>
        </w:rPr>
        <w:t>atlikta apžiūra parodė tokį patį tetrabenazino vartojusių pacientų TCS kaip iš pradžių.</w:t>
      </w:r>
      <w:r>
        <w:rPr>
          <w:lang w:val="lt-LT"/>
        </w:rPr>
        <w:t xml:space="preserve"> </w:t>
      </w:r>
      <w:r w:rsidRPr="001E2876">
        <w:rPr>
          <w:lang w:val="lt-LT"/>
        </w:rPr>
        <w:t>Vienas</w:t>
      </w:r>
      <w:r>
        <w:rPr>
          <w:lang w:val="lt-LT"/>
        </w:rPr>
        <w:t xml:space="preserve"> </w:t>
      </w:r>
      <w:r w:rsidRPr="001E2876">
        <w:rPr>
          <w:lang w:val="lt-LT"/>
        </w:rPr>
        <w:t>tetrabenazino grupės pacientas tyrimo metu nusižudė. Depresija pasireiškė ar pasunkėjo 8 iš 54 tetrabenazino vartojusių pacientų ir nė vienam iš vartojusių</w:t>
      </w:r>
      <w:r>
        <w:rPr>
          <w:lang w:val="lt-LT"/>
        </w:rPr>
        <w:t xml:space="preserve"> </w:t>
      </w:r>
      <w:r w:rsidRPr="001E2876">
        <w:rPr>
          <w:lang w:val="lt-LT"/>
        </w:rPr>
        <w:t>placebo (žr. 4.8 skyrių).</w:t>
      </w:r>
    </w:p>
    <w:p w:rsidR="002A1BE8" w:rsidRPr="001E2876" w:rsidRDefault="002A1BE8" w:rsidP="00DE5A01">
      <w:pPr>
        <w:pStyle w:val="prastojitrauka"/>
        <w:spacing w:after="0"/>
        <w:ind w:left="0"/>
        <w:rPr>
          <w:lang w:val="lt-LT"/>
        </w:rPr>
      </w:pPr>
    </w:p>
    <w:p w:rsidR="002A1BE8" w:rsidRPr="001E2876" w:rsidRDefault="002A1BE8" w:rsidP="0075688A">
      <w:pPr>
        <w:pStyle w:val="prastojitrauka"/>
        <w:spacing w:after="0"/>
        <w:ind w:left="0"/>
        <w:rPr>
          <w:lang w:val="lt-LT"/>
        </w:rPr>
      </w:pPr>
      <w:r w:rsidRPr="001E2876">
        <w:rPr>
          <w:lang w:val="lt-LT"/>
        </w:rPr>
        <w:t xml:space="preserve">Placebu kontroliuojamame nutraukimo tyrime Nr. 103 005 dalyvavo 30 pacientų, kurie atviru būdu vartojo tetrabenazino bent 2 mėn. Baigus vartoti tetrabenazino, </w:t>
      </w:r>
      <w:r w:rsidR="0075688A" w:rsidRPr="001E2876">
        <w:rPr>
          <w:lang w:val="lt-LT"/>
        </w:rPr>
        <w:t>chorėj</w:t>
      </w:r>
      <w:r w:rsidR="0075688A">
        <w:rPr>
          <w:lang w:val="lt-LT"/>
        </w:rPr>
        <w:t>o</w:t>
      </w:r>
      <w:r w:rsidR="0075688A" w:rsidRPr="001E2876">
        <w:rPr>
          <w:lang w:val="lt-LT"/>
        </w:rPr>
        <w:t xml:space="preserve">s </w:t>
      </w:r>
      <w:r w:rsidRPr="001E2876">
        <w:rPr>
          <w:lang w:val="lt-LT"/>
        </w:rPr>
        <w:t>požymiai atsinaujindavo per 1</w:t>
      </w:r>
      <w:r w:rsidRPr="001E2876">
        <w:rPr>
          <w:lang w:val="lt-LT"/>
        </w:rPr>
        <w:noBreakHyphen/>
        <w:t>2 dienas. Dėl</w:t>
      </w:r>
      <w:r>
        <w:rPr>
          <w:lang w:val="lt-LT"/>
        </w:rPr>
        <w:t xml:space="preserve"> </w:t>
      </w:r>
      <w:r w:rsidRPr="001E2876">
        <w:rPr>
          <w:lang w:val="lt-LT"/>
        </w:rPr>
        <w:t>protokolo pažeidimų tyrimas nepavyko, gauti skirtumai nebuvo reikšmingi statistikai (p = 0,1), tačiau apskaičiuotas gydomasis poveikis buvo panašus į nustatytą pirmojo tyrimo metu (maždaug 3,5 balo). Pranešimų apie vaistinio preparato nepageidaujamą poveikį ar nutraukimo sindromo simptomus negauta.</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u w:val="single"/>
          <w:lang w:val="lt-LT"/>
        </w:rPr>
      </w:pPr>
      <w:r w:rsidRPr="001E2876">
        <w:rPr>
          <w:u w:val="single"/>
          <w:lang w:val="lt-LT"/>
        </w:rPr>
        <w:t>Vaikų populiacija</w:t>
      </w:r>
    </w:p>
    <w:p w:rsidR="002A1BE8" w:rsidRPr="001E2876" w:rsidRDefault="002A1BE8" w:rsidP="00DE5A01">
      <w:pPr>
        <w:tabs>
          <w:tab w:val="clear" w:pos="567"/>
        </w:tabs>
        <w:spacing w:line="240" w:lineRule="auto"/>
        <w:rPr>
          <w:lang w:val="lt-LT"/>
        </w:rPr>
      </w:pPr>
      <w:r w:rsidRPr="001E2876">
        <w:rPr>
          <w:lang w:val="lt-LT"/>
        </w:rPr>
        <w:t xml:space="preserve">Pediatrinis komitetas / Europos vaistų agentūra atleido nuo įpareigojimo pateikti </w:t>
      </w:r>
      <w:r w:rsidRPr="00FE798E">
        <w:rPr>
          <w:i/>
          <w:iCs/>
          <w:lang w:val="lt-LT"/>
        </w:rPr>
        <w:t>Huntington</w:t>
      </w:r>
      <w:r w:rsidRPr="001E2876">
        <w:rPr>
          <w:lang w:val="lt-LT"/>
        </w:rPr>
        <w:t xml:space="preserve"> ligai gydyti skirtų vaistinių preparatų</w:t>
      </w:r>
      <w:r>
        <w:rPr>
          <w:lang w:val="lt-LT"/>
        </w:rPr>
        <w:t xml:space="preserve"> </w:t>
      </w:r>
      <w:r w:rsidRPr="001E2876">
        <w:rPr>
          <w:lang w:val="lt-LT"/>
        </w:rPr>
        <w:t>tyrimų su visais vaikų populiacijos pogrupiais duomenis, kadangi vaikams ši liga nebūdinga. Dėl to vaikų tyrimai neturi reikšmės.</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5.2</w:t>
      </w:r>
      <w:r w:rsidRPr="001E2876">
        <w:rPr>
          <w:rFonts w:ascii="Times New Roman" w:hAnsi="Times New Roman" w:cs="Times New Roman"/>
          <w:sz w:val="22"/>
          <w:szCs w:val="22"/>
          <w:lang w:val="lt-LT"/>
        </w:rPr>
        <w:tab/>
        <w:t>Farmakokinetinės savybės</w:t>
      </w:r>
    </w:p>
    <w:p w:rsidR="002A1BE8" w:rsidRPr="001E2876" w:rsidRDefault="002A1BE8" w:rsidP="00DE5A01">
      <w:pPr>
        <w:tabs>
          <w:tab w:val="clear" w:pos="567"/>
        </w:tabs>
        <w:spacing w:line="240" w:lineRule="auto"/>
        <w:rPr>
          <w:lang w:val="lt-LT"/>
        </w:rPr>
      </w:pPr>
    </w:p>
    <w:p w:rsidR="002A1BE8" w:rsidRPr="001E2876" w:rsidRDefault="002A1BE8" w:rsidP="00DE5A01">
      <w:pPr>
        <w:widowControl w:val="0"/>
        <w:spacing w:line="240" w:lineRule="auto"/>
        <w:rPr>
          <w:u w:val="single"/>
          <w:lang w:val="lt-LT"/>
        </w:rPr>
      </w:pPr>
      <w:r w:rsidRPr="001E2876">
        <w:rPr>
          <w:u w:val="single"/>
          <w:lang w:val="lt-LT"/>
        </w:rPr>
        <w:t>Absorbcija</w:t>
      </w:r>
    </w:p>
    <w:p w:rsidR="002A1BE8" w:rsidRPr="001E2876" w:rsidRDefault="002A1BE8" w:rsidP="00BB08A4">
      <w:pPr>
        <w:tabs>
          <w:tab w:val="left" w:pos="304"/>
        </w:tabs>
        <w:spacing w:line="240" w:lineRule="auto"/>
        <w:rPr>
          <w:lang w:val="lt-LT"/>
        </w:rPr>
      </w:pPr>
      <w:r w:rsidRPr="001E2876">
        <w:rPr>
          <w:lang w:val="lt-LT"/>
        </w:rPr>
        <w:lastRenderedPageBreak/>
        <w:t>Bent 75 % per burną pavartoto tetrabenazino absorbuojama. Išgėrus vieną 12,5</w:t>
      </w:r>
      <w:r w:rsidRPr="001E2876">
        <w:rPr>
          <w:lang w:val="lt-LT"/>
        </w:rPr>
        <w:noBreakHyphen/>
        <w:t>50 mg dozę, jo koncentracija plazmoje dažniausiai būna mažesnė už nustatomą ribą. Taip yra dėl greito ir ekstensyvaus tetrabenazino</w:t>
      </w:r>
      <w:r>
        <w:rPr>
          <w:lang w:val="lt-LT"/>
        </w:rPr>
        <w:t xml:space="preserve"> </w:t>
      </w:r>
      <w:r w:rsidRPr="001E2876">
        <w:rPr>
          <w:lang w:val="lt-LT"/>
        </w:rPr>
        <w:t>priešsisteminio metabolizmo kepenyse į aktyvų α-dihidrotetrabenazin</w:t>
      </w:r>
      <w:r>
        <w:rPr>
          <w:lang w:val="lt-LT"/>
        </w:rPr>
        <w:t>o</w:t>
      </w:r>
      <w:r w:rsidRPr="001E2876">
        <w:rPr>
          <w:lang w:val="lt-LT"/>
        </w:rPr>
        <w:t xml:space="preserve"> (α-HTBZ) ir neaktyvų β-dihidrotetrabenaziną (β</w:t>
      </w:r>
      <w:r w:rsidRPr="001E2876">
        <w:rPr>
          <w:lang w:val="lt-LT"/>
        </w:rPr>
        <w:noBreakHyphen/>
        <w:t xml:space="preserve">HTBZ) veikiant karbonilreduktazei. Pavartojus </w:t>
      </w:r>
      <w:r w:rsidR="00BB08A4">
        <w:rPr>
          <w:lang w:val="lt-LT"/>
        </w:rPr>
        <w:t>š</w:t>
      </w:r>
      <w:r w:rsidR="00BB08A4" w:rsidRPr="001E2876">
        <w:rPr>
          <w:lang w:val="lt-LT"/>
        </w:rPr>
        <w:t xml:space="preserve">io </w:t>
      </w:r>
      <w:r w:rsidRPr="001E2876">
        <w:rPr>
          <w:lang w:val="lt-LT"/>
        </w:rPr>
        <w:t>vaistinio preparato, did</w:t>
      </w:r>
      <w:r>
        <w:rPr>
          <w:lang w:val="lt-LT"/>
        </w:rPr>
        <w:t>ž</w:t>
      </w:r>
      <w:r w:rsidRPr="001E2876">
        <w:rPr>
          <w:lang w:val="lt-LT"/>
        </w:rPr>
        <w:t>iausios α</w:t>
      </w:r>
      <w:r w:rsidRPr="001E2876">
        <w:rPr>
          <w:lang w:val="lt-LT"/>
        </w:rPr>
        <w:noBreakHyphen/>
        <w:t>HTBZ ir β-HTBZ koncentracijos plazmoje (C</w:t>
      </w:r>
      <w:r w:rsidRPr="001E2876">
        <w:rPr>
          <w:vertAlign w:val="subscript"/>
          <w:lang w:val="lt-LT"/>
        </w:rPr>
        <w:t>max</w:t>
      </w:r>
      <w:r w:rsidRPr="001E2876">
        <w:rPr>
          <w:lang w:val="lt-LT"/>
        </w:rPr>
        <w:t>) susidaro per 1</w:t>
      </w:r>
      <w:r w:rsidRPr="001E2876">
        <w:rPr>
          <w:lang w:val="lt-LT"/>
        </w:rPr>
        <w:noBreakHyphen/>
        <w:t>1½ val.</w:t>
      </w:r>
    </w:p>
    <w:p w:rsidR="002A1BE8" w:rsidRPr="001E2876" w:rsidRDefault="002A1BE8" w:rsidP="00DE5A01">
      <w:pPr>
        <w:tabs>
          <w:tab w:val="left" w:pos="304"/>
        </w:tabs>
        <w:spacing w:line="240" w:lineRule="auto"/>
        <w:rPr>
          <w:lang w:val="lt-LT"/>
        </w:rPr>
      </w:pPr>
    </w:p>
    <w:p w:rsidR="002A1BE8" w:rsidRPr="001E2876" w:rsidRDefault="002A1BE8" w:rsidP="00DE5A01">
      <w:pPr>
        <w:tabs>
          <w:tab w:val="left" w:pos="304"/>
        </w:tabs>
        <w:spacing w:line="240" w:lineRule="auto"/>
        <w:rPr>
          <w:lang w:val="lt-LT"/>
        </w:rPr>
      </w:pPr>
      <w:r w:rsidRPr="001E2876">
        <w:rPr>
          <w:lang w:val="lt-LT"/>
        </w:rPr>
        <w:t>Maisto poveikis tetrabenazino biologiniam įsisavin</w:t>
      </w:r>
      <w:r>
        <w:rPr>
          <w:lang w:val="lt-LT"/>
        </w:rPr>
        <w:t>i</w:t>
      </w:r>
      <w:r w:rsidRPr="001E2876">
        <w:rPr>
          <w:lang w:val="lt-LT"/>
        </w:rPr>
        <w:t>mumui tirtas išgėrus vieną dozę su maistu ir be jo. Maisto įtakos α-HTBZ ir β-HTBZ vidutinei koncentracijai plazmoje, C</w:t>
      </w:r>
      <w:r w:rsidRPr="001E2876">
        <w:rPr>
          <w:vertAlign w:val="subscript"/>
          <w:lang w:val="lt-LT"/>
        </w:rPr>
        <w:t>max</w:t>
      </w:r>
      <w:r w:rsidRPr="001E2876">
        <w:rPr>
          <w:lang w:val="lt-LT"/>
        </w:rPr>
        <w:t xml:space="preserve"> ir plotui po koncentracijos kreive (AUC) nenustatyta, todėl tetrabenazino galima vartoti neatsižvelgiant į maistą.</w:t>
      </w:r>
    </w:p>
    <w:p w:rsidR="002A1BE8" w:rsidRPr="001E2876" w:rsidRDefault="002A1BE8" w:rsidP="00DE5A01">
      <w:pPr>
        <w:tabs>
          <w:tab w:val="left" w:pos="304"/>
        </w:tabs>
        <w:spacing w:line="240" w:lineRule="auto"/>
        <w:rPr>
          <w:lang w:val="lt-LT"/>
        </w:rPr>
      </w:pPr>
    </w:p>
    <w:p w:rsidR="002A1BE8" w:rsidRPr="001E2876" w:rsidRDefault="002A1BE8" w:rsidP="00DE5A01">
      <w:pPr>
        <w:widowControl w:val="0"/>
        <w:spacing w:line="240" w:lineRule="auto"/>
        <w:rPr>
          <w:u w:val="single"/>
          <w:lang w:val="lt-LT"/>
        </w:rPr>
      </w:pPr>
      <w:r w:rsidRPr="001E2876">
        <w:rPr>
          <w:u w:val="single"/>
          <w:lang w:val="lt-LT"/>
        </w:rPr>
        <w:t>Pasiskirstymas</w:t>
      </w:r>
    </w:p>
    <w:p w:rsidR="002A1BE8" w:rsidRPr="001E2876" w:rsidRDefault="002A1BE8" w:rsidP="00DE5A01">
      <w:pPr>
        <w:widowControl w:val="0"/>
        <w:spacing w:line="240" w:lineRule="auto"/>
        <w:rPr>
          <w:lang w:val="lt-LT"/>
        </w:rPr>
      </w:pPr>
      <w:r w:rsidRPr="001E2876">
        <w:rPr>
          <w:lang w:val="lt-LT"/>
        </w:rPr>
        <w:t>Pavartojus vieną 12,5</w:t>
      </w:r>
      <w:r w:rsidRPr="001E2876">
        <w:rPr>
          <w:lang w:val="lt-LT"/>
        </w:rPr>
        <w:noBreakHyphen/>
        <w:t>50 mg tetrabenazino dozę, didžiausia HTBZ metabolitų didžiausia koncentracija plazmoje ir AUC didėja proporcingai dozei (tai rodo tiesinį kinetikos pobūdį). Paties tetrabenazino koncentracija dažniausiai būna tokia maža, kad jo nerandama. Žmonių pozitronų emisijos tomografijos duomenimis, sušvirkštus</w:t>
      </w:r>
      <w:r w:rsidRPr="001E2876">
        <w:rPr>
          <w:vertAlign w:val="superscript"/>
          <w:lang w:val="lt-LT"/>
        </w:rPr>
        <w:t>11</w:t>
      </w:r>
      <w:r w:rsidRPr="001E2876">
        <w:rPr>
          <w:lang w:val="lt-LT"/>
        </w:rPr>
        <w:t>C žymėto tetrabenazino ar α-HTBZ į veną, radioaktyvumo greitai randama smegenyse (daugiausia – dryžuotajame kūne, mažiausia – žievėje).</w:t>
      </w:r>
    </w:p>
    <w:p w:rsidR="002A1BE8" w:rsidRPr="001E2876" w:rsidRDefault="002A1BE8" w:rsidP="00DE5A01">
      <w:pPr>
        <w:widowControl w:val="0"/>
        <w:spacing w:line="240" w:lineRule="auto"/>
        <w:rPr>
          <w:lang w:val="lt-LT"/>
        </w:rPr>
      </w:pPr>
    </w:p>
    <w:p w:rsidR="002A1BE8" w:rsidRPr="001E2876" w:rsidRDefault="002A1BE8" w:rsidP="00DE5A01">
      <w:pPr>
        <w:widowControl w:val="0"/>
        <w:spacing w:line="240" w:lineRule="auto"/>
        <w:rPr>
          <w:lang w:val="lt-LT"/>
        </w:rPr>
      </w:pPr>
      <w:r w:rsidRPr="001E2876">
        <w:rPr>
          <w:lang w:val="lt-LT"/>
        </w:rPr>
        <w:t xml:space="preserve">Gyvūnų tyrimai rodo ekstensyvų pasiskirstymą audiniuose. Tetrabenazino, α-HTBZ ir β-HTBZ prisijungimas prie baltymų </w:t>
      </w:r>
      <w:r w:rsidRPr="001E2876">
        <w:rPr>
          <w:i/>
          <w:iCs/>
          <w:lang w:val="lt-LT"/>
        </w:rPr>
        <w:t>in</w:t>
      </w:r>
      <w:r>
        <w:rPr>
          <w:i/>
          <w:iCs/>
          <w:lang w:val="lt-LT"/>
        </w:rPr>
        <w:t xml:space="preserve"> </w:t>
      </w:r>
      <w:r w:rsidRPr="001E2876">
        <w:rPr>
          <w:i/>
          <w:iCs/>
          <w:lang w:val="lt-LT"/>
        </w:rPr>
        <w:t>vitro</w:t>
      </w:r>
      <w:r w:rsidRPr="001E2876">
        <w:rPr>
          <w:lang w:val="lt-LT"/>
        </w:rPr>
        <w:t xml:space="preserve"> tirtas esant 50</w:t>
      </w:r>
      <w:r w:rsidRPr="001E2876">
        <w:rPr>
          <w:lang w:val="lt-LT"/>
        </w:rPr>
        <w:noBreakHyphen/>
        <w:t>200 ng/ml koncentracijai žmogaus plazmoje. Prisijungusio tetrabenazino buvo 82</w:t>
      </w:r>
      <w:r w:rsidRPr="001E2876">
        <w:rPr>
          <w:lang w:val="lt-LT"/>
        </w:rPr>
        <w:noBreakHyphen/>
        <w:t>85 %, α</w:t>
      </w:r>
      <w:r w:rsidRPr="001E2876">
        <w:rPr>
          <w:lang w:val="lt-LT"/>
        </w:rPr>
        <w:noBreakHyphen/>
        <w:t>HTBZ – 60</w:t>
      </w:r>
      <w:r w:rsidRPr="001E2876">
        <w:rPr>
          <w:lang w:val="lt-LT"/>
        </w:rPr>
        <w:noBreakHyphen/>
        <w:t>68 %, β-HTBZ – 59</w:t>
      </w:r>
      <w:r w:rsidRPr="001E2876">
        <w:rPr>
          <w:lang w:val="lt-LT"/>
        </w:rPr>
        <w:noBreakHyphen/>
        <w:t>63 %. Daugiausia metabolitų (α-HTBZ ir β-HTBZ)</w:t>
      </w:r>
      <w:r>
        <w:rPr>
          <w:lang w:val="lt-LT"/>
        </w:rPr>
        <w:t xml:space="preserve"> </w:t>
      </w:r>
      <w:r w:rsidRPr="001E2876">
        <w:rPr>
          <w:lang w:val="lt-LT"/>
        </w:rPr>
        <w:t>buvo prisijungusių prie albumino. Klinikinis populiacinis</w:t>
      </w:r>
      <w:r>
        <w:rPr>
          <w:lang w:val="lt-LT"/>
        </w:rPr>
        <w:t xml:space="preserve"> </w:t>
      </w:r>
      <w:r w:rsidRPr="001E2876">
        <w:rPr>
          <w:lang w:val="lt-LT"/>
        </w:rPr>
        <w:t>farmakokinetikos modelis rodo platų α-HTBZ ir β-HTBZ pasiskirstymą pacientų organizme.</w:t>
      </w:r>
    </w:p>
    <w:p w:rsidR="002A1BE8" w:rsidRPr="001E2876" w:rsidRDefault="002A1BE8" w:rsidP="00DE5A01">
      <w:pPr>
        <w:widowControl w:val="0"/>
        <w:spacing w:line="240" w:lineRule="auto"/>
        <w:rPr>
          <w:lang w:val="lt-LT"/>
        </w:rPr>
      </w:pPr>
    </w:p>
    <w:p w:rsidR="002A1BE8" w:rsidRPr="001E2876" w:rsidRDefault="002A1BE8" w:rsidP="00DE5A01">
      <w:pPr>
        <w:tabs>
          <w:tab w:val="left" w:pos="304"/>
        </w:tabs>
        <w:spacing w:line="240" w:lineRule="auto"/>
        <w:rPr>
          <w:u w:val="single"/>
          <w:lang w:val="lt-LT"/>
        </w:rPr>
      </w:pPr>
      <w:r w:rsidRPr="001E2876">
        <w:rPr>
          <w:u w:val="single"/>
          <w:lang w:val="lt-LT"/>
        </w:rPr>
        <w:t>Biotransformacija</w:t>
      </w:r>
    </w:p>
    <w:p w:rsidR="002A1BE8" w:rsidRPr="001E2876" w:rsidRDefault="002A1BE8" w:rsidP="00DE5A01">
      <w:pPr>
        <w:tabs>
          <w:tab w:val="left" w:pos="304"/>
        </w:tabs>
        <w:spacing w:line="240" w:lineRule="auto"/>
        <w:rPr>
          <w:lang w:val="lt-LT"/>
        </w:rPr>
      </w:pPr>
      <w:r w:rsidRPr="001E2876">
        <w:rPr>
          <w:lang w:val="lt-LT"/>
        </w:rPr>
        <w:t xml:space="preserve">Žmogui pavartojus tetrabenazino per burną, identifikuota bent 19 jo metabolitų. Pagrindiniai metabolitai kraujyje yra α-HTBZ, β-HTBZ ir 9-demetil-β-HTBZ. Jie konjuguojami su sulfato arba gliukurono rūgštimi. α-HTBZ ir β-HTBZ susidaro veikiant karbonilreduktazei, daugiausia kepenyse. Veikiant CYP450 fermentams, ypač CYP2D6 ir šiek tiek CYP1A2, α-HTBZ O-dealkilinamas į 9-demetil-α-HTBZ. Be to, </w:t>
      </w:r>
      <w:r w:rsidRPr="001E2876">
        <w:rPr>
          <w:i/>
          <w:iCs/>
          <w:lang w:val="lt-LT"/>
        </w:rPr>
        <w:t>in</w:t>
      </w:r>
      <w:r>
        <w:rPr>
          <w:i/>
          <w:iCs/>
          <w:lang w:val="lt-LT"/>
        </w:rPr>
        <w:t xml:space="preserve"> </w:t>
      </w:r>
      <w:r w:rsidRPr="001E2876">
        <w:rPr>
          <w:i/>
          <w:iCs/>
          <w:lang w:val="lt-LT"/>
        </w:rPr>
        <w:t>vitro</w:t>
      </w:r>
      <w:r w:rsidRPr="001E2876">
        <w:rPr>
          <w:lang w:val="lt-LT"/>
        </w:rPr>
        <w:t xml:space="preserve"> CYP3A4 metabolizuoja α-HTBZ į hidroksilo metabolitą ar metabolitus, tačiau nėra aišku, ar tai turi klinikinę reikšmę </w:t>
      </w:r>
      <w:r w:rsidRPr="001E2876">
        <w:rPr>
          <w:i/>
          <w:iCs/>
          <w:lang w:val="lt-LT"/>
        </w:rPr>
        <w:t>in</w:t>
      </w:r>
      <w:r>
        <w:rPr>
          <w:i/>
          <w:iCs/>
          <w:lang w:val="lt-LT"/>
        </w:rPr>
        <w:t xml:space="preserve"> </w:t>
      </w:r>
      <w:r w:rsidRPr="001E2876">
        <w:rPr>
          <w:i/>
          <w:iCs/>
          <w:lang w:val="lt-LT"/>
        </w:rPr>
        <w:t>vivo</w:t>
      </w:r>
      <w:r w:rsidRPr="001E2876">
        <w:rPr>
          <w:lang w:val="lt-LT"/>
        </w:rPr>
        <w:t>. β-HTBZ O-dealkilinamas į 9-demetil-β-HTBZ, daugiausiai</w:t>
      </w:r>
      <w:r>
        <w:rPr>
          <w:lang w:val="lt-LT"/>
        </w:rPr>
        <w:t xml:space="preserve"> </w:t>
      </w:r>
      <w:r w:rsidRPr="001E2876">
        <w:rPr>
          <w:lang w:val="lt-LT"/>
        </w:rPr>
        <w:t>veikiant CYP2D6.</w:t>
      </w:r>
    </w:p>
    <w:p w:rsidR="002A1BE8" w:rsidRPr="001E2876" w:rsidRDefault="002A1BE8" w:rsidP="00DE5A01">
      <w:pPr>
        <w:tabs>
          <w:tab w:val="left" w:pos="304"/>
        </w:tabs>
        <w:spacing w:line="240" w:lineRule="auto"/>
        <w:rPr>
          <w:lang w:val="lt-LT"/>
        </w:rPr>
      </w:pPr>
    </w:p>
    <w:p w:rsidR="002A1BE8" w:rsidRPr="001E2876" w:rsidRDefault="002A1BE8" w:rsidP="00DE5A01">
      <w:pPr>
        <w:tabs>
          <w:tab w:val="left" w:pos="304"/>
        </w:tabs>
        <w:spacing w:line="240" w:lineRule="auto"/>
        <w:rPr>
          <w:lang w:val="lt-LT"/>
        </w:rPr>
      </w:pPr>
      <w:r w:rsidRPr="001E2876">
        <w:rPr>
          <w:lang w:val="lt-LT"/>
        </w:rPr>
        <w:t xml:space="preserve">Tyrimų </w:t>
      </w:r>
      <w:r w:rsidRPr="001E2876">
        <w:rPr>
          <w:i/>
          <w:iCs/>
          <w:lang w:val="lt-LT"/>
        </w:rPr>
        <w:t>in</w:t>
      </w:r>
      <w:r>
        <w:rPr>
          <w:i/>
          <w:iCs/>
          <w:lang w:val="lt-LT"/>
        </w:rPr>
        <w:t xml:space="preserve"> </w:t>
      </w:r>
      <w:r w:rsidRPr="001E2876">
        <w:rPr>
          <w:i/>
          <w:iCs/>
          <w:lang w:val="lt-LT"/>
        </w:rPr>
        <w:t>vitro</w:t>
      </w:r>
      <w:r w:rsidRPr="001E2876">
        <w:rPr>
          <w:lang w:val="lt-LT"/>
        </w:rPr>
        <w:t xml:space="preserve"> duomenys nerodo, kad būtų tikėtinas klinikai reikšmingas CYP2D6, CYP1A2, CYP2B6, CYP2C8, CYP2C9, CYP2C19, CYP2E1 ar CYP3A slopinimas dėl tetrabenazino, α-HTBZ ar β-HTBZ poveikio. Be to, tyrimų </w:t>
      </w:r>
      <w:r w:rsidRPr="001E2876">
        <w:rPr>
          <w:i/>
          <w:iCs/>
          <w:lang w:val="lt-LT"/>
        </w:rPr>
        <w:t>in</w:t>
      </w:r>
      <w:r>
        <w:rPr>
          <w:i/>
          <w:iCs/>
          <w:lang w:val="lt-LT"/>
        </w:rPr>
        <w:t xml:space="preserve"> </w:t>
      </w:r>
      <w:r w:rsidRPr="001E2876">
        <w:rPr>
          <w:i/>
          <w:iCs/>
          <w:lang w:val="lt-LT"/>
        </w:rPr>
        <w:t>vitro</w:t>
      </w:r>
      <w:r w:rsidRPr="001E2876">
        <w:rPr>
          <w:lang w:val="lt-LT"/>
        </w:rPr>
        <w:t xml:space="preserve"> duomenimis, nei tetrabenazinas, nei jo metabolitai (α-HTBZ ar β</w:t>
      </w:r>
      <w:r w:rsidRPr="001E2876">
        <w:rPr>
          <w:lang w:val="lt-LT"/>
        </w:rPr>
        <w:noBreakHyphen/>
        <w:t>HTBZ) neturėtų klinikai reikšmingai indukuoti CYP1A2, CYP3A4, CYP2B6, CYP2C8, CYP2C9 ar CYP2C19.</w:t>
      </w:r>
    </w:p>
    <w:p w:rsidR="002A1BE8" w:rsidRPr="001E2876" w:rsidRDefault="002A1BE8" w:rsidP="00DE5A01">
      <w:pPr>
        <w:tabs>
          <w:tab w:val="left" w:pos="304"/>
        </w:tabs>
        <w:spacing w:line="240" w:lineRule="auto"/>
        <w:rPr>
          <w:lang w:val="lt-LT"/>
        </w:rPr>
      </w:pPr>
    </w:p>
    <w:p w:rsidR="002A1BE8" w:rsidRPr="001E2876" w:rsidRDefault="002A1BE8" w:rsidP="00DE5A01">
      <w:pPr>
        <w:tabs>
          <w:tab w:val="left" w:pos="304"/>
        </w:tabs>
        <w:spacing w:line="240" w:lineRule="auto"/>
        <w:rPr>
          <w:lang w:val="lt-LT"/>
        </w:rPr>
      </w:pPr>
      <w:r w:rsidRPr="001E2876">
        <w:rPr>
          <w:lang w:val="lt-LT"/>
        </w:rPr>
        <w:t>Nei tetrabenazinas, nei jo metabolitai (α-HTBZ ir β</w:t>
      </w:r>
      <w:r w:rsidRPr="001E2876">
        <w:rPr>
          <w:lang w:val="lt-LT"/>
        </w:rPr>
        <w:noBreakHyphen/>
        <w:t xml:space="preserve">HTBZ) neturėtų būti P glikoproteino substratai ar inhibitoriai esant klinikai reikšmingoms koncentracijoms </w:t>
      </w:r>
      <w:r w:rsidRPr="001E2876">
        <w:rPr>
          <w:i/>
          <w:iCs/>
          <w:lang w:val="lt-LT"/>
        </w:rPr>
        <w:t>in</w:t>
      </w:r>
      <w:r>
        <w:rPr>
          <w:i/>
          <w:iCs/>
          <w:lang w:val="lt-LT"/>
        </w:rPr>
        <w:t xml:space="preserve"> </w:t>
      </w:r>
      <w:r w:rsidRPr="001E2876">
        <w:rPr>
          <w:i/>
          <w:iCs/>
          <w:lang w:val="lt-LT"/>
        </w:rPr>
        <w:t>vivo</w:t>
      </w:r>
      <w:r w:rsidRPr="001E2876">
        <w:rPr>
          <w:lang w:val="lt-LT"/>
        </w:rPr>
        <w:t>. Galima sąveika su kitais nešikliais netirta.</w:t>
      </w:r>
    </w:p>
    <w:p w:rsidR="002A1BE8" w:rsidRPr="001E2876" w:rsidRDefault="002A1BE8" w:rsidP="00DE5A01">
      <w:pPr>
        <w:tabs>
          <w:tab w:val="left" w:pos="304"/>
        </w:tabs>
        <w:spacing w:line="240" w:lineRule="auto"/>
        <w:rPr>
          <w:lang w:val="lt-LT"/>
        </w:rPr>
      </w:pPr>
    </w:p>
    <w:p w:rsidR="002A1BE8" w:rsidRPr="001E2876" w:rsidRDefault="002A1BE8" w:rsidP="00DE5A01">
      <w:pPr>
        <w:tabs>
          <w:tab w:val="left" w:pos="304"/>
        </w:tabs>
        <w:spacing w:line="240" w:lineRule="auto"/>
        <w:rPr>
          <w:lang w:val="lt-LT"/>
        </w:rPr>
      </w:pPr>
      <w:r w:rsidRPr="001E2876">
        <w:rPr>
          <w:lang w:val="lt-LT"/>
        </w:rPr>
        <w:t>Žmogaus organizme β-HTBZ toliau metabolizuojamas į 9-demetil-β-HTBZ – kitą pagrindinį metabolitą kraujyje. Prisijungimo prie receptorių tyrimų duomenimis, jis nesąveikauja su VMAT receptoriais, tačiau gali sąveikauti su kai kuriais dopamino, sigma ir α adrenerginiais receptoriais. Metabolizmo tyrimų</w:t>
      </w:r>
      <w:r>
        <w:rPr>
          <w:lang w:val="lt-LT"/>
        </w:rPr>
        <w:t xml:space="preserve"> </w:t>
      </w:r>
      <w:r w:rsidRPr="001E2876">
        <w:rPr>
          <w:i/>
          <w:iCs/>
          <w:lang w:val="lt-LT"/>
        </w:rPr>
        <w:t>in</w:t>
      </w:r>
      <w:r>
        <w:rPr>
          <w:i/>
          <w:iCs/>
          <w:lang w:val="lt-LT"/>
        </w:rPr>
        <w:t xml:space="preserve"> </w:t>
      </w:r>
      <w:r w:rsidRPr="001E2876">
        <w:rPr>
          <w:i/>
          <w:iCs/>
          <w:lang w:val="lt-LT"/>
        </w:rPr>
        <w:t>vitro</w:t>
      </w:r>
      <w:r w:rsidRPr="001E2876">
        <w:rPr>
          <w:lang w:val="lt-LT"/>
        </w:rPr>
        <w:t>, skirtų įvertinti galimai 9-demetil-β</w:t>
      </w:r>
      <w:r w:rsidRPr="001E2876">
        <w:rPr>
          <w:lang w:val="lt-LT"/>
        </w:rPr>
        <w:noBreakHyphen/>
        <w:t>HTBZ metabolito sąveikai su kitais vaistiniais preparatais, neatlikta.</w:t>
      </w:r>
    </w:p>
    <w:p w:rsidR="002A1BE8" w:rsidRPr="001E2876" w:rsidRDefault="002A1BE8" w:rsidP="00DE5A01">
      <w:pPr>
        <w:tabs>
          <w:tab w:val="left" w:pos="304"/>
        </w:tabs>
        <w:spacing w:line="240" w:lineRule="auto"/>
        <w:rPr>
          <w:lang w:val="lt-LT"/>
        </w:rPr>
      </w:pPr>
    </w:p>
    <w:p w:rsidR="002A1BE8" w:rsidRPr="001E2876" w:rsidRDefault="002A1BE8" w:rsidP="00DE5A01">
      <w:pPr>
        <w:pStyle w:val="prastojitrauka"/>
        <w:spacing w:after="0"/>
        <w:ind w:left="0"/>
        <w:rPr>
          <w:u w:val="single"/>
          <w:lang w:val="lt-LT"/>
        </w:rPr>
      </w:pPr>
      <w:r w:rsidRPr="001E2876">
        <w:rPr>
          <w:u w:val="single"/>
          <w:lang w:val="lt-LT"/>
        </w:rPr>
        <w:t>Eliminacija</w:t>
      </w:r>
    </w:p>
    <w:p w:rsidR="002A1BE8" w:rsidRPr="001E2876" w:rsidRDefault="002A1BE8" w:rsidP="00DE5A01">
      <w:pPr>
        <w:pStyle w:val="prastojitrauka"/>
        <w:spacing w:after="0"/>
        <w:ind w:left="0"/>
        <w:rPr>
          <w:lang w:val="lt-LT"/>
        </w:rPr>
      </w:pPr>
      <w:r w:rsidRPr="001E2876">
        <w:rPr>
          <w:lang w:val="lt-LT"/>
        </w:rPr>
        <w:t>Per burną pavartotas tetrabenazinas ekstensyviai metabolizuojamas kepenyse, daugiausia jo metabolitų išskiriama per inkstus. α-HTBZ, β-HTBZ ir 9-demetil-β-HTBZ pusiniai periodai yra atitinkamai 7 val., 5 val. ir 12 val. Masės pusiausvyros tyrimo, kuriame dalyvavo 6 sveiki savanoriai, metu maždaug 75 % dozės rasta šlapime ir maždaug 7-16 % – išmatose. Nepakitusio tetrabenazino žmogaus šlapime nerasta. Mažiau kaip 10 % pavartotos dozės rasta šlapime kaip α-HTBZ ir β-HTBZ. Dauguma šlapime randamų metabolitų yra tie patys kaip kraujyje (su sulfato ar gliukurono rūgštimi konjuguoti HTBZ metabolitai, taip pat oksiduoti).</w:t>
      </w:r>
    </w:p>
    <w:p w:rsidR="002A1BE8" w:rsidRPr="001E2876" w:rsidRDefault="002A1BE8" w:rsidP="00DE5A01">
      <w:pPr>
        <w:pStyle w:val="prastojitrauka"/>
        <w:spacing w:after="0"/>
        <w:ind w:left="0"/>
        <w:rPr>
          <w:lang w:val="lt-LT"/>
        </w:rPr>
      </w:pPr>
    </w:p>
    <w:p w:rsidR="002A1BE8" w:rsidRPr="001E2876" w:rsidRDefault="002A1BE8" w:rsidP="00DE5A01">
      <w:pPr>
        <w:pStyle w:val="prastojitrauka"/>
        <w:spacing w:after="0"/>
        <w:ind w:left="0"/>
        <w:rPr>
          <w:u w:val="single"/>
          <w:lang w:val="lt-LT"/>
        </w:rPr>
      </w:pPr>
      <w:r w:rsidRPr="001E2876">
        <w:rPr>
          <w:u w:val="single"/>
          <w:lang w:val="lt-LT"/>
        </w:rPr>
        <w:t>Sutrikusi kepenų funkcija</w:t>
      </w:r>
    </w:p>
    <w:p w:rsidR="002A1BE8" w:rsidRPr="001E2876" w:rsidRDefault="002A1BE8" w:rsidP="00DE5A01">
      <w:pPr>
        <w:pStyle w:val="prastojitrauka"/>
        <w:spacing w:after="0"/>
        <w:ind w:left="0"/>
        <w:rPr>
          <w:lang w:val="lt-LT"/>
        </w:rPr>
      </w:pPr>
      <w:r w:rsidRPr="001E2876">
        <w:rPr>
          <w:lang w:val="lt-LT"/>
        </w:rPr>
        <w:t>Sutrikusios kepenų funkcijos įtaka tetrabenazino ir jo pagrindinių metabolitų farmakokinetikai tirta 6 sveikų savanorių ir 6 sutrikusią kepenų funkciją (</w:t>
      </w:r>
      <w:r w:rsidRPr="00FE798E">
        <w:rPr>
          <w:i/>
          <w:iCs/>
          <w:lang w:val="lt-LT"/>
        </w:rPr>
        <w:t>Child-Pugh</w:t>
      </w:r>
      <w:r w:rsidRPr="001E2876">
        <w:rPr>
          <w:lang w:val="lt-LT"/>
        </w:rPr>
        <w:t xml:space="preserve"> rodiklis 5</w:t>
      </w:r>
      <w:r w:rsidRPr="001E2876">
        <w:rPr>
          <w:lang w:val="lt-LT"/>
        </w:rPr>
        <w:noBreakHyphen/>
        <w:t xml:space="preserve">9) turinčių panašaus amžiaus pacientų, </w:t>
      </w:r>
      <w:r w:rsidRPr="001E2876">
        <w:rPr>
          <w:lang w:val="lt-LT"/>
        </w:rPr>
        <w:lastRenderedPageBreak/>
        <w:t>pavartojusių po vieną 25 mg tetrabenazino dozę, organizme. Žmonių, kurių kepenų funkcija normali, plazmoje tetrabenazino beveik nerandama. Kai kepenų funkcija sutrikusi, plazmoje jo randama, vidutinis t½ būna 17,5 val. Sutrikus kepenų funkcijai, tetrabenazino pagrindinių metabolitų(α-HTBZ ir β-HTBZ)</w:t>
      </w:r>
      <w:r>
        <w:rPr>
          <w:lang w:val="lt-LT"/>
        </w:rPr>
        <w:t xml:space="preserve"> </w:t>
      </w:r>
      <w:r w:rsidRPr="001E2876">
        <w:rPr>
          <w:lang w:val="lt-LT"/>
        </w:rPr>
        <w:t>C</w:t>
      </w:r>
      <w:r w:rsidRPr="001E2876">
        <w:rPr>
          <w:vertAlign w:val="subscript"/>
          <w:lang w:val="lt-LT"/>
        </w:rPr>
        <w:t>max</w:t>
      </w:r>
      <w:r>
        <w:rPr>
          <w:vertAlign w:val="subscript"/>
          <w:lang w:val="lt-LT"/>
        </w:rPr>
        <w:t xml:space="preserve"> </w:t>
      </w:r>
      <w:r w:rsidRPr="001E2876">
        <w:rPr>
          <w:lang w:val="lt-LT"/>
        </w:rPr>
        <w:t>būna vidutiniškai 10 % mažesnis, T</w:t>
      </w:r>
      <w:r w:rsidRPr="001E2876">
        <w:rPr>
          <w:vertAlign w:val="subscript"/>
          <w:lang w:val="lt-LT"/>
        </w:rPr>
        <w:t>max</w:t>
      </w:r>
      <w:r>
        <w:rPr>
          <w:vertAlign w:val="subscript"/>
          <w:lang w:val="lt-LT"/>
        </w:rPr>
        <w:t xml:space="preserve"> </w:t>
      </w:r>
      <w:r w:rsidRPr="001E2876">
        <w:rPr>
          <w:lang w:val="lt-LT"/>
        </w:rPr>
        <w:t>vidurkis – 1,75 val., o AUC – maždaug 35 % didesnis. α-HTBZ ir β-HTBZ vidutinis pusinis eliminacijos periodas būna ilgesnis (atitinkamai 10 val. ir 8,5 val.). Sutrikus kepenų funkcijai,</w:t>
      </w:r>
      <w:r>
        <w:rPr>
          <w:lang w:val="lt-LT"/>
        </w:rPr>
        <w:t xml:space="preserve"> </w:t>
      </w:r>
      <w:r w:rsidRPr="001E2876">
        <w:rPr>
          <w:lang w:val="lt-LT"/>
        </w:rPr>
        <w:t>sulėtėja tetrabenazino virtimas į α-HTBZ ir β</w:t>
      </w:r>
      <w:r w:rsidRPr="001E2876">
        <w:rPr>
          <w:lang w:val="lt-LT"/>
        </w:rPr>
        <w:noBreakHyphen/>
        <w:t>HTBZ, padidėja jo</w:t>
      </w:r>
      <w:r>
        <w:rPr>
          <w:lang w:val="lt-LT"/>
        </w:rPr>
        <w:t xml:space="preserve"> </w:t>
      </w:r>
      <w:r w:rsidRPr="001E2876">
        <w:rPr>
          <w:lang w:val="lt-LT"/>
        </w:rPr>
        <w:t xml:space="preserve">bendra sisteminė ekspozicija ir pailgėja metabolizmo į α-HTBZ ir β-HTBZ pusinis periodas. Kai kepenų funkcijos sutrikimas yra 9 laipsnio pagal </w:t>
      </w:r>
      <w:r w:rsidRPr="00FE798E">
        <w:rPr>
          <w:i/>
          <w:iCs/>
          <w:lang w:val="lt-LT"/>
        </w:rPr>
        <w:t>Child-Pugh</w:t>
      </w:r>
      <w:r w:rsidRPr="001E2876">
        <w:rPr>
          <w:lang w:val="lt-LT"/>
        </w:rPr>
        <w:t>, šie pokyčiai būna reikšmingi. Galimos to priežastys – lėtesnis priešsisteminis ir sisteminis tetrabenazino metabolizmas bei mažesnis jo pagrindinių metabolitų klirensas. Kartotino</w:t>
      </w:r>
      <w:r>
        <w:rPr>
          <w:lang w:val="lt-LT"/>
        </w:rPr>
        <w:t xml:space="preserve"> </w:t>
      </w:r>
      <w:r w:rsidRPr="001E2876">
        <w:rPr>
          <w:lang w:val="lt-LT"/>
        </w:rPr>
        <w:t>tetrabenazino vartojimo sutrikusią kepenų funkciją (</w:t>
      </w:r>
      <w:r w:rsidRPr="00FE798E">
        <w:rPr>
          <w:i/>
          <w:iCs/>
          <w:lang w:val="lt-LT"/>
        </w:rPr>
        <w:t>Child-Pugh</w:t>
      </w:r>
      <w:r w:rsidRPr="001E2876">
        <w:rPr>
          <w:lang w:val="lt-LT"/>
        </w:rPr>
        <w:t xml:space="preserve"> klasės nuo A iki C</w:t>
      </w:r>
      <w:r>
        <w:rPr>
          <w:lang w:val="lt-LT"/>
        </w:rPr>
        <w:t xml:space="preserve"> </w:t>
      </w:r>
      <w:r w:rsidRPr="001E2876">
        <w:rPr>
          <w:lang w:val="lt-LT"/>
        </w:rPr>
        <w:t>rodiklis ≥ 5) turintiems pacientams duomenų nėra (žr. 4.2, 4.3 ir 4.4 skyrius). Padidėjusios tetrabenazino</w:t>
      </w:r>
      <w:r>
        <w:rPr>
          <w:lang w:val="lt-LT"/>
        </w:rPr>
        <w:t xml:space="preserve"> </w:t>
      </w:r>
      <w:r w:rsidRPr="001E2876">
        <w:rPr>
          <w:lang w:val="lt-LT"/>
        </w:rPr>
        <w:t>ir jo metabolitų ekspozicijos įtaka saugumui ir veiksmingumui nežinoma, todėl negalima užtikrinti saugaus vartojimo pacientams, kurių kepenų funkcija sutrikusi. Jeigu kepenų funkcija sutrikusi, tetrabenazino vartoti negalima.</w:t>
      </w:r>
    </w:p>
    <w:p w:rsidR="002A1BE8" w:rsidRPr="001E2876" w:rsidRDefault="002A1BE8" w:rsidP="00DE5A01">
      <w:pPr>
        <w:tabs>
          <w:tab w:val="clear" w:pos="567"/>
        </w:tabs>
        <w:spacing w:line="240" w:lineRule="auto"/>
        <w:ind w:right="-14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5.3</w:t>
      </w:r>
      <w:r w:rsidRPr="001E2876">
        <w:rPr>
          <w:rFonts w:ascii="Times New Roman" w:hAnsi="Times New Roman" w:cs="Times New Roman"/>
          <w:sz w:val="22"/>
          <w:szCs w:val="22"/>
          <w:lang w:val="lt-LT"/>
        </w:rPr>
        <w:tab/>
        <w:t>Ikiklinikinių saugumo tyrimų duomenys</w:t>
      </w:r>
    </w:p>
    <w:p w:rsidR="002A1BE8" w:rsidRPr="001E2876" w:rsidRDefault="002A1BE8" w:rsidP="00DE5A01">
      <w:pPr>
        <w:tabs>
          <w:tab w:val="clear" w:pos="567"/>
        </w:tabs>
        <w:spacing w:line="240" w:lineRule="auto"/>
        <w:ind w:right="-142"/>
        <w:rPr>
          <w:lang w:val="lt-LT"/>
        </w:rPr>
      </w:pPr>
    </w:p>
    <w:p w:rsidR="002A1BE8" w:rsidRPr="001E2876" w:rsidRDefault="002A1BE8" w:rsidP="00DE5A01">
      <w:pPr>
        <w:tabs>
          <w:tab w:val="left" w:pos="0"/>
        </w:tabs>
        <w:spacing w:line="240" w:lineRule="auto"/>
        <w:rPr>
          <w:lang w:val="lt-LT"/>
        </w:rPr>
      </w:pPr>
      <w:r w:rsidRPr="001E2876">
        <w:rPr>
          <w:lang w:val="lt-LT"/>
        </w:rPr>
        <w:t>Per</w:t>
      </w:r>
      <w:r>
        <w:rPr>
          <w:lang w:val="lt-LT"/>
        </w:rPr>
        <w:t xml:space="preserve"> </w:t>
      </w:r>
      <w:r w:rsidRPr="001E2876">
        <w:rPr>
          <w:lang w:val="lt-LT"/>
        </w:rPr>
        <w:t>burną duodamo tetrabenazino poveikiai, nustatyti tiriant kartojamų dozių toksinį veikimą, yra susiję su monoaminų (pvz., serotonino ir noradrenalino) atsargų centrinėje nervų sistemoje sumažėjimu. Šis vaistinis preparatas veikia beveik vien smegenis. Manoma, kad tetrabenazino klinikinį poveikį žmogui paaiškina įtaka smegenų aminams. Dažni jo veikimo simptomai yra sumažėjęs aktyvumas, letargija, strabizmas ir užmektos akys. Laikoma, kad dozę tenka riboti dėl pagrindinių farmakologinių poveikių (pvz., sedacijos).</w:t>
      </w:r>
    </w:p>
    <w:p w:rsidR="002A1BE8" w:rsidRPr="001E2876" w:rsidRDefault="002A1BE8" w:rsidP="00DE5A01">
      <w:pPr>
        <w:tabs>
          <w:tab w:val="left" w:pos="0"/>
        </w:tabs>
        <w:spacing w:line="240" w:lineRule="auto"/>
        <w:rPr>
          <w:lang w:val="lt-LT"/>
        </w:rPr>
      </w:pPr>
    </w:p>
    <w:p w:rsidR="002A1BE8" w:rsidRPr="001E2876" w:rsidRDefault="002A1BE8" w:rsidP="00DE5A01">
      <w:pPr>
        <w:tabs>
          <w:tab w:val="left" w:pos="0"/>
        </w:tabs>
        <w:spacing w:line="240" w:lineRule="auto"/>
        <w:rPr>
          <w:lang w:val="lt-LT"/>
        </w:rPr>
      </w:pPr>
      <w:r w:rsidRPr="001E2876">
        <w:rPr>
          <w:lang w:val="lt-LT"/>
        </w:rPr>
        <w:t>Tetrabenazino</w:t>
      </w:r>
      <w:r>
        <w:rPr>
          <w:lang w:val="lt-LT"/>
        </w:rPr>
        <w:t xml:space="preserve"> </w:t>
      </w:r>
      <w:r w:rsidRPr="001E2876">
        <w:rPr>
          <w:lang w:val="lt-LT"/>
        </w:rPr>
        <w:t xml:space="preserve">genotoksiškumas tirtas atliekant bakterijų atvirkštinės mutacijos testą bei su žinduolių ląstelėmis </w:t>
      </w:r>
      <w:r w:rsidRPr="001E2876">
        <w:rPr>
          <w:i/>
          <w:iCs/>
          <w:lang w:val="lt-LT"/>
        </w:rPr>
        <w:t>in</w:t>
      </w:r>
      <w:r>
        <w:rPr>
          <w:i/>
          <w:iCs/>
          <w:lang w:val="lt-LT"/>
        </w:rPr>
        <w:t xml:space="preserve"> </w:t>
      </w:r>
      <w:r w:rsidRPr="001E2876">
        <w:rPr>
          <w:i/>
          <w:iCs/>
          <w:lang w:val="lt-LT"/>
        </w:rPr>
        <w:t>vitro</w:t>
      </w:r>
      <w:r w:rsidRPr="001E2876">
        <w:rPr>
          <w:lang w:val="lt-LT"/>
        </w:rPr>
        <w:t xml:space="preserve"> ir </w:t>
      </w:r>
      <w:r w:rsidRPr="001E2876">
        <w:rPr>
          <w:i/>
          <w:iCs/>
          <w:lang w:val="lt-LT"/>
        </w:rPr>
        <w:t>in</w:t>
      </w:r>
      <w:r>
        <w:rPr>
          <w:i/>
          <w:iCs/>
          <w:lang w:val="lt-LT"/>
        </w:rPr>
        <w:t xml:space="preserve"> </w:t>
      </w:r>
      <w:r w:rsidRPr="001E2876">
        <w:rPr>
          <w:i/>
          <w:iCs/>
          <w:lang w:val="lt-LT"/>
        </w:rPr>
        <w:t>vivo</w:t>
      </w:r>
      <w:r w:rsidRPr="001E2876">
        <w:rPr>
          <w:lang w:val="lt-LT"/>
        </w:rPr>
        <w:t>. Jo citotoksinės koncentracijos nesukėlė DNR taškinių mutacijų</w:t>
      </w:r>
      <w:r>
        <w:rPr>
          <w:lang w:val="lt-LT"/>
        </w:rPr>
        <w:t xml:space="preserve"> </w:t>
      </w:r>
      <w:r w:rsidRPr="001E2876">
        <w:rPr>
          <w:i/>
          <w:iCs/>
          <w:lang w:val="lt-LT"/>
        </w:rPr>
        <w:t>in</w:t>
      </w:r>
      <w:r>
        <w:rPr>
          <w:i/>
          <w:iCs/>
          <w:lang w:val="lt-LT"/>
        </w:rPr>
        <w:t xml:space="preserve"> </w:t>
      </w:r>
      <w:r w:rsidRPr="001E2876">
        <w:rPr>
          <w:i/>
          <w:iCs/>
          <w:lang w:val="lt-LT"/>
        </w:rPr>
        <w:t>vitro</w:t>
      </w:r>
      <w:r w:rsidRPr="001E2876">
        <w:rPr>
          <w:lang w:val="lt-LT"/>
        </w:rPr>
        <w:t>, tačiau sukėlė tirtų žinduolių ląstelių (kininio žiurkėno kiaušidžių ir plaučių) chromosomų aberacijų. Mikrobranduolio testas su žiurkių ir pelių kaulų čiulpais</w:t>
      </w:r>
      <w:r>
        <w:rPr>
          <w:lang w:val="lt-LT"/>
        </w:rPr>
        <w:t xml:space="preserve"> </w:t>
      </w:r>
      <w:r w:rsidRPr="001E2876">
        <w:rPr>
          <w:i/>
          <w:iCs/>
          <w:lang w:val="lt-LT"/>
        </w:rPr>
        <w:t>in</w:t>
      </w:r>
      <w:r>
        <w:rPr>
          <w:i/>
          <w:iCs/>
          <w:lang w:val="lt-LT"/>
        </w:rPr>
        <w:t xml:space="preserve"> </w:t>
      </w:r>
      <w:r w:rsidRPr="001E2876">
        <w:rPr>
          <w:i/>
          <w:iCs/>
          <w:lang w:val="lt-LT"/>
        </w:rPr>
        <w:t>vivo</w:t>
      </w:r>
      <w:r>
        <w:rPr>
          <w:i/>
          <w:iCs/>
          <w:lang w:val="lt-LT"/>
        </w:rPr>
        <w:t xml:space="preserve"> </w:t>
      </w:r>
      <w:r w:rsidRPr="001E2876">
        <w:rPr>
          <w:lang w:val="lt-LT"/>
        </w:rPr>
        <w:t>tetrabenazino</w:t>
      </w:r>
      <w:r>
        <w:rPr>
          <w:lang w:val="lt-LT"/>
        </w:rPr>
        <w:t xml:space="preserve"> </w:t>
      </w:r>
      <w:r w:rsidRPr="001E2876">
        <w:rPr>
          <w:lang w:val="lt-LT"/>
        </w:rPr>
        <w:t>genotoksinio poveikio neparodė.</w:t>
      </w:r>
    </w:p>
    <w:p w:rsidR="002A1BE8" w:rsidRPr="001E2876" w:rsidRDefault="002A1BE8" w:rsidP="00DE5A01">
      <w:pPr>
        <w:tabs>
          <w:tab w:val="left" w:pos="0"/>
        </w:tabs>
        <w:spacing w:line="240" w:lineRule="auto"/>
        <w:rPr>
          <w:lang w:val="lt-LT"/>
        </w:rPr>
      </w:pPr>
    </w:p>
    <w:p w:rsidR="002A1BE8" w:rsidRPr="001E2876" w:rsidRDefault="002A1BE8" w:rsidP="00DE5A01">
      <w:pPr>
        <w:tabs>
          <w:tab w:val="left" w:pos="0"/>
        </w:tabs>
        <w:spacing w:line="240" w:lineRule="auto"/>
        <w:rPr>
          <w:lang w:val="lt-LT"/>
        </w:rPr>
      </w:pPr>
      <w:r w:rsidRPr="001E2876">
        <w:rPr>
          <w:lang w:val="lt-LT"/>
        </w:rPr>
        <w:t xml:space="preserve">Žiurkių ir pelių tyrimų </w:t>
      </w:r>
      <w:r w:rsidRPr="001E2876">
        <w:rPr>
          <w:i/>
          <w:iCs/>
          <w:lang w:val="lt-LT"/>
        </w:rPr>
        <w:t>in</w:t>
      </w:r>
      <w:r>
        <w:rPr>
          <w:i/>
          <w:iCs/>
          <w:lang w:val="lt-LT"/>
        </w:rPr>
        <w:t xml:space="preserve"> </w:t>
      </w:r>
      <w:r w:rsidRPr="001E2876">
        <w:rPr>
          <w:i/>
          <w:iCs/>
          <w:lang w:val="lt-LT"/>
        </w:rPr>
        <w:t>vivo</w:t>
      </w:r>
      <w:r w:rsidRPr="001E2876">
        <w:rPr>
          <w:lang w:val="lt-LT"/>
        </w:rPr>
        <w:t xml:space="preserve"> duomenimis, kancerogeninio ar onkogeninio</w:t>
      </w:r>
      <w:r>
        <w:rPr>
          <w:lang w:val="lt-LT"/>
        </w:rPr>
        <w:t xml:space="preserve"> </w:t>
      </w:r>
      <w:r w:rsidRPr="001E2876">
        <w:rPr>
          <w:lang w:val="lt-LT"/>
        </w:rPr>
        <w:t>tetrabenazinas nesukelia.</w:t>
      </w:r>
    </w:p>
    <w:p w:rsidR="002A1BE8" w:rsidRPr="001E2876" w:rsidRDefault="002A1BE8" w:rsidP="00DE5A01">
      <w:pPr>
        <w:tabs>
          <w:tab w:val="left" w:pos="0"/>
        </w:tabs>
        <w:spacing w:line="240" w:lineRule="auto"/>
        <w:rPr>
          <w:lang w:val="lt-LT"/>
        </w:rPr>
      </w:pPr>
    </w:p>
    <w:p w:rsidR="002A1BE8" w:rsidRPr="001E2876" w:rsidRDefault="002A1BE8" w:rsidP="00DE5A01">
      <w:pPr>
        <w:tabs>
          <w:tab w:val="left" w:pos="0"/>
        </w:tabs>
        <w:spacing w:line="240" w:lineRule="auto"/>
        <w:rPr>
          <w:lang w:val="lt-LT"/>
        </w:rPr>
      </w:pPr>
      <w:r w:rsidRPr="001E2876">
        <w:rPr>
          <w:lang w:val="lt-LT"/>
        </w:rPr>
        <w:t xml:space="preserve">Tyrimai </w:t>
      </w:r>
      <w:r w:rsidRPr="001E2876">
        <w:rPr>
          <w:i/>
          <w:iCs/>
          <w:lang w:val="lt-LT"/>
        </w:rPr>
        <w:t>in</w:t>
      </w:r>
      <w:r>
        <w:rPr>
          <w:i/>
          <w:iCs/>
          <w:lang w:val="lt-LT"/>
        </w:rPr>
        <w:t xml:space="preserve"> </w:t>
      </w:r>
      <w:r w:rsidRPr="001E2876">
        <w:rPr>
          <w:i/>
          <w:iCs/>
          <w:lang w:val="lt-LT"/>
        </w:rPr>
        <w:t>vivo</w:t>
      </w:r>
      <w:r>
        <w:rPr>
          <w:i/>
          <w:iCs/>
          <w:lang w:val="lt-LT"/>
        </w:rPr>
        <w:t xml:space="preserve"> </w:t>
      </w:r>
      <w:r w:rsidRPr="001E2876">
        <w:rPr>
          <w:lang w:val="lt-LT"/>
        </w:rPr>
        <w:t>tetrabenazino poveikio žiurkių vaisingumui neparodė. Tiriant poveikį vaisingumui ir ankstyvajam embriono vystymuisi, mažesnių už klinikines sisteminių ekspozicijų įtakos žiurkių vaikingumo laikotarpio eigai ir palikuonių išgyvenimui gimdoje nenustatyta. Vis dėlto pastebėtas pailgėjęs žiurkių patelių rujos ciklas ir vėlesnis jų</w:t>
      </w:r>
      <w:r>
        <w:rPr>
          <w:lang w:val="lt-LT"/>
        </w:rPr>
        <w:t xml:space="preserve"> </w:t>
      </w:r>
      <w:r w:rsidRPr="001E2876">
        <w:rPr>
          <w:lang w:val="lt-LT"/>
        </w:rPr>
        <w:t>vaisingumas. Tetrabenazinas neveikė žiurkių patinų vaisingumo, nesukėlė embriotoksinio ar teratogeninio poveikio žiurkėms ir triušiams. Poveikio žiurkių perinataliniam ir ponataliniam vystymuisi</w:t>
      </w:r>
      <w:r>
        <w:rPr>
          <w:lang w:val="lt-LT"/>
        </w:rPr>
        <w:t xml:space="preserve"> </w:t>
      </w:r>
      <w:r w:rsidRPr="001E2876">
        <w:rPr>
          <w:lang w:val="lt-LT"/>
        </w:rPr>
        <w:t>tyrimo metu nudvėsė daugiau ką tik atsivestų jauniklių. Šie pokyčiai laikomi netiesioginiais (susijusiais su nepakankamu motinos dėmesiu), tačiau negalima atmesti ir tiesioginio tetrabenazino poveikio jaunikliams galimybės.</w:t>
      </w:r>
    </w:p>
    <w:p w:rsidR="002A1BE8" w:rsidRPr="001E2876" w:rsidRDefault="002A1BE8" w:rsidP="00DE5A01">
      <w:pPr>
        <w:pStyle w:val="prastojitrauka"/>
        <w:spacing w:after="0"/>
        <w:ind w:left="0"/>
        <w:rPr>
          <w:lang w:val="lt-LT" w:eastAsia="en-US"/>
        </w:rPr>
      </w:pPr>
    </w:p>
    <w:p w:rsidR="002A1BE8" w:rsidRPr="001E2876" w:rsidRDefault="002A1BE8" w:rsidP="00DE5A01">
      <w:pPr>
        <w:pStyle w:val="prastojitrauka"/>
        <w:spacing w:after="0"/>
        <w:ind w:left="0"/>
        <w:rPr>
          <w:lang w:val="lt-LT"/>
        </w:rPr>
      </w:pPr>
      <w:r w:rsidRPr="001E2876">
        <w:rPr>
          <w:lang w:val="lt-LT"/>
        </w:rPr>
        <w:t>Tetrabenazino ar jo metabolitų prisijungia pigmentinių žiurkių melanino turinčiuose audiniuose (pvz., akyse, odoje, kailyje). Sugirdžius vieną radioaktyviu izotopu pažymėtą tetrabenazino dozę, po 21 dienos radioaktyvumo dar rasta akyse ir kailyje.</w:t>
      </w:r>
    </w:p>
    <w:p w:rsidR="002A1BE8" w:rsidRPr="001E2876" w:rsidRDefault="002A1BE8" w:rsidP="00DE5A01">
      <w:pPr>
        <w:tabs>
          <w:tab w:val="clear" w:pos="567"/>
        </w:tabs>
        <w:spacing w:line="240" w:lineRule="auto"/>
        <w:ind w:right="-142"/>
        <w:rPr>
          <w:lang w:val="lt-LT"/>
        </w:rPr>
      </w:pPr>
    </w:p>
    <w:p w:rsidR="002A1BE8" w:rsidRPr="001E2876" w:rsidRDefault="002A1BE8" w:rsidP="00DE5A01">
      <w:pPr>
        <w:tabs>
          <w:tab w:val="clear" w:pos="567"/>
        </w:tabs>
        <w:spacing w:line="240" w:lineRule="auto"/>
        <w:ind w:right="-142"/>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w:t>
      </w:r>
      <w:r w:rsidRPr="001E2876">
        <w:rPr>
          <w:rFonts w:ascii="Times New Roman" w:hAnsi="Times New Roman" w:cs="Times New Roman"/>
          <w:sz w:val="22"/>
          <w:szCs w:val="22"/>
          <w:lang w:val="lt-LT"/>
        </w:rPr>
        <w:tab/>
        <w:t>FARMACINĖ INFORMACIJA</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6.1</w:t>
      </w:r>
      <w:r w:rsidRPr="001E2876">
        <w:rPr>
          <w:rFonts w:ascii="Times New Roman" w:hAnsi="Times New Roman" w:cs="Times New Roman"/>
          <w:sz w:val="22"/>
          <w:szCs w:val="22"/>
          <w:lang w:val="lt-LT"/>
        </w:rPr>
        <w:tab/>
        <w:t>Pagalbinių medžiagų sąrašas</w:t>
      </w:r>
    </w:p>
    <w:p w:rsidR="002A1BE8" w:rsidRPr="001E2876" w:rsidRDefault="002A1BE8" w:rsidP="00DE5A01">
      <w:pPr>
        <w:tabs>
          <w:tab w:val="clear" w:pos="567"/>
        </w:tabs>
        <w:spacing w:line="240" w:lineRule="auto"/>
        <w:ind w:right="-142"/>
        <w:rPr>
          <w:lang w:val="lt-LT"/>
        </w:rPr>
      </w:pPr>
    </w:p>
    <w:p w:rsidR="002A1BE8" w:rsidRPr="001E2876" w:rsidRDefault="002A1BE8" w:rsidP="00DE5A01">
      <w:pPr>
        <w:tabs>
          <w:tab w:val="left" w:pos="0"/>
        </w:tabs>
        <w:spacing w:line="240" w:lineRule="auto"/>
        <w:rPr>
          <w:lang w:val="lt-LT"/>
        </w:rPr>
      </w:pPr>
      <w:r w:rsidRPr="001E2876">
        <w:rPr>
          <w:lang w:val="lt-LT"/>
        </w:rPr>
        <w:t>Laktozė</w:t>
      </w:r>
      <w:r>
        <w:rPr>
          <w:lang w:val="lt-LT"/>
        </w:rPr>
        <w:t xml:space="preserve"> </w:t>
      </w:r>
      <w:r w:rsidRPr="001E2876">
        <w:rPr>
          <w:lang w:val="lt-LT"/>
        </w:rPr>
        <w:t>monohidratas</w:t>
      </w:r>
    </w:p>
    <w:p w:rsidR="002A1BE8" w:rsidRPr="001E2876" w:rsidRDefault="002A1BE8" w:rsidP="00DE5A01">
      <w:pPr>
        <w:tabs>
          <w:tab w:val="left" w:pos="0"/>
        </w:tabs>
        <w:spacing w:line="240" w:lineRule="auto"/>
        <w:rPr>
          <w:lang w:val="lt-LT"/>
        </w:rPr>
      </w:pPr>
      <w:r w:rsidRPr="001E2876">
        <w:rPr>
          <w:lang w:val="lt-LT"/>
        </w:rPr>
        <w:t>Kukurūzų krakmolas</w:t>
      </w:r>
    </w:p>
    <w:p w:rsidR="002A1BE8" w:rsidRPr="001E2876" w:rsidRDefault="002A1BE8" w:rsidP="00DE5A01">
      <w:pPr>
        <w:tabs>
          <w:tab w:val="left" w:pos="0"/>
        </w:tabs>
        <w:spacing w:line="240" w:lineRule="auto"/>
        <w:rPr>
          <w:lang w:val="lt-LT"/>
        </w:rPr>
      </w:pPr>
      <w:r w:rsidRPr="001E2876">
        <w:rPr>
          <w:lang w:val="lt-LT"/>
        </w:rPr>
        <w:t>Talkas</w:t>
      </w:r>
    </w:p>
    <w:p w:rsidR="002A1BE8" w:rsidRPr="001E2876" w:rsidRDefault="002A1BE8" w:rsidP="00DE5A01">
      <w:pPr>
        <w:tabs>
          <w:tab w:val="left" w:pos="0"/>
        </w:tabs>
        <w:spacing w:line="240" w:lineRule="auto"/>
        <w:rPr>
          <w:lang w:val="lt-LT"/>
        </w:rPr>
      </w:pPr>
      <w:r w:rsidRPr="001E2876">
        <w:rPr>
          <w:lang w:val="lt-LT"/>
        </w:rPr>
        <w:t>Magnio stearatas</w:t>
      </w:r>
    </w:p>
    <w:p w:rsidR="002A1BE8" w:rsidRPr="001E2876" w:rsidRDefault="002A1BE8" w:rsidP="00DE5A01">
      <w:pPr>
        <w:tabs>
          <w:tab w:val="left" w:pos="0"/>
        </w:tabs>
        <w:spacing w:line="240" w:lineRule="auto"/>
        <w:rPr>
          <w:lang w:val="lt-LT"/>
        </w:rPr>
      </w:pPr>
      <w:r>
        <w:rPr>
          <w:lang w:val="lt-LT"/>
        </w:rPr>
        <w:t>Geltonasis geležies</w:t>
      </w:r>
      <w:r w:rsidRPr="001E2876">
        <w:rPr>
          <w:lang w:val="lt-LT"/>
        </w:rPr>
        <w:t xml:space="preserve"> oksidas (E172)</w:t>
      </w:r>
    </w:p>
    <w:p w:rsidR="002A1BE8" w:rsidRPr="001E2876" w:rsidRDefault="002A1BE8" w:rsidP="00DE5A01">
      <w:pPr>
        <w:tabs>
          <w:tab w:val="clear" w:pos="567"/>
        </w:tabs>
        <w:spacing w:line="240" w:lineRule="auto"/>
        <w:ind w:right="-14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lastRenderedPageBreak/>
        <w:t>6.2</w:t>
      </w:r>
      <w:r w:rsidRPr="001E2876">
        <w:rPr>
          <w:rFonts w:ascii="Times New Roman" w:hAnsi="Times New Roman" w:cs="Times New Roman"/>
          <w:sz w:val="22"/>
          <w:szCs w:val="22"/>
          <w:lang w:val="lt-LT"/>
        </w:rPr>
        <w:tab/>
        <w:t>Nesuderinamumas</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r w:rsidRPr="001E2876">
        <w:rPr>
          <w:lang w:val="lt-LT"/>
        </w:rPr>
        <w:t>Duomenys nebūtini.</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6.3</w:t>
      </w:r>
      <w:r w:rsidRPr="001E2876">
        <w:rPr>
          <w:rFonts w:ascii="Times New Roman" w:hAnsi="Times New Roman" w:cs="Times New Roman"/>
          <w:sz w:val="22"/>
          <w:szCs w:val="22"/>
          <w:lang w:val="lt-LT"/>
        </w:rPr>
        <w:tab/>
        <w:t>Tinkamumo laikas</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r w:rsidRPr="001E2876">
        <w:rPr>
          <w:lang w:val="lt-LT"/>
        </w:rPr>
        <w:t>5 metai.</w:t>
      </w:r>
    </w:p>
    <w:p w:rsidR="002A1BE8" w:rsidRPr="001E2876" w:rsidRDefault="002A1BE8" w:rsidP="00DE5A01">
      <w:pPr>
        <w:tabs>
          <w:tab w:val="clear" w:pos="567"/>
        </w:tabs>
        <w:spacing w:line="240" w:lineRule="auto"/>
        <w:rPr>
          <w:lang w:val="lt-LT"/>
        </w:rPr>
      </w:pPr>
      <w:r w:rsidRPr="001E2876">
        <w:rPr>
          <w:lang w:val="lt-LT"/>
        </w:rPr>
        <w:t>Tinkamumo laikas pirmą kartą atidarius – 3 mėnesiai.</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6.4</w:t>
      </w:r>
      <w:r w:rsidRPr="001E2876">
        <w:rPr>
          <w:rFonts w:ascii="Times New Roman" w:hAnsi="Times New Roman" w:cs="Times New Roman"/>
          <w:sz w:val="22"/>
          <w:szCs w:val="22"/>
          <w:lang w:val="lt-LT"/>
        </w:rPr>
        <w:tab/>
        <w:t>Specialios laikymo sąlygos</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r w:rsidRPr="00671027">
        <w:rPr>
          <w:rFonts w:eastAsia="SimSun"/>
          <w:lang w:val="lt-LT" w:eastAsia="zh-CN"/>
        </w:rPr>
        <w:t>Šio vaistinio preparato laikymui specialių temperatūros sąlygų nereikalaujama.</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6.5</w:t>
      </w:r>
      <w:r w:rsidRPr="001E2876">
        <w:rPr>
          <w:rFonts w:ascii="Times New Roman" w:hAnsi="Times New Roman" w:cs="Times New Roman"/>
          <w:sz w:val="22"/>
          <w:szCs w:val="22"/>
          <w:lang w:val="lt-LT"/>
        </w:rPr>
        <w:tab/>
        <w:t>Talpyklės pobūdis ir jos turinys</w:t>
      </w:r>
    </w:p>
    <w:p w:rsidR="002A1BE8" w:rsidRPr="001E2876" w:rsidRDefault="002A1BE8" w:rsidP="00DE5A01">
      <w:pPr>
        <w:tabs>
          <w:tab w:val="clear" w:pos="567"/>
        </w:tabs>
        <w:spacing w:line="240" w:lineRule="auto"/>
        <w:rPr>
          <w:lang w:val="lt-LT"/>
        </w:rPr>
      </w:pPr>
    </w:p>
    <w:p w:rsidR="002A1BE8" w:rsidRPr="001E2876" w:rsidRDefault="002A1BE8" w:rsidP="00DE5A01">
      <w:pPr>
        <w:tabs>
          <w:tab w:val="left" w:pos="0"/>
        </w:tabs>
        <w:spacing w:line="240" w:lineRule="auto"/>
        <w:rPr>
          <w:lang w:val="lt-LT"/>
        </w:rPr>
      </w:pPr>
      <w:r w:rsidRPr="001E2876">
        <w:rPr>
          <w:lang w:val="lt-LT"/>
        </w:rPr>
        <w:t>Tabletės baltame DTPE buteliuke su vaikų</w:t>
      </w:r>
      <w:r>
        <w:rPr>
          <w:lang w:val="lt-LT"/>
        </w:rPr>
        <w:t xml:space="preserve"> sunkiai </w:t>
      </w:r>
      <w:r w:rsidRPr="001E2876">
        <w:rPr>
          <w:lang w:val="lt-LT"/>
        </w:rPr>
        <w:t>atidaromu polipropileniniu dangteliu.</w:t>
      </w:r>
    </w:p>
    <w:p w:rsidR="002A1BE8" w:rsidRPr="001E2876" w:rsidRDefault="002A1BE8" w:rsidP="00DE5A01">
      <w:pPr>
        <w:tabs>
          <w:tab w:val="left" w:pos="0"/>
        </w:tabs>
        <w:spacing w:line="240" w:lineRule="auto"/>
        <w:rPr>
          <w:lang w:val="lt-LT"/>
        </w:rPr>
      </w:pPr>
      <w:r w:rsidRPr="001E2876">
        <w:rPr>
          <w:lang w:val="lt-LT"/>
        </w:rPr>
        <w:t>Pakuotėje yra 112 tablečių.</w:t>
      </w:r>
    </w:p>
    <w:p w:rsidR="002A1BE8" w:rsidRPr="001E2876" w:rsidRDefault="002A1BE8" w:rsidP="00DE5A01">
      <w:p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bookmarkStart w:id="0" w:name="OLE_LINK1"/>
      <w:r w:rsidRPr="001E2876">
        <w:rPr>
          <w:rFonts w:ascii="Times New Roman" w:hAnsi="Times New Roman" w:cs="Times New Roman"/>
          <w:sz w:val="22"/>
          <w:szCs w:val="22"/>
          <w:lang w:val="lt-LT"/>
        </w:rPr>
        <w:t>6.6</w:t>
      </w:r>
      <w:r w:rsidRPr="001E2876">
        <w:rPr>
          <w:rFonts w:ascii="Times New Roman" w:hAnsi="Times New Roman" w:cs="Times New Roman"/>
          <w:sz w:val="22"/>
          <w:szCs w:val="22"/>
          <w:lang w:val="lt-LT"/>
        </w:rPr>
        <w:tab/>
        <w:t>Specialūs reikalavimai atliekoms tvarkyti</w:t>
      </w:r>
    </w:p>
    <w:bookmarkEnd w:id="0"/>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r w:rsidRPr="001E2876">
        <w:rPr>
          <w:lang w:val="lt-LT"/>
        </w:rPr>
        <w:t>Specialių reikalavimų nėra.</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7.</w:t>
      </w:r>
      <w:r w:rsidRPr="001E2876">
        <w:rPr>
          <w:rFonts w:ascii="Times New Roman" w:hAnsi="Times New Roman" w:cs="Times New Roman"/>
          <w:sz w:val="22"/>
          <w:szCs w:val="22"/>
          <w:lang w:val="lt-LT"/>
        </w:rPr>
        <w:tab/>
        <w:t>RINKODAROS TEISĖS TURĖTOJAS</w:t>
      </w:r>
    </w:p>
    <w:p w:rsidR="002A1BE8" w:rsidRPr="001E2876" w:rsidRDefault="002A1BE8" w:rsidP="00DE5A01">
      <w:pPr>
        <w:tabs>
          <w:tab w:val="clear" w:pos="567"/>
        </w:tabs>
        <w:spacing w:line="240" w:lineRule="auto"/>
        <w:rPr>
          <w:lang w:val="lt-LT"/>
        </w:rPr>
      </w:pPr>
    </w:p>
    <w:p w:rsidR="002A1BE8" w:rsidRPr="001E2876" w:rsidRDefault="002A1BE8" w:rsidP="00DE5A01">
      <w:pPr>
        <w:spacing w:line="240" w:lineRule="auto"/>
        <w:rPr>
          <w:lang w:val="lt-LT"/>
        </w:rPr>
      </w:pPr>
      <w:r w:rsidRPr="001E2876">
        <w:rPr>
          <w:lang w:val="lt-LT"/>
        </w:rPr>
        <w:t>PharmaSwiss</w:t>
      </w:r>
      <w:r w:rsidR="006341FC">
        <w:rPr>
          <w:lang w:val="lt-LT"/>
        </w:rPr>
        <w:t xml:space="preserve"> </w:t>
      </w:r>
      <w:r w:rsidRPr="001E2876">
        <w:rPr>
          <w:lang w:val="lt-LT"/>
        </w:rPr>
        <w:t>Česká</w:t>
      </w:r>
      <w:r w:rsidR="006341FC">
        <w:rPr>
          <w:lang w:val="lt-LT"/>
        </w:rPr>
        <w:t xml:space="preserve"> </w:t>
      </w:r>
      <w:r w:rsidRPr="001E2876">
        <w:rPr>
          <w:lang w:val="lt-LT"/>
        </w:rPr>
        <w:t>republika</w:t>
      </w:r>
      <w:r w:rsidR="006341FC">
        <w:rPr>
          <w:lang w:val="lt-LT"/>
        </w:rPr>
        <w:t xml:space="preserve"> </w:t>
      </w:r>
      <w:r w:rsidRPr="001E2876">
        <w:rPr>
          <w:lang w:val="lt-LT"/>
        </w:rPr>
        <w:t>s.r.o.</w:t>
      </w:r>
    </w:p>
    <w:p w:rsidR="002A1BE8" w:rsidRPr="001E2876" w:rsidRDefault="002A1BE8" w:rsidP="00DE5A01">
      <w:pPr>
        <w:spacing w:line="240" w:lineRule="auto"/>
        <w:rPr>
          <w:lang w:val="lt-LT"/>
        </w:rPr>
      </w:pPr>
      <w:r w:rsidRPr="001E2876">
        <w:rPr>
          <w:lang w:val="lt-LT"/>
        </w:rPr>
        <w:t xml:space="preserve">Jankovcova 1569/2c </w:t>
      </w:r>
    </w:p>
    <w:p w:rsidR="002A1BE8" w:rsidRPr="001E2876" w:rsidRDefault="002A1BE8" w:rsidP="00DE5A01">
      <w:pPr>
        <w:spacing w:line="240" w:lineRule="auto"/>
        <w:rPr>
          <w:lang w:val="lt-LT"/>
        </w:rPr>
      </w:pPr>
      <w:r w:rsidRPr="001E2876">
        <w:rPr>
          <w:lang w:val="lt-LT"/>
        </w:rPr>
        <w:t>170 00 Prague</w:t>
      </w:r>
    </w:p>
    <w:p w:rsidR="002A1BE8" w:rsidRPr="001E2876" w:rsidRDefault="002A1BE8" w:rsidP="00DE5A01">
      <w:pPr>
        <w:spacing w:line="240" w:lineRule="auto"/>
        <w:rPr>
          <w:lang w:val="lt-LT"/>
        </w:rPr>
      </w:pPr>
      <w:r w:rsidRPr="001E2876">
        <w:rPr>
          <w:lang w:val="lt-LT"/>
        </w:rPr>
        <w:t>Čekij</w:t>
      </w:r>
      <w:r>
        <w:rPr>
          <w:lang w:val="lt-LT"/>
        </w:rPr>
        <w:t>a</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8.</w:t>
      </w:r>
      <w:r w:rsidRPr="001E2876">
        <w:rPr>
          <w:rFonts w:ascii="Times New Roman" w:hAnsi="Times New Roman" w:cs="Times New Roman"/>
          <w:sz w:val="22"/>
          <w:szCs w:val="22"/>
          <w:lang w:val="lt-LT"/>
        </w:rPr>
        <w:tab/>
        <w:t xml:space="preserve">RINKODAROS PAŽYMĖJIMO NUMERIS (-IAI) </w:t>
      </w:r>
    </w:p>
    <w:p w:rsidR="002A1BE8" w:rsidRDefault="002A1BE8" w:rsidP="00DE5A01">
      <w:pPr>
        <w:tabs>
          <w:tab w:val="clear" w:pos="567"/>
        </w:tabs>
        <w:spacing w:line="240" w:lineRule="auto"/>
        <w:rPr>
          <w:lang w:val="lt-LT"/>
        </w:rPr>
      </w:pPr>
    </w:p>
    <w:p w:rsidR="00D47133" w:rsidRDefault="00D47133" w:rsidP="00DE5A01">
      <w:pPr>
        <w:tabs>
          <w:tab w:val="clear" w:pos="567"/>
        </w:tabs>
        <w:spacing w:line="240" w:lineRule="auto"/>
        <w:rPr>
          <w:lang w:val="lt-LT"/>
        </w:rPr>
      </w:pPr>
      <w:r>
        <w:rPr>
          <w:lang w:val="lt-LT"/>
        </w:rPr>
        <w:t>LT/1/14/3513/001</w:t>
      </w:r>
    </w:p>
    <w:p w:rsidR="00D47133" w:rsidRPr="001E2876" w:rsidRDefault="00D47133"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9.</w:t>
      </w:r>
      <w:r w:rsidRPr="001E2876">
        <w:rPr>
          <w:rFonts w:ascii="Times New Roman" w:hAnsi="Times New Roman" w:cs="Times New Roman"/>
          <w:sz w:val="22"/>
          <w:szCs w:val="22"/>
          <w:lang w:val="lt-LT"/>
        </w:rPr>
        <w:tab/>
        <w:t>RINKODAROS TEISĖS SUTEIKIMO / ATNAUJINIMO DATA</w:t>
      </w:r>
    </w:p>
    <w:p w:rsidR="002A1BE8" w:rsidRPr="001E2876" w:rsidRDefault="002A1BE8" w:rsidP="00DE5A01">
      <w:pPr>
        <w:tabs>
          <w:tab w:val="clear" w:pos="567"/>
        </w:tabs>
        <w:spacing w:line="240" w:lineRule="auto"/>
        <w:rPr>
          <w:lang w:val="lt-LT"/>
        </w:rPr>
      </w:pPr>
    </w:p>
    <w:p w:rsidR="00D47133" w:rsidRPr="0067211B" w:rsidRDefault="00D47133" w:rsidP="00D47133">
      <w:pPr>
        <w:tabs>
          <w:tab w:val="clear" w:pos="567"/>
          <w:tab w:val="left" w:pos="1296"/>
        </w:tabs>
        <w:spacing w:line="240" w:lineRule="auto"/>
        <w:rPr>
          <w:snapToGrid w:val="0"/>
          <w:lang w:val="lt-LT"/>
        </w:rPr>
      </w:pPr>
      <w:r w:rsidRPr="0067211B">
        <w:rPr>
          <w:noProof/>
          <w:snapToGrid w:val="0"/>
          <w:szCs w:val="24"/>
          <w:lang w:val="lt-LT" w:eastAsia="lt-LT"/>
        </w:rPr>
        <w:t xml:space="preserve">Rinkodaros </w:t>
      </w:r>
      <w:r w:rsidRPr="0067211B">
        <w:rPr>
          <w:noProof/>
          <w:snapToGrid w:val="0"/>
          <w:lang w:val="lt-LT" w:eastAsia="lt-LT"/>
        </w:rPr>
        <w:t>teisė</w:t>
      </w:r>
      <w:r w:rsidRPr="0067211B">
        <w:rPr>
          <w:noProof/>
          <w:snapToGrid w:val="0"/>
          <w:szCs w:val="24"/>
          <w:lang w:val="lt-LT" w:eastAsia="lt-LT"/>
        </w:rPr>
        <w:t xml:space="preserve"> pirmą kartą </w:t>
      </w:r>
      <w:r w:rsidRPr="0067211B">
        <w:rPr>
          <w:noProof/>
          <w:snapToGrid w:val="0"/>
          <w:lang w:val="lt-LT" w:eastAsia="lt-LT"/>
        </w:rPr>
        <w:t>suteikta</w:t>
      </w:r>
      <w:r w:rsidRPr="0067211B">
        <w:rPr>
          <w:noProof/>
          <w:snapToGrid w:val="0"/>
          <w:szCs w:val="24"/>
          <w:lang w:val="lt-LT" w:eastAsia="lt-LT"/>
        </w:rPr>
        <w:t xml:space="preserve"> 2014 m. vasario mėn.</w:t>
      </w:r>
      <w:r w:rsidRPr="0067211B">
        <w:rPr>
          <w:snapToGrid w:val="0"/>
          <w:szCs w:val="24"/>
          <w:lang w:val="lt-LT" w:eastAsia="lt-LT"/>
        </w:rPr>
        <w:t xml:space="preserve"> </w:t>
      </w:r>
      <w:r w:rsidRPr="0067211B">
        <w:rPr>
          <w:noProof/>
          <w:snapToGrid w:val="0"/>
          <w:szCs w:val="24"/>
          <w:lang w:val="lt-LT" w:eastAsia="lt-LT"/>
        </w:rPr>
        <w:t>11 d.</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10.</w:t>
      </w:r>
      <w:r w:rsidRPr="001E2876">
        <w:rPr>
          <w:rFonts w:ascii="Times New Roman" w:hAnsi="Times New Roman" w:cs="Times New Roman"/>
          <w:sz w:val="22"/>
          <w:szCs w:val="22"/>
          <w:lang w:val="lt-LT"/>
        </w:rPr>
        <w:tab/>
        <w:t>TEKSTO PERŽIŪROS DATA</w:t>
      </w:r>
    </w:p>
    <w:p w:rsidR="002A1BE8" w:rsidRPr="001E2876" w:rsidRDefault="002A1BE8" w:rsidP="00DE5A01">
      <w:pPr>
        <w:tabs>
          <w:tab w:val="clear" w:pos="567"/>
        </w:tabs>
        <w:spacing w:line="240" w:lineRule="auto"/>
        <w:rPr>
          <w:lang w:val="lt-LT"/>
        </w:rPr>
      </w:pPr>
    </w:p>
    <w:p w:rsidR="00D47133" w:rsidRDefault="00D47133" w:rsidP="00D47133">
      <w:pPr>
        <w:tabs>
          <w:tab w:val="clear" w:pos="567"/>
          <w:tab w:val="left" w:pos="1296"/>
        </w:tabs>
        <w:spacing w:line="240" w:lineRule="auto"/>
        <w:rPr>
          <w:snapToGrid w:val="0"/>
        </w:rPr>
      </w:pPr>
      <w:r>
        <w:rPr>
          <w:noProof/>
          <w:snapToGrid w:val="0"/>
          <w:szCs w:val="24"/>
          <w:lang w:eastAsia="lt-LT"/>
        </w:rPr>
        <w:t>2014 m. vasario mėn.</w:t>
      </w:r>
      <w:r>
        <w:rPr>
          <w:snapToGrid w:val="0"/>
          <w:szCs w:val="24"/>
          <w:lang w:eastAsia="lt-LT"/>
        </w:rPr>
        <w:t xml:space="preserve"> </w:t>
      </w:r>
      <w:r>
        <w:rPr>
          <w:noProof/>
          <w:snapToGrid w:val="0"/>
          <w:szCs w:val="24"/>
          <w:lang w:eastAsia="lt-LT"/>
        </w:rPr>
        <w:t>11 d.</w:t>
      </w: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p>
    <w:p w:rsidR="002A1BE8" w:rsidRPr="001E2876" w:rsidRDefault="002A1BE8" w:rsidP="00DE5A01">
      <w:pPr>
        <w:tabs>
          <w:tab w:val="clear" w:pos="567"/>
        </w:tabs>
        <w:spacing w:line="240" w:lineRule="auto"/>
        <w:rPr>
          <w:lang w:val="lt-LT"/>
        </w:rPr>
      </w:pPr>
      <w:r w:rsidRPr="001E2876">
        <w:rPr>
          <w:lang w:val="lt-LT"/>
        </w:rPr>
        <w:t>Išsami informacija apie šį vaistinį preparatą pateikiama Valstybinės vaistų kontrolės tarnybos prie Lietuvos Respublikos sveikatos apsaugos ministerijos tinklalapyje</w:t>
      </w:r>
      <w:r>
        <w:rPr>
          <w:lang w:val="lt-LT"/>
        </w:rPr>
        <w:t xml:space="preserve"> </w:t>
      </w:r>
      <w:hyperlink r:id="rId12" w:history="1">
        <w:r w:rsidRPr="001E2876">
          <w:rPr>
            <w:rStyle w:val="Hipersaitas"/>
            <w:lang w:val="lt-LT"/>
          </w:rPr>
          <w:t>http://www.vvkt.lt</w:t>
        </w:r>
      </w:hyperlink>
    </w:p>
    <w:p w:rsidR="002A1BE8" w:rsidRPr="001E2876" w:rsidRDefault="002A1BE8" w:rsidP="00DE5A01">
      <w:pPr>
        <w:tabs>
          <w:tab w:val="left" w:pos="-1440"/>
          <w:tab w:val="left" w:pos="-720"/>
        </w:tabs>
        <w:spacing w:line="240" w:lineRule="auto"/>
        <w:rPr>
          <w:lang w:val="lt-LT"/>
        </w:rPr>
      </w:pPr>
      <w:r w:rsidRPr="001E2876">
        <w:rPr>
          <w:lang w:val="lt-LT"/>
        </w:rPr>
        <w:br w:type="page"/>
      </w: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Default="002A1BE8" w:rsidP="00D47133">
      <w:pPr>
        <w:pStyle w:val="Antrat2"/>
        <w:spacing w:before="0" w:after="0" w:line="240" w:lineRule="auto"/>
        <w:rPr>
          <w:rFonts w:ascii="Times New Roman" w:hAnsi="Times New Roman" w:cs="Times New Roman"/>
          <w:i w:val="0"/>
          <w:iCs w:val="0"/>
          <w:sz w:val="22"/>
          <w:szCs w:val="22"/>
          <w:lang w:val="lt-LT"/>
        </w:rPr>
      </w:pPr>
    </w:p>
    <w:p w:rsidR="002A1BE8" w:rsidRPr="001E2876" w:rsidRDefault="002A1BE8" w:rsidP="001E2876">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II PRIEDAS</w:t>
      </w:r>
    </w:p>
    <w:p w:rsidR="002A1BE8" w:rsidRPr="001E2876" w:rsidRDefault="002A1BE8" w:rsidP="00DE5A01">
      <w:pPr>
        <w:spacing w:line="240" w:lineRule="auto"/>
        <w:ind w:left="1701" w:right="1416" w:hanging="567"/>
        <w:rPr>
          <w:lang w:val="lt-LT"/>
        </w:rPr>
      </w:pPr>
    </w:p>
    <w:p w:rsidR="002A1BE8" w:rsidRPr="001E2876" w:rsidRDefault="002A1BE8" w:rsidP="001E2876">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RINKODAROS SĄLYGOS</w:t>
      </w:r>
    </w:p>
    <w:p w:rsidR="002A1BE8" w:rsidRPr="001E2876" w:rsidRDefault="002A1BE8" w:rsidP="00DE5A01">
      <w:pPr>
        <w:spacing w:line="240" w:lineRule="auto"/>
        <w:rPr>
          <w:lang w:val="lt-LT"/>
        </w:rPr>
      </w:pPr>
    </w:p>
    <w:p w:rsidR="002A1BE8" w:rsidRPr="001E2876" w:rsidRDefault="002A1BE8" w:rsidP="001E2876">
      <w:pPr>
        <w:pStyle w:val="Antrat2"/>
        <w:tabs>
          <w:tab w:val="clear" w:pos="567"/>
          <w:tab w:val="left" w:pos="1843"/>
        </w:tabs>
        <w:spacing w:before="0" w:after="0" w:line="240" w:lineRule="auto"/>
        <w:ind w:left="993"/>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A.</w:t>
      </w:r>
      <w:r w:rsidRPr="001E2876">
        <w:rPr>
          <w:rFonts w:ascii="Times New Roman" w:hAnsi="Times New Roman" w:cs="Times New Roman"/>
          <w:i w:val="0"/>
          <w:iCs w:val="0"/>
          <w:sz w:val="22"/>
          <w:szCs w:val="22"/>
          <w:lang w:val="lt-LT"/>
        </w:rPr>
        <w:tab/>
        <w:t>GAMINTOJAS (-AI), ATSAKINGAS (-I) UŽ SERIJŲ IŠLEIDIMĄ</w:t>
      </w:r>
    </w:p>
    <w:p w:rsidR="002A1BE8" w:rsidRPr="001E2876" w:rsidRDefault="002A1BE8" w:rsidP="001E2876">
      <w:pPr>
        <w:tabs>
          <w:tab w:val="clear" w:pos="567"/>
          <w:tab w:val="left" w:pos="1701"/>
          <w:tab w:val="left" w:pos="1843"/>
        </w:tabs>
        <w:spacing w:line="240" w:lineRule="auto"/>
        <w:ind w:left="993" w:right="567"/>
        <w:rPr>
          <w:lang w:val="lt-LT"/>
        </w:rPr>
      </w:pPr>
    </w:p>
    <w:p w:rsidR="002A1BE8" w:rsidRPr="001E2876" w:rsidRDefault="002A1BE8" w:rsidP="001E2876">
      <w:pPr>
        <w:pStyle w:val="Antrat2"/>
        <w:tabs>
          <w:tab w:val="clear" w:pos="567"/>
          <w:tab w:val="left" w:pos="1843"/>
        </w:tabs>
        <w:spacing w:before="0" w:after="0" w:line="240" w:lineRule="auto"/>
        <w:ind w:left="993"/>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B.</w:t>
      </w:r>
      <w:r w:rsidRPr="001E2876">
        <w:rPr>
          <w:rFonts w:ascii="Times New Roman" w:hAnsi="Times New Roman" w:cs="Times New Roman"/>
          <w:i w:val="0"/>
          <w:iCs w:val="0"/>
          <w:sz w:val="22"/>
          <w:szCs w:val="22"/>
          <w:lang w:val="lt-LT"/>
        </w:rPr>
        <w:tab/>
        <w:t>TIEKIMO IR VARTOJIMO SĄLYGOS AR APRIBOJIMAI</w:t>
      </w:r>
    </w:p>
    <w:p w:rsidR="002A1BE8" w:rsidRPr="001E2876" w:rsidRDefault="002A1BE8" w:rsidP="00DE5A01">
      <w:pPr>
        <w:spacing w:line="240" w:lineRule="auto"/>
        <w:rPr>
          <w:b/>
          <w:bCs/>
          <w:lang w:val="lt-LT"/>
        </w:rPr>
      </w:pPr>
      <w:r w:rsidRPr="001E2876">
        <w:rPr>
          <w:lang w:val="lt-LT"/>
        </w:rPr>
        <w:br w:type="page"/>
      </w:r>
      <w:r w:rsidRPr="001E2876">
        <w:rPr>
          <w:b/>
          <w:bCs/>
          <w:lang w:val="lt-LT"/>
        </w:rPr>
        <w:lastRenderedPageBreak/>
        <w:t>A.</w:t>
      </w:r>
      <w:r w:rsidRPr="001E2876">
        <w:rPr>
          <w:b/>
          <w:bCs/>
          <w:lang w:val="lt-LT"/>
        </w:rPr>
        <w:tab/>
        <w:t>GAMINTOJAS (-AI), ATSAKINGAS (-I) UŽ SERIJŲ IŠLEIDIMĄ</w:t>
      </w:r>
    </w:p>
    <w:p w:rsidR="002A1BE8" w:rsidRPr="001E2876" w:rsidRDefault="002A1BE8" w:rsidP="00DE5A01">
      <w:pPr>
        <w:spacing w:line="240" w:lineRule="auto"/>
        <w:rPr>
          <w:lang w:val="lt-LT"/>
        </w:rPr>
      </w:pPr>
    </w:p>
    <w:p w:rsidR="002A1BE8" w:rsidRPr="001E2876" w:rsidRDefault="002A1BE8" w:rsidP="00DE5A01">
      <w:pPr>
        <w:spacing w:line="240" w:lineRule="auto"/>
        <w:jc w:val="both"/>
        <w:rPr>
          <w:lang w:val="lt-LT"/>
        </w:rPr>
      </w:pPr>
      <w:r w:rsidRPr="001E2876">
        <w:rPr>
          <w:u w:val="single"/>
          <w:lang w:val="lt-LT"/>
        </w:rPr>
        <w:t>Gamintojo (-ų), atsakingo (-ų) už serijų išleidimą, pavadinimas (-ai) ir adresas (-ai)</w:t>
      </w:r>
    </w:p>
    <w:p w:rsidR="002A1BE8" w:rsidRPr="001E2876" w:rsidRDefault="002A1BE8" w:rsidP="00DE5A01">
      <w:pPr>
        <w:spacing w:line="240" w:lineRule="auto"/>
        <w:rPr>
          <w:lang w:val="lt-LT"/>
        </w:rPr>
      </w:pPr>
    </w:p>
    <w:p w:rsidR="002A1BE8" w:rsidRPr="00A12702" w:rsidRDefault="002A1BE8" w:rsidP="00551BEB">
      <w:pPr>
        <w:spacing w:line="240" w:lineRule="auto"/>
        <w:rPr>
          <w:lang w:val="lt-LT"/>
        </w:rPr>
      </w:pPr>
      <w:r w:rsidRPr="00A12702">
        <w:rPr>
          <w:lang w:val="lt-LT"/>
        </w:rPr>
        <w:t>Recipharm</w:t>
      </w:r>
      <w:r w:rsidR="006341FC">
        <w:rPr>
          <w:lang w:val="lt-LT"/>
        </w:rPr>
        <w:t xml:space="preserve"> </w:t>
      </w:r>
      <w:r w:rsidRPr="00A12702">
        <w:rPr>
          <w:lang w:val="lt-LT"/>
        </w:rPr>
        <w:t>Fontaine S.A.S.</w:t>
      </w:r>
    </w:p>
    <w:p w:rsidR="002A1BE8" w:rsidRPr="00A12702" w:rsidRDefault="002A1BE8" w:rsidP="00551BEB">
      <w:pPr>
        <w:spacing w:line="240" w:lineRule="auto"/>
        <w:rPr>
          <w:lang w:val="lt-LT"/>
        </w:rPr>
      </w:pPr>
      <w:r w:rsidRPr="00A12702">
        <w:rPr>
          <w:lang w:val="lt-LT"/>
        </w:rPr>
        <w:t>Rue</w:t>
      </w:r>
      <w:r w:rsidR="006341FC">
        <w:rPr>
          <w:lang w:val="lt-LT"/>
        </w:rPr>
        <w:t xml:space="preserve"> </w:t>
      </w:r>
      <w:r w:rsidRPr="00A12702">
        <w:rPr>
          <w:lang w:val="lt-LT"/>
        </w:rPr>
        <w:t>des</w:t>
      </w:r>
      <w:r w:rsidR="006341FC">
        <w:rPr>
          <w:lang w:val="lt-LT"/>
        </w:rPr>
        <w:t xml:space="preserve"> </w:t>
      </w:r>
      <w:r w:rsidRPr="00A12702">
        <w:rPr>
          <w:lang w:val="lt-LT"/>
        </w:rPr>
        <w:t>Près</w:t>
      </w:r>
      <w:r w:rsidR="006341FC">
        <w:rPr>
          <w:lang w:val="lt-LT"/>
        </w:rPr>
        <w:t xml:space="preserve"> </w:t>
      </w:r>
      <w:r w:rsidRPr="00A12702">
        <w:rPr>
          <w:lang w:val="lt-LT"/>
        </w:rPr>
        <w:t>Potets</w:t>
      </w:r>
    </w:p>
    <w:p w:rsidR="002A1BE8" w:rsidRPr="00A12702" w:rsidRDefault="002A1BE8" w:rsidP="00551BEB">
      <w:pPr>
        <w:spacing w:line="240" w:lineRule="auto"/>
        <w:rPr>
          <w:lang w:val="lt-LT"/>
        </w:rPr>
      </w:pPr>
      <w:r w:rsidRPr="00A12702">
        <w:rPr>
          <w:lang w:val="lt-LT"/>
        </w:rPr>
        <w:t>21121 Fontaine-Lès-Dijon</w:t>
      </w:r>
    </w:p>
    <w:p w:rsidR="002A1BE8" w:rsidRPr="00A12702" w:rsidRDefault="002A1BE8" w:rsidP="00551BEB">
      <w:pPr>
        <w:spacing w:line="240" w:lineRule="auto"/>
        <w:rPr>
          <w:lang w:val="lt-LT"/>
        </w:rPr>
      </w:pPr>
      <w:r w:rsidRPr="00A12702">
        <w:rPr>
          <w:lang w:val="lt-LT"/>
        </w:rPr>
        <w:t>Prancūzija</w:t>
      </w:r>
    </w:p>
    <w:p w:rsidR="002A1BE8" w:rsidRDefault="002A1BE8" w:rsidP="00551BEB">
      <w:pPr>
        <w:spacing w:line="240" w:lineRule="auto"/>
        <w:rPr>
          <w:lang w:val="lt-LT"/>
        </w:rPr>
      </w:pPr>
    </w:p>
    <w:p w:rsidR="002A1BE8" w:rsidRPr="00A12702" w:rsidRDefault="002A1BE8" w:rsidP="00DE5A01">
      <w:pPr>
        <w:spacing w:line="240" w:lineRule="auto"/>
        <w:rPr>
          <w:lang w:val="lt-LT"/>
        </w:rPr>
      </w:pPr>
    </w:p>
    <w:p w:rsidR="002A1BE8" w:rsidRPr="001E2876" w:rsidRDefault="002A1BE8" w:rsidP="00DE5A01">
      <w:pPr>
        <w:spacing w:line="240" w:lineRule="auto"/>
        <w:jc w:val="both"/>
        <w:rPr>
          <w:lang w:val="lt-LT"/>
        </w:rPr>
      </w:pPr>
      <w:r w:rsidRPr="00A12702">
        <w:rPr>
          <w:lang w:val="lt-LT"/>
        </w:rPr>
        <w:t>Su pakuote pateikiamame lapelyje nurodomas gamintojo, atsakingo už konkrečios serijos išleidimą, pavadinimas ir</w:t>
      </w:r>
      <w:r>
        <w:rPr>
          <w:lang w:val="lt-LT"/>
        </w:rPr>
        <w:t xml:space="preserve"> adresas.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spacing w:line="240" w:lineRule="auto"/>
        <w:ind w:left="567" w:hanging="567"/>
        <w:rPr>
          <w:lang w:val="lt-LT"/>
        </w:rPr>
      </w:pPr>
      <w:r w:rsidRPr="001E2876">
        <w:rPr>
          <w:b/>
          <w:bCs/>
          <w:lang w:val="lt-LT"/>
        </w:rPr>
        <w:t>B.</w:t>
      </w:r>
      <w:r w:rsidRPr="001E2876">
        <w:rPr>
          <w:b/>
          <w:bCs/>
          <w:lang w:val="lt-LT"/>
        </w:rPr>
        <w:tab/>
        <w:t>TIEKIMO IR VARTOJIMO SĄLYGOS AR APRIBOJIMAI</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Receptinis vaistinis preparatas.</w:t>
      </w:r>
    </w:p>
    <w:p w:rsidR="002A1BE8" w:rsidRPr="001E2876" w:rsidRDefault="002A1BE8" w:rsidP="00DE5A01">
      <w:pPr>
        <w:tabs>
          <w:tab w:val="left" w:pos="-1440"/>
          <w:tab w:val="left" w:pos="-720"/>
        </w:tabs>
        <w:spacing w:line="240" w:lineRule="auto"/>
        <w:rPr>
          <w:lang w:val="lt-LT"/>
        </w:rPr>
      </w:pPr>
      <w:r w:rsidRPr="001E2876">
        <w:rPr>
          <w:b/>
          <w:bCs/>
          <w:lang w:val="lt-LT"/>
        </w:rPr>
        <w:br w:type="page"/>
      </w: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Default="002A1BE8" w:rsidP="00D47133">
      <w:pPr>
        <w:pStyle w:val="Antrat2"/>
        <w:tabs>
          <w:tab w:val="clear" w:pos="567"/>
        </w:tabs>
        <w:spacing w:before="0" w:after="0" w:line="240" w:lineRule="auto"/>
        <w:rPr>
          <w:rFonts w:ascii="Times New Roman" w:hAnsi="Times New Roman" w:cs="Times New Roman"/>
          <w:i w:val="0"/>
          <w:iCs w:val="0"/>
          <w:sz w:val="22"/>
          <w:szCs w:val="22"/>
          <w:lang w:val="lt-LT"/>
        </w:rPr>
      </w:pPr>
    </w:p>
    <w:p w:rsidR="002A1BE8" w:rsidRPr="001E2876" w:rsidRDefault="002A1BE8" w:rsidP="00803BC7">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III PRIEDAS</w:t>
      </w:r>
    </w:p>
    <w:p w:rsidR="002A1BE8" w:rsidRPr="001E2876" w:rsidRDefault="002A1BE8" w:rsidP="00DE5A01">
      <w:pPr>
        <w:spacing w:line="240" w:lineRule="auto"/>
        <w:rPr>
          <w:lang w:val="lt-LT"/>
        </w:rPr>
      </w:pPr>
    </w:p>
    <w:p w:rsidR="002A1BE8" w:rsidRPr="001E2876" w:rsidRDefault="002A1BE8" w:rsidP="00803BC7">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ŽENKLINIMAS IR PAKUOTĖS LAPELIS</w:t>
      </w:r>
    </w:p>
    <w:p w:rsidR="002A1BE8" w:rsidRPr="001E2876" w:rsidRDefault="002A1BE8" w:rsidP="00DE5A01">
      <w:pPr>
        <w:tabs>
          <w:tab w:val="left" w:pos="-1440"/>
          <w:tab w:val="left" w:pos="-720"/>
        </w:tabs>
        <w:spacing w:line="240" w:lineRule="auto"/>
        <w:rPr>
          <w:lang w:val="lt-LT"/>
        </w:rPr>
      </w:pPr>
      <w:r w:rsidRPr="001E2876">
        <w:rPr>
          <w:lang w:val="lt-LT"/>
        </w:rPr>
        <w:br w:type="page"/>
      </w: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Default="002A1BE8" w:rsidP="00D47133">
      <w:pPr>
        <w:pStyle w:val="Antrat2"/>
        <w:tabs>
          <w:tab w:val="clear" w:pos="567"/>
        </w:tabs>
        <w:spacing w:before="0" w:after="0" w:line="240" w:lineRule="auto"/>
        <w:rPr>
          <w:rFonts w:ascii="Times New Roman" w:hAnsi="Times New Roman" w:cs="Times New Roman"/>
          <w:i w:val="0"/>
          <w:iCs w:val="0"/>
          <w:sz w:val="22"/>
          <w:szCs w:val="22"/>
          <w:lang w:val="lt-LT"/>
        </w:rPr>
      </w:pPr>
    </w:p>
    <w:p w:rsidR="002A1BE8" w:rsidRPr="001E2876" w:rsidRDefault="002A1BE8" w:rsidP="00803BC7">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A. ŽENKLINIMAS</w:t>
      </w:r>
    </w:p>
    <w:p w:rsidR="002A1BE8" w:rsidRPr="001E2876" w:rsidRDefault="002A1BE8" w:rsidP="00DE5A01">
      <w:pPr>
        <w:spacing w:line="240" w:lineRule="auto"/>
        <w:rPr>
          <w:lang w:val="lt-LT"/>
        </w:rPr>
      </w:pPr>
      <w:r w:rsidRPr="001E2876">
        <w:rPr>
          <w:lang w:val="lt-LT"/>
        </w:rPr>
        <w:br w:type="page"/>
      </w: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rPr>
          <w:b/>
          <w:bCs/>
          <w:lang w:val="lt-LT"/>
        </w:rPr>
      </w:pPr>
      <w:r w:rsidRPr="001E2876">
        <w:rPr>
          <w:b/>
          <w:bCs/>
          <w:lang w:val="lt-LT"/>
        </w:rPr>
        <w:t>INFORMACIJA ANT VIDINĖS PAKUOTĖS</w:t>
      </w: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rPr>
          <w:b/>
          <w:bCs/>
          <w:lang w:val="lt-LT"/>
        </w:rPr>
      </w:pPr>
      <w:r w:rsidRPr="001E2876">
        <w:rPr>
          <w:b/>
          <w:bCs/>
          <w:lang w:val="lt-LT"/>
        </w:rPr>
        <w:t>Buteliuko etiketė</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1.</w:t>
      </w:r>
      <w:r w:rsidRPr="001E2876">
        <w:rPr>
          <w:b/>
          <w:bCs/>
          <w:lang w:val="lt-LT"/>
        </w:rPr>
        <w:tab/>
      </w:r>
      <w:r w:rsidRPr="001E2876">
        <w:rPr>
          <w:b/>
          <w:bCs/>
          <w:caps/>
          <w:lang w:val="lt-LT"/>
        </w:rPr>
        <w:t>VAISTINIO</w:t>
      </w:r>
      <w:r w:rsidRPr="001E2876">
        <w:rPr>
          <w:b/>
          <w:bCs/>
          <w:lang w:val="lt-LT"/>
        </w:rPr>
        <w:t xml:space="preserve"> PREPARATO PAVADINIMAS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Xenazine 25 mg tabletės</w:t>
      </w:r>
    </w:p>
    <w:p w:rsidR="002A1BE8" w:rsidRDefault="002A1BE8" w:rsidP="00DE5A01">
      <w:pPr>
        <w:spacing w:line="240" w:lineRule="auto"/>
        <w:rPr>
          <w:lang w:val="lt-LT"/>
        </w:rPr>
      </w:pPr>
      <w:r>
        <w:rPr>
          <w:lang w:val="lt-LT"/>
        </w:rPr>
        <w:t>Tetrabenazinas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1E2876">
        <w:rPr>
          <w:b/>
          <w:bCs/>
          <w:lang w:val="lt-LT"/>
        </w:rPr>
        <w:t>2.</w:t>
      </w:r>
      <w:r w:rsidRPr="001E2876">
        <w:rPr>
          <w:b/>
          <w:bCs/>
          <w:lang w:val="lt-LT"/>
        </w:rPr>
        <w:tab/>
        <w:t>VEIKLIOJI (-IOS) MEDŽIAGA (-OS) IR JOS (-Ų) KIEKIS (-IAI)</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Kiekvienoje tabletėje yra 25 mg tetrabenazino.</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3.</w:t>
      </w:r>
      <w:r w:rsidRPr="001E2876">
        <w:rPr>
          <w:b/>
          <w:bCs/>
          <w:lang w:val="lt-LT"/>
        </w:rPr>
        <w:tab/>
        <w:t>PAGALBINIŲ MEDŽIAGŲ SĄRAŠAS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Sudėtyje yra laktozės monohidrato. Daugiau informacijos pateikiama pakuotės lapelyje.</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4.</w:t>
      </w:r>
      <w:r w:rsidRPr="001E2876">
        <w:rPr>
          <w:b/>
          <w:bCs/>
          <w:lang w:val="lt-LT"/>
        </w:rPr>
        <w:tab/>
        <w:t>FARMACINĖ FORMA IR KIEKIS PAKUOTĖJE</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112 tablečių</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5.</w:t>
      </w:r>
      <w:r w:rsidRPr="001E2876">
        <w:rPr>
          <w:b/>
          <w:bCs/>
          <w:lang w:val="lt-LT"/>
        </w:rPr>
        <w:tab/>
        <w:t>VARTOJIMO METODAS IR BŪDAS (-AI)</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Vartoti per burną.</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6.</w:t>
      </w:r>
      <w:r w:rsidRPr="001E2876">
        <w:rPr>
          <w:b/>
          <w:bCs/>
          <w:lang w:val="lt-LT"/>
        </w:rPr>
        <w:tab/>
        <w:t>SPECIALUS ĮSPĖJIMAS, KAD VAISTINĮ PREPARATĄ BŪTINA LAIKYTI VAIKAMS NEPASTEBIMOJE IR NEPASIEKIAMOJE VIETOJE</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Laikyti vaikams nepastebimoje ir nepasiekiamoje vietoje.</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7.</w:t>
      </w:r>
      <w:r w:rsidRPr="001E2876">
        <w:rPr>
          <w:b/>
          <w:bCs/>
          <w:lang w:val="lt-LT"/>
        </w:rPr>
        <w:tab/>
        <w:t>KITAS (-I) SPECIALUS (-ŪS) ĮSPĖJIMAS (-AI) (JEI REIKIA)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8.</w:t>
      </w:r>
      <w:r w:rsidRPr="001E2876">
        <w:rPr>
          <w:b/>
          <w:bCs/>
          <w:lang w:val="lt-LT"/>
        </w:rPr>
        <w:tab/>
        <w:t>TINKAMUMO LAIKAS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Tinka iki mm/MMMM</w:t>
      </w:r>
    </w:p>
    <w:p w:rsidR="002A1BE8"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9.</w:t>
      </w:r>
      <w:r w:rsidRPr="001E2876">
        <w:rPr>
          <w:b/>
          <w:bCs/>
          <w:lang w:val="lt-LT"/>
        </w:rPr>
        <w:tab/>
        <w:t>SPECIALIOS LAIKYMO SĄLYGOS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E2876">
        <w:rPr>
          <w:b/>
          <w:bCs/>
          <w:lang w:val="lt-LT"/>
        </w:rPr>
        <w:t>10.</w:t>
      </w:r>
      <w:r w:rsidRPr="001E2876">
        <w:rPr>
          <w:b/>
          <w:bCs/>
          <w:lang w:val="lt-LT"/>
        </w:rPr>
        <w:tab/>
        <w:t>SPECIALIOS ATSARGUMO PRIEMONĖS DĖL NESUVARTOTO VAISTINIO PREPARATO AR JO ATLIEKŲ TVARKYMO (JEI REIKIA)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0B2030">
      <w:pPr>
        <w:pBdr>
          <w:top w:val="single" w:sz="4" w:space="1" w:color="auto"/>
          <w:left w:val="single" w:sz="4" w:space="4" w:color="auto"/>
          <w:bottom w:val="single" w:sz="4" w:space="3" w:color="auto"/>
          <w:right w:val="single" w:sz="4" w:space="4" w:color="auto"/>
        </w:pBdr>
        <w:spacing w:line="240" w:lineRule="auto"/>
        <w:outlineLvl w:val="0"/>
        <w:rPr>
          <w:b/>
          <w:bCs/>
          <w:lang w:val="lt-LT"/>
        </w:rPr>
      </w:pPr>
      <w:r w:rsidRPr="001E2876">
        <w:rPr>
          <w:b/>
          <w:bCs/>
          <w:lang w:val="lt-LT"/>
        </w:rPr>
        <w:t>11.</w:t>
      </w:r>
      <w:r w:rsidRPr="001E2876">
        <w:rPr>
          <w:b/>
          <w:bCs/>
          <w:lang w:val="lt-LT"/>
        </w:rPr>
        <w:tab/>
        <w:t xml:space="preserve">RINKODAROS </w:t>
      </w:r>
      <w:r w:rsidRPr="001E2876">
        <w:rPr>
          <w:b/>
          <w:bCs/>
          <w:caps/>
          <w:lang w:val="lt-LT"/>
        </w:rPr>
        <w:t xml:space="preserve">TEISĖS </w:t>
      </w:r>
      <w:r w:rsidRPr="001E2876">
        <w:rPr>
          <w:b/>
          <w:bCs/>
          <w:lang w:val="lt-LT"/>
        </w:rPr>
        <w:t xml:space="preserve">TURĖTOJO </w:t>
      </w:r>
      <w:r w:rsidRPr="001E2876">
        <w:rPr>
          <w:b/>
          <w:bCs/>
          <w:caps/>
          <w:lang w:val="lt-LT"/>
        </w:rPr>
        <w:t>PAVADINIMAS IR ADRESAS</w:t>
      </w:r>
    </w:p>
    <w:p w:rsidR="002A1BE8" w:rsidRPr="001E2876" w:rsidRDefault="002A1BE8" w:rsidP="00803BC7">
      <w:pPr>
        <w:spacing w:line="240" w:lineRule="auto"/>
        <w:jc w:val="both"/>
        <w:rPr>
          <w:lang w:val="lt-LT"/>
        </w:rPr>
      </w:pPr>
    </w:p>
    <w:p w:rsidR="002A1BE8" w:rsidRPr="001E2876" w:rsidRDefault="002A1BE8" w:rsidP="00803BC7">
      <w:pPr>
        <w:spacing w:line="240" w:lineRule="auto"/>
        <w:jc w:val="both"/>
        <w:rPr>
          <w:lang w:val="lt-LT"/>
        </w:rPr>
      </w:pPr>
      <w:r w:rsidRPr="001E2876">
        <w:rPr>
          <w:lang w:val="lt-LT"/>
        </w:rPr>
        <w:t>PharmaSwiss</w:t>
      </w:r>
      <w:r w:rsidR="006341FC">
        <w:rPr>
          <w:lang w:val="lt-LT"/>
        </w:rPr>
        <w:t xml:space="preserve"> </w:t>
      </w:r>
      <w:r w:rsidRPr="001E2876">
        <w:rPr>
          <w:lang w:val="lt-LT"/>
        </w:rPr>
        <w:t>Česká</w:t>
      </w:r>
      <w:r w:rsidR="006341FC">
        <w:rPr>
          <w:lang w:val="lt-LT"/>
        </w:rPr>
        <w:t xml:space="preserve"> </w:t>
      </w:r>
      <w:r w:rsidRPr="001E2876">
        <w:rPr>
          <w:lang w:val="lt-LT"/>
        </w:rPr>
        <w:t>republika</w:t>
      </w:r>
      <w:r w:rsidR="006341FC">
        <w:rPr>
          <w:lang w:val="lt-LT"/>
        </w:rPr>
        <w:t xml:space="preserve"> </w:t>
      </w:r>
      <w:r w:rsidRPr="001E2876">
        <w:rPr>
          <w:lang w:val="lt-LT"/>
        </w:rPr>
        <w:t>s.r.o.</w:t>
      </w:r>
    </w:p>
    <w:p w:rsidR="002A1BE8" w:rsidRPr="001E2876" w:rsidRDefault="002A1BE8" w:rsidP="00DE5A01">
      <w:pPr>
        <w:spacing w:line="240" w:lineRule="auto"/>
        <w:jc w:val="both"/>
        <w:rPr>
          <w:lang w:val="lt-LT"/>
        </w:rPr>
      </w:pPr>
      <w:r w:rsidRPr="001E2876">
        <w:rPr>
          <w:lang w:val="lt-LT"/>
        </w:rPr>
        <w:t xml:space="preserve">Jankovcova 1569/2c </w:t>
      </w:r>
    </w:p>
    <w:p w:rsidR="002A1BE8" w:rsidRPr="001E2876" w:rsidRDefault="002A1BE8" w:rsidP="00DE5A01">
      <w:pPr>
        <w:spacing w:line="240" w:lineRule="auto"/>
        <w:jc w:val="both"/>
        <w:rPr>
          <w:lang w:val="lt-LT"/>
        </w:rPr>
      </w:pPr>
      <w:r w:rsidRPr="001E2876">
        <w:rPr>
          <w:lang w:val="lt-LT"/>
        </w:rPr>
        <w:t>170 00 Prague</w:t>
      </w:r>
    </w:p>
    <w:p w:rsidR="002A1BE8" w:rsidRPr="001E2876" w:rsidRDefault="002A1BE8" w:rsidP="00DE5A01">
      <w:pPr>
        <w:spacing w:line="240" w:lineRule="auto"/>
        <w:jc w:val="both"/>
        <w:rPr>
          <w:lang w:val="lt-LT"/>
        </w:rPr>
      </w:pPr>
      <w:r w:rsidRPr="001E2876">
        <w:rPr>
          <w:lang w:val="lt-LT"/>
        </w:rPr>
        <w:t>Čekij</w:t>
      </w:r>
      <w:r>
        <w:rPr>
          <w:lang w:val="lt-LT"/>
        </w:rPr>
        <w:t>a</w:t>
      </w:r>
    </w:p>
    <w:p w:rsidR="002A1BE8" w:rsidRPr="001E2876" w:rsidRDefault="002A1BE8" w:rsidP="00803BC7">
      <w:pPr>
        <w:spacing w:line="240" w:lineRule="auto"/>
        <w:jc w:val="both"/>
        <w:rPr>
          <w:lang w:val="lt-LT"/>
        </w:rPr>
      </w:pPr>
    </w:p>
    <w:p w:rsidR="002A1BE8" w:rsidRPr="001E2876" w:rsidRDefault="002A1BE8" w:rsidP="00803BC7">
      <w:pPr>
        <w:spacing w:line="240" w:lineRule="auto"/>
        <w:jc w:val="both"/>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12.</w:t>
      </w:r>
      <w:r w:rsidRPr="001E2876">
        <w:rPr>
          <w:b/>
          <w:bCs/>
          <w:lang w:val="lt-LT"/>
        </w:rPr>
        <w:tab/>
        <w:t xml:space="preserve">RINKODAROS PAŽYMĖJIMO NUMERIS (-IAI) </w:t>
      </w:r>
    </w:p>
    <w:p w:rsidR="002A1BE8" w:rsidRPr="001E2876" w:rsidRDefault="002A1BE8" w:rsidP="00DE5A01">
      <w:pPr>
        <w:spacing w:line="240" w:lineRule="auto"/>
        <w:rPr>
          <w:lang w:val="lt-LT"/>
        </w:rPr>
      </w:pPr>
    </w:p>
    <w:p w:rsidR="00D47133" w:rsidRDefault="00D47133" w:rsidP="00D47133">
      <w:pPr>
        <w:tabs>
          <w:tab w:val="clear" w:pos="567"/>
        </w:tabs>
        <w:spacing w:line="240" w:lineRule="auto"/>
        <w:rPr>
          <w:lang w:val="lt-LT"/>
        </w:rPr>
      </w:pPr>
      <w:r>
        <w:rPr>
          <w:lang w:val="lt-LT"/>
        </w:rPr>
        <w:t>LT/1/14/3513/001</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13.</w:t>
      </w:r>
      <w:r w:rsidRPr="001E2876">
        <w:rPr>
          <w:b/>
          <w:bCs/>
          <w:lang w:val="lt-LT"/>
        </w:rPr>
        <w:tab/>
        <w:t xml:space="preserve">SERIJOS NUMERIS </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Serija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14.</w:t>
      </w:r>
      <w:r w:rsidRPr="001E2876">
        <w:rPr>
          <w:b/>
          <w:bCs/>
          <w:lang w:val="lt-LT"/>
        </w:rPr>
        <w:tab/>
        <w:t>PARDAVIMO (IŠDAVIMO) TVARKA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Receptinis vaistinis preparatas.</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2"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15.</w:t>
      </w:r>
      <w:r w:rsidRPr="001E2876">
        <w:rPr>
          <w:b/>
          <w:bCs/>
          <w:lang w:val="lt-LT"/>
        </w:rPr>
        <w:tab/>
        <w:t>VARTOJIMO INSTRUKCIJA</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p>
    <w:p w:rsidR="002A1BE8" w:rsidRPr="001E2876" w:rsidRDefault="002A1BE8" w:rsidP="00DE5A01">
      <w:pPr>
        <w:pBdr>
          <w:top w:val="single" w:sz="4" w:space="1" w:color="auto"/>
          <w:left w:val="single" w:sz="4" w:space="4" w:color="auto"/>
          <w:bottom w:val="single" w:sz="4" w:space="0" w:color="auto"/>
          <w:right w:val="single" w:sz="4" w:space="4" w:color="auto"/>
        </w:pBdr>
        <w:spacing w:line="240" w:lineRule="auto"/>
        <w:rPr>
          <w:color w:val="008000"/>
          <w:lang w:val="lt-LT"/>
        </w:rPr>
      </w:pPr>
      <w:r w:rsidRPr="001E2876">
        <w:rPr>
          <w:b/>
          <w:bCs/>
          <w:lang w:val="lt-LT"/>
        </w:rPr>
        <w:t>16.</w:t>
      </w:r>
      <w:r w:rsidRPr="001E2876">
        <w:rPr>
          <w:b/>
          <w:bCs/>
          <w:lang w:val="lt-LT"/>
        </w:rPr>
        <w:tab/>
        <w:t>INFORMACIJA BRAILIO RAŠTU</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Xenazine</w:t>
      </w:r>
    </w:p>
    <w:p w:rsidR="002A1BE8" w:rsidRPr="001E2876" w:rsidRDefault="002A1BE8" w:rsidP="00DE5A01">
      <w:pPr>
        <w:tabs>
          <w:tab w:val="left" w:pos="-1440"/>
          <w:tab w:val="left" w:pos="-720"/>
        </w:tabs>
        <w:spacing w:line="240" w:lineRule="auto"/>
        <w:rPr>
          <w:lang w:val="lt-LT"/>
        </w:rPr>
      </w:pPr>
      <w:r w:rsidRPr="001E2876">
        <w:rPr>
          <w:lang w:val="lt-LT"/>
        </w:rPr>
        <w:br w:type="page"/>
      </w: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left" w:pos="-1440"/>
          <w:tab w:val="left" w:pos="-720"/>
        </w:tabs>
        <w:spacing w:line="240" w:lineRule="auto"/>
        <w:rPr>
          <w:lang w:val="lt-LT"/>
        </w:rPr>
      </w:pPr>
    </w:p>
    <w:p w:rsidR="002A1BE8" w:rsidRDefault="002A1BE8" w:rsidP="00D47133">
      <w:pPr>
        <w:pStyle w:val="Antrat2"/>
        <w:tabs>
          <w:tab w:val="clear" w:pos="567"/>
        </w:tabs>
        <w:spacing w:before="0" w:after="0" w:line="240" w:lineRule="auto"/>
        <w:rPr>
          <w:rFonts w:ascii="Times New Roman" w:hAnsi="Times New Roman" w:cs="Times New Roman"/>
          <w:i w:val="0"/>
          <w:iCs w:val="0"/>
          <w:sz w:val="22"/>
          <w:szCs w:val="22"/>
          <w:lang w:val="lt-LT"/>
        </w:rPr>
      </w:pPr>
    </w:p>
    <w:p w:rsidR="002A1BE8" w:rsidRPr="00803BC7" w:rsidRDefault="002A1BE8" w:rsidP="00803BC7">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803BC7">
        <w:rPr>
          <w:rFonts w:ascii="Times New Roman" w:hAnsi="Times New Roman" w:cs="Times New Roman"/>
          <w:i w:val="0"/>
          <w:iCs w:val="0"/>
          <w:sz w:val="22"/>
          <w:szCs w:val="22"/>
          <w:lang w:val="lt-LT"/>
        </w:rPr>
        <w:t>B. PAKUOTĖS LAPELIS</w:t>
      </w:r>
    </w:p>
    <w:p w:rsidR="002A1BE8" w:rsidRPr="001E2876" w:rsidRDefault="002A1BE8" w:rsidP="00DE5A01">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br w:type="page"/>
      </w:r>
      <w:r w:rsidRPr="001E2876">
        <w:rPr>
          <w:rFonts w:ascii="Times New Roman" w:hAnsi="Times New Roman" w:cs="Times New Roman"/>
          <w:i w:val="0"/>
          <w:iCs w:val="0"/>
          <w:sz w:val="22"/>
          <w:szCs w:val="22"/>
          <w:lang w:val="lt-LT"/>
        </w:rPr>
        <w:lastRenderedPageBreak/>
        <w:t>Pakuotės lapelis:</w:t>
      </w:r>
      <w:r>
        <w:rPr>
          <w:rFonts w:ascii="Times New Roman" w:hAnsi="Times New Roman" w:cs="Times New Roman"/>
          <w:i w:val="0"/>
          <w:iCs w:val="0"/>
          <w:sz w:val="22"/>
          <w:szCs w:val="22"/>
          <w:lang w:val="lt-LT"/>
        </w:rPr>
        <w:t xml:space="preserve"> </w:t>
      </w:r>
      <w:r w:rsidRPr="001E2876">
        <w:rPr>
          <w:rFonts w:ascii="Times New Roman" w:hAnsi="Times New Roman" w:cs="Times New Roman"/>
          <w:i w:val="0"/>
          <w:iCs w:val="0"/>
          <w:sz w:val="22"/>
          <w:szCs w:val="22"/>
          <w:lang w:val="lt-LT"/>
        </w:rPr>
        <w:t>informacija pacientui</w:t>
      </w:r>
    </w:p>
    <w:p w:rsidR="002A1BE8" w:rsidRPr="001E2876" w:rsidRDefault="002A1BE8" w:rsidP="00DE5A01">
      <w:pPr>
        <w:numPr>
          <w:ilvl w:val="12"/>
          <w:numId w:val="0"/>
        </w:numPr>
        <w:shd w:val="clear" w:color="auto" w:fill="FFFFFF"/>
        <w:tabs>
          <w:tab w:val="clear" w:pos="567"/>
        </w:tabs>
        <w:spacing w:line="240" w:lineRule="auto"/>
        <w:jc w:val="center"/>
        <w:rPr>
          <w:lang w:val="lt-LT"/>
        </w:rPr>
      </w:pPr>
    </w:p>
    <w:p w:rsidR="002A1BE8" w:rsidRPr="001E2876" w:rsidRDefault="002A1BE8" w:rsidP="00DE5A01">
      <w:pPr>
        <w:spacing w:line="240" w:lineRule="auto"/>
        <w:jc w:val="center"/>
        <w:rPr>
          <w:b/>
          <w:bCs/>
          <w:lang w:val="lt-LT"/>
        </w:rPr>
      </w:pPr>
      <w:r w:rsidRPr="001E2876">
        <w:rPr>
          <w:b/>
          <w:bCs/>
          <w:lang w:val="lt-LT"/>
        </w:rPr>
        <w:t>Xenazine 25 mg tabletės</w:t>
      </w:r>
    </w:p>
    <w:p w:rsidR="002A1BE8" w:rsidRPr="001E2876" w:rsidRDefault="002A1BE8" w:rsidP="00DE5A01">
      <w:pPr>
        <w:numPr>
          <w:ilvl w:val="12"/>
          <w:numId w:val="0"/>
        </w:numPr>
        <w:tabs>
          <w:tab w:val="clear" w:pos="567"/>
        </w:tabs>
        <w:spacing w:line="240" w:lineRule="auto"/>
        <w:jc w:val="center"/>
        <w:rPr>
          <w:lang w:val="lt-LT"/>
        </w:rPr>
      </w:pPr>
      <w:r w:rsidRPr="001E2876">
        <w:rPr>
          <w:lang w:val="lt-LT"/>
        </w:rPr>
        <w:t>Tetrabenazinas</w:t>
      </w:r>
    </w:p>
    <w:p w:rsidR="002A1BE8" w:rsidRPr="001E2876" w:rsidRDefault="002A1BE8" w:rsidP="00DE5A01">
      <w:pPr>
        <w:tabs>
          <w:tab w:val="left" w:pos="-1440"/>
          <w:tab w:val="left" w:pos="-720"/>
        </w:tabs>
        <w:spacing w:line="240" w:lineRule="auto"/>
        <w:rPr>
          <w:lang w:val="lt-LT"/>
        </w:rPr>
      </w:pPr>
    </w:p>
    <w:p w:rsidR="002A1BE8" w:rsidRPr="001E2876" w:rsidRDefault="002A1BE8" w:rsidP="00DE5A01">
      <w:pPr>
        <w:tabs>
          <w:tab w:val="clear" w:pos="567"/>
        </w:tabs>
        <w:suppressAutoHyphens/>
        <w:spacing w:line="240" w:lineRule="auto"/>
        <w:rPr>
          <w:lang w:val="lt-LT"/>
        </w:rPr>
      </w:pPr>
      <w:r w:rsidRPr="001E2876">
        <w:rPr>
          <w:b/>
          <w:bCs/>
          <w:lang w:val="lt-LT"/>
        </w:rPr>
        <w:t>Atidžiai perskaitykite visą šį lapelį, prieš pradėdami vartoti vaistą, nes jame pateikiama Jums svarbi informacija.</w:t>
      </w:r>
    </w:p>
    <w:p w:rsidR="002A1BE8" w:rsidRPr="001E2876" w:rsidRDefault="002A1BE8" w:rsidP="00DE5A01">
      <w:pPr>
        <w:numPr>
          <w:ilvl w:val="0"/>
          <w:numId w:val="3"/>
        </w:numPr>
        <w:tabs>
          <w:tab w:val="clear" w:pos="567"/>
        </w:tabs>
        <w:spacing w:line="240" w:lineRule="auto"/>
        <w:ind w:left="567" w:right="-2" w:hanging="567"/>
        <w:rPr>
          <w:lang w:val="lt-LT"/>
        </w:rPr>
      </w:pPr>
      <w:r w:rsidRPr="001E2876">
        <w:rPr>
          <w:lang w:val="lt-LT"/>
        </w:rPr>
        <w:t xml:space="preserve">Neišmeskite šio lapelio, nes vėl gali prireikti jį perskaityti. </w:t>
      </w:r>
    </w:p>
    <w:p w:rsidR="002A1BE8" w:rsidRPr="001E2876" w:rsidRDefault="002A1BE8" w:rsidP="00DE5A01">
      <w:pPr>
        <w:numPr>
          <w:ilvl w:val="0"/>
          <w:numId w:val="3"/>
        </w:numPr>
        <w:tabs>
          <w:tab w:val="clear" w:pos="567"/>
        </w:tabs>
        <w:spacing w:line="240" w:lineRule="auto"/>
        <w:ind w:left="567" w:right="-2" w:hanging="567"/>
        <w:rPr>
          <w:lang w:val="lt-LT"/>
        </w:rPr>
      </w:pPr>
      <w:r w:rsidRPr="001E2876">
        <w:rPr>
          <w:lang w:val="lt-LT"/>
        </w:rPr>
        <w:t>Jeigu kiltų daugiau klausimų, kreipkitės į gydytoją arba vaistininką.</w:t>
      </w:r>
    </w:p>
    <w:p w:rsidR="002A1BE8" w:rsidRPr="001E2876" w:rsidRDefault="002A1BE8" w:rsidP="00DE5A01">
      <w:pPr>
        <w:spacing w:line="240" w:lineRule="auto"/>
        <w:ind w:left="567" w:right="-2" w:hanging="567"/>
        <w:rPr>
          <w:lang w:val="lt-LT"/>
        </w:rPr>
      </w:pPr>
      <w:r w:rsidRPr="001E2876">
        <w:rPr>
          <w:lang w:val="lt-LT"/>
        </w:rPr>
        <w:t>-</w:t>
      </w:r>
      <w:r w:rsidRPr="001E2876">
        <w:rPr>
          <w:lang w:val="lt-LT"/>
        </w:rPr>
        <w:tab/>
        <w:t>Šis vaistas skirtas tik Jums, todėl kitiems žmonėms jo duoti negalima. Vaistas gali jiems pakenkti (net tiems, kurių ligos požymiai yra tokie patys kaip Jūsų).</w:t>
      </w:r>
    </w:p>
    <w:p w:rsidR="002A1BE8" w:rsidRPr="001E2876" w:rsidRDefault="002A1BE8" w:rsidP="00DE5A01">
      <w:pPr>
        <w:numPr>
          <w:ilvl w:val="0"/>
          <w:numId w:val="3"/>
        </w:numPr>
        <w:spacing w:line="240" w:lineRule="auto"/>
        <w:ind w:left="567" w:hanging="567"/>
        <w:rPr>
          <w:lang w:val="lt-LT"/>
        </w:rPr>
      </w:pPr>
      <w:r w:rsidRPr="001E2876">
        <w:rPr>
          <w:lang w:val="lt-LT"/>
        </w:rPr>
        <w:t>Jeigu pasireiškė šalutinis poveikis (net jeigu jis šiame lapelyje nenurodytas), kreipkitės į gydytoją arba vaistininką. Žr. 4 skyrių.</w:t>
      </w:r>
    </w:p>
    <w:p w:rsidR="002A1BE8" w:rsidRPr="001E2876" w:rsidRDefault="002A1BE8" w:rsidP="00DE5A01">
      <w:pPr>
        <w:tabs>
          <w:tab w:val="clear" w:pos="567"/>
        </w:tabs>
        <w:spacing w:line="240" w:lineRule="auto"/>
        <w:ind w:right="-2"/>
        <w:rPr>
          <w:lang w:val="lt-LT"/>
        </w:rPr>
      </w:pPr>
    </w:p>
    <w:p w:rsidR="002A1BE8" w:rsidRPr="001E2876" w:rsidRDefault="002A1BE8" w:rsidP="00DE5A01">
      <w:p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b/>
          <w:bCs/>
          <w:lang w:val="lt-LT"/>
        </w:rPr>
      </w:pPr>
      <w:r w:rsidRPr="001E2876">
        <w:rPr>
          <w:b/>
          <w:bCs/>
          <w:lang w:val="lt-LT"/>
        </w:rPr>
        <w:t>Apie ką rašoma šiame lapelyje?</w:t>
      </w:r>
    </w:p>
    <w:p w:rsidR="002A1BE8" w:rsidRPr="001E2876" w:rsidRDefault="002A1BE8" w:rsidP="009C7218">
      <w:pPr>
        <w:numPr>
          <w:ilvl w:val="12"/>
          <w:numId w:val="0"/>
        </w:numPr>
        <w:spacing w:line="240" w:lineRule="auto"/>
        <w:ind w:left="142" w:right="-2"/>
        <w:rPr>
          <w:lang w:val="lt-LT"/>
        </w:rPr>
      </w:pPr>
      <w:r w:rsidRPr="001E2876">
        <w:rPr>
          <w:lang w:val="lt-LT"/>
        </w:rPr>
        <w:t>1.</w:t>
      </w:r>
      <w:r w:rsidRPr="001E2876">
        <w:rPr>
          <w:lang w:val="lt-LT"/>
        </w:rPr>
        <w:tab/>
        <w:t xml:space="preserve">Kas yra Xenazine ir kam jis vartojamas </w:t>
      </w:r>
    </w:p>
    <w:p w:rsidR="002A1BE8" w:rsidRPr="001E2876" w:rsidRDefault="002A1BE8" w:rsidP="009C7218">
      <w:pPr>
        <w:numPr>
          <w:ilvl w:val="12"/>
          <w:numId w:val="0"/>
        </w:numPr>
        <w:spacing w:line="240" w:lineRule="auto"/>
        <w:ind w:left="142" w:right="-2"/>
        <w:rPr>
          <w:lang w:val="lt-LT"/>
        </w:rPr>
      </w:pPr>
      <w:r w:rsidRPr="001E2876">
        <w:rPr>
          <w:lang w:val="lt-LT"/>
        </w:rPr>
        <w:t>2.</w:t>
      </w:r>
      <w:r w:rsidRPr="001E2876">
        <w:rPr>
          <w:lang w:val="lt-LT"/>
        </w:rPr>
        <w:tab/>
        <w:t>Kas žinotina prieš vartojant Xenazine</w:t>
      </w:r>
    </w:p>
    <w:p w:rsidR="002A1BE8" w:rsidRPr="001E2876" w:rsidRDefault="002A1BE8" w:rsidP="009C7218">
      <w:pPr>
        <w:numPr>
          <w:ilvl w:val="12"/>
          <w:numId w:val="0"/>
        </w:numPr>
        <w:spacing w:line="240" w:lineRule="auto"/>
        <w:ind w:left="142" w:right="-2"/>
        <w:rPr>
          <w:lang w:val="lt-LT"/>
        </w:rPr>
      </w:pPr>
      <w:r w:rsidRPr="001E2876">
        <w:rPr>
          <w:lang w:val="lt-LT"/>
        </w:rPr>
        <w:t>3.</w:t>
      </w:r>
      <w:r w:rsidRPr="001E2876">
        <w:rPr>
          <w:lang w:val="lt-LT"/>
        </w:rPr>
        <w:tab/>
        <w:t>Kaip vartoti Xenazine</w:t>
      </w:r>
    </w:p>
    <w:p w:rsidR="002A1BE8" w:rsidRPr="001E2876" w:rsidRDefault="002A1BE8" w:rsidP="009C7218">
      <w:pPr>
        <w:numPr>
          <w:ilvl w:val="12"/>
          <w:numId w:val="0"/>
        </w:numPr>
        <w:spacing w:line="240" w:lineRule="auto"/>
        <w:ind w:left="142" w:right="-2"/>
        <w:rPr>
          <w:lang w:val="lt-LT"/>
        </w:rPr>
      </w:pPr>
      <w:r w:rsidRPr="001E2876">
        <w:rPr>
          <w:lang w:val="lt-LT"/>
        </w:rPr>
        <w:t>4.</w:t>
      </w:r>
      <w:r w:rsidRPr="001E2876">
        <w:rPr>
          <w:lang w:val="lt-LT"/>
        </w:rPr>
        <w:tab/>
        <w:t xml:space="preserve">Galimas šalutinis poveikis </w:t>
      </w:r>
    </w:p>
    <w:p w:rsidR="002A1BE8" w:rsidRPr="001E2876" w:rsidRDefault="002A1BE8" w:rsidP="009C7218">
      <w:pPr>
        <w:numPr>
          <w:ilvl w:val="12"/>
          <w:numId w:val="0"/>
        </w:numPr>
        <w:spacing w:line="240" w:lineRule="auto"/>
        <w:ind w:left="142" w:right="-2"/>
        <w:rPr>
          <w:lang w:val="lt-LT"/>
        </w:rPr>
      </w:pPr>
      <w:r w:rsidRPr="001E2876">
        <w:rPr>
          <w:lang w:val="lt-LT"/>
        </w:rPr>
        <w:t>5.</w:t>
      </w:r>
      <w:r w:rsidRPr="001E2876">
        <w:rPr>
          <w:lang w:val="lt-LT"/>
        </w:rPr>
        <w:tab/>
        <w:t>Kaip laikyti Xenazine</w:t>
      </w:r>
    </w:p>
    <w:p w:rsidR="002A1BE8" w:rsidRPr="001E2876" w:rsidRDefault="002A1BE8" w:rsidP="009C7218">
      <w:pPr>
        <w:numPr>
          <w:ilvl w:val="12"/>
          <w:numId w:val="0"/>
        </w:numPr>
        <w:spacing w:line="240" w:lineRule="auto"/>
        <w:ind w:left="142" w:right="-2"/>
        <w:rPr>
          <w:lang w:val="lt-LT"/>
        </w:rPr>
      </w:pPr>
      <w:r w:rsidRPr="001E2876">
        <w:rPr>
          <w:lang w:val="lt-LT"/>
        </w:rPr>
        <w:t>6.</w:t>
      </w:r>
      <w:r w:rsidRPr="001E2876">
        <w:rPr>
          <w:lang w:val="lt-LT"/>
        </w:rPr>
        <w:tab/>
        <w:t>Pakuotės turinys ir kita informacija</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1.</w:t>
      </w:r>
      <w:r w:rsidRPr="001E2876">
        <w:rPr>
          <w:rFonts w:ascii="Times New Roman" w:hAnsi="Times New Roman" w:cs="Times New Roman"/>
          <w:sz w:val="22"/>
          <w:szCs w:val="22"/>
          <w:lang w:val="lt-LT"/>
        </w:rPr>
        <w:tab/>
        <w:t>Kas yra Xenazine ir kam jis vartojamas</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spacing w:line="240" w:lineRule="auto"/>
        <w:rPr>
          <w:lang w:val="lt-LT"/>
        </w:rPr>
      </w:pPr>
      <w:r w:rsidRPr="001E2876">
        <w:rPr>
          <w:lang w:val="lt-LT"/>
        </w:rPr>
        <w:t>Xenazine sudėtyje yra medžiagos, vadinamos tetrabenazinu. Jis veikia tam tikras chemines medžiagas, kurias išskiria smegenų nervai, padėdamas kontroliuoti staigius, nevalingus ir netaisyklingus judesius.</w:t>
      </w:r>
    </w:p>
    <w:p w:rsidR="002A1BE8" w:rsidRPr="001E2876" w:rsidRDefault="002A1BE8" w:rsidP="00DE5A01">
      <w:pPr>
        <w:spacing w:line="240" w:lineRule="auto"/>
        <w:rPr>
          <w:lang w:val="lt-LT"/>
        </w:rPr>
      </w:pPr>
    </w:p>
    <w:p w:rsidR="002A1BE8" w:rsidRPr="001E2876" w:rsidRDefault="002A1BE8" w:rsidP="00D47133">
      <w:pPr>
        <w:autoSpaceDE w:val="0"/>
        <w:autoSpaceDN w:val="0"/>
        <w:adjustRightInd w:val="0"/>
        <w:spacing w:line="240" w:lineRule="auto"/>
        <w:rPr>
          <w:lang w:val="lt-LT"/>
        </w:rPr>
      </w:pPr>
      <w:r w:rsidRPr="001E2876">
        <w:rPr>
          <w:lang w:val="lt-LT"/>
        </w:rPr>
        <w:t xml:space="preserve">Xenazine skiriama gydyti suaugusiųjų </w:t>
      </w:r>
      <w:r w:rsidRPr="00FE798E">
        <w:rPr>
          <w:i/>
          <w:iCs/>
          <w:lang w:val="lt-LT"/>
        </w:rPr>
        <w:t>Huntington</w:t>
      </w:r>
      <w:r w:rsidRPr="001E2876">
        <w:rPr>
          <w:lang w:val="lt-LT"/>
        </w:rPr>
        <w:t xml:space="preserve"> chorėjai, dėl kurios atsiranda staigių, nevalingų ir netaisyklingų (nekontroliuojamų) judesių.</w:t>
      </w:r>
    </w:p>
    <w:p w:rsidR="002A1BE8" w:rsidRPr="001E2876" w:rsidRDefault="002A1BE8" w:rsidP="00D47133">
      <w:pPr>
        <w:numPr>
          <w:ilvl w:val="12"/>
          <w:numId w:val="0"/>
        </w:numPr>
        <w:tabs>
          <w:tab w:val="clear" w:pos="567"/>
        </w:tabs>
        <w:spacing w:line="240" w:lineRule="auto"/>
        <w:ind w:right="-2"/>
        <w:rPr>
          <w:lang w:val="lt-LT"/>
        </w:rPr>
      </w:pPr>
    </w:p>
    <w:p w:rsidR="002A1BE8" w:rsidRPr="001E2876" w:rsidRDefault="002A1BE8" w:rsidP="00D47133">
      <w:pPr>
        <w:numPr>
          <w:ilvl w:val="12"/>
          <w:numId w:val="0"/>
        </w:numPr>
        <w:tabs>
          <w:tab w:val="clear" w:pos="567"/>
        </w:tabs>
        <w:spacing w:line="240" w:lineRule="auto"/>
        <w:ind w:right="-2"/>
        <w:rPr>
          <w:lang w:val="lt-LT"/>
        </w:rPr>
      </w:pPr>
    </w:p>
    <w:p w:rsidR="002A1BE8" w:rsidRPr="001E2876" w:rsidRDefault="002A1BE8" w:rsidP="00D47133">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2.</w:t>
      </w:r>
      <w:r w:rsidRPr="001E2876">
        <w:rPr>
          <w:rFonts w:ascii="Times New Roman" w:hAnsi="Times New Roman" w:cs="Times New Roman"/>
          <w:sz w:val="22"/>
          <w:szCs w:val="22"/>
          <w:lang w:val="lt-LT"/>
        </w:rPr>
        <w:tab/>
        <w:t>Kas žinotina prieš vartojant Xenazine</w:t>
      </w:r>
    </w:p>
    <w:p w:rsidR="002A1BE8" w:rsidRPr="001E2876" w:rsidRDefault="002A1BE8" w:rsidP="00D47133">
      <w:pPr>
        <w:numPr>
          <w:ilvl w:val="12"/>
          <w:numId w:val="0"/>
        </w:numPr>
        <w:tabs>
          <w:tab w:val="clear" w:pos="567"/>
        </w:tabs>
        <w:spacing w:line="240" w:lineRule="auto"/>
        <w:ind w:right="-2"/>
        <w:rPr>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Xenazine vartoti negalima:</w:t>
      </w:r>
    </w:p>
    <w:p w:rsidR="002A1BE8" w:rsidRPr="001E2876" w:rsidRDefault="002A1BE8" w:rsidP="00D47133">
      <w:pPr>
        <w:numPr>
          <w:ilvl w:val="0"/>
          <w:numId w:val="8"/>
        </w:numPr>
        <w:tabs>
          <w:tab w:val="clear" w:pos="567"/>
        </w:tabs>
        <w:spacing w:line="240" w:lineRule="auto"/>
        <w:ind w:left="567"/>
        <w:rPr>
          <w:lang w:val="lt-LT"/>
        </w:rPr>
      </w:pPr>
      <w:r w:rsidRPr="001E2876">
        <w:rPr>
          <w:lang w:val="lt-LT"/>
        </w:rPr>
        <w:t>jeigu yra alergija tetrabenazinui arba bet kuriai pagalbinei šio vaisto medžiagai (jos išvardytos 6 skyriuje);</w:t>
      </w:r>
    </w:p>
    <w:p w:rsidR="002A1BE8" w:rsidRPr="001E2876" w:rsidRDefault="002A1BE8" w:rsidP="00D47133">
      <w:pPr>
        <w:numPr>
          <w:ilvl w:val="0"/>
          <w:numId w:val="8"/>
        </w:numPr>
        <w:tabs>
          <w:tab w:val="clear" w:pos="567"/>
        </w:tabs>
        <w:spacing w:line="240" w:lineRule="auto"/>
        <w:ind w:left="567"/>
        <w:rPr>
          <w:lang w:val="lt-LT"/>
        </w:rPr>
      </w:pPr>
      <w:r w:rsidRPr="001E2876">
        <w:rPr>
          <w:lang w:val="lt-LT"/>
        </w:rPr>
        <w:t>jeigu Jūs žindote kūdikį;</w:t>
      </w:r>
    </w:p>
    <w:p w:rsidR="002A1BE8" w:rsidRPr="001E2876" w:rsidRDefault="002A1BE8" w:rsidP="00D47133">
      <w:pPr>
        <w:numPr>
          <w:ilvl w:val="0"/>
          <w:numId w:val="8"/>
        </w:numPr>
        <w:tabs>
          <w:tab w:val="clear" w:pos="567"/>
        </w:tabs>
        <w:spacing w:line="240" w:lineRule="auto"/>
        <w:ind w:left="567"/>
        <w:rPr>
          <w:lang w:val="lt-LT"/>
        </w:rPr>
      </w:pPr>
      <w:r w:rsidRPr="001E2876">
        <w:rPr>
          <w:lang w:val="lt-LT"/>
        </w:rPr>
        <w:t>jeigu Jūsų kepenų funkcija sutrikusi (</w:t>
      </w:r>
      <w:r w:rsidRPr="00FE798E">
        <w:rPr>
          <w:i/>
          <w:iCs/>
          <w:lang w:val="lt-LT"/>
        </w:rPr>
        <w:t>Child-Pugh</w:t>
      </w:r>
      <w:r w:rsidRPr="001E2876">
        <w:rPr>
          <w:lang w:val="lt-LT"/>
        </w:rPr>
        <w:t xml:space="preserve"> A, B arba C klasės sutrikimas, jo rodiklis ≥ 5);</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Jums nustatyta sunkiai gydoma depresija;</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per paskutines 14 dienų vartojote antidepresantų arba kitų vaistų, priklausančių monoaminooksidazės inhibitorių (MAOI) grupei;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turite minčių nusižudyti arba mėginote tai padaryti;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per paskutines 14 dienų vartojote rezerpino (jo taip pat kartais skiriama judesiams kontroliuoti sergant </w:t>
      </w:r>
      <w:r w:rsidRPr="00FE798E">
        <w:rPr>
          <w:i/>
          <w:iCs/>
          <w:lang w:val="lt-LT"/>
        </w:rPr>
        <w:t>Huntington</w:t>
      </w:r>
      <w:r w:rsidRPr="001E2876">
        <w:rPr>
          <w:lang w:val="lt-LT"/>
        </w:rPr>
        <w:t xml:space="preserve"> liga);</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sergate parkinsonizmu (liga, dėl kurios sustingsta raumenys ir pasunkėja judesiai).</w:t>
      </w:r>
    </w:p>
    <w:p w:rsidR="002A1BE8" w:rsidRPr="001E2876" w:rsidRDefault="002A1BE8" w:rsidP="00D47133">
      <w:pPr>
        <w:numPr>
          <w:ilvl w:val="12"/>
          <w:numId w:val="0"/>
        </w:numPr>
        <w:tabs>
          <w:tab w:val="clear" w:pos="567"/>
        </w:tabs>
        <w:spacing w:line="240" w:lineRule="auto"/>
        <w:ind w:right="-2"/>
        <w:rPr>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Įspėjimai ir atsargumo priemonės </w:t>
      </w:r>
    </w:p>
    <w:p w:rsidR="002A1BE8" w:rsidRPr="001E2876" w:rsidRDefault="002A1BE8" w:rsidP="00D47133">
      <w:pPr>
        <w:numPr>
          <w:ilvl w:val="12"/>
          <w:numId w:val="0"/>
        </w:numPr>
        <w:tabs>
          <w:tab w:val="clear" w:pos="567"/>
        </w:tabs>
        <w:spacing w:line="240" w:lineRule="auto"/>
        <w:ind w:right="-2"/>
        <w:rPr>
          <w:lang w:val="lt-LT"/>
        </w:rPr>
      </w:pPr>
      <w:r w:rsidRPr="001E2876">
        <w:rPr>
          <w:lang w:val="lt-LT"/>
        </w:rPr>
        <w:t>Pasitarkite su gydytoju arba vaistininku, prieš pradėdami vartoti Xenazine:</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sergate širdies liga, vadinama ilgo QT sindromu, arba vartojate jį galinčių sukelti vaistų, t.y. kai kurių nuo psichozės (pvz., chlorpromazino, tioridazino), antibiotikų (pvz., gatifloksacino, moksifloksacino) arba IA ar III klasės vaistų nuo širdies rimto sutrikimų (pvz., </w:t>
      </w:r>
      <w:r>
        <w:rPr>
          <w:lang w:val="lt-LT"/>
        </w:rPr>
        <w:t>ch</w:t>
      </w:r>
      <w:r w:rsidRPr="001E2876">
        <w:rPr>
          <w:lang w:val="lt-LT"/>
        </w:rPr>
        <w:t>inidino, prokainamido, amjodarono, sotalolio);</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lastRenderedPageBreak/>
        <w:t>jeigu Jūs sergate nestabilia krūtinės angina arba Jus neseniai ištiko širdies priepuolis (miokardo infarktas);</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Jūsų inkstų funkcija truputį arba vidutiniškai sutrikusi;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Jūsų nuotaika bloga (ši būklė vadinama depresija);</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Jums kyla minčių save sužaloti (buvo atvejų, kai šio vaisto vartojantiems pacientams kilo noras nusižudyti ir jie tą darė);</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jaučiate pyktį arba norite gadinti daiktus ar pakenkti kitiems žmonėms.</w:t>
      </w:r>
    </w:p>
    <w:p w:rsidR="002A1BE8" w:rsidRPr="001E2876" w:rsidRDefault="002A1BE8" w:rsidP="00D47133">
      <w:pPr>
        <w:tabs>
          <w:tab w:val="left" w:pos="993"/>
        </w:tabs>
        <w:autoSpaceDE w:val="0"/>
        <w:autoSpaceDN w:val="0"/>
        <w:adjustRightInd w:val="0"/>
        <w:spacing w:line="240" w:lineRule="auto"/>
        <w:rPr>
          <w:lang w:val="lt-LT"/>
        </w:rPr>
      </w:pPr>
    </w:p>
    <w:p w:rsidR="002A1BE8" w:rsidRPr="001E2876" w:rsidRDefault="002A1BE8" w:rsidP="00D47133">
      <w:pPr>
        <w:tabs>
          <w:tab w:val="left" w:pos="993"/>
        </w:tabs>
        <w:spacing w:line="240" w:lineRule="auto"/>
        <w:rPr>
          <w:lang w:val="lt-LT"/>
        </w:rPr>
      </w:pPr>
      <w:r w:rsidRPr="001E2876">
        <w:rPr>
          <w:lang w:val="lt-LT"/>
        </w:rPr>
        <w:t>Nedelsdami pasikonsultuokite su gydytoju arba vaistininku:</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vartodami šio vaisto, pajustumėte, kad negalite ramiai sėdėti ar stovėti (ši būklė vadinama</w:t>
      </w:r>
      <w:r>
        <w:rPr>
          <w:lang w:val="lt-LT"/>
        </w:rPr>
        <w:t xml:space="preserve"> </w:t>
      </w:r>
      <w:r w:rsidRPr="001E2876">
        <w:rPr>
          <w:lang w:val="lt-LT"/>
        </w:rPr>
        <w:t>akatizija ar sujaudinimu);</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pastebėtumėte staigių nevalingų rankų ir kojų judesių (ši būklė vadinama vėlyvąja diskinezija);</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pradėtumėte blogiau matyti;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pajustumėte raumenų stingulį ar nelankstumą ir pradėtumėte labai karščiuoti, prakaituoti, pakistų Jūsų psichikos būklė,</w:t>
      </w:r>
      <w:r>
        <w:rPr>
          <w:lang w:val="lt-LT"/>
        </w:rPr>
        <w:t xml:space="preserve"> </w:t>
      </w:r>
      <w:r w:rsidRPr="001E2876">
        <w:rPr>
          <w:lang w:val="lt-LT"/>
        </w:rPr>
        <w:t>o širdies veikla pasidarytų labai dažna ar neritmiška (ši būklė vadinama neurolepsiniu piktybiniu sindromu);</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jeigu Jūs pajustumėte didelį mieguistumą.</w:t>
      </w:r>
    </w:p>
    <w:p w:rsidR="002A1BE8" w:rsidRPr="001E2876" w:rsidRDefault="002A1BE8" w:rsidP="00D47133">
      <w:pPr>
        <w:numPr>
          <w:ilvl w:val="12"/>
          <w:numId w:val="0"/>
        </w:numPr>
        <w:tabs>
          <w:tab w:val="clear" w:pos="567"/>
        </w:tabs>
        <w:spacing w:line="240" w:lineRule="auto"/>
        <w:rPr>
          <w:b/>
          <w:bCs/>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Kiti vaistai ir Xenazine</w:t>
      </w:r>
    </w:p>
    <w:p w:rsidR="002A1BE8" w:rsidRPr="001E2876" w:rsidRDefault="002A1BE8" w:rsidP="00D47133">
      <w:pPr>
        <w:numPr>
          <w:ilvl w:val="12"/>
          <w:numId w:val="0"/>
        </w:numPr>
        <w:tabs>
          <w:tab w:val="clear" w:pos="567"/>
        </w:tabs>
        <w:spacing w:line="240" w:lineRule="auto"/>
        <w:ind w:right="-2"/>
        <w:rPr>
          <w:lang w:val="lt-LT"/>
        </w:rPr>
      </w:pPr>
      <w:r w:rsidRPr="001E2876">
        <w:rPr>
          <w:lang w:val="lt-LT"/>
        </w:rPr>
        <w:t>Jeigu vartojate ar neseniai vartojote kitų vaistų arba dėl to nesate tikri, apie tai pasakykite gydytojui arba vaistininkui. Kai kurie vaistai, vartojami kartu su tetrabenazinu, gali pakenkti. Tai yra:</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monoaminooksidazės inhibitoriai (MAOI) – vaistai nuo depresijos ir kt. (žr. „Xenazine vartoti negalima“ aukščiau);</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rezerpinas (Xenazine negalima vartoti kartu su rezerpinu</w:t>
      </w:r>
      <w:r>
        <w:rPr>
          <w:lang w:val="lt-LT"/>
        </w:rPr>
        <w:t xml:space="preserve"> </w:t>
      </w:r>
      <w:r w:rsidRPr="001E2876">
        <w:rPr>
          <w:lang w:val="lt-LT"/>
        </w:rPr>
        <w:t>ir 20 dienų po jo);</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levodopa (jos vartojama Parkinsono ligai gydyti);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vaistai nuo psichozės (pvz., haloperidolis, chlorpromazinas, tioridazinas), metoklopramidas, stipriai skausmą malšinantys vaistai ir migdomieji;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vaistai nuo depresijos: fluoksetinas, paroksetinas, fluvoksaminas ir bupropionas;</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vaistai nuo grybelio, pvz., ketokonazolas;</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ŽIV proteazės inhibitoriai, pvz., ritonaviras;</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vaistai padidėjusiam kraujospūdžiui mažinti ar sutrikusiam širdies ritmui reguliuoti (pvz., beta blokatoriai);</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kai kurie antibiotikai (pvz., ciprofloksacinas, gatifloksacinas, moksifloksacinas);</w:t>
      </w:r>
    </w:p>
    <w:p w:rsidR="002A1BE8" w:rsidRPr="001E2876" w:rsidRDefault="002A1BE8" w:rsidP="00D47133">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kai kurie vaistai sutrikusiam širdies ritmui reguliuoti (pvz., </w:t>
      </w:r>
      <w:r>
        <w:rPr>
          <w:lang w:val="lt-LT"/>
        </w:rPr>
        <w:t>ch</w:t>
      </w:r>
      <w:r w:rsidRPr="001E2876">
        <w:rPr>
          <w:lang w:val="lt-LT"/>
        </w:rPr>
        <w:t>inidinas, prokainamidas, amjodaronas, sotalolis).</w:t>
      </w:r>
    </w:p>
    <w:p w:rsidR="002A1BE8" w:rsidRPr="001E2876" w:rsidRDefault="002A1BE8" w:rsidP="00D47133">
      <w:pPr>
        <w:numPr>
          <w:ilvl w:val="12"/>
          <w:numId w:val="0"/>
        </w:numPr>
        <w:tabs>
          <w:tab w:val="clear" w:pos="567"/>
        </w:tabs>
        <w:spacing w:line="240" w:lineRule="auto"/>
        <w:ind w:right="-2"/>
        <w:rPr>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Xenazine vartojimas su maistu, gėrimais ir alkoholiu</w:t>
      </w:r>
    </w:p>
    <w:p w:rsidR="002A1BE8" w:rsidRPr="001E2876" w:rsidRDefault="002A1BE8" w:rsidP="00D47133">
      <w:pPr>
        <w:spacing w:line="240" w:lineRule="auto"/>
        <w:rPr>
          <w:lang w:val="lt-LT"/>
        </w:rPr>
      </w:pPr>
      <w:r w:rsidRPr="001E2876">
        <w:rPr>
          <w:lang w:val="lt-LT"/>
        </w:rPr>
        <w:t>Vartojant alkoholinių gėrimų ir kartu tetrabenazino, gali atsirasti nenormaliai didelis mieguistumas.</w:t>
      </w:r>
      <w:r>
        <w:rPr>
          <w:lang w:val="lt-LT"/>
        </w:rPr>
        <w:t xml:space="preserve"> </w:t>
      </w:r>
      <w:r w:rsidRPr="001E2876">
        <w:rPr>
          <w:lang w:val="lt-LT"/>
        </w:rPr>
        <w:t>Xenazine galima vartoti neatsižvelgiant į valgį.</w:t>
      </w:r>
    </w:p>
    <w:p w:rsidR="002A1BE8" w:rsidRPr="001E2876" w:rsidRDefault="002A1BE8" w:rsidP="00D47133">
      <w:pPr>
        <w:numPr>
          <w:ilvl w:val="12"/>
          <w:numId w:val="0"/>
        </w:numPr>
        <w:tabs>
          <w:tab w:val="clear" w:pos="567"/>
        </w:tabs>
        <w:spacing w:line="240" w:lineRule="auto"/>
        <w:rPr>
          <w:lang w:val="lt-LT"/>
        </w:rPr>
      </w:pPr>
    </w:p>
    <w:p w:rsidR="002A1BE8" w:rsidRPr="001E2876" w:rsidRDefault="002A1BE8" w:rsidP="00D47133">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Nėštumas ir žindymo laikotarpis</w:t>
      </w:r>
    </w:p>
    <w:p w:rsidR="002A1BE8" w:rsidRPr="001E2876" w:rsidRDefault="002A1BE8" w:rsidP="00D47133">
      <w:pPr>
        <w:spacing w:line="240" w:lineRule="auto"/>
        <w:rPr>
          <w:u w:val="single"/>
          <w:lang w:val="lt-LT"/>
        </w:rPr>
      </w:pPr>
      <w:r w:rsidRPr="001E2876">
        <w:rPr>
          <w:u w:val="single"/>
          <w:lang w:val="lt-LT"/>
        </w:rPr>
        <w:t>Nėštumas</w:t>
      </w:r>
    </w:p>
    <w:p w:rsidR="002A1BE8" w:rsidRPr="001E2876" w:rsidRDefault="002A1BE8" w:rsidP="00D47133">
      <w:pPr>
        <w:spacing w:line="240" w:lineRule="auto"/>
        <w:rPr>
          <w:lang w:val="lt-LT"/>
        </w:rPr>
      </w:pPr>
      <w:r w:rsidRPr="001E2876">
        <w:rPr>
          <w:lang w:val="lt-LT"/>
        </w:rPr>
        <w:t>Xenazine nerekomenduojama vartoti nėščiosioms ir vaisingoms moterims, netaikančioms kontracepcijos. Jeigu esate nėščia, žindote kūdikį, manote, kad galbūt esate nėščia, arba planuojate pastoti, tai prieš vartodama šį vaistą, pasitarkite su gydytoju.</w:t>
      </w:r>
    </w:p>
    <w:p w:rsidR="002A1BE8" w:rsidRPr="001E2876" w:rsidRDefault="002A1BE8" w:rsidP="00D47133">
      <w:pPr>
        <w:spacing w:line="240" w:lineRule="auto"/>
        <w:rPr>
          <w:lang w:val="lt-LT"/>
        </w:rPr>
      </w:pPr>
    </w:p>
    <w:p w:rsidR="002A1BE8" w:rsidRPr="001E2876" w:rsidRDefault="002A1BE8" w:rsidP="00DE5A01">
      <w:pPr>
        <w:spacing w:line="240" w:lineRule="auto"/>
        <w:rPr>
          <w:u w:val="single"/>
          <w:lang w:val="lt-LT"/>
        </w:rPr>
      </w:pPr>
      <w:r w:rsidRPr="001E2876">
        <w:rPr>
          <w:u w:val="single"/>
          <w:lang w:val="lt-LT"/>
        </w:rPr>
        <w:t>Žindymo laikotarpis</w:t>
      </w:r>
    </w:p>
    <w:p w:rsidR="002A1BE8" w:rsidRPr="001E2876" w:rsidRDefault="002A1BE8" w:rsidP="00DE5A01">
      <w:pPr>
        <w:spacing w:line="240" w:lineRule="auto"/>
        <w:rPr>
          <w:lang w:val="lt-LT"/>
        </w:rPr>
      </w:pPr>
      <w:r w:rsidRPr="001E2876">
        <w:rPr>
          <w:lang w:val="lt-LT"/>
        </w:rPr>
        <w:t>Vartojant Xenazine, žindyti negalima (žr. 2 skyrių „Xenazine vartoti negalima“).</w:t>
      </w:r>
    </w:p>
    <w:p w:rsidR="002A1BE8" w:rsidRPr="001E2876" w:rsidRDefault="002A1BE8" w:rsidP="00DE5A01">
      <w:pPr>
        <w:numPr>
          <w:ilvl w:val="12"/>
          <w:numId w:val="0"/>
        </w:num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Vairavimas ir mechanizmų valdymas</w:t>
      </w:r>
    </w:p>
    <w:p w:rsidR="002A1BE8" w:rsidRPr="001E2876" w:rsidRDefault="002A1BE8" w:rsidP="0049467C">
      <w:pPr>
        <w:autoSpaceDE w:val="0"/>
        <w:autoSpaceDN w:val="0"/>
        <w:adjustRightInd w:val="0"/>
        <w:spacing w:line="240" w:lineRule="auto"/>
        <w:rPr>
          <w:lang w:val="lt-LT"/>
        </w:rPr>
      </w:pPr>
      <w:r w:rsidRPr="001E2876">
        <w:rPr>
          <w:lang w:val="lt-LT"/>
        </w:rPr>
        <w:t>Xenazine gebėjimą vairuoti ir valdyti mechanizmus veikia vidutiniškai arba stipriai, kadangi jis labai dažnai sukelia mieguistumą, akatiziją (nenustygimą) ir parkinsonizmą.</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lang w:val="lt-LT"/>
        </w:rPr>
        <w:t xml:space="preserve">Tik Jūs galite nuspręsti, ar galite vairuoti motorines transporto priemones ir dirbti kitus darbus, kuriems reikia sutelkto dėmesio. Viena iš priežasčių, dėl kurių gali sumažėti Jūsų gebėjimas tai daryti saugiai, yra </w:t>
      </w:r>
      <w:r w:rsidRPr="001E2876">
        <w:rPr>
          <w:lang w:val="lt-LT"/>
        </w:rPr>
        <w:lastRenderedPageBreak/>
        <w:t>Xenazine</w:t>
      </w:r>
      <w:r>
        <w:rPr>
          <w:lang w:val="lt-LT"/>
        </w:rPr>
        <w:t xml:space="preserve"> </w:t>
      </w:r>
      <w:r w:rsidRPr="001E2876">
        <w:rPr>
          <w:lang w:val="lt-LT"/>
        </w:rPr>
        <w:t>šalutinis poveikis, aprašytas kituose šio lapelio skyriuose. Perskaitykite jį visą. Jeigu kiltų abejonių, pasitarkite su gydytoju, slaugytoju arba vaistininku.</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Xenazine</w:t>
      </w:r>
      <w:r>
        <w:rPr>
          <w:rFonts w:ascii="Times New Roman" w:hAnsi="Times New Roman" w:cs="Times New Roman"/>
          <w:sz w:val="22"/>
          <w:szCs w:val="22"/>
          <w:lang w:val="lt-LT"/>
        </w:rPr>
        <w:t xml:space="preserve"> </w:t>
      </w:r>
      <w:r w:rsidRPr="001E2876">
        <w:rPr>
          <w:rFonts w:ascii="Times New Roman" w:hAnsi="Times New Roman" w:cs="Times New Roman"/>
          <w:sz w:val="22"/>
          <w:szCs w:val="22"/>
          <w:lang w:val="lt-LT"/>
        </w:rPr>
        <w:t>sudėtyje yra laktozės.</w:t>
      </w:r>
    </w:p>
    <w:p w:rsidR="002A1BE8" w:rsidRPr="001E2876" w:rsidRDefault="002A1BE8" w:rsidP="00DE5A01">
      <w:pPr>
        <w:numPr>
          <w:ilvl w:val="12"/>
          <w:numId w:val="0"/>
        </w:numPr>
        <w:tabs>
          <w:tab w:val="left" w:pos="720"/>
        </w:tabs>
        <w:spacing w:line="240" w:lineRule="auto"/>
        <w:rPr>
          <w:lang w:val="lt-LT"/>
        </w:rPr>
      </w:pPr>
      <w:r w:rsidRPr="001E2876">
        <w:rPr>
          <w:lang w:val="lt-LT"/>
        </w:rPr>
        <w:t>Jeigu gydytojas Jums yra sakęs, kad netoleruojate kokių nors angliavandenių, kreipkitės į jį, prieš pradėdami vartoti šį vaistą.</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3.</w:t>
      </w:r>
      <w:r w:rsidRPr="001E2876">
        <w:rPr>
          <w:rFonts w:ascii="Times New Roman" w:hAnsi="Times New Roman" w:cs="Times New Roman"/>
          <w:sz w:val="22"/>
          <w:szCs w:val="22"/>
          <w:lang w:val="lt-LT"/>
        </w:rPr>
        <w:tab/>
        <w:t>Kaip vartoti Xenazine</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r w:rsidRPr="001E2876">
        <w:rPr>
          <w:lang w:val="lt-LT"/>
        </w:rPr>
        <w:t xml:space="preserve">Visada vartokite šį vaistą tiksliai kaip nurodė gydytojas. Jeigu abejojate, kreipkitės į gydytoją. </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r w:rsidRPr="001E2876">
        <w:rPr>
          <w:lang w:val="lt-LT"/>
        </w:rPr>
        <w:t>Rekomenduojama dozė:</w:t>
      </w:r>
    </w:p>
    <w:p w:rsidR="002A1BE8" w:rsidRPr="001E2876" w:rsidRDefault="002A1BE8" w:rsidP="00DE5A01">
      <w:pPr>
        <w:numPr>
          <w:ilvl w:val="0"/>
          <w:numId w:val="12"/>
        </w:numPr>
        <w:tabs>
          <w:tab w:val="clear" w:pos="567"/>
        </w:tabs>
        <w:spacing w:line="240" w:lineRule="auto"/>
        <w:rPr>
          <w:lang w:val="lt-LT"/>
        </w:rPr>
      </w:pPr>
      <w:r w:rsidRPr="001E2876">
        <w:rPr>
          <w:lang w:val="lt-LT"/>
        </w:rPr>
        <w:t>įprastinė pradinė dozė suaugusiesiems yra pusė tabletės (12,5 mg) 1 kartą per parą (ji vartojama pirmą savaitę);</w:t>
      </w:r>
    </w:p>
    <w:p w:rsidR="002A1BE8" w:rsidRPr="001E2876" w:rsidRDefault="002A1BE8" w:rsidP="00DE5A01">
      <w:pPr>
        <w:numPr>
          <w:ilvl w:val="0"/>
          <w:numId w:val="12"/>
        </w:numPr>
        <w:tabs>
          <w:tab w:val="clear" w:pos="567"/>
        </w:tabs>
        <w:spacing w:line="240" w:lineRule="auto"/>
        <w:rPr>
          <w:lang w:val="lt-LT"/>
        </w:rPr>
      </w:pPr>
      <w:r w:rsidRPr="001E2876">
        <w:rPr>
          <w:lang w:val="lt-LT"/>
        </w:rPr>
        <w:t>antrą savaitę dažniausiai dozė padidinama – vartojama po pusę tabletės (12,5 mg) 2 kartus per parą;</w:t>
      </w:r>
    </w:p>
    <w:p w:rsidR="002A1BE8" w:rsidRPr="001E2876" w:rsidRDefault="002A1BE8" w:rsidP="00DE5A01">
      <w:pPr>
        <w:numPr>
          <w:ilvl w:val="0"/>
          <w:numId w:val="12"/>
        </w:numPr>
        <w:tabs>
          <w:tab w:val="clear" w:pos="567"/>
        </w:tabs>
        <w:spacing w:line="240" w:lineRule="auto"/>
        <w:rPr>
          <w:lang w:val="lt-LT"/>
        </w:rPr>
      </w:pPr>
      <w:r w:rsidRPr="001E2876">
        <w:rPr>
          <w:lang w:val="lt-LT"/>
        </w:rPr>
        <w:t>trečią savaitę prireikus dozė dar padidinama – vartojama po pusę tabletės (12,5 mg) 3 kartus per parą;</w:t>
      </w:r>
    </w:p>
    <w:p w:rsidR="002A1BE8" w:rsidRPr="001E2876" w:rsidRDefault="002A1BE8" w:rsidP="00DE5A01">
      <w:pPr>
        <w:numPr>
          <w:ilvl w:val="0"/>
          <w:numId w:val="12"/>
        </w:numPr>
        <w:tabs>
          <w:tab w:val="clear" w:pos="567"/>
        </w:tabs>
        <w:spacing w:line="240" w:lineRule="auto"/>
        <w:rPr>
          <w:lang w:val="lt-LT"/>
        </w:rPr>
      </w:pPr>
      <w:r w:rsidRPr="001E2876">
        <w:rPr>
          <w:lang w:val="lt-LT"/>
        </w:rPr>
        <w:t>vėliau kas savaitę dozę galima toliau didinti kaskart po pusę tabletės;</w:t>
      </w:r>
    </w:p>
    <w:p w:rsidR="002A1BE8" w:rsidRPr="001E2876" w:rsidRDefault="002A1BE8" w:rsidP="00DE5A01">
      <w:pPr>
        <w:numPr>
          <w:ilvl w:val="0"/>
          <w:numId w:val="12"/>
        </w:numPr>
        <w:tabs>
          <w:tab w:val="clear" w:pos="567"/>
        </w:tabs>
        <w:spacing w:line="240" w:lineRule="auto"/>
        <w:rPr>
          <w:lang w:val="lt-LT"/>
        </w:rPr>
      </w:pPr>
      <w:r w:rsidRPr="001E2876">
        <w:rPr>
          <w:lang w:val="lt-LT"/>
        </w:rPr>
        <w:t>individualus optimalių dozių diapazonas paprastai būna 25-100 mg per parą (paros dozė išgeriama per 2</w:t>
      </w:r>
      <w:r w:rsidRPr="001E2876">
        <w:rPr>
          <w:lang w:val="lt-LT"/>
        </w:rPr>
        <w:noBreakHyphen/>
        <w:t>3 kartus);</w:t>
      </w:r>
    </w:p>
    <w:p w:rsidR="002A1BE8" w:rsidRPr="001E2876" w:rsidRDefault="002A1BE8" w:rsidP="00DE5A01">
      <w:pPr>
        <w:numPr>
          <w:ilvl w:val="0"/>
          <w:numId w:val="12"/>
        </w:numPr>
        <w:tabs>
          <w:tab w:val="clear" w:pos="567"/>
        </w:tabs>
        <w:spacing w:line="240" w:lineRule="auto"/>
        <w:rPr>
          <w:lang w:val="lt-LT"/>
        </w:rPr>
      </w:pPr>
      <w:r w:rsidRPr="001E2876">
        <w:rPr>
          <w:lang w:val="lt-LT"/>
        </w:rPr>
        <w:t>negalima vartoti daugiau kaip 37,5 mg iš karto;</w:t>
      </w:r>
    </w:p>
    <w:p w:rsidR="002A1BE8" w:rsidRPr="001E2876" w:rsidRDefault="002A1BE8" w:rsidP="00DE5A01">
      <w:pPr>
        <w:numPr>
          <w:ilvl w:val="0"/>
          <w:numId w:val="12"/>
        </w:numPr>
        <w:tabs>
          <w:tab w:val="clear" w:pos="567"/>
        </w:tabs>
        <w:spacing w:line="240" w:lineRule="auto"/>
        <w:rPr>
          <w:lang w:val="lt-LT"/>
        </w:rPr>
      </w:pPr>
      <w:r w:rsidRPr="001E2876">
        <w:rPr>
          <w:lang w:val="lt-LT"/>
        </w:rPr>
        <w:t>negalima vartoti daugiau kaip 100 mg per parą.</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Nedelsdami kreipkitės į gydytoją, jeigu pasireikštų šalutinis poveikis, nes gali tekti sumažinti dozę arba galbūt ji buvo per greitai padidinta. Kai kuriems pacientams palankiam poveikiui gali užtekti mažesnės dozės ir lėtesnio jo</w:t>
      </w:r>
      <w:r w:rsidR="00BB08A4">
        <w:rPr>
          <w:lang w:val="lt-LT"/>
        </w:rPr>
        <w:t>s</w:t>
      </w:r>
      <w:r w:rsidRPr="001E2876">
        <w:rPr>
          <w:lang w:val="lt-LT"/>
        </w:rPr>
        <w:t xml:space="preserve"> didinimo.</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Jeigu, 7 dienas vartojus didžiausią dozę savijauta nepagerėjo, tai geresnio poveikio nereikėtų tikėtis nei dar labiau padidinus vaisto dozę, nei jo vartojant ilgiau.</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Vartojimas vaikams ir paaugliams</w:t>
      </w:r>
    </w:p>
    <w:p w:rsidR="002A1BE8" w:rsidRPr="001E2876" w:rsidRDefault="002A1BE8" w:rsidP="00DE5A01">
      <w:pPr>
        <w:autoSpaceDE w:val="0"/>
        <w:autoSpaceDN w:val="0"/>
        <w:adjustRightInd w:val="0"/>
        <w:spacing w:line="240" w:lineRule="auto"/>
        <w:rPr>
          <w:b/>
          <w:bCs/>
          <w:lang w:val="lt-LT"/>
        </w:rPr>
      </w:pPr>
      <w:r w:rsidRPr="001E2876">
        <w:rPr>
          <w:lang w:val="lt-LT"/>
        </w:rPr>
        <w:t>Vaikams ir paaugliams Xenazine</w:t>
      </w:r>
      <w:r>
        <w:rPr>
          <w:lang w:val="lt-LT"/>
        </w:rPr>
        <w:t xml:space="preserve"> </w:t>
      </w:r>
      <w:r w:rsidRPr="001E2876">
        <w:rPr>
          <w:lang w:val="lt-LT"/>
        </w:rPr>
        <w:t>neskirtas. Jiems</w:t>
      </w:r>
      <w:r>
        <w:rPr>
          <w:lang w:val="lt-LT"/>
        </w:rPr>
        <w:t xml:space="preserve"> </w:t>
      </w:r>
      <w:r w:rsidRPr="001E2876">
        <w:rPr>
          <w:lang w:val="lt-LT"/>
        </w:rPr>
        <w:t>šio vaisto vartoti negalima.</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autoSpaceDE w:val="0"/>
        <w:autoSpaceDN w:val="0"/>
        <w:adjustRightInd w:val="0"/>
        <w:spacing w:line="240" w:lineRule="auto"/>
        <w:rPr>
          <w:b/>
          <w:bCs/>
          <w:lang w:val="lt-LT"/>
        </w:rPr>
      </w:pPr>
      <w:r w:rsidRPr="001E2876">
        <w:rPr>
          <w:b/>
          <w:bCs/>
          <w:lang w:val="lt-LT"/>
        </w:rPr>
        <w:t>Senyviems pacientams</w:t>
      </w:r>
    </w:p>
    <w:p w:rsidR="002A1BE8" w:rsidRPr="001E2876" w:rsidRDefault="002A1BE8" w:rsidP="00DE5A01">
      <w:pPr>
        <w:autoSpaceDE w:val="0"/>
        <w:autoSpaceDN w:val="0"/>
        <w:adjustRightInd w:val="0"/>
        <w:spacing w:line="240" w:lineRule="auto"/>
        <w:rPr>
          <w:lang w:val="lt-LT"/>
        </w:rPr>
      </w:pPr>
      <w:r w:rsidRPr="001E2876">
        <w:rPr>
          <w:lang w:val="lt-LT"/>
        </w:rPr>
        <w:t>Senyvi pacientai gali būti jautresni šio vaisto šalutiniam poveikiui, todėl jiems gali reikėti vartoti mažesnę dozę ir lėčiau ją didinti.</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Ką daryti pavartojus per didelę Xenazine dozę?</w:t>
      </w:r>
    </w:p>
    <w:p w:rsidR="002A1BE8" w:rsidRPr="001E2876" w:rsidRDefault="002A1BE8" w:rsidP="00DE5A01">
      <w:pPr>
        <w:spacing w:line="240" w:lineRule="auto"/>
        <w:rPr>
          <w:lang w:val="lt-LT"/>
        </w:rPr>
      </w:pPr>
      <w:r w:rsidRPr="001E2876">
        <w:rPr>
          <w:lang w:val="lt-LT"/>
        </w:rPr>
        <w:t>Jeigu išgertumėte per daug Xenazine arba šio vaisto atsitiktinai nurytų vaikas, kreipkitės į gydytoją arba ligoninę, kur sužinosite ką daryti ir galimus perdozavimo pavojus. Pasiimkite vaisto pakuotę.</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Pamiršus pavartoti Xenazine</w:t>
      </w:r>
    </w:p>
    <w:p w:rsidR="002A1BE8" w:rsidRPr="001E2876" w:rsidRDefault="002A1BE8" w:rsidP="00DE5A01">
      <w:pPr>
        <w:numPr>
          <w:ilvl w:val="12"/>
          <w:numId w:val="0"/>
        </w:numPr>
        <w:tabs>
          <w:tab w:val="clear" w:pos="567"/>
        </w:tabs>
        <w:spacing w:line="240" w:lineRule="auto"/>
        <w:ind w:right="-2"/>
        <w:rPr>
          <w:lang w:val="lt-LT"/>
        </w:rPr>
      </w:pPr>
      <w:r w:rsidRPr="001E2876">
        <w:rPr>
          <w:lang w:val="lt-LT"/>
        </w:rPr>
        <w:t>Negalima vartoti dvigubos dozės norint kompensuoti praleistą dozę. Kitą dozę gerkite įprastu laiku.</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Nustojus vartoti Xenazine</w:t>
      </w:r>
    </w:p>
    <w:p w:rsidR="002A1BE8" w:rsidRPr="001E2876" w:rsidRDefault="002A1BE8" w:rsidP="00DE5A01">
      <w:pPr>
        <w:spacing w:line="240" w:lineRule="auto"/>
        <w:rPr>
          <w:lang w:val="lt-LT"/>
        </w:rPr>
      </w:pPr>
      <w:r w:rsidRPr="001E2876">
        <w:rPr>
          <w:lang w:val="lt-LT"/>
        </w:rPr>
        <w:t>Nenutraukite Xenazine vartojimo, prieš tai nepasitarę su gydytoju.</w:t>
      </w:r>
    </w:p>
    <w:p w:rsidR="002A1BE8" w:rsidRPr="001E2876" w:rsidRDefault="002A1BE8" w:rsidP="00DE5A01">
      <w:pPr>
        <w:numPr>
          <w:ilvl w:val="12"/>
          <w:numId w:val="0"/>
        </w:numPr>
        <w:tabs>
          <w:tab w:val="clear" w:pos="567"/>
        </w:tabs>
        <w:spacing w:line="240" w:lineRule="auto"/>
        <w:ind w:right="-29"/>
        <w:rPr>
          <w:lang w:val="lt-LT"/>
        </w:rPr>
      </w:pPr>
    </w:p>
    <w:p w:rsidR="002A1BE8" w:rsidRPr="001E2876" w:rsidRDefault="002A1BE8" w:rsidP="00DE5A01">
      <w:pPr>
        <w:numPr>
          <w:ilvl w:val="12"/>
          <w:numId w:val="0"/>
        </w:numPr>
        <w:tabs>
          <w:tab w:val="clear" w:pos="567"/>
        </w:tabs>
        <w:spacing w:line="240" w:lineRule="auto"/>
        <w:ind w:right="-29"/>
        <w:rPr>
          <w:lang w:val="lt-LT"/>
        </w:rPr>
      </w:pPr>
      <w:r w:rsidRPr="001E2876">
        <w:rPr>
          <w:lang w:val="lt-LT"/>
        </w:rPr>
        <w:t>Jeigu kiltų daugiau klausimų dėl šio vaisto vartojimo, kreipkitės į gydytoją arba vaistininką.</w:t>
      </w:r>
    </w:p>
    <w:p w:rsidR="002A1BE8" w:rsidRPr="001E2876" w:rsidRDefault="002A1BE8" w:rsidP="00DE5A01">
      <w:pPr>
        <w:numPr>
          <w:ilvl w:val="12"/>
          <w:numId w:val="0"/>
        </w:numPr>
        <w:tabs>
          <w:tab w:val="clear" w:pos="567"/>
        </w:tabs>
        <w:spacing w:line="240" w:lineRule="auto"/>
        <w:rPr>
          <w:lang w:val="lt-LT"/>
        </w:rPr>
      </w:pPr>
    </w:p>
    <w:p w:rsidR="002A1BE8" w:rsidRPr="001E2876" w:rsidRDefault="002A1BE8" w:rsidP="00DE5A01">
      <w:pPr>
        <w:numPr>
          <w:ilvl w:val="12"/>
          <w:numId w:val="0"/>
        </w:numPr>
        <w:tabs>
          <w:tab w:val="clear" w:pos="567"/>
        </w:tabs>
        <w:spacing w:line="240" w:lineRule="auto"/>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w:t>
      </w:r>
      <w:r w:rsidRPr="001E2876">
        <w:rPr>
          <w:rFonts w:ascii="Times New Roman" w:hAnsi="Times New Roman" w:cs="Times New Roman"/>
          <w:sz w:val="22"/>
          <w:szCs w:val="22"/>
          <w:lang w:val="lt-LT"/>
        </w:rPr>
        <w:tab/>
        <w:t>Galimas šalutinis poveikis</w:t>
      </w:r>
    </w:p>
    <w:p w:rsidR="002A1BE8" w:rsidRPr="001E2876" w:rsidRDefault="002A1BE8" w:rsidP="00DE5A01">
      <w:pPr>
        <w:numPr>
          <w:ilvl w:val="12"/>
          <w:numId w:val="0"/>
        </w:numPr>
        <w:tabs>
          <w:tab w:val="clear" w:pos="567"/>
        </w:tabs>
        <w:spacing w:line="240" w:lineRule="auto"/>
        <w:rPr>
          <w:lang w:val="lt-LT"/>
        </w:rPr>
      </w:pPr>
    </w:p>
    <w:p w:rsidR="002A1BE8" w:rsidRPr="001E2876" w:rsidRDefault="002A1BE8" w:rsidP="00DE5A01">
      <w:pPr>
        <w:numPr>
          <w:ilvl w:val="12"/>
          <w:numId w:val="0"/>
        </w:numPr>
        <w:tabs>
          <w:tab w:val="clear" w:pos="567"/>
        </w:tabs>
        <w:spacing w:line="240" w:lineRule="auto"/>
        <w:ind w:right="-29"/>
        <w:rPr>
          <w:lang w:val="lt-LT"/>
        </w:rPr>
      </w:pPr>
      <w:r w:rsidRPr="001E2876">
        <w:rPr>
          <w:lang w:val="lt-LT"/>
        </w:rPr>
        <w:t>Šis vaistas, kaip ir visi kiti, gali sukelti šalutinį poveikį, nors jis pasireiškia ne visiems žmonėms.</w:t>
      </w:r>
    </w:p>
    <w:p w:rsidR="002A1BE8" w:rsidRPr="001E2876" w:rsidRDefault="002A1BE8" w:rsidP="00DE5A01">
      <w:pPr>
        <w:numPr>
          <w:ilvl w:val="12"/>
          <w:numId w:val="0"/>
        </w:numPr>
        <w:tabs>
          <w:tab w:val="clear" w:pos="567"/>
        </w:tabs>
        <w:spacing w:line="240" w:lineRule="auto"/>
        <w:ind w:right="-29"/>
        <w:rPr>
          <w:lang w:val="lt-LT"/>
        </w:rPr>
      </w:pPr>
    </w:p>
    <w:p w:rsidR="002A1BE8" w:rsidRPr="001E2876" w:rsidRDefault="002A1BE8" w:rsidP="00DE5A01">
      <w:pPr>
        <w:spacing w:line="240" w:lineRule="auto"/>
        <w:rPr>
          <w:b/>
          <w:bCs/>
          <w:lang w:val="lt-LT"/>
        </w:rPr>
      </w:pPr>
      <w:r w:rsidRPr="001E2876">
        <w:rPr>
          <w:b/>
          <w:bCs/>
          <w:lang w:val="lt-LT"/>
        </w:rPr>
        <w:lastRenderedPageBreak/>
        <w:t>Nedelsdami praneškite gydytojui, jeigu vartojant Xenazine</w:t>
      </w:r>
      <w:r>
        <w:rPr>
          <w:b/>
          <w:bCs/>
          <w:lang w:val="lt-LT"/>
        </w:rPr>
        <w:t xml:space="preserve"> </w:t>
      </w:r>
      <w:r w:rsidRPr="001E2876">
        <w:rPr>
          <w:b/>
          <w:bCs/>
          <w:lang w:val="lt-LT"/>
        </w:rPr>
        <w:t xml:space="preserve">atsirastų kuris nors iš </w:t>
      </w:r>
      <w:r w:rsidR="003E466E">
        <w:rPr>
          <w:b/>
          <w:bCs/>
          <w:lang w:val="lt-LT"/>
        </w:rPr>
        <w:t>toliau</w:t>
      </w:r>
      <w:r w:rsidR="003E466E" w:rsidRPr="001E2876">
        <w:rPr>
          <w:b/>
          <w:bCs/>
          <w:lang w:val="lt-LT"/>
        </w:rPr>
        <w:t xml:space="preserve"> </w:t>
      </w:r>
      <w:r w:rsidRPr="001E2876">
        <w:rPr>
          <w:b/>
          <w:bCs/>
          <w:lang w:val="lt-LT"/>
        </w:rPr>
        <w:t>išvardytų sutrikimų.</w:t>
      </w:r>
    </w:p>
    <w:p w:rsidR="002A1BE8" w:rsidRPr="001E2876" w:rsidRDefault="002A1BE8" w:rsidP="00DE5A01">
      <w:pPr>
        <w:spacing w:line="240" w:lineRule="auto"/>
        <w:rPr>
          <w:lang w:val="lt-LT"/>
        </w:rPr>
      </w:pPr>
    </w:p>
    <w:p w:rsidR="002A1BE8" w:rsidRPr="001E2876" w:rsidRDefault="002A1BE8" w:rsidP="0059790F">
      <w:pPr>
        <w:rPr>
          <w:lang w:val="lt-LT"/>
        </w:rPr>
      </w:pPr>
      <w:r w:rsidRPr="001E2876">
        <w:rPr>
          <w:b/>
          <w:bCs/>
          <w:lang w:val="lt-LT"/>
        </w:rPr>
        <w:t xml:space="preserve">Labai dažni </w:t>
      </w:r>
      <w:r w:rsidRPr="001E2876">
        <w:rPr>
          <w:i/>
          <w:iCs/>
          <w:lang w:val="lt-LT"/>
        </w:rPr>
        <w:t>(gali pasireikšti daugiau kaip 1 žmogui iš 10):</w:t>
      </w:r>
    </w:p>
    <w:p w:rsidR="002A1BE8" w:rsidRPr="001E2876" w:rsidRDefault="002A1BE8" w:rsidP="00DE5A01">
      <w:pPr>
        <w:numPr>
          <w:ilvl w:val="0"/>
          <w:numId w:val="13"/>
        </w:numPr>
        <w:tabs>
          <w:tab w:val="clear" w:pos="567"/>
        </w:tabs>
        <w:spacing w:line="240" w:lineRule="auto"/>
        <w:rPr>
          <w:b/>
          <w:bCs/>
          <w:lang w:val="lt-LT"/>
        </w:rPr>
      </w:pPr>
      <w:r w:rsidRPr="001E2876">
        <w:rPr>
          <w:lang w:val="lt-LT"/>
        </w:rPr>
        <w:t>depresija (liūdesys);</w:t>
      </w:r>
    </w:p>
    <w:p w:rsidR="002A1BE8" w:rsidRPr="001E2876" w:rsidRDefault="002A1BE8" w:rsidP="00DE5A01">
      <w:pPr>
        <w:numPr>
          <w:ilvl w:val="0"/>
          <w:numId w:val="13"/>
        </w:numPr>
        <w:tabs>
          <w:tab w:val="clear" w:pos="567"/>
        </w:tabs>
        <w:spacing w:line="240" w:lineRule="auto"/>
        <w:rPr>
          <w:color w:val="000000"/>
          <w:lang w:val="lt-LT"/>
        </w:rPr>
      </w:pPr>
      <w:r w:rsidRPr="001E2876">
        <w:rPr>
          <w:lang w:val="lt-LT"/>
        </w:rPr>
        <w:t>akatizija</w:t>
      </w:r>
      <w:r w:rsidR="00D365D2">
        <w:rPr>
          <w:lang w:val="lt-LT"/>
        </w:rPr>
        <w:t xml:space="preserve"> </w:t>
      </w:r>
      <w:r w:rsidRPr="001E2876">
        <w:rPr>
          <w:color w:val="000000"/>
          <w:lang w:val="lt-LT"/>
        </w:rPr>
        <w:t>(nenustygimas, negalėjimas ramiai sėdėti ar stovėti);</w:t>
      </w:r>
    </w:p>
    <w:p w:rsidR="002A1BE8" w:rsidRPr="001E2876" w:rsidRDefault="002A1BE8" w:rsidP="00DE5A01">
      <w:pPr>
        <w:numPr>
          <w:ilvl w:val="0"/>
          <w:numId w:val="13"/>
        </w:numPr>
        <w:tabs>
          <w:tab w:val="clear" w:pos="567"/>
        </w:tabs>
        <w:spacing w:line="240" w:lineRule="auto"/>
        <w:rPr>
          <w:color w:val="000000"/>
          <w:lang w:val="lt-LT"/>
        </w:rPr>
      </w:pPr>
      <w:r w:rsidRPr="001E2876">
        <w:rPr>
          <w:color w:val="000000"/>
          <w:lang w:val="lt-LT"/>
        </w:rPr>
        <w:t>parkinsonizmas (pvz., raumenų stingulys, drebulys, sutrikusi eisena ir pusiausvyra).</w:t>
      </w:r>
    </w:p>
    <w:p w:rsidR="002A1BE8" w:rsidRPr="001E2876" w:rsidRDefault="002A1BE8" w:rsidP="00DE5A01">
      <w:pPr>
        <w:spacing w:line="240" w:lineRule="auto"/>
        <w:rPr>
          <w:color w:val="000000"/>
          <w:lang w:val="lt-LT"/>
        </w:rPr>
      </w:pPr>
    </w:p>
    <w:p w:rsidR="002A1BE8" w:rsidRPr="001E2876" w:rsidRDefault="002A1BE8" w:rsidP="00DE5A01">
      <w:pPr>
        <w:autoSpaceDE w:val="0"/>
        <w:autoSpaceDN w:val="0"/>
        <w:adjustRightInd w:val="0"/>
        <w:spacing w:line="240" w:lineRule="auto"/>
        <w:rPr>
          <w:lang w:val="lt-LT"/>
        </w:rPr>
      </w:pPr>
      <w:r w:rsidRPr="001E2876">
        <w:rPr>
          <w:b/>
          <w:bCs/>
          <w:lang w:val="lt-LT"/>
        </w:rPr>
        <w:t>Dažni</w:t>
      </w:r>
      <w:r w:rsidR="003E466E">
        <w:rPr>
          <w:b/>
          <w:bCs/>
          <w:lang w:val="lt-LT"/>
        </w:rPr>
        <w:t xml:space="preserve"> </w:t>
      </w:r>
      <w:r w:rsidRPr="001E2876">
        <w:rPr>
          <w:i/>
          <w:iCs/>
          <w:lang w:val="lt-LT"/>
        </w:rPr>
        <w:t>(gali pasireikšti iki 1 žmogaus iš 10):</w:t>
      </w:r>
    </w:p>
    <w:p w:rsidR="002A1BE8" w:rsidRPr="001E2876" w:rsidRDefault="002A1BE8" w:rsidP="00DE5A01">
      <w:pPr>
        <w:numPr>
          <w:ilvl w:val="0"/>
          <w:numId w:val="14"/>
        </w:numPr>
        <w:tabs>
          <w:tab w:val="clear" w:pos="567"/>
        </w:tabs>
        <w:spacing w:line="240" w:lineRule="auto"/>
        <w:rPr>
          <w:lang w:val="lt-LT"/>
        </w:rPr>
      </w:pPr>
      <w:r w:rsidRPr="001E2876">
        <w:rPr>
          <w:lang w:val="lt-LT"/>
        </w:rPr>
        <w:t>ažitacija (sujaudinimas);</w:t>
      </w:r>
    </w:p>
    <w:p w:rsidR="002A1BE8" w:rsidRPr="001E2876" w:rsidRDefault="002A1BE8" w:rsidP="00DE5A01">
      <w:pPr>
        <w:numPr>
          <w:ilvl w:val="0"/>
          <w:numId w:val="14"/>
        </w:numPr>
        <w:tabs>
          <w:tab w:val="clear" w:pos="567"/>
        </w:tabs>
        <w:spacing w:line="240" w:lineRule="auto"/>
        <w:rPr>
          <w:lang w:val="lt-LT"/>
        </w:rPr>
      </w:pPr>
      <w:r w:rsidRPr="001E2876">
        <w:rPr>
          <w:lang w:val="lt-LT"/>
        </w:rPr>
        <w:t>nerimas;</w:t>
      </w:r>
    </w:p>
    <w:p w:rsidR="002A1BE8" w:rsidRPr="001E2876" w:rsidRDefault="002A1BE8" w:rsidP="00DE5A01">
      <w:pPr>
        <w:numPr>
          <w:ilvl w:val="0"/>
          <w:numId w:val="14"/>
        </w:numPr>
        <w:tabs>
          <w:tab w:val="clear" w:pos="567"/>
        </w:tabs>
        <w:spacing w:line="240" w:lineRule="auto"/>
        <w:rPr>
          <w:lang w:val="lt-LT"/>
        </w:rPr>
      </w:pPr>
      <w:r w:rsidRPr="001E2876">
        <w:rPr>
          <w:lang w:val="lt-LT"/>
        </w:rPr>
        <w:t>konfūzija (sumišimas).</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b/>
          <w:bCs/>
          <w:lang w:val="lt-LT"/>
        </w:rPr>
        <w:t>Labai reti</w:t>
      </w:r>
      <w:r w:rsidR="003E466E">
        <w:rPr>
          <w:b/>
          <w:bCs/>
          <w:lang w:val="lt-LT"/>
        </w:rPr>
        <w:t xml:space="preserve"> </w:t>
      </w:r>
      <w:r w:rsidRPr="001E2876">
        <w:rPr>
          <w:i/>
          <w:iCs/>
          <w:lang w:val="lt-LT"/>
        </w:rPr>
        <w:t>(gali pasireikšti iki 1 žmogaus iš 10 000):</w:t>
      </w:r>
    </w:p>
    <w:p w:rsidR="002A1BE8" w:rsidRPr="001E2876" w:rsidRDefault="002A1BE8" w:rsidP="00DE5A01">
      <w:pPr>
        <w:numPr>
          <w:ilvl w:val="0"/>
          <w:numId w:val="15"/>
        </w:numPr>
        <w:tabs>
          <w:tab w:val="clear" w:pos="567"/>
        </w:tabs>
        <w:spacing w:line="240" w:lineRule="auto"/>
        <w:rPr>
          <w:lang w:val="lt-LT"/>
        </w:rPr>
      </w:pPr>
      <w:r w:rsidRPr="001E2876">
        <w:rPr>
          <w:lang w:val="lt-LT"/>
        </w:rPr>
        <w:t>mintys apie savižudybę;</w:t>
      </w:r>
    </w:p>
    <w:p w:rsidR="002A1BE8" w:rsidRPr="001E2876" w:rsidRDefault="002A1BE8" w:rsidP="00DE5A01">
      <w:pPr>
        <w:numPr>
          <w:ilvl w:val="0"/>
          <w:numId w:val="15"/>
        </w:numPr>
        <w:tabs>
          <w:tab w:val="clear" w:pos="567"/>
        </w:tabs>
        <w:spacing w:line="240" w:lineRule="auto"/>
        <w:rPr>
          <w:lang w:val="lt-LT"/>
        </w:rPr>
      </w:pPr>
      <w:r w:rsidRPr="001E2876">
        <w:rPr>
          <w:lang w:val="lt-LT"/>
        </w:rPr>
        <w:t>pyktis ar agresyvus elgesys;</w:t>
      </w:r>
    </w:p>
    <w:p w:rsidR="002A1BE8" w:rsidRPr="001E2876" w:rsidRDefault="002A1BE8" w:rsidP="00DE5A01">
      <w:pPr>
        <w:numPr>
          <w:ilvl w:val="0"/>
          <w:numId w:val="15"/>
        </w:numPr>
        <w:tabs>
          <w:tab w:val="clear" w:pos="567"/>
        </w:tabs>
        <w:spacing w:line="240" w:lineRule="auto"/>
        <w:rPr>
          <w:lang w:val="lt-LT"/>
        </w:rPr>
      </w:pPr>
      <w:r w:rsidRPr="001E2876">
        <w:rPr>
          <w:lang w:val="lt-LT"/>
        </w:rPr>
        <w:t>didelis karščiavimas, prakaitavimas, raumenų stingulys, greitas ar nereguliarus pulsas arba sutrikęs širdies ritmas (piktybinis neurolepsinis sindromas, P</w:t>
      </w:r>
      <w:r>
        <w:rPr>
          <w:lang w:val="lt-LT"/>
        </w:rPr>
        <w:t>N</w:t>
      </w:r>
      <w:r w:rsidRPr="001E2876">
        <w:rPr>
          <w:lang w:val="lt-LT"/>
        </w:rPr>
        <w:t>S);</w:t>
      </w:r>
    </w:p>
    <w:p w:rsidR="002A1BE8" w:rsidRPr="001E2876" w:rsidRDefault="002A1BE8" w:rsidP="00DE5A01">
      <w:pPr>
        <w:numPr>
          <w:ilvl w:val="0"/>
          <w:numId w:val="15"/>
        </w:numPr>
        <w:tabs>
          <w:tab w:val="clear" w:pos="567"/>
        </w:tabs>
        <w:spacing w:line="240" w:lineRule="auto"/>
        <w:rPr>
          <w:lang w:val="lt-LT"/>
        </w:rPr>
      </w:pPr>
      <w:r w:rsidRPr="001E2876">
        <w:rPr>
          <w:lang w:val="lt-LT"/>
        </w:rPr>
        <w:t>plaučių uždegimas (jo rizika gali būti didesnė, jei sutrikęs rijimas);</w:t>
      </w:r>
    </w:p>
    <w:p w:rsidR="002A1BE8" w:rsidRPr="001E2876" w:rsidRDefault="002A1BE8" w:rsidP="00DE5A01">
      <w:pPr>
        <w:numPr>
          <w:ilvl w:val="0"/>
          <w:numId w:val="15"/>
        </w:numPr>
        <w:tabs>
          <w:tab w:val="clear" w:pos="567"/>
        </w:tabs>
        <w:spacing w:line="240" w:lineRule="auto"/>
        <w:rPr>
          <w:lang w:val="lt-LT"/>
        </w:rPr>
      </w:pPr>
      <w:r w:rsidRPr="001E2876">
        <w:rPr>
          <w:lang w:val="lt-LT"/>
        </w:rPr>
        <w:t>ilgalaikis akių obuolių nukrypimas aukštyn (okulogirinė krizė).</w:t>
      </w:r>
    </w:p>
    <w:p w:rsidR="002A1BE8" w:rsidRPr="001E2876" w:rsidRDefault="002A1BE8" w:rsidP="00DE5A01">
      <w:pPr>
        <w:tabs>
          <w:tab w:val="left" w:pos="993"/>
        </w:tabs>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lang w:val="lt-LT"/>
        </w:rPr>
        <w:t xml:space="preserve">Šalutinis poveikis, </w:t>
      </w:r>
      <w:r w:rsidRPr="001E2876">
        <w:rPr>
          <w:b/>
          <w:bCs/>
          <w:lang w:val="lt-LT"/>
        </w:rPr>
        <w:t>kurio dažnis nežinomas</w:t>
      </w:r>
      <w:r w:rsidR="003E466E">
        <w:rPr>
          <w:b/>
          <w:bCs/>
          <w:lang w:val="lt-LT"/>
        </w:rPr>
        <w:t xml:space="preserve"> </w:t>
      </w:r>
      <w:r w:rsidRPr="001E2876">
        <w:rPr>
          <w:i/>
          <w:iCs/>
          <w:lang w:val="lt-LT"/>
        </w:rPr>
        <w:t>(negali būti apskaičiuotas pagal turimus duomenis):</w:t>
      </w:r>
    </w:p>
    <w:p w:rsidR="002A1BE8" w:rsidRPr="001E2876" w:rsidRDefault="003E466E" w:rsidP="00DE5A01">
      <w:pPr>
        <w:numPr>
          <w:ilvl w:val="0"/>
          <w:numId w:val="16"/>
        </w:numPr>
        <w:tabs>
          <w:tab w:val="clear" w:pos="567"/>
        </w:tabs>
        <w:autoSpaceDE w:val="0"/>
        <w:autoSpaceDN w:val="0"/>
        <w:adjustRightInd w:val="0"/>
        <w:spacing w:line="240" w:lineRule="auto"/>
        <w:rPr>
          <w:lang w:val="lt-LT"/>
        </w:rPr>
      </w:pPr>
      <w:r>
        <w:rPr>
          <w:lang w:val="lt-LT"/>
        </w:rPr>
        <w:t>svaigulys</w:t>
      </w:r>
      <w:r w:rsidR="002A1BE8" w:rsidRPr="001E2876">
        <w:rPr>
          <w:lang w:val="lt-LT"/>
        </w:rPr>
        <w:t xml:space="preserve"> ir ortostatinė</w:t>
      </w:r>
      <w:r w:rsidR="002A1BE8">
        <w:rPr>
          <w:lang w:val="lt-LT"/>
        </w:rPr>
        <w:t xml:space="preserve"> </w:t>
      </w:r>
      <w:r w:rsidR="002A1BE8" w:rsidRPr="001E2876">
        <w:rPr>
          <w:lang w:val="lt-LT"/>
        </w:rPr>
        <w:t>hipotenzija</w:t>
      </w:r>
      <w:r>
        <w:rPr>
          <w:lang w:val="lt-LT"/>
        </w:rPr>
        <w:t xml:space="preserve"> </w:t>
      </w:r>
      <w:r w:rsidR="002A1BE8" w:rsidRPr="001E2876">
        <w:rPr>
          <w:lang w:val="lt-LT"/>
        </w:rPr>
        <w:t>(atsistojus staiga pradeda svaigti galva);</w:t>
      </w:r>
    </w:p>
    <w:p w:rsidR="002A1BE8" w:rsidRPr="001E2876" w:rsidRDefault="002A1BE8" w:rsidP="00DE5A01">
      <w:pPr>
        <w:numPr>
          <w:ilvl w:val="0"/>
          <w:numId w:val="16"/>
        </w:numPr>
        <w:tabs>
          <w:tab w:val="clear" w:pos="567"/>
        </w:tabs>
        <w:autoSpaceDE w:val="0"/>
        <w:autoSpaceDN w:val="0"/>
        <w:adjustRightInd w:val="0"/>
        <w:spacing w:line="240" w:lineRule="auto"/>
        <w:rPr>
          <w:lang w:val="lt-LT"/>
        </w:rPr>
      </w:pPr>
      <w:r w:rsidRPr="001E2876">
        <w:rPr>
          <w:lang w:val="lt-LT"/>
        </w:rPr>
        <w:t>bradikardija (retas širdies ritmas).</w:t>
      </w:r>
    </w:p>
    <w:p w:rsidR="002A1BE8" w:rsidRPr="001E2876" w:rsidRDefault="002A1BE8" w:rsidP="00DE5A01">
      <w:pPr>
        <w:tabs>
          <w:tab w:val="left" w:pos="993"/>
        </w:tabs>
        <w:spacing w:line="240" w:lineRule="auto"/>
        <w:rPr>
          <w:lang w:val="lt-LT"/>
        </w:rPr>
      </w:pPr>
    </w:p>
    <w:p w:rsidR="002A1BE8" w:rsidRPr="001E2876" w:rsidRDefault="003E466E" w:rsidP="00DE5A01">
      <w:pPr>
        <w:tabs>
          <w:tab w:val="left" w:pos="720"/>
        </w:tabs>
        <w:spacing w:line="240" w:lineRule="auto"/>
        <w:rPr>
          <w:b/>
          <w:bCs/>
          <w:lang w:val="lt-LT"/>
        </w:rPr>
      </w:pPr>
      <w:r>
        <w:rPr>
          <w:b/>
          <w:bCs/>
          <w:lang w:val="lt-LT"/>
        </w:rPr>
        <w:t>Toliau</w:t>
      </w:r>
      <w:r w:rsidRPr="001E2876">
        <w:rPr>
          <w:b/>
          <w:bCs/>
          <w:lang w:val="lt-LT"/>
        </w:rPr>
        <w:t xml:space="preserve"> </w:t>
      </w:r>
      <w:r w:rsidR="002A1BE8" w:rsidRPr="001E2876">
        <w:rPr>
          <w:b/>
          <w:bCs/>
          <w:lang w:val="lt-LT"/>
        </w:rPr>
        <w:t>pateikiamas kitų žinomų šalutini</w:t>
      </w:r>
      <w:r>
        <w:rPr>
          <w:b/>
          <w:bCs/>
          <w:lang w:val="lt-LT"/>
        </w:rPr>
        <w:t>o</w:t>
      </w:r>
      <w:r w:rsidR="002A1BE8" w:rsidRPr="001E2876">
        <w:rPr>
          <w:b/>
          <w:bCs/>
          <w:lang w:val="lt-LT"/>
        </w:rPr>
        <w:t xml:space="preserve"> poveiki</w:t>
      </w:r>
      <w:r>
        <w:rPr>
          <w:b/>
          <w:bCs/>
          <w:lang w:val="lt-LT"/>
        </w:rPr>
        <w:t>o reiškinių</w:t>
      </w:r>
      <w:r w:rsidR="002A1BE8" w:rsidRPr="001E2876">
        <w:rPr>
          <w:b/>
          <w:bCs/>
          <w:lang w:val="lt-LT"/>
        </w:rPr>
        <w:t xml:space="preserve"> sąrašas.</w:t>
      </w:r>
    </w:p>
    <w:p w:rsidR="002A1BE8" w:rsidRPr="001E2876" w:rsidRDefault="002A1BE8" w:rsidP="00DE5A01">
      <w:pPr>
        <w:tabs>
          <w:tab w:val="left" w:pos="720"/>
        </w:tabs>
        <w:spacing w:line="240" w:lineRule="auto"/>
        <w:rPr>
          <w:lang w:val="lt-LT"/>
        </w:rPr>
      </w:pPr>
    </w:p>
    <w:p w:rsidR="002A1BE8" w:rsidRPr="001E2876" w:rsidRDefault="002A1BE8" w:rsidP="00DE5A01">
      <w:pPr>
        <w:spacing w:line="240" w:lineRule="auto"/>
        <w:rPr>
          <w:lang w:val="lt-LT"/>
        </w:rPr>
      </w:pPr>
      <w:r w:rsidRPr="001E2876">
        <w:rPr>
          <w:b/>
          <w:bCs/>
          <w:lang w:val="lt-LT"/>
        </w:rPr>
        <w:t>Labai dažni</w:t>
      </w:r>
      <w:r w:rsidR="003E466E">
        <w:rPr>
          <w:b/>
          <w:bCs/>
          <w:lang w:val="lt-LT"/>
        </w:rPr>
        <w:t xml:space="preserve"> </w:t>
      </w:r>
      <w:r w:rsidRPr="001E2876">
        <w:rPr>
          <w:i/>
          <w:iCs/>
          <w:lang w:val="lt-LT"/>
        </w:rPr>
        <w:t>(gali pasireikšti daugiau kaip 1 žmogui iš 10):</w:t>
      </w:r>
    </w:p>
    <w:p w:rsidR="002A1BE8" w:rsidRPr="001E2876" w:rsidRDefault="002A1BE8" w:rsidP="00DE5A01">
      <w:pPr>
        <w:numPr>
          <w:ilvl w:val="0"/>
          <w:numId w:val="17"/>
        </w:numPr>
        <w:tabs>
          <w:tab w:val="clear" w:pos="567"/>
        </w:tabs>
        <w:spacing w:line="240" w:lineRule="auto"/>
        <w:rPr>
          <w:color w:val="000000"/>
          <w:lang w:val="lt-LT"/>
        </w:rPr>
      </w:pPr>
      <w:r w:rsidRPr="001E2876">
        <w:rPr>
          <w:color w:val="000000"/>
          <w:lang w:val="lt-LT"/>
        </w:rPr>
        <w:t>mieguistumas;</w:t>
      </w:r>
    </w:p>
    <w:p w:rsidR="002A1BE8" w:rsidRPr="001E2876" w:rsidRDefault="002A1BE8" w:rsidP="00DE5A01">
      <w:pPr>
        <w:numPr>
          <w:ilvl w:val="0"/>
          <w:numId w:val="17"/>
        </w:numPr>
        <w:tabs>
          <w:tab w:val="clear" w:pos="567"/>
        </w:tabs>
        <w:spacing w:line="240" w:lineRule="auto"/>
        <w:rPr>
          <w:lang w:val="lt-LT"/>
        </w:rPr>
      </w:pPr>
      <w:r w:rsidRPr="001E2876">
        <w:rPr>
          <w:color w:val="000000"/>
          <w:lang w:val="lt-LT"/>
        </w:rPr>
        <w:t>drebulys;</w:t>
      </w:r>
    </w:p>
    <w:p w:rsidR="002A1BE8" w:rsidRPr="001E2876" w:rsidRDefault="002A1BE8" w:rsidP="00DE5A01">
      <w:pPr>
        <w:numPr>
          <w:ilvl w:val="0"/>
          <w:numId w:val="17"/>
        </w:numPr>
        <w:tabs>
          <w:tab w:val="clear" w:pos="567"/>
        </w:tabs>
        <w:spacing w:line="240" w:lineRule="auto"/>
        <w:rPr>
          <w:lang w:val="lt-LT"/>
        </w:rPr>
      </w:pPr>
      <w:r w:rsidRPr="001E2876">
        <w:rPr>
          <w:color w:val="000000"/>
          <w:lang w:val="lt-LT"/>
        </w:rPr>
        <w:t>seilėtekis.</w:t>
      </w:r>
    </w:p>
    <w:p w:rsidR="002A1BE8" w:rsidRPr="001E2876" w:rsidRDefault="002A1BE8" w:rsidP="00DE5A01">
      <w:pPr>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b/>
          <w:bCs/>
          <w:lang w:val="lt-LT"/>
        </w:rPr>
        <w:t>Dažni</w:t>
      </w:r>
      <w:r w:rsidR="003E466E">
        <w:rPr>
          <w:b/>
          <w:bCs/>
          <w:lang w:val="lt-LT"/>
        </w:rPr>
        <w:t xml:space="preserve"> </w:t>
      </w:r>
      <w:r w:rsidRPr="001E2876">
        <w:rPr>
          <w:i/>
          <w:iCs/>
          <w:lang w:val="lt-LT"/>
        </w:rPr>
        <w:t>(gali pasireikšti iki 1 žmogaus iš 10)</w:t>
      </w:r>
      <w:r w:rsidR="00D365D2">
        <w:rPr>
          <w:i/>
          <w:iCs/>
          <w:lang w:val="lt-LT"/>
        </w:rPr>
        <w:t>:</w:t>
      </w:r>
    </w:p>
    <w:p w:rsidR="002A1BE8" w:rsidRPr="001E2876" w:rsidRDefault="002A1BE8" w:rsidP="00DE5A01">
      <w:pPr>
        <w:numPr>
          <w:ilvl w:val="0"/>
          <w:numId w:val="18"/>
        </w:numPr>
        <w:tabs>
          <w:tab w:val="clear" w:pos="567"/>
        </w:tabs>
        <w:autoSpaceDE w:val="0"/>
        <w:autoSpaceDN w:val="0"/>
        <w:adjustRightInd w:val="0"/>
        <w:spacing w:line="240" w:lineRule="auto"/>
        <w:rPr>
          <w:lang w:val="lt-LT"/>
        </w:rPr>
      </w:pPr>
      <w:r w:rsidRPr="001E2876">
        <w:rPr>
          <w:lang w:val="lt-LT"/>
        </w:rPr>
        <w:t>nemiga.</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autoSpaceDE w:val="0"/>
        <w:autoSpaceDN w:val="0"/>
        <w:adjustRightInd w:val="0"/>
        <w:spacing w:line="240" w:lineRule="auto"/>
        <w:rPr>
          <w:lang w:val="lt-LT"/>
        </w:rPr>
      </w:pPr>
      <w:r w:rsidRPr="001E2876">
        <w:rPr>
          <w:b/>
          <w:bCs/>
          <w:lang w:val="lt-LT"/>
        </w:rPr>
        <w:t>Labai reti</w:t>
      </w:r>
      <w:r w:rsidR="003E466E">
        <w:rPr>
          <w:b/>
          <w:bCs/>
          <w:lang w:val="lt-LT"/>
        </w:rPr>
        <w:t xml:space="preserve"> </w:t>
      </w:r>
      <w:r w:rsidRPr="001E2876">
        <w:rPr>
          <w:i/>
          <w:iCs/>
          <w:lang w:val="lt-LT"/>
        </w:rPr>
        <w:t>(gali pasireikšti iki 1 žmogaus iš 10 000):</w:t>
      </w:r>
    </w:p>
    <w:p w:rsidR="002A1BE8" w:rsidRPr="001E2876" w:rsidRDefault="002A1BE8" w:rsidP="00DE5A01">
      <w:pPr>
        <w:numPr>
          <w:ilvl w:val="0"/>
          <w:numId w:val="19"/>
        </w:numPr>
        <w:tabs>
          <w:tab w:val="clear" w:pos="567"/>
        </w:tabs>
        <w:autoSpaceDE w:val="0"/>
        <w:autoSpaceDN w:val="0"/>
        <w:adjustRightInd w:val="0"/>
        <w:spacing w:line="240" w:lineRule="auto"/>
        <w:rPr>
          <w:lang w:val="lt-LT"/>
        </w:rPr>
      </w:pPr>
      <w:r w:rsidRPr="001E2876">
        <w:rPr>
          <w:lang w:val="lt-LT"/>
        </w:rPr>
        <w:t>sumažėjęs atsparumas infekcijoms dėl sumažėjusio baltųjų kraujo kūnelių kiekio (leukopenijos);</w:t>
      </w:r>
    </w:p>
    <w:p w:rsidR="002A1BE8" w:rsidRPr="001E2876" w:rsidRDefault="002A1BE8" w:rsidP="00DE5A01">
      <w:pPr>
        <w:numPr>
          <w:ilvl w:val="0"/>
          <w:numId w:val="19"/>
        </w:numPr>
        <w:tabs>
          <w:tab w:val="clear" w:pos="567"/>
        </w:tabs>
        <w:autoSpaceDE w:val="0"/>
        <w:autoSpaceDN w:val="0"/>
        <w:adjustRightInd w:val="0"/>
        <w:spacing w:line="240" w:lineRule="auto"/>
        <w:rPr>
          <w:lang w:val="lt-LT"/>
        </w:rPr>
      </w:pPr>
      <w:r w:rsidRPr="001E2876">
        <w:rPr>
          <w:lang w:val="lt-LT"/>
        </w:rPr>
        <w:t>sumažėjęs apetitas, dehidratacija (vandens netekimas), kūno svorio kritimas;</w:t>
      </w:r>
    </w:p>
    <w:p w:rsidR="002A1BE8" w:rsidRPr="001E2876" w:rsidRDefault="002A1BE8" w:rsidP="00DE5A01">
      <w:pPr>
        <w:numPr>
          <w:ilvl w:val="0"/>
          <w:numId w:val="19"/>
        </w:numPr>
        <w:tabs>
          <w:tab w:val="clear" w:pos="567"/>
        </w:tabs>
        <w:autoSpaceDE w:val="0"/>
        <w:autoSpaceDN w:val="0"/>
        <w:adjustRightInd w:val="0"/>
        <w:spacing w:line="240" w:lineRule="auto"/>
        <w:rPr>
          <w:lang w:val="lt-LT"/>
        </w:rPr>
      </w:pPr>
      <w:r w:rsidRPr="001E2876">
        <w:rPr>
          <w:lang w:val="lt-LT"/>
        </w:rPr>
        <w:t>fotofobija (saulės šviesos baimė);</w:t>
      </w:r>
    </w:p>
    <w:p w:rsidR="002A1BE8" w:rsidRPr="001E2876" w:rsidRDefault="002A1BE8" w:rsidP="00DE5A01">
      <w:pPr>
        <w:numPr>
          <w:ilvl w:val="0"/>
          <w:numId w:val="19"/>
        </w:numPr>
        <w:tabs>
          <w:tab w:val="clear" w:pos="567"/>
        </w:tabs>
        <w:autoSpaceDE w:val="0"/>
        <w:autoSpaceDN w:val="0"/>
        <w:adjustRightInd w:val="0"/>
        <w:spacing w:line="240" w:lineRule="auto"/>
        <w:rPr>
          <w:lang w:val="lt-LT"/>
        </w:rPr>
      </w:pPr>
      <w:r w:rsidRPr="001E2876">
        <w:rPr>
          <w:lang w:val="lt-LT"/>
        </w:rPr>
        <w:t>išbėrimas, niež</w:t>
      </w:r>
      <w:r w:rsidR="003E466E">
        <w:rPr>
          <w:lang w:val="lt-LT"/>
        </w:rPr>
        <w:t>ėjimas</w:t>
      </w:r>
      <w:r w:rsidRPr="001E2876">
        <w:rPr>
          <w:lang w:val="lt-LT"/>
        </w:rPr>
        <w:t xml:space="preserve"> ar dilgėlinė;</w:t>
      </w:r>
    </w:p>
    <w:p w:rsidR="002A1BE8" w:rsidRPr="001E2876" w:rsidRDefault="002A1BE8" w:rsidP="00DE5A01">
      <w:pPr>
        <w:numPr>
          <w:ilvl w:val="0"/>
          <w:numId w:val="19"/>
        </w:numPr>
        <w:tabs>
          <w:tab w:val="clear" w:pos="567"/>
        </w:tabs>
        <w:autoSpaceDE w:val="0"/>
        <w:autoSpaceDN w:val="0"/>
        <w:adjustRightInd w:val="0"/>
        <w:spacing w:line="240" w:lineRule="auto"/>
        <w:rPr>
          <w:lang w:val="lt-LT"/>
        </w:rPr>
      </w:pPr>
      <w:r w:rsidRPr="001E2876">
        <w:rPr>
          <w:lang w:val="lt-LT"/>
        </w:rPr>
        <w:t>griuvimai.</w:t>
      </w:r>
    </w:p>
    <w:p w:rsidR="002A1BE8" w:rsidRPr="001E2876" w:rsidRDefault="002A1BE8" w:rsidP="00DE5A01">
      <w:pPr>
        <w:autoSpaceDE w:val="0"/>
        <w:autoSpaceDN w:val="0"/>
        <w:adjustRightInd w:val="0"/>
        <w:spacing w:line="240" w:lineRule="auto"/>
        <w:rPr>
          <w:lang w:val="lt-LT"/>
        </w:rPr>
      </w:pPr>
    </w:p>
    <w:p w:rsidR="002A1BE8" w:rsidRPr="001E2876" w:rsidRDefault="002A1BE8" w:rsidP="00DE5A01">
      <w:pPr>
        <w:tabs>
          <w:tab w:val="clear" w:pos="567"/>
        </w:tabs>
        <w:autoSpaceDE w:val="0"/>
        <w:autoSpaceDN w:val="0"/>
        <w:adjustRightInd w:val="0"/>
        <w:spacing w:line="240" w:lineRule="auto"/>
        <w:rPr>
          <w:lang w:val="lt-LT"/>
        </w:rPr>
      </w:pPr>
      <w:r w:rsidRPr="001E2876">
        <w:rPr>
          <w:lang w:val="lt-LT"/>
        </w:rPr>
        <w:t xml:space="preserve">Šalutiniai poveikiai, </w:t>
      </w:r>
      <w:r w:rsidRPr="001E2876">
        <w:rPr>
          <w:b/>
          <w:bCs/>
          <w:lang w:val="lt-LT"/>
        </w:rPr>
        <w:t>kurių dažnis nežinomas</w:t>
      </w:r>
      <w:r w:rsidR="003E466E">
        <w:rPr>
          <w:b/>
          <w:bCs/>
          <w:lang w:val="lt-LT"/>
        </w:rPr>
        <w:t xml:space="preserve"> </w:t>
      </w:r>
      <w:r w:rsidRPr="001E2876">
        <w:rPr>
          <w:i/>
          <w:iCs/>
          <w:lang w:val="lt-LT"/>
        </w:rPr>
        <w:t>(negali būti apskaičiuotas pagal turimus duomenis):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sutrikusi orientacija, nervingumas, nenustygimas, miego sutrikimai;</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ataksija (sutrikusi judesių koordinacija), distonija (nevalingi judesiai dėl pakitusio raumenų tonuso);</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atminties netekimas;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hipertenzinė krizė (pavojingai padidėjęs kraujospūdis);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sutrikęs rijimas, pykinimas, vėmimas, skausmas epigastriume (p</w:t>
      </w:r>
      <w:r>
        <w:rPr>
          <w:lang w:val="lt-LT"/>
        </w:rPr>
        <w:t>akrūtinio srityje</w:t>
      </w:r>
      <w:r w:rsidRPr="001E2876">
        <w:rPr>
          <w:lang w:val="lt-LT"/>
        </w:rPr>
        <w:t>), viduriavimas, vidurių užkietėjimas, sausa burna;</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prakaitavimas;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nereguliarios mėnesinės ar jų nebuvimas;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nuovargis, silpnumas, hipotermija (sumažėjusi kūno temperatūra);</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t>nenormalūs laboratorinių tyrimų duomenys (padidėjęs ALT, AST kiekis);</w:t>
      </w:r>
    </w:p>
    <w:p w:rsidR="002A1BE8" w:rsidRPr="001E2876" w:rsidRDefault="002A1BE8" w:rsidP="00DE5A01">
      <w:pPr>
        <w:numPr>
          <w:ilvl w:val="0"/>
          <w:numId w:val="20"/>
        </w:numPr>
        <w:tabs>
          <w:tab w:val="clear" w:pos="567"/>
        </w:tabs>
        <w:autoSpaceDE w:val="0"/>
        <w:autoSpaceDN w:val="0"/>
        <w:adjustRightInd w:val="0"/>
        <w:spacing w:line="240" w:lineRule="auto"/>
        <w:rPr>
          <w:lang w:val="lt-LT"/>
        </w:rPr>
      </w:pPr>
      <w:r w:rsidRPr="001E2876">
        <w:rPr>
          <w:lang w:val="lt-LT"/>
        </w:rPr>
        <w:lastRenderedPageBreak/>
        <w:t>padidėjęs prolaktino kiekis (dėl to gali atsirasti įvairių sutrikimų – krūtų</w:t>
      </w:r>
      <w:r>
        <w:rPr>
          <w:lang w:val="lt-LT"/>
        </w:rPr>
        <w:t xml:space="preserve"> </w:t>
      </w:r>
      <w:r w:rsidRPr="001E2876">
        <w:rPr>
          <w:lang w:val="lt-LT"/>
        </w:rPr>
        <w:t>išskyrų, vyrų krūtų padidėjimas ar lytinių sutrikimų, pvz., impotencija).</w:t>
      </w:r>
    </w:p>
    <w:p w:rsidR="002A1BE8" w:rsidRPr="001E2876" w:rsidRDefault="002A1BE8" w:rsidP="00DE5A01">
      <w:pPr>
        <w:spacing w:line="240" w:lineRule="auto"/>
        <w:rPr>
          <w:b/>
          <w:bCs/>
          <w:lang w:val="lt-LT"/>
        </w:rPr>
      </w:pPr>
    </w:p>
    <w:p w:rsidR="002A1BE8" w:rsidRPr="001E2876" w:rsidRDefault="002A1BE8" w:rsidP="003E466E">
      <w:pPr>
        <w:spacing w:line="240" w:lineRule="auto"/>
        <w:ind w:right="-1"/>
        <w:rPr>
          <w:b/>
          <w:bCs/>
          <w:lang w:val="lt-LT"/>
        </w:rPr>
      </w:pPr>
      <w:r w:rsidRPr="001E2876">
        <w:rPr>
          <w:b/>
          <w:bCs/>
          <w:lang w:val="lt-LT"/>
        </w:rPr>
        <w:t>Pranešimas apie šalutinį poveikį</w:t>
      </w:r>
    </w:p>
    <w:p w:rsidR="002A1BE8" w:rsidRPr="001E2876" w:rsidRDefault="002A1BE8" w:rsidP="003E466E">
      <w:pPr>
        <w:spacing w:line="240" w:lineRule="auto"/>
        <w:ind w:right="-1"/>
        <w:rPr>
          <w:lang w:val="lt-LT"/>
        </w:rPr>
      </w:pPr>
      <w:r w:rsidRPr="001E2876">
        <w:rPr>
          <w:lang w:val="lt-LT"/>
        </w:rPr>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1E2876">
          <w:rPr>
            <w:rStyle w:val="Hipersaitas"/>
            <w:rFonts w:eastAsia="SimSun"/>
            <w:lang w:val="lt-LT"/>
          </w:rPr>
          <w:t>www.vvkt.lt</w:t>
        </w:r>
      </w:hyperlink>
      <w:r w:rsidRPr="001E2876">
        <w:rPr>
          <w:lang w:val="lt-LT"/>
        </w:rPr>
        <w:t xml:space="preserve"> esančią formą, paštu Valstybinei vaistų kontrolės tarnybai prie Lietuvos Respublikos sveikatos apsaugos ministerijos, Žirmūnų g. 139A, LT 09120 Vilnius, t</w:t>
      </w:r>
      <w:r w:rsidRPr="001E2876">
        <w:rPr>
          <w:lang w:val="lt-LT" w:eastAsia="zh-CN"/>
        </w:rPr>
        <w:t xml:space="preserve">el.: 8 800 73568, </w:t>
      </w:r>
      <w:r w:rsidRPr="001E2876">
        <w:rPr>
          <w:lang w:val="lt-LT"/>
        </w:rPr>
        <w:t xml:space="preserve">faksu 8 800 20131 arba el. paštu </w:t>
      </w:r>
      <w:hyperlink r:id="rId14" w:history="1">
        <w:r w:rsidRPr="001E2876">
          <w:rPr>
            <w:rStyle w:val="Hipersaitas"/>
            <w:rFonts w:eastAsia="SimSun"/>
            <w:lang w:val="lt-LT"/>
          </w:rPr>
          <w:t>NepageidaujamaR@vvkt.lt</w:t>
        </w:r>
      </w:hyperlink>
      <w:r w:rsidRPr="001E2876">
        <w:rPr>
          <w:lang w:val="lt-LT"/>
        </w:rPr>
        <w:t>. Pranešdami apie šalutinį poveikį galite mums padėti gauti daugiau informacijos apie šio vaisto saugumą.</w:t>
      </w:r>
    </w:p>
    <w:p w:rsidR="002A1BE8" w:rsidRPr="001E2876" w:rsidRDefault="002A1BE8" w:rsidP="00DE5A01">
      <w:pPr>
        <w:spacing w:line="240" w:lineRule="auto"/>
        <w:ind w:right="-449"/>
        <w:rPr>
          <w:lang w:val="lt-LT"/>
        </w:rPr>
      </w:pPr>
    </w:p>
    <w:p w:rsidR="002A1BE8" w:rsidRPr="001E2876" w:rsidRDefault="002A1BE8" w:rsidP="00DE5A01">
      <w:pPr>
        <w:spacing w:line="240" w:lineRule="auto"/>
        <w:ind w:right="-449"/>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w:t>
      </w:r>
      <w:r w:rsidRPr="001E2876">
        <w:rPr>
          <w:rFonts w:ascii="Times New Roman" w:hAnsi="Times New Roman" w:cs="Times New Roman"/>
          <w:sz w:val="22"/>
          <w:szCs w:val="22"/>
          <w:lang w:val="lt-LT"/>
        </w:rPr>
        <w:tab/>
        <w:t>Kaip laikyti Xenazine</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spacing w:line="240" w:lineRule="auto"/>
        <w:rPr>
          <w:lang w:val="lt-LT"/>
        </w:rPr>
      </w:pPr>
      <w:r w:rsidRPr="005A5332">
        <w:rPr>
          <w:rFonts w:eastAsia="SimSun"/>
          <w:lang w:val="lt-LT" w:eastAsia="zh-CN"/>
        </w:rPr>
        <w:t>Šio vaistinio preparato laikymui specialių temperatūros sąlygų nereikalaujama.</w:t>
      </w:r>
    </w:p>
    <w:p w:rsidR="002A1BE8" w:rsidRPr="001E2876" w:rsidRDefault="002A1BE8" w:rsidP="00DE5A01">
      <w:pPr>
        <w:numPr>
          <w:ilvl w:val="12"/>
          <w:numId w:val="0"/>
        </w:numPr>
        <w:tabs>
          <w:tab w:val="clear" w:pos="567"/>
        </w:tabs>
        <w:spacing w:line="240" w:lineRule="auto"/>
        <w:ind w:right="-2"/>
        <w:rPr>
          <w:lang w:val="lt-LT"/>
        </w:rPr>
      </w:pPr>
      <w:r w:rsidRPr="001E2876">
        <w:rPr>
          <w:lang w:val="lt-LT"/>
        </w:rPr>
        <w:t>Šį vaistą laikykite vaikams nepastebimoje ir nepasiekiamoje vietoje.</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r w:rsidRPr="001E2876">
        <w:rPr>
          <w:lang w:val="lt-LT"/>
        </w:rPr>
        <w:t>Ant buteliuko po „Tinka iki“ nurodytam tinkamumo laikui pasibaigus, šio vaisto vartoti negalima. Vaistas tinkamas vartoti iki paskutinės nurodyto mėnesio dienos.</w:t>
      </w:r>
    </w:p>
    <w:p w:rsidR="002A1BE8" w:rsidRPr="001E2876" w:rsidRDefault="002A1BE8" w:rsidP="00DE5A01">
      <w:pPr>
        <w:numPr>
          <w:ilvl w:val="12"/>
          <w:numId w:val="0"/>
        </w:numPr>
        <w:tabs>
          <w:tab w:val="left" w:pos="720"/>
        </w:tabs>
        <w:spacing w:line="240" w:lineRule="auto"/>
        <w:rPr>
          <w:lang w:val="lt-LT"/>
        </w:rPr>
      </w:pPr>
      <w:r w:rsidRPr="001E2876">
        <w:rPr>
          <w:lang w:val="lt-LT"/>
        </w:rPr>
        <w:t>Pirmą kartą atidarius buteliuką, šį vaistą reikia suvartoti per 3 mėn</w:t>
      </w:r>
      <w:r>
        <w:rPr>
          <w:lang w:val="lt-LT"/>
        </w:rPr>
        <w:t>esius</w:t>
      </w:r>
      <w:r w:rsidRPr="001E2876">
        <w:rPr>
          <w:lang w:val="lt-LT"/>
        </w:rPr>
        <w:t>.</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i/>
          <w:iCs/>
          <w:lang w:val="lt-LT"/>
        </w:rPr>
      </w:pPr>
      <w:r w:rsidRPr="001E2876">
        <w:rPr>
          <w:lang w:val="lt-LT"/>
        </w:rPr>
        <w:t>Vaistų negalima išmesti į kanalizaciją arba su buitinėmis atliekomis. Kaip išmesti nereikalingus vaistus, klauskite vaistininko. Šios priemonės padės apsaugoti aplinką.</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w:t>
      </w:r>
      <w:r w:rsidRPr="001E2876">
        <w:rPr>
          <w:rFonts w:ascii="Times New Roman" w:hAnsi="Times New Roman" w:cs="Times New Roman"/>
          <w:sz w:val="22"/>
          <w:szCs w:val="22"/>
          <w:lang w:val="lt-LT"/>
        </w:rPr>
        <w:tab/>
        <w:t>Pakuotės turinys ir kita informacija</w:t>
      </w:r>
    </w:p>
    <w:p w:rsidR="002A1BE8" w:rsidRPr="001E2876" w:rsidRDefault="002A1BE8" w:rsidP="00DE5A01">
      <w:pPr>
        <w:numPr>
          <w:ilvl w:val="12"/>
          <w:numId w:val="0"/>
        </w:numPr>
        <w:tabs>
          <w:tab w:val="clear" w:pos="567"/>
        </w:tabs>
        <w:spacing w:line="240" w:lineRule="auto"/>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Xenazine sudėtis </w:t>
      </w:r>
    </w:p>
    <w:p w:rsidR="002A1BE8" w:rsidRPr="001E2876" w:rsidRDefault="002A1BE8" w:rsidP="00DE5A01">
      <w:pPr>
        <w:numPr>
          <w:ilvl w:val="0"/>
          <w:numId w:val="5"/>
        </w:numPr>
        <w:tabs>
          <w:tab w:val="clear" w:pos="567"/>
        </w:tabs>
        <w:spacing w:line="240" w:lineRule="auto"/>
        <w:ind w:left="567" w:right="-2" w:hanging="567"/>
        <w:rPr>
          <w:lang w:val="lt-LT"/>
        </w:rPr>
      </w:pPr>
      <w:r w:rsidRPr="001E2876">
        <w:rPr>
          <w:lang w:val="lt-LT"/>
        </w:rPr>
        <w:t>Veiklioji medžiaga tetrabenazinas. Kiekvienoje tabletėje yra 25 mg tetrabenazino.</w:t>
      </w:r>
    </w:p>
    <w:p w:rsidR="002A1BE8" w:rsidRPr="001E2876" w:rsidRDefault="002A1BE8" w:rsidP="00DE5A01">
      <w:pPr>
        <w:numPr>
          <w:ilvl w:val="0"/>
          <w:numId w:val="5"/>
        </w:numPr>
        <w:tabs>
          <w:tab w:val="clear" w:pos="567"/>
        </w:tabs>
        <w:spacing w:line="240" w:lineRule="auto"/>
        <w:ind w:left="567" w:right="-2" w:hanging="567"/>
        <w:rPr>
          <w:lang w:val="lt-LT"/>
        </w:rPr>
      </w:pPr>
      <w:r w:rsidRPr="001E2876">
        <w:rPr>
          <w:lang w:val="lt-LT"/>
        </w:rPr>
        <w:t>Pagalbinės medžiagos yra laktozė</w:t>
      </w:r>
      <w:r>
        <w:rPr>
          <w:lang w:val="lt-LT"/>
        </w:rPr>
        <w:t xml:space="preserve"> </w:t>
      </w:r>
      <w:r w:rsidRPr="001E2876">
        <w:rPr>
          <w:lang w:val="lt-LT"/>
        </w:rPr>
        <w:t xml:space="preserve">monohidratas, kukurūzų krakmolas, talkas, magnio stearatas ir dažiklis – </w:t>
      </w:r>
      <w:r>
        <w:rPr>
          <w:lang w:val="lt-LT"/>
        </w:rPr>
        <w:t>geltonasis geležies</w:t>
      </w:r>
      <w:r w:rsidRPr="001E2876">
        <w:rPr>
          <w:lang w:val="lt-LT"/>
        </w:rPr>
        <w:t xml:space="preserve"> oksidas (E172).</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Xenazine išvaizda ir kiekis pakuotėje</w:t>
      </w:r>
    </w:p>
    <w:p w:rsidR="002A1BE8" w:rsidRPr="001E2876" w:rsidRDefault="002A1BE8" w:rsidP="00DE5A01">
      <w:pPr>
        <w:spacing w:line="240" w:lineRule="auto"/>
        <w:rPr>
          <w:lang w:val="lt-LT"/>
        </w:rPr>
      </w:pPr>
      <w:r w:rsidRPr="001E2876">
        <w:rPr>
          <w:lang w:val="lt-LT"/>
        </w:rPr>
        <w:t>Šios tabletės yra gelsvos, cilindrinės, nuožulniais kraštais, 7 mm skersmens. Vienoje tabletės pusėje yra žyma „CL25“, kitoje – vagelė.</w:t>
      </w:r>
    </w:p>
    <w:p w:rsidR="002A1BE8" w:rsidRPr="001E2876" w:rsidRDefault="002A1BE8" w:rsidP="00DE5A01">
      <w:pPr>
        <w:spacing w:line="240" w:lineRule="auto"/>
        <w:rPr>
          <w:lang w:val="lt-LT"/>
        </w:rPr>
      </w:pPr>
    </w:p>
    <w:p w:rsidR="002A1BE8" w:rsidRPr="001E2876" w:rsidRDefault="002A1BE8" w:rsidP="00DE5A01">
      <w:pPr>
        <w:spacing w:line="240" w:lineRule="auto"/>
        <w:rPr>
          <w:lang w:val="lt-LT"/>
        </w:rPr>
      </w:pPr>
      <w:r w:rsidRPr="001E2876">
        <w:rPr>
          <w:lang w:val="lt-LT"/>
        </w:rPr>
        <w:t>Pakuotė: DTPE buteliuke yra 112 tablečių.</w:t>
      </w:r>
    </w:p>
    <w:p w:rsidR="002A1BE8" w:rsidRPr="001E2876" w:rsidRDefault="002A1BE8" w:rsidP="00DE5A01">
      <w:pPr>
        <w:numPr>
          <w:ilvl w:val="12"/>
          <w:numId w:val="0"/>
        </w:numPr>
        <w:tabs>
          <w:tab w:val="clear" w:pos="567"/>
        </w:tabs>
        <w:spacing w:line="240" w:lineRule="auto"/>
        <w:ind w:right="-2"/>
        <w:rPr>
          <w:lang w:val="lt-LT"/>
        </w:rPr>
      </w:pPr>
    </w:p>
    <w:p w:rsidR="002A1BE8" w:rsidRPr="001E2876" w:rsidRDefault="002A1BE8" w:rsidP="00DE5A01">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Rinkodaros teisės turėtojas</w:t>
      </w:r>
      <w:r>
        <w:rPr>
          <w:rFonts w:ascii="Times New Roman" w:hAnsi="Times New Roman" w:cs="Times New Roman"/>
          <w:sz w:val="22"/>
          <w:szCs w:val="22"/>
          <w:lang w:val="lt-LT"/>
        </w:rPr>
        <w:t xml:space="preserve"> ir gamintojas</w:t>
      </w:r>
    </w:p>
    <w:p w:rsidR="002A1BE8" w:rsidRDefault="002A1BE8" w:rsidP="00DE5A01">
      <w:pPr>
        <w:spacing w:line="240" w:lineRule="auto"/>
        <w:rPr>
          <w:lang w:val="lt-LT"/>
        </w:rPr>
      </w:pPr>
    </w:p>
    <w:p w:rsidR="002A1BE8" w:rsidRPr="00FE798E" w:rsidRDefault="002A1BE8" w:rsidP="00DE5A01">
      <w:pPr>
        <w:spacing w:line="240" w:lineRule="auto"/>
        <w:rPr>
          <w:i/>
          <w:iCs/>
          <w:lang w:val="lt-LT"/>
        </w:rPr>
      </w:pPr>
      <w:r w:rsidRPr="00FE798E">
        <w:rPr>
          <w:i/>
          <w:iCs/>
          <w:lang w:val="lt-LT"/>
        </w:rPr>
        <w:t>Rinkodaros teisės turėtojas</w:t>
      </w:r>
    </w:p>
    <w:p w:rsidR="002A1BE8" w:rsidRPr="001E2876" w:rsidRDefault="002A1BE8" w:rsidP="00DE5A01">
      <w:pPr>
        <w:spacing w:line="240" w:lineRule="auto"/>
        <w:rPr>
          <w:lang w:val="lt-LT"/>
        </w:rPr>
      </w:pPr>
      <w:r w:rsidRPr="001E2876">
        <w:rPr>
          <w:lang w:val="lt-LT"/>
        </w:rPr>
        <w:t>PharmaSwiss</w:t>
      </w:r>
      <w:r w:rsidR="006341FC">
        <w:rPr>
          <w:lang w:val="lt-LT"/>
        </w:rPr>
        <w:t xml:space="preserve"> </w:t>
      </w:r>
      <w:r w:rsidRPr="001E2876">
        <w:rPr>
          <w:lang w:val="lt-LT"/>
        </w:rPr>
        <w:t>Česká</w:t>
      </w:r>
      <w:r w:rsidR="006341FC">
        <w:rPr>
          <w:lang w:val="lt-LT"/>
        </w:rPr>
        <w:t xml:space="preserve"> </w:t>
      </w:r>
      <w:r w:rsidRPr="001E2876">
        <w:rPr>
          <w:lang w:val="lt-LT"/>
        </w:rPr>
        <w:t>republika</w:t>
      </w:r>
      <w:r w:rsidR="006341FC">
        <w:rPr>
          <w:lang w:val="lt-LT"/>
        </w:rPr>
        <w:t xml:space="preserve"> </w:t>
      </w:r>
      <w:r w:rsidRPr="001E2876">
        <w:rPr>
          <w:lang w:val="lt-LT"/>
        </w:rPr>
        <w:t>s.r.o.</w:t>
      </w:r>
    </w:p>
    <w:p w:rsidR="002A1BE8" w:rsidRPr="001E2876" w:rsidRDefault="002A1BE8" w:rsidP="00DE5A01">
      <w:pPr>
        <w:spacing w:line="240" w:lineRule="auto"/>
        <w:rPr>
          <w:lang w:val="lt-LT"/>
        </w:rPr>
      </w:pPr>
      <w:r w:rsidRPr="001E2876">
        <w:rPr>
          <w:lang w:val="lt-LT"/>
        </w:rPr>
        <w:t xml:space="preserve">Jankovcova 1569/2c, </w:t>
      </w:r>
    </w:p>
    <w:p w:rsidR="002A1BE8" w:rsidRPr="001E2876" w:rsidRDefault="002A1BE8" w:rsidP="00DE5A01">
      <w:pPr>
        <w:spacing w:line="240" w:lineRule="auto"/>
        <w:rPr>
          <w:lang w:val="lt-LT"/>
        </w:rPr>
      </w:pPr>
      <w:r w:rsidRPr="001E2876">
        <w:rPr>
          <w:lang w:val="lt-LT"/>
        </w:rPr>
        <w:t>170 00 Prague</w:t>
      </w:r>
    </w:p>
    <w:p w:rsidR="002A1BE8" w:rsidRPr="001E2876" w:rsidRDefault="002A1BE8" w:rsidP="00DE5A01">
      <w:pPr>
        <w:spacing w:line="240" w:lineRule="auto"/>
        <w:rPr>
          <w:lang w:val="lt-LT"/>
        </w:rPr>
      </w:pPr>
      <w:r w:rsidRPr="001E2876">
        <w:rPr>
          <w:lang w:val="lt-LT"/>
        </w:rPr>
        <w:t>Čekij</w:t>
      </w:r>
      <w:r>
        <w:rPr>
          <w:lang w:val="lt-LT"/>
        </w:rPr>
        <w:t>a</w:t>
      </w:r>
    </w:p>
    <w:p w:rsidR="002A1BE8" w:rsidRPr="001E2876" w:rsidRDefault="002A1BE8" w:rsidP="00DE5A01">
      <w:pPr>
        <w:spacing w:line="240" w:lineRule="auto"/>
        <w:rPr>
          <w:lang w:val="lt-LT"/>
        </w:rPr>
      </w:pPr>
    </w:p>
    <w:p w:rsidR="002A1BE8" w:rsidRPr="00FE798E" w:rsidRDefault="002A1BE8" w:rsidP="00DE5A01">
      <w:pPr>
        <w:pStyle w:val="Antrat4"/>
        <w:spacing w:line="240" w:lineRule="auto"/>
        <w:rPr>
          <w:rFonts w:cs="Times New Roman"/>
          <w:b w:val="0"/>
          <w:bCs w:val="0"/>
          <w:i/>
          <w:iCs/>
          <w:sz w:val="22"/>
          <w:szCs w:val="22"/>
          <w:lang w:val="lt-LT"/>
        </w:rPr>
      </w:pPr>
      <w:r w:rsidRPr="00FE798E">
        <w:rPr>
          <w:rFonts w:ascii="Times New Roman" w:hAnsi="Times New Roman" w:cs="Times New Roman"/>
          <w:b w:val="0"/>
          <w:bCs w:val="0"/>
          <w:i/>
          <w:iCs/>
          <w:sz w:val="22"/>
          <w:szCs w:val="22"/>
          <w:lang w:val="lt-LT"/>
        </w:rPr>
        <w:t>Gamintoja</w:t>
      </w:r>
      <w:r w:rsidR="0067211B">
        <w:rPr>
          <w:rFonts w:ascii="Times New Roman" w:hAnsi="Times New Roman" w:cs="Times New Roman"/>
          <w:b w:val="0"/>
          <w:bCs w:val="0"/>
          <w:i/>
          <w:iCs/>
          <w:sz w:val="22"/>
          <w:szCs w:val="22"/>
          <w:lang w:val="lt-LT"/>
        </w:rPr>
        <w:t>s</w:t>
      </w:r>
    </w:p>
    <w:p w:rsidR="002A1BE8" w:rsidRPr="00A12702" w:rsidRDefault="002A1BE8" w:rsidP="00DE5A01">
      <w:pPr>
        <w:spacing w:line="240" w:lineRule="auto"/>
        <w:rPr>
          <w:lang w:val="lt-LT"/>
        </w:rPr>
      </w:pPr>
      <w:r w:rsidRPr="00A12702">
        <w:rPr>
          <w:lang w:val="lt-LT"/>
        </w:rPr>
        <w:t>Recipharm</w:t>
      </w:r>
      <w:r w:rsidR="006341FC">
        <w:rPr>
          <w:lang w:val="lt-LT"/>
        </w:rPr>
        <w:t xml:space="preserve"> </w:t>
      </w:r>
      <w:r w:rsidRPr="00A12702">
        <w:rPr>
          <w:lang w:val="lt-LT"/>
        </w:rPr>
        <w:t>Fontaine S.A.S.</w:t>
      </w:r>
    </w:p>
    <w:p w:rsidR="002A1BE8" w:rsidRPr="00A12702" w:rsidRDefault="002A1BE8" w:rsidP="00DE5A01">
      <w:pPr>
        <w:spacing w:line="240" w:lineRule="auto"/>
        <w:rPr>
          <w:lang w:val="lt-LT"/>
        </w:rPr>
      </w:pPr>
      <w:r w:rsidRPr="00A12702">
        <w:rPr>
          <w:lang w:val="lt-LT"/>
        </w:rPr>
        <w:t>Rue</w:t>
      </w:r>
      <w:r w:rsidR="006341FC">
        <w:rPr>
          <w:lang w:val="lt-LT"/>
        </w:rPr>
        <w:t xml:space="preserve"> </w:t>
      </w:r>
      <w:r w:rsidRPr="00A12702">
        <w:rPr>
          <w:lang w:val="lt-LT"/>
        </w:rPr>
        <w:t>des</w:t>
      </w:r>
      <w:r w:rsidR="006341FC">
        <w:rPr>
          <w:lang w:val="lt-LT"/>
        </w:rPr>
        <w:t xml:space="preserve"> </w:t>
      </w:r>
      <w:r w:rsidRPr="00A12702">
        <w:rPr>
          <w:lang w:val="lt-LT"/>
        </w:rPr>
        <w:t>Près</w:t>
      </w:r>
      <w:r w:rsidR="006341FC">
        <w:rPr>
          <w:lang w:val="lt-LT"/>
        </w:rPr>
        <w:t xml:space="preserve"> </w:t>
      </w:r>
      <w:r w:rsidRPr="00A12702">
        <w:rPr>
          <w:lang w:val="lt-LT"/>
        </w:rPr>
        <w:t>Potets</w:t>
      </w:r>
    </w:p>
    <w:p w:rsidR="002A1BE8" w:rsidRPr="00A12702" w:rsidRDefault="002A1BE8" w:rsidP="00DE5A01">
      <w:pPr>
        <w:spacing w:line="240" w:lineRule="auto"/>
        <w:rPr>
          <w:lang w:val="lt-LT"/>
        </w:rPr>
      </w:pPr>
      <w:r w:rsidRPr="00A12702">
        <w:rPr>
          <w:lang w:val="lt-LT"/>
        </w:rPr>
        <w:t>21121 Fontaine-Lès-Dijon</w:t>
      </w:r>
    </w:p>
    <w:p w:rsidR="002A1BE8" w:rsidRPr="00A12702" w:rsidRDefault="002A1BE8" w:rsidP="00DE5A01">
      <w:pPr>
        <w:spacing w:line="240" w:lineRule="auto"/>
        <w:rPr>
          <w:lang w:val="lt-LT"/>
        </w:rPr>
      </w:pPr>
      <w:r w:rsidRPr="00A12702">
        <w:rPr>
          <w:lang w:val="lt-LT"/>
        </w:rPr>
        <w:t>Prancūzija</w:t>
      </w:r>
    </w:p>
    <w:p w:rsidR="002A1BE8" w:rsidRDefault="002A1BE8" w:rsidP="00DE5A01">
      <w:pPr>
        <w:spacing w:line="240" w:lineRule="auto"/>
        <w:rPr>
          <w:lang w:val="lt-LT"/>
        </w:rPr>
      </w:pPr>
    </w:p>
    <w:p w:rsidR="002A1BE8" w:rsidRPr="00A12702" w:rsidRDefault="002A1BE8" w:rsidP="00DE5A01">
      <w:pPr>
        <w:spacing w:line="240" w:lineRule="auto"/>
        <w:rPr>
          <w:lang w:val="lt-LT"/>
        </w:rPr>
      </w:pPr>
    </w:p>
    <w:p w:rsidR="002A1BE8" w:rsidRPr="001E2876" w:rsidRDefault="002A1BE8" w:rsidP="005B268E">
      <w:pPr>
        <w:numPr>
          <w:ilvl w:val="12"/>
          <w:numId w:val="0"/>
        </w:numPr>
        <w:spacing w:line="240" w:lineRule="auto"/>
        <w:ind w:right="-2"/>
        <w:rPr>
          <w:lang w:val="lt-LT"/>
        </w:rPr>
      </w:pPr>
      <w:r w:rsidRPr="001E2876">
        <w:rPr>
          <w:lang w:val="lt-LT"/>
        </w:rPr>
        <w:t>Jeigu apie šį vaistą norite sužinoti daugiau, kreipkitės į vietinį rinkodaros teisės turėtojo atstovą:</w:t>
      </w:r>
    </w:p>
    <w:p w:rsidR="002A1BE8" w:rsidRPr="00ED1E2B" w:rsidRDefault="002A1BE8" w:rsidP="005B268E">
      <w:pPr>
        <w:tabs>
          <w:tab w:val="clear" w:pos="567"/>
        </w:tabs>
        <w:spacing w:line="240" w:lineRule="auto"/>
        <w:rPr>
          <w:rFonts w:eastAsia="MS Mincho"/>
          <w:lang w:val="lt-LT"/>
        </w:rPr>
      </w:pPr>
      <w:r w:rsidRPr="00ED1E2B">
        <w:rPr>
          <w:rFonts w:eastAsia="MS Mincho"/>
          <w:lang w:val="lt-LT"/>
        </w:rPr>
        <w:t xml:space="preserve">UAB „PharmaSwiss“ </w:t>
      </w:r>
    </w:p>
    <w:p w:rsidR="002A1BE8" w:rsidRPr="00ED1E2B" w:rsidRDefault="002A1BE8" w:rsidP="005B268E">
      <w:pPr>
        <w:tabs>
          <w:tab w:val="clear" w:pos="567"/>
        </w:tabs>
        <w:spacing w:line="240" w:lineRule="auto"/>
        <w:rPr>
          <w:rFonts w:eastAsia="MS Mincho"/>
          <w:lang w:val="lt-LT"/>
        </w:rPr>
      </w:pPr>
      <w:r w:rsidRPr="00ED1E2B">
        <w:rPr>
          <w:rFonts w:eastAsia="MS Mincho"/>
          <w:lang w:val="lt-LT"/>
        </w:rPr>
        <w:lastRenderedPageBreak/>
        <w:t>Šeimyniškių 21 B</w:t>
      </w:r>
    </w:p>
    <w:p w:rsidR="002A1BE8" w:rsidRPr="00ED1E2B" w:rsidRDefault="002A1BE8" w:rsidP="005B268E">
      <w:pPr>
        <w:tabs>
          <w:tab w:val="clear" w:pos="567"/>
        </w:tabs>
        <w:spacing w:line="240" w:lineRule="auto"/>
        <w:rPr>
          <w:rFonts w:eastAsia="MS Mincho"/>
          <w:lang w:val="lt-LT"/>
        </w:rPr>
      </w:pPr>
      <w:r w:rsidRPr="00ED1E2B">
        <w:rPr>
          <w:rFonts w:eastAsia="MS Mincho"/>
          <w:lang w:val="lt-LT"/>
        </w:rPr>
        <w:t xml:space="preserve">LT-09200 Vilnius </w:t>
      </w:r>
    </w:p>
    <w:p w:rsidR="002A1BE8" w:rsidRPr="00ED1E2B" w:rsidRDefault="002A1BE8" w:rsidP="005B268E">
      <w:pPr>
        <w:tabs>
          <w:tab w:val="clear" w:pos="567"/>
        </w:tabs>
        <w:spacing w:line="240" w:lineRule="auto"/>
        <w:rPr>
          <w:rFonts w:eastAsia="MS Mincho"/>
          <w:lang w:val="lt-LT"/>
        </w:rPr>
      </w:pPr>
      <w:r w:rsidRPr="00ED1E2B">
        <w:rPr>
          <w:rFonts w:eastAsia="MS Mincho"/>
          <w:lang w:val="lt-LT"/>
        </w:rPr>
        <w:t>Tel. +370 5 2790 762</w:t>
      </w:r>
    </w:p>
    <w:p w:rsidR="002A1BE8" w:rsidRPr="001E2876" w:rsidRDefault="002A1BE8" w:rsidP="005B268E">
      <w:pPr>
        <w:spacing w:line="240" w:lineRule="auto"/>
        <w:ind w:left="567" w:hanging="567"/>
        <w:rPr>
          <w:lang w:val="lt-LT"/>
        </w:rPr>
      </w:pPr>
    </w:p>
    <w:p w:rsidR="002A1BE8" w:rsidRPr="001E2876" w:rsidRDefault="002A1BE8" w:rsidP="00DE5A01">
      <w:pPr>
        <w:tabs>
          <w:tab w:val="left" w:pos="720"/>
        </w:tabs>
        <w:spacing w:line="240" w:lineRule="auto"/>
        <w:rPr>
          <w:i/>
          <w:iCs/>
          <w:lang w:val="lt-LT"/>
        </w:rPr>
      </w:pPr>
      <w:r w:rsidRPr="00A12702">
        <w:rPr>
          <w:b/>
          <w:bCs/>
          <w:lang w:val="lt-LT"/>
        </w:rPr>
        <w:t>Šio vaistinio prepar</w:t>
      </w:r>
      <w:r w:rsidRPr="001E2876">
        <w:rPr>
          <w:b/>
          <w:bCs/>
          <w:lang w:val="lt-LT"/>
        </w:rPr>
        <w:t>ato rinkodaros teisė EEE valstybėse narėse suteikta tokiais pavadinimais</w:t>
      </w:r>
      <w:r w:rsidRPr="001E2876">
        <w:rPr>
          <w:lang w:val="lt-LT"/>
        </w:rPr>
        <w:t>:</w:t>
      </w:r>
    </w:p>
    <w:p w:rsidR="002A1BE8" w:rsidRPr="00066820" w:rsidRDefault="002A1BE8" w:rsidP="00066820">
      <w:pPr>
        <w:tabs>
          <w:tab w:val="clear" w:pos="567"/>
        </w:tabs>
        <w:autoSpaceDE w:val="0"/>
        <w:autoSpaceDN w:val="0"/>
        <w:adjustRightInd w:val="0"/>
        <w:spacing w:line="240" w:lineRule="auto"/>
        <w:rPr>
          <w:color w:val="000000"/>
          <w:sz w:val="24"/>
          <w:szCs w:val="24"/>
          <w:lang w:val="en-US"/>
        </w:rPr>
      </w:pPr>
    </w:p>
    <w:tbl>
      <w:tblPr>
        <w:tblW w:w="2860" w:type="pct"/>
        <w:tblInd w:w="-106" w:type="dxa"/>
        <w:tblLook w:val="0000" w:firstRow="0" w:lastRow="0" w:firstColumn="0" w:lastColumn="0" w:noHBand="0" w:noVBand="0"/>
      </w:tblPr>
      <w:tblGrid>
        <w:gridCol w:w="2234"/>
        <w:gridCol w:w="3402"/>
      </w:tblGrid>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Suomija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tabletti</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Čekija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tablety</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Estija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Graikija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 xml:space="preserve">Xenazine 25 mg δισκία </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Vengrija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tabletta</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Latvija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tabletes</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Lietuva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tabletės</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Lenkija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w:t>
            </w:r>
          </w:p>
        </w:tc>
      </w:tr>
      <w:tr w:rsidR="002A1BE8" w:rsidRPr="00066820">
        <w:trPr>
          <w:trHeight w:val="197"/>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Rumunija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Pr>
                <w:color w:val="000000"/>
                <w:sz w:val="23"/>
                <w:szCs w:val="23"/>
                <w:lang w:val="en-US"/>
              </w:rPr>
              <w:t>Xenazine 25 mg comprimate</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Slovakija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tablety</w:t>
            </w:r>
          </w:p>
        </w:tc>
      </w:tr>
      <w:tr w:rsidR="002A1BE8" w:rsidRPr="00066820">
        <w:trPr>
          <w:trHeight w:val="295"/>
        </w:trPr>
        <w:tc>
          <w:tcPr>
            <w:tcW w:w="1982" w:type="pct"/>
          </w:tcPr>
          <w:p w:rsidR="002A1BE8" w:rsidRPr="00066820" w:rsidRDefault="002A1BE8" w:rsidP="00066820">
            <w:pPr>
              <w:tabs>
                <w:tab w:val="clear" w:pos="567"/>
              </w:tabs>
              <w:autoSpaceDE w:val="0"/>
              <w:autoSpaceDN w:val="0"/>
              <w:adjustRightInd w:val="0"/>
              <w:spacing w:line="240" w:lineRule="auto"/>
              <w:rPr>
                <w:color w:val="000000"/>
                <w:sz w:val="23"/>
                <w:szCs w:val="23"/>
                <w:lang w:val="lt-LT"/>
              </w:rPr>
            </w:pPr>
            <w:r>
              <w:rPr>
                <w:color w:val="000000"/>
                <w:sz w:val="23"/>
                <w:szCs w:val="23"/>
                <w:lang w:val="lt-LT"/>
              </w:rPr>
              <w:t>Slovėnija</w:t>
            </w:r>
          </w:p>
        </w:tc>
        <w:tc>
          <w:tcPr>
            <w:tcW w:w="3018" w:type="pct"/>
          </w:tcPr>
          <w:p w:rsidR="002A1BE8" w:rsidRPr="00066820" w:rsidRDefault="002A1BE8" w:rsidP="00066820">
            <w:pPr>
              <w:tabs>
                <w:tab w:val="clear" w:pos="567"/>
              </w:tabs>
              <w:autoSpaceDE w:val="0"/>
              <w:autoSpaceDN w:val="0"/>
              <w:adjustRightInd w:val="0"/>
              <w:spacing w:line="240" w:lineRule="auto"/>
              <w:rPr>
                <w:color w:val="000000"/>
                <w:sz w:val="23"/>
                <w:szCs w:val="23"/>
                <w:lang w:val="en-US"/>
              </w:rPr>
            </w:pPr>
            <w:r w:rsidRPr="00066820">
              <w:rPr>
                <w:color w:val="000000"/>
                <w:sz w:val="23"/>
                <w:szCs w:val="23"/>
                <w:lang w:val="en-US"/>
              </w:rPr>
              <w:t>Xenazine 25 mg tablete</w:t>
            </w:r>
          </w:p>
        </w:tc>
      </w:tr>
    </w:tbl>
    <w:p w:rsidR="002A1BE8" w:rsidRDefault="002A1BE8" w:rsidP="00DE5A01">
      <w:pPr>
        <w:numPr>
          <w:ilvl w:val="12"/>
          <w:numId w:val="0"/>
        </w:numPr>
        <w:tabs>
          <w:tab w:val="clear" w:pos="567"/>
        </w:tabs>
        <w:spacing w:line="240" w:lineRule="auto"/>
        <w:ind w:right="-2"/>
        <w:rPr>
          <w:lang w:val="lt-LT"/>
        </w:rPr>
      </w:pPr>
    </w:p>
    <w:p w:rsidR="00D47133" w:rsidRPr="001E2876" w:rsidRDefault="00D47133" w:rsidP="00DE5A01">
      <w:pPr>
        <w:numPr>
          <w:ilvl w:val="12"/>
          <w:numId w:val="0"/>
        </w:numPr>
        <w:tabs>
          <w:tab w:val="clear" w:pos="567"/>
        </w:tabs>
        <w:spacing w:line="240" w:lineRule="auto"/>
        <w:ind w:right="-2"/>
        <w:rPr>
          <w:lang w:val="lt-LT"/>
        </w:rPr>
      </w:pPr>
    </w:p>
    <w:p w:rsidR="002A1BE8" w:rsidRPr="001E2876" w:rsidRDefault="002A1BE8" w:rsidP="00DE5A01">
      <w:pPr>
        <w:numPr>
          <w:ilvl w:val="12"/>
          <w:numId w:val="0"/>
        </w:numPr>
        <w:tabs>
          <w:tab w:val="clear" w:pos="567"/>
        </w:tabs>
        <w:spacing w:line="240" w:lineRule="auto"/>
        <w:ind w:right="-2"/>
        <w:rPr>
          <w:b/>
          <w:bCs/>
          <w:lang w:val="lt-LT"/>
        </w:rPr>
      </w:pPr>
      <w:r w:rsidRPr="001E2876">
        <w:rPr>
          <w:b/>
          <w:bCs/>
          <w:lang w:val="lt-LT"/>
        </w:rPr>
        <w:t>Šis pakuotės lapelis pask</w:t>
      </w:r>
      <w:r w:rsidR="00D47133">
        <w:rPr>
          <w:b/>
          <w:bCs/>
          <w:lang w:val="lt-LT"/>
        </w:rPr>
        <w:t xml:space="preserve">utinį kartą peržiūrėtas </w:t>
      </w:r>
      <w:r w:rsidR="0067211B">
        <w:rPr>
          <w:b/>
          <w:bCs/>
          <w:lang w:val="lt-LT"/>
        </w:rPr>
        <w:t>2015-07-14</w:t>
      </w:r>
    </w:p>
    <w:p w:rsidR="002A1BE8" w:rsidRDefault="002A1BE8" w:rsidP="00DE5A01">
      <w:pPr>
        <w:tabs>
          <w:tab w:val="clear" w:pos="567"/>
        </w:tabs>
        <w:spacing w:line="240" w:lineRule="auto"/>
        <w:rPr>
          <w:lang w:val="lt-LT"/>
        </w:rPr>
      </w:pPr>
    </w:p>
    <w:p w:rsidR="00D47133" w:rsidRPr="001E2876" w:rsidRDefault="00D47133" w:rsidP="00DE5A01">
      <w:pPr>
        <w:tabs>
          <w:tab w:val="clear" w:pos="567"/>
        </w:tabs>
        <w:spacing w:line="240" w:lineRule="auto"/>
        <w:rPr>
          <w:lang w:val="lt-LT"/>
        </w:rPr>
      </w:pPr>
    </w:p>
    <w:p w:rsidR="002A1BE8" w:rsidRDefault="002A1BE8" w:rsidP="00DE5A01">
      <w:pPr>
        <w:numPr>
          <w:ilvl w:val="12"/>
          <w:numId w:val="0"/>
        </w:numPr>
        <w:spacing w:line="240" w:lineRule="auto"/>
        <w:ind w:right="-2"/>
        <w:rPr>
          <w:lang w:val="lt-LT"/>
        </w:rPr>
      </w:pPr>
      <w:r w:rsidRPr="001E2876">
        <w:rPr>
          <w:lang w:val="lt-LT"/>
        </w:rPr>
        <w:t xml:space="preserve">Išsami informacija apie šį vaistą pateikiama Valstybinės vaistų kontrolės tarnybos prie Lietuvos Respublikos sveikatos apsaugos ministerijos </w:t>
      </w:r>
      <w:proofErr w:type="spellStart"/>
      <w:r w:rsidRPr="001E2876">
        <w:rPr>
          <w:lang w:val="lt-LT"/>
        </w:rPr>
        <w:t>tinklalapyje</w:t>
      </w:r>
      <w:hyperlink r:id="rId15" w:history="1">
        <w:r w:rsidRPr="001E2876">
          <w:rPr>
            <w:rStyle w:val="Hipersaitas"/>
            <w:rFonts w:eastAsia="SimSun"/>
            <w:lang w:val="lt-LT"/>
          </w:rPr>
          <w:t>http</w:t>
        </w:r>
        <w:proofErr w:type="spellEnd"/>
        <w:r w:rsidRPr="001E2876">
          <w:rPr>
            <w:rStyle w:val="Hipersaitas"/>
            <w:rFonts w:eastAsia="SimSun"/>
            <w:lang w:val="lt-LT"/>
          </w:rPr>
          <w:t>://</w:t>
        </w:r>
        <w:proofErr w:type="spellStart"/>
        <w:r w:rsidRPr="001E2876">
          <w:rPr>
            <w:rStyle w:val="Hipersaitas"/>
            <w:rFonts w:eastAsia="SimSun"/>
            <w:lang w:val="lt-LT"/>
          </w:rPr>
          <w:t>www.vvkt.lt</w:t>
        </w:r>
        <w:proofErr w:type="spellEnd"/>
        <w:r w:rsidRPr="001E2876">
          <w:rPr>
            <w:rStyle w:val="Hipersaitas"/>
            <w:rFonts w:eastAsia="SimSun"/>
            <w:lang w:val="lt-LT"/>
          </w:rPr>
          <w:t>/</w:t>
        </w:r>
      </w:hyperlink>
      <w:r w:rsidRPr="001E2876">
        <w:rPr>
          <w:lang w:val="lt-LT"/>
        </w:rPr>
        <w:t>.</w:t>
      </w:r>
    </w:p>
    <w:p w:rsidR="0067211B" w:rsidRDefault="0067211B" w:rsidP="00DE5A01">
      <w:pPr>
        <w:numPr>
          <w:ilvl w:val="12"/>
          <w:numId w:val="0"/>
        </w:numPr>
        <w:spacing w:line="240" w:lineRule="auto"/>
        <w:ind w:right="-2"/>
        <w:rPr>
          <w:lang w:val="lt-LT"/>
        </w:rPr>
      </w:pPr>
    </w:p>
    <w:p w:rsidR="0067211B" w:rsidRPr="001E2876" w:rsidRDefault="0067211B" w:rsidP="00DE5A01">
      <w:pPr>
        <w:numPr>
          <w:ilvl w:val="12"/>
          <w:numId w:val="0"/>
        </w:numPr>
        <w:spacing w:line="240" w:lineRule="auto"/>
        <w:ind w:right="-2"/>
        <w:rPr>
          <w:lang w:val="lt-LT"/>
        </w:rPr>
      </w:pPr>
      <w:bookmarkStart w:id="1" w:name="_GoBack"/>
      <w:bookmarkEnd w:id="1"/>
      <w:permStart w:id="211234455" w:edGrp="everyone"/>
      <w:permEnd w:id="211234455"/>
    </w:p>
    <w:sectPr w:rsidR="0067211B" w:rsidRPr="001E2876" w:rsidSect="007D3BAF">
      <w:footerReference w:type="default" r:id="rId16"/>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7B" w:rsidRDefault="00B67A7B" w:rsidP="003A708E">
      <w:pPr>
        <w:spacing w:line="240" w:lineRule="auto"/>
      </w:pPr>
      <w:r>
        <w:separator/>
      </w:r>
    </w:p>
  </w:endnote>
  <w:endnote w:type="continuationSeparator" w:id="0">
    <w:p w:rsidR="00B67A7B" w:rsidRDefault="00B67A7B" w:rsidP="003A708E">
      <w:pPr>
        <w:spacing w:line="240" w:lineRule="auto"/>
      </w:pPr>
      <w:r>
        <w:continuationSeparator/>
      </w:r>
    </w:p>
  </w:endnote>
  <w:endnote w:type="continuationNotice" w:id="1">
    <w:p w:rsidR="00B67A7B" w:rsidRDefault="00B67A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E8" w:rsidRPr="00D47133" w:rsidRDefault="002A1BE8" w:rsidP="00F00B20">
    <w:pPr>
      <w:pStyle w:val="Porat"/>
      <w:framePr w:wrap="auto" w:vAnchor="text" w:hAnchor="margin" w:xAlign="right" w:y="1"/>
      <w:rPr>
        <w:rStyle w:val="Puslapionumeris"/>
      </w:rPr>
    </w:pPr>
    <w:r w:rsidRPr="00D47133">
      <w:rPr>
        <w:rStyle w:val="Puslapionumeris"/>
      </w:rPr>
      <w:fldChar w:fldCharType="begin"/>
    </w:r>
    <w:r w:rsidRPr="00D47133">
      <w:rPr>
        <w:rStyle w:val="Puslapionumeris"/>
      </w:rPr>
      <w:instrText xml:space="preserve">PAGE  </w:instrText>
    </w:r>
    <w:r w:rsidRPr="00D47133">
      <w:rPr>
        <w:rStyle w:val="Puslapionumeris"/>
      </w:rPr>
      <w:fldChar w:fldCharType="separate"/>
    </w:r>
    <w:r w:rsidR="0067211B">
      <w:rPr>
        <w:rStyle w:val="Puslapionumeris"/>
        <w:noProof/>
      </w:rPr>
      <w:t>27</w:t>
    </w:r>
    <w:r w:rsidRPr="00D47133">
      <w:rPr>
        <w:rStyle w:val="Puslapionumeris"/>
      </w:rPr>
      <w:fldChar w:fldCharType="end"/>
    </w:r>
  </w:p>
  <w:p w:rsidR="002A1BE8" w:rsidRDefault="002A1BE8" w:rsidP="00F00B2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7B" w:rsidRDefault="00B67A7B" w:rsidP="003A708E">
      <w:pPr>
        <w:spacing w:line="240" w:lineRule="auto"/>
      </w:pPr>
      <w:r>
        <w:separator/>
      </w:r>
    </w:p>
  </w:footnote>
  <w:footnote w:type="continuationSeparator" w:id="0">
    <w:p w:rsidR="00B67A7B" w:rsidRDefault="00B67A7B" w:rsidP="003A708E">
      <w:pPr>
        <w:spacing w:line="240" w:lineRule="auto"/>
      </w:pPr>
      <w:r>
        <w:continuationSeparator/>
      </w:r>
    </w:p>
  </w:footnote>
  <w:footnote w:type="continuationNotice" w:id="1">
    <w:p w:rsidR="00B67A7B" w:rsidRDefault="00B67A7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EE55DF"/>
    <w:multiLevelType w:val="hybridMultilevel"/>
    <w:tmpl w:val="39C21A6C"/>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F71125E"/>
    <w:multiLevelType w:val="hybridMultilevel"/>
    <w:tmpl w:val="AB9E7D0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nsid w:val="17DE58C3"/>
    <w:multiLevelType w:val="hybridMultilevel"/>
    <w:tmpl w:val="12D4A86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B2A3DB4"/>
    <w:multiLevelType w:val="hybridMultilevel"/>
    <w:tmpl w:val="D18C743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1D1316E9"/>
    <w:multiLevelType w:val="hybridMultilevel"/>
    <w:tmpl w:val="1C36AC02"/>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D48670F"/>
    <w:multiLevelType w:val="hybridMultilevel"/>
    <w:tmpl w:val="07DCF9D8"/>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2F6569FA"/>
    <w:multiLevelType w:val="hybridMultilevel"/>
    <w:tmpl w:val="B77804E2"/>
    <w:lvl w:ilvl="0" w:tplc="FFFFFFFF">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36CC6E52"/>
    <w:multiLevelType w:val="hybridMultilevel"/>
    <w:tmpl w:val="27BCA94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397B6EB6"/>
    <w:multiLevelType w:val="hybridMultilevel"/>
    <w:tmpl w:val="1E0AB2CA"/>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nsid w:val="4E80523D"/>
    <w:multiLevelType w:val="hybridMultilevel"/>
    <w:tmpl w:val="8DB2516E"/>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54F0379F"/>
    <w:multiLevelType w:val="hybridMultilevel"/>
    <w:tmpl w:val="3522A77E"/>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nsid w:val="679E6CEE"/>
    <w:multiLevelType w:val="hybridMultilevel"/>
    <w:tmpl w:val="582ABA4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FA37EF2"/>
    <w:multiLevelType w:val="hybridMultilevel"/>
    <w:tmpl w:val="C908B21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7D9336D3"/>
    <w:multiLevelType w:val="hybridMultilevel"/>
    <w:tmpl w:val="F418C69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7FC753AA"/>
    <w:multiLevelType w:val="hybridMultilevel"/>
    <w:tmpl w:val="CFC8B4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cs="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17"/>
  </w:num>
  <w:num w:numId="8">
    <w:abstractNumId w:val="8"/>
  </w:num>
  <w:num w:numId="9">
    <w:abstractNumId w:val="4"/>
  </w:num>
  <w:num w:numId="10">
    <w:abstractNumId w:val="6"/>
  </w:num>
  <w:num w:numId="11">
    <w:abstractNumId w:val="10"/>
  </w:num>
  <w:num w:numId="12">
    <w:abstractNumId w:val="7"/>
  </w:num>
  <w:num w:numId="13">
    <w:abstractNumId w:val="5"/>
  </w:num>
  <w:num w:numId="14">
    <w:abstractNumId w:val="11"/>
  </w:num>
  <w:num w:numId="15">
    <w:abstractNumId w:val="16"/>
  </w:num>
  <w:num w:numId="16">
    <w:abstractNumId w:val="13"/>
  </w:num>
  <w:num w:numId="17">
    <w:abstractNumId w:val="15"/>
  </w:num>
  <w:num w:numId="18">
    <w:abstractNumId w:val="12"/>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ocumentProtection w:edit="readOnly" w:enforcement="1" w:cryptProviderType="rsaFull" w:cryptAlgorithmClass="hash" w:cryptAlgorithmType="typeAny" w:cryptAlgorithmSid="4" w:cryptSpinCount="100000" w:hash="KB63yP3juIhjY5AsYG5g3EAOF7U=" w:salt="CJZRRN6Sn/IwFblsqQH+Fw=="/>
  <w:defaultTabStop w:val="1296"/>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A01"/>
    <w:rsid w:val="00043328"/>
    <w:rsid w:val="000565FD"/>
    <w:rsid w:val="0006584E"/>
    <w:rsid w:val="00066820"/>
    <w:rsid w:val="000A443D"/>
    <w:rsid w:val="000B2030"/>
    <w:rsid w:val="000B2C53"/>
    <w:rsid w:val="000B5611"/>
    <w:rsid w:val="000B7BB7"/>
    <w:rsid w:val="000D5C58"/>
    <w:rsid w:val="000E556C"/>
    <w:rsid w:val="000F0074"/>
    <w:rsid w:val="000F019B"/>
    <w:rsid w:val="000F4E33"/>
    <w:rsid w:val="00104936"/>
    <w:rsid w:val="00105EFD"/>
    <w:rsid w:val="00112B28"/>
    <w:rsid w:val="001201B3"/>
    <w:rsid w:val="00130C18"/>
    <w:rsid w:val="0014586B"/>
    <w:rsid w:val="00161D00"/>
    <w:rsid w:val="00163E2F"/>
    <w:rsid w:val="001A4371"/>
    <w:rsid w:val="001A4B33"/>
    <w:rsid w:val="001C2D81"/>
    <w:rsid w:val="001C6E56"/>
    <w:rsid w:val="001D409F"/>
    <w:rsid w:val="001E2876"/>
    <w:rsid w:val="00231756"/>
    <w:rsid w:val="002438A4"/>
    <w:rsid w:val="00280407"/>
    <w:rsid w:val="0028485B"/>
    <w:rsid w:val="00285CDB"/>
    <w:rsid w:val="002A06A2"/>
    <w:rsid w:val="002A1BE8"/>
    <w:rsid w:val="002D5D59"/>
    <w:rsid w:val="002F1101"/>
    <w:rsid w:val="0031321C"/>
    <w:rsid w:val="00320942"/>
    <w:rsid w:val="00337F27"/>
    <w:rsid w:val="003523B0"/>
    <w:rsid w:val="003A708E"/>
    <w:rsid w:val="003B339E"/>
    <w:rsid w:val="003C098F"/>
    <w:rsid w:val="003E466E"/>
    <w:rsid w:val="003F59FD"/>
    <w:rsid w:val="003F5EE0"/>
    <w:rsid w:val="00405EE0"/>
    <w:rsid w:val="00421874"/>
    <w:rsid w:val="004226F9"/>
    <w:rsid w:val="004322AE"/>
    <w:rsid w:val="00436892"/>
    <w:rsid w:val="00437C74"/>
    <w:rsid w:val="00455B0A"/>
    <w:rsid w:val="004571F3"/>
    <w:rsid w:val="00481610"/>
    <w:rsid w:val="00484FF7"/>
    <w:rsid w:val="0049467C"/>
    <w:rsid w:val="004972AD"/>
    <w:rsid w:val="004A15B6"/>
    <w:rsid w:val="004B241D"/>
    <w:rsid w:val="004C731E"/>
    <w:rsid w:val="004D511A"/>
    <w:rsid w:val="004F6121"/>
    <w:rsid w:val="005054C1"/>
    <w:rsid w:val="0051701D"/>
    <w:rsid w:val="005266F7"/>
    <w:rsid w:val="005429AA"/>
    <w:rsid w:val="0054526F"/>
    <w:rsid w:val="005472D8"/>
    <w:rsid w:val="00551BEB"/>
    <w:rsid w:val="0057151B"/>
    <w:rsid w:val="00582D1C"/>
    <w:rsid w:val="00591F73"/>
    <w:rsid w:val="0059790F"/>
    <w:rsid w:val="005A4220"/>
    <w:rsid w:val="005A5332"/>
    <w:rsid w:val="005B133B"/>
    <w:rsid w:val="005B268E"/>
    <w:rsid w:val="005E49E8"/>
    <w:rsid w:val="005E52E0"/>
    <w:rsid w:val="005F12EC"/>
    <w:rsid w:val="006116E3"/>
    <w:rsid w:val="006341FC"/>
    <w:rsid w:val="006401DF"/>
    <w:rsid w:val="00642A60"/>
    <w:rsid w:val="00671027"/>
    <w:rsid w:val="0067211B"/>
    <w:rsid w:val="00683CF9"/>
    <w:rsid w:val="00693F68"/>
    <w:rsid w:val="00695910"/>
    <w:rsid w:val="006B256C"/>
    <w:rsid w:val="006B4F40"/>
    <w:rsid w:val="006C0A7B"/>
    <w:rsid w:val="006C49B7"/>
    <w:rsid w:val="006E32F2"/>
    <w:rsid w:val="006F50F2"/>
    <w:rsid w:val="007158A0"/>
    <w:rsid w:val="007234CB"/>
    <w:rsid w:val="007254F9"/>
    <w:rsid w:val="00732E44"/>
    <w:rsid w:val="00734927"/>
    <w:rsid w:val="0075589B"/>
    <w:rsid w:val="0075688A"/>
    <w:rsid w:val="007B7BA9"/>
    <w:rsid w:val="007C3BD4"/>
    <w:rsid w:val="007D16BF"/>
    <w:rsid w:val="007D3BAF"/>
    <w:rsid w:val="007E1A94"/>
    <w:rsid w:val="007F137F"/>
    <w:rsid w:val="00803BC7"/>
    <w:rsid w:val="00813505"/>
    <w:rsid w:val="008312E7"/>
    <w:rsid w:val="0083641B"/>
    <w:rsid w:val="00851B51"/>
    <w:rsid w:val="008665B6"/>
    <w:rsid w:val="008A4847"/>
    <w:rsid w:val="008C1D99"/>
    <w:rsid w:val="008E75DF"/>
    <w:rsid w:val="008F1569"/>
    <w:rsid w:val="00931071"/>
    <w:rsid w:val="00932C46"/>
    <w:rsid w:val="00952EA2"/>
    <w:rsid w:val="00985473"/>
    <w:rsid w:val="00990213"/>
    <w:rsid w:val="00991B99"/>
    <w:rsid w:val="0099751A"/>
    <w:rsid w:val="009A3E03"/>
    <w:rsid w:val="009C7218"/>
    <w:rsid w:val="009E4546"/>
    <w:rsid w:val="009F07D9"/>
    <w:rsid w:val="009F25EA"/>
    <w:rsid w:val="009F7389"/>
    <w:rsid w:val="00A05B00"/>
    <w:rsid w:val="00A06379"/>
    <w:rsid w:val="00A12702"/>
    <w:rsid w:val="00A2229C"/>
    <w:rsid w:val="00A2569F"/>
    <w:rsid w:val="00A25843"/>
    <w:rsid w:val="00A459DA"/>
    <w:rsid w:val="00A5291C"/>
    <w:rsid w:val="00A63AAF"/>
    <w:rsid w:val="00A7089D"/>
    <w:rsid w:val="00A70E86"/>
    <w:rsid w:val="00A84194"/>
    <w:rsid w:val="00AB0BAA"/>
    <w:rsid w:val="00AB19A3"/>
    <w:rsid w:val="00AC07EE"/>
    <w:rsid w:val="00AC466E"/>
    <w:rsid w:val="00AC5273"/>
    <w:rsid w:val="00AC6CFE"/>
    <w:rsid w:val="00AE11F3"/>
    <w:rsid w:val="00B159BF"/>
    <w:rsid w:val="00B171C9"/>
    <w:rsid w:val="00B3475C"/>
    <w:rsid w:val="00B34BBF"/>
    <w:rsid w:val="00B67A7B"/>
    <w:rsid w:val="00B73D9E"/>
    <w:rsid w:val="00BA21A9"/>
    <w:rsid w:val="00BB08A4"/>
    <w:rsid w:val="00BC4DCD"/>
    <w:rsid w:val="00C520C6"/>
    <w:rsid w:val="00C60763"/>
    <w:rsid w:val="00C90D05"/>
    <w:rsid w:val="00C96881"/>
    <w:rsid w:val="00CB1A60"/>
    <w:rsid w:val="00CC61A1"/>
    <w:rsid w:val="00CD6F99"/>
    <w:rsid w:val="00CE0904"/>
    <w:rsid w:val="00D209CB"/>
    <w:rsid w:val="00D365D2"/>
    <w:rsid w:val="00D43195"/>
    <w:rsid w:val="00D47133"/>
    <w:rsid w:val="00DB752D"/>
    <w:rsid w:val="00DE5A01"/>
    <w:rsid w:val="00DE6B49"/>
    <w:rsid w:val="00DF6007"/>
    <w:rsid w:val="00E04953"/>
    <w:rsid w:val="00E641AA"/>
    <w:rsid w:val="00E72582"/>
    <w:rsid w:val="00E73237"/>
    <w:rsid w:val="00E758B7"/>
    <w:rsid w:val="00E84656"/>
    <w:rsid w:val="00EA64B6"/>
    <w:rsid w:val="00ED1E2B"/>
    <w:rsid w:val="00F00B20"/>
    <w:rsid w:val="00F06587"/>
    <w:rsid w:val="00F126BC"/>
    <w:rsid w:val="00F166AA"/>
    <w:rsid w:val="00F17B96"/>
    <w:rsid w:val="00F45BFC"/>
    <w:rsid w:val="00F60CA7"/>
    <w:rsid w:val="00F62997"/>
    <w:rsid w:val="00F659EF"/>
    <w:rsid w:val="00FA73E4"/>
    <w:rsid w:val="00FD0EBD"/>
    <w:rsid w:val="00FE798E"/>
    <w:rsid w:val="00FF1489"/>
    <w:rsid w:val="00FF5D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A01"/>
    <w:pPr>
      <w:tabs>
        <w:tab w:val="left" w:pos="567"/>
      </w:tabs>
      <w:spacing w:line="260" w:lineRule="exact"/>
    </w:pPr>
    <w:rPr>
      <w:rFonts w:ascii="Times New Roman" w:eastAsia="Times New Roman" w:hAnsi="Times New Roman" w:cs="Times New Roman"/>
      <w:sz w:val="22"/>
      <w:szCs w:val="22"/>
      <w:lang w:val="en-GB"/>
    </w:rPr>
  </w:style>
  <w:style w:type="paragraph" w:styleId="Antrat1">
    <w:name w:val="heading 1"/>
    <w:basedOn w:val="prastasis"/>
    <w:next w:val="prastasis"/>
    <w:link w:val="Antrat1Diagrama"/>
    <w:uiPriority w:val="99"/>
    <w:qFormat/>
    <w:rsid w:val="00DE5A01"/>
    <w:pPr>
      <w:spacing w:before="240" w:after="120"/>
      <w:ind w:left="357" w:hanging="357"/>
      <w:outlineLvl w:val="0"/>
    </w:pPr>
    <w:rPr>
      <w:rFonts w:eastAsia="SimSun"/>
      <w:b/>
      <w:bCs/>
      <w:caps/>
      <w:sz w:val="26"/>
      <w:szCs w:val="26"/>
      <w:lang w:val="en-US"/>
    </w:rPr>
  </w:style>
  <w:style w:type="paragraph" w:styleId="Antrat2">
    <w:name w:val="heading 2"/>
    <w:basedOn w:val="prastasis"/>
    <w:next w:val="prastasis"/>
    <w:link w:val="Antrat2Diagrama"/>
    <w:uiPriority w:val="99"/>
    <w:qFormat/>
    <w:rsid w:val="00DE5A01"/>
    <w:pPr>
      <w:keepNext/>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DE5A01"/>
    <w:pPr>
      <w:keepNext/>
      <w:keepLines/>
      <w:spacing w:before="120" w:after="8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DE5A01"/>
    <w:pPr>
      <w:keepNext/>
      <w:jc w:val="both"/>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DE5A01"/>
    <w:pPr>
      <w:keepNext/>
      <w:jc w:val="both"/>
      <w:outlineLvl w:val="4"/>
    </w:pPr>
    <w:rPr>
      <w:rFonts w:eastAsia="SimSun"/>
      <w:noProof/>
    </w:rPr>
  </w:style>
  <w:style w:type="paragraph" w:styleId="Antrat6">
    <w:name w:val="heading 6"/>
    <w:basedOn w:val="prastasis"/>
    <w:next w:val="prastasis"/>
    <w:link w:val="Antrat6Diagrama"/>
    <w:uiPriority w:val="99"/>
    <w:qFormat/>
    <w:rsid w:val="00DE5A01"/>
    <w:pPr>
      <w:keepNext/>
      <w:tabs>
        <w:tab w:val="left" w:pos="-720"/>
        <w:tab w:val="left" w:pos="4536"/>
      </w:tabs>
      <w:suppressAutoHyphens/>
      <w:outlineLvl w:val="5"/>
    </w:pPr>
    <w:rPr>
      <w:rFonts w:eastAsia="SimSun"/>
      <w:i/>
      <w:iCs/>
    </w:rPr>
  </w:style>
  <w:style w:type="paragraph" w:styleId="Antrat7">
    <w:name w:val="heading 7"/>
    <w:basedOn w:val="prastasis"/>
    <w:next w:val="prastasis"/>
    <w:link w:val="Antrat7Diagrama"/>
    <w:uiPriority w:val="99"/>
    <w:qFormat/>
    <w:rsid w:val="00DE5A01"/>
    <w:pPr>
      <w:keepNext/>
      <w:tabs>
        <w:tab w:val="left" w:pos="-720"/>
        <w:tab w:val="left" w:pos="4536"/>
      </w:tabs>
      <w:suppressAutoHyphens/>
      <w:jc w:val="both"/>
      <w:outlineLvl w:val="6"/>
    </w:pPr>
    <w:rPr>
      <w:rFonts w:eastAsia="SimSun"/>
      <w:i/>
      <w:iCs/>
    </w:rPr>
  </w:style>
  <w:style w:type="paragraph" w:styleId="Antrat8">
    <w:name w:val="heading 8"/>
    <w:basedOn w:val="prastasis"/>
    <w:next w:val="prastasis"/>
    <w:link w:val="Antrat8Diagrama"/>
    <w:uiPriority w:val="99"/>
    <w:qFormat/>
    <w:rsid w:val="00DE5A01"/>
    <w:pPr>
      <w:keepNext/>
      <w:ind w:left="567" w:hanging="567"/>
      <w:jc w:val="both"/>
      <w:outlineLvl w:val="7"/>
    </w:pPr>
    <w:rPr>
      <w:rFonts w:eastAsia="SimSun"/>
      <w:b/>
      <w:bCs/>
      <w:i/>
      <w:iCs/>
    </w:rPr>
  </w:style>
  <w:style w:type="paragraph" w:styleId="Antrat9">
    <w:name w:val="heading 9"/>
    <w:basedOn w:val="prastasis"/>
    <w:next w:val="prastasis"/>
    <w:link w:val="Antrat9Diagrama"/>
    <w:uiPriority w:val="99"/>
    <w:qFormat/>
    <w:rsid w:val="00DE5A01"/>
    <w:pPr>
      <w:keepNext/>
      <w:jc w:val="both"/>
      <w:outlineLvl w:val="8"/>
    </w:pPr>
    <w:rPr>
      <w:rFonts w:eastAsia="SimSun"/>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5A01"/>
    <w:rPr>
      <w:rFonts w:ascii="Times New Roman" w:eastAsia="SimSun" w:hAnsi="Times New Roman" w:cs="Times New Roman"/>
      <w:b/>
      <w:bCs/>
      <w:caps/>
      <w:sz w:val="20"/>
      <w:szCs w:val="20"/>
      <w:lang w:val="en-US"/>
    </w:rPr>
  </w:style>
  <w:style w:type="character" w:customStyle="1" w:styleId="Antrat2Diagrama">
    <w:name w:val="Antraštė 2 Diagrama"/>
    <w:link w:val="Antrat2"/>
    <w:uiPriority w:val="99"/>
    <w:locked/>
    <w:rsid w:val="00DE5A01"/>
    <w:rPr>
      <w:rFonts w:ascii="Cambria" w:hAnsi="Cambria" w:cs="Cambria"/>
      <w:b/>
      <w:bCs/>
      <w:i/>
      <w:iCs/>
      <w:snapToGrid w:val="0"/>
      <w:sz w:val="28"/>
      <w:szCs w:val="28"/>
      <w:lang w:val="en-GB"/>
    </w:rPr>
  </w:style>
  <w:style w:type="character" w:customStyle="1" w:styleId="Antrat3Diagrama">
    <w:name w:val="Antraštė 3 Diagrama"/>
    <w:link w:val="Antrat3"/>
    <w:uiPriority w:val="99"/>
    <w:locked/>
    <w:rsid w:val="00DE5A01"/>
    <w:rPr>
      <w:rFonts w:ascii="Cambria" w:hAnsi="Cambria" w:cs="Cambria"/>
      <w:b/>
      <w:bCs/>
      <w:snapToGrid w:val="0"/>
      <w:sz w:val="26"/>
      <w:szCs w:val="26"/>
      <w:lang w:val="en-GB"/>
    </w:rPr>
  </w:style>
  <w:style w:type="character" w:customStyle="1" w:styleId="Antrat4Diagrama">
    <w:name w:val="Antraštė 4 Diagrama"/>
    <w:link w:val="Antrat4"/>
    <w:uiPriority w:val="99"/>
    <w:locked/>
    <w:rsid w:val="00DE5A01"/>
    <w:rPr>
      <w:rFonts w:ascii="Calibri" w:hAnsi="Calibri" w:cs="Calibri"/>
      <w:b/>
      <w:bCs/>
      <w:snapToGrid w:val="0"/>
      <w:sz w:val="28"/>
      <w:szCs w:val="28"/>
      <w:lang w:val="en-GB"/>
    </w:rPr>
  </w:style>
  <w:style w:type="character" w:customStyle="1" w:styleId="Antrat5Diagrama">
    <w:name w:val="Antraštė 5 Diagrama"/>
    <w:link w:val="Antrat5"/>
    <w:uiPriority w:val="99"/>
    <w:locked/>
    <w:rsid w:val="00DE5A01"/>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locked/>
    <w:rsid w:val="00DE5A01"/>
    <w:rPr>
      <w:rFonts w:ascii="Times New Roman" w:eastAsia="SimSun" w:hAnsi="Times New Roman" w:cs="Times New Roman"/>
      <w:i/>
      <w:iCs/>
      <w:sz w:val="20"/>
      <w:szCs w:val="20"/>
      <w:lang w:val="en-GB"/>
    </w:rPr>
  </w:style>
  <w:style w:type="character" w:customStyle="1" w:styleId="Antrat7Diagrama">
    <w:name w:val="Antraštė 7 Diagrama"/>
    <w:link w:val="Antrat7"/>
    <w:uiPriority w:val="99"/>
    <w:locked/>
    <w:rsid w:val="00DE5A01"/>
    <w:rPr>
      <w:rFonts w:ascii="Times New Roman" w:eastAsia="SimSun" w:hAnsi="Times New Roman" w:cs="Times New Roman"/>
      <w:i/>
      <w:iCs/>
      <w:sz w:val="20"/>
      <w:szCs w:val="20"/>
      <w:lang w:val="en-GB"/>
    </w:rPr>
  </w:style>
  <w:style w:type="character" w:customStyle="1" w:styleId="Antrat8Diagrama">
    <w:name w:val="Antraštė 8 Diagrama"/>
    <w:link w:val="Antrat8"/>
    <w:uiPriority w:val="99"/>
    <w:locked/>
    <w:rsid w:val="00DE5A01"/>
    <w:rPr>
      <w:rFonts w:ascii="Times New Roman" w:eastAsia="SimSun" w:hAnsi="Times New Roman" w:cs="Times New Roman"/>
      <w:b/>
      <w:bCs/>
      <w:i/>
      <w:iCs/>
      <w:sz w:val="20"/>
      <w:szCs w:val="20"/>
      <w:lang w:val="en-GB"/>
    </w:rPr>
  </w:style>
  <w:style w:type="character" w:customStyle="1" w:styleId="Antrat9Diagrama">
    <w:name w:val="Antraštė 9 Diagrama"/>
    <w:link w:val="Antrat9"/>
    <w:uiPriority w:val="99"/>
    <w:locked/>
    <w:rsid w:val="00DE5A01"/>
    <w:rPr>
      <w:rFonts w:ascii="Times New Roman" w:eastAsia="SimSun" w:hAnsi="Times New Roman" w:cs="Times New Roman"/>
      <w:b/>
      <w:bCs/>
      <w:i/>
      <w:iCs/>
      <w:sz w:val="20"/>
      <w:szCs w:val="20"/>
      <w:lang w:val="en-GB"/>
    </w:rPr>
  </w:style>
  <w:style w:type="paragraph" w:styleId="Porat">
    <w:name w:val="footer"/>
    <w:basedOn w:val="prastasis"/>
    <w:link w:val="PoratDiagrama"/>
    <w:uiPriority w:val="99"/>
    <w:rsid w:val="00DE5A01"/>
    <w:pPr>
      <w:tabs>
        <w:tab w:val="center" w:pos="4536"/>
        <w:tab w:val="right" w:pos="8306"/>
      </w:tabs>
    </w:pPr>
  </w:style>
  <w:style w:type="character" w:customStyle="1" w:styleId="PoratDiagrama">
    <w:name w:val="Poraštė Diagrama"/>
    <w:link w:val="Porat"/>
    <w:uiPriority w:val="99"/>
    <w:locked/>
    <w:rsid w:val="00DE5A01"/>
    <w:rPr>
      <w:rFonts w:ascii="Times New Roman" w:hAnsi="Times New Roman" w:cs="Times New Roman"/>
      <w:snapToGrid w:val="0"/>
      <w:sz w:val="20"/>
      <w:szCs w:val="20"/>
      <w:lang w:val="en-GB"/>
    </w:rPr>
  </w:style>
  <w:style w:type="character" w:customStyle="1" w:styleId="HeaderChar">
    <w:name w:val="Header Char"/>
    <w:uiPriority w:val="99"/>
    <w:rsid w:val="00DE5A01"/>
    <w:rPr>
      <w:snapToGrid w:val="0"/>
      <w:sz w:val="22"/>
      <w:szCs w:val="22"/>
      <w:lang w:val="en-GB" w:eastAsia="en-US"/>
    </w:rPr>
  </w:style>
  <w:style w:type="character" w:styleId="Puslapionumeris">
    <w:name w:val="page number"/>
    <w:basedOn w:val="Numatytasispastraiposriftas"/>
    <w:uiPriority w:val="99"/>
    <w:rsid w:val="00DE5A01"/>
  </w:style>
  <w:style w:type="character" w:styleId="Hipersaitas">
    <w:name w:val="Hyperlink"/>
    <w:uiPriority w:val="99"/>
    <w:rsid w:val="00DE5A01"/>
    <w:rPr>
      <w:color w:val="0000FF"/>
      <w:u w:val="single"/>
    </w:rPr>
  </w:style>
  <w:style w:type="paragraph" w:customStyle="1" w:styleId="BodytextAgency">
    <w:name w:val="Body text (Agency)"/>
    <w:basedOn w:val="prastasis"/>
    <w:link w:val="BodytextAgencyChar"/>
    <w:uiPriority w:val="99"/>
    <w:rsid w:val="00DE5A01"/>
    <w:pPr>
      <w:tabs>
        <w:tab w:val="clear" w:pos="567"/>
      </w:tabs>
      <w:spacing w:after="140" w:line="280" w:lineRule="atLeast"/>
    </w:pPr>
    <w:rPr>
      <w:rFonts w:ascii="Verdana" w:eastAsia="Calibri" w:hAnsi="Verdana" w:cs="Verdana"/>
      <w:sz w:val="20"/>
      <w:szCs w:val="20"/>
      <w:lang w:eastAsia="lt-LT"/>
    </w:rPr>
  </w:style>
  <w:style w:type="character" w:customStyle="1" w:styleId="BodytextAgencyChar">
    <w:name w:val="Body text (Agency) Char"/>
    <w:link w:val="BodytextAgency"/>
    <w:uiPriority w:val="99"/>
    <w:locked/>
    <w:rsid w:val="00DE5A01"/>
    <w:rPr>
      <w:rFonts w:ascii="Verdana" w:hAnsi="Verdana" w:cs="Verdana"/>
      <w:snapToGrid w:val="0"/>
      <w:sz w:val="20"/>
      <w:szCs w:val="20"/>
      <w:lang w:val="en-GB"/>
    </w:rPr>
  </w:style>
  <w:style w:type="paragraph" w:customStyle="1" w:styleId="NormalAgency">
    <w:name w:val="Normal (Agency)"/>
    <w:link w:val="NormalAgencyChar"/>
    <w:uiPriority w:val="99"/>
    <w:rsid w:val="00DE5A01"/>
    <w:pPr>
      <w:spacing w:after="200" w:line="276" w:lineRule="auto"/>
    </w:pPr>
    <w:rPr>
      <w:rFonts w:ascii="Verdana" w:hAnsi="Verdana" w:cs="Verdana"/>
      <w:sz w:val="22"/>
      <w:szCs w:val="22"/>
      <w:lang w:val="en-GB" w:eastAsia="lt-LT"/>
    </w:rPr>
  </w:style>
  <w:style w:type="character" w:customStyle="1" w:styleId="NormalAgencyChar">
    <w:name w:val="Normal (Agency) Char"/>
    <w:link w:val="NormalAgency"/>
    <w:uiPriority w:val="99"/>
    <w:locked/>
    <w:rsid w:val="00DE5A01"/>
    <w:rPr>
      <w:rFonts w:ascii="Verdana" w:hAnsi="Verdana" w:cs="Verdana"/>
      <w:snapToGrid w:val="0"/>
      <w:sz w:val="22"/>
      <w:szCs w:val="22"/>
      <w:lang w:val="en-GB" w:eastAsia="lt-LT"/>
    </w:rPr>
  </w:style>
  <w:style w:type="paragraph" w:customStyle="1" w:styleId="TabletextrowsAgency">
    <w:name w:val="Table text rows (Agency)"/>
    <w:basedOn w:val="prastasis"/>
    <w:uiPriority w:val="99"/>
    <w:rsid w:val="00DE5A01"/>
    <w:pPr>
      <w:tabs>
        <w:tab w:val="clear" w:pos="567"/>
      </w:tabs>
      <w:spacing w:line="280" w:lineRule="exact"/>
    </w:pPr>
    <w:rPr>
      <w:rFonts w:ascii="Verdana" w:hAnsi="Verdana" w:cs="Verdana"/>
      <w:sz w:val="18"/>
      <w:szCs w:val="18"/>
    </w:rPr>
  </w:style>
  <w:style w:type="character" w:customStyle="1" w:styleId="tw4winError">
    <w:name w:val="tw4winError"/>
    <w:uiPriority w:val="99"/>
    <w:rsid w:val="00DE5A01"/>
    <w:rPr>
      <w:rFonts w:ascii="Courier New" w:hAnsi="Courier New" w:cs="Courier New"/>
      <w:color w:val="00FF00"/>
      <w:sz w:val="40"/>
      <w:szCs w:val="40"/>
    </w:rPr>
  </w:style>
  <w:style w:type="character" w:customStyle="1" w:styleId="tw4winTerm">
    <w:name w:val="tw4winTerm"/>
    <w:uiPriority w:val="99"/>
    <w:rsid w:val="00DE5A01"/>
    <w:rPr>
      <w:color w:val="0000FF"/>
    </w:rPr>
  </w:style>
  <w:style w:type="character" w:customStyle="1" w:styleId="tw4winPopup">
    <w:name w:val="tw4winPopup"/>
    <w:uiPriority w:val="99"/>
    <w:rsid w:val="00DE5A01"/>
    <w:rPr>
      <w:rFonts w:ascii="Courier New" w:hAnsi="Courier New" w:cs="Courier New"/>
      <w:noProof/>
      <w:color w:val="008000"/>
    </w:rPr>
  </w:style>
  <w:style w:type="character" w:customStyle="1" w:styleId="tw4winJump">
    <w:name w:val="tw4winJump"/>
    <w:uiPriority w:val="99"/>
    <w:rsid w:val="00DE5A01"/>
    <w:rPr>
      <w:rFonts w:ascii="Courier New" w:hAnsi="Courier New" w:cs="Courier New"/>
      <w:noProof/>
      <w:color w:val="008080"/>
    </w:rPr>
  </w:style>
  <w:style w:type="character" w:customStyle="1" w:styleId="tw4winExternal">
    <w:name w:val="tw4winExternal"/>
    <w:uiPriority w:val="99"/>
    <w:rsid w:val="00DE5A01"/>
    <w:rPr>
      <w:rFonts w:ascii="Courier New" w:hAnsi="Courier New" w:cs="Courier New"/>
      <w:noProof/>
      <w:color w:val="808080"/>
    </w:rPr>
  </w:style>
  <w:style w:type="character" w:customStyle="1" w:styleId="tw4winInternal">
    <w:name w:val="tw4winInternal"/>
    <w:uiPriority w:val="99"/>
    <w:rsid w:val="00DE5A01"/>
    <w:rPr>
      <w:rFonts w:ascii="Courier New" w:hAnsi="Courier New" w:cs="Courier New"/>
      <w:noProof/>
      <w:color w:val="FF0000"/>
    </w:rPr>
  </w:style>
  <w:style w:type="character" w:customStyle="1" w:styleId="DONOTTRANSLATE">
    <w:name w:val="DO_NOT_TRANSLATE"/>
    <w:uiPriority w:val="99"/>
    <w:rsid w:val="00DE5A01"/>
    <w:rPr>
      <w:rFonts w:ascii="Courier New" w:hAnsi="Courier New" w:cs="Courier New"/>
      <w:noProof/>
      <w:color w:val="800000"/>
    </w:rPr>
  </w:style>
  <w:style w:type="paragraph" w:styleId="Debesliotekstas">
    <w:name w:val="Balloon Text"/>
    <w:basedOn w:val="prastasis"/>
    <w:link w:val="DebesliotekstasDiagrama"/>
    <w:uiPriority w:val="99"/>
    <w:semiHidden/>
    <w:rsid w:val="00DE5A01"/>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DE5A01"/>
    <w:rPr>
      <w:rFonts w:ascii="Tahoma" w:hAnsi="Tahoma" w:cs="Tahoma"/>
      <w:snapToGrid w:val="0"/>
      <w:sz w:val="16"/>
      <w:szCs w:val="16"/>
      <w:lang w:val="en-GB"/>
    </w:rPr>
  </w:style>
  <w:style w:type="character" w:styleId="Komentaronuoroda">
    <w:name w:val="annotation reference"/>
    <w:uiPriority w:val="99"/>
    <w:semiHidden/>
    <w:rsid w:val="00DE5A01"/>
    <w:rPr>
      <w:sz w:val="16"/>
      <w:szCs w:val="16"/>
    </w:rPr>
  </w:style>
  <w:style w:type="paragraph" w:styleId="Komentarotekstas">
    <w:name w:val="annotation text"/>
    <w:basedOn w:val="prastasis"/>
    <w:link w:val="KomentarotekstasDiagrama"/>
    <w:uiPriority w:val="99"/>
    <w:semiHidden/>
    <w:rsid w:val="00DE5A01"/>
    <w:rPr>
      <w:sz w:val="20"/>
      <w:szCs w:val="20"/>
    </w:rPr>
  </w:style>
  <w:style w:type="character" w:customStyle="1" w:styleId="KomentarotekstasDiagrama">
    <w:name w:val="Komentaro tekstas Diagrama"/>
    <w:link w:val="Komentarotekstas"/>
    <w:uiPriority w:val="99"/>
    <w:locked/>
    <w:rsid w:val="00DE5A01"/>
    <w:rPr>
      <w:rFonts w:ascii="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rsid w:val="00DE5A01"/>
    <w:rPr>
      <w:b/>
      <w:bCs/>
    </w:rPr>
  </w:style>
  <w:style w:type="character" w:customStyle="1" w:styleId="KomentarotemaDiagrama">
    <w:name w:val="Komentaro tema Diagrama"/>
    <w:link w:val="Komentarotema"/>
    <w:uiPriority w:val="99"/>
    <w:locked/>
    <w:rsid w:val="00DE5A01"/>
    <w:rPr>
      <w:rFonts w:ascii="Times New Roman" w:hAnsi="Times New Roman" w:cs="Times New Roman"/>
      <w:b/>
      <w:bCs/>
      <w:snapToGrid w:val="0"/>
      <w:sz w:val="20"/>
      <w:szCs w:val="20"/>
      <w:lang w:val="en-GB"/>
    </w:rPr>
  </w:style>
  <w:style w:type="paragraph" w:customStyle="1" w:styleId="EMEAEnBodyText">
    <w:name w:val="EMEA En Body Text"/>
    <w:basedOn w:val="prastasis"/>
    <w:uiPriority w:val="99"/>
    <w:rsid w:val="00DE5A01"/>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DE5A01"/>
    <w:rPr>
      <w:rFonts w:ascii="Courier New" w:hAnsi="Courier New" w:cs="Courier New"/>
      <w:vanish/>
      <w:color w:val="800080"/>
      <w:sz w:val="24"/>
      <w:szCs w:val="24"/>
      <w:vertAlign w:val="subscript"/>
    </w:rPr>
  </w:style>
  <w:style w:type="paragraph" w:styleId="Antrats">
    <w:name w:val="header"/>
    <w:basedOn w:val="prastasis"/>
    <w:link w:val="AntratsDiagrama"/>
    <w:uiPriority w:val="99"/>
    <w:rsid w:val="00DE5A01"/>
    <w:pPr>
      <w:tabs>
        <w:tab w:val="clear" w:pos="567"/>
        <w:tab w:val="center" w:pos="4320"/>
        <w:tab w:val="right" w:pos="8640"/>
      </w:tabs>
    </w:pPr>
    <w:rPr>
      <w:rFonts w:eastAsia="SimSun"/>
      <w:lang w:eastAsia="zh-CN"/>
    </w:rPr>
  </w:style>
  <w:style w:type="character" w:customStyle="1" w:styleId="AntratsDiagrama">
    <w:name w:val="Antraštės Diagrama"/>
    <w:link w:val="Antrats"/>
    <w:uiPriority w:val="99"/>
    <w:locked/>
    <w:rsid w:val="00DE5A0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DE5A01"/>
    <w:pPr>
      <w:shd w:val="clear" w:color="auto" w:fill="000080"/>
    </w:pPr>
    <w:rPr>
      <w:rFonts w:ascii="Tahoma" w:eastAsia="SimSun" w:hAnsi="Tahoma" w:cs="Tahoma"/>
      <w:sz w:val="20"/>
      <w:szCs w:val="20"/>
      <w:lang w:eastAsia="zh-CN"/>
    </w:rPr>
  </w:style>
  <w:style w:type="character" w:customStyle="1" w:styleId="DokumentostruktraDiagrama">
    <w:name w:val="Dokumento struktūra Diagrama"/>
    <w:link w:val="Dokumentostruktra"/>
    <w:uiPriority w:val="99"/>
    <w:locked/>
    <w:rsid w:val="00DE5A01"/>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A01"/>
    <w:pPr>
      <w:tabs>
        <w:tab w:val="clear" w:pos="567"/>
      </w:tabs>
      <w:autoSpaceDE w:val="0"/>
      <w:autoSpaceDN w:val="0"/>
      <w:adjustRightInd w:val="0"/>
      <w:spacing w:line="240" w:lineRule="auto"/>
      <w:ind w:left="720"/>
      <w:jc w:val="both"/>
    </w:pPr>
    <w:rPr>
      <w:rFonts w:eastAsia="SimSun"/>
      <w:lang w:eastAsia="en-GB"/>
    </w:rPr>
  </w:style>
  <w:style w:type="character" w:customStyle="1" w:styleId="PagrindiniotekstotraukaDiagrama">
    <w:name w:val="Pagrindinio teksto įtrauka Diagrama"/>
    <w:link w:val="Pagrindiniotekstotrauka"/>
    <w:uiPriority w:val="99"/>
    <w:locked/>
    <w:rsid w:val="00DE5A0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A01"/>
    <w:pPr>
      <w:tabs>
        <w:tab w:val="clear" w:pos="567"/>
      </w:tabs>
      <w:autoSpaceDE w:val="0"/>
      <w:autoSpaceDN w:val="0"/>
      <w:adjustRightInd w:val="0"/>
      <w:spacing w:line="240" w:lineRule="auto"/>
      <w:jc w:val="both"/>
    </w:pPr>
    <w:rPr>
      <w:rFonts w:eastAsia="SimSun"/>
      <w:color w:val="0000FF"/>
      <w:lang w:eastAsia="en-GB"/>
    </w:rPr>
  </w:style>
  <w:style w:type="character" w:customStyle="1" w:styleId="Pagrindinistekstas3Diagrama">
    <w:name w:val="Pagrindinis tekstas 3 Diagrama"/>
    <w:link w:val="Pagrindinistekstas3"/>
    <w:uiPriority w:val="99"/>
    <w:locked/>
    <w:rsid w:val="00DE5A0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A0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rPr>
  </w:style>
  <w:style w:type="character" w:customStyle="1" w:styleId="Pagrindiniotekstotrauka2Diagrama">
    <w:name w:val="Pagrindinio teksto įtrauka 2 Diagrama"/>
    <w:link w:val="Pagrindiniotekstotrauka2"/>
    <w:uiPriority w:val="99"/>
    <w:locked/>
    <w:rsid w:val="00DE5A0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E5A01"/>
    <w:pPr>
      <w:tabs>
        <w:tab w:val="clear" w:pos="567"/>
      </w:tabs>
      <w:spacing w:line="240" w:lineRule="auto"/>
    </w:pPr>
    <w:rPr>
      <w:rFonts w:eastAsia="SimSun"/>
      <w:i/>
      <w:iCs/>
      <w:color w:val="008000"/>
    </w:rPr>
  </w:style>
  <w:style w:type="character" w:customStyle="1" w:styleId="PagrindinistekstasDiagrama">
    <w:name w:val="Pagrindinis tekstas Diagrama"/>
    <w:link w:val="Pagrindinistekstas"/>
    <w:uiPriority w:val="99"/>
    <w:locked/>
    <w:rsid w:val="00DE5A01"/>
    <w:rPr>
      <w:rFonts w:ascii="Times New Roman" w:eastAsia="SimSun" w:hAnsi="Times New Roman" w:cs="Times New Roman"/>
      <w:i/>
      <w:iCs/>
      <w:color w:val="008000"/>
      <w:sz w:val="20"/>
      <w:szCs w:val="20"/>
      <w:lang w:val="en-GB"/>
    </w:rPr>
  </w:style>
  <w:style w:type="paragraph" w:styleId="Pagrindinistekstas2">
    <w:name w:val="Body Text 2"/>
    <w:basedOn w:val="prastasis"/>
    <w:link w:val="Pagrindinistekstas2Diagrama"/>
    <w:uiPriority w:val="99"/>
    <w:rsid w:val="00DE5A0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u w:val="single"/>
    </w:rPr>
  </w:style>
  <w:style w:type="character" w:customStyle="1" w:styleId="Pagrindinistekstas2Diagrama">
    <w:name w:val="Pagrindinis tekstas 2 Diagrama"/>
    <w:link w:val="Pagrindinistekstas2"/>
    <w:uiPriority w:val="99"/>
    <w:locked/>
    <w:rsid w:val="00DE5A0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E5A01"/>
    <w:pPr>
      <w:tabs>
        <w:tab w:val="clear" w:pos="567"/>
        <w:tab w:val="num" w:pos="720"/>
      </w:tabs>
      <w:spacing w:after="120" w:line="240" w:lineRule="auto"/>
      <w:ind w:left="284" w:hanging="284"/>
    </w:pPr>
    <w:rPr>
      <w:rFonts w:ascii="Arial" w:eastAsia="SimSun" w:hAnsi="Arial" w:cs="Arial"/>
      <w:b/>
      <w:bCs/>
      <w:sz w:val="24"/>
      <w:szCs w:val="24"/>
    </w:rPr>
  </w:style>
  <w:style w:type="paragraph" w:customStyle="1" w:styleId="AHeader2">
    <w:name w:val="AHeader 2"/>
    <w:basedOn w:val="AHeader1"/>
    <w:uiPriority w:val="99"/>
    <w:rsid w:val="00DE5A01"/>
    <w:pPr>
      <w:tabs>
        <w:tab w:val="clear" w:pos="720"/>
        <w:tab w:val="num" w:pos="360"/>
      </w:tabs>
      <w:ind w:left="709" w:hanging="425"/>
    </w:pPr>
    <w:rPr>
      <w:sz w:val="22"/>
      <w:szCs w:val="22"/>
    </w:rPr>
  </w:style>
  <w:style w:type="paragraph" w:customStyle="1" w:styleId="AHeader3">
    <w:name w:val="AHeader 3"/>
    <w:basedOn w:val="AHeader2"/>
    <w:uiPriority w:val="99"/>
    <w:rsid w:val="00DE5A01"/>
    <w:pPr>
      <w:ind w:left="1276" w:hanging="567"/>
    </w:pPr>
  </w:style>
  <w:style w:type="paragraph" w:customStyle="1" w:styleId="AHeader2abc">
    <w:name w:val="AHeader 2 abc"/>
    <w:basedOn w:val="AHeader3"/>
    <w:uiPriority w:val="99"/>
    <w:rsid w:val="00DE5A01"/>
    <w:pPr>
      <w:jc w:val="both"/>
    </w:pPr>
    <w:rPr>
      <w:b w:val="0"/>
      <w:bCs w:val="0"/>
    </w:rPr>
  </w:style>
  <w:style w:type="paragraph" w:customStyle="1" w:styleId="AHeader3abc">
    <w:name w:val="AHeader 3 abc"/>
    <w:basedOn w:val="AHeader2abc"/>
    <w:uiPriority w:val="99"/>
    <w:rsid w:val="00DE5A01"/>
    <w:pPr>
      <w:ind w:left="1701" w:hanging="425"/>
    </w:pPr>
  </w:style>
  <w:style w:type="paragraph" w:styleId="Pagrindiniotekstotrauka3">
    <w:name w:val="Body Text Indent 3"/>
    <w:basedOn w:val="prastasis"/>
    <w:link w:val="Pagrindiniotekstotrauka3Diagrama"/>
    <w:uiPriority w:val="99"/>
    <w:rsid w:val="00DE5A01"/>
    <w:pPr>
      <w:tabs>
        <w:tab w:val="left" w:pos="1134"/>
      </w:tabs>
      <w:autoSpaceDE w:val="0"/>
      <w:autoSpaceDN w:val="0"/>
      <w:adjustRightInd w:val="0"/>
      <w:ind w:left="633"/>
      <w:jc w:val="both"/>
    </w:pPr>
    <w:rPr>
      <w:rFonts w:eastAsia="SimSun"/>
    </w:rPr>
  </w:style>
  <w:style w:type="character" w:customStyle="1" w:styleId="Pagrindiniotekstotrauka3Diagrama">
    <w:name w:val="Pagrindinio teksto įtrauka 3 Diagrama"/>
    <w:link w:val="Pagrindiniotekstotrauka3"/>
    <w:uiPriority w:val="99"/>
    <w:locked/>
    <w:rsid w:val="00DE5A01"/>
    <w:rPr>
      <w:rFonts w:ascii="Times New Roman" w:eastAsia="SimSun" w:hAnsi="Times New Roman" w:cs="Times New Roman"/>
      <w:sz w:val="21"/>
      <w:szCs w:val="21"/>
      <w:lang w:val="en-GB"/>
    </w:rPr>
  </w:style>
  <w:style w:type="character" w:styleId="Perirtashipersaitas">
    <w:name w:val="FollowedHyperlink"/>
    <w:uiPriority w:val="99"/>
    <w:rsid w:val="00DE5A01"/>
    <w:rPr>
      <w:color w:val="800080"/>
      <w:u w:val="single"/>
    </w:rPr>
  </w:style>
  <w:style w:type="character" w:styleId="Grietas">
    <w:name w:val="Strong"/>
    <w:uiPriority w:val="99"/>
    <w:qFormat/>
    <w:rsid w:val="00DE5A01"/>
    <w:rPr>
      <w:b/>
      <w:bCs/>
    </w:rPr>
  </w:style>
  <w:style w:type="paragraph" w:customStyle="1" w:styleId="TableheadingrowsAgency">
    <w:name w:val="Table heading rows (Agency)"/>
    <w:basedOn w:val="BodytextAgency"/>
    <w:uiPriority w:val="99"/>
    <w:rsid w:val="00DE5A01"/>
    <w:pPr>
      <w:keepNext/>
    </w:pPr>
    <w:rPr>
      <w:rFonts w:eastAsia="SimSun"/>
      <w:b/>
      <w:bCs/>
      <w:lang w:eastAsia="en-GB"/>
    </w:rPr>
  </w:style>
  <w:style w:type="paragraph" w:styleId="Paprastasistekstas">
    <w:name w:val="Plain Text"/>
    <w:basedOn w:val="prastasis"/>
    <w:link w:val="PaprastasistekstasDiagrama"/>
    <w:uiPriority w:val="99"/>
    <w:rsid w:val="00DE5A01"/>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link w:val="Paprastasistekstas"/>
    <w:uiPriority w:val="99"/>
    <w:locked/>
    <w:rsid w:val="00DE5A01"/>
    <w:rPr>
      <w:rFonts w:ascii="Courier New" w:eastAsia="SimSun" w:hAnsi="Courier New" w:cs="Courier New"/>
      <w:sz w:val="20"/>
      <w:szCs w:val="20"/>
      <w:lang w:val="en-US"/>
    </w:rPr>
  </w:style>
  <w:style w:type="paragraph" w:customStyle="1" w:styleId="Default">
    <w:name w:val="Default"/>
    <w:uiPriority w:val="99"/>
    <w:rsid w:val="00DE5A01"/>
    <w:pPr>
      <w:autoSpaceDE w:val="0"/>
      <w:autoSpaceDN w:val="0"/>
      <w:adjustRightInd w:val="0"/>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DE5A01"/>
    <w:pPr>
      <w:tabs>
        <w:tab w:val="clear" w:pos="567"/>
      </w:tabs>
      <w:spacing w:line="240" w:lineRule="auto"/>
      <w:jc w:val="center"/>
    </w:pPr>
    <w:rPr>
      <w:rFonts w:eastAsia="SimSun"/>
      <w:b/>
      <w:bCs/>
    </w:rPr>
  </w:style>
  <w:style w:type="character" w:customStyle="1" w:styleId="PavadinimasDiagrama">
    <w:name w:val="Pavadinimas Diagrama"/>
    <w:link w:val="Pavadinimas"/>
    <w:uiPriority w:val="99"/>
    <w:locked/>
    <w:rsid w:val="00DE5A01"/>
    <w:rPr>
      <w:rFonts w:ascii="Times New Roman" w:eastAsia="SimSun" w:hAnsi="Times New Roman" w:cs="Times New Roman"/>
      <w:b/>
      <w:bCs/>
      <w:sz w:val="20"/>
      <w:szCs w:val="20"/>
      <w:lang w:val="en-GB"/>
    </w:rPr>
  </w:style>
  <w:style w:type="paragraph" w:styleId="Dokumentoinaostekstas">
    <w:name w:val="endnote text"/>
    <w:basedOn w:val="prastasis"/>
    <w:link w:val="DokumentoinaostekstasDiagrama"/>
    <w:uiPriority w:val="99"/>
    <w:semiHidden/>
    <w:rsid w:val="00DE5A01"/>
    <w:pPr>
      <w:spacing w:line="240" w:lineRule="auto"/>
    </w:pPr>
    <w:rPr>
      <w:rFonts w:eastAsia="SimSun"/>
    </w:rPr>
  </w:style>
  <w:style w:type="character" w:customStyle="1" w:styleId="DokumentoinaostekstasDiagrama">
    <w:name w:val="Dokumento išnašos tekstas Diagrama"/>
    <w:link w:val="Dokumentoinaostekstas"/>
    <w:uiPriority w:val="99"/>
    <w:locked/>
    <w:rsid w:val="00DE5A01"/>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DE5A01"/>
    <w:pPr>
      <w:tabs>
        <w:tab w:val="clear" w:pos="567"/>
      </w:tabs>
      <w:spacing w:line="240" w:lineRule="auto"/>
    </w:pPr>
    <w:rPr>
      <w:rFonts w:eastAsia="SimSun"/>
      <w:noProof/>
      <w:sz w:val="20"/>
      <w:szCs w:val="20"/>
      <w:lang w:eastAsia="lt-LT"/>
    </w:rPr>
  </w:style>
  <w:style w:type="character" w:customStyle="1" w:styleId="BTEMEASMCAChar">
    <w:name w:val="BT EMEA_SMCA Char"/>
    <w:link w:val="BTEMEASMCA"/>
    <w:uiPriority w:val="99"/>
    <w:locked/>
    <w:rsid w:val="00DE5A01"/>
    <w:rPr>
      <w:rFonts w:ascii="Times New Roman" w:eastAsia="SimSun" w:hAnsi="Times New Roman" w:cs="Times New Roman"/>
      <w:noProof/>
      <w:sz w:val="20"/>
      <w:szCs w:val="20"/>
      <w:lang w:val="en-GB"/>
    </w:rPr>
  </w:style>
  <w:style w:type="character" w:customStyle="1" w:styleId="CharChar12">
    <w:name w:val="Char Char12"/>
    <w:uiPriority w:val="99"/>
    <w:locked/>
    <w:rsid w:val="00DE5A01"/>
    <w:rPr>
      <w:snapToGrid w:val="0"/>
      <w:lang w:val="en-GB" w:eastAsia="en-US"/>
    </w:rPr>
  </w:style>
  <w:style w:type="paragraph" w:styleId="Sraopastraipa">
    <w:name w:val="List Paragraph"/>
    <w:basedOn w:val="prastasis"/>
    <w:uiPriority w:val="99"/>
    <w:qFormat/>
    <w:rsid w:val="00DE5A01"/>
    <w:pPr>
      <w:tabs>
        <w:tab w:val="clear" w:pos="567"/>
      </w:tabs>
      <w:spacing w:line="240" w:lineRule="auto"/>
      <w:ind w:left="720"/>
    </w:pPr>
    <w:rPr>
      <w:sz w:val="24"/>
      <w:szCs w:val="24"/>
    </w:rPr>
  </w:style>
  <w:style w:type="paragraph" w:styleId="prastojitrauka">
    <w:name w:val="Normal Indent"/>
    <w:basedOn w:val="prastasis"/>
    <w:uiPriority w:val="99"/>
    <w:rsid w:val="00DE5A01"/>
    <w:pPr>
      <w:tabs>
        <w:tab w:val="clear" w:pos="567"/>
      </w:tabs>
      <w:spacing w:after="120" w:line="240" w:lineRule="auto"/>
      <w:ind w:left="720"/>
    </w:pPr>
    <w:rPr>
      <w:lang w:eastAsia="en-GB"/>
    </w:rPr>
  </w:style>
  <w:style w:type="paragraph" w:styleId="prastasistinklapis">
    <w:name w:val="Normal (Web)"/>
    <w:basedOn w:val="prastasis"/>
    <w:uiPriority w:val="99"/>
    <w:rsid w:val="00DE5A01"/>
    <w:pPr>
      <w:tabs>
        <w:tab w:val="clear" w:pos="567"/>
      </w:tabs>
      <w:spacing w:before="100" w:beforeAutospacing="1" w:after="100" w:afterAutospacing="1" w:line="24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A01"/>
    <w:pPr>
      <w:tabs>
        <w:tab w:val="left" w:pos="567"/>
      </w:tabs>
      <w:spacing w:line="260" w:lineRule="exact"/>
    </w:pPr>
    <w:rPr>
      <w:rFonts w:ascii="Times New Roman" w:eastAsia="Times New Roman" w:hAnsi="Times New Roman" w:cs="Times New Roman"/>
      <w:sz w:val="22"/>
      <w:szCs w:val="22"/>
      <w:lang w:val="en-GB"/>
    </w:rPr>
  </w:style>
  <w:style w:type="paragraph" w:styleId="Antrat1">
    <w:name w:val="heading 1"/>
    <w:basedOn w:val="prastasis"/>
    <w:next w:val="prastasis"/>
    <w:link w:val="Antrat1Diagrama"/>
    <w:uiPriority w:val="99"/>
    <w:qFormat/>
    <w:rsid w:val="00DE5A01"/>
    <w:pPr>
      <w:spacing w:before="240" w:after="120"/>
      <w:ind w:left="357" w:hanging="357"/>
      <w:outlineLvl w:val="0"/>
    </w:pPr>
    <w:rPr>
      <w:rFonts w:eastAsia="SimSun"/>
      <w:b/>
      <w:bCs/>
      <w:caps/>
      <w:sz w:val="26"/>
      <w:szCs w:val="26"/>
      <w:lang w:val="en-US"/>
    </w:rPr>
  </w:style>
  <w:style w:type="paragraph" w:styleId="Antrat2">
    <w:name w:val="heading 2"/>
    <w:basedOn w:val="prastasis"/>
    <w:next w:val="prastasis"/>
    <w:link w:val="Antrat2Diagrama"/>
    <w:uiPriority w:val="99"/>
    <w:qFormat/>
    <w:rsid w:val="00DE5A01"/>
    <w:pPr>
      <w:keepNext/>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DE5A01"/>
    <w:pPr>
      <w:keepNext/>
      <w:keepLines/>
      <w:spacing w:before="120" w:after="8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DE5A01"/>
    <w:pPr>
      <w:keepNext/>
      <w:jc w:val="both"/>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DE5A01"/>
    <w:pPr>
      <w:keepNext/>
      <w:jc w:val="both"/>
      <w:outlineLvl w:val="4"/>
    </w:pPr>
    <w:rPr>
      <w:rFonts w:eastAsia="SimSun"/>
      <w:noProof/>
    </w:rPr>
  </w:style>
  <w:style w:type="paragraph" w:styleId="Antrat6">
    <w:name w:val="heading 6"/>
    <w:basedOn w:val="prastasis"/>
    <w:next w:val="prastasis"/>
    <w:link w:val="Antrat6Diagrama"/>
    <w:uiPriority w:val="99"/>
    <w:qFormat/>
    <w:rsid w:val="00DE5A01"/>
    <w:pPr>
      <w:keepNext/>
      <w:tabs>
        <w:tab w:val="left" w:pos="-720"/>
        <w:tab w:val="left" w:pos="4536"/>
      </w:tabs>
      <w:suppressAutoHyphens/>
      <w:outlineLvl w:val="5"/>
    </w:pPr>
    <w:rPr>
      <w:rFonts w:eastAsia="SimSun"/>
      <w:i/>
      <w:iCs/>
    </w:rPr>
  </w:style>
  <w:style w:type="paragraph" w:styleId="Antrat7">
    <w:name w:val="heading 7"/>
    <w:basedOn w:val="prastasis"/>
    <w:next w:val="prastasis"/>
    <w:link w:val="Antrat7Diagrama"/>
    <w:uiPriority w:val="99"/>
    <w:qFormat/>
    <w:rsid w:val="00DE5A01"/>
    <w:pPr>
      <w:keepNext/>
      <w:tabs>
        <w:tab w:val="left" w:pos="-720"/>
        <w:tab w:val="left" w:pos="4536"/>
      </w:tabs>
      <w:suppressAutoHyphens/>
      <w:jc w:val="both"/>
      <w:outlineLvl w:val="6"/>
    </w:pPr>
    <w:rPr>
      <w:rFonts w:eastAsia="SimSun"/>
      <w:i/>
      <w:iCs/>
    </w:rPr>
  </w:style>
  <w:style w:type="paragraph" w:styleId="Antrat8">
    <w:name w:val="heading 8"/>
    <w:basedOn w:val="prastasis"/>
    <w:next w:val="prastasis"/>
    <w:link w:val="Antrat8Diagrama"/>
    <w:uiPriority w:val="99"/>
    <w:qFormat/>
    <w:rsid w:val="00DE5A01"/>
    <w:pPr>
      <w:keepNext/>
      <w:ind w:left="567" w:hanging="567"/>
      <w:jc w:val="both"/>
      <w:outlineLvl w:val="7"/>
    </w:pPr>
    <w:rPr>
      <w:rFonts w:eastAsia="SimSun"/>
      <w:b/>
      <w:bCs/>
      <w:i/>
      <w:iCs/>
    </w:rPr>
  </w:style>
  <w:style w:type="paragraph" w:styleId="Antrat9">
    <w:name w:val="heading 9"/>
    <w:basedOn w:val="prastasis"/>
    <w:next w:val="prastasis"/>
    <w:link w:val="Antrat9Diagrama"/>
    <w:uiPriority w:val="99"/>
    <w:qFormat/>
    <w:rsid w:val="00DE5A01"/>
    <w:pPr>
      <w:keepNext/>
      <w:jc w:val="both"/>
      <w:outlineLvl w:val="8"/>
    </w:pPr>
    <w:rPr>
      <w:rFonts w:eastAsia="SimSun"/>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5A01"/>
    <w:rPr>
      <w:rFonts w:ascii="Times New Roman" w:eastAsia="SimSun" w:hAnsi="Times New Roman" w:cs="Times New Roman"/>
      <w:b/>
      <w:bCs/>
      <w:caps/>
      <w:sz w:val="20"/>
      <w:szCs w:val="20"/>
      <w:lang w:val="en-US"/>
    </w:rPr>
  </w:style>
  <w:style w:type="character" w:customStyle="1" w:styleId="Antrat2Diagrama">
    <w:name w:val="Antraštė 2 Diagrama"/>
    <w:link w:val="Antrat2"/>
    <w:uiPriority w:val="99"/>
    <w:locked/>
    <w:rsid w:val="00DE5A01"/>
    <w:rPr>
      <w:rFonts w:ascii="Cambria" w:hAnsi="Cambria" w:cs="Cambria"/>
      <w:b/>
      <w:bCs/>
      <w:i/>
      <w:iCs/>
      <w:snapToGrid w:val="0"/>
      <w:sz w:val="28"/>
      <w:szCs w:val="28"/>
      <w:lang w:val="en-GB"/>
    </w:rPr>
  </w:style>
  <w:style w:type="character" w:customStyle="1" w:styleId="Antrat3Diagrama">
    <w:name w:val="Antraštė 3 Diagrama"/>
    <w:link w:val="Antrat3"/>
    <w:uiPriority w:val="99"/>
    <w:locked/>
    <w:rsid w:val="00DE5A01"/>
    <w:rPr>
      <w:rFonts w:ascii="Cambria" w:hAnsi="Cambria" w:cs="Cambria"/>
      <w:b/>
      <w:bCs/>
      <w:snapToGrid w:val="0"/>
      <w:sz w:val="26"/>
      <w:szCs w:val="26"/>
      <w:lang w:val="en-GB"/>
    </w:rPr>
  </w:style>
  <w:style w:type="character" w:customStyle="1" w:styleId="Antrat4Diagrama">
    <w:name w:val="Antraštė 4 Diagrama"/>
    <w:link w:val="Antrat4"/>
    <w:uiPriority w:val="99"/>
    <w:locked/>
    <w:rsid w:val="00DE5A01"/>
    <w:rPr>
      <w:rFonts w:ascii="Calibri" w:hAnsi="Calibri" w:cs="Calibri"/>
      <w:b/>
      <w:bCs/>
      <w:snapToGrid w:val="0"/>
      <w:sz w:val="28"/>
      <w:szCs w:val="28"/>
      <w:lang w:val="en-GB"/>
    </w:rPr>
  </w:style>
  <w:style w:type="character" w:customStyle="1" w:styleId="Antrat5Diagrama">
    <w:name w:val="Antraštė 5 Diagrama"/>
    <w:link w:val="Antrat5"/>
    <w:uiPriority w:val="99"/>
    <w:locked/>
    <w:rsid w:val="00DE5A01"/>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locked/>
    <w:rsid w:val="00DE5A01"/>
    <w:rPr>
      <w:rFonts w:ascii="Times New Roman" w:eastAsia="SimSun" w:hAnsi="Times New Roman" w:cs="Times New Roman"/>
      <w:i/>
      <w:iCs/>
      <w:sz w:val="20"/>
      <w:szCs w:val="20"/>
      <w:lang w:val="en-GB"/>
    </w:rPr>
  </w:style>
  <w:style w:type="character" w:customStyle="1" w:styleId="Antrat7Diagrama">
    <w:name w:val="Antraštė 7 Diagrama"/>
    <w:link w:val="Antrat7"/>
    <w:uiPriority w:val="99"/>
    <w:locked/>
    <w:rsid w:val="00DE5A01"/>
    <w:rPr>
      <w:rFonts w:ascii="Times New Roman" w:eastAsia="SimSun" w:hAnsi="Times New Roman" w:cs="Times New Roman"/>
      <w:i/>
      <w:iCs/>
      <w:sz w:val="20"/>
      <w:szCs w:val="20"/>
      <w:lang w:val="en-GB"/>
    </w:rPr>
  </w:style>
  <w:style w:type="character" w:customStyle="1" w:styleId="Antrat8Diagrama">
    <w:name w:val="Antraštė 8 Diagrama"/>
    <w:link w:val="Antrat8"/>
    <w:uiPriority w:val="99"/>
    <w:locked/>
    <w:rsid w:val="00DE5A01"/>
    <w:rPr>
      <w:rFonts w:ascii="Times New Roman" w:eastAsia="SimSun" w:hAnsi="Times New Roman" w:cs="Times New Roman"/>
      <w:b/>
      <w:bCs/>
      <w:i/>
      <w:iCs/>
      <w:sz w:val="20"/>
      <w:szCs w:val="20"/>
      <w:lang w:val="en-GB"/>
    </w:rPr>
  </w:style>
  <w:style w:type="character" w:customStyle="1" w:styleId="Antrat9Diagrama">
    <w:name w:val="Antraštė 9 Diagrama"/>
    <w:link w:val="Antrat9"/>
    <w:uiPriority w:val="99"/>
    <w:locked/>
    <w:rsid w:val="00DE5A01"/>
    <w:rPr>
      <w:rFonts w:ascii="Times New Roman" w:eastAsia="SimSun" w:hAnsi="Times New Roman" w:cs="Times New Roman"/>
      <w:b/>
      <w:bCs/>
      <w:i/>
      <w:iCs/>
      <w:sz w:val="20"/>
      <w:szCs w:val="20"/>
      <w:lang w:val="en-GB"/>
    </w:rPr>
  </w:style>
  <w:style w:type="paragraph" w:styleId="Porat">
    <w:name w:val="footer"/>
    <w:basedOn w:val="prastasis"/>
    <w:link w:val="PoratDiagrama"/>
    <w:uiPriority w:val="99"/>
    <w:rsid w:val="00DE5A01"/>
    <w:pPr>
      <w:tabs>
        <w:tab w:val="center" w:pos="4536"/>
        <w:tab w:val="right" w:pos="8306"/>
      </w:tabs>
    </w:pPr>
  </w:style>
  <w:style w:type="character" w:customStyle="1" w:styleId="PoratDiagrama">
    <w:name w:val="Poraštė Diagrama"/>
    <w:link w:val="Porat"/>
    <w:uiPriority w:val="99"/>
    <w:locked/>
    <w:rsid w:val="00DE5A01"/>
    <w:rPr>
      <w:rFonts w:ascii="Times New Roman" w:hAnsi="Times New Roman" w:cs="Times New Roman"/>
      <w:snapToGrid w:val="0"/>
      <w:sz w:val="20"/>
      <w:szCs w:val="20"/>
      <w:lang w:val="en-GB"/>
    </w:rPr>
  </w:style>
  <w:style w:type="character" w:customStyle="1" w:styleId="HeaderChar">
    <w:name w:val="Header Char"/>
    <w:uiPriority w:val="99"/>
    <w:rsid w:val="00DE5A01"/>
    <w:rPr>
      <w:snapToGrid w:val="0"/>
      <w:sz w:val="22"/>
      <w:szCs w:val="22"/>
      <w:lang w:val="en-GB" w:eastAsia="en-US"/>
    </w:rPr>
  </w:style>
  <w:style w:type="character" w:styleId="Puslapionumeris">
    <w:name w:val="page number"/>
    <w:basedOn w:val="Numatytasispastraiposriftas"/>
    <w:uiPriority w:val="99"/>
    <w:rsid w:val="00DE5A01"/>
  </w:style>
  <w:style w:type="character" w:styleId="Hipersaitas">
    <w:name w:val="Hyperlink"/>
    <w:uiPriority w:val="99"/>
    <w:rsid w:val="00DE5A01"/>
    <w:rPr>
      <w:color w:val="0000FF"/>
      <w:u w:val="single"/>
    </w:rPr>
  </w:style>
  <w:style w:type="paragraph" w:customStyle="1" w:styleId="BodytextAgency">
    <w:name w:val="Body text (Agency)"/>
    <w:basedOn w:val="prastasis"/>
    <w:link w:val="BodytextAgencyChar"/>
    <w:uiPriority w:val="99"/>
    <w:rsid w:val="00DE5A01"/>
    <w:pPr>
      <w:tabs>
        <w:tab w:val="clear" w:pos="567"/>
      </w:tabs>
      <w:spacing w:after="140" w:line="280" w:lineRule="atLeast"/>
    </w:pPr>
    <w:rPr>
      <w:rFonts w:ascii="Verdana" w:eastAsia="Calibri" w:hAnsi="Verdana" w:cs="Verdana"/>
      <w:sz w:val="20"/>
      <w:szCs w:val="20"/>
      <w:lang w:eastAsia="lt-LT"/>
    </w:rPr>
  </w:style>
  <w:style w:type="character" w:customStyle="1" w:styleId="BodytextAgencyChar">
    <w:name w:val="Body text (Agency) Char"/>
    <w:link w:val="BodytextAgency"/>
    <w:uiPriority w:val="99"/>
    <w:locked/>
    <w:rsid w:val="00DE5A01"/>
    <w:rPr>
      <w:rFonts w:ascii="Verdana" w:hAnsi="Verdana" w:cs="Verdana"/>
      <w:snapToGrid w:val="0"/>
      <w:sz w:val="20"/>
      <w:szCs w:val="20"/>
      <w:lang w:val="en-GB"/>
    </w:rPr>
  </w:style>
  <w:style w:type="paragraph" w:customStyle="1" w:styleId="NormalAgency">
    <w:name w:val="Normal (Agency)"/>
    <w:link w:val="NormalAgencyChar"/>
    <w:uiPriority w:val="99"/>
    <w:rsid w:val="00DE5A01"/>
    <w:pPr>
      <w:spacing w:after="200" w:line="276" w:lineRule="auto"/>
    </w:pPr>
    <w:rPr>
      <w:rFonts w:ascii="Verdana" w:hAnsi="Verdana" w:cs="Verdana"/>
      <w:sz w:val="22"/>
      <w:szCs w:val="22"/>
      <w:lang w:val="en-GB" w:eastAsia="lt-LT"/>
    </w:rPr>
  </w:style>
  <w:style w:type="character" w:customStyle="1" w:styleId="NormalAgencyChar">
    <w:name w:val="Normal (Agency) Char"/>
    <w:link w:val="NormalAgency"/>
    <w:uiPriority w:val="99"/>
    <w:locked/>
    <w:rsid w:val="00DE5A01"/>
    <w:rPr>
      <w:rFonts w:ascii="Verdana" w:hAnsi="Verdana" w:cs="Verdana"/>
      <w:snapToGrid w:val="0"/>
      <w:sz w:val="22"/>
      <w:szCs w:val="22"/>
      <w:lang w:val="en-GB" w:eastAsia="lt-LT"/>
    </w:rPr>
  </w:style>
  <w:style w:type="paragraph" w:customStyle="1" w:styleId="TabletextrowsAgency">
    <w:name w:val="Table text rows (Agency)"/>
    <w:basedOn w:val="prastasis"/>
    <w:uiPriority w:val="99"/>
    <w:rsid w:val="00DE5A01"/>
    <w:pPr>
      <w:tabs>
        <w:tab w:val="clear" w:pos="567"/>
      </w:tabs>
      <w:spacing w:line="280" w:lineRule="exact"/>
    </w:pPr>
    <w:rPr>
      <w:rFonts w:ascii="Verdana" w:hAnsi="Verdana" w:cs="Verdana"/>
      <w:sz w:val="18"/>
      <w:szCs w:val="18"/>
    </w:rPr>
  </w:style>
  <w:style w:type="character" w:customStyle="1" w:styleId="tw4winError">
    <w:name w:val="tw4winError"/>
    <w:uiPriority w:val="99"/>
    <w:rsid w:val="00DE5A01"/>
    <w:rPr>
      <w:rFonts w:ascii="Courier New" w:hAnsi="Courier New" w:cs="Courier New"/>
      <w:color w:val="00FF00"/>
      <w:sz w:val="40"/>
      <w:szCs w:val="40"/>
    </w:rPr>
  </w:style>
  <w:style w:type="character" w:customStyle="1" w:styleId="tw4winTerm">
    <w:name w:val="tw4winTerm"/>
    <w:uiPriority w:val="99"/>
    <w:rsid w:val="00DE5A01"/>
    <w:rPr>
      <w:color w:val="0000FF"/>
    </w:rPr>
  </w:style>
  <w:style w:type="character" w:customStyle="1" w:styleId="tw4winPopup">
    <w:name w:val="tw4winPopup"/>
    <w:uiPriority w:val="99"/>
    <w:rsid w:val="00DE5A01"/>
    <w:rPr>
      <w:rFonts w:ascii="Courier New" w:hAnsi="Courier New" w:cs="Courier New"/>
      <w:noProof/>
      <w:color w:val="008000"/>
    </w:rPr>
  </w:style>
  <w:style w:type="character" w:customStyle="1" w:styleId="tw4winJump">
    <w:name w:val="tw4winJump"/>
    <w:uiPriority w:val="99"/>
    <w:rsid w:val="00DE5A01"/>
    <w:rPr>
      <w:rFonts w:ascii="Courier New" w:hAnsi="Courier New" w:cs="Courier New"/>
      <w:noProof/>
      <w:color w:val="008080"/>
    </w:rPr>
  </w:style>
  <w:style w:type="character" w:customStyle="1" w:styleId="tw4winExternal">
    <w:name w:val="tw4winExternal"/>
    <w:uiPriority w:val="99"/>
    <w:rsid w:val="00DE5A01"/>
    <w:rPr>
      <w:rFonts w:ascii="Courier New" w:hAnsi="Courier New" w:cs="Courier New"/>
      <w:noProof/>
      <w:color w:val="808080"/>
    </w:rPr>
  </w:style>
  <w:style w:type="character" w:customStyle="1" w:styleId="tw4winInternal">
    <w:name w:val="tw4winInternal"/>
    <w:uiPriority w:val="99"/>
    <w:rsid w:val="00DE5A01"/>
    <w:rPr>
      <w:rFonts w:ascii="Courier New" w:hAnsi="Courier New" w:cs="Courier New"/>
      <w:noProof/>
      <w:color w:val="FF0000"/>
    </w:rPr>
  </w:style>
  <w:style w:type="character" w:customStyle="1" w:styleId="DONOTTRANSLATE">
    <w:name w:val="DO_NOT_TRANSLATE"/>
    <w:uiPriority w:val="99"/>
    <w:rsid w:val="00DE5A01"/>
    <w:rPr>
      <w:rFonts w:ascii="Courier New" w:hAnsi="Courier New" w:cs="Courier New"/>
      <w:noProof/>
      <w:color w:val="800000"/>
    </w:rPr>
  </w:style>
  <w:style w:type="paragraph" w:styleId="Debesliotekstas">
    <w:name w:val="Balloon Text"/>
    <w:basedOn w:val="prastasis"/>
    <w:link w:val="DebesliotekstasDiagrama"/>
    <w:uiPriority w:val="99"/>
    <w:semiHidden/>
    <w:rsid w:val="00DE5A01"/>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DE5A01"/>
    <w:rPr>
      <w:rFonts w:ascii="Tahoma" w:hAnsi="Tahoma" w:cs="Tahoma"/>
      <w:snapToGrid w:val="0"/>
      <w:sz w:val="16"/>
      <w:szCs w:val="16"/>
      <w:lang w:val="en-GB"/>
    </w:rPr>
  </w:style>
  <w:style w:type="character" w:styleId="Komentaronuoroda">
    <w:name w:val="annotation reference"/>
    <w:uiPriority w:val="99"/>
    <w:semiHidden/>
    <w:rsid w:val="00DE5A01"/>
    <w:rPr>
      <w:sz w:val="16"/>
      <w:szCs w:val="16"/>
    </w:rPr>
  </w:style>
  <w:style w:type="paragraph" w:styleId="Komentarotekstas">
    <w:name w:val="annotation text"/>
    <w:basedOn w:val="prastasis"/>
    <w:link w:val="KomentarotekstasDiagrama"/>
    <w:uiPriority w:val="99"/>
    <w:semiHidden/>
    <w:rsid w:val="00DE5A01"/>
    <w:rPr>
      <w:sz w:val="20"/>
      <w:szCs w:val="20"/>
    </w:rPr>
  </w:style>
  <w:style w:type="character" w:customStyle="1" w:styleId="KomentarotekstasDiagrama">
    <w:name w:val="Komentaro tekstas Diagrama"/>
    <w:link w:val="Komentarotekstas"/>
    <w:uiPriority w:val="99"/>
    <w:locked/>
    <w:rsid w:val="00DE5A01"/>
    <w:rPr>
      <w:rFonts w:ascii="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rsid w:val="00DE5A01"/>
    <w:rPr>
      <w:b/>
      <w:bCs/>
    </w:rPr>
  </w:style>
  <w:style w:type="character" w:customStyle="1" w:styleId="KomentarotemaDiagrama">
    <w:name w:val="Komentaro tema Diagrama"/>
    <w:link w:val="Komentarotema"/>
    <w:uiPriority w:val="99"/>
    <w:locked/>
    <w:rsid w:val="00DE5A01"/>
    <w:rPr>
      <w:rFonts w:ascii="Times New Roman" w:hAnsi="Times New Roman" w:cs="Times New Roman"/>
      <w:b/>
      <w:bCs/>
      <w:snapToGrid w:val="0"/>
      <w:sz w:val="20"/>
      <w:szCs w:val="20"/>
      <w:lang w:val="en-GB"/>
    </w:rPr>
  </w:style>
  <w:style w:type="paragraph" w:customStyle="1" w:styleId="EMEAEnBodyText">
    <w:name w:val="EMEA En Body Text"/>
    <w:basedOn w:val="prastasis"/>
    <w:uiPriority w:val="99"/>
    <w:rsid w:val="00DE5A01"/>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DE5A01"/>
    <w:rPr>
      <w:rFonts w:ascii="Courier New" w:hAnsi="Courier New" w:cs="Courier New"/>
      <w:vanish/>
      <w:color w:val="800080"/>
      <w:sz w:val="24"/>
      <w:szCs w:val="24"/>
      <w:vertAlign w:val="subscript"/>
    </w:rPr>
  </w:style>
  <w:style w:type="paragraph" w:styleId="Antrats">
    <w:name w:val="header"/>
    <w:basedOn w:val="prastasis"/>
    <w:link w:val="AntratsDiagrama"/>
    <w:uiPriority w:val="99"/>
    <w:rsid w:val="00DE5A01"/>
    <w:pPr>
      <w:tabs>
        <w:tab w:val="clear" w:pos="567"/>
        <w:tab w:val="center" w:pos="4320"/>
        <w:tab w:val="right" w:pos="8640"/>
      </w:tabs>
    </w:pPr>
    <w:rPr>
      <w:rFonts w:eastAsia="SimSun"/>
      <w:lang w:eastAsia="zh-CN"/>
    </w:rPr>
  </w:style>
  <w:style w:type="character" w:customStyle="1" w:styleId="AntratsDiagrama">
    <w:name w:val="Antraštės Diagrama"/>
    <w:link w:val="Antrats"/>
    <w:uiPriority w:val="99"/>
    <w:locked/>
    <w:rsid w:val="00DE5A0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DE5A01"/>
    <w:pPr>
      <w:shd w:val="clear" w:color="auto" w:fill="000080"/>
    </w:pPr>
    <w:rPr>
      <w:rFonts w:ascii="Tahoma" w:eastAsia="SimSun" w:hAnsi="Tahoma" w:cs="Tahoma"/>
      <w:sz w:val="20"/>
      <w:szCs w:val="20"/>
      <w:lang w:eastAsia="zh-CN"/>
    </w:rPr>
  </w:style>
  <w:style w:type="character" w:customStyle="1" w:styleId="DokumentostruktraDiagrama">
    <w:name w:val="Dokumento struktūra Diagrama"/>
    <w:link w:val="Dokumentostruktra"/>
    <w:uiPriority w:val="99"/>
    <w:locked/>
    <w:rsid w:val="00DE5A01"/>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A01"/>
    <w:pPr>
      <w:tabs>
        <w:tab w:val="clear" w:pos="567"/>
      </w:tabs>
      <w:autoSpaceDE w:val="0"/>
      <w:autoSpaceDN w:val="0"/>
      <w:adjustRightInd w:val="0"/>
      <w:spacing w:line="240" w:lineRule="auto"/>
      <w:ind w:left="720"/>
      <w:jc w:val="both"/>
    </w:pPr>
    <w:rPr>
      <w:rFonts w:eastAsia="SimSun"/>
      <w:lang w:eastAsia="en-GB"/>
    </w:rPr>
  </w:style>
  <w:style w:type="character" w:customStyle="1" w:styleId="PagrindiniotekstotraukaDiagrama">
    <w:name w:val="Pagrindinio teksto įtrauka Diagrama"/>
    <w:link w:val="Pagrindiniotekstotrauka"/>
    <w:uiPriority w:val="99"/>
    <w:locked/>
    <w:rsid w:val="00DE5A0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A01"/>
    <w:pPr>
      <w:tabs>
        <w:tab w:val="clear" w:pos="567"/>
      </w:tabs>
      <w:autoSpaceDE w:val="0"/>
      <w:autoSpaceDN w:val="0"/>
      <w:adjustRightInd w:val="0"/>
      <w:spacing w:line="240" w:lineRule="auto"/>
      <w:jc w:val="both"/>
    </w:pPr>
    <w:rPr>
      <w:rFonts w:eastAsia="SimSun"/>
      <w:color w:val="0000FF"/>
      <w:lang w:eastAsia="en-GB"/>
    </w:rPr>
  </w:style>
  <w:style w:type="character" w:customStyle="1" w:styleId="Pagrindinistekstas3Diagrama">
    <w:name w:val="Pagrindinis tekstas 3 Diagrama"/>
    <w:link w:val="Pagrindinistekstas3"/>
    <w:uiPriority w:val="99"/>
    <w:locked/>
    <w:rsid w:val="00DE5A0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A0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rPr>
  </w:style>
  <w:style w:type="character" w:customStyle="1" w:styleId="Pagrindiniotekstotrauka2Diagrama">
    <w:name w:val="Pagrindinio teksto įtrauka 2 Diagrama"/>
    <w:link w:val="Pagrindiniotekstotrauka2"/>
    <w:uiPriority w:val="99"/>
    <w:locked/>
    <w:rsid w:val="00DE5A0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E5A01"/>
    <w:pPr>
      <w:tabs>
        <w:tab w:val="clear" w:pos="567"/>
      </w:tabs>
      <w:spacing w:line="240" w:lineRule="auto"/>
    </w:pPr>
    <w:rPr>
      <w:rFonts w:eastAsia="SimSun"/>
      <w:i/>
      <w:iCs/>
      <w:color w:val="008000"/>
    </w:rPr>
  </w:style>
  <w:style w:type="character" w:customStyle="1" w:styleId="PagrindinistekstasDiagrama">
    <w:name w:val="Pagrindinis tekstas Diagrama"/>
    <w:link w:val="Pagrindinistekstas"/>
    <w:uiPriority w:val="99"/>
    <w:locked/>
    <w:rsid w:val="00DE5A01"/>
    <w:rPr>
      <w:rFonts w:ascii="Times New Roman" w:eastAsia="SimSun" w:hAnsi="Times New Roman" w:cs="Times New Roman"/>
      <w:i/>
      <w:iCs/>
      <w:color w:val="008000"/>
      <w:sz w:val="20"/>
      <w:szCs w:val="20"/>
      <w:lang w:val="en-GB"/>
    </w:rPr>
  </w:style>
  <w:style w:type="paragraph" w:styleId="Pagrindinistekstas2">
    <w:name w:val="Body Text 2"/>
    <w:basedOn w:val="prastasis"/>
    <w:link w:val="Pagrindinistekstas2Diagrama"/>
    <w:uiPriority w:val="99"/>
    <w:rsid w:val="00DE5A0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u w:val="single"/>
    </w:rPr>
  </w:style>
  <w:style w:type="character" w:customStyle="1" w:styleId="Pagrindinistekstas2Diagrama">
    <w:name w:val="Pagrindinis tekstas 2 Diagrama"/>
    <w:link w:val="Pagrindinistekstas2"/>
    <w:uiPriority w:val="99"/>
    <w:locked/>
    <w:rsid w:val="00DE5A0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E5A01"/>
    <w:pPr>
      <w:tabs>
        <w:tab w:val="clear" w:pos="567"/>
        <w:tab w:val="num" w:pos="720"/>
      </w:tabs>
      <w:spacing w:after="120" w:line="240" w:lineRule="auto"/>
      <w:ind w:left="284" w:hanging="284"/>
    </w:pPr>
    <w:rPr>
      <w:rFonts w:ascii="Arial" w:eastAsia="SimSun" w:hAnsi="Arial" w:cs="Arial"/>
      <w:b/>
      <w:bCs/>
      <w:sz w:val="24"/>
      <w:szCs w:val="24"/>
    </w:rPr>
  </w:style>
  <w:style w:type="paragraph" w:customStyle="1" w:styleId="AHeader2">
    <w:name w:val="AHeader 2"/>
    <w:basedOn w:val="AHeader1"/>
    <w:uiPriority w:val="99"/>
    <w:rsid w:val="00DE5A01"/>
    <w:pPr>
      <w:tabs>
        <w:tab w:val="clear" w:pos="720"/>
        <w:tab w:val="num" w:pos="360"/>
      </w:tabs>
      <w:ind w:left="709" w:hanging="425"/>
    </w:pPr>
    <w:rPr>
      <w:sz w:val="22"/>
      <w:szCs w:val="22"/>
    </w:rPr>
  </w:style>
  <w:style w:type="paragraph" w:customStyle="1" w:styleId="AHeader3">
    <w:name w:val="AHeader 3"/>
    <w:basedOn w:val="AHeader2"/>
    <w:uiPriority w:val="99"/>
    <w:rsid w:val="00DE5A01"/>
    <w:pPr>
      <w:ind w:left="1276" w:hanging="567"/>
    </w:pPr>
  </w:style>
  <w:style w:type="paragraph" w:customStyle="1" w:styleId="AHeader2abc">
    <w:name w:val="AHeader 2 abc"/>
    <w:basedOn w:val="AHeader3"/>
    <w:uiPriority w:val="99"/>
    <w:rsid w:val="00DE5A01"/>
    <w:pPr>
      <w:jc w:val="both"/>
    </w:pPr>
    <w:rPr>
      <w:b w:val="0"/>
      <w:bCs w:val="0"/>
    </w:rPr>
  </w:style>
  <w:style w:type="paragraph" w:customStyle="1" w:styleId="AHeader3abc">
    <w:name w:val="AHeader 3 abc"/>
    <w:basedOn w:val="AHeader2abc"/>
    <w:uiPriority w:val="99"/>
    <w:rsid w:val="00DE5A01"/>
    <w:pPr>
      <w:ind w:left="1701" w:hanging="425"/>
    </w:pPr>
  </w:style>
  <w:style w:type="paragraph" w:styleId="Pagrindiniotekstotrauka3">
    <w:name w:val="Body Text Indent 3"/>
    <w:basedOn w:val="prastasis"/>
    <w:link w:val="Pagrindiniotekstotrauka3Diagrama"/>
    <w:uiPriority w:val="99"/>
    <w:rsid w:val="00DE5A01"/>
    <w:pPr>
      <w:tabs>
        <w:tab w:val="left" w:pos="1134"/>
      </w:tabs>
      <w:autoSpaceDE w:val="0"/>
      <w:autoSpaceDN w:val="0"/>
      <w:adjustRightInd w:val="0"/>
      <w:ind w:left="633"/>
      <w:jc w:val="both"/>
    </w:pPr>
    <w:rPr>
      <w:rFonts w:eastAsia="SimSun"/>
    </w:rPr>
  </w:style>
  <w:style w:type="character" w:customStyle="1" w:styleId="Pagrindiniotekstotrauka3Diagrama">
    <w:name w:val="Pagrindinio teksto įtrauka 3 Diagrama"/>
    <w:link w:val="Pagrindiniotekstotrauka3"/>
    <w:uiPriority w:val="99"/>
    <w:locked/>
    <w:rsid w:val="00DE5A01"/>
    <w:rPr>
      <w:rFonts w:ascii="Times New Roman" w:eastAsia="SimSun" w:hAnsi="Times New Roman" w:cs="Times New Roman"/>
      <w:sz w:val="21"/>
      <w:szCs w:val="21"/>
      <w:lang w:val="en-GB"/>
    </w:rPr>
  </w:style>
  <w:style w:type="character" w:styleId="Perirtashipersaitas">
    <w:name w:val="FollowedHyperlink"/>
    <w:uiPriority w:val="99"/>
    <w:rsid w:val="00DE5A01"/>
    <w:rPr>
      <w:color w:val="800080"/>
      <w:u w:val="single"/>
    </w:rPr>
  </w:style>
  <w:style w:type="character" w:styleId="Grietas">
    <w:name w:val="Strong"/>
    <w:uiPriority w:val="99"/>
    <w:qFormat/>
    <w:rsid w:val="00DE5A01"/>
    <w:rPr>
      <w:b/>
      <w:bCs/>
    </w:rPr>
  </w:style>
  <w:style w:type="paragraph" w:customStyle="1" w:styleId="TableheadingrowsAgency">
    <w:name w:val="Table heading rows (Agency)"/>
    <w:basedOn w:val="BodytextAgency"/>
    <w:uiPriority w:val="99"/>
    <w:rsid w:val="00DE5A01"/>
    <w:pPr>
      <w:keepNext/>
    </w:pPr>
    <w:rPr>
      <w:rFonts w:eastAsia="SimSun"/>
      <w:b/>
      <w:bCs/>
      <w:lang w:eastAsia="en-GB"/>
    </w:rPr>
  </w:style>
  <w:style w:type="paragraph" w:styleId="Paprastasistekstas">
    <w:name w:val="Plain Text"/>
    <w:basedOn w:val="prastasis"/>
    <w:link w:val="PaprastasistekstasDiagrama"/>
    <w:uiPriority w:val="99"/>
    <w:rsid w:val="00DE5A01"/>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link w:val="Paprastasistekstas"/>
    <w:uiPriority w:val="99"/>
    <w:locked/>
    <w:rsid w:val="00DE5A01"/>
    <w:rPr>
      <w:rFonts w:ascii="Courier New" w:eastAsia="SimSun" w:hAnsi="Courier New" w:cs="Courier New"/>
      <w:sz w:val="20"/>
      <w:szCs w:val="20"/>
      <w:lang w:val="en-US"/>
    </w:rPr>
  </w:style>
  <w:style w:type="paragraph" w:customStyle="1" w:styleId="Default">
    <w:name w:val="Default"/>
    <w:uiPriority w:val="99"/>
    <w:rsid w:val="00DE5A01"/>
    <w:pPr>
      <w:autoSpaceDE w:val="0"/>
      <w:autoSpaceDN w:val="0"/>
      <w:adjustRightInd w:val="0"/>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DE5A01"/>
    <w:pPr>
      <w:tabs>
        <w:tab w:val="clear" w:pos="567"/>
      </w:tabs>
      <w:spacing w:line="240" w:lineRule="auto"/>
      <w:jc w:val="center"/>
    </w:pPr>
    <w:rPr>
      <w:rFonts w:eastAsia="SimSun"/>
      <w:b/>
      <w:bCs/>
    </w:rPr>
  </w:style>
  <w:style w:type="character" w:customStyle="1" w:styleId="PavadinimasDiagrama">
    <w:name w:val="Pavadinimas Diagrama"/>
    <w:link w:val="Pavadinimas"/>
    <w:uiPriority w:val="99"/>
    <w:locked/>
    <w:rsid w:val="00DE5A01"/>
    <w:rPr>
      <w:rFonts w:ascii="Times New Roman" w:eastAsia="SimSun" w:hAnsi="Times New Roman" w:cs="Times New Roman"/>
      <w:b/>
      <w:bCs/>
      <w:sz w:val="20"/>
      <w:szCs w:val="20"/>
      <w:lang w:val="en-GB"/>
    </w:rPr>
  </w:style>
  <w:style w:type="paragraph" w:styleId="Dokumentoinaostekstas">
    <w:name w:val="endnote text"/>
    <w:basedOn w:val="prastasis"/>
    <w:link w:val="DokumentoinaostekstasDiagrama"/>
    <w:uiPriority w:val="99"/>
    <w:semiHidden/>
    <w:rsid w:val="00DE5A01"/>
    <w:pPr>
      <w:spacing w:line="240" w:lineRule="auto"/>
    </w:pPr>
    <w:rPr>
      <w:rFonts w:eastAsia="SimSun"/>
    </w:rPr>
  </w:style>
  <w:style w:type="character" w:customStyle="1" w:styleId="DokumentoinaostekstasDiagrama">
    <w:name w:val="Dokumento išnašos tekstas Diagrama"/>
    <w:link w:val="Dokumentoinaostekstas"/>
    <w:uiPriority w:val="99"/>
    <w:locked/>
    <w:rsid w:val="00DE5A01"/>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DE5A01"/>
    <w:pPr>
      <w:tabs>
        <w:tab w:val="clear" w:pos="567"/>
      </w:tabs>
      <w:spacing w:line="240" w:lineRule="auto"/>
    </w:pPr>
    <w:rPr>
      <w:rFonts w:eastAsia="SimSun"/>
      <w:noProof/>
      <w:sz w:val="20"/>
      <w:szCs w:val="20"/>
      <w:lang w:eastAsia="lt-LT"/>
    </w:rPr>
  </w:style>
  <w:style w:type="character" w:customStyle="1" w:styleId="BTEMEASMCAChar">
    <w:name w:val="BT EMEA_SMCA Char"/>
    <w:link w:val="BTEMEASMCA"/>
    <w:uiPriority w:val="99"/>
    <w:locked/>
    <w:rsid w:val="00DE5A01"/>
    <w:rPr>
      <w:rFonts w:ascii="Times New Roman" w:eastAsia="SimSun" w:hAnsi="Times New Roman" w:cs="Times New Roman"/>
      <w:noProof/>
      <w:sz w:val="20"/>
      <w:szCs w:val="20"/>
      <w:lang w:val="en-GB"/>
    </w:rPr>
  </w:style>
  <w:style w:type="character" w:customStyle="1" w:styleId="CharChar12">
    <w:name w:val="Char Char12"/>
    <w:uiPriority w:val="99"/>
    <w:locked/>
    <w:rsid w:val="00DE5A01"/>
    <w:rPr>
      <w:snapToGrid w:val="0"/>
      <w:lang w:val="en-GB" w:eastAsia="en-US"/>
    </w:rPr>
  </w:style>
  <w:style w:type="paragraph" w:styleId="Sraopastraipa">
    <w:name w:val="List Paragraph"/>
    <w:basedOn w:val="prastasis"/>
    <w:uiPriority w:val="99"/>
    <w:qFormat/>
    <w:rsid w:val="00DE5A01"/>
    <w:pPr>
      <w:tabs>
        <w:tab w:val="clear" w:pos="567"/>
      </w:tabs>
      <w:spacing w:line="240" w:lineRule="auto"/>
      <w:ind w:left="720"/>
    </w:pPr>
    <w:rPr>
      <w:sz w:val="24"/>
      <w:szCs w:val="24"/>
    </w:rPr>
  </w:style>
  <w:style w:type="paragraph" w:styleId="prastojitrauka">
    <w:name w:val="Normal Indent"/>
    <w:basedOn w:val="prastasis"/>
    <w:uiPriority w:val="99"/>
    <w:rsid w:val="00DE5A01"/>
    <w:pPr>
      <w:tabs>
        <w:tab w:val="clear" w:pos="567"/>
      </w:tabs>
      <w:spacing w:after="120" w:line="240" w:lineRule="auto"/>
      <w:ind w:left="720"/>
    </w:pPr>
    <w:rPr>
      <w:lang w:eastAsia="en-GB"/>
    </w:rPr>
  </w:style>
  <w:style w:type="paragraph" w:styleId="prastasistinklapis">
    <w:name w:val="Normal (Web)"/>
    <w:basedOn w:val="prastasis"/>
    <w:uiPriority w:val="99"/>
    <w:rsid w:val="00DE5A01"/>
    <w:pPr>
      <w:tabs>
        <w:tab w:val="clear" w:pos="567"/>
      </w:tabs>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14168">
      <w:bodyDiv w:val="1"/>
      <w:marLeft w:val="0"/>
      <w:marRight w:val="0"/>
      <w:marTop w:val="0"/>
      <w:marBottom w:val="0"/>
      <w:divBdr>
        <w:top w:val="none" w:sz="0" w:space="0" w:color="auto"/>
        <w:left w:val="none" w:sz="0" w:space="0" w:color="auto"/>
        <w:bottom w:val="none" w:sz="0" w:space="0" w:color="auto"/>
        <w:right w:val="none" w:sz="0" w:space="0" w:color="auto"/>
      </w:divBdr>
    </w:div>
    <w:div w:id="163579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microsoft.com/office/2007/relationships/stylesWithEffects" Target="stylesWithEffect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CF2A1-9BC0-4E85-BB1E-30B68988E746}">
  <ds:schemaRefs>
    <ds:schemaRef ds:uri="http://schemas.openxmlformats.org/officeDocument/2006/bibliography"/>
  </ds:schemaRefs>
</ds:datastoreItem>
</file>

<file path=customXml/itemProps2.xml><?xml version="1.0" encoding="utf-8"?>
<ds:datastoreItem xmlns:ds="http://schemas.openxmlformats.org/officeDocument/2006/customXml" ds:itemID="{636A0478-4F82-46F3-BD91-859B63BE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7023</Words>
  <Characters>49672</Characters>
  <Application>Microsoft Office Word</Application>
  <DocSecurity>8</DocSecurity>
  <Lines>413</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Albina Burkauskaitė</cp:lastModifiedBy>
  <cp:revision>2</cp:revision>
  <dcterms:created xsi:type="dcterms:W3CDTF">2015-08-11T10:15:00Z</dcterms:created>
  <dcterms:modified xsi:type="dcterms:W3CDTF">2015-08-11T10:18:00Z</dcterms:modified>
</cp:coreProperties>
</file>