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BF82A" w14:textId="77777777" w:rsidR="009A7DBF" w:rsidRPr="007F213F" w:rsidRDefault="009A7DBF">
      <w:pPr>
        <w:widowControl w:val="0"/>
        <w:ind w:left="567" w:hanging="567"/>
        <w:rPr>
          <w:sz w:val="22"/>
          <w:szCs w:val="22"/>
          <w:lang w:val="lt-LT"/>
        </w:rPr>
      </w:pPr>
    </w:p>
    <w:p w14:paraId="6B8C3095" w14:textId="77777777" w:rsidR="009A7DBF" w:rsidRDefault="009A7DBF">
      <w:pPr>
        <w:widowControl w:val="0"/>
        <w:ind w:left="567" w:hanging="567"/>
        <w:rPr>
          <w:sz w:val="22"/>
          <w:szCs w:val="22"/>
        </w:rPr>
      </w:pPr>
    </w:p>
    <w:p w14:paraId="7C30AF59" w14:textId="77777777" w:rsidR="009A7DBF" w:rsidRDefault="009A7DBF">
      <w:pPr>
        <w:widowControl w:val="0"/>
        <w:ind w:left="567" w:hanging="567"/>
        <w:rPr>
          <w:sz w:val="22"/>
          <w:szCs w:val="22"/>
        </w:rPr>
      </w:pPr>
    </w:p>
    <w:p w14:paraId="72C3E6D6" w14:textId="77777777" w:rsidR="009A7DBF" w:rsidRDefault="009A7DBF">
      <w:pPr>
        <w:widowControl w:val="0"/>
        <w:ind w:left="567" w:hanging="567"/>
        <w:rPr>
          <w:sz w:val="22"/>
          <w:szCs w:val="22"/>
        </w:rPr>
      </w:pPr>
    </w:p>
    <w:p w14:paraId="607B832C" w14:textId="77777777" w:rsidR="009A7DBF" w:rsidRDefault="009A7DBF">
      <w:pPr>
        <w:widowControl w:val="0"/>
        <w:ind w:left="567" w:hanging="567"/>
        <w:rPr>
          <w:sz w:val="22"/>
          <w:szCs w:val="22"/>
        </w:rPr>
      </w:pPr>
    </w:p>
    <w:p w14:paraId="7D640A52" w14:textId="77777777" w:rsidR="009A7DBF" w:rsidRDefault="009A7DBF">
      <w:pPr>
        <w:widowControl w:val="0"/>
        <w:ind w:left="567" w:hanging="567"/>
        <w:rPr>
          <w:sz w:val="22"/>
          <w:szCs w:val="22"/>
        </w:rPr>
      </w:pPr>
    </w:p>
    <w:p w14:paraId="01ECD5BE" w14:textId="77777777" w:rsidR="009A7DBF" w:rsidRDefault="009A7DBF">
      <w:pPr>
        <w:widowControl w:val="0"/>
        <w:ind w:left="567" w:hanging="567"/>
        <w:rPr>
          <w:sz w:val="22"/>
          <w:szCs w:val="22"/>
        </w:rPr>
      </w:pPr>
    </w:p>
    <w:p w14:paraId="75D08781" w14:textId="77777777" w:rsidR="009A7DBF" w:rsidRDefault="009A7DBF">
      <w:pPr>
        <w:widowControl w:val="0"/>
        <w:ind w:left="567" w:hanging="567"/>
        <w:rPr>
          <w:sz w:val="22"/>
          <w:szCs w:val="22"/>
        </w:rPr>
      </w:pPr>
    </w:p>
    <w:p w14:paraId="5BEB4385" w14:textId="77777777" w:rsidR="009A7DBF" w:rsidRDefault="009A7DBF">
      <w:pPr>
        <w:widowControl w:val="0"/>
        <w:ind w:left="567" w:hanging="567"/>
        <w:rPr>
          <w:sz w:val="22"/>
          <w:szCs w:val="22"/>
        </w:rPr>
      </w:pPr>
    </w:p>
    <w:p w14:paraId="6B8A2632" w14:textId="77777777" w:rsidR="009A7DBF" w:rsidRDefault="009A7DBF">
      <w:pPr>
        <w:widowControl w:val="0"/>
        <w:ind w:left="567" w:hanging="567"/>
        <w:rPr>
          <w:sz w:val="22"/>
          <w:szCs w:val="22"/>
        </w:rPr>
      </w:pPr>
    </w:p>
    <w:p w14:paraId="2DE8470C" w14:textId="77777777" w:rsidR="009A7DBF" w:rsidRDefault="009A7DBF">
      <w:pPr>
        <w:widowControl w:val="0"/>
        <w:ind w:left="567" w:hanging="567"/>
        <w:rPr>
          <w:sz w:val="22"/>
          <w:szCs w:val="22"/>
        </w:rPr>
      </w:pPr>
    </w:p>
    <w:p w14:paraId="42FA6D01" w14:textId="77777777" w:rsidR="009A7DBF" w:rsidRDefault="009A7DBF">
      <w:pPr>
        <w:widowControl w:val="0"/>
        <w:ind w:left="567" w:hanging="567"/>
        <w:rPr>
          <w:sz w:val="22"/>
          <w:szCs w:val="22"/>
        </w:rPr>
      </w:pPr>
    </w:p>
    <w:p w14:paraId="1C348A72" w14:textId="77777777" w:rsidR="009A7DBF" w:rsidRDefault="009A7DBF">
      <w:pPr>
        <w:widowControl w:val="0"/>
        <w:ind w:left="567" w:hanging="567"/>
        <w:rPr>
          <w:sz w:val="22"/>
          <w:szCs w:val="22"/>
        </w:rPr>
      </w:pPr>
    </w:p>
    <w:p w14:paraId="26AFEB0B" w14:textId="77777777" w:rsidR="009A7DBF" w:rsidRDefault="009A7DBF">
      <w:pPr>
        <w:widowControl w:val="0"/>
        <w:ind w:left="567" w:hanging="567"/>
        <w:rPr>
          <w:sz w:val="22"/>
          <w:szCs w:val="22"/>
        </w:rPr>
      </w:pPr>
    </w:p>
    <w:p w14:paraId="45D8BE3E" w14:textId="77777777" w:rsidR="009A7DBF" w:rsidRDefault="009A7DBF">
      <w:pPr>
        <w:widowControl w:val="0"/>
        <w:ind w:left="567" w:hanging="567"/>
        <w:rPr>
          <w:sz w:val="22"/>
          <w:szCs w:val="22"/>
        </w:rPr>
      </w:pPr>
    </w:p>
    <w:p w14:paraId="270721AC" w14:textId="77777777" w:rsidR="009A7DBF" w:rsidRDefault="009A7DBF">
      <w:pPr>
        <w:widowControl w:val="0"/>
        <w:ind w:left="567" w:hanging="567"/>
        <w:rPr>
          <w:sz w:val="22"/>
          <w:szCs w:val="22"/>
        </w:rPr>
      </w:pPr>
    </w:p>
    <w:p w14:paraId="57A39275" w14:textId="77777777" w:rsidR="009A7DBF" w:rsidRDefault="009A7DBF">
      <w:pPr>
        <w:widowControl w:val="0"/>
        <w:ind w:left="567" w:hanging="567"/>
        <w:rPr>
          <w:sz w:val="22"/>
          <w:szCs w:val="22"/>
        </w:rPr>
      </w:pPr>
    </w:p>
    <w:p w14:paraId="39367D94" w14:textId="77777777" w:rsidR="009A7DBF" w:rsidRDefault="009A7DBF">
      <w:pPr>
        <w:widowControl w:val="0"/>
        <w:ind w:left="567" w:hanging="567"/>
        <w:rPr>
          <w:sz w:val="22"/>
          <w:szCs w:val="22"/>
        </w:rPr>
      </w:pPr>
    </w:p>
    <w:p w14:paraId="7A7C5FE4" w14:textId="77777777" w:rsidR="009A7DBF" w:rsidRDefault="009A7DBF">
      <w:pPr>
        <w:widowControl w:val="0"/>
        <w:ind w:left="567" w:hanging="567"/>
        <w:rPr>
          <w:sz w:val="22"/>
          <w:szCs w:val="22"/>
        </w:rPr>
      </w:pPr>
    </w:p>
    <w:p w14:paraId="1077B8D3" w14:textId="77777777" w:rsidR="009A7DBF" w:rsidRDefault="009A7DBF">
      <w:pPr>
        <w:widowControl w:val="0"/>
        <w:ind w:left="567" w:hanging="567"/>
        <w:rPr>
          <w:sz w:val="22"/>
          <w:szCs w:val="22"/>
        </w:rPr>
      </w:pPr>
    </w:p>
    <w:p w14:paraId="5BFA2807" w14:textId="77777777" w:rsidR="009A7DBF" w:rsidRDefault="009A7DBF">
      <w:pPr>
        <w:widowControl w:val="0"/>
        <w:ind w:left="567" w:hanging="567"/>
        <w:rPr>
          <w:sz w:val="22"/>
          <w:szCs w:val="22"/>
        </w:rPr>
      </w:pPr>
    </w:p>
    <w:p w14:paraId="26DE8948" w14:textId="77777777" w:rsidR="009A7DBF" w:rsidRDefault="009A7DBF">
      <w:pPr>
        <w:widowControl w:val="0"/>
        <w:ind w:left="567" w:hanging="567"/>
        <w:jc w:val="center"/>
        <w:rPr>
          <w:b/>
          <w:sz w:val="22"/>
          <w:szCs w:val="22"/>
        </w:rPr>
      </w:pPr>
    </w:p>
    <w:p w14:paraId="424568D8" w14:textId="77777777" w:rsidR="009A7DBF" w:rsidRDefault="009A7DBF">
      <w:pPr>
        <w:widowControl w:val="0"/>
        <w:ind w:left="567" w:hanging="567"/>
        <w:jc w:val="center"/>
        <w:rPr>
          <w:b/>
          <w:sz w:val="22"/>
          <w:szCs w:val="22"/>
        </w:rPr>
      </w:pPr>
    </w:p>
    <w:p w14:paraId="7BD41090" w14:textId="77777777" w:rsidR="009A7DBF" w:rsidRDefault="003F4922">
      <w:pPr>
        <w:widowControl w:val="0"/>
        <w:ind w:left="567" w:hanging="567"/>
        <w:jc w:val="center"/>
        <w:outlineLvl w:val="0"/>
        <w:rPr>
          <w:rFonts w:eastAsiaTheme="minorHAnsi"/>
          <w:sz w:val="22"/>
          <w:szCs w:val="22"/>
          <w:lang w:val="lt-LT" w:eastAsia="en-US"/>
        </w:rPr>
      </w:pPr>
      <w:r>
        <w:rPr>
          <w:b/>
          <w:sz w:val="22"/>
          <w:szCs w:val="22"/>
        </w:rPr>
        <w:t>I PRIEDAS</w:t>
      </w:r>
    </w:p>
    <w:p w14:paraId="118C6C4F" w14:textId="77777777" w:rsidR="009A7DBF" w:rsidRDefault="009A7DBF">
      <w:pPr>
        <w:widowControl w:val="0"/>
        <w:ind w:left="567" w:hanging="567"/>
        <w:jc w:val="center"/>
        <w:rPr>
          <w:b/>
          <w:sz w:val="22"/>
          <w:szCs w:val="22"/>
        </w:rPr>
      </w:pPr>
    </w:p>
    <w:p w14:paraId="5323E040" w14:textId="77777777" w:rsidR="009A7DBF" w:rsidRDefault="003F4922">
      <w:pPr>
        <w:widowControl w:val="0"/>
        <w:ind w:left="567" w:hanging="567"/>
        <w:jc w:val="center"/>
        <w:outlineLvl w:val="0"/>
        <w:rPr>
          <w:rFonts w:eastAsiaTheme="minorHAnsi"/>
          <w:b/>
          <w:sz w:val="22"/>
          <w:szCs w:val="22"/>
          <w:lang w:val="lt-LT" w:eastAsia="en-US"/>
        </w:rPr>
      </w:pPr>
      <w:r>
        <w:rPr>
          <w:b/>
          <w:sz w:val="22"/>
          <w:szCs w:val="22"/>
        </w:rPr>
        <w:t>PREPARATO CHARAKTERISTIKŲ SANTRAUKA</w:t>
      </w:r>
    </w:p>
    <w:p w14:paraId="225ED104" w14:textId="77777777" w:rsidR="009A7DBF" w:rsidRDefault="009A7DBF">
      <w:pPr>
        <w:widowControl w:val="0"/>
        <w:ind w:left="567" w:hanging="567"/>
        <w:jc w:val="center"/>
        <w:rPr>
          <w:b/>
          <w:sz w:val="22"/>
          <w:szCs w:val="22"/>
        </w:rPr>
      </w:pPr>
    </w:p>
    <w:p w14:paraId="2A855129" w14:textId="77777777" w:rsidR="009A7DBF" w:rsidRDefault="009A7DBF">
      <w:pPr>
        <w:widowControl w:val="0"/>
        <w:ind w:left="567" w:hanging="567"/>
        <w:rPr>
          <w:sz w:val="22"/>
          <w:szCs w:val="22"/>
        </w:rPr>
      </w:pPr>
    </w:p>
    <w:p w14:paraId="5787490A" w14:textId="77777777" w:rsidR="009A7DBF" w:rsidRDefault="009A7DBF">
      <w:pPr>
        <w:rPr>
          <w:sz w:val="22"/>
          <w:szCs w:val="22"/>
        </w:rPr>
      </w:pPr>
    </w:p>
    <w:p w14:paraId="7C09F8D8" w14:textId="77777777" w:rsidR="009A7DBF" w:rsidRDefault="009A7DBF">
      <w:pPr>
        <w:rPr>
          <w:sz w:val="22"/>
          <w:szCs w:val="22"/>
        </w:rPr>
      </w:pPr>
    </w:p>
    <w:p w14:paraId="259C6C1C" w14:textId="77777777" w:rsidR="009A7DBF" w:rsidRDefault="009A7DBF">
      <w:pPr>
        <w:rPr>
          <w:sz w:val="22"/>
          <w:szCs w:val="22"/>
        </w:rPr>
      </w:pPr>
    </w:p>
    <w:p w14:paraId="7CEC288A" w14:textId="77777777" w:rsidR="009A7DBF" w:rsidRDefault="009A7DBF">
      <w:pPr>
        <w:rPr>
          <w:sz w:val="22"/>
          <w:szCs w:val="22"/>
        </w:rPr>
      </w:pPr>
    </w:p>
    <w:p w14:paraId="0ADC2315" w14:textId="77777777" w:rsidR="009A7DBF" w:rsidRDefault="009A7DBF">
      <w:pPr>
        <w:rPr>
          <w:sz w:val="22"/>
          <w:szCs w:val="22"/>
        </w:rPr>
      </w:pPr>
    </w:p>
    <w:p w14:paraId="3A3A944D" w14:textId="77777777" w:rsidR="009A7DBF" w:rsidRDefault="009A7DBF">
      <w:pPr>
        <w:rPr>
          <w:sz w:val="22"/>
          <w:szCs w:val="22"/>
        </w:rPr>
      </w:pPr>
    </w:p>
    <w:p w14:paraId="7458263C" w14:textId="77777777" w:rsidR="009A7DBF" w:rsidRDefault="009A7DBF">
      <w:pPr>
        <w:rPr>
          <w:sz w:val="22"/>
          <w:szCs w:val="22"/>
        </w:rPr>
      </w:pPr>
    </w:p>
    <w:p w14:paraId="74BFCAF3" w14:textId="77777777" w:rsidR="009A7DBF" w:rsidRDefault="009A7DBF">
      <w:pPr>
        <w:rPr>
          <w:sz w:val="22"/>
          <w:szCs w:val="22"/>
        </w:rPr>
      </w:pPr>
    </w:p>
    <w:p w14:paraId="7CD9AF8E" w14:textId="77777777" w:rsidR="009A7DBF" w:rsidRDefault="009A7DBF">
      <w:pPr>
        <w:rPr>
          <w:sz w:val="22"/>
          <w:szCs w:val="22"/>
        </w:rPr>
      </w:pPr>
    </w:p>
    <w:p w14:paraId="4630CE5A" w14:textId="77777777" w:rsidR="009A7DBF" w:rsidRDefault="009A7DBF">
      <w:pPr>
        <w:rPr>
          <w:sz w:val="22"/>
          <w:szCs w:val="22"/>
        </w:rPr>
      </w:pPr>
    </w:p>
    <w:p w14:paraId="59691E99" w14:textId="77777777" w:rsidR="009A7DBF" w:rsidRDefault="009A7DBF">
      <w:pPr>
        <w:rPr>
          <w:sz w:val="22"/>
          <w:szCs w:val="22"/>
        </w:rPr>
      </w:pPr>
    </w:p>
    <w:p w14:paraId="30C7AD7F" w14:textId="77777777" w:rsidR="009A7DBF" w:rsidRDefault="009A7DBF">
      <w:pPr>
        <w:rPr>
          <w:sz w:val="22"/>
          <w:szCs w:val="22"/>
        </w:rPr>
      </w:pPr>
    </w:p>
    <w:p w14:paraId="7757B9C6" w14:textId="77777777" w:rsidR="009A7DBF" w:rsidRDefault="009A7DBF">
      <w:pPr>
        <w:rPr>
          <w:sz w:val="22"/>
          <w:szCs w:val="22"/>
        </w:rPr>
      </w:pPr>
    </w:p>
    <w:p w14:paraId="7B7EDC8F" w14:textId="77777777" w:rsidR="009A7DBF" w:rsidRDefault="009A7DBF">
      <w:pPr>
        <w:rPr>
          <w:sz w:val="22"/>
          <w:szCs w:val="22"/>
        </w:rPr>
      </w:pPr>
    </w:p>
    <w:p w14:paraId="4CE04F10" w14:textId="77777777" w:rsidR="009A7DBF" w:rsidRDefault="009A7DBF">
      <w:pPr>
        <w:rPr>
          <w:sz w:val="22"/>
          <w:szCs w:val="22"/>
        </w:rPr>
      </w:pPr>
    </w:p>
    <w:p w14:paraId="5445EF0E" w14:textId="77777777" w:rsidR="009A7DBF" w:rsidRDefault="009A7DBF">
      <w:pPr>
        <w:rPr>
          <w:sz w:val="22"/>
          <w:szCs w:val="22"/>
        </w:rPr>
      </w:pPr>
    </w:p>
    <w:p w14:paraId="19F0C88D" w14:textId="77777777" w:rsidR="009A7DBF" w:rsidRDefault="009A7DBF">
      <w:pPr>
        <w:rPr>
          <w:sz w:val="22"/>
          <w:szCs w:val="22"/>
        </w:rPr>
      </w:pPr>
    </w:p>
    <w:p w14:paraId="454A823E" w14:textId="77777777" w:rsidR="009A7DBF" w:rsidRDefault="009A7DBF">
      <w:pPr>
        <w:rPr>
          <w:sz w:val="22"/>
          <w:szCs w:val="22"/>
        </w:rPr>
      </w:pPr>
    </w:p>
    <w:p w14:paraId="56736721" w14:textId="77777777" w:rsidR="009A7DBF" w:rsidRDefault="009A7DBF">
      <w:pPr>
        <w:rPr>
          <w:sz w:val="22"/>
          <w:szCs w:val="22"/>
        </w:rPr>
      </w:pPr>
    </w:p>
    <w:p w14:paraId="24483854" w14:textId="77777777" w:rsidR="009A7DBF" w:rsidRDefault="009A7DBF">
      <w:pPr>
        <w:rPr>
          <w:sz w:val="22"/>
          <w:szCs w:val="22"/>
        </w:rPr>
      </w:pPr>
    </w:p>
    <w:p w14:paraId="01A5B21B" w14:textId="77777777" w:rsidR="009A7DBF" w:rsidRDefault="009A7DBF">
      <w:pPr>
        <w:rPr>
          <w:sz w:val="22"/>
          <w:szCs w:val="22"/>
        </w:rPr>
      </w:pPr>
    </w:p>
    <w:p w14:paraId="4CAE6324" w14:textId="77777777" w:rsidR="009A7DBF" w:rsidRDefault="009A7DBF">
      <w:pPr>
        <w:rPr>
          <w:sz w:val="22"/>
          <w:szCs w:val="22"/>
        </w:rPr>
      </w:pPr>
    </w:p>
    <w:p w14:paraId="591E31CC" w14:textId="77777777" w:rsidR="009A7DBF" w:rsidRDefault="009A7DBF">
      <w:pPr>
        <w:rPr>
          <w:sz w:val="22"/>
          <w:szCs w:val="22"/>
        </w:rPr>
      </w:pPr>
    </w:p>
    <w:p w14:paraId="76693C9E" w14:textId="77777777" w:rsidR="009A7DBF" w:rsidRDefault="009A7DBF">
      <w:pPr>
        <w:rPr>
          <w:sz w:val="22"/>
          <w:szCs w:val="22"/>
        </w:rPr>
      </w:pPr>
    </w:p>
    <w:p w14:paraId="3E476D9D" w14:textId="77777777" w:rsidR="009A7DBF" w:rsidRDefault="009A7DBF">
      <w:pPr>
        <w:rPr>
          <w:sz w:val="22"/>
          <w:szCs w:val="22"/>
        </w:rPr>
      </w:pPr>
    </w:p>
    <w:p w14:paraId="5544EF62" w14:textId="77777777" w:rsidR="009A7DBF" w:rsidRDefault="009A7DBF">
      <w:pPr>
        <w:rPr>
          <w:sz w:val="22"/>
          <w:szCs w:val="22"/>
        </w:rPr>
      </w:pPr>
    </w:p>
    <w:p w14:paraId="50A06A27" w14:textId="77777777" w:rsidR="009A7DBF" w:rsidRDefault="009A7DBF">
      <w:pPr>
        <w:widowControl w:val="0"/>
        <w:ind w:left="567" w:hanging="567"/>
        <w:rPr>
          <w:sz w:val="22"/>
          <w:szCs w:val="22"/>
        </w:rPr>
      </w:pPr>
    </w:p>
    <w:p w14:paraId="3515350F" w14:textId="77777777" w:rsidR="009A7DBF" w:rsidRDefault="009A7DBF">
      <w:pPr>
        <w:widowControl w:val="0"/>
        <w:ind w:left="567" w:hanging="567"/>
        <w:jc w:val="center"/>
        <w:rPr>
          <w:sz w:val="22"/>
          <w:szCs w:val="22"/>
        </w:rPr>
      </w:pPr>
    </w:p>
    <w:p w14:paraId="09A14097" w14:textId="77777777" w:rsidR="009A7DBF" w:rsidRDefault="009A7DBF">
      <w:pPr>
        <w:widowControl w:val="0"/>
        <w:ind w:left="567" w:hanging="567"/>
        <w:rPr>
          <w:sz w:val="22"/>
          <w:szCs w:val="22"/>
        </w:rPr>
      </w:pPr>
    </w:p>
    <w:p w14:paraId="0A37A6EB" w14:textId="77777777" w:rsidR="009A7DBF" w:rsidRDefault="003F4922">
      <w:pPr>
        <w:widowControl w:val="0"/>
        <w:ind w:left="567" w:hanging="567"/>
        <w:rPr>
          <w:b/>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140B327B" w14:textId="77777777" w:rsidR="009A7DBF" w:rsidRDefault="009A7DBF">
      <w:pPr>
        <w:widowControl w:val="0"/>
        <w:ind w:left="567" w:hanging="567"/>
        <w:rPr>
          <w:sz w:val="22"/>
          <w:szCs w:val="22"/>
        </w:rPr>
      </w:pPr>
    </w:p>
    <w:p w14:paraId="0C9C5980" w14:textId="77777777" w:rsidR="009A7DBF" w:rsidRDefault="003F4922">
      <w:pPr>
        <w:widowControl w:val="0"/>
        <w:outlineLvl w:val="0"/>
        <w:rPr>
          <w:rFonts w:eastAsiaTheme="minorHAnsi"/>
          <w:sz w:val="22"/>
          <w:szCs w:val="22"/>
          <w:lang w:val="lt-LT" w:eastAsia="en-US"/>
        </w:rPr>
      </w:pPr>
      <w:r>
        <w:rPr>
          <w:sz w:val="22"/>
          <w:szCs w:val="22"/>
        </w:rPr>
        <w:t>Aclexa 100 mg kietosios kapsulės</w:t>
      </w:r>
    </w:p>
    <w:p w14:paraId="65223B8B" w14:textId="77777777" w:rsidR="009A7DBF" w:rsidRDefault="003F4922">
      <w:pPr>
        <w:widowControl w:val="0"/>
        <w:rPr>
          <w:rFonts w:eastAsiaTheme="minorHAnsi"/>
          <w:sz w:val="22"/>
          <w:szCs w:val="22"/>
          <w:lang w:val="lt-LT" w:eastAsia="en-US"/>
        </w:rPr>
      </w:pPr>
      <w:r>
        <w:rPr>
          <w:sz w:val="22"/>
          <w:szCs w:val="22"/>
        </w:rPr>
        <w:t>Aclexa 200 mg kietosios kapsulės</w:t>
      </w:r>
    </w:p>
    <w:p w14:paraId="6D533E9A" w14:textId="77777777" w:rsidR="009A7DBF" w:rsidRDefault="009A7DBF">
      <w:pPr>
        <w:widowControl w:val="0"/>
        <w:ind w:left="567" w:hanging="567"/>
        <w:rPr>
          <w:sz w:val="22"/>
          <w:szCs w:val="22"/>
        </w:rPr>
      </w:pPr>
    </w:p>
    <w:p w14:paraId="2D95847F" w14:textId="77777777" w:rsidR="009A7DBF" w:rsidRDefault="009A7DBF">
      <w:pPr>
        <w:widowControl w:val="0"/>
        <w:ind w:left="567" w:hanging="567"/>
        <w:rPr>
          <w:sz w:val="22"/>
          <w:szCs w:val="22"/>
        </w:rPr>
      </w:pPr>
    </w:p>
    <w:p w14:paraId="5C08BB00" w14:textId="77777777" w:rsidR="009A7DBF" w:rsidRDefault="003F4922">
      <w:pPr>
        <w:widowControl w:val="0"/>
        <w:ind w:left="567" w:hanging="567"/>
        <w:outlineLvl w:val="0"/>
        <w:rPr>
          <w:rFonts w:eastAsiaTheme="minorHAnsi"/>
          <w:b/>
          <w:caps/>
          <w:sz w:val="22"/>
          <w:szCs w:val="22"/>
          <w:lang w:val="lt-LT" w:eastAsia="en-US"/>
        </w:rPr>
      </w:pPr>
      <w:r>
        <w:rPr>
          <w:b/>
          <w:caps/>
          <w:sz w:val="22"/>
          <w:szCs w:val="22"/>
        </w:rPr>
        <w:t>2.</w:t>
      </w:r>
      <w:r>
        <w:rPr>
          <w:b/>
          <w:caps/>
          <w:sz w:val="22"/>
          <w:szCs w:val="22"/>
        </w:rPr>
        <w:tab/>
        <w:t>kokybinė ir kiekybinė sudėtis</w:t>
      </w:r>
    </w:p>
    <w:p w14:paraId="55FAD80C" w14:textId="77777777" w:rsidR="009A7DBF" w:rsidRDefault="009A7DBF">
      <w:pPr>
        <w:widowControl w:val="0"/>
        <w:ind w:left="567" w:hanging="567"/>
        <w:rPr>
          <w:sz w:val="22"/>
          <w:szCs w:val="22"/>
        </w:rPr>
      </w:pPr>
    </w:p>
    <w:p w14:paraId="133F3787" w14:textId="77777777" w:rsidR="009A7DBF" w:rsidRDefault="003F4922">
      <w:pPr>
        <w:widowControl w:val="0"/>
        <w:outlineLvl w:val="0"/>
        <w:rPr>
          <w:rFonts w:eastAsiaTheme="minorHAnsi"/>
          <w:sz w:val="22"/>
          <w:szCs w:val="22"/>
          <w:lang w:val="lt-LT" w:eastAsia="en-US"/>
        </w:rPr>
      </w:pPr>
      <w:r>
        <w:rPr>
          <w:sz w:val="22"/>
          <w:szCs w:val="22"/>
        </w:rPr>
        <w:t>Kiekvienoje kietojoje kapsulėje yra 100 mg celekoksibo.</w:t>
      </w:r>
    </w:p>
    <w:p w14:paraId="7B41F07C" w14:textId="77777777" w:rsidR="009A7DBF" w:rsidRDefault="003F4922">
      <w:pPr>
        <w:widowControl w:val="0"/>
        <w:outlineLvl w:val="0"/>
        <w:rPr>
          <w:rFonts w:eastAsiaTheme="minorHAnsi"/>
          <w:sz w:val="22"/>
          <w:szCs w:val="22"/>
          <w:lang w:val="lt-LT" w:eastAsia="en-US"/>
        </w:rPr>
      </w:pPr>
      <w:r>
        <w:rPr>
          <w:sz w:val="22"/>
          <w:szCs w:val="22"/>
        </w:rPr>
        <w:t>Kiekvienoje kietojoje kapsulėje yra 200 mg celekoksibo.</w:t>
      </w:r>
    </w:p>
    <w:p w14:paraId="2BB3B8F6" w14:textId="77777777" w:rsidR="009A7DBF" w:rsidRDefault="009A7DBF">
      <w:pPr>
        <w:widowControl w:val="0"/>
        <w:ind w:left="567" w:hanging="567"/>
        <w:rPr>
          <w:sz w:val="22"/>
          <w:szCs w:val="22"/>
        </w:rPr>
      </w:pPr>
    </w:p>
    <w:p w14:paraId="28CB8F35" w14:textId="77777777" w:rsidR="009A7DBF" w:rsidRDefault="003F4922">
      <w:pPr>
        <w:widowControl w:val="0"/>
        <w:outlineLvl w:val="0"/>
        <w:rPr>
          <w:rFonts w:eastAsiaTheme="minorHAnsi"/>
          <w:sz w:val="22"/>
          <w:szCs w:val="22"/>
          <w:u w:val="single"/>
          <w:lang w:val="lt-LT" w:eastAsia="en-US"/>
        </w:rPr>
      </w:pPr>
      <w:r>
        <w:rPr>
          <w:sz w:val="22"/>
          <w:szCs w:val="22"/>
          <w:u w:val="single"/>
        </w:rPr>
        <w:t>Pagalbinė medžiaga, kurios poveikis žinomas:</w:t>
      </w: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875"/>
        <w:gridCol w:w="1842"/>
      </w:tblGrid>
      <w:tr w:rsidR="009A7DBF" w14:paraId="4E428BF8" w14:textId="77777777">
        <w:tc>
          <w:tcPr>
            <w:tcW w:w="2520" w:type="dxa"/>
            <w:vAlign w:val="center"/>
          </w:tcPr>
          <w:p w14:paraId="2441B5EE" w14:textId="77777777" w:rsidR="009A7DBF" w:rsidRDefault="009A7DBF">
            <w:pPr>
              <w:widowControl w:val="0"/>
              <w:rPr>
                <w:rFonts w:eastAsia="Calibri"/>
                <w:sz w:val="22"/>
                <w:szCs w:val="22"/>
              </w:rPr>
            </w:pPr>
          </w:p>
        </w:tc>
        <w:tc>
          <w:tcPr>
            <w:tcW w:w="1875" w:type="dxa"/>
            <w:vAlign w:val="center"/>
          </w:tcPr>
          <w:p w14:paraId="07ED1E7E" w14:textId="77777777" w:rsidR="009A7DBF" w:rsidRDefault="003F4922">
            <w:pPr>
              <w:widowControl w:val="0"/>
              <w:jc w:val="center"/>
              <w:rPr>
                <w:rFonts w:eastAsia="Calibri"/>
                <w:sz w:val="22"/>
                <w:szCs w:val="22"/>
                <w:lang w:val="lt-LT" w:eastAsia="en-US"/>
              </w:rPr>
            </w:pPr>
            <w:r>
              <w:rPr>
                <w:rFonts w:eastAsia="Calibri"/>
                <w:sz w:val="22"/>
                <w:szCs w:val="22"/>
              </w:rPr>
              <w:t xml:space="preserve">100 mg </w:t>
            </w:r>
            <w:r>
              <w:rPr>
                <w:sz w:val="22"/>
                <w:szCs w:val="22"/>
              </w:rPr>
              <w:t>kietosios kapsulės</w:t>
            </w:r>
          </w:p>
        </w:tc>
        <w:tc>
          <w:tcPr>
            <w:tcW w:w="1842" w:type="dxa"/>
            <w:vAlign w:val="center"/>
          </w:tcPr>
          <w:p w14:paraId="2EB76FA3" w14:textId="77777777" w:rsidR="009A7DBF" w:rsidRDefault="003F4922">
            <w:pPr>
              <w:widowControl w:val="0"/>
              <w:jc w:val="center"/>
              <w:rPr>
                <w:rFonts w:eastAsia="Calibri"/>
                <w:sz w:val="22"/>
                <w:szCs w:val="22"/>
                <w:lang w:val="lt-LT" w:eastAsia="en-US"/>
              </w:rPr>
            </w:pPr>
            <w:r>
              <w:rPr>
                <w:rFonts w:eastAsia="Calibri"/>
                <w:sz w:val="22"/>
                <w:szCs w:val="22"/>
              </w:rPr>
              <w:t xml:space="preserve">200 mg </w:t>
            </w:r>
            <w:r>
              <w:rPr>
                <w:sz w:val="22"/>
                <w:szCs w:val="22"/>
              </w:rPr>
              <w:t>kietosios kapsulės</w:t>
            </w:r>
          </w:p>
        </w:tc>
      </w:tr>
      <w:tr w:rsidR="009A7DBF" w14:paraId="0B518CC3" w14:textId="77777777">
        <w:tc>
          <w:tcPr>
            <w:tcW w:w="2520" w:type="dxa"/>
            <w:vAlign w:val="center"/>
          </w:tcPr>
          <w:p w14:paraId="6A007512" w14:textId="77777777" w:rsidR="009A7DBF" w:rsidRDefault="003F4922">
            <w:pPr>
              <w:widowControl w:val="0"/>
              <w:rPr>
                <w:rFonts w:eastAsia="Calibri"/>
                <w:sz w:val="22"/>
                <w:szCs w:val="22"/>
              </w:rPr>
            </w:pPr>
            <w:r>
              <w:rPr>
                <w:rFonts w:eastAsia="Calibri"/>
                <w:sz w:val="22"/>
                <w:szCs w:val="22"/>
              </w:rPr>
              <w:t>Laktozė</w:t>
            </w:r>
          </w:p>
        </w:tc>
        <w:tc>
          <w:tcPr>
            <w:tcW w:w="1875" w:type="dxa"/>
            <w:vAlign w:val="center"/>
          </w:tcPr>
          <w:p w14:paraId="2E98146C" w14:textId="77777777" w:rsidR="009A7DBF" w:rsidRDefault="003F4922">
            <w:pPr>
              <w:widowControl w:val="0"/>
              <w:jc w:val="center"/>
              <w:rPr>
                <w:rFonts w:eastAsia="Calibri"/>
                <w:sz w:val="22"/>
                <w:szCs w:val="22"/>
                <w:lang w:val="lt-LT" w:eastAsia="en-US"/>
              </w:rPr>
            </w:pPr>
            <w:r>
              <w:rPr>
                <w:rFonts w:eastAsia="Calibri"/>
                <w:sz w:val="22"/>
                <w:szCs w:val="22"/>
              </w:rPr>
              <w:t>24 mg</w:t>
            </w:r>
          </w:p>
        </w:tc>
        <w:tc>
          <w:tcPr>
            <w:tcW w:w="1842" w:type="dxa"/>
            <w:vAlign w:val="center"/>
          </w:tcPr>
          <w:p w14:paraId="1B5447C2" w14:textId="77777777" w:rsidR="009A7DBF" w:rsidRDefault="003F4922">
            <w:pPr>
              <w:widowControl w:val="0"/>
              <w:jc w:val="center"/>
              <w:rPr>
                <w:rFonts w:eastAsia="Calibri"/>
                <w:sz w:val="22"/>
                <w:szCs w:val="22"/>
                <w:lang w:val="lt-LT" w:eastAsia="en-US"/>
              </w:rPr>
            </w:pPr>
            <w:r>
              <w:rPr>
                <w:rFonts w:eastAsia="Calibri"/>
                <w:sz w:val="22"/>
                <w:szCs w:val="22"/>
              </w:rPr>
              <w:t>47 mg</w:t>
            </w:r>
          </w:p>
        </w:tc>
      </w:tr>
    </w:tbl>
    <w:p w14:paraId="5291B98E" w14:textId="77777777" w:rsidR="009A7DBF" w:rsidRDefault="009A7DBF">
      <w:pPr>
        <w:widowControl w:val="0"/>
        <w:ind w:left="567" w:hanging="567"/>
        <w:outlineLvl w:val="0"/>
        <w:rPr>
          <w:sz w:val="22"/>
          <w:szCs w:val="22"/>
        </w:rPr>
      </w:pPr>
    </w:p>
    <w:p w14:paraId="3B885693" w14:textId="77777777" w:rsidR="009A7DBF" w:rsidRDefault="003F4922">
      <w:pPr>
        <w:widowControl w:val="0"/>
        <w:ind w:left="567" w:hanging="567"/>
        <w:outlineLvl w:val="0"/>
        <w:rPr>
          <w:rFonts w:eastAsiaTheme="minorHAnsi"/>
          <w:sz w:val="22"/>
          <w:szCs w:val="22"/>
          <w:lang w:val="lt-LT" w:eastAsia="en-US"/>
        </w:rPr>
      </w:pPr>
      <w:r>
        <w:rPr>
          <w:sz w:val="22"/>
          <w:szCs w:val="22"/>
        </w:rPr>
        <w:t>Visos pagalbinės medžiagos išvardytos 6.1 skyriuje.</w:t>
      </w:r>
    </w:p>
    <w:p w14:paraId="786E2502" w14:textId="77777777" w:rsidR="009A7DBF" w:rsidRDefault="009A7DBF">
      <w:pPr>
        <w:widowControl w:val="0"/>
        <w:ind w:left="567" w:hanging="567"/>
        <w:rPr>
          <w:sz w:val="22"/>
          <w:szCs w:val="22"/>
        </w:rPr>
      </w:pPr>
    </w:p>
    <w:p w14:paraId="348EB53D" w14:textId="77777777" w:rsidR="009A7DBF" w:rsidRDefault="009A7DBF">
      <w:pPr>
        <w:widowControl w:val="0"/>
        <w:ind w:left="567" w:hanging="567"/>
        <w:rPr>
          <w:sz w:val="22"/>
          <w:szCs w:val="22"/>
        </w:rPr>
      </w:pPr>
    </w:p>
    <w:p w14:paraId="61CBB435" w14:textId="77777777" w:rsidR="009A7DBF" w:rsidRDefault="003F4922">
      <w:pPr>
        <w:widowControl w:val="0"/>
        <w:ind w:left="567" w:hanging="567"/>
        <w:outlineLvl w:val="0"/>
        <w:rPr>
          <w:rFonts w:eastAsiaTheme="minorHAnsi"/>
          <w:b/>
          <w:caps/>
          <w:sz w:val="22"/>
          <w:szCs w:val="22"/>
          <w:lang w:val="lt-LT" w:eastAsia="en-US"/>
        </w:rPr>
      </w:pPr>
      <w:r>
        <w:rPr>
          <w:b/>
          <w:caps/>
          <w:sz w:val="22"/>
          <w:szCs w:val="22"/>
        </w:rPr>
        <w:t>3.</w:t>
      </w:r>
      <w:r>
        <w:rPr>
          <w:b/>
          <w:caps/>
          <w:sz w:val="22"/>
          <w:szCs w:val="22"/>
        </w:rPr>
        <w:tab/>
        <w:t>FARMACINĖ forma</w:t>
      </w:r>
    </w:p>
    <w:p w14:paraId="5ECD474B" w14:textId="77777777" w:rsidR="009A7DBF" w:rsidRDefault="009A7DBF">
      <w:pPr>
        <w:widowControl w:val="0"/>
        <w:ind w:left="567" w:hanging="567"/>
        <w:rPr>
          <w:sz w:val="22"/>
          <w:szCs w:val="22"/>
        </w:rPr>
      </w:pPr>
    </w:p>
    <w:p w14:paraId="0434F39F" w14:textId="77777777" w:rsidR="009A7DBF" w:rsidRDefault="003F4922">
      <w:pPr>
        <w:widowControl w:val="0"/>
        <w:outlineLvl w:val="0"/>
        <w:rPr>
          <w:rFonts w:eastAsiaTheme="minorHAnsi"/>
          <w:sz w:val="22"/>
          <w:szCs w:val="22"/>
          <w:lang w:val="lt-LT" w:eastAsia="en-US"/>
        </w:rPr>
      </w:pPr>
      <w:r>
        <w:rPr>
          <w:sz w:val="22"/>
          <w:szCs w:val="22"/>
        </w:rPr>
        <w:t>Kietoji kapsulė (kapsulė)</w:t>
      </w:r>
    </w:p>
    <w:p w14:paraId="7E72D966" w14:textId="77777777" w:rsidR="009A7DBF" w:rsidRDefault="009A7DBF">
      <w:pPr>
        <w:widowControl w:val="0"/>
        <w:outlineLvl w:val="0"/>
        <w:rPr>
          <w:sz w:val="22"/>
          <w:szCs w:val="22"/>
        </w:rPr>
      </w:pPr>
    </w:p>
    <w:p w14:paraId="170B1891" w14:textId="77777777" w:rsidR="009A7DBF" w:rsidRDefault="003F4922">
      <w:pPr>
        <w:widowControl w:val="0"/>
        <w:outlineLvl w:val="0"/>
        <w:rPr>
          <w:rFonts w:eastAsiaTheme="minorHAnsi"/>
          <w:sz w:val="22"/>
          <w:szCs w:val="22"/>
          <w:lang w:val="lt-LT" w:eastAsia="en-US"/>
        </w:rPr>
      </w:pPr>
      <w:r>
        <w:rPr>
          <w:sz w:val="22"/>
          <w:szCs w:val="22"/>
        </w:rPr>
        <w:t>100 mg: kiekvieną kapsulę sudaro baltas korpusas ir dangtelis, jos ilgis yra 15,4</w:t>
      </w:r>
      <w:r>
        <w:rPr>
          <w:sz w:val="22"/>
          <w:szCs w:val="22"/>
        </w:rPr>
        <w:noBreakHyphen/>
        <w:t>16,2 mm, kapsulėje yra baltų ar beveik baltų granulių.</w:t>
      </w:r>
    </w:p>
    <w:p w14:paraId="1FBA258E" w14:textId="77777777" w:rsidR="009A7DBF" w:rsidRDefault="009A7DBF">
      <w:pPr>
        <w:widowControl w:val="0"/>
        <w:outlineLvl w:val="0"/>
        <w:rPr>
          <w:sz w:val="22"/>
          <w:szCs w:val="22"/>
        </w:rPr>
      </w:pPr>
    </w:p>
    <w:p w14:paraId="433F78E0" w14:textId="77777777" w:rsidR="009A7DBF" w:rsidRDefault="003F4922">
      <w:pPr>
        <w:widowControl w:val="0"/>
        <w:outlineLvl w:val="0"/>
        <w:rPr>
          <w:rFonts w:eastAsiaTheme="minorHAnsi"/>
          <w:sz w:val="22"/>
          <w:szCs w:val="22"/>
          <w:lang w:val="lt-LT" w:eastAsia="en-US"/>
        </w:rPr>
      </w:pPr>
      <w:r>
        <w:rPr>
          <w:sz w:val="22"/>
          <w:szCs w:val="22"/>
        </w:rPr>
        <w:t>200 mg: kiekvieną kapsulę sudaro rusvai geltonas korpusas ir dangtelis, jos ilgis yra 18,9</w:t>
      </w:r>
      <w:r>
        <w:rPr>
          <w:sz w:val="22"/>
          <w:szCs w:val="22"/>
        </w:rPr>
        <w:noBreakHyphen/>
        <w:t>19,7 mm, kapsulėje yra baltų ar beveik baltų granulių</w:t>
      </w:r>
    </w:p>
    <w:p w14:paraId="750CFD5E" w14:textId="77777777" w:rsidR="009A7DBF" w:rsidRDefault="009A7DBF">
      <w:pPr>
        <w:widowControl w:val="0"/>
        <w:ind w:left="567" w:hanging="567"/>
        <w:rPr>
          <w:sz w:val="22"/>
          <w:szCs w:val="22"/>
        </w:rPr>
      </w:pPr>
    </w:p>
    <w:p w14:paraId="0E60F0BE" w14:textId="77777777" w:rsidR="009A7DBF" w:rsidRDefault="009A7DBF">
      <w:pPr>
        <w:widowControl w:val="0"/>
        <w:ind w:left="567" w:hanging="567"/>
        <w:rPr>
          <w:sz w:val="22"/>
          <w:szCs w:val="22"/>
        </w:rPr>
      </w:pPr>
    </w:p>
    <w:p w14:paraId="38006A96" w14:textId="77777777" w:rsidR="009A7DBF" w:rsidRDefault="003F4922">
      <w:pPr>
        <w:widowControl w:val="0"/>
        <w:ind w:left="567" w:hanging="567"/>
        <w:outlineLvl w:val="0"/>
        <w:rPr>
          <w:rFonts w:eastAsiaTheme="minorHAnsi"/>
          <w:b/>
          <w:caps/>
          <w:sz w:val="22"/>
          <w:szCs w:val="22"/>
          <w:lang w:val="lt-LT" w:eastAsia="en-US"/>
        </w:rPr>
      </w:pPr>
      <w:r>
        <w:rPr>
          <w:b/>
          <w:caps/>
          <w:sz w:val="22"/>
          <w:szCs w:val="22"/>
        </w:rPr>
        <w:t>4.</w:t>
      </w:r>
      <w:r>
        <w:rPr>
          <w:b/>
          <w:caps/>
          <w:sz w:val="22"/>
          <w:szCs w:val="22"/>
        </w:rPr>
        <w:tab/>
        <w:t>klinikinĖ informacija</w:t>
      </w:r>
    </w:p>
    <w:p w14:paraId="0305D3DD" w14:textId="77777777" w:rsidR="009A7DBF" w:rsidRDefault="009A7DBF">
      <w:pPr>
        <w:widowControl w:val="0"/>
        <w:ind w:left="567" w:hanging="567"/>
        <w:rPr>
          <w:sz w:val="22"/>
          <w:szCs w:val="22"/>
        </w:rPr>
      </w:pPr>
    </w:p>
    <w:p w14:paraId="119D70D2" w14:textId="77777777" w:rsidR="009A7DBF" w:rsidRDefault="003F4922">
      <w:pPr>
        <w:widowControl w:val="0"/>
        <w:ind w:left="567" w:hanging="567"/>
        <w:outlineLvl w:val="0"/>
        <w:rPr>
          <w:rFonts w:eastAsiaTheme="minorHAnsi"/>
          <w:b/>
          <w:sz w:val="22"/>
          <w:szCs w:val="22"/>
          <w:lang w:val="lt-LT" w:eastAsia="en-US"/>
        </w:rPr>
      </w:pPr>
      <w:r>
        <w:rPr>
          <w:b/>
          <w:sz w:val="22"/>
          <w:szCs w:val="22"/>
        </w:rPr>
        <w:t>4.1</w:t>
      </w:r>
      <w:r>
        <w:rPr>
          <w:b/>
          <w:sz w:val="22"/>
          <w:szCs w:val="22"/>
        </w:rPr>
        <w:tab/>
        <w:t>Terapinės indikacijos</w:t>
      </w:r>
    </w:p>
    <w:p w14:paraId="5FFDF039" w14:textId="77777777" w:rsidR="009A7DBF" w:rsidRDefault="009A7DBF">
      <w:pPr>
        <w:widowControl w:val="0"/>
        <w:ind w:left="567" w:hanging="567"/>
        <w:rPr>
          <w:sz w:val="22"/>
          <w:szCs w:val="22"/>
        </w:rPr>
      </w:pPr>
    </w:p>
    <w:p w14:paraId="2BF59393" w14:textId="77777777" w:rsidR="009A7DBF" w:rsidRDefault="003F4922">
      <w:pPr>
        <w:widowControl w:val="0"/>
        <w:outlineLvl w:val="0"/>
        <w:rPr>
          <w:sz w:val="22"/>
          <w:szCs w:val="22"/>
        </w:rPr>
      </w:pPr>
      <w:r>
        <w:rPr>
          <w:sz w:val="22"/>
          <w:szCs w:val="22"/>
        </w:rPr>
        <w:t>Aclexa skirta suaugusiesiems simptominio osteoartrito, reumatoidinio artrito ir ankilozinio spondilito gydymui.</w:t>
      </w:r>
    </w:p>
    <w:p w14:paraId="072B3237" w14:textId="77777777" w:rsidR="009A7DBF" w:rsidRDefault="009A7DBF">
      <w:pPr>
        <w:widowControl w:val="0"/>
        <w:outlineLvl w:val="0"/>
        <w:rPr>
          <w:sz w:val="22"/>
          <w:szCs w:val="22"/>
        </w:rPr>
      </w:pPr>
    </w:p>
    <w:p w14:paraId="1F322A38" w14:textId="77777777" w:rsidR="009A7DBF" w:rsidRDefault="003F4922">
      <w:pPr>
        <w:widowControl w:val="0"/>
        <w:rPr>
          <w:rFonts w:eastAsiaTheme="minorHAnsi"/>
          <w:sz w:val="22"/>
          <w:szCs w:val="22"/>
          <w:lang w:val="lt-LT" w:eastAsia="en-US"/>
        </w:rPr>
      </w:pPr>
      <w:r>
        <w:rPr>
          <w:sz w:val="22"/>
          <w:szCs w:val="22"/>
        </w:rPr>
        <w:t>Sprendimas skirti vartoti selektyvų ciklooksigenazės-2 (COX</w:t>
      </w:r>
      <w:r>
        <w:rPr>
          <w:sz w:val="22"/>
          <w:szCs w:val="22"/>
        </w:rPr>
        <w:noBreakHyphen/>
        <w:t>2) inhibitorių turi būti paremtas bendrosios kiekvieno paciento rizikos įvertinimu (žr. 4.3 ir 4.4 skyrius).</w:t>
      </w:r>
    </w:p>
    <w:p w14:paraId="628A6FB2" w14:textId="77777777" w:rsidR="009A7DBF" w:rsidRDefault="009A7DBF">
      <w:pPr>
        <w:widowControl w:val="0"/>
        <w:ind w:left="567" w:hanging="567"/>
        <w:rPr>
          <w:sz w:val="22"/>
          <w:szCs w:val="22"/>
        </w:rPr>
      </w:pPr>
    </w:p>
    <w:p w14:paraId="73EBF932" w14:textId="77777777" w:rsidR="009A7DBF" w:rsidRDefault="003F4922">
      <w:pPr>
        <w:widowControl w:val="0"/>
        <w:ind w:left="567" w:hanging="567"/>
        <w:outlineLvl w:val="0"/>
        <w:rPr>
          <w:rFonts w:eastAsiaTheme="minorHAnsi"/>
          <w:b/>
          <w:sz w:val="22"/>
          <w:szCs w:val="22"/>
          <w:lang w:val="lt-LT" w:eastAsia="en-US"/>
        </w:rPr>
      </w:pPr>
      <w:r>
        <w:rPr>
          <w:b/>
          <w:sz w:val="22"/>
          <w:szCs w:val="22"/>
        </w:rPr>
        <w:t>4.2</w:t>
      </w:r>
      <w:r>
        <w:rPr>
          <w:b/>
          <w:sz w:val="22"/>
          <w:szCs w:val="22"/>
        </w:rPr>
        <w:tab/>
        <w:t>Dozavimas ir vartojimo metodas</w:t>
      </w:r>
    </w:p>
    <w:p w14:paraId="3EC3E4D5" w14:textId="77777777" w:rsidR="009A7DBF" w:rsidRDefault="009A7DBF">
      <w:pPr>
        <w:widowControl w:val="0"/>
        <w:overflowPunct w:val="0"/>
        <w:autoSpaceDE w:val="0"/>
        <w:autoSpaceDN w:val="0"/>
        <w:adjustRightInd w:val="0"/>
        <w:rPr>
          <w:sz w:val="22"/>
          <w:szCs w:val="22"/>
        </w:rPr>
      </w:pPr>
    </w:p>
    <w:p w14:paraId="7C2E87FB" w14:textId="77777777" w:rsidR="009A7DBF" w:rsidRDefault="003F4922">
      <w:pPr>
        <w:widowControl w:val="0"/>
        <w:overflowPunct w:val="0"/>
        <w:autoSpaceDE w:val="0"/>
        <w:autoSpaceDN w:val="0"/>
        <w:adjustRightInd w:val="0"/>
        <w:rPr>
          <w:rFonts w:eastAsiaTheme="minorHAnsi"/>
          <w:sz w:val="22"/>
          <w:szCs w:val="22"/>
          <w:u w:val="single"/>
          <w:lang w:val="lt-LT" w:eastAsia="en-US"/>
        </w:rPr>
      </w:pPr>
      <w:r>
        <w:rPr>
          <w:sz w:val="22"/>
          <w:szCs w:val="22"/>
          <w:u w:val="single"/>
        </w:rPr>
        <w:t>Dozavimas</w:t>
      </w:r>
    </w:p>
    <w:p w14:paraId="2023A8C3" w14:textId="77777777" w:rsidR="009A7DBF" w:rsidRDefault="003F4922">
      <w:pPr>
        <w:widowControl w:val="0"/>
        <w:overflowPunct w:val="0"/>
        <w:autoSpaceDE w:val="0"/>
        <w:autoSpaceDN w:val="0"/>
        <w:adjustRightInd w:val="0"/>
        <w:rPr>
          <w:rFonts w:eastAsiaTheme="minorHAnsi"/>
          <w:sz w:val="22"/>
          <w:szCs w:val="22"/>
          <w:lang w:val="lt-LT" w:eastAsia="en-US"/>
        </w:rPr>
      </w:pPr>
      <w:r>
        <w:rPr>
          <w:sz w:val="22"/>
          <w:szCs w:val="22"/>
        </w:rPr>
        <w:t>Kardiovaskulinių (KV) sutrikimų rizika didėja didinant celekoksibo dozę ir ilginant ekspoziciją, todėl reikia kiek įmanoma trumpiau vartoti mažiausią veiksmingą vaistinio preparato paros dozę. Būtina reguliariai įvertinti paciento, ypač sergančio osteoartritu, simptominio gydymo poreikį ir reakciją į gydymą (žr. 4.3, 4.4, 4.8 ir 5.1 skyrius).</w:t>
      </w:r>
    </w:p>
    <w:p w14:paraId="130E0EFE" w14:textId="77777777" w:rsidR="009A7DBF" w:rsidRDefault="009A7DBF">
      <w:pPr>
        <w:widowControl w:val="0"/>
        <w:ind w:left="567" w:hanging="567"/>
        <w:rPr>
          <w:sz w:val="22"/>
          <w:szCs w:val="22"/>
        </w:rPr>
      </w:pPr>
    </w:p>
    <w:p w14:paraId="1D61EB0F" w14:textId="77777777" w:rsidR="009A7DBF" w:rsidRDefault="003F4922">
      <w:pPr>
        <w:widowControl w:val="0"/>
        <w:rPr>
          <w:rFonts w:eastAsiaTheme="minorHAnsi"/>
          <w:sz w:val="22"/>
          <w:szCs w:val="22"/>
          <w:lang w:val="lt-LT" w:eastAsia="en-US"/>
        </w:rPr>
      </w:pPr>
      <w:r>
        <w:rPr>
          <w:i/>
          <w:sz w:val="22"/>
          <w:szCs w:val="22"/>
        </w:rPr>
        <w:t>Osteoartritas</w:t>
      </w:r>
    </w:p>
    <w:p w14:paraId="50836E8C" w14:textId="77777777" w:rsidR="009A7DBF" w:rsidRDefault="003F4922">
      <w:pPr>
        <w:widowControl w:val="0"/>
        <w:rPr>
          <w:rFonts w:eastAsiaTheme="minorHAnsi"/>
          <w:sz w:val="22"/>
          <w:szCs w:val="22"/>
          <w:lang w:val="lt-LT" w:eastAsia="en-US"/>
        </w:rPr>
      </w:pPr>
      <w:r>
        <w:rPr>
          <w:color w:val="000000"/>
          <w:sz w:val="22"/>
          <w:szCs w:val="22"/>
        </w:rPr>
        <w:t xml:space="preserve">Įprastinė rekomenduojama paros dozė yra </w:t>
      </w:r>
      <w:r>
        <w:rPr>
          <w:b/>
          <w:color w:val="000000"/>
          <w:sz w:val="22"/>
          <w:szCs w:val="22"/>
        </w:rPr>
        <w:t xml:space="preserve">200 mg, ją reikia </w:t>
      </w:r>
      <w:r>
        <w:rPr>
          <w:b/>
          <w:sz w:val="22"/>
          <w:szCs w:val="22"/>
        </w:rPr>
        <w:t>vartoti</w:t>
      </w:r>
      <w:r>
        <w:rPr>
          <w:b/>
          <w:color w:val="000000"/>
          <w:sz w:val="22"/>
          <w:szCs w:val="22"/>
        </w:rPr>
        <w:t xml:space="preserve"> vieną kartą per parą arba padalyti į dvi lygias dalis ir </w:t>
      </w:r>
      <w:r>
        <w:rPr>
          <w:b/>
          <w:sz w:val="22"/>
          <w:szCs w:val="22"/>
        </w:rPr>
        <w:t>vartoti</w:t>
      </w:r>
      <w:r>
        <w:rPr>
          <w:b/>
          <w:color w:val="000000"/>
          <w:sz w:val="22"/>
          <w:szCs w:val="22"/>
        </w:rPr>
        <w:t xml:space="preserve"> </w:t>
      </w:r>
      <w:r>
        <w:rPr>
          <w:b/>
          <w:sz w:val="22"/>
          <w:szCs w:val="22"/>
        </w:rPr>
        <w:t>du kartus per parą</w:t>
      </w:r>
      <w:r>
        <w:rPr>
          <w:sz w:val="22"/>
          <w:szCs w:val="22"/>
        </w:rPr>
        <w:t xml:space="preserve">. Jeigu simptomų palengvėjimas nebūna pakankamas, kai kuriems pacientams gydymas gali tapti veiksmingesnis dozę </w:t>
      </w:r>
      <w:r>
        <w:rPr>
          <w:b/>
          <w:sz w:val="22"/>
          <w:szCs w:val="22"/>
        </w:rPr>
        <w:t>padidinus iki 200 mg du kartus per parą</w:t>
      </w:r>
      <w:r>
        <w:rPr>
          <w:sz w:val="22"/>
          <w:szCs w:val="22"/>
        </w:rPr>
        <w:t xml:space="preserve">. </w:t>
      </w:r>
      <w:r>
        <w:rPr>
          <w:color w:val="000000"/>
          <w:sz w:val="22"/>
          <w:szCs w:val="22"/>
        </w:rPr>
        <w:t>Jeigu po dviejų savaičių gydomasis poveikis nesustiprėja, reikia apsvarstyti kitokias gydymo galimybes</w:t>
      </w:r>
      <w:r>
        <w:rPr>
          <w:sz w:val="22"/>
          <w:szCs w:val="22"/>
        </w:rPr>
        <w:t>.</w:t>
      </w:r>
    </w:p>
    <w:p w14:paraId="5D34D15E" w14:textId="77777777" w:rsidR="009A7DBF" w:rsidRDefault="009A7DBF">
      <w:pPr>
        <w:widowControl w:val="0"/>
        <w:rPr>
          <w:sz w:val="22"/>
          <w:szCs w:val="22"/>
        </w:rPr>
      </w:pPr>
    </w:p>
    <w:p w14:paraId="4E50DB30" w14:textId="77777777" w:rsidR="009A7DBF" w:rsidRDefault="003F4922">
      <w:pPr>
        <w:widowControl w:val="0"/>
        <w:rPr>
          <w:rFonts w:eastAsiaTheme="minorHAnsi"/>
          <w:sz w:val="22"/>
          <w:szCs w:val="22"/>
          <w:lang w:val="lt-LT" w:eastAsia="en-US"/>
        </w:rPr>
      </w:pPr>
      <w:r>
        <w:rPr>
          <w:i/>
          <w:sz w:val="22"/>
          <w:szCs w:val="22"/>
        </w:rPr>
        <w:lastRenderedPageBreak/>
        <w:t>Reumatoidinis artritas</w:t>
      </w:r>
    </w:p>
    <w:p w14:paraId="0EF5AAB0" w14:textId="77777777" w:rsidR="009A7DBF" w:rsidRDefault="003F4922">
      <w:pPr>
        <w:widowControl w:val="0"/>
        <w:rPr>
          <w:rFonts w:eastAsiaTheme="minorHAnsi"/>
          <w:sz w:val="22"/>
          <w:szCs w:val="22"/>
          <w:lang w:val="lt-LT" w:eastAsia="en-US"/>
        </w:rPr>
      </w:pPr>
      <w:r>
        <w:rPr>
          <w:sz w:val="22"/>
          <w:szCs w:val="22"/>
        </w:rPr>
        <w:t xml:space="preserve">Rekomenduojama pradinę </w:t>
      </w:r>
      <w:r>
        <w:rPr>
          <w:b/>
          <w:sz w:val="22"/>
          <w:szCs w:val="22"/>
        </w:rPr>
        <w:t>200 mg paros dozę padalyti į dvi dalis ir vartoti du kartus per parą</w:t>
      </w:r>
      <w:r>
        <w:rPr>
          <w:sz w:val="22"/>
          <w:szCs w:val="22"/>
        </w:rPr>
        <w:t xml:space="preserve">. Jei reikia, vėliau dozę galima </w:t>
      </w:r>
      <w:r>
        <w:rPr>
          <w:b/>
          <w:sz w:val="22"/>
          <w:szCs w:val="22"/>
        </w:rPr>
        <w:t>didinti ir vartoti 200 mg du kartus per parą</w:t>
      </w:r>
      <w:r>
        <w:rPr>
          <w:sz w:val="22"/>
          <w:szCs w:val="22"/>
        </w:rPr>
        <w:t xml:space="preserve">. </w:t>
      </w:r>
      <w:r>
        <w:rPr>
          <w:color w:val="000000"/>
          <w:sz w:val="22"/>
          <w:szCs w:val="22"/>
        </w:rPr>
        <w:t>Jeigu po dviejų savaičių gydomasis poveikis nesustiprėja, reikia apsvarstyti kitokias gydymo galimybes</w:t>
      </w:r>
      <w:r>
        <w:rPr>
          <w:sz w:val="22"/>
          <w:szCs w:val="22"/>
        </w:rPr>
        <w:t>.</w:t>
      </w:r>
    </w:p>
    <w:p w14:paraId="01A1EB26" w14:textId="77777777" w:rsidR="009A7DBF" w:rsidRDefault="009A7DBF">
      <w:pPr>
        <w:widowControl w:val="0"/>
        <w:rPr>
          <w:sz w:val="22"/>
          <w:szCs w:val="22"/>
        </w:rPr>
      </w:pPr>
    </w:p>
    <w:p w14:paraId="3BC6AFAD" w14:textId="77777777" w:rsidR="009A7DBF" w:rsidRDefault="003F4922">
      <w:pPr>
        <w:widowControl w:val="0"/>
        <w:rPr>
          <w:rFonts w:eastAsiaTheme="minorHAnsi"/>
          <w:color w:val="000000"/>
          <w:sz w:val="22"/>
          <w:szCs w:val="22"/>
          <w:lang w:val="lt-LT" w:eastAsia="en-US"/>
        </w:rPr>
      </w:pPr>
      <w:r>
        <w:rPr>
          <w:i/>
          <w:color w:val="000000"/>
          <w:sz w:val="22"/>
          <w:szCs w:val="22"/>
        </w:rPr>
        <w:t>Ankilozinis spondilitas</w:t>
      </w:r>
    </w:p>
    <w:p w14:paraId="504E5365" w14:textId="77777777" w:rsidR="009A7DBF" w:rsidRDefault="003F4922">
      <w:pPr>
        <w:widowControl w:val="0"/>
        <w:rPr>
          <w:rFonts w:eastAsiaTheme="minorHAnsi"/>
          <w:sz w:val="22"/>
          <w:szCs w:val="22"/>
          <w:lang w:val="lt-LT" w:eastAsia="en-US"/>
        </w:rPr>
      </w:pPr>
      <w:r>
        <w:rPr>
          <w:color w:val="000000"/>
          <w:sz w:val="22"/>
          <w:szCs w:val="22"/>
        </w:rPr>
        <w:t xml:space="preserve">Rekomenduojama paros dozė yra </w:t>
      </w:r>
      <w:r>
        <w:rPr>
          <w:b/>
          <w:color w:val="000000"/>
          <w:sz w:val="22"/>
          <w:szCs w:val="22"/>
        </w:rPr>
        <w:t xml:space="preserve">200 mg, ją reikia </w:t>
      </w:r>
      <w:r>
        <w:rPr>
          <w:b/>
          <w:sz w:val="22"/>
          <w:szCs w:val="22"/>
        </w:rPr>
        <w:t>vartoti</w:t>
      </w:r>
      <w:r>
        <w:rPr>
          <w:b/>
          <w:color w:val="000000"/>
          <w:sz w:val="22"/>
          <w:szCs w:val="22"/>
        </w:rPr>
        <w:t xml:space="preserve"> vieną kartą per parą arba padalyti į dvi lygias dalis ir </w:t>
      </w:r>
      <w:r>
        <w:rPr>
          <w:b/>
          <w:sz w:val="22"/>
          <w:szCs w:val="22"/>
        </w:rPr>
        <w:t>vartoti</w:t>
      </w:r>
      <w:r>
        <w:rPr>
          <w:b/>
          <w:color w:val="000000"/>
          <w:sz w:val="22"/>
          <w:szCs w:val="22"/>
        </w:rPr>
        <w:t xml:space="preserve"> </w:t>
      </w:r>
      <w:r>
        <w:rPr>
          <w:b/>
          <w:sz w:val="22"/>
          <w:szCs w:val="22"/>
        </w:rPr>
        <w:t>du kartus per parą</w:t>
      </w:r>
      <w:r>
        <w:rPr>
          <w:color w:val="000000"/>
          <w:sz w:val="22"/>
          <w:szCs w:val="22"/>
        </w:rPr>
        <w:t xml:space="preserve">. </w:t>
      </w:r>
      <w:r>
        <w:rPr>
          <w:sz w:val="22"/>
          <w:szCs w:val="22"/>
        </w:rPr>
        <w:t xml:space="preserve">Jeigu simptomų palengvėjimas nebūna pakankamas, kai kuriems pacientams gydymas gali tapti veiksmingesnis dozę </w:t>
      </w:r>
      <w:r>
        <w:rPr>
          <w:b/>
          <w:sz w:val="22"/>
          <w:szCs w:val="22"/>
        </w:rPr>
        <w:t xml:space="preserve">padidinus iki </w:t>
      </w:r>
      <w:r>
        <w:rPr>
          <w:b/>
          <w:color w:val="000000"/>
          <w:sz w:val="22"/>
          <w:szCs w:val="22"/>
        </w:rPr>
        <w:t xml:space="preserve">400 mg (reikia </w:t>
      </w:r>
      <w:r>
        <w:rPr>
          <w:b/>
          <w:sz w:val="22"/>
          <w:szCs w:val="22"/>
        </w:rPr>
        <w:t>vartoti</w:t>
      </w:r>
      <w:r>
        <w:rPr>
          <w:b/>
          <w:color w:val="000000"/>
          <w:sz w:val="22"/>
          <w:szCs w:val="22"/>
        </w:rPr>
        <w:t xml:space="preserve"> vieną kartą per parą arba padalyti į dvi lygias dalis ir </w:t>
      </w:r>
      <w:r>
        <w:rPr>
          <w:b/>
          <w:sz w:val="22"/>
          <w:szCs w:val="22"/>
        </w:rPr>
        <w:t>vartoti</w:t>
      </w:r>
      <w:r>
        <w:rPr>
          <w:b/>
          <w:color w:val="000000"/>
          <w:sz w:val="22"/>
          <w:szCs w:val="22"/>
        </w:rPr>
        <w:t xml:space="preserve"> </w:t>
      </w:r>
      <w:r>
        <w:rPr>
          <w:b/>
          <w:sz w:val="22"/>
          <w:szCs w:val="22"/>
        </w:rPr>
        <w:t>du kartus per parą)</w:t>
      </w:r>
      <w:r>
        <w:rPr>
          <w:b/>
          <w:color w:val="000000"/>
          <w:sz w:val="22"/>
          <w:szCs w:val="22"/>
        </w:rPr>
        <w:t>.</w:t>
      </w:r>
      <w:r>
        <w:rPr>
          <w:color w:val="000000"/>
          <w:sz w:val="22"/>
          <w:szCs w:val="22"/>
        </w:rPr>
        <w:t xml:space="preserve"> Jeigu po dviejų savaičių gydomasis poveikis nesustiprėja, reikia apsvarstyti kitokias gydymo galimybes.</w:t>
      </w:r>
    </w:p>
    <w:p w14:paraId="67E21CEF" w14:textId="77777777" w:rsidR="009A7DBF" w:rsidRDefault="009A7DBF">
      <w:pPr>
        <w:widowControl w:val="0"/>
        <w:rPr>
          <w:sz w:val="22"/>
          <w:szCs w:val="22"/>
        </w:rPr>
      </w:pPr>
    </w:p>
    <w:p w14:paraId="687CF575" w14:textId="77777777" w:rsidR="009A7DBF" w:rsidRDefault="003F4922">
      <w:pPr>
        <w:widowControl w:val="0"/>
        <w:outlineLvl w:val="0"/>
        <w:rPr>
          <w:rFonts w:eastAsiaTheme="minorHAnsi"/>
          <w:sz w:val="22"/>
          <w:szCs w:val="22"/>
          <w:lang w:val="lt-LT" w:eastAsia="en-US"/>
        </w:rPr>
      </w:pPr>
      <w:r>
        <w:rPr>
          <w:sz w:val="22"/>
          <w:szCs w:val="22"/>
        </w:rPr>
        <w:t>Didžiausia rekomenduojama paros dozė visoms indikacijoms yra 400 mg.</w:t>
      </w:r>
    </w:p>
    <w:p w14:paraId="1CE17447" w14:textId="77777777" w:rsidR="009A7DBF" w:rsidRDefault="009A7DBF">
      <w:pPr>
        <w:widowControl w:val="0"/>
        <w:outlineLvl w:val="0"/>
        <w:rPr>
          <w:sz w:val="22"/>
          <w:szCs w:val="22"/>
        </w:rPr>
      </w:pPr>
    </w:p>
    <w:p w14:paraId="10369B6B" w14:textId="77777777" w:rsidR="009A7DBF" w:rsidRDefault="003F4922">
      <w:pPr>
        <w:widowControl w:val="0"/>
        <w:outlineLvl w:val="0"/>
        <w:rPr>
          <w:sz w:val="22"/>
          <w:szCs w:val="22"/>
        </w:rPr>
      </w:pPr>
      <w:r>
        <w:rPr>
          <w:sz w:val="22"/>
          <w:szCs w:val="22"/>
        </w:rPr>
        <w:t>Ypatingos populiacijos</w:t>
      </w:r>
    </w:p>
    <w:p w14:paraId="19F50043" w14:textId="77777777" w:rsidR="009A7DBF" w:rsidRDefault="009A7DBF">
      <w:pPr>
        <w:widowControl w:val="0"/>
        <w:outlineLvl w:val="0"/>
        <w:rPr>
          <w:sz w:val="22"/>
          <w:szCs w:val="22"/>
        </w:rPr>
      </w:pPr>
    </w:p>
    <w:p w14:paraId="6717BA24" w14:textId="77777777" w:rsidR="009A7DBF" w:rsidRDefault="003F4922">
      <w:pPr>
        <w:widowControl w:val="0"/>
        <w:rPr>
          <w:rFonts w:eastAsiaTheme="minorHAnsi"/>
          <w:sz w:val="22"/>
          <w:szCs w:val="22"/>
          <w:lang w:val="lt-LT" w:eastAsia="en-US"/>
        </w:rPr>
      </w:pPr>
      <w:r>
        <w:rPr>
          <w:i/>
          <w:sz w:val="22"/>
          <w:szCs w:val="22"/>
        </w:rPr>
        <w:t>Senyviems pacientams</w:t>
      </w:r>
    </w:p>
    <w:p w14:paraId="144CF2F0" w14:textId="77777777" w:rsidR="009A7DBF" w:rsidRDefault="003F4922">
      <w:pPr>
        <w:widowControl w:val="0"/>
        <w:rPr>
          <w:rFonts w:eastAsiaTheme="minorHAnsi"/>
          <w:sz w:val="22"/>
          <w:szCs w:val="22"/>
          <w:lang w:val="lt-LT" w:eastAsia="en-US"/>
        </w:rPr>
      </w:pPr>
      <w:r>
        <w:rPr>
          <w:sz w:val="22"/>
          <w:szCs w:val="22"/>
        </w:rPr>
        <w:t>Kaip ir jaunesniems suaugusiesiems, iš pradžių vartojama 200 mg paros dozė. Jei reikia, vėliau dozę galima didinti ir vartoti 200 mg du kartus per parą. Ypač atsargiai šį vaistinį preparatą reikia vartoti senyviems pacientams, kurie sveria mažiau kaip 50 kg (žr. 4.4 ir 5.2 skyrius).</w:t>
      </w:r>
    </w:p>
    <w:p w14:paraId="67109E54" w14:textId="77777777" w:rsidR="009A7DBF" w:rsidRDefault="009A7DBF">
      <w:pPr>
        <w:widowControl w:val="0"/>
        <w:rPr>
          <w:sz w:val="22"/>
          <w:szCs w:val="22"/>
        </w:rPr>
      </w:pPr>
    </w:p>
    <w:p w14:paraId="0396DEC0" w14:textId="77777777" w:rsidR="009A7DBF" w:rsidRDefault="003F4922">
      <w:pPr>
        <w:widowControl w:val="0"/>
        <w:rPr>
          <w:rFonts w:eastAsiaTheme="minorHAnsi"/>
          <w:sz w:val="22"/>
          <w:szCs w:val="22"/>
          <w:lang w:val="lt-LT" w:eastAsia="en-US"/>
        </w:rPr>
      </w:pPr>
      <w:r>
        <w:rPr>
          <w:i/>
          <w:sz w:val="22"/>
          <w:szCs w:val="22"/>
        </w:rPr>
        <w:t>Pacientams, kurių kepenų funkcija sutrikusi</w:t>
      </w:r>
    </w:p>
    <w:p w14:paraId="4DEC243F" w14:textId="77777777" w:rsidR="009A7DBF" w:rsidRDefault="003F4922">
      <w:pPr>
        <w:widowControl w:val="0"/>
        <w:rPr>
          <w:rFonts w:eastAsiaTheme="minorHAnsi"/>
          <w:sz w:val="22"/>
          <w:szCs w:val="22"/>
          <w:lang w:val="lt-LT" w:eastAsia="en-US"/>
        </w:rPr>
      </w:pPr>
      <w:r>
        <w:rPr>
          <w:sz w:val="22"/>
          <w:szCs w:val="22"/>
        </w:rPr>
        <w:t>Ligoniams, kuriems yra nustatytas vidutinio sunkumo kepenų funkcijos sutrikimas (albumino kiekis serume 25</w:t>
      </w:r>
      <w:r>
        <w:rPr>
          <w:sz w:val="22"/>
          <w:szCs w:val="22"/>
        </w:rPr>
        <w:noBreakHyphen/>
        <w:t>35 g/l), iš pradžių skiriama vartoti pusę rekomenduojamos vaistinio preparato dozės. Kepenų ciroze sergančių pacientų gydymo šiuo vaistiniu preparatu patirties yra nedaug (žr. 4.3, 4.4 ir 5.2 skyrius).</w:t>
      </w:r>
    </w:p>
    <w:p w14:paraId="77375D13" w14:textId="77777777" w:rsidR="009A7DBF" w:rsidRDefault="009A7DBF">
      <w:pPr>
        <w:widowControl w:val="0"/>
        <w:rPr>
          <w:sz w:val="22"/>
          <w:szCs w:val="22"/>
        </w:rPr>
      </w:pPr>
    </w:p>
    <w:p w14:paraId="21FA9A17" w14:textId="77777777" w:rsidR="009A7DBF" w:rsidRDefault="003F4922">
      <w:pPr>
        <w:widowControl w:val="0"/>
        <w:rPr>
          <w:rFonts w:eastAsiaTheme="minorHAnsi"/>
          <w:sz w:val="22"/>
          <w:szCs w:val="22"/>
          <w:lang w:val="lt-LT" w:eastAsia="en-US"/>
        </w:rPr>
      </w:pPr>
      <w:r>
        <w:rPr>
          <w:i/>
          <w:sz w:val="22"/>
          <w:szCs w:val="22"/>
        </w:rPr>
        <w:t>Pacientams, kurių inkstų funkcija sutrikusi</w:t>
      </w:r>
    </w:p>
    <w:p w14:paraId="25F62552" w14:textId="77777777" w:rsidR="009A7DBF" w:rsidRDefault="003F4922">
      <w:pPr>
        <w:widowControl w:val="0"/>
        <w:rPr>
          <w:rFonts w:eastAsiaTheme="minorHAnsi"/>
          <w:sz w:val="22"/>
          <w:szCs w:val="22"/>
          <w:lang w:val="lt-LT" w:eastAsia="en-US"/>
        </w:rPr>
      </w:pPr>
      <w:r>
        <w:rPr>
          <w:sz w:val="22"/>
          <w:szCs w:val="22"/>
        </w:rPr>
        <w:t>Pacientų, kuriems yra lengvas ar vidutinio sunkumo inkstų funkcijos sutrikimas, gydymo celekoksibu patirties yra nedaug, todėl jiems šio vaistinio preparato būtina skirti vartoti atsargiai (žr. 4.3, 4.4 ir 5.2 skyrius).</w:t>
      </w:r>
    </w:p>
    <w:p w14:paraId="6F0280C5" w14:textId="77777777" w:rsidR="009A7DBF" w:rsidRDefault="009A7DBF">
      <w:pPr>
        <w:widowControl w:val="0"/>
        <w:rPr>
          <w:sz w:val="22"/>
          <w:szCs w:val="22"/>
        </w:rPr>
      </w:pPr>
    </w:p>
    <w:p w14:paraId="4E12F86E" w14:textId="77777777" w:rsidR="009A7DBF" w:rsidRDefault="003F4922">
      <w:pPr>
        <w:widowControl w:val="0"/>
        <w:outlineLvl w:val="0"/>
        <w:rPr>
          <w:rFonts w:eastAsiaTheme="minorHAnsi"/>
          <w:i/>
          <w:sz w:val="22"/>
          <w:szCs w:val="22"/>
          <w:lang w:val="lt-LT" w:eastAsia="en-US"/>
        </w:rPr>
      </w:pPr>
      <w:r>
        <w:rPr>
          <w:i/>
          <w:sz w:val="22"/>
          <w:szCs w:val="22"/>
        </w:rPr>
        <w:t>Vaikų populiacija</w:t>
      </w:r>
    </w:p>
    <w:p w14:paraId="48D17F55" w14:textId="77777777" w:rsidR="009A7DBF" w:rsidRDefault="003F4922">
      <w:pPr>
        <w:widowControl w:val="0"/>
        <w:outlineLvl w:val="0"/>
        <w:rPr>
          <w:rFonts w:eastAsiaTheme="minorHAnsi"/>
          <w:sz w:val="22"/>
          <w:szCs w:val="22"/>
          <w:lang w:val="lt-LT" w:eastAsia="en-US"/>
        </w:rPr>
      </w:pPr>
      <w:r>
        <w:rPr>
          <w:rFonts w:eastAsia="Calibri"/>
          <w:sz w:val="22"/>
          <w:szCs w:val="22"/>
        </w:rPr>
        <w:t>Celekoksibas nėra skirtas vartoti vaikams.</w:t>
      </w:r>
    </w:p>
    <w:p w14:paraId="280EC4E2" w14:textId="77777777" w:rsidR="009A7DBF" w:rsidRDefault="009A7DBF">
      <w:pPr>
        <w:widowControl w:val="0"/>
        <w:rPr>
          <w:sz w:val="22"/>
          <w:szCs w:val="22"/>
        </w:rPr>
      </w:pPr>
    </w:p>
    <w:p w14:paraId="59A3E63F" w14:textId="77777777" w:rsidR="009A7DBF" w:rsidRDefault="003F4922">
      <w:pPr>
        <w:widowControl w:val="0"/>
        <w:outlineLvl w:val="0"/>
        <w:rPr>
          <w:rFonts w:eastAsiaTheme="minorHAnsi"/>
          <w:bCs/>
          <w:i/>
          <w:sz w:val="22"/>
          <w:szCs w:val="22"/>
          <w:lang w:val="lt-LT" w:eastAsia="en-US"/>
        </w:rPr>
      </w:pPr>
      <w:r>
        <w:rPr>
          <w:i/>
          <w:sz w:val="22"/>
          <w:szCs w:val="22"/>
        </w:rPr>
        <w:t>Pacientai, kurių organizme CYP2C9 veikiamas metabolizmas yra silpnas</w:t>
      </w:r>
    </w:p>
    <w:p w14:paraId="7FC4D80C" w14:textId="77777777" w:rsidR="009A7DBF" w:rsidRDefault="003F4922">
      <w:pPr>
        <w:widowControl w:val="0"/>
        <w:outlineLvl w:val="0"/>
        <w:rPr>
          <w:rFonts w:eastAsiaTheme="minorHAnsi"/>
          <w:sz w:val="22"/>
          <w:szCs w:val="22"/>
          <w:lang w:val="lt-LT" w:eastAsia="en-US"/>
        </w:rPr>
      </w:pPr>
      <w:r>
        <w:rPr>
          <w:sz w:val="22"/>
          <w:szCs w:val="22"/>
        </w:rPr>
        <w:t xml:space="preserve">Jeigu, atlikus genetinius tyrimus arba remiantis ankstesnio kitų </w:t>
      </w:r>
      <w:r>
        <w:rPr>
          <w:color w:val="000000"/>
          <w:sz w:val="22"/>
          <w:szCs w:val="22"/>
        </w:rPr>
        <w:t>CYP2C9 substratų vartojimo duomenimis ar patirtimi, yra nustatyta</w:t>
      </w:r>
      <w:r>
        <w:rPr>
          <w:sz w:val="22"/>
          <w:szCs w:val="22"/>
        </w:rPr>
        <w:t xml:space="preserve"> arba įtariama, kad CYP2C9 veikiamas metabolizmas paciento organizme yra silpnas,</w:t>
      </w:r>
      <w:r>
        <w:rPr>
          <w:color w:val="000000"/>
          <w:sz w:val="22"/>
          <w:szCs w:val="22"/>
        </w:rPr>
        <w:t xml:space="preserve"> celekoksibo reikia vartoti atsargiai, nes didėja nuo dozės priklausomo nepageidaujamo poveikio rizika. Gali būti naudinga dozę mažinti iki pusės mažiausios rekomenduojamos dozės (žr. 5.2 skyrių).</w:t>
      </w:r>
    </w:p>
    <w:p w14:paraId="3DA14A68" w14:textId="77777777" w:rsidR="009A7DBF" w:rsidRDefault="009A7DBF">
      <w:pPr>
        <w:widowControl w:val="0"/>
        <w:rPr>
          <w:sz w:val="22"/>
          <w:szCs w:val="22"/>
        </w:rPr>
      </w:pPr>
    </w:p>
    <w:p w14:paraId="6FB04FF8" w14:textId="77777777" w:rsidR="009A7DBF" w:rsidRDefault="003F4922">
      <w:pPr>
        <w:widowControl w:val="0"/>
        <w:rPr>
          <w:rFonts w:eastAsiaTheme="minorHAnsi"/>
          <w:sz w:val="22"/>
          <w:szCs w:val="22"/>
          <w:u w:val="single"/>
          <w:lang w:val="lt-LT" w:eastAsia="en-US"/>
        </w:rPr>
      </w:pPr>
      <w:r>
        <w:rPr>
          <w:sz w:val="22"/>
          <w:szCs w:val="22"/>
          <w:u w:val="single"/>
        </w:rPr>
        <w:t>Vartojimo metodas</w:t>
      </w:r>
    </w:p>
    <w:p w14:paraId="59F8D547" w14:textId="77777777" w:rsidR="009A7DBF" w:rsidRDefault="009A7DBF">
      <w:pPr>
        <w:widowControl w:val="0"/>
        <w:rPr>
          <w:sz w:val="22"/>
          <w:szCs w:val="22"/>
          <w:u w:val="single"/>
        </w:rPr>
      </w:pPr>
    </w:p>
    <w:p w14:paraId="3A1AEC1F" w14:textId="77777777" w:rsidR="009A7DBF" w:rsidRDefault="003F4922">
      <w:pPr>
        <w:widowControl w:val="0"/>
        <w:rPr>
          <w:rFonts w:eastAsiaTheme="minorHAnsi"/>
          <w:sz w:val="22"/>
          <w:szCs w:val="22"/>
          <w:u w:val="single"/>
          <w:lang w:val="lt-LT" w:eastAsia="en-US"/>
        </w:rPr>
      </w:pPr>
      <w:r>
        <w:rPr>
          <w:sz w:val="22"/>
          <w:szCs w:val="22"/>
          <w:u w:val="single"/>
        </w:rPr>
        <w:t>Vartoti per burną.</w:t>
      </w:r>
    </w:p>
    <w:p w14:paraId="35E1273F" w14:textId="77777777" w:rsidR="009A7DBF" w:rsidRDefault="003F4922">
      <w:pPr>
        <w:widowControl w:val="0"/>
        <w:rPr>
          <w:rFonts w:eastAsiaTheme="minorHAnsi"/>
          <w:sz w:val="22"/>
          <w:szCs w:val="22"/>
          <w:lang w:val="lt-LT" w:eastAsia="en-US"/>
        </w:rPr>
      </w:pPr>
      <w:r>
        <w:rPr>
          <w:sz w:val="22"/>
          <w:szCs w:val="22"/>
        </w:rPr>
        <w:t>Kapsulę reikia nuryti sveiką, užgeriant vandeniu.</w:t>
      </w:r>
    </w:p>
    <w:p w14:paraId="19AB6864" w14:textId="77777777" w:rsidR="009A7DBF" w:rsidRDefault="003F4922">
      <w:pPr>
        <w:widowControl w:val="0"/>
        <w:rPr>
          <w:rFonts w:eastAsiaTheme="minorHAnsi"/>
          <w:sz w:val="22"/>
          <w:szCs w:val="22"/>
          <w:lang w:val="lt-LT" w:eastAsia="en-US"/>
        </w:rPr>
      </w:pPr>
      <w:r>
        <w:rPr>
          <w:sz w:val="22"/>
          <w:szCs w:val="22"/>
        </w:rPr>
        <w:t>Aclexa galima vartoti valgant arba nevalgant.</w:t>
      </w:r>
    </w:p>
    <w:p w14:paraId="5FD08943" w14:textId="77777777" w:rsidR="009A7DBF" w:rsidRDefault="009A7DBF">
      <w:pPr>
        <w:widowControl w:val="0"/>
        <w:rPr>
          <w:sz w:val="22"/>
          <w:szCs w:val="22"/>
        </w:rPr>
      </w:pPr>
    </w:p>
    <w:p w14:paraId="5E2EAD60" w14:textId="77777777" w:rsidR="009A7DBF" w:rsidRDefault="003F4922">
      <w:pPr>
        <w:widowControl w:val="0"/>
        <w:ind w:left="567" w:hanging="567"/>
        <w:outlineLvl w:val="0"/>
        <w:rPr>
          <w:rFonts w:eastAsiaTheme="minorHAnsi"/>
          <w:b/>
          <w:sz w:val="22"/>
          <w:szCs w:val="22"/>
          <w:lang w:val="lt-LT" w:eastAsia="en-US"/>
        </w:rPr>
      </w:pPr>
      <w:r>
        <w:rPr>
          <w:b/>
          <w:sz w:val="22"/>
          <w:szCs w:val="22"/>
        </w:rPr>
        <w:t>4.3</w:t>
      </w:r>
      <w:r>
        <w:rPr>
          <w:b/>
          <w:sz w:val="22"/>
          <w:szCs w:val="22"/>
        </w:rPr>
        <w:tab/>
        <w:t>Kontraindikacijos</w:t>
      </w:r>
    </w:p>
    <w:p w14:paraId="3FBE1424" w14:textId="77777777" w:rsidR="009A7DBF" w:rsidRDefault="009A7DBF">
      <w:pPr>
        <w:widowControl w:val="0"/>
        <w:ind w:left="567" w:hanging="567"/>
        <w:rPr>
          <w:sz w:val="22"/>
          <w:szCs w:val="22"/>
        </w:rPr>
      </w:pPr>
    </w:p>
    <w:p w14:paraId="7A1781DD" w14:textId="77777777" w:rsidR="009A7DBF" w:rsidRDefault="003F4922">
      <w:pPr>
        <w:widowControl w:val="0"/>
        <w:rPr>
          <w:rFonts w:eastAsiaTheme="minorHAnsi"/>
          <w:sz w:val="22"/>
          <w:szCs w:val="22"/>
          <w:lang w:val="lt-LT" w:eastAsia="en-US"/>
        </w:rPr>
      </w:pPr>
      <w:r>
        <w:rPr>
          <w:sz w:val="22"/>
          <w:szCs w:val="22"/>
        </w:rPr>
        <w:t>Padidėjęs jautrumas veikliajai arba bet kuriai 6.1 skyriuje nurodytai pagalbinei medžiagai.</w:t>
      </w:r>
    </w:p>
    <w:p w14:paraId="72DE04DA" w14:textId="77777777" w:rsidR="009A7DBF" w:rsidRDefault="009A7DBF">
      <w:pPr>
        <w:widowControl w:val="0"/>
        <w:rPr>
          <w:sz w:val="22"/>
          <w:szCs w:val="22"/>
        </w:rPr>
      </w:pPr>
    </w:p>
    <w:p w14:paraId="4A6D0BEA" w14:textId="77777777" w:rsidR="009A7DBF" w:rsidRDefault="003F4922">
      <w:pPr>
        <w:widowControl w:val="0"/>
        <w:rPr>
          <w:rFonts w:eastAsiaTheme="minorHAnsi"/>
          <w:sz w:val="22"/>
          <w:szCs w:val="22"/>
          <w:lang w:val="lt-LT" w:eastAsia="en-US"/>
        </w:rPr>
      </w:pPr>
      <w:r>
        <w:rPr>
          <w:sz w:val="22"/>
          <w:szCs w:val="22"/>
        </w:rPr>
        <w:t>Padidėjęs jautrumas sulfonamidams.</w:t>
      </w:r>
    </w:p>
    <w:p w14:paraId="546EFF6D" w14:textId="77777777" w:rsidR="009A7DBF" w:rsidRDefault="009A7DBF">
      <w:pPr>
        <w:widowControl w:val="0"/>
        <w:rPr>
          <w:sz w:val="22"/>
          <w:szCs w:val="22"/>
        </w:rPr>
      </w:pPr>
    </w:p>
    <w:p w14:paraId="4149D642" w14:textId="77777777" w:rsidR="009A7DBF" w:rsidRDefault="003F4922">
      <w:pPr>
        <w:widowControl w:val="0"/>
        <w:rPr>
          <w:rFonts w:eastAsiaTheme="minorHAnsi"/>
          <w:sz w:val="22"/>
          <w:szCs w:val="22"/>
          <w:lang w:val="lt-LT" w:eastAsia="en-US"/>
        </w:rPr>
      </w:pPr>
      <w:r>
        <w:rPr>
          <w:sz w:val="22"/>
          <w:szCs w:val="22"/>
        </w:rPr>
        <w:t>Aktyvi pepsinė opa arba kraujavimas iš virškinimo trakto (VT).</w:t>
      </w:r>
    </w:p>
    <w:p w14:paraId="48AD7DC3" w14:textId="77777777" w:rsidR="009A7DBF" w:rsidRDefault="009A7DBF">
      <w:pPr>
        <w:widowControl w:val="0"/>
        <w:rPr>
          <w:sz w:val="22"/>
          <w:szCs w:val="22"/>
        </w:rPr>
      </w:pPr>
    </w:p>
    <w:p w14:paraId="42BE8F3C" w14:textId="77777777" w:rsidR="009A7DBF" w:rsidRDefault="003F4922">
      <w:pPr>
        <w:widowControl w:val="0"/>
        <w:rPr>
          <w:sz w:val="22"/>
          <w:szCs w:val="22"/>
        </w:rPr>
      </w:pPr>
      <w:r>
        <w:rPr>
          <w:sz w:val="22"/>
          <w:szCs w:val="22"/>
        </w:rPr>
        <w:lastRenderedPageBreak/>
        <w:t>Astma, ūminis rinitas, nosies polipai, angioneurozinė edema, dilgėlinė arba kitokia alerginio pobūdžio reakcija, pasireiškusi pavartojus acetilsalicilo rūgšties (aspirino) arba kitų nesteroidinių vaistų nuo uždegimo NVNU, įskaitant COX</w:t>
      </w:r>
      <w:r>
        <w:rPr>
          <w:sz w:val="22"/>
          <w:szCs w:val="22"/>
        </w:rPr>
        <w:noBreakHyphen/>
        <w:t>2 inhibitorių.</w:t>
      </w:r>
    </w:p>
    <w:p w14:paraId="2389D221" w14:textId="77777777" w:rsidR="009A7DBF" w:rsidRDefault="009A7DBF">
      <w:pPr>
        <w:widowControl w:val="0"/>
        <w:rPr>
          <w:rFonts w:eastAsiaTheme="minorHAnsi"/>
          <w:sz w:val="22"/>
          <w:szCs w:val="22"/>
          <w:lang w:val="lt-LT" w:eastAsia="en-US"/>
        </w:rPr>
      </w:pPr>
    </w:p>
    <w:p w14:paraId="794F13F3" w14:textId="77777777" w:rsidR="009A7DBF" w:rsidRDefault="003F4922">
      <w:pPr>
        <w:widowControl w:val="0"/>
        <w:rPr>
          <w:rFonts w:eastAsiaTheme="minorHAnsi"/>
          <w:sz w:val="22"/>
          <w:szCs w:val="22"/>
          <w:lang w:val="lt-LT" w:eastAsia="en-US"/>
        </w:rPr>
      </w:pPr>
      <w:r>
        <w:rPr>
          <w:sz w:val="22"/>
          <w:szCs w:val="22"/>
        </w:rPr>
        <w:t>Pacientė yra nėščia arba vaisingo amžiaus, nebent naudojamas veiksmingas kontracepcijos metodas (žr. 4.6 skyrių). Celekoksibas sukėlė sklaidos defektų dviejų tirtų rūšių gyvūnams (žr. 4.6 ir 5.3 skyrius). Galima su moters nėštumu susijusi rizika nėra žinoma, bet jos paneigti negalima.</w:t>
      </w:r>
    </w:p>
    <w:p w14:paraId="69BD5AEB" w14:textId="77777777" w:rsidR="009A7DBF" w:rsidRDefault="009A7DBF">
      <w:pPr>
        <w:widowControl w:val="0"/>
        <w:rPr>
          <w:sz w:val="22"/>
          <w:szCs w:val="22"/>
        </w:rPr>
      </w:pPr>
    </w:p>
    <w:p w14:paraId="2055DD23" w14:textId="77777777" w:rsidR="009A7DBF" w:rsidRDefault="003F4922">
      <w:pPr>
        <w:widowControl w:val="0"/>
        <w:rPr>
          <w:rFonts w:eastAsiaTheme="minorHAnsi"/>
          <w:sz w:val="22"/>
          <w:szCs w:val="22"/>
          <w:lang w:val="lt-LT" w:eastAsia="en-US"/>
        </w:rPr>
      </w:pPr>
      <w:r>
        <w:rPr>
          <w:sz w:val="22"/>
          <w:szCs w:val="22"/>
        </w:rPr>
        <w:t>Žindymo laikotarpis (žr. 4.6 ir 5.3 skyrius).</w:t>
      </w:r>
    </w:p>
    <w:p w14:paraId="1911538C" w14:textId="77777777" w:rsidR="009A7DBF" w:rsidRDefault="009A7DBF">
      <w:pPr>
        <w:widowControl w:val="0"/>
        <w:rPr>
          <w:sz w:val="22"/>
          <w:szCs w:val="22"/>
        </w:rPr>
      </w:pPr>
    </w:p>
    <w:p w14:paraId="48BECE71" w14:textId="77777777" w:rsidR="009A7DBF" w:rsidRDefault="003F4922">
      <w:pPr>
        <w:widowControl w:val="0"/>
        <w:rPr>
          <w:rFonts w:eastAsiaTheme="minorHAnsi"/>
          <w:sz w:val="22"/>
          <w:szCs w:val="22"/>
          <w:lang w:val="lt-LT" w:eastAsia="en-US"/>
        </w:rPr>
      </w:pPr>
      <w:r>
        <w:rPr>
          <w:sz w:val="22"/>
          <w:szCs w:val="22"/>
        </w:rPr>
        <w:t xml:space="preserve">Sunkus kepenų funkcijos sutrikimas (albumino kiekis serume &lt;25 g/l arba įvertinimas pagal </w:t>
      </w:r>
      <w:r>
        <w:rPr>
          <w:i/>
          <w:sz w:val="22"/>
          <w:szCs w:val="22"/>
        </w:rPr>
        <w:t>Child-Pugh</w:t>
      </w:r>
      <w:r>
        <w:rPr>
          <w:sz w:val="22"/>
          <w:szCs w:val="22"/>
        </w:rPr>
        <w:t xml:space="preserve"> ≥10 balų).</w:t>
      </w:r>
    </w:p>
    <w:p w14:paraId="5B02A1D0" w14:textId="77777777" w:rsidR="009A7DBF" w:rsidRDefault="009A7DBF">
      <w:pPr>
        <w:widowControl w:val="0"/>
        <w:rPr>
          <w:sz w:val="22"/>
          <w:szCs w:val="22"/>
        </w:rPr>
      </w:pPr>
    </w:p>
    <w:p w14:paraId="0F067D76" w14:textId="77777777" w:rsidR="009A7DBF" w:rsidRDefault="003F4922">
      <w:pPr>
        <w:widowControl w:val="0"/>
        <w:rPr>
          <w:rFonts w:eastAsiaTheme="minorHAnsi"/>
          <w:sz w:val="22"/>
          <w:szCs w:val="22"/>
          <w:lang w:val="lt-LT" w:eastAsia="en-US"/>
        </w:rPr>
      </w:pPr>
      <w:r>
        <w:rPr>
          <w:sz w:val="22"/>
          <w:szCs w:val="22"/>
        </w:rPr>
        <w:t>Apskaičiuotasis kreatinino klirensas &lt;30 ml/min.</w:t>
      </w:r>
    </w:p>
    <w:p w14:paraId="0707C3A1" w14:textId="77777777" w:rsidR="009A7DBF" w:rsidRDefault="009A7DBF">
      <w:pPr>
        <w:widowControl w:val="0"/>
        <w:rPr>
          <w:sz w:val="22"/>
          <w:szCs w:val="22"/>
        </w:rPr>
      </w:pPr>
    </w:p>
    <w:p w14:paraId="4FE8ADF6" w14:textId="77777777" w:rsidR="009A7DBF" w:rsidRDefault="003F4922">
      <w:pPr>
        <w:widowControl w:val="0"/>
        <w:rPr>
          <w:rFonts w:eastAsiaTheme="minorHAnsi"/>
          <w:sz w:val="22"/>
          <w:szCs w:val="22"/>
          <w:lang w:val="lt-LT" w:eastAsia="en-US"/>
        </w:rPr>
      </w:pPr>
      <w:r>
        <w:rPr>
          <w:sz w:val="22"/>
          <w:szCs w:val="22"/>
        </w:rPr>
        <w:t>Uždegiminė žarnų liga.</w:t>
      </w:r>
    </w:p>
    <w:p w14:paraId="2C66923B" w14:textId="77777777" w:rsidR="009A7DBF" w:rsidRDefault="009A7DBF">
      <w:pPr>
        <w:widowControl w:val="0"/>
        <w:rPr>
          <w:sz w:val="22"/>
          <w:szCs w:val="22"/>
        </w:rPr>
      </w:pPr>
    </w:p>
    <w:p w14:paraId="7604AF6E" w14:textId="77777777" w:rsidR="009A7DBF" w:rsidRDefault="003F4922">
      <w:pPr>
        <w:widowControl w:val="0"/>
        <w:rPr>
          <w:rFonts w:eastAsiaTheme="minorHAnsi"/>
          <w:sz w:val="22"/>
          <w:szCs w:val="22"/>
          <w:lang w:val="lt-LT" w:eastAsia="en-US"/>
        </w:rPr>
      </w:pPr>
      <w:r>
        <w:rPr>
          <w:sz w:val="22"/>
          <w:szCs w:val="22"/>
        </w:rPr>
        <w:t>Stazinis širdies nepakankamumas (II</w:t>
      </w:r>
      <w:r>
        <w:rPr>
          <w:sz w:val="22"/>
          <w:szCs w:val="22"/>
        </w:rPr>
        <w:noBreakHyphen/>
        <w:t>IV klasės pagal NYHA).</w:t>
      </w:r>
    </w:p>
    <w:p w14:paraId="2CCB1289" w14:textId="77777777" w:rsidR="009A7DBF" w:rsidRDefault="009A7DBF">
      <w:pPr>
        <w:widowControl w:val="0"/>
        <w:rPr>
          <w:sz w:val="22"/>
          <w:szCs w:val="22"/>
        </w:rPr>
      </w:pPr>
    </w:p>
    <w:p w14:paraId="0592EA1D" w14:textId="77777777" w:rsidR="009A7DBF" w:rsidRDefault="003F4922">
      <w:pPr>
        <w:widowControl w:val="0"/>
        <w:rPr>
          <w:rFonts w:eastAsiaTheme="minorHAnsi"/>
          <w:sz w:val="22"/>
          <w:szCs w:val="22"/>
          <w:lang w:val="lt-LT" w:eastAsia="en-US"/>
        </w:rPr>
      </w:pPr>
      <w:r>
        <w:rPr>
          <w:sz w:val="22"/>
          <w:szCs w:val="22"/>
        </w:rPr>
        <w:t>Nustatyta išeminė širdies liga, periferinių arterijų liga ir (arba) smegenų kraujagyslių liga.</w:t>
      </w:r>
    </w:p>
    <w:p w14:paraId="702C13ED" w14:textId="77777777" w:rsidR="009A7DBF" w:rsidRDefault="009A7DBF">
      <w:pPr>
        <w:widowControl w:val="0"/>
        <w:ind w:left="567" w:hanging="567"/>
        <w:rPr>
          <w:sz w:val="22"/>
          <w:szCs w:val="22"/>
        </w:rPr>
      </w:pPr>
    </w:p>
    <w:p w14:paraId="6605708B" w14:textId="77777777" w:rsidR="009A7DBF" w:rsidRDefault="003F4922">
      <w:pPr>
        <w:widowControl w:val="0"/>
        <w:ind w:left="567" w:hanging="567"/>
        <w:outlineLvl w:val="0"/>
        <w:rPr>
          <w:rFonts w:eastAsiaTheme="minorHAnsi"/>
          <w:b/>
          <w:sz w:val="22"/>
          <w:szCs w:val="22"/>
          <w:lang w:val="lt-LT" w:eastAsia="en-US"/>
        </w:rPr>
      </w:pPr>
      <w:r>
        <w:rPr>
          <w:b/>
          <w:sz w:val="22"/>
          <w:szCs w:val="22"/>
        </w:rPr>
        <w:t>4.4</w:t>
      </w:r>
      <w:r>
        <w:rPr>
          <w:b/>
          <w:sz w:val="22"/>
          <w:szCs w:val="22"/>
        </w:rPr>
        <w:tab/>
        <w:t>Specialūs įspėjimai ir atsargumo priemonės</w:t>
      </w:r>
    </w:p>
    <w:p w14:paraId="79BB71AA" w14:textId="77777777" w:rsidR="009A7DBF" w:rsidRDefault="009A7DBF">
      <w:pPr>
        <w:widowControl w:val="0"/>
        <w:ind w:left="567" w:hanging="567"/>
        <w:rPr>
          <w:sz w:val="22"/>
          <w:szCs w:val="22"/>
        </w:rPr>
      </w:pPr>
    </w:p>
    <w:p w14:paraId="2704798D" w14:textId="77777777" w:rsidR="009A7DBF" w:rsidRDefault="003F4922">
      <w:pPr>
        <w:ind w:left="567" w:hanging="567"/>
        <w:rPr>
          <w:rFonts w:eastAsia="Calibri"/>
          <w:sz w:val="22"/>
          <w:szCs w:val="22"/>
        </w:rPr>
      </w:pPr>
      <w:r>
        <w:rPr>
          <w:rFonts w:eastAsia="Calibri"/>
          <w:sz w:val="22"/>
          <w:szCs w:val="22"/>
          <w:u w:val="single"/>
        </w:rPr>
        <w:t>Poveikis virškinimo traktui (VT)</w:t>
      </w:r>
    </w:p>
    <w:p w14:paraId="71B7D430" w14:textId="77777777" w:rsidR="009A7DBF" w:rsidRDefault="003F4922">
      <w:pPr>
        <w:widowControl w:val="0"/>
        <w:rPr>
          <w:rFonts w:eastAsiaTheme="minorHAnsi"/>
          <w:sz w:val="22"/>
          <w:szCs w:val="22"/>
          <w:lang w:val="lt-LT" w:eastAsia="en-US"/>
        </w:rPr>
      </w:pPr>
      <w:r>
        <w:rPr>
          <w:sz w:val="22"/>
          <w:szCs w:val="22"/>
        </w:rPr>
        <w:t>Celekoksibo vartojusiems pacientams buvo viršutinės ir apatinės virškinimo trakto dalies komplikacijų (prakiurimo, opų atsiradimo ar kraujavimo [POK]) atvejų, kai kurie pacientai mirė. Šiuo vaistiniu preparatu rekomenduojama atsargiai gydyti pacientus, kuriems yra didžiausia su NVNU vartojimu susijusių virškinimo trakto komplikacijų rizika, t. y. senyvus žmones bei kitų NVNU arba antitrombocitinių vaistinių preparatų (tokių kaip acetilsalicilo rūgšties) ar</w:t>
      </w:r>
      <w:r>
        <w:rPr>
          <w:rFonts w:eastAsia="Calibri"/>
          <w:sz w:val="22"/>
          <w:szCs w:val="22"/>
        </w:rPr>
        <w:t xml:space="preserve"> gliukokortikoidų,</w:t>
      </w:r>
      <w:r>
        <w:rPr>
          <w:sz w:val="22"/>
          <w:szCs w:val="22"/>
        </w:rPr>
        <w:t xml:space="preserve"> alkoholio tuo pat metu vartojančius pacientus arba pacientus, jau anksčiau sirgusius virškinimo trakto liga, pvz., opalige arba VT kraujavimu.</w:t>
      </w:r>
    </w:p>
    <w:p w14:paraId="34541798" w14:textId="77777777" w:rsidR="009A7DBF" w:rsidRDefault="009A7DBF">
      <w:pPr>
        <w:widowControl w:val="0"/>
        <w:rPr>
          <w:sz w:val="22"/>
          <w:szCs w:val="22"/>
        </w:rPr>
      </w:pPr>
    </w:p>
    <w:p w14:paraId="1919FA43" w14:textId="77777777" w:rsidR="009A7DBF" w:rsidRDefault="003F4922">
      <w:pPr>
        <w:widowControl w:val="0"/>
        <w:rPr>
          <w:rFonts w:eastAsiaTheme="minorHAnsi"/>
          <w:sz w:val="22"/>
          <w:szCs w:val="22"/>
          <w:lang w:val="lt-LT" w:eastAsia="en-US"/>
        </w:rPr>
      </w:pPr>
      <w:r>
        <w:rPr>
          <w:sz w:val="22"/>
          <w:szCs w:val="22"/>
        </w:rPr>
        <w:t>Celekoksibo vartojant kartu su acetilsalicilo rūgštimi (net ir mažomis dozėmis), nepageidaujamų virškinimo trakto reakcijų (virškinimo trakto opų ar kitokių virškinimo trakto komplikacijų) rizika dar labiau padidėja.</w:t>
      </w:r>
    </w:p>
    <w:p w14:paraId="14A2A03A" w14:textId="77777777" w:rsidR="009A7DBF" w:rsidRDefault="009A7DBF">
      <w:pPr>
        <w:widowControl w:val="0"/>
        <w:rPr>
          <w:sz w:val="22"/>
          <w:szCs w:val="22"/>
        </w:rPr>
      </w:pPr>
    </w:p>
    <w:p w14:paraId="3DE99A47" w14:textId="77777777" w:rsidR="009A7DBF" w:rsidRDefault="003F4922">
      <w:pPr>
        <w:widowControl w:val="0"/>
        <w:rPr>
          <w:rFonts w:eastAsiaTheme="minorHAnsi"/>
          <w:sz w:val="22"/>
          <w:szCs w:val="22"/>
          <w:lang w:val="lt-LT" w:eastAsia="en-US"/>
        </w:rPr>
      </w:pPr>
      <w:r>
        <w:rPr>
          <w:sz w:val="22"/>
          <w:szCs w:val="22"/>
        </w:rPr>
        <w:t>Ilgalaikių klinikinių tyrimų metu reikšmingų su saugumu VT susijusių gydymo COX-2 inhibitoriaus ir acetilsalicilo rūgšties deriniu bei NVNU ir acetilsalicilo rūgšties deriniu skirtumų nenustatyta (žr. 5.1 skyrių).</w:t>
      </w:r>
    </w:p>
    <w:p w14:paraId="45D05B07" w14:textId="77777777" w:rsidR="009A7DBF" w:rsidRDefault="009A7DBF">
      <w:pPr>
        <w:widowControl w:val="0"/>
        <w:rPr>
          <w:sz w:val="22"/>
          <w:szCs w:val="22"/>
        </w:rPr>
      </w:pPr>
    </w:p>
    <w:p w14:paraId="6540EF16" w14:textId="77777777" w:rsidR="009A7DBF" w:rsidRDefault="003F4922">
      <w:pPr>
        <w:rPr>
          <w:rFonts w:eastAsia="Calibri"/>
          <w:sz w:val="22"/>
          <w:szCs w:val="22"/>
          <w:u w:val="single"/>
        </w:rPr>
      </w:pPr>
      <w:r>
        <w:rPr>
          <w:rFonts w:eastAsia="Calibri"/>
          <w:sz w:val="22"/>
          <w:szCs w:val="22"/>
          <w:u w:val="single"/>
        </w:rPr>
        <w:t>Vartojimas kartu su NVNU</w:t>
      </w:r>
    </w:p>
    <w:p w14:paraId="07210D24" w14:textId="77777777" w:rsidR="009A7DBF" w:rsidRDefault="003F4922">
      <w:pPr>
        <w:widowControl w:val="0"/>
        <w:rPr>
          <w:rFonts w:eastAsiaTheme="minorHAnsi"/>
          <w:sz w:val="22"/>
          <w:szCs w:val="22"/>
          <w:lang w:val="lt-LT" w:eastAsia="en-US"/>
        </w:rPr>
      </w:pPr>
      <w:r>
        <w:rPr>
          <w:sz w:val="22"/>
          <w:szCs w:val="22"/>
        </w:rPr>
        <w:t>Celekoksibo vartoti kartu su NVNU, kurių sudėtyje nėra acetilsalicilo rūgšties, nerekomenduojama.</w:t>
      </w:r>
    </w:p>
    <w:p w14:paraId="1A01D202" w14:textId="77777777" w:rsidR="009A7DBF" w:rsidRDefault="009A7DBF">
      <w:pPr>
        <w:widowControl w:val="0"/>
        <w:rPr>
          <w:sz w:val="22"/>
          <w:szCs w:val="22"/>
        </w:rPr>
      </w:pPr>
    </w:p>
    <w:p w14:paraId="52E2457B" w14:textId="77777777" w:rsidR="009A7DBF" w:rsidRDefault="003F4922">
      <w:pPr>
        <w:rPr>
          <w:rFonts w:eastAsia="Calibri"/>
          <w:sz w:val="22"/>
          <w:szCs w:val="22"/>
          <w:u w:val="single"/>
        </w:rPr>
      </w:pPr>
      <w:r>
        <w:rPr>
          <w:rFonts w:eastAsia="Calibri"/>
          <w:sz w:val="22"/>
          <w:szCs w:val="22"/>
          <w:u w:val="single"/>
        </w:rPr>
        <w:t>Poveikis širdies ir kraujagyslių veiklai</w:t>
      </w:r>
    </w:p>
    <w:p w14:paraId="4D9066B6" w14:textId="77777777" w:rsidR="009A7DBF" w:rsidRDefault="003F4922">
      <w:pPr>
        <w:widowControl w:val="0"/>
        <w:rPr>
          <w:rFonts w:eastAsiaTheme="minorHAnsi"/>
          <w:sz w:val="22"/>
          <w:szCs w:val="22"/>
          <w:lang w:val="lt-LT" w:eastAsia="en-US"/>
        </w:rPr>
      </w:pPr>
      <w:r>
        <w:rPr>
          <w:sz w:val="22"/>
          <w:szCs w:val="22"/>
        </w:rPr>
        <w:t>Ilgalaikių placebu kontroliuojamų tyrimų duomenimis, du kartus per parą 200 mg ir 400 mg celekoksibo dozę vartojusiems žmonėms, kuriems buvo diagnozuota sporadinių adenomatozinių polipų, palyginti su vartojusiais placebo, dažniau atsirado sunkių kardiovaskulinių (KV) reiškinių (dažniausiai - miokardo infarktas) (žr. 5.1 skyrių).</w:t>
      </w:r>
    </w:p>
    <w:p w14:paraId="37C12497" w14:textId="77777777" w:rsidR="009A7DBF" w:rsidRDefault="009A7DBF">
      <w:pPr>
        <w:widowControl w:val="0"/>
        <w:rPr>
          <w:sz w:val="22"/>
          <w:szCs w:val="22"/>
        </w:rPr>
      </w:pPr>
    </w:p>
    <w:p w14:paraId="07A591D8" w14:textId="77777777" w:rsidR="009A7DBF" w:rsidRDefault="003F4922">
      <w:pPr>
        <w:widowControl w:val="0"/>
        <w:overflowPunct w:val="0"/>
        <w:autoSpaceDE w:val="0"/>
        <w:autoSpaceDN w:val="0"/>
        <w:adjustRightInd w:val="0"/>
        <w:rPr>
          <w:rFonts w:eastAsiaTheme="minorHAnsi"/>
          <w:sz w:val="22"/>
          <w:szCs w:val="22"/>
          <w:lang w:val="lt-LT" w:eastAsia="en-US"/>
        </w:rPr>
      </w:pPr>
      <w:r>
        <w:rPr>
          <w:sz w:val="22"/>
          <w:szCs w:val="22"/>
        </w:rPr>
        <w:t>Kardiovaskulinių sutrikimų rizika didėja didinant celekoksibo dozę ir ilginant ekspoziciją, todėl reikia kiek įmanoma trumpiau vartoti mažiausią veiksmingą vaistinio preparato paros dozę. NVNU, įskaitant COX-2 selektyvius inhibitorius, vartojimas ilgą laiką buvo susijęs su padidėjusia širdies ir kraujagyslių ir trombozinių nepageidaujamų reiškinių rizika. Tikslus su vienkartine doze susijusios rizikos dydis nenustatytas ir nėra tikslios gydymo trukmės, susijusios su padidėjusia rizika. Būtina reguliariai įvertinti paciento, ypač sergančio osteoartritu, simptominio gydymo poreikį ir reakciją į gydymą (žr. 4.2, 4.3, 4.8 ir 5.1 skyrius).</w:t>
      </w:r>
    </w:p>
    <w:p w14:paraId="75D8CEE7" w14:textId="77777777" w:rsidR="009A7DBF" w:rsidRDefault="009A7DBF">
      <w:pPr>
        <w:widowControl w:val="0"/>
        <w:overflowPunct w:val="0"/>
        <w:autoSpaceDE w:val="0"/>
        <w:autoSpaceDN w:val="0"/>
        <w:adjustRightInd w:val="0"/>
        <w:rPr>
          <w:sz w:val="22"/>
          <w:szCs w:val="22"/>
        </w:rPr>
      </w:pPr>
    </w:p>
    <w:p w14:paraId="1986600B" w14:textId="77777777" w:rsidR="009A7DBF" w:rsidRDefault="003F4922">
      <w:pPr>
        <w:widowControl w:val="0"/>
        <w:rPr>
          <w:rFonts w:eastAsiaTheme="minorHAnsi"/>
          <w:sz w:val="22"/>
          <w:szCs w:val="22"/>
          <w:lang w:val="lt-LT" w:eastAsia="en-US"/>
        </w:rPr>
      </w:pPr>
      <w:r>
        <w:rPr>
          <w:sz w:val="22"/>
          <w:szCs w:val="22"/>
        </w:rPr>
        <w:t>Pacientus, kuriems yra reikšmingų kardiovaskulinių sutrikimų rizikos veiksnių (pvz., hipertenzija, hiperlipidemija, cukrinis diabetas, rūkymas), gydyti celekoksibu galima tik kruopščiai apsvarsčius (žr. 5.1 skyrių).</w:t>
      </w:r>
    </w:p>
    <w:p w14:paraId="531F3DAB" w14:textId="77777777" w:rsidR="009A7DBF" w:rsidRDefault="009A7DBF">
      <w:pPr>
        <w:widowControl w:val="0"/>
        <w:rPr>
          <w:sz w:val="22"/>
          <w:szCs w:val="22"/>
        </w:rPr>
      </w:pPr>
    </w:p>
    <w:p w14:paraId="708DA162" w14:textId="77777777" w:rsidR="009A7DBF" w:rsidRDefault="003F4922">
      <w:pPr>
        <w:widowControl w:val="0"/>
        <w:rPr>
          <w:rFonts w:eastAsiaTheme="minorHAnsi"/>
          <w:sz w:val="22"/>
          <w:szCs w:val="22"/>
          <w:lang w:val="lt-LT" w:eastAsia="en-US"/>
        </w:rPr>
      </w:pPr>
      <w:r>
        <w:rPr>
          <w:sz w:val="22"/>
          <w:szCs w:val="22"/>
        </w:rPr>
        <w:t>Selektyviųjų COX</w:t>
      </w:r>
      <w:r>
        <w:rPr>
          <w:sz w:val="22"/>
          <w:szCs w:val="22"/>
        </w:rPr>
        <w:noBreakHyphen/>
        <w:t>2 inhibitorių netinka vartoti vietoj acetilsalicilo rūgšties širdies ir kraujagyslių tromboembolinių ligų profilaktikai, nes jie neveikia trombocitų funkcijos. Vadinasi, antitrombocitinio gydymo nutraukti negalima (žr. 5.1 skyrių).</w:t>
      </w:r>
    </w:p>
    <w:p w14:paraId="04752BC2" w14:textId="77777777" w:rsidR="009A7DBF" w:rsidRDefault="009A7DBF">
      <w:pPr>
        <w:widowControl w:val="0"/>
        <w:rPr>
          <w:sz w:val="22"/>
          <w:szCs w:val="22"/>
        </w:rPr>
      </w:pPr>
    </w:p>
    <w:p w14:paraId="1E1C6E65" w14:textId="77777777" w:rsidR="009A7DBF" w:rsidRDefault="003F4922">
      <w:pPr>
        <w:rPr>
          <w:rFonts w:eastAsia="Calibri"/>
          <w:sz w:val="22"/>
          <w:szCs w:val="22"/>
          <w:u w:val="single"/>
        </w:rPr>
      </w:pPr>
      <w:r>
        <w:rPr>
          <w:rFonts w:eastAsia="Calibri"/>
          <w:sz w:val="22"/>
          <w:szCs w:val="22"/>
          <w:u w:val="single"/>
        </w:rPr>
        <w:t>Skysčių susilaikymas ir edema</w:t>
      </w:r>
    </w:p>
    <w:p w14:paraId="43C3E604" w14:textId="77777777" w:rsidR="009A7DBF" w:rsidRDefault="003F4922">
      <w:pPr>
        <w:widowControl w:val="0"/>
        <w:rPr>
          <w:rFonts w:eastAsiaTheme="minorHAnsi"/>
          <w:sz w:val="22"/>
          <w:szCs w:val="22"/>
          <w:lang w:val="lt-LT" w:eastAsia="en-US"/>
        </w:rPr>
      </w:pPr>
      <w:r>
        <w:rPr>
          <w:sz w:val="22"/>
          <w:szCs w:val="22"/>
        </w:rPr>
        <w:t>Vartojant celekoksibo, kaip ir kitų prostaglandinų sintezę slopinančių vaistinių preparatų, buvo skysčių kaupimosi bei edemos atsiradimo atvejų. Dėl šios priežasties celekoksibu rekomenduojama atsargiai gydyti pacientus, kurie serga širdies nepakankamumu, kairiojo skilvelio disfunkcija ar hipertenzija, bei ligonius, kuriems edema atsirado dėl bet kokių kitų priežasčių, kadangi prostaglandinų sintezės slopinimas gali sutrikdyti inkstų funkciją ir organizme gali pradėti kauptis skysčiai. Be to, celekoksibu rekomenduojama atsargiai gydyti pacientus, kurie vartoja diuretikų ar kuriems gali pasireikšti kitokių priežasčių sukelta hipovolemija.</w:t>
      </w:r>
    </w:p>
    <w:p w14:paraId="4D5C12AD" w14:textId="77777777" w:rsidR="009A7DBF" w:rsidRDefault="009A7DBF">
      <w:pPr>
        <w:widowControl w:val="0"/>
        <w:rPr>
          <w:sz w:val="22"/>
          <w:szCs w:val="22"/>
        </w:rPr>
      </w:pPr>
    </w:p>
    <w:p w14:paraId="60454DEA" w14:textId="77777777" w:rsidR="009A7DBF" w:rsidRDefault="003F4922">
      <w:pPr>
        <w:rPr>
          <w:rFonts w:eastAsia="Calibri"/>
          <w:sz w:val="22"/>
          <w:szCs w:val="22"/>
          <w:u w:val="single"/>
        </w:rPr>
      </w:pPr>
      <w:r>
        <w:rPr>
          <w:rFonts w:eastAsia="Calibri"/>
          <w:sz w:val="22"/>
          <w:szCs w:val="22"/>
          <w:u w:val="single"/>
        </w:rPr>
        <w:t>Hipertenzija</w:t>
      </w:r>
    </w:p>
    <w:p w14:paraId="5DCAE665" w14:textId="77777777" w:rsidR="009A7DBF" w:rsidRDefault="003F4922">
      <w:pPr>
        <w:widowControl w:val="0"/>
        <w:rPr>
          <w:rFonts w:eastAsiaTheme="minorHAnsi"/>
          <w:sz w:val="22"/>
          <w:szCs w:val="22"/>
          <w:lang w:val="lt-LT" w:eastAsia="en-US"/>
        </w:rPr>
      </w:pPr>
      <w:r>
        <w:rPr>
          <w:sz w:val="22"/>
          <w:szCs w:val="22"/>
        </w:rPr>
        <w:t>Celekoksibo, kaip ir visų NVNU, vartojimas gali sukelti ar pasunkinti hipertenziją, o tai gali lemti kardiovaskulinių reiškinių padažnėjimą. Dėl šios priežasties gydymo celekoksibu pradžioje bei jo metu būtina atidžiai stebėti kraujospūdį.</w:t>
      </w:r>
    </w:p>
    <w:p w14:paraId="4BF5891B" w14:textId="77777777" w:rsidR="009A7DBF" w:rsidRDefault="009A7DBF">
      <w:pPr>
        <w:widowControl w:val="0"/>
        <w:rPr>
          <w:sz w:val="22"/>
          <w:szCs w:val="22"/>
        </w:rPr>
      </w:pPr>
    </w:p>
    <w:p w14:paraId="2599B78A" w14:textId="77777777" w:rsidR="009A7DBF" w:rsidRDefault="003F4922">
      <w:pPr>
        <w:rPr>
          <w:rFonts w:eastAsia="Calibri"/>
          <w:sz w:val="22"/>
          <w:szCs w:val="22"/>
          <w:u w:val="single"/>
        </w:rPr>
      </w:pPr>
      <w:r>
        <w:rPr>
          <w:rFonts w:eastAsia="Calibri"/>
          <w:sz w:val="22"/>
          <w:szCs w:val="22"/>
          <w:u w:val="single"/>
        </w:rPr>
        <w:t>Poveikis kepenims ir inkstams</w:t>
      </w:r>
    </w:p>
    <w:p w14:paraId="1522DDBC" w14:textId="77777777" w:rsidR="009A7DBF" w:rsidRDefault="003F4922">
      <w:pPr>
        <w:widowControl w:val="0"/>
        <w:rPr>
          <w:rFonts w:eastAsiaTheme="minorHAnsi"/>
          <w:sz w:val="22"/>
          <w:szCs w:val="22"/>
          <w:lang w:val="lt-LT" w:eastAsia="en-US"/>
        </w:rPr>
      </w:pPr>
      <w:r>
        <w:rPr>
          <w:sz w:val="22"/>
          <w:szCs w:val="22"/>
        </w:rPr>
        <w:t>Senyviems žmonėms inkstų, kepenų ir ypač širdies funkcijos sutrikimų rizika yra didesnė, todėl būtina tinkama medicininė tokių pacientų priežiūra.</w:t>
      </w:r>
    </w:p>
    <w:p w14:paraId="75A13C67" w14:textId="77777777" w:rsidR="009A7DBF" w:rsidRDefault="009A7DBF">
      <w:pPr>
        <w:widowControl w:val="0"/>
        <w:rPr>
          <w:sz w:val="22"/>
          <w:szCs w:val="22"/>
        </w:rPr>
      </w:pPr>
    </w:p>
    <w:p w14:paraId="459723B8" w14:textId="77777777" w:rsidR="009A7DBF" w:rsidRDefault="003F4922">
      <w:pPr>
        <w:widowControl w:val="0"/>
        <w:rPr>
          <w:rFonts w:eastAsiaTheme="minorHAnsi"/>
          <w:sz w:val="22"/>
          <w:szCs w:val="22"/>
          <w:lang w:val="lt-LT" w:eastAsia="en-US"/>
        </w:rPr>
      </w:pPr>
      <w:r>
        <w:rPr>
          <w:sz w:val="22"/>
          <w:szCs w:val="22"/>
        </w:rPr>
        <w:t>NVNU, įskaitant celekoksibą, gali sukelti toksinį poveikį inkstams. Klinikinių tyrimų duomenimis, celekoksibo poveikis inkstams yra panašus į lyginamųjų NVNU sukeliamą poveikį. Didžiausia toksinio poveikio inkstams rizika yra pacientams, kurie serga inkstų funkcijos sutrikimu, širdies nepakankamumu, kepenų funkcijos sutrikimu, vartoja diuretikų, angiotenziną konvertuojančio fermento AKF inhibitorių, angiotenzino II receptorių antagonistų ar yra senyvi (žr. 4.5 skyrių). Tokius pacientus gydymo celekoksibu metu reikia atidžiai stebėti.</w:t>
      </w:r>
    </w:p>
    <w:p w14:paraId="52421DB0" w14:textId="77777777" w:rsidR="009A7DBF" w:rsidRDefault="009A7DBF">
      <w:pPr>
        <w:widowControl w:val="0"/>
        <w:rPr>
          <w:sz w:val="22"/>
          <w:szCs w:val="22"/>
        </w:rPr>
      </w:pPr>
    </w:p>
    <w:p w14:paraId="4D79CC97" w14:textId="77777777" w:rsidR="009A7DBF" w:rsidRDefault="003F4922">
      <w:pPr>
        <w:widowControl w:val="0"/>
        <w:rPr>
          <w:rFonts w:eastAsiaTheme="minorHAnsi"/>
          <w:sz w:val="22"/>
          <w:szCs w:val="22"/>
          <w:lang w:val="lt-LT" w:eastAsia="en-US"/>
        </w:rPr>
      </w:pPr>
      <w:r>
        <w:rPr>
          <w:sz w:val="22"/>
          <w:szCs w:val="22"/>
        </w:rPr>
        <w:t>Vartojant celekoksibo, buvo keletas sunkių kepenų reakcijų, įskaitant žaibinį hepatitą (kai kurie atvejai buvo mirtini), kepenų nekrozę ir kepenų nepakankamumą (kai kurie atvejai buvo mirtini arba prireikė kepenų persodinimo), atvejų. Išanalizavus atvejus, kai buvo pranešta apie kepenų reakcijos atsiradimo laiką, nustatyta, kad dauguma sunkių kepenų reiškinių pasireiškė per vieną mėnesį po to, kai buvo pradėtas gydymas celekoksibu (žr. 4.8 skyrių).</w:t>
      </w:r>
    </w:p>
    <w:p w14:paraId="54AAAD06" w14:textId="77777777" w:rsidR="009A7DBF" w:rsidRDefault="009A7DBF">
      <w:pPr>
        <w:widowControl w:val="0"/>
        <w:rPr>
          <w:sz w:val="22"/>
          <w:szCs w:val="22"/>
        </w:rPr>
      </w:pPr>
    </w:p>
    <w:p w14:paraId="32BC95CC" w14:textId="77777777" w:rsidR="009A7DBF" w:rsidRDefault="003F4922">
      <w:pPr>
        <w:widowControl w:val="0"/>
        <w:rPr>
          <w:rFonts w:eastAsiaTheme="minorHAnsi"/>
          <w:sz w:val="22"/>
          <w:szCs w:val="22"/>
          <w:lang w:val="lt-LT" w:eastAsia="en-US"/>
        </w:rPr>
      </w:pPr>
      <w:r>
        <w:rPr>
          <w:sz w:val="22"/>
          <w:szCs w:val="22"/>
        </w:rPr>
        <w:t>Jei gydymo metu pablogėja kurios nors anksčiau minėtos paciento organų sistemos funkcija, reikia imtis atitinkamų priemonių ir apsvarstyti gydymo celekoksibu nutraukimą.</w:t>
      </w:r>
    </w:p>
    <w:p w14:paraId="07CB8C0E" w14:textId="77777777" w:rsidR="009A7DBF" w:rsidRDefault="009A7DBF">
      <w:pPr>
        <w:widowControl w:val="0"/>
        <w:rPr>
          <w:sz w:val="22"/>
          <w:szCs w:val="22"/>
        </w:rPr>
      </w:pPr>
    </w:p>
    <w:p w14:paraId="26C89981" w14:textId="77777777" w:rsidR="009A7DBF" w:rsidRDefault="003F4922">
      <w:pPr>
        <w:rPr>
          <w:rFonts w:eastAsia="Calibri"/>
          <w:sz w:val="22"/>
          <w:szCs w:val="22"/>
          <w:u w:val="single"/>
        </w:rPr>
      </w:pPr>
      <w:r>
        <w:rPr>
          <w:rFonts w:eastAsia="Calibri"/>
          <w:sz w:val="22"/>
          <w:szCs w:val="22"/>
          <w:u w:val="single"/>
        </w:rPr>
        <w:t>CYP2D6 inhibitoriai</w:t>
      </w:r>
    </w:p>
    <w:p w14:paraId="78B5A7FA" w14:textId="77777777" w:rsidR="009A7DBF" w:rsidRDefault="003F4922">
      <w:pPr>
        <w:widowControl w:val="0"/>
        <w:rPr>
          <w:rFonts w:eastAsiaTheme="minorHAnsi"/>
          <w:sz w:val="22"/>
          <w:szCs w:val="22"/>
          <w:lang w:val="lt-LT" w:eastAsia="en-US"/>
        </w:rPr>
      </w:pPr>
      <w:r>
        <w:rPr>
          <w:sz w:val="22"/>
          <w:szCs w:val="22"/>
        </w:rPr>
        <w:t>Celekoksibas slopina CYP2D6. Nors celekoksibas nėra stiprus šio fermento inhibitorius, gali tekti mažinti individualiai nustatytą kai kurių kartu vartojamų vaistinių preparatų, kuriuos metabolizuoja CYP2D6, dozę (žr. 4.5 skyrių).</w:t>
      </w:r>
    </w:p>
    <w:p w14:paraId="6BFA11E9" w14:textId="77777777" w:rsidR="009A7DBF" w:rsidRDefault="009A7DBF">
      <w:pPr>
        <w:widowControl w:val="0"/>
        <w:rPr>
          <w:sz w:val="22"/>
          <w:szCs w:val="22"/>
        </w:rPr>
      </w:pPr>
    </w:p>
    <w:p w14:paraId="738E0DA7" w14:textId="77777777" w:rsidR="009A7DBF" w:rsidRDefault="003F4922">
      <w:pPr>
        <w:outlineLvl w:val="0"/>
        <w:rPr>
          <w:rFonts w:eastAsia="Calibri"/>
          <w:bCs/>
          <w:sz w:val="22"/>
          <w:szCs w:val="22"/>
          <w:u w:val="single"/>
        </w:rPr>
      </w:pPr>
      <w:r>
        <w:rPr>
          <w:rFonts w:eastAsia="Calibri"/>
          <w:bCs/>
          <w:sz w:val="22"/>
          <w:szCs w:val="22"/>
          <w:u w:val="single"/>
        </w:rPr>
        <w:t>Pacientai, kurių organizme CYP2C9 metabolizuoja silpnai</w:t>
      </w:r>
    </w:p>
    <w:p w14:paraId="2BAEC32B" w14:textId="77777777" w:rsidR="009A7DBF" w:rsidRDefault="003F4922">
      <w:pPr>
        <w:widowControl w:val="0"/>
        <w:rPr>
          <w:rFonts w:eastAsiaTheme="minorHAnsi"/>
          <w:sz w:val="22"/>
          <w:szCs w:val="22"/>
          <w:lang w:val="lt-LT" w:eastAsia="en-US"/>
        </w:rPr>
      </w:pPr>
      <w:r>
        <w:rPr>
          <w:sz w:val="22"/>
          <w:szCs w:val="22"/>
        </w:rPr>
        <w:t>Pacientus, kurių organizme CYP2D9 metabolizuoja silpnai, šiuo vaistiniu preparatu reikia gydyti atsargiai (žr. 5.2 skyrių).</w:t>
      </w:r>
    </w:p>
    <w:p w14:paraId="6A821A11" w14:textId="77777777" w:rsidR="009A7DBF" w:rsidRDefault="009A7DBF">
      <w:pPr>
        <w:widowControl w:val="0"/>
        <w:rPr>
          <w:sz w:val="22"/>
          <w:szCs w:val="22"/>
        </w:rPr>
      </w:pPr>
    </w:p>
    <w:p w14:paraId="1C2EE907" w14:textId="77777777" w:rsidR="009A7DBF" w:rsidRDefault="003F4922">
      <w:pPr>
        <w:rPr>
          <w:rFonts w:eastAsia="Calibri"/>
          <w:sz w:val="22"/>
          <w:szCs w:val="22"/>
          <w:u w:val="single"/>
        </w:rPr>
      </w:pPr>
      <w:r>
        <w:rPr>
          <w:rFonts w:eastAsia="Calibri"/>
          <w:sz w:val="22"/>
          <w:szCs w:val="22"/>
          <w:u w:val="single"/>
        </w:rPr>
        <w:t>Odos ir sisteminės padidėjusio jautrumo reakcijos</w:t>
      </w:r>
    </w:p>
    <w:p w14:paraId="4EAE65C4" w14:textId="112C441D" w:rsidR="009A7DBF" w:rsidRDefault="003F4922">
      <w:pPr>
        <w:widowControl w:val="0"/>
        <w:rPr>
          <w:rFonts w:eastAsiaTheme="minorHAnsi"/>
          <w:sz w:val="22"/>
          <w:szCs w:val="22"/>
          <w:lang w:val="lt-LT" w:eastAsia="en-US"/>
        </w:rPr>
      </w:pPr>
      <w:r>
        <w:rPr>
          <w:sz w:val="22"/>
          <w:szCs w:val="22"/>
        </w:rPr>
        <w:t>Gauta labai retų pranešimų apie su celekoksibo vartojimu susijusių sunkių (kartais mirtinų) odos reakcijų, įskaitant eksfoliacinį dermatitą, Stivenso – Džonsono (</w:t>
      </w:r>
      <w:r>
        <w:rPr>
          <w:i/>
          <w:color w:val="000000"/>
          <w:sz w:val="22"/>
          <w:szCs w:val="22"/>
        </w:rPr>
        <w:t>Stevens-Johnson)</w:t>
      </w:r>
      <w:r>
        <w:rPr>
          <w:color w:val="000000"/>
          <w:sz w:val="22"/>
          <w:szCs w:val="22"/>
        </w:rPr>
        <w:t xml:space="preserve"> </w:t>
      </w:r>
      <w:r>
        <w:rPr>
          <w:sz w:val="22"/>
          <w:szCs w:val="22"/>
        </w:rPr>
        <w:t xml:space="preserve">sindromą ir toksinę epidermio nekrolizę, atvejus (žr. 4.8 skyrių). Fiksuota vaistų sukeliama reakcija (FDE), kuri gali </w:t>
      </w:r>
      <w:r>
        <w:rPr>
          <w:sz w:val="22"/>
          <w:szCs w:val="22"/>
        </w:rPr>
        <w:lastRenderedPageBreak/>
        <w:t xml:space="preserve">pasireikšti ir kaip sunkesnė forma – generalizuota pūslinė fiksuota vaistų reakcija (GBFDE), taip pat buvo pranešta vartojant celekoksibą (žr. 4.8 skyrių). Pacientams, vartojusiems celekoksibo, buvo sunkių padidėjusio jautrumo reakcijų, įskaitant anafilaksiją, angioneurozinę edemą ir vaistinio preparato sukeltą išbėrimą kartu su eozinofilija ir sisteminiais simptomais (angl. </w:t>
      </w:r>
      <w:r>
        <w:rPr>
          <w:i/>
          <w:sz w:val="22"/>
          <w:szCs w:val="22"/>
        </w:rPr>
        <w:t xml:space="preserve">Drug rash with eosinophilia and systemic symptoms, </w:t>
      </w:r>
      <w:r>
        <w:rPr>
          <w:sz w:val="22"/>
          <w:szCs w:val="22"/>
        </w:rPr>
        <w:t>(DRESS) arba padidėjusio jautrumo sindromas), atvejus (žr. 4.8 skyrių). Pacientams, kuriems buvo pasireiškusi alergija sulfonamidams ir bet kokiems kitiems vaistiniams preparatams, gali būti didesnė sunkių odos arba padidėjusio jautrumo reakcijų rizika (žr. 4.3 skyrių). Didžiausia tokių reakcijų rizika yra ankstyvuoju gydymo laikotarpiu: daugeliu atvejų reakcijos prasideda per pirmąjį gydymo mėnesį. Celekoksibo vartojimą būtina nutraukti iš karto po to, kai atsiranda odos išbėrimas, gleivinės pažeidimas ar bet kokių kitokių padidėjusio jautrumo požymių.</w:t>
      </w:r>
    </w:p>
    <w:p w14:paraId="13830133" w14:textId="77777777" w:rsidR="009A7DBF" w:rsidRDefault="009A7DBF">
      <w:pPr>
        <w:widowControl w:val="0"/>
        <w:rPr>
          <w:sz w:val="22"/>
          <w:szCs w:val="22"/>
        </w:rPr>
      </w:pPr>
    </w:p>
    <w:p w14:paraId="23D1B1B5" w14:textId="77777777" w:rsidR="009A7DBF" w:rsidRDefault="003F4922">
      <w:pPr>
        <w:rPr>
          <w:rFonts w:eastAsia="Calibri"/>
          <w:sz w:val="22"/>
          <w:szCs w:val="22"/>
        </w:rPr>
      </w:pPr>
      <w:r>
        <w:rPr>
          <w:rFonts w:eastAsia="Calibri"/>
          <w:sz w:val="22"/>
          <w:szCs w:val="22"/>
          <w:u w:val="single"/>
        </w:rPr>
        <w:t>Bendra informacija</w:t>
      </w:r>
    </w:p>
    <w:p w14:paraId="3E9B3EBA" w14:textId="77777777" w:rsidR="009A7DBF" w:rsidRDefault="003F4922">
      <w:pPr>
        <w:widowControl w:val="0"/>
        <w:outlineLvl w:val="0"/>
        <w:rPr>
          <w:rFonts w:eastAsiaTheme="minorHAnsi"/>
          <w:sz w:val="22"/>
          <w:szCs w:val="22"/>
          <w:lang w:val="lt-LT" w:eastAsia="en-US"/>
        </w:rPr>
      </w:pPr>
      <w:r>
        <w:rPr>
          <w:sz w:val="22"/>
          <w:szCs w:val="22"/>
        </w:rPr>
        <w:t>Celekoksibas gali slėpti karščiavimą ir kitus uždegimo požymius.</w:t>
      </w:r>
    </w:p>
    <w:p w14:paraId="64C23478" w14:textId="77777777" w:rsidR="009A7DBF" w:rsidRDefault="009A7DBF">
      <w:pPr>
        <w:rPr>
          <w:rFonts w:eastAsia="Calibri"/>
          <w:sz w:val="22"/>
          <w:szCs w:val="22"/>
          <w:u w:val="single"/>
        </w:rPr>
      </w:pPr>
    </w:p>
    <w:p w14:paraId="0963C3B4" w14:textId="77777777" w:rsidR="009A7DBF" w:rsidRDefault="003F4922">
      <w:pPr>
        <w:rPr>
          <w:rFonts w:eastAsia="Calibri"/>
          <w:sz w:val="22"/>
          <w:szCs w:val="22"/>
          <w:u w:val="single"/>
        </w:rPr>
      </w:pPr>
      <w:r>
        <w:rPr>
          <w:rFonts w:eastAsia="Calibri"/>
          <w:sz w:val="22"/>
          <w:szCs w:val="22"/>
          <w:u w:val="single"/>
        </w:rPr>
        <w:t>Vartojimas kartu su geriamaisiais antikoaguliantais</w:t>
      </w:r>
    </w:p>
    <w:p w14:paraId="53577747" w14:textId="77777777" w:rsidR="009A7DBF" w:rsidRDefault="003F4922">
      <w:pPr>
        <w:rPr>
          <w:rFonts w:eastAsia="Calibri"/>
          <w:sz w:val="22"/>
          <w:szCs w:val="22"/>
        </w:rPr>
      </w:pPr>
      <w:r>
        <w:rPr>
          <w:rFonts w:eastAsia="Calibri"/>
          <w:sz w:val="22"/>
          <w:szCs w:val="22"/>
        </w:rPr>
        <w:t>Pranešta apie sunkaus kraujavimo reiškinių atvejus (kai kurie iš jų buvo mirtini) pacientams, tuo pat metu vartojusiems varfarino. Pranešta apie protrombino laiko (TNS) padidėjimo atvejus taikant tokį kombinuotąjį gydymą. Dėl to šiuos rodmenis būtina atidžiai stebėti pacientams, kurie vartoja varfarino ar kumarino tipo geriamųjų antikoaguliantų, ypač gydymo celekoksibu pradžioje arba keičiant celekoksibo dozę (žr. 4.5 skyrių). Antikoaguliantų vartojant kartu su NVNU, gali didėti kraujavimo rizika. Celekoksibo kartu su varfarinu ir kitais geriamaisiais antikoaguliantais, įskaitant naujesnius antikoaguliantus (pvz., apiksabaną, dabigatraną ir rivaroksabaną) reikia vartoti atsargiai.</w:t>
      </w:r>
    </w:p>
    <w:p w14:paraId="5D87C30C" w14:textId="77777777" w:rsidR="009A7DBF" w:rsidRDefault="009A7DBF">
      <w:pPr>
        <w:widowControl w:val="0"/>
        <w:rPr>
          <w:sz w:val="22"/>
          <w:szCs w:val="22"/>
        </w:rPr>
      </w:pPr>
    </w:p>
    <w:p w14:paraId="3C527E8C" w14:textId="77777777" w:rsidR="009A7DBF" w:rsidRDefault="003F4922">
      <w:pPr>
        <w:rPr>
          <w:rFonts w:eastAsia="Calibri"/>
          <w:sz w:val="22"/>
          <w:szCs w:val="22"/>
          <w:u w:val="single"/>
        </w:rPr>
      </w:pPr>
      <w:r>
        <w:rPr>
          <w:rFonts w:eastAsia="Calibri"/>
          <w:sz w:val="22"/>
          <w:szCs w:val="22"/>
          <w:u w:val="single"/>
        </w:rPr>
        <w:t>Pagalbinės medžiagos</w:t>
      </w:r>
    </w:p>
    <w:p w14:paraId="43CD9CDF" w14:textId="77777777" w:rsidR="009A7DBF" w:rsidRDefault="003F4922">
      <w:pPr>
        <w:widowControl w:val="0"/>
        <w:rPr>
          <w:rFonts w:eastAsiaTheme="minorHAnsi"/>
          <w:sz w:val="22"/>
          <w:szCs w:val="22"/>
          <w:lang w:val="lt-LT" w:eastAsia="en-US"/>
        </w:rPr>
      </w:pPr>
      <w:r>
        <w:rPr>
          <w:sz w:val="22"/>
          <w:szCs w:val="22"/>
        </w:rPr>
        <w:t>Aclexa sudėtyje yra laktozės ir natrio.</w:t>
      </w:r>
    </w:p>
    <w:p w14:paraId="4207F2F3" w14:textId="77777777" w:rsidR="009A7DBF" w:rsidRDefault="003F4922">
      <w:pPr>
        <w:widowControl w:val="0"/>
        <w:rPr>
          <w:rFonts w:eastAsiaTheme="minorHAnsi"/>
          <w:sz w:val="22"/>
          <w:szCs w:val="22"/>
          <w:lang w:val="lt-LT" w:eastAsia="en-US"/>
        </w:rPr>
      </w:pPr>
      <w:r>
        <w:rPr>
          <w:sz w:val="22"/>
          <w:szCs w:val="22"/>
        </w:rPr>
        <w:t>Šio vaistinio preparato negalima vartoti pacientams, kuriems nustatytas retas paveldimas sutrikimas – galaktozės netoleravimas, visiška laktazės stoka arba gliukozės ir galaktozės malabsorbcija.</w:t>
      </w:r>
    </w:p>
    <w:p w14:paraId="4600293F" w14:textId="77777777" w:rsidR="009A7DBF" w:rsidRDefault="003F4922">
      <w:pPr>
        <w:widowControl w:val="0"/>
        <w:rPr>
          <w:rFonts w:eastAsia="Calibri"/>
          <w:sz w:val="22"/>
          <w:szCs w:val="22"/>
        </w:rPr>
      </w:pPr>
      <w:r>
        <w:rPr>
          <w:rFonts w:eastAsia="Calibri"/>
          <w:sz w:val="22"/>
          <w:szCs w:val="22"/>
        </w:rPr>
        <w:t>Šio vaistinio preparato kapsulėje yra mažiau nei 1 mmol (23 mg) natrio,</w:t>
      </w:r>
      <w:r>
        <w:rPr>
          <w:sz w:val="22"/>
          <w:szCs w:val="22"/>
        </w:rPr>
        <w:t xml:space="preserve"> t. y., jis beveik neturi reikšmės.</w:t>
      </w:r>
    </w:p>
    <w:p w14:paraId="0F3B2EFB" w14:textId="77777777" w:rsidR="009A7DBF" w:rsidRDefault="009A7DBF">
      <w:pPr>
        <w:widowControl w:val="0"/>
        <w:rPr>
          <w:sz w:val="22"/>
          <w:szCs w:val="22"/>
        </w:rPr>
      </w:pPr>
    </w:p>
    <w:p w14:paraId="6C860588" w14:textId="77777777" w:rsidR="009A7DBF" w:rsidRDefault="003F4922">
      <w:pPr>
        <w:widowControl w:val="0"/>
        <w:ind w:left="567" w:hanging="567"/>
        <w:outlineLvl w:val="0"/>
        <w:rPr>
          <w:rFonts w:eastAsiaTheme="minorHAnsi"/>
          <w:b/>
          <w:sz w:val="22"/>
          <w:szCs w:val="22"/>
          <w:lang w:val="lt-LT" w:eastAsia="en-US"/>
        </w:rPr>
      </w:pPr>
      <w:r>
        <w:rPr>
          <w:b/>
          <w:sz w:val="22"/>
          <w:szCs w:val="22"/>
        </w:rPr>
        <w:t>4.5</w:t>
      </w:r>
      <w:r>
        <w:rPr>
          <w:b/>
          <w:sz w:val="22"/>
          <w:szCs w:val="22"/>
        </w:rPr>
        <w:tab/>
        <w:t>Sąveika su kitais vaistiniais preparatais ir kitokia sąveika</w:t>
      </w:r>
    </w:p>
    <w:p w14:paraId="6C8F3501" w14:textId="77777777" w:rsidR="009A7DBF" w:rsidRDefault="009A7DBF">
      <w:pPr>
        <w:widowControl w:val="0"/>
        <w:rPr>
          <w:sz w:val="22"/>
          <w:szCs w:val="22"/>
        </w:rPr>
      </w:pPr>
    </w:p>
    <w:p w14:paraId="4CF15848" w14:textId="77777777" w:rsidR="009A7DBF" w:rsidRDefault="003F4922">
      <w:pPr>
        <w:widowControl w:val="0"/>
        <w:outlineLvl w:val="0"/>
        <w:rPr>
          <w:rFonts w:eastAsiaTheme="minorHAnsi"/>
          <w:i/>
          <w:sz w:val="22"/>
          <w:szCs w:val="22"/>
          <w:lang w:val="lt-LT" w:eastAsia="en-US"/>
        </w:rPr>
      </w:pPr>
      <w:r>
        <w:rPr>
          <w:i/>
          <w:sz w:val="22"/>
          <w:szCs w:val="22"/>
        </w:rPr>
        <w:t>Farmakodinaminė sąveika</w:t>
      </w:r>
    </w:p>
    <w:p w14:paraId="61D491CE" w14:textId="77777777" w:rsidR="009A7DBF" w:rsidRDefault="003F49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i/>
          <w:sz w:val="22"/>
          <w:szCs w:val="22"/>
          <w:u w:val="single"/>
        </w:rPr>
      </w:pPr>
      <w:r>
        <w:rPr>
          <w:rFonts w:eastAsia="Calibri"/>
          <w:i/>
          <w:sz w:val="22"/>
          <w:szCs w:val="22"/>
          <w:u w:val="single"/>
        </w:rPr>
        <w:t>Antikoaguliantai</w:t>
      </w:r>
    </w:p>
    <w:p w14:paraId="32EA68E6" w14:textId="77777777" w:rsidR="009A7DBF" w:rsidRDefault="003F49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heme="minorHAnsi"/>
          <w:sz w:val="22"/>
          <w:szCs w:val="22"/>
          <w:lang w:val="lt-LT" w:eastAsia="en-US"/>
        </w:rPr>
      </w:pPr>
      <w:r>
        <w:rPr>
          <w:sz w:val="22"/>
          <w:szCs w:val="22"/>
        </w:rPr>
        <w:t>Rekomenduojama stebėti pacientų, kurie vartoja varfarino arba kitų antikoaguliantų, kraujo krešėjimo slopinimą (ypač pirmąsias kelias dienas po gydymo celekoksibu pradžios arba po celekoksibo dozės pakeitimo), nes tokiems ligoniams yra didesnė kraujavimo komplikacijų rizika. Pacientams, vartojantiems geriamųjų antikoaguliantų, reikia atidžiai stebėti protrombino laiką TNS (tarptautinį normalizuotą santykį), ypač pirmąsias kelias dienas po gydymo celekoksibu pradžios arba po celekoksibo dozės pakeitimo (žr. 4.4 skyrių). Gauta pranešimų apie su protrombino laiko pailgėjimu susijusių kraujavimo reiškinių atvejus (kartais mirtinus) pacientams (dažniausiai senyviems žmonėms), kurie celekoksibo vartojo kartu su varfarinu.</w:t>
      </w:r>
    </w:p>
    <w:p w14:paraId="65C709F5" w14:textId="77777777" w:rsidR="009A7DBF" w:rsidRDefault="009A7DBF">
      <w:pPr>
        <w:widowControl w:val="0"/>
        <w:rPr>
          <w:sz w:val="22"/>
          <w:szCs w:val="22"/>
        </w:rPr>
      </w:pPr>
    </w:p>
    <w:p w14:paraId="1FD5E402" w14:textId="77777777" w:rsidR="009A7DBF" w:rsidRDefault="003F49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i/>
          <w:sz w:val="22"/>
          <w:szCs w:val="22"/>
          <w:u w:val="single"/>
        </w:rPr>
      </w:pPr>
      <w:r>
        <w:rPr>
          <w:rFonts w:eastAsia="Calibri"/>
          <w:i/>
          <w:sz w:val="22"/>
          <w:szCs w:val="22"/>
          <w:u w:val="single"/>
        </w:rPr>
        <w:t>Antihipertenziniai vaistiniai preparatai</w:t>
      </w:r>
    </w:p>
    <w:p w14:paraId="6B98D8B2" w14:textId="77777777" w:rsidR="009A7DBF" w:rsidRDefault="003F4922">
      <w:pPr>
        <w:widowControl w:val="0"/>
        <w:rPr>
          <w:rFonts w:eastAsiaTheme="minorHAnsi"/>
          <w:sz w:val="22"/>
          <w:szCs w:val="22"/>
          <w:lang w:val="lt-LT" w:eastAsia="en-US"/>
        </w:rPr>
      </w:pPr>
      <w:r>
        <w:rPr>
          <w:rFonts w:eastAsia="Calibri"/>
          <w:sz w:val="22"/>
          <w:szCs w:val="22"/>
        </w:rPr>
        <w:t>NVNU gali slopinti diuretikų ir antihipertenzinių vaistinių preparatų, įskaitant AKF inhibitorius, angiotenzino II receptorių antagonistus ir beta adrenoreceptorių blokatorius, poveikį.</w:t>
      </w:r>
      <w:r>
        <w:rPr>
          <w:sz w:val="22"/>
          <w:szCs w:val="22"/>
        </w:rPr>
        <w:t xml:space="preserve"> Vartojant NVNU, ūminio inkstų nepakankamumo, kuris paprastai būna laikinas, rizika gali būti didesnė pacientams, kurių inkstų funkcija gali sutrikti (pvz., yra dehidratacija, pacientas vartoja diuretikų arba yra senyvas), jei kartu su NVNU, įskaitant celekoksibą, vartojama AKF inhibitorių, angiotenzino II receptorių antagonistų </w:t>
      </w:r>
      <w:r>
        <w:rPr>
          <w:rFonts w:eastAsia="Calibri"/>
          <w:sz w:val="22"/>
          <w:szCs w:val="22"/>
        </w:rPr>
        <w:t>ir (arba) diuretikų</w:t>
      </w:r>
      <w:r>
        <w:rPr>
          <w:sz w:val="22"/>
          <w:szCs w:val="22"/>
        </w:rPr>
        <w:t xml:space="preserve"> (žr. 4.4 skyrių). Dėl šios priežasties minėtų vaistinių preparatų vartoti kartu reikia atsargiai, ypač senyviems pacientams. Paciento organizme skysčio kiekis turi būti pakankamas, be to, būtina apsvarstyti inkstų funkcijos stebėjimą pradėjus kombinuotąjį gydymą bei periodiškai po jo.</w:t>
      </w:r>
    </w:p>
    <w:p w14:paraId="61BE18CD" w14:textId="77777777" w:rsidR="009A7DBF" w:rsidRDefault="009A7DBF">
      <w:pPr>
        <w:widowControl w:val="0"/>
        <w:rPr>
          <w:sz w:val="22"/>
          <w:szCs w:val="22"/>
        </w:rPr>
      </w:pPr>
    </w:p>
    <w:p w14:paraId="54CA5F4A" w14:textId="77777777" w:rsidR="009A7DBF" w:rsidRDefault="003F4922">
      <w:pPr>
        <w:widowControl w:val="0"/>
        <w:rPr>
          <w:rFonts w:eastAsiaTheme="minorHAnsi"/>
          <w:sz w:val="22"/>
          <w:szCs w:val="22"/>
          <w:lang w:val="lt-LT" w:eastAsia="en-US"/>
        </w:rPr>
      </w:pPr>
      <w:r>
        <w:rPr>
          <w:sz w:val="22"/>
          <w:szCs w:val="22"/>
        </w:rPr>
        <w:t xml:space="preserve">28 dienas trukusio klinikinio tyrimo duomenimis, ambulatoriškai 24 valandas stebint pacientų, kurie sirgo lizinopriliu kontroliuojama I ar II laipsnio hipertenzija, kraujospūdį du kartus per parą vartojant </w:t>
      </w:r>
      <w:r>
        <w:rPr>
          <w:sz w:val="22"/>
          <w:szCs w:val="22"/>
        </w:rPr>
        <w:lastRenderedPageBreak/>
        <w:t>200 mg celekoksibo dozę, palyginti su placebo vartojusiais ligoniais, nustatytas reikšmingas vidutinio paros sistolinio ar diastolinio kraujospūdžio padidėjimas. Nustatyta, kad 48% pacientų, kurie du kartus per parą vartojo 200 mg celekoksibo dozę, per paskutinįjį apsilankymą buvo laikomi nereaguojančiais į gydymą lizinopriliu (arba diastolinis kraujospūdis buvo &gt;90 mmHg, arba diastolinis kraujospūdis padidėjo &gt;10%, palyginti su pradiniu), palyginti su 27% pacientų, kurie vartojo placebo. Šis skirtumas buvo statistiškai reikšmingas.</w:t>
      </w:r>
    </w:p>
    <w:p w14:paraId="72B68C85" w14:textId="77777777" w:rsidR="009A7DBF" w:rsidRDefault="009A7DBF">
      <w:pPr>
        <w:widowControl w:val="0"/>
        <w:rPr>
          <w:sz w:val="22"/>
          <w:szCs w:val="22"/>
        </w:rPr>
      </w:pPr>
    </w:p>
    <w:p w14:paraId="6039C712" w14:textId="77777777" w:rsidR="009A7DBF" w:rsidRDefault="003F49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i/>
          <w:sz w:val="22"/>
          <w:szCs w:val="22"/>
          <w:u w:val="single"/>
        </w:rPr>
      </w:pPr>
      <w:r>
        <w:rPr>
          <w:rFonts w:eastAsia="Calibri"/>
          <w:i/>
          <w:sz w:val="22"/>
          <w:szCs w:val="22"/>
          <w:u w:val="single"/>
        </w:rPr>
        <w:t>Ciklosporinas ir takrolimuzas</w:t>
      </w:r>
    </w:p>
    <w:p w14:paraId="2396E804" w14:textId="77777777" w:rsidR="009A7DBF" w:rsidRDefault="003F4922">
      <w:pPr>
        <w:widowControl w:val="0"/>
        <w:rPr>
          <w:rFonts w:eastAsiaTheme="minorHAnsi"/>
          <w:sz w:val="22"/>
          <w:szCs w:val="22"/>
          <w:lang w:val="lt-LT" w:eastAsia="en-US"/>
        </w:rPr>
      </w:pPr>
      <w:r>
        <w:rPr>
          <w:sz w:val="22"/>
          <w:szCs w:val="22"/>
        </w:rPr>
        <w:t>NVNU vartojant kartu su ciklosporinu arba takrolimuzu, gali atitinkmai sustiprėti nefrotoksinis ciklosporino ar takrolimuzo poveikis. Jei bet kurio iš šių preparatų vartojama kartu su celekoksibu, būtina stebėti paciento inkstų funkciją.</w:t>
      </w:r>
    </w:p>
    <w:p w14:paraId="6F4F9932" w14:textId="77777777" w:rsidR="009A7DBF" w:rsidRDefault="009A7DBF">
      <w:pPr>
        <w:widowControl w:val="0"/>
        <w:rPr>
          <w:sz w:val="22"/>
          <w:szCs w:val="22"/>
        </w:rPr>
      </w:pPr>
    </w:p>
    <w:p w14:paraId="5BB518C3" w14:textId="77777777" w:rsidR="009A7DBF" w:rsidRDefault="003F49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i/>
          <w:sz w:val="22"/>
          <w:szCs w:val="22"/>
          <w:u w:val="single"/>
        </w:rPr>
      </w:pPr>
      <w:r>
        <w:rPr>
          <w:rFonts w:eastAsia="Calibri"/>
          <w:i/>
          <w:sz w:val="22"/>
          <w:szCs w:val="22"/>
          <w:u w:val="single"/>
        </w:rPr>
        <w:t>Acetilsalicilo rūgštis</w:t>
      </w:r>
    </w:p>
    <w:p w14:paraId="4D83C595" w14:textId="77777777" w:rsidR="009A7DBF" w:rsidRDefault="003F4922">
      <w:pPr>
        <w:widowControl w:val="0"/>
        <w:rPr>
          <w:rFonts w:eastAsiaTheme="minorHAnsi"/>
          <w:sz w:val="22"/>
          <w:szCs w:val="22"/>
          <w:lang w:val="lt-LT" w:eastAsia="en-US"/>
        </w:rPr>
      </w:pPr>
      <w:r>
        <w:rPr>
          <w:sz w:val="22"/>
          <w:szCs w:val="22"/>
        </w:rPr>
        <w:t>Celekoksibo galima vartoti kartu su maža acetilsalicilo rūgšties doze, bet jo negalima vartoti vietoj acetilsalicilo rūgšties KV sutrikimų profilaktikai. Tyrimų duomenimis, kaip ir vartojant kitų NVNU, virškinimo trakto opų ar kitų virškinimo trakto komplikacijų rizika, šio vaistinio preparato vartojant kartu su mažomis acetilsalicilo rūgšties dozėmis, didėja, palyginti su būnančia vartojant vien celekoksibo (žr. 5.1 skyrių).</w:t>
      </w:r>
    </w:p>
    <w:p w14:paraId="533FCFAD" w14:textId="77777777" w:rsidR="009A7DBF" w:rsidRDefault="009A7DBF">
      <w:pPr>
        <w:widowControl w:val="0"/>
        <w:rPr>
          <w:sz w:val="22"/>
          <w:szCs w:val="22"/>
        </w:rPr>
      </w:pPr>
    </w:p>
    <w:p w14:paraId="520F04ED" w14:textId="77777777" w:rsidR="009A7DBF" w:rsidRDefault="003F4922">
      <w:pPr>
        <w:widowControl w:val="0"/>
        <w:outlineLvl w:val="0"/>
        <w:rPr>
          <w:rFonts w:eastAsiaTheme="minorHAnsi"/>
          <w:sz w:val="22"/>
          <w:szCs w:val="22"/>
          <w:u w:val="single"/>
          <w:lang w:val="lt-LT" w:eastAsia="en-US"/>
        </w:rPr>
      </w:pPr>
      <w:r>
        <w:rPr>
          <w:sz w:val="22"/>
          <w:szCs w:val="22"/>
          <w:u w:val="single"/>
        </w:rPr>
        <w:t>Farmakokinetinė sąveika</w:t>
      </w:r>
    </w:p>
    <w:p w14:paraId="253CD336" w14:textId="77777777" w:rsidR="009A7DBF" w:rsidRDefault="009A7DBF">
      <w:pPr>
        <w:widowControl w:val="0"/>
        <w:rPr>
          <w:sz w:val="22"/>
          <w:szCs w:val="22"/>
          <w:u w:val="single"/>
        </w:rPr>
      </w:pPr>
    </w:p>
    <w:p w14:paraId="297F93AA" w14:textId="77777777" w:rsidR="009A7DBF" w:rsidRDefault="003F4922">
      <w:pPr>
        <w:widowControl w:val="0"/>
        <w:outlineLvl w:val="0"/>
        <w:rPr>
          <w:rFonts w:eastAsiaTheme="minorHAnsi"/>
          <w:i/>
          <w:sz w:val="22"/>
          <w:szCs w:val="22"/>
          <w:lang w:val="lt-LT" w:eastAsia="en-US"/>
        </w:rPr>
      </w:pPr>
      <w:r>
        <w:rPr>
          <w:i/>
          <w:sz w:val="22"/>
          <w:szCs w:val="22"/>
        </w:rPr>
        <w:t>Celekoksibo poveikis kitiems vaistiniams preparatams</w:t>
      </w:r>
    </w:p>
    <w:p w14:paraId="1E509A74" w14:textId="77777777" w:rsidR="009A7DBF" w:rsidRDefault="009A7DBF">
      <w:pPr>
        <w:widowControl w:val="0"/>
        <w:rPr>
          <w:sz w:val="22"/>
          <w:szCs w:val="22"/>
        </w:rPr>
      </w:pPr>
    </w:p>
    <w:p w14:paraId="154228BD" w14:textId="77777777" w:rsidR="009A7DBF" w:rsidRDefault="003F4922">
      <w:pPr>
        <w:rPr>
          <w:rFonts w:eastAsia="Calibri"/>
          <w:i/>
          <w:sz w:val="22"/>
          <w:szCs w:val="22"/>
        </w:rPr>
      </w:pPr>
      <w:r>
        <w:rPr>
          <w:rFonts w:eastAsia="Calibri"/>
          <w:i/>
          <w:sz w:val="22"/>
          <w:szCs w:val="22"/>
        </w:rPr>
        <w:t>CYP2D6 slopinimas</w:t>
      </w:r>
    </w:p>
    <w:p w14:paraId="262190E9" w14:textId="77777777" w:rsidR="009A7DBF" w:rsidRDefault="003F4922">
      <w:pPr>
        <w:widowControl w:val="0"/>
        <w:rPr>
          <w:rFonts w:eastAsiaTheme="minorHAnsi"/>
          <w:sz w:val="22"/>
          <w:szCs w:val="22"/>
          <w:lang w:val="lt-LT" w:eastAsia="en-US"/>
        </w:rPr>
      </w:pPr>
      <w:r>
        <w:rPr>
          <w:sz w:val="22"/>
          <w:szCs w:val="22"/>
        </w:rPr>
        <w:t>Celekoksibas slopina CYP2D6. Vartojant celekoksibo, gali smarkiai padidėti kartu vartojamų vaistinių preparatų, kurie yra minėto fermento substratai, koncentracija plazmoje. Tarp vaistinių preparatų, kuriuos metabolizuoja CYP2D6, yra antidepresantai (tricikliai ir SSRI), neuroleptikai, antiaritminiai vaistiniai preparatai ir kt. Pradėjus gydyti celekoksibu, CYP2D6 substratų dozę, kuri buvo individualiai parinkta, gali reikėti mažinti, o gydymą celekoksibu nutraukus - didinti.</w:t>
      </w:r>
    </w:p>
    <w:p w14:paraId="70C10199" w14:textId="77777777" w:rsidR="009A7DBF" w:rsidRDefault="009A7DBF">
      <w:pPr>
        <w:rPr>
          <w:color w:val="000000"/>
          <w:sz w:val="22"/>
          <w:szCs w:val="22"/>
        </w:rPr>
      </w:pPr>
    </w:p>
    <w:p w14:paraId="37674B4F" w14:textId="77777777" w:rsidR="009A7DBF" w:rsidRDefault="003F4922">
      <w:pPr>
        <w:rPr>
          <w:color w:val="000000"/>
          <w:sz w:val="22"/>
          <w:szCs w:val="22"/>
          <w:lang w:eastAsia="cs-CZ"/>
        </w:rPr>
      </w:pPr>
      <w:r>
        <w:rPr>
          <w:color w:val="000000"/>
          <w:sz w:val="22"/>
          <w:szCs w:val="22"/>
          <w:lang w:eastAsia="cs-CZ"/>
        </w:rPr>
        <w:t>Du kartus per parą vartojant 200 mg celekoksibo dozę, dekstrometorfano ir metoprololio (CYP2D6 substratų) koncentracija kraujo plazmoje padidėjo atitinkamai 2,6 karto ir 1,5 karto. Tokį padidėjimą lemia celekoksibo sukeliamas CYP2D6 substratų metabolizmo, susijusio su šiuo izofermentu, slopinimas.</w:t>
      </w:r>
    </w:p>
    <w:p w14:paraId="10C0F1F0" w14:textId="77777777" w:rsidR="009A7DBF" w:rsidRDefault="009A7DBF">
      <w:pPr>
        <w:widowControl w:val="0"/>
        <w:rPr>
          <w:sz w:val="22"/>
          <w:szCs w:val="22"/>
        </w:rPr>
      </w:pPr>
    </w:p>
    <w:p w14:paraId="550E4EAA" w14:textId="77777777" w:rsidR="009A7DBF" w:rsidRDefault="003F4922">
      <w:pPr>
        <w:rPr>
          <w:rFonts w:eastAsia="Calibri"/>
          <w:i/>
          <w:sz w:val="22"/>
          <w:szCs w:val="22"/>
        </w:rPr>
      </w:pPr>
      <w:r>
        <w:rPr>
          <w:rFonts w:eastAsia="Calibri"/>
          <w:i/>
          <w:sz w:val="22"/>
          <w:szCs w:val="22"/>
        </w:rPr>
        <w:t>CYP2C19 slopinimas</w:t>
      </w:r>
    </w:p>
    <w:p w14:paraId="20ECBEBB" w14:textId="77777777" w:rsidR="009A7DBF" w:rsidRDefault="003F4922">
      <w:pPr>
        <w:widowControl w:val="0"/>
        <w:rPr>
          <w:rFonts w:eastAsiaTheme="minorHAnsi"/>
          <w:sz w:val="22"/>
          <w:szCs w:val="22"/>
          <w:lang w:val="lt-LT" w:eastAsia="en-US"/>
        </w:rPr>
      </w:pPr>
      <w:r>
        <w:rPr>
          <w:sz w:val="22"/>
          <w:szCs w:val="22"/>
        </w:rPr>
        <w:t xml:space="preserve">Tyrimais </w:t>
      </w:r>
      <w:r>
        <w:rPr>
          <w:i/>
          <w:sz w:val="22"/>
          <w:szCs w:val="22"/>
        </w:rPr>
        <w:t>in vitro</w:t>
      </w:r>
      <w:r>
        <w:rPr>
          <w:sz w:val="22"/>
          <w:szCs w:val="22"/>
        </w:rPr>
        <w:t xml:space="preserve"> nustatyta, kad celekoksibas gali šiek tiek slopinti CYP2C19 katalizuojamą metabolizmą. Klinikinė šių </w:t>
      </w:r>
      <w:r>
        <w:rPr>
          <w:i/>
          <w:sz w:val="22"/>
          <w:szCs w:val="22"/>
        </w:rPr>
        <w:t>in vitro</w:t>
      </w:r>
      <w:r>
        <w:rPr>
          <w:sz w:val="22"/>
          <w:szCs w:val="22"/>
        </w:rPr>
        <w:t xml:space="preserve"> gautų duomenų svarba nežinoma. Tarp vaistinių preparatų, kuriuos metabolizuoja CYP2C19, yra diazepamas, citalopramas ir imipraminas.</w:t>
      </w:r>
    </w:p>
    <w:p w14:paraId="355DBFC9" w14:textId="77777777" w:rsidR="009A7DBF" w:rsidRDefault="009A7DBF">
      <w:pPr>
        <w:widowControl w:val="0"/>
        <w:rPr>
          <w:sz w:val="22"/>
          <w:szCs w:val="22"/>
        </w:rPr>
      </w:pPr>
    </w:p>
    <w:p w14:paraId="6893502B" w14:textId="77777777" w:rsidR="009A7DBF" w:rsidRDefault="003F4922">
      <w:pPr>
        <w:widowControl w:val="0"/>
        <w:rPr>
          <w:i/>
          <w:sz w:val="22"/>
          <w:szCs w:val="22"/>
        </w:rPr>
      </w:pPr>
      <w:r>
        <w:rPr>
          <w:i/>
          <w:sz w:val="22"/>
          <w:szCs w:val="22"/>
        </w:rPr>
        <w:t>Geriamieji kontraceptikai</w:t>
      </w:r>
    </w:p>
    <w:p w14:paraId="76776CC4" w14:textId="77777777" w:rsidR="009A7DBF" w:rsidRDefault="003F4922">
      <w:pPr>
        <w:widowControl w:val="0"/>
        <w:rPr>
          <w:rFonts w:eastAsiaTheme="minorHAnsi"/>
          <w:sz w:val="22"/>
          <w:szCs w:val="22"/>
          <w:lang w:val="lt-LT" w:eastAsia="en-US"/>
        </w:rPr>
      </w:pPr>
      <w:r>
        <w:rPr>
          <w:sz w:val="22"/>
          <w:szCs w:val="22"/>
        </w:rPr>
        <w:t>Sąveikos tyrimo metu celekoksibas kliniškai reikšmingų geriamųjų kontraceptikų (1 mg noretisterono/35 mikrogramų etinilestradiolio) farmakokinetikos pokyčių nesukėlė.</w:t>
      </w:r>
    </w:p>
    <w:p w14:paraId="5E9491AA" w14:textId="77777777" w:rsidR="009A7DBF" w:rsidRDefault="009A7DBF">
      <w:pPr>
        <w:widowControl w:val="0"/>
        <w:rPr>
          <w:sz w:val="22"/>
          <w:szCs w:val="22"/>
        </w:rPr>
      </w:pPr>
    </w:p>
    <w:p w14:paraId="04A50758" w14:textId="77777777" w:rsidR="009A7DBF" w:rsidRDefault="003F4922">
      <w:pPr>
        <w:widowControl w:val="0"/>
        <w:rPr>
          <w:i/>
          <w:sz w:val="22"/>
          <w:szCs w:val="22"/>
        </w:rPr>
      </w:pPr>
      <w:r>
        <w:rPr>
          <w:i/>
          <w:sz w:val="22"/>
          <w:szCs w:val="22"/>
        </w:rPr>
        <w:t>Glibenklamidas/tolbutamidas</w:t>
      </w:r>
    </w:p>
    <w:p w14:paraId="4A17739D" w14:textId="77777777" w:rsidR="009A7DBF" w:rsidRDefault="003F4922">
      <w:pPr>
        <w:widowControl w:val="0"/>
        <w:rPr>
          <w:rFonts w:eastAsiaTheme="minorHAnsi"/>
          <w:sz w:val="22"/>
          <w:szCs w:val="22"/>
          <w:lang w:val="lt-LT" w:eastAsia="en-US"/>
        </w:rPr>
      </w:pPr>
      <w:r>
        <w:rPr>
          <w:sz w:val="22"/>
          <w:szCs w:val="22"/>
        </w:rPr>
        <w:t>Celekoksibas kliniškai reikšmingų tolbutamido (CYP2C9 substratas) ar glibenklamido farmakokinetikos pokyčių nesukėlė.</w:t>
      </w:r>
    </w:p>
    <w:p w14:paraId="00BB342B" w14:textId="77777777" w:rsidR="009A7DBF" w:rsidRDefault="009A7DBF">
      <w:pPr>
        <w:widowControl w:val="0"/>
        <w:rPr>
          <w:sz w:val="22"/>
          <w:szCs w:val="22"/>
        </w:rPr>
      </w:pPr>
    </w:p>
    <w:p w14:paraId="28CCF8D7" w14:textId="77777777" w:rsidR="009A7DBF" w:rsidRDefault="003F4922">
      <w:pPr>
        <w:rPr>
          <w:rFonts w:eastAsia="Calibri"/>
          <w:i/>
          <w:sz w:val="22"/>
          <w:szCs w:val="22"/>
        </w:rPr>
      </w:pPr>
      <w:r>
        <w:rPr>
          <w:rFonts w:eastAsia="Calibri"/>
          <w:i/>
          <w:sz w:val="22"/>
          <w:szCs w:val="22"/>
        </w:rPr>
        <w:t>Metotreksatas</w:t>
      </w:r>
    </w:p>
    <w:p w14:paraId="5A7311D1" w14:textId="77777777" w:rsidR="009A7DBF" w:rsidRDefault="003F4922">
      <w:pPr>
        <w:widowControl w:val="0"/>
        <w:rPr>
          <w:rFonts w:eastAsiaTheme="minorHAnsi"/>
          <w:sz w:val="22"/>
          <w:szCs w:val="22"/>
          <w:lang w:val="lt-LT" w:eastAsia="en-US"/>
        </w:rPr>
      </w:pPr>
      <w:r>
        <w:rPr>
          <w:sz w:val="22"/>
          <w:szCs w:val="22"/>
        </w:rPr>
        <w:t>Reumatoidiniu artritu sergančių pacientų organizme celekoksibas kliniškai reikšmingų metotreksato (vartojamo doze, kuria gydomas reumatas) farmakokinetikos (plazmos ar inkstų klirenso) pokyčių nesukėlė. Vis dėlto šių vaistinių preparatų kartu vartojančius pacientus būtina tinkamai stebėti dėl galimo toksinio metotreksato poveikio.</w:t>
      </w:r>
    </w:p>
    <w:p w14:paraId="0B7F6FBC" w14:textId="77777777" w:rsidR="009A7DBF" w:rsidRDefault="009A7DBF">
      <w:pPr>
        <w:widowControl w:val="0"/>
        <w:rPr>
          <w:sz w:val="22"/>
          <w:szCs w:val="22"/>
        </w:rPr>
      </w:pPr>
    </w:p>
    <w:p w14:paraId="32EE3133" w14:textId="77777777" w:rsidR="009A7DBF" w:rsidRDefault="003F4922">
      <w:pPr>
        <w:widowControl w:val="0"/>
        <w:rPr>
          <w:i/>
          <w:sz w:val="22"/>
          <w:szCs w:val="22"/>
        </w:rPr>
      </w:pPr>
      <w:r>
        <w:rPr>
          <w:i/>
          <w:sz w:val="22"/>
          <w:szCs w:val="22"/>
        </w:rPr>
        <w:t>Litis</w:t>
      </w:r>
    </w:p>
    <w:p w14:paraId="76E24A50" w14:textId="77777777" w:rsidR="009A7DBF" w:rsidRDefault="003F4922">
      <w:pPr>
        <w:widowControl w:val="0"/>
        <w:rPr>
          <w:rFonts w:eastAsiaTheme="minorHAnsi"/>
          <w:sz w:val="22"/>
          <w:szCs w:val="22"/>
          <w:lang w:val="lt-LT" w:eastAsia="en-US"/>
        </w:rPr>
      </w:pPr>
      <w:r>
        <w:rPr>
          <w:sz w:val="22"/>
          <w:szCs w:val="22"/>
        </w:rPr>
        <w:t xml:space="preserve">Sveikų asmenų, vartojančių 200 mg celekoksibo du kartus per parą kartu su 450 mg ličio du kartus per </w:t>
      </w:r>
      <w:r>
        <w:rPr>
          <w:sz w:val="22"/>
          <w:szCs w:val="22"/>
        </w:rPr>
        <w:lastRenderedPageBreak/>
        <w:t>parą, organizme ličio C</w:t>
      </w:r>
      <w:r>
        <w:rPr>
          <w:sz w:val="22"/>
          <w:szCs w:val="22"/>
          <w:vertAlign w:val="subscript"/>
        </w:rPr>
        <w:t>max</w:t>
      </w:r>
      <w:r>
        <w:rPr>
          <w:sz w:val="22"/>
          <w:szCs w:val="22"/>
        </w:rPr>
        <w:t xml:space="preserve"> padidėjo vidutiniškai 16%, o plotas po kreive (AUC) - 18%. Jei pradedamas ar nutraukiamas ličio preparatų vartojančio paciento gydymas celekoksibu, tokio ligonio būklę būtina atidžiai stebėti.</w:t>
      </w:r>
    </w:p>
    <w:p w14:paraId="6249E8A1" w14:textId="77777777" w:rsidR="009A7DBF" w:rsidRDefault="009A7DBF">
      <w:pPr>
        <w:widowControl w:val="0"/>
        <w:rPr>
          <w:i/>
          <w:sz w:val="22"/>
          <w:szCs w:val="22"/>
        </w:rPr>
      </w:pPr>
    </w:p>
    <w:p w14:paraId="486E5536" w14:textId="77777777" w:rsidR="009A7DBF" w:rsidRDefault="003F4922">
      <w:pPr>
        <w:widowControl w:val="0"/>
        <w:rPr>
          <w:rFonts w:eastAsiaTheme="minorHAnsi"/>
          <w:i/>
          <w:sz w:val="22"/>
          <w:szCs w:val="22"/>
          <w:u w:val="single"/>
          <w:lang w:val="lt-LT" w:eastAsia="en-US"/>
        </w:rPr>
      </w:pPr>
      <w:r>
        <w:rPr>
          <w:i/>
          <w:sz w:val="22"/>
          <w:szCs w:val="22"/>
          <w:u w:val="single"/>
        </w:rPr>
        <w:t>Kitų vaistinių preparatų poveikis celekoksibui</w:t>
      </w:r>
    </w:p>
    <w:p w14:paraId="4BC7C199" w14:textId="77777777" w:rsidR="009A7DBF" w:rsidRDefault="009A7DBF">
      <w:pPr>
        <w:widowControl w:val="0"/>
        <w:rPr>
          <w:i/>
          <w:sz w:val="22"/>
          <w:szCs w:val="22"/>
        </w:rPr>
      </w:pPr>
    </w:p>
    <w:p w14:paraId="495AE146" w14:textId="77777777" w:rsidR="009A7DBF" w:rsidRDefault="003F4922">
      <w:pPr>
        <w:rPr>
          <w:rFonts w:eastAsia="Calibri"/>
          <w:bCs/>
          <w:i/>
          <w:sz w:val="22"/>
          <w:szCs w:val="22"/>
        </w:rPr>
      </w:pPr>
      <w:r>
        <w:rPr>
          <w:rFonts w:eastAsia="Calibri"/>
          <w:bCs/>
          <w:i/>
          <w:sz w:val="22"/>
          <w:szCs w:val="22"/>
        </w:rPr>
        <w:t>Pacientai, kurių organizme CYP2C9 veikiamas metabolizmas yra silpnas</w:t>
      </w:r>
    </w:p>
    <w:p w14:paraId="3E811A57" w14:textId="77777777" w:rsidR="009A7DBF" w:rsidRDefault="003F4922">
      <w:pPr>
        <w:widowControl w:val="0"/>
        <w:rPr>
          <w:rFonts w:eastAsiaTheme="minorHAnsi"/>
          <w:color w:val="000000"/>
          <w:sz w:val="22"/>
          <w:szCs w:val="22"/>
          <w:lang w:val="lt-LT" w:eastAsia="en-US"/>
        </w:rPr>
      </w:pPr>
      <w:r>
        <w:rPr>
          <w:sz w:val="22"/>
          <w:szCs w:val="22"/>
        </w:rPr>
        <w:t>Pacientams, kurių organizme CYP2C9 veikiamas metabolizmas yra silpnas, sisteminė celekoksibo ekspozicija būna didesnė, todėl kartu su CYP2C9 inhibitoriais</w:t>
      </w:r>
      <w:r>
        <w:rPr>
          <w:bCs/>
          <w:sz w:val="22"/>
          <w:szCs w:val="22"/>
        </w:rPr>
        <w:t>,</w:t>
      </w:r>
      <w:r>
        <w:rPr>
          <w:rFonts w:eastAsia="Calibri"/>
          <w:bCs/>
          <w:sz w:val="22"/>
          <w:szCs w:val="22"/>
        </w:rPr>
        <w:t xml:space="preserve"> pvz., flukonazolu,</w:t>
      </w:r>
      <w:r>
        <w:rPr>
          <w:rFonts w:eastAsia="Calibri"/>
          <w:sz w:val="22"/>
          <w:szCs w:val="22"/>
        </w:rPr>
        <w:t xml:space="preserve"> </w:t>
      </w:r>
      <w:r>
        <w:rPr>
          <w:sz w:val="22"/>
          <w:szCs w:val="22"/>
        </w:rPr>
        <w:t>vartojamo celekoksibo ekspozicija gali dar padidėti. Jeigu žinoma, kad paciento organizme CYP2C9 veikiamas metabolizmas yra silpnas</w:t>
      </w:r>
      <w:r>
        <w:rPr>
          <w:color w:val="000000"/>
          <w:sz w:val="22"/>
          <w:szCs w:val="22"/>
        </w:rPr>
        <w:t>, minėtas kombinuotasis gydymas yra nerekomenduojamas (žr. 4.2 ir 5.2 skyrių).</w:t>
      </w:r>
    </w:p>
    <w:p w14:paraId="79DC4242" w14:textId="77777777" w:rsidR="009A7DBF" w:rsidRDefault="009A7DBF">
      <w:pPr>
        <w:widowControl w:val="0"/>
        <w:rPr>
          <w:sz w:val="22"/>
          <w:szCs w:val="22"/>
        </w:rPr>
      </w:pPr>
    </w:p>
    <w:p w14:paraId="11E6E932" w14:textId="77777777" w:rsidR="009A7DBF" w:rsidRDefault="003F4922">
      <w:pPr>
        <w:rPr>
          <w:rFonts w:eastAsia="Calibri"/>
          <w:bCs/>
          <w:i/>
          <w:sz w:val="22"/>
          <w:szCs w:val="22"/>
        </w:rPr>
      </w:pPr>
      <w:r>
        <w:rPr>
          <w:rFonts w:eastAsia="Calibri"/>
          <w:bCs/>
          <w:i/>
          <w:sz w:val="22"/>
          <w:szCs w:val="22"/>
        </w:rPr>
        <w:t>CYP2C9 inhibitoriai ir induktoriai</w:t>
      </w:r>
    </w:p>
    <w:p w14:paraId="628CE985" w14:textId="77777777" w:rsidR="009A7DBF" w:rsidRDefault="003F4922">
      <w:pPr>
        <w:widowControl w:val="0"/>
        <w:rPr>
          <w:rFonts w:eastAsiaTheme="minorHAnsi"/>
          <w:sz w:val="22"/>
          <w:szCs w:val="22"/>
          <w:lang w:val="lt-LT" w:eastAsia="en-US"/>
        </w:rPr>
      </w:pPr>
      <w:r>
        <w:rPr>
          <w:sz w:val="22"/>
          <w:szCs w:val="22"/>
        </w:rPr>
        <w:t>Kadangi celekoksibas daugiausia metabolizuojamas CYP2C9, flukonazolu gydomiems pacientams reikia vartoti pusę rekomenduojamos celekoksibo dozės. Vartojant vienkartinę 200 mg celekoksibo dozę kartu su stipriu CYP2C9 inhibitoriumi flukonazolu (200 mg vieną kartą per parą), celekoksibo C</w:t>
      </w:r>
      <w:r>
        <w:rPr>
          <w:sz w:val="22"/>
          <w:szCs w:val="22"/>
          <w:vertAlign w:val="subscript"/>
        </w:rPr>
        <w:t>max</w:t>
      </w:r>
      <w:r>
        <w:rPr>
          <w:sz w:val="22"/>
          <w:szCs w:val="22"/>
        </w:rPr>
        <w:t xml:space="preserve"> padidėjo vidutiniškai 60%, o AUC - 130%. kartu vartojant CYP2C9 induktorių, pvz., rifampicino, karbamazepino ir barbitūratų, celekoksibo koncentracija plazmoje gali sumažėti.</w:t>
      </w:r>
    </w:p>
    <w:p w14:paraId="52E782A9" w14:textId="77777777" w:rsidR="009A7DBF" w:rsidRDefault="009A7DBF">
      <w:pPr>
        <w:widowControl w:val="0"/>
        <w:rPr>
          <w:sz w:val="22"/>
          <w:szCs w:val="22"/>
        </w:rPr>
      </w:pPr>
    </w:p>
    <w:p w14:paraId="168C6417" w14:textId="77777777" w:rsidR="009A7DBF" w:rsidRDefault="003F4922">
      <w:pPr>
        <w:outlineLvl w:val="0"/>
        <w:rPr>
          <w:rFonts w:eastAsia="Calibri"/>
          <w:i/>
          <w:sz w:val="22"/>
          <w:szCs w:val="22"/>
        </w:rPr>
      </w:pPr>
      <w:r>
        <w:rPr>
          <w:rFonts w:eastAsia="Calibri"/>
          <w:i/>
          <w:sz w:val="22"/>
          <w:szCs w:val="22"/>
        </w:rPr>
        <w:t>Ketokonazolas ar antacidiniai vaistiniai preparatai</w:t>
      </w:r>
    </w:p>
    <w:p w14:paraId="22E87FE7" w14:textId="77777777" w:rsidR="009A7DBF" w:rsidRDefault="003F4922">
      <w:pPr>
        <w:widowControl w:val="0"/>
        <w:outlineLvl w:val="0"/>
        <w:rPr>
          <w:rFonts w:eastAsiaTheme="minorHAnsi"/>
          <w:sz w:val="22"/>
          <w:szCs w:val="22"/>
          <w:lang w:val="lt-LT" w:eastAsia="en-US"/>
        </w:rPr>
      </w:pPr>
      <w:r>
        <w:rPr>
          <w:sz w:val="22"/>
          <w:szCs w:val="22"/>
        </w:rPr>
        <w:t>Ketokonazolo ar antacidinių vaistinių preparatų poveikio celekoksibo farmakokinetikai nepastebėta.</w:t>
      </w:r>
    </w:p>
    <w:p w14:paraId="4C7F8793" w14:textId="77777777" w:rsidR="009A7DBF" w:rsidRDefault="009A7DBF">
      <w:pPr>
        <w:widowControl w:val="0"/>
        <w:rPr>
          <w:sz w:val="22"/>
          <w:szCs w:val="22"/>
        </w:rPr>
      </w:pPr>
    </w:p>
    <w:p w14:paraId="5380F741" w14:textId="77777777" w:rsidR="009A7DBF" w:rsidRDefault="003F4922">
      <w:pPr>
        <w:rPr>
          <w:rFonts w:eastAsia="Calibri"/>
          <w:i/>
          <w:sz w:val="22"/>
          <w:szCs w:val="22"/>
          <w:u w:val="single"/>
        </w:rPr>
      </w:pPr>
      <w:r>
        <w:rPr>
          <w:rFonts w:eastAsia="Calibri"/>
          <w:i/>
          <w:sz w:val="22"/>
          <w:szCs w:val="22"/>
          <w:u w:val="single"/>
        </w:rPr>
        <w:t>Vaikų populiacija</w:t>
      </w:r>
    </w:p>
    <w:p w14:paraId="159A6530" w14:textId="77777777" w:rsidR="009A7DBF" w:rsidRDefault="003F4922">
      <w:pPr>
        <w:rPr>
          <w:rFonts w:eastAsia="Calibri"/>
          <w:sz w:val="22"/>
          <w:szCs w:val="22"/>
        </w:rPr>
      </w:pPr>
      <w:r>
        <w:rPr>
          <w:rFonts w:eastAsia="Calibri"/>
          <w:sz w:val="22"/>
          <w:szCs w:val="22"/>
        </w:rPr>
        <w:t>Sąveikos tyrimai atlikti tik suaugusiesiems.</w:t>
      </w:r>
    </w:p>
    <w:p w14:paraId="5F289D7B" w14:textId="77777777" w:rsidR="009A7DBF" w:rsidRDefault="009A7DBF">
      <w:pPr>
        <w:widowControl w:val="0"/>
        <w:rPr>
          <w:sz w:val="22"/>
          <w:szCs w:val="22"/>
        </w:rPr>
      </w:pPr>
    </w:p>
    <w:p w14:paraId="342E569E" w14:textId="77777777" w:rsidR="009A7DBF" w:rsidRDefault="003F4922">
      <w:pPr>
        <w:widowControl w:val="0"/>
        <w:ind w:left="567" w:hanging="567"/>
        <w:outlineLvl w:val="0"/>
        <w:rPr>
          <w:rFonts w:eastAsiaTheme="minorHAnsi"/>
          <w:b/>
          <w:sz w:val="22"/>
          <w:szCs w:val="22"/>
          <w:lang w:val="lt-LT" w:eastAsia="en-US"/>
        </w:rPr>
      </w:pPr>
      <w:r>
        <w:rPr>
          <w:b/>
          <w:sz w:val="22"/>
          <w:szCs w:val="22"/>
        </w:rPr>
        <w:t>4.6</w:t>
      </w:r>
      <w:r>
        <w:rPr>
          <w:b/>
          <w:sz w:val="22"/>
          <w:szCs w:val="22"/>
        </w:rPr>
        <w:tab/>
        <w:t>Vaisingumas, nėštumo ir žindymo laikotarpis</w:t>
      </w:r>
    </w:p>
    <w:p w14:paraId="70BDCA8E" w14:textId="77777777" w:rsidR="009A7DBF" w:rsidRDefault="009A7DBF">
      <w:pPr>
        <w:widowControl w:val="0"/>
        <w:rPr>
          <w:sz w:val="22"/>
          <w:szCs w:val="22"/>
        </w:rPr>
      </w:pPr>
    </w:p>
    <w:p w14:paraId="3C109DA7" w14:textId="77777777" w:rsidR="009A7DBF" w:rsidRDefault="003F4922">
      <w:pPr>
        <w:widowControl w:val="0"/>
        <w:rPr>
          <w:rFonts w:eastAsiaTheme="minorHAnsi"/>
          <w:sz w:val="22"/>
          <w:szCs w:val="22"/>
          <w:u w:val="single"/>
          <w:lang w:val="lt-LT" w:eastAsia="en-US"/>
        </w:rPr>
      </w:pPr>
      <w:r>
        <w:rPr>
          <w:sz w:val="22"/>
          <w:szCs w:val="22"/>
          <w:u w:val="single"/>
        </w:rPr>
        <w:t>Nėštumas</w:t>
      </w:r>
    </w:p>
    <w:p w14:paraId="647CD114" w14:textId="77777777" w:rsidR="009A7DBF" w:rsidRDefault="003F4922">
      <w:pPr>
        <w:rPr>
          <w:rFonts w:eastAsia="Calibri"/>
          <w:sz w:val="22"/>
          <w:szCs w:val="22"/>
        </w:rPr>
      </w:pPr>
      <w:r>
        <w:rPr>
          <w:rFonts w:eastAsia="Calibri"/>
          <w:sz w:val="22"/>
          <w:szCs w:val="22"/>
        </w:rPr>
        <w:t>Su gyvūnais (žiurkėmis ir triušiais) atlikti tyrimai rodo, kad vaistinis preparatas sukelia toksinį poveikį reprodukcijai, įskaitant sklaidos defektus (žr. 4.3 ir 5.3 skyrius). Prostaglandinų sintezės slopinimas gali neigiamai paveikti nėštumą. Remiantis epidemiologinių tyrimų duomenimis, ankstyvuoju nėštumo laikotarpiu vartojus prostaglandinų sintezės inhibitorių, padidėja savaiminio persileidimo pavojus. Galima su moters nėštumu susijusi rizika nėra žinoma, bet jos paneigti negalima. Celekoksibas, kaip ir kiti prostaglandinų sintezę slopinantys vaistiniai preparatai, gali sukelti gimdos inertiškumą ir priešlaikinį arterinio latako užakimą paskutiniojo nėštumo trimestro metu.</w:t>
      </w:r>
    </w:p>
    <w:p w14:paraId="236DDC10" w14:textId="77777777" w:rsidR="009A7DBF" w:rsidRDefault="009A7DBF">
      <w:pPr>
        <w:widowControl w:val="0"/>
        <w:rPr>
          <w:sz w:val="22"/>
          <w:szCs w:val="22"/>
          <w:u w:val="single"/>
        </w:rPr>
      </w:pPr>
    </w:p>
    <w:p w14:paraId="48A00596" w14:textId="77777777" w:rsidR="009A7DBF" w:rsidRDefault="003F4922">
      <w:pPr>
        <w:widowControl w:val="0"/>
        <w:rPr>
          <w:sz w:val="22"/>
          <w:szCs w:val="22"/>
        </w:rPr>
      </w:pPr>
      <w:r>
        <w:rPr>
          <w:sz w:val="22"/>
          <w:szCs w:val="22"/>
        </w:rPr>
        <w:t>Antrojo ar trečiojo nėštumo trimestrais NVNU, įskaitant celekoksibą, gali sukelti vaisiaus inkstų funkcijos sutrikimą, kas sunkiais atvejais gali sukelti amniono skysčių kiekio sumažėjimą arba oligohidramniją. Toks poveikis gali pasireikšti netrukus po gydymo pradžios ir paprastai yra grįžtamas nutraukus vartojimą.</w:t>
      </w:r>
    </w:p>
    <w:p w14:paraId="3E03390A" w14:textId="77777777" w:rsidR="009A7DBF" w:rsidRDefault="009A7DBF">
      <w:pPr>
        <w:widowControl w:val="0"/>
        <w:rPr>
          <w:sz w:val="22"/>
          <w:szCs w:val="22"/>
          <w:u w:val="single"/>
        </w:rPr>
      </w:pPr>
    </w:p>
    <w:p w14:paraId="1CAFFD8A" w14:textId="77777777" w:rsidR="009A7DBF" w:rsidRDefault="003F4922">
      <w:pPr>
        <w:widowControl w:val="0"/>
        <w:rPr>
          <w:rFonts w:eastAsiaTheme="minorHAnsi"/>
          <w:sz w:val="22"/>
          <w:szCs w:val="22"/>
          <w:lang w:val="lt-LT" w:eastAsia="en-US"/>
        </w:rPr>
      </w:pPr>
      <w:r>
        <w:rPr>
          <w:sz w:val="22"/>
          <w:szCs w:val="22"/>
        </w:rPr>
        <w:t>Celekoksibo draudžiama vartoti nėščiosioms ir pastoti galinčioms moterims (žr. 4.3 ir 4.4 skyrius). Jeigu moteris pastojo gydymo metu, celekoksibo vartojimą reikia nutraukti.</w:t>
      </w:r>
    </w:p>
    <w:p w14:paraId="269E66DC" w14:textId="77777777" w:rsidR="009A7DBF" w:rsidRDefault="009A7DBF">
      <w:pPr>
        <w:widowControl w:val="0"/>
        <w:rPr>
          <w:sz w:val="22"/>
          <w:szCs w:val="22"/>
        </w:rPr>
      </w:pPr>
    </w:p>
    <w:p w14:paraId="25DCC397" w14:textId="77777777" w:rsidR="009A7DBF" w:rsidRDefault="003F4922">
      <w:pPr>
        <w:widowControl w:val="0"/>
        <w:rPr>
          <w:rFonts w:eastAsiaTheme="minorHAnsi"/>
          <w:sz w:val="22"/>
          <w:szCs w:val="22"/>
          <w:u w:val="single"/>
          <w:lang w:val="lt-LT" w:eastAsia="en-US"/>
        </w:rPr>
      </w:pPr>
      <w:r>
        <w:rPr>
          <w:sz w:val="22"/>
          <w:szCs w:val="22"/>
          <w:u w:val="single"/>
        </w:rPr>
        <w:t>Žindymas</w:t>
      </w:r>
    </w:p>
    <w:p w14:paraId="21483E24" w14:textId="77777777" w:rsidR="009A7DBF" w:rsidRDefault="003F4922">
      <w:pPr>
        <w:widowControl w:val="0"/>
        <w:rPr>
          <w:rFonts w:eastAsiaTheme="minorHAnsi"/>
          <w:sz w:val="22"/>
          <w:szCs w:val="22"/>
          <w:lang w:val="lt-LT" w:eastAsia="en-US"/>
        </w:rPr>
      </w:pPr>
      <w:r>
        <w:rPr>
          <w:sz w:val="22"/>
          <w:szCs w:val="22"/>
        </w:rPr>
        <w:t>Celekoksibo išsiskiria į laktuojančių žiurkių pieną, koncentracija piene būna panaši į koncentraciją plazmoje. Nedidelio skaičiaus moterų, žindymo laikotarpiu vartojusių celekoksibą, stebėjimo duomenys rodo, kad celekoksibo į pieną patenka labai nedaug. Moterims, kurios vartoja celekoksibo, žindyti negalima.</w:t>
      </w:r>
    </w:p>
    <w:p w14:paraId="6B84AD16" w14:textId="77777777" w:rsidR="009A7DBF" w:rsidRDefault="009A7DBF">
      <w:pPr>
        <w:rPr>
          <w:rFonts w:eastAsia="Calibri"/>
          <w:sz w:val="22"/>
          <w:szCs w:val="22"/>
          <w:u w:val="single"/>
        </w:rPr>
      </w:pPr>
    </w:p>
    <w:p w14:paraId="5BF1262B" w14:textId="77777777" w:rsidR="009A7DBF" w:rsidRDefault="003F4922">
      <w:pPr>
        <w:rPr>
          <w:rFonts w:eastAsia="Calibri"/>
          <w:sz w:val="22"/>
          <w:szCs w:val="22"/>
          <w:u w:val="single"/>
        </w:rPr>
      </w:pPr>
      <w:r>
        <w:rPr>
          <w:rFonts w:eastAsia="Calibri"/>
          <w:sz w:val="22"/>
          <w:szCs w:val="22"/>
          <w:u w:val="single"/>
        </w:rPr>
        <w:t>Vaisingumas</w:t>
      </w:r>
    </w:p>
    <w:p w14:paraId="4D521F27" w14:textId="77777777" w:rsidR="009A7DBF" w:rsidRDefault="003F4922">
      <w:pPr>
        <w:rPr>
          <w:rFonts w:eastAsia="Calibri"/>
          <w:sz w:val="22"/>
          <w:szCs w:val="22"/>
        </w:rPr>
      </w:pPr>
      <w:r>
        <w:rPr>
          <w:rFonts w:eastAsia="Calibri"/>
          <w:sz w:val="22"/>
          <w:szCs w:val="22"/>
        </w:rPr>
        <w:t>Priklausomai nuo veikimo mechanizmo, vartojant NVNU, įskaitant celekoksibą, kiaušidžių folikulai gali plyšti vėliau arba neplyšti, tai siejama su kai kurių moterų laikinu nevaisingumu.</w:t>
      </w:r>
    </w:p>
    <w:p w14:paraId="62820BB5" w14:textId="77777777" w:rsidR="009A7DBF" w:rsidRDefault="009A7DBF">
      <w:pPr>
        <w:widowControl w:val="0"/>
        <w:ind w:left="567" w:hanging="567"/>
        <w:rPr>
          <w:sz w:val="22"/>
          <w:szCs w:val="22"/>
        </w:rPr>
      </w:pPr>
    </w:p>
    <w:p w14:paraId="32081837" w14:textId="77777777" w:rsidR="009A7DBF" w:rsidRDefault="003F4922">
      <w:pPr>
        <w:widowControl w:val="0"/>
        <w:ind w:left="567" w:hanging="567"/>
        <w:outlineLvl w:val="0"/>
        <w:rPr>
          <w:rFonts w:eastAsiaTheme="minorHAnsi"/>
          <w:b/>
          <w:sz w:val="22"/>
          <w:szCs w:val="22"/>
          <w:lang w:val="lt-LT" w:eastAsia="en-US"/>
        </w:rPr>
      </w:pPr>
      <w:r>
        <w:rPr>
          <w:b/>
          <w:sz w:val="22"/>
          <w:szCs w:val="22"/>
        </w:rPr>
        <w:t>4.7</w:t>
      </w:r>
      <w:r>
        <w:rPr>
          <w:b/>
          <w:sz w:val="22"/>
          <w:szCs w:val="22"/>
        </w:rPr>
        <w:tab/>
        <w:t>Poveikis gebėjimui vairuoti ir valdyti mechanizmus</w:t>
      </w:r>
    </w:p>
    <w:p w14:paraId="7B95BA50" w14:textId="77777777" w:rsidR="009A7DBF" w:rsidRDefault="009A7DBF">
      <w:pPr>
        <w:widowControl w:val="0"/>
        <w:ind w:left="567" w:hanging="567"/>
        <w:rPr>
          <w:sz w:val="22"/>
          <w:szCs w:val="22"/>
        </w:rPr>
      </w:pPr>
    </w:p>
    <w:p w14:paraId="3A198214" w14:textId="77777777" w:rsidR="009A7DBF" w:rsidRDefault="003F4922">
      <w:pPr>
        <w:widowControl w:val="0"/>
        <w:rPr>
          <w:rFonts w:eastAsiaTheme="minorHAnsi"/>
          <w:sz w:val="22"/>
          <w:szCs w:val="22"/>
          <w:lang w:val="lt-LT" w:eastAsia="en-US"/>
        </w:rPr>
      </w:pPr>
      <w:r>
        <w:rPr>
          <w:sz w:val="22"/>
          <w:szCs w:val="22"/>
        </w:rPr>
        <w:t xml:space="preserve">Aclexa gali nežymiai veikti gebėjimą vairuoti ir valdyti mechanizmus. Pacientams, kuriems celekoksibo vartojimo laikotarpiu pasireiškia svaigulys, galvos sukimasis </w:t>
      </w:r>
      <w:r>
        <w:rPr>
          <w:i/>
          <w:sz w:val="22"/>
          <w:szCs w:val="22"/>
        </w:rPr>
        <w:t>(vertigo)</w:t>
      </w:r>
      <w:r>
        <w:rPr>
          <w:sz w:val="22"/>
          <w:szCs w:val="22"/>
        </w:rPr>
        <w:t xml:space="preserve"> ar somnolencija, vairuoti ir valdyti mechanizmų negalima.</w:t>
      </w:r>
    </w:p>
    <w:p w14:paraId="7FA00C35" w14:textId="77777777" w:rsidR="009A7DBF" w:rsidRDefault="009A7DBF">
      <w:pPr>
        <w:widowControl w:val="0"/>
        <w:ind w:left="567" w:hanging="567"/>
        <w:rPr>
          <w:sz w:val="22"/>
          <w:szCs w:val="22"/>
        </w:rPr>
      </w:pPr>
    </w:p>
    <w:p w14:paraId="3A015061" w14:textId="77777777" w:rsidR="009A7DBF" w:rsidRDefault="003F4922">
      <w:pPr>
        <w:widowControl w:val="0"/>
        <w:ind w:left="567" w:hanging="567"/>
        <w:outlineLvl w:val="0"/>
        <w:rPr>
          <w:rFonts w:eastAsiaTheme="minorHAnsi"/>
          <w:b/>
          <w:sz w:val="22"/>
          <w:szCs w:val="22"/>
          <w:lang w:val="lt-LT" w:eastAsia="en-US"/>
        </w:rPr>
      </w:pPr>
      <w:r>
        <w:rPr>
          <w:b/>
          <w:sz w:val="22"/>
          <w:szCs w:val="22"/>
        </w:rPr>
        <w:t>4.8</w:t>
      </w:r>
      <w:r>
        <w:rPr>
          <w:b/>
          <w:sz w:val="22"/>
          <w:szCs w:val="22"/>
        </w:rPr>
        <w:tab/>
        <w:t>Nepageidaujamas poveikis</w:t>
      </w:r>
    </w:p>
    <w:p w14:paraId="5F756E48" w14:textId="77777777" w:rsidR="009A7DBF" w:rsidRDefault="009A7DBF">
      <w:pPr>
        <w:widowControl w:val="0"/>
        <w:rPr>
          <w:sz w:val="22"/>
          <w:szCs w:val="22"/>
        </w:rPr>
      </w:pPr>
    </w:p>
    <w:p w14:paraId="3714A037" w14:textId="77777777" w:rsidR="009A7DBF" w:rsidRDefault="003F4922">
      <w:pPr>
        <w:widowControl w:val="0"/>
        <w:rPr>
          <w:sz w:val="22"/>
          <w:szCs w:val="22"/>
        </w:rPr>
      </w:pPr>
      <w:r>
        <w:rPr>
          <w:b/>
          <w:sz w:val="22"/>
          <w:szCs w:val="22"/>
        </w:rPr>
        <w:t>1 lentelėje</w:t>
      </w:r>
      <w:r>
        <w:rPr>
          <w:sz w:val="22"/>
          <w:szCs w:val="22"/>
        </w:rPr>
        <w:t xml:space="preserve"> išvardytos nepageidaujamos reakcijos yra suskirstytos pagal organų sistemų klases ir dažnį, informacija atspindi iš toliau nurodytų šaltinių gautus duomenis.</w:t>
      </w:r>
    </w:p>
    <w:p w14:paraId="2D533293" w14:textId="77777777" w:rsidR="009A7DBF" w:rsidRDefault="003F4922">
      <w:pPr>
        <w:widowControl w:val="0"/>
        <w:numPr>
          <w:ilvl w:val="0"/>
          <w:numId w:val="22"/>
        </w:numPr>
        <w:tabs>
          <w:tab w:val="clear" w:pos="720"/>
        </w:tabs>
        <w:ind w:left="567" w:hanging="567"/>
        <w:rPr>
          <w:rFonts w:eastAsiaTheme="minorHAnsi"/>
          <w:sz w:val="22"/>
          <w:szCs w:val="22"/>
          <w:lang w:val="lt-LT" w:eastAsia="en-US"/>
        </w:rPr>
      </w:pPr>
      <w:r>
        <w:rPr>
          <w:sz w:val="22"/>
          <w:szCs w:val="22"/>
        </w:rPr>
        <w:t>Nepageidaujamos reakcijos, nustatytos daugiau kaip 0,01% osteoartritu ir reumatoidiniu artritu sergančių ligonių bei dažniau, nei vartojant placebo, 12 placebu ir (arba) aktyviai kontroliuojamųjų klinikinių tyrimų metu ne ilgiau kaip 12 savaičių vartojant 100</w:t>
      </w:r>
      <w:r>
        <w:rPr>
          <w:sz w:val="22"/>
          <w:szCs w:val="22"/>
        </w:rPr>
        <w:noBreakHyphen/>
        <w:t xml:space="preserve">800 mg celekoksibo paros dozę. Papildomuose tyrimuose, kurių metu buvo vartojama palyginamojo neselektyvaus NVNU, maždaug 7400 artritu sergančių ligonių vartojo iki 800 mg celekoksibo paros dozes, įskaitant maždaug 2300 pacientų, kurie buvo gydomi 1 metus ar ilgiau. Nepageidaujamos reakcijos, nustatytos vartojant celekoksibo šių papildomų tyrimų metu, atitiko 1 </w:t>
      </w:r>
      <w:r>
        <w:rPr>
          <w:b/>
          <w:sz w:val="22"/>
          <w:szCs w:val="22"/>
        </w:rPr>
        <w:t>lentelėje</w:t>
      </w:r>
      <w:r>
        <w:rPr>
          <w:sz w:val="22"/>
          <w:szCs w:val="22"/>
        </w:rPr>
        <w:t xml:space="preserve"> išvardytas reakcijas, nustatytas osteoartritu ir reumatoidiniu artritu sergantiems ligoniams.</w:t>
      </w:r>
    </w:p>
    <w:p w14:paraId="6BC80E03" w14:textId="77777777" w:rsidR="009A7DBF" w:rsidRDefault="003F4922">
      <w:pPr>
        <w:widowControl w:val="0"/>
        <w:numPr>
          <w:ilvl w:val="0"/>
          <w:numId w:val="22"/>
        </w:numPr>
        <w:tabs>
          <w:tab w:val="clear" w:pos="720"/>
        </w:tabs>
        <w:ind w:left="567" w:hanging="567"/>
        <w:rPr>
          <w:rFonts w:eastAsiaTheme="minorHAnsi"/>
          <w:sz w:val="22"/>
          <w:szCs w:val="22"/>
          <w:lang w:val="lt-LT" w:eastAsia="en-US"/>
        </w:rPr>
      </w:pPr>
      <w:r>
        <w:rPr>
          <w:sz w:val="22"/>
          <w:szCs w:val="22"/>
        </w:rPr>
        <w:t xml:space="preserve">Nepageidaujamos reakcijos, kurių dažniau atsirado 400 mg celekoksibo paros doze gydomiems pacientams, palyginti su vartojusiais placebo, iki 3 metų trukusių ilgalaikės polipų profilaktikos tyrimų (Adenomos prevencija celekoksibu (angl. </w:t>
      </w:r>
      <w:r>
        <w:rPr>
          <w:i/>
          <w:sz w:val="22"/>
          <w:szCs w:val="22"/>
        </w:rPr>
        <w:t>Adenoma Prevention with Celecoxib,</w:t>
      </w:r>
      <w:r>
        <w:rPr>
          <w:sz w:val="22"/>
          <w:szCs w:val="22"/>
        </w:rPr>
        <w:t xml:space="preserve"> APC) ir Gaubtinės ir tiesiosios žarnų sporadinių adenominių polipų profilaktika (angl. </w:t>
      </w:r>
      <w:r>
        <w:rPr>
          <w:i/>
          <w:sz w:val="22"/>
          <w:szCs w:val="22"/>
        </w:rPr>
        <w:t>Prevention of Colorectal Sporadic Adenomatous Polyps</w:t>
      </w:r>
      <w:r>
        <w:rPr>
          <w:sz w:val="22"/>
          <w:szCs w:val="22"/>
        </w:rPr>
        <w:t>, PreSAP)) tyrimų, žr. 5.1 skyriaus „Farmakodinaminės savybės“ poskyrį „Kardiovaskulinis saugumas – ilgalaikiai tyrimai, kuriuose dalyvavo pacientai, kuriems diagnozuota sporadinių adenomatozinių polipų“) metu.</w:t>
      </w:r>
    </w:p>
    <w:p w14:paraId="74CE7668" w14:textId="77777777" w:rsidR="009A7DBF" w:rsidRDefault="003F4922">
      <w:pPr>
        <w:widowControl w:val="0"/>
        <w:numPr>
          <w:ilvl w:val="0"/>
          <w:numId w:val="22"/>
        </w:numPr>
        <w:tabs>
          <w:tab w:val="clear" w:pos="720"/>
        </w:tabs>
        <w:ind w:left="567" w:hanging="567"/>
        <w:rPr>
          <w:rFonts w:eastAsiaTheme="minorHAnsi"/>
          <w:sz w:val="22"/>
          <w:szCs w:val="22"/>
          <w:lang w:val="lt-LT" w:eastAsia="en-US"/>
        </w:rPr>
      </w:pPr>
      <w:r>
        <w:rPr>
          <w:sz w:val="22"/>
          <w:szCs w:val="22"/>
        </w:rPr>
        <w:t>Stebėjimo po vaistinio preparato patekimo į rinką laikotarpiu (apskaičiuota, kad jo metu celekoksibu buvo gydyta &gt;70 milijonų pacientų; buvo vartojamos įvairios dozės, buvo įvairi gydymo trukmė ir įvairios indikacijos) remiantis spontaniniais pranešimais nustatytos nepageidaujamos reakcijos į vaistinį preparatą. Nepaisant to, kad toks poveikis buvo įvertintas kaip reakcijos remiantis po vaistinio preparato pateikimo į rinką gautais pranešimais, dažniui įvertinti buvo išanalizuoti klinikinių tyrimų duomenys. Dažnis yra paremtas kumuliacine metaanalize, apibendrinant tyrimų, kurių metu vaistinio preparato vartojo 38102 pacientai, duomenis.</w:t>
      </w:r>
    </w:p>
    <w:p w14:paraId="2FA17496" w14:textId="77777777" w:rsidR="009A7DBF" w:rsidRDefault="009A7DBF">
      <w:pPr>
        <w:widowControl w:val="0"/>
        <w:ind w:left="720"/>
        <w:rPr>
          <w:sz w:val="22"/>
          <w:szCs w:val="22"/>
        </w:rPr>
      </w:pPr>
    </w:p>
    <w:p w14:paraId="60025B42" w14:textId="77777777" w:rsidR="009A7DBF" w:rsidRDefault="003F4922">
      <w:pPr>
        <w:widowControl w:val="0"/>
        <w:rPr>
          <w:rFonts w:eastAsiaTheme="minorHAnsi"/>
          <w:sz w:val="22"/>
          <w:szCs w:val="22"/>
          <w:lang w:val="lt-LT" w:eastAsia="en-US"/>
        </w:rPr>
      </w:pPr>
      <w:r>
        <w:rPr>
          <w:sz w:val="22"/>
          <w:szCs w:val="22"/>
        </w:rPr>
        <w:t>Toliau esančioje lentelėje pateikiamos apibendrintos nepageidaujamos reakcijos į celekoksibą suskirstytos į grupes pagal MedDRA terminus bei dažnį, kuris apibūdinamas taip:</w:t>
      </w:r>
    </w:p>
    <w:p w14:paraId="5573D8BA" w14:textId="77777777" w:rsidR="009A7DBF" w:rsidRDefault="003F4922">
      <w:pPr>
        <w:widowControl w:val="0"/>
        <w:numPr>
          <w:ilvl w:val="0"/>
          <w:numId w:val="22"/>
        </w:numPr>
        <w:tabs>
          <w:tab w:val="clear" w:pos="720"/>
          <w:tab w:val="num" w:pos="567"/>
        </w:tabs>
        <w:ind w:left="567" w:hanging="567"/>
        <w:rPr>
          <w:rFonts w:eastAsiaTheme="minorHAnsi"/>
          <w:sz w:val="22"/>
          <w:szCs w:val="22"/>
          <w:lang w:val="lt-LT" w:eastAsia="en-US"/>
        </w:rPr>
      </w:pPr>
      <w:r>
        <w:rPr>
          <w:sz w:val="22"/>
          <w:szCs w:val="22"/>
        </w:rPr>
        <w:t>labai dažnas (≥ 1/10);</w:t>
      </w:r>
    </w:p>
    <w:p w14:paraId="584E4B09" w14:textId="77777777" w:rsidR="009A7DBF" w:rsidRDefault="003F4922">
      <w:pPr>
        <w:widowControl w:val="0"/>
        <w:numPr>
          <w:ilvl w:val="0"/>
          <w:numId w:val="22"/>
        </w:numPr>
        <w:tabs>
          <w:tab w:val="clear" w:pos="720"/>
          <w:tab w:val="num" w:pos="567"/>
        </w:tabs>
        <w:ind w:left="567" w:hanging="567"/>
        <w:rPr>
          <w:rFonts w:eastAsiaTheme="minorHAnsi"/>
          <w:sz w:val="22"/>
          <w:szCs w:val="22"/>
          <w:lang w:val="lt-LT" w:eastAsia="en-US"/>
        </w:rPr>
      </w:pPr>
      <w:r>
        <w:rPr>
          <w:sz w:val="22"/>
          <w:szCs w:val="22"/>
        </w:rPr>
        <w:t>dažnas (nuo ≥ 1/100 iki &lt; 1/10);</w:t>
      </w:r>
    </w:p>
    <w:p w14:paraId="4EA16E96" w14:textId="77777777" w:rsidR="009A7DBF" w:rsidRDefault="003F4922">
      <w:pPr>
        <w:widowControl w:val="0"/>
        <w:numPr>
          <w:ilvl w:val="0"/>
          <w:numId w:val="22"/>
        </w:numPr>
        <w:tabs>
          <w:tab w:val="clear" w:pos="720"/>
          <w:tab w:val="num" w:pos="567"/>
        </w:tabs>
        <w:ind w:left="567" w:hanging="567"/>
        <w:rPr>
          <w:rFonts w:eastAsiaTheme="minorHAnsi"/>
          <w:sz w:val="22"/>
          <w:szCs w:val="22"/>
          <w:lang w:val="lt-LT" w:eastAsia="en-US"/>
        </w:rPr>
      </w:pPr>
      <w:r>
        <w:rPr>
          <w:sz w:val="22"/>
          <w:szCs w:val="22"/>
        </w:rPr>
        <w:t>nedažnas (nuo ≥ 1/1000 iki &lt; 1/100);</w:t>
      </w:r>
    </w:p>
    <w:p w14:paraId="221C53ED" w14:textId="183B3603" w:rsidR="009A7DBF" w:rsidRDefault="003F4922">
      <w:pPr>
        <w:widowControl w:val="0"/>
        <w:numPr>
          <w:ilvl w:val="0"/>
          <w:numId w:val="22"/>
        </w:numPr>
        <w:tabs>
          <w:tab w:val="clear" w:pos="720"/>
          <w:tab w:val="num" w:pos="567"/>
        </w:tabs>
        <w:ind w:left="567" w:hanging="567"/>
        <w:rPr>
          <w:sz w:val="22"/>
          <w:szCs w:val="22"/>
        </w:rPr>
      </w:pPr>
      <w:r>
        <w:rPr>
          <w:sz w:val="22"/>
          <w:szCs w:val="22"/>
        </w:rPr>
        <w:t>retas (nuo ≥ 1/10</w:t>
      </w:r>
      <w:r w:rsidR="008F2274">
        <w:rPr>
          <w:sz w:val="22"/>
          <w:szCs w:val="22"/>
        </w:rPr>
        <w:t xml:space="preserve"> </w:t>
      </w:r>
      <w:r>
        <w:rPr>
          <w:sz w:val="22"/>
          <w:szCs w:val="22"/>
        </w:rPr>
        <w:t>000 iki &lt; 1/1 000);</w:t>
      </w:r>
    </w:p>
    <w:p w14:paraId="33CC6000" w14:textId="50E1C3CF" w:rsidR="009A7DBF" w:rsidRDefault="003F4922">
      <w:pPr>
        <w:widowControl w:val="0"/>
        <w:numPr>
          <w:ilvl w:val="0"/>
          <w:numId w:val="22"/>
        </w:numPr>
        <w:tabs>
          <w:tab w:val="clear" w:pos="720"/>
          <w:tab w:val="num" w:pos="567"/>
        </w:tabs>
        <w:ind w:left="567" w:hanging="567"/>
        <w:rPr>
          <w:sz w:val="22"/>
          <w:szCs w:val="22"/>
        </w:rPr>
      </w:pPr>
      <w:r>
        <w:rPr>
          <w:sz w:val="22"/>
          <w:szCs w:val="22"/>
        </w:rPr>
        <w:t>labai retas (&lt; 1/10</w:t>
      </w:r>
      <w:r w:rsidR="008F2274">
        <w:rPr>
          <w:sz w:val="22"/>
          <w:szCs w:val="22"/>
        </w:rPr>
        <w:t xml:space="preserve"> </w:t>
      </w:r>
      <w:r>
        <w:rPr>
          <w:sz w:val="22"/>
          <w:szCs w:val="22"/>
        </w:rPr>
        <w:t>000),</w:t>
      </w:r>
    </w:p>
    <w:p w14:paraId="428B9C9E" w14:textId="77777777" w:rsidR="009A7DBF" w:rsidRDefault="003F4922">
      <w:pPr>
        <w:widowControl w:val="0"/>
        <w:numPr>
          <w:ilvl w:val="0"/>
          <w:numId w:val="22"/>
        </w:numPr>
        <w:tabs>
          <w:tab w:val="clear" w:pos="720"/>
          <w:tab w:val="num" w:pos="567"/>
        </w:tabs>
        <w:ind w:left="567" w:hanging="567"/>
        <w:rPr>
          <w:rFonts w:eastAsiaTheme="minorHAnsi"/>
          <w:sz w:val="22"/>
          <w:szCs w:val="22"/>
          <w:lang w:val="lt-LT" w:eastAsia="en-US"/>
        </w:rPr>
      </w:pPr>
      <w:r>
        <w:rPr>
          <w:sz w:val="22"/>
          <w:szCs w:val="22"/>
        </w:rPr>
        <w:t>dažnis nežinomas (negali būti apskaičiuotas pagal turimus duomenis).</w:t>
      </w:r>
    </w:p>
    <w:p w14:paraId="01043138" w14:textId="77777777" w:rsidR="009A7DBF" w:rsidRDefault="009A7DBF">
      <w:pPr>
        <w:widowControl w:val="0"/>
        <w:rPr>
          <w:sz w:val="22"/>
          <w:szCs w:val="22"/>
        </w:rPr>
      </w:pPr>
    </w:p>
    <w:p w14:paraId="18E0E054" w14:textId="77777777" w:rsidR="009A7DBF" w:rsidRDefault="003F4922">
      <w:pPr>
        <w:widowControl w:val="0"/>
        <w:rPr>
          <w:b/>
          <w:sz w:val="22"/>
          <w:szCs w:val="22"/>
          <w:vertAlign w:val="superscript"/>
        </w:rPr>
      </w:pPr>
      <w:r>
        <w:rPr>
          <w:b/>
          <w:bCs/>
          <w:sz w:val="22"/>
          <w:szCs w:val="22"/>
        </w:rPr>
        <w:t>1 lentelė</w:t>
      </w:r>
      <w:r>
        <w:rPr>
          <w:b/>
          <w:sz w:val="22"/>
          <w:szCs w:val="22"/>
        </w:rPr>
        <w:t xml:space="preserve">. Nepageidaujamos reakcijos, nustatytos celekoksibo klinikinių tyrimų metu ir po vaistinio preparato pateikimo rinkai (rekomenduojami </w:t>
      </w:r>
      <w:r>
        <w:rPr>
          <w:b/>
          <w:i/>
          <w:sz w:val="22"/>
          <w:szCs w:val="22"/>
        </w:rPr>
        <w:t>MedDRA</w:t>
      </w:r>
      <w:r>
        <w:rPr>
          <w:b/>
          <w:sz w:val="22"/>
          <w:szCs w:val="22"/>
        </w:rPr>
        <w:t xml:space="preserve"> terminai)</w:t>
      </w:r>
      <w:r>
        <w:rPr>
          <w:b/>
          <w:sz w:val="22"/>
          <w:szCs w:val="22"/>
          <w:vertAlign w:val="superscript"/>
        </w:rPr>
        <w:t>1,2</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36"/>
        <w:gridCol w:w="657"/>
        <w:gridCol w:w="1417"/>
        <w:gridCol w:w="1134"/>
        <w:gridCol w:w="1134"/>
        <w:gridCol w:w="1276"/>
        <w:gridCol w:w="1984"/>
      </w:tblGrid>
      <w:tr w:rsidR="009A7DBF" w14:paraId="4682C0CE" w14:textId="77777777">
        <w:tc>
          <w:tcPr>
            <w:tcW w:w="1242" w:type="dxa"/>
          </w:tcPr>
          <w:p w14:paraId="060AA5BA" w14:textId="77777777" w:rsidR="009A7DBF" w:rsidRDefault="009A7DBF">
            <w:pPr>
              <w:widowControl w:val="0"/>
              <w:tabs>
                <w:tab w:val="left" w:pos="567"/>
              </w:tabs>
              <w:rPr>
                <w:rFonts w:eastAsia="Calibri"/>
                <w:b/>
                <w:sz w:val="22"/>
                <w:szCs w:val="22"/>
              </w:rPr>
            </w:pPr>
          </w:p>
        </w:tc>
        <w:tc>
          <w:tcPr>
            <w:tcW w:w="993" w:type="dxa"/>
            <w:gridSpan w:val="2"/>
          </w:tcPr>
          <w:p w14:paraId="618479D1" w14:textId="77777777" w:rsidR="009A7DBF" w:rsidRDefault="003F4922">
            <w:pPr>
              <w:widowControl w:val="0"/>
              <w:tabs>
                <w:tab w:val="left" w:pos="567"/>
              </w:tabs>
              <w:jc w:val="center"/>
              <w:rPr>
                <w:rFonts w:eastAsia="Calibri"/>
                <w:b/>
                <w:sz w:val="22"/>
                <w:szCs w:val="22"/>
              </w:rPr>
            </w:pPr>
            <w:r>
              <w:rPr>
                <w:rFonts w:eastAsia="Calibri"/>
                <w:b/>
                <w:sz w:val="22"/>
                <w:szCs w:val="22"/>
              </w:rPr>
              <w:t>Labai dažni</w:t>
            </w:r>
          </w:p>
        </w:tc>
        <w:tc>
          <w:tcPr>
            <w:tcW w:w="1417" w:type="dxa"/>
          </w:tcPr>
          <w:p w14:paraId="324233AF" w14:textId="77777777" w:rsidR="009A7DBF" w:rsidRDefault="003F4922">
            <w:pPr>
              <w:widowControl w:val="0"/>
              <w:tabs>
                <w:tab w:val="left" w:pos="567"/>
              </w:tabs>
              <w:jc w:val="center"/>
              <w:rPr>
                <w:rFonts w:eastAsia="Calibri"/>
                <w:b/>
                <w:sz w:val="22"/>
                <w:szCs w:val="22"/>
                <w:lang w:val="lt-LT" w:eastAsia="en-US"/>
              </w:rPr>
            </w:pPr>
            <w:r>
              <w:rPr>
                <w:rFonts w:eastAsia="Calibri"/>
                <w:b/>
                <w:sz w:val="22"/>
                <w:szCs w:val="22"/>
              </w:rPr>
              <w:t>Dažni</w:t>
            </w:r>
          </w:p>
        </w:tc>
        <w:tc>
          <w:tcPr>
            <w:tcW w:w="1134" w:type="dxa"/>
          </w:tcPr>
          <w:p w14:paraId="30C5A02F" w14:textId="77777777" w:rsidR="009A7DBF" w:rsidRDefault="003F4922">
            <w:pPr>
              <w:widowControl w:val="0"/>
              <w:tabs>
                <w:tab w:val="left" w:pos="567"/>
              </w:tabs>
              <w:jc w:val="center"/>
              <w:rPr>
                <w:rFonts w:eastAsia="Calibri"/>
                <w:b/>
                <w:sz w:val="22"/>
                <w:szCs w:val="22"/>
                <w:lang w:val="lt-LT" w:eastAsia="en-US"/>
              </w:rPr>
            </w:pPr>
            <w:r>
              <w:rPr>
                <w:rFonts w:eastAsia="Calibri"/>
                <w:b/>
                <w:sz w:val="22"/>
                <w:szCs w:val="22"/>
              </w:rPr>
              <w:t>Nedažni</w:t>
            </w:r>
          </w:p>
        </w:tc>
        <w:tc>
          <w:tcPr>
            <w:tcW w:w="1134" w:type="dxa"/>
          </w:tcPr>
          <w:p w14:paraId="289EFC39" w14:textId="77777777" w:rsidR="009A7DBF" w:rsidRDefault="003F4922">
            <w:pPr>
              <w:widowControl w:val="0"/>
              <w:tabs>
                <w:tab w:val="left" w:pos="567"/>
              </w:tabs>
              <w:jc w:val="center"/>
              <w:rPr>
                <w:rFonts w:eastAsia="Calibri"/>
                <w:b/>
                <w:sz w:val="22"/>
                <w:szCs w:val="22"/>
                <w:lang w:val="lt-LT" w:eastAsia="en-US"/>
              </w:rPr>
            </w:pPr>
            <w:r>
              <w:rPr>
                <w:rFonts w:eastAsia="Calibri"/>
                <w:b/>
                <w:sz w:val="22"/>
                <w:szCs w:val="22"/>
              </w:rPr>
              <w:t>Reti</w:t>
            </w:r>
          </w:p>
        </w:tc>
        <w:tc>
          <w:tcPr>
            <w:tcW w:w="1276" w:type="dxa"/>
          </w:tcPr>
          <w:p w14:paraId="763EE5AE" w14:textId="77777777" w:rsidR="009A7DBF" w:rsidRDefault="003F4922">
            <w:pPr>
              <w:widowControl w:val="0"/>
              <w:tabs>
                <w:tab w:val="left" w:pos="567"/>
              </w:tabs>
              <w:jc w:val="center"/>
              <w:rPr>
                <w:rFonts w:eastAsia="Calibri"/>
                <w:b/>
                <w:sz w:val="22"/>
                <w:szCs w:val="22"/>
              </w:rPr>
            </w:pPr>
            <w:r>
              <w:rPr>
                <w:rFonts w:eastAsia="Calibri"/>
                <w:b/>
                <w:sz w:val="22"/>
                <w:szCs w:val="22"/>
              </w:rPr>
              <w:t>Labai reti</w:t>
            </w:r>
          </w:p>
        </w:tc>
        <w:tc>
          <w:tcPr>
            <w:tcW w:w="1984" w:type="dxa"/>
          </w:tcPr>
          <w:p w14:paraId="65FE2F48" w14:textId="77777777" w:rsidR="009A7DBF" w:rsidRDefault="003F4922">
            <w:pPr>
              <w:widowControl w:val="0"/>
              <w:tabs>
                <w:tab w:val="left" w:pos="567"/>
              </w:tabs>
              <w:jc w:val="center"/>
              <w:rPr>
                <w:rFonts w:eastAsia="Calibri"/>
                <w:b/>
                <w:sz w:val="22"/>
                <w:szCs w:val="22"/>
                <w:lang w:val="lt-LT" w:eastAsia="en-US"/>
              </w:rPr>
            </w:pPr>
            <w:r>
              <w:rPr>
                <w:rFonts w:eastAsia="Calibri"/>
                <w:b/>
                <w:sz w:val="22"/>
                <w:szCs w:val="22"/>
              </w:rPr>
              <w:t>Dažnis nežinomas</w:t>
            </w:r>
          </w:p>
          <w:p w14:paraId="6368CCB9" w14:textId="77777777" w:rsidR="009A7DBF" w:rsidRDefault="009A7DBF">
            <w:pPr>
              <w:widowControl w:val="0"/>
              <w:tabs>
                <w:tab w:val="left" w:pos="567"/>
              </w:tabs>
              <w:jc w:val="center"/>
              <w:rPr>
                <w:rFonts w:eastAsia="Calibri"/>
                <w:b/>
                <w:sz w:val="22"/>
                <w:szCs w:val="22"/>
              </w:rPr>
            </w:pPr>
          </w:p>
        </w:tc>
      </w:tr>
      <w:tr w:rsidR="009A7DBF" w14:paraId="556022F2" w14:textId="77777777">
        <w:tc>
          <w:tcPr>
            <w:tcW w:w="1242" w:type="dxa"/>
          </w:tcPr>
          <w:p w14:paraId="212B7262" w14:textId="77777777" w:rsidR="009A7DBF" w:rsidRDefault="003F4922">
            <w:pPr>
              <w:widowControl w:val="0"/>
              <w:tabs>
                <w:tab w:val="center" w:pos="4536"/>
                <w:tab w:val="right" w:pos="9072"/>
              </w:tabs>
              <w:rPr>
                <w:rFonts w:eastAsia="Calibri"/>
                <w:b/>
                <w:sz w:val="22"/>
                <w:szCs w:val="22"/>
              </w:rPr>
            </w:pPr>
            <w:r>
              <w:rPr>
                <w:b/>
                <w:color w:val="000000"/>
                <w:sz w:val="22"/>
                <w:szCs w:val="22"/>
              </w:rPr>
              <w:t>Infekcijos ir infestacijos</w:t>
            </w:r>
          </w:p>
        </w:tc>
        <w:tc>
          <w:tcPr>
            <w:tcW w:w="993" w:type="dxa"/>
            <w:gridSpan w:val="2"/>
          </w:tcPr>
          <w:p w14:paraId="1ACFE163" w14:textId="77777777" w:rsidR="009A7DBF" w:rsidRDefault="009A7DBF">
            <w:pPr>
              <w:widowControl w:val="0"/>
              <w:tabs>
                <w:tab w:val="left" w:pos="567"/>
              </w:tabs>
              <w:rPr>
                <w:rFonts w:eastAsia="Calibri"/>
                <w:sz w:val="22"/>
                <w:szCs w:val="22"/>
              </w:rPr>
            </w:pPr>
          </w:p>
        </w:tc>
        <w:tc>
          <w:tcPr>
            <w:tcW w:w="1417" w:type="dxa"/>
          </w:tcPr>
          <w:p w14:paraId="340646E4" w14:textId="77777777" w:rsidR="009A7DBF" w:rsidRDefault="003F4922">
            <w:pPr>
              <w:widowControl w:val="0"/>
              <w:tabs>
                <w:tab w:val="left" w:pos="567"/>
              </w:tabs>
              <w:rPr>
                <w:rFonts w:eastAsia="Calibri"/>
                <w:sz w:val="22"/>
                <w:szCs w:val="22"/>
                <w:lang w:val="lt-LT" w:eastAsia="en-US"/>
              </w:rPr>
            </w:pPr>
            <w:r>
              <w:rPr>
                <w:sz w:val="22"/>
                <w:szCs w:val="22"/>
              </w:rPr>
              <w:t xml:space="preserve">Sinusitas, viršutinių kvėpavimo takų infekcija, </w:t>
            </w:r>
            <w:r>
              <w:rPr>
                <w:bCs/>
                <w:sz w:val="22"/>
                <w:szCs w:val="22"/>
              </w:rPr>
              <w:t xml:space="preserve">faringitas, </w:t>
            </w:r>
            <w:r>
              <w:rPr>
                <w:sz w:val="22"/>
                <w:szCs w:val="22"/>
              </w:rPr>
              <w:t>šlapimo takų infekcija</w:t>
            </w:r>
          </w:p>
        </w:tc>
        <w:tc>
          <w:tcPr>
            <w:tcW w:w="1134" w:type="dxa"/>
          </w:tcPr>
          <w:p w14:paraId="6FDA6DF2" w14:textId="77777777" w:rsidR="009A7DBF" w:rsidRDefault="009A7DBF">
            <w:pPr>
              <w:widowControl w:val="0"/>
              <w:tabs>
                <w:tab w:val="left" w:pos="567"/>
              </w:tabs>
              <w:rPr>
                <w:rFonts w:eastAsia="Calibri"/>
                <w:sz w:val="22"/>
                <w:szCs w:val="22"/>
              </w:rPr>
            </w:pPr>
          </w:p>
        </w:tc>
        <w:tc>
          <w:tcPr>
            <w:tcW w:w="1134" w:type="dxa"/>
          </w:tcPr>
          <w:p w14:paraId="29B8C3F1" w14:textId="77777777" w:rsidR="009A7DBF" w:rsidRDefault="009A7DBF">
            <w:pPr>
              <w:widowControl w:val="0"/>
              <w:tabs>
                <w:tab w:val="left" w:pos="567"/>
              </w:tabs>
              <w:rPr>
                <w:rFonts w:eastAsia="Calibri"/>
                <w:sz w:val="22"/>
                <w:szCs w:val="22"/>
              </w:rPr>
            </w:pPr>
          </w:p>
        </w:tc>
        <w:tc>
          <w:tcPr>
            <w:tcW w:w="1276" w:type="dxa"/>
          </w:tcPr>
          <w:p w14:paraId="3041C51A" w14:textId="77777777" w:rsidR="009A7DBF" w:rsidRDefault="009A7DBF">
            <w:pPr>
              <w:widowControl w:val="0"/>
              <w:tabs>
                <w:tab w:val="left" w:pos="567"/>
              </w:tabs>
              <w:rPr>
                <w:rFonts w:eastAsia="Calibri"/>
                <w:sz w:val="22"/>
                <w:szCs w:val="22"/>
              </w:rPr>
            </w:pPr>
          </w:p>
        </w:tc>
        <w:tc>
          <w:tcPr>
            <w:tcW w:w="1984" w:type="dxa"/>
          </w:tcPr>
          <w:p w14:paraId="66333409" w14:textId="77777777" w:rsidR="009A7DBF" w:rsidRDefault="009A7DBF">
            <w:pPr>
              <w:widowControl w:val="0"/>
              <w:tabs>
                <w:tab w:val="left" w:pos="567"/>
              </w:tabs>
              <w:rPr>
                <w:rFonts w:eastAsia="Calibri"/>
                <w:sz w:val="22"/>
                <w:szCs w:val="22"/>
              </w:rPr>
            </w:pPr>
          </w:p>
        </w:tc>
      </w:tr>
      <w:tr w:rsidR="009A7DBF" w14:paraId="2C57114B" w14:textId="77777777">
        <w:tc>
          <w:tcPr>
            <w:tcW w:w="1242" w:type="dxa"/>
          </w:tcPr>
          <w:p w14:paraId="64298A69" w14:textId="77777777" w:rsidR="009A7DBF" w:rsidRDefault="003F4922">
            <w:pPr>
              <w:widowControl w:val="0"/>
              <w:tabs>
                <w:tab w:val="left" w:pos="567"/>
              </w:tabs>
              <w:rPr>
                <w:rFonts w:eastAsia="Calibri"/>
                <w:b/>
                <w:sz w:val="22"/>
                <w:szCs w:val="22"/>
              </w:rPr>
            </w:pPr>
            <w:r>
              <w:rPr>
                <w:b/>
                <w:color w:val="000000"/>
                <w:sz w:val="22"/>
                <w:szCs w:val="22"/>
              </w:rPr>
              <w:t xml:space="preserve">Kraujo ir </w:t>
            </w:r>
            <w:r>
              <w:rPr>
                <w:b/>
                <w:color w:val="000000"/>
                <w:sz w:val="22"/>
                <w:szCs w:val="22"/>
              </w:rPr>
              <w:lastRenderedPageBreak/>
              <w:t>limfinės sistemos sutrikimai</w:t>
            </w:r>
          </w:p>
        </w:tc>
        <w:tc>
          <w:tcPr>
            <w:tcW w:w="993" w:type="dxa"/>
            <w:gridSpan w:val="2"/>
          </w:tcPr>
          <w:p w14:paraId="28AFB896" w14:textId="77777777" w:rsidR="009A7DBF" w:rsidRDefault="009A7DBF">
            <w:pPr>
              <w:widowControl w:val="0"/>
              <w:tabs>
                <w:tab w:val="left" w:pos="567"/>
              </w:tabs>
              <w:rPr>
                <w:rFonts w:eastAsia="Calibri"/>
                <w:sz w:val="22"/>
                <w:szCs w:val="22"/>
              </w:rPr>
            </w:pPr>
          </w:p>
        </w:tc>
        <w:tc>
          <w:tcPr>
            <w:tcW w:w="1417" w:type="dxa"/>
          </w:tcPr>
          <w:p w14:paraId="78490F2E" w14:textId="77777777" w:rsidR="009A7DBF" w:rsidRDefault="009A7DBF">
            <w:pPr>
              <w:widowControl w:val="0"/>
              <w:tabs>
                <w:tab w:val="left" w:pos="567"/>
              </w:tabs>
              <w:rPr>
                <w:rFonts w:eastAsia="Calibri"/>
                <w:sz w:val="22"/>
                <w:szCs w:val="22"/>
              </w:rPr>
            </w:pPr>
          </w:p>
        </w:tc>
        <w:tc>
          <w:tcPr>
            <w:tcW w:w="1134" w:type="dxa"/>
          </w:tcPr>
          <w:p w14:paraId="25D85CDC" w14:textId="77777777" w:rsidR="009A7DBF" w:rsidRDefault="003F4922">
            <w:pPr>
              <w:widowControl w:val="0"/>
              <w:tabs>
                <w:tab w:val="left" w:pos="567"/>
              </w:tabs>
              <w:rPr>
                <w:rFonts w:eastAsia="Calibri"/>
                <w:sz w:val="22"/>
                <w:szCs w:val="22"/>
                <w:lang w:val="lt-LT" w:eastAsia="en-US"/>
              </w:rPr>
            </w:pPr>
            <w:r>
              <w:rPr>
                <w:color w:val="000000"/>
                <w:sz w:val="22"/>
                <w:szCs w:val="22"/>
              </w:rPr>
              <w:t>Anemija</w:t>
            </w:r>
          </w:p>
        </w:tc>
        <w:tc>
          <w:tcPr>
            <w:tcW w:w="1134" w:type="dxa"/>
          </w:tcPr>
          <w:p w14:paraId="786F3537" w14:textId="77777777" w:rsidR="009A7DBF" w:rsidRDefault="003F4922">
            <w:pPr>
              <w:widowControl w:val="0"/>
              <w:tabs>
                <w:tab w:val="left" w:pos="567"/>
              </w:tabs>
              <w:rPr>
                <w:rFonts w:eastAsia="Calibri"/>
                <w:sz w:val="22"/>
                <w:szCs w:val="22"/>
                <w:lang w:val="lt-LT" w:eastAsia="en-US"/>
              </w:rPr>
            </w:pPr>
            <w:r>
              <w:rPr>
                <w:sz w:val="22"/>
                <w:szCs w:val="22"/>
              </w:rPr>
              <w:t>Leukopen</w:t>
            </w:r>
            <w:r>
              <w:rPr>
                <w:sz w:val="22"/>
                <w:szCs w:val="22"/>
              </w:rPr>
              <w:lastRenderedPageBreak/>
              <w:t>ija, trombocitopenija</w:t>
            </w:r>
          </w:p>
        </w:tc>
        <w:tc>
          <w:tcPr>
            <w:tcW w:w="1276" w:type="dxa"/>
          </w:tcPr>
          <w:p w14:paraId="5D598241" w14:textId="77777777" w:rsidR="009A7DBF" w:rsidRDefault="003F4922">
            <w:pPr>
              <w:widowControl w:val="0"/>
              <w:rPr>
                <w:sz w:val="22"/>
                <w:szCs w:val="22"/>
              </w:rPr>
            </w:pPr>
            <w:r>
              <w:rPr>
                <w:rFonts w:eastAsia="Calibri"/>
                <w:sz w:val="22"/>
                <w:szCs w:val="22"/>
              </w:rPr>
              <w:lastRenderedPageBreak/>
              <w:t>Pancitopeni</w:t>
            </w:r>
            <w:r>
              <w:rPr>
                <w:rFonts w:eastAsia="Calibri"/>
                <w:sz w:val="22"/>
                <w:szCs w:val="22"/>
              </w:rPr>
              <w:lastRenderedPageBreak/>
              <w:t>ja</w:t>
            </w:r>
            <w:r>
              <w:rPr>
                <w:rFonts w:eastAsia="Calibri"/>
                <w:sz w:val="22"/>
                <w:szCs w:val="22"/>
                <w:vertAlign w:val="superscript"/>
              </w:rPr>
              <w:t>4</w:t>
            </w:r>
          </w:p>
        </w:tc>
        <w:tc>
          <w:tcPr>
            <w:tcW w:w="1984" w:type="dxa"/>
          </w:tcPr>
          <w:p w14:paraId="4DE6DA71" w14:textId="77777777" w:rsidR="009A7DBF" w:rsidRDefault="009A7DBF">
            <w:pPr>
              <w:widowControl w:val="0"/>
              <w:rPr>
                <w:rFonts w:eastAsia="Calibri"/>
                <w:sz w:val="22"/>
                <w:szCs w:val="22"/>
              </w:rPr>
            </w:pPr>
          </w:p>
        </w:tc>
      </w:tr>
      <w:tr w:rsidR="009A7DBF" w14:paraId="04CBF3DA" w14:textId="77777777">
        <w:tc>
          <w:tcPr>
            <w:tcW w:w="1242" w:type="dxa"/>
          </w:tcPr>
          <w:p w14:paraId="233F47D5" w14:textId="77777777" w:rsidR="009A7DBF" w:rsidRDefault="003F4922">
            <w:pPr>
              <w:widowControl w:val="0"/>
              <w:tabs>
                <w:tab w:val="left" w:pos="567"/>
              </w:tabs>
              <w:rPr>
                <w:rFonts w:eastAsia="Calibri"/>
                <w:b/>
                <w:sz w:val="22"/>
                <w:szCs w:val="22"/>
              </w:rPr>
            </w:pPr>
            <w:r>
              <w:rPr>
                <w:b/>
                <w:color w:val="000000"/>
                <w:sz w:val="22"/>
                <w:szCs w:val="22"/>
              </w:rPr>
              <w:t>Imuninės sistemos sutrikimai</w:t>
            </w:r>
          </w:p>
        </w:tc>
        <w:tc>
          <w:tcPr>
            <w:tcW w:w="993" w:type="dxa"/>
            <w:gridSpan w:val="2"/>
          </w:tcPr>
          <w:p w14:paraId="4DB38B32" w14:textId="77777777" w:rsidR="009A7DBF" w:rsidRDefault="009A7DBF">
            <w:pPr>
              <w:spacing w:after="200" w:line="276" w:lineRule="auto"/>
              <w:rPr>
                <w:rFonts w:eastAsia="Calibri"/>
                <w:sz w:val="22"/>
                <w:szCs w:val="22"/>
              </w:rPr>
            </w:pPr>
          </w:p>
        </w:tc>
        <w:tc>
          <w:tcPr>
            <w:tcW w:w="1417" w:type="dxa"/>
          </w:tcPr>
          <w:p w14:paraId="7BEFEEAD" w14:textId="77777777" w:rsidR="009A7DBF" w:rsidRDefault="003F4922">
            <w:pPr>
              <w:widowControl w:val="0"/>
              <w:tabs>
                <w:tab w:val="left" w:pos="567"/>
              </w:tabs>
              <w:rPr>
                <w:rFonts w:eastAsia="Calibri"/>
                <w:sz w:val="22"/>
                <w:szCs w:val="22"/>
              </w:rPr>
            </w:pPr>
            <w:r>
              <w:rPr>
                <w:rFonts w:eastAsia="Calibri"/>
                <w:bCs/>
                <w:sz w:val="22"/>
                <w:szCs w:val="22"/>
              </w:rPr>
              <w:t>Padidėjęs jautrumas</w:t>
            </w:r>
          </w:p>
        </w:tc>
        <w:tc>
          <w:tcPr>
            <w:tcW w:w="1134" w:type="dxa"/>
          </w:tcPr>
          <w:p w14:paraId="3EA46A2B" w14:textId="77777777" w:rsidR="009A7DBF" w:rsidRDefault="009A7DBF">
            <w:pPr>
              <w:widowControl w:val="0"/>
              <w:tabs>
                <w:tab w:val="left" w:pos="567"/>
              </w:tabs>
              <w:rPr>
                <w:rFonts w:eastAsia="Calibri"/>
                <w:sz w:val="22"/>
                <w:szCs w:val="22"/>
              </w:rPr>
            </w:pPr>
          </w:p>
        </w:tc>
        <w:tc>
          <w:tcPr>
            <w:tcW w:w="1134" w:type="dxa"/>
          </w:tcPr>
          <w:p w14:paraId="4489CF42" w14:textId="77777777" w:rsidR="009A7DBF" w:rsidRDefault="009A7DBF">
            <w:pPr>
              <w:widowControl w:val="0"/>
              <w:tabs>
                <w:tab w:val="left" w:pos="567"/>
              </w:tabs>
              <w:rPr>
                <w:rFonts w:eastAsia="Calibri"/>
                <w:sz w:val="22"/>
                <w:szCs w:val="22"/>
              </w:rPr>
            </w:pPr>
          </w:p>
        </w:tc>
        <w:tc>
          <w:tcPr>
            <w:tcW w:w="1276" w:type="dxa"/>
          </w:tcPr>
          <w:p w14:paraId="75E0F66F" w14:textId="77777777" w:rsidR="009A7DBF" w:rsidRDefault="003F4922">
            <w:pPr>
              <w:widowControl w:val="0"/>
              <w:tabs>
                <w:tab w:val="left" w:pos="567"/>
              </w:tabs>
              <w:rPr>
                <w:sz w:val="22"/>
                <w:szCs w:val="22"/>
              </w:rPr>
            </w:pPr>
            <w:r>
              <w:rPr>
                <w:rFonts w:eastAsia="Calibri"/>
                <w:sz w:val="22"/>
                <w:szCs w:val="22"/>
              </w:rPr>
              <w:t>Anafilaksinis šokas</w:t>
            </w:r>
            <w:r>
              <w:rPr>
                <w:rFonts w:eastAsia="Calibri"/>
                <w:sz w:val="22"/>
                <w:szCs w:val="22"/>
                <w:vertAlign w:val="superscript"/>
              </w:rPr>
              <w:t>4</w:t>
            </w:r>
            <w:r>
              <w:rPr>
                <w:rFonts w:eastAsia="Calibri"/>
                <w:sz w:val="22"/>
                <w:szCs w:val="22"/>
              </w:rPr>
              <w:t>, anafilaksinė reakcija</w:t>
            </w:r>
            <w:r>
              <w:rPr>
                <w:rFonts w:eastAsia="Calibri"/>
                <w:sz w:val="22"/>
                <w:szCs w:val="22"/>
                <w:vertAlign w:val="superscript"/>
              </w:rPr>
              <w:t>4</w:t>
            </w:r>
          </w:p>
        </w:tc>
        <w:tc>
          <w:tcPr>
            <w:tcW w:w="1984" w:type="dxa"/>
          </w:tcPr>
          <w:p w14:paraId="525AE9E6" w14:textId="77777777" w:rsidR="009A7DBF" w:rsidRDefault="009A7DBF">
            <w:pPr>
              <w:widowControl w:val="0"/>
              <w:tabs>
                <w:tab w:val="left" w:pos="567"/>
              </w:tabs>
              <w:rPr>
                <w:rFonts w:eastAsia="Calibri"/>
                <w:sz w:val="22"/>
                <w:szCs w:val="22"/>
              </w:rPr>
            </w:pPr>
          </w:p>
        </w:tc>
      </w:tr>
      <w:tr w:rsidR="009A7DBF" w14:paraId="31FC6CD2" w14:textId="77777777">
        <w:tc>
          <w:tcPr>
            <w:tcW w:w="1242" w:type="dxa"/>
          </w:tcPr>
          <w:p w14:paraId="1F5696C3" w14:textId="77777777" w:rsidR="009A7DBF" w:rsidRDefault="003F4922">
            <w:pPr>
              <w:widowControl w:val="0"/>
              <w:tabs>
                <w:tab w:val="center" w:pos="4536"/>
                <w:tab w:val="right" w:pos="9072"/>
              </w:tabs>
              <w:rPr>
                <w:rFonts w:eastAsia="Calibri"/>
                <w:b/>
                <w:sz w:val="22"/>
                <w:szCs w:val="22"/>
              </w:rPr>
            </w:pPr>
            <w:r>
              <w:rPr>
                <w:b/>
                <w:color w:val="000000"/>
                <w:sz w:val="22"/>
                <w:szCs w:val="22"/>
              </w:rPr>
              <w:t>Metabolizmo ir mitybos sutrikimai</w:t>
            </w:r>
          </w:p>
        </w:tc>
        <w:tc>
          <w:tcPr>
            <w:tcW w:w="993" w:type="dxa"/>
            <w:gridSpan w:val="2"/>
          </w:tcPr>
          <w:p w14:paraId="57E282E4" w14:textId="77777777" w:rsidR="009A7DBF" w:rsidRDefault="009A7DBF">
            <w:pPr>
              <w:widowControl w:val="0"/>
              <w:tabs>
                <w:tab w:val="left" w:pos="567"/>
              </w:tabs>
              <w:rPr>
                <w:rFonts w:eastAsia="Calibri"/>
                <w:sz w:val="22"/>
                <w:szCs w:val="22"/>
              </w:rPr>
            </w:pPr>
          </w:p>
        </w:tc>
        <w:tc>
          <w:tcPr>
            <w:tcW w:w="1417" w:type="dxa"/>
          </w:tcPr>
          <w:p w14:paraId="27C44CAE" w14:textId="77777777" w:rsidR="009A7DBF" w:rsidRDefault="009A7DBF">
            <w:pPr>
              <w:widowControl w:val="0"/>
              <w:tabs>
                <w:tab w:val="left" w:pos="567"/>
              </w:tabs>
              <w:rPr>
                <w:rFonts w:eastAsia="Calibri"/>
                <w:sz w:val="22"/>
                <w:szCs w:val="22"/>
              </w:rPr>
            </w:pPr>
          </w:p>
        </w:tc>
        <w:tc>
          <w:tcPr>
            <w:tcW w:w="1134" w:type="dxa"/>
          </w:tcPr>
          <w:p w14:paraId="30BE7F9C" w14:textId="77777777" w:rsidR="009A7DBF" w:rsidRDefault="003F4922">
            <w:pPr>
              <w:widowControl w:val="0"/>
              <w:tabs>
                <w:tab w:val="left" w:pos="567"/>
              </w:tabs>
              <w:rPr>
                <w:rFonts w:eastAsia="Calibri"/>
                <w:sz w:val="22"/>
                <w:szCs w:val="22"/>
                <w:lang w:val="lt-LT" w:eastAsia="en-US"/>
              </w:rPr>
            </w:pPr>
            <w:r>
              <w:rPr>
                <w:sz w:val="22"/>
                <w:szCs w:val="22"/>
              </w:rPr>
              <w:t>Hiperkalemija</w:t>
            </w:r>
          </w:p>
        </w:tc>
        <w:tc>
          <w:tcPr>
            <w:tcW w:w="1134" w:type="dxa"/>
          </w:tcPr>
          <w:p w14:paraId="173259B1" w14:textId="77777777" w:rsidR="009A7DBF" w:rsidRDefault="009A7DBF">
            <w:pPr>
              <w:widowControl w:val="0"/>
              <w:tabs>
                <w:tab w:val="left" w:pos="567"/>
              </w:tabs>
              <w:rPr>
                <w:rFonts w:eastAsia="Calibri"/>
                <w:sz w:val="22"/>
                <w:szCs w:val="22"/>
              </w:rPr>
            </w:pPr>
          </w:p>
        </w:tc>
        <w:tc>
          <w:tcPr>
            <w:tcW w:w="1276" w:type="dxa"/>
          </w:tcPr>
          <w:p w14:paraId="01A7A2DD" w14:textId="77777777" w:rsidR="009A7DBF" w:rsidRDefault="009A7DBF">
            <w:pPr>
              <w:widowControl w:val="0"/>
              <w:tabs>
                <w:tab w:val="left" w:pos="567"/>
              </w:tabs>
              <w:rPr>
                <w:rFonts w:eastAsia="Calibri"/>
                <w:sz w:val="22"/>
                <w:szCs w:val="22"/>
              </w:rPr>
            </w:pPr>
          </w:p>
        </w:tc>
        <w:tc>
          <w:tcPr>
            <w:tcW w:w="1984" w:type="dxa"/>
          </w:tcPr>
          <w:p w14:paraId="171F974F" w14:textId="77777777" w:rsidR="009A7DBF" w:rsidRDefault="009A7DBF">
            <w:pPr>
              <w:widowControl w:val="0"/>
              <w:tabs>
                <w:tab w:val="left" w:pos="567"/>
              </w:tabs>
              <w:rPr>
                <w:rFonts w:eastAsia="Calibri"/>
                <w:sz w:val="22"/>
                <w:szCs w:val="22"/>
              </w:rPr>
            </w:pPr>
          </w:p>
        </w:tc>
      </w:tr>
      <w:tr w:rsidR="009A7DBF" w14:paraId="11328E76" w14:textId="77777777">
        <w:tc>
          <w:tcPr>
            <w:tcW w:w="1242" w:type="dxa"/>
          </w:tcPr>
          <w:p w14:paraId="3BE77F55" w14:textId="77777777" w:rsidR="009A7DBF" w:rsidRDefault="003F4922">
            <w:pPr>
              <w:widowControl w:val="0"/>
              <w:tabs>
                <w:tab w:val="center" w:pos="4536"/>
                <w:tab w:val="right" w:pos="9072"/>
              </w:tabs>
              <w:rPr>
                <w:rFonts w:eastAsia="Calibri"/>
                <w:b/>
                <w:sz w:val="22"/>
                <w:szCs w:val="22"/>
              </w:rPr>
            </w:pPr>
            <w:r>
              <w:rPr>
                <w:b/>
                <w:color w:val="000000"/>
                <w:sz w:val="22"/>
                <w:szCs w:val="22"/>
              </w:rPr>
              <w:t>Psichikos sutrikimai</w:t>
            </w:r>
          </w:p>
        </w:tc>
        <w:tc>
          <w:tcPr>
            <w:tcW w:w="993" w:type="dxa"/>
            <w:gridSpan w:val="2"/>
          </w:tcPr>
          <w:p w14:paraId="3B0CA334" w14:textId="77777777" w:rsidR="009A7DBF" w:rsidRDefault="009A7DBF">
            <w:pPr>
              <w:widowControl w:val="0"/>
              <w:tabs>
                <w:tab w:val="left" w:pos="567"/>
              </w:tabs>
              <w:rPr>
                <w:rFonts w:eastAsia="Calibri"/>
                <w:sz w:val="22"/>
                <w:szCs w:val="22"/>
              </w:rPr>
            </w:pPr>
          </w:p>
        </w:tc>
        <w:tc>
          <w:tcPr>
            <w:tcW w:w="1417" w:type="dxa"/>
          </w:tcPr>
          <w:p w14:paraId="6EDDD06A" w14:textId="77777777" w:rsidR="009A7DBF" w:rsidRDefault="003F4922">
            <w:pPr>
              <w:widowControl w:val="0"/>
              <w:tabs>
                <w:tab w:val="left" w:pos="567"/>
              </w:tabs>
              <w:rPr>
                <w:rFonts w:eastAsia="Calibri"/>
                <w:sz w:val="22"/>
                <w:szCs w:val="22"/>
                <w:lang w:val="lt-LT" w:eastAsia="en-US"/>
              </w:rPr>
            </w:pPr>
            <w:r>
              <w:rPr>
                <w:color w:val="000000"/>
                <w:sz w:val="22"/>
                <w:szCs w:val="22"/>
              </w:rPr>
              <w:t>Nemiga</w:t>
            </w:r>
          </w:p>
        </w:tc>
        <w:tc>
          <w:tcPr>
            <w:tcW w:w="1134" w:type="dxa"/>
          </w:tcPr>
          <w:p w14:paraId="4E915A22" w14:textId="77777777" w:rsidR="009A7DBF" w:rsidRDefault="003F4922">
            <w:pPr>
              <w:widowControl w:val="0"/>
              <w:tabs>
                <w:tab w:val="left" w:pos="567"/>
              </w:tabs>
              <w:rPr>
                <w:rFonts w:eastAsia="Calibri"/>
                <w:sz w:val="22"/>
                <w:szCs w:val="22"/>
                <w:lang w:val="lt-LT" w:eastAsia="en-US"/>
              </w:rPr>
            </w:pPr>
            <w:r>
              <w:rPr>
                <w:sz w:val="22"/>
                <w:szCs w:val="22"/>
              </w:rPr>
              <w:t>Nerimas, depresija, nuovargis</w:t>
            </w:r>
          </w:p>
        </w:tc>
        <w:tc>
          <w:tcPr>
            <w:tcW w:w="1134" w:type="dxa"/>
          </w:tcPr>
          <w:p w14:paraId="393BAC49" w14:textId="77777777" w:rsidR="009A7DBF" w:rsidRDefault="003F4922">
            <w:pPr>
              <w:widowControl w:val="0"/>
              <w:tabs>
                <w:tab w:val="left" w:pos="567"/>
              </w:tabs>
              <w:rPr>
                <w:rFonts w:eastAsia="Calibri"/>
                <w:sz w:val="22"/>
                <w:szCs w:val="22"/>
              </w:rPr>
            </w:pPr>
            <w:r>
              <w:rPr>
                <w:rFonts w:eastAsia="Calibri"/>
                <w:color w:val="000000"/>
                <w:sz w:val="22"/>
                <w:szCs w:val="22"/>
                <w:lang w:eastAsia="cs-CZ"/>
              </w:rPr>
              <w:t>Sumišimo būsena, haliucinacijos</w:t>
            </w:r>
            <w:r>
              <w:rPr>
                <w:rFonts w:eastAsia="Calibri"/>
                <w:color w:val="000000"/>
                <w:sz w:val="22"/>
                <w:szCs w:val="22"/>
                <w:vertAlign w:val="superscript"/>
                <w:lang w:eastAsia="cs-CZ"/>
              </w:rPr>
              <w:t>4</w:t>
            </w:r>
          </w:p>
        </w:tc>
        <w:tc>
          <w:tcPr>
            <w:tcW w:w="1276" w:type="dxa"/>
          </w:tcPr>
          <w:p w14:paraId="414D2F81" w14:textId="77777777" w:rsidR="009A7DBF" w:rsidRDefault="009A7DBF">
            <w:pPr>
              <w:widowControl w:val="0"/>
              <w:tabs>
                <w:tab w:val="left" w:pos="567"/>
              </w:tabs>
              <w:rPr>
                <w:sz w:val="22"/>
                <w:szCs w:val="22"/>
              </w:rPr>
            </w:pPr>
          </w:p>
        </w:tc>
        <w:tc>
          <w:tcPr>
            <w:tcW w:w="1984" w:type="dxa"/>
          </w:tcPr>
          <w:p w14:paraId="4924508A" w14:textId="77777777" w:rsidR="009A7DBF" w:rsidRDefault="009A7DBF">
            <w:pPr>
              <w:widowControl w:val="0"/>
              <w:tabs>
                <w:tab w:val="left" w:pos="567"/>
              </w:tabs>
              <w:rPr>
                <w:rFonts w:eastAsia="Calibri"/>
                <w:sz w:val="22"/>
                <w:szCs w:val="22"/>
              </w:rPr>
            </w:pPr>
          </w:p>
        </w:tc>
      </w:tr>
      <w:tr w:rsidR="009A7DBF" w14:paraId="55916FB2" w14:textId="77777777">
        <w:tc>
          <w:tcPr>
            <w:tcW w:w="1242" w:type="dxa"/>
          </w:tcPr>
          <w:p w14:paraId="5B8FED8D" w14:textId="77777777" w:rsidR="009A7DBF" w:rsidRDefault="003F4922">
            <w:pPr>
              <w:widowControl w:val="0"/>
              <w:rPr>
                <w:rFonts w:eastAsia="Calibri"/>
                <w:b/>
                <w:sz w:val="22"/>
                <w:szCs w:val="22"/>
              </w:rPr>
            </w:pPr>
            <w:r>
              <w:rPr>
                <w:b/>
                <w:color w:val="000000"/>
                <w:sz w:val="22"/>
                <w:szCs w:val="22"/>
              </w:rPr>
              <w:t>Nervų sistemos sutrikimai</w:t>
            </w:r>
          </w:p>
        </w:tc>
        <w:tc>
          <w:tcPr>
            <w:tcW w:w="993" w:type="dxa"/>
            <w:gridSpan w:val="2"/>
          </w:tcPr>
          <w:p w14:paraId="3B992C44" w14:textId="77777777" w:rsidR="009A7DBF" w:rsidRDefault="009A7DBF">
            <w:pPr>
              <w:widowControl w:val="0"/>
              <w:tabs>
                <w:tab w:val="left" w:pos="567"/>
              </w:tabs>
              <w:rPr>
                <w:rFonts w:eastAsia="Calibri"/>
                <w:sz w:val="22"/>
                <w:szCs w:val="22"/>
              </w:rPr>
            </w:pPr>
          </w:p>
        </w:tc>
        <w:tc>
          <w:tcPr>
            <w:tcW w:w="1417" w:type="dxa"/>
          </w:tcPr>
          <w:p w14:paraId="7E43F1B5" w14:textId="77777777" w:rsidR="009A7DBF" w:rsidRDefault="003F4922">
            <w:pPr>
              <w:widowControl w:val="0"/>
              <w:tabs>
                <w:tab w:val="left" w:pos="567"/>
              </w:tabs>
              <w:rPr>
                <w:rFonts w:eastAsia="Calibri"/>
                <w:sz w:val="22"/>
                <w:szCs w:val="22"/>
                <w:lang w:val="lt-LT" w:eastAsia="en-US"/>
              </w:rPr>
            </w:pPr>
            <w:r>
              <w:rPr>
                <w:color w:val="000000"/>
                <w:sz w:val="22"/>
                <w:szCs w:val="22"/>
              </w:rPr>
              <w:t>Svaigulys, hipertonija</w:t>
            </w:r>
            <w:r>
              <w:rPr>
                <w:color w:val="000000"/>
                <w:sz w:val="22"/>
                <w:szCs w:val="22"/>
                <w:lang w:eastAsia="cs-CZ"/>
              </w:rPr>
              <w:t>,</w:t>
            </w:r>
            <w:r>
              <w:rPr>
                <w:rFonts w:eastAsia="Calibri"/>
                <w:color w:val="000000"/>
                <w:sz w:val="22"/>
                <w:szCs w:val="22"/>
                <w:lang w:eastAsia="cs-CZ"/>
              </w:rPr>
              <w:t xml:space="preserve"> galvos skausmas</w:t>
            </w:r>
            <w:r>
              <w:rPr>
                <w:rFonts w:eastAsia="Calibri"/>
                <w:color w:val="000000"/>
                <w:sz w:val="22"/>
                <w:szCs w:val="22"/>
                <w:vertAlign w:val="superscript"/>
                <w:lang w:eastAsia="cs-CZ"/>
              </w:rPr>
              <w:t>4</w:t>
            </w:r>
          </w:p>
        </w:tc>
        <w:tc>
          <w:tcPr>
            <w:tcW w:w="1134" w:type="dxa"/>
          </w:tcPr>
          <w:p w14:paraId="0F9CB820" w14:textId="77777777" w:rsidR="009A7DBF" w:rsidRDefault="003F4922">
            <w:pPr>
              <w:widowControl w:val="0"/>
              <w:tabs>
                <w:tab w:val="left" w:pos="567"/>
              </w:tabs>
              <w:rPr>
                <w:rFonts w:eastAsia="Calibri"/>
                <w:sz w:val="22"/>
                <w:szCs w:val="22"/>
              </w:rPr>
            </w:pPr>
            <w:r>
              <w:rPr>
                <w:rFonts w:eastAsia="Calibri"/>
                <w:bCs/>
                <w:sz w:val="22"/>
                <w:szCs w:val="22"/>
              </w:rPr>
              <w:t>Smegenų infarktas</w:t>
            </w:r>
            <w:r>
              <w:rPr>
                <w:rFonts w:eastAsia="Calibri"/>
                <w:bCs/>
                <w:sz w:val="22"/>
                <w:szCs w:val="22"/>
                <w:vertAlign w:val="superscript"/>
              </w:rPr>
              <w:t>1</w:t>
            </w:r>
            <w:r>
              <w:rPr>
                <w:rFonts w:eastAsia="Calibri"/>
                <w:bCs/>
                <w:sz w:val="22"/>
                <w:szCs w:val="22"/>
              </w:rPr>
              <w:t>, parestezija</w:t>
            </w:r>
            <w:r>
              <w:rPr>
                <w:rFonts w:eastAsia="Calibri"/>
                <w:sz w:val="22"/>
                <w:szCs w:val="22"/>
              </w:rPr>
              <w:t>, somnolencija</w:t>
            </w:r>
          </w:p>
        </w:tc>
        <w:tc>
          <w:tcPr>
            <w:tcW w:w="1134" w:type="dxa"/>
          </w:tcPr>
          <w:p w14:paraId="0A505169" w14:textId="77777777" w:rsidR="009A7DBF" w:rsidRDefault="003F4922">
            <w:pPr>
              <w:widowControl w:val="0"/>
              <w:tabs>
                <w:tab w:val="left" w:pos="567"/>
              </w:tabs>
              <w:rPr>
                <w:rFonts w:eastAsia="Calibri"/>
                <w:sz w:val="22"/>
                <w:szCs w:val="22"/>
                <w:lang w:val="lt-LT" w:eastAsia="en-US"/>
              </w:rPr>
            </w:pPr>
            <w:r>
              <w:rPr>
                <w:sz w:val="22"/>
                <w:szCs w:val="22"/>
              </w:rPr>
              <w:t xml:space="preserve">Ataksija, </w:t>
            </w:r>
            <w:r>
              <w:rPr>
                <w:rFonts w:eastAsia="Calibri"/>
                <w:sz w:val="22"/>
                <w:szCs w:val="22"/>
              </w:rPr>
              <w:t>disgeuzija</w:t>
            </w:r>
          </w:p>
        </w:tc>
        <w:tc>
          <w:tcPr>
            <w:tcW w:w="1276" w:type="dxa"/>
          </w:tcPr>
          <w:p w14:paraId="464FDBF2" w14:textId="77777777" w:rsidR="009A7DBF" w:rsidRDefault="003F4922">
            <w:pPr>
              <w:widowControl w:val="0"/>
              <w:tabs>
                <w:tab w:val="left" w:pos="567"/>
              </w:tabs>
              <w:rPr>
                <w:sz w:val="22"/>
                <w:szCs w:val="22"/>
              </w:rPr>
            </w:pPr>
            <w:r>
              <w:rPr>
                <w:rFonts w:eastAsia="Calibri"/>
                <w:sz w:val="22"/>
                <w:szCs w:val="22"/>
              </w:rPr>
              <w:t>Kraujavimas į kaukolės ertmę (įskaitant mirtiną kraujavimą į kaukolės ertmę)</w:t>
            </w:r>
            <w:r>
              <w:rPr>
                <w:rFonts w:eastAsia="Calibri"/>
                <w:sz w:val="22"/>
                <w:szCs w:val="22"/>
                <w:vertAlign w:val="superscript"/>
              </w:rPr>
              <w:t>4</w:t>
            </w:r>
            <w:r>
              <w:rPr>
                <w:rFonts w:eastAsia="Calibri"/>
                <w:sz w:val="22"/>
                <w:szCs w:val="22"/>
              </w:rPr>
              <w:t>, aseptinis meningitas</w:t>
            </w:r>
            <w:r>
              <w:rPr>
                <w:rFonts w:eastAsia="Calibri"/>
                <w:sz w:val="22"/>
                <w:szCs w:val="22"/>
                <w:vertAlign w:val="superscript"/>
              </w:rPr>
              <w:t>4</w:t>
            </w:r>
            <w:r>
              <w:rPr>
                <w:rFonts w:eastAsia="Calibri"/>
                <w:sz w:val="22"/>
                <w:szCs w:val="22"/>
              </w:rPr>
              <w:t>, epilepsija (įskaitant epilepsijos pasunkėjimą)</w:t>
            </w:r>
            <w:r>
              <w:rPr>
                <w:rFonts w:eastAsia="Calibri"/>
                <w:sz w:val="22"/>
                <w:szCs w:val="22"/>
                <w:vertAlign w:val="superscript"/>
              </w:rPr>
              <w:t>4</w:t>
            </w:r>
            <w:r>
              <w:rPr>
                <w:rFonts w:eastAsia="Calibri"/>
                <w:sz w:val="22"/>
                <w:szCs w:val="22"/>
              </w:rPr>
              <w:t>, skonio pojūčio netekimas</w:t>
            </w:r>
            <w:r>
              <w:rPr>
                <w:rFonts w:eastAsia="Calibri"/>
                <w:sz w:val="22"/>
                <w:szCs w:val="22"/>
                <w:vertAlign w:val="superscript"/>
              </w:rPr>
              <w:t>4</w:t>
            </w:r>
            <w:r>
              <w:rPr>
                <w:rFonts w:eastAsia="Calibri"/>
                <w:sz w:val="22"/>
                <w:szCs w:val="22"/>
              </w:rPr>
              <w:t>, uoslės pojūčio netekimas</w:t>
            </w:r>
            <w:r>
              <w:rPr>
                <w:rFonts w:eastAsia="Calibri"/>
                <w:sz w:val="22"/>
                <w:szCs w:val="22"/>
                <w:vertAlign w:val="superscript"/>
              </w:rPr>
              <w:t>4</w:t>
            </w:r>
          </w:p>
        </w:tc>
        <w:tc>
          <w:tcPr>
            <w:tcW w:w="1984" w:type="dxa"/>
          </w:tcPr>
          <w:p w14:paraId="00B5B29A" w14:textId="77777777" w:rsidR="009A7DBF" w:rsidRDefault="009A7DBF">
            <w:pPr>
              <w:widowControl w:val="0"/>
              <w:tabs>
                <w:tab w:val="left" w:pos="567"/>
              </w:tabs>
              <w:rPr>
                <w:rFonts w:eastAsia="Calibri"/>
                <w:sz w:val="22"/>
                <w:szCs w:val="22"/>
              </w:rPr>
            </w:pPr>
          </w:p>
        </w:tc>
      </w:tr>
      <w:tr w:rsidR="009A7DBF" w14:paraId="57D06BA0" w14:textId="77777777">
        <w:tc>
          <w:tcPr>
            <w:tcW w:w="1242" w:type="dxa"/>
          </w:tcPr>
          <w:p w14:paraId="4776F0E2" w14:textId="77777777" w:rsidR="009A7DBF" w:rsidRDefault="003F4922">
            <w:pPr>
              <w:widowControl w:val="0"/>
              <w:tabs>
                <w:tab w:val="center" w:pos="4536"/>
                <w:tab w:val="right" w:pos="9072"/>
              </w:tabs>
              <w:rPr>
                <w:rFonts w:eastAsia="Calibri"/>
                <w:b/>
                <w:sz w:val="22"/>
                <w:szCs w:val="22"/>
              </w:rPr>
            </w:pPr>
            <w:r>
              <w:rPr>
                <w:b/>
                <w:color w:val="000000"/>
                <w:sz w:val="22"/>
                <w:szCs w:val="22"/>
              </w:rPr>
              <w:t>Akių sutrikimai</w:t>
            </w:r>
          </w:p>
        </w:tc>
        <w:tc>
          <w:tcPr>
            <w:tcW w:w="993" w:type="dxa"/>
            <w:gridSpan w:val="2"/>
          </w:tcPr>
          <w:p w14:paraId="3903DEA6" w14:textId="77777777" w:rsidR="009A7DBF" w:rsidRDefault="009A7DBF">
            <w:pPr>
              <w:widowControl w:val="0"/>
              <w:tabs>
                <w:tab w:val="left" w:pos="567"/>
              </w:tabs>
              <w:rPr>
                <w:rFonts w:eastAsia="Calibri"/>
                <w:sz w:val="22"/>
                <w:szCs w:val="22"/>
              </w:rPr>
            </w:pPr>
          </w:p>
        </w:tc>
        <w:tc>
          <w:tcPr>
            <w:tcW w:w="1417" w:type="dxa"/>
          </w:tcPr>
          <w:p w14:paraId="64816A42" w14:textId="77777777" w:rsidR="009A7DBF" w:rsidRDefault="009A7DBF">
            <w:pPr>
              <w:widowControl w:val="0"/>
              <w:tabs>
                <w:tab w:val="left" w:pos="567"/>
              </w:tabs>
              <w:rPr>
                <w:rFonts w:eastAsia="Calibri"/>
                <w:sz w:val="22"/>
                <w:szCs w:val="22"/>
              </w:rPr>
            </w:pPr>
          </w:p>
        </w:tc>
        <w:tc>
          <w:tcPr>
            <w:tcW w:w="1134" w:type="dxa"/>
          </w:tcPr>
          <w:p w14:paraId="53D64BA7" w14:textId="77777777" w:rsidR="009A7DBF" w:rsidRDefault="003F4922">
            <w:pPr>
              <w:widowControl w:val="0"/>
              <w:tabs>
                <w:tab w:val="left" w:pos="567"/>
              </w:tabs>
              <w:rPr>
                <w:rFonts w:eastAsia="Calibri"/>
                <w:sz w:val="22"/>
                <w:szCs w:val="22"/>
                <w:lang w:val="lt-LT" w:eastAsia="en-US"/>
              </w:rPr>
            </w:pPr>
            <w:r>
              <w:rPr>
                <w:sz w:val="22"/>
                <w:szCs w:val="22"/>
              </w:rPr>
              <w:t>Miglotas matymas</w:t>
            </w:r>
            <w:r>
              <w:rPr>
                <w:bCs/>
                <w:sz w:val="22"/>
                <w:szCs w:val="22"/>
              </w:rPr>
              <w:t>,</w:t>
            </w:r>
            <w:r>
              <w:rPr>
                <w:rFonts w:eastAsia="Calibri"/>
                <w:bCs/>
                <w:sz w:val="22"/>
                <w:szCs w:val="22"/>
              </w:rPr>
              <w:t xml:space="preserve"> konjunktyvitas</w:t>
            </w:r>
            <w:r>
              <w:rPr>
                <w:rFonts w:eastAsia="Calibri"/>
                <w:bCs/>
                <w:sz w:val="22"/>
                <w:szCs w:val="22"/>
                <w:vertAlign w:val="superscript"/>
              </w:rPr>
              <w:t>4</w:t>
            </w:r>
          </w:p>
        </w:tc>
        <w:tc>
          <w:tcPr>
            <w:tcW w:w="1134" w:type="dxa"/>
          </w:tcPr>
          <w:p w14:paraId="5F21322A" w14:textId="77777777" w:rsidR="009A7DBF" w:rsidRDefault="003F4922">
            <w:pPr>
              <w:widowControl w:val="0"/>
              <w:tabs>
                <w:tab w:val="left" w:pos="567"/>
              </w:tabs>
              <w:rPr>
                <w:rFonts w:eastAsia="Calibri"/>
                <w:sz w:val="22"/>
                <w:szCs w:val="22"/>
              </w:rPr>
            </w:pPr>
            <w:r>
              <w:rPr>
                <w:rFonts w:eastAsia="Calibri"/>
                <w:sz w:val="22"/>
                <w:szCs w:val="22"/>
              </w:rPr>
              <w:t>Kraujavimas į akį</w:t>
            </w:r>
            <w:r>
              <w:rPr>
                <w:rFonts w:eastAsia="Calibri"/>
                <w:sz w:val="22"/>
                <w:szCs w:val="22"/>
                <w:vertAlign w:val="superscript"/>
              </w:rPr>
              <w:t>4</w:t>
            </w:r>
          </w:p>
        </w:tc>
        <w:tc>
          <w:tcPr>
            <w:tcW w:w="1276" w:type="dxa"/>
          </w:tcPr>
          <w:p w14:paraId="178E4FB3" w14:textId="77777777" w:rsidR="009A7DBF" w:rsidRDefault="003F4922">
            <w:pPr>
              <w:widowControl w:val="0"/>
              <w:rPr>
                <w:sz w:val="22"/>
                <w:szCs w:val="22"/>
              </w:rPr>
            </w:pPr>
            <w:r>
              <w:rPr>
                <w:rFonts w:eastAsia="Calibri"/>
                <w:sz w:val="22"/>
                <w:szCs w:val="22"/>
              </w:rPr>
              <w:t>Tinklainės arterijos okliuzija</w:t>
            </w:r>
            <w:r>
              <w:rPr>
                <w:rFonts w:eastAsia="Calibri"/>
                <w:sz w:val="22"/>
                <w:szCs w:val="22"/>
                <w:vertAlign w:val="superscript"/>
              </w:rPr>
              <w:t>4</w:t>
            </w:r>
            <w:r>
              <w:rPr>
                <w:rFonts w:eastAsia="Calibri"/>
                <w:sz w:val="22"/>
                <w:szCs w:val="22"/>
              </w:rPr>
              <w:t>, tinklainės venos okliuzija</w:t>
            </w:r>
            <w:r>
              <w:rPr>
                <w:rFonts w:eastAsia="Calibri"/>
                <w:sz w:val="22"/>
                <w:szCs w:val="22"/>
                <w:vertAlign w:val="superscript"/>
              </w:rPr>
              <w:t>4</w:t>
            </w:r>
          </w:p>
        </w:tc>
        <w:tc>
          <w:tcPr>
            <w:tcW w:w="1984" w:type="dxa"/>
          </w:tcPr>
          <w:p w14:paraId="499442B8" w14:textId="77777777" w:rsidR="009A7DBF" w:rsidRDefault="009A7DBF">
            <w:pPr>
              <w:widowControl w:val="0"/>
              <w:rPr>
                <w:rFonts w:eastAsia="Calibri"/>
                <w:sz w:val="22"/>
                <w:szCs w:val="22"/>
              </w:rPr>
            </w:pPr>
          </w:p>
        </w:tc>
      </w:tr>
      <w:tr w:rsidR="009A7DBF" w14:paraId="6135EBEF" w14:textId="77777777">
        <w:tc>
          <w:tcPr>
            <w:tcW w:w="1242" w:type="dxa"/>
          </w:tcPr>
          <w:p w14:paraId="71BDD0B5" w14:textId="77777777" w:rsidR="009A7DBF" w:rsidRDefault="003F4922">
            <w:pPr>
              <w:widowControl w:val="0"/>
              <w:tabs>
                <w:tab w:val="center" w:pos="4536"/>
                <w:tab w:val="right" w:pos="9072"/>
              </w:tabs>
              <w:rPr>
                <w:rFonts w:eastAsia="Calibri"/>
                <w:b/>
                <w:sz w:val="22"/>
                <w:szCs w:val="22"/>
              </w:rPr>
            </w:pPr>
            <w:r>
              <w:rPr>
                <w:b/>
                <w:color w:val="000000"/>
                <w:sz w:val="22"/>
                <w:szCs w:val="22"/>
              </w:rPr>
              <w:t>Ausų ir labirintų sutrikimai</w:t>
            </w:r>
          </w:p>
        </w:tc>
        <w:tc>
          <w:tcPr>
            <w:tcW w:w="993" w:type="dxa"/>
            <w:gridSpan w:val="2"/>
          </w:tcPr>
          <w:p w14:paraId="19FCAC10" w14:textId="77777777" w:rsidR="009A7DBF" w:rsidRDefault="009A7DBF">
            <w:pPr>
              <w:widowControl w:val="0"/>
              <w:tabs>
                <w:tab w:val="left" w:pos="567"/>
              </w:tabs>
              <w:rPr>
                <w:rFonts w:eastAsia="Calibri"/>
                <w:sz w:val="22"/>
                <w:szCs w:val="22"/>
              </w:rPr>
            </w:pPr>
          </w:p>
        </w:tc>
        <w:tc>
          <w:tcPr>
            <w:tcW w:w="1417" w:type="dxa"/>
          </w:tcPr>
          <w:p w14:paraId="0D61A27B" w14:textId="77777777" w:rsidR="009A7DBF" w:rsidRDefault="009A7DBF">
            <w:pPr>
              <w:widowControl w:val="0"/>
              <w:tabs>
                <w:tab w:val="left" w:pos="567"/>
              </w:tabs>
              <w:rPr>
                <w:rFonts w:eastAsia="Calibri"/>
                <w:sz w:val="22"/>
                <w:szCs w:val="22"/>
              </w:rPr>
            </w:pPr>
          </w:p>
        </w:tc>
        <w:tc>
          <w:tcPr>
            <w:tcW w:w="1134" w:type="dxa"/>
          </w:tcPr>
          <w:p w14:paraId="75A2F2CA" w14:textId="77777777" w:rsidR="009A7DBF" w:rsidRDefault="003F4922">
            <w:pPr>
              <w:widowControl w:val="0"/>
              <w:tabs>
                <w:tab w:val="left" w:pos="567"/>
              </w:tabs>
              <w:rPr>
                <w:rFonts w:eastAsia="Calibri"/>
                <w:sz w:val="22"/>
                <w:szCs w:val="22"/>
                <w:lang w:val="lt-LT" w:eastAsia="en-US"/>
              </w:rPr>
            </w:pPr>
            <w:r>
              <w:rPr>
                <w:sz w:val="22"/>
                <w:szCs w:val="22"/>
              </w:rPr>
              <w:t>Ūžesys (</w:t>
            </w:r>
            <w:r>
              <w:rPr>
                <w:i/>
                <w:sz w:val="22"/>
                <w:szCs w:val="22"/>
              </w:rPr>
              <w:t>tinnitus</w:t>
            </w:r>
            <w:r>
              <w:rPr>
                <w:sz w:val="22"/>
                <w:szCs w:val="22"/>
              </w:rPr>
              <w:t>), klausos susilpnėjimas</w:t>
            </w:r>
            <w:r>
              <w:rPr>
                <w:color w:val="000000"/>
                <w:sz w:val="22"/>
                <w:szCs w:val="22"/>
                <w:vertAlign w:val="superscript"/>
              </w:rPr>
              <w:t>1</w:t>
            </w:r>
          </w:p>
        </w:tc>
        <w:tc>
          <w:tcPr>
            <w:tcW w:w="1134" w:type="dxa"/>
          </w:tcPr>
          <w:p w14:paraId="074932BC" w14:textId="77777777" w:rsidR="009A7DBF" w:rsidRDefault="009A7DBF">
            <w:pPr>
              <w:widowControl w:val="0"/>
              <w:tabs>
                <w:tab w:val="left" w:pos="567"/>
              </w:tabs>
              <w:rPr>
                <w:rFonts w:eastAsia="Calibri"/>
                <w:sz w:val="22"/>
                <w:szCs w:val="22"/>
              </w:rPr>
            </w:pPr>
          </w:p>
        </w:tc>
        <w:tc>
          <w:tcPr>
            <w:tcW w:w="1276" w:type="dxa"/>
          </w:tcPr>
          <w:p w14:paraId="1E2C19CF" w14:textId="77777777" w:rsidR="009A7DBF" w:rsidRDefault="009A7DBF">
            <w:pPr>
              <w:widowControl w:val="0"/>
              <w:tabs>
                <w:tab w:val="left" w:pos="567"/>
              </w:tabs>
              <w:rPr>
                <w:rFonts w:eastAsia="Calibri"/>
                <w:sz w:val="22"/>
                <w:szCs w:val="22"/>
              </w:rPr>
            </w:pPr>
          </w:p>
        </w:tc>
        <w:tc>
          <w:tcPr>
            <w:tcW w:w="1984" w:type="dxa"/>
          </w:tcPr>
          <w:p w14:paraId="1CE6E6EE" w14:textId="77777777" w:rsidR="009A7DBF" w:rsidRDefault="009A7DBF">
            <w:pPr>
              <w:widowControl w:val="0"/>
              <w:tabs>
                <w:tab w:val="left" w:pos="567"/>
              </w:tabs>
              <w:rPr>
                <w:rFonts w:eastAsia="Calibri"/>
                <w:sz w:val="22"/>
                <w:szCs w:val="22"/>
              </w:rPr>
            </w:pPr>
          </w:p>
        </w:tc>
      </w:tr>
      <w:tr w:rsidR="009A7DBF" w14:paraId="6EDCE944" w14:textId="77777777">
        <w:tc>
          <w:tcPr>
            <w:tcW w:w="1242" w:type="dxa"/>
          </w:tcPr>
          <w:p w14:paraId="6CA927DB" w14:textId="77777777" w:rsidR="009A7DBF" w:rsidRDefault="003F4922">
            <w:pPr>
              <w:widowControl w:val="0"/>
              <w:tabs>
                <w:tab w:val="center" w:pos="4536"/>
                <w:tab w:val="right" w:pos="9072"/>
              </w:tabs>
              <w:rPr>
                <w:rFonts w:eastAsia="Calibri"/>
                <w:b/>
                <w:sz w:val="22"/>
                <w:szCs w:val="22"/>
              </w:rPr>
            </w:pPr>
            <w:r>
              <w:rPr>
                <w:b/>
                <w:color w:val="000000"/>
                <w:sz w:val="22"/>
                <w:szCs w:val="22"/>
              </w:rPr>
              <w:t>Širdies sutrikimai</w:t>
            </w:r>
          </w:p>
        </w:tc>
        <w:tc>
          <w:tcPr>
            <w:tcW w:w="993" w:type="dxa"/>
            <w:gridSpan w:val="2"/>
          </w:tcPr>
          <w:p w14:paraId="306AFC50" w14:textId="77777777" w:rsidR="009A7DBF" w:rsidRDefault="009A7DBF">
            <w:pPr>
              <w:widowControl w:val="0"/>
              <w:tabs>
                <w:tab w:val="left" w:pos="567"/>
              </w:tabs>
              <w:rPr>
                <w:rFonts w:eastAsia="Calibri"/>
                <w:sz w:val="22"/>
                <w:szCs w:val="22"/>
              </w:rPr>
            </w:pPr>
          </w:p>
        </w:tc>
        <w:tc>
          <w:tcPr>
            <w:tcW w:w="1417" w:type="dxa"/>
          </w:tcPr>
          <w:p w14:paraId="135E575E" w14:textId="77777777" w:rsidR="009A7DBF" w:rsidRDefault="003F4922">
            <w:pPr>
              <w:widowControl w:val="0"/>
              <w:tabs>
                <w:tab w:val="left" w:pos="567"/>
              </w:tabs>
              <w:rPr>
                <w:rFonts w:eastAsia="Calibri"/>
                <w:sz w:val="22"/>
                <w:szCs w:val="22"/>
                <w:lang w:val="lt-LT" w:eastAsia="en-US"/>
              </w:rPr>
            </w:pPr>
            <w:r>
              <w:rPr>
                <w:sz w:val="22"/>
                <w:szCs w:val="22"/>
              </w:rPr>
              <w:t>Miokardo infarktas</w:t>
            </w:r>
            <w:r>
              <w:rPr>
                <w:color w:val="000000"/>
                <w:sz w:val="22"/>
                <w:szCs w:val="22"/>
                <w:vertAlign w:val="superscript"/>
              </w:rPr>
              <w:t>1</w:t>
            </w:r>
          </w:p>
        </w:tc>
        <w:tc>
          <w:tcPr>
            <w:tcW w:w="1134" w:type="dxa"/>
          </w:tcPr>
          <w:p w14:paraId="254A5D82" w14:textId="77777777" w:rsidR="009A7DBF" w:rsidRDefault="003F4922">
            <w:pPr>
              <w:widowControl w:val="0"/>
              <w:tabs>
                <w:tab w:val="left" w:pos="567"/>
              </w:tabs>
              <w:rPr>
                <w:rFonts w:eastAsia="Calibri"/>
                <w:sz w:val="22"/>
                <w:szCs w:val="22"/>
                <w:lang w:val="lt-LT" w:eastAsia="en-US"/>
              </w:rPr>
            </w:pPr>
            <w:r>
              <w:rPr>
                <w:rFonts w:eastAsia="Calibri"/>
                <w:sz w:val="22"/>
                <w:szCs w:val="22"/>
              </w:rPr>
              <w:t>Širdies nepakankamumas, palpitacija, tachikardija</w:t>
            </w:r>
          </w:p>
        </w:tc>
        <w:tc>
          <w:tcPr>
            <w:tcW w:w="1134" w:type="dxa"/>
          </w:tcPr>
          <w:p w14:paraId="30F20C16" w14:textId="77777777" w:rsidR="009A7DBF" w:rsidRDefault="003F4922">
            <w:pPr>
              <w:widowControl w:val="0"/>
              <w:tabs>
                <w:tab w:val="left" w:pos="567"/>
              </w:tabs>
              <w:rPr>
                <w:rFonts w:eastAsia="Calibri"/>
                <w:sz w:val="22"/>
                <w:szCs w:val="22"/>
              </w:rPr>
            </w:pPr>
            <w:r>
              <w:rPr>
                <w:rFonts w:eastAsia="Calibri"/>
                <w:bCs/>
                <w:sz w:val="22"/>
                <w:szCs w:val="22"/>
              </w:rPr>
              <w:t>Aritmija</w:t>
            </w:r>
            <w:r>
              <w:rPr>
                <w:rFonts w:eastAsia="Calibri"/>
                <w:bCs/>
                <w:sz w:val="22"/>
                <w:szCs w:val="22"/>
                <w:vertAlign w:val="superscript"/>
              </w:rPr>
              <w:t>4</w:t>
            </w:r>
          </w:p>
        </w:tc>
        <w:tc>
          <w:tcPr>
            <w:tcW w:w="1276" w:type="dxa"/>
          </w:tcPr>
          <w:p w14:paraId="50C662E3" w14:textId="77777777" w:rsidR="009A7DBF" w:rsidRDefault="009A7DBF">
            <w:pPr>
              <w:widowControl w:val="0"/>
              <w:tabs>
                <w:tab w:val="left" w:pos="567"/>
              </w:tabs>
              <w:rPr>
                <w:sz w:val="22"/>
                <w:szCs w:val="22"/>
              </w:rPr>
            </w:pPr>
          </w:p>
        </w:tc>
        <w:tc>
          <w:tcPr>
            <w:tcW w:w="1984" w:type="dxa"/>
          </w:tcPr>
          <w:p w14:paraId="65CC6F76" w14:textId="77777777" w:rsidR="009A7DBF" w:rsidRDefault="009A7DBF">
            <w:pPr>
              <w:widowControl w:val="0"/>
              <w:tabs>
                <w:tab w:val="left" w:pos="567"/>
              </w:tabs>
              <w:rPr>
                <w:rFonts w:eastAsia="Calibri"/>
                <w:sz w:val="22"/>
                <w:szCs w:val="22"/>
              </w:rPr>
            </w:pPr>
          </w:p>
        </w:tc>
      </w:tr>
      <w:tr w:rsidR="009A7DBF" w14:paraId="054E3306" w14:textId="77777777">
        <w:tc>
          <w:tcPr>
            <w:tcW w:w="1242" w:type="dxa"/>
          </w:tcPr>
          <w:p w14:paraId="2BEDC905" w14:textId="77777777" w:rsidR="009A7DBF" w:rsidRDefault="003F4922">
            <w:pPr>
              <w:widowControl w:val="0"/>
              <w:tabs>
                <w:tab w:val="center" w:pos="4536"/>
                <w:tab w:val="right" w:pos="9072"/>
              </w:tabs>
              <w:rPr>
                <w:rFonts w:eastAsia="Calibri"/>
                <w:b/>
                <w:sz w:val="22"/>
                <w:szCs w:val="22"/>
              </w:rPr>
            </w:pPr>
            <w:r>
              <w:rPr>
                <w:b/>
                <w:color w:val="000000"/>
                <w:sz w:val="22"/>
                <w:szCs w:val="22"/>
              </w:rPr>
              <w:t>Kraujagyslių sutrikimai</w:t>
            </w:r>
          </w:p>
        </w:tc>
        <w:tc>
          <w:tcPr>
            <w:tcW w:w="993" w:type="dxa"/>
            <w:gridSpan w:val="2"/>
          </w:tcPr>
          <w:p w14:paraId="5C458D45" w14:textId="77777777" w:rsidR="009A7DBF" w:rsidRDefault="003F4922">
            <w:pPr>
              <w:widowControl w:val="0"/>
              <w:tabs>
                <w:tab w:val="left" w:pos="567"/>
              </w:tabs>
              <w:rPr>
                <w:rFonts w:eastAsia="Calibri"/>
                <w:sz w:val="22"/>
                <w:szCs w:val="22"/>
                <w:lang w:val="lt-LT" w:eastAsia="en-US"/>
              </w:rPr>
            </w:pPr>
            <w:r>
              <w:rPr>
                <w:sz w:val="22"/>
                <w:szCs w:val="22"/>
              </w:rPr>
              <w:t>Hipertenzija</w:t>
            </w:r>
            <w:r>
              <w:rPr>
                <w:color w:val="000000"/>
                <w:sz w:val="22"/>
                <w:szCs w:val="22"/>
                <w:vertAlign w:val="superscript"/>
              </w:rPr>
              <w:t>1</w:t>
            </w:r>
            <w:r>
              <w:rPr>
                <w:rFonts w:eastAsia="Calibri"/>
                <w:color w:val="000000"/>
                <w:sz w:val="22"/>
                <w:szCs w:val="22"/>
                <w:lang w:eastAsia="cs-CZ"/>
              </w:rPr>
              <w:t xml:space="preserve">(įskaitant </w:t>
            </w:r>
            <w:r>
              <w:rPr>
                <w:rFonts w:eastAsia="Calibri"/>
                <w:color w:val="000000"/>
                <w:sz w:val="22"/>
                <w:szCs w:val="22"/>
                <w:lang w:eastAsia="cs-CZ"/>
              </w:rPr>
              <w:lastRenderedPageBreak/>
              <w:t>hipertenzijos pasunkėjimą)</w:t>
            </w:r>
          </w:p>
        </w:tc>
        <w:tc>
          <w:tcPr>
            <w:tcW w:w="1417" w:type="dxa"/>
          </w:tcPr>
          <w:p w14:paraId="734982B4" w14:textId="77777777" w:rsidR="009A7DBF" w:rsidRDefault="009A7DBF">
            <w:pPr>
              <w:widowControl w:val="0"/>
              <w:tabs>
                <w:tab w:val="left" w:pos="567"/>
              </w:tabs>
              <w:rPr>
                <w:rFonts w:eastAsia="Calibri"/>
                <w:sz w:val="22"/>
                <w:szCs w:val="22"/>
              </w:rPr>
            </w:pPr>
          </w:p>
        </w:tc>
        <w:tc>
          <w:tcPr>
            <w:tcW w:w="1134" w:type="dxa"/>
          </w:tcPr>
          <w:p w14:paraId="66283025" w14:textId="77777777" w:rsidR="009A7DBF" w:rsidRDefault="009A7DBF">
            <w:pPr>
              <w:widowControl w:val="0"/>
              <w:tabs>
                <w:tab w:val="left" w:pos="567"/>
              </w:tabs>
              <w:rPr>
                <w:rFonts w:eastAsia="Calibri"/>
                <w:sz w:val="22"/>
                <w:szCs w:val="22"/>
              </w:rPr>
            </w:pPr>
          </w:p>
        </w:tc>
        <w:tc>
          <w:tcPr>
            <w:tcW w:w="1134" w:type="dxa"/>
          </w:tcPr>
          <w:p w14:paraId="2ECBE5EA" w14:textId="77777777" w:rsidR="009A7DBF" w:rsidRDefault="003F4922">
            <w:pPr>
              <w:widowControl w:val="0"/>
              <w:tabs>
                <w:tab w:val="left" w:pos="567"/>
              </w:tabs>
              <w:rPr>
                <w:rFonts w:eastAsia="Calibri"/>
                <w:sz w:val="22"/>
                <w:szCs w:val="22"/>
              </w:rPr>
            </w:pPr>
            <w:r>
              <w:rPr>
                <w:rFonts w:eastAsia="Calibri"/>
                <w:bCs/>
                <w:sz w:val="22"/>
                <w:szCs w:val="22"/>
              </w:rPr>
              <w:t>Plaučių embolija</w:t>
            </w:r>
            <w:r>
              <w:rPr>
                <w:rFonts w:eastAsia="Calibri"/>
                <w:bCs/>
                <w:sz w:val="22"/>
                <w:szCs w:val="22"/>
                <w:vertAlign w:val="superscript"/>
              </w:rPr>
              <w:t>4</w:t>
            </w:r>
            <w:r>
              <w:rPr>
                <w:rFonts w:eastAsia="Calibri"/>
                <w:bCs/>
                <w:sz w:val="22"/>
                <w:szCs w:val="22"/>
              </w:rPr>
              <w:t>, veido</w:t>
            </w:r>
            <w:r>
              <w:rPr>
                <w:rFonts w:eastAsia="Calibri"/>
                <w:sz w:val="22"/>
                <w:szCs w:val="22"/>
              </w:rPr>
              <w:t xml:space="preserve"> ir </w:t>
            </w:r>
            <w:r>
              <w:rPr>
                <w:rFonts w:eastAsia="Calibri"/>
                <w:sz w:val="22"/>
                <w:szCs w:val="22"/>
              </w:rPr>
              <w:lastRenderedPageBreak/>
              <w:t xml:space="preserve">kaklo </w:t>
            </w:r>
            <w:r>
              <w:rPr>
                <w:rFonts w:eastAsia="Calibri"/>
                <w:bCs/>
                <w:sz w:val="22"/>
                <w:szCs w:val="22"/>
              </w:rPr>
              <w:t>paraudimas</w:t>
            </w:r>
            <w:r>
              <w:rPr>
                <w:rFonts w:eastAsia="Calibri"/>
                <w:bCs/>
                <w:sz w:val="22"/>
                <w:szCs w:val="22"/>
                <w:vertAlign w:val="superscript"/>
              </w:rPr>
              <w:t>4</w:t>
            </w:r>
          </w:p>
        </w:tc>
        <w:tc>
          <w:tcPr>
            <w:tcW w:w="1276" w:type="dxa"/>
          </w:tcPr>
          <w:p w14:paraId="5F40201E" w14:textId="77777777" w:rsidR="009A7DBF" w:rsidRDefault="003F4922">
            <w:pPr>
              <w:widowControl w:val="0"/>
              <w:tabs>
                <w:tab w:val="left" w:pos="567"/>
              </w:tabs>
              <w:rPr>
                <w:bCs/>
                <w:sz w:val="22"/>
                <w:szCs w:val="22"/>
              </w:rPr>
            </w:pPr>
            <w:r>
              <w:rPr>
                <w:rFonts w:eastAsia="Calibri"/>
                <w:bCs/>
                <w:sz w:val="22"/>
                <w:szCs w:val="22"/>
              </w:rPr>
              <w:lastRenderedPageBreak/>
              <w:t>Vaskulitas</w:t>
            </w:r>
            <w:r>
              <w:rPr>
                <w:rFonts w:eastAsia="Calibri"/>
                <w:bCs/>
                <w:sz w:val="22"/>
                <w:szCs w:val="22"/>
                <w:vertAlign w:val="superscript"/>
              </w:rPr>
              <w:t>4</w:t>
            </w:r>
          </w:p>
        </w:tc>
        <w:tc>
          <w:tcPr>
            <w:tcW w:w="1984" w:type="dxa"/>
          </w:tcPr>
          <w:p w14:paraId="3A1CFE22" w14:textId="77777777" w:rsidR="009A7DBF" w:rsidRDefault="009A7DBF">
            <w:pPr>
              <w:widowControl w:val="0"/>
              <w:tabs>
                <w:tab w:val="left" w:pos="567"/>
              </w:tabs>
              <w:rPr>
                <w:rFonts w:eastAsia="Calibri"/>
                <w:sz w:val="22"/>
                <w:szCs w:val="22"/>
              </w:rPr>
            </w:pPr>
          </w:p>
        </w:tc>
      </w:tr>
      <w:tr w:rsidR="009A7DBF" w14:paraId="2AA48331" w14:textId="77777777">
        <w:tc>
          <w:tcPr>
            <w:tcW w:w="1242" w:type="dxa"/>
          </w:tcPr>
          <w:p w14:paraId="24082A66" w14:textId="77777777" w:rsidR="009A7DBF" w:rsidRDefault="003F4922">
            <w:pPr>
              <w:widowControl w:val="0"/>
              <w:tabs>
                <w:tab w:val="center" w:pos="4536"/>
                <w:tab w:val="right" w:pos="9072"/>
              </w:tabs>
              <w:rPr>
                <w:rFonts w:eastAsia="Calibri"/>
                <w:b/>
                <w:sz w:val="22"/>
                <w:szCs w:val="22"/>
              </w:rPr>
            </w:pPr>
            <w:r>
              <w:rPr>
                <w:b/>
                <w:color w:val="000000"/>
                <w:sz w:val="22"/>
                <w:szCs w:val="22"/>
              </w:rPr>
              <w:t>Kvėpavimo sistemos, krūtinės ląstos ir tarpuplaučio sutrikimai</w:t>
            </w:r>
          </w:p>
        </w:tc>
        <w:tc>
          <w:tcPr>
            <w:tcW w:w="993" w:type="dxa"/>
            <w:gridSpan w:val="2"/>
          </w:tcPr>
          <w:p w14:paraId="684F4DE3" w14:textId="77777777" w:rsidR="009A7DBF" w:rsidRDefault="009A7DBF">
            <w:pPr>
              <w:widowControl w:val="0"/>
              <w:tabs>
                <w:tab w:val="left" w:pos="567"/>
              </w:tabs>
              <w:rPr>
                <w:rFonts w:eastAsia="Calibri"/>
                <w:sz w:val="22"/>
                <w:szCs w:val="22"/>
              </w:rPr>
            </w:pPr>
          </w:p>
        </w:tc>
        <w:tc>
          <w:tcPr>
            <w:tcW w:w="1417" w:type="dxa"/>
          </w:tcPr>
          <w:p w14:paraId="456BFE91" w14:textId="77777777" w:rsidR="009A7DBF" w:rsidRDefault="003F4922">
            <w:pPr>
              <w:widowControl w:val="0"/>
              <w:tabs>
                <w:tab w:val="left" w:pos="567"/>
              </w:tabs>
              <w:rPr>
                <w:rFonts w:eastAsia="Calibri"/>
                <w:sz w:val="22"/>
                <w:szCs w:val="22"/>
              </w:rPr>
            </w:pPr>
            <w:r>
              <w:rPr>
                <w:sz w:val="22"/>
                <w:szCs w:val="22"/>
              </w:rPr>
              <w:t xml:space="preserve">Rinitas, kosulys, dusulys </w:t>
            </w:r>
            <w:r>
              <w:rPr>
                <w:sz w:val="22"/>
                <w:szCs w:val="22"/>
                <w:vertAlign w:val="superscript"/>
              </w:rPr>
              <w:t>1</w:t>
            </w:r>
          </w:p>
        </w:tc>
        <w:tc>
          <w:tcPr>
            <w:tcW w:w="1134" w:type="dxa"/>
          </w:tcPr>
          <w:p w14:paraId="5B11D93D" w14:textId="77777777" w:rsidR="009A7DBF" w:rsidRDefault="003F4922">
            <w:pPr>
              <w:widowControl w:val="0"/>
              <w:tabs>
                <w:tab w:val="left" w:pos="567"/>
              </w:tabs>
              <w:rPr>
                <w:rFonts w:eastAsia="Calibri"/>
                <w:sz w:val="22"/>
                <w:szCs w:val="22"/>
                <w:lang w:val="lt-LT" w:eastAsia="en-US"/>
              </w:rPr>
            </w:pPr>
            <w:r>
              <w:rPr>
                <w:rFonts w:eastAsia="Calibri"/>
                <w:sz w:val="22"/>
                <w:szCs w:val="22"/>
              </w:rPr>
              <w:t>Bronchų spazmas</w:t>
            </w:r>
            <w:r>
              <w:rPr>
                <w:rFonts w:eastAsia="Calibri"/>
                <w:sz w:val="22"/>
                <w:szCs w:val="22"/>
                <w:vertAlign w:val="superscript"/>
              </w:rPr>
              <w:t>4</w:t>
            </w:r>
          </w:p>
        </w:tc>
        <w:tc>
          <w:tcPr>
            <w:tcW w:w="1134" w:type="dxa"/>
          </w:tcPr>
          <w:p w14:paraId="56C7EDD3" w14:textId="77777777" w:rsidR="009A7DBF" w:rsidRDefault="003F4922">
            <w:pPr>
              <w:widowControl w:val="0"/>
              <w:tabs>
                <w:tab w:val="left" w:pos="567"/>
              </w:tabs>
              <w:rPr>
                <w:rFonts w:eastAsia="Calibri"/>
                <w:sz w:val="22"/>
                <w:szCs w:val="22"/>
              </w:rPr>
            </w:pPr>
            <w:r>
              <w:rPr>
                <w:rFonts w:eastAsia="Calibri"/>
                <w:sz w:val="22"/>
                <w:szCs w:val="22"/>
              </w:rPr>
              <w:t>Pneumonitas</w:t>
            </w:r>
            <w:r>
              <w:rPr>
                <w:rFonts w:eastAsia="Calibri"/>
                <w:sz w:val="22"/>
                <w:szCs w:val="22"/>
                <w:vertAlign w:val="superscript"/>
              </w:rPr>
              <w:t>4</w:t>
            </w:r>
          </w:p>
        </w:tc>
        <w:tc>
          <w:tcPr>
            <w:tcW w:w="1276" w:type="dxa"/>
          </w:tcPr>
          <w:p w14:paraId="4EFB8A5F" w14:textId="77777777" w:rsidR="009A7DBF" w:rsidRDefault="009A7DBF">
            <w:pPr>
              <w:widowControl w:val="0"/>
              <w:tabs>
                <w:tab w:val="left" w:pos="567"/>
              </w:tabs>
              <w:rPr>
                <w:sz w:val="22"/>
                <w:szCs w:val="22"/>
              </w:rPr>
            </w:pPr>
          </w:p>
        </w:tc>
        <w:tc>
          <w:tcPr>
            <w:tcW w:w="1984" w:type="dxa"/>
          </w:tcPr>
          <w:p w14:paraId="22F84CBC" w14:textId="77777777" w:rsidR="009A7DBF" w:rsidRDefault="009A7DBF">
            <w:pPr>
              <w:widowControl w:val="0"/>
              <w:tabs>
                <w:tab w:val="left" w:pos="567"/>
              </w:tabs>
              <w:rPr>
                <w:rFonts w:eastAsia="Calibri"/>
                <w:sz w:val="22"/>
                <w:szCs w:val="22"/>
              </w:rPr>
            </w:pPr>
          </w:p>
        </w:tc>
      </w:tr>
      <w:tr w:rsidR="009A7DBF" w14:paraId="75AE89EE" w14:textId="77777777">
        <w:tc>
          <w:tcPr>
            <w:tcW w:w="1242" w:type="dxa"/>
          </w:tcPr>
          <w:p w14:paraId="0449BFCD" w14:textId="77777777" w:rsidR="009A7DBF" w:rsidRDefault="003F4922">
            <w:pPr>
              <w:widowControl w:val="0"/>
              <w:tabs>
                <w:tab w:val="center" w:pos="4536"/>
                <w:tab w:val="right" w:pos="9072"/>
              </w:tabs>
              <w:rPr>
                <w:rFonts w:eastAsia="Calibri"/>
                <w:b/>
                <w:sz w:val="22"/>
                <w:szCs w:val="22"/>
              </w:rPr>
            </w:pPr>
            <w:r>
              <w:rPr>
                <w:b/>
                <w:color w:val="000000"/>
                <w:sz w:val="22"/>
                <w:szCs w:val="22"/>
              </w:rPr>
              <w:t>Virškinimo trakto sutrikimai</w:t>
            </w:r>
          </w:p>
        </w:tc>
        <w:tc>
          <w:tcPr>
            <w:tcW w:w="993" w:type="dxa"/>
            <w:gridSpan w:val="2"/>
          </w:tcPr>
          <w:p w14:paraId="1C4FDC83" w14:textId="77777777" w:rsidR="009A7DBF" w:rsidRDefault="009A7DBF">
            <w:pPr>
              <w:widowControl w:val="0"/>
              <w:tabs>
                <w:tab w:val="left" w:pos="567"/>
              </w:tabs>
              <w:rPr>
                <w:rFonts w:eastAsia="Calibri"/>
                <w:sz w:val="22"/>
                <w:szCs w:val="22"/>
              </w:rPr>
            </w:pPr>
          </w:p>
        </w:tc>
        <w:tc>
          <w:tcPr>
            <w:tcW w:w="1417" w:type="dxa"/>
          </w:tcPr>
          <w:p w14:paraId="3ECB5A8B" w14:textId="77777777" w:rsidR="009A7DBF" w:rsidRDefault="003F4922">
            <w:pPr>
              <w:widowControl w:val="0"/>
              <w:tabs>
                <w:tab w:val="left" w:pos="567"/>
              </w:tabs>
              <w:rPr>
                <w:rFonts w:eastAsia="Calibri"/>
                <w:sz w:val="22"/>
                <w:szCs w:val="22"/>
              </w:rPr>
            </w:pPr>
            <w:r>
              <w:rPr>
                <w:rFonts w:eastAsia="Calibri"/>
                <w:bCs/>
                <w:sz w:val="22"/>
                <w:szCs w:val="22"/>
              </w:rPr>
              <w:t>Pykinimas</w:t>
            </w:r>
            <w:r>
              <w:rPr>
                <w:rFonts w:eastAsia="Calibri"/>
                <w:bCs/>
                <w:sz w:val="22"/>
                <w:szCs w:val="22"/>
                <w:vertAlign w:val="superscript"/>
              </w:rPr>
              <w:t>4</w:t>
            </w:r>
            <w:r>
              <w:rPr>
                <w:bCs/>
                <w:sz w:val="22"/>
                <w:szCs w:val="22"/>
              </w:rPr>
              <w:t>, pilvo</w:t>
            </w:r>
            <w:r>
              <w:rPr>
                <w:sz w:val="22"/>
                <w:szCs w:val="22"/>
              </w:rPr>
              <w:t xml:space="preserve"> skausmas, viduriavimas, dispepsija, dujų susikaupimas virškinimo trakte, vėmimas</w:t>
            </w:r>
            <w:r>
              <w:rPr>
                <w:sz w:val="22"/>
                <w:szCs w:val="22"/>
                <w:vertAlign w:val="superscript"/>
              </w:rPr>
              <w:t>1</w:t>
            </w:r>
            <w:r>
              <w:rPr>
                <w:sz w:val="22"/>
                <w:szCs w:val="22"/>
              </w:rPr>
              <w:t>, disfagija</w:t>
            </w:r>
            <w:r>
              <w:rPr>
                <w:sz w:val="22"/>
                <w:szCs w:val="22"/>
                <w:vertAlign w:val="superscript"/>
              </w:rPr>
              <w:t>1</w:t>
            </w:r>
          </w:p>
        </w:tc>
        <w:tc>
          <w:tcPr>
            <w:tcW w:w="1134" w:type="dxa"/>
          </w:tcPr>
          <w:p w14:paraId="1A5D4EE1" w14:textId="77777777" w:rsidR="009A7DBF" w:rsidRDefault="003F4922">
            <w:pPr>
              <w:widowControl w:val="0"/>
              <w:tabs>
                <w:tab w:val="left" w:pos="567"/>
              </w:tabs>
              <w:rPr>
                <w:rFonts w:eastAsia="Calibri"/>
                <w:sz w:val="22"/>
                <w:szCs w:val="22"/>
                <w:lang w:val="lt-LT" w:eastAsia="en-US"/>
              </w:rPr>
            </w:pPr>
            <w:r>
              <w:rPr>
                <w:rFonts w:eastAsia="Calibri"/>
                <w:sz w:val="22"/>
                <w:szCs w:val="22"/>
              </w:rPr>
              <w:t xml:space="preserve">Vidurių užkietėjimas, gastritas, stomatitas, virškinimo trakto </w:t>
            </w:r>
            <w:r>
              <w:rPr>
                <w:rFonts w:eastAsia="Calibri"/>
                <w:bCs/>
                <w:sz w:val="22"/>
                <w:szCs w:val="22"/>
              </w:rPr>
              <w:t xml:space="preserve">uždegimas (įskaitant virškinimo trakto </w:t>
            </w:r>
            <w:r>
              <w:rPr>
                <w:rFonts w:eastAsia="Calibri"/>
                <w:sz w:val="22"/>
                <w:szCs w:val="22"/>
              </w:rPr>
              <w:t xml:space="preserve">uždegimo </w:t>
            </w:r>
            <w:r>
              <w:rPr>
                <w:rFonts w:eastAsia="Calibri"/>
                <w:bCs/>
                <w:sz w:val="22"/>
                <w:szCs w:val="22"/>
              </w:rPr>
              <w:t>pasunkėjimą), raugulys</w:t>
            </w:r>
          </w:p>
        </w:tc>
        <w:tc>
          <w:tcPr>
            <w:tcW w:w="1134" w:type="dxa"/>
          </w:tcPr>
          <w:p w14:paraId="08A7D30D" w14:textId="77777777" w:rsidR="009A7DBF" w:rsidRDefault="003F4922">
            <w:pPr>
              <w:widowControl w:val="0"/>
              <w:tabs>
                <w:tab w:val="left" w:pos="567"/>
              </w:tabs>
              <w:rPr>
                <w:rFonts w:eastAsia="Calibri"/>
                <w:sz w:val="22"/>
                <w:szCs w:val="22"/>
              </w:rPr>
            </w:pPr>
            <w:r>
              <w:rPr>
                <w:rFonts w:eastAsia="Calibri"/>
                <w:bCs/>
                <w:sz w:val="22"/>
                <w:szCs w:val="22"/>
              </w:rPr>
              <w:t>Kraujavimas iš virškinimo trakto</w:t>
            </w:r>
            <w:r>
              <w:rPr>
                <w:rFonts w:eastAsia="Calibri"/>
                <w:bCs/>
                <w:sz w:val="22"/>
                <w:szCs w:val="22"/>
                <w:vertAlign w:val="superscript"/>
              </w:rPr>
              <w:t>4</w:t>
            </w:r>
            <w:r>
              <w:rPr>
                <w:rFonts w:eastAsia="Calibri"/>
                <w:bCs/>
                <w:sz w:val="22"/>
                <w:szCs w:val="22"/>
              </w:rPr>
              <w:t>, dvylikapirštės</w:t>
            </w:r>
            <w:r>
              <w:rPr>
                <w:rFonts w:eastAsia="Calibri"/>
                <w:sz w:val="22"/>
                <w:szCs w:val="22"/>
              </w:rPr>
              <w:t xml:space="preserve"> žarnos</w:t>
            </w:r>
            <w:r>
              <w:rPr>
                <w:rFonts w:eastAsia="Calibri"/>
                <w:bCs/>
                <w:sz w:val="22"/>
                <w:szCs w:val="22"/>
              </w:rPr>
              <w:t xml:space="preserve"> opa</w:t>
            </w:r>
            <w:r>
              <w:rPr>
                <w:rFonts w:eastAsia="Calibri"/>
                <w:sz w:val="22"/>
                <w:szCs w:val="22"/>
              </w:rPr>
              <w:t>, skrandžio</w:t>
            </w:r>
            <w:r>
              <w:rPr>
                <w:rFonts w:eastAsia="Calibri"/>
                <w:bCs/>
                <w:sz w:val="22"/>
                <w:szCs w:val="22"/>
              </w:rPr>
              <w:t xml:space="preserve"> opa</w:t>
            </w:r>
            <w:r>
              <w:rPr>
                <w:rFonts w:eastAsia="Calibri"/>
                <w:sz w:val="22"/>
                <w:szCs w:val="22"/>
              </w:rPr>
              <w:t>, stemplės</w:t>
            </w:r>
            <w:r>
              <w:rPr>
                <w:rFonts w:eastAsia="Calibri"/>
                <w:bCs/>
                <w:sz w:val="22"/>
                <w:szCs w:val="22"/>
              </w:rPr>
              <w:t xml:space="preserve"> opa,</w:t>
            </w:r>
            <w:r>
              <w:rPr>
                <w:rFonts w:eastAsia="Calibri"/>
                <w:sz w:val="22"/>
                <w:szCs w:val="22"/>
              </w:rPr>
              <w:t xml:space="preserve"> žarnos </w:t>
            </w:r>
            <w:r>
              <w:rPr>
                <w:rFonts w:eastAsia="Calibri"/>
                <w:bCs/>
                <w:sz w:val="22"/>
                <w:szCs w:val="22"/>
              </w:rPr>
              <w:t>opa, storosios žarnos opa</w:t>
            </w:r>
            <w:r>
              <w:rPr>
                <w:rFonts w:eastAsia="Calibri"/>
                <w:sz w:val="22"/>
                <w:szCs w:val="22"/>
              </w:rPr>
              <w:t>, žarnų prakiurimas, ezofagitas, melena, pankreatitas</w:t>
            </w:r>
            <w:r>
              <w:rPr>
                <w:rFonts w:eastAsia="Calibri"/>
                <w:bCs/>
                <w:sz w:val="22"/>
                <w:szCs w:val="22"/>
              </w:rPr>
              <w:t>, kolitas</w:t>
            </w:r>
            <w:r>
              <w:rPr>
                <w:rFonts w:eastAsia="Calibri"/>
                <w:bCs/>
                <w:sz w:val="22"/>
                <w:szCs w:val="22"/>
                <w:vertAlign w:val="superscript"/>
              </w:rPr>
              <w:t>4</w:t>
            </w:r>
          </w:p>
        </w:tc>
        <w:tc>
          <w:tcPr>
            <w:tcW w:w="1276" w:type="dxa"/>
          </w:tcPr>
          <w:p w14:paraId="29584DE0" w14:textId="77777777" w:rsidR="009A7DBF" w:rsidRDefault="009A7DBF">
            <w:pPr>
              <w:widowControl w:val="0"/>
              <w:tabs>
                <w:tab w:val="left" w:pos="567"/>
              </w:tabs>
              <w:rPr>
                <w:sz w:val="22"/>
                <w:szCs w:val="22"/>
              </w:rPr>
            </w:pPr>
          </w:p>
        </w:tc>
        <w:tc>
          <w:tcPr>
            <w:tcW w:w="1984" w:type="dxa"/>
          </w:tcPr>
          <w:p w14:paraId="3BB04E09" w14:textId="77777777" w:rsidR="009A7DBF" w:rsidRDefault="009A7DBF">
            <w:pPr>
              <w:widowControl w:val="0"/>
              <w:tabs>
                <w:tab w:val="left" w:pos="567"/>
              </w:tabs>
              <w:rPr>
                <w:rFonts w:eastAsia="Calibri"/>
                <w:sz w:val="22"/>
                <w:szCs w:val="22"/>
              </w:rPr>
            </w:pPr>
          </w:p>
        </w:tc>
      </w:tr>
      <w:tr w:rsidR="009A7DBF" w14:paraId="3BDFF90F" w14:textId="77777777">
        <w:tc>
          <w:tcPr>
            <w:tcW w:w="1242" w:type="dxa"/>
          </w:tcPr>
          <w:p w14:paraId="43EE676C" w14:textId="77777777" w:rsidR="009A7DBF" w:rsidRDefault="003F4922">
            <w:pPr>
              <w:widowControl w:val="0"/>
              <w:tabs>
                <w:tab w:val="center" w:pos="4536"/>
                <w:tab w:val="right" w:pos="9072"/>
              </w:tabs>
              <w:rPr>
                <w:rFonts w:eastAsia="Calibri"/>
                <w:b/>
                <w:sz w:val="22"/>
                <w:szCs w:val="22"/>
              </w:rPr>
            </w:pPr>
            <w:r>
              <w:rPr>
                <w:b/>
                <w:color w:val="000000"/>
                <w:sz w:val="22"/>
                <w:szCs w:val="22"/>
              </w:rPr>
              <w:t>Kepenų, tulžies pūslės ir latakų sutrikimai</w:t>
            </w:r>
          </w:p>
        </w:tc>
        <w:tc>
          <w:tcPr>
            <w:tcW w:w="993" w:type="dxa"/>
            <w:gridSpan w:val="2"/>
          </w:tcPr>
          <w:p w14:paraId="2C026CBB" w14:textId="77777777" w:rsidR="009A7DBF" w:rsidRDefault="009A7DBF">
            <w:pPr>
              <w:widowControl w:val="0"/>
              <w:tabs>
                <w:tab w:val="left" w:pos="567"/>
              </w:tabs>
              <w:rPr>
                <w:rFonts w:eastAsia="Calibri"/>
                <w:sz w:val="22"/>
                <w:szCs w:val="22"/>
              </w:rPr>
            </w:pPr>
          </w:p>
        </w:tc>
        <w:tc>
          <w:tcPr>
            <w:tcW w:w="1417" w:type="dxa"/>
          </w:tcPr>
          <w:p w14:paraId="74121B3F" w14:textId="77777777" w:rsidR="009A7DBF" w:rsidRDefault="009A7DBF">
            <w:pPr>
              <w:widowControl w:val="0"/>
              <w:tabs>
                <w:tab w:val="left" w:pos="567"/>
              </w:tabs>
              <w:rPr>
                <w:rFonts w:eastAsia="Calibri"/>
                <w:sz w:val="22"/>
                <w:szCs w:val="22"/>
              </w:rPr>
            </w:pPr>
          </w:p>
        </w:tc>
        <w:tc>
          <w:tcPr>
            <w:tcW w:w="1134" w:type="dxa"/>
          </w:tcPr>
          <w:p w14:paraId="75AC2D81" w14:textId="77777777" w:rsidR="009A7DBF" w:rsidRDefault="003F4922">
            <w:pPr>
              <w:widowControl w:val="0"/>
              <w:tabs>
                <w:tab w:val="left" w:pos="567"/>
              </w:tabs>
              <w:rPr>
                <w:rFonts w:eastAsia="Calibri"/>
                <w:sz w:val="22"/>
                <w:szCs w:val="22"/>
                <w:lang w:val="lt-LT" w:eastAsia="en-US"/>
              </w:rPr>
            </w:pPr>
            <w:r>
              <w:rPr>
                <w:rFonts w:eastAsia="Calibri"/>
                <w:sz w:val="22"/>
                <w:szCs w:val="22"/>
              </w:rPr>
              <w:t>Kepenų funkcijos sutrikimas, kepenų fermentų aktyvumo padidėjimas (įskaitant SGOT ir SGPT aktyvumo padidėjimą)</w:t>
            </w:r>
          </w:p>
        </w:tc>
        <w:tc>
          <w:tcPr>
            <w:tcW w:w="1134" w:type="dxa"/>
          </w:tcPr>
          <w:p w14:paraId="695AA42C" w14:textId="77777777" w:rsidR="009A7DBF" w:rsidRDefault="003F4922">
            <w:pPr>
              <w:widowControl w:val="0"/>
              <w:tabs>
                <w:tab w:val="left" w:pos="567"/>
              </w:tabs>
              <w:rPr>
                <w:rFonts w:eastAsia="Calibri"/>
                <w:sz w:val="22"/>
                <w:szCs w:val="22"/>
              </w:rPr>
            </w:pPr>
            <w:r>
              <w:rPr>
                <w:rFonts w:eastAsia="Calibri"/>
                <w:sz w:val="22"/>
                <w:szCs w:val="22"/>
              </w:rPr>
              <w:t>Hepatitas</w:t>
            </w:r>
            <w:r>
              <w:rPr>
                <w:rFonts w:eastAsia="Calibri"/>
                <w:sz w:val="22"/>
                <w:szCs w:val="22"/>
                <w:vertAlign w:val="superscript"/>
              </w:rPr>
              <w:t>4</w:t>
            </w:r>
          </w:p>
        </w:tc>
        <w:tc>
          <w:tcPr>
            <w:tcW w:w="1276" w:type="dxa"/>
          </w:tcPr>
          <w:p w14:paraId="555924FE" w14:textId="77777777" w:rsidR="009A7DBF" w:rsidRDefault="003F4922">
            <w:pPr>
              <w:widowControl w:val="0"/>
              <w:tabs>
                <w:tab w:val="left" w:pos="567"/>
              </w:tabs>
              <w:rPr>
                <w:rFonts w:eastAsiaTheme="minorHAnsi"/>
                <w:sz w:val="22"/>
                <w:szCs w:val="22"/>
                <w:lang w:val="lt-LT" w:eastAsia="en-US"/>
              </w:rPr>
            </w:pPr>
            <w:r>
              <w:rPr>
                <w:rFonts w:eastAsia="Calibri"/>
                <w:sz w:val="22"/>
                <w:szCs w:val="22"/>
              </w:rPr>
              <w:t>Kepenų nepakankamumas</w:t>
            </w:r>
            <w:r>
              <w:rPr>
                <w:rFonts w:eastAsia="Calibri"/>
                <w:sz w:val="22"/>
                <w:szCs w:val="22"/>
                <w:vertAlign w:val="superscript"/>
              </w:rPr>
              <w:t>4</w:t>
            </w:r>
            <w:r>
              <w:rPr>
                <w:rFonts w:eastAsia="Calibri"/>
                <w:sz w:val="22"/>
                <w:szCs w:val="22"/>
              </w:rPr>
              <w:t xml:space="preserve"> (buvo mirties atvejų arba prireikė kepenų persodinimo), žaibinis hepatitas</w:t>
            </w:r>
            <w:r>
              <w:rPr>
                <w:rFonts w:eastAsia="Calibri"/>
                <w:sz w:val="22"/>
                <w:szCs w:val="22"/>
                <w:vertAlign w:val="superscript"/>
              </w:rPr>
              <w:t>4</w:t>
            </w:r>
            <w:r>
              <w:rPr>
                <w:rFonts w:eastAsia="Calibri"/>
                <w:sz w:val="22"/>
                <w:szCs w:val="22"/>
              </w:rPr>
              <w:t xml:space="preserve"> (buvo mirties atvejų), kepenų nekrozė</w:t>
            </w:r>
            <w:r>
              <w:rPr>
                <w:rFonts w:eastAsia="Calibri"/>
                <w:sz w:val="22"/>
                <w:szCs w:val="22"/>
                <w:vertAlign w:val="superscript"/>
              </w:rPr>
              <w:t>4</w:t>
            </w:r>
            <w:r>
              <w:rPr>
                <w:rFonts w:eastAsia="Calibri"/>
                <w:sz w:val="22"/>
                <w:szCs w:val="22"/>
              </w:rPr>
              <w:t>, cholestazė</w:t>
            </w:r>
            <w:r>
              <w:rPr>
                <w:rFonts w:eastAsia="Calibri"/>
                <w:sz w:val="22"/>
                <w:szCs w:val="22"/>
                <w:vertAlign w:val="superscript"/>
              </w:rPr>
              <w:t>4</w:t>
            </w:r>
            <w:r>
              <w:rPr>
                <w:rFonts w:eastAsia="Calibri"/>
                <w:sz w:val="22"/>
                <w:szCs w:val="22"/>
              </w:rPr>
              <w:t>, cholestazinis hepatitas</w:t>
            </w:r>
            <w:r>
              <w:rPr>
                <w:rFonts w:eastAsia="Calibri"/>
                <w:sz w:val="22"/>
                <w:szCs w:val="22"/>
                <w:vertAlign w:val="superscript"/>
              </w:rPr>
              <w:t>4</w:t>
            </w:r>
            <w:r>
              <w:rPr>
                <w:rFonts w:eastAsia="Calibri"/>
                <w:sz w:val="22"/>
                <w:szCs w:val="22"/>
              </w:rPr>
              <w:t>, gelta</w:t>
            </w:r>
            <w:r>
              <w:rPr>
                <w:rFonts w:eastAsia="Calibri"/>
                <w:sz w:val="22"/>
                <w:szCs w:val="22"/>
                <w:vertAlign w:val="superscript"/>
              </w:rPr>
              <w:t>4</w:t>
            </w:r>
          </w:p>
        </w:tc>
        <w:tc>
          <w:tcPr>
            <w:tcW w:w="1984" w:type="dxa"/>
          </w:tcPr>
          <w:p w14:paraId="57ED0B86" w14:textId="77777777" w:rsidR="009A7DBF" w:rsidRDefault="009A7DBF">
            <w:pPr>
              <w:widowControl w:val="0"/>
              <w:tabs>
                <w:tab w:val="left" w:pos="567"/>
              </w:tabs>
              <w:rPr>
                <w:rFonts w:eastAsia="Calibri"/>
                <w:sz w:val="22"/>
                <w:szCs w:val="22"/>
              </w:rPr>
            </w:pPr>
          </w:p>
        </w:tc>
      </w:tr>
      <w:tr w:rsidR="009A7DBF" w14:paraId="632528F6" w14:textId="77777777">
        <w:tc>
          <w:tcPr>
            <w:tcW w:w="1242" w:type="dxa"/>
          </w:tcPr>
          <w:p w14:paraId="1A628513" w14:textId="77777777" w:rsidR="009A7DBF" w:rsidRDefault="003F4922">
            <w:pPr>
              <w:widowControl w:val="0"/>
              <w:tabs>
                <w:tab w:val="center" w:pos="4536"/>
                <w:tab w:val="right" w:pos="9072"/>
              </w:tabs>
              <w:rPr>
                <w:rFonts w:eastAsia="Calibri"/>
                <w:b/>
                <w:sz w:val="22"/>
                <w:szCs w:val="22"/>
              </w:rPr>
            </w:pPr>
            <w:r>
              <w:rPr>
                <w:b/>
                <w:color w:val="000000"/>
                <w:sz w:val="22"/>
                <w:szCs w:val="22"/>
              </w:rPr>
              <w:t xml:space="preserve">Odos ir </w:t>
            </w:r>
            <w:r>
              <w:rPr>
                <w:b/>
                <w:color w:val="000000"/>
                <w:sz w:val="22"/>
                <w:szCs w:val="22"/>
              </w:rPr>
              <w:lastRenderedPageBreak/>
              <w:t>poodinio audinio sutrikimai</w:t>
            </w:r>
          </w:p>
        </w:tc>
        <w:tc>
          <w:tcPr>
            <w:tcW w:w="993" w:type="dxa"/>
            <w:gridSpan w:val="2"/>
          </w:tcPr>
          <w:p w14:paraId="5097EE76" w14:textId="77777777" w:rsidR="009A7DBF" w:rsidRDefault="009A7DBF">
            <w:pPr>
              <w:widowControl w:val="0"/>
              <w:tabs>
                <w:tab w:val="left" w:pos="567"/>
              </w:tabs>
              <w:rPr>
                <w:rFonts w:eastAsia="Calibri"/>
                <w:sz w:val="22"/>
                <w:szCs w:val="22"/>
              </w:rPr>
            </w:pPr>
          </w:p>
        </w:tc>
        <w:tc>
          <w:tcPr>
            <w:tcW w:w="1417" w:type="dxa"/>
          </w:tcPr>
          <w:p w14:paraId="6FA4066C" w14:textId="77777777" w:rsidR="009A7DBF" w:rsidRDefault="003F4922">
            <w:pPr>
              <w:widowControl w:val="0"/>
              <w:tabs>
                <w:tab w:val="left" w:pos="567"/>
              </w:tabs>
              <w:rPr>
                <w:rFonts w:eastAsia="Calibri"/>
                <w:sz w:val="22"/>
                <w:szCs w:val="22"/>
                <w:lang w:val="lt-LT" w:eastAsia="en-US"/>
              </w:rPr>
            </w:pPr>
            <w:r>
              <w:rPr>
                <w:sz w:val="22"/>
                <w:szCs w:val="22"/>
              </w:rPr>
              <w:t xml:space="preserve">Išbėrimas, </w:t>
            </w:r>
            <w:r>
              <w:rPr>
                <w:sz w:val="22"/>
                <w:szCs w:val="22"/>
              </w:rPr>
              <w:lastRenderedPageBreak/>
              <w:t>niežėjimas</w:t>
            </w:r>
            <w:r>
              <w:rPr>
                <w:bCs/>
                <w:sz w:val="22"/>
                <w:szCs w:val="22"/>
              </w:rPr>
              <w:t xml:space="preserve"> </w:t>
            </w:r>
            <w:r>
              <w:rPr>
                <w:rFonts w:eastAsia="Calibri"/>
                <w:bCs/>
                <w:sz w:val="22"/>
                <w:szCs w:val="22"/>
              </w:rPr>
              <w:t>(įskaitant išplitusį niežulį)</w:t>
            </w:r>
          </w:p>
        </w:tc>
        <w:tc>
          <w:tcPr>
            <w:tcW w:w="1134" w:type="dxa"/>
          </w:tcPr>
          <w:p w14:paraId="02974A1C" w14:textId="77777777" w:rsidR="009A7DBF" w:rsidRDefault="003F4922">
            <w:pPr>
              <w:widowControl w:val="0"/>
              <w:tabs>
                <w:tab w:val="left" w:pos="567"/>
              </w:tabs>
              <w:rPr>
                <w:rFonts w:eastAsia="Calibri"/>
                <w:sz w:val="22"/>
                <w:szCs w:val="22"/>
                <w:lang w:val="lt-LT" w:eastAsia="en-US"/>
              </w:rPr>
            </w:pPr>
            <w:r>
              <w:rPr>
                <w:sz w:val="22"/>
                <w:szCs w:val="22"/>
              </w:rPr>
              <w:lastRenderedPageBreak/>
              <w:t>Dilgėlinė</w:t>
            </w:r>
            <w:r>
              <w:rPr>
                <w:bCs/>
                <w:sz w:val="22"/>
                <w:szCs w:val="22"/>
              </w:rPr>
              <w:t>,</w:t>
            </w:r>
            <w:r>
              <w:rPr>
                <w:rFonts w:eastAsia="Calibri"/>
                <w:bCs/>
                <w:sz w:val="22"/>
                <w:szCs w:val="22"/>
              </w:rPr>
              <w:t xml:space="preserve"> </w:t>
            </w:r>
            <w:r>
              <w:rPr>
                <w:rFonts w:eastAsia="Calibri"/>
                <w:bCs/>
                <w:sz w:val="22"/>
                <w:szCs w:val="22"/>
              </w:rPr>
              <w:lastRenderedPageBreak/>
              <w:t xml:space="preserve">ekchimozė </w:t>
            </w:r>
            <w:r>
              <w:rPr>
                <w:rFonts w:eastAsia="Calibri"/>
                <w:bCs/>
                <w:sz w:val="22"/>
                <w:szCs w:val="22"/>
                <w:vertAlign w:val="superscript"/>
              </w:rPr>
              <w:t>4</w:t>
            </w:r>
          </w:p>
        </w:tc>
        <w:tc>
          <w:tcPr>
            <w:tcW w:w="1134" w:type="dxa"/>
          </w:tcPr>
          <w:p w14:paraId="0102C4CE" w14:textId="77777777" w:rsidR="009A7DBF" w:rsidRDefault="003F4922">
            <w:pPr>
              <w:widowControl w:val="0"/>
              <w:tabs>
                <w:tab w:val="left" w:pos="567"/>
              </w:tabs>
              <w:rPr>
                <w:rFonts w:eastAsia="Calibri"/>
                <w:sz w:val="22"/>
                <w:szCs w:val="22"/>
              </w:rPr>
            </w:pPr>
            <w:r>
              <w:rPr>
                <w:rFonts w:eastAsia="Calibri"/>
                <w:bCs/>
                <w:sz w:val="22"/>
                <w:szCs w:val="22"/>
              </w:rPr>
              <w:lastRenderedPageBreak/>
              <w:t>Angioneu</w:t>
            </w:r>
            <w:r>
              <w:rPr>
                <w:rFonts w:eastAsia="Calibri"/>
                <w:bCs/>
                <w:sz w:val="22"/>
                <w:szCs w:val="22"/>
              </w:rPr>
              <w:lastRenderedPageBreak/>
              <w:t>rozinė edema</w:t>
            </w:r>
            <w:r>
              <w:rPr>
                <w:rFonts w:eastAsia="Calibri"/>
                <w:bCs/>
                <w:sz w:val="22"/>
                <w:szCs w:val="22"/>
                <w:vertAlign w:val="superscript"/>
              </w:rPr>
              <w:t>4</w:t>
            </w:r>
            <w:r>
              <w:rPr>
                <w:rFonts w:eastAsia="Calibri"/>
                <w:bCs/>
                <w:sz w:val="22"/>
                <w:szCs w:val="22"/>
              </w:rPr>
              <w:t>, alopecija</w:t>
            </w:r>
            <w:r>
              <w:rPr>
                <w:rFonts w:eastAsia="Calibri"/>
                <w:sz w:val="22"/>
                <w:szCs w:val="22"/>
              </w:rPr>
              <w:t>, fotosensibilizacija</w:t>
            </w:r>
          </w:p>
        </w:tc>
        <w:tc>
          <w:tcPr>
            <w:tcW w:w="1276" w:type="dxa"/>
          </w:tcPr>
          <w:p w14:paraId="6244C1E4" w14:textId="77777777" w:rsidR="009A7DBF" w:rsidRDefault="003F4922">
            <w:pPr>
              <w:widowControl w:val="0"/>
              <w:rPr>
                <w:color w:val="000000"/>
                <w:sz w:val="22"/>
                <w:szCs w:val="22"/>
              </w:rPr>
            </w:pPr>
            <w:r>
              <w:rPr>
                <w:rFonts w:eastAsia="Calibri"/>
                <w:bCs/>
                <w:sz w:val="22"/>
                <w:szCs w:val="22"/>
              </w:rPr>
              <w:lastRenderedPageBreak/>
              <w:t>E</w:t>
            </w:r>
            <w:r>
              <w:rPr>
                <w:rFonts w:eastAsia="Calibri"/>
                <w:sz w:val="22"/>
                <w:szCs w:val="22"/>
              </w:rPr>
              <w:t>ksfoliacin</w:t>
            </w:r>
            <w:r>
              <w:rPr>
                <w:rFonts w:eastAsia="Calibri"/>
                <w:sz w:val="22"/>
                <w:szCs w:val="22"/>
              </w:rPr>
              <w:lastRenderedPageBreak/>
              <w:t>is dermatitas</w:t>
            </w:r>
            <w:r>
              <w:rPr>
                <w:rFonts w:eastAsia="Calibri"/>
                <w:sz w:val="22"/>
                <w:szCs w:val="22"/>
                <w:vertAlign w:val="superscript"/>
              </w:rPr>
              <w:t>4</w:t>
            </w:r>
            <w:r>
              <w:rPr>
                <w:rFonts w:eastAsia="Calibri"/>
                <w:sz w:val="22"/>
                <w:szCs w:val="22"/>
              </w:rPr>
              <w:t>, daugiaformė eritema</w:t>
            </w:r>
            <w:r>
              <w:rPr>
                <w:rFonts w:eastAsia="Calibri"/>
                <w:sz w:val="22"/>
                <w:szCs w:val="22"/>
                <w:vertAlign w:val="superscript"/>
              </w:rPr>
              <w:t>4</w:t>
            </w:r>
            <w:r>
              <w:rPr>
                <w:rFonts w:eastAsia="Calibri"/>
                <w:color w:val="000000"/>
                <w:sz w:val="22"/>
                <w:szCs w:val="22"/>
              </w:rPr>
              <w:t xml:space="preserve">, </w:t>
            </w:r>
            <w:r>
              <w:rPr>
                <w:rFonts w:eastAsia="Calibri"/>
                <w:sz w:val="22"/>
                <w:szCs w:val="22"/>
              </w:rPr>
              <w:t>Stivenso-Džonsono (</w:t>
            </w:r>
            <w:r>
              <w:rPr>
                <w:rFonts w:eastAsia="Calibri"/>
                <w:i/>
                <w:color w:val="000000"/>
                <w:sz w:val="22"/>
                <w:szCs w:val="22"/>
              </w:rPr>
              <w:t>Stevens-Johnson)</w:t>
            </w:r>
            <w:r>
              <w:rPr>
                <w:rFonts w:eastAsia="Calibri"/>
                <w:color w:val="000000"/>
                <w:sz w:val="22"/>
                <w:szCs w:val="22"/>
              </w:rPr>
              <w:t xml:space="preserve"> </w:t>
            </w:r>
            <w:r>
              <w:rPr>
                <w:rFonts w:eastAsia="Calibri"/>
                <w:color w:val="000000"/>
                <w:sz w:val="22"/>
                <w:szCs w:val="22"/>
                <w:lang w:eastAsia="cs-CZ"/>
              </w:rPr>
              <w:t>sindromas</w:t>
            </w:r>
            <w:r>
              <w:rPr>
                <w:rFonts w:eastAsia="Calibri"/>
                <w:color w:val="000000"/>
                <w:sz w:val="22"/>
                <w:szCs w:val="22"/>
                <w:vertAlign w:val="superscript"/>
                <w:lang w:eastAsia="cs-CZ"/>
              </w:rPr>
              <w:t>4</w:t>
            </w:r>
            <w:r>
              <w:rPr>
                <w:rFonts w:eastAsia="Calibri"/>
                <w:color w:val="000000"/>
                <w:sz w:val="22"/>
                <w:szCs w:val="22"/>
              </w:rPr>
              <w:t xml:space="preserve">, </w:t>
            </w:r>
            <w:r>
              <w:rPr>
                <w:rFonts w:eastAsia="Calibri"/>
                <w:sz w:val="22"/>
                <w:szCs w:val="22"/>
              </w:rPr>
              <w:t>toksinė epidermo nekrolizė</w:t>
            </w:r>
            <w:r>
              <w:rPr>
                <w:rFonts w:eastAsia="Calibri"/>
                <w:sz w:val="22"/>
                <w:szCs w:val="22"/>
                <w:vertAlign w:val="superscript"/>
              </w:rPr>
              <w:t>4</w:t>
            </w:r>
            <w:r>
              <w:rPr>
                <w:rFonts w:eastAsia="Calibri"/>
                <w:sz w:val="22"/>
                <w:szCs w:val="22"/>
              </w:rPr>
              <w:t>, vaistinio preparato sukelta reakcija kartu su eozinofilija ir sisteminiais simptomais (angl.</w:t>
            </w:r>
            <w:r>
              <w:rPr>
                <w:rFonts w:eastAsia="Calibri"/>
                <w:i/>
                <w:sz w:val="22"/>
                <w:szCs w:val="22"/>
              </w:rPr>
              <w:t xml:space="preserve"> drug reaction with eosinophilia and systemic symptoms, </w:t>
            </w:r>
            <w:r>
              <w:rPr>
                <w:rFonts w:eastAsia="Calibri"/>
                <w:sz w:val="22"/>
                <w:szCs w:val="22"/>
              </w:rPr>
              <w:t>DRESS)</w:t>
            </w:r>
            <w:r>
              <w:rPr>
                <w:rFonts w:eastAsia="Calibri"/>
                <w:sz w:val="22"/>
                <w:szCs w:val="22"/>
                <w:vertAlign w:val="superscript"/>
              </w:rPr>
              <w:t>4</w:t>
            </w:r>
            <w:r>
              <w:rPr>
                <w:rFonts w:eastAsia="Calibri"/>
                <w:sz w:val="22"/>
                <w:szCs w:val="22"/>
              </w:rPr>
              <w:t>, ūminė išplitusi egzanteminė pustuliozė (ŪIEP)</w:t>
            </w:r>
            <w:r>
              <w:rPr>
                <w:rFonts w:eastAsia="Calibri"/>
                <w:sz w:val="22"/>
                <w:szCs w:val="22"/>
                <w:vertAlign w:val="superscript"/>
              </w:rPr>
              <w:t>4</w:t>
            </w:r>
            <w:r>
              <w:rPr>
                <w:rFonts w:eastAsia="Calibri"/>
                <w:sz w:val="22"/>
                <w:szCs w:val="22"/>
              </w:rPr>
              <w:t xml:space="preserve">, </w:t>
            </w:r>
            <w:r>
              <w:rPr>
                <w:rFonts w:eastAsia="Calibri"/>
                <w:color w:val="000000"/>
                <w:sz w:val="22"/>
                <w:szCs w:val="22"/>
                <w:lang w:eastAsia="cs-CZ"/>
              </w:rPr>
              <w:t>pūslinis dermatitas</w:t>
            </w:r>
            <w:r>
              <w:rPr>
                <w:rFonts w:eastAsia="Calibri"/>
                <w:color w:val="000000"/>
                <w:sz w:val="22"/>
                <w:szCs w:val="22"/>
                <w:vertAlign w:val="superscript"/>
                <w:lang w:eastAsia="cs-CZ"/>
              </w:rPr>
              <w:t>4</w:t>
            </w:r>
          </w:p>
        </w:tc>
        <w:tc>
          <w:tcPr>
            <w:tcW w:w="1984" w:type="dxa"/>
          </w:tcPr>
          <w:p w14:paraId="02CF3B5E" w14:textId="77777777" w:rsidR="009A7DBF" w:rsidRDefault="003F4922">
            <w:pPr>
              <w:widowControl w:val="0"/>
              <w:rPr>
                <w:color w:val="000000"/>
                <w:sz w:val="22"/>
                <w:szCs w:val="22"/>
                <w:lang w:eastAsia="cs-CZ"/>
              </w:rPr>
            </w:pPr>
            <w:r>
              <w:rPr>
                <w:color w:val="000000"/>
                <w:sz w:val="22"/>
                <w:szCs w:val="22"/>
                <w:lang w:eastAsia="cs-CZ"/>
              </w:rPr>
              <w:lastRenderedPageBreak/>
              <w:t xml:space="preserve">Generalizuota </w:t>
            </w:r>
            <w:r>
              <w:rPr>
                <w:color w:val="000000"/>
                <w:sz w:val="22"/>
                <w:szCs w:val="22"/>
                <w:lang w:eastAsia="cs-CZ"/>
              </w:rPr>
              <w:lastRenderedPageBreak/>
              <w:t>pūslinė fiksuota vaistų reakcija (GBFDE), fiksuota vaistų reakcija (FDE)</w:t>
            </w:r>
          </w:p>
        </w:tc>
      </w:tr>
      <w:tr w:rsidR="009A7DBF" w14:paraId="6E8123D1" w14:textId="77777777">
        <w:tc>
          <w:tcPr>
            <w:tcW w:w="1242" w:type="dxa"/>
          </w:tcPr>
          <w:p w14:paraId="23A15ED5" w14:textId="77777777" w:rsidR="009A7DBF" w:rsidRDefault="003F4922">
            <w:pPr>
              <w:widowControl w:val="0"/>
              <w:tabs>
                <w:tab w:val="center" w:pos="4536"/>
                <w:tab w:val="right" w:pos="9072"/>
              </w:tabs>
              <w:rPr>
                <w:rFonts w:eastAsia="Calibri"/>
                <w:b/>
                <w:sz w:val="22"/>
                <w:szCs w:val="22"/>
              </w:rPr>
            </w:pPr>
            <w:r>
              <w:rPr>
                <w:b/>
                <w:color w:val="000000"/>
                <w:sz w:val="22"/>
                <w:szCs w:val="22"/>
              </w:rPr>
              <w:lastRenderedPageBreak/>
              <w:t>Skeleto, raumenų ir jungiamojo audinio sutrikimai</w:t>
            </w:r>
          </w:p>
        </w:tc>
        <w:tc>
          <w:tcPr>
            <w:tcW w:w="993" w:type="dxa"/>
            <w:gridSpan w:val="2"/>
          </w:tcPr>
          <w:p w14:paraId="00BFC65B" w14:textId="77777777" w:rsidR="009A7DBF" w:rsidRDefault="009A7DBF">
            <w:pPr>
              <w:widowControl w:val="0"/>
              <w:tabs>
                <w:tab w:val="left" w:pos="567"/>
              </w:tabs>
              <w:rPr>
                <w:rFonts w:eastAsia="Calibri"/>
                <w:sz w:val="22"/>
                <w:szCs w:val="22"/>
              </w:rPr>
            </w:pPr>
          </w:p>
        </w:tc>
        <w:tc>
          <w:tcPr>
            <w:tcW w:w="1417" w:type="dxa"/>
          </w:tcPr>
          <w:p w14:paraId="582954A5" w14:textId="77777777" w:rsidR="009A7DBF" w:rsidRDefault="003F4922">
            <w:pPr>
              <w:widowControl w:val="0"/>
              <w:tabs>
                <w:tab w:val="left" w:pos="567"/>
              </w:tabs>
              <w:rPr>
                <w:rFonts w:eastAsia="Calibri"/>
                <w:sz w:val="22"/>
                <w:szCs w:val="22"/>
              </w:rPr>
            </w:pPr>
            <w:r>
              <w:rPr>
                <w:rFonts w:eastAsia="Calibri"/>
                <w:sz w:val="22"/>
                <w:szCs w:val="22"/>
              </w:rPr>
              <w:t>Artralgija</w:t>
            </w:r>
            <w:r>
              <w:rPr>
                <w:rFonts w:eastAsia="Calibri"/>
                <w:sz w:val="22"/>
                <w:szCs w:val="22"/>
                <w:vertAlign w:val="superscript"/>
              </w:rPr>
              <w:t>4</w:t>
            </w:r>
          </w:p>
        </w:tc>
        <w:tc>
          <w:tcPr>
            <w:tcW w:w="1134" w:type="dxa"/>
          </w:tcPr>
          <w:p w14:paraId="44A111A3" w14:textId="77777777" w:rsidR="009A7DBF" w:rsidRDefault="003F4922">
            <w:pPr>
              <w:widowControl w:val="0"/>
              <w:tabs>
                <w:tab w:val="left" w:pos="567"/>
              </w:tabs>
              <w:rPr>
                <w:rFonts w:eastAsia="Calibri"/>
                <w:sz w:val="22"/>
                <w:szCs w:val="22"/>
              </w:rPr>
            </w:pPr>
            <w:r>
              <w:rPr>
                <w:rFonts w:eastAsia="Calibri"/>
                <w:sz w:val="22"/>
                <w:szCs w:val="22"/>
              </w:rPr>
              <w:t>Raumenų spazmai (kojų mėšlungis)</w:t>
            </w:r>
            <w:r>
              <w:rPr>
                <w:rFonts w:eastAsia="Calibri"/>
                <w:sz w:val="22"/>
                <w:szCs w:val="22"/>
                <w:vertAlign w:val="superscript"/>
              </w:rPr>
              <w:t>4</w:t>
            </w:r>
          </w:p>
        </w:tc>
        <w:tc>
          <w:tcPr>
            <w:tcW w:w="1134" w:type="dxa"/>
          </w:tcPr>
          <w:p w14:paraId="722E7B65" w14:textId="77777777" w:rsidR="009A7DBF" w:rsidRDefault="009A7DBF">
            <w:pPr>
              <w:widowControl w:val="0"/>
              <w:tabs>
                <w:tab w:val="left" w:pos="567"/>
              </w:tabs>
              <w:rPr>
                <w:rFonts w:eastAsia="Calibri"/>
                <w:sz w:val="22"/>
                <w:szCs w:val="22"/>
              </w:rPr>
            </w:pPr>
          </w:p>
        </w:tc>
        <w:tc>
          <w:tcPr>
            <w:tcW w:w="1276" w:type="dxa"/>
          </w:tcPr>
          <w:p w14:paraId="7C40C215" w14:textId="77777777" w:rsidR="009A7DBF" w:rsidRDefault="003F4922">
            <w:pPr>
              <w:widowControl w:val="0"/>
              <w:tabs>
                <w:tab w:val="left" w:pos="567"/>
              </w:tabs>
              <w:rPr>
                <w:sz w:val="22"/>
                <w:szCs w:val="22"/>
              </w:rPr>
            </w:pPr>
            <w:r>
              <w:rPr>
                <w:rFonts w:eastAsia="Calibri"/>
                <w:sz w:val="22"/>
                <w:szCs w:val="22"/>
              </w:rPr>
              <w:t>Miozitas</w:t>
            </w:r>
            <w:r>
              <w:rPr>
                <w:rFonts w:eastAsia="Calibri"/>
                <w:sz w:val="22"/>
                <w:szCs w:val="22"/>
                <w:vertAlign w:val="superscript"/>
              </w:rPr>
              <w:t>4</w:t>
            </w:r>
          </w:p>
        </w:tc>
        <w:tc>
          <w:tcPr>
            <w:tcW w:w="1984" w:type="dxa"/>
          </w:tcPr>
          <w:p w14:paraId="5B628B26" w14:textId="77777777" w:rsidR="009A7DBF" w:rsidRDefault="009A7DBF">
            <w:pPr>
              <w:widowControl w:val="0"/>
              <w:tabs>
                <w:tab w:val="left" w:pos="567"/>
              </w:tabs>
              <w:rPr>
                <w:rFonts w:eastAsia="Calibri"/>
                <w:sz w:val="22"/>
                <w:szCs w:val="22"/>
              </w:rPr>
            </w:pPr>
          </w:p>
        </w:tc>
      </w:tr>
      <w:tr w:rsidR="009A7DBF" w14:paraId="234E775F" w14:textId="77777777">
        <w:tc>
          <w:tcPr>
            <w:tcW w:w="1242" w:type="dxa"/>
          </w:tcPr>
          <w:p w14:paraId="6B480228" w14:textId="77777777" w:rsidR="009A7DBF" w:rsidRDefault="003F4922">
            <w:pPr>
              <w:widowControl w:val="0"/>
              <w:tabs>
                <w:tab w:val="center" w:pos="4536"/>
                <w:tab w:val="right" w:pos="9072"/>
              </w:tabs>
              <w:rPr>
                <w:rFonts w:eastAsia="Calibri"/>
                <w:b/>
                <w:sz w:val="22"/>
                <w:szCs w:val="22"/>
              </w:rPr>
            </w:pPr>
            <w:r>
              <w:rPr>
                <w:b/>
                <w:color w:val="000000"/>
                <w:sz w:val="22"/>
                <w:szCs w:val="22"/>
              </w:rPr>
              <w:t>Inkstų ir šlapimo takų sutrikimai</w:t>
            </w:r>
          </w:p>
        </w:tc>
        <w:tc>
          <w:tcPr>
            <w:tcW w:w="993" w:type="dxa"/>
            <w:gridSpan w:val="2"/>
          </w:tcPr>
          <w:p w14:paraId="4487B4D6" w14:textId="77777777" w:rsidR="009A7DBF" w:rsidRDefault="009A7DBF">
            <w:pPr>
              <w:widowControl w:val="0"/>
              <w:tabs>
                <w:tab w:val="left" w:pos="567"/>
              </w:tabs>
              <w:rPr>
                <w:rFonts w:eastAsia="Calibri"/>
                <w:sz w:val="22"/>
                <w:szCs w:val="22"/>
              </w:rPr>
            </w:pPr>
          </w:p>
        </w:tc>
        <w:tc>
          <w:tcPr>
            <w:tcW w:w="1417" w:type="dxa"/>
          </w:tcPr>
          <w:p w14:paraId="25315CC5" w14:textId="77777777" w:rsidR="009A7DBF" w:rsidRDefault="009A7DBF">
            <w:pPr>
              <w:widowControl w:val="0"/>
              <w:tabs>
                <w:tab w:val="left" w:pos="567"/>
              </w:tabs>
              <w:rPr>
                <w:rFonts w:eastAsia="Calibri"/>
                <w:sz w:val="22"/>
                <w:szCs w:val="22"/>
              </w:rPr>
            </w:pPr>
          </w:p>
        </w:tc>
        <w:tc>
          <w:tcPr>
            <w:tcW w:w="1134" w:type="dxa"/>
          </w:tcPr>
          <w:p w14:paraId="71C0C209" w14:textId="77777777" w:rsidR="009A7DBF" w:rsidRDefault="003F4922">
            <w:pPr>
              <w:widowControl w:val="0"/>
              <w:tabs>
                <w:tab w:val="left" w:pos="567"/>
              </w:tabs>
              <w:rPr>
                <w:rFonts w:eastAsia="Calibri"/>
                <w:sz w:val="22"/>
                <w:szCs w:val="22"/>
                <w:lang w:val="lt-LT" w:eastAsia="en-US"/>
              </w:rPr>
            </w:pPr>
            <w:r>
              <w:rPr>
                <w:rFonts w:eastAsia="Calibri"/>
                <w:color w:val="000000"/>
                <w:sz w:val="22"/>
                <w:szCs w:val="22"/>
              </w:rPr>
              <w:t xml:space="preserve">Kreatinino kiekio </w:t>
            </w:r>
            <w:r>
              <w:rPr>
                <w:rFonts w:eastAsia="Calibri"/>
                <w:color w:val="000000"/>
                <w:sz w:val="22"/>
                <w:szCs w:val="22"/>
                <w:lang w:eastAsia="cs-CZ"/>
              </w:rPr>
              <w:t xml:space="preserve">kraujyje </w:t>
            </w:r>
            <w:r>
              <w:rPr>
                <w:rFonts w:eastAsia="Calibri"/>
                <w:color w:val="000000"/>
                <w:sz w:val="22"/>
                <w:szCs w:val="22"/>
              </w:rPr>
              <w:t xml:space="preserve">padidėjimas, šlapalo kiekio </w:t>
            </w:r>
            <w:r>
              <w:rPr>
                <w:rFonts w:eastAsia="Calibri"/>
                <w:color w:val="000000"/>
                <w:sz w:val="22"/>
                <w:szCs w:val="22"/>
                <w:lang w:eastAsia="cs-CZ"/>
              </w:rPr>
              <w:t xml:space="preserve">kraujyje </w:t>
            </w:r>
            <w:r>
              <w:rPr>
                <w:rFonts w:eastAsia="Calibri"/>
                <w:color w:val="000000"/>
                <w:sz w:val="22"/>
                <w:szCs w:val="22"/>
              </w:rPr>
              <w:t>padidėjimas</w:t>
            </w:r>
          </w:p>
        </w:tc>
        <w:tc>
          <w:tcPr>
            <w:tcW w:w="1134" w:type="dxa"/>
          </w:tcPr>
          <w:p w14:paraId="0AE0D69F" w14:textId="77777777" w:rsidR="009A7DBF" w:rsidRDefault="003F4922">
            <w:pPr>
              <w:widowControl w:val="0"/>
              <w:tabs>
                <w:tab w:val="left" w:pos="567"/>
              </w:tabs>
              <w:rPr>
                <w:rFonts w:eastAsia="Calibri"/>
                <w:sz w:val="22"/>
                <w:szCs w:val="22"/>
                <w:lang w:val="lt-LT" w:eastAsia="en-US"/>
              </w:rPr>
            </w:pPr>
            <w:r>
              <w:rPr>
                <w:rFonts w:eastAsia="Calibri"/>
                <w:sz w:val="22"/>
                <w:szCs w:val="22"/>
              </w:rPr>
              <w:t>Ūminis inkstų nepakankamumas</w:t>
            </w:r>
            <w:r>
              <w:rPr>
                <w:rFonts w:eastAsia="Calibri"/>
                <w:sz w:val="22"/>
                <w:szCs w:val="22"/>
                <w:vertAlign w:val="superscript"/>
              </w:rPr>
              <w:t>4</w:t>
            </w:r>
            <w:r>
              <w:rPr>
                <w:rFonts w:eastAsia="Calibri"/>
                <w:sz w:val="22"/>
                <w:szCs w:val="22"/>
              </w:rPr>
              <w:t>, hiponatremija</w:t>
            </w:r>
            <w:r>
              <w:rPr>
                <w:rFonts w:eastAsia="Calibri"/>
                <w:sz w:val="22"/>
                <w:szCs w:val="22"/>
                <w:vertAlign w:val="superscript"/>
              </w:rPr>
              <w:t>4</w:t>
            </w:r>
          </w:p>
        </w:tc>
        <w:tc>
          <w:tcPr>
            <w:tcW w:w="1276" w:type="dxa"/>
          </w:tcPr>
          <w:p w14:paraId="6E965545" w14:textId="77777777" w:rsidR="009A7DBF" w:rsidRDefault="003F4922">
            <w:pPr>
              <w:widowControl w:val="0"/>
              <w:tabs>
                <w:tab w:val="left" w:pos="567"/>
              </w:tabs>
              <w:rPr>
                <w:sz w:val="22"/>
                <w:szCs w:val="22"/>
              </w:rPr>
            </w:pPr>
            <w:r>
              <w:rPr>
                <w:rFonts w:eastAsia="Calibri"/>
                <w:sz w:val="22"/>
                <w:szCs w:val="22"/>
              </w:rPr>
              <w:t>Tubulointersticinis nefritas</w:t>
            </w:r>
            <w:r>
              <w:rPr>
                <w:rFonts w:eastAsia="Calibri"/>
                <w:sz w:val="22"/>
                <w:szCs w:val="22"/>
                <w:vertAlign w:val="superscript"/>
              </w:rPr>
              <w:t>4</w:t>
            </w:r>
            <w:r>
              <w:rPr>
                <w:rFonts w:eastAsia="Calibri"/>
                <w:sz w:val="22"/>
                <w:szCs w:val="22"/>
              </w:rPr>
              <w:t>, nefrozinis sindromas</w:t>
            </w:r>
            <w:r>
              <w:rPr>
                <w:rFonts w:eastAsia="Calibri"/>
                <w:sz w:val="22"/>
                <w:szCs w:val="22"/>
                <w:vertAlign w:val="superscript"/>
              </w:rPr>
              <w:t>4</w:t>
            </w:r>
            <w:r>
              <w:rPr>
                <w:rFonts w:eastAsia="Calibri"/>
                <w:sz w:val="22"/>
                <w:szCs w:val="22"/>
              </w:rPr>
              <w:t>, glomerulonefritas (minimalių pakitimų liga)</w:t>
            </w:r>
            <w:r>
              <w:rPr>
                <w:rFonts w:eastAsia="Calibri"/>
                <w:sz w:val="22"/>
                <w:szCs w:val="22"/>
                <w:vertAlign w:val="superscript"/>
              </w:rPr>
              <w:t>4</w:t>
            </w:r>
          </w:p>
        </w:tc>
        <w:tc>
          <w:tcPr>
            <w:tcW w:w="1984" w:type="dxa"/>
          </w:tcPr>
          <w:p w14:paraId="18522B29" w14:textId="77777777" w:rsidR="009A7DBF" w:rsidRDefault="009A7DBF">
            <w:pPr>
              <w:widowControl w:val="0"/>
              <w:tabs>
                <w:tab w:val="left" w:pos="567"/>
              </w:tabs>
              <w:rPr>
                <w:rFonts w:eastAsia="Calibri"/>
                <w:sz w:val="22"/>
                <w:szCs w:val="22"/>
              </w:rPr>
            </w:pPr>
          </w:p>
        </w:tc>
      </w:tr>
      <w:tr w:rsidR="009A7DBF" w14:paraId="5825DF0A" w14:textId="77777777">
        <w:tc>
          <w:tcPr>
            <w:tcW w:w="1242" w:type="dxa"/>
          </w:tcPr>
          <w:p w14:paraId="14464930" w14:textId="77777777" w:rsidR="009A7DBF" w:rsidRDefault="003F4922">
            <w:pPr>
              <w:widowControl w:val="0"/>
              <w:tabs>
                <w:tab w:val="center" w:pos="4536"/>
                <w:tab w:val="right" w:pos="9072"/>
              </w:tabs>
              <w:rPr>
                <w:rFonts w:eastAsia="Calibri"/>
                <w:b/>
                <w:sz w:val="22"/>
                <w:szCs w:val="22"/>
              </w:rPr>
            </w:pPr>
            <w:r>
              <w:rPr>
                <w:b/>
                <w:color w:val="000000"/>
                <w:sz w:val="22"/>
                <w:szCs w:val="22"/>
              </w:rPr>
              <w:t>Lytinės sistemos ir krūties sutrikimai</w:t>
            </w:r>
          </w:p>
        </w:tc>
        <w:tc>
          <w:tcPr>
            <w:tcW w:w="993" w:type="dxa"/>
            <w:gridSpan w:val="2"/>
          </w:tcPr>
          <w:p w14:paraId="67726976" w14:textId="77777777" w:rsidR="009A7DBF" w:rsidRDefault="009A7DBF">
            <w:pPr>
              <w:widowControl w:val="0"/>
              <w:tabs>
                <w:tab w:val="left" w:pos="567"/>
              </w:tabs>
              <w:rPr>
                <w:rFonts w:eastAsia="Calibri"/>
                <w:sz w:val="22"/>
                <w:szCs w:val="22"/>
              </w:rPr>
            </w:pPr>
          </w:p>
        </w:tc>
        <w:tc>
          <w:tcPr>
            <w:tcW w:w="1417" w:type="dxa"/>
          </w:tcPr>
          <w:p w14:paraId="2B44C875" w14:textId="77777777" w:rsidR="009A7DBF" w:rsidRDefault="009A7DBF">
            <w:pPr>
              <w:widowControl w:val="0"/>
              <w:tabs>
                <w:tab w:val="left" w:pos="567"/>
              </w:tabs>
              <w:rPr>
                <w:rFonts w:eastAsia="Calibri"/>
                <w:sz w:val="22"/>
                <w:szCs w:val="22"/>
              </w:rPr>
            </w:pPr>
          </w:p>
        </w:tc>
        <w:tc>
          <w:tcPr>
            <w:tcW w:w="1134" w:type="dxa"/>
          </w:tcPr>
          <w:p w14:paraId="08CAFC43" w14:textId="77777777" w:rsidR="009A7DBF" w:rsidRDefault="009A7DBF">
            <w:pPr>
              <w:widowControl w:val="0"/>
              <w:tabs>
                <w:tab w:val="left" w:pos="567"/>
              </w:tabs>
              <w:rPr>
                <w:rFonts w:eastAsia="Calibri"/>
                <w:sz w:val="22"/>
                <w:szCs w:val="22"/>
              </w:rPr>
            </w:pPr>
          </w:p>
        </w:tc>
        <w:tc>
          <w:tcPr>
            <w:tcW w:w="1134" w:type="dxa"/>
          </w:tcPr>
          <w:p w14:paraId="6E3C3BF4" w14:textId="77777777" w:rsidR="009A7DBF" w:rsidRDefault="003F4922">
            <w:pPr>
              <w:widowControl w:val="0"/>
              <w:tabs>
                <w:tab w:val="left" w:pos="567"/>
              </w:tabs>
              <w:rPr>
                <w:rFonts w:eastAsia="Calibri"/>
                <w:sz w:val="22"/>
                <w:szCs w:val="22"/>
                <w:lang w:val="lt-LT" w:eastAsia="en-US"/>
              </w:rPr>
            </w:pPr>
            <w:r>
              <w:rPr>
                <w:rFonts w:eastAsia="Calibri"/>
                <w:sz w:val="22"/>
                <w:szCs w:val="22"/>
              </w:rPr>
              <w:t>Nereguliarios mėnesinės</w:t>
            </w:r>
            <w:r>
              <w:rPr>
                <w:rFonts w:eastAsia="Calibri"/>
                <w:sz w:val="22"/>
                <w:szCs w:val="22"/>
                <w:vertAlign w:val="superscript"/>
                <w:lang w:val="en-US"/>
              </w:rPr>
              <w:t>4</w:t>
            </w:r>
          </w:p>
        </w:tc>
        <w:tc>
          <w:tcPr>
            <w:tcW w:w="1276" w:type="dxa"/>
          </w:tcPr>
          <w:p w14:paraId="17D4E087" w14:textId="77777777" w:rsidR="009A7DBF" w:rsidRDefault="009A7DBF">
            <w:pPr>
              <w:widowControl w:val="0"/>
              <w:tabs>
                <w:tab w:val="left" w:pos="567"/>
              </w:tabs>
              <w:rPr>
                <w:sz w:val="22"/>
                <w:szCs w:val="22"/>
              </w:rPr>
            </w:pPr>
          </w:p>
        </w:tc>
        <w:tc>
          <w:tcPr>
            <w:tcW w:w="1984" w:type="dxa"/>
          </w:tcPr>
          <w:p w14:paraId="5CB64946" w14:textId="77777777" w:rsidR="009A7DBF" w:rsidRDefault="003F4922">
            <w:pPr>
              <w:widowControl w:val="0"/>
              <w:tabs>
                <w:tab w:val="left" w:pos="567"/>
              </w:tabs>
              <w:rPr>
                <w:rFonts w:eastAsia="Calibri"/>
                <w:sz w:val="22"/>
                <w:szCs w:val="22"/>
              </w:rPr>
            </w:pPr>
            <w:r>
              <w:rPr>
                <w:rFonts w:eastAsia="Calibri"/>
                <w:bCs/>
                <w:sz w:val="22"/>
                <w:szCs w:val="22"/>
              </w:rPr>
              <w:t>Moters nevaisingumas (sumažėjęs moters vaisingumas)</w:t>
            </w:r>
            <w:r>
              <w:rPr>
                <w:rFonts w:eastAsia="Calibri"/>
                <w:bCs/>
                <w:sz w:val="22"/>
                <w:szCs w:val="22"/>
                <w:vertAlign w:val="superscript"/>
              </w:rPr>
              <w:t>3</w:t>
            </w:r>
          </w:p>
        </w:tc>
      </w:tr>
      <w:tr w:rsidR="009A7DBF" w14:paraId="3268041A" w14:textId="77777777">
        <w:tc>
          <w:tcPr>
            <w:tcW w:w="1242" w:type="dxa"/>
          </w:tcPr>
          <w:p w14:paraId="3FEA6FF4" w14:textId="77777777" w:rsidR="009A7DBF" w:rsidRDefault="003F4922">
            <w:pPr>
              <w:widowControl w:val="0"/>
              <w:tabs>
                <w:tab w:val="center" w:pos="4536"/>
                <w:tab w:val="right" w:pos="9072"/>
              </w:tabs>
              <w:rPr>
                <w:rFonts w:eastAsia="Calibri"/>
                <w:b/>
                <w:sz w:val="22"/>
                <w:szCs w:val="22"/>
              </w:rPr>
            </w:pPr>
            <w:r>
              <w:rPr>
                <w:b/>
                <w:color w:val="000000"/>
                <w:sz w:val="22"/>
                <w:szCs w:val="22"/>
              </w:rPr>
              <w:lastRenderedPageBreak/>
              <w:t>Bendrieji sutrikimai ir vartojimo vietos pažeidimai</w:t>
            </w:r>
          </w:p>
        </w:tc>
        <w:tc>
          <w:tcPr>
            <w:tcW w:w="993" w:type="dxa"/>
            <w:gridSpan w:val="2"/>
          </w:tcPr>
          <w:p w14:paraId="1FD5BE02" w14:textId="77777777" w:rsidR="009A7DBF" w:rsidRDefault="009A7DBF">
            <w:pPr>
              <w:widowControl w:val="0"/>
              <w:tabs>
                <w:tab w:val="left" w:pos="567"/>
              </w:tabs>
              <w:rPr>
                <w:rFonts w:eastAsia="Calibri"/>
                <w:sz w:val="22"/>
                <w:szCs w:val="22"/>
              </w:rPr>
            </w:pPr>
          </w:p>
        </w:tc>
        <w:tc>
          <w:tcPr>
            <w:tcW w:w="1417" w:type="dxa"/>
          </w:tcPr>
          <w:p w14:paraId="65E70873" w14:textId="77777777" w:rsidR="009A7DBF" w:rsidRDefault="003F4922">
            <w:pPr>
              <w:widowControl w:val="0"/>
              <w:tabs>
                <w:tab w:val="left" w:pos="567"/>
              </w:tabs>
              <w:rPr>
                <w:rFonts w:eastAsia="Calibri"/>
                <w:sz w:val="22"/>
                <w:szCs w:val="22"/>
                <w:lang w:val="lt-LT" w:eastAsia="en-US"/>
              </w:rPr>
            </w:pPr>
            <w:r>
              <w:rPr>
                <w:rFonts w:eastAsia="Calibri"/>
                <w:sz w:val="22"/>
                <w:szCs w:val="22"/>
              </w:rPr>
              <w:t xml:space="preserve">Į gripą </w:t>
            </w:r>
            <w:r>
              <w:rPr>
                <w:rFonts w:eastAsia="Calibri"/>
                <w:bCs/>
                <w:sz w:val="22"/>
                <w:szCs w:val="22"/>
              </w:rPr>
              <w:t>panaši liga</w:t>
            </w:r>
            <w:r>
              <w:rPr>
                <w:rFonts w:eastAsia="Calibri"/>
                <w:sz w:val="22"/>
                <w:szCs w:val="22"/>
              </w:rPr>
              <w:t>, periferinė edema ar skysčių susikaupimas</w:t>
            </w:r>
          </w:p>
        </w:tc>
        <w:tc>
          <w:tcPr>
            <w:tcW w:w="1134" w:type="dxa"/>
          </w:tcPr>
          <w:p w14:paraId="6B3C06AE" w14:textId="77777777" w:rsidR="009A7DBF" w:rsidRDefault="003F4922">
            <w:pPr>
              <w:spacing w:after="200" w:line="276" w:lineRule="auto"/>
              <w:rPr>
                <w:rFonts w:eastAsia="Calibri"/>
                <w:sz w:val="22"/>
                <w:szCs w:val="22"/>
              </w:rPr>
            </w:pPr>
            <w:r>
              <w:rPr>
                <w:rFonts w:eastAsia="Calibri"/>
                <w:sz w:val="22"/>
                <w:szCs w:val="22"/>
              </w:rPr>
              <w:t>Veido edema, krūtinės skausmas</w:t>
            </w:r>
            <w:r>
              <w:rPr>
                <w:rFonts w:eastAsia="Calibri"/>
                <w:sz w:val="22"/>
                <w:szCs w:val="22"/>
                <w:vertAlign w:val="superscript"/>
              </w:rPr>
              <w:t>4</w:t>
            </w:r>
          </w:p>
        </w:tc>
        <w:tc>
          <w:tcPr>
            <w:tcW w:w="1134" w:type="dxa"/>
          </w:tcPr>
          <w:p w14:paraId="78D9386B" w14:textId="77777777" w:rsidR="009A7DBF" w:rsidRDefault="009A7DBF">
            <w:pPr>
              <w:widowControl w:val="0"/>
              <w:tabs>
                <w:tab w:val="left" w:pos="567"/>
              </w:tabs>
              <w:rPr>
                <w:rFonts w:eastAsia="Calibri"/>
                <w:sz w:val="22"/>
                <w:szCs w:val="22"/>
              </w:rPr>
            </w:pPr>
          </w:p>
        </w:tc>
        <w:tc>
          <w:tcPr>
            <w:tcW w:w="1276" w:type="dxa"/>
          </w:tcPr>
          <w:p w14:paraId="405660C6" w14:textId="77777777" w:rsidR="009A7DBF" w:rsidRDefault="009A7DBF">
            <w:pPr>
              <w:widowControl w:val="0"/>
              <w:tabs>
                <w:tab w:val="left" w:pos="567"/>
              </w:tabs>
              <w:rPr>
                <w:sz w:val="22"/>
                <w:szCs w:val="22"/>
              </w:rPr>
            </w:pPr>
          </w:p>
        </w:tc>
        <w:tc>
          <w:tcPr>
            <w:tcW w:w="1984" w:type="dxa"/>
          </w:tcPr>
          <w:p w14:paraId="4CCB682A" w14:textId="77777777" w:rsidR="009A7DBF" w:rsidRDefault="009A7DBF">
            <w:pPr>
              <w:widowControl w:val="0"/>
              <w:tabs>
                <w:tab w:val="left" w:pos="567"/>
              </w:tabs>
              <w:rPr>
                <w:rFonts w:eastAsia="Calibri"/>
                <w:sz w:val="22"/>
                <w:szCs w:val="22"/>
              </w:rPr>
            </w:pPr>
          </w:p>
        </w:tc>
      </w:tr>
      <w:tr w:rsidR="009A7DBF" w14:paraId="7D8C8D14" w14:textId="77777777">
        <w:tc>
          <w:tcPr>
            <w:tcW w:w="1242" w:type="dxa"/>
          </w:tcPr>
          <w:p w14:paraId="5B72220D" w14:textId="77777777" w:rsidR="009A7DBF" w:rsidRDefault="003F4922">
            <w:pPr>
              <w:widowControl w:val="0"/>
              <w:tabs>
                <w:tab w:val="center" w:pos="4536"/>
                <w:tab w:val="right" w:pos="9072"/>
              </w:tabs>
              <w:rPr>
                <w:b/>
                <w:color w:val="000000"/>
                <w:sz w:val="22"/>
                <w:szCs w:val="22"/>
              </w:rPr>
            </w:pPr>
            <w:r>
              <w:rPr>
                <w:b/>
                <w:color w:val="000000"/>
                <w:sz w:val="22"/>
                <w:szCs w:val="22"/>
                <w:lang w:eastAsia="cs-CZ"/>
              </w:rPr>
              <w:t>Sužalojimai, apsinuodijimai ir procedūrų komplikacijos</w:t>
            </w:r>
          </w:p>
        </w:tc>
        <w:tc>
          <w:tcPr>
            <w:tcW w:w="993" w:type="dxa"/>
            <w:gridSpan w:val="2"/>
          </w:tcPr>
          <w:p w14:paraId="449126F0" w14:textId="77777777" w:rsidR="009A7DBF" w:rsidRDefault="009A7DBF">
            <w:pPr>
              <w:widowControl w:val="0"/>
              <w:tabs>
                <w:tab w:val="left" w:pos="567"/>
              </w:tabs>
              <w:rPr>
                <w:rFonts w:eastAsia="Calibri"/>
                <w:bCs/>
                <w:sz w:val="22"/>
                <w:szCs w:val="22"/>
              </w:rPr>
            </w:pPr>
          </w:p>
        </w:tc>
        <w:tc>
          <w:tcPr>
            <w:tcW w:w="1417" w:type="dxa"/>
          </w:tcPr>
          <w:p w14:paraId="0F8F9357" w14:textId="77777777" w:rsidR="009A7DBF" w:rsidRDefault="003F4922">
            <w:pPr>
              <w:widowControl w:val="0"/>
              <w:tabs>
                <w:tab w:val="left" w:pos="567"/>
              </w:tabs>
              <w:rPr>
                <w:rFonts w:eastAsia="Calibri"/>
                <w:bCs/>
                <w:sz w:val="22"/>
                <w:szCs w:val="22"/>
              </w:rPr>
            </w:pPr>
            <w:r>
              <w:rPr>
                <w:rFonts w:eastAsia="Calibri"/>
                <w:sz w:val="22"/>
                <w:szCs w:val="22"/>
              </w:rPr>
              <w:t>Sužalojimas (atsitiktinis kūno sužalojimas)</w:t>
            </w:r>
          </w:p>
        </w:tc>
        <w:tc>
          <w:tcPr>
            <w:tcW w:w="1134" w:type="dxa"/>
          </w:tcPr>
          <w:p w14:paraId="12143565" w14:textId="77777777" w:rsidR="009A7DBF" w:rsidRDefault="009A7DBF">
            <w:pPr>
              <w:widowControl w:val="0"/>
              <w:tabs>
                <w:tab w:val="left" w:pos="567"/>
              </w:tabs>
              <w:rPr>
                <w:rFonts w:eastAsia="Calibri"/>
                <w:sz w:val="22"/>
                <w:szCs w:val="22"/>
              </w:rPr>
            </w:pPr>
          </w:p>
        </w:tc>
        <w:tc>
          <w:tcPr>
            <w:tcW w:w="1134" w:type="dxa"/>
          </w:tcPr>
          <w:p w14:paraId="2C510D6E" w14:textId="77777777" w:rsidR="009A7DBF" w:rsidRDefault="009A7DBF">
            <w:pPr>
              <w:widowControl w:val="0"/>
              <w:tabs>
                <w:tab w:val="left" w:pos="567"/>
              </w:tabs>
              <w:rPr>
                <w:rFonts w:eastAsia="Calibri"/>
                <w:sz w:val="22"/>
                <w:szCs w:val="22"/>
              </w:rPr>
            </w:pPr>
          </w:p>
        </w:tc>
        <w:tc>
          <w:tcPr>
            <w:tcW w:w="1276" w:type="dxa"/>
          </w:tcPr>
          <w:p w14:paraId="3C7CEF1B" w14:textId="77777777" w:rsidR="009A7DBF" w:rsidRDefault="009A7DBF">
            <w:pPr>
              <w:widowControl w:val="0"/>
              <w:tabs>
                <w:tab w:val="left" w:pos="567"/>
              </w:tabs>
              <w:rPr>
                <w:sz w:val="22"/>
                <w:szCs w:val="22"/>
              </w:rPr>
            </w:pPr>
          </w:p>
        </w:tc>
        <w:tc>
          <w:tcPr>
            <w:tcW w:w="1984" w:type="dxa"/>
          </w:tcPr>
          <w:p w14:paraId="1FEDB6DA" w14:textId="77777777" w:rsidR="009A7DBF" w:rsidRDefault="009A7DBF">
            <w:pPr>
              <w:widowControl w:val="0"/>
              <w:tabs>
                <w:tab w:val="left" w:pos="567"/>
              </w:tabs>
              <w:rPr>
                <w:sz w:val="22"/>
                <w:szCs w:val="22"/>
              </w:rPr>
            </w:pPr>
          </w:p>
        </w:tc>
      </w:tr>
      <w:tr w:rsidR="009A7DBF" w14:paraId="2F61873D" w14:textId="77777777">
        <w:tc>
          <w:tcPr>
            <w:tcW w:w="1578" w:type="dxa"/>
            <w:gridSpan w:val="2"/>
          </w:tcPr>
          <w:p w14:paraId="140D27D6" w14:textId="77777777" w:rsidR="009A7DBF" w:rsidRDefault="009A7DBF">
            <w:pPr>
              <w:widowControl w:val="0"/>
              <w:tabs>
                <w:tab w:val="left" w:pos="567"/>
              </w:tabs>
              <w:rPr>
                <w:rFonts w:eastAsia="Calibri"/>
                <w:sz w:val="22"/>
                <w:szCs w:val="22"/>
              </w:rPr>
            </w:pPr>
          </w:p>
        </w:tc>
        <w:tc>
          <w:tcPr>
            <w:tcW w:w="7602" w:type="dxa"/>
            <w:gridSpan w:val="6"/>
          </w:tcPr>
          <w:p w14:paraId="57BE020D" w14:textId="77777777" w:rsidR="009A7DBF" w:rsidRDefault="009A7DBF">
            <w:pPr>
              <w:widowControl w:val="0"/>
              <w:tabs>
                <w:tab w:val="left" w:pos="567"/>
              </w:tabs>
              <w:rPr>
                <w:rFonts w:eastAsia="Calibri"/>
                <w:sz w:val="22"/>
                <w:szCs w:val="22"/>
              </w:rPr>
            </w:pPr>
          </w:p>
        </w:tc>
      </w:tr>
      <w:tr w:rsidR="009A7DBF" w14:paraId="6AEFA279" w14:textId="77777777">
        <w:tc>
          <w:tcPr>
            <w:tcW w:w="1578" w:type="dxa"/>
            <w:gridSpan w:val="2"/>
          </w:tcPr>
          <w:p w14:paraId="4B8DF2D2" w14:textId="77777777" w:rsidR="009A7DBF" w:rsidRDefault="009A7DBF">
            <w:pPr>
              <w:widowControl w:val="0"/>
              <w:rPr>
                <w:sz w:val="22"/>
                <w:szCs w:val="22"/>
                <w:vertAlign w:val="superscript"/>
              </w:rPr>
            </w:pPr>
          </w:p>
        </w:tc>
        <w:tc>
          <w:tcPr>
            <w:tcW w:w="7602" w:type="dxa"/>
            <w:gridSpan w:val="6"/>
          </w:tcPr>
          <w:p w14:paraId="1FA93CF4" w14:textId="77777777" w:rsidR="009A7DBF" w:rsidRDefault="003F4922">
            <w:pPr>
              <w:rPr>
                <w:rFonts w:eastAsia="Calibri"/>
                <w:sz w:val="22"/>
                <w:szCs w:val="22"/>
              </w:rPr>
            </w:pPr>
            <w:r>
              <w:rPr>
                <w:rFonts w:eastAsia="Calibri"/>
                <w:sz w:val="22"/>
                <w:szCs w:val="22"/>
              </w:rPr>
              <w:t>SGOT – serumo glutamo oksaloacto transaminazė</w:t>
            </w:r>
          </w:p>
          <w:p w14:paraId="3A942E3D" w14:textId="77777777" w:rsidR="009A7DBF" w:rsidRDefault="003F4922">
            <w:pPr>
              <w:rPr>
                <w:rFonts w:eastAsia="Calibri"/>
                <w:sz w:val="22"/>
                <w:szCs w:val="22"/>
              </w:rPr>
            </w:pPr>
            <w:r>
              <w:rPr>
                <w:rFonts w:eastAsia="Calibri"/>
                <w:sz w:val="22"/>
                <w:szCs w:val="22"/>
              </w:rPr>
              <w:t>SGPT – serumo glutamo piruvico transaminazė</w:t>
            </w:r>
          </w:p>
          <w:p w14:paraId="61BEAC94" w14:textId="77777777" w:rsidR="009A7DBF" w:rsidRDefault="003F4922">
            <w:pPr>
              <w:rPr>
                <w:rFonts w:eastAsia="Calibri"/>
                <w:sz w:val="22"/>
                <w:szCs w:val="22"/>
              </w:rPr>
            </w:pPr>
            <w:r>
              <w:rPr>
                <w:rFonts w:eastAsia="Calibri"/>
                <w:sz w:val="22"/>
                <w:szCs w:val="22"/>
                <w:vertAlign w:val="superscript"/>
              </w:rPr>
              <w:t>1</w:t>
            </w:r>
            <w:r>
              <w:rPr>
                <w:rFonts w:eastAsia="Calibri"/>
                <w:sz w:val="22"/>
                <w:szCs w:val="22"/>
              </w:rPr>
              <w:t xml:space="preserve"> Nepageidaujamos reakcijos, kurios pasireiškė 2 klinikinių ne ilgesnių kaip 3 metų polipų profilaktikos tyrimų (APC ir PreSAP tyrimų) metu pacientams, gydytiems 400 mg celekoksibo paros doze. Aukščiau išvardytos tik tos polipų profilaktikos tyrimų metu pasireiškusios reakcijos, kurios prieš tai buvo nustatytos stebėjimo po vaistinio preparato pateikimo į rinką metu arba pasireiškė dažniau nei artrito tyrimų metu.</w:t>
            </w:r>
          </w:p>
        </w:tc>
      </w:tr>
      <w:tr w:rsidR="009A7DBF" w14:paraId="1C198D0D" w14:textId="77777777">
        <w:tc>
          <w:tcPr>
            <w:tcW w:w="1578" w:type="dxa"/>
            <w:gridSpan w:val="2"/>
          </w:tcPr>
          <w:p w14:paraId="0638EDB4" w14:textId="77777777" w:rsidR="009A7DBF" w:rsidRDefault="009A7DBF">
            <w:pPr>
              <w:widowControl w:val="0"/>
              <w:rPr>
                <w:sz w:val="22"/>
                <w:szCs w:val="22"/>
                <w:vertAlign w:val="superscript"/>
              </w:rPr>
            </w:pPr>
          </w:p>
        </w:tc>
        <w:tc>
          <w:tcPr>
            <w:tcW w:w="7602" w:type="dxa"/>
            <w:gridSpan w:val="6"/>
          </w:tcPr>
          <w:p w14:paraId="5103BBAD" w14:textId="77777777" w:rsidR="009A7DBF" w:rsidRDefault="003F4922">
            <w:pPr>
              <w:rPr>
                <w:rFonts w:eastAsia="Calibri"/>
                <w:sz w:val="22"/>
                <w:szCs w:val="22"/>
              </w:rPr>
            </w:pPr>
            <w:r>
              <w:rPr>
                <w:rFonts w:eastAsia="Calibri"/>
                <w:sz w:val="22"/>
                <w:szCs w:val="22"/>
                <w:vertAlign w:val="superscript"/>
              </w:rPr>
              <w:t>2</w:t>
            </w:r>
            <w:r>
              <w:rPr>
                <w:rFonts w:eastAsia="Calibri"/>
                <w:sz w:val="22"/>
                <w:szCs w:val="22"/>
              </w:rPr>
              <w:t xml:space="preserve"> Be to, 2 klinikinių ne ilgesnių kaip 3 metų polipų profilaktikos tyrimų (APC ir PreSAP tyrimų) metu 400 mg celekoksibo paros doze gydytiems pacientams pasireiškė toliau išvardytos </w:t>
            </w:r>
            <w:r>
              <w:rPr>
                <w:rFonts w:eastAsia="Calibri"/>
                <w:i/>
                <w:sz w:val="22"/>
                <w:szCs w:val="22"/>
              </w:rPr>
              <w:t>anksčiau nenustatytos</w:t>
            </w:r>
            <w:r>
              <w:rPr>
                <w:rFonts w:eastAsia="Calibri"/>
                <w:sz w:val="22"/>
                <w:szCs w:val="22"/>
              </w:rPr>
              <w:t xml:space="preserve"> nepageidaujamos reakcijos.</w:t>
            </w:r>
          </w:p>
          <w:p w14:paraId="1743B8E9" w14:textId="77777777" w:rsidR="009A7DBF" w:rsidRDefault="003F4922">
            <w:pPr>
              <w:widowControl w:val="0"/>
              <w:rPr>
                <w:rFonts w:eastAsia="Calibri"/>
                <w:sz w:val="22"/>
                <w:szCs w:val="22"/>
                <w:lang w:val="lt-LT" w:eastAsia="en-US"/>
              </w:rPr>
            </w:pPr>
            <w:r>
              <w:rPr>
                <w:b/>
                <w:sz w:val="22"/>
                <w:szCs w:val="22"/>
              </w:rPr>
              <w:t>Dažnos:</w:t>
            </w:r>
            <w:r>
              <w:rPr>
                <w:sz w:val="22"/>
                <w:szCs w:val="22"/>
              </w:rPr>
              <w:t xml:space="preserve"> krūtinės angina, dirgliosios žarnos sindromas, inkstų akmenligė, kreatinino kiekio kraujyje padidėjimas, gerybinė prostatos hiperplazija, kūno svorio padidėjimas. </w:t>
            </w:r>
            <w:r>
              <w:rPr>
                <w:b/>
                <w:sz w:val="22"/>
                <w:szCs w:val="22"/>
              </w:rPr>
              <w:t>Nedažnos:</w:t>
            </w:r>
            <w:r>
              <w:rPr>
                <w:i/>
                <w:sz w:val="22"/>
                <w:szCs w:val="22"/>
              </w:rPr>
              <w:t xml:space="preserve"> Helicobacter</w:t>
            </w:r>
            <w:r>
              <w:rPr>
                <w:sz w:val="22"/>
                <w:szCs w:val="22"/>
              </w:rPr>
              <w:t xml:space="preserve"> infekcija, juostinė pūslelinė, rožė, bronchopneumonija, labirintitas, dantenų infekcija, lipoma, stiklakūnio drumstys, kraujavimas į junginę, giliųjų venų trombozė, balso sutrikimas, kraujavimas iš hemoroidinių mazgų, peristaltikos suaktyvėjimas, burnos išopėjimas, alerginis dermatitas, nervinis mazgas, šlapinimasis naktį, kraujavimas iš makšties, krūtų jautrumas, kojų lūžiai, natrio kiekio kraujyje padidėjimas.</w:t>
            </w:r>
          </w:p>
        </w:tc>
      </w:tr>
      <w:tr w:rsidR="009A7DBF" w14:paraId="07B9A042" w14:textId="77777777">
        <w:tc>
          <w:tcPr>
            <w:tcW w:w="1578" w:type="dxa"/>
            <w:gridSpan w:val="2"/>
          </w:tcPr>
          <w:p w14:paraId="1B44ED5D" w14:textId="77777777" w:rsidR="009A7DBF" w:rsidRDefault="009A7DBF">
            <w:pPr>
              <w:widowControl w:val="0"/>
              <w:rPr>
                <w:rFonts w:eastAsia="Calibri"/>
                <w:sz w:val="22"/>
                <w:szCs w:val="22"/>
                <w:vertAlign w:val="superscript"/>
              </w:rPr>
            </w:pPr>
          </w:p>
        </w:tc>
        <w:tc>
          <w:tcPr>
            <w:tcW w:w="7602" w:type="dxa"/>
            <w:gridSpan w:val="6"/>
          </w:tcPr>
          <w:p w14:paraId="3E52C0C2" w14:textId="77777777" w:rsidR="009A7DBF" w:rsidRDefault="003F4922">
            <w:pPr>
              <w:rPr>
                <w:color w:val="000000"/>
                <w:sz w:val="22"/>
                <w:szCs w:val="22"/>
                <w:lang w:eastAsia="cs-CZ"/>
              </w:rPr>
            </w:pPr>
            <w:r>
              <w:rPr>
                <w:rFonts w:eastAsia="Calibri"/>
                <w:sz w:val="22"/>
                <w:szCs w:val="22"/>
                <w:vertAlign w:val="superscript"/>
              </w:rPr>
              <w:t>3</w:t>
            </w:r>
            <w:r>
              <w:rPr>
                <w:rFonts w:eastAsia="Calibri"/>
                <w:sz w:val="22"/>
                <w:szCs w:val="22"/>
              </w:rPr>
              <w:t xml:space="preserve"> </w:t>
            </w:r>
            <w:r>
              <w:rPr>
                <w:color w:val="000000"/>
                <w:sz w:val="22"/>
                <w:szCs w:val="22"/>
                <w:lang w:eastAsia="cs-CZ"/>
              </w:rPr>
              <w:t>Pastoti planuojančios moterys nebuvo įtraukiamos į visus tyrimus, todėl atsižvelgti į tyrimo duomenis vertinant dažnį nėra prasminga.</w:t>
            </w:r>
          </w:p>
        </w:tc>
      </w:tr>
      <w:tr w:rsidR="009A7DBF" w14:paraId="4B317089" w14:textId="77777777">
        <w:tc>
          <w:tcPr>
            <w:tcW w:w="1578" w:type="dxa"/>
            <w:gridSpan w:val="2"/>
          </w:tcPr>
          <w:p w14:paraId="7745A5EB" w14:textId="77777777" w:rsidR="009A7DBF" w:rsidRDefault="009A7DBF">
            <w:pPr>
              <w:widowControl w:val="0"/>
              <w:rPr>
                <w:rFonts w:eastAsia="Calibri"/>
                <w:sz w:val="22"/>
                <w:szCs w:val="22"/>
                <w:vertAlign w:val="superscript"/>
              </w:rPr>
            </w:pPr>
          </w:p>
        </w:tc>
        <w:tc>
          <w:tcPr>
            <w:tcW w:w="7602" w:type="dxa"/>
            <w:gridSpan w:val="6"/>
          </w:tcPr>
          <w:p w14:paraId="45FB0D13" w14:textId="77777777" w:rsidR="009A7DBF" w:rsidRDefault="003F4922">
            <w:pPr>
              <w:rPr>
                <w:color w:val="000000"/>
                <w:sz w:val="22"/>
                <w:szCs w:val="22"/>
              </w:rPr>
            </w:pPr>
            <w:r>
              <w:rPr>
                <w:color w:val="000000"/>
                <w:sz w:val="22"/>
                <w:szCs w:val="22"/>
                <w:vertAlign w:val="superscript"/>
                <w:lang w:eastAsia="cs-CZ"/>
              </w:rPr>
              <w:t>4</w:t>
            </w:r>
            <w:r>
              <w:rPr>
                <w:color w:val="000000"/>
                <w:sz w:val="22"/>
                <w:szCs w:val="22"/>
                <w:lang w:eastAsia="cs-CZ"/>
              </w:rPr>
              <w:t xml:space="preserve"> Dažniai yra paremti kumuliacine metaanalize, apibendrinant tyrimų, kurių metu vaistinio preparato vartojo 38102 pacientai, duomenis.</w:t>
            </w:r>
          </w:p>
        </w:tc>
      </w:tr>
    </w:tbl>
    <w:p w14:paraId="42B7216B" w14:textId="77777777" w:rsidR="009A7DBF" w:rsidRDefault="009A7DBF">
      <w:pPr>
        <w:widowControl w:val="0"/>
        <w:rPr>
          <w:sz w:val="22"/>
          <w:szCs w:val="22"/>
        </w:rPr>
      </w:pPr>
    </w:p>
    <w:p w14:paraId="0689E40F" w14:textId="77777777" w:rsidR="009A7DBF" w:rsidRDefault="003F4922">
      <w:pPr>
        <w:widowControl w:val="0"/>
        <w:rPr>
          <w:rFonts w:eastAsiaTheme="minorHAnsi"/>
          <w:sz w:val="22"/>
          <w:szCs w:val="22"/>
          <w:lang w:val="lt-LT" w:eastAsia="en-US"/>
        </w:rPr>
      </w:pPr>
      <w:r>
        <w:rPr>
          <w:sz w:val="22"/>
          <w:szCs w:val="22"/>
        </w:rPr>
        <w:t>Galutiniais (pripažintais) APC ir PreSAP tyrimų duomenimis (jungtiniais abiejų tyrimų duomenimis, šių tyrimų rezultatai pateikti 5.1 skyriuje), ne ilgiau kaip trejus metus 400 mg celekoksibo paros doze gydytų pacientų grupėje, palyginti su vartojusiais placebo, miokardo infarkto atvejų padaugėjo 7,6 atvejo 1000 pacientų (nedažni), insulto atvejų nepadaugėjo (insulto tipai neišskirti).</w:t>
      </w:r>
    </w:p>
    <w:p w14:paraId="72FED349" w14:textId="77777777" w:rsidR="009A7DBF" w:rsidRDefault="009A7DBF">
      <w:pPr>
        <w:widowControl w:val="0"/>
        <w:rPr>
          <w:sz w:val="22"/>
          <w:szCs w:val="22"/>
        </w:rPr>
      </w:pPr>
    </w:p>
    <w:p w14:paraId="34FC8E6F" w14:textId="77777777" w:rsidR="009A7DBF" w:rsidRDefault="003F4922">
      <w:pPr>
        <w:widowControl w:val="0"/>
        <w:autoSpaceDE w:val="0"/>
        <w:autoSpaceDN w:val="0"/>
        <w:adjustRightInd w:val="0"/>
        <w:rPr>
          <w:rFonts w:eastAsia="Calibri"/>
          <w:sz w:val="22"/>
          <w:szCs w:val="22"/>
          <w:u w:val="single"/>
          <w:lang w:val="lt-LT" w:eastAsia="en-US"/>
        </w:rPr>
      </w:pPr>
      <w:r>
        <w:rPr>
          <w:rFonts w:eastAsia="Calibri"/>
          <w:sz w:val="22"/>
          <w:szCs w:val="22"/>
          <w:u w:val="single"/>
        </w:rPr>
        <w:t>Pranešimas apie įtariamas nepageidaujamas reakcijas</w:t>
      </w:r>
    </w:p>
    <w:p w14:paraId="57F0F5FD" w14:textId="77777777" w:rsidR="009A7DBF" w:rsidRDefault="003F4922">
      <w:pPr>
        <w:widowControl w:val="0"/>
        <w:autoSpaceDE w:val="0"/>
        <w:autoSpaceDN w:val="0"/>
        <w:adjustRightInd w:val="0"/>
        <w:rPr>
          <w:rFonts w:eastAsia="Calibri"/>
          <w:sz w:val="22"/>
          <w:szCs w:val="22"/>
          <w:lang w:val="lt-LT" w:eastAsia="en-US"/>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r>
        <w:rPr>
          <w:rFonts w:eastAsia="Calibri"/>
          <w:sz w:val="22"/>
          <w:szCs w:val="22"/>
        </w:rPr>
        <w:t>.</w:t>
      </w:r>
    </w:p>
    <w:p w14:paraId="5219D78E" w14:textId="77777777" w:rsidR="009A7DBF" w:rsidRDefault="009A7DBF">
      <w:pPr>
        <w:widowControl w:val="0"/>
        <w:rPr>
          <w:sz w:val="22"/>
          <w:szCs w:val="22"/>
        </w:rPr>
      </w:pPr>
    </w:p>
    <w:p w14:paraId="446F4AF6" w14:textId="77777777" w:rsidR="009A7DBF" w:rsidRDefault="003F4922">
      <w:pPr>
        <w:widowControl w:val="0"/>
        <w:ind w:left="567" w:hanging="567"/>
        <w:outlineLvl w:val="0"/>
        <w:rPr>
          <w:rFonts w:eastAsiaTheme="minorHAnsi"/>
          <w:b/>
          <w:sz w:val="22"/>
          <w:szCs w:val="22"/>
          <w:lang w:val="lt-LT" w:eastAsia="en-US"/>
        </w:rPr>
      </w:pPr>
      <w:r>
        <w:rPr>
          <w:b/>
          <w:sz w:val="22"/>
          <w:szCs w:val="22"/>
        </w:rPr>
        <w:t>4.9</w:t>
      </w:r>
      <w:r>
        <w:rPr>
          <w:b/>
          <w:sz w:val="22"/>
          <w:szCs w:val="22"/>
        </w:rPr>
        <w:tab/>
        <w:t>Perdozavimas</w:t>
      </w:r>
    </w:p>
    <w:p w14:paraId="7C9B9A2D" w14:textId="77777777" w:rsidR="009A7DBF" w:rsidRDefault="009A7DBF">
      <w:pPr>
        <w:widowControl w:val="0"/>
        <w:ind w:left="567" w:hanging="567"/>
        <w:rPr>
          <w:sz w:val="22"/>
          <w:szCs w:val="22"/>
        </w:rPr>
      </w:pPr>
    </w:p>
    <w:p w14:paraId="7876B63E" w14:textId="77777777" w:rsidR="009A7DBF" w:rsidRDefault="003F4922">
      <w:pPr>
        <w:widowControl w:val="0"/>
        <w:rPr>
          <w:rFonts w:eastAsiaTheme="minorHAnsi"/>
          <w:sz w:val="22"/>
          <w:szCs w:val="22"/>
          <w:lang w:val="lt-LT" w:eastAsia="en-US"/>
        </w:rPr>
      </w:pPr>
      <w:r>
        <w:rPr>
          <w:sz w:val="22"/>
          <w:szCs w:val="22"/>
        </w:rPr>
        <w:t>Klinikinių duomenų apie perdozavimą nėra. Sveikiems žmonėms vienkartinės iki 1200 mg ir kartotinės devynias dienas du kartus per parą vartotos iki 1200 mg dozės kliniškai reikšmingo nepageidaujamo poveikio nesukėlė.</w:t>
      </w:r>
    </w:p>
    <w:p w14:paraId="7D3A5923" w14:textId="77777777" w:rsidR="009A7DBF" w:rsidRDefault="009A7DBF">
      <w:pPr>
        <w:widowControl w:val="0"/>
        <w:rPr>
          <w:sz w:val="22"/>
          <w:szCs w:val="22"/>
        </w:rPr>
      </w:pPr>
    </w:p>
    <w:p w14:paraId="427A9438" w14:textId="77777777" w:rsidR="009A7DBF" w:rsidRDefault="003F4922">
      <w:pPr>
        <w:widowControl w:val="0"/>
        <w:rPr>
          <w:rFonts w:eastAsiaTheme="minorHAnsi"/>
          <w:sz w:val="22"/>
          <w:szCs w:val="22"/>
          <w:u w:val="single"/>
          <w:lang w:val="lt-LT" w:eastAsia="en-US"/>
        </w:rPr>
      </w:pPr>
      <w:r>
        <w:rPr>
          <w:sz w:val="22"/>
          <w:szCs w:val="22"/>
          <w:u w:val="single"/>
        </w:rPr>
        <w:t>Gydymas</w:t>
      </w:r>
    </w:p>
    <w:p w14:paraId="7394EF99" w14:textId="77777777" w:rsidR="009A7DBF" w:rsidRDefault="003F4922">
      <w:pPr>
        <w:widowControl w:val="0"/>
        <w:rPr>
          <w:rFonts w:eastAsiaTheme="minorHAnsi"/>
          <w:sz w:val="22"/>
          <w:szCs w:val="22"/>
          <w:lang w:val="lt-LT" w:eastAsia="en-US"/>
        </w:rPr>
      </w:pPr>
      <w:r>
        <w:rPr>
          <w:sz w:val="22"/>
          <w:szCs w:val="22"/>
        </w:rPr>
        <w:t>Jei įtariama, kad buvo perdozuota, būtina pradėti tinkamą palaikomąjį gydymą, pvz., plauti skrandį, stebėti klinikinę būklę ir, jeigu reikia, skirti simptominį gydymą. Dializė neturėtų būti veiksmingas vaistinio preparato šalinimo metodas, nes daug celekoksibo susijungia su baltymais.</w:t>
      </w:r>
    </w:p>
    <w:p w14:paraId="33B8B6D2" w14:textId="77777777" w:rsidR="009A7DBF" w:rsidRDefault="009A7DBF">
      <w:pPr>
        <w:widowControl w:val="0"/>
        <w:ind w:left="567" w:hanging="567"/>
        <w:rPr>
          <w:sz w:val="22"/>
          <w:szCs w:val="22"/>
        </w:rPr>
      </w:pPr>
    </w:p>
    <w:p w14:paraId="504A620A" w14:textId="77777777" w:rsidR="009A7DBF" w:rsidRDefault="009A7DBF">
      <w:pPr>
        <w:widowControl w:val="0"/>
        <w:ind w:left="567" w:hanging="567"/>
        <w:rPr>
          <w:sz w:val="22"/>
          <w:szCs w:val="22"/>
        </w:rPr>
      </w:pPr>
    </w:p>
    <w:p w14:paraId="50A00BF9" w14:textId="77777777" w:rsidR="009A7DBF" w:rsidRDefault="003F4922">
      <w:pPr>
        <w:widowControl w:val="0"/>
        <w:ind w:left="567" w:hanging="567"/>
        <w:outlineLvl w:val="0"/>
        <w:rPr>
          <w:rFonts w:eastAsiaTheme="minorHAnsi"/>
          <w:b/>
          <w:caps/>
          <w:sz w:val="22"/>
          <w:szCs w:val="22"/>
          <w:lang w:val="lt-LT" w:eastAsia="en-US"/>
        </w:rPr>
      </w:pPr>
      <w:r>
        <w:rPr>
          <w:b/>
          <w:caps/>
          <w:sz w:val="22"/>
          <w:szCs w:val="22"/>
        </w:rPr>
        <w:t>5.</w:t>
      </w:r>
      <w:r>
        <w:rPr>
          <w:b/>
          <w:caps/>
          <w:sz w:val="22"/>
          <w:szCs w:val="22"/>
        </w:rPr>
        <w:tab/>
      </w:r>
      <w:r>
        <w:rPr>
          <w:b/>
          <w:sz w:val="22"/>
          <w:szCs w:val="22"/>
        </w:rPr>
        <w:t xml:space="preserve">FARMAKOLOGINĖS </w:t>
      </w:r>
      <w:r>
        <w:rPr>
          <w:b/>
          <w:caps/>
          <w:sz w:val="22"/>
          <w:szCs w:val="22"/>
        </w:rPr>
        <w:t>savybės</w:t>
      </w:r>
    </w:p>
    <w:p w14:paraId="26F83057" w14:textId="77777777" w:rsidR="009A7DBF" w:rsidRDefault="009A7DBF">
      <w:pPr>
        <w:widowControl w:val="0"/>
        <w:ind w:left="567" w:hanging="567"/>
        <w:rPr>
          <w:sz w:val="22"/>
          <w:szCs w:val="22"/>
        </w:rPr>
      </w:pPr>
    </w:p>
    <w:p w14:paraId="1A634E21" w14:textId="77777777" w:rsidR="009A7DBF" w:rsidRDefault="003F4922">
      <w:pPr>
        <w:widowControl w:val="0"/>
        <w:ind w:left="567" w:hanging="567"/>
        <w:outlineLvl w:val="0"/>
        <w:rPr>
          <w:rFonts w:eastAsiaTheme="minorHAnsi"/>
          <w:b/>
          <w:sz w:val="22"/>
          <w:szCs w:val="22"/>
          <w:lang w:val="lt-LT" w:eastAsia="en-US"/>
        </w:rPr>
      </w:pPr>
      <w:r>
        <w:rPr>
          <w:b/>
          <w:sz w:val="22"/>
          <w:szCs w:val="22"/>
        </w:rPr>
        <w:t>5.1</w:t>
      </w:r>
      <w:r>
        <w:rPr>
          <w:b/>
          <w:sz w:val="22"/>
          <w:szCs w:val="22"/>
        </w:rPr>
        <w:tab/>
        <w:t>Farmakodinaminės savybės</w:t>
      </w:r>
    </w:p>
    <w:p w14:paraId="6EB8F744" w14:textId="77777777" w:rsidR="009A7DBF" w:rsidRDefault="009A7DBF">
      <w:pPr>
        <w:widowControl w:val="0"/>
        <w:ind w:left="567" w:hanging="567"/>
        <w:rPr>
          <w:sz w:val="22"/>
          <w:szCs w:val="22"/>
        </w:rPr>
      </w:pPr>
    </w:p>
    <w:p w14:paraId="48F2DD25" w14:textId="77777777" w:rsidR="009A7DBF" w:rsidRDefault="003F4922">
      <w:pPr>
        <w:widowControl w:val="0"/>
        <w:rPr>
          <w:rFonts w:eastAsiaTheme="minorHAnsi"/>
          <w:sz w:val="22"/>
          <w:szCs w:val="22"/>
          <w:lang w:val="lt-LT" w:eastAsia="en-US"/>
        </w:rPr>
      </w:pPr>
      <w:r>
        <w:rPr>
          <w:sz w:val="22"/>
          <w:szCs w:val="22"/>
        </w:rPr>
        <w:t>Farmakoterapinė grupė –vaistiniai preparatai nuo uždegimo ir reumato, nesteroidiniai preparatai, koksibai, ATC kodas – M01AH01.</w:t>
      </w:r>
    </w:p>
    <w:p w14:paraId="281AAE95" w14:textId="77777777" w:rsidR="009A7DBF" w:rsidRDefault="009A7DBF">
      <w:pPr>
        <w:widowControl w:val="0"/>
        <w:ind w:left="567" w:hanging="567"/>
        <w:rPr>
          <w:sz w:val="22"/>
          <w:szCs w:val="22"/>
        </w:rPr>
      </w:pPr>
    </w:p>
    <w:p w14:paraId="22A85150" w14:textId="77777777" w:rsidR="009A7DBF" w:rsidRDefault="003F4922">
      <w:pPr>
        <w:widowControl w:val="0"/>
        <w:rPr>
          <w:rFonts w:eastAsiaTheme="minorHAnsi"/>
          <w:sz w:val="22"/>
          <w:szCs w:val="22"/>
          <w:u w:val="single"/>
          <w:lang w:val="lt-LT" w:eastAsia="en-US"/>
        </w:rPr>
      </w:pPr>
      <w:r>
        <w:rPr>
          <w:sz w:val="22"/>
          <w:szCs w:val="22"/>
          <w:u w:val="single"/>
        </w:rPr>
        <w:t>Veikimo mechanizmas</w:t>
      </w:r>
    </w:p>
    <w:p w14:paraId="2E4432F8" w14:textId="77777777" w:rsidR="009A7DBF" w:rsidRDefault="003F4922">
      <w:pPr>
        <w:widowControl w:val="0"/>
        <w:rPr>
          <w:rFonts w:eastAsiaTheme="minorHAnsi"/>
          <w:sz w:val="22"/>
          <w:szCs w:val="22"/>
          <w:lang w:val="lt-LT" w:eastAsia="en-US"/>
        </w:rPr>
      </w:pPr>
      <w:r>
        <w:rPr>
          <w:sz w:val="22"/>
          <w:szCs w:val="22"/>
        </w:rPr>
        <w:t>Celekoksibas yra geriamasis selektyvaus poveikio (vartojant klinikinėmis, t. y. 200</w:t>
      </w:r>
      <w:r>
        <w:rPr>
          <w:sz w:val="22"/>
          <w:szCs w:val="22"/>
        </w:rPr>
        <w:noBreakHyphen/>
        <w:t>400 mg paros dozėmis) ciklooksigenazės 2 (COX</w:t>
      </w:r>
      <w:r>
        <w:rPr>
          <w:sz w:val="22"/>
          <w:szCs w:val="22"/>
        </w:rPr>
        <w:noBreakHyphen/>
        <w:t>2) inhibitorius. Sveikiems savanoriams tokios vaistinio preparato dozės statistiškai reikšmingai neslopino COX</w:t>
      </w:r>
      <w:r>
        <w:rPr>
          <w:sz w:val="22"/>
          <w:szCs w:val="22"/>
        </w:rPr>
        <w:noBreakHyphen/>
        <w:t xml:space="preserve">1 (tirtas tromboksano B2 [TxB2] slopinimas </w:t>
      </w:r>
      <w:r>
        <w:rPr>
          <w:i/>
          <w:sz w:val="22"/>
          <w:szCs w:val="22"/>
        </w:rPr>
        <w:t>ex vivo</w:t>
      </w:r>
      <w:r>
        <w:rPr>
          <w:sz w:val="22"/>
          <w:szCs w:val="22"/>
        </w:rPr>
        <w:t>).</w:t>
      </w:r>
    </w:p>
    <w:p w14:paraId="096423D2" w14:textId="77777777" w:rsidR="009A7DBF" w:rsidRDefault="009A7DBF">
      <w:pPr>
        <w:widowControl w:val="0"/>
        <w:rPr>
          <w:sz w:val="22"/>
          <w:szCs w:val="22"/>
        </w:rPr>
      </w:pPr>
    </w:p>
    <w:p w14:paraId="61BEECF4" w14:textId="77777777" w:rsidR="009A7DBF" w:rsidRDefault="003F4922">
      <w:pPr>
        <w:rPr>
          <w:rFonts w:eastAsia="Calibri"/>
          <w:sz w:val="22"/>
          <w:szCs w:val="22"/>
          <w:u w:val="single"/>
        </w:rPr>
      </w:pPr>
      <w:r>
        <w:rPr>
          <w:rFonts w:eastAsia="Calibri"/>
          <w:sz w:val="22"/>
          <w:szCs w:val="22"/>
          <w:u w:val="single"/>
        </w:rPr>
        <w:t>Farmakodinaminis poveikis</w:t>
      </w:r>
    </w:p>
    <w:p w14:paraId="74953949" w14:textId="77777777" w:rsidR="009A7DBF" w:rsidRDefault="003F4922">
      <w:pPr>
        <w:widowControl w:val="0"/>
        <w:rPr>
          <w:rFonts w:eastAsiaTheme="minorHAnsi"/>
          <w:sz w:val="22"/>
          <w:szCs w:val="22"/>
          <w:lang w:val="lt-LT" w:eastAsia="en-US"/>
        </w:rPr>
      </w:pPr>
      <w:r>
        <w:rPr>
          <w:sz w:val="22"/>
          <w:szCs w:val="22"/>
        </w:rPr>
        <w:t>Ciklooksigenazė skatina prostaglandinų sintezę. Žinomos dvi fermento izoformos — COX</w:t>
      </w:r>
      <w:r>
        <w:rPr>
          <w:sz w:val="22"/>
          <w:szCs w:val="22"/>
        </w:rPr>
        <w:noBreakHyphen/>
        <w:t>1 ir COX</w:t>
      </w:r>
      <w:r>
        <w:rPr>
          <w:sz w:val="22"/>
          <w:szCs w:val="22"/>
        </w:rPr>
        <w:noBreakHyphen/>
        <w:t>2. Izoformą COX</w:t>
      </w:r>
      <w:r>
        <w:rPr>
          <w:sz w:val="22"/>
          <w:szCs w:val="22"/>
        </w:rPr>
        <w:noBreakHyphen/>
        <w:t>2 aktyvina su uždegimu susiję dirgikliai, ji pirmiausia skatina prostanoidinių skausmo, uždegimo ir karščiavimo mediatorių sintezę. Be to, COX</w:t>
      </w:r>
      <w:r>
        <w:rPr>
          <w:sz w:val="22"/>
          <w:szCs w:val="22"/>
        </w:rPr>
        <w:noBreakHyphen/>
        <w:t>2 daro įtaką ovuliacijai, implantacijai ir arterinio latako užakimui, reguliuoja inkstų funkciją ir centrinės nervų sistemos funkcijas (karščiavimo sužadinimą, skausmo jutimą ir kognityvinę funkciją). COX</w:t>
      </w:r>
      <w:r>
        <w:rPr>
          <w:sz w:val="22"/>
          <w:szCs w:val="22"/>
        </w:rPr>
        <w:noBreakHyphen/>
        <w:t>2 galimai skatina gyti opas. COX</w:t>
      </w:r>
      <w:r>
        <w:rPr>
          <w:sz w:val="22"/>
          <w:szCs w:val="22"/>
        </w:rPr>
        <w:noBreakHyphen/>
        <w:t>2 rasta audiniuose aplink žmogaus skrandžio opą, tačiau fermento svarba opos gijimui nėra nustatyta.</w:t>
      </w:r>
    </w:p>
    <w:p w14:paraId="1BC38DE6" w14:textId="77777777" w:rsidR="009A7DBF" w:rsidRDefault="009A7DBF">
      <w:pPr>
        <w:widowControl w:val="0"/>
        <w:rPr>
          <w:sz w:val="22"/>
          <w:szCs w:val="22"/>
        </w:rPr>
      </w:pPr>
    </w:p>
    <w:p w14:paraId="38276515" w14:textId="77777777" w:rsidR="009A7DBF" w:rsidRDefault="003F4922">
      <w:pPr>
        <w:widowControl w:val="0"/>
        <w:rPr>
          <w:rFonts w:eastAsiaTheme="minorHAnsi"/>
          <w:sz w:val="22"/>
          <w:szCs w:val="22"/>
          <w:lang w:val="lt-LT" w:eastAsia="en-US"/>
        </w:rPr>
      </w:pPr>
      <w:r>
        <w:rPr>
          <w:sz w:val="22"/>
          <w:szCs w:val="22"/>
        </w:rPr>
        <w:t>Skirtingas kai kurių NVNU slopinančių COX</w:t>
      </w:r>
      <w:r>
        <w:rPr>
          <w:sz w:val="22"/>
          <w:szCs w:val="22"/>
        </w:rPr>
        <w:noBreakHyphen/>
        <w:t>1 ir selektyviųjų COX</w:t>
      </w:r>
      <w:r>
        <w:rPr>
          <w:sz w:val="22"/>
          <w:szCs w:val="22"/>
        </w:rPr>
        <w:noBreakHyphen/>
        <w:t>2 inhibitorių antitrombocitinis poveikis gali būti kliniškai reikšmingas tais atvejais, kai yra tromboembolinių reakcijų rizika. Selektyvieji COX</w:t>
      </w:r>
      <w:r>
        <w:rPr>
          <w:sz w:val="22"/>
          <w:szCs w:val="22"/>
        </w:rPr>
        <w:noBreakHyphen/>
        <w:t>2 inhibitoriai mažina sisteminio (taigi galbūt ir endotelinio) prostaciklino susidarymą, neveikdami trombocitų tromboksanų.</w:t>
      </w:r>
    </w:p>
    <w:p w14:paraId="5A5D96C4" w14:textId="77777777" w:rsidR="009A7DBF" w:rsidRDefault="009A7DBF">
      <w:pPr>
        <w:widowControl w:val="0"/>
        <w:rPr>
          <w:sz w:val="22"/>
          <w:szCs w:val="22"/>
        </w:rPr>
      </w:pPr>
    </w:p>
    <w:p w14:paraId="536DC9A0" w14:textId="77777777" w:rsidR="009A7DBF" w:rsidRDefault="003F4922">
      <w:pPr>
        <w:widowControl w:val="0"/>
        <w:rPr>
          <w:rFonts w:eastAsiaTheme="minorHAnsi"/>
          <w:sz w:val="22"/>
          <w:szCs w:val="22"/>
          <w:lang w:val="lt-LT" w:eastAsia="en-US"/>
        </w:rPr>
      </w:pPr>
      <w:r>
        <w:rPr>
          <w:sz w:val="22"/>
          <w:szCs w:val="22"/>
        </w:rPr>
        <w:t>Celekoksibas yra pirazolas su pakeista diarilo grupe, kuris cheminiu požiūriu yra panašus į kitus ne arilamino sulfonamidus (pvz., tiazidus, furozemidą), bet skiriasi nuo arilamino sulfonamidų (pvz., sulfametoksizolio ir kitų sulfonamidinių antibiotikų).</w:t>
      </w:r>
    </w:p>
    <w:p w14:paraId="35DCD299" w14:textId="77777777" w:rsidR="009A7DBF" w:rsidRDefault="009A7DBF">
      <w:pPr>
        <w:widowControl w:val="0"/>
        <w:rPr>
          <w:sz w:val="22"/>
          <w:szCs w:val="22"/>
        </w:rPr>
      </w:pPr>
    </w:p>
    <w:p w14:paraId="7387F864" w14:textId="77777777" w:rsidR="009A7DBF" w:rsidRDefault="003F4922">
      <w:pPr>
        <w:widowControl w:val="0"/>
        <w:rPr>
          <w:rFonts w:eastAsiaTheme="minorHAnsi"/>
          <w:sz w:val="22"/>
          <w:szCs w:val="22"/>
          <w:lang w:val="lt-LT" w:eastAsia="en-US"/>
        </w:rPr>
      </w:pPr>
      <w:r>
        <w:rPr>
          <w:sz w:val="22"/>
          <w:szCs w:val="22"/>
        </w:rPr>
        <w:t>Vartojant dideles celekoksibo dozes, nustatytas nuo dozės priklausomas poveikis TxB</w:t>
      </w:r>
      <w:r>
        <w:rPr>
          <w:sz w:val="22"/>
          <w:szCs w:val="22"/>
          <w:vertAlign w:val="subscript"/>
        </w:rPr>
        <w:t>2</w:t>
      </w:r>
      <w:r>
        <w:rPr>
          <w:sz w:val="22"/>
          <w:szCs w:val="22"/>
        </w:rPr>
        <w:t xml:space="preserve"> susidarymui. Vis dėlto nedidelio kartotinių dozių tyrimo su sveikais savanoriais metu du kartus per parą vartojama 600 mg celekoksibo dozė (t. y. dozė, tris kartus didesnė už didžiausią rekomenduojamą dozę), palyginti su placebu, poveikio trombocitų agregacijai ir kraujavimo laikui nesukėlė.</w:t>
      </w:r>
    </w:p>
    <w:p w14:paraId="4251191A" w14:textId="77777777" w:rsidR="009A7DBF" w:rsidRDefault="009A7DBF">
      <w:pPr>
        <w:widowControl w:val="0"/>
        <w:rPr>
          <w:sz w:val="22"/>
          <w:szCs w:val="22"/>
        </w:rPr>
      </w:pPr>
    </w:p>
    <w:p w14:paraId="3C3CCF31" w14:textId="77777777" w:rsidR="009A7DBF" w:rsidRDefault="003F4922">
      <w:pPr>
        <w:rPr>
          <w:rFonts w:eastAsia="Calibri"/>
          <w:sz w:val="22"/>
          <w:szCs w:val="22"/>
          <w:u w:val="single"/>
        </w:rPr>
      </w:pPr>
      <w:r>
        <w:rPr>
          <w:rFonts w:eastAsia="Calibri"/>
          <w:sz w:val="22"/>
          <w:szCs w:val="22"/>
          <w:u w:val="single"/>
        </w:rPr>
        <w:t>Klinikinis veiksmingumas ir saugumas</w:t>
      </w:r>
    </w:p>
    <w:p w14:paraId="03E54EFD" w14:textId="77777777" w:rsidR="009A7DBF" w:rsidRDefault="003F4922">
      <w:pPr>
        <w:widowControl w:val="0"/>
        <w:rPr>
          <w:rFonts w:eastAsiaTheme="minorHAnsi"/>
          <w:sz w:val="22"/>
          <w:szCs w:val="22"/>
          <w:lang w:val="lt-LT" w:eastAsia="en-US"/>
        </w:rPr>
      </w:pPr>
      <w:r>
        <w:rPr>
          <w:sz w:val="22"/>
          <w:szCs w:val="22"/>
        </w:rPr>
        <w:t>Atlikti keli klinikiniai celekoksibo tyrimai, kurių metu buvo patvirtintas vaistinio preparato veiksmingumas ir saugumas, juo gydant osteoartritu, reumatoidiniu artritu ir ankiloziniu spondilitu sergančius pacientus. Gydymo celekoksibu poveikis uždegimui ir skausmui įvertintas iki 12 savaičių trukmės placebu ir aktyviai kontroliuojamais tyrimais, kuriuose dalyvavo maždaug 4200 kelio ir klubo osteoartritu sergančių pacientų, ir iki 24 savaičių trukmės placebu ir aktyviai kontroliuojamais tyrimais, kuriuose dalyvavo maždaug 2100 pacientų, sergančių reumatoidiniu artritu. 200</w:t>
      </w:r>
      <w:r>
        <w:rPr>
          <w:sz w:val="22"/>
          <w:szCs w:val="22"/>
        </w:rPr>
        <w:noBreakHyphen/>
        <w:t>400 mg celekoksibo paros dozė skausmą sumažino 24 valandoms po dozės pavartojimo. Be to, atlikti iki 12 savaičių placebu ir aktyviai kontroliuoti ankilozinio spondilito simptominio gydymo celekoksibu tyrimai, kuriuose dalyvavo 896 pacientai. Šių tyrimų metu du kartus per parą vartota 100 mg celekoksibo dozė, kartą per parą vartota 200 mg dozė, du kartus per parą vartota 200 mg dozė ir kartą per parą vartota 400 mg dozė reikšmingai sumažino skausmą ir padidino bendrą ligos aktyvumo ir funkcijos įvertinimą ankiloziniu spondilitu sergantiems pacientams.</w:t>
      </w:r>
    </w:p>
    <w:p w14:paraId="0F13FEA1" w14:textId="77777777" w:rsidR="009A7DBF" w:rsidRDefault="009A7DBF">
      <w:pPr>
        <w:widowControl w:val="0"/>
        <w:rPr>
          <w:sz w:val="22"/>
          <w:szCs w:val="22"/>
        </w:rPr>
      </w:pPr>
    </w:p>
    <w:p w14:paraId="0D1C1B3E" w14:textId="77777777" w:rsidR="009A7DBF" w:rsidRDefault="003F4922">
      <w:pPr>
        <w:widowControl w:val="0"/>
        <w:rPr>
          <w:rFonts w:eastAsiaTheme="minorHAnsi"/>
          <w:sz w:val="22"/>
          <w:szCs w:val="22"/>
          <w:lang w:val="lt-LT" w:eastAsia="en-US"/>
        </w:rPr>
      </w:pPr>
      <w:r>
        <w:rPr>
          <w:sz w:val="22"/>
          <w:szCs w:val="22"/>
        </w:rPr>
        <w:lastRenderedPageBreak/>
        <w:t>Maždaug 4500 opų neturėjusių pacientų dalyvavo penkiuose atsitiktinių imčių dvigubai koduotuose kontroliuojamuosiuose tyrimuose (du kartus per parą vartota 50</w:t>
      </w:r>
      <w:r>
        <w:rPr>
          <w:sz w:val="22"/>
          <w:szCs w:val="22"/>
        </w:rPr>
        <w:noBreakHyphen/>
        <w:t>400 mg celekoksibo dozė), kurių metu atlikta planinė viršutinės virškinimo trakto dalies endoskopija. Dvylika savaičių trukusių endoskopijos tyrimų duomenimis, pacientams, vartojusiesiems celekoksibo (100</w:t>
      </w:r>
      <w:r>
        <w:rPr>
          <w:sz w:val="22"/>
          <w:szCs w:val="22"/>
        </w:rPr>
        <w:noBreakHyphen/>
        <w:t>800 mg per parą), skrandžio ir dvylikapirštės žarnos opų atsiradimo rizika buvo reikšmingai mažesnė nei vartojusiesiems naprokseno (1000 mg per parą) ir ibuprofeno (2400 mg per parą). Celekoksibo ir diklofenako (150 mg per parą) lyginamieji duomenys yra prieštaringi. Dviejų 12 savaičių trukmės tyrimų duomenimis, endoskopijos metu diagnozuoto skrandžio ir dvylikapirštės žarnos išopėjimo dažnumas pacientų, vartojusių placebo, 200 mg celekoksibo du kartus per parą bei 400 mg celekoksibo du kartus per parą, grupėse reikšmingai nesiskyrė.</w:t>
      </w:r>
    </w:p>
    <w:p w14:paraId="0A4DC835" w14:textId="77777777" w:rsidR="009A7DBF" w:rsidRDefault="009A7DBF">
      <w:pPr>
        <w:widowControl w:val="0"/>
        <w:rPr>
          <w:sz w:val="22"/>
          <w:szCs w:val="22"/>
        </w:rPr>
      </w:pPr>
    </w:p>
    <w:p w14:paraId="650652F2" w14:textId="77777777" w:rsidR="009A7DBF" w:rsidRDefault="003F4922">
      <w:pPr>
        <w:widowControl w:val="0"/>
        <w:rPr>
          <w:rFonts w:eastAsiaTheme="minorHAnsi"/>
          <w:sz w:val="22"/>
          <w:szCs w:val="22"/>
          <w:lang w:val="lt-LT" w:eastAsia="en-US"/>
        </w:rPr>
      </w:pPr>
      <w:r>
        <w:rPr>
          <w:sz w:val="22"/>
          <w:szCs w:val="22"/>
        </w:rPr>
        <w:t>Ilgame perspektyviajame saugumo baigčių tyrime (6</w:t>
      </w:r>
      <w:r>
        <w:rPr>
          <w:sz w:val="22"/>
          <w:szCs w:val="22"/>
        </w:rPr>
        <w:noBreakHyphen/>
        <w:t>15 mėnesių trukmės CLASS tyrimas) dalyvavo 5800 osteoartritu ir 2200 reumatoidiniu artritu sergančių pacientų, kurie vartojo 400 mg celekoksibo du kartus per parą (dozė atitinkamai 4 ir 2 kartus didesnė už rekomenduojamą osteoartritui ir reumatoidiniam artritui gydyti), 800 mg ibuprofeno tris kartus per parą arba 75 mg diklofenako du kartus per parą (abiejų vaistinių preparatų dozė buvo gydomoji). 22% pacientų tuo pat metu vartojo mažą (≤325 mg per parą) acetilsalicilo rūgšties dozę daugiausia širdies ir kraujagyslių (KV) sutrikimų profilaktikai. Pagrindinės vertinamosios baigties, t. y. opų komplikacijų (kraujavimo iš virškinimo trakto, perforacijos ar obstrukcijos) dažnis celekoksibo ir atskirai vertintose ibuprofeno ir diklofenako grupėse statistiškai reikšmingai nesiskyrė. Jungtinėje NVNU grupėje statistiškai reikšmingo opų komplikacijų skirtumo nebuvo (santykinė rizika 0,77, 95% PI 0,41</w:t>
      </w:r>
      <w:r>
        <w:rPr>
          <w:sz w:val="22"/>
          <w:szCs w:val="22"/>
        </w:rPr>
        <w:noBreakHyphen/>
        <w:t>1,46, remiantis viso tyrimo duomenimis). Kombinuotosios vertinamosios baigties, t. y. opų komplikacijų ir simptominių opų celekoksibo grupėje atsirado reikšmingai mažiau nei NVNU grupėje (santykinė rizika 0,66, 95% PI 0,45</w:t>
      </w:r>
      <w:r>
        <w:rPr>
          <w:sz w:val="22"/>
          <w:szCs w:val="22"/>
        </w:rPr>
        <w:noBreakHyphen/>
        <w:t>0,97), tačiau dažnis celekoksibo ir diklofenako vartojusiųjų grupėse reikšmingai nesiskyrė. Tiems pacientams, kurie vartojo celekoksibo kartu su maža acetilsalicilo doze, opų komplikacijų atsirado 4 kartus dažniau nei vartojusiesiems vien celekoksibo. Kartotiniais tyrimais patvirtinto kliniškai reikšmingo (&gt;2 g/dl) hemoglobino koncentracijos sumažėjimo dažnis pacientams, kurie vartojo celekoksibo, buvo mažesnis nei NVNU vartojusiųjų grupėje (santykinė rizika 0,29, 95% PI 0,17</w:t>
      </w:r>
      <w:r>
        <w:rPr>
          <w:sz w:val="22"/>
          <w:szCs w:val="22"/>
        </w:rPr>
        <w:noBreakHyphen/>
        <w:t>0,48). Šio reiškinio dažnis vartojant celekoksibo išliko reikšmingai mažesnis ir tais atvejais, kai kartu vartota acetilsalicilo rūgšties, ir tais, kai jos nevartota.</w:t>
      </w:r>
    </w:p>
    <w:p w14:paraId="3EA908DF" w14:textId="77777777" w:rsidR="009A7DBF" w:rsidRDefault="009A7DBF">
      <w:pPr>
        <w:widowControl w:val="0"/>
        <w:rPr>
          <w:sz w:val="22"/>
          <w:szCs w:val="22"/>
        </w:rPr>
      </w:pPr>
    </w:p>
    <w:p w14:paraId="75C62F9F" w14:textId="77777777" w:rsidR="009A7DBF" w:rsidRDefault="003F4922">
      <w:pPr>
        <w:widowControl w:val="0"/>
        <w:rPr>
          <w:rFonts w:eastAsiaTheme="minorHAnsi"/>
          <w:sz w:val="22"/>
          <w:szCs w:val="22"/>
          <w:lang w:val="lt-LT" w:eastAsia="en-US"/>
        </w:rPr>
      </w:pPr>
      <w:r>
        <w:rPr>
          <w:sz w:val="22"/>
          <w:szCs w:val="22"/>
        </w:rPr>
        <w:t xml:space="preserve">Perspektyviojo atsitiktinių imčių 24 savaičių saugumo tyrimo, kuriame dalyvavo </w:t>
      </w:r>
      <w:r>
        <w:rPr>
          <w:color w:val="000000"/>
          <w:sz w:val="22"/>
          <w:szCs w:val="22"/>
        </w:rPr>
        <w:t>≥</w:t>
      </w:r>
      <w:r>
        <w:rPr>
          <w:bCs/>
          <w:color w:val="000000"/>
          <w:sz w:val="22"/>
          <w:szCs w:val="22"/>
          <w:lang w:eastAsia="cs-CZ"/>
        </w:rPr>
        <w:t xml:space="preserve"> </w:t>
      </w:r>
      <w:r>
        <w:rPr>
          <w:sz w:val="22"/>
          <w:szCs w:val="22"/>
        </w:rPr>
        <w:t>60 metų pacientai arba pacientai, kuriems anksčiau buvo diagnozuotos skrandžio ar dvylikapirštės žarnos opos [išskyrus vartojančius acetilsalicilo rūgšties (ASR)], duomenimis, procentinė pacientų, kurių hemoglobino koncentracija (≥2 g/dl) ir (arba) hematokritas (≥10%) sumažėjo dėl diagnozuoto arba įtariamo VT sutrikimo, dalis buvo mažesnė pacientų, vartojusių 200 mg celekoksibo vieną kartą per parą (n=2238), grupėje, palyginti su pacientais, kurie vartojo 75 mg diklofenako SR dozę du kartus per parą kartu su 20 mg omeprazolo vieną kartą per parą (n=2246) (0,2% ir 1,1%, kai VT sutrikimas buvo diagnozuotas, p=0,004; 0,4% ir su 2,4%, kai VT sutrikimas buvo įtartas, p=0,0001). Kliniškai pasireiškusių VT komplikacijų, pvz., prakiurimo, obstrukcijos ar kraujavimo, dažnis buvo labai mažas ir gydymo grupėse nesiskyrė (4</w:t>
      </w:r>
      <w:r>
        <w:rPr>
          <w:sz w:val="22"/>
          <w:szCs w:val="22"/>
        </w:rPr>
        <w:noBreakHyphen/>
        <w:t>5 atvejai kiekvienoje grupėje).</w:t>
      </w:r>
    </w:p>
    <w:p w14:paraId="4F1DD415" w14:textId="77777777" w:rsidR="009A7DBF" w:rsidRDefault="009A7DBF">
      <w:pPr>
        <w:widowControl w:val="0"/>
        <w:rPr>
          <w:sz w:val="22"/>
          <w:szCs w:val="22"/>
        </w:rPr>
      </w:pPr>
    </w:p>
    <w:p w14:paraId="465E0411" w14:textId="77777777" w:rsidR="009A7DBF" w:rsidRDefault="003F4922">
      <w:pPr>
        <w:widowControl w:val="0"/>
        <w:autoSpaceDE w:val="0"/>
        <w:autoSpaceDN w:val="0"/>
        <w:adjustRightInd w:val="0"/>
        <w:rPr>
          <w:rFonts w:eastAsiaTheme="minorHAnsi"/>
          <w:b/>
          <w:sz w:val="22"/>
          <w:szCs w:val="22"/>
          <w:lang w:val="lt-LT" w:eastAsia="en-US"/>
        </w:rPr>
      </w:pPr>
      <w:r>
        <w:rPr>
          <w:b/>
          <w:sz w:val="22"/>
          <w:szCs w:val="22"/>
        </w:rPr>
        <w:t>Kardiovaskulinis saugumas – ilgalaikiai tyrimai, kuriuose dalyvavo pacientai, kuriems diagnozuota sporadinių adenomatozinių polipų</w:t>
      </w:r>
    </w:p>
    <w:p w14:paraId="1FCEE33C" w14:textId="77777777" w:rsidR="009A7DBF" w:rsidRDefault="009A7DBF">
      <w:pPr>
        <w:widowControl w:val="0"/>
        <w:autoSpaceDE w:val="0"/>
        <w:autoSpaceDN w:val="0"/>
        <w:adjustRightInd w:val="0"/>
        <w:rPr>
          <w:sz w:val="22"/>
          <w:szCs w:val="22"/>
        </w:rPr>
      </w:pPr>
    </w:p>
    <w:p w14:paraId="5EF02D37" w14:textId="77777777" w:rsidR="009A7DBF" w:rsidRDefault="003F4922">
      <w:pPr>
        <w:widowControl w:val="0"/>
        <w:autoSpaceDE w:val="0"/>
        <w:autoSpaceDN w:val="0"/>
        <w:adjustRightInd w:val="0"/>
        <w:rPr>
          <w:rFonts w:eastAsiaTheme="minorHAnsi"/>
          <w:sz w:val="22"/>
          <w:szCs w:val="22"/>
          <w:lang w:val="lt-LT" w:eastAsia="en-US"/>
        </w:rPr>
      </w:pPr>
      <w:r>
        <w:rPr>
          <w:sz w:val="22"/>
          <w:szCs w:val="22"/>
        </w:rPr>
        <w:t xml:space="preserve">Atlikti du celekoksibo tyrimai, kuriuose dalyvavo pacientai, kuriems diagnozuota sporadinių adenomatozinių polipų, t. y. APC tyrimas (angl. </w:t>
      </w:r>
      <w:r>
        <w:rPr>
          <w:i/>
          <w:sz w:val="22"/>
          <w:szCs w:val="22"/>
        </w:rPr>
        <w:t>Adenoma Prevention with Celecoxib</w:t>
      </w:r>
      <w:r>
        <w:rPr>
          <w:sz w:val="22"/>
          <w:szCs w:val="22"/>
        </w:rPr>
        <w:t xml:space="preserve">) ir PreSAP tyrimas (angl. </w:t>
      </w:r>
      <w:r>
        <w:rPr>
          <w:i/>
          <w:sz w:val="22"/>
          <w:szCs w:val="22"/>
        </w:rPr>
        <w:t>Prevention of Spontaneous Adenomatous Polyps</w:t>
      </w:r>
      <w:r>
        <w:rPr>
          <w:sz w:val="22"/>
          <w:szCs w:val="22"/>
        </w:rPr>
        <w:t>). APC tyrimo duomenimis, vartojant celekoksibo, palyginti su placebu, per 3 tyrimo metus nuo dozės priklausomo kombinuotosios KV mirties, miokardo infarkto ar insulto (patvirtintų atvejų) vertinamosios baigties padažnėjimo nenustatyta. PreSAP tyrimo metu statistiškai reikšmingo tos pačios kombinuotosios vertinamosios baigties rizikos padidėjimo nenustatyta.</w:t>
      </w:r>
    </w:p>
    <w:p w14:paraId="3F038E91" w14:textId="77777777" w:rsidR="009A7DBF" w:rsidRDefault="009A7DBF">
      <w:pPr>
        <w:widowControl w:val="0"/>
        <w:autoSpaceDE w:val="0"/>
        <w:autoSpaceDN w:val="0"/>
        <w:adjustRightInd w:val="0"/>
        <w:rPr>
          <w:sz w:val="22"/>
          <w:szCs w:val="22"/>
        </w:rPr>
      </w:pPr>
    </w:p>
    <w:p w14:paraId="0681269F" w14:textId="77777777" w:rsidR="009A7DBF" w:rsidRDefault="003F4922">
      <w:pPr>
        <w:widowControl w:val="0"/>
        <w:autoSpaceDE w:val="0"/>
        <w:autoSpaceDN w:val="0"/>
        <w:adjustRightInd w:val="0"/>
        <w:rPr>
          <w:rFonts w:eastAsiaTheme="minorHAnsi"/>
          <w:sz w:val="22"/>
          <w:szCs w:val="22"/>
          <w:lang w:val="lt-LT" w:eastAsia="en-US"/>
        </w:rPr>
      </w:pPr>
      <w:r>
        <w:rPr>
          <w:sz w:val="22"/>
          <w:szCs w:val="22"/>
        </w:rPr>
        <w:t>APC tyrimo duomenimis, kombinuotosios kardiovaskulinės mirties, miokardo infarkto ar insulto (patvirtintų atvejų) vertinamosios baigties santykinė rizika vartojant 400 mg celekoksibo dozę du kartus per parą, palyginti su placebu, buvo 3,4 (95% PI 1,4</w:t>
      </w:r>
      <w:r>
        <w:rPr>
          <w:sz w:val="22"/>
          <w:szCs w:val="22"/>
        </w:rPr>
        <w:noBreakHyphen/>
        <w:t xml:space="preserve">8,5), o vartojant 200 mg celekoksibo dozę </w:t>
      </w:r>
      <w:r>
        <w:rPr>
          <w:sz w:val="22"/>
          <w:szCs w:val="22"/>
        </w:rPr>
        <w:lastRenderedPageBreak/>
        <w:t>du kartus per parą - 2,8 (95% PI 1,1</w:t>
      </w:r>
      <w:r>
        <w:rPr>
          <w:sz w:val="22"/>
          <w:szCs w:val="22"/>
        </w:rPr>
        <w:noBreakHyphen/>
        <w:t>7,2). Šios vertinamosios baigties kumuliacinis dažnis per 3 metus buvo atitinkamai 3,0% (20 iš 671 paciento) ir 2,5% (17 iš 685 pacientų), palyginti su 0,9% (6 iš 679 pacientų) vartojant placebo. Padidėjimą abi celekoksibo dozes vartojusių pacientų grupėse, palyginti su placebo grupe, daugiausiai lėmė miokardo infarkto padažnėjimas.</w:t>
      </w:r>
    </w:p>
    <w:p w14:paraId="23B3625A" w14:textId="77777777" w:rsidR="009A7DBF" w:rsidRDefault="009A7DBF">
      <w:pPr>
        <w:widowControl w:val="0"/>
        <w:autoSpaceDE w:val="0"/>
        <w:autoSpaceDN w:val="0"/>
        <w:adjustRightInd w:val="0"/>
        <w:rPr>
          <w:sz w:val="22"/>
          <w:szCs w:val="22"/>
        </w:rPr>
      </w:pPr>
    </w:p>
    <w:p w14:paraId="33D0E033" w14:textId="77777777" w:rsidR="009A7DBF" w:rsidRDefault="003F4922">
      <w:pPr>
        <w:widowControl w:val="0"/>
        <w:autoSpaceDE w:val="0"/>
        <w:autoSpaceDN w:val="0"/>
        <w:adjustRightInd w:val="0"/>
        <w:rPr>
          <w:rFonts w:eastAsiaTheme="minorHAnsi"/>
          <w:sz w:val="22"/>
          <w:szCs w:val="22"/>
          <w:lang w:val="lt-LT" w:eastAsia="en-US"/>
        </w:rPr>
      </w:pPr>
      <w:r>
        <w:rPr>
          <w:sz w:val="22"/>
          <w:szCs w:val="22"/>
        </w:rPr>
        <w:t>PreSAP tyrimo duomenimis, tos pačios kombinuotosios (patvirtintų atvejų) vertinamosios baigties santykinė rizika vartojant 400 mg celekoksibo vieną kartą per parą, palyginti su placebu, buvo 1,2 (95% PI 0,6</w:t>
      </w:r>
      <w:r>
        <w:rPr>
          <w:sz w:val="22"/>
          <w:szCs w:val="22"/>
        </w:rPr>
        <w:noBreakHyphen/>
        <w:t>2,4). Šios vertinamosios baigties kumuliacinis dažnis per 3 metus buvo atitinkamai 2,3% (21 iš 933 pacientų) ir 1,9% (12 iš 628 pacientų). Miokardo infarkto (patvirtintų atvejų) dažnis vartojant 400 mg celekoksibo vieną kartą per parą buvo 1,0% (9 iš 933 pacientų), o vartojant placebo - 0,6% (4 iš 628 pacientų).</w:t>
      </w:r>
    </w:p>
    <w:p w14:paraId="6F35E5A2" w14:textId="77777777" w:rsidR="009A7DBF" w:rsidRDefault="009A7DBF">
      <w:pPr>
        <w:widowControl w:val="0"/>
        <w:autoSpaceDE w:val="0"/>
        <w:autoSpaceDN w:val="0"/>
        <w:adjustRightInd w:val="0"/>
        <w:rPr>
          <w:sz w:val="22"/>
          <w:szCs w:val="22"/>
        </w:rPr>
      </w:pPr>
    </w:p>
    <w:p w14:paraId="01B76148" w14:textId="77777777" w:rsidR="009A7DBF" w:rsidRDefault="003F4922">
      <w:pPr>
        <w:widowControl w:val="0"/>
        <w:autoSpaceDE w:val="0"/>
        <w:autoSpaceDN w:val="0"/>
        <w:adjustRightInd w:val="0"/>
        <w:rPr>
          <w:rFonts w:eastAsiaTheme="minorHAnsi"/>
          <w:sz w:val="22"/>
          <w:szCs w:val="22"/>
          <w:lang w:val="lt-LT" w:eastAsia="en-US"/>
        </w:rPr>
      </w:pPr>
      <w:r>
        <w:rPr>
          <w:sz w:val="22"/>
          <w:szCs w:val="22"/>
        </w:rPr>
        <w:t xml:space="preserve">Trečiasis ilgalaikis Alzheimerio ligos uždegimo profilaktikos tyrimas (angl. </w:t>
      </w:r>
      <w:r>
        <w:rPr>
          <w:i/>
          <w:sz w:val="22"/>
          <w:szCs w:val="22"/>
        </w:rPr>
        <w:t xml:space="preserve">The Alzheimer's Disease Anti-inflammatory Prevention Trial, </w:t>
      </w:r>
      <w:r>
        <w:rPr>
          <w:sz w:val="22"/>
          <w:szCs w:val="22"/>
        </w:rPr>
        <w:t>ADAPT) reikšmingo KV rizikos padidėjimo vartojant 200 mg celekoksibo du kartus per parą, palyginti su placebu, neparodė. Panašios kombinuotosios vertinamosios baigties (kardiovaskulinės mirties, miokardo infarkto, insulto) santykinė rizika vartojant 200 mg celekoksibo du kartus per parą, palyginti su placebu, buvo 1,14 (95% PI 0,61</w:t>
      </w:r>
      <w:r>
        <w:rPr>
          <w:sz w:val="22"/>
          <w:szCs w:val="22"/>
        </w:rPr>
        <w:noBreakHyphen/>
        <w:t>2,12). Miokardo infarkto dažnis vartojant 200 mg celekoksibo du kartus per parą buvo 1,1% (8 iš 717 pacientų), palyginti su 1,2% (13 iš 1070 pacientų) placebo grupėje.</w:t>
      </w:r>
    </w:p>
    <w:p w14:paraId="731BAA25" w14:textId="77777777" w:rsidR="009A7DBF" w:rsidRDefault="009A7DBF">
      <w:pPr>
        <w:rPr>
          <w:rFonts w:eastAsia="Cambria"/>
          <w:sz w:val="22"/>
          <w:szCs w:val="22"/>
          <w:lang w:val="lt-LT" w:eastAsia="en-US"/>
        </w:rPr>
      </w:pPr>
      <w:bookmarkStart w:id="0" w:name="_Hlk529888710"/>
    </w:p>
    <w:p w14:paraId="075B46FB" w14:textId="77777777" w:rsidR="009A7DBF" w:rsidRDefault="003F4922">
      <w:pPr>
        <w:rPr>
          <w:rFonts w:eastAsia="Cambria"/>
          <w:b/>
          <w:sz w:val="22"/>
          <w:szCs w:val="22"/>
          <w:lang w:val="lt-LT" w:eastAsia="en-US"/>
        </w:rPr>
      </w:pPr>
      <w:r>
        <w:rPr>
          <w:rFonts w:eastAsia="Cambria"/>
          <w:b/>
          <w:sz w:val="22"/>
          <w:szCs w:val="22"/>
          <w:lang w:val="lt-LT" w:eastAsia="en-US"/>
        </w:rPr>
        <w:t xml:space="preserve">Perspektyvusis atsitiktinių imčių </w:t>
      </w:r>
      <w:proofErr w:type="spellStart"/>
      <w:r>
        <w:rPr>
          <w:rFonts w:eastAsia="Cambria"/>
          <w:b/>
          <w:sz w:val="22"/>
          <w:szCs w:val="22"/>
          <w:lang w:val="lt-LT" w:eastAsia="en-US"/>
        </w:rPr>
        <w:t>celekoksibo</w:t>
      </w:r>
      <w:proofErr w:type="spellEnd"/>
      <w:r>
        <w:rPr>
          <w:rFonts w:eastAsia="Cambria"/>
          <w:b/>
          <w:sz w:val="22"/>
          <w:szCs w:val="22"/>
          <w:lang w:val="lt-LT" w:eastAsia="en-US"/>
        </w:rPr>
        <w:t xml:space="preserve"> integruoto saugumo lyginant su </w:t>
      </w:r>
      <w:proofErr w:type="spellStart"/>
      <w:r>
        <w:rPr>
          <w:rFonts w:eastAsia="Cambria"/>
          <w:b/>
          <w:sz w:val="22"/>
          <w:szCs w:val="22"/>
          <w:lang w:val="lt-LT" w:eastAsia="en-US"/>
        </w:rPr>
        <w:t>ibuprofenu</w:t>
      </w:r>
      <w:proofErr w:type="spellEnd"/>
      <w:r>
        <w:rPr>
          <w:rFonts w:eastAsia="Cambria"/>
          <w:b/>
          <w:sz w:val="22"/>
          <w:szCs w:val="22"/>
          <w:lang w:val="lt-LT" w:eastAsia="en-US"/>
        </w:rPr>
        <w:t xml:space="preserve"> arba </w:t>
      </w:r>
      <w:proofErr w:type="spellStart"/>
      <w:r>
        <w:rPr>
          <w:rFonts w:eastAsia="Cambria"/>
          <w:b/>
          <w:sz w:val="22"/>
          <w:szCs w:val="22"/>
          <w:lang w:val="lt-LT" w:eastAsia="en-US"/>
        </w:rPr>
        <w:t>naproksenu</w:t>
      </w:r>
      <w:proofErr w:type="spellEnd"/>
      <w:r>
        <w:rPr>
          <w:rFonts w:eastAsia="Cambria"/>
          <w:b/>
          <w:sz w:val="22"/>
          <w:szCs w:val="22"/>
          <w:lang w:val="lt-LT" w:eastAsia="en-US"/>
        </w:rPr>
        <w:t xml:space="preserve"> vertinimas</w:t>
      </w:r>
      <w:r>
        <w:rPr>
          <w:rFonts w:eastAsia="Calibri"/>
          <w:b/>
          <w:sz w:val="22"/>
          <w:szCs w:val="22"/>
          <w:lang w:val="lt-LT" w:eastAsia="en-US"/>
        </w:rPr>
        <w:t xml:space="preserve"> (angl. </w:t>
      </w:r>
      <w:proofErr w:type="spellStart"/>
      <w:r>
        <w:rPr>
          <w:rFonts w:eastAsia="Cambria"/>
          <w:b/>
          <w:i/>
          <w:sz w:val="22"/>
          <w:szCs w:val="22"/>
          <w:lang w:val="lt-LT" w:eastAsia="en-US"/>
        </w:rPr>
        <w:t>prospective</w:t>
      </w:r>
      <w:proofErr w:type="spellEnd"/>
      <w:r>
        <w:rPr>
          <w:rFonts w:eastAsia="Cambria"/>
          <w:b/>
          <w:i/>
          <w:sz w:val="22"/>
          <w:szCs w:val="22"/>
          <w:lang w:val="lt-LT" w:eastAsia="en-US"/>
        </w:rPr>
        <w:t xml:space="preserve"> </w:t>
      </w:r>
      <w:proofErr w:type="spellStart"/>
      <w:r>
        <w:rPr>
          <w:rFonts w:eastAsia="Cambria"/>
          <w:b/>
          <w:i/>
          <w:sz w:val="22"/>
          <w:szCs w:val="22"/>
          <w:lang w:val="lt-LT" w:eastAsia="en-US"/>
        </w:rPr>
        <w:t>randomised</w:t>
      </w:r>
      <w:proofErr w:type="spellEnd"/>
      <w:r>
        <w:rPr>
          <w:rFonts w:eastAsia="Cambria"/>
          <w:b/>
          <w:i/>
          <w:sz w:val="22"/>
          <w:szCs w:val="22"/>
          <w:lang w:val="lt-LT" w:eastAsia="en-US"/>
        </w:rPr>
        <w:t xml:space="preserve"> </w:t>
      </w:r>
      <w:proofErr w:type="spellStart"/>
      <w:r>
        <w:rPr>
          <w:rFonts w:eastAsia="Cambria"/>
          <w:b/>
          <w:i/>
          <w:sz w:val="22"/>
          <w:szCs w:val="22"/>
          <w:lang w:val="lt-LT" w:eastAsia="en-US"/>
        </w:rPr>
        <w:t>evaluation</w:t>
      </w:r>
      <w:proofErr w:type="spellEnd"/>
      <w:r>
        <w:rPr>
          <w:rFonts w:eastAsia="Cambria"/>
          <w:b/>
          <w:i/>
          <w:sz w:val="22"/>
          <w:szCs w:val="22"/>
          <w:lang w:val="lt-LT" w:eastAsia="en-US"/>
        </w:rPr>
        <w:t xml:space="preserve"> </w:t>
      </w:r>
      <w:proofErr w:type="spellStart"/>
      <w:r>
        <w:rPr>
          <w:rFonts w:eastAsia="Cambria"/>
          <w:b/>
          <w:i/>
          <w:sz w:val="22"/>
          <w:szCs w:val="22"/>
          <w:lang w:val="lt-LT" w:eastAsia="en-US"/>
        </w:rPr>
        <w:t>of</w:t>
      </w:r>
      <w:proofErr w:type="spellEnd"/>
      <w:r>
        <w:rPr>
          <w:rFonts w:eastAsia="Cambria"/>
          <w:b/>
          <w:i/>
          <w:sz w:val="22"/>
          <w:szCs w:val="22"/>
          <w:lang w:val="lt-LT" w:eastAsia="en-US"/>
        </w:rPr>
        <w:t xml:space="preserve"> </w:t>
      </w:r>
      <w:proofErr w:type="spellStart"/>
      <w:r>
        <w:rPr>
          <w:rFonts w:eastAsia="Cambria"/>
          <w:b/>
          <w:i/>
          <w:sz w:val="22"/>
          <w:szCs w:val="22"/>
          <w:lang w:val="lt-LT" w:eastAsia="en-US"/>
        </w:rPr>
        <w:t>celecoxib</w:t>
      </w:r>
      <w:proofErr w:type="spellEnd"/>
      <w:r>
        <w:rPr>
          <w:rFonts w:eastAsia="Cambria"/>
          <w:b/>
          <w:i/>
          <w:sz w:val="22"/>
          <w:szCs w:val="22"/>
          <w:lang w:val="lt-LT" w:eastAsia="en-US"/>
        </w:rPr>
        <w:t xml:space="preserve"> </w:t>
      </w:r>
      <w:proofErr w:type="spellStart"/>
      <w:r>
        <w:rPr>
          <w:rFonts w:eastAsia="Cambria"/>
          <w:b/>
          <w:i/>
          <w:sz w:val="22"/>
          <w:szCs w:val="22"/>
          <w:lang w:val="lt-LT" w:eastAsia="en-US"/>
        </w:rPr>
        <w:t>integrated</w:t>
      </w:r>
      <w:proofErr w:type="spellEnd"/>
      <w:r>
        <w:rPr>
          <w:rFonts w:eastAsia="Cambria"/>
          <w:b/>
          <w:i/>
          <w:sz w:val="22"/>
          <w:szCs w:val="22"/>
          <w:lang w:val="lt-LT" w:eastAsia="en-US"/>
        </w:rPr>
        <w:t xml:space="preserve"> </w:t>
      </w:r>
      <w:proofErr w:type="spellStart"/>
      <w:r>
        <w:rPr>
          <w:rFonts w:eastAsia="Cambria"/>
          <w:b/>
          <w:i/>
          <w:sz w:val="22"/>
          <w:szCs w:val="22"/>
          <w:lang w:val="lt-LT" w:eastAsia="en-US"/>
        </w:rPr>
        <w:t>safety</w:t>
      </w:r>
      <w:proofErr w:type="spellEnd"/>
      <w:r>
        <w:rPr>
          <w:rFonts w:eastAsia="Cambria"/>
          <w:b/>
          <w:i/>
          <w:sz w:val="22"/>
          <w:szCs w:val="22"/>
          <w:lang w:val="lt-LT" w:eastAsia="en-US"/>
        </w:rPr>
        <w:t xml:space="preserve"> vs. </w:t>
      </w:r>
      <w:proofErr w:type="spellStart"/>
      <w:r>
        <w:rPr>
          <w:rFonts w:eastAsia="Cambria"/>
          <w:b/>
          <w:i/>
          <w:sz w:val="22"/>
          <w:szCs w:val="22"/>
          <w:lang w:val="lt-LT" w:eastAsia="en-US"/>
        </w:rPr>
        <w:t>ibuprofen</w:t>
      </w:r>
      <w:proofErr w:type="spellEnd"/>
      <w:r>
        <w:rPr>
          <w:rFonts w:eastAsia="Cambria"/>
          <w:b/>
          <w:i/>
          <w:sz w:val="22"/>
          <w:szCs w:val="22"/>
          <w:lang w:val="lt-LT" w:eastAsia="en-US"/>
        </w:rPr>
        <w:t xml:space="preserve"> </w:t>
      </w:r>
      <w:proofErr w:type="spellStart"/>
      <w:r>
        <w:rPr>
          <w:rFonts w:eastAsia="Cambria"/>
          <w:b/>
          <w:i/>
          <w:sz w:val="22"/>
          <w:szCs w:val="22"/>
          <w:lang w:val="lt-LT" w:eastAsia="en-US"/>
        </w:rPr>
        <w:t>or</w:t>
      </w:r>
      <w:proofErr w:type="spellEnd"/>
      <w:r>
        <w:rPr>
          <w:rFonts w:eastAsia="Cambria"/>
          <w:b/>
          <w:i/>
          <w:sz w:val="22"/>
          <w:szCs w:val="22"/>
          <w:lang w:val="lt-LT" w:eastAsia="en-US"/>
        </w:rPr>
        <w:t xml:space="preserve"> </w:t>
      </w:r>
      <w:proofErr w:type="spellStart"/>
      <w:r>
        <w:rPr>
          <w:rFonts w:eastAsia="Cambria"/>
          <w:b/>
          <w:i/>
          <w:sz w:val="22"/>
          <w:szCs w:val="22"/>
          <w:lang w:val="lt-LT" w:eastAsia="en-US"/>
        </w:rPr>
        <w:t>naproxen</w:t>
      </w:r>
      <w:proofErr w:type="spellEnd"/>
      <w:r>
        <w:rPr>
          <w:rFonts w:eastAsia="Cambria"/>
          <w:b/>
          <w:sz w:val="22"/>
          <w:szCs w:val="22"/>
          <w:lang w:val="lt-LT" w:eastAsia="en-US"/>
        </w:rPr>
        <w:t xml:space="preserve">, </w:t>
      </w:r>
      <w:r>
        <w:rPr>
          <w:b/>
          <w:sz w:val="22"/>
          <w:szCs w:val="22"/>
          <w:lang w:val="lt-LT" w:eastAsia="en-US"/>
        </w:rPr>
        <w:t>PRECISION</w:t>
      </w:r>
      <w:r>
        <w:rPr>
          <w:rFonts w:eastAsia="Cambria"/>
          <w:b/>
          <w:sz w:val="22"/>
          <w:szCs w:val="22"/>
          <w:lang w:val="lt-LT" w:eastAsia="en-US"/>
        </w:rPr>
        <w:t>)</w:t>
      </w:r>
    </w:p>
    <w:p w14:paraId="53BEC733" w14:textId="77777777" w:rsidR="009A7DBF" w:rsidRDefault="009A7DBF">
      <w:pPr>
        <w:rPr>
          <w:rFonts w:eastAsia="Cambria"/>
          <w:sz w:val="22"/>
          <w:szCs w:val="22"/>
          <w:lang w:val="lt-LT" w:eastAsia="en-US"/>
        </w:rPr>
      </w:pPr>
    </w:p>
    <w:p w14:paraId="58ECDC52" w14:textId="77777777" w:rsidR="009A7DBF" w:rsidRDefault="003F4922">
      <w:pPr>
        <w:rPr>
          <w:rFonts w:eastAsia="Cambria"/>
          <w:sz w:val="22"/>
          <w:szCs w:val="22"/>
          <w:lang w:val="lt-LT" w:eastAsia="en-US"/>
        </w:rPr>
      </w:pPr>
      <w:r>
        <w:rPr>
          <w:sz w:val="22"/>
          <w:szCs w:val="22"/>
          <w:lang w:val="lt-LT" w:eastAsia="en-US"/>
        </w:rPr>
        <w:t xml:space="preserve">Tyrimas PRECISION buvo dvigubai koduotas saugumo kardiovaskulinei sistemai tyrimas su </w:t>
      </w:r>
      <w:proofErr w:type="spellStart"/>
      <w:r>
        <w:rPr>
          <w:sz w:val="22"/>
          <w:szCs w:val="22"/>
          <w:lang w:val="lt-LT" w:eastAsia="en-US"/>
        </w:rPr>
        <w:t>osteoartritu</w:t>
      </w:r>
      <w:proofErr w:type="spellEnd"/>
      <w:r>
        <w:rPr>
          <w:sz w:val="22"/>
          <w:szCs w:val="22"/>
          <w:lang w:val="lt-LT" w:eastAsia="en-US"/>
        </w:rPr>
        <w:t xml:space="preserve"> (OA) arba reumatoidiniu artritu (RA) sirgusiais pacientais, kurie sirgo kardiovaskulinėmis ligomis arba buvo didelė jų rizika ir kurio metu </w:t>
      </w:r>
      <w:proofErr w:type="spellStart"/>
      <w:r>
        <w:rPr>
          <w:sz w:val="22"/>
          <w:szCs w:val="22"/>
          <w:lang w:val="lt-LT" w:eastAsia="en-US"/>
        </w:rPr>
        <w:t>celekoksibas</w:t>
      </w:r>
      <w:proofErr w:type="spellEnd"/>
      <w:r>
        <w:rPr>
          <w:sz w:val="22"/>
          <w:szCs w:val="22"/>
          <w:lang w:val="lt-LT" w:eastAsia="en-US"/>
        </w:rPr>
        <w:t xml:space="preserve"> (vartotas po 200–400 mg per parą) lygintas su </w:t>
      </w:r>
      <w:proofErr w:type="spellStart"/>
      <w:r>
        <w:rPr>
          <w:sz w:val="22"/>
          <w:szCs w:val="22"/>
          <w:lang w:val="lt-LT" w:eastAsia="en-US"/>
        </w:rPr>
        <w:t>naproksenu</w:t>
      </w:r>
      <w:proofErr w:type="spellEnd"/>
      <w:r>
        <w:rPr>
          <w:sz w:val="22"/>
          <w:szCs w:val="22"/>
          <w:lang w:val="lt-LT" w:eastAsia="en-US"/>
        </w:rPr>
        <w:t xml:space="preserve"> (vartotu po 750–1000 mg per parą) ir </w:t>
      </w:r>
      <w:proofErr w:type="spellStart"/>
      <w:r>
        <w:rPr>
          <w:sz w:val="22"/>
          <w:szCs w:val="22"/>
          <w:lang w:val="lt-LT" w:eastAsia="en-US"/>
        </w:rPr>
        <w:t>ibuprofenu</w:t>
      </w:r>
      <w:proofErr w:type="spellEnd"/>
      <w:r>
        <w:rPr>
          <w:sz w:val="22"/>
          <w:szCs w:val="22"/>
          <w:lang w:val="lt-LT" w:eastAsia="en-US"/>
        </w:rPr>
        <w:t xml:space="preserve"> (vartotu po 1800–2400 mg per parą). Pagrindinė vertinamoji baigtis, </w:t>
      </w:r>
      <w:proofErr w:type="spellStart"/>
      <w:r>
        <w:rPr>
          <w:i/>
          <w:sz w:val="22"/>
          <w:szCs w:val="22"/>
          <w:lang w:val="lt-LT" w:eastAsia="en-US"/>
        </w:rPr>
        <w:t>Antiplatelet</w:t>
      </w:r>
      <w:proofErr w:type="spellEnd"/>
      <w:r>
        <w:rPr>
          <w:i/>
          <w:sz w:val="22"/>
          <w:szCs w:val="22"/>
          <w:lang w:val="lt-LT" w:eastAsia="en-US"/>
        </w:rPr>
        <w:t xml:space="preserve"> </w:t>
      </w:r>
      <w:proofErr w:type="spellStart"/>
      <w:r>
        <w:rPr>
          <w:i/>
          <w:sz w:val="22"/>
          <w:szCs w:val="22"/>
          <w:lang w:val="lt-LT" w:eastAsia="en-US"/>
        </w:rPr>
        <w:t>Trialists</w:t>
      </w:r>
      <w:proofErr w:type="spellEnd"/>
      <w:r>
        <w:rPr>
          <w:i/>
          <w:sz w:val="22"/>
          <w:szCs w:val="22"/>
          <w:lang w:val="lt-LT" w:eastAsia="en-US"/>
        </w:rPr>
        <w:t xml:space="preserve"> </w:t>
      </w:r>
      <w:proofErr w:type="spellStart"/>
      <w:r>
        <w:rPr>
          <w:i/>
          <w:sz w:val="22"/>
          <w:szCs w:val="22"/>
          <w:lang w:val="lt-LT" w:eastAsia="en-US"/>
        </w:rPr>
        <w:t>Collaboration</w:t>
      </w:r>
      <w:proofErr w:type="spellEnd"/>
      <w:r>
        <w:rPr>
          <w:sz w:val="22"/>
          <w:szCs w:val="22"/>
          <w:lang w:val="lt-LT" w:eastAsia="en-US"/>
        </w:rPr>
        <w:t xml:space="preserve"> (APTC), buvo nepriklausomai pripažinta sudėtinė baigtis, kurią sudarė kardiovaskulinių sutrikimų sukelta mirtis (įskaitant mirtį dėl kraujavimo), nemirtinas miokardo infarktas ir nemirtinas insultas. Šiuo tyrimu buvo siekiama įrodyti ne prastesnį poveikį (</w:t>
      </w:r>
      <w:proofErr w:type="spellStart"/>
      <w:r>
        <w:rPr>
          <w:i/>
          <w:sz w:val="22"/>
          <w:szCs w:val="22"/>
          <w:lang w:val="lt-LT" w:eastAsia="en-US"/>
        </w:rPr>
        <w:t>non-inferiority</w:t>
      </w:r>
      <w:proofErr w:type="spellEnd"/>
      <w:r>
        <w:rPr>
          <w:sz w:val="22"/>
          <w:szCs w:val="22"/>
          <w:lang w:val="lt-LT" w:eastAsia="en-US"/>
        </w:rPr>
        <w:t>), pasirenkant statistinę galią 80 </w:t>
      </w:r>
      <w:r>
        <w:rPr>
          <w:rFonts w:eastAsia="Calibri"/>
          <w:sz w:val="22"/>
          <w:szCs w:val="22"/>
          <w:lang w:val="lt-LT" w:eastAsia="en-US"/>
        </w:rPr>
        <w:t>%</w:t>
      </w:r>
      <w:r>
        <w:rPr>
          <w:sz w:val="22"/>
          <w:szCs w:val="22"/>
          <w:lang w:val="lt-LT" w:eastAsia="en-US"/>
        </w:rPr>
        <w:t xml:space="preserve">. Skrandžio apsaugai visiems tyrime dalyvavusiems pacientams atvirai buvo skirta </w:t>
      </w:r>
      <w:proofErr w:type="spellStart"/>
      <w:r>
        <w:rPr>
          <w:sz w:val="22"/>
          <w:szCs w:val="22"/>
          <w:lang w:val="lt-LT" w:eastAsia="en-US"/>
        </w:rPr>
        <w:t>ezomeprazolo</w:t>
      </w:r>
      <w:proofErr w:type="spellEnd"/>
      <w:r>
        <w:rPr>
          <w:sz w:val="22"/>
          <w:szCs w:val="22"/>
          <w:lang w:val="lt-LT" w:eastAsia="en-US"/>
        </w:rPr>
        <w:t xml:space="preserve"> (20–40 mg). Pacientams, vartojusiems mažas </w:t>
      </w:r>
      <w:r>
        <w:rPr>
          <w:sz w:val="22"/>
          <w:szCs w:val="22"/>
        </w:rPr>
        <w:t>acetilsalicilo rūgšties</w:t>
      </w:r>
      <w:r>
        <w:rPr>
          <w:sz w:val="22"/>
          <w:szCs w:val="22"/>
          <w:lang w:val="lt-LT" w:eastAsia="en-US"/>
        </w:rPr>
        <w:t xml:space="preserve"> dozes, gydymą juo buvo leista tęsti (iki prasidedant tyrimui</w:t>
      </w:r>
      <w:r>
        <w:rPr>
          <w:rFonts w:eastAsia="Cambria"/>
          <w:sz w:val="22"/>
          <w:szCs w:val="22"/>
          <w:lang w:val="lt-LT" w:eastAsia="en-US"/>
        </w:rPr>
        <w:t xml:space="preserve"> </w:t>
      </w:r>
      <w:proofErr w:type="spellStart"/>
      <w:r>
        <w:rPr>
          <w:rFonts w:eastAsia="Cambria"/>
          <w:sz w:val="22"/>
          <w:szCs w:val="22"/>
          <w:lang w:val="lt-LT" w:eastAsia="en-US"/>
        </w:rPr>
        <w:t>acetilsalicilo</w:t>
      </w:r>
      <w:proofErr w:type="spellEnd"/>
      <w:r>
        <w:rPr>
          <w:rFonts w:eastAsia="Cambria"/>
          <w:sz w:val="22"/>
          <w:szCs w:val="22"/>
          <w:lang w:val="lt-LT" w:eastAsia="en-US"/>
        </w:rPr>
        <w:t xml:space="preserve"> rūgšties </w:t>
      </w:r>
      <w:r>
        <w:rPr>
          <w:sz w:val="22"/>
          <w:szCs w:val="22"/>
          <w:lang w:val="lt-LT" w:eastAsia="en-US"/>
        </w:rPr>
        <w:t xml:space="preserve">vartojo beveik pusė tiriamųjų). Kitos nepriklausomai pripažintos antrinės ir tretinės vertinamosios baigtys buvo su kardiovaskuline sistema, virškinimo traktu bei inkstų veikla susijusios baigtys. Vidutinės išduotos paros dozės buvo: </w:t>
      </w:r>
      <w:proofErr w:type="spellStart"/>
      <w:r>
        <w:rPr>
          <w:sz w:val="22"/>
          <w:szCs w:val="22"/>
          <w:lang w:val="lt-LT" w:eastAsia="en-US"/>
        </w:rPr>
        <w:t>celekoksibo</w:t>
      </w:r>
      <w:proofErr w:type="spellEnd"/>
      <w:r>
        <w:rPr>
          <w:sz w:val="22"/>
          <w:szCs w:val="22"/>
          <w:lang w:val="lt-LT" w:eastAsia="en-US"/>
        </w:rPr>
        <w:t xml:space="preserve"> − </w:t>
      </w:r>
      <w:r>
        <w:rPr>
          <w:rFonts w:eastAsia="Cambria"/>
          <w:iCs/>
          <w:sz w:val="22"/>
          <w:szCs w:val="22"/>
          <w:lang w:val="lt-LT" w:eastAsia="en-US"/>
        </w:rPr>
        <w:t xml:space="preserve">209±37 mg, </w:t>
      </w:r>
      <w:proofErr w:type="spellStart"/>
      <w:r>
        <w:rPr>
          <w:rFonts w:eastAsia="Cambria"/>
          <w:iCs/>
          <w:sz w:val="22"/>
          <w:szCs w:val="22"/>
          <w:lang w:val="lt-LT" w:eastAsia="en-US"/>
        </w:rPr>
        <w:t>ibuprofeno</w:t>
      </w:r>
      <w:proofErr w:type="spellEnd"/>
      <w:r>
        <w:rPr>
          <w:rFonts w:eastAsia="Cambria"/>
          <w:iCs/>
          <w:sz w:val="22"/>
          <w:szCs w:val="22"/>
          <w:lang w:val="lt-LT" w:eastAsia="en-US"/>
        </w:rPr>
        <w:t xml:space="preserve"> </w:t>
      </w:r>
      <w:r>
        <w:rPr>
          <w:sz w:val="22"/>
          <w:szCs w:val="22"/>
          <w:lang w:val="lt-LT" w:eastAsia="en-US"/>
        </w:rPr>
        <w:t xml:space="preserve">− </w:t>
      </w:r>
      <w:r>
        <w:rPr>
          <w:rFonts w:eastAsia="Cambria"/>
          <w:iCs/>
          <w:sz w:val="22"/>
          <w:szCs w:val="22"/>
          <w:lang w:val="lt-LT" w:eastAsia="en-US"/>
        </w:rPr>
        <w:t xml:space="preserve">2045±246 mg ir </w:t>
      </w:r>
      <w:proofErr w:type="spellStart"/>
      <w:r>
        <w:rPr>
          <w:rFonts w:eastAsia="Cambria"/>
          <w:iCs/>
          <w:sz w:val="22"/>
          <w:szCs w:val="22"/>
          <w:lang w:val="lt-LT" w:eastAsia="en-US"/>
        </w:rPr>
        <w:t>naprokseno</w:t>
      </w:r>
      <w:proofErr w:type="spellEnd"/>
      <w:r>
        <w:rPr>
          <w:rFonts w:eastAsia="Cambria"/>
          <w:iCs/>
          <w:sz w:val="22"/>
          <w:szCs w:val="22"/>
          <w:lang w:val="lt-LT" w:eastAsia="en-US"/>
        </w:rPr>
        <w:t xml:space="preserve"> </w:t>
      </w:r>
      <w:r>
        <w:rPr>
          <w:sz w:val="22"/>
          <w:szCs w:val="22"/>
          <w:lang w:val="lt-LT" w:eastAsia="en-US"/>
        </w:rPr>
        <w:t>−</w:t>
      </w:r>
      <w:r>
        <w:rPr>
          <w:rFonts w:eastAsia="Cambria"/>
          <w:iCs/>
          <w:sz w:val="22"/>
          <w:szCs w:val="22"/>
          <w:lang w:val="lt-LT" w:eastAsia="en-US"/>
        </w:rPr>
        <w:t xml:space="preserve"> 852±103 mg.</w:t>
      </w:r>
    </w:p>
    <w:p w14:paraId="11CD2C1B" w14:textId="77777777" w:rsidR="009A7DBF" w:rsidRDefault="009A7DBF">
      <w:pPr>
        <w:rPr>
          <w:rFonts w:eastAsia="Cambria"/>
          <w:sz w:val="22"/>
          <w:szCs w:val="22"/>
          <w:lang w:val="lt-LT" w:eastAsia="en-US"/>
        </w:rPr>
      </w:pPr>
    </w:p>
    <w:p w14:paraId="0721B405" w14:textId="77777777" w:rsidR="009A7DBF" w:rsidRDefault="003F4922">
      <w:pPr>
        <w:rPr>
          <w:sz w:val="22"/>
          <w:szCs w:val="22"/>
          <w:lang w:val="lt-LT" w:eastAsia="en-US"/>
        </w:rPr>
      </w:pPr>
      <w:r>
        <w:rPr>
          <w:rFonts w:eastAsia="Cambria"/>
          <w:sz w:val="22"/>
          <w:szCs w:val="22"/>
          <w:lang w:val="lt-LT" w:eastAsia="en-US"/>
        </w:rPr>
        <w:t xml:space="preserve">Pagal pagrindinę vertinamąją baigtį, </w:t>
      </w:r>
      <w:proofErr w:type="spellStart"/>
      <w:r>
        <w:rPr>
          <w:rFonts w:eastAsia="Cambria"/>
          <w:iCs/>
          <w:sz w:val="22"/>
          <w:szCs w:val="22"/>
          <w:lang w:val="lt-LT" w:eastAsia="en-US"/>
        </w:rPr>
        <w:t>celekoksibas</w:t>
      </w:r>
      <w:proofErr w:type="spellEnd"/>
      <w:r>
        <w:rPr>
          <w:rFonts w:eastAsia="Cambria"/>
          <w:iCs/>
          <w:sz w:val="22"/>
          <w:szCs w:val="22"/>
          <w:lang w:val="lt-LT" w:eastAsia="en-US"/>
        </w:rPr>
        <w:t xml:space="preserve">, palyginti su </w:t>
      </w:r>
      <w:proofErr w:type="spellStart"/>
      <w:r>
        <w:rPr>
          <w:rFonts w:eastAsia="Cambria"/>
          <w:iCs/>
          <w:sz w:val="22"/>
          <w:szCs w:val="22"/>
          <w:lang w:val="lt-LT" w:eastAsia="en-US"/>
        </w:rPr>
        <w:t>naproksenu</w:t>
      </w:r>
      <w:proofErr w:type="spellEnd"/>
      <w:r>
        <w:rPr>
          <w:rFonts w:eastAsia="Cambria"/>
          <w:iCs/>
          <w:sz w:val="22"/>
          <w:szCs w:val="22"/>
          <w:lang w:val="lt-LT" w:eastAsia="en-US"/>
        </w:rPr>
        <w:t xml:space="preserve"> arba </w:t>
      </w:r>
      <w:proofErr w:type="spellStart"/>
      <w:r>
        <w:rPr>
          <w:rFonts w:eastAsia="Cambria"/>
          <w:iCs/>
          <w:sz w:val="22"/>
          <w:szCs w:val="22"/>
          <w:lang w:val="lt-LT" w:eastAsia="en-US"/>
        </w:rPr>
        <w:t>ibuprofenu</w:t>
      </w:r>
      <w:proofErr w:type="spellEnd"/>
      <w:r>
        <w:rPr>
          <w:rFonts w:eastAsia="Cambria"/>
          <w:iCs/>
          <w:sz w:val="22"/>
          <w:szCs w:val="22"/>
          <w:lang w:val="lt-LT" w:eastAsia="en-US"/>
        </w:rPr>
        <w:t>, atitiko visus keturis iš anksto nustatytus ne prastesnio poveikio reikalavimus (žr. 2 lentelę).</w:t>
      </w:r>
    </w:p>
    <w:p w14:paraId="3303DDBD" w14:textId="77777777" w:rsidR="009A7DBF" w:rsidRDefault="009A7DBF">
      <w:pPr>
        <w:rPr>
          <w:sz w:val="22"/>
          <w:szCs w:val="22"/>
          <w:lang w:val="lt-LT" w:eastAsia="en-US"/>
        </w:rPr>
      </w:pPr>
    </w:p>
    <w:p w14:paraId="365E5ECC" w14:textId="77777777" w:rsidR="009A7DBF" w:rsidRDefault="003F4922">
      <w:pPr>
        <w:rPr>
          <w:sz w:val="22"/>
          <w:szCs w:val="22"/>
          <w:lang w:val="lt-LT" w:eastAsia="en-US"/>
        </w:rPr>
      </w:pPr>
      <w:r>
        <w:rPr>
          <w:sz w:val="22"/>
          <w:szCs w:val="22"/>
          <w:lang w:val="lt-LT" w:eastAsia="en-US"/>
        </w:rPr>
        <w:t>Kitos nepriklausomai pripažintos antrinės ir tretinės vertinamosios baigtys buvo su kardiovaskuline sistema, virškinimo traktu bei inkstų veikla susijusios baigtys. Taip pat buvo atliktas 4 mėnesių trukmės papildomas tyrimas, kuriame buvo tirtas trijų vaistinių preparatų  poveikis arterinio kraujo spaudimo (AKS) kitimui ambulatorinio stebėjimo metu (angl. ABPM).</w:t>
      </w:r>
    </w:p>
    <w:bookmarkEnd w:id="0"/>
    <w:p w14:paraId="5D67885B" w14:textId="77777777" w:rsidR="009A7DBF" w:rsidRDefault="009A7DBF">
      <w:pPr>
        <w:autoSpaceDE w:val="0"/>
        <w:autoSpaceDN w:val="0"/>
        <w:adjustRightInd w:val="0"/>
        <w:rPr>
          <w:sz w:val="22"/>
          <w:szCs w:val="22"/>
          <w:lang w:val="lt-LT" w:eastAsia="en-US"/>
        </w:rPr>
      </w:pPr>
    </w:p>
    <w:p w14:paraId="67E6F980" w14:textId="77777777" w:rsidR="009A7DBF" w:rsidRDefault="003F4922">
      <w:pPr>
        <w:widowControl w:val="0"/>
        <w:ind w:left="180" w:hanging="180"/>
        <w:rPr>
          <w:rFonts w:eastAsia="Cambria"/>
          <w:b/>
          <w:sz w:val="22"/>
          <w:szCs w:val="22"/>
          <w:lang w:val="lt-LT" w:eastAsia="en-US"/>
        </w:rPr>
      </w:pPr>
      <w:r>
        <w:rPr>
          <w:rFonts w:eastAsia="Cambria"/>
          <w:b/>
          <w:sz w:val="22"/>
          <w:szCs w:val="22"/>
          <w:lang w:val="lt-LT" w:eastAsia="en-US"/>
        </w:rPr>
        <w:t xml:space="preserve">2 lentelė. Pagrindinė pripažintos APTC sudėtinės vertinamosios baigties analizė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2514"/>
        <w:gridCol w:w="2520"/>
        <w:gridCol w:w="1901"/>
      </w:tblGrid>
      <w:tr w:rsidR="009A7DBF" w14:paraId="1C59D365" w14:textId="77777777">
        <w:trPr>
          <w:trHeight w:val="288"/>
        </w:trPr>
        <w:tc>
          <w:tcPr>
            <w:tcW w:w="9214" w:type="dxa"/>
            <w:gridSpan w:val="4"/>
          </w:tcPr>
          <w:p w14:paraId="22FE99AA" w14:textId="77777777" w:rsidR="009A7DBF" w:rsidRDefault="003F4922">
            <w:pPr>
              <w:widowControl w:val="0"/>
              <w:rPr>
                <w:rFonts w:eastAsia="Cambria"/>
                <w:b/>
                <w:sz w:val="22"/>
                <w:szCs w:val="22"/>
                <w:lang w:val="lt-LT" w:eastAsia="en-US"/>
              </w:rPr>
            </w:pPr>
            <w:r>
              <w:rPr>
                <w:rFonts w:eastAsia="Cambria"/>
                <w:b/>
                <w:sz w:val="22"/>
                <w:szCs w:val="22"/>
                <w:lang w:val="lt-LT" w:eastAsia="en-US"/>
              </w:rPr>
              <w:t>Ketinamos gydyti populiacijos (</w:t>
            </w:r>
            <w:proofErr w:type="spellStart"/>
            <w:r>
              <w:rPr>
                <w:rFonts w:eastAsia="Cambria"/>
                <w:b/>
                <w:i/>
                <w:sz w:val="22"/>
                <w:szCs w:val="22"/>
                <w:lang w:val="lt-LT" w:eastAsia="en-US"/>
              </w:rPr>
              <w:t>Intent</w:t>
            </w:r>
            <w:proofErr w:type="spellEnd"/>
            <w:r>
              <w:rPr>
                <w:rFonts w:eastAsia="Cambria"/>
                <w:b/>
                <w:i/>
                <w:sz w:val="22"/>
                <w:szCs w:val="22"/>
                <w:lang w:val="lt-LT" w:eastAsia="en-US"/>
              </w:rPr>
              <w:t>-To-</w:t>
            </w:r>
            <w:proofErr w:type="spellStart"/>
            <w:r>
              <w:rPr>
                <w:rFonts w:eastAsia="Cambria"/>
                <w:b/>
                <w:i/>
                <w:sz w:val="22"/>
                <w:szCs w:val="22"/>
                <w:lang w:val="lt-LT" w:eastAsia="en-US"/>
              </w:rPr>
              <w:t>Treat</w:t>
            </w:r>
            <w:proofErr w:type="spellEnd"/>
            <w:r>
              <w:rPr>
                <w:rFonts w:eastAsia="Cambria"/>
                <w:b/>
                <w:sz w:val="22"/>
                <w:szCs w:val="22"/>
                <w:lang w:val="lt-LT" w:eastAsia="en-US"/>
              </w:rPr>
              <w:t xml:space="preserve">) analizė (ITT, iki 30-ojo mėnesio) </w:t>
            </w:r>
          </w:p>
        </w:tc>
      </w:tr>
      <w:tr w:rsidR="009A7DBF" w14:paraId="14561BDD" w14:textId="77777777">
        <w:trPr>
          <w:trHeight w:val="288"/>
        </w:trPr>
        <w:tc>
          <w:tcPr>
            <w:tcW w:w="2279" w:type="dxa"/>
          </w:tcPr>
          <w:p w14:paraId="3D0F8BDB" w14:textId="77777777" w:rsidR="009A7DBF" w:rsidRDefault="009A7DBF">
            <w:pPr>
              <w:widowControl w:val="0"/>
              <w:rPr>
                <w:rFonts w:eastAsia="Cambria"/>
                <w:sz w:val="22"/>
                <w:szCs w:val="22"/>
                <w:lang w:val="lt-LT" w:eastAsia="en-US"/>
              </w:rPr>
            </w:pPr>
          </w:p>
        </w:tc>
        <w:tc>
          <w:tcPr>
            <w:tcW w:w="2514" w:type="dxa"/>
          </w:tcPr>
          <w:p w14:paraId="187512F3" w14:textId="77777777" w:rsidR="009A7DBF" w:rsidRDefault="003F4922">
            <w:pPr>
              <w:widowControl w:val="0"/>
              <w:jc w:val="center"/>
              <w:rPr>
                <w:rFonts w:eastAsia="Cambria"/>
                <w:b/>
                <w:sz w:val="22"/>
                <w:szCs w:val="22"/>
                <w:lang w:val="lt-LT" w:eastAsia="en-US"/>
              </w:rPr>
            </w:pPr>
            <w:proofErr w:type="spellStart"/>
            <w:r>
              <w:rPr>
                <w:rFonts w:eastAsia="Cambria"/>
                <w:b/>
                <w:sz w:val="22"/>
                <w:szCs w:val="22"/>
                <w:lang w:val="lt-LT" w:eastAsia="en-US"/>
              </w:rPr>
              <w:t>Celekoksibas</w:t>
            </w:r>
            <w:proofErr w:type="spellEnd"/>
          </w:p>
          <w:p w14:paraId="5E64A534" w14:textId="77777777" w:rsidR="009A7DBF" w:rsidRDefault="003F4922">
            <w:pPr>
              <w:widowControl w:val="0"/>
              <w:jc w:val="center"/>
              <w:rPr>
                <w:rFonts w:eastAsia="Cambria"/>
                <w:b/>
                <w:sz w:val="22"/>
                <w:szCs w:val="22"/>
                <w:lang w:val="lt-LT" w:eastAsia="en-US"/>
              </w:rPr>
            </w:pPr>
            <w:r>
              <w:rPr>
                <w:rFonts w:eastAsia="Cambria"/>
                <w:b/>
                <w:sz w:val="22"/>
                <w:szCs w:val="22"/>
                <w:lang w:val="lt-LT" w:eastAsia="en-US"/>
              </w:rPr>
              <w:t>100–200 mg 2 k./parą</w:t>
            </w:r>
          </w:p>
        </w:tc>
        <w:tc>
          <w:tcPr>
            <w:tcW w:w="2520" w:type="dxa"/>
          </w:tcPr>
          <w:p w14:paraId="5622AD2E" w14:textId="77777777" w:rsidR="009A7DBF" w:rsidRDefault="003F4922">
            <w:pPr>
              <w:widowControl w:val="0"/>
              <w:jc w:val="center"/>
              <w:rPr>
                <w:rFonts w:eastAsia="Cambria"/>
                <w:b/>
                <w:sz w:val="22"/>
                <w:szCs w:val="22"/>
                <w:lang w:val="lt-LT" w:eastAsia="en-US"/>
              </w:rPr>
            </w:pPr>
            <w:proofErr w:type="spellStart"/>
            <w:r>
              <w:rPr>
                <w:rFonts w:eastAsia="Cambria"/>
                <w:b/>
                <w:sz w:val="22"/>
                <w:szCs w:val="22"/>
                <w:lang w:val="lt-LT" w:eastAsia="en-US"/>
              </w:rPr>
              <w:t>Ibuprofenas</w:t>
            </w:r>
            <w:proofErr w:type="spellEnd"/>
          </w:p>
          <w:p w14:paraId="0B5AB021" w14:textId="77777777" w:rsidR="009A7DBF" w:rsidRDefault="003F4922">
            <w:pPr>
              <w:widowControl w:val="0"/>
              <w:jc w:val="center"/>
              <w:rPr>
                <w:rFonts w:eastAsia="Cambria"/>
                <w:b/>
                <w:sz w:val="22"/>
                <w:szCs w:val="22"/>
                <w:lang w:val="lt-LT" w:eastAsia="en-US"/>
              </w:rPr>
            </w:pPr>
            <w:r>
              <w:rPr>
                <w:rFonts w:eastAsia="Cambria"/>
                <w:b/>
                <w:sz w:val="22"/>
                <w:szCs w:val="22"/>
                <w:lang w:val="lt-LT" w:eastAsia="en-US"/>
              </w:rPr>
              <w:t>600–800 mg 3 k./parą</w:t>
            </w:r>
          </w:p>
        </w:tc>
        <w:tc>
          <w:tcPr>
            <w:tcW w:w="1901" w:type="dxa"/>
          </w:tcPr>
          <w:p w14:paraId="3123A37A" w14:textId="77777777" w:rsidR="009A7DBF" w:rsidRDefault="003F4922">
            <w:pPr>
              <w:widowControl w:val="0"/>
              <w:jc w:val="center"/>
              <w:rPr>
                <w:rFonts w:eastAsia="Cambria"/>
                <w:b/>
                <w:sz w:val="22"/>
                <w:szCs w:val="22"/>
                <w:lang w:val="lt-LT" w:eastAsia="en-US"/>
              </w:rPr>
            </w:pPr>
            <w:proofErr w:type="spellStart"/>
            <w:r>
              <w:rPr>
                <w:rFonts w:eastAsia="Cambria"/>
                <w:b/>
                <w:sz w:val="22"/>
                <w:szCs w:val="22"/>
                <w:lang w:val="lt-LT" w:eastAsia="en-US"/>
              </w:rPr>
              <w:t>Naproksenas</w:t>
            </w:r>
            <w:proofErr w:type="spellEnd"/>
          </w:p>
          <w:p w14:paraId="3F434FB8" w14:textId="77777777" w:rsidR="009A7DBF" w:rsidRDefault="003F4922">
            <w:pPr>
              <w:widowControl w:val="0"/>
              <w:jc w:val="center"/>
              <w:rPr>
                <w:rFonts w:eastAsia="Cambria"/>
                <w:sz w:val="22"/>
                <w:szCs w:val="22"/>
                <w:lang w:val="lt-LT" w:eastAsia="en-US"/>
              </w:rPr>
            </w:pPr>
            <w:r>
              <w:rPr>
                <w:rFonts w:eastAsia="Cambria"/>
                <w:b/>
                <w:sz w:val="22"/>
                <w:szCs w:val="22"/>
                <w:lang w:val="lt-LT" w:eastAsia="en-US"/>
              </w:rPr>
              <w:t>375–500 mg 2 k./parą</w:t>
            </w:r>
          </w:p>
        </w:tc>
      </w:tr>
      <w:tr w:rsidR="009A7DBF" w14:paraId="7BF159A8" w14:textId="77777777">
        <w:trPr>
          <w:trHeight w:val="288"/>
        </w:trPr>
        <w:tc>
          <w:tcPr>
            <w:tcW w:w="2279" w:type="dxa"/>
          </w:tcPr>
          <w:p w14:paraId="4677B4D7" w14:textId="77777777" w:rsidR="009A7DBF" w:rsidRDefault="003F4922">
            <w:pPr>
              <w:widowControl w:val="0"/>
              <w:rPr>
                <w:rFonts w:eastAsia="Cambria"/>
                <w:sz w:val="22"/>
                <w:szCs w:val="22"/>
                <w:lang w:val="lt-LT" w:eastAsia="en-US"/>
              </w:rPr>
            </w:pPr>
            <w:r>
              <w:rPr>
                <w:rFonts w:eastAsia="Cambria"/>
                <w:sz w:val="22"/>
                <w:szCs w:val="22"/>
                <w:lang w:val="lt-LT" w:eastAsia="en-US"/>
              </w:rPr>
              <w:t>N</w:t>
            </w:r>
          </w:p>
        </w:tc>
        <w:tc>
          <w:tcPr>
            <w:tcW w:w="2514" w:type="dxa"/>
          </w:tcPr>
          <w:p w14:paraId="796187D9" w14:textId="77777777" w:rsidR="009A7DBF" w:rsidRDefault="003F4922">
            <w:pPr>
              <w:widowControl w:val="0"/>
              <w:jc w:val="center"/>
              <w:rPr>
                <w:rFonts w:eastAsia="Cambria"/>
                <w:sz w:val="22"/>
                <w:szCs w:val="22"/>
                <w:lang w:val="lt-LT" w:eastAsia="en-US"/>
              </w:rPr>
            </w:pPr>
            <w:r>
              <w:rPr>
                <w:rFonts w:eastAsia="Cambria"/>
                <w:sz w:val="22"/>
                <w:szCs w:val="22"/>
                <w:lang w:val="lt-LT" w:eastAsia="en-US"/>
              </w:rPr>
              <w:t xml:space="preserve">8 072 </w:t>
            </w:r>
          </w:p>
        </w:tc>
        <w:tc>
          <w:tcPr>
            <w:tcW w:w="2520" w:type="dxa"/>
          </w:tcPr>
          <w:p w14:paraId="2DA597AE" w14:textId="77777777" w:rsidR="009A7DBF" w:rsidRDefault="003F4922">
            <w:pPr>
              <w:widowControl w:val="0"/>
              <w:jc w:val="center"/>
              <w:rPr>
                <w:rFonts w:eastAsia="Cambria"/>
                <w:sz w:val="22"/>
                <w:szCs w:val="22"/>
                <w:lang w:val="lt-LT" w:eastAsia="en-US"/>
              </w:rPr>
            </w:pPr>
            <w:r>
              <w:rPr>
                <w:rFonts w:eastAsia="Cambria"/>
                <w:sz w:val="22"/>
                <w:szCs w:val="22"/>
                <w:lang w:val="lt-LT" w:eastAsia="en-US"/>
              </w:rPr>
              <w:t>8 040</w:t>
            </w:r>
          </w:p>
        </w:tc>
        <w:tc>
          <w:tcPr>
            <w:tcW w:w="1901" w:type="dxa"/>
          </w:tcPr>
          <w:p w14:paraId="44B8ADD3" w14:textId="77777777" w:rsidR="009A7DBF" w:rsidRDefault="003F4922">
            <w:pPr>
              <w:widowControl w:val="0"/>
              <w:jc w:val="center"/>
              <w:rPr>
                <w:rFonts w:eastAsia="Cambria"/>
                <w:sz w:val="22"/>
                <w:szCs w:val="22"/>
                <w:lang w:val="lt-LT" w:eastAsia="en-US"/>
              </w:rPr>
            </w:pPr>
            <w:r>
              <w:rPr>
                <w:rFonts w:eastAsia="Cambria"/>
                <w:sz w:val="22"/>
                <w:szCs w:val="22"/>
                <w:lang w:val="lt-LT" w:eastAsia="en-US"/>
              </w:rPr>
              <w:t>7 969</w:t>
            </w:r>
          </w:p>
        </w:tc>
      </w:tr>
      <w:tr w:rsidR="009A7DBF" w14:paraId="7A5E258C" w14:textId="77777777">
        <w:trPr>
          <w:trHeight w:val="288"/>
        </w:trPr>
        <w:tc>
          <w:tcPr>
            <w:tcW w:w="2279" w:type="dxa"/>
          </w:tcPr>
          <w:p w14:paraId="75097259" w14:textId="77777777" w:rsidR="009A7DBF" w:rsidRDefault="003F4922">
            <w:pPr>
              <w:widowControl w:val="0"/>
              <w:rPr>
                <w:rFonts w:eastAsia="Cambria"/>
                <w:sz w:val="22"/>
                <w:szCs w:val="22"/>
                <w:lang w:val="lt-LT" w:eastAsia="en-US"/>
              </w:rPr>
            </w:pPr>
            <w:r>
              <w:rPr>
                <w:rFonts w:eastAsia="Cambria"/>
                <w:sz w:val="22"/>
                <w:szCs w:val="22"/>
                <w:lang w:val="lt-LT" w:eastAsia="en-US"/>
              </w:rPr>
              <w:t>Tiriamieji, patyrę įvykių</w:t>
            </w:r>
          </w:p>
        </w:tc>
        <w:tc>
          <w:tcPr>
            <w:tcW w:w="2514" w:type="dxa"/>
          </w:tcPr>
          <w:p w14:paraId="0674A4F7" w14:textId="77777777" w:rsidR="009A7DBF" w:rsidRDefault="003F4922">
            <w:pPr>
              <w:widowControl w:val="0"/>
              <w:jc w:val="center"/>
              <w:rPr>
                <w:rFonts w:eastAsia="Cambria"/>
                <w:sz w:val="22"/>
                <w:szCs w:val="22"/>
                <w:lang w:val="lt-LT" w:eastAsia="en-US"/>
              </w:rPr>
            </w:pPr>
            <w:r>
              <w:rPr>
                <w:rFonts w:eastAsia="Cambria"/>
                <w:color w:val="000000"/>
                <w:sz w:val="22"/>
                <w:szCs w:val="22"/>
                <w:lang w:val="lt-LT" w:eastAsia="en-US"/>
              </w:rPr>
              <w:t>188 (2,3 %)</w:t>
            </w:r>
          </w:p>
        </w:tc>
        <w:tc>
          <w:tcPr>
            <w:tcW w:w="2520" w:type="dxa"/>
          </w:tcPr>
          <w:p w14:paraId="43E9491C" w14:textId="77777777" w:rsidR="009A7DBF" w:rsidRDefault="003F4922">
            <w:pPr>
              <w:widowControl w:val="0"/>
              <w:jc w:val="center"/>
              <w:rPr>
                <w:rFonts w:eastAsia="Cambria"/>
                <w:color w:val="000000"/>
                <w:sz w:val="22"/>
                <w:szCs w:val="22"/>
                <w:lang w:val="lt-LT" w:eastAsia="en-US"/>
              </w:rPr>
            </w:pPr>
            <w:r>
              <w:rPr>
                <w:rFonts w:eastAsia="Cambria"/>
                <w:color w:val="000000"/>
                <w:sz w:val="22"/>
                <w:szCs w:val="22"/>
                <w:lang w:val="lt-LT" w:eastAsia="en-US"/>
              </w:rPr>
              <w:t>218 (2,7 %)</w:t>
            </w:r>
          </w:p>
        </w:tc>
        <w:tc>
          <w:tcPr>
            <w:tcW w:w="1901" w:type="dxa"/>
          </w:tcPr>
          <w:p w14:paraId="67A6858B" w14:textId="77777777" w:rsidR="009A7DBF" w:rsidRDefault="003F4922">
            <w:pPr>
              <w:widowControl w:val="0"/>
              <w:jc w:val="center"/>
              <w:rPr>
                <w:rFonts w:eastAsia="Cambria"/>
                <w:sz w:val="22"/>
                <w:szCs w:val="22"/>
                <w:lang w:val="lt-LT" w:eastAsia="en-US"/>
              </w:rPr>
            </w:pPr>
            <w:r>
              <w:rPr>
                <w:rFonts w:eastAsia="Cambria"/>
                <w:color w:val="000000"/>
                <w:sz w:val="22"/>
                <w:szCs w:val="22"/>
                <w:lang w:val="lt-LT" w:eastAsia="en-US"/>
              </w:rPr>
              <w:t>201 (2,5 %)</w:t>
            </w:r>
          </w:p>
        </w:tc>
      </w:tr>
      <w:tr w:rsidR="009A7DBF" w14:paraId="617BA66A" w14:textId="77777777">
        <w:trPr>
          <w:trHeight w:val="288"/>
        </w:trPr>
        <w:tc>
          <w:tcPr>
            <w:tcW w:w="2279" w:type="dxa"/>
          </w:tcPr>
          <w:p w14:paraId="08D355F6" w14:textId="77777777" w:rsidR="009A7DBF" w:rsidRDefault="003F4922">
            <w:pPr>
              <w:widowControl w:val="0"/>
              <w:rPr>
                <w:rFonts w:eastAsia="Cambria"/>
                <w:sz w:val="22"/>
                <w:szCs w:val="22"/>
                <w:lang w:val="lt-LT" w:eastAsia="en-US"/>
              </w:rPr>
            </w:pPr>
            <w:r>
              <w:rPr>
                <w:rFonts w:eastAsia="Cambria"/>
                <w:sz w:val="22"/>
                <w:szCs w:val="22"/>
                <w:lang w:val="lt-LT" w:eastAsia="en-US"/>
              </w:rPr>
              <w:t>Palyginimas poromis</w:t>
            </w:r>
          </w:p>
        </w:tc>
        <w:tc>
          <w:tcPr>
            <w:tcW w:w="2514" w:type="dxa"/>
          </w:tcPr>
          <w:p w14:paraId="2E9579A3" w14:textId="77777777" w:rsidR="009A7DBF" w:rsidRDefault="003F4922">
            <w:pPr>
              <w:widowControl w:val="0"/>
              <w:jc w:val="center"/>
              <w:rPr>
                <w:rFonts w:eastAsia="Cambria"/>
                <w:b/>
                <w:sz w:val="22"/>
                <w:szCs w:val="22"/>
                <w:lang w:val="lt-LT" w:eastAsia="en-US"/>
              </w:rPr>
            </w:pPr>
            <w:proofErr w:type="spellStart"/>
            <w:r>
              <w:rPr>
                <w:rFonts w:eastAsia="Cambria"/>
                <w:b/>
                <w:sz w:val="22"/>
                <w:szCs w:val="22"/>
                <w:lang w:val="lt-LT" w:eastAsia="en-US"/>
              </w:rPr>
              <w:t>Celekoksibas</w:t>
            </w:r>
            <w:proofErr w:type="spellEnd"/>
            <w:r>
              <w:rPr>
                <w:rFonts w:eastAsia="Cambria"/>
                <w:b/>
                <w:sz w:val="22"/>
                <w:szCs w:val="22"/>
                <w:lang w:val="lt-LT" w:eastAsia="en-US"/>
              </w:rPr>
              <w:t xml:space="preserve"> lyginant </w:t>
            </w:r>
            <w:r>
              <w:rPr>
                <w:rFonts w:eastAsia="Cambria"/>
                <w:b/>
                <w:sz w:val="22"/>
                <w:szCs w:val="22"/>
                <w:lang w:val="lt-LT" w:eastAsia="en-US"/>
              </w:rPr>
              <w:lastRenderedPageBreak/>
              <w:t xml:space="preserve">su </w:t>
            </w:r>
            <w:proofErr w:type="spellStart"/>
            <w:r>
              <w:rPr>
                <w:rFonts w:eastAsia="Cambria"/>
                <w:b/>
                <w:sz w:val="22"/>
                <w:szCs w:val="22"/>
                <w:lang w:val="lt-LT" w:eastAsia="en-US"/>
              </w:rPr>
              <w:t>naproksenu</w:t>
            </w:r>
            <w:proofErr w:type="spellEnd"/>
          </w:p>
        </w:tc>
        <w:tc>
          <w:tcPr>
            <w:tcW w:w="2520" w:type="dxa"/>
          </w:tcPr>
          <w:p w14:paraId="37682FB1" w14:textId="77777777" w:rsidR="009A7DBF" w:rsidRDefault="003F4922">
            <w:pPr>
              <w:widowControl w:val="0"/>
              <w:jc w:val="center"/>
              <w:rPr>
                <w:rFonts w:eastAsia="Cambria"/>
                <w:b/>
                <w:sz w:val="22"/>
                <w:szCs w:val="22"/>
                <w:lang w:val="lt-LT" w:eastAsia="en-US"/>
              </w:rPr>
            </w:pPr>
            <w:proofErr w:type="spellStart"/>
            <w:r>
              <w:rPr>
                <w:rFonts w:eastAsia="Cambria"/>
                <w:b/>
                <w:sz w:val="22"/>
                <w:szCs w:val="22"/>
                <w:lang w:val="lt-LT" w:eastAsia="en-US"/>
              </w:rPr>
              <w:lastRenderedPageBreak/>
              <w:t>Celekoksibas</w:t>
            </w:r>
            <w:proofErr w:type="spellEnd"/>
            <w:r>
              <w:rPr>
                <w:rFonts w:eastAsia="Cambria"/>
                <w:b/>
                <w:sz w:val="22"/>
                <w:szCs w:val="22"/>
                <w:lang w:val="lt-LT" w:eastAsia="en-US"/>
              </w:rPr>
              <w:t xml:space="preserve"> lyginant </w:t>
            </w:r>
            <w:r>
              <w:rPr>
                <w:rFonts w:eastAsia="Cambria"/>
                <w:b/>
                <w:sz w:val="22"/>
                <w:szCs w:val="22"/>
                <w:lang w:val="lt-LT" w:eastAsia="en-US"/>
              </w:rPr>
              <w:lastRenderedPageBreak/>
              <w:t xml:space="preserve">su </w:t>
            </w:r>
            <w:proofErr w:type="spellStart"/>
            <w:r>
              <w:rPr>
                <w:rFonts w:eastAsia="Cambria"/>
                <w:b/>
                <w:sz w:val="22"/>
                <w:szCs w:val="22"/>
                <w:lang w:val="lt-LT" w:eastAsia="en-US"/>
              </w:rPr>
              <w:t>ibuprofenu</w:t>
            </w:r>
            <w:proofErr w:type="spellEnd"/>
            <w:r>
              <w:rPr>
                <w:rFonts w:eastAsia="Cambria"/>
                <w:b/>
                <w:sz w:val="22"/>
                <w:szCs w:val="22"/>
                <w:lang w:val="lt-LT" w:eastAsia="en-US"/>
              </w:rPr>
              <w:t xml:space="preserve"> </w:t>
            </w:r>
          </w:p>
        </w:tc>
        <w:tc>
          <w:tcPr>
            <w:tcW w:w="1901" w:type="dxa"/>
          </w:tcPr>
          <w:p w14:paraId="32FA6C19" w14:textId="77777777" w:rsidR="009A7DBF" w:rsidRDefault="003F4922">
            <w:pPr>
              <w:widowControl w:val="0"/>
              <w:jc w:val="center"/>
              <w:rPr>
                <w:rFonts w:eastAsia="Cambria"/>
                <w:b/>
                <w:sz w:val="22"/>
                <w:szCs w:val="22"/>
                <w:lang w:val="lt-LT" w:eastAsia="en-US"/>
              </w:rPr>
            </w:pPr>
            <w:proofErr w:type="spellStart"/>
            <w:r>
              <w:rPr>
                <w:rFonts w:eastAsia="Cambria"/>
                <w:b/>
                <w:sz w:val="22"/>
                <w:szCs w:val="22"/>
                <w:lang w:val="lt-LT" w:eastAsia="en-US"/>
              </w:rPr>
              <w:lastRenderedPageBreak/>
              <w:t>Ibuprofenas</w:t>
            </w:r>
            <w:proofErr w:type="spellEnd"/>
            <w:r>
              <w:rPr>
                <w:rFonts w:eastAsia="Cambria"/>
                <w:b/>
                <w:sz w:val="22"/>
                <w:szCs w:val="22"/>
                <w:lang w:val="lt-LT" w:eastAsia="en-US"/>
              </w:rPr>
              <w:t xml:space="preserve"> </w:t>
            </w:r>
            <w:r>
              <w:rPr>
                <w:rFonts w:eastAsia="Cambria"/>
                <w:b/>
                <w:sz w:val="22"/>
                <w:szCs w:val="22"/>
                <w:lang w:val="lt-LT" w:eastAsia="en-US"/>
              </w:rPr>
              <w:lastRenderedPageBreak/>
              <w:t xml:space="preserve">lyginant </w:t>
            </w:r>
          </w:p>
          <w:p w14:paraId="4C11C9E8" w14:textId="77777777" w:rsidR="009A7DBF" w:rsidRDefault="003F4922">
            <w:pPr>
              <w:widowControl w:val="0"/>
              <w:jc w:val="center"/>
              <w:rPr>
                <w:rFonts w:eastAsia="Cambria"/>
                <w:sz w:val="22"/>
                <w:szCs w:val="22"/>
                <w:lang w:val="lt-LT" w:eastAsia="en-US"/>
              </w:rPr>
            </w:pPr>
            <w:r>
              <w:rPr>
                <w:rFonts w:eastAsia="Cambria"/>
                <w:b/>
                <w:sz w:val="22"/>
                <w:szCs w:val="22"/>
                <w:lang w:val="lt-LT" w:eastAsia="en-US"/>
              </w:rPr>
              <w:t xml:space="preserve">su </w:t>
            </w:r>
            <w:proofErr w:type="spellStart"/>
            <w:r>
              <w:rPr>
                <w:rFonts w:eastAsia="Cambria"/>
                <w:b/>
                <w:sz w:val="22"/>
                <w:szCs w:val="22"/>
                <w:lang w:val="lt-LT" w:eastAsia="en-US"/>
              </w:rPr>
              <w:t>naproksenu</w:t>
            </w:r>
            <w:proofErr w:type="spellEnd"/>
            <w:r>
              <w:rPr>
                <w:rFonts w:eastAsia="Cambria"/>
                <w:b/>
                <w:sz w:val="22"/>
                <w:szCs w:val="22"/>
                <w:lang w:val="lt-LT" w:eastAsia="en-US"/>
              </w:rPr>
              <w:t xml:space="preserve"> </w:t>
            </w:r>
          </w:p>
        </w:tc>
      </w:tr>
      <w:tr w:rsidR="009A7DBF" w14:paraId="18423C97" w14:textId="77777777">
        <w:trPr>
          <w:trHeight w:val="301"/>
        </w:trPr>
        <w:tc>
          <w:tcPr>
            <w:tcW w:w="2279" w:type="dxa"/>
          </w:tcPr>
          <w:p w14:paraId="5FAC283E" w14:textId="77777777" w:rsidR="009A7DBF" w:rsidRDefault="003F4922">
            <w:pPr>
              <w:widowControl w:val="0"/>
              <w:rPr>
                <w:rFonts w:eastAsia="Cambria"/>
                <w:sz w:val="22"/>
                <w:szCs w:val="22"/>
                <w:lang w:val="lt-LT" w:eastAsia="en-US"/>
              </w:rPr>
            </w:pPr>
            <w:r>
              <w:rPr>
                <w:rFonts w:eastAsia="Cambria"/>
                <w:sz w:val="22"/>
                <w:szCs w:val="22"/>
                <w:lang w:val="lt-LT" w:eastAsia="en-US"/>
              </w:rPr>
              <w:lastRenderedPageBreak/>
              <w:t>RS (95 % PI)</w:t>
            </w:r>
          </w:p>
        </w:tc>
        <w:tc>
          <w:tcPr>
            <w:tcW w:w="2514" w:type="dxa"/>
          </w:tcPr>
          <w:p w14:paraId="6A90B667" w14:textId="77777777" w:rsidR="009A7DBF" w:rsidRDefault="003F4922">
            <w:pPr>
              <w:widowControl w:val="0"/>
              <w:jc w:val="center"/>
              <w:rPr>
                <w:rFonts w:eastAsia="Cambria"/>
                <w:color w:val="000000"/>
                <w:sz w:val="22"/>
                <w:szCs w:val="22"/>
                <w:lang w:val="lt-LT" w:eastAsia="en-US"/>
              </w:rPr>
            </w:pPr>
            <w:r>
              <w:rPr>
                <w:rFonts w:eastAsia="Cambria"/>
                <w:color w:val="000000"/>
                <w:sz w:val="22"/>
                <w:szCs w:val="22"/>
                <w:lang w:val="lt-LT" w:eastAsia="en-US"/>
              </w:rPr>
              <w:t>0,93 (0,76; 1,13)</w:t>
            </w:r>
          </w:p>
        </w:tc>
        <w:tc>
          <w:tcPr>
            <w:tcW w:w="2520" w:type="dxa"/>
          </w:tcPr>
          <w:p w14:paraId="4CB26C20" w14:textId="77777777" w:rsidR="009A7DBF" w:rsidRDefault="003F4922">
            <w:pPr>
              <w:widowControl w:val="0"/>
              <w:jc w:val="center"/>
              <w:rPr>
                <w:rFonts w:eastAsia="Cambria"/>
                <w:color w:val="000000"/>
                <w:sz w:val="22"/>
                <w:szCs w:val="22"/>
                <w:lang w:val="lt-LT" w:eastAsia="en-US"/>
              </w:rPr>
            </w:pPr>
            <w:r>
              <w:rPr>
                <w:rFonts w:eastAsia="Cambria"/>
                <w:color w:val="000000"/>
                <w:sz w:val="22"/>
                <w:szCs w:val="22"/>
                <w:lang w:val="lt-LT" w:eastAsia="en-US"/>
              </w:rPr>
              <w:t>0,86 (0,70; 1,04)</w:t>
            </w:r>
          </w:p>
        </w:tc>
        <w:tc>
          <w:tcPr>
            <w:tcW w:w="1901" w:type="dxa"/>
          </w:tcPr>
          <w:p w14:paraId="73EAF83D" w14:textId="77777777" w:rsidR="009A7DBF" w:rsidRDefault="003F4922">
            <w:pPr>
              <w:widowControl w:val="0"/>
              <w:jc w:val="center"/>
              <w:rPr>
                <w:rFonts w:eastAsia="Cambria"/>
                <w:color w:val="000000"/>
                <w:sz w:val="22"/>
                <w:szCs w:val="22"/>
                <w:lang w:val="lt-LT" w:eastAsia="en-US"/>
              </w:rPr>
            </w:pPr>
            <w:r>
              <w:rPr>
                <w:rFonts w:eastAsia="Cambria"/>
                <w:color w:val="000000"/>
                <w:sz w:val="22"/>
                <w:szCs w:val="22"/>
                <w:lang w:val="lt-LT" w:eastAsia="en-US"/>
              </w:rPr>
              <w:t>1,08 (0,89; 1,31)</w:t>
            </w:r>
          </w:p>
        </w:tc>
      </w:tr>
      <w:tr w:rsidR="009A7DBF" w14:paraId="6DA2984E" w14:textId="77777777">
        <w:trPr>
          <w:trHeight w:val="288"/>
        </w:trPr>
        <w:tc>
          <w:tcPr>
            <w:tcW w:w="9214" w:type="dxa"/>
            <w:gridSpan w:val="4"/>
          </w:tcPr>
          <w:p w14:paraId="401B2D38" w14:textId="77777777" w:rsidR="009A7DBF" w:rsidRDefault="003F4922">
            <w:pPr>
              <w:widowControl w:val="0"/>
              <w:rPr>
                <w:rFonts w:eastAsia="Cambria"/>
                <w:color w:val="000000"/>
                <w:sz w:val="22"/>
                <w:szCs w:val="22"/>
                <w:lang w:val="lt-LT" w:eastAsia="en-US"/>
              </w:rPr>
            </w:pPr>
            <w:r>
              <w:rPr>
                <w:rFonts w:eastAsia="Cambria"/>
                <w:b/>
                <w:sz w:val="22"/>
                <w:szCs w:val="22"/>
                <w:lang w:val="lt-LT" w:eastAsia="en-US"/>
              </w:rPr>
              <w:t>Modifikuotoji ketinamos gydyti populiacijos analizė (</w:t>
            </w:r>
            <w:proofErr w:type="spellStart"/>
            <w:r>
              <w:rPr>
                <w:rFonts w:eastAsia="Cambria"/>
                <w:b/>
                <w:sz w:val="22"/>
                <w:szCs w:val="22"/>
                <w:lang w:val="lt-LT" w:eastAsia="en-US"/>
              </w:rPr>
              <w:t>mITT</w:t>
            </w:r>
            <w:proofErr w:type="spellEnd"/>
            <w:r>
              <w:rPr>
                <w:rFonts w:eastAsia="Cambria"/>
                <w:b/>
                <w:sz w:val="22"/>
                <w:szCs w:val="22"/>
                <w:lang w:val="lt-LT" w:eastAsia="en-US"/>
              </w:rPr>
              <w:t>, gydant iki 43-ojo mėnesio)</w:t>
            </w:r>
          </w:p>
        </w:tc>
      </w:tr>
      <w:tr w:rsidR="009A7DBF" w14:paraId="7829B489" w14:textId="77777777">
        <w:trPr>
          <w:trHeight w:val="288"/>
        </w:trPr>
        <w:tc>
          <w:tcPr>
            <w:tcW w:w="2279" w:type="dxa"/>
          </w:tcPr>
          <w:p w14:paraId="11B9D5CF" w14:textId="77777777" w:rsidR="009A7DBF" w:rsidRDefault="009A7DBF">
            <w:pPr>
              <w:widowControl w:val="0"/>
              <w:rPr>
                <w:rFonts w:eastAsia="Cambria"/>
                <w:sz w:val="22"/>
                <w:szCs w:val="22"/>
                <w:lang w:val="lt-LT" w:eastAsia="en-US"/>
              </w:rPr>
            </w:pPr>
          </w:p>
        </w:tc>
        <w:tc>
          <w:tcPr>
            <w:tcW w:w="2514" w:type="dxa"/>
          </w:tcPr>
          <w:p w14:paraId="214C2837" w14:textId="77777777" w:rsidR="009A7DBF" w:rsidRDefault="003F4922">
            <w:pPr>
              <w:widowControl w:val="0"/>
              <w:jc w:val="center"/>
              <w:rPr>
                <w:rFonts w:eastAsia="Cambria"/>
                <w:b/>
                <w:sz w:val="22"/>
                <w:szCs w:val="22"/>
                <w:lang w:val="lt-LT" w:eastAsia="en-US"/>
              </w:rPr>
            </w:pPr>
            <w:proofErr w:type="spellStart"/>
            <w:r>
              <w:rPr>
                <w:rFonts w:eastAsia="Cambria"/>
                <w:b/>
                <w:sz w:val="22"/>
                <w:szCs w:val="22"/>
                <w:lang w:val="lt-LT" w:eastAsia="en-US"/>
              </w:rPr>
              <w:t>Celekoksibas</w:t>
            </w:r>
            <w:proofErr w:type="spellEnd"/>
          </w:p>
          <w:p w14:paraId="01AF7A6F" w14:textId="77777777" w:rsidR="009A7DBF" w:rsidRDefault="003F4922">
            <w:pPr>
              <w:widowControl w:val="0"/>
              <w:jc w:val="center"/>
              <w:rPr>
                <w:rFonts w:eastAsia="Cambria"/>
                <w:b/>
                <w:sz w:val="22"/>
                <w:szCs w:val="22"/>
                <w:lang w:val="lt-LT" w:eastAsia="en-US"/>
              </w:rPr>
            </w:pPr>
            <w:r>
              <w:rPr>
                <w:rFonts w:eastAsia="Cambria"/>
                <w:b/>
                <w:sz w:val="22"/>
                <w:szCs w:val="22"/>
                <w:lang w:val="lt-LT" w:eastAsia="en-US"/>
              </w:rPr>
              <w:t>100–200 mg 2 k./parą</w:t>
            </w:r>
          </w:p>
        </w:tc>
        <w:tc>
          <w:tcPr>
            <w:tcW w:w="2520" w:type="dxa"/>
          </w:tcPr>
          <w:p w14:paraId="43F8AD7F" w14:textId="77777777" w:rsidR="009A7DBF" w:rsidRDefault="003F4922">
            <w:pPr>
              <w:widowControl w:val="0"/>
              <w:jc w:val="center"/>
              <w:rPr>
                <w:rFonts w:eastAsia="Cambria"/>
                <w:b/>
                <w:sz w:val="22"/>
                <w:szCs w:val="22"/>
                <w:lang w:val="lt-LT" w:eastAsia="en-US"/>
              </w:rPr>
            </w:pPr>
            <w:proofErr w:type="spellStart"/>
            <w:r>
              <w:rPr>
                <w:rFonts w:eastAsia="Cambria"/>
                <w:b/>
                <w:sz w:val="22"/>
                <w:szCs w:val="22"/>
                <w:lang w:val="lt-LT" w:eastAsia="en-US"/>
              </w:rPr>
              <w:t>Ibuprofenas</w:t>
            </w:r>
            <w:proofErr w:type="spellEnd"/>
          </w:p>
          <w:p w14:paraId="3624AB52" w14:textId="77777777" w:rsidR="009A7DBF" w:rsidRDefault="003F4922">
            <w:pPr>
              <w:widowControl w:val="0"/>
              <w:jc w:val="center"/>
              <w:rPr>
                <w:rFonts w:eastAsia="Cambria"/>
                <w:b/>
                <w:sz w:val="22"/>
                <w:szCs w:val="22"/>
                <w:lang w:val="lt-LT" w:eastAsia="en-US"/>
              </w:rPr>
            </w:pPr>
            <w:r>
              <w:rPr>
                <w:rFonts w:eastAsia="Cambria"/>
                <w:b/>
                <w:sz w:val="22"/>
                <w:szCs w:val="22"/>
                <w:lang w:val="lt-LT" w:eastAsia="en-US"/>
              </w:rPr>
              <w:t>600–800 mg 3 k./parą</w:t>
            </w:r>
          </w:p>
        </w:tc>
        <w:tc>
          <w:tcPr>
            <w:tcW w:w="1901" w:type="dxa"/>
          </w:tcPr>
          <w:p w14:paraId="37CD2C86" w14:textId="77777777" w:rsidR="009A7DBF" w:rsidRDefault="003F4922">
            <w:pPr>
              <w:widowControl w:val="0"/>
              <w:jc w:val="center"/>
              <w:rPr>
                <w:rFonts w:eastAsia="Cambria"/>
                <w:b/>
                <w:sz w:val="22"/>
                <w:szCs w:val="22"/>
                <w:lang w:val="lt-LT" w:eastAsia="en-US"/>
              </w:rPr>
            </w:pPr>
            <w:proofErr w:type="spellStart"/>
            <w:r>
              <w:rPr>
                <w:rFonts w:eastAsia="Cambria"/>
                <w:b/>
                <w:sz w:val="22"/>
                <w:szCs w:val="22"/>
                <w:lang w:val="lt-LT" w:eastAsia="en-US"/>
              </w:rPr>
              <w:t>Naproksenas</w:t>
            </w:r>
            <w:proofErr w:type="spellEnd"/>
          </w:p>
          <w:p w14:paraId="5531F24F" w14:textId="77777777" w:rsidR="009A7DBF" w:rsidRDefault="003F4922">
            <w:pPr>
              <w:widowControl w:val="0"/>
              <w:jc w:val="center"/>
              <w:rPr>
                <w:rFonts w:eastAsia="Cambria"/>
                <w:sz w:val="22"/>
                <w:szCs w:val="22"/>
                <w:lang w:val="lt-LT" w:eastAsia="en-US"/>
              </w:rPr>
            </w:pPr>
            <w:r>
              <w:rPr>
                <w:rFonts w:eastAsia="Cambria"/>
                <w:b/>
                <w:sz w:val="22"/>
                <w:szCs w:val="22"/>
                <w:lang w:val="lt-LT" w:eastAsia="en-US"/>
              </w:rPr>
              <w:t>375–500 mg 2 k./parą</w:t>
            </w:r>
          </w:p>
        </w:tc>
      </w:tr>
      <w:tr w:rsidR="009A7DBF" w14:paraId="5158C964" w14:textId="77777777">
        <w:trPr>
          <w:trHeight w:val="288"/>
        </w:trPr>
        <w:tc>
          <w:tcPr>
            <w:tcW w:w="2279" w:type="dxa"/>
          </w:tcPr>
          <w:p w14:paraId="72FFE4ED" w14:textId="77777777" w:rsidR="009A7DBF" w:rsidRDefault="003F4922">
            <w:pPr>
              <w:widowControl w:val="0"/>
              <w:rPr>
                <w:rFonts w:eastAsia="Cambria"/>
                <w:sz w:val="22"/>
                <w:szCs w:val="22"/>
                <w:lang w:val="lt-LT" w:eastAsia="en-US"/>
              </w:rPr>
            </w:pPr>
            <w:r>
              <w:rPr>
                <w:rFonts w:eastAsia="Cambria"/>
                <w:sz w:val="22"/>
                <w:szCs w:val="22"/>
                <w:lang w:val="lt-LT" w:eastAsia="en-US"/>
              </w:rPr>
              <w:t>N</w:t>
            </w:r>
          </w:p>
        </w:tc>
        <w:tc>
          <w:tcPr>
            <w:tcW w:w="2514" w:type="dxa"/>
          </w:tcPr>
          <w:p w14:paraId="5DFE4D5C" w14:textId="77777777" w:rsidR="009A7DBF" w:rsidRDefault="003F4922">
            <w:pPr>
              <w:widowControl w:val="0"/>
              <w:jc w:val="center"/>
              <w:rPr>
                <w:rFonts w:eastAsia="Cambria"/>
                <w:sz w:val="22"/>
                <w:szCs w:val="22"/>
                <w:lang w:val="lt-LT" w:eastAsia="en-US"/>
              </w:rPr>
            </w:pPr>
            <w:r>
              <w:rPr>
                <w:rFonts w:eastAsia="Cambria"/>
                <w:sz w:val="22"/>
                <w:szCs w:val="22"/>
                <w:lang w:val="lt-LT" w:eastAsia="en-US"/>
              </w:rPr>
              <w:t>8 030</w:t>
            </w:r>
          </w:p>
        </w:tc>
        <w:tc>
          <w:tcPr>
            <w:tcW w:w="2520" w:type="dxa"/>
          </w:tcPr>
          <w:p w14:paraId="7FEAA699" w14:textId="77777777" w:rsidR="009A7DBF" w:rsidRDefault="003F4922">
            <w:pPr>
              <w:widowControl w:val="0"/>
              <w:jc w:val="center"/>
              <w:rPr>
                <w:rFonts w:eastAsia="Cambria"/>
                <w:sz w:val="22"/>
                <w:szCs w:val="22"/>
                <w:lang w:val="lt-LT" w:eastAsia="en-US"/>
              </w:rPr>
            </w:pPr>
            <w:r>
              <w:rPr>
                <w:rFonts w:eastAsia="Cambria"/>
                <w:sz w:val="22"/>
                <w:szCs w:val="22"/>
                <w:lang w:val="lt-LT" w:eastAsia="en-US"/>
              </w:rPr>
              <w:t>7 990</w:t>
            </w:r>
          </w:p>
        </w:tc>
        <w:tc>
          <w:tcPr>
            <w:tcW w:w="1901" w:type="dxa"/>
          </w:tcPr>
          <w:p w14:paraId="6806362A" w14:textId="77777777" w:rsidR="009A7DBF" w:rsidRDefault="003F4922">
            <w:pPr>
              <w:widowControl w:val="0"/>
              <w:jc w:val="center"/>
              <w:rPr>
                <w:rFonts w:eastAsia="Cambria"/>
                <w:sz w:val="22"/>
                <w:szCs w:val="22"/>
                <w:lang w:val="lt-LT" w:eastAsia="en-US"/>
              </w:rPr>
            </w:pPr>
            <w:r>
              <w:rPr>
                <w:rFonts w:eastAsia="Cambria"/>
                <w:sz w:val="22"/>
                <w:szCs w:val="22"/>
                <w:lang w:val="lt-LT" w:eastAsia="en-US"/>
              </w:rPr>
              <w:t>7 933</w:t>
            </w:r>
          </w:p>
        </w:tc>
      </w:tr>
      <w:tr w:rsidR="009A7DBF" w14:paraId="115AE34B" w14:textId="77777777">
        <w:trPr>
          <w:trHeight w:val="288"/>
        </w:trPr>
        <w:tc>
          <w:tcPr>
            <w:tcW w:w="2279" w:type="dxa"/>
          </w:tcPr>
          <w:p w14:paraId="5632DCE4" w14:textId="77777777" w:rsidR="009A7DBF" w:rsidRDefault="003F4922">
            <w:pPr>
              <w:widowControl w:val="0"/>
              <w:rPr>
                <w:rFonts w:eastAsia="Cambria"/>
                <w:sz w:val="22"/>
                <w:szCs w:val="22"/>
                <w:lang w:val="lt-LT" w:eastAsia="en-US"/>
              </w:rPr>
            </w:pPr>
            <w:r>
              <w:rPr>
                <w:rFonts w:eastAsia="Cambria"/>
                <w:sz w:val="22"/>
                <w:szCs w:val="22"/>
                <w:lang w:val="lt-LT" w:eastAsia="en-US"/>
              </w:rPr>
              <w:t>Tiriamieji, patyrę įvykių</w:t>
            </w:r>
          </w:p>
        </w:tc>
        <w:tc>
          <w:tcPr>
            <w:tcW w:w="2514" w:type="dxa"/>
          </w:tcPr>
          <w:p w14:paraId="7850EF51" w14:textId="77777777" w:rsidR="009A7DBF" w:rsidRDefault="003F4922">
            <w:pPr>
              <w:widowControl w:val="0"/>
              <w:jc w:val="center"/>
              <w:rPr>
                <w:rFonts w:eastAsia="Cambria"/>
                <w:sz w:val="22"/>
                <w:szCs w:val="22"/>
                <w:lang w:val="lt-LT" w:eastAsia="en-US"/>
              </w:rPr>
            </w:pPr>
            <w:r>
              <w:rPr>
                <w:rFonts w:eastAsia="Cambria"/>
                <w:color w:val="000000"/>
                <w:sz w:val="22"/>
                <w:szCs w:val="22"/>
                <w:lang w:val="lt-LT" w:eastAsia="en-US"/>
              </w:rPr>
              <w:t>134 (1,7 %)</w:t>
            </w:r>
          </w:p>
        </w:tc>
        <w:tc>
          <w:tcPr>
            <w:tcW w:w="2520" w:type="dxa"/>
          </w:tcPr>
          <w:p w14:paraId="53F9E41F" w14:textId="77777777" w:rsidR="009A7DBF" w:rsidRDefault="003F4922">
            <w:pPr>
              <w:widowControl w:val="0"/>
              <w:jc w:val="center"/>
              <w:rPr>
                <w:rFonts w:eastAsia="Cambria"/>
                <w:color w:val="000000"/>
                <w:sz w:val="22"/>
                <w:szCs w:val="22"/>
                <w:lang w:val="lt-LT" w:eastAsia="en-US"/>
              </w:rPr>
            </w:pPr>
            <w:r>
              <w:rPr>
                <w:rFonts w:eastAsia="Cambria"/>
                <w:color w:val="000000"/>
                <w:sz w:val="22"/>
                <w:szCs w:val="22"/>
                <w:lang w:val="lt-LT" w:eastAsia="en-US"/>
              </w:rPr>
              <w:t>155 (1,9 %)</w:t>
            </w:r>
          </w:p>
        </w:tc>
        <w:tc>
          <w:tcPr>
            <w:tcW w:w="1901" w:type="dxa"/>
          </w:tcPr>
          <w:p w14:paraId="34B1501B" w14:textId="77777777" w:rsidR="009A7DBF" w:rsidRDefault="003F4922">
            <w:pPr>
              <w:widowControl w:val="0"/>
              <w:jc w:val="center"/>
              <w:rPr>
                <w:rFonts w:eastAsia="Cambria"/>
                <w:sz w:val="22"/>
                <w:szCs w:val="22"/>
                <w:lang w:val="lt-LT" w:eastAsia="en-US"/>
              </w:rPr>
            </w:pPr>
            <w:r>
              <w:rPr>
                <w:rFonts w:eastAsia="Cambria"/>
                <w:color w:val="000000"/>
                <w:sz w:val="22"/>
                <w:szCs w:val="22"/>
                <w:lang w:val="lt-LT" w:eastAsia="en-US"/>
              </w:rPr>
              <w:t>144 (1,8 %)</w:t>
            </w:r>
          </w:p>
        </w:tc>
      </w:tr>
      <w:tr w:rsidR="009A7DBF" w14:paraId="61ADFF9D" w14:textId="77777777">
        <w:trPr>
          <w:trHeight w:val="288"/>
        </w:trPr>
        <w:tc>
          <w:tcPr>
            <w:tcW w:w="2279" w:type="dxa"/>
          </w:tcPr>
          <w:p w14:paraId="66CE72A9" w14:textId="77777777" w:rsidR="009A7DBF" w:rsidRDefault="003F4922">
            <w:pPr>
              <w:widowControl w:val="0"/>
              <w:rPr>
                <w:rFonts w:eastAsia="Cambria"/>
                <w:sz w:val="22"/>
                <w:szCs w:val="22"/>
                <w:lang w:val="lt-LT" w:eastAsia="en-US"/>
              </w:rPr>
            </w:pPr>
            <w:r>
              <w:rPr>
                <w:rFonts w:eastAsia="Cambria"/>
                <w:sz w:val="22"/>
                <w:szCs w:val="22"/>
                <w:lang w:val="lt-LT" w:eastAsia="en-US"/>
              </w:rPr>
              <w:t>Palyginimas poromis</w:t>
            </w:r>
          </w:p>
        </w:tc>
        <w:tc>
          <w:tcPr>
            <w:tcW w:w="2514" w:type="dxa"/>
          </w:tcPr>
          <w:p w14:paraId="1911A300" w14:textId="77777777" w:rsidR="009A7DBF" w:rsidRDefault="003F4922">
            <w:pPr>
              <w:widowControl w:val="0"/>
              <w:jc w:val="center"/>
              <w:rPr>
                <w:rFonts w:eastAsia="Cambria"/>
                <w:b/>
                <w:sz w:val="22"/>
                <w:szCs w:val="22"/>
                <w:lang w:val="lt-LT" w:eastAsia="en-US"/>
              </w:rPr>
            </w:pPr>
            <w:proofErr w:type="spellStart"/>
            <w:r>
              <w:rPr>
                <w:rFonts w:eastAsia="Cambria"/>
                <w:b/>
                <w:sz w:val="22"/>
                <w:szCs w:val="22"/>
                <w:lang w:val="lt-LT" w:eastAsia="en-US"/>
              </w:rPr>
              <w:t>Celekoksibas</w:t>
            </w:r>
            <w:proofErr w:type="spellEnd"/>
            <w:r>
              <w:rPr>
                <w:rFonts w:eastAsia="Cambria"/>
                <w:b/>
                <w:sz w:val="22"/>
                <w:szCs w:val="22"/>
                <w:lang w:val="lt-LT" w:eastAsia="en-US"/>
              </w:rPr>
              <w:t xml:space="preserve"> lyginant su </w:t>
            </w:r>
            <w:proofErr w:type="spellStart"/>
            <w:r>
              <w:rPr>
                <w:rFonts w:eastAsia="Cambria"/>
                <w:b/>
                <w:sz w:val="22"/>
                <w:szCs w:val="22"/>
                <w:lang w:val="lt-LT" w:eastAsia="en-US"/>
              </w:rPr>
              <w:t>naproksenu</w:t>
            </w:r>
            <w:proofErr w:type="spellEnd"/>
          </w:p>
        </w:tc>
        <w:tc>
          <w:tcPr>
            <w:tcW w:w="2520" w:type="dxa"/>
          </w:tcPr>
          <w:p w14:paraId="54A6F62A" w14:textId="77777777" w:rsidR="009A7DBF" w:rsidRDefault="003F4922">
            <w:pPr>
              <w:widowControl w:val="0"/>
              <w:jc w:val="center"/>
              <w:rPr>
                <w:rFonts w:eastAsia="Cambria"/>
                <w:b/>
                <w:sz w:val="22"/>
                <w:szCs w:val="22"/>
                <w:lang w:val="lt-LT" w:eastAsia="en-US"/>
              </w:rPr>
            </w:pPr>
            <w:proofErr w:type="spellStart"/>
            <w:r>
              <w:rPr>
                <w:rFonts w:eastAsia="Cambria"/>
                <w:b/>
                <w:sz w:val="22"/>
                <w:szCs w:val="22"/>
                <w:lang w:val="lt-LT" w:eastAsia="en-US"/>
              </w:rPr>
              <w:t>Celekoksibas</w:t>
            </w:r>
            <w:proofErr w:type="spellEnd"/>
            <w:r>
              <w:rPr>
                <w:rFonts w:eastAsia="Cambria"/>
                <w:b/>
                <w:sz w:val="22"/>
                <w:szCs w:val="22"/>
                <w:lang w:val="lt-LT" w:eastAsia="en-US"/>
              </w:rPr>
              <w:t xml:space="preserve"> lyginant su </w:t>
            </w:r>
            <w:proofErr w:type="spellStart"/>
            <w:r>
              <w:rPr>
                <w:rFonts w:eastAsia="Cambria"/>
                <w:b/>
                <w:sz w:val="22"/>
                <w:szCs w:val="22"/>
                <w:lang w:val="lt-LT" w:eastAsia="en-US"/>
              </w:rPr>
              <w:t>ibuprofenu</w:t>
            </w:r>
            <w:proofErr w:type="spellEnd"/>
            <w:r>
              <w:rPr>
                <w:rFonts w:eastAsia="Cambria"/>
                <w:b/>
                <w:sz w:val="22"/>
                <w:szCs w:val="22"/>
                <w:lang w:val="lt-LT" w:eastAsia="en-US"/>
              </w:rPr>
              <w:t xml:space="preserve"> </w:t>
            </w:r>
          </w:p>
        </w:tc>
        <w:tc>
          <w:tcPr>
            <w:tcW w:w="1901" w:type="dxa"/>
          </w:tcPr>
          <w:p w14:paraId="243E87D2" w14:textId="77777777" w:rsidR="009A7DBF" w:rsidRDefault="003F4922">
            <w:pPr>
              <w:widowControl w:val="0"/>
              <w:jc w:val="center"/>
              <w:rPr>
                <w:rFonts w:eastAsia="Cambria"/>
                <w:b/>
                <w:sz w:val="22"/>
                <w:szCs w:val="22"/>
                <w:lang w:val="lt-LT" w:eastAsia="en-US"/>
              </w:rPr>
            </w:pPr>
            <w:proofErr w:type="spellStart"/>
            <w:r>
              <w:rPr>
                <w:rFonts w:eastAsia="Cambria"/>
                <w:b/>
                <w:sz w:val="22"/>
                <w:szCs w:val="22"/>
                <w:lang w:val="lt-LT" w:eastAsia="en-US"/>
              </w:rPr>
              <w:t>Ibuprofenas</w:t>
            </w:r>
            <w:proofErr w:type="spellEnd"/>
            <w:r>
              <w:rPr>
                <w:rFonts w:eastAsia="Cambria"/>
                <w:b/>
                <w:sz w:val="22"/>
                <w:szCs w:val="22"/>
                <w:lang w:val="lt-LT" w:eastAsia="en-US"/>
              </w:rPr>
              <w:t xml:space="preserve"> lyginant</w:t>
            </w:r>
          </w:p>
          <w:p w14:paraId="0DED3F9C" w14:textId="77777777" w:rsidR="009A7DBF" w:rsidRDefault="003F4922">
            <w:pPr>
              <w:widowControl w:val="0"/>
              <w:jc w:val="center"/>
              <w:rPr>
                <w:rFonts w:eastAsia="Cambria"/>
                <w:sz w:val="22"/>
                <w:szCs w:val="22"/>
                <w:lang w:val="lt-LT" w:eastAsia="en-US"/>
              </w:rPr>
            </w:pPr>
            <w:r>
              <w:rPr>
                <w:rFonts w:eastAsia="Cambria"/>
                <w:b/>
                <w:sz w:val="22"/>
                <w:szCs w:val="22"/>
                <w:lang w:val="lt-LT" w:eastAsia="en-US"/>
              </w:rPr>
              <w:t xml:space="preserve">su </w:t>
            </w:r>
            <w:proofErr w:type="spellStart"/>
            <w:r>
              <w:rPr>
                <w:rFonts w:eastAsia="Cambria"/>
                <w:b/>
                <w:sz w:val="22"/>
                <w:szCs w:val="22"/>
                <w:lang w:val="lt-LT" w:eastAsia="en-US"/>
              </w:rPr>
              <w:t>naproksenu</w:t>
            </w:r>
            <w:proofErr w:type="spellEnd"/>
            <w:r>
              <w:rPr>
                <w:rFonts w:eastAsia="Cambria"/>
                <w:b/>
                <w:sz w:val="22"/>
                <w:szCs w:val="22"/>
                <w:lang w:val="lt-LT" w:eastAsia="en-US"/>
              </w:rPr>
              <w:t xml:space="preserve"> </w:t>
            </w:r>
          </w:p>
        </w:tc>
      </w:tr>
      <w:tr w:rsidR="009A7DBF" w14:paraId="006E0766" w14:textId="77777777">
        <w:trPr>
          <w:trHeight w:val="288"/>
        </w:trPr>
        <w:tc>
          <w:tcPr>
            <w:tcW w:w="2279" w:type="dxa"/>
          </w:tcPr>
          <w:p w14:paraId="6B340FDC" w14:textId="77777777" w:rsidR="009A7DBF" w:rsidRDefault="003F4922">
            <w:pPr>
              <w:widowControl w:val="0"/>
              <w:rPr>
                <w:rFonts w:eastAsia="Cambria"/>
                <w:sz w:val="22"/>
                <w:szCs w:val="22"/>
                <w:lang w:val="lt-LT" w:eastAsia="en-US"/>
              </w:rPr>
            </w:pPr>
            <w:r>
              <w:rPr>
                <w:rFonts w:eastAsia="Cambria"/>
                <w:sz w:val="22"/>
                <w:szCs w:val="22"/>
                <w:lang w:val="lt-LT" w:eastAsia="en-US"/>
              </w:rPr>
              <w:t>RS (95 % PI)</w:t>
            </w:r>
          </w:p>
        </w:tc>
        <w:tc>
          <w:tcPr>
            <w:tcW w:w="2514" w:type="dxa"/>
          </w:tcPr>
          <w:p w14:paraId="4751655B" w14:textId="77777777" w:rsidR="009A7DBF" w:rsidRDefault="003F4922">
            <w:pPr>
              <w:widowControl w:val="0"/>
              <w:jc w:val="center"/>
              <w:rPr>
                <w:rFonts w:eastAsia="Cambria"/>
                <w:color w:val="000000"/>
                <w:sz w:val="22"/>
                <w:szCs w:val="22"/>
                <w:lang w:val="lt-LT" w:eastAsia="en-US"/>
              </w:rPr>
            </w:pPr>
            <w:r>
              <w:rPr>
                <w:rFonts w:eastAsia="Cambria"/>
                <w:color w:val="000000"/>
                <w:sz w:val="22"/>
                <w:szCs w:val="22"/>
                <w:lang w:val="lt-LT" w:eastAsia="en-US"/>
              </w:rPr>
              <w:t>0,90 (0,72; 1,14)</w:t>
            </w:r>
          </w:p>
        </w:tc>
        <w:tc>
          <w:tcPr>
            <w:tcW w:w="2520" w:type="dxa"/>
          </w:tcPr>
          <w:p w14:paraId="18AA2668" w14:textId="77777777" w:rsidR="009A7DBF" w:rsidRDefault="003F4922">
            <w:pPr>
              <w:widowControl w:val="0"/>
              <w:jc w:val="center"/>
              <w:rPr>
                <w:rFonts w:eastAsia="Cambria"/>
                <w:color w:val="000000"/>
                <w:sz w:val="22"/>
                <w:szCs w:val="22"/>
                <w:lang w:val="lt-LT" w:eastAsia="en-US"/>
              </w:rPr>
            </w:pPr>
            <w:r>
              <w:rPr>
                <w:rFonts w:eastAsia="Cambria"/>
                <w:color w:val="000000"/>
                <w:sz w:val="22"/>
                <w:szCs w:val="22"/>
                <w:lang w:val="lt-LT" w:eastAsia="en-US"/>
              </w:rPr>
              <w:t>0,81 (0,64; 1,02)</w:t>
            </w:r>
          </w:p>
        </w:tc>
        <w:tc>
          <w:tcPr>
            <w:tcW w:w="1901" w:type="dxa"/>
          </w:tcPr>
          <w:p w14:paraId="52902F29" w14:textId="77777777" w:rsidR="009A7DBF" w:rsidRDefault="003F4922">
            <w:pPr>
              <w:widowControl w:val="0"/>
              <w:jc w:val="center"/>
              <w:rPr>
                <w:rFonts w:eastAsia="Cambria"/>
                <w:color w:val="000000"/>
                <w:sz w:val="22"/>
                <w:szCs w:val="22"/>
                <w:lang w:val="lt-LT" w:eastAsia="en-US"/>
              </w:rPr>
            </w:pPr>
            <w:r>
              <w:rPr>
                <w:rFonts w:eastAsia="Cambria"/>
                <w:color w:val="000000"/>
                <w:sz w:val="22"/>
                <w:szCs w:val="22"/>
                <w:lang w:val="lt-LT" w:eastAsia="en-US"/>
              </w:rPr>
              <w:t>1,12 (0,889; 1,40)</w:t>
            </w:r>
          </w:p>
        </w:tc>
      </w:tr>
    </w:tbl>
    <w:p w14:paraId="181E7CD2" w14:textId="77777777" w:rsidR="009A7DBF" w:rsidRDefault="003F4922">
      <w:pPr>
        <w:autoSpaceDE w:val="0"/>
        <w:autoSpaceDN w:val="0"/>
        <w:adjustRightInd w:val="0"/>
        <w:rPr>
          <w:sz w:val="22"/>
          <w:szCs w:val="22"/>
          <w:lang w:val="lt-LT" w:eastAsia="en-US"/>
        </w:rPr>
      </w:pPr>
      <w:r>
        <w:rPr>
          <w:sz w:val="22"/>
          <w:szCs w:val="22"/>
          <w:lang w:val="lt-LT" w:eastAsia="en-US"/>
        </w:rPr>
        <w:t>RS – rizikos santykis</w:t>
      </w:r>
    </w:p>
    <w:p w14:paraId="64A73092" w14:textId="77777777" w:rsidR="009A7DBF" w:rsidRDefault="009A7DBF">
      <w:pPr>
        <w:autoSpaceDE w:val="0"/>
        <w:autoSpaceDN w:val="0"/>
        <w:adjustRightInd w:val="0"/>
        <w:rPr>
          <w:sz w:val="22"/>
          <w:szCs w:val="22"/>
          <w:lang w:val="lt-LT" w:eastAsia="en-US"/>
        </w:rPr>
      </w:pPr>
    </w:p>
    <w:p w14:paraId="7CFF43CA" w14:textId="77777777" w:rsidR="009A7DBF" w:rsidRDefault="003F4922">
      <w:pPr>
        <w:autoSpaceDE w:val="0"/>
        <w:autoSpaceDN w:val="0"/>
        <w:adjustRightInd w:val="0"/>
        <w:rPr>
          <w:sz w:val="22"/>
          <w:szCs w:val="22"/>
          <w:lang w:val="lt-LT" w:eastAsia="en-US"/>
        </w:rPr>
      </w:pPr>
      <w:r>
        <w:rPr>
          <w:sz w:val="22"/>
          <w:szCs w:val="22"/>
          <w:lang w:val="lt-LT" w:eastAsia="en-US"/>
        </w:rPr>
        <w:t xml:space="preserve">Skaitine reikšme rezultatai pagal antrines ir tretines vertinamąsias baigtis buvo panašūs tiek </w:t>
      </w:r>
      <w:proofErr w:type="spellStart"/>
      <w:r>
        <w:rPr>
          <w:sz w:val="22"/>
          <w:szCs w:val="22"/>
          <w:lang w:val="lt-LT" w:eastAsia="en-US"/>
        </w:rPr>
        <w:t>celekoksibo</w:t>
      </w:r>
      <w:proofErr w:type="spellEnd"/>
      <w:r>
        <w:rPr>
          <w:sz w:val="22"/>
          <w:szCs w:val="22"/>
          <w:lang w:val="lt-LT" w:eastAsia="en-US"/>
        </w:rPr>
        <w:t>, tiek lyginamųjų vaistinių preparatų grupėse; jokių netikėtų saugumo duomenų negauta.</w:t>
      </w:r>
    </w:p>
    <w:p w14:paraId="67D8905F" w14:textId="77777777" w:rsidR="009A7DBF" w:rsidRDefault="009A7DBF">
      <w:pPr>
        <w:autoSpaceDE w:val="0"/>
        <w:autoSpaceDN w:val="0"/>
        <w:adjustRightInd w:val="0"/>
        <w:rPr>
          <w:sz w:val="22"/>
          <w:szCs w:val="22"/>
          <w:lang w:val="lt-LT" w:eastAsia="en-US"/>
        </w:rPr>
      </w:pPr>
    </w:p>
    <w:p w14:paraId="7A276D3E" w14:textId="77777777" w:rsidR="009A7DBF" w:rsidRDefault="003F4922">
      <w:pPr>
        <w:autoSpaceDE w:val="0"/>
        <w:autoSpaceDN w:val="0"/>
        <w:adjustRightInd w:val="0"/>
        <w:rPr>
          <w:sz w:val="22"/>
          <w:szCs w:val="22"/>
          <w:lang w:val="lt-LT" w:eastAsia="en-US"/>
        </w:rPr>
      </w:pPr>
      <w:r>
        <w:rPr>
          <w:sz w:val="22"/>
          <w:szCs w:val="22"/>
          <w:lang w:val="lt-LT" w:eastAsia="en-US"/>
        </w:rPr>
        <w:t xml:space="preserve">PRECISION tyrimas parodė, kad, vertinant nepageidaujamą poveikį kardiovaskulinei sistemai, </w:t>
      </w:r>
      <w:proofErr w:type="spellStart"/>
      <w:r>
        <w:rPr>
          <w:sz w:val="22"/>
          <w:szCs w:val="22"/>
          <w:lang w:val="lt-LT" w:eastAsia="en-US"/>
        </w:rPr>
        <w:t>celekoksibo</w:t>
      </w:r>
      <w:proofErr w:type="spellEnd"/>
      <w:r>
        <w:rPr>
          <w:sz w:val="22"/>
          <w:szCs w:val="22"/>
          <w:lang w:val="lt-LT" w:eastAsia="en-US"/>
        </w:rPr>
        <w:t xml:space="preserve">, vartojamo mažiausia patvirtinta doze (po 100 mg du kartus per parą), poveikis yra ne prastesnis, palyginti su </w:t>
      </w:r>
      <w:proofErr w:type="spellStart"/>
      <w:r>
        <w:rPr>
          <w:sz w:val="22"/>
          <w:szCs w:val="22"/>
          <w:lang w:val="lt-LT" w:eastAsia="en-US"/>
        </w:rPr>
        <w:t>ibuprofenu</w:t>
      </w:r>
      <w:proofErr w:type="spellEnd"/>
      <w:r>
        <w:rPr>
          <w:sz w:val="22"/>
          <w:szCs w:val="22"/>
          <w:lang w:val="lt-LT" w:eastAsia="en-US"/>
        </w:rPr>
        <w:t>, vartojamu po 600</w:t>
      </w:r>
      <w:r>
        <w:rPr>
          <w:sz w:val="22"/>
          <w:szCs w:val="22"/>
          <w:lang w:val="lt-LT" w:eastAsia="en-US"/>
        </w:rPr>
        <w:noBreakHyphen/>
        <w:t xml:space="preserve">800 mg tris kartus per parą, ar </w:t>
      </w:r>
      <w:proofErr w:type="spellStart"/>
      <w:r>
        <w:rPr>
          <w:sz w:val="22"/>
          <w:szCs w:val="22"/>
          <w:lang w:val="lt-LT" w:eastAsia="en-US"/>
        </w:rPr>
        <w:t>naproksenu</w:t>
      </w:r>
      <w:proofErr w:type="spellEnd"/>
      <w:r>
        <w:rPr>
          <w:sz w:val="22"/>
          <w:szCs w:val="22"/>
          <w:lang w:val="lt-LT" w:eastAsia="en-US"/>
        </w:rPr>
        <w:t>, vartojamu po 375</w:t>
      </w:r>
      <w:r>
        <w:rPr>
          <w:sz w:val="22"/>
          <w:szCs w:val="22"/>
          <w:lang w:val="lt-LT" w:eastAsia="en-US"/>
        </w:rPr>
        <w:noBreakHyphen/>
        <w:t xml:space="preserve">500 mg du kartus per parą. NVNU (įskaitant </w:t>
      </w:r>
      <w:proofErr w:type="spellStart"/>
      <w:r>
        <w:rPr>
          <w:sz w:val="22"/>
          <w:szCs w:val="22"/>
          <w:lang w:val="lt-LT" w:eastAsia="en-US"/>
        </w:rPr>
        <w:t>koksibus</w:t>
      </w:r>
      <w:proofErr w:type="spellEnd"/>
      <w:r>
        <w:rPr>
          <w:sz w:val="22"/>
          <w:szCs w:val="22"/>
          <w:lang w:val="lt-LT" w:eastAsia="en-US"/>
        </w:rPr>
        <w:t xml:space="preserve">) kaip vaistinių preparatų klasei būdinga kardiovaskulinių sutrikimų rizika priklauso nuo dozės, todėl 200 mg </w:t>
      </w:r>
      <w:proofErr w:type="spellStart"/>
      <w:r>
        <w:rPr>
          <w:sz w:val="22"/>
          <w:szCs w:val="22"/>
          <w:lang w:val="lt-LT" w:eastAsia="en-US"/>
        </w:rPr>
        <w:t>celekoksibo</w:t>
      </w:r>
      <w:proofErr w:type="spellEnd"/>
      <w:r>
        <w:rPr>
          <w:sz w:val="22"/>
          <w:szCs w:val="22"/>
          <w:lang w:val="lt-LT" w:eastAsia="en-US"/>
        </w:rPr>
        <w:t xml:space="preserve"> paros dozės vartojimo poveikio kardiovaskulinei vertinamajai baigčiai rezultatai negali būti </w:t>
      </w:r>
      <w:proofErr w:type="spellStart"/>
      <w:r>
        <w:rPr>
          <w:sz w:val="22"/>
          <w:szCs w:val="22"/>
          <w:lang w:val="lt-LT" w:eastAsia="en-US"/>
        </w:rPr>
        <w:t>ekstrapoliuoti</w:t>
      </w:r>
      <w:proofErr w:type="spellEnd"/>
      <w:r>
        <w:rPr>
          <w:sz w:val="22"/>
          <w:szCs w:val="22"/>
          <w:lang w:val="lt-LT" w:eastAsia="en-US"/>
        </w:rPr>
        <w:t xml:space="preserve"> dozavimo schemoms, kurių metu vartojama didesnė </w:t>
      </w:r>
      <w:proofErr w:type="spellStart"/>
      <w:r>
        <w:rPr>
          <w:sz w:val="22"/>
          <w:szCs w:val="22"/>
          <w:lang w:val="lt-LT" w:eastAsia="en-US"/>
        </w:rPr>
        <w:t>celekoksibo</w:t>
      </w:r>
      <w:proofErr w:type="spellEnd"/>
      <w:r>
        <w:rPr>
          <w:sz w:val="22"/>
          <w:szCs w:val="22"/>
          <w:lang w:val="lt-LT" w:eastAsia="en-US"/>
        </w:rPr>
        <w:t xml:space="preserve"> dozė.</w:t>
      </w:r>
    </w:p>
    <w:p w14:paraId="5596D078" w14:textId="77777777" w:rsidR="009A7DBF" w:rsidRDefault="009A7DBF">
      <w:pPr>
        <w:autoSpaceDE w:val="0"/>
        <w:autoSpaceDN w:val="0"/>
        <w:adjustRightInd w:val="0"/>
        <w:rPr>
          <w:sz w:val="22"/>
          <w:szCs w:val="22"/>
          <w:lang w:val="lt-LT" w:eastAsia="en-US"/>
        </w:rPr>
      </w:pPr>
    </w:p>
    <w:p w14:paraId="15C869A2" w14:textId="77777777" w:rsidR="009A7DBF" w:rsidRDefault="003F4922">
      <w:pPr>
        <w:widowControl w:val="0"/>
        <w:ind w:left="567" w:hanging="567"/>
        <w:outlineLvl w:val="0"/>
        <w:rPr>
          <w:rFonts w:eastAsiaTheme="minorHAnsi"/>
          <w:b/>
          <w:sz w:val="22"/>
          <w:szCs w:val="22"/>
          <w:lang w:val="lt-LT" w:eastAsia="en-US"/>
        </w:rPr>
      </w:pPr>
      <w:r>
        <w:rPr>
          <w:b/>
          <w:sz w:val="22"/>
          <w:szCs w:val="22"/>
        </w:rPr>
        <w:t>5.2</w:t>
      </w:r>
      <w:r>
        <w:rPr>
          <w:b/>
          <w:sz w:val="22"/>
          <w:szCs w:val="22"/>
        </w:rPr>
        <w:tab/>
        <w:t>Farmakokinetinės savybės</w:t>
      </w:r>
    </w:p>
    <w:p w14:paraId="44891DC1" w14:textId="77777777" w:rsidR="009A7DBF" w:rsidRDefault="009A7DBF">
      <w:pPr>
        <w:widowControl w:val="0"/>
        <w:ind w:left="567" w:hanging="567"/>
        <w:rPr>
          <w:sz w:val="22"/>
          <w:szCs w:val="22"/>
        </w:rPr>
      </w:pPr>
    </w:p>
    <w:p w14:paraId="5B474DE7" w14:textId="77777777" w:rsidR="009A7DBF" w:rsidRDefault="003F4922">
      <w:pPr>
        <w:widowControl w:val="0"/>
        <w:rPr>
          <w:rFonts w:eastAsiaTheme="minorHAnsi"/>
          <w:sz w:val="22"/>
          <w:szCs w:val="22"/>
          <w:u w:val="single"/>
          <w:lang w:val="lt-LT" w:eastAsia="en-US"/>
        </w:rPr>
      </w:pPr>
      <w:r>
        <w:rPr>
          <w:sz w:val="22"/>
          <w:szCs w:val="22"/>
          <w:u w:val="single"/>
        </w:rPr>
        <w:t>Absorbcija</w:t>
      </w:r>
    </w:p>
    <w:p w14:paraId="59847A1F" w14:textId="77777777" w:rsidR="009A7DBF" w:rsidRDefault="003F4922">
      <w:pPr>
        <w:widowControl w:val="0"/>
        <w:rPr>
          <w:rFonts w:eastAsiaTheme="minorHAnsi"/>
          <w:sz w:val="22"/>
          <w:szCs w:val="22"/>
          <w:lang w:val="lt-LT" w:eastAsia="en-US"/>
        </w:rPr>
      </w:pPr>
      <w:r>
        <w:rPr>
          <w:sz w:val="22"/>
          <w:szCs w:val="22"/>
        </w:rPr>
        <w:t>Celekoksibas gerai absorbuojamas, didžiausia koncentracija plazmoje susidaro maždaug po 2</w:t>
      </w:r>
      <w:r>
        <w:rPr>
          <w:sz w:val="22"/>
          <w:szCs w:val="22"/>
        </w:rPr>
        <w:noBreakHyphen/>
        <w:t>3 valandų. Celekoksibas, vartojamas su maistu (labai riebiu), absorbuojamas maždaug 1 valanda ilgiau,</w:t>
      </w:r>
      <w:r>
        <w:rPr>
          <w:rFonts w:eastAsia="Calibri"/>
          <w:sz w:val="22"/>
          <w:szCs w:val="22"/>
        </w:rPr>
        <w:t xml:space="preserve"> todėl T</w:t>
      </w:r>
      <w:r>
        <w:rPr>
          <w:rFonts w:eastAsia="Calibri"/>
          <w:sz w:val="22"/>
          <w:szCs w:val="22"/>
          <w:vertAlign w:val="subscript"/>
        </w:rPr>
        <w:t>max</w:t>
      </w:r>
      <w:r>
        <w:rPr>
          <w:rFonts w:eastAsia="Calibri"/>
          <w:sz w:val="22"/>
          <w:szCs w:val="22"/>
        </w:rPr>
        <w:t xml:space="preserve"> tampa maždaug 4 valandos ir biologinis prieinamumas padidėja maždaug 20%</w:t>
      </w:r>
      <w:r>
        <w:rPr>
          <w:sz w:val="22"/>
          <w:szCs w:val="22"/>
        </w:rPr>
        <w:t>.</w:t>
      </w:r>
    </w:p>
    <w:p w14:paraId="4A4DE3FB" w14:textId="77777777" w:rsidR="009A7DBF" w:rsidRDefault="009A7DBF">
      <w:pPr>
        <w:widowControl w:val="0"/>
        <w:rPr>
          <w:sz w:val="22"/>
          <w:szCs w:val="22"/>
        </w:rPr>
      </w:pPr>
    </w:p>
    <w:p w14:paraId="29300387" w14:textId="77777777" w:rsidR="009A7DBF" w:rsidRDefault="003F4922">
      <w:pPr>
        <w:widowControl w:val="0"/>
        <w:rPr>
          <w:sz w:val="22"/>
          <w:szCs w:val="22"/>
        </w:rPr>
      </w:pPr>
      <w:r>
        <w:rPr>
          <w:sz w:val="22"/>
          <w:szCs w:val="22"/>
        </w:rPr>
        <w:t xml:space="preserve">Sveikiems suaugusiems savanoriams celekoksibo bendra sisteminė ekspozicija (AUC) buvo lygiavertė, kai celekoksibas buvo vartojamas kaip sveika kapsulė arba kapsulės turinys, užbarstytas ant obuolių tyrės. Po to, kai kapsulės turinys buvo vartojamas ant obuolių tyrės, reikšmingų </w:t>
      </w:r>
      <w:proofErr w:type="spellStart"/>
      <w:r>
        <w:rPr>
          <w:color w:val="000000"/>
          <w:sz w:val="22"/>
          <w:szCs w:val="22"/>
          <w:lang w:val="lt-LT"/>
        </w:rPr>
        <w:t>C</w:t>
      </w:r>
      <w:r>
        <w:rPr>
          <w:color w:val="000000"/>
          <w:sz w:val="22"/>
          <w:szCs w:val="22"/>
          <w:vertAlign w:val="subscript"/>
          <w:lang w:val="lt-LT"/>
        </w:rPr>
        <w:t>max</w:t>
      </w:r>
      <w:proofErr w:type="spellEnd"/>
      <w:r>
        <w:rPr>
          <w:color w:val="000000"/>
          <w:sz w:val="22"/>
          <w:szCs w:val="22"/>
          <w:lang w:val="lt-LT"/>
        </w:rPr>
        <w:t xml:space="preserve">, </w:t>
      </w:r>
      <w:proofErr w:type="spellStart"/>
      <w:r>
        <w:rPr>
          <w:color w:val="000000"/>
          <w:sz w:val="22"/>
          <w:szCs w:val="22"/>
          <w:lang w:val="lt-LT"/>
        </w:rPr>
        <w:t>T</w:t>
      </w:r>
      <w:r>
        <w:rPr>
          <w:color w:val="000000"/>
          <w:sz w:val="22"/>
          <w:szCs w:val="22"/>
          <w:vertAlign w:val="subscript"/>
          <w:lang w:val="lt-LT"/>
        </w:rPr>
        <w:t>max</w:t>
      </w:r>
      <w:proofErr w:type="spellEnd"/>
      <w:r>
        <w:rPr>
          <w:color w:val="000000"/>
          <w:sz w:val="22"/>
          <w:szCs w:val="22"/>
          <w:lang w:val="lt-LT"/>
        </w:rPr>
        <w:t xml:space="preserve"> ar T</w:t>
      </w:r>
      <w:r>
        <w:rPr>
          <w:color w:val="000000"/>
          <w:sz w:val="22"/>
          <w:szCs w:val="22"/>
          <w:vertAlign w:val="subscript"/>
          <w:lang w:val="lt-LT"/>
        </w:rPr>
        <w:t>1/2</w:t>
      </w:r>
      <w:r>
        <w:rPr>
          <w:color w:val="000000"/>
          <w:sz w:val="22"/>
          <w:szCs w:val="22"/>
          <w:lang w:val="lt-LT"/>
        </w:rPr>
        <w:t xml:space="preserve"> </w:t>
      </w:r>
      <w:r>
        <w:rPr>
          <w:sz w:val="22"/>
          <w:szCs w:val="22"/>
        </w:rPr>
        <w:t>pokyčių nebuvo.</w:t>
      </w:r>
    </w:p>
    <w:p w14:paraId="320428BC" w14:textId="77777777" w:rsidR="009A7DBF" w:rsidRDefault="009A7DBF">
      <w:pPr>
        <w:widowControl w:val="0"/>
        <w:rPr>
          <w:sz w:val="22"/>
          <w:szCs w:val="22"/>
        </w:rPr>
      </w:pPr>
    </w:p>
    <w:p w14:paraId="649B9434" w14:textId="77777777" w:rsidR="009A7DBF" w:rsidRDefault="003F4922">
      <w:pPr>
        <w:widowControl w:val="0"/>
        <w:rPr>
          <w:rFonts w:eastAsiaTheme="minorHAnsi"/>
          <w:sz w:val="22"/>
          <w:szCs w:val="22"/>
          <w:u w:val="single"/>
          <w:lang w:val="lt-LT" w:eastAsia="en-US"/>
        </w:rPr>
      </w:pPr>
      <w:r>
        <w:rPr>
          <w:sz w:val="22"/>
          <w:szCs w:val="22"/>
          <w:u w:val="single"/>
        </w:rPr>
        <w:t>Pasiskirstymas</w:t>
      </w:r>
    </w:p>
    <w:p w14:paraId="3F917BE9" w14:textId="77777777" w:rsidR="009A7DBF" w:rsidRDefault="003F4922">
      <w:pPr>
        <w:widowControl w:val="0"/>
        <w:rPr>
          <w:sz w:val="22"/>
          <w:szCs w:val="22"/>
        </w:rPr>
      </w:pPr>
      <w:r>
        <w:rPr>
          <w:sz w:val="22"/>
          <w:szCs w:val="22"/>
        </w:rPr>
        <w:t>Kai plazmoje celekoksibo koncentracija būna gydomoji, apie 97% vaistinio preparato jungiasi su plazmos baltymais, preferencinio jungimosi prie eritrocitų nebūna.</w:t>
      </w:r>
    </w:p>
    <w:p w14:paraId="4B4B7E7F" w14:textId="77777777" w:rsidR="009A7DBF" w:rsidRDefault="009A7DBF">
      <w:pPr>
        <w:widowControl w:val="0"/>
        <w:rPr>
          <w:sz w:val="22"/>
          <w:szCs w:val="22"/>
        </w:rPr>
      </w:pPr>
    </w:p>
    <w:p w14:paraId="2A40BAB6" w14:textId="77777777" w:rsidR="009A7DBF" w:rsidRDefault="003F4922">
      <w:pPr>
        <w:widowControl w:val="0"/>
        <w:rPr>
          <w:rFonts w:eastAsiaTheme="minorHAnsi"/>
          <w:sz w:val="22"/>
          <w:szCs w:val="22"/>
          <w:u w:val="single"/>
          <w:lang w:val="lt-LT" w:eastAsia="en-US"/>
        </w:rPr>
      </w:pPr>
      <w:r>
        <w:rPr>
          <w:sz w:val="22"/>
          <w:szCs w:val="22"/>
          <w:u w:val="single"/>
        </w:rPr>
        <w:t>Biotransformacija</w:t>
      </w:r>
    </w:p>
    <w:p w14:paraId="1047932A" w14:textId="77777777" w:rsidR="009A7DBF" w:rsidRDefault="003F4922">
      <w:pPr>
        <w:widowControl w:val="0"/>
        <w:rPr>
          <w:rFonts w:eastAsiaTheme="minorHAnsi"/>
          <w:sz w:val="22"/>
          <w:szCs w:val="22"/>
          <w:lang w:val="lt-LT" w:eastAsia="en-US"/>
        </w:rPr>
      </w:pPr>
      <w:r>
        <w:rPr>
          <w:sz w:val="22"/>
          <w:szCs w:val="22"/>
        </w:rPr>
        <w:t xml:space="preserve">Daugiausia celekoksibo metabolizuojama veikiant citochromo P450 </w:t>
      </w:r>
      <w:r>
        <w:rPr>
          <w:color w:val="000000"/>
          <w:sz w:val="22"/>
          <w:szCs w:val="22"/>
        </w:rPr>
        <w:t xml:space="preserve">2C9 </w:t>
      </w:r>
      <w:r>
        <w:rPr>
          <w:sz w:val="22"/>
          <w:szCs w:val="22"/>
        </w:rPr>
        <w:t>izofermentams. Žmogaus plazmoje nustatyti trys metabolitai (kurie neslopina COX-1 ar COX-2), t. y. pirminis alkoholis, atitinkama karboksilo rūgštis ir jos konjugatas su gliukuronidu.</w:t>
      </w:r>
    </w:p>
    <w:p w14:paraId="24E56AD5" w14:textId="77777777" w:rsidR="009A7DBF" w:rsidRDefault="009A7DBF">
      <w:pPr>
        <w:widowControl w:val="0"/>
        <w:rPr>
          <w:sz w:val="22"/>
          <w:szCs w:val="22"/>
        </w:rPr>
      </w:pPr>
    </w:p>
    <w:p w14:paraId="1040262E" w14:textId="77777777" w:rsidR="009A7DBF" w:rsidRDefault="003F4922">
      <w:pPr>
        <w:widowControl w:val="0"/>
        <w:rPr>
          <w:rFonts w:eastAsiaTheme="minorHAnsi"/>
          <w:sz w:val="22"/>
          <w:szCs w:val="22"/>
          <w:lang w:val="lt-LT" w:eastAsia="en-US"/>
        </w:rPr>
      </w:pPr>
      <w:r>
        <w:rPr>
          <w:sz w:val="22"/>
          <w:szCs w:val="22"/>
        </w:rPr>
        <w:t>Dėl genetinio citochromo P450 2C9 polimorfizmo kai kurių žmonių, pvz., kuriems būdingas homozigotinis CYP2C9*3 polimorfizmas, organizme šių fermentų aktyvumas būna mažesnis.</w:t>
      </w:r>
    </w:p>
    <w:p w14:paraId="08055A0D" w14:textId="77777777" w:rsidR="009A7DBF" w:rsidRDefault="009A7DBF">
      <w:pPr>
        <w:widowControl w:val="0"/>
        <w:rPr>
          <w:sz w:val="22"/>
          <w:szCs w:val="22"/>
        </w:rPr>
      </w:pPr>
    </w:p>
    <w:p w14:paraId="505C660F" w14:textId="77777777" w:rsidR="009A7DBF" w:rsidRDefault="003F4922">
      <w:pPr>
        <w:widowControl w:val="0"/>
        <w:rPr>
          <w:rFonts w:eastAsiaTheme="minorHAnsi"/>
          <w:sz w:val="22"/>
          <w:szCs w:val="22"/>
          <w:lang w:val="lt-LT" w:eastAsia="en-US"/>
        </w:rPr>
      </w:pPr>
      <w:r>
        <w:rPr>
          <w:sz w:val="22"/>
          <w:szCs w:val="22"/>
        </w:rPr>
        <w:t>Farmakokinetikos tyrimo, kurio metu sveiki savanoriai, kuriems nustatytas CYP2C9*1/*1, CYP2C9*1/*3 ar CYP2C9*3/*3 genotipas, vieną kartą per parą vartojo 200 mg celekoksibo dozę, duomenimis 7-tą parą CYP2C9*3/*3 genotipą turinčių asmenų organizme celekoksibo vidutiniai C</w:t>
      </w:r>
      <w:r>
        <w:rPr>
          <w:sz w:val="22"/>
          <w:szCs w:val="22"/>
          <w:vertAlign w:val="subscript"/>
        </w:rPr>
        <w:t>max</w:t>
      </w:r>
      <w:r>
        <w:rPr>
          <w:sz w:val="22"/>
          <w:szCs w:val="22"/>
        </w:rPr>
        <w:t xml:space="preserve"> ir AUC</w:t>
      </w:r>
      <w:r>
        <w:rPr>
          <w:caps/>
          <w:sz w:val="22"/>
          <w:szCs w:val="22"/>
          <w:vertAlign w:val="subscript"/>
        </w:rPr>
        <w:t>0-24</w:t>
      </w:r>
      <w:r>
        <w:rPr>
          <w:sz w:val="22"/>
          <w:szCs w:val="22"/>
        </w:rPr>
        <w:t xml:space="preserve"> buvo atitinkamai 4 ir 7 kartus didesni, palyginti su kitų genotipų pacientų rodmenimis. </w:t>
      </w:r>
      <w:r>
        <w:rPr>
          <w:sz w:val="22"/>
          <w:szCs w:val="22"/>
        </w:rPr>
        <w:lastRenderedPageBreak/>
        <w:t>Trijų atskirų vienkartinės dozės tyrimų, kuriuose dalyvavo iš viso 5 CYP2C9*3/*3 genotipą turintys pacientai, metu vienkartinės dozės AUC</w:t>
      </w:r>
      <w:r>
        <w:rPr>
          <w:caps/>
          <w:sz w:val="22"/>
          <w:szCs w:val="22"/>
          <w:vertAlign w:val="subscript"/>
        </w:rPr>
        <w:t>0-24</w:t>
      </w:r>
      <w:r>
        <w:rPr>
          <w:sz w:val="22"/>
          <w:szCs w:val="22"/>
        </w:rPr>
        <w:t xml:space="preserve"> padidėjo maždaug 3 kartus, palyginti su žmonių, kurių organizme metabolizmas normalus, rodmeniu. Nustatyta, kad skirtingose etninėse grupėse homozigotinio *3/*3 genotipo dažnis yra 0,3</w:t>
      </w:r>
      <w:r>
        <w:rPr>
          <w:sz w:val="22"/>
          <w:szCs w:val="22"/>
        </w:rPr>
        <w:noBreakHyphen/>
        <w:t>1,0%.</w:t>
      </w:r>
    </w:p>
    <w:p w14:paraId="03C43647" w14:textId="77777777" w:rsidR="009A7DBF" w:rsidRDefault="009A7DBF">
      <w:pPr>
        <w:widowControl w:val="0"/>
        <w:rPr>
          <w:sz w:val="22"/>
          <w:szCs w:val="22"/>
        </w:rPr>
      </w:pPr>
    </w:p>
    <w:p w14:paraId="1962F9B1" w14:textId="77777777" w:rsidR="009A7DBF" w:rsidRDefault="003F4922">
      <w:pPr>
        <w:widowControl w:val="0"/>
        <w:rPr>
          <w:rFonts w:eastAsiaTheme="minorHAnsi"/>
          <w:sz w:val="22"/>
          <w:szCs w:val="22"/>
          <w:lang w:val="lt-LT" w:eastAsia="en-US"/>
        </w:rPr>
      </w:pPr>
      <w:r>
        <w:rPr>
          <w:sz w:val="22"/>
          <w:szCs w:val="22"/>
        </w:rPr>
        <w:t xml:space="preserve">Jeigu, remiantis ankstesnio kitų </w:t>
      </w:r>
      <w:r>
        <w:rPr>
          <w:color w:val="000000"/>
          <w:sz w:val="22"/>
          <w:szCs w:val="22"/>
        </w:rPr>
        <w:t>CYP2C9 substratų vartojimo duomenimis ar patirtimi, yra nustatyta</w:t>
      </w:r>
      <w:r>
        <w:rPr>
          <w:sz w:val="22"/>
          <w:szCs w:val="22"/>
        </w:rPr>
        <w:t xml:space="preserve"> arba įtariama, kad CYP2C9 veikiamas metabolizmas paciento organizme yra silpnas,</w:t>
      </w:r>
      <w:r>
        <w:rPr>
          <w:color w:val="000000"/>
          <w:sz w:val="22"/>
          <w:szCs w:val="22"/>
        </w:rPr>
        <w:t xml:space="preserve"> celekoksibo reikia vartoti atsargiai</w:t>
      </w:r>
      <w:r>
        <w:rPr>
          <w:sz w:val="22"/>
          <w:szCs w:val="22"/>
        </w:rPr>
        <w:t xml:space="preserve"> (žr. 4.2 skyrių).</w:t>
      </w:r>
    </w:p>
    <w:p w14:paraId="0511C21D" w14:textId="77777777" w:rsidR="009A7DBF" w:rsidRDefault="009A7DBF">
      <w:pPr>
        <w:rPr>
          <w:rFonts w:eastAsia="Calibri"/>
          <w:sz w:val="22"/>
          <w:szCs w:val="22"/>
        </w:rPr>
      </w:pPr>
    </w:p>
    <w:p w14:paraId="1550789A" w14:textId="77777777" w:rsidR="009A7DBF" w:rsidRDefault="003F4922">
      <w:pPr>
        <w:rPr>
          <w:rFonts w:eastAsia="Calibri"/>
          <w:sz w:val="22"/>
          <w:szCs w:val="22"/>
        </w:rPr>
      </w:pPr>
      <w:r>
        <w:rPr>
          <w:rFonts w:eastAsia="Calibri"/>
          <w:sz w:val="22"/>
          <w:szCs w:val="22"/>
        </w:rPr>
        <w:t>Kliniškai reikšmingų celekoksibo farmakokinetikos savybių skirtumų afroamerikiečių ir baltaodžių organizme nenustatyta.</w:t>
      </w:r>
    </w:p>
    <w:p w14:paraId="4B2F69E9" w14:textId="77777777" w:rsidR="009A7DBF" w:rsidRDefault="009A7DBF">
      <w:pPr>
        <w:rPr>
          <w:rFonts w:eastAsia="Calibri"/>
          <w:sz w:val="22"/>
          <w:szCs w:val="22"/>
        </w:rPr>
      </w:pPr>
    </w:p>
    <w:p w14:paraId="74FEF1CC" w14:textId="77777777" w:rsidR="009A7DBF" w:rsidRDefault="003F4922">
      <w:pPr>
        <w:rPr>
          <w:rFonts w:eastAsia="Calibri"/>
          <w:sz w:val="22"/>
          <w:szCs w:val="22"/>
          <w:lang w:val="lt-LT" w:eastAsia="en-US"/>
        </w:rPr>
      </w:pPr>
      <w:r>
        <w:rPr>
          <w:rFonts w:eastAsia="Calibri"/>
          <w:sz w:val="22"/>
          <w:szCs w:val="22"/>
        </w:rPr>
        <w:t>Senyvų (&gt;65 metų) moterų kraujo plazmoje celekoksibo koncentracija būna maždaug 100% didesnė.</w:t>
      </w:r>
    </w:p>
    <w:p w14:paraId="738F1D5C" w14:textId="77777777" w:rsidR="009A7DBF" w:rsidRDefault="009A7DBF">
      <w:pPr>
        <w:widowControl w:val="0"/>
        <w:rPr>
          <w:sz w:val="22"/>
          <w:szCs w:val="22"/>
        </w:rPr>
      </w:pPr>
    </w:p>
    <w:p w14:paraId="5466552C" w14:textId="77777777" w:rsidR="009A7DBF" w:rsidRDefault="003F4922">
      <w:pPr>
        <w:widowControl w:val="0"/>
        <w:rPr>
          <w:rFonts w:eastAsiaTheme="minorHAnsi"/>
          <w:sz w:val="22"/>
          <w:szCs w:val="22"/>
          <w:u w:val="single"/>
          <w:lang w:val="lt-LT" w:eastAsia="en-US"/>
        </w:rPr>
      </w:pPr>
      <w:r>
        <w:rPr>
          <w:sz w:val="22"/>
          <w:szCs w:val="22"/>
          <w:u w:val="single"/>
        </w:rPr>
        <w:t>Eliminacija</w:t>
      </w:r>
    </w:p>
    <w:p w14:paraId="74DE5179" w14:textId="77777777" w:rsidR="009A7DBF" w:rsidRDefault="003F4922">
      <w:pPr>
        <w:rPr>
          <w:rFonts w:eastAsia="Calibri"/>
          <w:sz w:val="22"/>
          <w:szCs w:val="22"/>
          <w:lang w:val="lt-LT" w:eastAsia="en-US"/>
        </w:rPr>
      </w:pPr>
      <w:r>
        <w:rPr>
          <w:sz w:val="22"/>
          <w:szCs w:val="22"/>
        </w:rPr>
        <w:t>Celekoksibas daugiausia eliminuojamas vykstant metabolizmui. Mažiau kaip 1% dozės nepakitusio vaistinio preparato forma išsiskiria su šlapimu.</w:t>
      </w:r>
      <w:r>
        <w:rPr>
          <w:rFonts w:eastAsia="Calibri"/>
          <w:sz w:val="22"/>
          <w:szCs w:val="22"/>
        </w:rPr>
        <w:t xml:space="preserve"> Įvairių žmonių organizme celekoksibo ekspozicija gali skirtis apie 10 kartų. Gydomųjų celekoksibo dozių farmakokinetika nuo dozės ir laiko nepriklauso.</w:t>
      </w:r>
    </w:p>
    <w:p w14:paraId="0FE87CA8" w14:textId="77777777" w:rsidR="009A7DBF" w:rsidRDefault="003F4922">
      <w:pPr>
        <w:rPr>
          <w:rFonts w:eastAsia="Calibri"/>
          <w:sz w:val="22"/>
          <w:szCs w:val="22"/>
        </w:rPr>
      </w:pPr>
      <w:r>
        <w:rPr>
          <w:rFonts w:eastAsia="Calibri"/>
          <w:sz w:val="22"/>
          <w:szCs w:val="22"/>
        </w:rPr>
        <w:t>Pusinės eliminacijos laikas yra 8</w:t>
      </w:r>
      <w:r>
        <w:rPr>
          <w:rFonts w:eastAsia="Calibri"/>
          <w:sz w:val="22"/>
          <w:szCs w:val="22"/>
        </w:rPr>
        <w:noBreakHyphen/>
        <w:t>12 valandų. Pusiausvyrinė apykaita kraujo plazmoje nusistovi per 5 gydymo dienas.</w:t>
      </w:r>
    </w:p>
    <w:p w14:paraId="6502E982" w14:textId="77777777" w:rsidR="009A7DBF" w:rsidRDefault="009A7DBF">
      <w:pPr>
        <w:widowControl w:val="0"/>
        <w:rPr>
          <w:sz w:val="22"/>
          <w:szCs w:val="22"/>
        </w:rPr>
      </w:pPr>
    </w:p>
    <w:p w14:paraId="3BC50E12" w14:textId="77777777" w:rsidR="009A7DBF" w:rsidRDefault="003F4922">
      <w:pPr>
        <w:widowControl w:val="0"/>
        <w:rPr>
          <w:rFonts w:eastAsiaTheme="minorHAnsi"/>
          <w:sz w:val="22"/>
          <w:szCs w:val="22"/>
          <w:u w:val="single"/>
          <w:lang w:val="lt-LT" w:eastAsia="en-US"/>
        </w:rPr>
      </w:pPr>
      <w:r>
        <w:rPr>
          <w:sz w:val="22"/>
          <w:szCs w:val="22"/>
          <w:u w:val="single"/>
        </w:rPr>
        <w:t>Sutrikusi inkstų funkcija</w:t>
      </w:r>
    </w:p>
    <w:p w14:paraId="11B9AD52" w14:textId="77777777" w:rsidR="009A7DBF" w:rsidRDefault="003F4922">
      <w:pPr>
        <w:widowControl w:val="0"/>
        <w:rPr>
          <w:rFonts w:eastAsiaTheme="minorHAnsi"/>
          <w:sz w:val="22"/>
          <w:szCs w:val="22"/>
          <w:lang w:val="lt-LT" w:eastAsia="en-US"/>
        </w:rPr>
      </w:pPr>
      <w:r>
        <w:rPr>
          <w:sz w:val="22"/>
          <w:szCs w:val="22"/>
        </w:rPr>
        <w:t>Pacientų, kurių inkstų funkcija sutrikusi, gydymo celekoksibu patirties yra nedaug. Celekoksibo farmakokinetika organizme ligonių, kuriems yra inkstų funkcijos sutrikimas, netirta, bet nėra tikėtina, kad ji labai pakinta. Pacientus, kurių inkstų funkcija sutrikusi, šiuo vaistiniu preparatu rekomenduojama gydyti atsargiai. Pacientams, sergantiems sunkiu inkstų funkcijos sutrikimu, celekoksibo vartoti draudžiama.</w:t>
      </w:r>
    </w:p>
    <w:p w14:paraId="1B3AE208" w14:textId="77777777" w:rsidR="009A7DBF" w:rsidRDefault="009A7DBF">
      <w:pPr>
        <w:widowControl w:val="0"/>
        <w:rPr>
          <w:sz w:val="22"/>
          <w:szCs w:val="22"/>
        </w:rPr>
      </w:pPr>
    </w:p>
    <w:p w14:paraId="3CFE0C12" w14:textId="77777777" w:rsidR="009A7DBF" w:rsidRDefault="003F4922">
      <w:pPr>
        <w:widowControl w:val="0"/>
        <w:rPr>
          <w:rFonts w:eastAsiaTheme="minorHAnsi"/>
          <w:sz w:val="22"/>
          <w:szCs w:val="22"/>
          <w:u w:val="single"/>
          <w:lang w:val="lt-LT" w:eastAsia="en-US"/>
        </w:rPr>
      </w:pPr>
      <w:r>
        <w:rPr>
          <w:sz w:val="22"/>
          <w:szCs w:val="22"/>
          <w:u w:val="single"/>
        </w:rPr>
        <w:t>Sutrikusi kepenų funkcija</w:t>
      </w:r>
    </w:p>
    <w:p w14:paraId="7921ED18" w14:textId="77777777" w:rsidR="009A7DBF" w:rsidRDefault="003F4922">
      <w:pPr>
        <w:widowControl w:val="0"/>
        <w:rPr>
          <w:rFonts w:eastAsiaTheme="minorHAnsi"/>
          <w:sz w:val="22"/>
          <w:szCs w:val="22"/>
          <w:lang w:val="lt-LT" w:eastAsia="en-US"/>
        </w:rPr>
      </w:pPr>
      <w:r>
        <w:rPr>
          <w:sz w:val="22"/>
          <w:szCs w:val="22"/>
        </w:rPr>
        <w:t>Pacientų, kuriems yra lengvas kepenų funkcijos sutrikimas, celekoksibo C</w:t>
      </w:r>
      <w:r>
        <w:rPr>
          <w:sz w:val="22"/>
          <w:szCs w:val="22"/>
          <w:vertAlign w:val="subscript"/>
        </w:rPr>
        <w:t>max</w:t>
      </w:r>
      <w:r>
        <w:rPr>
          <w:sz w:val="22"/>
          <w:szCs w:val="22"/>
        </w:rPr>
        <w:t xml:space="preserve"> būna vidutiniškai 53%, o AUC - 26% didesni, palyginti su atitinkamais rodmenimis pacientų, kurių kepenų funkcija normali. Atitinkami rodmenys pacientų, kuriems yra vidutinio sunkumo kepenų funkcijos sutrikimas, buvo 41% ir 146%. Metabolizmo pajėgumas pacientų, sergančių lengvu ir vidutinio sunkumo kepenų sutrikimu, organizme koreliuoja su albumino koncentracija. Pacientus, kurie serga vidutinio sunkumo kepenų sutrikimu (albumino koncentracija serume 25</w:t>
      </w:r>
      <w:r>
        <w:rPr>
          <w:sz w:val="22"/>
          <w:szCs w:val="22"/>
        </w:rPr>
        <w:noBreakHyphen/>
        <w:t>35 g/l), reikia pradėti gydyti puse rekomenduojamos dozės. Tyrimų su pacientais, kuriems yra sunkus kepenų funkcijos sutrikimas (albumino koncentracija serume &lt;25 g/l), neatlikta, todėl jiems celekoksibo vartoti draudžiama.</w:t>
      </w:r>
    </w:p>
    <w:p w14:paraId="2591BAC4" w14:textId="77777777" w:rsidR="009A7DBF" w:rsidRDefault="009A7DBF">
      <w:pPr>
        <w:widowControl w:val="0"/>
        <w:rPr>
          <w:sz w:val="22"/>
          <w:szCs w:val="22"/>
        </w:rPr>
      </w:pPr>
    </w:p>
    <w:p w14:paraId="62B6AD38" w14:textId="77777777" w:rsidR="009A7DBF" w:rsidRDefault="003F4922">
      <w:pPr>
        <w:widowControl w:val="0"/>
        <w:ind w:left="567" w:hanging="567"/>
        <w:rPr>
          <w:rFonts w:eastAsiaTheme="minorHAnsi"/>
          <w:b/>
          <w:sz w:val="22"/>
          <w:szCs w:val="22"/>
          <w:lang w:val="lt-LT" w:eastAsia="en-US"/>
        </w:rPr>
      </w:pPr>
      <w:r>
        <w:rPr>
          <w:b/>
          <w:sz w:val="22"/>
          <w:szCs w:val="22"/>
        </w:rPr>
        <w:t>5.3</w:t>
      </w:r>
      <w:r>
        <w:rPr>
          <w:b/>
          <w:sz w:val="22"/>
          <w:szCs w:val="22"/>
        </w:rPr>
        <w:tab/>
        <w:t>Ikiklinikinių saugumo tyrimų duomenys</w:t>
      </w:r>
    </w:p>
    <w:p w14:paraId="15202A24" w14:textId="77777777" w:rsidR="009A7DBF" w:rsidRDefault="009A7DBF">
      <w:pPr>
        <w:widowControl w:val="0"/>
        <w:ind w:left="567" w:hanging="567"/>
        <w:rPr>
          <w:sz w:val="22"/>
          <w:szCs w:val="22"/>
        </w:rPr>
      </w:pPr>
    </w:p>
    <w:p w14:paraId="0DFD7708" w14:textId="77777777" w:rsidR="009A7DBF" w:rsidRDefault="003F4922">
      <w:pPr>
        <w:rPr>
          <w:color w:val="000000"/>
          <w:sz w:val="22"/>
          <w:szCs w:val="22"/>
          <w:lang w:eastAsia="cs-CZ"/>
        </w:rPr>
      </w:pPr>
      <w:r>
        <w:rPr>
          <w:color w:val="000000"/>
          <w:sz w:val="22"/>
          <w:szCs w:val="22"/>
          <w:lang w:eastAsia="cs-CZ"/>
        </w:rPr>
        <w:t>Įprastų kartotinių dozių toksiškumo, genotoksiškumo ir kancerogeniškumo ikiklinikinių</w:t>
      </w:r>
      <w:r>
        <w:rPr>
          <w:rFonts w:eastAsia="Calibri"/>
          <w:color w:val="000000"/>
          <w:sz w:val="22"/>
          <w:szCs w:val="22"/>
        </w:rPr>
        <w:t xml:space="preserve"> tyrimų </w:t>
      </w:r>
      <w:r>
        <w:rPr>
          <w:color w:val="000000"/>
          <w:sz w:val="22"/>
          <w:szCs w:val="22"/>
          <w:lang w:eastAsia="cs-CZ"/>
        </w:rPr>
        <w:t>duomenys specifinio pavojaus</w:t>
      </w:r>
      <w:r>
        <w:rPr>
          <w:rFonts w:eastAsia="Calibri"/>
          <w:color w:val="000000"/>
          <w:sz w:val="22"/>
          <w:szCs w:val="22"/>
        </w:rPr>
        <w:t xml:space="preserve"> žmogui, išskyrus aprašytą kituose vaistinio preparato charakteristikų santraukos skyriuose, </w:t>
      </w:r>
      <w:r>
        <w:rPr>
          <w:color w:val="000000"/>
          <w:sz w:val="22"/>
          <w:szCs w:val="22"/>
          <w:lang w:eastAsia="cs-CZ"/>
        </w:rPr>
        <w:t>nerodo.</w:t>
      </w:r>
    </w:p>
    <w:p w14:paraId="4FCC1A1D" w14:textId="77777777" w:rsidR="009A7DBF" w:rsidRDefault="009A7DBF">
      <w:pPr>
        <w:rPr>
          <w:rFonts w:eastAsia="Calibri"/>
          <w:sz w:val="22"/>
          <w:szCs w:val="22"/>
        </w:rPr>
      </w:pPr>
    </w:p>
    <w:p w14:paraId="6412AAD1" w14:textId="77777777" w:rsidR="009A7DBF" w:rsidRDefault="003F4922">
      <w:pPr>
        <w:rPr>
          <w:color w:val="000000"/>
          <w:sz w:val="22"/>
          <w:szCs w:val="22"/>
        </w:rPr>
      </w:pPr>
      <w:r>
        <w:rPr>
          <w:color w:val="000000"/>
          <w:sz w:val="22"/>
          <w:szCs w:val="22"/>
          <w:lang w:eastAsia="cs-CZ"/>
        </w:rPr>
        <w:t xml:space="preserve">Organogenezės laikotarpiu triušių patelėms girdytos celekoksibo </w:t>
      </w:r>
      <w:r>
        <w:rPr>
          <w:rFonts w:eastAsia="MS Mincho"/>
          <w:sz w:val="22"/>
          <w:szCs w:val="22"/>
          <w:lang w:eastAsia="fr-FR"/>
        </w:rPr>
        <w:sym w:font="Symbol" w:char="F0B3"/>
      </w:r>
      <w:r>
        <w:rPr>
          <w:color w:val="000000"/>
          <w:sz w:val="22"/>
          <w:szCs w:val="22"/>
          <w:lang w:eastAsia="cs-CZ"/>
        </w:rPr>
        <w:t xml:space="preserve">150 mg/kg kūno svorio paros dozės (jų vartojant </w:t>
      </w:r>
      <w:r>
        <w:rPr>
          <w:color w:val="000000"/>
          <w:sz w:val="22"/>
          <w:szCs w:val="22"/>
        </w:rPr>
        <w:t xml:space="preserve">ekspozicija, </w:t>
      </w:r>
      <w:r>
        <w:rPr>
          <w:color w:val="000000"/>
          <w:sz w:val="22"/>
          <w:szCs w:val="22"/>
          <w:lang w:eastAsia="cs-CZ"/>
        </w:rPr>
        <w:t>vertinant AUC</w:t>
      </w:r>
      <w:r>
        <w:rPr>
          <w:color w:val="000000"/>
          <w:sz w:val="22"/>
          <w:szCs w:val="22"/>
          <w:vertAlign w:val="subscript"/>
          <w:lang w:eastAsia="cs-CZ"/>
        </w:rPr>
        <w:t>0-24</w:t>
      </w:r>
      <w:r>
        <w:rPr>
          <w:color w:val="000000"/>
          <w:sz w:val="22"/>
          <w:szCs w:val="22"/>
          <w:lang w:eastAsia="cs-CZ"/>
        </w:rPr>
        <w:t xml:space="preserve">, buvo </w:t>
      </w:r>
      <w:r>
        <w:rPr>
          <w:color w:val="000000"/>
          <w:sz w:val="22"/>
          <w:szCs w:val="22"/>
        </w:rPr>
        <w:t xml:space="preserve">maždaug </w:t>
      </w:r>
      <w:r>
        <w:rPr>
          <w:color w:val="000000"/>
          <w:sz w:val="22"/>
          <w:szCs w:val="22"/>
          <w:lang w:eastAsia="cs-CZ"/>
        </w:rPr>
        <w:t>2 </w:t>
      </w:r>
      <w:r>
        <w:rPr>
          <w:color w:val="000000"/>
          <w:sz w:val="22"/>
          <w:szCs w:val="22"/>
        </w:rPr>
        <w:t xml:space="preserve">kartus didesnė, nei būna </w:t>
      </w:r>
      <w:r>
        <w:rPr>
          <w:color w:val="000000"/>
          <w:sz w:val="22"/>
          <w:szCs w:val="22"/>
          <w:lang w:eastAsia="cs-CZ"/>
        </w:rPr>
        <w:t xml:space="preserve">žmonėms du kartus per parą </w:t>
      </w:r>
      <w:r>
        <w:rPr>
          <w:color w:val="000000"/>
          <w:sz w:val="22"/>
          <w:szCs w:val="22"/>
        </w:rPr>
        <w:t xml:space="preserve">vartojant </w:t>
      </w:r>
      <w:r>
        <w:rPr>
          <w:color w:val="000000"/>
          <w:sz w:val="22"/>
          <w:szCs w:val="22"/>
          <w:lang w:eastAsia="cs-CZ"/>
        </w:rPr>
        <w:t>200 mg</w:t>
      </w:r>
      <w:r>
        <w:rPr>
          <w:color w:val="000000"/>
          <w:sz w:val="22"/>
          <w:szCs w:val="22"/>
        </w:rPr>
        <w:t xml:space="preserve"> dozę</w:t>
      </w:r>
      <w:r>
        <w:rPr>
          <w:color w:val="000000"/>
          <w:sz w:val="22"/>
          <w:szCs w:val="22"/>
          <w:lang w:eastAsia="cs-CZ"/>
        </w:rPr>
        <w:t>)</w:t>
      </w:r>
      <w:r>
        <w:rPr>
          <w:color w:val="000000"/>
          <w:sz w:val="22"/>
          <w:szCs w:val="22"/>
        </w:rPr>
        <w:t xml:space="preserve"> sukėlė </w:t>
      </w:r>
      <w:r>
        <w:rPr>
          <w:color w:val="000000"/>
          <w:sz w:val="22"/>
          <w:szCs w:val="22"/>
          <w:lang w:eastAsia="cs-CZ"/>
        </w:rPr>
        <w:t>skilvelių pertvaros</w:t>
      </w:r>
      <w:r>
        <w:rPr>
          <w:color w:val="000000"/>
          <w:sz w:val="22"/>
          <w:szCs w:val="22"/>
        </w:rPr>
        <w:t xml:space="preserve"> defektų </w:t>
      </w:r>
      <w:r>
        <w:rPr>
          <w:color w:val="000000"/>
          <w:sz w:val="22"/>
          <w:szCs w:val="22"/>
          <w:lang w:eastAsia="cs-CZ"/>
        </w:rPr>
        <w:t>padažnėjimą (retai) ir vaisiaus defektų, tokių kaip šonkaulių suaugimas, krūtinkaulio dalių (</w:t>
      </w:r>
      <w:r>
        <w:rPr>
          <w:i/>
          <w:color w:val="000000"/>
          <w:sz w:val="22"/>
          <w:szCs w:val="22"/>
          <w:lang w:eastAsia="cs-CZ"/>
        </w:rPr>
        <w:t>sternebrae</w:t>
      </w:r>
      <w:r>
        <w:rPr>
          <w:color w:val="000000"/>
          <w:sz w:val="22"/>
          <w:szCs w:val="22"/>
          <w:lang w:eastAsia="cs-CZ"/>
        </w:rPr>
        <w:t>) suaugimas bei krūtinkaulio deformacija. Žiurkių patelėms</w:t>
      </w:r>
      <w:r>
        <w:rPr>
          <w:color w:val="000000"/>
          <w:sz w:val="22"/>
          <w:szCs w:val="22"/>
        </w:rPr>
        <w:t xml:space="preserve"> organogenezės laikotarpiu</w:t>
      </w:r>
      <w:r>
        <w:rPr>
          <w:color w:val="000000"/>
          <w:sz w:val="22"/>
          <w:szCs w:val="22"/>
          <w:lang w:eastAsia="cs-CZ"/>
        </w:rPr>
        <w:t xml:space="preserve"> girdytos celekoksibo </w:t>
      </w:r>
      <w:r>
        <w:rPr>
          <w:rFonts w:eastAsia="MS Mincho"/>
          <w:sz w:val="22"/>
          <w:szCs w:val="22"/>
          <w:lang w:eastAsia="fr-FR"/>
        </w:rPr>
        <w:sym w:font="Symbol" w:char="F0B3"/>
      </w:r>
      <w:r>
        <w:rPr>
          <w:color w:val="000000"/>
          <w:sz w:val="22"/>
          <w:szCs w:val="22"/>
          <w:lang w:eastAsia="cs-CZ"/>
        </w:rPr>
        <w:t>30 mg/kg kūno svorio paros dozės (jų vartojant</w:t>
      </w:r>
      <w:r>
        <w:rPr>
          <w:color w:val="000000"/>
          <w:sz w:val="22"/>
          <w:szCs w:val="22"/>
        </w:rPr>
        <w:t xml:space="preserve"> ekspozicija, </w:t>
      </w:r>
      <w:r>
        <w:rPr>
          <w:color w:val="000000"/>
          <w:sz w:val="22"/>
          <w:szCs w:val="22"/>
          <w:lang w:eastAsia="cs-CZ"/>
        </w:rPr>
        <w:t>vertinant AUC</w:t>
      </w:r>
      <w:r>
        <w:rPr>
          <w:color w:val="000000"/>
          <w:sz w:val="22"/>
          <w:szCs w:val="22"/>
          <w:vertAlign w:val="subscript"/>
          <w:lang w:eastAsia="cs-CZ"/>
        </w:rPr>
        <w:t>0-24</w:t>
      </w:r>
      <w:r>
        <w:rPr>
          <w:color w:val="000000"/>
          <w:sz w:val="22"/>
          <w:szCs w:val="22"/>
          <w:lang w:eastAsia="cs-CZ"/>
        </w:rPr>
        <w:t>, buvo maždaug 6 </w:t>
      </w:r>
      <w:r>
        <w:rPr>
          <w:color w:val="000000"/>
          <w:sz w:val="22"/>
          <w:szCs w:val="22"/>
        </w:rPr>
        <w:t xml:space="preserve">kartus didesnė, nei būna </w:t>
      </w:r>
      <w:r>
        <w:rPr>
          <w:color w:val="000000"/>
          <w:sz w:val="22"/>
          <w:szCs w:val="22"/>
          <w:lang w:eastAsia="cs-CZ"/>
        </w:rPr>
        <w:t>žmonėms du kartus per parą vartojant 200 mg dozę) sukėlė nuo dozės priklausomą diafragmos išvaržos atsiradimo padažnėjimą. Toks poveikis yra tikėtinas po prostaglandinų sintezės slopinimo. Žiurkėms celekoksibo ekspozicija ankstyvojo embriono vystymosi laikotarpiu sukėlė embriono žūtį prieš implantaciją ir po jos bei sumažino embriono ir vaisiaus išgyvenamumą</w:t>
      </w:r>
      <w:r>
        <w:rPr>
          <w:color w:val="000000"/>
          <w:sz w:val="22"/>
          <w:szCs w:val="22"/>
        </w:rPr>
        <w:t>.</w:t>
      </w:r>
    </w:p>
    <w:p w14:paraId="3B2FFD6D" w14:textId="77777777" w:rsidR="009A7DBF" w:rsidRDefault="009A7DBF">
      <w:pPr>
        <w:rPr>
          <w:rFonts w:eastAsia="Calibri"/>
          <w:sz w:val="22"/>
          <w:szCs w:val="22"/>
        </w:rPr>
      </w:pPr>
    </w:p>
    <w:p w14:paraId="3B1A0ED9" w14:textId="77777777" w:rsidR="009A7DBF" w:rsidRDefault="003F4922">
      <w:pPr>
        <w:rPr>
          <w:rFonts w:eastAsia="Calibri"/>
          <w:sz w:val="22"/>
          <w:szCs w:val="22"/>
          <w:lang w:val="lt-LT" w:eastAsia="en-US"/>
        </w:rPr>
      </w:pPr>
      <w:r>
        <w:rPr>
          <w:rFonts w:eastAsia="Calibri"/>
          <w:sz w:val="22"/>
          <w:szCs w:val="22"/>
        </w:rPr>
        <w:lastRenderedPageBreak/>
        <w:t>Celekoksibo patenka į žiurkės pieną. Tiriant žiurkes perinataliniu ir postnataliniu laikotarpiais, nustatyta, kad vaistinis preparatas sukelia toksinį poveikį jaunikliams.</w:t>
      </w:r>
    </w:p>
    <w:p w14:paraId="71B862E9" w14:textId="77777777" w:rsidR="009A7DBF" w:rsidRDefault="009A7DBF">
      <w:pPr>
        <w:rPr>
          <w:rFonts w:eastAsia="Calibri"/>
          <w:sz w:val="22"/>
          <w:szCs w:val="22"/>
        </w:rPr>
      </w:pPr>
    </w:p>
    <w:p w14:paraId="49B77ACE" w14:textId="77777777" w:rsidR="009A7DBF" w:rsidRDefault="003F4922">
      <w:pPr>
        <w:rPr>
          <w:rFonts w:eastAsia="Calibri"/>
          <w:sz w:val="22"/>
          <w:szCs w:val="22"/>
        </w:rPr>
      </w:pPr>
      <w:r>
        <w:rPr>
          <w:rFonts w:eastAsia="Calibri"/>
          <w:sz w:val="22"/>
          <w:szCs w:val="22"/>
        </w:rPr>
        <w:t>Dvejus metus trukusių vaistinio preparato toksinio poveikio tyrimų duomenimis, žiurkių patinams, vartojusiems dideles vaistinio preparato dozes, padažnėjo ne antinksčių trombozės atvejų.</w:t>
      </w:r>
    </w:p>
    <w:p w14:paraId="1EEF1BE9" w14:textId="77777777" w:rsidR="009A7DBF" w:rsidRDefault="009A7DBF">
      <w:pPr>
        <w:widowControl w:val="0"/>
        <w:rPr>
          <w:sz w:val="22"/>
          <w:szCs w:val="22"/>
        </w:rPr>
      </w:pPr>
    </w:p>
    <w:p w14:paraId="560E82C6" w14:textId="77777777" w:rsidR="009A7DBF" w:rsidRDefault="009A7DBF">
      <w:pPr>
        <w:widowControl w:val="0"/>
        <w:ind w:left="567" w:hanging="567"/>
        <w:rPr>
          <w:sz w:val="22"/>
          <w:szCs w:val="22"/>
        </w:rPr>
      </w:pPr>
    </w:p>
    <w:p w14:paraId="05BBCA90" w14:textId="77777777" w:rsidR="009A7DBF" w:rsidRDefault="003F4922">
      <w:pPr>
        <w:widowControl w:val="0"/>
        <w:ind w:left="567" w:hanging="567"/>
        <w:outlineLvl w:val="0"/>
        <w:rPr>
          <w:rFonts w:eastAsiaTheme="minorHAnsi"/>
          <w:b/>
          <w:caps/>
          <w:sz w:val="22"/>
          <w:szCs w:val="22"/>
          <w:lang w:val="lt-LT" w:eastAsia="en-US"/>
        </w:rPr>
      </w:pPr>
      <w:r>
        <w:rPr>
          <w:b/>
          <w:caps/>
          <w:sz w:val="22"/>
          <w:szCs w:val="22"/>
        </w:rPr>
        <w:t>6.</w:t>
      </w:r>
      <w:r>
        <w:rPr>
          <w:b/>
          <w:caps/>
          <w:sz w:val="22"/>
          <w:szCs w:val="22"/>
        </w:rPr>
        <w:tab/>
        <w:t>farmacinė informacija</w:t>
      </w:r>
    </w:p>
    <w:p w14:paraId="1056A79E" w14:textId="77777777" w:rsidR="009A7DBF" w:rsidRDefault="009A7DBF">
      <w:pPr>
        <w:widowControl w:val="0"/>
        <w:ind w:left="567" w:hanging="567"/>
        <w:rPr>
          <w:sz w:val="22"/>
          <w:szCs w:val="22"/>
        </w:rPr>
      </w:pPr>
    </w:p>
    <w:p w14:paraId="67691FCE" w14:textId="77777777" w:rsidR="009A7DBF" w:rsidRDefault="003F4922">
      <w:pPr>
        <w:widowControl w:val="0"/>
        <w:ind w:left="567" w:hanging="567"/>
        <w:outlineLvl w:val="0"/>
        <w:rPr>
          <w:rFonts w:eastAsiaTheme="minorHAnsi"/>
          <w:b/>
          <w:sz w:val="22"/>
          <w:szCs w:val="22"/>
          <w:lang w:val="lt-LT" w:eastAsia="en-US"/>
        </w:rPr>
      </w:pPr>
      <w:r>
        <w:rPr>
          <w:b/>
          <w:sz w:val="22"/>
          <w:szCs w:val="22"/>
        </w:rPr>
        <w:t>6.1</w:t>
      </w:r>
      <w:r>
        <w:rPr>
          <w:b/>
          <w:sz w:val="22"/>
          <w:szCs w:val="22"/>
        </w:rPr>
        <w:tab/>
        <w:t>Pagalbinių medžiagų sąrašas</w:t>
      </w:r>
    </w:p>
    <w:p w14:paraId="46F5FFA5" w14:textId="77777777" w:rsidR="009A7DBF" w:rsidRDefault="009A7DBF">
      <w:pPr>
        <w:widowControl w:val="0"/>
        <w:ind w:left="567" w:hanging="567"/>
        <w:rPr>
          <w:sz w:val="22"/>
          <w:szCs w:val="22"/>
        </w:rPr>
      </w:pPr>
    </w:p>
    <w:p w14:paraId="665D46AA" w14:textId="77777777" w:rsidR="009A7DBF" w:rsidRDefault="003F4922">
      <w:pPr>
        <w:widowControl w:val="0"/>
        <w:outlineLvl w:val="0"/>
        <w:rPr>
          <w:rFonts w:eastAsiaTheme="minorHAnsi"/>
          <w:sz w:val="22"/>
          <w:szCs w:val="22"/>
          <w:u w:val="single"/>
          <w:lang w:val="lt-LT" w:eastAsia="en-US"/>
        </w:rPr>
      </w:pPr>
      <w:r>
        <w:rPr>
          <w:sz w:val="22"/>
          <w:szCs w:val="22"/>
          <w:u w:val="single"/>
        </w:rPr>
        <w:t>100 mg kietoji kapsulė</w:t>
      </w:r>
    </w:p>
    <w:p w14:paraId="236CCCEA" w14:textId="77777777" w:rsidR="009A7DBF" w:rsidRDefault="003F4922">
      <w:pPr>
        <w:widowControl w:val="0"/>
        <w:outlineLvl w:val="0"/>
        <w:rPr>
          <w:rFonts w:eastAsia="Calibri"/>
          <w:i/>
          <w:sz w:val="22"/>
          <w:szCs w:val="22"/>
          <w:lang w:val="lt-LT" w:eastAsia="en-US"/>
        </w:rPr>
      </w:pPr>
      <w:r>
        <w:rPr>
          <w:rFonts w:eastAsia="Calibri"/>
          <w:i/>
          <w:sz w:val="22"/>
          <w:szCs w:val="22"/>
        </w:rPr>
        <w:t>Kapsulės turinys</w:t>
      </w:r>
    </w:p>
    <w:p w14:paraId="1FFDE8BA" w14:textId="77777777" w:rsidR="009A7DBF" w:rsidRDefault="003F4922">
      <w:pPr>
        <w:widowControl w:val="0"/>
        <w:outlineLvl w:val="0"/>
        <w:rPr>
          <w:rFonts w:eastAsia="Calibri"/>
          <w:sz w:val="22"/>
          <w:szCs w:val="22"/>
          <w:lang w:val="lt-LT" w:eastAsia="en-US"/>
        </w:rPr>
      </w:pPr>
      <w:r>
        <w:rPr>
          <w:rFonts w:eastAsia="Calibri"/>
          <w:sz w:val="22"/>
          <w:szCs w:val="22"/>
        </w:rPr>
        <w:t>Laktozė monohidratas</w:t>
      </w:r>
    </w:p>
    <w:p w14:paraId="6AD5F87E" w14:textId="77777777" w:rsidR="009A7DBF" w:rsidRDefault="003F4922">
      <w:pPr>
        <w:widowControl w:val="0"/>
        <w:outlineLvl w:val="0"/>
        <w:rPr>
          <w:rFonts w:eastAsia="Calibri"/>
          <w:sz w:val="22"/>
          <w:szCs w:val="22"/>
          <w:lang w:val="lt-LT" w:eastAsia="en-US"/>
        </w:rPr>
      </w:pPr>
      <w:r>
        <w:rPr>
          <w:rFonts w:eastAsia="Calibri"/>
          <w:sz w:val="22"/>
          <w:szCs w:val="22"/>
        </w:rPr>
        <w:t>Povidonas K30</w:t>
      </w:r>
    </w:p>
    <w:p w14:paraId="2DAADA35" w14:textId="77777777" w:rsidR="009A7DBF" w:rsidRDefault="003F4922">
      <w:pPr>
        <w:widowControl w:val="0"/>
        <w:outlineLvl w:val="0"/>
        <w:rPr>
          <w:rFonts w:eastAsia="Calibri"/>
          <w:sz w:val="22"/>
          <w:szCs w:val="22"/>
          <w:lang w:val="lt-LT" w:eastAsia="en-US"/>
        </w:rPr>
      </w:pPr>
      <w:r>
        <w:rPr>
          <w:rFonts w:eastAsia="Calibri"/>
          <w:sz w:val="22"/>
          <w:szCs w:val="22"/>
        </w:rPr>
        <w:t>Kroskarmeliozės natrio druska</w:t>
      </w:r>
    </w:p>
    <w:p w14:paraId="0E81F468" w14:textId="77777777" w:rsidR="009A7DBF" w:rsidRDefault="003F4922">
      <w:pPr>
        <w:widowControl w:val="0"/>
        <w:outlineLvl w:val="0"/>
        <w:rPr>
          <w:rFonts w:eastAsia="Calibri"/>
          <w:sz w:val="22"/>
          <w:szCs w:val="22"/>
          <w:lang w:val="lt-LT" w:eastAsia="en-US"/>
        </w:rPr>
      </w:pPr>
      <w:r>
        <w:rPr>
          <w:rFonts w:eastAsia="Calibri"/>
          <w:sz w:val="22"/>
          <w:szCs w:val="22"/>
        </w:rPr>
        <w:t>Natrio laurilsulfatas</w:t>
      </w:r>
    </w:p>
    <w:p w14:paraId="2A89E265" w14:textId="77777777" w:rsidR="009A7DBF" w:rsidRDefault="003F4922">
      <w:pPr>
        <w:widowControl w:val="0"/>
        <w:outlineLvl w:val="0"/>
        <w:rPr>
          <w:rFonts w:eastAsia="Calibri"/>
          <w:sz w:val="22"/>
          <w:szCs w:val="22"/>
          <w:lang w:val="lt-LT" w:eastAsia="en-US"/>
        </w:rPr>
      </w:pPr>
      <w:r>
        <w:rPr>
          <w:rFonts w:eastAsia="Calibri"/>
          <w:sz w:val="22"/>
          <w:szCs w:val="22"/>
        </w:rPr>
        <w:t>Magnio stearatas (E470b)</w:t>
      </w:r>
    </w:p>
    <w:p w14:paraId="06BF0168" w14:textId="77777777" w:rsidR="009A7DBF" w:rsidRDefault="003F4922">
      <w:pPr>
        <w:widowControl w:val="0"/>
        <w:outlineLvl w:val="0"/>
        <w:rPr>
          <w:rFonts w:eastAsia="Calibri"/>
          <w:i/>
          <w:sz w:val="22"/>
          <w:szCs w:val="22"/>
          <w:lang w:val="lt-LT" w:eastAsia="en-US"/>
        </w:rPr>
      </w:pPr>
      <w:r>
        <w:rPr>
          <w:rFonts w:eastAsia="Calibri"/>
          <w:i/>
          <w:sz w:val="22"/>
          <w:szCs w:val="22"/>
        </w:rPr>
        <w:t>Kapsulės apvalkalas</w:t>
      </w:r>
    </w:p>
    <w:p w14:paraId="68A5958C" w14:textId="77777777" w:rsidR="009A7DBF" w:rsidRDefault="003F4922">
      <w:pPr>
        <w:widowControl w:val="0"/>
        <w:outlineLvl w:val="0"/>
        <w:rPr>
          <w:rFonts w:eastAsia="Calibri"/>
          <w:sz w:val="22"/>
          <w:szCs w:val="22"/>
          <w:lang w:val="lt-LT" w:eastAsia="en-US"/>
        </w:rPr>
      </w:pPr>
      <w:r>
        <w:rPr>
          <w:rFonts w:eastAsia="Calibri"/>
          <w:sz w:val="22"/>
          <w:szCs w:val="22"/>
        </w:rPr>
        <w:t>Želatina</w:t>
      </w:r>
    </w:p>
    <w:p w14:paraId="3367007D" w14:textId="77777777" w:rsidR="009A7DBF" w:rsidRDefault="003F4922">
      <w:pPr>
        <w:widowControl w:val="0"/>
        <w:outlineLvl w:val="0"/>
        <w:rPr>
          <w:rFonts w:eastAsia="Calibri"/>
          <w:sz w:val="22"/>
          <w:szCs w:val="22"/>
          <w:lang w:val="lt-LT" w:eastAsia="en-US"/>
        </w:rPr>
      </w:pPr>
      <w:r>
        <w:rPr>
          <w:rFonts w:eastAsia="Calibri"/>
          <w:sz w:val="22"/>
          <w:szCs w:val="22"/>
        </w:rPr>
        <w:t>Titano dioksidas (E171)</w:t>
      </w:r>
    </w:p>
    <w:p w14:paraId="118A9314" w14:textId="77777777" w:rsidR="009A7DBF" w:rsidRDefault="009A7DBF">
      <w:pPr>
        <w:widowControl w:val="0"/>
        <w:rPr>
          <w:sz w:val="22"/>
          <w:szCs w:val="22"/>
        </w:rPr>
      </w:pPr>
    </w:p>
    <w:p w14:paraId="0C392DAD" w14:textId="77777777" w:rsidR="009A7DBF" w:rsidRDefault="003F4922">
      <w:pPr>
        <w:widowControl w:val="0"/>
        <w:outlineLvl w:val="0"/>
        <w:rPr>
          <w:rFonts w:eastAsiaTheme="minorHAnsi"/>
          <w:sz w:val="22"/>
          <w:szCs w:val="22"/>
          <w:u w:val="single"/>
          <w:lang w:val="lt-LT" w:eastAsia="en-US"/>
        </w:rPr>
      </w:pPr>
      <w:r>
        <w:rPr>
          <w:sz w:val="22"/>
          <w:szCs w:val="22"/>
          <w:u w:val="single"/>
        </w:rPr>
        <w:t>200 mg kietoji kapsulė</w:t>
      </w:r>
    </w:p>
    <w:p w14:paraId="0899FD4C" w14:textId="77777777" w:rsidR="009A7DBF" w:rsidRDefault="003F4922">
      <w:pPr>
        <w:widowControl w:val="0"/>
        <w:outlineLvl w:val="0"/>
        <w:rPr>
          <w:rFonts w:eastAsia="Calibri"/>
          <w:i/>
          <w:sz w:val="22"/>
          <w:szCs w:val="22"/>
          <w:lang w:val="lt-LT" w:eastAsia="en-US"/>
        </w:rPr>
      </w:pPr>
      <w:r>
        <w:rPr>
          <w:rFonts w:eastAsia="Calibri"/>
          <w:i/>
          <w:sz w:val="22"/>
          <w:szCs w:val="22"/>
        </w:rPr>
        <w:t>Kapsulės turinys</w:t>
      </w:r>
    </w:p>
    <w:p w14:paraId="16970FF9" w14:textId="77777777" w:rsidR="009A7DBF" w:rsidRDefault="003F4922">
      <w:pPr>
        <w:widowControl w:val="0"/>
        <w:outlineLvl w:val="0"/>
        <w:rPr>
          <w:rFonts w:eastAsia="Calibri"/>
          <w:sz w:val="22"/>
          <w:szCs w:val="22"/>
          <w:lang w:val="lt-LT" w:eastAsia="en-US"/>
        </w:rPr>
      </w:pPr>
      <w:r>
        <w:rPr>
          <w:rFonts w:eastAsia="Calibri"/>
          <w:sz w:val="22"/>
          <w:szCs w:val="22"/>
        </w:rPr>
        <w:t>Laktozė monohidratas</w:t>
      </w:r>
    </w:p>
    <w:p w14:paraId="3C4C823F" w14:textId="77777777" w:rsidR="009A7DBF" w:rsidRDefault="003F4922">
      <w:pPr>
        <w:widowControl w:val="0"/>
        <w:outlineLvl w:val="0"/>
        <w:rPr>
          <w:rFonts w:eastAsia="Calibri"/>
          <w:sz w:val="22"/>
          <w:szCs w:val="22"/>
          <w:lang w:val="lt-LT" w:eastAsia="en-US"/>
        </w:rPr>
      </w:pPr>
      <w:r>
        <w:rPr>
          <w:rFonts w:eastAsia="Calibri"/>
          <w:sz w:val="22"/>
          <w:szCs w:val="22"/>
        </w:rPr>
        <w:t>Povidonas K30</w:t>
      </w:r>
    </w:p>
    <w:p w14:paraId="5E2D8CF7" w14:textId="77777777" w:rsidR="009A7DBF" w:rsidRDefault="003F4922">
      <w:pPr>
        <w:widowControl w:val="0"/>
        <w:outlineLvl w:val="0"/>
        <w:rPr>
          <w:rFonts w:eastAsia="Calibri"/>
          <w:sz w:val="22"/>
          <w:szCs w:val="22"/>
          <w:lang w:val="lt-LT" w:eastAsia="en-US"/>
        </w:rPr>
      </w:pPr>
      <w:r>
        <w:rPr>
          <w:rFonts w:eastAsia="Calibri"/>
          <w:sz w:val="22"/>
          <w:szCs w:val="22"/>
        </w:rPr>
        <w:t>Kroskarmeliozės natrio druska</w:t>
      </w:r>
    </w:p>
    <w:p w14:paraId="1485D705" w14:textId="77777777" w:rsidR="009A7DBF" w:rsidRDefault="003F4922">
      <w:pPr>
        <w:widowControl w:val="0"/>
        <w:outlineLvl w:val="0"/>
        <w:rPr>
          <w:rFonts w:eastAsia="Calibri"/>
          <w:sz w:val="22"/>
          <w:szCs w:val="22"/>
          <w:lang w:val="lt-LT" w:eastAsia="en-US"/>
        </w:rPr>
      </w:pPr>
      <w:r>
        <w:rPr>
          <w:rFonts w:eastAsia="Calibri"/>
          <w:sz w:val="22"/>
          <w:szCs w:val="22"/>
        </w:rPr>
        <w:t>Natrio laurilsulfatas</w:t>
      </w:r>
    </w:p>
    <w:p w14:paraId="6D9694E2" w14:textId="77777777" w:rsidR="009A7DBF" w:rsidRDefault="003F4922">
      <w:pPr>
        <w:widowControl w:val="0"/>
        <w:outlineLvl w:val="0"/>
        <w:rPr>
          <w:rFonts w:eastAsia="Calibri"/>
          <w:sz w:val="22"/>
          <w:szCs w:val="22"/>
          <w:lang w:val="lt-LT" w:eastAsia="en-US"/>
        </w:rPr>
      </w:pPr>
      <w:r>
        <w:rPr>
          <w:rFonts w:eastAsia="Calibri"/>
          <w:sz w:val="22"/>
          <w:szCs w:val="22"/>
        </w:rPr>
        <w:t>Magnio stearatas (E470b)</w:t>
      </w:r>
    </w:p>
    <w:p w14:paraId="44DA998A" w14:textId="77777777" w:rsidR="009A7DBF" w:rsidRDefault="003F4922">
      <w:pPr>
        <w:widowControl w:val="0"/>
        <w:outlineLvl w:val="0"/>
        <w:rPr>
          <w:rFonts w:eastAsia="Calibri"/>
          <w:i/>
          <w:sz w:val="22"/>
          <w:szCs w:val="22"/>
          <w:lang w:val="lt-LT" w:eastAsia="en-US"/>
        </w:rPr>
      </w:pPr>
      <w:r>
        <w:rPr>
          <w:rFonts w:eastAsia="Calibri"/>
          <w:i/>
          <w:sz w:val="22"/>
          <w:szCs w:val="22"/>
        </w:rPr>
        <w:t>Kapsulės apvalkalas</w:t>
      </w:r>
    </w:p>
    <w:p w14:paraId="11410B4B" w14:textId="77777777" w:rsidR="009A7DBF" w:rsidRDefault="003F4922">
      <w:pPr>
        <w:widowControl w:val="0"/>
        <w:outlineLvl w:val="0"/>
        <w:rPr>
          <w:rFonts w:eastAsia="Calibri"/>
          <w:sz w:val="22"/>
          <w:szCs w:val="22"/>
          <w:lang w:val="lt-LT" w:eastAsia="en-US"/>
        </w:rPr>
      </w:pPr>
      <w:r>
        <w:rPr>
          <w:rFonts w:eastAsia="Calibri"/>
          <w:sz w:val="22"/>
          <w:szCs w:val="22"/>
        </w:rPr>
        <w:t>Želatina</w:t>
      </w:r>
    </w:p>
    <w:p w14:paraId="075AECA7" w14:textId="77777777" w:rsidR="009A7DBF" w:rsidRDefault="003F4922">
      <w:pPr>
        <w:widowControl w:val="0"/>
        <w:outlineLvl w:val="0"/>
        <w:rPr>
          <w:rFonts w:eastAsia="Calibri"/>
          <w:sz w:val="22"/>
          <w:szCs w:val="22"/>
          <w:lang w:val="lt-LT" w:eastAsia="en-US"/>
        </w:rPr>
      </w:pPr>
      <w:r>
        <w:rPr>
          <w:rFonts w:eastAsia="Calibri"/>
          <w:sz w:val="22"/>
          <w:szCs w:val="22"/>
        </w:rPr>
        <w:t>Titano dioksidas (E171)</w:t>
      </w:r>
    </w:p>
    <w:p w14:paraId="4635832E" w14:textId="77777777" w:rsidR="009A7DBF" w:rsidRDefault="003F4922">
      <w:pPr>
        <w:widowControl w:val="0"/>
        <w:outlineLvl w:val="0"/>
        <w:rPr>
          <w:rFonts w:eastAsia="Calibri"/>
          <w:sz w:val="22"/>
          <w:szCs w:val="22"/>
          <w:lang w:val="lt-LT" w:eastAsia="en-US"/>
        </w:rPr>
      </w:pPr>
      <w:r>
        <w:rPr>
          <w:rFonts w:eastAsia="Calibri"/>
          <w:sz w:val="22"/>
          <w:szCs w:val="22"/>
        </w:rPr>
        <w:t>Geltonasis geležies oksidas (E172)</w:t>
      </w:r>
    </w:p>
    <w:p w14:paraId="0DF6649D" w14:textId="77777777" w:rsidR="009A7DBF" w:rsidRDefault="009A7DBF">
      <w:pPr>
        <w:widowControl w:val="0"/>
        <w:rPr>
          <w:sz w:val="22"/>
          <w:szCs w:val="22"/>
        </w:rPr>
      </w:pPr>
    </w:p>
    <w:p w14:paraId="407E99E6" w14:textId="77777777" w:rsidR="009A7DBF" w:rsidRDefault="003F4922">
      <w:pPr>
        <w:widowControl w:val="0"/>
        <w:ind w:left="567" w:hanging="567"/>
        <w:outlineLvl w:val="0"/>
        <w:rPr>
          <w:rFonts w:eastAsiaTheme="minorHAnsi"/>
          <w:b/>
          <w:sz w:val="22"/>
          <w:szCs w:val="22"/>
          <w:lang w:val="lt-LT" w:eastAsia="en-US"/>
        </w:rPr>
      </w:pPr>
      <w:r>
        <w:rPr>
          <w:b/>
          <w:sz w:val="22"/>
          <w:szCs w:val="22"/>
        </w:rPr>
        <w:t>6.2</w:t>
      </w:r>
      <w:r>
        <w:rPr>
          <w:b/>
          <w:sz w:val="22"/>
          <w:szCs w:val="22"/>
        </w:rPr>
        <w:tab/>
        <w:t>Nesuderinamumas</w:t>
      </w:r>
    </w:p>
    <w:p w14:paraId="53E2F59A" w14:textId="77777777" w:rsidR="009A7DBF" w:rsidRDefault="009A7DBF">
      <w:pPr>
        <w:widowControl w:val="0"/>
        <w:ind w:left="567" w:hanging="567"/>
        <w:rPr>
          <w:sz w:val="22"/>
          <w:szCs w:val="22"/>
        </w:rPr>
      </w:pPr>
    </w:p>
    <w:p w14:paraId="44F5081C" w14:textId="77777777" w:rsidR="009A7DBF" w:rsidRDefault="003F4922">
      <w:pPr>
        <w:widowControl w:val="0"/>
        <w:ind w:left="567" w:hanging="567"/>
        <w:outlineLvl w:val="0"/>
        <w:rPr>
          <w:rFonts w:eastAsiaTheme="minorHAnsi"/>
          <w:sz w:val="22"/>
          <w:szCs w:val="22"/>
          <w:lang w:val="lt-LT" w:eastAsia="en-US"/>
        </w:rPr>
      </w:pPr>
      <w:r>
        <w:rPr>
          <w:sz w:val="22"/>
          <w:szCs w:val="22"/>
        </w:rPr>
        <w:t>Duomenys nebūtini.</w:t>
      </w:r>
    </w:p>
    <w:p w14:paraId="0744FAFC" w14:textId="77777777" w:rsidR="009A7DBF" w:rsidRDefault="009A7DBF">
      <w:pPr>
        <w:widowControl w:val="0"/>
        <w:ind w:left="567" w:hanging="567"/>
        <w:rPr>
          <w:sz w:val="22"/>
          <w:szCs w:val="22"/>
        </w:rPr>
      </w:pPr>
    </w:p>
    <w:p w14:paraId="7C5D3CBB" w14:textId="77777777" w:rsidR="009A7DBF" w:rsidRDefault="003F4922">
      <w:pPr>
        <w:widowControl w:val="0"/>
        <w:ind w:left="567" w:hanging="567"/>
        <w:outlineLvl w:val="0"/>
        <w:rPr>
          <w:rFonts w:eastAsiaTheme="minorHAnsi"/>
          <w:b/>
          <w:sz w:val="22"/>
          <w:szCs w:val="22"/>
          <w:lang w:val="lt-LT" w:eastAsia="en-US"/>
        </w:rPr>
      </w:pPr>
      <w:r>
        <w:rPr>
          <w:b/>
          <w:sz w:val="22"/>
          <w:szCs w:val="22"/>
        </w:rPr>
        <w:t>6.3</w:t>
      </w:r>
      <w:r>
        <w:rPr>
          <w:b/>
          <w:sz w:val="22"/>
          <w:szCs w:val="22"/>
        </w:rPr>
        <w:tab/>
        <w:t>Tinkamumo laikas</w:t>
      </w:r>
    </w:p>
    <w:p w14:paraId="1FEFD210" w14:textId="77777777" w:rsidR="009A7DBF" w:rsidRDefault="009A7DBF">
      <w:pPr>
        <w:widowControl w:val="0"/>
        <w:ind w:left="567" w:hanging="567"/>
        <w:rPr>
          <w:sz w:val="22"/>
          <w:szCs w:val="22"/>
        </w:rPr>
      </w:pPr>
    </w:p>
    <w:p w14:paraId="4E5A7AAA" w14:textId="77777777" w:rsidR="009A7DBF" w:rsidRDefault="003F4922">
      <w:pPr>
        <w:widowControl w:val="0"/>
        <w:outlineLvl w:val="0"/>
        <w:rPr>
          <w:rFonts w:eastAsiaTheme="minorHAnsi"/>
          <w:sz w:val="22"/>
          <w:szCs w:val="22"/>
          <w:lang w:val="lt-LT" w:eastAsia="en-US"/>
        </w:rPr>
      </w:pPr>
      <w:r>
        <w:rPr>
          <w:sz w:val="22"/>
          <w:szCs w:val="22"/>
        </w:rPr>
        <w:t>3 metai</w:t>
      </w:r>
    </w:p>
    <w:p w14:paraId="0020B736" w14:textId="77777777" w:rsidR="009A7DBF" w:rsidRDefault="009A7DBF">
      <w:pPr>
        <w:widowControl w:val="0"/>
        <w:ind w:left="567" w:hanging="567"/>
        <w:rPr>
          <w:sz w:val="22"/>
          <w:szCs w:val="22"/>
        </w:rPr>
      </w:pPr>
    </w:p>
    <w:p w14:paraId="022131DE" w14:textId="77777777" w:rsidR="009A7DBF" w:rsidRDefault="003F4922">
      <w:pPr>
        <w:widowControl w:val="0"/>
        <w:ind w:left="567" w:hanging="567"/>
        <w:outlineLvl w:val="0"/>
        <w:rPr>
          <w:rFonts w:eastAsiaTheme="minorHAnsi"/>
          <w:b/>
          <w:sz w:val="22"/>
          <w:szCs w:val="22"/>
          <w:lang w:val="lt-LT" w:eastAsia="en-US"/>
        </w:rPr>
      </w:pPr>
      <w:r>
        <w:rPr>
          <w:b/>
          <w:sz w:val="22"/>
          <w:szCs w:val="22"/>
        </w:rPr>
        <w:t>6.4</w:t>
      </w:r>
      <w:r>
        <w:rPr>
          <w:b/>
          <w:sz w:val="22"/>
          <w:szCs w:val="22"/>
        </w:rPr>
        <w:tab/>
        <w:t>Specialios laikymo sąlygos</w:t>
      </w:r>
    </w:p>
    <w:p w14:paraId="4E82BB4F" w14:textId="77777777" w:rsidR="009A7DBF" w:rsidRDefault="009A7DBF">
      <w:pPr>
        <w:widowControl w:val="0"/>
        <w:rPr>
          <w:sz w:val="22"/>
          <w:szCs w:val="22"/>
        </w:rPr>
      </w:pPr>
    </w:p>
    <w:p w14:paraId="0858AD9E" w14:textId="77777777" w:rsidR="009A7DBF" w:rsidRDefault="003F4922">
      <w:pPr>
        <w:widowControl w:val="0"/>
        <w:outlineLvl w:val="0"/>
        <w:rPr>
          <w:rFonts w:eastAsiaTheme="minorHAnsi"/>
          <w:sz w:val="22"/>
          <w:szCs w:val="22"/>
          <w:lang w:val="lt-LT" w:eastAsia="en-US"/>
        </w:rPr>
      </w:pPr>
      <w:r>
        <w:rPr>
          <w:sz w:val="22"/>
          <w:szCs w:val="22"/>
        </w:rPr>
        <w:t>Laikyti ne aukštesnėje kaip 25 °C temperatūroje.</w:t>
      </w:r>
    </w:p>
    <w:p w14:paraId="4D09377A" w14:textId="77777777" w:rsidR="009A7DBF" w:rsidRDefault="009A7DBF">
      <w:pPr>
        <w:widowControl w:val="0"/>
        <w:ind w:left="567" w:hanging="567"/>
        <w:rPr>
          <w:sz w:val="22"/>
          <w:szCs w:val="22"/>
        </w:rPr>
      </w:pPr>
    </w:p>
    <w:p w14:paraId="75A21C2F" w14:textId="77777777" w:rsidR="009A7DBF" w:rsidRDefault="003F4922">
      <w:pPr>
        <w:widowControl w:val="0"/>
        <w:ind w:left="567" w:hanging="567"/>
        <w:outlineLvl w:val="0"/>
        <w:rPr>
          <w:rFonts w:eastAsiaTheme="minorHAnsi"/>
          <w:b/>
          <w:sz w:val="22"/>
          <w:szCs w:val="22"/>
          <w:lang w:val="lt-LT" w:eastAsia="en-US"/>
        </w:rPr>
      </w:pPr>
      <w:r>
        <w:rPr>
          <w:b/>
          <w:sz w:val="22"/>
          <w:szCs w:val="22"/>
        </w:rPr>
        <w:t>6.5</w:t>
      </w:r>
      <w:r>
        <w:rPr>
          <w:b/>
          <w:sz w:val="22"/>
          <w:szCs w:val="22"/>
        </w:rPr>
        <w:tab/>
        <w:t>Talpyklės pobūdis ir jos turinys</w:t>
      </w:r>
    </w:p>
    <w:p w14:paraId="6720213F" w14:textId="77777777" w:rsidR="009A7DBF" w:rsidRDefault="009A7DBF">
      <w:pPr>
        <w:widowControl w:val="0"/>
        <w:ind w:left="567" w:hanging="567"/>
        <w:rPr>
          <w:sz w:val="22"/>
          <w:szCs w:val="22"/>
        </w:rPr>
      </w:pPr>
    </w:p>
    <w:p w14:paraId="56A8568F" w14:textId="77777777" w:rsidR="009A7DBF" w:rsidRDefault="003F4922">
      <w:pPr>
        <w:widowControl w:val="0"/>
        <w:outlineLvl w:val="0"/>
        <w:rPr>
          <w:rFonts w:eastAsiaTheme="minorHAnsi"/>
          <w:sz w:val="22"/>
          <w:szCs w:val="22"/>
          <w:lang w:val="lt-LT" w:eastAsia="en-US"/>
        </w:rPr>
      </w:pPr>
      <w:r>
        <w:rPr>
          <w:sz w:val="22"/>
          <w:szCs w:val="22"/>
        </w:rPr>
        <w:t>Aclexa 100 mg ir 200 mg kietosios kapsulės</w:t>
      </w:r>
    </w:p>
    <w:p w14:paraId="130DA2A4" w14:textId="77777777" w:rsidR="009A7DBF" w:rsidRDefault="003F4922">
      <w:pPr>
        <w:widowControl w:val="0"/>
        <w:outlineLvl w:val="0"/>
        <w:rPr>
          <w:rFonts w:eastAsiaTheme="minorHAnsi"/>
          <w:sz w:val="22"/>
          <w:szCs w:val="22"/>
          <w:lang w:val="lt-LT" w:eastAsia="en-US"/>
        </w:rPr>
      </w:pPr>
      <w:r>
        <w:rPr>
          <w:sz w:val="22"/>
          <w:szCs w:val="22"/>
        </w:rPr>
        <w:t>PVC/aliuminio lizdinės plokštelės: dėžutėje yra 10, 20, 30, 40, 50, 60, 90 ir 100 kietųjų kapsulių.</w:t>
      </w:r>
    </w:p>
    <w:p w14:paraId="0D251645" w14:textId="77777777" w:rsidR="009A7DBF" w:rsidRDefault="009A7DBF">
      <w:pPr>
        <w:widowControl w:val="0"/>
        <w:outlineLvl w:val="0"/>
        <w:rPr>
          <w:sz w:val="22"/>
          <w:szCs w:val="22"/>
        </w:rPr>
      </w:pPr>
    </w:p>
    <w:p w14:paraId="62D3FA61" w14:textId="77777777" w:rsidR="009A7DBF" w:rsidRDefault="003F4922">
      <w:pPr>
        <w:widowControl w:val="0"/>
        <w:rPr>
          <w:rFonts w:eastAsiaTheme="minorHAnsi"/>
          <w:sz w:val="22"/>
          <w:szCs w:val="22"/>
          <w:lang w:val="lt-LT" w:eastAsia="en-US"/>
        </w:rPr>
      </w:pPr>
      <w:r>
        <w:rPr>
          <w:sz w:val="22"/>
          <w:szCs w:val="22"/>
        </w:rPr>
        <w:t>Gali būti tiekiamos ne visų dydžių pakuotės.</w:t>
      </w:r>
    </w:p>
    <w:p w14:paraId="7939469B" w14:textId="77777777" w:rsidR="009A7DBF" w:rsidRDefault="009A7DBF">
      <w:pPr>
        <w:widowControl w:val="0"/>
        <w:ind w:left="567" w:hanging="567"/>
        <w:rPr>
          <w:sz w:val="22"/>
          <w:szCs w:val="22"/>
        </w:rPr>
      </w:pPr>
    </w:p>
    <w:p w14:paraId="2556B3AD" w14:textId="77777777" w:rsidR="009A7DBF" w:rsidRDefault="003F4922">
      <w:pPr>
        <w:widowControl w:val="0"/>
        <w:ind w:left="567" w:hanging="567"/>
        <w:rPr>
          <w:rFonts w:eastAsiaTheme="minorHAnsi"/>
          <w:b/>
          <w:sz w:val="22"/>
          <w:szCs w:val="22"/>
          <w:lang w:val="lt-LT" w:eastAsia="en-US"/>
        </w:rPr>
      </w:pPr>
      <w:r>
        <w:rPr>
          <w:b/>
          <w:sz w:val="22"/>
          <w:szCs w:val="22"/>
        </w:rPr>
        <w:t>6.6</w:t>
      </w:r>
      <w:r>
        <w:rPr>
          <w:b/>
          <w:sz w:val="22"/>
          <w:szCs w:val="22"/>
        </w:rPr>
        <w:tab/>
        <w:t>Specialūs reikalavimai atliekoms tvarkyti</w:t>
      </w:r>
    </w:p>
    <w:p w14:paraId="0A37C7FF" w14:textId="77777777" w:rsidR="009A7DBF" w:rsidRDefault="009A7DBF">
      <w:pPr>
        <w:widowControl w:val="0"/>
        <w:ind w:left="567" w:hanging="567"/>
        <w:rPr>
          <w:sz w:val="22"/>
          <w:szCs w:val="22"/>
        </w:rPr>
      </w:pPr>
    </w:p>
    <w:p w14:paraId="19003471" w14:textId="77777777" w:rsidR="009A7DBF" w:rsidRDefault="003F4922">
      <w:pPr>
        <w:widowControl w:val="0"/>
        <w:ind w:left="567" w:hanging="567"/>
        <w:outlineLvl w:val="0"/>
        <w:rPr>
          <w:rFonts w:eastAsiaTheme="minorHAnsi"/>
          <w:sz w:val="22"/>
          <w:szCs w:val="22"/>
          <w:lang w:val="lt-LT" w:eastAsia="en-US"/>
        </w:rPr>
      </w:pPr>
      <w:r>
        <w:rPr>
          <w:sz w:val="22"/>
          <w:szCs w:val="22"/>
        </w:rPr>
        <w:t>Specialių reikalavimų atliekoms tvarkyti nėra.</w:t>
      </w:r>
    </w:p>
    <w:p w14:paraId="37E88C5F" w14:textId="77777777" w:rsidR="009A7DBF" w:rsidRDefault="009A7DBF">
      <w:pPr>
        <w:widowControl w:val="0"/>
        <w:ind w:left="567" w:hanging="567"/>
        <w:outlineLvl w:val="0"/>
        <w:rPr>
          <w:sz w:val="22"/>
          <w:szCs w:val="22"/>
        </w:rPr>
      </w:pPr>
    </w:p>
    <w:p w14:paraId="6F5DF0A0" w14:textId="77777777" w:rsidR="009A7DBF" w:rsidRDefault="003F4922">
      <w:pPr>
        <w:widowControl w:val="0"/>
        <w:ind w:left="567" w:hanging="567"/>
        <w:outlineLvl w:val="0"/>
        <w:rPr>
          <w:rFonts w:eastAsiaTheme="minorHAnsi"/>
          <w:sz w:val="22"/>
          <w:szCs w:val="22"/>
          <w:lang w:val="lt-LT" w:eastAsia="en-US"/>
        </w:rPr>
      </w:pPr>
      <w:r>
        <w:rPr>
          <w:sz w:val="22"/>
          <w:szCs w:val="22"/>
        </w:rPr>
        <w:t>Nesuvartotą vaistinį preparatą ar atliekas reikia tvarkyti laikantis vietinių reikalavimų.</w:t>
      </w:r>
    </w:p>
    <w:p w14:paraId="01E51B59" w14:textId="77777777" w:rsidR="009A7DBF" w:rsidRDefault="009A7DBF">
      <w:pPr>
        <w:widowControl w:val="0"/>
        <w:ind w:left="567" w:hanging="567"/>
        <w:outlineLvl w:val="0"/>
        <w:rPr>
          <w:sz w:val="22"/>
          <w:szCs w:val="22"/>
        </w:rPr>
      </w:pPr>
    </w:p>
    <w:p w14:paraId="4D56C421" w14:textId="77777777" w:rsidR="009A7DBF" w:rsidRDefault="009A7DBF">
      <w:pPr>
        <w:widowControl w:val="0"/>
        <w:ind w:left="567" w:hanging="567"/>
        <w:rPr>
          <w:sz w:val="22"/>
          <w:szCs w:val="22"/>
        </w:rPr>
      </w:pPr>
    </w:p>
    <w:p w14:paraId="14AEF292" w14:textId="77777777" w:rsidR="009A7DBF" w:rsidRDefault="003F4922">
      <w:pPr>
        <w:widowControl w:val="0"/>
        <w:ind w:left="567" w:hanging="567"/>
        <w:outlineLvl w:val="0"/>
        <w:rPr>
          <w:rFonts w:eastAsiaTheme="minorHAnsi"/>
          <w:b/>
          <w:caps/>
          <w:sz w:val="22"/>
          <w:szCs w:val="22"/>
          <w:lang w:val="lt-LT" w:eastAsia="en-US"/>
        </w:rPr>
      </w:pPr>
      <w:r>
        <w:rPr>
          <w:b/>
          <w:caps/>
          <w:sz w:val="22"/>
          <w:szCs w:val="22"/>
        </w:rPr>
        <w:t>7.</w:t>
      </w:r>
      <w:r>
        <w:rPr>
          <w:b/>
          <w:caps/>
          <w:sz w:val="22"/>
          <w:szCs w:val="22"/>
        </w:rPr>
        <w:tab/>
      </w:r>
      <w:r>
        <w:rPr>
          <w:b/>
          <w:sz w:val="22"/>
          <w:szCs w:val="22"/>
        </w:rPr>
        <w:t>R</w:t>
      </w:r>
      <w:r>
        <w:rPr>
          <w:b/>
          <w:caps/>
          <w:sz w:val="22"/>
          <w:szCs w:val="22"/>
        </w:rPr>
        <w:t>EGISTRUOTOJAS</w:t>
      </w:r>
    </w:p>
    <w:p w14:paraId="169C8795" w14:textId="77777777" w:rsidR="009A7DBF" w:rsidRDefault="009A7DBF">
      <w:pPr>
        <w:widowControl w:val="0"/>
        <w:ind w:left="567" w:hanging="567"/>
        <w:outlineLvl w:val="0"/>
        <w:rPr>
          <w:sz w:val="22"/>
          <w:szCs w:val="22"/>
        </w:rPr>
      </w:pPr>
    </w:p>
    <w:p w14:paraId="0E0A2FFB" w14:textId="77777777" w:rsidR="009A7DBF" w:rsidRDefault="003F4922">
      <w:pPr>
        <w:widowControl w:val="0"/>
        <w:ind w:left="567" w:hanging="567"/>
        <w:outlineLvl w:val="0"/>
        <w:rPr>
          <w:rFonts w:eastAsiaTheme="minorHAnsi"/>
          <w:sz w:val="22"/>
          <w:szCs w:val="22"/>
          <w:lang w:val="lt-LT" w:eastAsia="en-US"/>
        </w:rPr>
      </w:pPr>
      <w:r>
        <w:rPr>
          <w:sz w:val="22"/>
          <w:szCs w:val="22"/>
        </w:rPr>
        <w:t>KRKA, d.d., Novo mesto</w:t>
      </w:r>
    </w:p>
    <w:p w14:paraId="37DF6349" w14:textId="77777777" w:rsidR="009A7DBF" w:rsidRDefault="003F4922">
      <w:pPr>
        <w:widowControl w:val="0"/>
        <w:ind w:left="567" w:hanging="567"/>
        <w:outlineLvl w:val="0"/>
        <w:rPr>
          <w:rFonts w:eastAsiaTheme="minorHAnsi"/>
          <w:sz w:val="22"/>
          <w:szCs w:val="22"/>
          <w:lang w:val="lt-LT" w:eastAsia="en-US"/>
        </w:rPr>
      </w:pPr>
      <w:r>
        <w:rPr>
          <w:sz w:val="22"/>
          <w:szCs w:val="22"/>
        </w:rPr>
        <w:t>Šmarješka cesta 6</w:t>
      </w:r>
    </w:p>
    <w:p w14:paraId="0FF0BCB7" w14:textId="77777777" w:rsidR="009A7DBF" w:rsidRDefault="003F4922">
      <w:pPr>
        <w:widowControl w:val="0"/>
        <w:ind w:left="567" w:hanging="567"/>
        <w:outlineLvl w:val="0"/>
        <w:rPr>
          <w:rFonts w:eastAsiaTheme="minorHAnsi"/>
          <w:sz w:val="22"/>
          <w:szCs w:val="22"/>
          <w:lang w:val="lt-LT" w:eastAsia="en-US"/>
        </w:rPr>
      </w:pPr>
      <w:r>
        <w:rPr>
          <w:sz w:val="22"/>
          <w:szCs w:val="22"/>
        </w:rPr>
        <w:t>8501 Novo mesto</w:t>
      </w:r>
    </w:p>
    <w:p w14:paraId="2184801D" w14:textId="77777777" w:rsidR="009A7DBF" w:rsidRDefault="003F4922">
      <w:pPr>
        <w:widowControl w:val="0"/>
        <w:ind w:left="567" w:hanging="567"/>
        <w:outlineLvl w:val="0"/>
        <w:rPr>
          <w:rFonts w:eastAsiaTheme="minorHAnsi"/>
          <w:sz w:val="22"/>
          <w:szCs w:val="22"/>
          <w:lang w:val="lt-LT" w:eastAsia="en-US"/>
        </w:rPr>
      </w:pPr>
      <w:r>
        <w:rPr>
          <w:sz w:val="22"/>
          <w:szCs w:val="22"/>
        </w:rPr>
        <w:t>Slovėnija</w:t>
      </w:r>
    </w:p>
    <w:p w14:paraId="7333A4E2" w14:textId="77777777" w:rsidR="009A7DBF" w:rsidRDefault="009A7DBF">
      <w:pPr>
        <w:widowControl w:val="0"/>
        <w:ind w:left="567" w:hanging="567"/>
        <w:outlineLvl w:val="0"/>
        <w:rPr>
          <w:sz w:val="22"/>
          <w:szCs w:val="22"/>
        </w:rPr>
      </w:pPr>
    </w:p>
    <w:p w14:paraId="1F4975D4" w14:textId="77777777" w:rsidR="009A7DBF" w:rsidRDefault="009A7DBF">
      <w:pPr>
        <w:widowControl w:val="0"/>
        <w:ind w:left="567" w:hanging="567"/>
        <w:rPr>
          <w:sz w:val="22"/>
          <w:szCs w:val="22"/>
        </w:rPr>
      </w:pPr>
    </w:p>
    <w:p w14:paraId="603A0614" w14:textId="77777777" w:rsidR="009A7DBF" w:rsidRDefault="003F4922">
      <w:pPr>
        <w:widowControl w:val="0"/>
        <w:ind w:left="567" w:hanging="567"/>
        <w:outlineLvl w:val="0"/>
        <w:rPr>
          <w:rFonts w:eastAsiaTheme="minorHAnsi"/>
          <w:b/>
          <w:caps/>
          <w:sz w:val="22"/>
          <w:szCs w:val="22"/>
          <w:lang w:val="lt-LT" w:eastAsia="en-US"/>
        </w:rPr>
      </w:pPr>
      <w:r>
        <w:rPr>
          <w:b/>
          <w:caps/>
          <w:sz w:val="22"/>
          <w:szCs w:val="22"/>
        </w:rPr>
        <w:t>8.</w:t>
      </w:r>
      <w:r>
        <w:rPr>
          <w:b/>
          <w:caps/>
          <w:sz w:val="22"/>
          <w:szCs w:val="22"/>
        </w:rPr>
        <w:tab/>
      </w:r>
      <w:r>
        <w:rPr>
          <w:b/>
          <w:sz w:val="22"/>
          <w:szCs w:val="22"/>
        </w:rPr>
        <w:t xml:space="preserve">REGISTRACIJOS PAŽYMĖJIMO </w:t>
      </w:r>
      <w:r>
        <w:rPr>
          <w:b/>
          <w:caps/>
          <w:sz w:val="22"/>
          <w:szCs w:val="22"/>
        </w:rPr>
        <w:t>numeris (-IAI)</w:t>
      </w:r>
    </w:p>
    <w:p w14:paraId="2D0812B8" w14:textId="77777777" w:rsidR="009A7DBF" w:rsidRDefault="009A7DBF">
      <w:pPr>
        <w:widowControl w:val="0"/>
        <w:ind w:left="567" w:hanging="567"/>
        <w:rPr>
          <w:sz w:val="22"/>
          <w:szCs w:val="22"/>
        </w:rPr>
      </w:pPr>
    </w:p>
    <w:p w14:paraId="29C2F470" w14:textId="77777777" w:rsidR="009A7DBF" w:rsidRDefault="003F4922">
      <w:pPr>
        <w:rPr>
          <w:rFonts w:eastAsia="Calibri"/>
          <w:sz w:val="22"/>
          <w:szCs w:val="22"/>
          <w:lang w:val="lt-LT" w:eastAsia="en-US"/>
        </w:rPr>
      </w:pPr>
      <w:r>
        <w:rPr>
          <w:rFonts w:eastAsia="Calibri"/>
          <w:sz w:val="22"/>
          <w:szCs w:val="22"/>
        </w:rPr>
        <w:t>Aclexa 100 mg</w:t>
      </w:r>
    </w:p>
    <w:p w14:paraId="37282D20" w14:textId="77777777" w:rsidR="009A7DBF" w:rsidRDefault="003F4922">
      <w:pPr>
        <w:rPr>
          <w:rFonts w:eastAsia="Calibri"/>
          <w:sz w:val="22"/>
          <w:szCs w:val="22"/>
        </w:rPr>
      </w:pPr>
      <w:r>
        <w:rPr>
          <w:rFonts w:eastAsia="Calibri"/>
          <w:bCs/>
          <w:sz w:val="22"/>
          <w:szCs w:val="22"/>
        </w:rPr>
        <w:t xml:space="preserve">N10 - </w:t>
      </w:r>
      <w:r>
        <w:rPr>
          <w:rFonts w:eastAsia="Calibri"/>
          <w:sz w:val="22"/>
          <w:szCs w:val="22"/>
        </w:rPr>
        <w:t>LT/1/13/3460/001</w:t>
      </w:r>
    </w:p>
    <w:p w14:paraId="1B58068F" w14:textId="77777777" w:rsidR="009A7DBF" w:rsidRDefault="003F4922">
      <w:pPr>
        <w:rPr>
          <w:rFonts w:eastAsia="Calibri"/>
          <w:sz w:val="22"/>
          <w:szCs w:val="22"/>
        </w:rPr>
      </w:pPr>
      <w:r>
        <w:rPr>
          <w:rFonts w:eastAsia="Calibri"/>
          <w:bCs/>
          <w:sz w:val="22"/>
          <w:szCs w:val="22"/>
        </w:rPr>
        <w:t xml:space="preserve">N20 - </w:t>
      </w:r>
      <w:r>
        <w:rPr>
          <w:rFonts w:eastAsia="Calibri"/>
          <w:sz w:val="22"/>
          <w:szCs w:val="22"/>
        </w:rPr>
        <w:t>LT/1/13/3460/002</w:t>
      </w:r>
    </w:p>
    <w:p w14:paraId="1B005EF0" w14:textId="77777777" w:rsidR="009A7DBF" w:rsidRDefault="003F4922">
      <w:pPr>
        <w:rPr>
          <w:rFonts w:eastAsia="Calibri"/>
          <w:sz w:val="22"/>
          <w:szCs w:val="22"/>
        </w:rPr>
      </w:pPr>
      <w:r>
        <w:rPr>
          <w:rFonts w:eastAsia="Calibri"/>
          <w:bCs/>
          <w:sz w:val="22"/>
          <w:szCs w:val="22"/>
        </w:rPr>
        <w:t xml:space="preserve">N30 - </w:t>
      </w:r>
      <w:r>
        <w:rPr>
          <w:rFonts w:eastAsia="Calibri"/>
          <w:sz w:val="22"/>
          <w:szCs w:val="22"/>
        </w:rPr>
        <w:t>LT/1/13/3460/003</w:t>
      </w:r>
    </w:p>
    <w:p w14:paraId="7846DF7F" w14:textId="77777777" w:rsidR="009A7DBF" w:rsidRDefault="003F4922">
      <w:pPr>
        <w:rPr>
          <w:rFonts w:eastAsia="Calibri"/>
          <w:sz w:val="22"/>
          <w:szCs w:val="22"/>
        </w:rPr>
      </w:pPr>
      <w:r>
        <w:rPr>
          <w:rFonts w:eastAsia="Calibri"/>
          <w:bCs/>
          <w:sz w:val="22"/>
          <w:szCs w:val="22"/>
        </w:rPr>
        <w:t xml:space="preserve">N40 - </w:t>
      </w:r>
      <w:r>
        <w:rPr>
          <w:rFonts w:eastAsia="Calibri"/>
          <w:sz w:val="22"/>
          <w:szCs w:val="22"/>
        </w:rPr>
        <w:t>LT/1/13/3460/004</w:t>
      </w:r>
    </w:p>
    <w:p w14:paraId="51F901D3" w14:textId="77777777" w:rsidR="009A7DBF" w:rsidRDefault="003F4922">
      <w:pPr>
        <w:rPr>
          <w:rFonts w:eastAsia="Calibri"/>
          <w:sz w:val="22"/>
          <w:szCs w:val="22"/>
        </w:rPr>
      </w:pPr>
      <w:r>
        <w:rPr>
          <w:rFonts w:eastAsia="Calibri"/>
          <w:bCs/>
          <w:sz w:val="22"/>
          <w:szCs w:val="22"/>
        </w:rPr>
        <w:t xml:space="preserve">N50 - </w:t>
      </w:r>
      <w:r>
        <w:rPr>
          <w:rFonts w:eastAsia="Calibri"/>
          <w:sz w:val="22"/>
          <w:szCs w:val="22"/>
        </w:rPr>
        <w:t>LT/1/13/3460/005</w:t>
      </w:r>
    </w:p>
    <w:p w14:paraId="58C7CAB3" w14:textId="77777777" w:rsidR="009A7DBF" w:rsidRDefault="003F4922">
      <w:pPr>
        <w:rPr>
          <w:rFonts w:eastAsia="Calibri"/>
          <w:sz w:val="22"/>
          <w:szCs w:val="22"/>
        </w:rPr>
      </w:pPr>
      <w:r>
        <w:rPr>
          <w:rFonts w:eastAsia="Calibri"/>
          <w:bCs/>
          <w:sz w:val="22"/>
          <w:szCs w:val="22"/>
        </w:rPr>
        <w:t xml:space="preserve">N60 - </w:t>
      </w:r>
      <w:r>
        <w:rPr>
          <w:rFonts w:eastAsia="Calibri"/>
          <w:sz w:val="22"/>
          <w:szCs w:val="22"/>
        </w:rPr>
        <w:t>LT/1/13/3460/006</w:t>
      </w:r>
    </w:p>
    <w:p w14:paraId="03B82712" w14:textId="77777777" w:rsidR="009A7DBF" w:rsidRDefault="003F4922">
      <w:pPr>
        <w:rPr>
          <w:rFonts w:eastAsia="Calibri"/>
          <w:sz w:val="22"/>
          <w:szCs w:val="22"/>
        </w:rPr>
      </w:pPr>
      <w:r>
        <w:rPr>
          <w:rFonts w:eastAsia="Calibri"/>
          <w:bCs/>
          <w:sz w:val="22"/>
          <w:szCs w:val="22"/>
        </w:rPr>
        <w:t xml:space="preserve">N90 - </w:t>
      </w:r>
      <w:r>
        <w:rPr>
          <w:rFonts w:eastAsia="Calibri"/>
          <w:sz w:val="22"/>
          <w:szCs w:val="22"/>
        </w:rPr>
        <w:t>LT/1/13/3460/007</w:t>
      </w:r>
    </w:p>
    <w:p w14:paraId="4ABFA28C" w14:textId="77777777" w:rsidR="009A7DBF" w:rsidRDefault="003F4922">
      <w:pPr>
        <w:rPr>
          <w:rFonts w:eastAsia="Calibri"/>
          <w:sz w:val="22"/>
          <w:szCs w:val="22"/>
        </w:rPr>
      </w:pPr>
      <w:r>
        <w:rPr>
          <w:rFonts w:eastAsia="Calibri"/>
          <w:bCs/>
          <w:sz w:val="22"/>
          <w:szCs w:val="22"/>
        </w:rPr>
        <w:t xml:space="preserve">N100 - </w:t>
      </w:r>
      <w:r>
        <w:rPr>
          <w:rFonts w:eastAsia="Calibri"/>
          <w:sz w:val="22"/>
          <w:szCs w:val="22"/>
        </w:rPr>
        <w:t>LT/1/13/3460/008</w:t>
      </w:r>
    </w:p>
    <w:p w14:paraId="34CBB9DD" w14:textId="77777777" w:rsidR="009A7DBF" w:rsidRDefault="009A7DBF">
      <w:pPr>
        <w:rPr>
          <w:sz w:val="22"/>
          <w:szCs w:val="22"/>
        </w:rPr>
      </w:pPr>
    </w:p>
    <w:p w14:paraId="06A6276F" w14:textId="77777777" w:rsidR="009A7DBF" w:rsidRDefault="003F4922">
      <w:pPr>
        <w:rPr>
          <w:rFonts w:eastAsia="Calibri"/>
          <w:sz w:val="22"/>
          <w:szCs w:val="22"/>
          <w:lang w:val="lt-LT" w:eastAsia="en-US"/>
        </w:rPr>
      </w:pPr>
      <w:r>
        <w:rPr>
          <w:rFonts w:eastAsia="Calibri"/>
          <w:sz w:val="22"/>
          <w:szCs w:val="22"/>
        </w:rPr>
        <w:t>Aclexa 200 mg</w:t>
      </w:r>
    </w:p>
    <w:p w14:paraId="2F438020" w14:textId="77777777" w:rsidR="009A7DBF" w:rsidRDefault="003F4922">
      <w:pPr>
        <w:rPr>
          <w:rFonts w:eastAsia="Calibri"/>
          <w:sz w:val="22"/>
          <w:szCs w:val="22"/>
        </w:rPr>
      </w:pPr>
      <w:r>
        <w:rPr>
          <w:rFonts w:eastAsia="Calibri"/>
          <w:bCs/>
          <w:sz w:val="22"/>
          <w:szCs w:val="22"/>
        </w:rPr>
        <w:t xml:space="preserve">N10 - </w:t>
      </w:r>
      <w:r>
        <w:rPr>
          <w:rFonts w:eastAsia="Calibri"/>
          <w:sz w:val="22"/>
          <w:szCs w:val="22"/>
        </w:rPr>
        <w:t>LT/1/13/3460/009</w:t>
      </w:r>
    </w:p>
    <w:p w14:paraId="4B972B4F" w14:textId="77777777" w:rsidR="009A7DBF" w:rsidRDefault="003F4922">
      <w:pPr>
        <w:rPr>
          <w:rFonts w:eastAsia="Calibri"/>
          <w:sz w:val="22"/>
          <w:szCs w:val="22"/>
        </w:rPr>
      </w:pPr>
      <w:r>
        <w:rPr>
          <w:rFonts w:eastAsia="Calibri"/>
          <w:bCs/>
          <w:sz w:val="22"/>
          <w:szCs w:val="22"/>
        </w:rPr>
        <w:t xml:space="preserve">N20 - </w:t>
      </w:r>
      <w:r>
        <w:rPr>
          <w:rFonts w:eastAsia="Calibri"/>
          <w:sz w:val="22"/>
          <w:szCs w:val="22"/>
        </w:rPr>
        <w:t>LT/1/13/3460/010</w:t>
      </w:r>
    </w:p>
    <w:p w14:paraId="01654DD2" w14:textId="77777777" w:rsidR="009A7DBF" w:rsidRDefault="003F4922">
      <w:pPr>
        <w:rPr>
          <w:rFonts w:eastAsia="Calibri"/>
          <w:sz w:val="22"/>
          <w:szCs w:val="22"/>
        </w:rPr>
      </w:pPr>
      <w:r>
        <w:rPr>
          <w:rFonts w:eastAsia="Calibri"/>
          <w:bCs/>
          <w:sz w:val="22"/>
          <w:szCs w:val="22"/>
        </w:rPr>
        <w:t xml:space="preserve">N30 - </w:t>
      </w:r>
      <w:r>
        <w:rPr>
          <w:rFonts w:eastAsia="Calibri"/>
          <w:sz w:val="22"/>
          <w:szCs w:val="22"/>
        </w:rPr>
        <w:t>LT/1/13/3460/011</w:t>
      </w:r>
    </w:p>
    <w:p w14:paraId="266715C8" w14:textId="77777777" w:rsidR="009A7DBF" w:rsidRDefault="003F4922">
      <w:pPr>
        <w:rPr>
          <w:rFonts w:eastAsia="Calibri"/>
          <w:sz w:val="22"/>
          <w:szCs w:val="22"/>
        </w:rPr>
      </w:pPr>
      <w:r>
        <w:rPr>
          <w:rFonts w:eastAsia="Calibri"/>
          <w:bCs/>
          <w:sz w:val="22"/>
          <w:szCs w:val="22"/>
        </w:rPr>
        <w:t xml:space="preserve">N40 - </w:t>
      </w:r>
      <w:r>
        <w:rPr>
          <w:rFonts w:eastAsia="Calibri"/>
          <w:sz w:val="22"/>
          <w:szCs w:val="22"/>
        </w:rPr>
        <w:t>LT/1/13/3460/012</w:t>
      </w:r>
    </w:p>
    <w:p w14:paraId="5BBB5EBD" w14:textId="77777777" w:rsidR="009A7DBF" w:rsidRDefault="003F4922">
      <w:pPr>
        <w:rPr>
          <w:rFonts w:eastAsia="Calibri"/>
          <w:sz w:val="22"/>
          <w:szCs w:val="22"/>
        </w:rPr>
      </w:pPr>
      <w:r>
        <w:rPr>
          <w:rFonts w:eastAsia="Calibri"/>
          <w:bCs/>
          <w:sz w:val="22"/>
          <w:szCs w:val="22"/>
        </w:rPr>
        <w:t xml:space="preserve">N50 - </w:t>
      </w:r>
      <w:r>
        <w:rPr>
          <w:rFonts w:eastAsia="Calibri"/>
          <w:sz w:val="22"/>
          <w:szCs w:val="22"/>
        </w:rPr>
        <w:t>LT/1/13/3460/013</w:t>
      </w:r>
    </w:p>
    <w:p w14:paraId="3E2E7022" w14:textId="77777777" w:rsidR="009A7DBF" w:rsidRDefault="003F4922">
      <w:pPr>
        <w:rPr>
          <w:rFonts w:eastAsia="Calibri"/>
          <w:sz w:val="22"/>
          <w:szCs w:val="22"/>
        </w:rPr>
      </w:pPr>
      <w:r>
        <w:rPr>
          <w:rFonts w:eastAsia="Calibri"/>
          <w:bCs/>
          <w:sz w:val="22"/>
          <w:szCs w:val="22"/>
        </w:rPr>
        <w:t xml:space="preserve">N60 - </w:t>
      </w:r>
      <w:r>
        <w:rPr>
          <w:rFonts w:eastAsia="Calibri"/>
          <w:sz w:val="22"/>
          <w:szCs w:val="22"/>
        </w:rPr>
        <w:t>LT/1/13/3460/014</w:t>
      </w:r>
    </w:p>
    <w:p w14:paraId="1690A710" w14:textId="77777777" w:rsidR="009A7DBF" w:rsidRDefault="003F4922">
      <w:pPr>
        <w:rPr>
          <w:rFonts w:eastAsia="Calibri"/>
          <w:sz w:val="22"/>
          <w:szCs w:val="22"/>
        </w:rPr>
      </w:pPr>
      <w:r>
        <w:rPr>
          <w:rFonts w:eastAsia="Calibri"/>
          <w:bCs/>
          <w:sz w:val="22"/>
          <w:szCs w:val="22"/>
        </w:rPr>
        <w:t xml:space="preserve">N90 - </w:t>
      </w:r>
      <w:r>
        <w:rPr>
          <w:rFonts w:eastAsia="Calibri"/>
          <w:sz w:val="22"/>
          <w:szCs w:val="22"/>
        </w:rPr>
        <w:t>LT/1/13/3460/015</w:t>
      </w:r>
    </w:p>
    <w:p w14:paraId="4665DB11" w14:textId="77777777" w:rsidR="009A7DBF" w:rsidRDefault="003F4922">
      <w:pPr>
        <w:rPr>
          <w:rFonts w:eastAsia="Calibri"/>
          <w:sz w:val="22"/>
          <w:szCs w:val="22"/>
        </w:rPr>
      </w:pPr>
      <w:r>
        <w:rPr>
          <w:rFonts w:eastAsia="Calibri"/>
          <w:bCs/>
          <w:sz w:val="22"/>
          <w:szCs w:val="22"/>
        </w:rPr>
        <w:t xml:space="preserve">N100 - </w:t>
      </w:r>
      <w:r>
        <w:rPr>
          <w:rFonts w:eastAsia="Calibri"/>
          <w:sz w:val="22"/>
          <w:szCs w:val="22"/>
        </w:rPr>
        <w:t>LT/1/13/3460/016</w:t>
      </w:r>
    </w:p>
    <w:p w14:paraId="4C91F53D" w14:textId="77777777" w:rsidR="009A7DBF" w:rsidRDefault="009A7DBF">
      <w:pPr>
        <w:widowControl w:val="0"/>
        <w:ind w:left="567" w:hanging="567"/>
        <w:rPr>
          <w:sz w:val="22"/>
          <w:szCs w:val="22"/>
        </w:rPr>
      </w:pPr>
    </w:p>
    <w:p w14:paraId="167A0BBD" w14:textId="77777777" w:rsidR="009A7DBF" w:rsidRDefault="009A7DBF">
      <w:pPr>
        <w:widowControl w:val="0"/>
        <w:ind w:left="567" w:hanging="567"/>
        <w:rPr>
          <w:sz w:val="22"/>
          <w:szCs w:val="22"/>
        </w:rPr>
      </w:pPr>
    </w:p>
    <w:p w14:paraId="63211EAF" w14:textId="77777777" w:rsidR="009A7DBF" w:rsidRDefault="003F4922">
      <w:pPr>
        <w:widowControl w:val="0"/>
        <w:ind w:left="567" w:hanging="567"/>
        <w:outlineLvl w:val="0"/>
        <w:rPr>
          <w:rFonts w:eastAsiaTheme="minorHAnsi"/>
          <w:b/>
          <w:caps/>
          <w:sz w:val="22"/>
          <w:szCs w:val="22"/>
          <w:lang w:val="lt-LT" w:eastAsia="en-US"/>
        </w:rPr>
      </w:pPr>
      <w:r>
        <w:rPr>
          <w:b/>
          <w:caps/>
          <w:sz w:val="22"/>
          <w:szCs w:val="22"/>
        </w:rPr>
        <w:t>9.</w:t>
      </w:r>
      <w:r>
        <w:rPr>
          <w:b/>
          <w:caps/>
          <w:sz w:val="22"/>
          <w:szCs w:val="22"/>
        </w:rPr>
        <w:tab/>
      </w:r>
      <w:r>
        <w:rPr>
          <w:b/>
          <w:sz w:val="22"/>
          <w:szCs w:val="22"/>
        </w:rPr>
        <w:t xml:space="preserve">REGISTRAVIMO / PERREGISTRAVIMO </w:t>
      </w:r>
      <w:r>
        <w:rPr>
          <w:b/>
          <w:caps/>
          <w:sz w:val="22"/>
          <w:szCs w:val="22"/>
        </w:rPr>
        <w:t>data</w:t>
      </w:r>
    </w:p>
    <w:p w14:paraId="08A3154A" w14:textId="77777777" w:rsidR="009A7DBF" w:rsidRDefault="009A7DBF">
      <w:pPr>
        <w:widowControl w:val="0"/>
        <w:ind w:left="567" w:hanging="567"/>
        <w:outlineLvl w:val="0"/>
        <w:rPr>
          <w:sz w:val="22"/>
          <w:szCs w:val="22"/>
        </w:rPr>
      </w:pPr>
    </w:p>
    <w:p w14:paraId="73747911" w14:textId="77777777" w:rsidR="009A7DBF" w:rsidRDefault="003F4922">
      <w:pPr>
        <w:rPr>
          <w:rFonts w:eastAsiaTheme="minorHAnsi"/>
          <w:sz w:val="22"/>
          <w:szCs w:val="22"/>
          <w:lang w:val="lt-LT" w:eastAsia="en-US"/>
        </w:rPr>
      </w:pPr>
      <w:r>
        <w:rPr>
          <w:rFonts w:eastAsia="SimSun"/>
          <w:sz w:val="22"/>
          <w:szCs w:val="22"/>
        </w:rPr>
        <w:t>Registravimo data</w:t>
      </w:r>
      <w:r>
        <w:rPr>
          <w:sz w:val="22"/>
          <w:szCs w:val="22"/>
        </w:rPr>
        <w:t xml:space="preserve"> 2013 m. gruodžio 11 d.</w:t>
      </w:r>
    </w:p>
    <w:p w14:paraId="5655826D" w14:textId="77777777" w:rsidR="009A7DBF" w:rsidRDefault="003F4922">
      <w:pPr>
        <w:rPr>
          <w:rFonts w:eastAsia="SimSun"/>
          <w:sz w:val="22"/>
          <w:szCs w:val="22"/>
          <w:lang w:val="lt-LT" w:eastAsia="en-US"/>
        </w:rPr>
      </w:pPr>
      <w:r>
        <w:rPr>
          <w:rFonts w:eastAsia="SimSun"/>
          <w:sz w:val="22"/>
          <w:szCs w:val="22"/>
        </w:rPr>
        <w:t>Paskutinio perregistravimo data</w:t>
      </w:r>
      <w:r>
        <w:rPr>
          <w:rFonts w:eastAsia="SimSun"/>
          <w:noProof/>
          <w:sz w:val="22"/>
          <w:szCs w:val="22"/>
        </w:rPr>
        <w:t xml:space="preserve"> 2018 m. birželio 25 d.</w:t>
      </w:r>
    </w:p>
    <w:p w14:paraId="2979762D" w14:textId="77777777" w:rsidR="009A7DBF" w:rsidRDefault="009A7DBF">
      <w:pPr>
        <w:widowControl w:val="0"/>
        <w:ind w:left="567" w:hanging="567"/>
        <w:outlineLvl w:val="0"/>
        <w:rPr>
          <w:sz w:val="22"/>
          <w:szCs w:val="22"/>
        </w:rPr>
      </w:pPr>
    </w:p>
    <w:p w14:paraId="33B76960" w14:textId="77777777" w:rsidR="009A7DBF" w:rsidRDefault="009A7DBF">
      <w:pPr>
        <w:widowControl w:val="0"/>
        <w:ind w:left="567" w:hanging="567"/>
        <w:outlineLvl w:val="0"/>
        <w:rPr>
          <w:sz w:val="22"/>
          <w:szCs w:val="22"/>
        </w:rPr>
      </w:pPr>
    </w:p>
    <w:p w14:paraId="1E52573A" w14:textId="77777777" w:rsidR="009A7DBF" w:rsidRDefault="003F4922">
      <w:pPr>
        <w:widowControl w:val="0"/>
        <w:ind w:left="567" w:hanging="567"/>
        <w:outlineLvl w:val="0"/>
        <w:rPr>
          <w:rFonts w:eastAsiaTheme="minorHAnsi"/>
          <w:b/>
          <w:caps/>
          <w:sz w:val="22"/>
          <w:szCs w:val="22"/>
          <w:lang w:val="lt-LT" w:eastAsia="en-US"/>
        </w:rPr>
      </w:pPr>
      <w:r>
        <w:rPr>
          <w:b/>
          <w:caps/>
          <w:sz w:val="22"/>
          <w:szCs w:val="22"/>
        </w:rPr>
        <w:t>10.</w:t>
      </w:r>
      <w:r>
        <w:rPr>
          <w:b/>
          <w:caps/>
          <w:sz w:val="22"/>
          <w:szCs w:val="22"/>
        </w:rPr>
        <w:tab/>
        <w:t>teksto peržiūros data</w:t>
      </w:r>
    </w:p>
    <w:p w14:paraId="57E90D42" w14:textId="77777777" w:rsidR="009A7DBF" w:rsidRDefault="009A7DBF">
      <w:pPr>
        <w:widowControl w:val="0"/>
        <w:ind w:left="567" w:hanging="567"/>
        <w:rPr>
          <w:sz w:val="22"/>
          <w:szCs w:val="22"/>
        </w:rPr>
      </w:pPr>
    </w:p>
    <w:p w14:paraId="22AE77DE" w14:textId="6A3DC58E" w:rsidR="009A7DBF" w:rsidRDefault="00691DCD">
      <w:pPr>
        <w:widowControl w:val="0"/>
        <w:ind w:left="567" w:hanging="567"/>
        <w:rPr>
          <w:sz w:val="22"/>
          <w:szCs w:val="22"/>
        </w:rPr>
      </w:pPr>
      <w:r>
        <w:rPr>
          <w:sz w:val="22"/>
          <w:szCs w:val="22"/>
        </w:rPr>
        <w:t>2026 m. balandžio 23 d.</w:t>
      </w:r>
    </w:p>
    <w:p w14:paraId="1A393FCA" w14:textId="77777777" w:rsidR="009A7DBF" w:rsidRDefault="009A7DBF">
      <w:pPr>
        <w:widowControl w:val="0"/>
        <w:ind w:left="567" w:hanging="567"/>
        <w:rPr>
          <w:sz w:val="22"/>
          <w:szCs w:val="22"/>
        </w:rPr>
      </w:pPr>
    </w:p>
    <w:p w14:paraId="2150EE71" w14:textId="77777777" w:rsidR="009A7DBF" w:rsidRDefault="003F4922">
      <w:pPr>
        <w:widowControl w:val="0"/>
        <w:tabs>
          <w:tab w:val="left" w:pos="5954"/>
          <w:tab w:val="left" w:pos="6237"/>
          <w:tab w:val="left" w:pos="6663"/>
          <w:tab w:val="left" w:pos="6946"/>
        </w:tabs>
        <w:rPr>
          <w:rFonts w:eastAsiaTheme="minorHAnsi"/>
          <w:sz w:val="22"/>
          <w:szCs w:val="22"/>
          <w:lang w:val="lt-LT" w:eastAsia="en-US"/>
        </w:rPr>
      </w:pPr>
      <w:r>
        <w:rPr>
          <w:sz w:val="22"/>
          <w:szCs w:val="22"/>
        </w:rPr>
        <w:t>Išsami informacija apie šį vaistinį preparatą pateikiama Valstybinės vaistų kontrolės tarnybos prie Lietuvos Respublikos sveikatos apsaugos ministerijos tinklalapyje</w:t>
      </w:r>
      <w:r>
        <w:rPr>
          <w:i/>
          <w:sz w:val="22"/>
          <w:szCs w:val="22"/>
        </w:rPr>
        <w:t xml:space="preserve"> </w:t>
      </w:r>
      <w:hyperlink r:id="rId8" w:history="1">
        <w:r>
          <w:rPr>
            <w:rStyle w:val="Hipersaitas"/>
            <w:sz w:val="22"/>
            <w:lang w:val="sl-SI"/>
          </w:rPr>
          <w:t>https://vvkt.lrv.lt/lt/</w:t>
        </w:r>
      </w:hyperlink>
      <w:r>
        <w:rPr>
          <w:sz w:val="22"/>
          <w:szCs w:val="22"/>
          <w:lang w:eastAsia="lt-LT"/>
        </w:rPr>
        <w:t>.</w:t>
      </w:r>
    </w:p>
    <w:p w14:paraId="38D83886" w14:textId="77777777" w:rsidR="009A7DBF" w:rsidRDefault="003F4922">
      <w:pPr>
        <w:widowControl w:val="0"/>
        <w:tabs>
          <w:tab w:val="left" w:pos="1701"/>
        </w:tabs>
        <w:ind w:left="1701" w:right="1416" w:hanging="567"/>
        <w:rPr>
          <w:sz w:val="22"/>
          <w:szCs w:val="22"/>
        </w:rPr>
      </w:pPr>
      <w:r>
        <w:rPr>
          <w:sz w:val="22"/>
          <w:szCs w:val="22"/>
        </w:rPr>
        <w:br w:type="page"/>
      </w:r>
    </w:p>
    <w:p w14:paraId="59FD2D7E" w14:textId="77777777" w:rsidR="009A7DBF" w:rsidRDefault="009A7DBF">
      <w:pPr>
        <w:widowControl w:val="0"/>
        <w:ind w:left="567" w:hanging="567"/>
        <w:rPr>
          <w:sz w:val="22"/>
          <w:szCs w:val="22"/>
        </w:rPr>
      </w:pPr>
    </w:p>
    <w:p w14:paraId="60C7192E" w14:textId="77777777" w:rsidR="009A7DBF" w:rsidRDefault="009A7DBF">
      <w:pPr>
        <w:widowControl w:val="0"/>
        <w:rPr>
          <w:sz w:val="22"/>
          <w:szCs w:val="22"/>
        </w:rPr>
      </w:pPr>
    </w:p>
    <w:p w14:paraId="511DF4D1" w14:textId="77777777" w:rsidR="009A7DBF" w:rsidRDefault="009A7DBF">
      <w:pPr>
        <w:widowControl w:val="0"/>
        <w:rPr>
          <w:sz w:val="22"/>
          <w:szCs w:val="22"/>
        </w:rPr>
      </w:pPr>
    </w:p>
    <w:p w14:paraId="0545E07A" w14:textId="77777777" w:rsidR="009A7DBF" w:rsidRDefault="009A7DBF">
      <w:pPr>
        <w:widowControl w:val="0"/>
        <w:rPr>
          <w:sz w:val="22"/>
          <w:szCs w:val="22"/>
        </w:rPr>
      </w:pPr>
    </w:p>
    <w:p w14:paraId="64C16709" w14:textId="77777777" w:rsidR="009A7DBF" w:rsidRDefault="009A7DBF">
      <w:pPr>
        <w:widowControl w:val="0"/>
        <w:rPr>
          <w:sz w:val="22"/>
          <w:szCs w:val="22"/>
        </w:rPr>
      </w:pPr>
    </w:p>
    <w:p w14:paraId="6A9A9F61" w14:textId="77777777" w:rsidR="009A7DBF" w:rsidRDefault="009A7DBF">
      <w:pPr>
        <w:widowControl w:val="0"/>
        <w:rPr>
          <w:sz w:val="22"/>
          <w:szCs w:val="22"/>
        </w:rPr>
      </w:pPr>
    </w:p>
    <w:p w14:paraId="48E147A5" w14:textId="77777777" w:rsidR="009A7DBF" w:rsidRDefault="009A7DBF">
      <w:pPr>
        <w:widowControl w:val="0"/>
        <w:rPr>
          <w:sz w:val="22"/>
          <w:szCs w:val="22"/>
        </w:rPr>
      </w:pPr>
    </w:p>
    <w:p w14:paraId="05866501" w14:textId="77777777" w:rsidR="009A7DBF" w:rsidRDefault="009A7DBF">
      <w:pPr>
        <w:widowControl w:val="0"/>
        <w:rPr>
          <w:sz w:val="22"/>
          <w:szCs w:val="22"/>
        </w:rPr>
      </w:pPr>
    </w:p>
    <w:p w14:paraId="0FDD8599" w14:textId="77777777" w:rsidR="009A7DBF" w:rsidRDefault="009A7DBF">
      <w:pPr>
        <w:widowControl w:val="0"/>
        <w:rPr>
          <w:sz w:val="22"/>
          <w:szCs w:val="22"/>
        </w:rPr>
      </w:pPr>
    </w:p>
    <w:p w14:paraId="405AF4D5" w14:textId="77777777" w:rsidR="009A7DBF" w:rsidRDefault="009A7DBF">
      <w:pPr>
        <w:widowControl w:val="0"/>
        <w:rPr>
          <w:sz w:val="22"/>
          <w:szCs w:val="22"/>
        </w:rPr>
      </w:pPr>
    </w:p>
    <w:p w14:paraId="7C6F5655" w14:textId="77777777" w:rsidR="009A7DBF" w:rsidRDefault="009A7DBF">
      <w:pPr>
        <w:widowControl w:val="0"/>
        <w:rPr>
          <w:sz w:val="22"/>
          <w:szCs w:val="22"/>
        </w:rPr>
      </w:pPr>
    </w:p>
    <w:p w14:paraId="564FFB9B" w14:textId="77777777" w:rsidR="009A7DBF" w:rsidRDefault="009A7DBF">
      <w:pPr>
        <w:widowControl w:val="0"/>
        <w:rPr>
          <w:sz w:val="22"/>
          <w:szCs w:val="22"/>
        </w:rPr>
      </w:pPr>
    </w:p>
    <w:p w14:paraId="5574458B" w14:textId="77777777" w:rsidR="009A7DBF" w:rsidRDefault="009A7DBF">
      <w:pPr>
        <w:widowControl w:val="0"/>
        <w:rPr>
          <w:sz w:val="22"/>
          <w:szCs w:val="22"/>
        </w:rPr>
      </w:pPr>
    </w:p>
    <w:p w14:paraId="689CD656" w14:textId="77777777" w:rsidR="009A7DBF" w:rsidRDefault="009A7DBF">
      <w:pPr>
        <w:widowControl w:val="0"/>
        <w:rPr>
          <w:sz w:val="22"/>
          <w:szCs w:val="22"/>
        </w:rPr>
      </w:pPr>
    </w:p>
    <w:p w14:paraId="63D79036" w14:textId="77777777" w:rsidR="009A7DBF" w:rsidRDefault="009A7DBF">
      <w:pPr>
        <w:widowControl w:val="0"/>
        <w:rPr>
          <w:sz w:val="22"/>
          <w:szCs w:val="22"/>
        </w:rPr>
      </w:pPr>
    </w:p>
    <w:p w14:paraId="5FC441D4" w14:textId="77777777" w:rsidR="009A7DBF" w:rsidRDefault="009A7DBF">
      <w:pPr>
        <w:widowControl w:val="0"/>
        <w:rPr>
          <w:sz w:val="22"/>
          <w:szCs w:val="22"/>
        </w:rPr>
      </w:pPr>
    </w:p>
    <w:p w14:paraId="071E5688" w14:textId="77777777" w:rsidR="009A7DBF" w:rsidRDefault="009A7DBF">
      <w:pPr>
        <w:widowControl w:val="0"/>
        <w:rPr>
          <w:sz w:val="22"/>
          <w:szCs w:val="22"/>
        </w:rPr>
      </w:pPr>
    </w:p>
    <w:p w14:paraId="31EA6431" w14:textId="77777777" w:rsidR="009A7DBF" w:rsidRDefault="009A7DBF">
      <w:pPr>
        <w:widowControl w:val="0"/>
        <w:rPr>
          <w:sz w:val="22"/>
          <w:szCs w:val="22"/>
        </w:rPr>
      </w:pPr>
    </w:p>
    <w:p w14:paraId="08127BE7" w14:textId="77777777" w:rsidR="009A7DBF" w:rsidRDefault="009A7DBF">
      <w:pPr>
        <w:widowControl w:val="0"/>
        <w:rPr>
          <w:sz w:val="22"/>
          <w:szCs w:val="22"/>
        </w:rPr>
      </w:pPr>
    </w:p>
    <w:p w14:paraId="48280710" w14:textId="77777777" w:rsidR="009A7DBF" w:rsidRDefault="009A7DBF">
      <w:pPr>
        <w:widowControl w:val="0"/>
        <w:rPr>
          <w:sz w:val="22"/>
          <w:szCs w:val="22"/>
        </w:rPr>
      </w:pPr>
    </w:p>
    <w:p w14:paraId="42A3C8DA" w14:textId="77777777" w:rsidR="009A7DBF" w:rsidRDefault="009A7DBF">
      <w:pPr>
        <w:widowControl w:val="0"/>
        <w:rPr>
          <w:sz w:val="22"/>
          <w:szCs w:val="22"/>
        </w:rPr>
      </w:pPr>
    </w:p>
    <w:p w14:paraId="205D3D72" w14:textId="77777777" w:rsidR="009A7DBF" w:rsidRDefault="009A7DBF">
      <w:pPr>
        <w:widowControl w:val="0"/>
        <w:rPr>
          <w:sz w:val="22"/>
          <w:szCs w:val="22"/>
        </w:rPr>
      </w:pPr>
    </w:p>
    <w:p w14:paraId="340B079F" w14:textId="77777777" w:rsidR="009A7DBF" w:rsidRDefault="009A7DBF">
      <w:pPr>
        <w:widowControl w:val="0"/>
        <w:jc w:val="center"/>
        <w:outlineLvl w:val="0"/>
        <w:rPr>
          <w:b/>
          <w:sz w:val="22"/>
          <w:szCs w:val="22"/>
        </w:rPr>
      </w:pPr>
    </w:p>
    <w:p w14:paraId="263023FF" w14:textId="77777777" w:rsidR="009A7DBF" w:rsidRDefault="003F4922">
      <w:pPr>
        <w:widowControl w:val="0"/>
        <w:jc w:val="center"/>
        <w:outlineLvl w:val="0"/>
        <w:rPr>
          <w:rFonts w:eastAsiaTheme="minorHAnsi"/>
          <w:b/>
          <w:sz w:val="22"/>
          <w:szCs w:val="22"/>
          <w:lang w:val="lt-LT" w:eastAsia="en-US"/>
        </w:rPr>
      </w:pPr>
      <w:r>
        <w:rPr>
          <w:b/>
          <w:sz w:val="22"/>
          <w:szCs w:val="22"/>
        </w:rPr>
        <w:t>II PRIEDAS</w:t>
      </w:r>
    </w:p>
    <w:p w14:paraId="1FE1C12F" w14:textId="77777777" w:rsidR="009A7DBF" w:rsidRDefault="009A7DBF">
      <w:pPr>
        <w:widowControl w:val="0"/>
        <w:ind w:left="1701" w:right="1416" w:hanging="567"/>
        <w:rPr>
          <w:sz w:val="22"/>
          <w:szCs w:val="22"/>
        </w:rPr>
      </w:pPr>
    </w:p>
    <w:p w14:paraId="32BCEFDB" w14:textId="77777777" w:rsidR="009A7DBF" w:rsidRDefault="003F4922">
      <w:pPr>
        <w:tabs>
          <w:tab w:val="left" w:pos="567"/>
        </w:tabs>
        <w:spacing w:line="260" w:lineRule="exact"/>
        <w:jc w:val="center"/>
        <w:rPr>
          <w:rFonts w:eastAsiaTheme="minorHAnsi"/>
          <w:i/>
          <w:sz w:val="22"/>
          <w:szCs w:val="22"/>
          <w:lang w:val="lt-LT" w:eastAsia="en-US"/>
        </w:rPr>
      </w:pPr>
      <w:r>
        <w:rPr>
          <w:b/>
          <w:sz w:val="22"/>
          <w:szCs w:val="22"/>
        </w:rPr>
        <w:t>REGISTRACIJOS SĄLYGOS</w:t>
      </w:r>
    </w:p>
    <w:p w14:paraId="154A7EDA" w14:textId="77777777" w:rsidR="009A7DBF" w:rsidRDefault="009A7DBF">
      <w:pPr>
        <w:tabs>
          <w:tab w:val="left" w:pos="567"/>
        </w:tabs>
        <w:spacing w:line="260" w:lineRule="exact"/>
        <w:rPr>
          <w:sz w:val="22"/>
          <w:szCs w:val="22"/>
        </w:rPr>
      </w:pPr>
    </w:p>
    <w:p w14:paraId="65F11FF3" w14:textId="77777777" w:rsidR="009A7DBF" w:rsidRDefault="003F4922">
      <w:pPr>
        <w:widowControl w:val="0"/>
        <w:tabs>
          <w:tab w:val="left" w:pos="1701"/>
        </w:tabs>
        <w:ind w:left="1701" w:right="1416" w:hanging="567"/>
        <w:rPr>
          <w:rFonts w:eastAsiaTheme="minorHAnsi"/>
          <w:b/>
          <w:sz w:val="22"/>
          <w:szCs w:val="22"/>
          <w:lang w:val="lt-LT" w:eastAsia="en-US"/>
        </w:rPr>
      </w:pPr>
      <w:r>
        <w:rPr>
          <w:b/>
          <w:sz w:val="22"/>
          <w:szCs w:val="22"/>
        </w:rPr>
        <w:t>A.</w:t>
      </w:r>
      <w:r>
        <w:rPr>
          <w:b/>
          <w:sz w:val="22"/>
          <w:szCs w:val="22"/>
        </w:rPr>
        <w:tab/>
      </w:r>
      <w:r>
        <w:rPr>
          <w:rFonts w:eastAsia="Calibri"/>
          <w:b/>
          <w:sz w:val="22"/>
          <w:szCs w:val="22"/>
        </w:rPr>
        <w:t xml:space="preserve">GAMINTOJAS (-AI), ATSAKINGAS (-I) </w:t>
      </w:r>
      <w:r>
        <w:rPr>
          <w:b/>
          <w:sz w:val="22"/>
          <w:szCs w:val="22"/>
        </w:rPr>
        <w:t>UŽ SERIJŲ IŠLEIDIMĄ</w:t>
      </w:r>
    </w:p>
    <w:p w14:paraId="6E63944D" w14:textId="77777777" w:rsidR="009A7DBF" w:rsidRDefault="009A7DBF">
      <w:pPr>
        <w:widowControl w:val="0"/>
        <w:ind w:left="1701" w:right="1416" w:hanging="567"/>
        <w:rPr>
          <w:sz w:val="22"/>
          <w:szCs w:val="22"/>
        </w:rPr>
      </w:pPr>
    </w:p>
    <w:p w14:paraId="7D3D44CE" w14:textId="77777777" w:rsidR="009A7DBF" w:rsidRDefault="003F4922">
      <w:pPr>
        <w:widowControl w:val="0"/>
        <w:tabs>
          <w:tab w:val="left" w:pos="1701"/>
        </w:tabs>
        <w:ind w:left="1701" w:right="1416" w:hanging="567"/>
        <w:rPr>
          <w:rFonts w:eastAsiaTheme="minorHAnsi"/>
          <w:b/>
          <w:sz w:val="22"/>
          <w:szCs w:val="22"/>
          <w:lang w:val="lt-LT" w:eastAsia="en-US"/>
        </w:rPr>
      </w:pPr>
      <w:r>
        <w:rPr>
          <w:b/>
          <w:sz w:val="22"/>
          <w:szCs w:val="22"/>
        </w:rPr>
        <w:t>B.</w:t>
      </w:r>
      <w:r>
        <w:rPr>
          <w:b/>
          <w:sz w:val="22"/>
          <w:szCs w:val="22"/>
        </w:rPr>
        <w:tab/>
      </w:r>
      <w:r>
        <w:rPr>
          <w:rFonts w:eastAsia="Calibri"/>
          <w:b/>
          <w:sz w:val="22"/>
          <w:szCs w:val="22"/>
        </w:rPr>
        <w:t>TIEKIMO IR VARTOJIMO SĄLYGOS AR APRIBOJIMAI</w:t>
      </w:r>
    </w:p>
    <w:p w14:paraId="32859656" w14:textId="77777777" w:rsidR="009A7DBF" w:rsidRDefault="009A7DBF">
      <w:pPr>
        <w:widowControl w:val="0"/>
        <w:ind w:left="1701" w:right="1416" w:hanging="567"/>
        <w:rPr>
          <w:sz w:val="22"/>
          <w:szCs w:val="22"/>
        </w:rPr>
      </w:pPr>
    </w:p>
    <w:p w14:paraId="49E532B0" w14:textId="77777777" w:rsidR="009A7DBF" w:rsidRDefault="003F4922">
      <w:pPr>
        <w:widowControl w:val="0"/>
        <w:ind w:left="567" w:hanging="567"/>
        <w:rPr>
          <w:sz w:val="22"/>
          <w:szCs w:val="22"/>
        </w:rPr>
      </w:pPr>
      <w:r>
        <w:rPr>
          <w:sz w:val="22"/>
          <w:szCs w:val="22"/>
        </w:rPr>
        <w:br w:type="page"/>
      </w:r>
      <w:r>
        <w:rPr>
          <w:b/>
          <w:sz w:val="22"/>
          <w:szCs w:val="22"/>
        </w:rPr>
        <w:lastRenderedPageBreak/>
        <w:t>A.</w:t>
      </w:r>
      <w:r>
        <w:rPr>
          <w:b/>
          <w:sz w:val="22"/>
          <w:szCs w:val="22"/>
        </w:rPr>
        <w:tab/>
        <w:t>GAMINTOJAS (-AI), ATSAKINGAS (-I) UŽ SERIJŲ IŠLEIDIMĄ</w:t>
      </w:r>
    </w:p>
    <w:p w14:paraId="78D674C8" w14:textId="77777777" w:rsidR="009A7DBF" w:rsidRDefault="009A7DBF">
      <w:pPr>
        <w:widowControl w:val="0"/>
        <w:ind w:right="1416"/>
        <w:jc w:val="both"/>
        <w:rPr>
          <w:sz w:val="22"/>
          <w:szCs w:val="22"/>
        </w:rPr>
      </w:pPr>
    </w:p>
    <w:p w14:paraId="564B1D9B" w14:textId="77777777" w:rsidR="009A7DBF" w:rsidRDefault="003F4922">
      <w:pPr>
        <w:widowControl w:val="0"/>
        <w:shd w:val="clear" w:color="auto" w:fill="FFFFFF"/>
        <w:rPr>
          <w:rFonts w:eastAsiaTheme="minorHAnsi"/>
          <w:sz w:val="22"/>
          <w:szCs w:val="22"/>
          <w:u w:val="single"/>
          <w:lang w:val="lt-LT" w:eastAsia="en-US"/>
        </w:rPr>
      </w:pPr>
      <w:r>
        <w:rPr>
          <w:sz w:val="22"/>
          <w:szCs w:val="22"/>
          <w:u w:val="single"/>
        </w:rPr>
        <w:t>Gamintojo (-ų), atsakingo (-ų) už serijų išleidimą, pavadinimas (-ai) ir adresas (-ai)</w:t>
      </w:r>
    </w:p>
    <w:p w14:paraId="1ABBB461" w14:textId="77777777" w:rsidR="009A7DBF" w:rsidRDefault="009A7DBF">
      <w:pPr>
        <w:widowControl w:val="0"/>
        <w:shd w:val="clear" w:color="auto" w:fill="FFFFFF"/>
        <w:rPr>
          <w:color w:val="222222"/>
          <w:sz w:val="22"/>
          <w:szCs w:val="22"/>
        </w:rPr>
      </w:pPr>
    </w:p>
    <w:p w14:paraId="2E03A463" w14:textId="77777777" w:rsidR="009A7DBF" w:rsidRDefault="003F4922">
      <w:pPr>
        <w:widowControl w:val="0"/>
        <w:shd w:val="clear" w:color="auto" w:fill="FFFFFF"/>
        <w:rPr>
          <w:rFonts w:eastAsiaTheme="minorHAnsi"/>
          <w:color w:val="222222"/>
          <w:sz w:val="22"/>
          <w:szCs w:val="22"/>
          <w:lang w:val="lt-LT" w:eastAsia="en-US"/>
        </w:rPr>
      </w:pPr>
      <w:r>
        <w:rPr>
          <w:color w:val="222222"/>
          <w:sz w:val="22"/>
          <w:szCs w:val="22"/>
        </w:rPr>
        <w:t>KRKA, d.d., Novo mesto</w:t>
      </w:r>
    </w:p>
    <w:p w14:paraId="5CC637D0" w14:textId="77777777" w:rsidR="009A7DBF" w:rsidRDefault="003F4922">
      <w:pPr>
        <w:widowControl w:val="0"/>
        <w:shd w:val="clear" w:color="auto" w:fill="FFFFFF"/>
        <w:rPr>
          <w:rFonts w:eastAsiaTheme="minorHAnsi"/>
          <w:color w:val="222222"/>
          <w:sz w:val="22"/>
          <w:szCs w:val="22"/>
          <w:lang w:val="lt-LT" w:eastAsia="en-US"/>
        </w:rPr>
      </w:pPr>
      <w:r>
        <w:rPr>
          <w:color w:val="222222"/>
          <w:sz w:val="22"/>
          <w:szCs w:val="22"/>
        </w:rPr>
        <w:t>Šmarješka cesta 6 (site Ločna)</w:t>
      </w:r>
    </w:p>
    <w:p w14:paraId="3B581C33" w14:textId="77777777" w:rsidR="009A7DBF" w:rsidRDefault="003F4922">
      <w:pPr>
        <w:widowControl w:val="0"/>
        <w:shd w:val="clear" w:color="auto" w:fill="FFFFFF"/>
        <w:rPr>
          <w:rFonts w:eastAsiaTheme="minorHAnsi"/>
          <w:color w:val="222222"/>
          <w:sz w:val="22"/>
          <w:szCs w:val="22"/>
          <w:lang w:val="lt-LT" w:eastAsia="en-US"/>
        </w:rPr>
      </w:pPr>
      <w:r>
        <w:rPr>
          <w:color w:val="222222"/>
          <w:sz w:val="22"/>
          <w:szCs w:val="22"/>
        </w:rPr>
        <w:t>8501 Novo mesto</w:t>
      </w:r>
    </w:p>
    <w:p w14:paraId="3E3EB11C" w14:textId="77777777" w:rsidR="009A7DBF" w:rsidRDefault="003F4922">
      <w:pPr>
        <w:widowControl w:val="0"/>
        <w:shd w:val="clear" w:color="auto" w:fill="FFFFFF"/>
        <w:rPr>
          <w:rFonts w:eastAsiaTheme="minorHAnsi"/>
          <w:color w:val="222222"/>
          <w:sz w:val="22"/>
          <w:szCs w:val="22"/>
          <w:lang w:val="lt-LT" w:eastAsia="en-US"/>
        </w:rPr>
      </w:pPr>
      <w:r>
        <w:rPr>
          <w:color w:val="222222"/>
          <w:sz w:val="22"/>
          <w:szCs w:val="22"/>
        </w:rPr>
        <w:t>Slovėnija</w:t>
      </w:r>
    </w:p>
    <w:p w14:paraId="061D5E2F" w14:textId="77777777" w:rsidR="009A7DBF" w:rsidRDefault="009A7DBF">
      <w:pPr>
        <w:widowControl w:val="0"/>
        <w:shd w:val="clear" w:color="auto" w:fill="FFFFFF"/>
        <w:rPr>
          <w:color w:val="222222"/>
          <w:sz w:val="22"/>
          <w:szCs w:val="22"/>
        </w:rPr>
      </w:pPr>
    </w:p>
    <w:p w14:paraId="2FB2F0D7" w14:textId="77777777" w:rsidR="009A7DBF" w:rsidRDefault="003F4922">
      <w:pPr>
        <w:widowControl w:val="0"/>
        <w:shd w:val="clear" w:color="auto" w:fill="FFFFFF"/>
        <w:rPr>
          <w:rFonts w:eastAsiaTheme="minorHAnsi"/>
          <w:color w:val="222222"/>
          <w:sz w:val="22"/>
          <w:szCs w:val="22"/>
          <w:lang w:val="lt-LT" w:eastAsia="en-US"/>
        </w:rPr>
      </w:pPr>
      <w:r>
        <w:rPr>
          <w:color w:val="222222"/>
          <w:sz w:val="22"/>
          <w:szCs w:val="22"/>
        </w:rPr>
        <w:t>arba</w:t>
      </w:r>
    </w:p>
    <w:p w14:paraId="7ECE31AE" w14:textId="77777777" w:rsidR="009A7DBF" w:rsidRDefault="009A7DBF">
      <w:pPr>
        <w:widowControl w:val="0"/>
        <w:shd w:val="clear" w:color="auto" w:fill="FFFFFF"/>
        <w:rPr>
          <w:color w:val="222222"/>
          <w:sz w:val="22"/>
          <w:szCs w:val="22"/>
        </w:rPr>
      </w:pPr>
    </w:p>
    <w:p w14:paraId="4754EEA6" w14:textId="77777777" w:rsidR="009A7DBF" w:rsidRDefault="003F4922">
      <w:pPr>
        <w:widowControl w:val="0"/>
        <w:shd w:val="clear" w:color="auto" w:fill="FFFFFF"/>
        <w:rPr>
          <w:rFonts w:eastAsiaTheme="minorHAnsi"/>
          <w:color w:val="222222"/>
          <w:sz w:val="22"/>
          <w:szCs w:val="22"/>
          <w:lang w:val="lt-LT" w:eastAsia="en-US"/>
        </w:rPr>
      </w:pPr>
      <w:r>
        <w:rPr>
          <w:color w:val="222222"/>
          <w:sz w:val="22"/>
          <w:szCs w:val="22"/>
        </w:rPr>
        <w:t>TAD Pharma GmbH</w:t>
      </w:r>
    </w:p>
    <w:p w14:paraId="20543BAF" w14:textId="77777777" w:rsidR="009A7DBF" w:rsidRDefault="003F4922">
      <w:pPr>
        <w:widowControl w:val="0"/>
        <w:shd w:val="clear" w:color="auto" w:fill="FFFFFF"/>
        <w:rPr>
          <w:rFonts w:eastAsiaTheme="minorHAnsi"/>
          <w:color w:val="222222"/>
          <w:sz w:val="22"/>
          <w:szCs w:val="22"/>
          <w:lang w:val="lt-LT" w:eastAsia="en-US"/>
        </w:rPr>
      </w:pPr>
      <w:r>
        <w:rPr>
          <w:color w:val="222222"/>
          <w:sz w:val="22"/>
          <w:szCs w:val="22"/>
        </w:rPr>
        <w:t>Heinz-Lohmann-Straße 5</w:t>
      </w:r>
    </w:p>
    <w:p w14:paraId="5A827932" w14:textId="77777777" w:rsidR="009A7DBF" w:rsidRDefault="003F4922">
      <w:pPr>
        <w:widowControl w:val="0"/>
        <w:shd w:val="clear" w:color="auto" w:fill="FFFFFF"/>
        <w:rPr>
          <w:rFonts w:eastAsiaTheme="minorHAnsi"/>
          <w:color w:val="222222"/>
          <w:sz w:val="22"/>
          <w:szCs w:val="22"/>
          <w:lang w:val="lt-LT" w:eastAsia="en-US"/>
        </w:rPr>
      </w:pPr>
      <w:r>
        <w:rPr>
          <w:color w:val="222222"/>
          <w:sz w:val="22"/>
          <w:szCs w:val="22"/>
        </w:rPr>
        <w:t>27472 Cuxhaven</w:t>
      </w:r>
    </w:p>
    <w:p w14:paraId="5A705E16" w14:textId="77777777" w:rsidR="009A7DBF" w:rsidRDefault="003F4922">
      <w:pPr>
        <w:widowControl w:val="0"/>
        <w:shd w:val="clear" w:color="auto" w:fill="FFFFFF"/>
        <w:rPr>
          <w:rFonts w:eastAsiaTheme="minorHAnsi"/>
          <w:color w:val="222222"/>
          <w:sz w:val="22"/>
          <w:szCs w:val="22"/>
          <w:lang w:val="lt-LT" w:eastAsia="en-US"/>
        </w:rPr>
      </w:pPr>
      <w:r>
        <w:rPr>
          <w:color w:val="222222"/>
          <w:sz w:val="22"/>
          <w:szCs w:val="22"/>
        </w:rPr>
        <w:t>Vokietija</w:t>
      </w:r>
    </w:p>
    <w:p w14:paraId="23D6538D" w14:textId="77777777" w:rsidR="009A7DBF" w:rsidRDefault="009A7DBF">
      <w:pPr>
        <w:widowControl w:val="0"/>
        <w:shd w:val="clear" w:color="auto" w:fill="FFFFFF"/>
        <w:rPr>
          <w:color w:val="222222"/>
          <w:sz w:val="22"/>
          <w:szCs w:val="22"/>
        </w:rPr>
      </w:pPr>
    </w:p>
    <w:p w14:paraId="70500EBA" w14:textId="77777777" w:rsidR="009A7DBF" w:rsidRDefault="003F4922">
      <w:pPr>
        <w:widowControl w:val="0"/>
        <w:shd w:val="clear" w:color="auto" w:fill="FFFFFF"/>
        <w:rPr>
          <w:rFonts w:eastAsiaTheme="minorHAnsi"/>
          <w:color w:val="222222"/>
          <w:sz w:val="22"/>
          <w:szCs w:val="22"/>
          <w:lang w:val="lt-LT" w:eastAsia="en-US"/>
        </w:rPr>
      </w:pPr>
      <w:r>
        <w:rPr>
          <w:color w:val="222222"/>
          <w:sz w:val="22"/>
          <w:szCs w:val="22"/>
        </w:rPr>
        <w:t>Su pakuote pateikiamame lapelyje nurodomas gamintojo, atsakingo už konkrečios serijos išleidimą, pavadinimas ir adresas.</w:t>
      </w:r>
    </w:p>
    <w:p w14:paraId="4A51F2DA" w14:textId="77777777" w:rsidR="009A7DBF" w:rsidRDefault="009A7DBF">
      <w:pPr>
        <w:widowControl w:val="0"/>
        <w:shd w:val="clear" w:color="auto" w:fill="FFFFFF"/>
        <w:rPr>
          <w:color w:val="222222"/>
          <w:sz w:val="22"/>
          <w:szCs w:val="22"/>
        </w:rPr>
      </w:pPr>
    </w:p>
    <w:p w14:paraId="44DE63A5" w14:textId="77777777" w:rsidR="009A7DBF" w:rsidRDefault="009A7DBF">
      <w:pPr>
        <w:widowControl w:val="0"/>
        <w:jc w:val="both"/>
        <w:rPr>
          <w:sz w:val="22"/>
          <w:szCs w:val="22"/>
        </w:rPr>
      </w:pPr>
    </w:p>
    <w:p w14:paraId="22A1919A" w14:textId="77777777" w:rsidR="009A7DBF" w:rsidRDefault="003F4922">
      <w:pPr>
        <w:widowControl w:val="0"/>
        <w:ind w:left="567" w:hanging="567"/>
        <w:jc w:val="both"/>
        <w:rPr>
          <w:rFonts w:eastAsia="Calibri"/>
          <w:b/>
          <w:sz w:val="22"/>
          <w:szCs w:val="22"/>
          <w:lang w:val="lt-LT" w:eastAsia="en-US"/>
        </w:rPr>
      </w:pPr>
      <w:r>
        <w:rPr>
          <w:b/>
          <w:sz w:val="22"/>
          <w:szCs w:val="22"/>
        </w:rPr>
        <w:t>B.</w:t>
      </w:r>
      <w:r>
        <w:rPr>
          <w:b/>
          <w:sz w:val="22"/>
          <w:szCs w:val="22"/>
        </w:rPr>
        <w:tab/>
      </w:r>
      <w:r>
        <w:rPr>
          <w:rFonts w:eastAsia="Calibri"/>
          <w:b/>
          <w:sz w:val="22"/>
          <w:szCs w:val="22"/>
        </w:rPr>
        <w:t>TIEKIMO IR VARTOJIMO SĄLYGOS AR APRIBOJIMAI</w:t>
      </w:r>
    </w:p>
    <w:p w14:paraId="2B5B8090" w14:textId="77777777" w:rsidR="009A7DBF" w:rsidRDefault="009A7DBF">
      <w:pPr>
        <w:widowControl w:val="0"/>
        <w:jc w:val="both"/>
        <w:rPr>
          <w:sz w:val="22"/>
          <w:szCs w:val="22"/>
        </w:rPr>
      </w:pPr>
    </w:p>
    <w:p w14:paraId="705FCFF4" w14:textId="77777777" w:rsidR="009A7DBF" w:rsidRDefault="003F4922">
      <w:pPr>
        <w:widowControl w:val="0"/>
        <w:numPr>
          <w:ilvl w:val="12"/>
          <w:numId w:val="0"/>
        </w:numPr>
        <w:jc w:val="both"/>
        <w:outlineLvl w:val="0"/>
        <w:rPr>
          <w:rFonts w:eastAsiaTheme="minorHAnsi"/>
          <w:sz w:val="22"/>
          <w:szCs w:val="22"/>
          <w:lang w:val="lt-LT" w:eastAsia="en-US"/>
        </w:rPr>
      </w:pPr>
      <w:r>
        <w:rPr>
          <w:sz w:val="22"/>
          <w:szCs w:val="22"/>
        </w:rPr>
        <w:t>Receptinis vaistinis preparatas.</w:t>
      </w:r>
    </w:p>
    <w:p w14:paraId="26B9B3F6" w14:textId="77777777" w:rsidR="009A7DBF" w:rsidRDefault="009A7DBF">
      <w:pPr>
        <w:widowControl w:val="0"/>
        <w:numPr>
          <w:ilvl w:val="12"/>
          <w:numId w:val="0"/>
        </w:numPr>
        <w:jc w:val="both"/>
        <w:rPr>
          <w:sz w:val="22"/>
          <w:szCs w:val="22"/>
        </w:rPr>
      </w:pPr>
    </w:p>
    <w:p w14:paraId="3D39A2A2" w14:textId="77777777" w:rsidR="009A7DBF" w:rsidRDefault="009A7DBF">
      <w:pPr>
        <w:widowControl w:val="0"/>
        <w:ind w:right="-8"/>
        <w:jc w:val="both"/>
        <w:rPr>
          <w:sz w:val="22"/>
          <w:szCs w:val="22"/>
        </w:rPr>
      </w:pPr>
    </w:p>
    <w:p w14:paraId="6720F884" w14:textId="77777777" w:rsidR="009A7DBF" w:rsidRDefault="003F4922">
      <w:pPr>
        <w:widowControl w:val="0"/>
        <w:ind w:left="567" w:hanging="567"/>
        <w:rPr>
          <w:sz w:val="22"/>
          <w:szCs w:val="22"/>
        </w:rPr>
      </w:pPr>
      <w:r>
        <w:rPr>
          <w:sz w:val="22"/>
          <w:szCs w:val="22"/>
        </w:rPr>
        <w:br w:type="page"/>
      </w:r>
    </w:p>
    <w:p w14:paraId="76EACDB8" w14:textId="77777777" w:rsidR="009A7DBF" w:rsidRDefault="009A7DBF">
      <w:pPr>
        <w:widowControl w:val="0"/>
        <w:ind w:left="567" w:hanging="567"/>
        <w:rPr>
          <w:sz w:val="22"/>
          <w:szCs w:val="22"/>
        </w:rPr>
      </w:pPr>
    </w:p>
    <w:p w14:paraId="28E31005" w14:textId="77777777" w:rsidR="009A7DBF" w:rsidRDefault="009A7DBF">
      <w:pPr>
        <w:widowControl w:val="0"/>
        <w:ind w:left="567" w:hanging="567"/>
        <w:rPr>
          <w:sz w:val="22"/>
          <w:szCs w:val="22"/>
        </w:rPr>
      </w:pPr>
    </w:p>
    <w:p w14:paraId="29EA532E" w14:textId="77777777" w:rsidR="009A7DBF" w:rsidRDefault="009A7DBF">
      <w:pPr>
        <w:widowControl w:val="0"/>
        <w:ind w:left="567" w:hanging="567"/>
        <w:rPr>
          <w:sz w:val="22"/>
          <w:szCs w:val="22"/>
        </w:rPr>
      </w:pPr>
    </w:p>
    <w:p w14:paraId="1D85CA81" w14:textId="77777777" w:rsidR="009A7DBF" w:rsidRDefault="009A7DBF">
      <w:pPr>
        <w:widowControl w:val="0"/>
        <w:ind w:left="567" w:hanging="567"/>
        <w:rPr>
          <w:sz w:val="22"/>
          <w:szCs w:val="22"/>
        </w:rPr>
      </w:pPr>
    </w:p>
    <w:p w14:paraId="30B67295" w14:textId="77777777" w:rsidR="009A7DBF" w:rsidRDefault="009A7DBF">
      <w:pPr>
        <w:widowControl w:val="0"/>
        <w:ind w:left="567" w:hanging="567"/>
        <w:rPr>
          <w:sz w:val="22"/>
          <w:szCs w:val="22"/>
        </w:rPr>
      </w:pPr>
    </w:p>
    <w:p w14:paraId="62568F0D" w14:textId="77777777" w:rsidR="009A7DBF" w:rsidRDefault="009A7DBF">
      <w:pPr>
        <w:widowControl w:val="0"/>
        <w:ind w:left="567" w:hanging="567"/>
        <w:rPr>
          <w:sz w:val="22"/>
          <w:szCs w:val="22"/>
        </w:rPr>
      </w:pPr>
    </w:p>
    <w:p w14:paraId="2DBAC628" w14:textId="77777777" w:rsidR="009A7DBF" w:rsidRDefault="009A7DBF">
      <w:pPr>
        <w:widowControl w:val="0"/>
        <w:ind w:left="567" w:hanging="567"/>
        <w:rPr>
          <w:sz w:val="22"/>
          <w:szCs w:val="22"/>
        </w:rPr>
      </w:pPr>
    </w:p>
    <w:p w14:paraId="7150BD9A" w14:textId="77777777" w:rsidR="009A7DBF" w:rsidRDefault="009A7DBF">
      <w:pPr>
        <w:widowControl w:val="0"/>
        <w:ind w:left="567" w:hanging="567"/>
        <w:rPr>
          <w:sz w:val="22"/>
          <w:szCs w:val="22"/>
        </w:rPr>
      </w:pPr>
    </w:p>
    <w:p w14:paraId="4186AB51" w14:textId="77777777" w:rsidR="009A7DBF" w:rsidRDefault="009A7DBF">
      <w:pPr>
        <w:widowControl w:val="0"/>
        <w:ind w:left="567" w:hanging="567"/>
        <w:rPr>
          <w:sz w:val="22"/>
          <w:szCs w:val="22"/>
        </w:rPr>
      </w:pPr>
    </w:p>
    <w:p w14:paraId="66670B54" w14:textId="77777777" w:rsidR="009A7DBF" w:rsidRDefault="009A7DBF">
      <w:pPr>
        <w:widowControl w:val="0"/>
        <w:ind w:left="567" w:hanging="567"/>
        <w:rPr>
          <w:sz w:val="22"/>
          <w:szCs w:val="22"/>
        </w:rPr>
      </w:pPr>
    </w:p>
    <w:p w14:paraId="1A2A8B9B" w14:textId="77777777" w:rsidR="009A7DBF" w:rsidRDefault="009A7DBF">
      <w:pPr>
        <w:widowControl w:val="0"/>
        <w:ind w:left="567" w:hanging="567"/>
        <w:rPr>
          <w:sz w:val="22"/>
          <w:szCs w:val="22"/>
        </w:rPr>
      </w:pPr>
    </w:p>
    <w:p w14:paraId="6D3A76F9" w14:textId="77777777" w:rsidR="009A7DBF" w:rsidRDefault="009A7DBF">
      <w:pPr>
        <w:widowControl w:val="0"/>
        <w:ind w:left="567" w:hanging="567"/>
        <w:rPr>
          <w:sz w:val="22"/>
          <w:szCs w:val="22"/>
        </w:rPr>
      </w:pPr>
    </w:p>
    <w:p w14:paraId="76F31B1A" w14:textId="77777777" w:rsidR="009A7DBF" w:rsidRDefault="009A7DBF">
      <w:pPr>
        <w:widowControl w:val="0"/>
        <w:ind w:left="567" w:hanging="567"/>
        <w:rPr>
          <w:sz w:val="22"/>
          <w:szCs w:val="22"/>
        </w:rPr>
      </w:pPr>
    </w:p>
    <w:p w14:paraId="67639CF8" w14:textId="77777777" w:rsidR="009A7DBF" w:rsidRDefault="009A7DBF">
      <w:pPr>
        <w:widowControl w:val="0"/>
        <w:ind w:left="567" w:hanging="567"/>
        <w:rPr>
          <w:sz w:val="22"/>
          <w:szCs w:val="22"/>
        </w:rPr>
      </w:pPr>
    </w:p>
    <w:p w14:paraId="7389BEEA" w14:textId="77777777" w:rsidR="009A7DBF" w:rsidRDefault="009A7DBF">
      <w:pPr>
        <w:widowControl w:val="0"/>
        <w:ind w:left="567" w:hanging="567"/>
        <w:rPr>
          <w:sz w:val="22"/>
          <w:szCs w:val="22"/>
        </w:rPr>
      </w:pPr>
    </w:p>
    <w:p w14:paraId="066E1BA2" w14:textId="77777777" w:rsidR="009A7DBF" w:rsidRDefault="009A7DBF">
      <w:pPr>
        <w:widowControl w:val="0"/>
        <w:ind w:left="567" w:hanging="567"/>
        <w:rPr>
          <w:sz w:val="22"/>
          <w:szCs w:val="22"/>
        </w:rPr>
      </w:pPr>
    </w:p>
    <w:p w14:paraId="4926DCCF" w14:textId="77777777" w:rsidR="009A7DBF" w:rsidRDefault="009A7DBF">
      <w:pPr>
        <w:widowControl w:val="0"/>
        <w:ind w:left="567" w:hanging="567"/>
        <w:rPr>
          <w:sz w:val="22"/>
          <w:szCs w:val="22"/>
        </w:rPr>
      </w:pPr>
    </w:p>
    <w:p w14:paraId="72F1CB8F" w14:textId="77777777" w:rsidR="009A7DBF" w:rsidRDefault="009A7DBF">
      <w:pPr>
        <w:widowControl w:val="0"/>
        <w:ind w:left="567" w:hanging="567"/>
        <w:rPr>
          <w:sz w:val="22"/>
          <w:szCs w:val="22"/>
        </w:rPr>
      </w:pPr>
    </w:p>
    <w:p w14:paraId="411B2F66" w14:textId="77777777" w:rsidR="009A7DBF" w:rsidRDefault="009A7DBF">
      <w:pPr>
        <w:widowControl w:val="0"/>
        <w:ind w:left="567" w:hanging="567"/>
        <w:rPr>
          <w:sz w:val="22"/>
          <w:szCs w:val="22"/>
        </w:rPr>
      </w:pPr>
    </w:p>
    <w:p w14:paraId="4AF63F09" w14:textId="77777777" w:rsidR="009A7DBF" w:rsidRDefault="009A7DBF">
      <w:pPr>
        <w:widowControl w:val="0"/>
        <w:ind w:left="567" w:hanging="567"/>
        <w:rPr>
          <w:sz w:val="22"/>
          <w:szCs w:val="22"/>
        </w:rPr>
      </w:pPr>
    </w:p>
    <w:p w14:paraId="63DD1415" w14:textId="77777777" w:rsidR="009A7DBF" w:rsidRDefault="009A7DBF">
      <w:pPr>
        <w:widowControl w:val="0"/>
        <w:ind w:left="567" w:hanging="567"/>
        <w:rPr>
          <w:sz w:val="22"/>
          <w:szCs w:val="22"/>
        </w:rPr>
      </w:pPr>
    </w:p>
    <w:p w14:paraId="33586556" w14:textId="77777777" w:rsidR="009A7DBF" w:rsidRDefault="009A7DBF">
      <w:pPr>
        <w:widowControl w:val="0"/>
        <w:ind w:left="567" w:hanging="567"/>
        <w:rPr>
          <w:sz w:val="22"/>
          <w:szCs w:val="22"/>
        </w:rPr>
      </w:pPr>
    </w:p>
    <w:p w14:paraId="613469CF" w14:textId="77777777" w:rsidR="009A7DBF" w:rsidRDefault="009A7DBF">
      <w:pPr>
        <w:widowControl w:val="0"/>
        <w:ind w:left="567" w:hanging="567"/>
        <w:jc w:val="center"/>
        <w:outlineLvl w:val="0"/>
        <w:rPr>
          <w:b/>
          <w:sz w:val="22"/>
          <w:szCs w:val="22"/>
        </w:rPr>
      </w:pPr>
    </w:p>
    <w:p w14:paraId="32CC14AC" w14:textId="77777777" w:rsidR="009A7DBF" w:rsidRDefault="003F4922">
      <w:pPr>
        <w:widowControl w:val="0"/>
        <w:ind w:left="567" w:hanging="567"/>
        <w:jc w:val="center"/>
        <w:outlineLvl w:val="0"/>
        <w:rPr>
          <w:rFonts w:eastAsiaTheme="minorHAnsi"/>
          <w:b/>
          <w:sz w:val="22"/>
          <w:szCs w:val="22"/>
          <w:lang w:val="lt-LT" w:eastAsia="en-US"/>
        </w:rPr>
      </w:pPr>
      <w:r>
        <w:rPr>
          <w:b/>
          <w:sz w:val="22"/>
          <w:szCs w:val="22"/>
        </w:rPr>
        <w:t>III PRIEDAS</w:t>
      </w:r>
    </w:p>
    <w:p w14:paraId="5A41E898" w14:textId="77777777" w:rsidR="009A7DBF" w:rsidRDefault="009A7DBF">
      <w:pPr>
        <w:widowControl w:val="0"/>
        <w:ind w:left="567" w:hanging="567"/>
        <w:jc w:val="center"/>
        <w:rPr>
          <w:b/>
          <w:sz w:val="22"/>
          <w:szCs w:val="22"/>
        </w:rPr>
      </w:pPr>
    </w:p>
    <w:p w14:paraId="2D84EE74" w14:textId="77777777" w:rsidR="009A7DBF" w:rsidRDefault="003F4922">
      <w:pPr>
        <w:widowControl w:val="0"/>
        <w:ind w:left="567" w:hanging="567"/>
        <w:jc w:val="center"/>
        <w:outlineLvl w:val="0"/>
        <w:rPr>
          <w:rFonts w:eastAsiaTheme="minorHAnsi"/>
          <w:b/>
          <w:sz w:val="22"/>
          <w:szCs w:val="22"/>
          <w:lang w:val="lt-LT" w:eastAsia="en-US"/>
        </w:rPr>
      </w:pPr>
      <w:r>
        <w:rPr>
          <w:b/>
          <w:sz w:val="22"/>
          <w:szCs w:val="22"/>
        </w:rPr>
        <w:t>ŽENKLINIMAS IR PAKUOTĖS LAPELIS</w:t>
      </w:r>
    </w:p>
    <w:p w14:paraId="5FBCACCF" w14:textId="77777777" w:rsidR="009A7DBF" w:rsidRDefault="003F4922">
      <w:pPr>
        <w:widowControl w:val="0"/>
        <w:rPr>
          <w:sz w:val="22"/>
          <w:szCs w:val="22"/>
        </w:rPr>
      </w:pPr>
      <w:r>
        <w:rPr>
          <w:sz w:val="22"/>
          <w:szCs w:val="22"/>
        </w:rPr>
        <w:br w:type="page"/>
      </w:r>
    </w:p>
    <w:p w14:paraId="643E64C7" w14:textId="77777777" w:rsidR="009A7DBF" w:rsidRDefault="009A7DBF">
      <w:pPr>
        <w:widowControl w:val="0"/>
        <w:ind w:left="567" w:hanging="567"/>
        <w:jc w:val="center"/>
        <w:outlineLvl w:val="0"/>
        <w:rPr>
          <w:b/>
          <w:sz w:val="22"/>
          <w:szCs w:val="22"/>
        </w:rPr>
      </w:pPr>
    </w:p>
    <w:p w14:paraId="48AD0F7E" w14:textId="77777777" w:rsidR="009A7DBF" w:rsidRDefault="009A7DBF">
      <w:pPr>
        <w:widowControl w:val="0"/>
        <w:ind w:left="567" w:hanging="567"/>
        <w:jc w:val="center"/>
        <w:outlineLvl w:val="0"/>
        <w:rPr>
          <w:b/>
          <w:sz w:val="22"/>
          <w:szCs w:val="22"/>
        </w:rPr>
      </w:pPr>
    </w:p>
    <w:p w14:paraId="32382F83" w14:textId="77777777" w:rsidR="009A7DBF" w:rsidRDefault="009A7DBF">
      <w:pPr>
        <w:widowControl w:val="0"/>
        <w:ind w:left="567" w:hanging="567"/>
        <w:jc w:val="center"/>
        <w:outlineLvl w:val="0"/>
        <w:rPr>
          <w:b/>
          <w:sz w:val="22"/>
          <w:szCs w:val="22"/>
        </w:rPr>
      </w:pPr>
    </w:p>
    <w:p w14:paraId="30838D28" w14:textId="77777777" w:rsidR="009A7DBF" w:rsidRDefault="009A7DBF">
      <w:pPr>
        <w:widowControl w:val="0"/>
        <w:ind w:left="567" w:hanging="567"/>
        <w:jc w:val="center"/>
        <w:outlineLvl w:val="0"/>
        <w:rPr>
          <w:b/>
          <w:sz w:val="22"/>
          <w:szCs w:val="22"/>
        </w:rPr>
      </w:pPr>
    </w:p>
    <w:p w14:paraId="41CB05D5" w14:textId="77777777" w:rsidR="009A7DBF" w:rsidRDefault="009A7DBF">
      <w:pPr>
        <w:widowControl w:val="0"/>
        <w:ind w:left="567" w:hanging="567"/>
        <w:jc w:val="center"/>
        <w:outlineLvl w:val="0"/>
        <w:rPr>
          <w:b/>
          <w:sz w:val="22"/>
          <w:szCs w:val="22"/>
        </w:rPr>
      </w:pPr>
    </w:p>
    <w:p w14:paraId="24AB8F1A" w14:textId="77777777" w:rsidR="009A7DBF" w:rsidRDefault="009A7DBF">
      <w:pPr>
        <w:widowControl w:val="0"/>
        <w:ind w:left="567" w:hanging="567"/>
        <w:jc w:val="center"/>
        <w:outlineLvl w:val="0"/>
        <w:rPr>
          <w:b/>
          <w:sz w:val="22"/>
          <w:szCs w:val="22"/>
        </w:rPr>
      </w:pPr>
    </w:p>
    <w:p w14:paraId="649DA04D" w14:textId="77777777" w:rsidR="009A7DBF" w:rsidRDefault="009A7DBF">
      <w:pPr>
        <w:widowControl w:val="0"/>
        <w:ind w:left="567" w:hanging="567"/>
        <w:jc w:val="center"/>
        <w:outlineLvl w:val="0"/>
        <w:rPr>
          <w:b/>
          <w:sz w:val="22"/>
          <w:szCs w:val="22"/>
        </w:rPr>
      </w:pPr>
    </w:p>
    <w:p w14:paraId="0E1B8B3C" w14:textId="77777777" w:rsidR="009A7DBF" w:rsidRDefault="009A7DBF">
      <w:pPr>
        <w:widowControl w:val="0"/>
        <w:ind w:left="567" w:hanging="567"/>
        <w:jc w:val="center"/>
        <w:outlineLvl w:val="0"/>
        <w:rPr>
          <w:b/>
          <w:sz w:val="22"/>
          <w:szCs w:val="22"/>
        </w:rPr>
      </w:pPr>
    </w:p>
    <w:p w14:paraId="51B9276E" w14:textId="77777777" w:rsidR="009A7DBF" w:rsidRDefault="009A7DBF">
      <w:pPr>
        <w:widowControl w:val="0"/>
        <w:ind w:left="567" w:hanging="567"/>
        <w:jc w:val="center"/>
        <w:outlineLvl w:val="0"/>
        <w:rPr>
          <w:b/>
          <w:sz w:val="22"/>
          <w:szCs w:val="22"/>
        </w:rPr>
      </w:pPr>
    </w:p>
    <w:p w14:paraId="472A8E5D" w14:textId="77777777" w:rsidR="009A7DBF" w:rsidRDefault="009A7DBF">
      <w:pPr>
        <w:widowControl w:val="0"/>
        <w:ind w:left="567" w:hanging="567"/>
        <w:jc w:val="center"/>
        <w:outlineLvl w:val="0"/>
        <w:rPr>
          <w:b/>
          <w:sz w:val="22"/>
          <w:szCs w:val="22"/>
        </w:rPr>
      </w:pPr>
    </w:p>
    <w:p w14:paraId="46A452BD" w14:textId="77777777" w:rsidR="009A7DBF" w:rsidRDefault="009A7DBF">
      <w:pPr>
        <w:widowControl w:val="0"/>
        <w:ind w:left="567" w:hanging="567"/>
        <w:jc w:val="center"/>
        <w:outlineLvl w:val="0"/>
        <w:rPr>
          <w:b/>
          <w:sz w:val="22"/>
          <w:szCs w:val="22"/>
        </w:rPr>
      </w:pPr>
    </w:p>
    <w:p w14:paraId="2906E50B" w14:textId="77777777" w:rsidR="009A7DBF" w:rsidRDefault="009A7DBF">
      <w:pPr>
        <w:widowControl w:val="0"/>
        <w:ind w:left="567" w:hanging="567"/>
        <w:jc w:val="center"/>
        <w:outlineLvl w:val="0"/>
        <w:rPr>
          <w:b/>
          <w:sz w:val="22"/>
          <w:szCs w:val="22"/>
        </w:rPr>
      </w:pPr>
    </w:p>
    <w:p w14:paraId="088D9C4F" w14:textId="77777777" w:rsidR="009A7DBF" w:rsidRDefault="009A7DBF">
      <w:pPr>
        <w:widowControl w:val="0"/>
        <w:ind w:left="567" w:hanging="567"/>
        <w:jc w:val="center"/>
        <w:outlineLvl w:val="0"/>
        <w:rPr>
          <w:b/>
          <w:sz w:val="22"/>
          <w:szCs w:val="22"/>
        </w:rPr>
      </w:pPr>
    </w:p>
    <w:p w14:paraId="3BB236DA" w14:textId="77777777" w:rsidR="009A7DBF" w:rsidRDefault="009A7DBF">
      <w:pPr>
        <w:widowControl w:val="0"/>
        <w:ind w:left="567" w:hanging="567"/>
        <w:jc w:val="center"/>
        <w:outlineLvl w:val="0"/>
        <w:rPr>
          <w:b/>
          <w:sz w:val="22"/>
          <w:szCs w:val="22"/>
        </w:rPr>
      </w:pPr>
    </w:p>
    <w:p w14:paraId="3EEF0CDB" w14:textId="77777777" w:rsidR="009A7DBF" w:rsidRDefault="009A7DBF">
      <w:pPr>
        <w:widowControl w:val="0"/>
        <w:ind w:left="567" w:hanging="567"/>
        <w:jc w:val="center"/>
        <w:outlineLvl w:val="0"/>
        <w:rPr>
          <w:b/>
          <w:sz w:val="22"/>
          <w:szCs w:val="22"/>
        </w:rPr>
      </w:pPr>
    </w:p>
    <w:p w14:paraId="73CD0838" w14:textId="77777777" w:rsidR="009A7DBF" w:rsidRDefault="009A7DBF">
      <w:pPr>
        <w:widowControl w:val="0"/>
        <w:ind w:left="567" w:hanging="567"/>
        <w:jc w:val="center"/>
        <w:outlineLvl w:val="0"/>
        <w:rPr>
          <w:b/>
          <w:sz w:val="22"/>
          <w:szCs w:val="22"/>
        </w:rPr>
      </w:pPr>
    </w:p>
    <w:p w14:paraId="1BC1444E" w14:textId="77777777" w:rsidR="009A7DBF" w:rsidRDefault="009A7DBF">
      <w:pPr>
        <w:widowControl w:val="0"/>
        <w:ind w:left="567" w:hanging="567"/>
        <w:jc w:val="center"/>
        <w:outlineLvl w:val="0"/>
        <w:rPr>
          <w:b/>
          <w:sz w:val="22"/>
          <w:szCs w:val="22"/>
        </w:rPr>
      </w:pPr>
    </w:p>
    <w:p w14:paraId="606636D5" w14:textId="77777777" w:rsidR="009A7DBF" w:rsidRDefault="009A7DBF">
      <w:pPr>
        <w:widowControl w:val="0"/>
        <w:ind w:left="567" w:hanging="567"/>
        <w:jc w:val="center"/>
        <w:outlineLvl w:val="0"/>
        <w:rPr>
          <w:b/>
          <w:sz w:val="22"/>
          <w:szCs w:val="22"/>
        </w:rPr>
      </w:pPr>
    </w:p>
    <w:p w14:paraId="4C5262B1" w14:textId="77777777" w:rsidR="009A7DBF" w:rsidRDefault="009A7DBF">
      <w:pPr>
        <w:widowControl w:val="0"/>
        <w:ind w:left="567" w:hanging="567"/>
        <w:jc w:val="center"/>
        <w:outlineLvl w:val="0"/>
        <w:rPr>
          <w:b/>
          <w:sz w:val="22"/>
          <w:szCs w:val="22"/>
        </w:rPr>
      </w:pPr>
    </w:p>
    <w:p w14:paraId="0FA10DED" w14:textId="77777777" w:rsidR="009A7DBF" w:rsidRDefault="009A7DBF">
      <w:pPr>
        <w:widowControl w:val="0"/>
        <w:ind w:left="567" w:hanging="567"/>
        <w:jc w:val="center"/>
        <w:outlineLvl w:val="0"/>
        <w:rPr>
          <w:b/>
          <w:sz w:val="22"/>
          <w:szCs w:val="22"/>
        </w:rPr>
      </w:pPr>
    </w:p>
    <w:p w14:paraId="309FE69C" w14:textId="77777777" w:rsidR="009A7DBF" w:rsidRDefault="009A7DBF">
      <w:pPr>
        <w:widowControl w:val="0"/>
        <w:ind w:left="567" w:hanging="567"/>
        <w:jc w:val="center"/>
        <w:outlineLvl w:val="0"/>
        <w:rPr>
          <w:b/>
          <w:sz w:val="22"/>
          <w:szCs w:val="22"/>
        </w:rPr>
      </w:pPr>
    </w:p>
    <w:p w14:paraId="015EBA47" w14:textId="77777777" w:rsidR="009A7DBF" w:rsidRDefault="009A7DBF">
      <w:pPr>
        <w:widowControl w:val="0"/>
        <w:ind w:left="567" w:hanging="567"/>
        <w:jc w:val="center"/>
        <w:outlineLvl w:val="0"/>
        <w:rPr>
          <w:b/>
          <w:sz w:val="22"/>
          <w:szCs w:val="22"/>
        </w:rPr>
      </w:pPr>
    </w:p>
    <w:p w14:paraId="2A1CF3D6" w14:textId="77777777" w:rsidR="009A7DBF" w:rsidRDefault="009A7DBF">
      <w:pPr>
        <w:widowControl w:val="0"/>
        <w:ind w:left="567" w:hanging="567"/>
        <w:jc w:val="center"/>
        <w:outlineLvl w:val="0"/>
        <w:rPr>
          <w:b/>
          <w:sz w:val="22"/>
          <w:szCs w:val="22"/>
        </w:rPr>
      </w:pPr>
    </w:p>
    <w:p w14:paraId="33C31B81" w14:textId="77777777" w:rsidR="009A7DBF" w:rsidRDefault="003F4922">
      <w:pPr>
        <w:widowControl w:val="0"/>
        <w:ind w:left="567" w:hanging="567"/>
        <w:jc w:val="center"/>
        <w:outlineLvl w:val="0"/>
        <w:rPr>
          <w:rFonts w:eastAsiaTheme="minorHAnsi"/>
          <w:b/>
          <w:sz w:val="22"/>
          <w:szCs w:val="22"/>
          <w:lang w:val="lt-LT" w:eastAsia="en-US"/>
        </w:rPr>
      </w:pPr>
      <w:r>
        <w:rPr>
          <w:b/>
          <w:sz w:val="22"/>
          <w:szCs w:val="22"/>
        </w:rPr>
        <w:t>A. ŽENKLINIMAS</w:t>
      </w:r>
    </w:p>
    <w:p w14:paraId="5F030322" w14:textId="77777777" w:rsidR="009A7DBF" w:rsidRDefault="003F4922">
      <w:pPr>
        <w:widowControl w:val="0"/>
        <w:pBdr>
          <w:top w:val="single" w:sz="4" w:space="1" w:color="auto"/>
          <w:left w:val="single" w:sz="4" w:space="4" w:color="auto"/>
          <w:bottom w:val="single" w:sz="4" w:space="1" w:color="auto"/>
          <w:right w:val="single" w:sz="4" w:space="4" w:color="auto"/>
        </w:pBdr>
        <w:outlineLvl w:val="0"/>
        <w:rPr>
          <w:b/>
          <w:caps/>
          <w:sz w:val="22"/>
          <w:szCs w:val="22"/>
        </w:rPr>
      </w:pPr>
      <w:r>
        <w:rPr>
          <w:sz w:val="22"/>
          <w:szCs w:val="22"/>
        </w:rPr>
        <w:br w:type="page"/>
      </w:r>
      <w:r>
        <w:rPr>
          <w:b/>
          <w:caps/>
          <w:sz w:val="22"/>
          <w:szCs w:val="22"/>
        </w:rPr>
        <w:lastRenderedPageBreak/>
        <w:t xml:space="preserve">Informacija ant </w:t>
      </w:r>
      <w:r>
        <w:rPr>
          <w:b/>
          <w:sz w:val="22"/>
          <w:szCs w:val="22"/>
        </w:rPr>
        <w:t>IŠORINĖS</w:t>
      </w:r>
      <w:r>
        <w:rPr>
          <w:b/>
          <w:caps/>
          <w:sz w:val="22"/>
          <w:szCs w:val="22"/>
        </w:rPr>
        <w:t>pakuotės</w:t>
      </w:r>
    </w:p>
    <w:p w14:paraId="119C1AB1" w14:textId="77777777" w:rsidR="009A7DBF" w:rsidRDefault="009A7DBF">
      <w:pPr>
        <w:widowControl w:val="0"/>
        <w:pBdr>
          <w:top w:val="single" w:sz="4" w:space="1" w:color="auto"/>
          <w:left w:val="single" w:sz="4" w:space="4" w:color="auto"/>
          <w:bottom w:val="single" w:sz="4" w:space="1" w:color="auto"/>
          <w:right w:val="single" w:sz="4" w:space="4" w:color="auto"/>
        </w:pBdr>
        <w:ind w:left="567" w:hanging="567"/>
        <w:rPr>
          <w:sz w:val="22"/>
          <w:szCs w:val="22"/>
        </w:rPr>
      </w:pPr>
    </w:p>
    <w:p w14:paraId="2CB8A050" w14:textId="77777777" w:rsidR="009A7DBF" w:rsidRDefault="003F4922">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sz w:val="22"/>
          <w:szCs w:val="22"/>
        </w:rPr>
        <w:t>KARTONO DĖŽUTĖ, kurioje yra PVC/Al lizdinių plokštelių</w:t>
      </w:r>
    </w:p>
    <w:p w14:paraId="41EAF6C0" w14:textId="77777777" w:rsidR="009A7DBF" w:rsidRDefault="009A7DBF">
      <w:pPr>
        <w:widowControl w:val="0"/>
        <w:ind w:left="567" w:hanging="567"/>
        <w:rPr>
          <w:sz w:val="22"/>
          <w:szCs w:val="22"/>
        </w:rPr>
      </w:pPr>
    </w:p>
    <w:p w14:paraId="6E090DD9" w14:textId="77777777" w:rsidR="009A7DBF" w:rsidRDefault="009A7DBF">
      <w:pPr>
        <w:widowControl w:val="0"/>
        <w:ind w:left="567" w:hanging="567"/>
        <w:rPr>
          <w:sz w:val="22"/>
          <w:szCs w:val="22"/>
        </w:rPr>
      </w:pPr>
    </w:p>
    <w:p w14:paraId="6C651F76" w14:textId="77777777" w:rsidR="009A7DBF" w:rsidRDefault="003F4922">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1.</w:t>
      </w:r>
      <w:r>
        <w:rPr>
          <w:b/>
          <w:caps/>
          <w:sz w:val="22"/>
          <w:szCs w:val="22"/>
        </w:rPr>
        <w:tab/>
        <w:t>vaistinio preparato pavadinimas</w:t>
      </w:r>
    </w:p>
    <w:p w14:paraId="7E74E5C7" w14:textId="77777777" w:rsidR="009A7DBF" w:rsidRDefault="009A7DBF">
      <w:pPr>
        <w:widowControl w:val="0"/>
        <w:ind w:left="567" w:hanging="567"/>
        <w:rPr>
          <w:sz w:val="22"/>
          <w:szCs w:val="22"/>
        </w:rPr>
      </w:pPr>
    </w:p>
    <w:p w14:paraId="65A0037E" w14:textId="77777777" w:rsidR="009A7DBF" w:rsidRDefault="003F4922">
      <w:pPr>
        <w:widowControl w:val="0"/>
        <w:ind w:left="567" w:hanging="567"/>
        <w:outlineLvl w:val="0"/>
        <w:rPr>
          <w:rFonts w:eastAsiaTheme="minorHAnsi"/>
          <w:sz w:val="22"/>
          <w:szCs w:val="22"/>
          <w:lang w:val="lt-LT" w:eastAsia="en-US"/>
        </w:rPr>
      </w:pPr>
      <w:r>
        <w:rPr>
          <w:sz w:val="22"/>
          <w:szCs w:val="22"/>
        </w:rPr>
        <w:t>Aclexa 100 mg kietosios kapsulės</w:t>
      </w:r>
    </w:p>
    <w:p w14:paraId="46B2F0E2" w14:textId="77777777" w:rsidR="009A7DBF" w:rsidRDefault="003F4922">
      <w:pPr>
        <w:widowControl w:val="0"/>
        <w:ind w:left="567" w:hanging="567"/>
        <w:outlineLvl w:val="0"/>
        <w:rPr>
          <w:rFonts w:eastAsiaTheme="minorHAnsi"/>
          <w:sz w:val="22"/>
          <w:szCs w:val="22"/>
          <w:shd w:val="pct15" w:color="auto" w:fill="FFFFFF"/>
          <w:lang w:val="lt-LT" w:eastAsia="en-US"/>
        </w:rPr>
      </w:pPr>
      <w:r>
        <w:rPr>
          <w:sz w:val="22"/>
          <w:szCs w:val="22"/>
          <w:shd w:val="pct15" w:color="auto" w:fill="FFFFFF"/>
        </w:rPr>
        <w:t>Aclexa 200 mg kietosios kapsulės</w:t>
      </w:r>
    </w:p>
    <w:p w14:paraId="59CFEE75" w14:textId="77777777" w:rsidR="009A7DBF" w:rsidRDefault="009A7DBF">
      <w:pPr>
        <w:widowControl w:val="0"/>
        <w:ind w:left="567" w:hanging="567"/>
        <w:rPr>
          <w:sz w:val="22"/>
          <w:szCs w:val="22"/>
        </w:rPr>
      </w:pPr>
    </w:p>
    <w:p w14:paraId="18FBEEF9" w14:textId="77777777" w:rsidR="009A7DBF" w:rsidRDefault="003F4922">
      <w:pPr>
        <w:widowControl w:val="0"/>
        <w:ind w:left="567" w:hanging="567"/>
        <w:rPr>
          <w:rFonts w:eastAsiaTheme="minorHAnsi"/>
          <w:sz w:val="22"/>
          <w:szCs w:val="22"/>
          <w:lang w:val="lt-LT" w:eastAsia="en-US"/>
        </w:rPr>
      </w:pPr>
      <w:r>
        <w:rPr>
          <w:sz w:val="22"/>
          <w:szCs w:val="22"/>
        </w:rPr>
        <w:t>celekoksibas</w:t>
      </w:r>
    </w:p>
    <w:p w14:paraId="140B9296" w14:textId="77777777" w:rsidR="009A7DBF" w:rsidRDefault="009A7DBF">
      <w:pPr>
        <w:widowControl w:val="0"/>
        <w:ind w:left="567" w:hanging="567"/>
        <w:rPr>
          <w:sz w:val="22"/>
          <w:szCs w:val="22"/>
        </w:rPr>
      </w:pPr>
    </w:p>
    <w:p w14:paraId="1B034CF3" w14:textId="77777777" w:rsidR="009A7DBF" w:rsidRDefault="009A7DBF">
      <w:pPr>
        <w:widowControl w:val="0"/>
        <w:ind w:left="567" w:hanging="567"/>
        <w:rPr>
          <w:sz w:val="22"/>
          <w:szCs w:val="22"/>
        </w:rPr>
      </w:pPr>
    </w:p>
    <w:p w14:paraId="68ABD28D" w14:textId="77777777" w:rsidR="009A7DBF" w:rsidRDefault="003F4922">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2.</w:t>
      </w:r>
      <w:r>
        <w:rPr>
          <w:b/>
          <w:caps/>
          <w:sz w:val="22"/>
          <w:szCs w:val="22"/>
        </w:rPr>
        <w:tab/>
        <w:t>VEIKLIOJI (-IOS) MEDŽIAGA (-OS) IR JOS (-Ų) KIEKIS (-IAI)</w:t>
      </w:r>
    </w:p>
    <w:p w14:paraId="22B967FB" w14:textId="77777777" w:rsidR="009A7DBF" w:rsidRDefault="009A7DBF">
      <w:pPr>
        <w:widowControl w:val="0"/>
        <w:ind w:left="567" w:hanging="567"/>
        <w:rPr>
          <w:caps/>
          <w:sz w:val="22"/>
          <w:szCs w:val="22"/>
        </w:rPr>
      </w:pPr>
    </w:p>
    <w:p w14:paraId="3DD6CC38" w14:textId="77777777" w:rsidR="009A7DBF" w:rsidRDefault="003F4922">
      <w:pPr>
        <w:widowControl w:val="0"/>
        <w:ind w:left="567" w:hanging="567"/>
        <w:outlineLvl w:val="0"/>
        <w:rPr>
          <w:rFonts w:eastAsiaTheme="minorHAnsi"/>
          <w:caps/>
          <w:sz w:val="22"/>
          <w:szCs w:val="22"/>
          <w:lang w:val="lt-LT" w:eastAsia="en-US"/>
        </w:rPr>
      </w:pPr>
      <w:r>
        <w:rPr>
          <w:sz w:val="22"/>
          <w:szCs w:val="22"/>
        </w:rPr>
        <w:t>Kiekvienoje kietojoje kapsulėje yra 100 mg celekoksibo.</w:t>
      </w:r>
    </w:p>
    <w:p w14:paraId="7465577C" w14:textId="77777777" w:rsidR="009A7DBF" w:rsidRDefault="003F4922">
      <w:pPr>
        <w:widowControl w:val="0"/>
        <w:ind w:left="567" w:hanging="567"/>
        <w:outlineLvl w:val="0"/>
        <w:rPr>
          <w:rFonts w:eastAsiaTheme="minorHAnsi"/>
          <w:caps/>
          <w:sz w:val="22"/>
          <w:szCs w:val="22"/>
          <w:shd w:val="pct15" w:color="auto" w:fill="FFFFFF"/>
          <w:lang w:val="lt-LT" w:eastAsia="en-US"/>
        </w:rPr>
      </w:pPr>
      <w:r>
        <w:rPr>
          <w:sz w:val="22"/>
          <w:szCs w:val="22"/>
          <w:shd w:val="pct15" w:color="auto" w:fill="FFFFFF"/>
        </w:rPr>
        <w:t>Kiekvienoje kietojoje kapsulėje yra 200 mg celekoksibo.</w:t>
      </w:r>
    </w:p>
    <w:p w14:paraId="6EDA1366" w14:textId="77777777" w:rsidR="009A7DBF" w:rsidRDefault="009A7DBF">
      <w:pPr>
        <w:widowControl w:val="0"/>
        <w:ind w:left="567" w:hanging="567"/>
        <w:rPr>
          <w:caps/>
          <w:sz w:val="22"/>
          <w:szCs w:val="22"/>
        </w:rPr>
      </w:pPr>
    </w:p>
    <w:p w14:paraId="3F272ADD" w14:textId="77777777" w:rsidR="009A7DBF" w:rsidRDefault="009A7DBF">
      <w:pPr>
        <w:widowControl w:val="0"/>
        <w:ind w:left="567" w:hanging="567"/>
        <w:rPr>
          <w:caps/>
          <w:sz w:val="22"/>
          <w:szCs w:val="22"/>
        </w:rPr>
      </w:pPr>
    </w:p>
    <w:p w14:paraId="5CA42F09" w14:textId="77777777" w:rsidR="009A7DBF" w:rsidRDefault="003F4922">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3.</w:t>
      </w:r>
      <w:r>
        <w:rPr>
          <w:b/>
          <w:caps/>
          <w:sz w:val="22"/>
          <w:szCs w:val="22"/>
        </w:rPr>
        <w:tab/>
        <w:t>pagalbinių medžiagų sąrašas</w:t>
      </w:r>
    </w:p>
    <w:p w14:paraId="21AD4270" w14:textId="77777777" w:rsidR="009A7DBF" w:rsidRDefault="009A7DBF">
      <w:pPr>
        <w:widowControl w:val="0"/>
        <w:ind w:left="567" w:hanging="567"/>
        <w:rPr>
          <w:caps/>
          <w:sz w:val="22"/>
          <w:szCs w:val="22"/>
        </w:rPr>
      </w:pPr>
    </w:p>
    <w:p w14:paraId="0EDA982F" w14:textId="77777777" w:rsidR="009A7DBF" w:rsidRDefault="003F4922">
      <w:pPr>
        <w:widowControl w:val="0"/>
        <w:ind w:left="567" w:hanging="567"/>
        <w:rPr>
          <w:rFonts w:eastAsiaTheme="minorHAnsi"/>
          <w:sz w:val="22"/>
          <w:szCs w:val="22"/>
          <w:lang w:val="lt-LT" w:eastAsia="en-US"/>
        </w:rPr>
      </w:pPr>
      <w:r>
        <w:rPr>
          <w:sz w:val="22"/>
          <w:szCs w:val="22"/>
        </w:rPr>
        <w:t>Pagalbinė medžiaga: laktozė monohidratas.</w:t>
      </w:r>
    </w:p>
    <w:p w14:paraId="730D0037" w14:textId="77777777" w:rsidR="009A7DBF" w:rsidRDefault="003F4922">
      <w:pPr>
        <w:widowControl w:val="0"/>
        <w:ind w:left="567" w:hanging="567"/>
        <w:rPr>
          <w:rFonts w:eastAsiaTheme="minorHAnsi"/>
          <w:sz w:val="22"/>
          <w:szCs w:val="22"/>
          <w:lang w:val="lt-LT" w:eastAsia="en-US"/>
        </w:rPr>
      </w:pPr>
      <w:r>
        <w:rPr>
          <w:sz w:val="22"/>
          <w:szCs w:val="22"/>
        </w:rPr>
        <w:t>Daugiau informacijos pateikta pakuotės lapelyje.</w:t>
      </w:r>
    </w:p>
    <w:p w14:paraId="54CE2036" w14:textId="77777777" w:rsidR="009A7DBF" w:rsidRDefault="009A7DBF">
      <w:pPr>
        <w:widowControl w:val="0"/>
        <w:ind w:left="567" w:hanging="567"/>
        <w:rPr>
          <w:caps/>
          <w:sz w:val="22"/>
          <w:szCs w:val="22"/>
        </w:rPr>
      </w:pPr>
    </w:p>
    <w:p w14:paraId="02B6968E" w14:textId="77777777" w:rsidR="009A7DBF" w:rsidRDefault="009A7DBF">
      <w:pPr>
        <w:widowControl w:val="0"/>
        <w:ind w:left="567" w:hanging="567"/>
        <w:rPr>
          <w:caps/>
          <w:sz w:val="22"/>
          <w:szCs w:val="22"/>
        </w:rPr>
      </w:pPr>
    </w:p>
    <w:p w14:paraId="31BA7E62" w14:textId="77777777" w:rsidR="009A7DBF" w:rsidRDefault="003F4922">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4.</w:t>
      </w:r>
      <w:r>
        <w:rPr>
          <w:b/>
          <w:caps/>
          <w:sz w:val="22"/>
          <w:szCs w:val="22"/>
        </w:rPr>
        <w:tab/>
        <w:t>fARMACINĖ forma ir KIEKIS PAKUOTĖJE</w:t>
      </w:r>
    </w:p>
    <w:p w14:paraId="5A8F434E" w14:textId="77777777" w:rsidR="009A7DBF" w:rsidRDefault="009A7DBF">
      <w:pPr>
        <w:widowControl w:val="0"/>
        <w:ind w:left="567" w:hanging="567"/>
        <w:rPr>
          <w:caps/>
          <w:sz w:val="22"/>
          <w:szCs w:val="22"/>
        </w:rPr>
      </w:pPr>
    </w:p>
    <w:p w14:paraId="4515DFAD" w14:textId="77777777" w:rsidR="009A7DBF" w:rsidRDefault="003F4922">
      <w:pPr>
        <w:widowControl w:val="0"/>
        <w:rPr>
          <w:rFonts w:eastAsia="Calibri"/>
          <w:sz w:val="22"/>
          <w:szCs w:val="22"/>
          <w:highlight w:val="lightGray"/>
          <w:lang w:val="lt-LT" w:eastAsia="en-US"/>
        </w:rPr>
      </w:pPr>
      <w:r>
        <w:rPr>
          <w:rFonts w:eastAsia="Calibri"/>
          <w:sz w:val="22"/>
          <w:szCs w:val="22"/>
          <w:highlight w:val="lightGray"/>
        </w:rPr>
        <w:t>Kietoji kapsulė</w:t>
      </w:r>
    </w:p>
    <w:p w14:paraId="7332CF9A" w14:textId="77777777" w:rsidR="009A7DBF" w:rsidRDefault="009A7DBF">
      <w:pPr>
        <w:widowControl w:val="0"/>
        <w:rPr>
          <w:rFonts w:eastAsia="Calibri"/>
          <w:sz w:val="22"/>
          <w:szCs w:val="22"/>
        </w:rPr>
      </w:pPr>
    </w:p>
    <w:p w14:paraId="7F534C64" w14:textId="77777777" w:rsidR="009A7DBF" w:rsidRDefault="003F4922">
      <w:pPr>
        <w:widowControl w:val="0"/>
        <w:rPr>
          <w:rFonts w:eastAsia="Calibri"/>
          <w:sz w:val="22"/>
          <w:szCs w:val="22"/>
          <w:lang w:val="lt-LT" w:eastAsia="en-US"/>
        </w:rPr>
      </w:pPr>
      <w:r>
        <w:rPr>
          <w:rFonts w:eastAsia="Calibri"/>
          <w:sz w:val="22"/>
          <w:szCs w:val="22"/>
        </w:rPr>
        <w:t xml:space="preserve">10 </w:t>
      </w:r>
      <w:r>
        <w:rPr>
          <w:sz w:val="22"/>
          <w:szCs w:val="22"/>
        </w:rPr>
        <w:t>kietųjų kapsulių</w:t>
      </w:r>
    </w:p>
    <w:p w14:paraId="39A68580" w14:textId="77777777" w:rsidR="009A7DBF" w:rsidRDefault="003F4922">
      <w:pPr>
        <w:widowControl w:val="0"/>
        <w:rPr>
          <w:rFonts w:eastAsia="Calibri"/>
          <w:sz w:val="22"/>
          <w:szCs w:val="22"/>
          <w:highlight w:val="lightGray"/>
          <w:lang w:val="lt-LT" w:eastAsia="en-US"/>
        </w:rPr>
      </w:pPr>
      <w:r>
        <w:rPr>
          <w:rFonts w:eastAsia="Calibri"/>
          <w:sz w:val="22"/>
          <w:szCs w:val="22"/>
          <w:highlight w:val="lightGray"/>
        </w:rPr>
        <w:t xml:space="preserve">20 </w:t>
      </w:r>
      <w:r>
        <w:rPr>
          <w:sz w:val="22"/>
          <w:szCs w:val="22"/>
          <w:highlight w:val="lightGray"/>
        </w:rPr>
        <w:t>kietųjų kapsulių</w:t>
      </w:r>
    </w:p>
    <w:p w14:paraId="445C4C00" w14:textId="77777777" w:rsidR="009A7DBF" w:rsidRDefault="003F4922">
      <w:pPr>
        <w:widowControl w:val="0"/>
        <w:rPr>
          <w:rFonts w:eastAsia="Calibri"/>
          <w:sz w:val="22"/>
          <w:szCs w:val="22"/>
          <w:highlight w:val="lightGray"/>
          <w:lang w:val="lt-LT" w:eastAsia="en-US"/>
        </w:rPr>
      </w:pPr>
      <w:r>
        <w:rPr>
          <w:rFonts w:eastAsia="Calibri"/>
          <w:sz w:val="22"/>
          <w:szCs w:val="22"/>
          <w:highlight w:val="lightGray"/>
        </w:rPr>
        <w:t xml:space="preserve">30 </w:t>
      </w:r>
      <w:r>
        <w:rPr>
          <w:sz w:val="22"/>
          <w:szCs w:val="22"/>
          <w:highlight w:val="lightGray"/>
        </w:rPr>
        <w:t>kietųjų kapsulių</w:t>
      </w:r>
    </w:p>
    <w:p w14:paraId="23DC874D" w14:textId="77777777" w:rsidR="009A7DBF" w:rsidRDefault="003F4922">
      <w:pPr>
        <w:widowControl w:val="0"/>
        <w:rPr>
          <w:rFonts w:eastAsia="Calibri"/>
          <w:sz w:val="22"/>
          <w:szCs w:val="22"/>
          <w:highlight w:val="lightGray"/>
          <w:lang w:val="lt-LT" w:eastAsia="en-US"/>
        </w:rPr>
      </w:pPr>
      <w:r>
        <w:rPr>
          <w:rFonts w:eastAsia="Calibri"/>
          <w:sz w:val="22"/>
          <w:szCs w:val="22"/>
          <w:highlight w:val="lightGray"/>
        </w:rPr>
        <w:t xml:space="preserve">40 </w:t>
      </w:r>
      <w:r>
        <w:rPr>
          <w:sz w:val="22"/>
          <w:szCs w:val="22"/>
          <w:highlight w:val="lightGray"/>
        </w:rPr>
        <w:t>kietųjų kapsulių</w:t>
      </w:r>
    </w:p>
    <w:p w14:paraId="5E3F4CA5" w14:textId="77777777" w:rsidR="009A7DBF" w:rsidRDefault="003F4922">
      <w:pPr>
        <w:widowControl w:val="0"/>
        <w:rPr>
          <w:rFonts w:eastAsia="Calibri"/>
          <w:sz w:val="22"/>
          <w:szCs w:val="22"/>
          <w:highlight w:val="lightGray"/>
          <w:lang w:val="lt-LT" w:eastAsia="en-US"/>
        </w:rPr>
      </w:pPr>
      <w:r>
        <w:rPr>
          <w:rFonts w:eastAsia="Calibri"/>
          <w:sz w:val="22"/>
          <w:szCs w:val="22"/>
          <w:highlight w:val="lightGray"/>
        </w:rPr>
        <w:t xml:space="preserve">50 </w:t>
      </w:r>
      <w:r>
        <w:rPr>
          <w:sz w:val="22"/>
          <w:szCs w:val="22"/>
          <w:highlight w:val="lightGray"/>
        </w:rPr>
        <w:t>kietųjų kapsulių</w:t>
      </w:r>
    </w:p>
    <w:p w14:paraId="3D6C2E35" w14:textId="77777777" w:rsidR="009A7DBF" w:rsidRDefault="003F4922">
      <w:pPr>
        <w:widowControl w:val="0"/>
        <w:rPr>
          <w:rFonts w:eastAsia="Calibri"/>
          <w:sz w:val="22"/>
          <w:szCs w:val="22"/>
          <w:highlight w:val="lightGray"/>
          <w:lang w:val="lt-LT" w:eastAsia="en-US"/>
        </w:rPr>
      </w:pPr>
      <w:r>
        <w:rPr>
          <w:rFonts w:eastAsia="Calibri"/>
          <w:sz w:val="22"/>
          <w:szCs w:val="22"/>
          <w:highlight w:val="lightGray"/>
        </w:rPr>
        <w:t xml:space="preserve">60 </w:t>
      </w:r>
      <w:r>
        <w:rPr>
          <w:sz w:val="22"/>
          <w:szCs w:val="22"/>
          <w:highlight w:val="lightGray"/>
        </w:rPr>
        <w:t>kietųjų kapsulių</w:t>
      </w:r>
    </w:p>
    <w:p w14:paraId="7A35800A" w14:textId="77777777" w:rsidR="009A7DBF" w:rsidRDefault="003F4922">
      <w:pPr>
        <w:widowControl w:val="0"/>
        <w:rPr>
          <w:rFonts w:eastAsia="Calibri"/>
          <w:sz w:val="22"/>
          <w:szCs w:val="22"/>
          <w:highlight w:val="lightGray"/>
          <w:lang w:val="lt-LT" w:eastAsia="en-US"/>
        </w:rPr>
      </w:pPr>
      <w:r>
        <w:rPr>
          <w:rFonts w:eastAsia="Calibri"/>
          <w:sz w:val="22"/>
          <w:szCs w:val="22"/>
          <w:highlight w:val="lightGray"/>
        </w:rPr>
        <w:t xml:space="preserve">90 </w:t>
      </w:r>
      <w:r>
        <w:rPr>
          <w:sz w:val="22"/>
          <w:szCs w:val="22"/>
          <w:highlight w:val="lightGray"/>
        </w:rPr>
        <w:t>kietųjų kapsulių</w:t>
      </w:r>
    </w:p>
    <w:p w14:paraId="717E0933" w14:textId="77777777" w:rsidR="009A7DBF" w:rsidRDefault="003F4922">
      <w:pPr>
        <w:widowControl w:val="0"/>
        <w:rPr>
          <w:rFonts w:eastAsia="Calibri"/>
          <w:sz w:val="22"/>
          <w:szCs w:val="22"/>
          <w:lang w:val="lt-LT" w:eastAsia="en-US"/>
        </w:rPr>
      </w:pPr>
      <w:r>
        <w:rPr>
          <w:rFonts w:eastAsia="Calibri"/>
          <w:sz w:val="22"/>
          <w:szCs w:val="22"/>
          <w:highlight w:val="lightGray"/>
        </w:rPr>
        <w:t xml:space="preserve">100 </w:t>
      </w:r>
      <w:r>
        <w:rPr>
          <w:sz w:val="22"/>
          <w:szCs w:val="22"/>
          <w:highlight w:val="lightGray"/>
        </w:rPr>
        <w:t>kietųjų kapsulių</w:t>
      </w:r>
    </w:p>
    <w:p w14:paraId="0B33D640" w14:textId="77777777" w:rsidR="009A7DBF" w:rsidRDefault="009A7DBF">
      <w:pPr>
        <w:widowControl w:val="0"/>
        <w:ind w:left="567" w:hanging="567"/>
        <w:rPr>
          <w:caps/>
          <w:sz w:val="22"/>
          <w:szCs w:val="22"/>
        </w:rPr>
      </w:pPr>
    </w:p>
    <w:p w14:paraId="5EAF1E4E" w14:textId="77777777" w:rsidR="009A7DBF" w:rsidRDefault="009A7DBF">
      <w:pPr>
        <w:widowControl w:val="0"/>
        <w:ind w:left="567" w:hanging="567"/>
        <w:rPr>
          <w:caps/>
          <w:sz w:val="22"/>
          <w:szCs w:val="22"/>
        </w:rPr>
      </w:pPr>
    </w:p>
    <w:p w14:paraId="7F2A73FE" w14:textId="77777777" w:rsidR="009A7DBF" w:rsidRDefault="003F4922">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5.</w:t>
      </w:r>
      <w:r>
        <w:rPr>
          <w:b/>
          <w:caps/>
          <w:sz w:val="22"/>
          <w:szCs w:val="22"/>
        </w:rPr>
        <w:tab/>
        <w:t>vartojimo METODAS IR būdas (-AI)</w:t>
      </w:r>
    </w:p>
    <w:p w14:paraId="1AB0D96D" w14:textId="77777777" w:rsidR="009A7DBF" w:rsidRDefault="009A7DBF">
      <w:pPr>
        <w:widowControl w:val="0"/>
        <w:ind w:left="567" w:hanging="567"/>
        <w:rPr>
          <w:caps/>
          <w:sz w:val="22"/>
          <w:szCs w:val="22"/>
        </w:rPr>
      </w:pPr>
    </w:p>
    <w:p w14:paraId="0D91F1B5" w14:textId="77777777" w:rsidR="009A7DBF" w:rsidRDefault="003F4922">
      <w:pPr>
        <w:widowControl w:val="0"/>
        <w:ind w:left="567" w:hanging="567"/>
        <w:outlineLvl w:val="0"/>
        <w:rPr>
          <w:rFonts w:eastAsiaTheme="minorHAnsi"/>
          <w:sz w:val="22"/>
          <w:szCs w:val="22"/>
          <w:lang w:val="lt-LT" w:eastAsia="en-US"/>
        </w:rPr>
      </w:pPr>
      <w:r>
        <w:rPr>
          <w:sz w:val="22"/>
          <w:szCs w:val="22"/>
        </w:rPr>
        <w:t>Kapsulę nuryti sveiką.</w:t>
      </w:r>
    </w:p>
    <w:p w14:paraId="32F26EB1" w14:textId="77777777" w:rsidR="009A7DBF" w:rsidRDefault="009A7DBF">
      <w:pPr>
        <w:widowControl w:val="0"/>
        <w:ind w:left="567" w:hanging="567"/>
        <w:outlineLvl w:val="0"/>
        <w:rPr>
          <w:sz w:val="22"/>
          <w:szCs w:val="22"/>
        </w:rPr>
      </w:pPr>
    </w:p>
    <w:p w14:paraId="198D5026" w14:textId="77777777" w:rsidR="009A7DBF" w:rsidRDefault="003F4922">
      <w:pPr>
        <w:widowControl w:val="0"/>
        <w:ind w:left="567" w:hanging="567"/>
        <w:outlineLvl w:val="0"/>
        <w:rPr>
          <w:rFonts w:eastAsiaTheme="minorHAnsi"/>
          <w:sz w:val="22"/>
          <w:szCs w:val="22"/>
          <w:lang w:val="lt-LT" w:eastAsia="en-US"/>
        </w:rPr>
      </w:pPr>
      <w:r>
        <w:rPr>
          <w:sz w:val="22"/>
          <w:szCs w:val="22"/>
        </w:rPr>
        <w:t>Prieš vartojimą perskaitykite pakuotės lapelį.</w:t>
      </w:r>
    </w:p>
    <w:p w14:paraId="5D487F18" w14:textId="77777777" w:rsidR="009A7DBF" w:rsidRDefault="009A7DBF">
      <w:pPr>
        <w:widowControl w:val="0"/>
        <w:ind w:left="567" w:hanging="567"/>
        <w:outlineLvl w:val="0"/>
        <w:rPr>
          <w:sz w:val="22"/>
          <w:szCs w:val="22"/>
        </w:rPr>
      </w:pPr>
    </w:p>
    <w:p w14:paraId="4140ABE3" w14:textId="77777777" w:rsidR="009A7DBF" w:rsidRDefault="003F4922">
      <w:pPr>
        <w:widowControl w:val="0"/>
        <w:ind w:left="567" w:hanging="567"/>
        <w:outlineLvl w:val="0"/>
        <w:rPr>
          <w:rFonts w:eastAsiaTheme="minorHAnsi"/>
          <w:sz w:val="22"/>
          <w:szCs w:val="22"/>
          <w:lang w:val="lt-LT" w:eastAsia="en-US"/>
        </w:rPr>
      </w:pPr>
      <w:r>
        <w:rPr>
          <w:sz w:val="22"/>
          <w:szCs w:val="22"/>
        </w:rPr>
        <w:t>Vartoti per burną.</w:t>
      </w:r>
    </w:p>
    <w:p w14:paraId="690EFA14" w14:textId="77777777" w:rsidR="009A7DBF" w:rsidRDefault="009A7DBF">
      <w:pPr>
        <w:widowControl w:val="0"/>
        <w:ind w:left="567" w:hanging="567"/>
        <w:rPr>
          <w:sz w:val="22"/>
          <w:szCs w:val="22"/>
        </w:rPr>
      </w:pPr>
    </w:p>
    <w:p w14:paraId="7E9CD091" w14:textId="77777777" w:rsidR="009A7DBF" w:rsidRDefault="009A7DBF">
      <w:pPr>
        <w:widowControl w:val="0"/>
        <w:ind w:left="567" w:hanging="567"/>
        <w:rPr>
          <w:caps/>
          <w:sz w:val="22"/>
          <w:szCs w:val="22"/>
        </w:rPr>
      </w:pPr>
    </w:p>
    <w:p w14:paraId="60FA3BD1" w14:textId="77777777" w:rsidR="009A7DBF" w:rsidRDefault="003F4922">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6.</w:t>
      </w:r>
      <w:r>
        <w:rPr>
          <w:b/>
          <w:caps/>
          <w:sz w:val="22"/>
          <w:szCs w:val="22"/>
        </w:rPr>
        <w:tab/>
        <w:t>SPECIALUS Įspėjimas</w:t>
      </w:r>
      <w:r>
        <w:rPr>
          <w:sz w:val="22"/>
          <w:szCs w:val="22"/>
        </w:rPr>
        <w:t xml:space="preserve">, </w:t>
      </w:r>
      <w:r>
        <w:rPr>
          <w:b/>
          <w:sz w:val="22"/>
          <w:szCs w:val="22"/>
        </w:rPr>
        <w:t xml:space="preserve">KAD VAISTINĮ PREPARATĄ BŪTINA LAIKYTI </w:t>
      </w:r>
      <w:r>
        <w:rPr>
          <w:b/>
          <w:caps/>
          <w:sz w:val="22"/>
          <w:szCs w:val="22"/>
        </w:rPr>
        <w:t>vaikams nepastebimoje IR NEPASIEKIAMOJE vietoje</w:t>
      </w:r>
    </w:p>
    <w:p w14:paraId="7AD5A58D" w14:textId="77777777" w:rsidR="009A7DBF" w:rsidRDefault="009A7DBF">
      <w:pPr>
        <w:widowControl w:val="0"/>
        <w:ind w:left="567" w:hanging="567"/>
        <w:rPr>
          <w:sz w:val="22"/>
          <w:szCs w:val="22"/>
        </w:rPr>
      </w:pPr>
    </w:p>
    <w:p w14:paraId="713D1040" w14:textId="77777777" w:rsidR="009A7DBF" w:rsidRDefault="003F4922">
      <w:pPr>
        <w:widowControl w:val="0"/>
        <w:ind w:left="567" w:hanging="567"/>
        <w:outlineLvl w:val="0"/>
        <w:rPr>
          <w:rFonts w:eastAsiaTheme="minorHAnsi"/>
          <w:sz w:val="22"/>
          <w:szCs w:val="22"/>
          <w:lang w:val="lt-LT" w:eastAsia="en-US"/>
        </w:rPr>
      </w:pPr>
      <w:r>
        <w:rPr>
          <w:sz w:val="22"/>
          <w:szCs w:val="22"/>
        </w:rPr>
        <w:t>Laikyti vaikams nepastebimoje ir nepasiekiamoje vietoje.</w:t>
      </w:r>
    </w:p>
    <w:p w14:paraId="4EA5552B" w14:textId="77777777" w:rsidR="009A7DBF" w:rsidRDefault="009A7DBF">
      <w:pPr>
        <w:widowControl w:val="0"/>
        <w:ind w:left="567" w:hanging="567"/>
        <w:rPr>
          <w:sz w:val="22"/>
          <w:szCs w:val="22"/>
        </w:rPr>
      </w:pPr>
    </w:p>
    <w:p w14:paraId="37C13E72" w14:textId="77777777" w:rsidR="009A7DBF" w:rsidRDefault="009A7DBF">
      <w:pPr>
        <w:widowControl w:val="0"/>
        <w:ind w:left="567" w:hanging="567"/>
        <w:rPr>
          <w:sz w:val="22"/>
          <w:szCs w:val="22"/>
        </w:rPr>
      </w:pPr>
    </w:p>
    <w:p w14:paraId="0B855D81" w14:textId="77777777" w:rsidR="009A7DBF" w:rsidRDefault="003F4922">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lastRenderedPageBreak/>
        <w:t>7.</w:t>
      </w:r>
      <w:r>
        <w:rPr>
          <w:b/>
          <w:caps/>
          <w:sz w:val="22"/>
          <w:szCs w:val="22"/>
        </w:rPr>
        <w:tab/>
        <w:t>KITAS (-I) SPECIALUS (-ŪS) ĮSPĖJIMAS (-AI) (JEI REIKIA)</w:t>
      </w:r>
    </w:p>
    <w:p w14:paraId="1660D949" w14:textId="77777777" w:rsidR="009A7DBF" w:rsidRDefault="009A7DBF">
      <w:pPr>
        <w:widowControl w:val="0"/>
        <w:ind w:left="567" w:hanging="567"/>
        <w:rPr>
          <w:caps/>
          <w:sz w:val="22"/>
          <w:szCs w:val="22"/>
        </w:rPr>
      </w:pPr>
    </w:p>
    <w:p w14:paraId="1C7C7A92" w14:textId="77777777" w:rsidR="009A7DBF" w:rsidRDefault="009A7DBF">
      <w:pPr>
        <w:widowControl w:val="0"/>
        <w:ind w:left="567" w:hanging="567"/>
        <w:rPr>
          <w:caps/>
          <w:sz w:val="22"/>
          <w:szCs w:val="22"/>
        </w:rPr>
      </w:pPr>
    </w:p>
    <w:p w14:paraId="6E76FD97" w14:textId="77777777" w:rsidR="009A7DBF" w:rsidRDefault="003F4922">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8.</w:t>
      </w:r>
      <w:r>
        <w:rPr>
          <w:b/>
          <w:caps/>
          <w:sz w:val="22"/>
          <w:szCs w:val="22"/>
        </w:rPr>
        <w:tab/>
        <w:t>tinkamumo laikas</w:t>
      </w:r>
    </w:p>
    <w:p w14:paraId="65EB7FCA" w14:textId="77777777" w:rsidR="009A7DBF" w:rsidRDefault="009A7DBF">
      <w:pPr>
        <w:widowControl w:val="0"/>
        <w:ind w:left="567" w:hanging="567"/>
        <w:rPr>
          <w:sz w:val="22"/>
          <w:szCs w:val="22"/>
        </w:rPr>
      </w:pPr>
    </w:p>
    <w:p w14:paraId="169264FE" w14:textId="77777777" w:rsidR="009A7DBF" w:rsidRDefault="003F4922">
      <w:pPr>
        <w:widowControl w:val="0"/>
        <w:ind w:left="567" w:hanging="567"/>
        <w:outlineLvl w:val="0"/>
        <w:rPr>
          <w:rFonts w:eastAsiaTheme="minorHAnsi"/>
          <w:sz w:val="22"/>
          <w:szCs w:val="22"/>
          <w:lang w:val="lt-LT" w:eastAsia="en-US"/>
        </w:rPr>
      </w:pPr>
      <w:r>
        <w:rPr>
          <w:sz w:val="22"/>
          <w:szCs w:val="22"/>
        </w:rPr>
        <w:t>EXP (mm/MMMM)</w:t>
      </w:r>
    </w:p>
    <w:p w14:paraId="09391A60" w14:textId="77777777" w:rsidR="009A7DBF" w:rsidRDefault="003F4922">
      <w:pPr>
        <w:widowControl w:val="0"/>
        <w:ind w:left="567" w:hanging="567"/>
        <w:outlineLvl w:val="0"/>
        <w:rPr>
          <w:rFonts w:eastAsiaTheme="minorHAnsi"/>
          <w:sz w:val="22"/>
          <w:szCs w:val="22"/>
          <w:lang w:val="lt-LT" w:eastAsia="en-US"/>
        </w:rPr>
      </w:pPr>
      <w:r>
        <w:rPr>
          <w:sz w:val="22"/>
          <w:szCs w:val="22"/>
          <w:highlight w:val="lightGray"/>
        </w:rPr>
        <w:t>Tinka iki (mm/MMMM)</w:t>
      </w:r>
    </w:p>
    <w:p w14:paraId="6EB58DE5" w14:textId="77777777" w:rsidR="009A7DBF" w:rsidRDefault="009A7DBF">
      <w:pPr>
        <w:widowControl w:val="0"/>
        <w:ind w:left="567" w:hanging="567"/>
        <w:rPr>
          <w:sz w:val="22"/>
          <w:szCs w:val="22"/>
        </w:rPr>
      </w:pPr>
    </w:p>
    <w:p w14:paraId="46116CCC" w14:textId="77777777" w:rsidR="009A7DBF" w:rsidRDefault="009A7DBF">
      <w:pPr>
        <w:widowControl w:val="0"/>
        <w:ind w:left="567" w:hanging="567"/>
        <w:rPr>
          <w:sz w:val="22"/>
          <w:szCs w:val="22"/>
        </w:rPr>
      </w:pPr>
    </w:p>
    <w:p w14:paraId="2587A973" w14:textId="77777777" w:rsidR="009A7DBF" w:rsidRDefault="003F4922">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9.</w:t>
      </w:r>
      <w:r>
        <w:rPr>
          <w:b/>
          <w:caps/>
          <w:sz w:val="22"/>
          <w:szCs w:val="22"/>
        </w:rPr>
        <w:tab/>
        <w:t>SPECIALIOS laikymo sąlygos</w:t>
      </w:r>
    </w:p>
    <w:p w14:paraId="607C645C" w14:textId="77777777" w:rsidR="009A7DBF" w:rsidRDefault="009A7DBF">
      <w:pPr>
        <w:widowControl w:val="0"/>
        <w:ind w:left="567" w:hanging="567"/>
        <w:rPr>
          <w:sz w:val="22"/>
          <w:szCs w:val="22"/>
        </w:rPr>
      </w:pPr>
    </w:p>
    <w:p w14:paraId="1F23177B" w14:textId="77777777" w:rsidR="009A7DBF" w:rsidRDefault="003F4922">
      <w:pPr>
        <w:widowControl w:val="0"/>
        <w:outlineLvl w:val="0"/>
        <w:rPr>
          <w:rFonts w:eastAsiaTheme="minorHAnsi"/>
          <w:sz w:val="22"/>
          <w:szCs w:val="22"/>
          <w:lang w:val="lt-LT" w:eastAsia="en-US"/>
        </w:rPr>
      </w:pPr>
      <w:r>
        <w:rPr>
          <w:sz w:val="22"/>
          <w:szCs w:val="22"/>
        </w:rPr>
        <w:t>Laikyti ne aukštesnėje kaip 25 °C temperatūroje.</w:t>
      </w:r>
    </w:p>
    <w:p w14:paraId="20489F67" w14:textId="77777777" w:rsidR="009A7DBF" w:rsidRDefault="009A7DBF">
      <w:pPr>
        <w:widowControl w:val="0"/>
        <w:rPr>
          <w:sz w:val="22"/>
          <w:szCs w:val="22"/>
        </w:rPr>
      </w:pPr>
    </w:p>
    <w:p w14:paraId="1D180478" w14:textId="77777777" w:rsidR="009A7DBF" w:rsidRDefault="009A7DBF">
      <w:pPr>
        <w:widowControl w:val="0"/>
        <w:rPr>
          <w:sz w:val="22"/>
          <w:szCs w:val="22"/>
        </w:rPr>
      </w:pPr>
    </w:p>
    <w:p w14:paraId="3D701F19" w14:textId="77777777" w:rsidR="009A7DBF" w:rsidRDefault="003F4922">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10.</w:t>
      </w:r>
      <w:r>
        <w:rPr>
          <w:b/>
          <w:caps/>
          <w:sz w:val="22"/>
          <w:szCs w:val="22"/>
        </w:rPr>
        <w:tab/>
        <w:t>specialios atsargumo priemonės DĖL NESUVARTOTO VAISTINIO PREPARATO AR JO ATLIEKŲ TVARKYMO (jei reikia)</w:t>
      </w:r>
    </w:p>
    <w:p w14:paraId="1165E211" w14:textId="77777777" w:rsidR="009A7DBF" w:rsidRDefault="009A7DBF">
      <w:pPr>
        <w:widowControl w:val="0"/>
        <w:ind w:left="567" w:hanging="567"/>
        <w:rPr>
          <w:caps/>
          <w:sz w:val="22"/>
          <w:szCs w:val="22"/>
        </w:rPr>
      </w:pPr>
    </w:p>
    <w:p w14:paraId="0C9E73CE" w14:textId="77777777" w:rsidR="009A7DBF" w:rsidRDefault="009A7DBF">
      <w:pPr>
        <w:widowControl w:val="0"/>
        <w:ind w:left="567" w:hanging="567"/>
        <w:rPr>
          <w:caps/>
          <w:sz w:val="22"/>
          <w:szCs w:val="22"/>
        </w:rPr>
      </w:pPr>
    </w:p>
    <w:p w14:paraId="35CD6035" w14:textId="77777777" w:rsidR="009A7DBF" w:rsidRDefault="003F4922">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11.</w:t>
      </w:r>
      <w:r>
        <w:rPr>
          <w:b/>
          <w:caps/>
          <w:sz w:val="22"/>
          <w:szCs w:val="22"/>
        </w:rPr>
        <w:tab/>
        <w:t>REGISTRUOTOJO pavadinimas ir adresas</w:t>
      </w:r>
    </w:p>
    <w:p w14:paraId="22F097D7" w14:textId="77777777" w:rsidR="009A7DBF" w:rsidRDefault="009A7DBF">
      <w:pPr>
        <w:widowControl w:val="0"/>
        <w:ind w:left="567" w:hanging="567"/>
        <w:rPr>
          <w:sz w:val="22"/>
          <w:szCs w:val="22"/>
        </w:rPr>
      </w:pPr>
    </w:p>
    <w:p w14:paraId="02FDCAA2" w14:textId="77777777" w:rsidR="009A7DBF" w:rsidRDefault="003F4922">
      <w:pPr>
        <w:widowControl w:val="0"/>
        <w:ind w:left="567" w:hanging="567"/>
        <w:outlineLvl w:val="0"/>
        <w:rPr>
          <w:rFonts w:eastAsiaTheme="minorHAnsi"/>
          <w:sz w:val="22"/>
          <w:szCs w:val="22"/>
          <w:lang w:val="lt-LT" w:eastAsia="en-US"/>
        </w:rPr>
      </w:pPr>
      <w:r>
        <w:rPr>
          <w:sz w:val="22"/>
          <w:szCs w:val="22"/>
        </w:rPr>
        <w:t>KRKA, d.d., Novo mesto</w:t>
      </w:r>
    </w:p>
    <w:p w14:paraId="5D534CD1" w14:textId="77777777" w:rsidR="009A7DBF" w:rsidRDefault="003F4922">
      <w:pPr>
        <w:widowControl w:val="0"/>
        <w:ind w:left="567" w:hanging="567"/>
        <w:outlineLvl w:val="0"/>
        <w:rPr>
          <w:rFonts w:eastAsiaTheme="minorHAnsi"/>
          <w:sz w:val="22"/>
          <w:szCs w:val="22"/>
          <w:lang w:val="lt-LT" w:eastAsia="en-US"/>
        </w:rPr>
      </w:pPr>
      <w:r>
        <w:rPr>
          <w:sz w:val="22"/>
          <w:szCs w:val="22"/>
        </w:rPr>
        <w:t>Šmarješka cesta 6</w:t>
      </w:r>
    </w:p>
    <w:p w14:paraId="5FB6CEF5" w14:textId="77777777" w:rsidR="009A7DBF" w:rsidRDefault="003F4922">
      <w:pPr>
        <w:widowControl w:val="0"/>
        <w:ind w:left="567" w:hanging="567"/>
        <w:outlineLvl w:val="0"/>
        <w:rPr>
          <w:rFonts w:eastAsiaTheme="minorHAnsi"/>
          <w:sz w:val="22"/>
          <w:szCs w:val="22"/>
          <w:lang w:val="lt-LT" w:eastAsia="en-US"/>
        </w:rPr>
      </w:pPr>
      <w:r>
        <w:rPr>
          <w:sz w:val="22"/>
          <w:szCs w:val="22"/>
        </w:rPr>
        <w:t>8501 Novo mesto</w:t>
      </w:r>
    </w:p>
    <w:p w14:paraId="032E8677" w14:textId="77777777" w:rsidR="009A7DBF" w:rsidRDefault="003F4922">
      <w:pPr>
        <w:widowControl w:val="0"/>
        <w:ind w:left="567" w:hanging="567"/>
        <w:outlineLvl w:val="0"/>
        <w:rPr>
          <w:rFonts w:eastAsiaTheme="minorHAnsi"/>
          <w:sz w:val="22"/>
          <w:szCs w:val="22"/>
          <w:lang w:val="lt-LT" w:eastAsia="en-US"/>
        </w:rPr>
      </w:pPr>
      <w:r>
        <w:rPr>
          <w:sz w:val="22"/>
          <w:szCs w:val="22"/>
        </w:rPr>
        <w:t>Slovėnija</w:t>
      </w:r>
    </w:p>
    <w:p w14:paraId="2AE94791" w14:textId="77777777" w:rsidR="009A7DBF" w:rsidRDefault="009A7DBF">
      <w:pPr>
        <w:widowControl w:val="0"/>
        <w:ind w:left="567" w:hanging="567"/>
        <w:rPr>
          <w:caps/>
          <w:sz w:val="22"/>
          <w:szCs w:val="22"/>
        </w:rPr>
      </w:pPr>
    </w:p>
    <w:p w14:paraId="526B5254" w14:textId="77777777" w:rsidR="009A7DBF" w:rsidRDefault="009A7DBF">
      <w:pPr>
        <w:widowControl w:val="0"/>
        <w:ind w:left="567" w:hanging="567"/>
        <w:rPr>
          <w:caps/>
          <w:sz w:val="22"/>
          <w:szCs w:val="22"/>
        </w:rPr>
      </w:pPr>
    </w:p>
    <w:p w14:paraId="7A424A63" w14:textId="77777777" w:rsidR="009A7DBF" w:rsidRDefault="003F4922">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12.</w:t>
      </w:r>
      <w:r>
        <w:rPr>
          <w:b/>
          <w:caps/>
          <w:sz w:val="22"/>
          <w:szCs w:val="22"/>
        </w:rPr>
        <w:tab/>
        <w:t>REGISTRACIJOS PAŽYMĖJIMO numerIS (-iAI)</w:t>
      </w:r>
    </w:p>
    <w:p w14:paraId="5C2CAB0E" w14:textId="77777777" w:rsidR="009A7DBF" w:rsidRDefault="009A7DBF">
      <w:pPr>
        <w:widowControl w:val="0"/>
        <w:ind w:left="567" w:hanging="567"/>
        <w:rPr>
          <w:sz w:val="22"/>
          <w:szCs w:val="22"/>
        </w:rPr>
      </w:pPr>
    </w:p>
    <w:p w14:paraId="38AB11ED" w14:textId="77777777" w:rsidR="009A7DBF" w:rsidRDefault="003F4922">
      <w:pPr>
        <w:rPr>
          <w:rFonts w:eastAsia="Calibri"/>
          <w:sz w:val="22"/>
          <w:szCs w:val="22"/>
          <w:highlight w:val="lightGray"/>
          <w:lang w:val="lt-LT" w:eastAsia="en-US"/>
        </w:rPr>
      </w:pPr>
      <w:r>
        <w:rPr>
          <w:rFonts w:eastAsia="Calibri"/>
          <w:sz w:val="22"/>
          <w:szCs w:val="22"/>
          <w:highlight w:val="lightGray"/>
        </w:rPr>
        <w:t>Aclexa 100 mg</w:t>
      </w:r>
    </w:p>
    <w:p w14:paraId="15DB82C6" w14:textId="77777777" w:rsidR="009A7DBF" w:rsidRDefault="003F4922">
      <w:pPr>
        <w:rPr>
          <w:rFonts w:eastAsia="Calibri"/>
          <w:sz w:val="22"/>
          <w:szCs w:val="22"/>
        </w:rPr>
      </w:pPr>
      <w:r>
        <w:rPr>
          <w:rFonts w:eastAsia="Calibri"/>
          <w:bCs/>
          <w:sz w:val="22"/>
          <w:szCs w:val="22"/>
          <w:highlight w:val="lightGray"/>
        </w:rPr>
        <w:t>N10 -</w:t>
      </w:r>
      <w:r>
        <w:rPr>
          <w:rFonts w:eastAsia="Calibri"/>
          <w:bCs/>
          <w:sz w:val="22"/>
          <w:szCs w:val="22"/>
        </w:rPr>
        <w:t xml:space="preserve"> </w:t>
      </w:r>
      <w:r>
        <w:rPr>
          <w:rFonts w:eastAsia="Calibri"/>
          <w:sz w:val="22"/>
          <w:szCs w:val="22"/>
        </w:rPr>
        <w:t>LT/1/13/3460/001</w:t>
      </w:r>
    </w:p>
    <w:p w14:paraId="213498F5" w14:textId="77777777" w:rsidR="009A7DBF" w:rsidRDefault="003F4922">
      <w:pPr>
        <w:rPr>
          <w:rFonts w:eastAsia="Calibri"/>
          <w:sz w:val="22"/>
          <w:szCs w:val="22"/>
          <w:highlight w:val="lightGray"/>
        </w:rPr>
      </w:pPr>
      <w:r>
        <w:rPr>
          <w:rFonts w:eastAsia="Calibri"/>
          <w:bCs/>
          <w:sz w:val="22"/>
          <w:szCs w:val="22"/>
          <w:highlight w:val="lightGray"/>
        </w:rPr>
        <w:t xml:space="preserve">N20 - </w:t>
      </w:r>
      <w:r>
        <w:rPr>
          <w:rFonts w:eastAsia="Calibri"/>
          <w:sz w:val="22"/>
          <w:szCs w:val="22"/>
          <w:highlight w:val="lightGray"/>
        </w:rPr>
        <w:t>LT/1/13/3460/002</w:t>
      </w:r>
    </w:p>
    <w:p w14:paraId="79DCBD3A" w14:textId="77777777" w:rsidR="009A7DBF" w:rsidRDefault="003F4922">
      <w:pPr>
        <w:rPr>
          <w:rFonts w:eastAsia="Calibri"/>
          <w:sz w:val="22"/>
          <w:szCs w:val="22"/>
          <w:highlight w:val="lightGray"/>
        </w:rPr>
      </w:pPr>
      <w:r>
        <w:rPr>
          <w:rFonts w:eastAsia="Calibri"/>
          <w:bCs/>
          <w:sz w:val="22"/>
          <w:szCs w:val="22"/>
          <w:highlight w:val="lightGray"/>
        </w:rPr>
        <w:t xml:space="preserve">N30 - </w:t>
      </w:r>
      <w:r>
        <w:rPr>
          <w:rFonts w:eastAsia="Calibri"/>
          <w:sz w:val="22"/>
          <w:szCs w:val="22"/>
          <w:highlight w:val="lightGray"/>
        </w:rPr>
        <w:t>LT/1/13/3460/003</w:t>
      </w:r>
    </w:p>
    <w:p w14:paraId="24544C30" w14:textId="77777777" w:rsidR="009A7DBF" w:rsidRDefault="003F4922">
      <w:pPr>
        <w:rPr>
          <w:rFonts w:eastAsia="Calibri"/>
          <w:sz w:val="22"/>
          <w:szCs w:val="22"/>
          <w:highlight w:val="lightGray"/>
        </w:rPr>
      </w:pPr>
      <w:r>
        <w:rPr>
          <w:rFonts w:eastAsia="Calibri"/>
          <w:bCs/>
          <w:sz w:val="22"/>
          <w:szCs w:val="22"/>
          <w:highlight w:val="lightGray"/>
        </w:rPr>
        <w:t xml:space="preserve">N40 - </w:t>
      </w:r>
      <w:r>
        <w:rPr>
          <w:rFonts w:eastAsia="Calibri"/>
          <w:sz w:val="22"/>
          <w:szCs w:val="22"/>
          <w:highlight w:val="lightGray"/>
        </w:rPr>
        <w:t>LT/1/13/3460/004</w:t>
      </w:r>
    </w:p>
    <w:p w14:paraId="50FB997D" w14:textId="77777777" w:rsidR="009A7DBF" w:rsidRDefault="003F4922">
      <w:pPr>
        <w:rPr>
          <w:rFonts w:eastAsia="Calibri"/>
          <w:sz w:val="22"/>
          <w:szCs w:val="22"/>
          <w:highlight w:val="lightGray"/>
        </w:rPr>
      </w:pPr>
      <w:r>
        <w:rPr>
          <w:rFonts w:eastAsia="Calibri"/>
          <w:bCs/>
          <w:sz w:val="22"/>
          <w:szCs w:val="22"/>
          <w:highlight w:val="lightGray"/>
        </w:rPr>
        <w:t xml:space="preserve">N50 - </w:t>
      </w:r>
      <w:r>
        <w:rPr>
          <w:rFonts w:eastAsia="Calibri"/>
          <w:sz w:val="22"/>
          <w:szCs w:val="22"/>
          <w:highlight w:val="lightGray"/>
        </w:rPr>
        <w:t>LT/1/13/3460/005</w:t>
      </w:r>
    </w:p>
    <w:p w14:paraId="5F3C3842" w14:textId="77777777" w:rsidR="009A7DBF" w:rsidRDefault="003F4922">
      <w:pPr>
        <w:rPr>
          <w:rFonts w:eastAsia="Calibri"/>
          <w:sz w:val="22"/>
          <w:szCs w:val="22"/>
          <w:highlight w:val="lightGray"/>
        </w:rPr>
      </w:pPr>
      <w:r>
        <w:rPr>
          <w:rFonts w:eastAsia="Calibri"/>
          <w:bCs/>
          <w:sz w:val="22"/>
          <w:szCs w:val="22"/>
          <w:highlight w:val="lightGray"/>
        </w:rPr>
        <w:t xml:space="preserve">N60 - </w:t>
      </w:r>
      <w:r>
        <w:rPr>
          <w:rFonts w:eastAsia="Calibri"/>
          <w:sz w:val="22"/>
          <w:szCs w:val="22"/>
          <w:highlight w:val="lightGray"/>
        </w:rPr>
        <w:t>LT/1/13/3460/006</w:t>
      </w:r>
    </w:p>
    <w:p w14:paraId="244732BD" w14:textId="77777777" w:rsidR="009A7DBF" w:rsidRDefault="003F4922">
      <w:pPr>
        <w:rPr>
          <w:rFonts w:eastAsia="Calibri"/>
          <w:sz w:val="22"/>
          <w:szCs w:val="22"/>
          <w:highlight w:val="lightGray"/>
        </w:rPr>
      </w:pPr>
      <w:r>
        <w:rPr>
          <w:rFonts w:eastAsia="Calibri"/>
          <w:bCs/>
          <w:sz w:val="22"/>
          <w:szCs w:val="22"/>
          <w:highlight w:val="lightGray"/>
        </w:rPr>
        <w:t xml:space="preserve">N90 - </w:t>
      </w:r>
      <w:r>
        <w:rPr>
          <w:rFonts w:eastAsia="Calibri"/>
          <w:sz w:val="22"/>
          <w:szCs w:val="22"/>
          <w:highlight w:val="lightGray"/>
        </w:rPr>
        <w:t>LT/1/13/3460/007</w:t>
      </w:r>
    </w:p>
    <w:p w14:paraId="5A7252AD" w14:textId="77777777" w:rsidR="009A7DBF" w:rsidRDefault="003F4922">
      <w:pPr>
        <w:rPr>
          <w:rFonts w:eastAsia="Calibri"/>
          <w:sz w:val="22"/>
          <w:szCs w:val="22"/>
        </w:rPr>
      </w:pPr>
      <w:r>
        <w:rPr>
          <w:rFonts w:eastAsia="Calibri"/>
          <w:bCs/>
          <w:sz w:val="22"/>
          <w:szCs w:val="22"/>
          <w:highlight w:val="lightGray"/>
        </w:rPr>
        <w:t xml:space="preserve">N100 - </w:t>
      </w:r>
      <w:r>
        <w:rPr>
          <w:rFonts w:eastAsia="Calibri"/>
          <w:sz w:val="22"/>
          <w:szCs w:val="22"/>
          <w:highlight w:val="lightGray"/>
        </w:rPr>
        <w:t>LT/1/13/3460/008</w:t>
      </w:r>
    </w:p>
    <w:p w14:paraId="6EDAA4C4" w14:textId="77777777" w:rsidR="009A7DBF" w:rsidRDefault="009A7DBF">
      <w:pPr>
        <w:rPr>
          <w:sz w:val="22"/>
          <w:szCs w:val="22"/>
        </w:rPr>
      </w:pPr>
    </w:p>
    <w:p w14:paraId="54EFDEF3" w14:textId="77777777" w:rsidR="009A7DBF" w:rsidRDefault="003F4922">
      <w:pPr>
        <w:rPr>
          <w:rFonts w:eastAsia="Calibri"/>
          <w:sz w:val="22"/>
          <w:szCs w:val="22"/>
          <w:highlight w:val="lightGray"/>
          <w:lang w:val="lt-LT" w:eastAsia="en-US"/>
        </w:rPr>
      </w:pPr>
      <w:r>
        <w:rPr>
          <w:rFonts w:eastAsia="Calibri"/>
          <w:sz w:val="22"/>
          <w:szCs w:val="22"/>
          <w:highlight w:val="lightGray"/>
        </w:rPr>
        <w:t>Aclexa 200 mg</w:t>
      </w:r>
    </w:p>
    <w:p w14:paraId="1148F1E9" w14:textId="77777777" w:rsidR="009A7DBF" w:rsidRDefault="003F4922">
      <w:pPr>
        <w:rPr>
          <w:rFonts w:eastAsia="Calibri"/>
          <w:sz w:val="22"/>
          <w:szCs w:val="22"/>
          <w:highlight w:val="lightGray"/>
        </w:rPr>
      </w:pPr>
      <w:r>
        <w:rPr>
          <w:rFonts w:eastAsia="Calibri"/>
          <w:bCs/>
          <w:sz w:val="22"/>
          <w:szCs w:val="22"/>
          <w:highlight w:val="lightGray"/>
        </w:rPr>
        <w:t xml:space="preserve">N10 - </w:t>
      </w:r>
      <w:r>
        <w:rPr>
          <w:rFonts w:eastAsia="Calibri"/>
          <w:sz w:val="22"/>
          <w:szCs w:val="22"/>
          <w:highlight w:val="lightGray"/>
        </w:rPr>
        <w:t>LT/1/13/3460/009</w:t>
      </w:r>
    </w:p>
    <w:p w14:paraId="3675451F" w14:textId="77777777" w:rsidR="009A7DBF" w:rsidRDefault="003F4922">
      <w:pPr>
        <w:rPr>
          <w:rFonts w:eastAsia="Calibri"/>
          <w:sz w:val="22"/>
          <w:szCs w:val="22"/>
          <w:highlight w:val="lightGray"/>
        </w:rPr>
      </w:pPr>
      <w:r>
        <w:rPr>
          <w:rFonts w:eastAsia="Calibri"/>
          <w:bCs/>
          <w:sz w:val="22"/>
          <w:szCs w:val="22"/>
          <w:highlight w:val="lightGray"/>
        </w:rPr>
        <w:t xml:space="preserve">N20 - </w:t>
      </w:r>
      <w:r>
        <w:rPr>
          <w:rFonts w:eastAsia="Calibri"/>
          <w:sz w:val="22"/>
          <w:szCs w:val="22"/>
          <w:highlight w:val="lightGray"/>
        </w:rPr>
        <w:t>LT/1/13/3460/010</w:t>
      </w:r>
    </w:p>
    <w:p w14:paraId="4BE9890F" w14:textId="77777777" w:rsidR="009A7DBF" w:rsidRDefault="003F4922">
      <w:pPr>
        <w:rPr>
          <w:rFonts w:eastAsia="Calibri"/>
          <w:sz w:val="22"/>
          <w:szCs w:val="22"/>
          <w:highlight w:val="lightGray"/>
        </w:rPr>
      </w:pPr>
      <w:r>
        <w:rPr>
          <w:rFonts w:eastAsia="Calibri"/>
          <w:bCs/>
          <w:sz w:val="22"/>
          <w:szCs w:val="22"/>
          <w:highlight w:val="lightGray"/>
        </w:rPr>
        <w:t xml:space="preserve">N30 - </w:t>
      </w:r>
      <w:r>
        <w:rPr>
          <w:rFonts w:eastAsia="Calibri"/>
          <w:sz w:val="22"/>
          <w:szCs w:val="22"/>
          <w:highlight w:val="lightGray"/>
        </w:rPr>
        <w:t>LT/1/13/3460/011</w:t>
      </w:r>
    </w:p>
    <w:p w14:paraId="593BD346" w14:textId="77777777" w:rsidR="009A7DBF" w:rsidRDefault="003F4922">
      <w:pPr>
        <w:rPr>
          <w:rFonts w:eastAsia="Calibri"/>
          <w:sz w:val="22"/>
          <w:szCs w:val="22"/>
          <w:highlight w:val="lightGray"/>
        </w:rPr>
      </w:pPr>
      <w:r>
        <w:rPr>
          <w:rFonts w:eastAsia="Calibri"/>
          <w:bCs/>
          <w:sz w:val="22"/>
          <w:szCs w:val="22"/>
          <w:highlight w:val="lightGray"/>
        </w:rPr>
        <w:t xml:space="preserve">N40 - </w:t>
      </w:r>
      <w:r>
        <w:rPr>
          <w:rFonts w:eastAsia="Calibri"/>
          <w:sz w:val="22"/>
          <w:szCs w:val="22"/>
          <w:highlight w:val="lightGray"/>
        </w:rPr>
        <w:t>LT/1/13/3460/012</w:t>
      </w:r>
    </w:p>
    <w:p w14:paraId="67250190" w14:textId="77777777" w:rsidR="009A7DBF" w:rsidRDefault="003F4922">
      <w:pPr>
        <w:rPr>
          <w:rFonts w:eastAsia="Calibri"/>
          <w:sz w:val="22"/>
          <w:szCs w:val="22"/>
          <w:highlight w:val="lightGray"/>
        </w:rPr>
      </w:pPr>
      <w:r>
        <w:rPr>
          <w:rFonts w:eastAsia="Calibri"/>
          <w:bCs/>
          <w:sz w:val="22"/>
          <w:szCs w:val="22"/>
          <w:highlight w:val="lightGray"/>
        </w:rPr>
        <w:t xml:space="preserve">N50 - </w:t>
      </w:r>
      <w:r>
        <w:rPr>
          <w:rFonts w:eastAsia="Calibri"/>
          <w:sz w:val="22"/>
          <w:szCs w:val="22"/>
          <w:highlight w:val="lightGray"/>
        </w:rPr>
        <w:t>LT/1/13/3460/013</w:t>
      </w:r>
    </w:p>
    <w:p w14:paraId="11B9E90D" w14:textId="77777777" w:rsidR="009A7DBF" w:rsidRDefault="003F4922">
      <w:pPr>
        <w:rPr>
          <w:rFonts w:eastAsia="Calibri"/>
          <w:sz w:val="22"/>
          <w:szCs w:val="22"/>
          <w:highlight w:val="lightGray"/>
        </w:rPr>
      </w:pPr>
      <w:r>
        <w:rPr>
          <w:rFonts w:eastAsia="Calibri"/>
          <w:bCs/>
          <w:sz w:val="22"/>
          <w:szCs w:val="22"/>
          <w:highlight w:val="lightGray"/>
        </w:rPr>
        <w:t xml:space="preserve">N60 - </w:t>
      </w:r>
      <w:r>
        <w:rPr>
          <w:rFonts w:eastAsia="Calibri"/>
          <w:sz w:val="22"/>
          <w:szCs w:val="22"/>
          <w:highlight w:val="lightGray"/>
        </w:rPr>
        <w:t>LT/1/13/3460/014</w:t>
      </w:r>
    </w:p>
    <w:p w14:paraId="242E553E" w14:textId="77777777" w:rsidR="009A7DBF" w:rsidRDefault="003F4922">
      <w:pPr>
        <w:rPr>
          <w:rFonts w:eastAsia="Calibri"/>
          <w:sz w:val="22"/>
          <w:szCs w:val="22"/>
          <w:highlight w:val="lightGray"/>
        </w:rPr>
      </w:pPr>
      <w:r>
        <w:rPr>
          <w:rFonts w:eastAsia="Calibri"/>
          <w:bCs/>
          <w:sz w:val="22"/>
          <w:szCs w:val="22"/>
          <w:highlight w:val="lightGray"/>
        </w:rPr>
        <w:t xml:space="preserve">N90 - </w:t>
      </w:r>
      <w:r>
        <w:rPr>
          <w:rFonts w:eastAsia="Calibri"/>
          <w:sz w:val="22"/>
          <w:szCs w:val="22"/>
          <w:highlight w:val="lightGray"/>
        </w:rPr>
        <w:t>LT/1/13/3460/015</w:t>
      </w:r>
    </w:p>
    <w:p w14:paraId="2088E3DF" w14:textId="77777777" w:rsidR="009A7DBF" w:rsidRDefault="003F4922">
      <w:pPr>
        <w:rPr>
          <w:rFonts w:eastAsia="Calibri"/>
          <w:sz w:val="22"/>
          <w:szCs w:val="22"/>
        </w:rPr>
      </w:pPr>
      <w:r>
        <w:rPr>
          <w:rFonts w:eastAsia="Calibri"/>
          <w:bCs/>
          <w:sz w:val="22"/>
          <w:szCs w:val="22"/>
          <w:highlight w:val="lightGray"/>
        </w:rPr>
        <w:t xml:space="preserve">N100 - </w:t>
      </w:r>
      <w:r>
        <w:rPr>
          <w:rFonts w:eastAsia="Calibri"/>
          <w:sz w:val="22"/>
          <w:szCs w:val="22"/>
          <w:highlight w:val="lightGray"/>
        </w:rPr>
        <w:t>LT/1/13/3460/016</w:t>
      </w:r>
    </w:p>
    <w:p w14:paraId="3E9AAC44" w14:textId="77777777" w:rsidR="009A7DBF" w:rsidRDefault="009A7DBF">
      <w:pPr>
        <w:widowControl w:val="0"/>
        <w:ind w:left="567" w:hanging="567"/>
        <w:rPr>
          <w:sz w:val="22"/>
          <w:szCs w:val="22"/>
        </w:rPr>
      </w:pPr>
    </w:p>
    <w:p w14:paraId="4ECF86C4" w14:textId="77777777" w:rsidR="009A7DBF" w:rsidRDefault="009A7DBF">
      <w:pPr>
        <w:widowControl w:val="0"/>
        <w:ind w:left="567" w:hanging="567"/>
        <w:rPr>
          <w:sz w:val="22"/>
          <w:szCs w:val="22"/>
        </w:rPr>
      </w:pPr>
    </w:p>
    <w:p w14:paraId="0A71F3C9" w14:textId="77777777" w:rsidR="009A7DBF" w:rsidRDefault="003F4922">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13.</w:t>
      </w:r>
      <w:r>
        <w:rPr>
          <w:b/>
          <w:caps/>
          <w:sz w:val="22"/>
          <w:szCs w:val="22"/>
        </w:rPr>
        <w:tab/>
        <w:t>serijos numeris</w:t>
      </w:r>
    </w:p>
    <w:p w14:paraId="50A20CAF" w14:textId="77777777" w:rsidR="009A7DBF" w:rsidRDefault="009A7DBF">
      <w:pPr>
        <w:widowControl w:val="0"/>
        <w:ind w:left="567" w:hanging="567"/>
        <w:rPr>
          <w:sz w:val="22"/>
          <w:szCs w:val="22"/>
        </w:rPr>
      </w:pPr>
    </w:p>
    <w:p w14:paraId="73CD64EC" w14:textId="77777777" w:rsidR="009A7DBF" w:rsidRDefault="003F4922">
      <w:pPr>
        <w:widowControl w:val="0"/>
        <w:ind w:left="567" w:hanging="567"/>
        <w:outlineLvl w:val="0"/>
        <w:rPr>
          <w:rFonts w:eastAsiaTheme="minorHAnsi"/>
          <w:sz w:val="22"/>
          <w:szCs w:val="22"/>
          <w:lang w:val="lt-LT" w:eastAsia="en-US"/>
        </w:rPr>
      </w:pPr>
      <w:r>
        <w:rPr>
          <w:sz w:val="22"/>
          <w:szCs w:val="22"/>
        </w:rPr>
        <w:t>Lot</w:t>
      </w:r>
    </w:p>
    <w:p w14:paraId="29A59949" w14:textId="77777777" w:rsidR="009A7DBF" w:rsidRDefault="003F4922">
      <w:pPr>
        <w:widowControl w:val="0"/>
        <w:ind w:left="567" w:hanging="567"/>
        <w:outlineLvl w:val="0"/>
        <w:rPr>
          <w:rFonts w:eastAsiaTheme="minorHAnsi"/>
          <w:sz w:val="22"/>
          <w:szCs w:val="22"/>
          <w:lang w:val="lt-LT" w:eastAsia="en-US"/>
        </w:rPr>
      </w:pPr>
      <w:r>
        <w:rPr>
          <w:sz w:val="22"/>
          <w:szCs w:val="22"/>
          <w:highlight w:val="lightGray"/>
        </w:rPr>
        <w:t>Serija</w:t>
      </w:r>
    </w:p>
    <w:p w14:paraId="50F6608F" w14:textId="77777777" w:rsidR="009A7DBF" w:rsidRDefault="009A7DBF">
      <w:pPr>
        <w:widowControl w:val="0"/>
        <w:ind w:left="567" w:hanging="567"/>
        <w:rPr>
          <w:sz w:val="22"/>
          <w:szCs w:val="22"/>
        </w:rPr>
      </w:pPr>
    </w:p>
    <w:p w14:paraId="16E31C07" w14:textId="77777777" w:rsidR="009A7DBF" w:rsidRDefault="009A7DBF">
      <w:pPr>
        <w:widowControl w:val="0"/>
        <w:ind w:left="567" w:hanging="567"/>
        <w:rPr>
          <w:sz w:val="22"/>
          <w:szCs w:val="22"/>
        </w:rPr>
      </w:pPr>
    </w:p>
    <w:p w14:paraId="21B6F65C" w14:textId="77777777" w:rsidR="009A7DBF" w:rsidRDefault="003F4922">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lastRenderedPageBreak/>
        <w:t>14.</w:t>
      </w:r>
      <w:r>
        <w:rPr>
          <w:b/>
          <w:caps/>
          <w:sz w:val="22"/>
          <w:szCs w:val="22"/>
        </w:rPr>
        <w:tab/>
      </w:r>
      <w:r>
        <w:rPr>
          <w:b/>
          <w:sz w:val="22"/>
          <w:szCs w:val="22"/>
        </w:rPr>
        <w:t xml:space="preserve">PARDAVIMO (IŠDAVIMO) </w:t>
      </w:r>
      <w:r>
        <w:rPr>
          <w:b/>
          <w:caps/>
          <w:sz w:val="22"/>
          <w:szCs w:val="22"/>
        </w:rPr>
        <w:t>tvarka</w:t>
      </w:r>
    </w:p>
    <w:p w14:paraId="0315FBA5" w14:textId="77777777" w:rsidR="009A7DBF" w:rsidRDefault="009A7DBF">
      <w:pPr>
        <w:widowControl w:val="0"/>
        <w:ind w:left="567" w:hanging="567"/>
        <w:rPr>
          <w:sz w:val="22"/>
          <w:szCs w:val="22"/>
        </w:rPr>
      </w:pPr>
    </w:p>
    <w:p w14:paraId="7D63A2B5" w14:textId="77777777" w:rsidR="009A7DBF" w:rsidRDefault="003F4922">
      <w:pPr>
        <w:widowControl w:val="0"/>
        <w:ind w:left="567" w:hanging="567"/>
        <w:outlineLvl w:val="0"/>
        <w:rPr>
          <w:rFonts w:eastAsiaTheme="minorHAnsi"/>
          <w:sz w:val="22"/>
          <w:szCs w:val="22"/>
          <w:lang w:val="lt-LT" w:eastAsia="en-US"/>
        </w:rPr>
      </w:pPr>
      <w:r>
        <w:rPr>
          <w:sz w:val="22"/>
          <w:szCs w:val="22"/>
        </w:rPr>
        <w:t>Receptinis vaistas.</w:t>
      </w:r>
    </w:p>
    <w:p w14:paraId="7265FBAE" w14:textId="77777777" w:rsidR="009A7DBF" w:rsidRDefault="009A7DBF">
      <w:pPr>
        <w:widowControl w:val="0"/>
        <w:ind w:left="567" w:hanging="567"/>
        <w:rPr>
          <w:sz w:val="22"/>
          <w:szCs w:val="22"/>
        </w:rPr>
      </w:pPr>
    </w:p>
    <w:p w14:paraId="4D7531C7" w14:textId="77777777" w:rsidR="009A7DBF" w:rsidRDefault="009A7DBF">
      <w:pPr>
        <w:widowControl w:val="0"/>
        <w:ind w:left="567" w:hanging="567"/>
        <w:rPr>
          <w:sz w:val="22"/>
          <w:szCs w:val="22"/>
        </w:rPr>
      </w:pPr>
    </w:p>
    <w:p w14:paraId="24038AF8" w14:textId="77777777" w:rsidR="009A7DBF" w:rsidRDefault="003F4922">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15.</w:t>
      </w:r>
      <w:r>
        <w:rPr>
          <w:b/>
          <w:caps/>
          <w:sz w:val="22"/>
          <w:szCs w:val="22"/>
        </w:rPr>
        <w:tab/>
        <w:t>vartojimo instrukcijA</w:t>
      </w:r>
    </w:p>
    <w:p w14:paraId="36F7003F" w14:textId="77777777" w:rsidR="009A7DBF" w:rsidRDefault="009A7DBF">
      <w:pPr>
        <w:widowControl w:val="0"/>
        <w:ind w:left="567" w:hanging="567"/>
        <w:rPr>
          <w:sz w:val="22"/>
          <w:szCs w:val="22"/>
        </w:rPr>
      </w:pPr>
    </w:p>
    <w:p w14:paraId="3CD1348C" w14:textId="77777777" w:rsidR="009A7DBF" w:rsidRDefault="009A7DBF">
      <w:pPr>
        <w:widowControl w:val="0"/>
        <w:ind w:left="567" w:hanging="567"/>
        <w:rPr>
          <w:sz w:val="22"/>
          <w:szCs w:val="22"/>
        </w:rPr>
      </w:pPr>
    </w:p>
    <w:p w14:paraId="40D9B986" w14:textId="77777777" w:rsidR="009A7DBF" w:rsidRDefault="003F4922">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16.</w:t>
      </w:r>
      <w:r>
        <w:rPr>
          <w:b/>
          <w:caps/>
          <w:sz w:val="22"/>
          <w:szCs w:val="22"/>
        </w:rPr>
        <w:tab/>
        <w:t>informacija brailio raštu</w:t>
      </w:r>
    </w:p>
    <w:p w14:paraId="7BAF1B46" w14:textId="77777777" w:rsidR="009A7DBF" w:rsidRDefault="009A7DBF">
      <w:pPr>
        <w:widowControl w:val="0"/>
        <w:rPr>
          <w:sz w:val="22"/>
          <w:szCs w:val="22"/>
        </w:rPr>
      </w:pPr>
    </w:p>
    <w:p w14:paraId="07B64538" w14:textId="77777777" w:rsidR="009A7DBF" w:rsidRDefault="003F4922">
      <w:pPr>
        <w:widowControl w:val="0"/>
        <w:ind w:left="567" w:hanging="567"/>
        <w:outlineLvl w:val="0"/>
        <w:rPr>
          <w:rFonts w:eastAsiaTheme="minorHAnsi"/>
          <w:sz w:val="22"/>
          <w:szCs w:val="22"/>
          <w:lang w:val="lt-LT" w:eastAsia="en-US"/>
        </w:rPr>
      </w:pPr>
      <w:r>
        <w:rPr>
          <w:sz w:val="22"/>
          <w:szCs w:val="22"/>
        </w:rPr>
        <w:t>Aclexa 100 mg</w:t>
      </w:r>
    </w:p>
    <w:p w14:paraId="768A2153" w14:textId="77777777" w:rsidR="009A7DBF" w:rsidRDefault="003F4922">
      <w:pPr>
        <w:widowControl w:val="0"/>
        <w:ind w:left="567" w:hanging="567"/>
        <w:outlineLvl w:val="0"/>
        <w:rPr>
          <w:rFonts w:eastAsiaTheme="minorHAnsi"/>
          <w:sz w:val="22"/>
          <w:szCs w:val="22"/>
          <w:shd w:val="pct15" w:color="auto" w:fill="FFFFFF"/>
          <w:lang w:val="lt-LT" w:eastAsia="en-US"/>
        </w:rPr>
      </w:pPr>
      <w:r>
        <w:rPr>
          <w:sz w:val="22"/>
          <w:szCs w:val="22"/>
          <w:shd w:val="pct15" w:color="auto" w:fill="FFFFFF"/>
        </w:rPr>
        <w:t>Aclexa 200 mg</w:t>
      </w:r>
    </w:p>
    <w:p w14:paraId="2C2D5EE5" w14:textId="77777777" w:rsidR="009A7DBF" w:rsidRDefault="009A7DBF">
      <w:pPr>
        <w:widowControl w:val="0"/>
        <w:ind w:left="567" w:hanging="567"/>
        <w:outlineLvl w:val="0"/>
        <w:rPr>
          <w:sz w:val="22"/>
          <w:szCs w:val="22"/>
          <w:shd w:val="pct15" w:color="auto" w:fill="FFFFFF"/>
        </w:rPr>
      </w:pPr>
    </w:p>
    <w:p w14:paraId="639E46D7" w14:textId="77777777" w:rsidR="009A7DBF" w:rsidRDefault="009A7DBF">
      <w:pPr>
        <w:widowControl w:val="0"/>
        <w:ind w:left="567" w:hanging="567"/>
        <w:outlineLvl w:val="0"/>
        <w:rPr>
          <w:sz w:val="22"/>
          <w:szCs w:val="22"/>
          <w:shd w:val="pct15" w:color="auto" w:fill="FFFFFF"/>
        </w:rPr>
      </w:pPr>
    </w:p>
    <w:p w14:paraId="4A10832B" w14:textId="77777777" w:rsidR="009A7DBF" w:rsidRDefault="003F4922">
      <w:pPr>
        <w:widowControl w:val="0"/>
        <w:pBdr>
          <w:top w:val="single" w:sz="4" w:space="1" w:color="auto"/>
          <w:left w:val="single" w:sz="4" w:space="4" w:color="auto"/>
          <w:bottom w:val="single" w:sz="4" w:space="1" w:color="auto"/>
          <w:right w:val="single" w:sz="4" w:space="4" w:color="auto"/>
        </w:pBdr>
        <w:tabs>
          <w:tab w:val="left" w:pos="567"/>
        </w:tabs>
        <w:snapToGrid w:val="0"/>
        <w:ind w:left="1080" w:hanging="1080"/>
        <w:outlineLvl w:val="0"/>
        <w:rPr>
          <w:rFonts w:eastAsiaTheme="minorHAnsi"/>
          <w:i/>
          <w:sz w:val="22"/>
          <w:szCs w:val="22"/>
          <w:lang w:val="lt-LT" w:eastAsia="en-US"/>
        </w:rPr>
      </w:pPr>
      <w:r>
        <w:rPr>
          <w:b/>
          <w:sz w:val="22"/>
          <w:szCs w:val="22"/>
        </w:rPr>
        <w:t>17.</w:t>
      </w:r>
      <w:r>
        <w:rPr>
          <w:b/>
          <w:sz w:val="22"/>
          <w:szCs w:val="22"/>
        </w:rPr>
        <w:tab/>
        <w:t>UNIKALUS IDENTIFIKATORIUS – 2D BRŪKŠNINIS KODAS</w:t>
      </w:r>
    </w:p>
    <w:p w14:paraId="7684D306" w14:textId="77777777" w:rsidR="009A7DBF" w:rsidRDefault="009A7DBF">
      <w:pPr>
        <w:widowControl w:val="0"/>
        <w:tabs>
          <w:tab w:val="left" w:pos="1296"/>
        </w:tabs>
        <w:snapToGrid w:val="0"/>
        <w:rPr>
          <w:sz w:val="22"/>
          <w:szCs w:val="22"/>
        </w:rPr>
      </w:pPr>
    </w:p>
    <w:p w14:paraId="60A0752E" w14:textId="77777777" w:rsidR="009A7DBF" w:rsidRDefault="003F4922">
      <w:pPr>
        <w:widowControl w:val="0"/>
        <w:tabs>
          <w:tab w:val="left" w:pos="567"/>
        </w:tabs>
        <w:snapToGrid w:val="0"/>
        <w:rPr>
          <w:rFonts w:eastAsiaTheme="minorHAnsi"/>
          <w:sz w:val="22"/>
          <w:szCs w:val="22"/>
          <w:lang w:val="lt-LT" w:eastAsia="en-US"/>
        </w:rPr>
      </w:pPr>
      <w:r>
        <w:rPr>
          <w:sz w:val="22"/>
          <w:szCs w:val="22"/>
          <w:highlight w:val="lightGray"/>
        </w:rPr>
        <w:t>2D brūkšninis kodas su nurodytu unikaliu identifikatoriumi.</w:t>
      </w:r>
    </w:p>
    <w:p w14:paraId="06BC440D" w14:textId="77777777" w:rsidR="009A7DBF" w:rsidRDefault="009A7DBF">
      <w:pPr>
        <w:widowControl w:val="0"/>
        <w:tabs>
          <w:tab w:val="left" w:pos="567"/>
        </w:tabs>
        <w:snapToGrid w:val="0"/>
        <w:rPr>
          <w:sz w:val="22"/>
          <w:szCs w:val="22"/>
          <w:highlight w:val="lightGray"/>
        </w:rPr>
      </w:pPr>
    </w:p>
    <w:p w14:paraId="7F8B4E22" w14:textId="77777777" w:rsidR="009A7DBF" w:rsidRDefault="009A7DBF">
      <w:pPr>
        <w:widowControl w:val="0"/>
        <w:tabs>
          <w:tab w:val="left" w:pos="1296"/>
        </w:tabs>
        <w:snapToGrid w:val="0"/>
        <w:rPr>
          <w:sz w:val="22"/>
          <w:szCs w:val="22"/>
        </w:rPr>
      </w:pPr>
    </w:p>
    <w:p w14:paraId="1E415D06" w14:textId="77777777" w:rsidR="009A7DBF" w:rsidRDefault="003F4922">
      <w:pPr>
        <w:widowControl w:val="0"/>
        <w:pBdr>
          <w:top w:val="single" w:sz="4" w:space="1" w:color="auto"/>
          <w:left w:val="single" w:sz="4" w:space="4" w:color="auto"/>
          <w:bottom w:val="single" w:sz="4" w:space="1" w:color="auto"/>
          <w:right w:val="single" w:sz="4" w:space="4" w:color="auto"/>
        </w:pBdr>
        <w:tabs>
          <w:tab w:val="left" w:pos="567"/>
        </w:tabs>
        <w:snapToGrid w:val="0"/>
        <w:ind w:left="1080" w:hanging="1080"/>
        <w:outlineLvl w:val="0"/>
        <w:rPr>
          <w:rFonts w:eastAsiaTheme="minorHAnsi"/>
          <w:i/>
          <w:sz w:val="22"/>
          <w:szCs w:val="22"/>
          <w:lang w:val="lt-LT" w:eastAsia="en-US"/>
        </w:rPr>
      </w:pPr>
      <w:r>
        <w:rPr>
          <w:b/>
          <w:sz w:val="22"/>
          <w:szCs w:val="22"/>
        </w:rPr>
        <w:t>18.</w:t>
      </w:r>
      <w:r>
        <w:rPr>
          <w:b/>
          <w:sz w:val="22"/>
          <w:szCs w:val="22"/>
        </w:rPr>
        <w:tab/>
        <w:t>UNIKALUS IDENTIFIKATORIUS – ŽMONĖMS SUPRANTAMI DUOMENYS</w:t>
      </w:r>
    </w:p>
    <w:p w14:paraId="4C9A6D98" w14:textId="77777777" w:rsidR="009A7DBF" w:rsidRDefault="009A7DBF">
      <w:pPr>
        <w:widowControl w:val="0"/>
        <w:tabs>
          <w:tab w:val="left" w:pos="1296"/>
        </w:tabs>
        <w:snapToGrid w:val="0"/>
        <w:rPr>
          <w:sz w:val="22"/>
          <w:szCs w:val="22"/>
        </w:rPr>
      </w:pPr>
    </w:p>
    <w:p w14:paraId="5B6B45D2" w14:textId="77777777" w:rsidR="009A7DBF" w:rsidRDefault="003F4922">
      <w:pPr>
        <w:widowControl w:val="0"/>
        <w:tabs>
          <w:tab w:val="left" w:pos="567"/>
        </w:tabs>
        <w:snapToGrid w:val="0"/>
        <w:rPr>
          <w:rFonts w:eastAsiaTheme="minorHAnsi"/>
          <w:sz w:val="22"/>
          <w:szCs w:val="22"/>
          <w:lang w:val="lt-LT" w:eastAsia="en-US"/>
        </w:rPr>
      </w:pPr>
      <w:r>
        <w:rPr>
          <w:sz w:val="22"/>
          <w:szCs w:val="22"/>
        </w:rPr>
        <w:t>PC</w:t>
      </w:r>
    </w:p>
    <w:p w14:paraId="3D626ED1" w14:textId="77777777" w:rsidR="009A7DBF" w:rsidRDefault="003F4922">
      <w:pPr>
        <w:widowControl w:val="0"/>
        <w:tabs>
          <w:tab w:val="left" w:pos="567"/>
        </w:tabs>
        <w:snapToGrid w:val="0"/>
        <w:rPr>
          <w:rFonts w:eastAsiaTheme="minorHAnsi"/>
          <w:sz w:val="22"/>
          <w:szCs w:val="22"/>
          <w:lang w:val="lt-LT" w:eastAsia="en-US"/>
        </w:rPr>
      </w:pPr>
      <w:r>
        <w:rPr>
          <w:sz w:val="22"/>
          <w:szCs w:val="22"/>
        </w:rPr>
        <w:t>SN</w:t>
      </w:r>
    </w:p>
    <w:p w14:paraId="0442267D" w14:textId="77777777" w:rsidR="009A7DBF" w:rsidRDefault="003F4922">
      <w:pPr>
        <w:widowControl w:val="0"/>
        <w:tabs>
          <w:tab w:val="left" w:pos="567"/>
        </w:tabs>
        <w:snapToGrid w:val="0"/>
        <w:rPr>
          <w:rFonts w:eastAsiaTheme="minorHAnsi"/>
          <w:sz w:val="22"/>
          <w:szCs w:val="22"/>
          <w:lang w:val="lt-LT" w:eastAsia="en-US"/>
        </w:rPr>
      </w:pPr>
      <w:r>
        <w:rPr>
          <w:sz w:val="22"/>
          <w:szCs w:val="22"/>
          <w:highlight w:val="lightGray"/>
        </w:rPr>
        <w:t>NN</w:t>
      </w:r>
    </w:p>
    <w:p w14:paraId="78CB45B9" w14:textId="77777777" w:rsidR="009A7DBF" w:rsidRDefault="009A7DBF">
      <w:pPr>
        <w:widowControl w:val="0"/>
        <w:rPr>
          <w:sz w:val="22"/>
          <w:szCs w:val="22"/>
        </w:rPr>
      </w:pPr>
    </w:p>
    <w:p w14:paraId="293ED2E1" w14:textId="77777777" w:rsidR="009A7DBF" w:rsidRDefault="003F4922">
      <w:pPr>
        <w:widowControl w:val="0"/>
        <w:pBdr>
          <w:top w:val="single" w:sz="4" w:space="1" w:color="auto"/>
          <w:left w:val="single" w:sz="4" w:space="4" w:color="auto"/>
          <w:bottom w:val="single" w:sz="4" w:space="1" w:color="auto"/>
          <w:right w:val="single" w:sz="4" w:space="4" w:color="auto"/>
        </w:pBdr>
        <w:outlineLvl w:val="0"/>
        <w:rPr>
          <w:b/>
          <w:sz w:val="22"/>
          <w:szCs w:val="22"/>
        </w:rPr>
      </w:pPr>
      <w:r>
        <w:rPr>
          <w:sz w:val="22"/>
          <w:szCs w:val="22"/>
        </w:rPr>
        <w:br w:type="page"/>
      </w:r>
      <w:r>
        <w:rPr>
          <w:b/>
          <w:sz w:val="22"/>
          <w:szCs w:val="22"/>
        </w:rPr>
        <w:lastRenderedPageBreak/>
        <w:t xml:space="preserve">MINIMALI </w:t>
      </w:r>
      <w:r>
        <w:rPr>
          <w:b/>
          <w:caps/>
          <w:sz w:val="22"/>
          <w:szCs w:val="22"/>
        </w:rPr>
        <w:t xml:space="preserve">informacija ant </w:t>
      </w:r>
      <w:r>
        <w:rPr>
          <w:b/>
          <w:sz w:val="22"/>
          <w:szCs w:val="22"/>
        </w:rPr>
        <w:t>LIZDINIŲ PLOKŠTELIŲ ARBA DVISLUOKSNIŲ JUOSTELIŲ</w:t>
      </w:r>
    </w:p>
    <w:p w14:paraId="6A2CC133" w14:textId="77777777" w:rsidR="009A7DBF" w:rsidRDefault="009A7DBF">
      <w:pPr>
        <w:widowControl w:val="0"/>
        <w:pBdr>
          <w:top w:val="single" w:sz="4" w:space="1" w:color="auto"/>
          <w:left w:val="single" w:sz="4" w:space="4" w:color="auto"/>
          <w:bottom w:val="single" w:sz="4" w:space="1" w:color="auto"/>
          <w:right w:val="single" w:sz="4" w:space="4" w:color="auto"/>
        </w:pBdr>
        <w:ind w:left="567" w:hanging="567"/>
        <w:outlineLvl w:val="0"/>
        <w:rPr>
          <w:b/>
          <w:caps/>
          <w:sz w:val="22"/>
          <w:szCs w:val="22"/>
        </w:rPr>
      </w:pPr>
    </w:p>
    <w:p w14:paraId="51FCBBF6" w14:textId="77777777" w:rsidR="009A7DBF" w:rsidRDefault="003F4922">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sz w:val="22"/>
          <w:szCs w:val="22"/>
        </w:rPr>
        <w:t>LIZDINĖ PLOKŠTELĖ (PVC/Al)</w:t>
      </w:r>
    </w:p>
    <w:p w14:paraId="67C39E90" w14:textId="77777777" w:rsidR="009A7DBF" w:rsidRDefault="009A7DBF">
      <w:pPr>
        <w:widowControl w:val="0"/>
        <w:ind w:left="567" w:hanging="567"/>
        <w:rPr>
          <w:caps/>
          <w:sz w:val="22"/>
          <w:szCs w:val="22"/>
        </w:rPr>
      </w:pPr>
    </w:p>
    <w:p w14:paraId="56A6DE1E" w14:textId="77777777" w:rsidR="009A7DBF" w:rsidRDefault="009A7DBF">
      <w:pPr>
        <w:widowControl w:val="0"/>
        <w:ind w:left="567" w:hanging="567"/>
        <w:rPr>
          <w:caps/>
          <w:sz w:val="22"/>
          <w:szCs w:val="22"/>
        </w:rPr>
      </w:pPr>
    </w:p>
    <w:p w14:paraId="5AA3FCA3" w14:textId="77777777" w:rsidR="009A7DBF" w:rsidRDefault="003F4922">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1.</w:t>
      </w:r>
      <w:r>
        <w:rPr>
          <w:b/>
          <w:caps/>
          <w:sz w:val="22"/>
          <w:szCs w:val="22"/>
        </w:rPr>
        <w:tab/>
        <w:t>Vaistinio preparato pavadinimas</w:t>
      </w:r>
    </w:p>
    <w:p w14:paraId="601FEDF4" w14:textId="77777777" w:rsidR="009A7DBF" w:rsidRDefault="009A7DBF">
      <w:pPr>
        <w:widowControl w:val="0"/>
        <w:ind w:left="567" w:hanging="567"/>
        <w:rPr>
          <w:sz w:val="22"/>
          <w:szCs w:val="22"/>
        </w:rPr>
      </w:pPr>
    </w:p>
    <w:p w14:paraId="43F88354" w14:textId="77777777" w:rsidR="009A7DBF" w:rsidRDefault="003F4922">
      <w:pPr>
        <w:widowControl w:val="0"/>
        <w:ind w:left="567" w:hanging="567"/>
        <w:outlineLvl w:val="0"/>
        <w:rPr>
          <w:rFonts w:eastAsiaTheme="minorHAnsi"/>
          <w:sz w:val="22"/>
          <w:szCs w:val="22"/>
          <w:lang w:val="lt-LT" w:eastAsia="en-US"/>
        </w:rPr>
      </w:pPr>
      <w:r>
        <w:rPr>
          <w:sz w:val="22"/>
          <w:szCs w:val="22"/>
        </w:rPr>
        <w:t xml:space="preserve">Aclexa 100 mg </w:t>
      </w:r>
      <w:r>
        <w:rPr>
          <w:sz w:val="22"/>
          <w:szCs w:val="22"/>
          <w:highlight w:val="lightGray"/>
        </w:rPr>
        <w:t>kietosios</w:t>
      </w:r>
      <w:r>
        <w:rPr>
          <w:sz w:val="22"/>
          <w:szCs w:val="22"/>
        </w:rPr>
        <w:t xml:space="preserve"> kapsulės</w:t>
      </w:r>
    </w:p>
    <w:p w14:paraId="2FD3179E" w14:textId="77777777" w:rsidR="009A7DBF" w:rsidRDefault="003F4922">
      <w:pPr>
        <w:widowControl w:val="0"/>
        <w:ind w:left="567" w:hanging="567"/>
        <w:outlineLvl w:val="0"/>
        <w:rPr>
          <w:rFonts w:eastAsiaTheme="minorHAnsi"/>
          <w:sz w:val="22"/>
          <w:szCs w:val="22"/>
          <w:shd w:val="pct15" w:color="auto" w:fill="FFFFFF"/>
          <w:lang w:val="lt-LT" w:eastAsia="en-US"/>
        </w:rPr>
      </w:pPr>
      <w:r>
        <w:rPr>
          <w:sz w:val="22"/>
          <w:szCs w:val="22"/>
          <w:shd w:val="pct15" w:color="auto" w:fill="FFFFFF"/>
        </w:rPr>
        <w:t>Aclexa 200 mg kietosios kapsulės</w:t>
      </w:r>
    </w:p>
    <w:p w14:paraId="503DC3AB" w14:textId="77777777" w:rsidR="009A7DBF" w:rsidRDefault="009A7DBF">
      <w:pPr>
        <w:widowControl w:val="0"/>
        <w:ind w:left="567" w:hanging="567"/>
        <w:rPr>
          <w:sz w:val="22"/>
          <w:szCs w:val="22"/>
        </w:rPr>
      </w:pPr>
    </w:p>
    <w:p w14:paraId="6C884498" w14:textId="77777777" w:rsidR="009A7DBF" w:rsidRDefault="003F4922">
      <w:pPr>
        <w:widowControl w:val="0"/>
        <w:ind w:left="567" w:hanging="567"/>
        <w:rPr>
          <w:rFonts w:eastAsiaTheme="minorHAnsi"/>
          <w:sz w:val="22"/>
          <w:szCs w:val="22"/>
          <w:lang w:val="lt-LT" w:eastAsia="en-US"/>
        </w:rPr>
      </w:pPr>
      <w:r>
        <w:rPr>
          <w:sz w:val="22"/>
          <w:szCs w:val="22"/>
        </w:rPr>
        <w:t>celekoksibas</w:t>
      </w:r>
    </w:p>
    <w:p w14:paraId="42BC7461" w14:textId="77777777" w:rsidR="009A7DBF" w:rsidRDefault="009A7DBF">
      <w:pPr>
        <w:widowControl w:val="0"/>
        <w:ind w:left="567" w:hanging="567"/>
        <w:rPr>
          <w:sz w:val="22"/>
          <w:szCs w:val="22"/>
        </w:rPr>
      </w:pPr>
    </w:p>
    <w:p w14:paraId="52C97C23" w14:textId="77777777" w:rsidR="009A7DBF" w:rsidRDefault="009A7DBF">
      <w:pPr>
        <w:widowControl w:val="0"/>
        <w:ind w:left="567" w:hanging="567"/>
        <w:rPr>
          <w:sz w:val="22"/>
          <w:szCs w:val="22"/>
        </w:rPr>
      </w:pPr>
    </w:p>
    <w:p w14:paraId="16AC2ED2" w14:textId="77777777" w:rsidR="009A7DBF" w:rsidRDefault="003F4922">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sz w:val="22"/>
          <w:szCs w:val="22"/>
        </w:rPr>
        <w:t>2.</w:t>
      </w:r>
      <w:r>
        <w:rPr>
          <w:b/>
          <w:sz w:val="22"/>
          <w:szCs w:val="22"/>
        </w:rPr>
        <w:tab/>
      </w:r>
      <w:r>
        <w:rPr>
          <w:b/>
          <w:caps/>
          <w:sz w:val="22"/>
          <w:szCs w:val="22"/>
        </w:rPr>
        <w:t>REGISTRUOTOJO pavadinimas</w:t>
      </w:r>
    </w:p>
    <w:p w14:paraId="668CFB8A" w14:textId="77777777" w:rsidR="009A7DBF" w:rsidRDefault="009A7DBF">
      <w:pPr>
        <w:widowControl w:val="0"/>
        <w:ind w:left="567" w:hanging="567"/>
        <w:rPr>
          <w:sz w:val="22"/>
          <w:szCs w:val="22"/>
        </w:rPr>
      </w:pPr>
    </w:p>
    <w:p w14:paraId="499AC163" w14:textId="77777777" w:rsidR="009A7DBF" w:rsidRDefault="003F4922">
      <w:pPr>
        <w:widowControl w:val="0"/>
        <w:ind w:left="567" w:hanging="567"/>
        <w:rPr>
          <w:rFonts w:eastAsiaTheme="minorHAnsi"/>
          <w:sz w:val="22"/>
          <w:szCs w:val="22"/>
          <w:lang w:val="lt-LT" w:eastAsia="en-US"/>
        </w:rPr>
      </w:pPr>
      <w:r>
        <w:rPr>
          <w:sz w:val="22"/>
          <w:szCs w:val="22"/>
        </w:rPr>
        <w:t>KRKA</w:t>
      </w:r>
    </w:p>
    <w:p w14:paraId="50F9CE27" w14:textId="77777777" w:rsidR="009A7DBF" w:rsidRDefault="009A7DBF">
      <w:pPr>
        <w:widowControl w:val="0"/>
        <w:ind w:left="567" w:hanging="567"/>
        <w:rPr>
          <w:sz w:val="22"/>
          <w:szCs w:val="22"/>
        </w:rPr>
      </w:pPr>
    </w:p>
    <w:p w14:paraId="1A668A2F" w14:textId="77777777" w:rsidR="009A7DBF" w:rsidRDefault="009A7DBF">
      <w:pPr>
        <w:widowControl w:val="0"/>
        <w:ind w:left="567" w:hanging="567"/>
        <w:rPr>
          <w:sz w:val="22"/>
          <w:szCs w:val="22"/>
        </w:rPr>
      </w:pPr>
    </w:p>
    <w:p w14:paraId="6ACFE2A5" w14:textId="77777777" w:rsidR="009A7DBF" w:rsidRDefault="003F4922">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sz w:val="22"/>
          <w:szCs w:val="22"/>
        </w:rPr>
        <w:t>3.</w:t>
      </w:r>
      <w:r>
        <w:rPr>
          <w:b/>
          <w:sz w:val="22"/>
          <w:szCs w:val="22"/>
        </w:rPr>
        <w:tab/>
      </w:r>
      <w:r>
        <w:rPr>
          <w:b/>
          <w:caps/>
          <w:sz w:val="22"/>
          <w:szCs w:val="22"/>
        </w:rPr>
        <w:t>tinkamumo laikas</w:t>
      </w:r>
    </w:p>
    <w:p w14:paraId="4436CF46" w14:textId="77777777" w:rsidR="009A7DBF" w:rsidRDefault="009A7DBF">
      <w:pPr>
        <w:widowControl w:val="0"/>
        <w:ind w:left="567" w:hanging="567"/>
        <w:rPr>
          <w:sz w:val="22"/>
          <w:szCs w:val="22"/>
        </w:rPr>
      </w:pPr>
    </w:p>
    <w:p w14:paraId="05BA89AC" w14:textId="77777777" w:rsidR="009A7DBF" w:rsidRDefault="003F4922">
      <w:pPr>
        <w:widowControl w:val="0"/>
        <w:ind w:left="567" w:hanging="567"/>
        <w:rPr>
          <w:rFonts w:eastAsiaTheme="minorHAnsi"/>
          <w:sz w:val="22"/>
          <w:szCs w:val="22"/>
          <w:lang w:val="lt-LT" w:eastAsia="en-US"/>
        </w:rPr>
      </w:pPr>
      <w:r>
        <w:rPr>
          <w:sz w:val="22"/>
          <w:szCs w:val="22"/>
        </w:rPr>
        <w:t>EXP (mm/MMMM)</w:t>
      </w:r>
    </w:p>
    <w:p w14:paraId="60404BC5" w14:textId="77777777" w:rsidR="009A7DBF" w:rsidRDefault="009A7DBF">
      <w:pPr>
        <w:widowControl w:val="0"/>
        <w:ind w:left="567" w:hanging="567"/>
        <w:rPr>
          <w:sz w:val="22"/>
          <w:szCs w:val="22"/>
        </w:rPr>
      </w:pPr>
    </w:p>
    <w:p w14:paraId="1DA7BEED" w14:textId="77777777" w:rsidR="009A7DBF" w:rsidRDefault="009A7DBF">
      <w:pPr>
        <w:widowControl w:val="0"/>
        <w:ind w:left="567" w:hanging="567"/>
        <w:rPr>
          <w:sz w:val="22"/>
          <w:szCs w:val="22"/>
        </w:rPr>
      </w:pPr>
    </w:p>
    <w:p w14:paraId="47545553" w14:textId="77777777" w:rsidR="009A7DBF" w:rsidRDefault="003F4922">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Pr>
          <w:b/>
          <w:caps/>
          <w:sz w:val="22"/>
          <w:szCs w:val="22"/>
        </w:rPr>
        <w:t>4.</w:t>
      </w:r>
      <w:r>
        <w:rPr>
          <w:b/>
          <w:caps/>
          <w:sz w:val="22"/>
          <w:szCs w:val="22"/>
        </w:rPr>
        <w:tab/>
        <w:t>serijos numeris</w:t>
      </w:r>
    </w:p>
    <w:p w14:paraId="095A3915" w14:textId="77777777" w:rsidR="009A7DBF" w:rsidRDefault="009A7DBF">
      <w:pPr>
        <w:widowControl w:val="0"/>
        <w:ind w:left="567" w:hanging="567"/>
        <w:rPr>
          <w:sz w:val="22"/>
          <w:szCs w:val="22"/>
        </w:rPr>
      </w:pPr>
    </w:p>
    <w:p w14:paraId="654C8BA1" w14:textId="77777777" w:rsidR="009A7DBF" w:rsidRDefault="003F4922">
      <w:pPr>
        <w:widowControl w:val="0"/>
        <w:ind w:right="113"/>
        <w:rPr>
          <w:rFonts w:eastAsiaTheme="minorHAnsi"/>
          <w:sz w:val="22"/>
          <w:szCs w:val="22"/>
          <w:lang w:val="lt-LT" w:eastAsia="en-US"/>
        </w:rPr>
      </w:pPr>
      <w:r>
        <w:rPr>
          <w:sz w:val="22"/>
          <w:szCs w:val="22"/>
        </w:rPr>
        <w:t>Lot</w:t>
      </w:r>
    </w:p>
    <w:p w14:paraId="449597C0" w14:textId="77777777" w:rsidR="009A7DBF" w:rsidRDefault="009A7DBF">
      <w:pPr>
        <w:widowControl w:val="0"/>
        <w:ind w:right="113"/>
        <w:rPr>
          <w:sz w:val="22"/>
          <w:szCs w:val="22"/>
        </w:rPr>
      </w:pPr>
    </w:p>
    <w:p w14:paraId="39EB68AF" w14:textId="77777777" w:rsidR="009A7DBF" w:rsidRDefault="009A7DBF">
      <w:pPr>
        <w:widowControl w:val="0"/>
        <w:ind w:right="11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A7DBF" w14:paraId="1F256C91" w14:textId="77777777">
        <w:tc>
          <w:tcPr>
            <w:tcW w:w="9287" w:type="dxa"/>
          </w:tcPr>
          <w:p w14:paraId="171BC370" w14:textId="77777777" w:rsidR="009A7DBF" w:rsidRDefault="003F4922">
            <w:pPr>
              <w:widowControl w:val="0"/>
              <w:tabs>
                <w:tab w:val="left" w:pos="142"/>
              </w:tabs>
              <w:ind w:left="567" w:hanging="567"/>
              <w:rPr>
                <w:b/>
                <w:sz w:val="22"/>
                <w:szCs w:val="22"/>
              </w:rPr>
            </w:pPr>
            <w:r>
              <w:rPr>
                <w:b/>
                <w:sz w:val="22"/>
                <w:szCs w:val="22"/>
              </w:rPr>
              <w:t>5.</w:t>
            </w:r>
            <w:r>
              <w:rPr>
                <w:b/>
                <w:sz w:val="22"/>
                <w:szCs w:val="22"/>
              </w:rPr>
              <w:tab/>
              <w:t>KITA</w:t>
            </w:r>
          </w:p>
        </w:tc>
      </w:tr>
    </w:tbl>
    <w:p w14:paraId="79C2B816" w14:textId="77777777" w:rsidR="009A7DBF" w:rsidRDefault="009A7DBF">
      <w:pPr>
        <w:widowControl w:val="0"/>
        <w:ind w:right="113"/>
        <w:rPr>
          <w:sz w:val="22"/>
          <w:szCs w:val="22"/>
        </w:rPr>
      </w:pPr>
    </w:p>
    <w:p w14:paraId="3E1D13C9" w14:textId="77777777" w:rsidR="009A7DBF" w:rsidRDefault="009A7DBF">
      <w:pPr>
        <w:widowControl w:val="0"/>
        <w:ind w:left="567" w:hanging="567"/>
        <w:rPr>
          <w:sz w:val="22"/>
          <w:szCs w:val="22"/>
        </w:rPr>
      </w:pPr>
    </w:p>
    <w:p w14:paraId="7C8CE028" w14:textId="77777777" w:rsidR="009A7DBF" w:rsidRDefault="003F4922">
      <w:pPr>
        <w:widowControl w:val="0"/>
        <w:rPr>
          <w:b/>
          <w:caps/>
          <w:sz w:val="22"/>
          <w:szCs w:val="22"/>
        </w:rPr>
      </w:pPr>
      <w:r>
        <w:rPr>
          <w:sz w:val="22"/>
          <w:szCs w:val="22"/>
        </w:rPr>
        <w:br w:type="page"/>
      </w:r>
    </w:p>
    <w:p w14:paraId="43804C14" w14:textId="77777777" w:rsidR="009A7DBF" w:rsidRDefault="009A7DBF">
      <w:pPr>
        <w:widowControl w:val="0"/>
        <w:ind w:left="567" w:hanging="567"/>
        <w:jc w:val="center"/>
        <w:rPr>
          <w:b/>
          <w:caps/>
          <w:sz w:val="22"/>
          <w:szCs w:val="22"/>
        </w:rPr>
      </w:pPr>
    </w:p>
    <w:p w14:paraId="2BF36452" w14:textId="77777777" w:rsidR="009A7DBF" w:rsidRDefault="009A7DBF">
      <w:pPr>
        <w:widowControl w:val="0"/>
        <w:ind w:left="567" w:hanging="567"/>
        <w:jc w:val="center"/>
        <w:rPr>
          <w:b/>
          <w:caps/>
          <w:sz w:val="22"/>
          <w:szCs w:val="22"/>
        </w:rPr>
      </w:pPr>
    </w:p>
    <w:p w14:paraId="335C7B73" w14:textId="77777777" w:rsidR="009A7DBF" w:rsidRDefault="009A7DBF">
      <w:pPr>
        <w:widowControl w:val="0"/>
        <w:ind w:left="567" w:hanging="567"/>
        <w:jc w:val="center"/>
        <w:rPr>
          <w:b/>
          <w:caps/>
          <w:sz w:val="22"/>
          <w:szCs w:val="22"/>
        </w:rPr>
      </w:pPr>
    </w:p>
    <w:p w14:paraId="7DF8C690" w14:textId="77777777" w:rsidR="009A7DBF" w:rsidRDefault="009A7DBF">
      <w:pPr>
        <w:widowControl w:val="0"/>
        <w:ind w:left="567" w:hanging="567"/>
        <w:jc w:val="center"/>
        <w:rPr>
          <w:b/>
          <w:caps/>
          <w:sz w:val="22"/>
          <w:szCs w:val="22"/>
        </w:rPr>
      </w:pPr>
    </w:p>
    <w:p w14:paraId="4BE66FB5" w14:textId="77777777" w:rsidR="009A7DBF" w:rsidRDefault="009A7DBF">
      <w:pPr>
        <w:widowControl w:val="0"/>
        <w:ind w:left="567" w:hanging="567"/>
        <w:jc w:val="center"/>
        <w:rPr>
          <w:b/>
          <w:caps/>
          <w:sz w:val="22"/>
          <w:szCs w:val="22"/>
        </w:rPr>
      </w:pPr>
    </w:p>
    <w:p w14:paraId="62585416" w14:textId="77777777" w:rsidR="009A7DBF" w:rsidRDefault="009A7DBF">
      <w:pPr>
        <w:widowControl w:val="0"/>
        <w:ind w:left="567" w:hanging="567"/>
        <w:jc w:val="center"/>
        <w:rPr>
          <w:b/>
          <w:caps/>
          <w:sz w:val="22"/>
          <w:szCs w:val="22"/>
        </w:rPr>
      </w:pPr>
    </w:p>
    <w:p w14:paraId="719EA7F5" w14:textId="77777777" w:rsidR="009A7DBF" w:rsidRDefault="009A7DBF">
      <w:pPr>
        <w:widowControl w:val="0"/>
        <w:ind w:left="567" w:hanging="567"/>
        <w:jc w:val="center"/>
        <w:rPr>
          <w:b/>
          <w:caps/>
          <w:sz w:val="22"/>
          <w:szCs w:val="22"/>
        </w:rPr>
      </w:pPr>
    </w:p>
    <w:p w14:paraId="6E9E4548" w14:textId="77777777" w:rsidR="009A7DBF" w:rsidRDefault="009A7DBF">
      <w:pPr>
        <w:widowControl w:val="0"/>
        <w:ind w:left="567" w:hanging="567"/>
        <w:jc w:val="center"/>
        <w:rPr>
          <w:b/>
          <w:caps/>
          <w:sz w:val="22"/>
          <w:szCs w:val="22"/>
        </w:rPr>
      </w:pPr>
    </w:p>
    <w:p w14:paraId="48D4CEEC" w14:textId="77777777" w:rsidR="009A7DBF" w:rsidRDefault="009A7DBF">
      <w:pPr>
        <w:widowControl w:val="0"/>
        <w:ind w:left="567" w:hanging="567"/>
        <w:jc w:val="center"/>
        <w:rPr>
          <w:b/>
          <w:caps/>
          <w:sz w:val="22"/>
          <w:szCs w:val="22"/>
        </w:rPr>
      </w:pPr>
    </w:p>
    <w:p w14:paraId="2712FFA3" w14:textId="77777777" w:rsidR="009A7DBF" w:rsidRDefault="009A7DBF">
      <w:pPr>
        <w:widowControl w:val="0"/>
        <w:ind w:left="567" w:hanging="567"/>
        <w:jc w:val="center"/>
        <w:rPr>
          <w:b/>
          <w:caps/>
          <w:sz w:val="22"/>
          <w:szCs w:val="22"/>
        </w:rPr>
      </w:pPr>
    </w:p>
    <w:p w14:paraId="1EE5EA22" w14:textId="77777777" w:rsidR="009A7DBF" w:rsidRDefault="009A7DBF">
      <w:pPr>
        <w:widowControl w:val="0"/>
        <w:ind w:left="567" w:hanging="567"/>
        <w:jc w:val="center"/>
        <w:rPr>
          <w:b/>
          <w:caps/>
          <w:sz w:val="22"/>
          <w:szCs w:val="22"/>
        </w:rPr>
      </w:pPr>
    </w:p>
    <w:p w14:paraId="7553CCA0" w14:textId="77777777" w:rsidR="009A7DBF" w:rsidRDefault="009A7DBF">
      <w:pPr>
        <w:widowControl w:val="0"/>
        <w:ind w:left="567" w:hanging="567"/>
        <w:jc w:val="center"/>
        <w:rPr>
          <w:b/>
          <w:caps/>
          <w:sz w:val="22"/>
          <w:szCs w:val="22"/>
        </w:rPr>
      </w:pPr>
    </w:p>
    <w:p w14:paraId="2ADE11C2" w14:textId="77777777" w:rsidR="009A7DBF" w:rsidRDefault="009A7DBF">
      <w:pPr>
        <w:widowControl w:val="0"/>
        <w:ind w:left="567" w:hanging="567"/>
        <w:jc w:val="center"/>
        <w:rPr>
          <w:b/>
          <w:caps/>
          <w:sz w:val="22"/>
          <w:szCs w:val="22"/>
        </w:rPr>
      </w:pPr>
    </w:p>
    <w:p w14:paraId="245C0E3A" w14:textId="77777777" w:rsidR="009A7DBF" w:rsidRDefault="009A7DBF">
      <w:pPr>
        <w:widowControl w:val="0"/>
        <w:ind w:left="567" w:hanging="567"/>
        <w:jc w:val="center"/>
        <w:rPr>
          <w:b/>
          <w:caps/>
          <w:sz w:val="22"/>
          <w:szCs w:val="22"/>
        </w:rPr>
      </w:pPr>
    </w:p>
    <w:p w14:paraId="7A9A9D3C" w14:textId="77777777" w:rsidR="009A7DBF" w:rsidRDefault="009A7DBF">
      <w:pPr>
        <w:widowControl w:val="0"/>
        <w:ind w:left="567" w:hanging="567"/>
        <w:jc w:val="center"/>
        <w:rPr>
          <w:b/>
          <w:caps/>
          <w:sz w:val="22"/>
          <w:szCs w:val="22"/>
        </w:rPr>
      </w:pPr>
    </w:p>
    <w:p w14:paraId="188F02A8" w14:textId="77777777" w:rsidR="009A7DBF" w:rsidRDefault="009A7DBF">
      <w:pPr>
        <w:widowControl w:val="0"/>
        <w:ind w:left="567" w:hanging="567"/>
        <w:jc w:val="center"/>
        <w:rPr>
          <w:b/>
          <w:caps/>
          <w:sz w:val="22"/>
          <w:szCs w:val="22"/>
        </w:rPr>
      </w:pPr>
    </w:p>
    <w:p w14:paraId="4165A43F" w14:textId="77777777" w:rsidR="009A7DBF" w:rsidRDefault="009A7DBF">
      <w:pPr>
        <w:widowControl w:val="0"/>
        <w:ind w:left="567" w:hanging="567"/>
        <w:jc w:val="center"/>
        <w:rPr>
          <w:b/>
          <w:caps/>
          <w:sz w:val="22"/>
          <w:szCs w:val="22"/>
        </w:rPr>
      </w:pPr>
    </w:p>
    <w:p w14:paraId="735AEE15" w14:textId="77777777" w:rsidR="009A7DBF" w:rsidRDefault="009A7DBF">
      <w:pPr>
        <w:widowControl w:val="0"/>
        <w:ind w:left="567" w:hanging="567"/>
        <w:jc w:val="center"/>
        <w:rPr>
          <w:b/>
          <w:caps/>
          <w:sz w:val="22"/>
          <w:szCs w:val="22"/>
        </w:rPr>
      </w:pPr>
    </w:p>
    <w:p w14:paraId="026C9CBC" w14:textId="77777777" w:rsidR="009A7DBF" w:rsidRDefault="009A7DBF">
      <w:pPr>
        <w:widowControl w:val="0"/>
        <w:ind w:left="567" w:hanging="567"/>
        <w:jc w:val="center"/>
        <w:rPr>
          <w:b/>
          <w:caps/>
          <w:sz w:val="22"/>
          <w:szCs w:val="22"/>
        </w:rPr>
      </w:pPr>
    </w:p>
    <w:p w14:paraId="1BC58A94" w14:textId="77777777" w:rsidR="009A7DBF" w:rsidRDefault="009A7DBF">
      <w:pPr>
        <w:widowControl w:val="0"/>
        <w:ind w:left="567" w:hanging="567"/>
        <w:jc w:val="center"/>
        <w:rPr>
          <w:b/>
          <w:caps/>
          <w:sz w:val="22"/>
          <w:szCs w:val="22"/>
        </w:rPr>
      </w:pPr>
    </w:p>
    <w:p w14:paraId="0461FEAD" w14:textId="77777777" w:rsidR="009A7DBF" w:rsidRDefault="009A7DBF">
      <w:pPr>
        <w:widowControl w:val="0"/>
        <w:ind w:left="567" w:hanging="567"/>
        <w:jc w:val="center"/>
        <w:rPr>
          <w:b/>
          <w:caps/>
          <w:sz w:val="22"/>
          <w:szCs w:val="22"/>
        </w:rPr>
      </w:pPr>
    </w:p>
    <w:p w14:paraId="3E73F216" w14:textId="77777777" w:rsidR="009A7DBF" w:rsidRDefault="009A7DBF">
      <w:pPr>
        <w:widowControl w:val="0"/>
        <w:ind w:left="567" w:hanging="567"/>
        <w:jc w:val="center"/>
        <w:rPr>
          <w:b/>
          <w:caps/>
          <w:sz w:val="22"/>
          <w:szCs w:val="22"/>
        </w:rPr>
      </w:pPr>
    </w:p>
    <w:p w14:paraId="011B1B86" w14:textId="77777777" w:rsidR="009A7DBF" w:rsidRDefault="009A7DBF">
      <w:pPr>
        <w:widowControl w:val="0"/>
        <w:ind w:left="567" w:hanging="567"/>
        <w:jc w:val="center"/>
        <w:rPr>
          <w:b/>
          <w:caps/>
          <w:sz w:val="22"/>
          <w:szCs w:val="22"/>
        </w:rPr>
      </w:pPr>
    </w:p>
    <w:p w14:paraId="07FB9BE1" w14:textId="77777777" w:rsidR="009A7DBF" w:rsidRDefault="003F4922">
      <w:pPr>
        <w:widowControl w:val="0"/>
        <w:ind w:left="567" w:hanging="567"/>
        <w:jc w:val="center"/>
        <w:rPr>
          <w:rFonts w:eastAsiaTheme="minorHAnsi"/>
          <w:b/>
          <w:caps/>
          <w:sz w:val="22"/>
          <w:szCs w:val="22"/>
          <w:lang w:val="lt-LT" w:eastAsia="en-US"/>
        </w:rPr>
      </w:pPr>
      <w:r>
        <w:rPr>
          <w:b/>
          <w:caps/>
          <w:sz w:val="22"/>
          <w:szCs w:val="22"/>
        </w:rPr>
        <w:t>B. PAKUOTĖS LAPELIS</w:t>
      </w:r>
    </w:p>
    <w:p w14:paraId="5A97C30E" w14:textId="77777777" w:rsidR="009A7DBF" w:rsidRDefault="009A7DBF">
      <w:pPr>
        <w:widowControl w:val="0"/>
        <w:ind w:left="567" w:hanging="567"/>
        <w:jc w:val="center"/>
        <w:outlineLvl w:val="0"/>
        <w:rPr>
          <w:b/>
          <w:sz w:val="22"/>
          <w:szCs w:val="22"/>
        </w:rPr>
      </w:pPr>
    </w:p>
    <w:p w14:paraId="0B22DDE6" w14:textId="77777777" w:rsidR="009A7DBF" w:rsidRDefault="003F4922">
      <w:pPr>
        <w:widowControl w:val="0"/>
        <w:jc w:val="center"/>
        <w:rPr>
          <w:rFonts w:eastAsiaTheme="minorHAnsi"/>
          <w:b/>
          <w:sz w:val="22"/>
          <w:szCs w:val="22"/>
          <w:lang w:val="lt-LT" w:eastAsia="en-US"/>
        </w:rPr>
      </w:pPr>
      <w:r>
        <w:rPr>
          <w:b/>
          <w:sz w:val="22"/>
          <w:szCs w:val="22"/>
        </w:rPr>
        <w:br w:type="page"/>
      </w:r>
      <w:r>
        <w:rPr>
          <w:b/>
          <w:sz w:val="22"/>
          <w:szCs w:val="22"/>
        </w:rPr>
        <w:lastRenderedPageBreak/>
        <w:t>Pakuotės</w:t>
      </w:r>
      <w:r>
        <w:rPr>
          <w:rFonts w:eastAsia="Calibri"/>
          <w:b/>
          <w:sz w:val="22"/>
          <w:szCs w:val="22"/>
        </w:rPr>
        <w:t xml:space="preserve"> lapelis</w:t>
      </w:r>
      <w:r>
        <w:rPr>
          <w:b/>
          <w:sz w:val="22"/>
          <w:szCs w:val="22"/>
        </w:rPr>
        <w:t>: informacija vartotojui</w:t>
      </w:r>
    </w:p>
    <w:p w14:paraId="53A76844" w14:textId="77777777" w:rsidR="009A7DBF" w:rsidRDefault="009A7DBF">
      <w:pPr>
        <w:widowControl w:val="0"/>
        <w:jc w:val="center"/>
        <w:rPr>
          <w:b/>
          <w:sz w:val="22"/>
          <w:szCs w:val="22"/>
        </w:rPr>
      </w:pPr>
    </w:p>
    <w:p w14:paraId="5857DCE2" w14:textId="77777777" w:rsidR="009A7DBF" w:rsidRDefault="003F4922">
      <w:pPr>
        <w:widowControl w:val="0"/>
        <w:jc w:val="center"/>
        <w:rPr>
          <w:rFonts w:eastAsiaTheme="minorHAnsi"/>
          <w:b/>
          <w:sz w:val="22"/>
          <w:szCs w:val="22"/>
          <w:lang w:val="lt-LT" w:eastAsia="en-US"/>
        </w:rPr>
      </w:pPr>
      <w:r>
        <w:rPr>
          <w:b/>
          <w:sz w:val="22"/>
          <w:szCs w:val="22"/>
        </w:rPr>
        <w:t>Aclexa 100 mg kietosios kapsulės</w:t>
      </w:r>
    </w:p>
    <w:p w14:paraId="3DC19E52" w14:textId="77777777" w:rsidR="009A7DBF" w:rsidRDefault="003F4922">
      <w:pPr>
        <w:widowControl w:val="0"/>
        <w:jc w:val="center"/>
        <w:rPr>
          <w:rFonts w:eastAsiaTheme="minorHAnsi"/>
          <w:b/>
          <w:sz w:val="22"/>
          <w:szCs w:val="22"/>
          <w:lang w:val="lt-LT" w:eastAsia="en-US"/>
        </w:rPr>
      </w:pPr>
      <w:r>
        <w:rPr>
          <w:b/>
          <w:sz w:val="22"/>
          <w:szCs w:val="22"/>
        </w:rPr>
        <w:t>Aclexa 200 mg kietosios kapsulės</w:t>
      </w:r>
    </w:p>
    <w:p w14:paraId="47E38FEC" w14:textId="77777777" w:rsidR="009A7DBF" w:rsidRDefault="003F4922">
      <w:pPr>
        <w:widowControl w:val="0"/>
        <w:ind w:left="567" w:hanging="567"/>
        <w:jc w:val="center"/>
        <w:rPr>
          <w:rFonts w:eastAsiaTheme="minorHAnsi"/>
          <w:sz w:val="22"/>
          <w:szCs w:val="22"/>
          <w:lang w:val="lt-LT" w:eastAsia="en-US"/>
        </w:rPr>
      </w:pPr>
      <w:r>
        <w:rPr>
          <w:sz w:val="22"/>
          <w:szCs w:val="22"/>
        </w:rPr>
        <w:t>celekoksibas</w:t>
      </w:r>
    </w:p>
    <w:p w14:paraId="00152C4D" w14:textId="77777777" w:rsidR="009A7DBF" w:rsidRDefault="009A7DBF">
      <w:pPr>
        <w:widowControl w:val="0"/>
        <w:ind w:left="567" w:hanging="567"/>
        <w:rPr>
          <w:sz w:val="22"/>
          <w:szCs w:val="22"/>
        </w:rPr>
      </w:pPr>
    </w:p>
    <w:p w14:paraId="47513819" w14:textId="77777777" w:rsidR="009A7DBF" w:rsidRDefault="003F4922">
      <w:pPr>
        <w:widowControl w:val="0"/>
        <w:rPr>
          <w:rFonts w:eastAsiaTheme="minorHAnsi"/>
          <w:b/>
          <w:sz w:val="22"/>
          <w:szCs w:val="22"/>
          <w:lang w:val="lt-LT" w:eastAsia="en-US"/>
        </w:rPr>
      </w:pPr>
      <w:r>
        <w:rPr>
          <w:b/>
          <w:sz w:val="22"/>
          <w:szCs w:val="22"/>
        </w:rPr>
        <w:t>Atidžiai perskaitykite visą šį lapelį, prieš pradėdami vartoti vaistą, nes jame pateikiama Jums svarbi informacija.</w:t>
      </w:r>
    </w:p>
    <w:p w14:paraId="11E204C8" w14:textId="77777777" w:rsidR="009A7DBF" w:rsidRDefault="003F4922">
      <w:pPr>
        <w:widowControl w:val="0"/>
        <w:numPr>
          <w:ilvl w:val="0"/>
          <w:numId w:val="29"/>
        </w:numPr>
        <w:ind w:left="567" w:hanging="567"/>
        <w:rPr>
          <w:sz w:val="22"/>
          <w:szCs w:val="22"/>
        </w:rPr>
      </w:pPr>
      <w:r>
        <w:rPr>
          <w:sz w:val="22"/>
          <w:szCs w:val="22"/>
        </w:rPr>
        <w:t>Neišmeskite šio lapelio, nes vėl gali prireikti jį perskaityti.</w:t>
      </w:r>
    </w:p>
    <w:p w14:paraId="26DE2AC6" w14:textId="77777777" w:rsidR="009A7DBF" w:rsidRDefault="003F4922">
      <w:pPr>
        <w:widowControl w:val="0"/>
        <w:numPr>
          <w:ilvl w:val="0"/>
          <w:numId w:val="29"/>
        </w:numPr>
        <w:ind w:left="567" w:hanging="567"/>
        <w:rPr>
          <w:sz w:val="22"/>
          <w:szCs w:val="22"/>
        </w:rPr>
      </w:pPr>
      <w:r>
        <w:rPr>
          <w:sz w:val="22"/>
          <w:szCs w:val="22"/>
        </w:rPr>
        <w:t>Jeigu kiltų daugiau klausimų, kreipkitės į gydytoją arba vaistininką.</w:t>
      </w:r>
    </w:p>
    <w:p w14:paraId="341BB7A9" w14:textId="77777777" w:rsidR="009A7DBF" w:rsidRDefault="003F4922">
      <w:pPr>
        <w:widowControl w:val="0"/>
        <w:numPr>
          <w:ilvl w:val="0"/>
          <w:numId w:val="29"/>
        </w:numPr>
        <w:ind w:left="567" w:hanging="567"/>
        <w:rPr>
          <w:sz w:val="22"/>
          <w:szCs w:val="22"/>
        </w:rPr>
      </w:pPr>
      <w:r>
        <w:rPr>
          <w:sz w:val="22"/>
          <w:szCs w:val="22"/>
        </w:rPr>
        <w:t>Šis vaistas skirtas tik Jums, todėl kitiems žmonėms jo duoti negalima. Vaistas gali jiems pakenkti (net tiems, kurių ligos požymiai yra tokie patys kaip Jūsų).</w:t>
      </w:r>
    </w:p>
    <w:p w14:paraId="26619E0C" w14:textId="77777777" w:rsidR="009A7DBF" w:rsidRDefault="003F4922">
      <w:pPr>
        <w:widowControl w:val="0"/>
        <w:numPr>
          <w:ilvl w:val="0"/>
          <w:numId w:val="29"/>
        </w:numPr>
        <w:ind w:left="567" w:hanging="567"/>
        <w:rPr>
          <w:sz w:val="22"/>
          <w:szCs w:val="22"/>
        </w:rPr>
      </w:pPr>
      <w:r>
        <w:rPr>
          <w:sz w:val="22"/>
          <w:szCs w:val="22"/>
        </w:rPr>
        <w:t>Jeigu pasireiškė šalutinis poveikis (net jeigu jis šiame lapelyje nenurodytas), kreipkitės į gydytoją arba vaistininką. Žr. 4 skyrių.</w:t>
      </w:r>
    </w:p>
    <w:p w14:paraId="09F8E910" w14:textId="77777777" w:rsidR="009A7DBF" w:rsidRDefault="009A7DBF">
      <w:pPr>
        <w:widowControl w:val="0"/>
        <w:rPr>
          <w:sz w:val="22"/>
          <w:szCs w:val="22"/>
        </w:rPr>
      </w:pPr>
    </w:p>
    <w:p w14:paraId="2D11AEDB" w14:textId="77777777" w:rsidR="009A7DBF" w:rsidRDefault="009A7DBF">
      <w:pPr>
        <w:widowControl w:val="0"/>
        <w:rPr>
          <w:sz w:val="22"/>
          <w:szCs w:val="22"/>
        </w:rPr>
      </w:pPr>
    </w:p>
    <w:p w14:paraId="1A6DC933" w14:textId="77777777" w:rsidR="009A7DBF" w:rsidRDefault="003F4922">
      <w:pPr>
        <w:widowControl w:val="0"/>
        <w:ind w:left="567" w:hanging="567"/>
        <w:rPr>
          <w:rFonts w:eastAsiaTheme="minorHAnsi"/>
          <w:b/>
          <w:sz w:val="22"/>
          <w:szCs w:val="22"/>
          <w:lang w:val="lt-LT" w:eastAsia="en-US"/>
        </w:rPr>
      </w:pPr>
      <w:r>
        <w:rPr>
          <w:b/>
          <w:sz w:val="22"/>
          <w:szCs w:val="22"/>
        </w:rPr>
        <w:t>Apie ką rašoma šiame lapelyje?</w:t>
      </w:r>
    </w:p>
    <w:p w14:paraId="00CC6181" w14:textId="77777777" w:rsidR="009A7DBF" w:rsidRDefault="003F4922">
      <w:pPr>
        <w:widowControl w:val="0"/>
        <w:ind w:left="567" w:hanging="567"/>
        <w:rPr>
          <w:rFonts w:eastAsiaTheme="minorHAnsi"/>
          <w:sz w:val="22"/>
          <w:szCs w:val="22"/>
          <w:lang w:val="lt-LT" w:eastAsia="en-US"/>
        </w:rPr>
      </w:pPr>
      <w:r>
        <w:rPr>
          <w:sz w:val="22"/>
          <w:szCs w:val="22"/>
        </w:rPr>
        <w:t>1.</w:t>
      </w:r>
      <w:r>
        <w:rPr>
          <w:sz w:val="22"/>
          <w:szCs w:val="22"/>
        </w:rPr>
        <w:tab/>
        <w:t>Kas yra Aclexa ir kam jis vartojamas</w:t>
      </w:r>
    </w:p>
    <w:p w14:paraId="3BC53947" w14:textId="77777777" w:rsidR="009A7DBF" w:rsidRDefault="003F4922">
      <w:pPr>
        <w:widowControl w:val="0"/>
        <w:ind w:left="567" w:hanging="567"/>
        <w:rPr>
          <w:rFonts w:eastAsiaTheme="minorHAnsi"/>
          <w:sz w:val="22"/>
          <w:szCs w:val="22"/>
          <w:lang w:val="lt-LT" w:eastAsia="en-US"/>
        </w:rPr>
      </w:pPr>
      <w:r>
        <w:rPr>
          <w:sz w:val="22"/>
          <w:szCs w:val="22"/>
        </w:rPr>
        <w:t>2.</w:t>
      </w:r>
      <w:r>
        <w:rPr>
          <w:sz w:val="22"/>
          <w:szCs w:val="22"/>
        </w:rPr>
        <w:tab/>
        <w:t>Kas žinotina prieš vartojant Aclexa</w:t>
      </w:r>
    </w:p>
    <w:p w14:paraId="1833211A" w14:textId="77777777" w:rsidR="009A7DBF" w:rsidRDefault="003F4922">
      <w:pPr>
        <w:widowControl w:val="0"/>
        <w:ind w:left="567" w:hanging="567"/>
        <w:rPr>
          <w:rFonts w:eastAsiaTheme="minorHAnsi"/>
          <w:sz w:val="22"/>
          <w:szCs w:val="22"/>
          <w:lang w:val="lt-LT" w:eastAsia="en-US"/>
        </w:rPr>
      </w:pPr>
      <w:r>
        <w:rPr>
          <w:sz w:val="22"/>
          <w:szCs w:val="22"/>
        </w:rPr>
        <w:t>3.</w:t>
      </w:r>
      <w:r>
        <w:rPr>
          <w:sz w:val="22"/>
          <w:szCs w:val="22"/>
        </w:rPr>
        <w:tab/>
        <w:t>Kaip vartoti Aclexa</w:t>
      </w:r>
    </w:p>
    <w:p w14:paraId="7C89AC3F" w14:textId="77777777" w:rsidR="009A7DBF" w:rsidRDefault="003F4922">
      <w:pPr>
        <w:widowControl w:val="0"/>
        <w:ind w:left="567" w:hanging="567"/>
        <w:rPr>
          <w:rFonts w:eastAsiaTheme="minorHAnsi"/>
          <w:sz w:val="22"/>
          <w:szCs w:val="22"/>
          <w:lang w:val="lt-LT" w:eastAsia="en-US"/>
        </w:rPr>
      </w:pPr>
      <w:r>
        <w:rPr>
          <w:sz w:val="22"/>
          <w:szCs w:val="22"/>
        </w:rPr>
        <w:t>4.</w:t>
      </w:r>
      <w:r>
        <w:rPr>
          <w:sz w:val="22"/>
          <w:szCs w:val="22"/>
        </w:rPr>
        <w:tab/>
        <w:t>Galimas šalutinis poveikis</w:t>
      </w:r>
    </w:p>
    <w:p w14:paraId="48A1E9DE" w14:textId="77777777" w:rsidR="009A7DBF" w:rsidRDefault="003F4922">
      <w:pPr>
        <w:widowControl w:val="0"/>
        <w:ind w:left="567" w:hanging="567"/>
        <w:rPr>
          <w:rFonts w:eastAsiaTheme="minorHAnsi"/>
          <w:sz w:val="22"/>
          <w:szCs w:val="22"/>
          <w:lang w:val="lt-LT" w:eastAsia="en-US"/>
        </w:rPr>
      </w:pPr>
      <w:r>
        <w:rPr>
          <w:sz w:val="22"/>
          <w:szCs w:val="22"/>
        </w:rPr>
        <w:t>5.</w:t>
      </w:r>
      <w:r>
        <w:rPr>
          <w:sz w:val="22"/>
          <w:szCs w:val="22"/>
        </w:rPr>
        <w:tab/>
        <w:t>Kaip laikyti Aclexa</w:t>
      </w:r>
    </w:p>
    <w:p w14:paraId="0695C298" w14:textId="77777777" w:rsidR="009A7DBF" w:rsidRDefault="003F4922">
      <w:pPr>
        <w:widowControl w:val="0"/>
        <w:ind w:left="567" w:hanging="567"/>
        <w:rPr>
          <w:rFonts w:eastAsiaTheme="minorHAnsi"/>
          <w:sz w:val="22"/>
          <w:szCs w:val="22"/>
          <w:lang w:val="lt-LT" w:eastAsia="en-US"/>
        </w:rPr>
      </w:pPr>
      <w:r>
        <w:rPr>
          <w:sz w:val="22"/>
          <w:szCs w:val="22"/>
        </w:rPr>
        <w:t>6.</w:t>
      </w:r>
      <w:r>
        <w:rPr>
          <w:sz w:val="22"/>
          <w:szCs w:val="22"/>
        </w:rPr>
        <w:tab/>
        <w:t>Pakuotės turinys ir kita informacija</w:t>
      </w:r>
    </w:p>
    <w:p w14:paraId="3A56E5A2" w14:textId="77777777" w:rsidR="009A7DBF" w:rsidRDefault="009A7DBF">
      <w:pPr>
        <w:widowControl w:val="0"/>
        <w:ind w:left="567" w:hanging="567"/>
        <w:rPr>
          <w:sz w:val="22"/>
          <w:szCs w:val="22"/>
        </w:rPr>
      </w:pPr>
    </w:p>
    <w:p w14:paraId="32B45C55" w14:textId="77777777" w:rsidR="009A7DBF" w:rsidRDefault="009A7DBF">
      <w:pPr>
        <w:widowControl w:val="0"/>
        <w:ind w:left="567" w:hanging="567"/>
        <w:rPr>
          <w:sz w:val="22"/>
          <w:szCs w:val="22"/>
        </w:rPr>
      </w:pPr>
    </w:p>
    <w:p w14:paraId="4C46F29C" w14:textId="77777777" w:rsidR="009A7DBF" w:rsidRDefault="003F4922">
      <w:pPr>
        <w:widowControl w:val="0"/>
        <w:numPr>
          <w:ilvl w:val="12"/>
          <w:numId w:val="0"/>
        </w:numPr>
        <w:ind w:left="567" w:hanging="567"/>
        <w:outlineLvl w:val="0"/>
        <w:rPr>
          <w:rFonts w:eastAsiaTheme="minorHAnsi"/>
          <w:b/>
          <w:caps/>
          <w:sz w:val="22"/>
          <w:szCs w:val="22"/>
          <w:lang w:val="lt-LT" w:eastAsia="en-US"/>
        </w:rPr>
      </w:pPr>
      <w:r>
        <w:rPr>
          <w:b/>
          <w:sz w:val="22"/>
          <w:szCs w:val="22"/>
        </w:rPr>
        <w:t>1.</w:t>
      </w:r>
      <w:r>
        <w:rPr>
          <w:b/>
          <w:sz w:val="22"/>
          <w:szCs w:val="22"/>
        </w:rPr>
        <w:tab/>
        <w:t>Kas yra Aclexa ir kam jis vartojamas</w:t>
      </w:r>
    </w:p>
    <w:p w14:paraId="58D61A52" w14:textId="77777777" w:rsidR="009A7DBF" w:rsidRDefault="009A7DBF">
      <w:pPr>
        <w:widowControl w:val="0"/>
        <w:ind w:left="567" w:hanging="567"/>
        <w:rPr>
          <w:sz w:val="22"/>
          <w:szCs w:val="22"/>
        </w:rPr>
      </w:pPr>
    </w:p>
    <w:p w14:paraId="28BC98DA" w14:textId="77777777" w:rsidR="009A7DBF" w:rsidRDefault="003F4922">
      <w:pPr>
        <w:widowControl w:val="0"/>
        <w:rPr>
          <w:rFonts w:eastAsiaTheme="minorHAnsi"/>
          <w:sz w:val="22"/>
          <w:szCs w:val="22"/>
          <w:lang w:val="lt-LT" w:eastAsia="en-US"/>
        </w:rPr>
      </w:pPr>
      <w:r>
        <w:rPr>
          <w:sz w:val="22"/>
          <w:szCs w:val="22"/>
        </w:rPr>
        <w:t>Aclexa priklauso vaistų, kurie vadinami nesteroidiniais vaistais nuo uždegimo (NVNU), grupei ir specifiniam ciklooksigenazės 2 (COX</w:t>
      </w:r>
      <w:r>
        <w:rPr>
          <w:sz w:val="22"/>
          <w:szCs w:val="22"/>
        </w:rPr>
        <w:noBreakHyphen/>
        <w:t>2) inhibitorių pogrupiui. Jūsų organizme yra gaminami prostaglandinai (į hormonus panašios medžiagos), kurie gali sukelti skausmą ir uždegimą. Sergant tokiomis ligomis kaip reumatoidinis artritas ar osteoartritas, šių medžiagų organizme susidaro per daug. Aclexa mažina prostaglandinų gamybą ir dėl to malšina skausmą ir uždegimą.</w:t>
      </w:r>
    </w:p>
    <w:p w14:paraId="6640AD99" w14:textId="77777777" w:rsidR="009A7DBF" w:rsidRDefault="009A7DBF">
      <w:pPr>
        <w:rPr>
          <w:rFonts w:eastAsia="Calibri"/>
          <w:sz w:val="22"/>
          <w:szCs w:val="22"/>
        </w:rPr>
      </w:pPr>
    </w:p>
    <w:p w14:paraId="5A50AE95" w14:textId="77777777" w:rsidR="009A7DBF" w:rsidRDefault="003F4922">
      <w:pPr>
        <w:widowControl w:val="0"/>
        <w:rPr>
          <w:rFonts w:eastAsia="Calibri"/>
          <w:sz w:val="22"/>
          <w:szCs w:val="22"/>
        </w:rPr>
      </w:pPr>
      <w:r>
        <w:rPr>
          <w:sz w:val="22"/>
          <w:szCs w:val="22"/>
        </w:rPr>
        <w:t xml:space="preserve">Aclexa vartojama </w:t>
      </w:r>
      <w:r>
        <w:rPr>
          <w:b/>
          <w:sz w:val="22"/>
          <w:szCs w:val="22"/>
        </w:rPr>
        <w:t>reumatoidinio artrito</w:t>
      </w:r>
      <w:r>
        <w:rPr>
          <w:sz w:val="22"/>
          <w:szCs w:val="22"/>
        </w:rPr>
        <w:t xml:space="preserve">, </w:t>
      </w:r>
      <w:r>
        <w:rPr>
          <w:b/>
          <w:sz w:val="22"/>
          <w:szCs w:val="22"/>
        </w:rPr>
        <w:t>osteoartrito</w:t>
      </w:r>
      <w:r>
        <w:rPr>
          <w:sz w:val="22"/>
          <w:szCs w:val="22"/>
        </w:rPr>
        <w:t xml:space="preserve"> bei </w:t>
      </w:r>
      <w:r>
        <w:rPr>
          <w:b/>
          <w:sz w:val="22"/>
          <w:szCs w:val="22"/>
        </w:rPr>
        <w:t>ankilozinio spondilito</w:t>
      </w:r>
      <w:r>
        <w:rPr>
          <w:sz w:val="22"/>
          <w:szCs w:val="22"/>
        </w:rPr>
        <w:t xml:space="preserve"> požymiams ir simptomams lengvinti suaugusiems žmonėms.</w:t>
      </w:r>
    </w:p>
    <w:p w14:paraId="64466876" w14:textId="77777777" w:rsidR="009A7DBF" w:rsidRDefault="009A7DBF">
      <w:pPr>
        <w:rPr>
          <w:rFonts w:eastAsia="Calibri"/>
          <w:sz w:val="22"/>
          <w:szCs w:val="22"/>
        </w:rPr>
      </w:pPr>
    </w:p>
    <w:p w14:paraId="7C226B01" w14:textId="77777777" w:rsidR="009A7DBF" w:rsidRDefault="003F4922">
      <w:pPr>
        <w:rPr>
          <w:rFonts w:eastAsia="Calibri"/>
          <w:sz w:val="22"/>
          <w:szCs w:val="22"/>
        </w:rPr>
      </w:pPr>
      <w:r>
        <w:rPr>
          <w:rFonts w:eastAsia="Calibri"/>
          <w:sz w:val="22"/>
          <w:szCs w:val="22"/>
        </w:rPr>
        <w:t>Tikėtina, kad vaistas pradės veikti per kelias valandas po pirmosios dozės išgėrimo, tačiau, kol pasireikš stipriausias poveikis, gali praeiti kelios dienos.</w:t>
      </w:r>
    </w:p>
    <w:p w14:paraId="4F6FF408" w14:textId="77777777" w:rsidR="009A7DBF" w:rsidRDefault="009A7DBF">
      <w:pPr>
        <w:widowControl w:val="0"/>
        <w:rPr>
          <w:sz w:val="22"/>
          <w:szCs w:val="22"/>
        </w:rPr>
      </w:pPr>
    </w:p>
    <w:p w14:paraId="14F1BBB0" w14:textId="77777777" w:rsidR="009A7DBF" w:rsidRDefault="009A7DBF">
      <w:pPr>
        <w:widowControl w:val="0"/>
        <w:ind w:left="567" w:hanging="567"/>
        <w:rPr>
          <w:sz w:val="22"/>
          <w:szCs w:val="22"/>
        </w:rPr>
      </w:pPr>
    </w:p>
    <w:p w14:paraId="18BA0E2E" w14:textId="77777777" w:rsidR="009A7DBF" w:rsidRDefault="003F4922">
      <w:pPr>
        <w:widowControl w:val="0"/>
        <w:numPr>
          <w:ilvl w:val="12"/>
          <w:numId w:val="0"/>
        </w:numPr>
        <w:ind w:left="567" w:hanging="567"/>
        <w:outlineLvl w:val="0"/>
        <w:rPr>
          <w:rFonts w:eastAsiaTheme="minorHAnsi"/>
          <w:b/>
          <w:caps/>
          <w:sz w:val="22"/>
          <w:szCs w:val="22"/>
          <w:lang w:val="lt-LT" w:eastAsia="en-US"/>
        </w:rPr>
      </w:pPr>
      <w:r>
        <w:rPr>
          <w:b/>
          <w:sz w:val="22"/>
          <w:szCs w:val="22"/>
        </w:rPr>
        <w:t>2.</w:t>
      </w:r>
      <w:r>
        <w:rPr>
          <w:b/>
          <w:sz w:val="22"/>
          <w:szCs w:val="22"/>
        </w:rPr>
        <w:tab/>
        <w:t>Kas žinotina prieš vartojant Aclexa</w:t>
      </w:r>
    </w:p>
    <w:p w14:paraId="34BEB9E0" w14:textId="77777777" w:rsidR="009A7DBF" w:rsidRDefault="009A7DBF">
      <w:pPr>
        <w:widowControl w:val="0"/>
        <w:ind w:left="567" w:hanging="567"/>
        <w:rPr>
          <w:sz w:val="22"/>
          <w:szCs w:val="22"/>
        </w:rPr>
      </w:pPr>
    </w:p>
    <w:p w14:paraId="13EDA4F0" w14:textId="77777777" w:rsidR="009A7DBF" w:rsidRDefault="003F4922">
      <w:pPr>
        <w:widowControl w:val="0"/>
        <w:autoSpaceDE w:val="0"/>
        <w:autoSpaceDN w:val="0"/>
        <w:adjustRightInd w:val="0"/>
        <w:rPr>
          <w:rFonts w:eastAsiaTheme="minorHAnsi"/>
          <w:color w:val="000000"/>
          <w:sz w:val="22"/>
          <w:szCs w:val="22"/>
          <w:lang w:val="lt-LT" w:eastAsia="en-US"/>
        </w:rPr>
      </w:pPr>
      <w:r>
        <w:rPr>
          <w:color w:val="000000"/>
          <w:sz w:val="22"/>
          <w:szCs w:val="22"/>
        </w:rPr>
        <w:t xml:space="preserve">Gydytojas Jums skyrė vartoti Aclexa. Ši informacija gali padėti, kad gydymo Aclexa </w:t>
      </w:r>
      <w:r>
        <w:rPr>
          <w:sz w:val="22"/>
          <w:szCs w:val="22"/>
        </w:rPr>
        <w:t>poveikis būtų geriausias</w:t>
      </w:r>
      <w:r>
        <w:rPr>
          <w:color w:val="000000"/>
          <w:sz w:val="22"/>
          <w:szCs w:val="22"/>
        </w:rPr>
        <w:t xml:space="preserve">. Jeigu kiltų </w:t>
      </w:r>
      <w:r>
        <w:rPr>
          <w:sz w:val="22"/>
          <w:szCs w:val="22"/>
        </w:rPr>
        <w:t>bet kokių papildomų klausimų, kreipkitės į gydytoją arba vaistininką</w:t>
      </w:r>
      <w:r>
        <w:rPr>
          <w:color w:val="000000"/>
          <w:sz w:val="22"/>
          <w:szCs w:val="22"/>
        </w:rPr>
        <w:t>.</w:t>
      </w:r>
    </w:p>
    <w:p w14:paraId="1EDD4782" w14:textId="77777777" w:rsidR="009A7DBF" w:rsidRDefault="009A7DBF">
      <w:pPr>
        <w:widowControl w:val="0"/>
        <w:autoSpaceDE w:val="0"/>
        <w:autoSpaceDN w:val="0"/>
        <w:adjustRightInd w:val="0"/>
        <w:rPr>
          <w:color w:val="000000"/>
          <w:sz w:val="22"/>
          <w:szCs w:val="22"/>
        </w:rPr>
      </w:pPr>
    </w:p>
    <w:p w14:paraId="2A0D022C" w14:textId="77777777" w:rsidR="009A7DBF" w:rsidRDefault="003F4922">
      <w:pPr>
        <w:widowControl w:val="0"/>
        <w:ind w:left="567" w:hanging="567"/>
        <w:outlineLvl w:val="0"/>
        <w:rPr>
          <w:rFonts w:eastAsiaTheme="minorHAnsi"/>
          <w:b/>
          <w:sz w:val="22"/>
          <w:szCs w:val="22"/>
          <w:lang w:val="lt-LT" w:eastAsia="en-US"/>
        </w:rPr>
      </w:pPr>
      <w:r>
        <w:rPr>
          <w:b/>
          <w:sz w:val="22"/>
          <w:szCs w:val="22"/>
        </w:rPr>
        <w:t>Aclexa vartoti draudžiama</w:t>
      </w:r>
    </w:p>
    <w:p w14:paraId="50191173" w14:textId="77777777" w:rsidR="009A7DBF" w:rsidRDefault="003F4922">
      <w:pPr>
        <w:widowControl w:val="0"/>
        <w:outlineLvl w:val="0"/>
        <w:rPr>
          <w:b/>
          <w:bCs/>
          <w:sz w:val="22"/>
          <w:szCs w:val="22"/>
        </w:rPr>
      </w:pPr>
      <w:r>
        <w:rPr>
          <w:b/>
          <w:bCs/>
          <w:sz w:val="22"/>
          <w:szCs w:val="22"/>
        </w:rPr>
        <w:t>Pasakykite savo gydytojui, jei Jums tinka bet kuri iš toliau išvardytų būklių, nes pacientams, kuriems pasireiškia šių sutrikimų Aclexa negalima vartoti.</w:t>
      </w:r>
    </w:p>
    <w:p w14:paraId="6CBF3CD8" w14:textId="77777777" w:rsidR="009A7DBF" w:rsidRDefault="003F4922">
      <w:pPr>
        <w:widowControl w:val="0"/>
        <w:numPr>
          <w:ilvl w:val="0"/>
          <w:numId w:val="20"/>
        </w:numPr>
        <w:ind w:left="567" w:hanging="567"/>
        <w:contextualSpacing/>
        <w:rPr>
          <w:rFonts w:eastAsiaTheme="minorHAnsi"/>
          <w:sz w:val="22"/>
          <w:szCs w:val="22"/>
          <w:lang w:val="lt-LT" w:eastAsia="en-US"/>
        </w:rPr>
      </w:pPr>
      <w:r>
        <w:rPr>
          <w:sz w:val="22"/>
          <w:szCs w:val="22"/>
        </w:rPr>
        <w:t>jeigu yra alergija celekoksibui arba bet kuriai pagalbinei šio vaisto medžiagai (jos išvardytos 6 skyriuje);</w:t>
      </w:r>
    </w:p>
    <w:p w14:paraId="7F8E2306" w14:textId="77777777" w:rsidR="009A7DBF" w:rsidRDefault="003F4922">
      <w:pPr>
        <w:widowControl w:val="0"/>
        <w:numPr>
          <w:ilvl w:val="0"/>
          <w:numId w:val="20"/>
        </w:numPr>
        <w:ind w:left="567" w:hanging="567"/>
        <w:contextualSpacing/>
        <w:rPr>
          <w:rFonts w:eastAsiaTheme="minorHAnsi"/>
          <w:sz w:val="22"/>
          <w:szCs w:val="22"/>
          <w:lang w:val="lt-LT" w:eastAsia="en-US"/>
        </w:rPr>
      </w:pPr>
      <w:r>
        <w:rPr>
          <w:sz w:val="22"/>
          <w:szCs w:val="22"/>
        </w:rPr>
        <w:t>jeigu buvo pasireiškusi alerginė reakcija vaistams, vadinamiems sulfonamidais (tokie vaistai yra kai kurie antibiotikai, vartojami infekcinėms ligoms gydyti);</w:t>
      </w:r>
    </w:p>
    <w:p w14:paraId="0AE2A76D" w14:textId="77777777" w:rsidR="009A7DBF" w:rsidRDefault="003F4922">
      <w:pPr>
        <w:widowControl w:val="0"/>
        <w:numPr>
          <w:ilvl w:val="0"/>
          <w:numId w:val="20"/>
        </w:numPr>
        <w:ind w:left="567" w:hanging="567"/>
        <w:contextualSpacing/>
        <w:rPr>
          <w:rFonts w:eastAsiaTheme="minorHAnsi"/>
          <w:sz w:val="22"/>
          <w:szCs w:val="22"/>
          <w:lang w:val="lt-LT" w:eastAsia="en-US"/>
        </w:rPr>
      </w:pPr>
      <w:r>
        <w:rPr>
          <w:sz w:val="22"/>
          <w:szCs w:val="22"/>
        </w:rPr>
        <w:t xml:space="preserve">jeigu </w:t>
      </w:r>
      <w:r>
        <w:rPr>
          <w:b/>
          <w:sz w:val="22"/>
          <w:szCs w:val="22"/>
        </w:rPr>
        <w:t>šiuo metu</w:t>
      </w:r>
      <w:r>
        <w:rPr>
          <w:sz w:val="22"/>
          <w:szCs w:val="22"/>
        </w:rPr>
        <w:t xml:space="preserve"> sergate skrandžio ar žarnos opalige arba kraujuojate iš skrandžio ar žarnyno;</w:t>
      </w:r>
    </w:p>
    <w:p w14:paraId="343DB905" w14:textId="77777777" w:rsidR="009A7DBF" w:rsidRDefault="003F4922">
      <w:pPr>
        <w:widowControl w:val="0"/>
        <w:numPr>
          <w:ilvl w:val="0"/>
          <w:numId w:val="20"/>
        </w:numPr>
        <w:ind w:left="567" w:hanging="567"/>
        <w:contextualSpacing/>
        <w:rPr>
          <w:rFonts w:eastAsiaTheme="minorHAnsi"/>
          <w:sz w:val="22"/>
          <w:szCs w:val="22"/>
          <w:lang w:val="lt-LT" w:eastAsia="en-US"/>
        </w:rPr>
      </w:pPr>
      <w:r>
        <w:rPr>
          <w:sz w:val="22"/>
          <w:szCs w:val="22"/>
        </w:rPr>
        <w:t xml:space="preserve">jeigu pavartojus acetilsalicilo rūgšties arba bet kurių kitų vaistų nuo uždegimo ar skausmą malšinančių vaistų (NVNU) pasireiškė astma, atsirado nosies polipų, sunkus nosies paburkimas ar alerginė reakcija, pavyzdžiui, niežtintis odos išbėrimas, veido, lūpų, liežuvio ar gerklės </w:t>
      </w:r>
      <w:r>
        <w:rPr>
          <w:sz w:val="22"/>
          <w:szCs w:val="22"/>
        </w:rPr>
        <w:lastRenderedPageBreak/>
        <w:t>patinimas, kvėpavimo pasunkėjimas ar švokštimas;</w:t>
      </w:r>
    </w:p>
    <w:p w14:paraId="3EEFC60A" w14:textId="77777777" w:rsidR="009A7DBF" w:rsidRDefault="003F4922">
      <w:pPr>
        <w:widowControl w:val="0"/>
        <w:numPr>
          <w:ilvl w:val="0"/>
          <w:numId w:val="20"/>
        </w:numPr>
        <w:ind w:left="567" w:hanging="567"/>
        <w:contextualSpacing/>
        <w:rPr>
          <w:rFonts w:eastAsiaTheme="minorHAnsi"/>
          <w:sz w:val="22"/>
          <w:szCs w:val="22"/>
          <w:lang w:val="lt-LT" w:eastAsia="en-US"/>
        </w:rPr>
      </w:pPr>
      <w:r>
        <w:rPr>
          <w:sz w:val="22"/>
          <w:szCs w:val="22"/>
        </w:rPr>
        <w:t>jeigu esate nėščia. Jeigu gydymo metu galite pastoti, turite aptarti su gydytoju kontracepcijos būdus;</w:t>
      </w:r>
    </w:p>
    <w:p w14:paraId="0F8D4394" w14:textId="77777777" w:rsidR="009A7DBF" w:rsidRDefault="003F4922">
      <w:pPr>
        <w:widowControl w:val="0"/>
        <w:numPr>
          <w:ilvl w:val="0"/>
          <w:numId w:val="20"/>
        </w:numPr>
        <w:ind w:left="567" w:hanging="567"/>
        <w:contextualSpacing/>
        <w:rPr>
          <w:rFonts w:eastAsiaTheme="minorHAnsi"/>
          <w:sz w:val="22"/>
          <w:szCs w:val="22"/>
          <w:lang w:val="lt-LT" w:eastAsia="en-US"/>
        </w:rPr>
      </w:pPr>
      <w:r>
        <w:rPr>
          <w:sz w:val="22"/>
          <w:szCs w:val="22"/>
        </w:rPr>
        <w:t>jeigu maitinate krūtimi;</w:t>
      </w:r>
    </w:p>
    <w:p w14:paraId="3966455B" w14:textId="77777777" w:rsidR="009A7DBF" w:rsidRDefault="003F4922">
      <w:pPr>
        <w:widowControl w:val="0"/>
        <w:numPr>
          <w:ilvl w:val="0"/>
          <w:numId w:val="20"/>
        </w:numPr>
        <w:ind w:left="567" w:hanging="567"/>
        <w:contextualSpacing/>
        <w:rPr>
          <w:rFonts w:eastAsiaTheme="minorHAnsi"/>
          <w:sz w:val="22"/>
          <w:szCs w:val="22"/>
          <w:lang w:val="lt-LT" w:eastAsia="en-US"/>
        </w:rPr>
      </w:pPr>
      <w:r>
        <w:rPr>
          <w:sz w:val="22"/>
          <w:szCs w:val="22"/>
        </w:rPr>
        <w:t>jeigu sergate sunkia kepenų liga;</w:t>
      </w:r>
    </w:p>
    <w:p w14:paraId="237F7D91" w14:textId="77777777" w:rsidR="009A7DBF" w:rsidRDefault="003F4922">
      <w:pPr>
        <w:widowControl w:val="0"/>
        <w:numPr>
          <w:ilvl w:val="0"/>
          <w:numId w:val="20"/>
        </w:numPr>
        <w:ind w:left="567" w:hanging="567"/>
        <w:contextualSpacing/>
        <w:rPr>
          <w:rFonts w:eastAsiaTheme="minorHAnsi"/>
          <w:sz w:val="22"/>
          <w:szCs w:val="22"/>
          <w:lang w:val="lt-LT" w:eastAsia="en-US"/>
        </w:rPr>
      </w:pPr>
      <w:r>
        <w:rPr>
          <w:sz w:val="22"/>
          <w:szCs w:val="22"/>
        </w:rPr>
        <w:t>jeigu sergate sunkia inkstų liga;</w:t>
      </w:r>
    </w:p>
    <w:p w14:paraId="6D00DE6B" w14:textId="77777777" w:rsidR="009A7DBF" w:rsidRDefault="003F4922">
      <w:pPr>
        <w:widowControl w:val="0"/>
        <w:numPr>
          <w:ilvl w:val="0"/>
          <w:numId w:val="20"/>
        </w:numPr>
        <w:ind w:left="567" w:hanging="567"/>
        <w:contextualSpacing/>
        <w:rPr>
          <w:rFonts w:eastAsiaTheme="minorHAnsi"/>
          <w:sz w:val="22"/>
          <w:szCs w:val="22"/>
          <w:lang w:val="lt-LT" w:eastAsia="en-US"/>
        </w:rPr>
      </w:pPr>
      <w:r>
        <w:rPr>
          <w:sz w:val="22"/>
          <w:szCs w:val="22"/>
        </w:rPr>
        <w:t>jeigu sergate uždegimine žarnų liga (pavyzdžiui, opiniu kolitu ar Krono liga);</w:t>
      </w:r>
    </w:p>
    <w:p w14:paraId="5561984B" w14:textId="77777777" w:rsidR="009A7DBF" w:rsidRDefault="003F4922">
      <w:pPr>
        <w:widowControl w:val="0"/>
        <w:numPr>
          <w:ilvl w:val="0"/>
          <w:numId w:val="20"/>
        </w:numPr>
        <w:ind w:left="567" w:hanging="567"/>
        <w:contextualSpacing/>
        <w:rPr>
          <w:rFonts w:eastAsiaTheme="minorHAnsi"/>
          <w:sz w:val="22"/>
          <w:szCs w:val="22"/>
          <w:lang w:val="lt-LT" w:eastAsia="en-US"/>
        </w:rPr>
      </w:pPr>
      <w:r>
        <w:rPr>
          <w:sz w:val="22"/>
          <w:szCs w:val="22"/>
        </w:rPr>
        <w:t>jeigu sergate širdies nepakankamumu, diagnozuota išeminė širdies liga arba smegenų kraujagyslių liga (pavyzdžiui, buvo diagnozuotas širdies priepuolis, insultas arba praeinantysis smegenų išemijos priepuolis (trumpalaikis smegenų kraujotakos sutrikimas, dar vadinamas mini insultu), krūtinės angina arba širdies ar smegenų kraujagyslių užsikimšimas);</w:t>
      </w:r>
    </w:p>
    <w:p w14:paraId="1C1C64F7" w14:textId="77777777" w:rsidR="009A7DBF" w:rsidRDefault="003F4922">
      <w:pPr>
        <w:widowControl w:val="0"/>
        <w:numPr>
          <w:ilvl w:val="0"/>
          <w:numId w:val="20"/>
        </w:numPr>
        <w:ind w:left="567" w:hanging="567"/>
        <w:contextualSpacing/>
        <w:rPr>
          <w:rFonts w:eastAsiaTheme="minorHAnsi"/>
          <w:sz w:val="22"/>
          <w:szCs w:val="22"/>
          <w:lang w:val="lt-LT" w:eastAsia="en-US"/>
        </w:rPr>
      </w:pPr>
      <w:r>
        <w:rPr>
          <w:sz w:val="22"/>
          <w:szCs w:val="22"/>
        </w:rPr>
        <w:t>jeigu yra arba buvo kraujotakos sutrikimų (periferinių arterijų liga) arba atlikta kojų arterijų operacija.</w:t>
      </w:r>
    </w:p>
    <w:p w14:paraId="085A2AE8" w14:textId="77777777" w:rsidR="009A7DBF" w:rsidRDefault="009A7DBF">
      <w:pPr>
        <w:widowControl w:val="0"/>
        <w:numPr>
          <w:ilvl w:val="12"/>
          <w:numId w:val="0"/>
        </w:numPr>
        <w:ind w:left="360" w:hanging="360"/>
        <w:rPr>
          <w:sz w:val="22"/>
          <w:szCs w:val="22"/>
        </w:rPr>
      </w:pPr>
    </w:p>
    <w:p w14:paraId="062CAB3A" w14:textId="77777777" w:rsidR="009A7DBF" w:rsidRDefault="003F4922">
      <w:pPr>
        <w:widowControl w:val="0"/>
        <w:jc w:val="both"/>
        <w:outlineLvl w:val="0"/>
        <w:rPr>
          <w:rFonts w:eastAsiaTheme="minorHAnsi"/>
          <w:b/>
          <w:sz w:val="22"/>
          <w:szCs w:val="22"/>
          <w:lang w:val="lt-LT" w:eastAsia="en-US"/>
        </w:rPr>
      </w:pPr>
      <w:r>
        <w:rPr>
          <w:b/>
          <w:sz w:val="22"/>
          <w:szCs w:val="22"/>
        </w:rPr>
        <w:t>Įspėjimai ir atsargumo priemonės</w:t>
      </w:r>
    </w:p>
    <w:p w14:paraId="7AB1723C" w14:textId="77777777" w:rsidR="009A7DBF" w:rsidRDefault="003F4922">
      <w:pPr>
        <w:widowControl w:val="0"/>
        <w:numPr>
          <w:ilvl w:val="12"/>
          <w:numId w:val="0"/>
        </w:numPr>
        <w:rPr>
          <w:rFonts w:eastAsiaTheme="minorHAnsi"/>
          <w:sz w:val="22"/>
          <w:szCs w:val="22"/>
          <w:lang w:val="lt-LT" w:eastAsia="en-US"/>
        </w:rPr>
      </w:pPr>
      <w:r>
        <w:rPr>
          <w:sz w:val="22"/>
          <w:szCs w:val="22"/>
        </w:rPr>
        <w:t>Pasitarkite su gydytoju arba vaistininku, prieš</w:t>
      </w:r>
      <w:r>
        <w:rPr>
          <w:rFonts w:eastAsia="Calibri"/>
          <w:sz w:val="22"/>
          <w:szCs w:val="22"/>
        </w:rPr>
        <w:t xml:space="preserve"> pradėdami vartoti Aclexa</w:t>
      </w:r>
      <w:r>
        <w:rPr>
          <w:sz w:val="22"/>
          <w:szCs w:val="22"/>
        </w:rPr>
        <w:t>:</w:t>
      </w:r>
    </w:p>
    <w:p w14:paraId="04786169" w14:textId="77777777" w:rsidR="009A7DBF" w:rsidRDefault="003F4922">
      <w:pPr>
        <w:widowControl w:val="0"/>
        <w:numPr>
          <w:ilvl w:val="0"/>
          <w:numId w:val="23"/>
        </w:numPr>
        <w:ind w:left="567" w:hanging="567"/>
        <w:contextualSpacing/>
        <w:rPr>
          <w:rFonts w:eastAsiaTheme="minorHAnsi"/>
          <w:sz w:val="22"/>
          <w:szCs w:val="22"/>
          <w:lang w:val="lt-LT" w:eastAsia="en-US"/>
        </w:rPr>
      </w:pPr>
      <w:r>
        <w:rPr>
          <w:sz w:val="22"/>
          <w:szCs w:val="22"/>
        </w:rPr>
        <w:t xml:space="preserve">jeigu </w:t>
      </w:r>
      <w:r>
        <w:rPr>
          <w:b/>
          <w:sz w:val="22"/>
          <w:szCs w:val="22"/>
        </w:rPr>
        <w:t>anksčiau</w:t>
      </w:r>
      <w:r>
        <w:rPr>
          <w:sz w:val="22"/>
          <w:szCs w:val="22"/>
        </w:rPr>
        <w:t xml:space="preserve"> buvo pasireiškusi opa arba kraujavimas iš skrandžio ar žarnyno (</w:t>
      </w:r>
      <w:r>
        <w:rPr>
          <w:b/>
          <w:sz w:val="22"/>
          <w:szCs w:val="22"/>
        </w:rPr>
        <w:t xml:space="preserve">Aclexa vartoti negalima, </w:t>
      </w:r>
      <w:r>
        <w:rPr>
          <w:sz w:val="22"/>
          <w:szCs w:val="22"/>
        </w:rPr>
        <w:t>jeigu</w:t>
      </w:r>
      <w:r>
        <w:rPr>
          <w:b/>
          <w:sz w:val="22"/>
          <w:szCs w:val="22"/>
        </w:rPr>
        <w:t xml:space="preserve"> šiuo metu </w:t>
      </w:r>
      <w:r>
        <w:rPr>
          <w:sz w:val="22"/>
          <w:szCs w:val="22"/>
        </w:rPr>
        <w:t>yra opa arba kraujuojate iš skrandžio ar žarnyno);</w:t>
      </w:r>
    </w:p>
    <w:p w14:paraId="193DA521" w14:textId="77777777" w:rsidR="009A7DBF" w:rsidRDefault="003F4922">
      <w:pPr>
        <w:widowControl w:val="0"/>
        <w:numPr>
          <w:ilvl w:val="0"/>
          <w:numId w:val="23"/>
        </w:numPr>
        <w:ind w:left="567" w:hanging="567"/>
        <w:contextualSpacing/>
        <w:rPr>
          <w:rFonts w:eastAsiaTheme="minorHAnsi"/>
          <w:sz w:val="22"/>
          <w:szCs w:val="22"/>
          <w:lang w:val="lt-LT" w:eastAsia="en-US"/>
        </w:rPr>
      </w:pPr>
      <w:r>
        <w:rPr>
          <w:sz w:val="22"/>
          <w:szCs w:val="22"/>
        </w:rPr>
        <w:t>jeigu vartojate acetilsalicilo rūgšties (net jei vartojate mažą dozę širdžiai apsaugoti);</w:t>
      </w:r>
    </w:p>
    <w:p w14:paraId="6CF4AE5D" w14:textId="77777777" w:rsidR="009A7DBF" w:rsidRDefault="003F4922">
      <w:pPr>
        <w:widowControl w:val="0"/>
        <w:numPr>
          <w:ilvl w:val="0"/>
          <w:numId w:val="23"/>
        </w:numPr>
        <w:ind w:left="567" w:hanging="567"/>
        <w:contextualSpacing/>
        <w:rPr>
          <w:rFonts w:eastAsiaTheme="minorHAnsi"/>
          <w:sz w:val="22"/>
          <w:szCs w:val="22"/>
          <w:lang w:val="lt-LT" w:eastAsia="en-US"/>
        </w:rPr>
      </w:pPr>
      <w:r>
        <w:rPr>
          <w:rFonts w:eastAsiaTheme="minorHAnsi"/>
          <w:sz w:val="22"/>
          <w:szCs w:val="22"/>
          <w:lang w:val="lt-LT" w:eastAsia="en-US"/>
        </w:rPr>
        <w:t xml:space="preserve">jeigu Jums taikomas </w:t>
      </w:r>
      <w:proofErr w:type="spellStart"/>
      <w:r>
        <w:rPr>
          <w:rFonts w:eastAsiaTheme="minorHAnsi"/>
          <w:sz w:val="22"/>
          <w:szCs w:val="22"/>
          <w:lang w:val="lt-LT" w:eastAsia="en-US"/>
        </w:rPr>
        <w:t>antitrombocitinis</w:t>
      </w:r>
      <w:proofErr w:type="spellEnd"/>
      <w:r>
        <w:rPr>
          <w:rFonts w:eastAsiaTheme="minorHAnsi"/>
          <w:sz w:val="22"/>
          <w:szCs w:val="22"/>
          <w:lang w:val="lt-LT" w:eastAsia="en-US"/>
        </w:rPr>
        <w:t xml:space="preserve"> gydymas;</w:t>
      </w:r>
    </w:p>
    <w:p w14:paraId="01D21BA7" w14:textId="77777777" w:rsidR="009A7DBF" w:rsidRDefault="003F4922">
      <w:pPr>
        <w:widowControl w:val="0"/>
        <w:numPr>
          <w:ilvl w:val="0"/>
          <w:numId w:val="23"/>
        </w:numPr>
        <w:ind w:left="567" w:hanging="567"/>
        <w:contextualSpacing/>
        <w:rPr>
          <w:rFonts w:eastAsiaTheme="minorHAnsi"/>
          <w:sz w:val="22"/>
          <w:szCs w:val="22"/>
          <w:lang w:val="lt-LT" w:eastAsia="en-US"/>
        </w:rPr>
      </w:pPr>
      <w:r>
        <w:rPr>
          <w:sz w:val="22"/>
          <w:szCs w:val="22"/>
        </w:rPr>
        <w:t>jeigu vartojate kraujo krešėjimą mažinančių vaistų (pavyzdžiui, varfarino, į varfariną panašių antikoaguliantų ar naujų kraujo krešėjimą mažinančių vaistų, tokių kaip apiksabanas);</w:t>
      </w:r>
    </w:p>
    <w:p w14:paraId="747B7E80" w14:textId="77777777" w:rsidR="009A7DBF" w:rsidRDefault="003F4922">
      <w:pPr>
        <w:widowControl w:val="0"/>
        <w:numPr>
          <w:ilvl w:val="0"/>
          <w:numId w:val="23"/>
        </w:numPr>
        <w:ind w:left="567" w:hanging="567"/>
        <w:contextualSpacing/>
        <w:rPr>
          <w:sz w:val="22"/>
          <w:szCs w:val="22"/>
        </w:rPr>
      </w:pPr>
      <w:r>
        <w:rPr>
          <w:sz w:val="22"/>
          <w:szCs w:val="22"/>
        </w:rPr>
        <w:t>jeigu vartojate vaistų, vadinamų kortikosteroidais (pvz., prednizono);</w:t>
      </w:r>
    </w:p>
    <w:p w14:paraId="40B0F47B" w14:textId="77777777" w:rsidR="009A7DBF" w:rsidRDefault="003F4922">
      <w:pPr>
        <w:widowControl w:val="0"/>
        <w:numPr>
          <w:ilvl w:val="0"/>
          <w:numId w:val="23"/>
        </w:numPr>
        <w:ind w:left="567" w:hanging="567"/>
        <w:contextualSpacing/>
        <w:rPr>
          <w:rFonts w:eastAsiaTheme="minorHAnsi"/>
          <w:sz w:val="22"/>
          <w:szCs w:val="22"/>
          <w:lang w:val="lt-LT" w:eastAsia="en-US"/>
        </w:rPr>
      </w:pPr>
      <w:r>
        <w:rPr>
          <w:sz w:val="22"/>
          <w:szCs w:val="22"/>
        </w:rPr>
        <w:t>jeigu Aclexa vartojate kartu su kitais NVNU, kurių sudėtyje nėra acetilsalicilo rūgšties (pavyzdžiui, ibuprofenu ar diklofenaku). Šių vaistų vartoti kartu nerekomenduojama;</w:t>
      </w:r>
    </w:p>
    <w:p w14:paraId="5F9FE687" w14:textId="77777777" w:rsidR="009A7DBF" w:rsidRDefault="003F4922">
      <w:pPr>
        <w:widowControl w:val="0"/>
        <w:numPr>
          <w:ilvl w:val="0"/>
          <w:numId w:val="23"/>
        </w:numPr>
        <w:ind w:left="567" w:hanging="567"/>
        <w:contextualSpacing/>
        <w:rPr>
          <w:rFonts w:eastAsiaTheme="minorHAnsi"/>
          <w:sz w:val="22"/>
          <w:szCs w:val="22"/>
          <w:lang w:val="lt-LT" w:eastAsia="en-US"/>
        </w:rPr>
      </w:pPr>
      <w:r>
        <w:rPr>
          <w:sz w:val="22"/>
          <w:szCs w:val="22"/>
        </w:rPr>
        <w:t>jeigu rūkote, sergate cukriniu diabetu, yra padidėjęs kraujospūdis arba padidėjęs cholesterolio kiekis kraujyje;</w:t>
      </w:r>
    </w:p>
    <w:p w14:paraId="145BACB3" w14:textId="77777777" w:rsidR="009A7DBF" w:rsidRDefault="003F4922">
      <w:pPr>
        <w:widowControl w:val="0"/>
        <w:numPr>
          <w:ilvl w:val="0"/>
          <w:numId w:val="23"/>
        </w:numPr>
        <w:ind w:left="567" w:hanging="567"/>
        <w:contextualSpacing/>
        <w:rPr>
          <w:rFonts w:eastAsiaTheme="minorHAnsi"/>
          <w:sz w:val="22"/>
          <w:szCs w:val="22"/>
          <w:lang w:val="lt-LT" w:eastAsia="en-US"/>
        </w:rPr>
      </w:pPr>
      <w:r>
        <w:rPr>
          <w:sz w:val="22"/>
          <w:szCs w:val="22"/>
        </w:rPr>
        <w:t>jeigu sergate širdies, kepenų ar inkstų funkcijos sutrikimais (gydytojas gali pageidauti reguliariai tikrinti Jūsų būklę);</w:t>
      </w:r>
    </w:p>
    <w:p w14:paraId="1BFD18D6" w14:textId="77777777" w:rsidR="009A7DBF" w:rsidRDefault="003F4922">
      <w:pPr>
        <w:widowControl w:val="0"/>
        <w:numPr>
          <w:ilvl w:val="0"/>
          <w:numId w:val="23"/>
        </w:numPr>
        <w:ind w:left="567" w:hanging="567"/>
        <w:contextualSpacing/>
        <w:rPr>
          <w:rFonts w:eastAsiaTheme="minorHAnsi"/>
          <w:sz w:val="22"/>
          <w:szCs w:val="22"/>
          <w:lang w:val="lt-LT" w:eastAsia="en-US"/>
        </w:rPr>
      </w:pPr>
      <w:r>
        <w:rPr>
          <w:sz w:val="22"/>
          <w:szCs w:val="22"/>
        </w:rPr>
        <w:t>jeigu yra skysčių susikaupimas organizme (pavyzdžiui, kulkšnių ir pėdų patinimas);</w:t>
      </w:r>
    </w:p>
    <w:p w14:paraId="57AE79FF" w14:textId="77777777" w:rsidR="009A7DBF" w:rsidRDefault="003F4922">
      <w:pPr>
        <w:widowControl w:val="0"/>
        <w:numPr>
          <w:ilvl w:val="0"/>
          <w:numId w:val="23"/>
        </w:numPr>
        <w:ind w:left="567" w:hanging="567"/>
        <w:contextualSpacing/>
        <w:rPr>
          <w:rFonts w:eastAsiaTheme="minorHAnsi"/>
          <w:sz w:val="22"/>
          <w:szCs w:val="22"/>
          <w:lang w:val="lt-LT" w:eastAsia="en-US"/>
        </w:rPr>
      </w:pPr>
      <w:r>
        <w:rPr>
          <w:sz w:val="22"/>
          <w:szCs w:val="22"/>
        </w:rPr>
        <w:t>jeigu Jūsų organizme trūksta skysčių, pavyzdžiui, dėl vėmimo, viduriavimo arba diuretikų (jais iš organizmo šalinamas skysčių perteklius) vartojimo;</w:t>
      </w:r>
    </w:p>
    <w:p w14:paraId="5B8B0493" w14:textId="77777777" w:rsidR="009A7DBF" w:rsidRDefault="003F4922">
      <w:pPr>
        <w:widowControl w:val="0"/>
        <w:numPr>
          <w:ilvl w:val="0"/>
          <w:numId w:val="23"/>
        </w:numPr>
        <w:ind w:left="567" w:hanging="567"/>
        <w:contextualSpacing/>
        <w:rPr>
          <w:rFonts w:eastAsiaTheme="minorHAnsi"/>
          <w:sz w:val="22"/>
          <w:szCs w:val="22"/>
          <w:lang w:val="lt-LT" w:eastAsia="en-US"/>
        </w:rPr>
      </w:pPr>
      <w:r>
        <w:rPr>
          <w:sz w:val="22"/>
          <w:szCs w:val="22"/>
        </w:rPr>
        <w:t>jeigu bet kurie vaistai buvo sukėlę sunkią alerginę reakciją arba sunkią odos reakciją;</w:t>
      </w:r>
    </w:p>
    <w:p w14:paraId="7F3B6C8A" w14:textId="77777777" w:rsidR="009A7DBF" w:rsidRDefault="003F4922">
      <w:pPr>
        <w:widowControl w:val="0"/>
        <w:numPr>
          <w:ilvl w:val="0"/>
          <w:numId w:val="23"/>
        </w:numPr>
        <w:ind w:left="567" w:hanging="567"/>
        <w:contextualSpacing/>
        <w:rPr>
          <w:rFonts w:eastAsiaTheme="minorHAnsi"/>
          <w:sz w:val="22"/>
          <w:szCs w:val="22"/>
          <w:lang w:val="lt-LT" w:eastAsia="en-US"/>
        </w:rPr>
      </w:pPr>
      <w:r>
        <w:rPr>
          <w:sz w:val="22"/>
          <w:szCs w:val="22"/>
        </w:rPr>
        <w:t>jeigu negaluojate dėl infekcijos arba galvojate, kad pasireiškė infekcinė liga, nes Aclexa gali slėpti karščiavimą ir kitus infekcijos bei uždegimo požymius;</w:t>
      </w:r>
    </w:p>
    <w:p w14:paraId="25BFF4FA" w14:textId="77777777" w:rsidR="009A7DBF" w:rsidRDefault="003F4922">
      <w:pPr>
        <w:widowControl w:val="0"/>
        <w:numPr>
          <w:ilvl w:val="0"/>
          <w:numId w:val="23"/>
        </w:numPr>
        <w:ind w:left="567" w:hanging="567"/>
        <w:contextualSpacing/>
        <w:rPr>
          <w:rFonts w:eastAsiaTheme="minorHAnsi"/>
          <w:sz w:val="22"/>
          <w:szCs w:val="22"/>
          <w:lang w:val="lt-LT" w:eastAsia="en-US"/>
        </w:rPr>
      </w:pPr>
      <w:r>
        <w:rPr>
          <w:sz w:val="22"/>
          <w:szCs w:val="22"/>
        </w:rPr>
        <w:t>jeigu esate vyresni kaip 65 metų (gydytojas pageidaus reguliariai steb</w:t>
      </w:r>
      <w:proofErr w:type="spellStart"/>
      <w:r>
        <w:rPr>
          <w:sz w:val="22"/>
          <w:szCs w:val="22"/>
          <w:lang w:val="lt-LT"/>
        </w:rPr>
        <w:t>ėti</w:t>
      </w:r>
      <w:proofErr w:type="spellEnd"/>
      <w:r>
        <w:rPr>
          <w:sz w:val="22"/>
          <w:szCs w:val="22"/>
        </w:rPr>
        <w:t xml:space="preserve"> Jūsų būklę);</w:t>
      </w:r>
    </w:p>
    <w:p w14:paraId="5025E4A0" w14:textId="77777777" w:rsidR="009A7DBF" w:rsidRDefault="003F4922">
      <w:pPr>
        <w:numPr>
          <w:ilvl w:val="0"/>
          <w:numId w:val="23"/>
        </w:numPr>
        <w:ind w:left="567" w:hanging="567"/>
        <w:contextualSpacing/>
        <w:rPr>
          <w:rFonts w:eastAsia="Calibri"/>
          <w:sz w:val="22"/>
          <w:szCs w:val="22"/>
        </w:rPr>
      </w:pPr>
      <w:r>
        <w:rPr>
          <w:rFonts w:eastAsia="Calibri"/>
          <w:sz w:val="22"/>
          <w:szCs w:val="22"/>
        </w:rPr>
        <w:t>jeigu vartojate alkoholį ir NVNU, nes tai gali didinti virškinimo trakto sutrikimų riziką.</w:t>
      </w:r>
    </w:p>
    <w:p w14:paraId="58C0A4BE" w14:textId="77777777" w:rsidR="009A7DBF" w:rsidRDefault="009A7DBF">
      <w:pPr>
        <w:widowControl w:val="0"/>
        <w:autoSpaceDE w:val="0"/>
        <w:autoSpaceDN w:val="0"/>
        <w:adjustRightInd w:val="0"/>
        <w:rPr>
          <w:color w:val="000000"/>
          <w:sz w:val="22"/>
          <w:szCs w:val="22"/>
        </w:rPr>
      </w:pPr>
    </w:p>
    <w:p w14:paraId="717CE5F6" w14:textId="77777777" w:rsidR="009A7DBF" w:rsidRDefault="003F4922">
      <w:pPr>
        <w:widowControl w:val="0"/>
        <w:autoSpaceDE w:val="0"/>
        <w:autoSpaceDN w:val="0"/>
        <w:adjustRightInd w:val="0"/>
        <w:rPr>
          <w:rFonts w:eastAsiaTheme="minorHAnsi"/>
          <w:color w:val="000000"/>
          <w:sz w:val="22"/>
          <w:szCs w:val="22"/>
          <w:lang w:val="lt-LT" w:eastAsia="en-US"/>
        </w:rPr>
      </w:pPr>
      <w:r>
        <w:rPr>
          <w:color w:val="000000"/>
          <w:sz w:val="22"/>
          <w:szCs w:val="22"/>
        </w:rPr>
        <w:t>Šis vaistas, kaip ir kitokie NVNU (</w:t>
      </w:r>
      <w:r>
        <w:rPr>
          <w:sz w:val="22"/>
          <w:szCs w:val="22"/>
        </w:rPr>
        <w:t>pavyzdžiui,</w:t>
      </w:r>
      <w:r>
        <w:rPr>
          <w:color w:val="000000"/>
          <w:sz w:val="22"/>
          <w:szCs w:val="22"/>
        </w:rPr>
        <w:t xml:space="preserve"> ibuprofenas, diklofenakas), gali didinti kraujospūdį, taigi gydytojas gali paprašyti reguliariai matuoti kraujospūdį.</w:t>
      </w:r>
    </w:p>
    <w:p w14:paraId="5F8EFF82" w14:textId="77777777" w:rsidR="009A7DBF" w:rsidRDefault="009A7DBF">
      <w:pPr>
        <w:widowControl w:val="0"/>
        <w:autoSpaceDE w:val="0"/>
        <w:autoSpaceDN w:val="0"/>
        <w:adjustRightInd w:val="0"/>
        <w:rPr>
          <w:color w:val="000000"/>
          <w:sz w:val="22"/>
          <w:szCs w:val="22"/>
        </w:rPr>
      </w:pPr>
    </w:p>
    <w:p w14:paraId="0BED02DC" w14:textId="77777777" w:rsidR="009A7DBF" w:rsidRDefault="003F4922">
      <w:pPr>
        <w:widowControl w:val="0"/>
        <w:autoSpaceDE w:val="0"/>
        <w:autoSpaceDN w:val="0"/>
        <w:adjustRightInd w:val="0"/>
        <w:rPr>
          <w:rFonts w:eastAsiaTheme="minorHAnsi"/>
          <w:sz w:val="22"/>
          <w:szCs w:val="22"/>
          <w:lang w:val="lt-LT" w:eastAsia="en-US"/>
        </w:rPr>
      </w:pPr>
      <w:r>
        <w:rPr>
          <w:color w:val="000000"/>
          <w:sz w:val="22"/>
          <w:szCs w:val="22"/>
        </w:rPr>
        <w:t xml:space="preserve">Vartojant </w:t>
      </w:r>
      <w:r>
        <w:rPr>
          <w:sz w:val="22"/>
          <w:szCs w:val="22"/>
        </w:rPr>
        <w:t>celekoksibo, buvo keletas sunkių kepenų reakcijų atvejų, įskaitant sunkų kepenų uždegimą, kepenų pažaidą, kepenų nepakankamumą (kai kurie atvejai buvo mirtini arba prireikė kepenų persodinimo). Tais atvejais, kai buvo nustatytas tokio poveikio pasireiškimo laikas, dauguma sunkių kepenų reakcijų pasireiškė per vieną mėnesį po to, kai buvo pradėtas gydymas šiuo vaistu.</w:t>
      </w:r>
    </w:p>
    <w:p w14:paraId="1E93633A" w14:textId="77777777" w:rsidR="009A7DBF" w:rsidRDefault="009A7DBF">
      <w:pPr>
        <w:widowControl w:val="0"/>
        <w:autoSpaceDE w:val="0"/>
        <w:autoSpaceDN w:val="0"/>
        <w:adjustRightInd w:val="0"/>
        <w:rPr>
          <w:color w:val="000000"/>
          <w:sz w:val="22"/>
          <w:szCs w:val="22"/>
        </w:rPr>
      </w:pPr>
    </w:p>
    <w:p w14:paraId="17526F7B" w14:textId="77777777" w:rsidR="009A7DBF" w:rsidRDefault="003F4922">
      <w:pPr>
        <w:widowControl w:val="0"/>
        <w:autoSpaceDE w:val="0"/>
        <w:autoSpaceDN w:val="0"/>
        <w:adjustRightInd w:val="0"/>
        <w:rPr>
          <w:color w:val="000000"/>
          <w:sz w:val="22"/>
          <w:szCs w:val="22"/>
        </w:rPr>
      </w:pPr>
      <w:r>
        <w:rPr>
          <w:color w:val="000000"/>
          <w:sz w:val="22"/>
          <w:szCs w:val="22"/>
        </w:rPr>
        <w:t>Vartojant Aclexa buvo pranešta apie sunkias odos reakcijas. Nedelsdami nutraukite Aclexa vartojimą ir kreipkitės į gydytoją, jei pastebėsite bet kurį iš rimtų odos reakcijų simptomų, aprašytų 4 skyriuje „Galimas šalutinis poveikis“.</w:t>
      </w:r>
    </w:p>
    <w:p w14:paraId="508B7921" w14:textId="77777777" w:rsidR="009A7DBF" w:rsidRDefault="009A7DBF">
      <w:pPr>
        <w:widowControl w:val="0"/>
        <w:autoSpaceDE w:val="0"/>
        <w:autoSpaceDN w:val="0"/>
        <w:adjustRightInd w:val="0"/>
        <w:rPr>
          <w:color w:val="000000"/>
          <w:sz w:val="22"/>
          <w:szCs w:val="22"/>
        </w:rPr>
      </w:pPr>
    </w:p>
    <w:p w14:paraId="11B2D0B7" w14:textId="77777777" w:rsidR="009A7DBF" w:rsidRDefault="003F4922">
      <w:pPr>
        <w:widowControl w:val="0"/>
        <w:autoSpaceDE w:val="0"/>
        <w:autoSpaceDN w:val="0"/>
        <w:adjustRightInd w:val="0"/>
        <w:rPr>
          <w:rFonts w:eastAsia="Calibri"/>
          <w:sz w:val="22"/>
          <w:szCs w:val="22"/>
          <w:lang w:val="lt-LT" w:eastAsia="en-US"/>
        </w:rPr>
      </w:pPr>
      <w:r>
        <w:rPr>
          <w:color w:val="000000"/>
          <w:sz w:val="22"/>
          <w:szCs w:val="22"/>
        </w:rPr>
        <w:t xml:space="preserve">Vartojant </w:t>
      </w:r>
      <w:bookmarkStart w:id="1" w:name="_Hlk223335797"/>
      <w:r>
        <w:rPr>
          <w:color w:val="000000"/>
          <w:sz w:val="22"/>
          <w:szCs w:val="22"/>
        </w:rPr>
        <w:t>Aclexa</w:t>
      </w:r>
      <w:bookmarkEnd w:id="1"/>
      <w:r>
        <w:rPr>
          <w:color w:val="000000"/>
          <w:sz w:val="22"/>
          <w:szCs w:val="22"/>
        </w:rPr>
        <w:t>, gali būti sunkiau pastoti. Jei planuojate pastoti arba yra su pastojimu susijusių problemų, apie tai pasakykite gydytojui (žr. poskyrį apie nėštumą ir žindymo laikotarpį</w:t>
      </w:r>
      <w:r>
        <w:rPr>
          <w:rFonts w:eastAsia="Calibri"/>
          <w:sz w:val="22"/>
          <w:szCs w:val="22"/>
        </w:rPr>
        <w:t>).</w:t>
      </w:r>
    </w:p>
    <w:p w14:paraId="13FDBB46" w14:textId="77777777" w:rsidR="009A7DBF" w:rsidRDefault="009A7DBF">
      <w:pPr>
        <w:widowControl w:val="0"/>
        <w:autoSpaceDE w:val="0"/>
        <w:autoSpaceDN w:val="0"/>
        <w:adjustRightInd w:val="0"/>
        <w:rPr>
          <w:color w:val="000000"/>
          <w:sz w:val="22"/>
          <w:szCs w:val="22"/>
        </w:rPr>
      </w:pPr>
    </w:p>
    <w:p w14:paraId="08062827" w14:textId="77777777" w:rsidR="009A7DBF" w:rsidRDefault="003F4922">
      <w:pPr>
        <w:widowControl w:val="0"/>
        <w:ind w:left="567" w:hanging="567"/>
        <w:outlineLvl w:val="0"/>
        <w:rPr>
          <w:rFonts w:eastAsiaTheme="minorHAnsi"/>
          <w:b/>
          <w:sz w:val="22"/>
          <w:szCs w:val="22"/>
          <w:lang w:val="lt-LT" w:eastAsia="en-US"/>
        </w:rPr>
      </w:pPr>
      <w:r>
        <w:rPr>
          <w:b/>
          <w:sz w:val="22"/>
          <w:szCs w:val="22"/>
        </w:rPr>
        <w:t>Kiti</w:t>
      </w:r>
      <w:r>
        <w:rPr>
          <w:rFonts w:eastAsia="Calibri"/>
          <w:b/>
          <w:sz w:val="22"/>
          <w:szCs w:val="22"/>
        </w:rPr>
        <w:t xml:space="preserve"> vaistai </w:t>
      </w:r>
      <w:r>
        <w:rPr>
          <w:b/>
          <w:sz w:val="22"/>
          <w:szCs w:val="22"/>
        </w:rPr>
        <w:t>ir Aclexa</w:t>
      </w:r>
    </w:p>
    <w:p w14:paraId="6F3F0ABA" w14:textId="77777777" w:rsidR="009A7DBF" w:rsidRDefault="003F4922">
      <w:pPr>
        <w:widowControl w:val="0"/>
        <w:rPr>
          <w:sz w:val="22"/>
          <w:szCs w:val="22"/>
        </w:rPr>
      </w:pPr>
      <w:r>
        <w:rPr>
          <w:sz w:val="22"/>
          <w:szCs w:val="22"/>
        </w:rPr>
        <w:t>Jeigu vartojate ar neseniai vartojote kitų vaistų, apie tai pasakykite gydytojui arba vaistininkui:</w:t>
      </w:r>
    </w:p>
    <w:p w14:paraId="608B6200" w14:textId="77777777" w:rsidR="009A7DBF" w:rsidRDefault="003F4922">
      <w:pPr>
        <w:widowControl w:val="0"/>
        <w:numPr>
          <w:ilvl w:val="0"/>
          <w:numId w:val="24"/>
        </w:numPr>
        <w:ind w:left="567" w:hanging="567"/>
        <w:rPr>
          <w:rFonts w:eastAsiaTheme="minorHAnsi"/>
          <w:sz w:val="22"/>
          <w:szCs w:val="22"/>
          <w:lang w:val="lt-LT" w:eastAsia="en-US"/>
        </w:rPr>
      </w:pPr>
      <w:r>
        <w:rPr>
          <w:sz w:val="22"/>
          <w:szCs w:val="22"/>
        </w:rPr>
        <w:t>dekstrometorfano (nuo kosulio);</w:t>
      </w:r>
    </w:p>
    <w:p w14:paraId="5E3B9182" w14:textId="77777777" w:rsidR="009A7DBF" w:rsidRDefault="003F4922">
      <w:pPr>
        <w:widowControl w:val="0"/>
        <w:numPr>
          <w:ilvl w:val="0"/>
          <w:numId w:val="24"/>
        </w:numPr>
        <w:ind w:left="567" w:hanging="567"/>
        <w:rPr>
          <w:rFonts w:eastAsiaTheme="minorHAnsi"/>
          <w:sz w:val="22"/>
          <w:szCs w:val="22"/>
          <w:lang w:val="lt-LT" w:eastAsia="en-US"/>
        </w:rPr>
      </w:pPr>
      <w:r>
        <w:rPr>
          <w:sz w:val="22"/>
          <w:szCs w:val="22"/>
        </w:rPr>
        <w:lastRenderedPageBreak/>
        <w:t xml:space="preserve">angiotenziną konvertuojančio fermento (AKF) inhibitorių, angiotenzino II receptorių antagonistų, </w:t>
      </w:r>
      <w:r>
        <w:rPr>
          <w:rFonts w:eastAsia="Calibri"/>
          <w:sz w:val="22"/>
          <w:szCs w:val="22"/>
        </w:rPr>
        <w:t xml:space="preserve">beta adrenoreceptorių blokatorių ir šlapimo išsiskyrimą skatinančių vaistų </w:t>
      </w:r>
      <w:r>
        <w:rPr>
          <w:sz w:val="22"/>
          <w:szCs w:val="22"/>
        </w:rPr>
        <w:t>(nuo padidėjusio kraujospūdžio ir širdies nepakankamumo);</w:t>
      </w:r>
    </w:p>
    <w:p w14:paraId="2E4A1D91" w14:textId="77777777" w:rsidR="009A7DBF" w:rsidRDefault="003F4922">
      <w:pPr>
        <w:widowControl w:val="0"/>
        <w:numPr>
          <w:ilvl w:val="0"/>
          <w:numId w:val="24"/>
        </w:numPr>
        <w:ind w:left="567" w:hanging="567"/>
        <w:rPr>
          <w:rFonts w:eastAsiaTheme="minorHAnsi"/>
          <w:sz w:val="22"/>
          <w:szCs w:val="22"/>
          <w:lang w:val="lt-LT" w:eastAsia="en-US"/>
        </w:rPr>
      </w:pPr>
      <w:r>
        <w:rPr>
          <w:sz w:val="22"/>
          <w:szCs w:val="22"/>
        </w:rPr>
        <w:t>flukonazolo ar rifampicino (jais gydomos grybelių ir bakterijų sukeltos infekcinės ligos);</w:t>
      </w:r>
    </w:p>
    <w:p w14:paraId="6C5D0862" w14:textId="77777777" w:rsidR="009A7DBF" w:rsidRDefault="003F4922">
      <w:pPr>
        <w:widowControl w:val="0"/>
        <w:numPr>
          <w:ilvl w:val="0"/>
          <w:numId w:val="24"/>
        </w:numPr>
        <w:ind w:left="567" w:hanging="567"/>
        <w:rPr>
          <w:rFonts w:eastAsiaTheme="minorHAnsi"/>
          <w:sz w:val="22"/>
          <w:szCs w:val="22"/>
          <w:lang w:val="lt-LT" w:eastAsia="en-US"/>
        </w:rPr>
      </w:pPr>
      <w:r>
        <w:rPr>
          <w:sz w:val="22"/>
          <w:szCs w:val="22"/>
        </w:rPr>
        <w:t xml:space="preserve">varfarino arba </w:t>
      </w:r>
      <w:r>
        <w:rPr>
          <w:rFonts w:eastAsia="Calibri"/>
          <w:sz w:val="22"/>
          <w:szCs w:val="22"/>
        </w:rPr>
        <w:t xml:space="preserve">kitų į varfariną panašių vaistų </w:t>
      </w:r>
      <w:r>
        <w:rPr>
          <w:sz w:val="22"/>
          <w:szCs w:val="22"/>
        </w:rPr>
        <w:t>(kraują skystinančių vaistų, kurie slopina kraujo krešėjimą)</w:t>
      </w:r>
      <w:r>
        <w:rPr>
          <w:rFonts w:eastAsia="Calibri"/>
          <w:sz w:val="22"/>
          <w:szCs w:val="22"/>
        </w:rPr>
        <w:t>;įskaitant naujesnius vaistus, tokius kaip apiksabanas, dabigatranas ir rivaroksabanas;</w:t>
      </w:r>
    </w:p>
    <w:p w14:paraId="48178718" w14:textId="77777777" w:rsidR="009A7DBF" w:rsidRDefault="003F4922">
      <w:pPr>
        <w:widowControl w:val="0"/>
        <w:numPr>
          <w:ilvl w:val="0"/>
          <w:numId w:val="24"/>
        </w:numPr>
        <w:ind w:left="567" w:hanging="567"/>
        <w:rPr>
          <w:rFonts w:eastAsiaTheme="minorHAnsi"/>
          <w:sz w:val="22"/>
          <w:szCs w:val="22"/>
          <w:lang w:val="lt-LT" w:eastAsia="en-US"/>
        </w:rPr>
      </w:pPr>
      <w:r>
        <w:rPr>
          <w:sz w:val="22"/>
          <w:szCs w:val="22"/>
        </w:rPr>
        <w:t>ličio preparatų (jais gydoma tam tikro tipo depresija);</w:t>
      </w:r>
    </w:p>
    <w:p w14:paraId="49A68859" w14:textId="77777777" w:rsidR="009A7DBF" w:rsidRDefault="003F4922">
      <w:pPr>
        <w:widowControl w:val="0"/>
        <w:numPr>
          <w:ilvl w:val="0"/>
          <w:numId w:val="24"/>
        </w:numPr>
        <w:ind w:left="567" w:hanging="567"/>
        <w:rPr>
          <w:rFonts w:eastAsiaTheme="minorHAnsi"/>
          <w:sz w:val="22"/>
          <w:szCs w:val="22"/>
          <w:lang w:val="lt-LT" w:eastAsia="en-US"/>
        </w:rPr>
      </w:pPr>
      <w:r>
        <w:rPr>
          <w:sz w:val="22"/>
          <w:szCs w:val="22"/>
        </w:rPr>
        <w:t>kitų vaistų nuo depresijos, miego sutrikimų, kraujospūdžio padidėjimo ar nereguliarios širdies veiklos;</w:t>
      </w:r>
    </w:p>
    <w:p w14:paraId="14C99600" w14:textId="77777777" w:rsidR="009A7DBF" w:rsidRDefault="003F4922">
      <w:pPr>
        <w:widowControl w:val="0"/>
        <w:numPr>
          <w:ilvl w:val="0"/>
          <w:numId w:val="24"/>
        </w:numPr>
        <w:ind w:left="567" w:hanging="567"/>
        <w:rPr>
          <w:rFonts w:eastAsiaTheme="minorHAnsi"/>
          <w:sz w:val="22"/>
          <w:szCs w:val="22"/>
          <w:lang w:val="lt-LT" w:eastAsia="en-US"/>
        </w:rPr>
      </w:pPr>
      <w:r>
        <w:rPr>
          <w:sz w:val="22"/>
          <w:szCs w:val="22"/>
        </w:rPr>
        <w:t>neuroleptikų (jais gydomi kai kurie psichikos sutrikimai);</w:t>
      </w:r>
    </w:p>
    <w:p w14:paraId="148C4569" w14:textId="77777777" w:rsidR="009A7DBF" w:rsidRDefault="003F4922">
      <w:pPr>
        <w:widowControl w:val="0"/>
        <w:numPr>
          <w:ilvl w:val="0"/>
          <w:numId w:val="24"/>
        </w:numPr>
        <w:ind w:left="567" w:hanging="567"/>
        <w:rPr>
          <w:rFonts w:eastAsiaTheme="minorHAnsi"/>
          <w:sz w:val="22"/>
          <w:szCs w:val="22"/>
          <w:lang w:val="lt-LT" w:eastAsia="en-US"/>
        </w:rPr>
      </w:pPr>
      <w:r>
        <w:rPr>
          <w:sz w:val="22"/>
          <w:szCs w:val="22"/>
        </w:rPr>
        <w:t>metotreksato (juo gydomas reumatoidinis artritas, žvynelinė, leukemija);</w:t>
      </w:r>
    </w:p>
    <w:p w14:paraId="644F8497" w14:textId="77777777" w:rsidR="009A7DBF" w:rsidRDefault="003F4922">
      <w:pPr>
        <w:widowControl w:val="0"/>
        <w:numPr>
          <w:ilvl w:val="0"/>
          <w:numId w:val="24"/>
        </w:numPr>
        <w:ind w:left="567" w:hanging="567"/>
        <w:rPr>
          <w:rFonts w:eastAsiaTheme="minorHAnsi"/>
          <w:sz w:val="22"/>
          <w:szCs w:val="22"/>
          <w:lang w:val="lt-LT" w:eastAsia="en-US"/>
        </w:rPr>
      </w:pPr>
      <w:r>
        <w:rPr>
          <w:sz w:val="22"/>
          <w:szCs w:val="22"/>
        </w:rPr>
        <w:t>karbamazepino (juo gydoma epilepsija (priepuoliai), kai kurios skausmo formos ar depresija);</w:t>
      </w:r>
    </w:p>
    <w:p w14:paraId="599E7E94" w14:textId="77777777" w:rsidR="009A7DBF" w:rsidRDefault="003F4922">
      <w:pPr>
        <w:widowControl w:val="0"/>
        <w:numPr>
          <w:ilvl w:val="0"/>
          <w:numId w:val="24"/>
        </w:numPr>
        <w:ind w:left="567" w:hanging="567"/>
        <w:rPr>
          <w:rFonts w:eastAsiaTheme="minorHAnsi"/>
          <w:sz w:val="22"/>
          <w:szCs w:val="22"/>
          <w:lang w:val="lt-LT" w:eastAsia="en-US"/>
        </w:rPr>
      </w:pPr>
      <w:r>
        <w:rPr>
          <w:sz w:val="22"/>
          <w:szCs w:val="22"/>
        </w:rPr>
        <w:t>barbitūratų (gydoma epilepsija (priepuoliai) ir kai kurie miego sutrikimai);</w:t>
      </w:r>
    </w:p>
    <w:p w14:paraId="306AD8EC" w14:textId="77777777" w:rsidR="009A7DBF" w:rsidRDefault="003F4922">
      <w:pPr>
        <w:widowControl w:val="0"/>
        <w:numPr>
          <w:ilvl w:val="0"/>
          <w:numId w:val="24"/>
        </w:numPr>
        <w:ind w:left="567" w:hanging="567"/>
        <w:rPr>
          <w:rFonts w:eastAsiaTheme="minorHAnsi"/>
          <w:sz w:val="22"/>
          <w:szCs w:val="22"/>
          <w:lang w:val="lt-LT" w:eastAsia="en-US"/>
        </w:rPr>
      </w:pPr>
      <w:r>
        <w:rPr>
          <w:sz w:val="22"/>
          <w:szCs w:val="22"/>
        </w:rPr>
        <w:t>ciklosporino arba takrolimuzo (jų vartojama imuninei sistemai slopinti, pavyzdžiui, po organų persodinimo).</w:t>
      </w:r>
    </w:p>
    <w:p w14:paraId="0E109175" w14:textId="77777777" w:rsidR="009A7DBF" w:rsidRDefault="009A7DBF">
      <w:pPr>
        <w:widowControl w:val="0"/>
        <w:rPr>
          <w:sz w:val="22"/>
          <w:szCs w:val="22"/>
        </w:rPr>
      </w:pPr>
    </w:p>
    <w:p w14:paraId="2CA8E011" w14:textId="77777777" w:rsidR="009A7DBF" w:rsidRDefault="003F4922">
      <w:pPr>
        <w:widowControl w:val="0"/>
        <w:rPr>
          <w:rFonts w:eastAsiaTheme="minorHAnsi"/>
          <w:sz w:val="22"/>
          <w:szCs w:val="22"/>
          <w:lang w:val="lt-LT" w:eastAsia="en-US"/>
        </w:rPr>
      </w:pPr>
      <w:r>
        <w:rPr>
          <w:sz w:val="22"/>
          <w:szCs w:val="22"/>
        </w:rPr>
        <w:t>Aclexa galima vartoti su maža acetilsalicilo rūgšties doze (75 mg ar mažesne paros doze). Prieš vartojant šių vaistų kartu, pasitarkite su gydytoju.</w:t>
      </w:r>
    </w:p>
    <w:p w14:paraId="65A8A63E" w14:textId="77777777" w:rsidR="009A7DBF" w:rsidRDefault="009A7DBF">
      <w:pPr>
        <w:widowControl w:val="0"/>
        <w:ind w:left="567" w:hanging="567"/>
        <w:rPr>
          <w:rFonts w:eastAsia="Calibri"/>
          <w:sz w:val="22"/>
          <w:szCs w:val="22"/>
        </w:rPr>
      </w:pPr>
    </w:p>
    <w:p w14:paraId="11FE8FF6" w14:textId="77777777" w:rsidR="009A7DBF" w:rsidRDefault="003F4922">
      <w:pPr>
        <w:widowControl w:val="0"/>
        <w:ind w:left="567" w:hanging="567"/>
        <w:rPr>
          <w:rFonts w:eastAsiaTheme="minorHAnsi"/>
          <w:b/>
          <w:sz w:val="22"/>
          <w:szCs w:val="22"/>
          <w:lang w:val="lt-LT" w:eastAsia="en-US"/>
        </w:rPr>
      </w:pPr>
      <w:r>
        <w:rPr>
          <w:b/>
          <w:sz w:val="22"/>
          <w:szCs w:val="22"/>
        </w:rPr>
        <w:t>Nėštumas, žindymo laikotarpis ir vaisingumas</w:t>
      </w:r>
    </w:p>
    <w:p w14:paraId="6DE5985F" w14:textId="77777777" w:rsidR="009A7DBF" w:rsidRDefault="003F4922">
      <w:pPr>
        <w:widowControl w:val="0"/>
        <w:rPr>
          <w:rFonts w:eastAsiaTheme="minorHAnsi"/>
          <w:sz w:val="22"/>
          <w:szCs w:val="22"/>
          <w:lang w:val="lt-LT" w:eastAsia="en-US"/>
        </w:rPr>
      </w:pPr>
      <w:r>
        <w:rPr>
          <w:sz w:val="22"/>
          <w:szCs w:val="22"/>
        </w:rPr>
        <w:t>Jeigu esate nėščia, žindote kūdikį, manote, kad galbūt esate nėščia arba planuojate pastoti, tai prieš vartodama šį vaistą pasitarkite su gydytoju arba vaistininku.</w:t>
      </w:r>
    </w:p>
    <w:p w14:paraId="1C1363B5" w14:textId="77777777" w:rsidR="009A7DBF" w:rsidRDefault="009A7DBF">
      <w:pPr>
        <w:widowControl w:val="0"/>
        <w:rPr>
          <w:sz w:val="22"/>
          <w:szCs w:val="22"/>
        </w:rPr>
      </w:pPr>
    </w:p>
    <w:p w14:paraId="2EE4DF83" w14:textId="77777777" w:rsidR="009A7DBF" w:rsidRDefault="003F4922">
      <w:pPr>
        <w:widowControl w:val="0"/>
        <w:rPr>
          <w:sz w:val="22"/>
          <w:szCs w:val="22"/>
          <w:u w:val="single"/>
        </w:rPr>
      </w:pPr>
      <w:r>
        <w:rPr>
          <w:sz w:val="22"/>
          <w:szCs w:val="22"/>
          <w:u w:val="single"/>
        </w:rPr>
        <w:t>Nėštumas</w:t>
      </w:r>
    </w:p>
    <w:p w14:paraId="1D5F6661" w14:textId="77777777" w:rsidR="009A7DBF" w:rsidRDefault="003F4922">
      <w:pPr>
        <w:widowControl w:val="0"/>
        <w:rPr>
          <w:rFonts w:eastAsiaTheme="minorHAnsi"/>
          <w:sz w:val="22"/>
          <w:szCs w:val="22"/>
          <w:lang w:val="lt-LT" w:eastAsia="en-US"/>
        </w:rPr>
      </w:pPr>
      <w:r>
        <w:rPr>
          <w:sz w:val="22"/>
          <w:szCs w:val="22"/>
        </w:rPr>
        <w:t>Jeigu esate nėščia arba galite pastoti gydymo metu (t. y. esate vaisinga moteris ir nenaudojate tinkamo kontracepcijos metodo), Aclexa vartoti negalima. Jeigu pastojote gydymo Aclexa metu, reikia nutraukti vaisto vartojimą ir nedelsiant kreiptis į gydytoją, kuris skirs kitokį gydymą.</w:t>
      </w:r>
    </w:p>
    <w:p w14:paraId="6FE75D25" w14:textId="77777777" w:rsidR="009A7DBF" w:rsidRDefault="009A7DBF">
      <w:pPr>
        <w:widowControl w:val="0"/>
        <w:rPr>
          <w:sz w:val="22"/>
          <w:szCs w:val="22"/>
        </w:rPr>
      </w:pPr>
    </w:p>
    <w:p w14:paraId="19ED4057" w14:textId="77777777" w:rsidR="009A7DBF" w:rsidRDefault="003F4922">
      <w:pPr>
        <w:widowControl w:val="0"/>
        <w:rPr>
          <w:sz w:val="22"/>
          <w:szCs w:val="22"/>
          <w:u w:val="single"/>
        </w:rPr>
      </w:pPr>
      <w:r>
        <w:rPr>
          <w:sz w:val="22"/>
          <w:szCs w:val="22"/>
          <w:u w:val="single"/>
        </w:rPr>
        <w:t>Žindymas</w:t>
      </w:r>
    </w:p>
    <w:p w14:paraId="3DCA12A9" w14:textId="77777777" w:rsidR="009A7DBF" w:rsidRDefault="003F4922">
      <w:pPr>
        <w:widowControl w:val="0"/>
        <w:rPr>
          <w:rFonts w:eastAsiaTheme="minorHAnsi"/>
          <w:sz w:val="22"/>
          <w:szCs w:val="22"/>
          <w:lang w:val="lt-LT" w:eastAsia="en-US"/>
        </w:rPr>
      </w:pPr>
      <w:r>
        <w:rPr>
          <w:sz w:val="22"/>
          <w:szCs w:val="22"/>
        </w:rPr>
        <w:t>Aclexa žindymo laikotarpiu vartoti negalima.</w:t>
      </w:r>
    </w:p>
    <w:p w14:paraId="0C3ABB0F" w14:textId="77777777" w:rsidR="009A7DBF" w:rsidRDefault="009A7DBF">
      <w:pPr>
        <w:widowControl w:val="0"/>
        <w:ind w:left="567" w:hanging="567"/>
        <w:rPr>
          <w:sz w:val="22"/>
          <w:szCs w:val="22"/>
        </w:rPr>
      </w:pPr>
    </w:p>
    <w:p w14:paraId="4426E3E0" w14:textId="77777777" w:rsidR="009A7DBF" w:rsidRDefault="003F4922">
      <w:pPr>
        <w:ind w:left="567" w:hanging="567"/>
        <w:rPr>
          <w:rFonts w:eastAsia="Calibri"/>
          <w:sz w:val="22"/>
          <w:szCs w:val="22"/>
          <w:u w:val="single"/>
        </w:rPr>
      </w:pPr>
      <w:r>
        <w:rPr>
          <w:rFonts w:eastAsia="Calibri"/>
          <w:sz w:val="22"/>
          <w:szCs w:val="22"/>
          <w:u w:val="single"/>
        </w:rPr>
        <w:t>Vaisingumas</w:t>
      </w:r>
    </w:p>
    <w:p w14:paraId="2300CF69" w14:textId="77777777" w:rsidR="009A7DBF" w:rsidRDefault="003F4922">
      <w:pPr>
        <w:rPr>
          <w:rFonts w:eastAsia="Calibri"/>
          <w:sz w:val="22"/>
          <w:szCs w:val="22"/>
        </w:rPr>
      </w:pPr>
      <w:r>
        <w:rPr>
          <w:rFonts w:eastAsia="Calibri"/>
          <w:sz w:val="22"/>
          <w:szCs w:val="22"/>
        </w:rPr>
        <w:t>Dėl NVNU vartojimo, įskaitant Aclexa vartojimo, gali būti sunkiau pastoti. Jeigu planuojate pastoti arba Jums nepavyksta pastoti, pasakykite gydytojui.</w:t>
      </w:r>
    </w:p>
    <w:p w14:paraId="7121AA1C" w14:textId="77777777" w:rsidR="009A7DBF" w:rsidRDefault="009A7DBF">
      <w:pPr>
        <w:widowControl w:val="0"/>
        <w:ind w:left="567" w:hanging="567"/>
        <w:rPr>
          <w:sz w:val="22"/>
          <w:szCs w:val="22"/>
        </w:rPr>
      </w:pPr>
    </w:p>
    <w:p w14:paraId="3387F281" w14:textId="77777777" w:rsidR="009A7DBF" w:rsidRDefault="003F4922">
      <w:pPr>
        <w:widowControl w:val="0"/>
        <w:ind w:left="567" w:hanging="567"/>
        <w:rPr>
          <w:rFonts w:eastAsiaTheme="minorHAnsi"/>
          <w:b/>
          <w:sz w:val="22"/>
          <w:szCs w:val="22"/>
          <w:lang w:val="lt-LT" w:eastAsia="en-US"/>
        </w:rPr>
      </w:pPr>
      <w:r>
        <w:rPr>
          <w:b/>
          <w:sz w:val="22"/>
          <w:szCs w:val="22"/>
        </w:rPr>
        <w:t>Vairavimas ir mechanizmų valdymas</w:t>
      </w:r>
    </w:p>
    <w:p w14:paraId="016EFBEF" w14:textId="77777777" w:rsidR="009A7DBF" w:rsidRDefault="003F4922">
      <w:pPr>
        <w:widowControl w:val="0"/>
        <w:rPr>
          <w:rFonts w:eastAsiaTheme="minorHAnsi"/>
          <w:sz w:val="22"/>
          <w:szCs w:val="22"/>
          <w:lang w:val="lt-LT" w:eastAsia="en-US"/>
        </w:rPr>
      </w:pPr>
      <w:r>
        <w:rPr>
          <w:sz w:val="22"/>
          <w:szCs w:val="22"/>
        </w:rPr>
        <w:t>Prieš vairuodami ar valdydami mechanizmus turite žinoti, kaip Aclexa Jus veikia. Jeigu pavartojus Aclexa jaučiatės apsvaigę ar apsnūdę, nevairuokite ir nevaldykite mechanizmų, kol toks poveikis neišnyks.</w:t>
      </w:r>
    </w:p>
    <w:p w14:paraId="19C3B4BA" w14:textId="77777777" w:rsidR="009A7DBF" w:rsidRDefault="009A7DBF">
      <w:pPr>
        <w:widowControl w:val="0"/>
        <w:ind w:left="567" w:hanging="567"/>
        <w:rPr>
          <w:sz w:val="22"/>
          <w:szCs w:val="22"/>
        </w:rPr>
      </w:pPr>
    </w:p>
    <w:p w14:paraId="03F90031" w14:textId="77777777" w:rsidR="009A7DBF" w:rsidRDefault="003F4922">
      <w:pPr>
        <w:widowControl w:val="0"/>
        <w:rPr>
          <w:rFonts w:eastAsia="Calibri"/>
          <w:b/>
          <w:sz w:val="22"/>
          <w:szCs w:val="22"/>
          <w:lang w:val="lt-LT" w:eastAsia="en-US"/>
        </w:rPr>
      </w:pPr>
      <w:r>
        <w:rPr>
          <w:rFonts w:eastAsia="Calibri"/>
          <w:b/>
          <w:sz w:val="22"/>
          <w:szCs w:val="22"/>
        </w:rPr>
        <w:t xml:space="preserve">Aclexa sudėtyje yra </w:t>
      </w:r>
      <w:r>
        <w:rPr>
          <w:b/>
          <w:sz w:val="22"/>
          <w:szCs w:val="22"/>
        </w:rPr>
        <w:t>laktozės ir natrio</w:t>
      </w:r>
    </w:p>
    <w:p w14:paraId="028914C2" w14:textId="77777777" w:rsidR="009A7DBF" w:rsidRDefault="003F4922">
      <w:pPr>
        <w:widowControl w:val="0"/>
        <w:rPr>
          <w:rFonts w:eastAsia="Calibri"/>
          <w:sz w:val="22"/>
          <w:szCs w:val="22"/>
          <w:lang w:val="lt-LT" w:eastAsia="en-US"/>
        </w:rPr>
      </w:pPr>
      <w:r>
        <w:rPr>
          <w:sz w:val="22"/>
          <w:szCs w:val="22"/>
        </w:rPr>
        <w:t>Jeigu gydytojas Jums yra sakęs, kad netoleruojate kokių nors angliavandenių, kreipkitės į jį prieš pradėdami vartoti šį vaistą.</w:t>
      </w:r>
    </w:p>
    <w:p w14:paraId="5FEE141A" w14:textId="77777777" w:rsidR="009A7DBF" w:rsidRDefault="003F4922">
      <w:pPr>
        <w:widowControl w:val="0"/>
        <w:rPr>
          <w:rFonts w:eastAsia="Calibri"/>
          <w:sz w:val="22"/>
          <w:szCs w:val="22"/>
        </w:rPr>
      </w:pPr>
      <w:r>
        <w:rPr>
          <w:rFonts w:eastAsia="Calibri"/>
          <w:sz w:val="22"/>
          <w:szCs w:val="22"/>
        </w:rPr>
        <w:t>Šio vaisto kapsulėje yra mažiau nei 1 mmol (23 mg) natrio,</w:t>
      </w:r>
      <w:r>
        <w:rPr>
          <w:sz w:val="22"/>
          <w:szCs w:val="22"/>
        </w:rPr>
        <w:t xml:space="preserve"> t. y. jis beveik neturi reikšmės.</w:t>
      </w:r>
    </w:p>
    <w:p w14:paraId="4B8625CA" w14:textId="77777777" w:rsidR="009A7DBF" w:rsidRDefault="009A7DBF">
      <w:pPr>
        <w:widowControl w:val="0"/>
        <w:rPr>
          <w:sz w:val="22"/>
          <w:szCs w:val="22"/>
        </w:rPr>
      </w:pPr>
    </w:p>
    <w:p w14:paraId="7464A499" w14:textId="77777777" w:rsidR="009A7DBF" w:rsidRDefault="009A7DBF">
      <w:pPr>
        <w:widowControl w:val="0"/>
        <w:ind w:left="567" w:hanging="567"/>
        <w:rPr>
          <w:sz w:val="22"/>
          <w:szCs w:val="22"/>
        </w:rPr>
      </w:pPr>
    </w:p>
    <w:p w14:paraId="540B8934" w14:textId="77777777" w:rsidR="009A7DBF" w:rsidRDefault="003F4922">
      <w:pPr>
        <w:widowControl w:val="0"/>
        <w:numPr>
          <w:ilvl w:val="12"/>
          <w:numId w:val="0"/>
        </w:numPr>
        <w:ind w:left="567" w:hanging="567"/>
        <w:outlineLvl w:val="0"/>
        <w:rPr>
          <w:rFonts w:eastAsiaTheme="minorHAnsi"/>
          <w:b/>
          <w:caps/>
          <w:sz w:val="22"/>
          <w:szCs w:val="22"/>
          <w:lang w:val="lt-LT" w:eastAsia="en-US"/>
        </w:rPr>
      </w:pPr>
      <w:r>
        <w:rPr>
          <w:b/>
          <w:sz w:val="22"/>
          <w:szCs w:val="22"/>
        </w:rPr>
        <w:t>3.</w:t>
      </w:r>
      <w:r>
        <w:rPr>
          <w:b/>
          <w:sz w:val="22"/>
          <w:szCs w:val="22"/>
        </w:rPr>
        <w:tab/>
        <w:t>Kaip vartoti Aclexa</w:t>
      </w:r>
    </w:p>
    <w:p w14:paraId="599B6109" w14:textId="77777777" w:rsidR="009A7DBF" w:rsidRDefault="009A7DBF">
      <w:pPr>
        <w:widowControl w:val="0"/>
        <w:ind w:left="567" w:hanging="567"/>
        <w:rPr>
          <w:sz w:val="22"/>
          <w:szCs w:val="22"/>
        </w:rPr>
      </w:pPr>
    </w:p>
    <w:p w14:paraId="38E68B9C" w14:textId="77777777" w:rsidR="009A7DBF" w:rsidRDefault="003F4922">
      <w:pPr>
        <w:widowControl w:val="0"/>
        <w:rPr>
          <w:rFonts w:eastAsiaTheme="minorHAnsi"/>
          <w:sz w:val="22"/>
          <w:szCs w:val="22"/>
          <w:lang w:val="lt-LT" w:eastAsia="en-US"/>
        </w:rPr>
      </w:pPr>
      <w:r>
        <w:rPr>
          <w:sz w:val="22"/>
          <w:szCs w:val="22"/>
        </w:rPr>
        <w:t>Visada vartokite šį vaistą tiksliai kaip nurodė gydytojas arba vaistininkas. Jeigu abejojate, kreipkitės į gydytoją arba vaistininką. Jeigu manote, kad Aclexa veikia per stipriai ar per silpnai, pasakykite gydytojui arba vaistininkui.</w:t>
      </w:r>
    </w:p>
    <w:p w14:paraId="7F86A461" w14:textId="77777777" w:rsidR="009A7DBF" w:rsidRDefault="009A7DBF">
      <w:pPr>
        <w:widowControl w:val="0"/>
        <w:rPr>
          <w:sz w:val="22"/>
          <w:szCs w:val="22"/>
        </w:rPr>
      </w:pPr>
    </w:p>
    <w:p w14:paraId="6B5D0CBB" w14:textId="77777777" w:rsidR="009A7DBF" w:rsidRDefault="003F4922">
      <w:pPr>
        <w:widowControl w:val="0"/>
        <w:rPr>
          <w:rFonts w:eastAsiaTheme="minorHAnsi"/>
          <w:sz w:val="22"/>
          <w:szCs w:val="22"/>
          <w:lang w:val="lt-LT" w:eastAsia="en-US"/>
        </w:rPr>
      </w:pPr>
      <w:r>
        <w:rPr>
          <w:sz w:val="22"/>
          <w:szCs w:val="22"/>
        </w:rPr>
        <w:t>Gydytojas nurodys, kokią dozę vartoti. Didinant dozę ir ilginant vartojimo trukmę, šalutinio poveikio, susijusio su širdies sutrikimais, rizika gali didėti, todėl svarbu, kad vartotumėte mažiausią skausmą malšinančią Aclexa dozę ir ne ilgiau, nei būtina ligos simptomams kontroliuoti.</w:t>
      </w:r>
    </w:p>
    <w:p w14:paraId="6BBE468F" w14:textId="77777777" w:rsidR="009A7DBF" w:rsidRDefault="009A7DBF">
      <w:pPr>
        <w:widowControl w:val="0"/>
        <w:rPr>
          <w:sz w:val="22"/>
          <w:szCs w:val="22"/>
        </w:rPr>
      </w:pPr>
    </w:p>
    <w:p w14:paraId="7DA5DA0D" w14:textId="77777777" w:rsidR="009A7DBF" w:rsidRDefault="003F4922">
      <w:pPr>
        <w:widowControl w:val="0"/>
        <w:rPr>
          <w:sz w:val="22"/>
          <w:szCs w:val="22"/>
          <w:u w:val="single"/>
        </w:rPr>
      </w:pPr>
      <w:r>
        <w:rPr>
          <w:sz w:val="22"/>
          <w:szCs w:val="22"/>
          <w:u w:val="single"/>
        </w:rPr>
        <w:lastRenderedPageBreak/>
        <w:t>Vartojimo metodas</w:t>
      </w:r>
    </w:p>
    <w:p w14:paraId="5EAB1989" w14:textId="77777777" w:rsidR="009A7DBF" w:rsidRDefault="009A7DBF">
      <w:pPr>
        <w:widowControl w:val="0"/>
        <w:rPr>
          <w:sz w:val="22"/>
          <w:szCs w:val="22"/>
        </w:rPr>
      </w:pPr>
    </w:p>
    <w:p w14:paraId="64FF7D80" w14:textId="77777777" w:rsidR="009A7DBF" w:rsidRDefault="003F4922">
      <w:pPr>
        <w:widowControl w:val="0"/>
        <w:tabs>
          <w:tab w:val="left" w:pos="0"/>
          <w:tab w:val="left" w:pos="566"/>
          <w:tab w:val="left" w:pos="1304"/>
          <w:tab w:val="left" w:pos="2608"/>
          <w:tab w:val="left" w:pos="3912"/>
          <w:tab w:val="left" w:pos="5216"/>
          <w:tab w:val="left" w:pos="6520"/>
          <w:tab w:val="left" w:pos="7824"/>
        </w:tabs>
        <w:rPr>
          <w:rFonts w:eastAsiaTheme="minorHAnsi"/>
          <w:sz w:val="22"/>
          <w:szCs w:val="22"/>
          <w:lang w:val="lt-LT" w:eastAsia="en-US"/>
        </w:rPr>
      </w:pPr>
      <w:r>
        <w:rPr>
          <w:b/>
          <w:sz w:val="22"/>
          <w:szCs w:val="22"/>
        </w:rPr>
        <w:t>Reikia nuryti visą Aclexa kapsulę užsigeriant vandeniu</w:t>
      </w:r>
      <w:r>
        <w:rPr>
          <w:sz w:val="22"/>
          <w:szCs w:val="22"/>
        </w:rPr>
        <w:t>. Kapsulę galima išgerti bet kuriuo paros laiku valgant ar nevalgius. Vis dėlto stenkitės gerti kiekvieną Aclexa dozę tuo pačiu paros laiku kiekvieną dieną.</w:t>
      </w:r>
    </w:p>
    <w:p w14:paraId="387E8472" w14:textId="77777777" w:rsidR="009A7DBF" w:rsidRDefault="009A7DBF">
      <w:pPr>
        <w:widowControl w:val="0"/>
        <w:tabs>
          <w:tab w:val="left" w:pos="0"/>
          <w:tab w:val="left" w:pos="566"/>
          <w:tab w:val="left" w:pos="1304"/>
          <w:tab w:val="left" w:pos="2608"/>
          <w:tab w:val="left" w:pos="3912"/>
          <w:tab w:val="left" w:pos="5216"/>
          <w:tab w:val="left" w:pos="6520"/>
          <w:tab w:val="left" w:pos="7824"/>
        </w:tabs>
        <w:rPr>
          <w:sz w:val="22"/>
          <w:szCs w:val="22"/>
        </w:rPr>
      </w:pPr>
    </w:p>
    <w:p w14:paraId="68ABE74C" w14:textId="77777777" w:rsidR="009A7DBF" w:rsidRDefault="003F4922">
      <w:pPr>
        <w:widowControl w:val="0"/>
        <w:rPr>
          <w:rFonts w:eastAsiaTheme="minorHAnsi"/>
          <w:sz w:val="22"/>
          <w:szCs w:val="22"/>
          <w:lang w:val="lt-LT" w:eastAsia="en-US"/>
        </w:rPr>
      </w:pPr>
      <w:r>
        <w:rPr>
          <w:sz w:val="22"/>
          <w:szCs w:val="22"/>
        </w:rPr>
        <w:t>Jeigu per dvi savaites nuo gydymo pradžios būklė visai nepagerėja, kreipkitės į gydytoją.</w:t>
      </w:r>
    </w:p>
    <w:p w14:paraId="25D53F4E" w14:textId="77777777" w:rsidR="009A7DBF" w:rsidRDefault="009A7DBF">
      <w:pPr>
        <w:widowControl w:val="0"/>
        <w:rPr>
          <w:sz w:val="22"/>
          <w:szCs w:val="22"/>
        </w:rPr>
      </w:pPr>
    </w:p>
    <w:p w14:paraId="00EA4E02" w14:textId="77777777" w:rsidR="009A7DBF" w:rsidRDefault="003F4922">
      <w:pPr>
        <w:widowControl w:val="0"/>
        <w:rPr>
          <w:rFonts w:eastAsiaTheme="minorHAnsi"/>
          <w:sz w:val="22"/>
          <w:szCs w:val="22"/>
          <w:u w:val="single"/>
          <w:lang w:val="lt-LT" w:eastAsia="en-US"/>
        </w:rPr>
      </w:pPr>
      <w:r>
        <w:rPr>
          <w:sz w:val="22"/>
          <w:szCs w:val="22"/>
          <w:u w:val="single"/>
        </w:rPr>
        <w:t>Rekomenduojamos dozės</w:t>
      </w:r>
    </w:p>
    <w:p w14:paraId="37BF5ED2" w14:textId="77777777" w:rsidR="009A7DBF" w:rsidRDefault="003F4922">
      <w:pPr>
        <w:widowControl w:val="0"/>
        <w:rPr>
          <w:sz w:val="22"/>
          <w:szCs w:val="22"/>
        </w:rPr>
      </w:pPr>
      <w:r>
        <w:rPr>
          <w:sz w:val="22"/>
          <w:szCs w:val="22"/>
        </w:rPr>
        <w:t xml:space="preserve">Rekomenduojama paros dozė </w:t>
      </w:r>
      <w:r>
        <w:rPr>
          <w:b/>
          <w:sz w:val="22"/>
          <w:szCs w:val="22"/>
        </w:rPr>
        <w:t>osteoartritui</w:t>
      </w:r>
      <w:r>
        <w:rPr>
          <w:sz w:val="22"/>
          <w:szCs w:val="22"/>
        </w:rPr>
        <w:t xml:space="preserve"> gydyti </w:t>
      </w:r>
      <w:r>
        <w:rPr>
          <w:sz w:val="22"/>
          <w:szCs w:val="22"/>
        </w:rPr>
        <w:noBreakHyphen/>
        <w:t xml:space="preserve"> 200 mg kiekvieną dieną. Jeigu reikia, gydytojas dozę gali padidinti iki didžiausios 400 mg paros dozės.</w:t>
      </w:r>
    </w:p>
    <w:p w14:paraId="43A56BB1" w14:textId="77777777" w:rsidR="009A7DBF" w:rsidRDefault="003F4922">
      <w:pPr>
        <w:widowControl w:val="0"/>
        <w:rPr>
          <w:rFonts w:eastAsiaTheme="minorHAnsi"/>
          <w:sz w:val="22"/>
          <w:szCs w:val="22"/>
          <w:lang w:val="lt-LT" w:eastAsia="en-US"/>
        </w:rPr>
      </w:pPr>
      <w:r>
        <w:rPr>
          <w:sz w:val="22"/>
          <w:szCs w:val="22"/>
        </w:rPr>
        <w:t>Įprastinė dozė yra:</w:t>
      </w:r>
    </w:p>
    <w:p w14:paraId="3C213C98"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arba po vieną 200 mg kapsulę vieną kartą per parą;</w:t>
      </w:r>
    </w:p>
    <w:p w14:paraId="621E5E25"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arba po vieną 100 mg kapsulę du kartus per parą.</w:t>
      </w:r>
    </w:p>
    <w:p w14:paraId="420EA3DB" w14:textId="77777777" w:rsidR="009A7DBF" w:rsidRDefault="009A7DBF">
      <w:pPr>
        <w:widowControl w:val="0"/>
        <w:ind w:left="567" w:hanging="567"/>
        <w:rPr>
          <w:sz w:val="22"/>
          <w:szCs w:val="22"/>
        </w:rPr>
      </w:pPr>
    </w:p>
    <w:p w14:paraId="46B0F069" w14:textId="77777777" w:rsidR="009A7DBF" w:rsidRDefault="003F4922">
      <w:pPr>
        <w:widowControl w:val="0"/>
        <w:rPr>
          <w:sz w:val="22"/>
          <w:szCs w:val="22"/>
        </w:rPr>
      </w:pPr>
      <w:r>
        <w:rPr>
          <w:sz w:val="22"/>
          <w:szCs w:val="22"/>
        </w:rPr>
        <w:t>Rekomenduojama pradinė paros dozė r</w:t>
      </w:r>
      <w:r>
        <w:rPr>
          <w:b/>
          <w:sz w:val="22"/>
          <w:szCs w:val="22"/>
        </w:rPr>
        <w:t>eumatoidiniam</w:t>
      </w:r>
      <w:r>
        <w:rPr>
          <w:sz w:val="22"/>
          <w:szCs w:val="22"/>
        </w:rPr>
        <w:t xml:space="preserve"> artritui gydyti </w:t>
      </w:r>
      <w:r>
        <w:rPr>
          <w:sz w:val="22"/>
          <w:szCs w:val="22"/>
        </w:rPr>
        <w:noBreakHyphen/>
        <w:t xml:space="preserve"> 200 mg kiekvieną dieną. Jeigu reikia, gydytojas dozę gali padidinti iki didžiausios 400 mg paros dozės.</w:t>
      </w:r>
    </w:p>
    <w:p w14:paraId="0D03BC8C" w14:textId="77777777" w:rsidR="009A7DBF" w:rsidRDefault="003F4922">
      <w:pPr>
        <w:widowControl w:val="0"/>
        <w:rPr>
          <w:rFonts w:eastAsiaTheme="minorHAnsi"/>
          <w:sz w:val="22"/>
          <w:szCs w:val="22"/>
          <w:lang w:val="lt-LT" w:eastAsia="en-US"/>
        </w:rPr>
      </w:pPr>
      <w:r>
        <w:rPr>
          <w:sz w:val="22"/>
          <w:szCs w:val="22"/>
        </w:rPr>
        <w:t>Įprastinė dozė yra:</w:t>
      </w:r>
    </w:p>
    <w:p w14:paraId="6364F683"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po vieną 100 mg kapsulę du kartus per parą.</w:t>
      </w:r>
    </w:p>
    <w:p w14:paraId="3351ED83" w14:textId="77777777" w:rsidR="009A7DBF" w:rsidRDefault="009A7DBF">
      <w:pPr>
        <w:widowControl w:val="0"/>
        <w:rPr>
          <w:sz w:val="22"/>
          <w:szCs w:val="22"/>
        </w:rPr>
      </w:pPr>
    </w:p>
    <w:p w14:paraId="69117FF9" w14:textId="77777777" w:rsidR="009A7DBF" w:rsidRDefault="003F4922">
      <w:pPr>
        <w:widowControl w:val="0"/>
        <w:rPr>
          <w:sz w:val="22"/>
          <w:szCs w:val="22"/>
        </w:rPr>
      </w:pPr>
      <w:r>
        <w:rPr>
          <w:sz w:val="22"/>
          <w:szCs w:val="22"/>
        </w:rPr>
        <w:t xml:space="preserve">Rekomenduojama paros dozė </w:t>
      </w:r>
      <w:r>
        <w:rPr>
          <w:b/>
          <w:sz w:val="22"/>
          <w:szCs w:val="22"/>
        </w:rPr>
        <w:t>ankiloziniam spondilitui</w:t>
      </w:r>
      <w:r>
        <w:rPr>
          <w:sz w:val="22"/>
          <w:szCs w:val="22"/>
        </w:rPr>
        <w:t xml:space="preserve"> gydyti </w:t>
      </w:r>
      <w:r>
        <w:rPr>
          <w:sz w:val="22"/>
          <w:szCs w:val="22"/>
        </w:rPr>
        <w:noBreakHyphen/>
        <w:t xml:space="preserve"> 200 mg kiekvieną dieną. Jeigu reikia, gydytojas dozę gali padidinti iki didžiausios 400 mg paros dozės.</w:t>
      </w:r>
    </w:p>
    <w:p w14:paraId="5F6754F0" w14:textId="77777777" w:rsidR="009A7DBF" w:rsidRDefault="003F4922">
      <w:pPr>
        <w:widowControl w:val="0"/>
        <w:rPr>
          <w:rFonts w:eastAsiaTheme="minorHAnsi"/>
          <w:sz w:val="22"/>
          <w:szCs w:val="22"/>
          <w:lang w:val="lt-LT" w:eastAsia="en-US"/>
        </w:rPr>
      </w:pPr>
      <w:r>
        <w:rPr>
          <w:sz w:val="22"/>
          <w:szCs w:val="22"/>
        </w:rPr>
        <w:t>Įprastinė dozė yra:</w:t>
      </w:r>
    </w:p>
    <w:p w14:paraId="1A326118"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arba po vieną 200 mg kapsulę vieną kartą per parą;</w:t>
      </w:r>
    </w:p>
    <w:p w14:paraId="19C38A65"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arba po vieną 100 mg kapsulę du kartus per parą.</w:t>
      </w:r>
    </w:p>
    <w:p w14:paraId="7DA112C3" w14:textId="77777777" w:rsidR="009A7DBF" w:rsidRDefault="009A7DBF">
      <w:pPr>
        <w:widowControl w:val="0"/>
        <w:rPr>
          <w:sz w:val="22"/>
          <w:szCs w:val="22"/>
        </w:rPr>
      </w:pPr>
    </w:p>
    <w:p w14:paraId="2759CD62" w14:textId="77777777" w:rsidR="009A7DBF" w:rsidRDefault="003F4922">
      <w:pPr>
        <w:widowControl w:val="0"/>
        <w:rPr>
          <w:rFonts w:eastAsiaTheme="minorHAnsi"/>
          <w:sz w:val="22"/>
          <w:szCs w:val="22"/>
          <w:lang w:val="lt-LT" w:eastAsia="en-US"/>
        </w:rPr>
      </w:pPr>
      <w:r>
        <w:rPr>
          <w:b/>
          <w:sz w:val="22"/>
          <w:szCs w:val="22"/>
        </w:rPr>
        <w:t>Inkstų ar kepenų funkcijos sutrikimas.</w:t>
      </w:r>
      <w:r>
        <w:rPr>
          <w:sz w:val="22"/>
          <w:szCs w:val="22"/>
        </w:rPr>
        <w:t xml:space="preserve"> Įsitikinkite, ar gydytojas žino, kad sergate inkstų arba kepenų funkcijos sutrikimu, nes gali prireikti mažesnės vaisto dozės.</w:t>
      </w:r>
    </w:p>
    <w:p w14:paraId="3B28FCE6" w14:textId="77777777" w:rsidR="009A7DBF" w:rsidRDefault="009A7DBF">
      <w:pPr>
        <w:widowControl w:val="0"/>
        <w:tabs>
          <w:tab w:val="left" w:pos="0"/>
          <w:tab w:val="left" w:pos="566"/>
          <w:tab w:val="left" w:pos="1304"/>
          <w:tab w:val="left" w:pos="2608"/>
          <w:tab w:val="left" w:pos="3912"/>
          <w:tab w:val="left" w:pos="5216"/>
          <w:tab w:val="left" w:pos="6520"/>
          <w:tab w:val="left" w:pos="7824"/>
        </w:tabs>
        <w:rPr>
          <w:color w:val="000000"/>
          <w:sz w:val="22"/>
          <w:szCs w:val="22"/>
        </w:rPr>
      </w:pPr>
    </w:p>
    <w:p w14:paraId="2E7AC44B" w14:textId="77777777" w:rsidR="009A7DBF" w:rsidRDefault="003F4922">
      <w:pPr>
        <w:widowControl w:val="0"/>
        <w:rPr>
          <w:rFonts w:eastAsiaTheme="minorHAnsi"/>
          <w:sz w:val="22"/>
          <w:szCs w:val="22"/>
          <w:lang w:val="lt-LT" w:eastAsia="en-US"/>
        </w:rPr>
      </w:pPr>
      <w:r>
        <w:rPr>
          <w:b/>
          <w:sz w:val="22"/>
          <w:szCs w:val="22"/>
        </w:rPr>
        <w:t>Senyvi pacientai, ypač tie, kurių kūno svoris mažesnis kaip 50 kg.</w:t>
      </w:r>
      <w:r>
        <w:rPr>
          <w:sz w:val="22"/>
          <w:szCs w:val="22"/>
        </w:rPr>
        <w:t xml:space="preserve"> Jeigu esate vyresni kaip 65 metų ir ypač jeigu sveriate mažiau kaip 50 kg, gydytojui gali tekti atidžiau Jus prižiūrėti.</w:t>
      </w:r>
    </w:p>
    <w:p w14:paraId="36C948B0" w14:textId="77777777" w:rsidR="009A7DBF" w:rsidRDefault="009A7DBF">
      <w:pPr>
        <w:widowControl w:val="0"/>
        <w:tabs>
          <w:tab w:val="left" w:pos="0"/>
          <w:tab w:val="left" w:pos="566"/>
          <w:tab w:val="left" w:pos="1304"/>
          <w:tab w:val="left" w:pos="2608"/>
          <w:tab w:val="left" w:pos="3912"/>
          <w:tab w:val="left" w:pos="5216"/>
          <w:tab w:val="left" w:pos="6520"/>
          <w:tab w:val="left" w:pos="7824"/>
        </w:tabs>
        <w:rPr>
          <w:color w:val="000000"/>
          <w:sz w:val="22"/>
          <w:szCs w:val="22"/>
        </w:rPr>
      </w:pPr>
    </w:p>
    <w:p w14:paraId="62F660CD" w14:textId="77777777" w:rsidR="009A7DBF" w:rsidRDefault="003F4922">
      <w:pPr>
        <w:widowControl w:val="0"/>
        <w:tabs>
          <w:tab w:val="left" w:pos="0"/>
          <w:tab w:val="left" w:pos="566"/>
          <w:tab w:val="left" w:pos="1304"/>
          <w:tab w:val="left" w:pos="2608"/>
          <w:tab w:val="left" w:pos="3912"/>
          <w:tab w:val="left" w:pos="5216"/>
          <w:tab w:val="left" w:pos="6520"/>
          <w:tab w:val="left" w:pos="7824"/>
        </w:tabs>
        <w:rPr>
          <w:rFonts w:eastAsiaTheme="minorHAnsi"/>
          <w:color w:val="000000"/>
          <w:sz w:val="22"/>
          <w:szCs w:val="22"/>
          <w:lang w:val="lt-LT" w:eastAsia="en-US"/>
        </w:rPr>
      </w:pPr>
      <w:r>
        <w:rPr>
          <w:b/>
          <w:color w:val="000000"/>
          <w:sz w:val="22"/>
          <w:szCs w:val="22"/>
        </w:rPr>
        <w:t xml:space="preserve">Vartojimas vaikams. </w:t>
      </w:r>
      <w:r>
        <w:rPr>
          <w:color w:val="000000"/>
          <w:sz w:val="22"/>
          <w:szCs w:val="22"/>
        </w:rPr>
        <w:t>Aclexa gydomi tik suaugusieji. Šiuo vaistu vaikų gydyti negalima.</w:t>
      </w:r>
    </w:p>
    <w:p w14:paraId="20EC82A6" w14:textId="77777777" w:rsidR="009A7DBF" w:rsidRDefault="009A7DBF">
      <w:pPr>
        <w:widowControl w:val="0"/>
        <w:tabs>
          <w:tab w:val="left" w:pos="0"/>
          <w:tab w:val="left" w:pos="566"/>
          <w:tab w:val="left" w:pos="1304"/>
          <w:tab w:val="left" w:pos="2608"/>
          <w:tab w:val="left" w:pos="3912"/>
          <w:tab w:val="left" w:pos="5216"/>
          <w:tab w:val="left" w:pos="6520"/>
          <w:tab w:val="left" w:pos="7824"/>
        </w:tabs>
        <w:rPr>
          <w:color w:val="000000"/>
          <w:sz w:val="22"/>
          <w:szCs w:val="22"/>
        </w:rPr>
      </w:pPr>
    </w:p>
    <w:p w14:paraId="2C5CDC8B" w14:textId="77777777" w:rsidR="009A7DBF" w:rsidRDefault="003F4922">
      <w:pPr>
        <w:widowControl w:val="0"/>
        <w:autoSpaceDE w:val="0"/>
        <w:autoSpaceDN w:val="0"/>
        <w:adjustRightInd w:val="0"/>
        <w:rPr>
          <w:rFonts w:eastAsiaTheme="minorHAnsi"/>
          <w:spacing w:val="-2"/>
          <w:sz w:val="22"/>
          <w:szCs w:val="22"/>
          <w:u w:val="single"/>
          <w:lang w:val="lt-LT" w:eastAsia="en-US"/>
        </w:rPr>
      </w:pPr>
      <w:r>
        <w:rPr>
          <w:spacing w:val="-2"/>
          <w:sz w:val="22"/>
          <w:szCs w:val="22"/>
          <w:u w:val="single"/>
        </w:rPr>
        <w:t>Didžiausia paros dozė</w:t>
      </w:r>
    </w:p>
    <w:p w14:paraId="018589DB" w14:textId="77777777" w:rsidR="009A7DBF" w:rsidRDefault="003F4922">
      <w:pPr>
        <w:widowControl w:val="0"/>
        <w:autoSpaceDE w:val="0"/>
        <w:autoSpaceDN w:val="0"/>
        <w:adjustRightInd w:val="0"/>
        <w:rPr>
          <w:rFonts w:eastAsiaTheme="minorHAnsi"/>
          <w:sz w:val="22"/>
          <w:szCs w:val="22"/>
          <w:lang w:val="lt-LT" w:eastAsia="en-US"/>
        </w:rPr>
      </w:pPr>
      <w:r>
        <w:rPr>
          <w:spacing w:val="-2"/>
          <w:sz w:val="22"/>
          <w:szCs w:val="22"/>
        </w:rPr>
        <w:t xml:space="preserve">Vartoti didesnę kaip </w:t>
      </w:r>
      <w:r>
        <w:rPr>
          <w:sz w:val="22"/>
          <w:szCs w:val="22"/>
        </w:rPr>
        <w:t>400 mg (4 </w:t>
      </w:r>
      <w:r>
        <w:rPr>
          <w:color w:val="000000"/>
          <w:sz w:val="22"/>
          <w:szCs w:val="22"/>
        </w:rPr>
        <w:t xml:space="preserve">Aclexa 100 mg kapsulės arba 2 Aclexa 200 mg kapsulės) </w:t>
      </w:r>
      <w:r>
        <w:rPr>
          <w:sz w:val="22"/>
          <w:szCs w:val="22"/>
        </w:rPr>
        <w:t>paros dozę negalima.</w:t>
      </w:r>
    </w:p>
    <w:p w14:paraId="7B06435D" w14:textId="77777777" w:rsidR="009A7DBF" w:rsidRDefault="009A7DBF">
      <w:pPr>
        <w:widowControl w:val="0"/>
        <w:ind w:left="567" w:hanging="567"/>
        <w:rPr>
          <w:sz w:val="22"/>
          <w:szCs w:val="22"/>
        </w:rPr>
      </w:pPr>
    </w:p>
    <w:p w14:paraId="3A533874" w14:textId="77777777" w:rsidR="009A7DBF" w:rsidRDefault="003F4922">
      <w:pPr>
        <w:widowControl w:val="0"/>
        <w:ind w:left="567" w:hanging="567"/>
        <w:outlineLvl w:val="0"/>
        <w:rPr>
          <w:rFonts w:eastAsiaTheme="minorHAnsi"/>
          <w:b/>
          <w:sz w:val="22"/>
          <w:szCs w:val="22"/>
          <w:lang w:val="lt-LT" w:eastAsia="en-US"/>
        </w:rPr>
      </w:pPr>
      <w:r>
        <w:rPr>
          <w:b/>
          <w:sz w:val="22"/>
          <w:szCs w:val="22"/>
        </w:rPr>
        <w:t>Ką daryti pavartojus per didelę Aclexa dozę?</w:t>
      </w:r>
    </w:p>
    <w:p w14:paraId="25A98E49" w14:textId="77777777" w:rsidR="009A7DBF" w:rsidRDefault="003F4922">
      <w:pPr>
        <w:widowControl w:val="0"/>
        <w:rPr>
          <w:rFonts w:eastAsiaTheme="minorHAnsi"/>
          <w:sz w:val="22"/>
          <w:szCs w:val="22"/>
          <w:lang w:val="lt-LT" w:eastAsia="en-US"/>
        </w:rPr>
      </w:pPr>
      <w:r>
        <w:rPr>
          <w:sz w:val="22"/>
          <w:szCs w:val="22"/>
        </w:rPr>
        <w:t>Gerti daugiau kapsulių nei skyrė gydytojas negalima. Jeigu išgėrėte per daug kapsulių, nedelsdami kreipkitės į gydytoją, vaistininką ar ligoninę ir pasiimkite kartu savo vaistus.</w:t>
      </w:r>
    </w:p>
    <w:p w14:paraId="74C45FAE" w14:textId="77777777" w:rsidR="009A7DBF" w:rsidRDefault="009A7DBF">
      <w:pPr>
        <w:widowControl w:val="0"/>
        <w:ind w:left="567" w:hanging="567"/>
        <w:rPr>
          <w:sz w:val="22"/>
          <w:szCs w:val="22"/>
        </w:rPr>
      </w:pPr>
    </w:p>
    <w:p w14:paraId="2C979C42" w14:textId="77777777" w:rsidR="009A7DBF" w:rsidRDefault="003F4922">
      <w:pPr>
        <w:widowControl w:val="0"/>
        <w:ind w:left="567" w:hanging="567"/>
        <w:outlineLvl w:val="0"/>
        <w:rPr>
          <w:rFonts w:eastAsiaTheme="minorHAnsi"/>
          <w:b/>
          <w:sz w:val="22"/>
          <w:szCs w:val="22"/>
          <w:lang w:val="lt-LT" w:eastAsia="en-US"/>
        </w:rPr>
      </w:pPr>
      <w:r>
        <w:rPr>
          <w:b/>
          <w:sz w:val="22"/>
          <w:szCs w:val="22"/>
        </w:rPr>
        <w:t>Pamiršus pavartoti Aclexa</w:t>
      </w:r>
    </w:p>
    <w:p w14:paraId="4F52682B" w14:textId="77777777" w:rsidR="009A7DBF" w:rsidRDefault="003F4922">
      <w:pPr>
        <w:widowControl w:val="0"/>
        <w:rPr>
          <w:rFonts w:eastAsiaTheme="minorHAnsi"/>
          <w:sz w:val="22"/>
          <w:szCs w:val="22"/>
          <w:lang w:val="lt-LT" w:eastAsia="en-US"/>
        </w:rPr>
      </w:pPr>
      <w:r>
        <w:rPr>
          <w:sz w:val="22"/>
          <w:szCs w:val="22"/>
        </w:rPr>
        <w:t>Jeigu pamiršote išgerti kapsulių, padarykite tai, kai tik prisiminsite. Negalima vartoti dvigubos dozės norint kompensuoti praleistą dozę.</w:t>
      </w:r>
    </w:p>
    <w:p w14:paraId="27730B72" w14:textId="77777777" w:rsidR="009A7DBF" w:rsidRDefault="009A7DBF">
      <w:pPr>
        <w:widowControl w:val="0"/>
        <w:outlineLvl w:val="0"/>
        <w:rPr>
          <w:sz w:val="22"/>
          <w:szCs w:val="22"/>
        </w:rPr>
      </w:pPr>
    </w:p>
    <w:p w14:paraId="038AD562" w14:textId="77777777" w:rsidR="009A7DBF" w:rsidRDefault="003F4922">
      <w:pPr>
        <w:widowControl w:val="0"/>
        <w:rPr>
          <w:rFonts w:eastAsiaTheme="minorHAnsi"/>
          <w:b/>
          <w:sz w:val="22"/>
          <w:szCs w:val="22"/>
          <w:lang w:val="lt-LT" w:eastAsia="en-US"/>
        </w:rPr>
      </w:pPr>
      <w:r>
        <w:rPr>
          <w:b/>
          <w:sz w:val="22"/>
          <w:szCs w:val="22"/>
        </w:rPr>
        <w:t>Nustojus vartoti Aclexa</w:t>
      </w:r>
    </w:p>
    <w:p w14:paraId="0028B03A" w14:textId="77777777" w:rsidR="009A7DBF" w:rsidRDefault="003F4922">
      <w:pPr>
        <w:widowControl w:val="0"/>
        <w:rPr>
          <w:rFonts w:eastAsiaTheme="minorHAnsi"/>
          <w:color w:val="000000"/>
          <w:sz w:val="22"/>
          <w:szCs w:val="22"/>
          <w:lang w:val="lt-LT" w:eastAsia="en-US"/>
        </w:rPr>
      </w:pPr>
      <w:r>
        <w:rPr>
          <w:color w:val="000000"/>
          <w:sz w:val="22"/>
          <w:szCs w:val="22"/>
        </w:rPr>
        <w:t>Staigiai nutraukus gydymą Aclexa, ligos simptomai gali vėl pasunkėti. Aclexa vartojimo nutraukti be gydytojo nurodymo negalima. Gydytojas gali nurodyti keletą dienų mažinti vaisto dozę, kol visiškai nutrauksite vaisto vartojimą.</w:t>
      </w:r>
    </w:p>
    <w:p w14:paraId="33FD4736" w14:textId="77777777" w:rsidR="009A7DBF" w:rsidRDefault="009A7DBF">
      <w:pPr>
        <w:widowControl w:val="0"/>
        <w:ind w:left="567" w:hanging="567"/>
        <w:rPr>
          <w:sz w:val="22"/>
          <w:szCs w:val="22"/>
        </w:rPr>
      </w:pPr>
    </w:p>
    <w:p w14:paraId="16A1A78E" w14:textId="77777777" w:rsidR="009A7DBF" w:rsidRDefault="003F4922">
      <w:pPr>
        <w:widowControl w:val="0"/>
        <w:ind w:left="567" w:hanging="567"/>
        <w:rPr>
          <w:rFonts w:eastAsiaTheme="minorHAnsi"/>
          <w:sz w:val="22"/>
          <w:szCs w:val="22"/>
          <w:lang w:val="lt-LT" w:eastAsia="en-US"/>
        </w:rPr>
      </w:pPr>
      <w:r>
        <w:rPr>
          <w:sz w:val="22"/>
          <w:szCs w:val="22"/>
        </w:rPr>
        <w:t>Jeigu kiltų daugiau klausimų dėl šio vaisto vartojimo, kreipkitės į gydytoją arba vaistininką.</w:t>
      </w:r>
    </w:p>
    <w:p w14:paraId="52A5B8A5" w14:textId="77777777" w:rsidR="009A7DBF" w:rsidRDefault="009A7DBF">
      <w:pPr>
        <w:widowControl w:val="0"/>
        <w:ind w:left="567" w:hanging="567"/>
        <w:rPr>
          <w:sz w:val="22"/>
          <w:szCs w:val="22"/>
        </w:rPr>
      </w:pPr>
    </w:p>
    <w:p w14:paraId="3AA9656A" w14:textId="77777777" w:rsidR="009A7DBF" w:rsidRDefault="009A7DBF">
      <w:pPr>
        <w:widowControl w:val="0"/>
        <w:ind w:left="567" w:hanging="567"/>
        <w:rPr>
          <w:sz w:val="22"/>
          <w:szCs w:val="22"/>
        </w:rPr>
      </w:pPr>
    </w:p>
    <w:p w14:paraId="0FA45453" w14:textId="77777777" w:rsidR="009A7DBF" w:rsidRDefault="003F4922">
      <w:pPr>
        <w:widowControl w:val="0"/>
        <w:numPr>
          <w:ilvl w:val="12"/>
          <w:numId w:val="0"/>
        </w:numPr>
        <w:ind w:left="567" w:hanging="567"/>
        <w:outlineLvl w:val="0"/>
        <w:rPr>
          <w:rFonts w:eastAsiaTheme="minorHAnsi"/>
          <w:b/>
          <w:caps/>
          <w:sz w:val="22"/>
          <w:szCs w:val="22"/>
          <w:lang w:val="lt-LT" w:eastAsia="en-US"/>
        </w:rPr>
      </w:pPr>
      <w:r>
        <w:rPr>
          <w:b/>
          <w:caps/>
          <w:sz w:val="22"/>
          <w:szCs w:val="22"/>
        </w:rPr>
        <w:t>4.</w:t>
      </w:r>
      <w:r>
        <w:rPr>
          <w:b/>
          <w:caps/>
          <w:sz w:val="22"/>
          <w:szCs w:val="22"/>
        </w:rPr>
        <w:tab/>
      </w:r>
      <w:r>
        <w:rPr>
          <w:b/>
          <w:sz w:val="22"/>
          <w:szCs w:val="22"/>
        </w:rPr>
        <w:t>Galimas šalutinis poveikis</w:t>
      </w:r>
    </w:p>
    <w:p w14:paraId="2E43AC33" w14:textId="77777777" w:rsidR="009A7DBF" w:rsidRDefault="009A7DBF">
      <w:pPr>
        <w:widowControl w:val="0"/>
        <w:ind w:left="567" w:hanging="567"/>
        <w:rPr>
          <w:sz w:val="22"/>
          <w:szCs w:val="22"/>
        </w:rPr>
      </w:pPr>
    </w:p>
    <w:p w14:paraId="7531F545" w14:textId="77777777" w:rsidR="009A7DBF" w:rsidRDefault="003F4922">
      <w:pPr>
        <w:widowControl w:val="0"/>
        <w:rPr>
          <w:rFonts w:eastAsiaTheme="minorHAnsi"/>
          <w:sz w:val="22"/>
          <w:szCs w:val="22"/>
          <w:lang w:val="lt-LT" w:eastAsia="en-US"/>
        </w:rPr>
      </w:pPr>
      <w:r>
        <w:rPr>
          <w:sz w:val="22"/>
          <w:szCs w:val="22"/>
        </w:rPr>
        <w:lastRenderedPageBreak/>
        <w:t>Šis vaistas, kaip ir visi kiti, gali sukelti šalutinį poveikį, nors jis pasireiškia ne visiems žmonėms.</w:t>
      </w:r>
    </w:p>
    <w:p w14:paraId="189B429E" w14:textId="77777777" w:rsidR="009A7DBF" w:rsidRDefault="009A7DBF">
      <w:pPr>
        <w:widowControl w:val="0"/>
        <w:rPr>
          <w:sz w:val="22"/>
          <w:szCs w:val="22"/>
        </w:rPr>
      </w:pPr>
    </w:p>
    <w:p w14:paraId="17576644" w14:textId="77777777" w:rsidR="009A7DBF" w:rsidRDefault="003F4922">
      <w:pPr>
        <w:widowControl w:val="0"/>
        <w:rPr>
          <w:rFonts w:eastAsiaTheme="minorHAnsi"/>
          <w:sz w:val="22"/>
          <w:szCs w:val="22"/>
          <w:lang w:val="lt-LT" w:eastAsia="en-US"/>
        </w:rPr>
      </w:pPr>
      <w:r>
        <w:rPr>
          <w:sz w:val="22"/>
          <w:szCs w:val="22"/>
        </w:rPr>
        <w:t>Jei bet koks šalutinis poveikis tapo sunkus arba jei pasireiškė šiame lapelyje nenurodytas šalutinis poveikis, apie tai pasakykite gydytojui arba vaistininkui.</w:t>
      </w:r>
    </w:p>
    <w:p w14:paraId="0EFB0165" w14:textId="77777777" w:rsidR="009A7DBF" w:rsidRDefault="009A7DBF">
      <w:pPr>
        <w:widowControl w:val="0"/>
        <w:rPr>
          <w:sz w:val="22"/>
          <w:szCs w:val="22"/>
        </w:rPr>
      </w:pPr>
    </w:p>
    <w:p w14:paraId="4E712621" w14:textId="77777777" w:rsidR="009A7DBF" w:rsidRDefault="003F4922">
      <w:pPr>
        <w:widowControl w:val="0"/>
        <w:autoSpaceDE w:val="0"/>
        <w:autoSpaceDN w:val="0"/>
        <w:adjustRightInd w:val="0"/>
        <w:rPr>
          <w:rFonts w:eastAsiaTheme="minorHAnsi"/>
          <w:b/>
          <w:sz w:val="22"/>
          <w:szCs w:val="22"/>
          <w:lang w:val="lt-LT" w:eastAsia="en-US"/>
        </w:rPr>
      </w:pPr>
      <w:r>
        <w:rPr>
          <w:b/>
          <w:sz w:val="22"/>
          <w:szCs w:val="22"/>
        </w:rPr>
        <w:t>Toliau nurodytas šalutinis poveikis pasireiškė artritu sergantiems pacientams, kurie vartojo Aclexa. Toliau išvardytas žvaigždute (*) pažymėtas šalutinis poveikis dažniau pasireiškė pacientams, kurie Aclexa vartojo gaubtinės žarnos polipų profilaktikai. Šių tyrimų metu pacientai vartojo dideles Aclexa dozes ilgą laiką.</w:t>
      </w:r>
    </w:p>
    <w:p w14:paraId="65D0A0CB" w14:textId="77777777" w:rsidR="009A7DBF" w:rsidRDefault="009A7DBF">
      <w:pPr>
        <w:widowControl w:val="0"/>
        <w:rPr>
          <w:sz w:val="22"/>
          <w:szCs w:val="22"/>
        </w:rPr>
      </w:pPr>
    </w:p>
    <w:p w14:paraId="0FB57FAA" w14:textId="77777777" w:rsidR="009A7DBF" w:rsidRDefault="003F4922">
      <w:pPr>
        <w:widowControl w:val="0"/>
        <w:outlineLvl w:val="0"/>
        <w:rPr>
          <w:rFonts w:eastAsiaTheme="minorHAnsi"/>
          <w:b/>
          <w:sz w:val="22"/>
          <w:szCs w:val="22"/>
          <w:lang w:val="lt-LT" w:eastAsia="en-US"/>
        </w:rPr>
      </w:pPr>
      <w:r>
        <w:rPr>
          <w:b/>
          <w:sz w:val="22"/>
          <w:szCs w:val="22"/>
        </w:rPr>
        <w:t>Jeigu pasireiškia bet kuri iš išvardytų būklių, nedelsdami nutraukite Aclexa vartojimą ir kreipkitės į gydytoją.</w:t>
      </w:r>
    </w:p>
    <w:p w14:paraId="40EF5029" w14:textId="77777777" w:rsidR="009A7DBF" w:rsidRDefault="003F4922">
      <w:pPr>
        <w:widowControl w:val="0"/>
        <w:outlineLvl w:val="0"/>
        <w:rPr>
          <w:rFonts w:eastAsiaTheme="minorHAnsi"/>
          <w:b/>
          <w:sz w:val="22"/>
          <w:szCs w:val="22"/>
          <w:lang w:val="lt-LT" w:eastAsia="en-US"/>
        </w:rPr>
      </w:pPr>
      <w:r>
        <w:rPr>
          <w:b/>
          <w:sz w:val="22"/>
          <w:szCs w:val="22"/>
        </w:rPr>
        <w:t>Jeigu pasireiškia:</w:t>
      </w:r>
    </w:p>
    <w:p w14:paraId="37E2FF99"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alerginė reakcija, pavyzdžiui, odos išbėrimas, veido patinimas, švokštimas arba kvėpavimo pasunkėjimas;</w:t>
      </w:r>
    </w:p>
    <w:p w14:paraId="1A746E18"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širdies sutrikimas, pavyzdžiui, krūtinės skausmas;</w:t>
      </w:r>
    </w:p>
    <w:p w14:paraId="7FB05C91"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stiprus pilvo skausmas arba atsirado kraujavimo iš skrandžio arba žarnyno požymių, pavyzdžiui, tuštinatės juodomis ar kruvinomis išmatomis arba vemiate krauju;</w:t>
      </w:r>
    </w:p>
    <w:p w14:paraId="2BDC1C51"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odos reakcija, pavyzdžiui, odos išbėrimas, pūslėtumas ar lupimasis;</w:t>
      </w:r>
    </w:p>
    <w:p w14:paraId="363709CC"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kepenų nepakankamumas, kurio galimi simptomai yra pykinimas (šleikštulys), viduriavimas ir gelta (odos arba akių baltymų pageltimas).</w:t>
      </w:r>
    </w:p>
    <w:p w14:paraId="787F9DB0" w14:textId="77777777" w:rsidR="009A7DBF" w:rsidRDefault="009A7DBF">
      <w:pPr>
        <w:widowControl w:val="0"/>
        <w:ind w:left="540" w:hanging="540"/>
        <w:rPr>
          <w:sz w:val="22"/>
          <w:szCs w:val="22"/>
        </w:rPr>
      </w:pPr>
    </w:p>
    <w:p w14:paraId="475694D7" w14:textId="08AA2224" w:rsidR="009A7DBF" w:rsidRDefault="004C199D">
      <w:pPr>
        <w:widowControl w:val="0"/>
        <w:numPr>
          <w:ilvl w:val="0"/>
          <w:numId w:val="28"/>
        </w:numPr>
        <w:ind w:left="567" w:hanging="567"/>
        <w:outlineLvl w:val="0"/>
        <w:rPr>
          <w:sz w:val="22"/>
          <w:szCs w:val="22"/>
        </w:rPr>
      </w:pPr>
      <w:r w:rsidRPr="004C199D">
        <w:rPr>
          <w:b/>
          <w:bCs/>
          <w:sz w:val="22"/>
          <w:szCs w:val="22"/>
          <w:lang w:eastAsia="lt-LT"/>
        </w:rPr>
        <w:t xml:space="preserve"> </w:t>
      </w:r>
      <w:r w:rsidRPr="00AF4725">
        <w:rPr>
          <w:b/>
          <w:bCs/>
          <w:sz w:val="22"/>
          <w:szCs w:val="22"/>
          <w:lang w:eastAsia="lt-LT"/>
        </w:rPr>
        <w:t>Labai dažni šalutinio poveikio reiškiniai (gali pasireikšti ne rečiau kaip 1 iš 10 asmenų</w:t>
      </w:r>
      <w:r>
        <w:rPr>
          <w:b/>
          <w:bCs/>
          <w:sz w:val="22"/>
          <w:szCs w:val="22"/>
          <w:lang w:eastAsia="lt-LT"/>
        </w:rPr>
        <w:t>):</w:t>
      </w:r>
      <w:r w:rsidR="003F4922">
        <w:rPr>
          <w:sz w:val="22"/>
          <w:szCs w:val="22"/>
        </w:rPr>
        <w:t>aukštas kraujospūdis, įskaitant esamo aukšto kraujospūdžio pasunkėjimą.</w:t>
      </w:r>
    </w:p>
    <w:p w14:paraId="5F98E41B" w14:textId="77777777" w:rsidR="009A7DBF" w:rsidRDefault="009A7DBF">
      <w:pPr>
        <w:widowControl w:val="0"/>
        <w:rPr>
          <w:sz w:val="22"/>
          <w:szCs w:val="22"/>
        </w:rPr>
      </w:pPr>
    </w:p>
    <w:p w14:paraId="7E525F37" w14:textId="695D8773" w:rsidR="009A7DBF" w:rsidRDefault="0042487C">
      <w:pPr>
        <w:widowControl w:val="0"/>
        <w:numPr>
          <w:ilvl w:val="0"/>
          <w:numId w:val="21"/>
        </w:numPr>
        <w:ind w:left="567" w:hanging="567"/>
        <w:contextualSpacing/>
        <w:rPr>
          <w:rFonts w:eastAsiaTheme="minorHAnsi"/>
          <w:sz w:val="22"/>
          <w:szCs w:val="22"/>
          <w:lang w:val="lt-LT" w:eastAsia="en-US"/>
        </w:rPr>
      </w:pPr>
      <w:r w:rsidRPr="0042487C">
        <w:rPr>
          <w:b/>
          <w:bCs/>
          <w:sz w:val="22"/>
          <w:szCs w:val="22"/>
          <w:lang w:eastAsia="lt-LT"/>
        </w:rPr>
        <w:t xml:space="preserve"> </w:t>
      </w:r>
      <w:r w:rsidRPr="002148E5">
        <w:rPr>
          <w:b/>
          <w:bCs/>
          <w:sz w:val="22"/>
          <w:szCs w:val="22"/>
          <w:lang w:eastAsia="lt-LT"/>
        </w:rPr>
        <w:t>Dažni šalutinio poveikio reiškiniai (gali pasireikšti rečiau kaip 1 iš 10 asmenų):</w:t>
      </w:r>
      <w:r w:rsidR="003F4922">
        <w:rPr>
          <w:sz w:val="22"/>
          <w:szCs w:val="22"/>
        </w:rPr>
        <w:t>širdies priepuolis*;</w:t>
      </w:r>
    </w:p>
    <w:p w14:paraId="391BAFA6"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skysčių kaupimasis organizme, dėl kurio patinsta kulkšnys, kojos ir (arba) plaštakos;</w:t>
      </w:r>
    </w:p>
    <w:p w14:paraId="762E5815"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šlapimo takų infekcija;</w:t>
      </w:r>
    </w:p>
    <w:p w14:paraId="6AF6033B"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kvėpavimo pasunkėjimas*, sinusitas (nosies ančių uždegimas, nosies ančių infekcija, nosies ančių užsikimšimas ar skausmingumas), nosies užsikimšimas ar bėgimas, gerklės skausmas, kosulys, peršalimas, į gripą panašūs simptomai;</w:t>
      </w:r>
    </w:p>
    <w:p w14:paraId="7AE6D3F5"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svaigulys, miego sutrikimai;</w:t>
      </w:r>
    </w:p>
    <w:p w14:paraId="045E6301"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vėmimas*, pilvo skausmas, viduriavimas, virškinimo sutrikimas, vidurių pūtimas;</w:t>
      </w:r>
    </w:p>
    <w:p w14:paraId="3408E0BA"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išbėrimas, niežulys;</w:t>
      </w:r>
    </w:p>
    <w:p w14:paraId="53A1FE5C"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raumenų sąstingis;</w:t>
      </w:r>
    </w:p>
    <w:p w14:paraId="08A7F182"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rijimo pasunkėjimas*;</w:t>
      </w:r>
    </w:p>
    <w:p w14:paraId="2DE8B2CA" w14:textId="77777777" w:rsidR="009A7DBF" w:rsidRDefault="003F4922">
      <w:pPr>
        <w:numPr>
          <w:ilvl w:val="0"/>
          <w:numId w:val="21"/>
        </w:numPr>
        <w:ind w:left="567" w:hanging="567"/>
        <w:contextualSpacing/>
        <w:rPr>
          <w:rFonts w:eastAsia="Calibri"/>
          <w:sz w:val="22"/>
          <w:szCs w:val="22"/>
        </w:rPr>
      </w:pPr>
      <w:r>
        <w:rPr>
          <w:rFonts w:eastAsia="Calibri"/>
          <w:sz w:val="22"/>
          <w:szCs w:val="22"/>
        </w:rPr>
        <w:t>galvos skausmas;</w:t>
      </w:r>
    </w:p>
    <w:p w14:paraId="531FA974" w14:textId="77777777" w:rsidR="009A7DBF" w:rsidRDefault="003F4922">
      <w:pPr>
        <w:numPr>
          <w:ilvl w:val="0"/>
          <w:numId w:val="21"/>
        </w:numPr>
        <w:ind w:left="567" w:hanging="567"/>
        <w:contextualSpacing/>
        <w:rPr>
          <w:rFonts w:eastAsia="Calibri"/>
          <w:sz w:val="22"/>
          <w:szCs w:val="22"/>
        </w:rPr>
      </w:pPr>
      <w:r>
        <w:rPr>
          <w:rFonts w:eastAsia="Calibri"/>
          <w:sz w:val="22"/>
          <w:szCs w:val="22"/>
        </w:rPr>
        <w:t>pykinimas (šleikštulys);</w:t>
      </w:r>
    </w:p>
    <w:p w14:paraId="00B49838" w14:textId="77777777" w:rsidR="009A7DBF" w:rsidRDefault="003F4922">
      <w:pPr>
        <w:numPr>
          <w:ilvl w:val="0"/>
          <w:numId w:val="21"/>
        </w:numPr>
        <w:ind w:left="567" w:hanging="567"/>
        <w:contextualSpacing/>
        <w:rPr>
          <w:rFonts w:eastAsia="Calibri"/>
          <w:sz w:val="22"/>
          <w:szCs w:val="22"/>
        </w:rPr>
      </w:pPr>
      <w:r>
        <w:rPr>
          <w:rFonts w:eastAsia="Calibri"/>
          <w:sz w:val="22"/>
          <w:szCs w:val="22"/>
        </w:rPr>
        <w:t>sąnarių skausmas;</w:t>
      </w:r>
    </w:p>
    <w:p w14:paraId="2B403DFD"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esamos alergijos pasunkėjimas;</w:t>
      </w:r>
    </w:p>
    <w:p w14:paraId="5A96DBBE" w14:textId="77777777" w:rsidR="009A7DBF" w:rsidRDefault="003F4922">
      <w:pPr>
        <w:widowControl w:val="0"/>
        <w:numPr>
          <w:ilvl w:val="0"/>
          <w:numId w:val="21"/>
        </w:numPr>
        <w:ind w:left="567" w:hanging="567"/>
        <w:contextualSpacing/>
        <w:rPr>
          <w:sz w:val="22"/>
          <w:szCs w:val="22"/>
        </w:rPr>
      </w:pPr>
      <w:r>
        <w:rPr>
          <w:sz w:val="22"/>
          <w:szCs w:val="22"/>
        </w:rPr>
        <w:t>atsitiktinis susižalojimas.</w:t>
      </w:r>
    </w:p>
    <w:p w14:paraId="6878DC47" w14:textId="77777777" w:rsidR="009A7DBF" w:rsidRDefault="009A7DBF">
      <w:pPr>
        <w:widowControl w:val="0"/>
        <w:rPr>
          <w:sz w:val="22"/>
          <w:szCs w:val="22"/>
        </w:rPr>
      </w:pPr>
    </w:p>
    <w:p w14:paraId="58E4AB79" w14:textId="716BDAF8" w:rsidR="009A7DBF" w:rsidRDefault="007C170D">
      <w:pPr>
        <w:widowControl w:val="0"/>
        <w:numPr>
          <w:ilvl w:val="0"/>
          <w:numId w:val="21"/>
        </w:numPr>
        <w:ind w:left="567" w:hanging="567"/>
        <w:contextualSpacing/>
        <w:rPr>
          <w:rFonts w:eastAsiaTheme="minorHAnsi"/>
          <w:sz w:val="22"/>
          <w:szCs w:val="22"/>
          <w:lang w:val="lt-LT" w:eastAsia="en-US"/>
        </w:rPr>
      </w:pPr>
      <w:r w:rsidRPr="007C170D">
        <w:rPr>
          <w:b/>
          <w:bCs/>
          <w:sz w:val="22"/>
          <w:szCs w:val="22"/>
          <w:lang w:eastAsia="lt-LT"/>
        </w:rPr>
        <w:t xml:space="preserve"> </w:t>
      </w:r>
      <w:r w:rsidRPr="002148E5">
        <w:rPr>
          <w:b/>
          <w:bCs/>
          <w:sz w:val="22"/>
          <w:szCs w:val="22"/>
          <w:lang w:eastAsia="lt-LT"/>
        </w:rPr>
        <w:t>Nedažni šalutinio poveikio reiškiniai (gali pasireikšti rečiau kaip 1 iš 100 asmenų):</w:t>
      </w:r>
      <w:r w:rsidR="003F4922">
        <w:rPr>
          <w:sz w:val="22"/>
          <w:szCs w:val="22"/>
        </w:rPr>
        <w:t>insultas*;</w:t>
      </w:r>
    </w:p>
    <w:p w14:paraId="57932AD4"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širdies nepakankamumas, juntamas širdies plakimas (palpitacija), dažnas širdies plakimas;</w:t>
      </w:r>
    </w:p>
    <w:p w14:paraId="43DEFA1B"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nenormalūs kepenų funkciją rodantys kraujo tyrimų rodmenys;</w:t>
      </w:r>
    </w:p>
    <w:p w14:paraId="5C2DB7A5"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nenormalūs inkstų funkciją rodantys kraujo tyrimų rodmenys;</w:t>
      </w:r>
    </w:p>
    <w:p w14:paraId="60EB2CFA"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mažakraujystė (raudonųjų kraujo ląstelių kiekio kraujyje pokyčiai, dėl kurių gali pasireikšti nuovargis ar dusulys);</w:t>
      </w:r>
    </w:p>
    <w:p w14:paraId="39294C36"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nerimas, depresija, nuovargis, mieguistumas, dilgčiojimo pojūtis (dilgčiojimas ir badymas);</w:t>
      </w:r>
    </w:p>
    <w:p w14:paraId="005D81D9"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kraujo tyrimais nustatomas kalio kiekio padidėjimas (dėl to gali pasireikšti pykinimas (šleikštulys), nuovargis, raumenų silpnumas ar palpitacija);</w:t>
      </w:r>
    </w:p>
    <w:p w14:paraId="1E4B0739"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regėjimo sutrikimas ar matymas lyg pro miglą, ūžesys (skambėjimas ausyse), burnos skausmas ir opos, klausos sutrikimas*;</w:t>
      </w:r>
    </w:p>
    <w:p w14:paraId="3F60E1B0"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 xml:space="preserve">vidurių užkietėjimas, atsirūgimas, skrandžio uždegimas (nevirškinimas, pilvo skausmas ar </w:t>
      </w:r>
      <w:r>
        <w:rPr>
          <w:sz w:val="22"/>
          <w:szCs w:val="22"/>
        </w:rPr>
        <w:lastRenderedPageBreak/>
        <w:t>vėmimas), skrandžio ar žarnų uždegimo pasunkėjimas;</w:t>
      </w:r>
    </w:p>
    <w:p w14:paraId="02BEE5D9"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kojų mėšlungis;</w:t>
      </w:r>
    </w:p>
    <w:p w14:paraId="70845F31"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iškilusis išbėrimas su niežuliu (dilgėlinė)‘</w:t>
      </w:r>
    </w:p>
    <w:p w14:paraId="2144BED6" w14:textId="77777777" w:rsidR="009A7DBF" w:rsidRDefault="003F4922">
      <w:pPr>
        <w:numPr>
          <w:ilvl w:val="0"/>
          <w:numId w:val="21"/>
        </w:numPr>
        <w:ind w:left="567" w:hanging="567"/>
        <w:contextualSpacing/>
        <w:rPr>
          <w:rFonts w:eastAsia="Calibri"/>
          <w:sz w:val="22"/>
          <w:szCs w:val="22"/>
        </w:rPr>
      </w:pPr>
      <w:r>
        <w:rPr>
          <w:rFonts w:eastAsia="Calibri"/>
          <w:sz w:val="22"/>
          <w:szCs w:val="22"/>
        </w:rPr>
        <w:t>akių uždegimas;</w:t>
      </w:r>
    </w:p>
    <w:p w14:paraId="6559CEAA" w14:textId="77777777" w:rsidR="009A7DBF" w:rsidRDefault="003F4922">
      <w:pPr>
        <w:numPr>
          <w:ilvl w:val="0"/>
          <w:numId w:val="21"/>
        </w:numPr>
        <w:ind w:left="567" w:hanging="567"/>
        <w:contextualSpacing/>
        <w:rPr>
          <w:rFonts w:eastAsia="Calibri"/>
          <w:sz w:val="22"/>
          <w:szCs w:val="22"/>
        </w:rPr>
      </w:pPr>
      <w:r>
        <w:rPr>
          <w:rFonts w:eastAsia="Calibri"/>
          <w:sz w:val="22"/>
          <w:szCs w:val="22"/>
        </w:rPr>
        <w:t>pasunkėjęs kvėpavimas;</w:t>
      </w:r>
    </w:p>
    <w:p w14:paraId="415A2F11" w14:textId="77777777" w:rsidR="009A7DBF" w:rsidRDefault="003F4922">
      <w:pPr>
        <w:numPr>
          <w:ilvl w:val="0"/>
          <w:numId w:val="21"/>
        </w:numPr>
        <w:ind w:left="567" w:hanging="567"/>
        <w:contextualSpacing/>
        <w:rPr>
          <w:rFonts w:eastAsia="Calibri"/>
          <w:sz w:val="22"/>
          <w:szCs w:val="22"/>
        </w:rPr>
      </w:pPr>
      <w:r>
        <w:rPr>
          <w:rFonts w:eastAsia="Calibri"/>
          <w:sz w:val="22"/>
          <w:szCs w:val="22"/>
        </w:rPr>
        <w:t>odos spalvos pokytis (kraujosruvos);</w:t>
      </w:r>
    </w:p>
    <w:p w14:paraId="3BCC7AD0" w14:textId="77777777" w:rsidR="009A7DBF" w:rsidRDefault="003F4922">
      <w:pPr>
        <w:numPr>
          <w:ilvl w:val="0"/>
          <w:numId w:val="21"/>
        </w:numPr>
        <w:ind w:left="567" w:hanging="567"/>
        <w:contextualSpacing/>
        <w:rPr>
          <w:rFonts w:eastAsia="Calibri"/>
          <w:sz w:val="22"/>
          <w:szCs w:val="22"/>
        </w:rPr>
      </w:pPr>
      <w:r>
        <w:rPr>
          <w:rFonts w:eastAsia="Calibri"/>
          <w:sz w:val="22"/>
          <w:szCs w:val="22"/>
        </w:rPr>
        <w:t>krūtinės skausmas (išplitęs skausmas nesusijęs su širdimi);</w:t>
      </w:r>
    </w:p>
    <w:p w14:paraId="2E905D06" w14:textId="77777777" w:rsidR="009A7DBF" w:rsidRDefault="003F4922">
      <w:pPr>
        <w:numPr>
          <w:ilvl w:val="0"/>
          <w:numId w:val="21"/>
        </w:numPr>
        <w:ind w:left="567" w:hanging="567"/>
        <w:contextualSpacing/>
        <w:rPr>
          <w:rFonts w:eastAsia="Calibri"/>
          <w:sz w:val="22"/>
          <w:szCs w:val="22"/>
        </w:rPr>
      </w:pPr>
      <w:r>
        <w:rPr>
          <w:rFonts w:eastAsia="Calibri"/>
          <w:sz w:val="22"/>
          <w:szCs w:val="22"/>
        </w:rPr>
        <w:t>veido patinimas.</w:t>
      </w:r>
    </w:p>
    <w:p w14:paraId="734D7263" w14:textId="77777777" w:rsidR="009A7DBF" w:rsidRDefault="009A7DBF">
      <w:pPr>
        <w:widowControl w:val="0"/>
        <w:jc w:val="both"/>
        <w:rPr>
          <w:b/>
          <w:sz w:val="22"/>
          <w:szCs w:val="22"/>
        </w:rPr>
      </w:pPr>
    </w:p>
    <w:p w14:paraId="5887E7D1" w14:textId="403977DC" w:rsidR="009A7DBF" w:rsidRDefault="00E4295D">
      <w:pPr>
        <w:widowControl w:val="0"/>
        <w:numPr>
          <w:ilvl w:val="0"/>
          <w:numId w:val="26"/>
        </w:numPr>
        <w:ind w:left="567" w:hanging="567"/>
        <w:jc w:val="both"/>
        <w:outlineLvl w:val="0"/>
        <w:rPr>
          <w:rFonts w:eastAsiaTheme="minorHAnsi"/>
          <w:sz w:val="22"/>
          <w:szCs w:val="22"/>
          <w:lang w:val="lt-LT" w:eastAsia="en-US"/>
        </w:rPr>
      </w:pPr>
      <w:r w:rsidRPr="00E4295D">
        <w:rPr>
          <w:b/>
          <w:bCs/>
          <w:sz w:val="22"/>
          <w:szCs w:val="22"/>
          <w:lang w:eastAsia="lt-LT"/>
        </w:rPr>
        <w:t xml:space="preserve"> </w:t>
      </w:r>
      <w:r w:rsidRPr="002148E5">
        <w:rPr>
          <w:b/>
          <w:bCs/>
          <w:sz w:val="22"/>
          <w:szCs w:val="22"/>
          <w:lang w:eastAsia="lt-LT"/>
        </w:rPr>
        <w:t>Reti šalutinio poveikio reiškiniai (gali pasireikšti rečiau kaip 1 iš 1 000 asmenų):</w:t>
      </w:r>
      <w:r w:rsidR="003F4922">
        <w:rPr>
          <w:sz w:val="22"/>
          <w:szCs w:val="22"/>
        </w:rPr>
        <w:t>skrandžio, stemplės ar žarnų opos (kraujuojančios) arba žarnų prakiurimas (gali sukelti pilvo skausmą, karščiavimą, pykinimą, vėmimą, žarnų užsikimšimą), tamsios ar juodos spalvos išmatos, kasos uždegimas (gali sukelti pilvo skausmą</w:t>
      </w:r>
      <w:r w:rsidR="003F4922">
        <w:rPr>
          <w:bCs/>
          <w:sz w:val="22"/>
          <w:szCs w:val="22"/>
        </w:rPr>
        <w:t>), stemplės uždegimas (ezofagitas</w:t>
      </w:r>
      <w:r w:rsidR="003F4922">
        <w:rPr>
          <w:sz w:val="22"/>
          <w:szCs w:val="22"/>
        </w:rPr>
        <w:t>);</w:t>
      </w:r>
    </w:p>
    <w:p w14:paraId="70D53389" w14:textId="77777777" w:rsidR="009A7DBF" w:rsidRDefault="003F4922">
      <w:pPr>
        <w:numPr>
          <w:ilvl w:val="0"/>
          <w:numId w:val="26"/>
        </w:numPr>
        <w:spacing w:line="276" w:lineRule="auto"/>
        <w:ind w:left="567" w:hanging="567"/>
        <w:contextualSpacing/>
        <w:rPr>
          <w:bCs/>
          <w:sz w:val="22"/>
          <w:szCs w:val="22"/>
        </w:rPr>
      </w:pPr>
      <w:r>
        <w:rPr>
          <w:bCs/>
          <w:sz w:val="22"/>
          <w:szCs w:val="22"/>
        </w:rPr>
        <w:t>mažas natrio kiekis kraujyje (būklė vadinama hiponatremija);</w:t>
      </w:r>
    </w:p>
    <w:p w14:paraId="3E26FD37"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baltųjų kraujo ląstelių (jos padeda organizmui apsisaugoti nuo infekcijos) ir kraujo plokštelių kiekio sumažėjimas (padidėja kraujavimo ir mėlynių atsiradimo tikimybė);</w:t>
      </w:r>
    </w:p>
    <w:p w14:paraId="78CCF6ED"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raumenų judesių koordinacijos sutrikimas;</w:t>
      </w:r>
    </w:p>
    <w:p w14:paraId="6A29DB08"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minčių susipainiojimo pojūtis, skonio pojūčio pokyčiai;</w:t>
      </w:r>
    </w:p>
    <w:p w14:paraId="62C4A256"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jautrumo šviesai padidėjimas;</w:t>
      </w:r>
    </w:p>
    <w:p w14:paraId="2C94B4AE"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nuplikimas;</w:t>
      </w:r>
    </w:p>
    <w:p w14:paraId="5FE43F37" w14:textId="77777777" w:rsidR="009A7DBF" w:rsidRDefault="003F4922">
      <w:pPr>
        <w:numPr>
          <w:ilvl w:val="0"/>
          <w:numId w:val="21"/>
        </w:numPr>
        <w:ind w:left="567" w:hanging="567"/>
        <w:contextualSpacing/>
        <w:rPr>
          <w:rFonts w:eastAsia="Calibri"/>
          <w:sz w:val="22"/>
          <w:szCs w:val="22"/>
        </w:rPr>
      </w:pPr>
      <w:r>
        <w:rPr>
          <w:rFonts w:eastAsia="Calibri"/>
          <w:sz w:val="22"/>
          <w:szCs w:val="22"/>
        </w:rPr>
        <w:t>haliucinacijos;</w:t>
      </w:r>
    </w:p>
    <w:p w14:paraId="525A102C" w14:textId="77777777" w:rsidR="009A7DBF" w:rsidRDefault="003F4922">
      <w:pPr>
        <w:numPr>
          <w:ilvl w:val="0"/>
          <w:numId w:val="21"/>
        </w:numPr>
        <w:ind w:left="567" w:hanging="567"/>
        <w:contextualSpacing/>
        <w:rPr>
          <w:rFonts w:eastAsia="Calibri"/>
          <w:sz w:val="22"/>
          <w:szCs w:val="22"/>
        </w:rPr>
      </w:pPr>
      <w:r>
        <w:rPr>
          <w:rFonts w:eastAsia="Calibri"/>
          <w:sz w:val="22"/>
          <w:szCs w:val="22"/>
        </w:rPr>
        <w:t>kraujavimas į akį;</w:t>
      </w:r>
    </w:p>
    <w:p w14:paraId="642B571A" w14:textId="77777777" w:rsidR="009A7DBF" w:rsidRDefault="003F4922">
      <w:pPr>
        <w:numPr>
          <w:ilvl w:val="0"/>
          <w:numId w:val="21"/>
        </w:numPr>
        <w:ind w:left="567" w:hanging="567"/>
        <w:contextualSpacing/>
        <w:rPr>
          <w:rFonts w:eastAsia="Calibri"/>
          <w:sz w:val="22"/>
          <w:szCs w:val="22"/>
        </w:rPr>
      </w:pPr>
      <w:r>
        <w:rPr>
          <w:rFonts w:eastAsia="Calibri"/>
          <w:sz w:val="22"/>
          <w:szCs w:val="22"/>
        </w:rPr>
        <w:t>ūminė reakcija, galinti sukelti plaučių uždegimą;</w:t>
      </w:r>
    </w:p>
    <w:p w14:paraId="6DB96898" w14:textId="77777777" w:rsidR="009A7DBF" w:rsidRDefault="003F4922">
      <w:pPr>
        <w:numPr>
          <w:ilvl w:val="0"/>
          <w:numId w:val="21"/>
        </w:numPr>
        <w:ind w:left="567" w:hanging="567"/>
        <w:contextualSpacing/>
        <w:rPr>
          <w:rFonts w:eastAsia="Calibri"/>
          <w:sz w:val="22"/>
          <w:szCs w:val="22"/>
        </w:rPr>
      </w:pPr>
      <w:r>
        <w:rPr>
          <w:rFonts w:eastAsia="Calibri"/>
          <w:sz w:val="22"/>
          <w:szCs w:val="22"/>
        </w:rPr>
        <w:t>nereguliarus širdies plakimas;</w:t>
      </w:r>
    </w:p>
    <w:p w14:paraId="7CEE7B7D" w14:textId="77777777" w:rsidR="009A7DBF" w:rsidRDefault="003F4922">
      <w:pPr>
        <w:numPr>
          <w:ilvl w:val="0"/>
          <w:numId w:val="21"/>
        </w:numPr>
        <w:ind w:left="567" w:hanging="567"/>
        <w:contextualSpacing/>
        <w:rPr>
          <w:rFonts w:eastAsia="Calibri"/>
          <w:sz w:val="22"/>
          <w:szCs w:val="22"/>
        </w:rPr>
      </w:pPr>
      <w:r>
        <w:rPr>
          <w:rFonts w:eastAsia="Calibri"/>
          <w:sz w:val="22"/>
          <w:szCs w:val="22"/>
        </w:rPr>
        <w:t>veido ir kaklo paraudimas;</w:t>
      </w:r>
    </w:p>
    <w:p w14:paraId="64045661" w14:textId="77777777" w:rsidR="009A7DBF" w:rsidRDefault="003F4922">
      <w:pPr>
        <w:pStyle w:val="Sraopastraipa"/>
        <w:numPr>
          <w:ilvl w:val="0"/>
          <w:numId w:val="21"/>
        </w:numPr>
        <w:spacing w:after="0" w:line="240" w:lineRule="auto"/>
        <w:ind w:left="567" w:hanging="567"/>
        <w:rPr>
          <w:rFonts w:ascii="Times New Roman" w:hAnsi="Times New Roman" w:cs="Times New Roman"/>
        </w:rPr>
      </w:pPr>
      <w:r>
        <w:rPr>
          <w:rFonts w:ascii="Times New Roman" w:hAnsi="Times New Roman" w:cs="Times New Roman"/>
        </w:rPr>
        <w:t xml:space="preserve">kraujo krešuliai plaučių kraujagyslėse. Simptomai gali būti: staigus dusulys, aštrus skausmas įkvepiant arba </w:t>
      </w:r>
      <w:proofErr w:type="spellStart"/>
      <w:r>
        <w:rPr>
          <w:rFonts w:ascii="Times New Roman" w:hAnsi="Times New Roman" w:cs="Times New Roman"/>
        </w:rPr>
        <w:t>kolapsas</w:t>
      </w:r>
      <w:proofErr w:type="spellEnd"/>
      <w:r>
        <w:rPr>
          <w:rFonts w:ascii="Times New Roman" w:hAnsi="Times New Roman" w:cs="Times New Roman"/>
        </w:rPr>
        <w:t>;</w:t>
      </w:r>
    </w:p>
    <w:p w14:paraId="1572BDB4" w14:textId="77777777" w:rsidR="009A7DBF" w:rsidRDefault="003F4922">
      <w:pPr>
        <w:pStyle w:val="Sraopastraipa"/>
        <w:numPr>
          <w:ilvl w:val="0"/>
          <w:numId w:val="21"/>
        </w:numPr>
        <w:spacing w:after="0" w:line="240" w:lineRule="auto"/>
        <w:ind w:left="567" w:hanging="567"/>
        <w:rPr>
          <w:rFonts w:ascii="Times New Roman" w:hAnsi="Times New Roman" w:cs="Times New Roman"/>
        </w:rPr>
      </w:pPr>
      <w:r>
        <w:rPr>
          <w:rFonts w:ascii="Times New Roman" w:hAnsi="Times New Roman" w:cs="Times New Roman"/>
        </w:rPr>
        <w:t>kraujavimas iš skrandžio ar žarnų (dėl jo gali atsirasti kruvinų išmatų arba pasireikšti vėmimas), žarnų ar gaubtinės žarnos uždegimas;</w:t>
      </w:r>
    </w:p>
    <w:p w14:paraId="6DE45C88" w14:textId="77777777" w:rsidR="009A7DBF" w:rsidRDefault="003F4922">
      <w:pPr>
        <w:pStyle w:val="Sraopastraipa"/>
        <w:numPr>
          <w:ilvl w:val="0"/>
          <w:numId w:val="21"/>
        </w:numPr>
        <w:spacing w:after="0" w:line="240" w:lineRule="auto"/>
        <w:ind w:left="567" w:hanging="567"/>
        <w:rPr>
          <w:rFonts w:ascii="Times New Roman" w:hAnsi="Times New Roman" w:cs="Times New Roman"/>
        </w:rPr>
      </w:pPr>
      <w:r>
        <w:rPr>
          <w:rFonts w:ascii="Times New Roman" w:hAnsi="Times New Roman" w:cs="Times New Roman"/>
        </w:rPr>
        <w:t xml:space="preserve">sunkus kepenų uždegimas (hepatitas). Gali pasireikšti tokie simptomai: pykinimas (šleikštulys), viduriavimas, gelta (odos ar akių pageltimas), šlapimo patamsėjimas, išmatų pašviesėjimas, greičiau pasireiškiantis kraujavimas, niežulys arba </w:t>
      </w:r>
      <w:proofErr w:type="spellStart"/>
      <w:r>
        <w:rPr>
          <w:rFonts w:ascii="Times New Roman" w:hAnsi="Times New Roman" w:cs="Times New Roman"/>
        </w:rPr>
        <w:t>šaltkrėtis</w:t>
      </w:r>
      <w:proofErr w:type="spellEnd"/>
      <w:r>
        <w:rPr>
          <w:rFonts w:ascii="Times New Roman" w:hAnsi="Times New Roman" w:cs="Times New Roman"/>
        </w:rPr>
        <w:t>;</w:t>
      </w:r>
    </w:p>
    <w:p w14:paraId="6CBECBCF" w14:textId="77777777" w:rsidR="009A7DBF" w:rsidRDefault="003F4922">
      <w:pPr>
        <w:pStyle w:val="Sraopastraipa"/>
        <w:numPr>
          <w:ilvl w:val="0"/>
          <w:numId w:val="21"/>
        </w:numPr>
        <w:spacing w:after="0" w:line="240" w:lineRule="auto"/>
        <w:ind w:left="567" w:hanging="567"/>
        <w:rPr>
          <w:rFonts w:ascii="Times New Roman" w:hAnsi="Times New Roman" w:cs="Times New Roman"/>
        </w:rPr>
      </w:pPr>
      <w:r>
        <w:rPr>
          <w:rFonts w:ascii="Times New Roman" w:hAnsi="Times New Roman" w:cs="Times New Roman"/>
        </w:rPr>
        <w:t>ūmus inkstų nepakankamumas;</w:t>
      </w:r>
    </w:p>
    <w:p w14:paraId="6E9DAE85" w14:textId="77777777" w:rsidR="009A7DBF" w:rsidRDefault="003F4922">
      <w:pPr>
        <w:pStyle w:val="Sraopastraipa"/>
        <w:numPr>
          <w:ilvl w:val="0"/>
          <w:numId w:val="21"/>
        </w:numPr>
        <w:spacing w:after="0" w:line="240" w:lineRule="auto"/>
        <w:ind w:left="567" w:hanging="567"/>
        <w:rPr>
          <w:rFonts w:ascii="Times New Roman" w:hAnsi="Times New Roman" w:cs="Times New Roman"/>
        </w:rPr>
      </w:pPr>
      <w:r>
        <w:rPr>
          <w:rFonts w:ascii="Times New Roman" w:hAnsi="Times New Roman" w:cs="Times New Roman"/>
        </w:rPr>
        <w:t>mėnesinių sutrikimai;</w:t>
      </w:r>
    </w:p>
    <w:p w14:paraId="323D1AEE" w14:textId="77777777" w:rsidR="009A7DBF" w:rsidRDefault="003F4922">
      <w:pPr>
        <w:numPr>
          <w:ilvl w:val="0"/>
          <w:numId w:val="21"/>
        </w:numPr>
        <w:ind w:left="567" w:hanging="567"/>
        <w:contextualSpacing/>
        <w:rPr>
          <w:sz w:val="22"/>
          <w:szCs w:val="22"/>
        </w:rPr>
      </w:pPr>
      <w:r>
        <w:rPr>
          <w:sz w:val="22"/>
          <w:szCs w:val="22"/>
        </w:rPr>
        <w:t>veido, lūpų, burnos, liežuvio arba gerklės patinimas arba rijimo pasunkėjimas.</w:t>
      </w:r>
    </w:p>
    <w:p w14:paraId="6D3EE49D" w14:textId="77777777" w:rsidR="009A7DBF" w:rsidRDefault="009A7DBF">
      <w:pPr>
        <w:rPr>
          <w:sz w:val="22"/>
          <w:szCs w:val="22"/>
        </w:rPr>
      </w:pPr>
    </w:p>
    <w:p w14:paraId="33A42A49" w14:textId="6A024FB1" w:rsidR="009A7DBF" w:rsidRDefault="00F35B11">
      <w:pPr>
        <w:pStyle w:val="Sraopastraipa"/>
        <w:numPr>
          <w:ilvl w:val="1"/>
          <w:numId w:val="27"/>
        </w:numPr>
        <w:tabs>
          <w:tab w:val="left" w:pos="567"/>
        </w:tabs>
        <w:spacing w:after="0" w:line="240" w:lineRule="auto"/>
        <w:ind w:left="567" w:hanging="567"/>
        <w:rPr>
          <w:rFonts w:ascii="Times New Roman" w:hAnsi="Times New Roman" w:cs="Times New Roman"/>
        </w:rPr>
      </w:pPr>
      <w:r w:rsidRPr="00F35B11">
        <w:rPr>
          <w:b/>
          <w:bCs/>
          <w:lang w:eastAsia="lt-LT"/>
        </w:rPr>
        <w:t xml:space="preserve"> </w:t>
      </w:r>
      <w:r w:rsidRPr="002148E5">
        <w:rPr>
          <w:b/>
          <w:bCs/>
          <w:lang w:eastAsia="lt-LT"/>
        </w:rPr>
        <w:t>Labai reti šalutinio poveikio reiškiniai (gali pasireikšti rečiau kaip 1 iš 10 000 asmenų):</w:t>
      </w:r>
      <w:r w:rsidR="003F4922">
        <w:rPr>
          <w:rFonts w:ascii="Times New Roman" w:hAnsi="Times New Roman" w:cs="Times New Roman"/>
        </w:rPr>
        <w:t>sunkios alerginės reakcijos (įskaitant anafilaksinį šoką, kuris gali būti mirtinas);</w:t>
      </w:r>
    </w:p>
    <w:p w14:paraId="3BF702FE" w14:textId="77777777" w:rsidR="009A7DBF" w:rsidRDefault="003F4922">
      <w:pPr>
        <w:pStyle w:val="Sraopastraipa"/>
        <w:numPr>
          <w:ilvl w:val="1"/>
          <w:numId w:val="27"/>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 xml:space="preserve">sunkios odos būklės, tokios kaip </w:t>
      </w:r>
      <w:proofErr w:type="spellStart"/>
      <w:r>
        <w:rPr>
          <w:rFonts w:ascii="Times New Roman" w:hAnsi="Times New Roman" w:cs="Times New Roman"/>
        </w:rPr>
        <w:t>Stivenso</w:t>
      </w:r>
      <w:proofErr w:type="spellEnd"/>
      <w:r>
        <w:rPr>
          <w:rFonts w:ascii="Times New Roman" w:hAnsi="Times New Roman" w:cs="Times New Roman"/>
        </w:rPr>
        <w:t>-Džonsono (</w:t>
      </w:r>
      <w:proofErr w:type="spellStart"/>
      <w:r>
        <w:rPr>
          <w:rFonts w:ascii="Times New Roman" w:hAnsi="Times New Roman" w:cs="Times New Roman"/>
          <w:i/>
        </w:rPr>
        <w:t>Stevens-Johnson</w:t>
      </w:r>
      <w:proofErr w:type="spellEnd"/>
      <w:r>
        <w:rPr>
          <w:rFonts w:ascii="Times New Roman" w:hAnsi="Times New Roman" w:cs="Times New Roman"/>
        </w:rPr>
        <w:t xml:space="preserve">) sindromas, </w:t>
      </w:r>
      <w:proofErr w:type="spellStart"/>
      <w:r>
        <w:rPr>
          <w:rFonts w:ascii="Times New Roman" w:hAnsi="Times New Roman" w:cs="Times New Roman"/>
        </w:rPr>
        <w:t>eksfoliacinis</w:t>
      </w:r>
      <w:proofErr w:type="spellEnd"/>
      <w:r>
        <w:rPr>
          <w:rFonts w:ascii="Times New Roman" w:hAnsi="Times New Roman" w:cs="Times New Roman"/>
        </w:rPr>
        <w:t xml:space="preserve"> dermatitas, toksinė epidermio </w:t>
      </w:r>
      <w:proofErr w:type="spellStart"/>
      <w:r>
        <w:rPr>
          <w:rFonts w:ascii="Times New Roman" w:hAnsi="Times New Roman" w:cs="Times New Roman"/>
        </w:rPr>
        <w:t>nekrolizė</w:t>
      </w:r>
      <w:proofErr w:type="spellEnd"/>
      <w:r>
        <w:rPr>
          <w:rFonts w:ascii="Times New Roman" w:hAnsi="Times New Roman" w:cs="Times New Roman"/>
        </w:rPr>
        <w:t xml:space="preserve">, daugiaformė raudonė, </w:t>
      </w:r>
      <w:proofErr w:type="spellStart"/>
      <w:r>
        <w:rPr>
          <w:rFonts w:ascii="Times New Roman" w:hAnsi="Times New Roman" w:cs="Times New Roman"/>
        </w:rPr>
        <w:t>pūslinis</w:t>
      </w:r>
      <w:proofErr w:type="spellEnd"/>
      <w:r>
        <w:rPr>
          <w:rFonts w:ascii="Times New Roman" w:hAnsi="Times New Roman" w:cs="Times New Roman"/>
        </w:rPr>
        <w:t xml:space="preserve"> išbėrimas (gali sukelti odos išbėrimą, </w:t>
      </w:r>
      <w:proofErr w:type="spellStart"/>
      <w:r>
        <w:rPr>
          <w:rFonts w:ascii="Times New Roman" w:hAnsi="Times New Roman" w:cs="Times New Roman"/>
        </w:rPr>
        <w:t>pūslėtumą</w:t>
      </w:r>
      <w:proofErr w:type="spellEnd"/>
      <w:r>
        <w:rPr>
          <w:rFonts w:ascii="Times New Roman" w:hAnsi="Times New Roman" w:cs="Times New Roman"/>
        </w:rPr>
        <w:t xml:space="preserve"> ar lupimąsi) ir ūminė išplitusi </w:t>
      </w:r>
      <w:proofErr w:type="spellStart"/>
      <w:r>
        <w:rPr>
          <w:rFonts w:ascii="Times New Roman" w:hAnsi="Times New Roman" w:cs="Times New Roman"/>
        </w:rPr>
        <w:t>egzanteminė</w:t>
      </w:r>
      <w:proofErr w:type="spellEnd"/>
      <w:r>
        <w:rPr>
          <w:rFonts w:ascii="Times New Roman" w:hAnsi="Times New Roman" w:cs="Times New Roman"/>
        </w:rPr>
        <w:t xml:space="preserve"> </w:t>
      </w:r>
      <w:proofErr w:type="spellStart"/>
      <w:r>
        <w:rPr>
          <w:rFonts w:ascii="Times New Roman" w:hAnsi="Times New Roman" w:cs="Times New Roman"/>
        </w:rPr>
        <w:t>pustuliozė</w:t>
      </w:r>
      <w:proofErr w:type="spellEnd"/>
      <w:r>
        <w:rPr>
          <w:rFonts w:ascii="Times New Roman" w:hAnsi="Times New Roman" w:cs="Times New Roman"/>
        </w:rPr>
        <w:t xml:space="preserve"> (simptomai yra raudona, patinusi odos sritis su daugybiniais mažais pūliniais);</w:t>
      </w:r>
    </w:p>
    <w:p w14:paraId="0E3AA743" w14:textId="77777777" w:rsidR="009A7DBF" w:rsidRDefault="003F4922">
      <w:pPr>
        <w:pStyle w:val="Sraopastraipa"/>
        <w:numPr>
          <w:ilvl w:val="1"/>
          <w:numId w:val="27"/>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vėlyva alerginė reakcija, kurios galimi simptomai yra išbėrimas, veido patinimas, karščiavimas, liaukų patinimas ir nenormalūs tyrimų rodmenys (pvz., kepenų, kraujo ląstelių (</w:t>
      </w:r>
      <w:proofErr w:type="spellStart"/>
      <w:r>
        <w:rPr>
          <w:rFonts w:ascii="Times New Roman" w:hAnsi="Times New Roman" w:cs="Times New Roman"/>
        </w:rPr>
        <w:t>eozinofilija</w:t>
      </w:r>
      <w:proofErr w:type="spellEnd"/>
      <w:r>
        <w:rPr>
          <w:rFonts w:ascii="Times New Roman" w:hAnsi="Times New Roman" w:cs="Times New Roman"/>
        </w:rPr>
        <w:t>, tai baltųjų kraujo kūnelių kiekio padidėjimo tipas);</w:t>
      </w:r>
    </w:p>
    <w:p w14:paraId="7B2F78C6" w14:textId="77777777" w:rsidR="009A7DBF" w:rsidRDefault="003F4922">
      <w:pPr>
        <w:pStyle w:val="Sraopastraipa"/>
        <w:numPr>
          <w:ilvl w:val="1"/>
          <w:numId w:val="27"/>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mirtinas kraujavimas į smegenis;</w:t>
      </w:r>
    </w:p>
    <w:p w14:paraId="6739300D" w14:textId="77777777" w:rsidR="009A7DBF" w:rsidRDefault="003F4922">
      <w:pPr>
        <w:pStyle w:val="Sraopastraipa"/>
        <w:numPr>
          <w:ilvl w:val="1"/>
          <w:numId w:val="27"/>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meningitas (galvos ir nugaros smegenis gaubiančių dangalų uždegimas);</w:t>
      </w:r>
    </w:p>
    <w:p w14:paraId="17F540C3" w14:textId="77777777" w:rsidR="009A7DBF" w:rsidRDefault="003F4922">
      <w:pPr>
        <w:pStyle w:val="Sraopastraipa"/>
        <w:numPr>
          <w:ilvl w:val="1"/>
          <w:numId w:val="27"/>
        </w:numPr>
        <w:shd w:val="clear" w:color="auto" w:fill="FFFFFF"/>
        <w:tabs>
          <w:tab w:val="left" w:pos="567"/>
        </w:tabs>
        <w:spacing w:after="0" w:line="240" w:lineRule="auto"/>
        <w:ind w:left="567" w:hanging="567"/>
        <w:rPr>
          <w:rFonts w:ascii="Times New Roman" w:hAnsi="Times New Roman" w:cs="Times New Roman"/>
        </w:rPr>
      </w:pPr>
      <w:r>
        <w:rPr>
          <w:rFonts w:ascii="Times New Roman" w:hAnsi="Times New Roman" w:cs="Times New Roman"/>
        </w:rPr>
        <w:t xml:space="preserve">kepenų nepakankamumas, kepenų pažaida ir sunkus kepenų uždegimas (žaibinis hepatitas) (kartais mirtinas arba gali prireikti kepenų persodinimo). Gali pasireikšti tokie simptomai: pykinimas (šleikštulys), viduriavimas, gelta (odos ar akių pageltimas), šlapimo patamsėjimas, išmatų pašviesėjimas, greičiau pasireiškiantis kraujavimas, niežulys arba </w:t>
      </w:r>
      <w:proofErr w:type="spellStart"/>
      <w:r>
        <w:rPr>
          <w:rFonts w:ascii="Times New Roman" w:hAnsi="Times New Roman" w:cs="Times New Roman"/>
        </w:rPr>
        <w:t>šaltkrėtis</w:t>
      </w:r>
      <w:proofErr w:type="spellEnd"/>
      <w:r>
        <w:rPr>
          <w:rFonts w:ascii="Times New Roman" w:hAnsi="Times New Roman" w:cs="Times New Roman"/>
        </w:rPr>
        <w:t>;</w:t>
      </w:r>
    </w:p>
    <w:p w14:paraId="36C22ABE" w14:textId="77777777" w:rsidR="009A7DBF" w:rsidRDefault="003F4922">
      <w:pPr>
        <w:pStyle w:val="Sraopastraipa"/>
        <w:numPr>
          <w:ilvl w:val="1"/>
          <w:numId w:val="27"/>
        </w:numPr>
        <w:shd w:val="clear" w:color="auto" w:fill="FFFFFF"/>
        <w:tabs>
          <w:tab w:val="left" w:pos="567"/>
        </w:tabs>
        <w:spacing w:after="0" w:line="240" w:lineRule="auto"/>
        <w:ind w:left="567" w:hanging="567"/>
        <w:rPr>
          <w:rFonts w:ascii="Times New Roman" w:hAnsi="Times New Roman" w:cs="Times New Roman"/>
        </w:rPr>
      </w:pPr>
      <w:r>
        <w:rPr>
          <w:rFonts w:ascii="Times New Roman" w:hAnsi="Times New Roman" w:cs="Times New Roman"/>
        </w:rPr>
        <w:t xml:space="preserve">kepenų sutrikimai (tokie kaip </w:t>
      </w:r>
      <w:proofErr w:type="spellStart"/>
      <w:r>
        <w:rPr>
          <w:rFonts w:ascii="Times New Roman" w:hAnsi="Times New Roman" w:cs="Times New Roman"/>
        </w:rPr>
        <w:t>cholestazė</w:t>
      </w:r>
      <w:proofErr w:type="spellEnd"/>
      <w:r>
        <w:rPr>
          <w:rFonts w:ascii="Times New Roman" w:hAnsi="Times New Roman" w:cs="Times New Roman"/>
        </w:rPr>
        <w:t xml:space="preserve"> ir </w:t>
      </w:r>
      <w:proofErr w:type="spellStart"/>
      <w:r>
        <w:rPr>
          <w:rFonts w:ascii="Times New Roman" w:hAnsi="Times New Roman" w:cs="Times New Roman"/>
          <w:iCs/>
        </w:rPr>
        <w:t>cholestazinis</w:t>
      </w:r>
      <w:proofErr w:type="spellEnd"/>
      <w:r>
        <w:rPr>
          <w:rFonts w:ascii="Times New Roman" w:hAnsi="Times New Roman" w:cs="Times New Roman"/>
          <w:iCs/>
        </w:rPr>
        <w:t xml:space="preserve"> hepatitas</w:t>
      </w:r>
      <w:r>
        <w:rPr>
          <w:rFonts w:ascii="Times New Roman" w:hAnsi="Times New Roman" w:cs="Times New Roman"/>
        </w:rPr>
        <w:t>, kurie gali būti kartu su tokiais simptomais kaip pakitusi išmatų spalva, pykinimas ir odos arba akių pageltimas);</w:t>
      </w:r>
    </w:p>
    <w:p w14:paraId="51EE93D0" w14:textId="77777777" w:rsidR="009A7DBF" w:rsidRDefault="003F4922">
      <w:pPr>
        <w:pStyle w:val="Sraopastraipa"/>
        <w:numPr>
          <w:ilvl w:val="1"/>
          <w:numId w:val="27"/>
        </w:numPr>
        <w:shd w:val="clear" w:color="auto" w:fill="FFFFFF"/>
        <w:tabs>
          <w:tab w:val="left" w:pos="567"/>
        </w:tabs>
        <w:spacing w:after="0" w:line="240" w:lineRule="auto"/>
        <w:ind w:left="567" w:hanging="567"/>
        <w:rPr>
          <w:rFonts w:ascii="Times New Roman" w:hAnsi="Times New Roman" w:cs="Times New Roman"/>
        </w:rPr>
      </w:pPr>
      <w:r>
        <w:rPr>
          <w:rFonts w:ascii="Times New Roman" w:hAnsi="Times New Roman" w:cs="Times New Roman"/>
        </w:rPr>
        <w:t xml:space="preserve">inkstų uždegimas ir kiti inkstų sutrikimai (tokie kaip </w:t>
      </w:r>
      <w:proofErr w:type="spellStart"/>
      <w:r>
        <w:rPr>
          <w:rFonts w:ascii="Times New Roman" w:hAnsi="Times New Roman" w:cs="Times New Roman"/>
          <w:iCs/>
        </w:rPr>
        <w:t>nefrozinis</w:t>
      </w:r>
      <w:proofErr w:type="spellEnd"/>
      <w:r>
        <w:rPr>
          <w:rFonts w:ascii="Times New Roman" w:hAnsi="Times New Roman" w:cs="Times New Roman"/>
          <w:iCs/>
        </w:rPr>
        <w:t xml:space="preserve"> sindromas ir minimalių pokyčių liga, kuri gali būti kartu su tokiais simptomais kaip vandens susilaikymas organizme (edema), putotas šlapimas, nuovargis ir apetito praradimas);</w:t>
      </w:r>
    </w:p>
    <w:p w14:paraId="48A975C4" w14:textId="77777777" w:rsidR="009A7DBF" w:rsidRDefault="003F4922">
      <w:pPr>
        <w:pStyle w:val="Sraopastraipa"/>
        <w:numPr>
          <w:ilvl w:val="1"/>
          <w:numId w:val="27"/>
        </w:numPr>
        <w:tabs>
          <w:tab w:val="left" w:pos="567"/>
        </w:tabs>
        <w:spacing w:after="0" w:line="240" w:lineRule="auto"/>
        <w:ind w:left="567" w:hanging="567"/>
        <w:rPr>
          <w:rFonts w:ascii="Times New Roman" w:hAnsi="Times New Roman" w:cs="Times New Roman"/>
        </w:rPr>
      </w:pPr>
      <w:r>
        <w:rPr>
          <w:rFonts w:ascii="Times New Roman" w:hAnsi="Times New Roman" w:cs="Times New Roman"/>
        </w:rPr>
        <w:lastRenderedPageBreak/>
        <w:t>epilepsijos pasunkėjimas (gali padažnėti ir (arba) pasunkėti priepuoliai);</w:t>
      </w:r>
    </w:p>
    <w:p w14:paraId="2817CCED" w14:textId="77777777" w:rsidR="009A7DBF" w:rsidRDefault="003F4922">
      <w:pPr>
        <w:pStyle w:val="Sraopastraipa"/>
        <w:numPr>
          <w:ilvl w:val="1"/>
          <w:numId w:val="27"/>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akies arterijos arba venos užsikimšimas, dėl kurio pasireiškia dalinis arba visiškas apakimas;</w:t>
      </w:r>
    </w:p>
    <w:p w14:paraId="341D6914" w14:textId="77777777" w:rsidR="009A7DBF" w:rsidRDefault="003F4922">
      <w:pPr>
        <w:pStyle w:val="Sraopastraipa"/>
        <w:numPr>
          <w:ilvl w:val="1"/>
          <w:numId w:val="27"/>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kraujagyslių uždegimas (gali sukelti karščiavimą, skausmą, tamsiai raudonas dėmes odoje);</w:t>
      </w:r>
    </w:p>
    <w:p w14:paraId="6754FAF5" w14:textId="77777777" w:rsidR="009A7DBF" w:rsidRDefault="003F4922">
      <w:pPr>
        <w:pStyle w:val="Sraopastraipa"/>
        <w:numPr>
          <w:ilvl w:val="1"/>
          <w:numId w:val="27"/>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raudonųjų ir baltųjų kraujo kūnelių ir trombocitų kiekio sumažėjimas (dėl to gali pasireikšti nuovargis, greičiau atsirasti kraujosruvų, dažnai kraujuoti iš nosies ir padidėti infekcijos rizika);</w:t>
      </w:r>
    </w:p>
    <w:p w14:paraId="422C68EA" w14:textId="77777777" w:rsidR="009A7DBF" w:rsidRDefault="003F4922">
      <w:pPr>
        <w:pStyle w:val="Sraopastraipa"/>
        <w:numPr>
          <w:ilvl w:val="1"/>
          <w:numId w:val="27"/>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raumenų skausmas ir silpnumas;</w:t>
      </w:r>
    </w:p>
    <w:p w14:paraId="3CC19FAA" w14:textId="77777777" w:rsidR="009A7DBF" w:rsidRDefault="003F4922">
      <w:pPr>
        <w:pStyle w:val="Sraopastraipa"/>
        <w:numPr>
          <w:ilvl w:val="1"/>
          <w:numId w:val="27"/>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sutrikusi uoslė;</w:t>
      </w:r>
    </w:p>
    <w:p w14:paraId="6B17219C" w14:textId="77777777" w:rsidR="009A7DBF" w:rsidRDefault="003F4922">
      <w:pPr>
        <w:pStyle w:val="Sraopastraipa"/>
        <w:numPr>
          <w:ilvl w:val="1"/>
          <w:numId w:val="27"/>
        </w:numPr>
        <w:tabs>
          <w:tab w:val="left" w:pos="567"/>
        </w:tabs>
        <w:spacing w:after="0" w:line="240" w:lineRule="auto"/>
        <w:ind w:left="567" w:hanging="567"/>
        <w:rPr>
          <w:rFonts w:ascii="Times New Roman" w:hAnsi="Times New Roman" w:cs="Times New Roman"/>
        </w:rPr>
      </w:pPr>
      <w:r>
        <w:rPr>
          <w:rFonts w:ascii="Times New Roman" w:hAnsi="Times New Roman" w:cs="Times New Roman"/>
        </w:rPr>
        <w:t>skonio pojūčio praradimas.</w:t>
      </w:r>
    </w:p>
    <w:p w14:paraId="71714A3E" w14:textId="77777777" w:rsidR="009A7DBF" w:rsidRDefault="009A7DBF">
      <w:pPr>
        <w:widowControl w:val="0"/>
        <w:rPr>
          <w:sz w:val="22"/>
          <w:szCs w:val="22"/>
        </w:rPr>
      </w:pPr>
    </w:p>
    <w:p w14:paraId="28382258" w14:textId="354F74E2" w:rsidR="009A7DBF" w:rsidRDefault="008062B6">
      <w:pPr>
        <w:widowControl w:val="0"/>
        <w:numPr>
          <w:ilvl w:val="0"/>
          <w:numId w:val="17"/>
        </w:numPr>
        <w:ind w:left="567" w:hanging="567"/>
        <w:rPr>
          <w:bCs/>
          <w:sz w:val="22"/>
          <w:szCs w:val="22"/>
        </w:rPr>
      </w:pPr>
      <w:r w:rsidRPr="008062B6">
        <w:rPr>
          <w:b/>
          <w:bCs/>
          <w:sz w:val="22"/>
          <w:szCs w:val="22"/>
          <w:lang w:eastAsia="lt-LT"/>
        </w:rPr>
        <w:t xml:space="preserve"> </w:t>
      </w:r>
      <w:r w:rsidRPr="002148E5">
        <w:rPr>
          <w:b/>
          <w:bCs/>
          <w:sz w:val="22"/>
          <w:szCs w:val="22"/>
          <w:lang w:eastAsia="lt-LT"/>
        </w:rPr>
        <w:t>Šalutinio poveikio reiškiniai, kurių</w:t>
      </w:r>
      <w:r>
        <w:rPr>
          <w:b/>
          <w:bCs/>
          <w:sz w:val="22"/>
          <w:szCs w:val="22"/>
          <w:lang w:eastAsia="lt-LT"/>
        </w:rPr>
        <w:t xml:space="preserve"> </w:t>
      </w:r>
      <w:r w:rsidRPr="002148E5">
        <w:rPr>
          <w:b/>
          <w:bCs/>
          <w:sz w:val="22"/>
          <w:szCs w:val="22"/>
          <w:lang w:eastAsia="lt-LT"/>
        </w:rPr>
        <w:t>dažnis nežinomas (negali būti apskaičiuotas pagal turimus duomenis):</w:t>
      </w:r>
      <w:r w:rsidR="003F4922">
        <w:rPr>
          <w:bCs/>
          <w:sz w:val="22"/>
          <w:szCs w:val="22"/>
        </w:rPr>
        <w:t>sumažėjęs moterų vaisingumas, įprastai laikinas iki kol nutraukiamas vaisto vartojimas;</w:t>
      </w:r>
    </w:p>
    <w:p w14:paraId="0C8A459D" w14:textId="4443DDBD" w:rsidR="009A7DBF" w:rsidRDefault="003F4922">
      <w:pPr>
        <w:widowControl w:val="0"/>
        <w:numPr>
          <w:ilvl w:val="0"/>
          <w:numId w:val="17"/>
        </w:numPr>
        <w:ind w:left="567" w:hanging="567"/>
        <w:rPr>
          <w:bCs/>
          <w:sz w:val="22"/>
          <w:szCs w:val="22"/>
        </w:rPr>
      </w:pPr>
      <w:r>
        <w:rPr>
          <w:bCs/>
          <w:sz w:val="22"/>
          <w:szCs w:val="22"/>
        </w:rPr>
        <w:t>Kitos sunkios odos būklės, tokios kaip fiksuota vaistų reakcija (būdinga odos alerginė reakcija, kuri pakartotinai pavartojus tą patį vaistą dažniausiai atsiranda toje pačioje vietoje ir gali pasireikšti kaip apvalios arba ovalios paraudusios bei patinusios odos dėmės, pūslės (dilgėlinė), niežėjimas) ir generalizuota pūslinė fiksuota vaistų reakcija (gali apimti plačiai išplitusias odos reakcijas).</w:t>
      </w:r>
    </w:p>
    <w:p w14:paraId="2F9D61FE" w14:textId="77777777" w:rsidR="009A7DBF" w:rsidRDefault="009A7DBF">
      <w:pPr>
        <w:widowControl w:val="0"/>
        <w:autoSpaceDE w:val="0"/>
        <w:autoSpaceDN w:val="0"/>
        <w:adjustRightInd w:val="0"/>
        <w:rPr>
          <w:color w:val="000000"/>
          <w:sz w:val="22"/>
          <w:szCs w:val="22"/>
        </w:rPr>
      </w:pPr>
    </w:p>
    <w:p w14:paraId="43C50B77" w14:textId="77777777" w:rsidR="009A7DBF" w:rsidRDefault="003F4922">
      <w:pPr>
        <w:widowControl w:val="0"/>
        <w:rPr>
          <w:rFonts w:eastAsiaTheme="minorHAnsi"/>
          <w:b/>
          <w:color w:val="000000"/>
          <w:sz w:val="22"/>
          <w:szCs w:val="22"/>
          <w:lang w:val="lt-LT" w:eastAsia="en-US"/>
        </w:rPr>
      </w:pPr>
      <w:r>
        <w:rPr>
          <w:b/>
          <w:color w:val="000000"/>
          <w:sz w:val="22"/>
          <w:szCs w:val="22"/>
        </w:rPr>
        <w:t>Klinikinių su artritu ar kitomis sąnarių uždegimu pasireiškiančiomis būklėmis nesusijusių tyrimų metu iki 3 metų buvo vartojama 400 mg Aclexa paros dozė ir nustatytas toliau išvardytas papildomas šalutinis poveikis.</w:t>
      </w:r>
    </w:p>
    <w:p w14:paraId="7955A4ED" w14:textId="77777777" w:rsidR="009A7DBF" w:rsidRDefault="009A7DBF">
      <w:pPr>
        <w:widowControl w:val="0"/>
        <w:rPr>
          <w:b/>
          <w:color w:val="000000"/>
          <w:sz w:val="22"/>
          <w:szCs w:val="22"/>
        </w:rPr>
      </w:pPr>
    </w:p>
    <w:p w14:paraId="077D0C59" w14:textId="2CE61779" w:rsidR="009A7DBF" w:rsidRDefault="0038751D">
      <w:pPr>
        <w:widowControl w:val="0"/>
        <w:numPr>
          <w:ilvl w:val="0"/>
          <w:numId w:val="21"/>
        </w:numPr>
        <w:ind w:left="567" w:hanging="567"/>
        <w:contextualSpacing/>
        <w:rPr>
          <w:rFonts w:eastAsiaTheme="minorHAnsi"/>
          <w:sz w:val="22"/>
          <w:szCs w:val="22"/>
          <w:lang w:val="lt-LT" w:eastAsia="en-US"/>
        </w:rPr>
      </w:pPr>
      <w:r w:rsidRPr="0038751D">
        <w:rPr>
          <w:b/>
          <w:bCs/>
          <w:sz w:val="22"/>
          <w:szCs w:val="22"/>
          <w:lang w:eastAsia="lt-LT"/>
        </w:rPr>
        <w:t xml:space="preserve"> </w:t>
      </w:r>
      <w:r w:rsidRPr="002148E5">
        <w:rPr>
          <w:b/>
          <w:bCs/>
          <w:sz w:val="22"/>
          <w:szCs w:val="22"/>
          <w:lang w:eastAsia="lt-LT"/>
        </w:rPr>
        <w:t>Dažni šalutinio poveikio reiškiniai (gali pasireikšti rečiau kaip 1 iš 10 asmenų):</w:t>
      </w:r>
      <w:r w:rsidR="003F4922">
        <w:rPr>
          <w:sz w:val="22"/>
          <w:szCs w:val="22"/>
        </w:rPr>
        <w:t>širdies sutrikimai: krūtinės angina (krūtinės skausmas);</w:t>
      </w:r>
    </w:p>
    <w:p w14:paraId="634F7936"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virškinimo sutrikimai: dirgliosios žarnos sindromas (gali pasireikšti pilvo skausmas, viduriavimas, nevirškinimas, vidurių pūtimas);</w:t>
      </w:r>
    </w:p>
    <w:p w14:paraId="7AEA065F"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inkstų akmenligė (dėl to gali pasireikšti pilvo ar nugaros skausmas, šlapime atsirasti kraujo), šlapinimosi pasunkėjimas;</w:t>
      </w:r>
    </w:p>
    <w:p w14:paraId="7F037114"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kūno svorio padidėjimas.</w:t>
      </w:r>
    </w:p>
    <w:p w14:paraId="42161529" w14:textId="77777777" w:rsidR="009A7DBF" w:rsidRDefault="009A7DBF">
      <w:pPr>
        <w:widowControl w:val="0"/>
        <w:tabs>
          <w:tab w:val="num" w:pos="567"/>
        </w:tabs>
        <w:rPr>
          <w:sz w:val="22"/>
          <w:szCs w:val="22"/>
        </w:rPr>
      </w:pPr>
    </w:p>
    <w:p w14:paraId="1DCBCA48" w14:textId="56EFE62D" w:rsidR="009A7DBF" w:rsidRDefault="000A2E42">
      <w:pPr>
        <w:widowControl w:val="0"/>
        <w:numPr>
          <w:ilvl w:val="0"/>
          <w:numId w:val="21"/>
        </w:numPr>
        <w:ind w:left="567" w:hanging="567"/>
        <w:contextualSpacing/>
        <w:rPr>
          <w:rFonts w:eastAsiaTheme="minorHAnsi"/>
          <w:sz w:val="22"/>
          <w:szCs w:val="22"/>
          <w:lang w:val="lt-LT" w:eastAsia="en-US"/>
        </w:rPr>
      </w:pPr>
      <w:r w:rsidRPr="000A2E42">
        <w:rPr>
          <w:b/>
          <w:bCs/>
          <w:sz w:val="22"/>
          <w:szCs w:val="22"/>
          <w:lang w:eastAsia="lt-LT"/>
        </w:rPr>
        <w:t xml:space="preserve"> </w:t>
      </w:r>
      <w:r w:rsidRPr="002148E5">
        <w:rPr>
          <w:b/>
          <w:bCs/>
          <w:sz w:val="22"/>
          <w:szCs w:val="22"/>
          <w:lang w:eastAsia="lt-LT"/>
        </w:rPr>
        <w:t>Nedažni šalutinio poveikio reiškiniai (gali pasireikšti rečiau kaip 1 iš 100 asmenų):</w:t>
      </w:r>
      <w:r w:rsidR="003F4922">
        <w:rPr>
          <w:sz w:val="22"/>
          <w:szCs w:val="22"/>
        </w:rPr>
        <w:t>giliųjų venų trombozė (paprastai kojose formuojasi kraujo krešuliai, dėl kurių gali pasireikšti blauzdų skausmas, patinimas ar paraudimas arba kvėpavimo sutrikimas);</w:t>
      </w:r>
    </w:p>
    <w:p w14:paraId="2E1BFB5B"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pilvo sutrikimai: skrandžio infekcija (kuri gali sukelti dirginimą ir skrandžio bei žarnų opas);</w:t>
      </w:r>
    </w:p>
    <w:p w14:paraId="0286ABAD"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kojų lūžiai;</w:t>
      </w:r>
    </w:p>
    <w:p w14:paraId="0374C89E"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juostinė pūslelinė, odos infekcija, egzema (sausas niežtintysis išbėrimas), plaučių uždegimas (krūtinės organų infekcija, gali pasireikšti kosulys, karščiavimas, kvėpavimo pasunkėjimas);</w:t>
      </w:r>
    </w:p>
    <w:p w14:paraId="324114CB"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akių drumstis, dėl kurios pasireiškia miglotas matymas ar regėjimo sutrikimas, galvos sukimasis dėl vidinės ausies sutrikimo, dantenų skausmas ar uždegimas arba kraujavimas iš dantenų, burnos opos;</w:t>
      </w:r>
    </w:p>
    <w:p w14:paraId="05C76D7B"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gausus šlapinimasis naktį, kraujavimas iš hemorojaus mazgų, dažni žarnų susitraukimai;</w:t>
      </w:r>
    </w:p>
    <w:p w14:paraId="4EBFC5B0"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riebalinis odos ar kitos vietos gumbas, nerviniai mazgai (nepavojingi patinimai aplink plaštakų ar pėdų sąnarius ir sausgysles), kalbos pasunkėjimas, nenormalus arba labai gausus kraujavimas iš makšties, krūties skausmas;</w:t>
      </w:r>
    </w:p>
    <w:p w14:paraId="2E0FC366" w14:textId="77777777" w:rsidR="009A7DBF" w:rsidRDefault="003F4922">
      <w:pPr>
        <w:widowControl w:val="0"/>
        <w:numPr>
          <w:ilvl w:val="0"/>
          <w:numId w:val="21"/>
        </w:numPr>
        <w:ind w:left="567" w:hanging="567"/>
        <w:contextualSpacing/>
        <w:rPr>
          <w:rFonts w:eastAsiaTheme="minorHAnsi"/>
          <w:sz w:val="22"/>
          <w:szCs w:val="22"/>
          <w:lang w:val="lt-LT" w:eastAsia="en-US"/>
        </w:rPr>
      </w:pPr>
      <w:r>
        <w:rPr>
          <w:sz w:val="22"/>
          <w:szCs w:val="22"/>
        </w:rPr>
        <w:t>kraujo tyrimais nustatomas natrio kiekio padidėjimas.</w:t>
      </w:r>
    </w:p>
    <w:p w14:paraId="2DC7E2BE" w14:textId="77777777" w:rsidR="009A7DBF" w:rsidRDefault="009A7DBF">
      <w:pPr>
        <w:widowControl w:val="0"/>
        <w:rPr>
          <w:sz w:val="22"/>
          <w:szCs w:val="22"/>
        </w:rPr>
      </w:pPr>
    </w:p>
    <w:p w14:paraId="68525FD3" w14:textId="77777777" w:rsidR="009A7DBF" w:rsidRDefault="003F4922">
      <w:pPr>
        <w:widowControl w:val="0"/>
        <w:rPr>
          <w:rFonts w:eastAsia="Calibri"/>
          <w:b/>
          <w:sz w:val="22"/>
          <w:szCs w:val="22"/>
          <w:lang w:val="lt-LT" w:eastAsia="en-US"/>
        </w:rPr>
      </w:pPr>
      <w:r>
        <w:rPr>
          <w:rFonts w:eastAsia="Calibri"/>
          <w:b/>
          <w:sz w:val="22"/>
          <w:szCs w:val="22"/>
        </w:rPr>
        <w:t>Pranešimas apie šalutinį poveikį</w:t>
      </w:r>
    </w:p>
    <w:p w14:paraId="3B330276" w14:textId="4C5E3EC3" w:rsidR="009A7DBF" w:rsidRDefault="003F4922">
      <w:pPr>
        <w:widowControl w:val="0"/>
        <w:ind w:right="-449"/>
        <w:rPr>
          <w:rFonts w:eastAsia="Calibri"/>
          <w:sz w:val="22"/>
          <w:szCs w:val="22"/>
          <w:lang w:val="lt-LT" w:eastAsia="en-US"/>
        </w:rPr>
      </w:pPr>
      <w:r>
        <w:rPr>
          <w:rFonts w:eastAsia="Calibri"/>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rFonts w:eastAsia="Calibri"/>
          <w:sz w:val="22"/>
          <w:szCs w:val="22"/>
        </w:rPr>
        <w:t>.</w:t>
      </w:r>
    </w:p>
    <w:p w14:paraId="2EF2366B" w14:textId="77777777" w:rsidR="009A7DBF" w:rsidRDefault="009A7DBF">
      <w:pPr>
        <w:widowControl w:val="0"/>
        <w:ind w:right="-449"/>
        <w:rPr>
          <w:rFonts w:eastAsia="Calibri"/>
          <w:sz w:val="22"/>
          <w:szCs w:val="22"/>
        </w:rPr>
      </w:pPr>
    </w:p>
    <w:p w14:paraId="1D1E80A3" w14:textId="77777777" w:rsidR="009A7DBF" w:rsidRDefault="009A7DBF">
      <w:pPr>
        <w:widowControl w:val="0"/>
        <w:ind w:left="567" w:hanging="567"/>
        <w:rPr>
          <w:sz w:val="22"/>
          <w:szCs w:val="22"/>
        </w:rPr>
      </w:pPr>
    </w:p>
    <w:p w14:paraId="3639B7EB" w14:textId="77777777" w:rsidR="009A7DBF" w:rsidRDefault="003F4922">
      <w:pPr>
        <w:widowControl w:val="0"/>
        <w:numPr>
          <w:ilvl w:val="12"/>
          <w:numId w:val="0"/>
        </w:numPr>
        <w:ind w:left="567" w:hanging="567"/>
        <w:outlineLvl w:val="0"/>
        <w:rPr>
          <w:rFonts w:eastAsiaTheme="minorHAnsi"/>
          <w:b/>
          <w:sz w:val="22"/>
          <w:szCs w:val="22"/>
          <w:lang w:val="lt-LT" w:eastAsia="en-US"/>
        </w:rPr>
      </w:pPr>
      <w:r>
        <w:rPr>
          <w:b/>
          <w:caps/>
          <w:sz w:val="22"/>
          <w:szCs w:val="22"/>
        </w:rPr>
        <w:t>5.</w:t>
      </w:r>
      <w:r>
        <w:rPr>
          <w:b/>
          <w:caps/>
          <w:sz w:val="22"/>
          <w:szCs w:val="22"/>
        </w:rPr>
        <w:tab/>
      </w:r>
      <w:r>
        <w:rPr>
          <w:b/>
          <w:sz w:val="22"/>
          <w:szCs w:val="22"/>
        </w:rPr>
        <w:t>Kaip laikyti Aclexa</w:t>
      </w:r>
    </w:p>
    <w:p w14:paraId="5F518FE1" w14:textId="77777777" w:rsidR="009A7DBF" w:rsidRDefault="009A7DBF">
      <w:pPr>
        <w:widowControl w:val="0"/>
        <w:rPr>
          <w:sz w:val="22"/>
          <w:szCs w:val="22"/>
        </w:rPr>
      </w:pPr>
    </w:p>
    <w:p w14:paraId="57099EF3" w14:textId="77777777" w:rsidR="009A7DBF" w:rsidRDefault="003F4922">
      <w:pPr>
        <w:widowControl w:val="0"/>
        <w:rPr>
          <w:rFonts w:eastAsiaTheme="minorHAnsi"/>
          <w:sz w:val="22"/>
          <w:szCs w:val="22"/>
          <w:lang w:val="lt-LT" w:eastAsia="en-US"/>
        </w:rPr>
      </w:pPr>
      <w:r>
        <w:rPr>
          <w:sz w:val="22"/>
          <w:szCs w:val="22"/>
        </w:rPr>
        <w:lastRenderedPageBreak/>
        <w:t>Šį vaistą laikykite vaikams nepastebimoje ir nepasiekiamoje vietoje.</w:t>
      </w:r>
    </w:p>
    <w:p w14:paraId="2723C5EB" w14:textId="77777777" w:rsidR="009A7DBF" w:rsidRDefault="009A7DBF">
      <w:pPr>
        <w:widowControl w:val="0"/>
        <w:outlineLvl w:val="0"/>
        <w:rPr>
          <w:sz w:val="22"/>
          <w:szCs w:val="22"/>
        </w:rPr>
      </w:pPr>
    </w:p>
    <w:p w14:paraId="226C8298" w14:textId="77777777" w:rsidR="009A7DBF" w:rsidRDefault="003F4922">
      <w:pPr>
        <w:widowControl w:val="0"/>
        <w:rPr>
          <w:rFonts w:eastAsiaTheme="minorHAnsi"/>
          <w:sz w:val="22"/>
          <w:szCs w:val="22"/>
          <w:lang w:val="lt-LT" w:eastAsia="en-US"/>
        </w:rPr>
      </w:pPr>
      <w:r>
        <w:rPr>
          <w:sz w:val="22"/>
          <w:szCs w:val="22"/>
        </w:rPr>
        <w:t xml:space="preserve">Ant kartono dėžutės ir lizdinės plokštelės po </w:t>
      </w:r>
      <w:r>
        <w:rPr>
          <w:sz w:val="22"/>
          <w:szCs w:val="22"/>
          <w:highlight w:val="lightGray"/>
        </w:rPr>
        <w:t>„Tinka iki“</w:t>
      </w:r>
      <w:r>
        <w:rPr>
          <w:sz w:val="22"/>
          <w:szCs w:val="22"/>
        </w:rPr>
        <w:t>/„EXP“ nurodytam tinkamumo laikui pasibaigus, šio vaisto vartoti negalima. Vaistas tinkamas vartoti iki paskutinės nurodyto mėnesio dienos.</w:t>
      </w:r>
    </w:p>
    <w:p w14:paraId="37DAB9DE" w14:textId="77777777" w:rsidR="009A7DBF" w:rsidRDefault="009A7DBF">
      <w:pPr>
        <w:widowControl w:val="0"/>
        <w:rPr>
          <w:sz w:val="22"/>
          <w:szCs w:val="22"/>
        </w:rPr>
      </w:pPr>
    </w:p>
    <w:p w14:paraId="5D193969" w14:textId="77777777" w:rsidR="009A7DBF" w:rsidRDefault="003F4922">
      <w:pPr>
        <w:widowControl w:val="0"/>
        <w:outlineLvl w:val="0"/>
        <w:rPr>
          <w:rFonts w:eastAsiaTheme="minorHAnsi"/>
          <w:sz w:val="22"/>
          <w:szCs w:val="22"/>
          <w:lang w:val="lt-LT" w:eastAsia="en-US"/>
        </w:rPr>
      </w:pPr>
      <w:r>
        <w:rPr>
          <w:sz w:val="22"/>
          <w:szCs w:val="22"/>
        </w:rPr>
        <w:t>Laikyti ne aukštesnėje kaip 25 °C temperatūroje.</w:t>
      </w:r>
    </w:p>
    <w:p w14:paraId="2BBC6117" w14:textId="77777777" w:rsidR="009A7DBF" w:rsidRDefault="009A7DBF">
      <w:pPr>
        <w:widowControl w:val="0"/>
        <w:outlineLvl w:val="0"/>
        <w:rPr>
          <w:sz w:val="22"/>
          <w:szCs w:val="22"/>
        </w:rPr>
      </w:pPr>
    </w:p>
    <w:p w14:paraId="74E57111" w14:textId="77777777" w:rsidR="009A7DBF" w:rsidRDefault="003F4922">
      <w:pPr>
        <w:widowControl w:val="0"/>
        <w:rPr>
          <w:rFonts w:eastAsiaTheme="minorHAnsi"/>
          <w:sz w:val="22"/>
          <w:szCs w:val="22"/>
          <w:lang w:val="lt-LT" w:eastAsia="en-US"/>
        </w:rPr>
      </w:pPr>
      <w:r>
        <w:rPr>
          <w:sz w:val="22"/>
          <w:szCs w:val="22"/>
        </w:rPr>
        <w:t>Vaistų negalima išmesti į kanalizaciją arba su buitinėmis atliekomis. Kaip išmesti nereikalingus vaistus, klauskite vaistininko. Šios priemonės padės apsaugoti aplinką.</w:t>
      </w:r>
    </w:p>
    <w:p w14:paraId="212F7E7B" w14:textId="77777777" w:rsidR="009A7DBF" w:rsidRDefault="009A7DBF">
      <w:pPr>
        <w:widowControl w:val="0"/>
        <w:ind w:left="567" w:hanging="567"/>
        <w:rPr>
          <w:sz w:val="22"/>
          <w:szCs w:val="22"/>
        </w:rPr>
      </w:pPr>
    </w:p>
    <w:p w14:paraId="3613FE57" w14:textId="77777777" w:rsidR="009A7DBF" w:rsidRDefault="009A7DBF">
      <w:pPr>
        <w:widowControl w:val="0"/>
        <w:rPr>
          <w:sz w:val="22"/>
          <w:szCs w:val="22"/>
        </w:rPr>
      </w:pPr>
    </w:p>
    <w:p w14:paraId="38111849" w14:textId="77777777" w:rsidR="009A7DBF" w:rsidRDefault="003F4922">
      <w:pPr>
        <w:widowControl w:val="0"/>
        <w:numPr>
          <w:ilvl w:val="12"/>
          <w:numId w:val="0"/>
        </w:numPr>
        <w:ind w:left="567" w:hanging="567"/>
        <w:outlineLvl w:val="0"/>
        <w:rPr>
          <w:rFonts w:eastAsiaTheme="minorHAnsi"/>
          <w:b/>
          <w:sz w:val="22"/>
          <w:szCs w:val="22"/>
          <w:lang w:val="lt-LT" w:eastAsia="en-US"/>
        </w:rPr>
      </w:pPr>
      <w:r>
        <w:rPr>
          <w:b/>
          <w:sz w:val="22"/>
          <w:szCs w:val="22"/>
        </w:rPr>
        <w:t>6.</w:t>
      </w:r>
      <w:r>
        <w:rPr>
          <w:sz w:val="22"/>
          <w:szCs w:val="22"/>
        </w:rPr>
        <w:tab/>
      </w:r>
      <w:r>
        <w:rPr>
          <w:b/>
          <w:sz w:val="22"/>
          <w:szCs w:val="22"/>
        </w:rPr>
        <w:t>Pakuotės turinys ir kita informacija</w:t>
      </w:r>
    </w:p>
    <w:p w14:paraId="02DD89B5" w14:textId="77777777" w:rsidR="009A7DBF" w:rsidRDefault="009A7DBF">
      <w:pPr>
        <w:widowControl w:val="0"/>
        <w:ind w:left="567" w:hanging="567"/>
        <w:rPr>
          <w:sz w:val="22"/>
          <w:szCs w:val="22"/>
        </w:rPr>
      </w:pPr>
    </w:p>
    <w:p w14:paraId="07F8886C" w14:textId="77777777" w:rsidR="009A7DBF" w:rsidRDefault="003F4922">
      <w:pPr>
        <w:widowControl w:val="0"/>
        <w:rPr>
          <w:rFonts w:eastAsiaTheme="minorHAnsi"/>
          <w:b/>
          <w:sz w:val="22"/>
          <w:szCs w:val="22"/>
          <w:lang w:val="lt-LT" w:eastAsia="en-US"/>
        </w:rPr>
      </w:pPr>
      <w:r>
        <w:rPr>
          <w:b/>
          <w:sz w:val="22"/>
          <w:szCs w:val="22"/>
        </w:rPr>
        <w:t>Aclexa sudėtis</w:t>
      </w:r>
    </w:p>
    <w:p w14:paraId="64965C65" w14:textId="77777777" w:rsidR="009A7DBF" w:rsidRDefault="003F4922">
      <w:pPr>
        <w:widowControl w:val="0"/>
        <w:numPr>
          <w:ilvl w:val="0"/>
          <w:numId w:val="25"/>
        </w:numPr>
        <w:ind w:left="567" w:hanging="567"/>
        <w:rPr>
          <w:rFonts w:eastAsiaTheme="minorHAnsi"/>
          <w:sz w:val="22"/>
          <w:szCs w:val="22"/>
          <w:lang w:val="lt-LT" w:eastAsia="en-US"/>
        </w:rPr>
      </w:pPr>
      <w:r>
        <w:rPr>
          <w:sz w:val="22"/>
          <w:szCs w:val="22"/>
        </w:rPr>
        <w:t>Veiklioji medžiaga yra celekoksibas.</w:t>
      </w:r>
    </w:p>
    <w:p w14:paraId="77637242" w14:textId="77777777" w:rsidR="009A7DBF" w:rsidRDefault="003F4922">
      <w:pPr>
        <w:widowControl w:val="0"/>
        <w:ind w:left="567"/>
        <w:rPr>
          <w:rFonts w:eastAsiaTheme="minorHAnsi"/>
          <w:sz w:val="22"/>
          <w:szCs w:val="22"/>
          <w:lang w:val="lt-LT" w:eastAsia="en-US"/>
        </w:rPr>
      </w:pPr>
      <w:r>
        <w:rPr>
          <w:sz w:val="22"/>
          <w:szCs w:val="22"/>
        </w:rPr>
        <w:t>Kiekvienoje 100 mg kietojoje kapsulėje yra 100 mg celekoksibo.</w:t>
      </w:r>
    </w:p>
    <w:p w14:paraId="3D234E41" w14:textId="77777777" w:rsidR="009A7DBF" w:rsidRDefault="003F4922">
      <w:pPr>
        <w:widowControl w:val="0"/>
        <w:ind w:left="567"/>
        <w:rPr>
          <w:rFonts w:eastAsiaTheme="minorHAnsi"/>
          <w:sz w:val="22"/>
          <w:szCs w:val="22"/>
          <w:lang w:val="lt-LT" w:eastAsia="en-US"/>
        </w:rPr>
      </w:pPr>
      <w:r>
        <w:rPr>
          <w:sz w:val="22"/>
          <w:szCs w:val="22"/>
        </w:rPr>
        <w:t xml:space="preserve">Kiekvienoje </w:t>
      </w:r>
      <w:r>
        <w:rPr>
          <w:rFonts w:eastAsia="Calibri"/>
          <w:sz w:val="22"/>
          <w:szCs w:val="22"/>
        </w:rPr>
        <w:t>200 mg</w:t>
      </w:r>
      <w:r>
        <w:rPr>
          <w:sz w:val="22"/>
          <w:szCs w:val="22"/>
        </w:rPr>
        <w:t xml:space="preserve"> </w:t>
      </w:r>
      <w:r>
        <w:rPr>
          <w:rFonts w:eastAsia="Calibri"/>
          <w:sz w:val="22"/>
          <w:szCs w:val="22"/>
        </w:rPr>
        <w:t>kietojoje</w:t>
      </w:r>
      <w:r>
        <w:rPr>
          <w:sz w:val="22"/>
          <w:szCs w:val="22"/>
        </w:rPr>
        <w:t xml:space="preserve"> kapsulėje yra 200 mg celekoksibo.</w:t>
      </w:r>
    </w:p>
    <w:p w14:paraId="0E7DEC42" w14:textId="77777777" w:rsidR="009A7DBF" w:rsidRDefault="003F4922">
      <w:pPr>
        <w:widowControl w:val="0"/>
        <w:numPr>
          <w:ilvl w:val="0"/>
          <w:numId w:val="25"/>
        </w:numPr>
        <w:ind w:left="567" w:hanging="567"/>
        <w:rPr>
          <w:rFonts w:eastAsia="Calibri"/>
          <w:sz w:val="22"/>
          <w:szCs w:val="22"/>
          <w:lang w:val="lt-LT" w:eastAsia="en-US"/>
        </w:rPr>
      </w:pPr>
      <w:r>
        <w:rPr>
          <w:sz w:val="22"/>
          <w:szCs w:val="22"/>
        </w:rPr>
        <w:t>Pagalbinės 100 mg kietųjų kapsulių medžiagos yra l</w:t>
      </w:r>
      <w:r>
        <w:rPr>
          <w:rFonts w:eastAsia="Calibri"/>
          <w:sz w:val="22"/>
          <w:szCs w:val="22"/>
        </w:rPr>
        <w:t>aktozė monohidratas, povidonas K30, kroskarmeliozės natrio druska, natrio laurilsulfatas ir magnio stearatas (E470b) (kapsulės turinys) bei želatina ir titano dioksidas (E171) (kapsulės apvalkalas).</w:t>
      </w:r>
    </w:p>
    <w:p w14:paraId="0FDD4EE3" w14:textId="77777777" w:rsidR="009A7DBF" w:rsidRDefault="003F4922">
      <w:pPr>
        <w:widowControl w:val="0"/>
        <w:numPr>
          <w:ilvl w:val="0"/>
          <w:numId w:val="25"/>
        </w:numPr>
        <w:ind w:left="567" w:hanging="567"/>
        <w:rPr>
          <w:rFonts w:eastAsia="Calibri"/>
          <w:sz w:val="22"/>
          <w:szCs w:val="22"/>
          <w:lang w:val="lt-LT" w:eastAsia="en-US"/>
        </w:rPr>
      </w:pPr>
      <w:r>
        <w:rPr>
          <w:sz w:val="22"/>
          <w:szCs w:val="22"/>
        </w:rPr>
        <w:t>Pagalbinės 200 mg kietųjų kapsulių medžiagos yra l</w:t>
      </w:r>
      <w:r>
        <w:rPr>
          <w:rFonts w:eastAsia="Calibri"/>
          <w:sz w:val="22"/>
          <w:szCs w:val="22"/>
        </w:rPr>
        <w:t>aktozė monohidratas, povidonas K30, kroskarmeliozės natrio druska, natrio laurilsulfatas ir magnio stearatas (E470b) (kapsulės turinys) bei želatina, titano dioksidas (E171) ir geltonasis geležies oksidas (E172) (kapsulės apvalkalas).</w:t>
      </w:r>
    </w:p>
    <w:p w14:paraId="382802B4" w14:textId="77777777" w:rsidR="009A7DBF" w:rsidRDefault="009A7DBF">
      <w:pPr>
        <w:widowControl w:val="0"/>
        <w:rPr>
          <w:sz w:val="22"/>
          <w:szCs w:val="22"/>
        </w:rPr>
      </w:pPr>
    </w:p>
    <w:p w14:paraId="71FC7B9E" w14:textId="77777777" w:rsidR="009A7DBF" w:rsidRDefault="003F4922">
      <w:pPr>
        <w:widowControl w:val="0"/>
        <w:rPr>
          <w:rFonts w:eastAsiaTheme="minorHAnsi"/>
          <w:b/>
          <w:sz w:val="22"/>
          <w:szCs w:val="22"/>
          <w:lang w:val="lt-LT" w:eastAsia="en-US"/>
        </w:rPr>
      </w:pPr>
      <w:r>
        <w:rPr>
          <w:b/>
          <w:sz w:val="22"/>
          <w:szCs w:val="22"/>
        </w:rPr>
        <w:t>Aclexa išvaizda ir kiekis pakuotėje</w:t>
      </w:r>
    </w:p>
    <w:p w14:paraId="7E1F607E" w14:textId="77777777" w:rsidR="009A7DBF" w:rsidRDefault="003F4922">
      <w:pPr>
        <w:widowControl w:val="0"/>
        <w:outlineLvl w:val="0"/>
        <w:rPr>
          <w:rFonts w:eastAsiaTheme="minorHAnsi"/>
          <w:sz w:val="22"/>
          <w:szCs w:val="22"/>
          <w:lang w:val="lt-LT" w:eastAsia="en-US"/>
        </w:rPr>
      </w:pPr>
      <w:r>
        <w:rPr>
          <w:sz w:val="22"/>
          <w:szCs w:val="22"/>
        </w:rPr>
        <w:t>100 mg kietąją kapsulę sudaro baltas korpusas ir dangtelis, jos ilgis yra 15,4</w:t>
      </w:r>
      <w:r>
        <w:rPr>
          <w:sz w:val="22"/>
          <w:szCs w:val="22"/>
        </w:rPr>
        <w:noBreakHyphen/>
        <w:t>16,2 mm, kapsulėje yra baltų ar beveik baltų granulių.</w:t>
      </w:r>
    </w:p>
    <w:p w14:paraId="14C5CAF8" w14:textId="77777777" w:rsidR="009A7DBF" w:rsidRDefault="003F4922">
      <w:pPr>
        <w:widowControl w:val="0"/>
        <w:outlineLvl w:val="0"/>
        <w:rPr>
          <w:rFonts w:eastAsiaTheme="minorHAnsi"/>
          <w:sz w:val="22"/>
          <w:szCs w:val="22"/>
          <w:lang w:val="lt-LT" w:eastAsia="en-US"/>
        </w:rPr>
      </w:pPr>
      <w:r>
        <w:rPr>
          <w:sz w:val="22"/>
          <w:szCs w:val="22"/>
        </w:rPr>
        <w:t>200 mg kietąją kapsulę sudaro rusvai geltonas korpusas ir dangtelis, jos ilgis yra 18,9</w:t>
      </w:r>
      <w:r>
        <w:rPr>
          <w:sz w:val="22"/>
          <w:szCs w:val="22"/>
        </w:rPr>
        <w:noBreakHyphen/>
        <w:t>19,7 mm, kapsulėje yra baltų ar beveik baltų granulių.</w:t>
      </w:r>
    </w:p>
    <w:p w14:paraId="0308560D" w14:textId="77777777" w:rsidR="009A7DBF" w:rsidRDefault="009A7DBF">
      <w:pPr>
        <w:widowControl w:val="0"/>
        <w:rPr>
          <w:sz w:val="22"/>
          <w:szCs w:val="22"/>
        </w:rPr>
      </w:pPr>
    </w:p>
    <w:p w14:paraId="71D9EEE9" w14:textId="77777777" w:rsidR="009A7DBF" w:rsidRDefault="003F4922">
      <w:pPr>
        <w:widowControl w:val="0"/>
        <w:rPr>
          <w:rFonts w:eastAsiaTheme="minorHAnsi"/>
          <w:sz w:val="22"/>
          <w:szCs w:val="22"/>
          <w:lang w:val="lt-LT" w:eastAsia="en-US"/>
        </w:rPr>
      </w:pPr>
      <w:r>
        <w:rPr>
          <w:sz w:val="22"/>
          <w:szCs w:val="22"/>
        </w:rPr>
        <w:t>100 mg ir 200 mg kapsulės tiekiamos dėžutėmis. Pakuotėje yra 10, 20, 30, 40, 50, 60, 90 ir 100 kapsulių lizdinėmis plokštelėmis.</w:t>
      </w:r>
    </w:p>
    <w:p w14:paraId="50AF57B5" w14:textId="77777777" w:rsidR="009A7DBF" w:rsidRDefault="009A7DBF">
      <w:pPr>
        <w:widowControl w:val="0"/>
        <w:rPr>
          <w:sz w:val="22"/>
          <w:szCs w:val="22"/>
        </w:rPr>
      </w:pPr>
    </w:p>
    <w:p w14:paraId="71C49D48" w14:textId="77777777" w:rsidR="009A7DBF" w:rsidRDefault="003F4922">
      <w:pPr>
        <w:widowControl w:val="0"/>
        <w:ind w:left="567" w:hanging="567"/>
        <w:rPr>
          <w:rFonts w:eastAsiaTheme="minorHAnsi"/>
          <w:sz w:val="22"/>
          <w:szCs w:val="22"/>
          <w:lang w:val="lt-LT" w:eastAsia="en-US"/>
        </w:rPr>
      </w:pPr>
      <w:r>
        <w:rPr>
          <w:sz w:val="22"/>
          <w:szCs w:val="22"/>
        </w:rPr>
        <w:t>Gali būti tiekiamos ne visų dydžių pakuotės.</w:t>
      </w:r>
    </w:p>
    <w:p w14:paraId="1ED2CDE4" w14:textId="77777777" w:rsidR="009A7DBF" w:rsidRDefault="009A7DBF">
      <w:pPr>
        <w:widowControl w:val="0"/>
        <w:ind w:left="567" w:hanging="567"/>
        <w:rPr>
          <w:sz w:val="22"/>
          <w:szCs w:val="22"/>
        </w:rPr>
      </w:pPr>
    </w:p>
    <w:p w14:paraId="18316BB0" w14:textId="77777777" w:rsidR="009A7DBF" w:rsidRDefault="003F4922">
      <w:pPr>
        <w:widowControl w:val="0"/>
        <w:rPr>
          <w:rFonts w:eastAsiaTheme="minorHAnsi"/>
          <w:b/>
          <w:sz w:val="22"/>
          <w:szCs w:val="22"/>
          <w:lang w:val="lt-LT" w:eastAsia="en-US"/>
        </w:rPr>
      </w:pPr>
      <w:r>
        <w:rPr>
          <w:b/>
          <w:sz w:val="22"/>
          <w:szCs w:val="22"/>
        </w:rPr>
        <w:t>Registruotojas ir gamintojas</w:t>
      </w:r>
    </w:p>
    <w:p w14:paraId="3AFCF9D5" w14:textId="77777777" w:rsidR="009A7DBF" w:rsidRDefault="009A7DBF">
      <w:pPr>
        <w:widowControl w:val="0"/>
        <w:rPr>
          <w:sz w:val="22"/>
          <w:szCs w:val="22"/>
        </w:rPr>
      </w:pPr>
    </w:p>
    <w:p w14:paraId="16093161" w14:textId="77777777" w:rsidR="009A7DBF" w:rsidRDefault="003F4922">
      <w:pPr>
        <w:widowControl w:val="0"/>
        <w:ind w:left="567" w:hanging="567"/>
        <w:rPr>
          <w:rFonts w:eastAsia="Calibri"/>
          <w:i/>
          <w:sz w:val="22"/>
          <w:szCs w:val="22"/>
          <w:lang w:val="lt-LT" w:eastAsia="en-US"/>
        </w:rPr>
      </w:pPr>
      <w:r>
        <w:rPr>
          <w:rFonts w:eastAsia="Calibri"/>
          <w:i/>
          <w:sz w:val="22"/>
          <w:szCs w:val="22"/>
        </w:rPr>
        <w:t>Registruotojas</w:t>
      </w:r>
    </w:p>
    <w:p w14:paraId="79B81746" w14:textId="77777777" w:rsidR="009A7DBF" w:rsidRDefault="003F4922">
      <w:pPr>
        <w:widowControl w:val="0"/>
        <w:ind w:left="567" w:hanging="567"/>
        <w:outlineLvl w:val="0"/>
        <w:rPr>
          <w:rFonts w:eastAsiaTheme="minorHAnsi"/>
          <w:sz w:val="22"/>
          <w:szCs w:val="22"/>
          <w:lang w:val="lt-LT" w:eastAsia="en-US"/>
        </w:rPr>
      </w:pPr>
      <w:r>
        <w:rPr>
          <w:sz w:val="22"/>
          <w:szCs w:val="22"/>
        </w:rPr>
        <w:t>KRKA, d.d., Novo mesto</w:t>
      </w:r>
    </w:p>
    <w:p w14:paraId="2661CBBF" w14:textId="77777777" w:rsidR="009A7DBF" w:rsidRDefault="003F4922">
      <w:pPr>
        <w:widowControl w:val="0"/>
        <w:ind w:left="567" w:hanging="567"/>
        <w:outlineLvl w:val="0"/>
        <w:rPr>
          <w:rFonts w:eastAsiaTheme="minorHAnsi"/>
          <w:sz w:val="22"/>
          <w:szCs w:val="22"/>
          <w:lang w:val="lt-LT" w:eastAsia="en-US"/>
        </w:rPr>
      </w:pPr>
      <w:r>
        <w:rPr>
          <w:sz w:val="22"/>
          <w:szCs w:val="22"/>
        </w:rPr>
        <w:t>Šmarješka cesta 6</w:t>
      </w:r>
    </w:p>
    <w:p w14:paraId="10D226D8" w14:textId="77777777" w:rsidR="009A7DBF" w:rsidRDefault="003F4922">
      <w:pPr>
        <w:widowControl w:val="0"/>
        <w:ind w:left="567" w:hanging="567"/>
        <w:outlineLvl w:val="0"/>
        <w:rPr>
          <w:rFonts w:eastAsiaTheme="minorHAnsi"/>
          <w:sz w:val="22"/>
          <w:szCs w:val="22"/>
          <w:lang w:val="lt-LT" w:eastAsia="en-US"/>
        </w:rPr>
      </w:pPr>
      <w:r>
        <w:rPr>
          <w:sz w:val="22"/>
          <w:szCs w:val="22"/>
        </w:rPr>
        <w:t>8501 Novo mesto</w:t>
      </w:r>
    </w:p>
    <w:p w14:paraId="6928F8BE" w14:textId="77777777" w:rsidR="009A7DBF" w:rsidRDefault="003F4922">
      <w:pPr>
        <w:widowControl w:val="0"/>
        <w:ind w:left="567" w:hanging="567"/>
        <w:outlineLvl w:val="0"/>
        <w:rPr>
          <w:rFonts w:eastAsiaTheme="minorHAnsi"/>
          <w:sz w:val="22"/>
          <w:szCs w:val="22"/>
          <w:lang w:val="lt-LT" w:eastAsia="en-US"/>
        </w:rPr>
      </w:pPr>
      <w:r>
        <w:rPr>
          <w:sz w:val="22"/>
          <w:szCs w:val="22"/>
        </w:rPr>
        <w:t>Slovėnija</w:t>
      </w:r>
    </w:p>
    <w:p w14:paraId="63DB8DC7" w14:textId="77777777" w:rsidR="009A7DBF" w:rsidRDefault="009A7DBF">
      <w:pPr>
        <w:widowControl w:val="0"/>
        <w:ind w:left="567" w:hanging="567"/>
        <w:rPr>
          <w:sz w:val="22"/>
          <w:szCs w:val="22"/>
        </w:rPr>
      </w:pPr>
    </w:p>
    <w:p w14:paraId="78DAF5B0" w14:textId="77777777" w:rsidR="009A7DBF" w:rsidRDefault="003F4922">
      <w:pPr>
        <w:widowControl w:val="0"/>
        <w:ind w:left="567" w:hanging="567"/>
        <w:rPr>
          <w:rFonts w:eastAsia="Calibri"/>
          <w:i/>
          <w:sz w:val="22"/>
          <w:szCs w:val="22"/>
          <w:lang w:val="lt-LT" w:eastAsia="en-US"/>
        </w:rPr>
      </w:pPr>
      <w:r>
        <w:rPr>
          <w:rFonts w:eastAsia="Calibri"/>
          <w:i/>
          <w:sz w:val="22"/>
          <w:szCs w:val="22"/>
        </w:rPr>
        <w:t>Gamintojas</w:t>
      </w:r>
    </w:p>
    <w:p w14:paraId="03105E72" w14:textId="77777777" w:rsidR="009A7DBF" w:rsidRDefault="003F4922">
      <w:pPr>
        <w:widowControl w:val="0"/>
        <w:shd w:val="clear" w:color="auto" w:fill="FFFFFF"/>
        <w:rPr>
          <w:rFonts w:eastAsiaTheme="minorHAnsi"/>
          <w:color w:val="222222"/>
          <w:sz w:val="22"/>
          <w:szCs w:val="22"/>
          <w:lang w:val="lt-LT" w:eastAsia="en-US"/>
        </w:rPr>
      </w:pPr>
      <w:r>
        <w:rPr>
          <w:color w:val="222222"/>
          <w:sz w:val="22"/>
          <w:szCs w:val="22"/>
        </w:rPr>
        <w:t>KRKA, d.d., Novo mesto</w:t>
      </w:r>
    </w:p>
    <w:p w14:paraId="2603F87C" w14:textId="77777777" w:rsidR="009A7DBF" w:rsidRDefault="003F4922">
      <w:pPr>
        <w:widowControl w:val="0"/>
        <w:shd w:val="clear" w:color="auto" w:fill="FFFFFF"/>
        <w:rPr>
          <w:rFonts w:eastAsiaTheme="minorHAnsi"/>
          <w:color w:val="222222"/>
          <w:sz w:val="22"/>
          <w:szCs w:val="22"/>
          <w:lang w:val="lt-LT" w:eastAsia="en-US"/>
        </w:rPr>
      </w:pPr>
      <w:r>
        <w:rPr>
          <w:color w:val="222222"/>
          <w:sz w:val="22"/>
          <w:szCs w:val="22"/>
        </w:rPr>
        <w:t>Šmarješka cesta 6 (site Ločna)</w:t>
      </w:r>
    </w:p>
    <w:p w14:paraId="016061F4" w14:textId="77777777" w:rsidR="009A7DBF" w:rsidRDefault="003F4922">
      <w:pPr>
        <w:widowControl w:val="0"/>
        <w:shd w:val="clear" w:color="auto" w:fill="FFFFFF"/>
        <w:rPr>
          <w:rFonts w:eastAsiaTheme="minorHAnsi"/>
          <w:color w:val="222222"/>
          <w:sz w:val="22"/>
          <w:szCs w:val="22"/>
          <w:lang w:val="lt-LT" w:eastAsia="en-US"/>
        </w:rPr>
      </w:pPr>
      <w:r>
        <w:rPr>
          <w:color w:val="222222"/>
          <w:sz w:val="22"/>
          <w:szCs w:val="22"/>
        </w:rPr>
        <w:t>8501 Novo mesto</w:t>
      </w:r>
    </w:p>
    <w:p w14:paraId="699A7AE5" w14:textId="77777777" w:rsidR="009A7DBF" w:rsidRDefault="003F4922">
      <w:pPr>
        <w:widowControl w:val="0"/>
        <w:shd w:val="clear" w:color="auto" w:fill="FFFFFF"/>
        <w:rPr>
          <w:rFonts w:eastAsiaTheme="minorHAnsi"/>
          <w:color w:val="222222"/>
          <w:sz w:val="22"/>
          <w:szCs w:val="22"/>
          <w:lang w:val="lt-LT" w:eastAsia="en-US"/>
        </w:rPr>
      </w:pPr>
      <w:r>
        <w:rPr>
          <w:color w:val="222222"/>
          <w:sz w:val="22"/>
          <w:szCs w:val="22"/>
        </w:rPr>
        <w:t>Slovėnija</w:t>
      </w:r>
    </w:p>
    <w:p w14:paraId="6669984E" w14:textId="77777777" w:rsidR="009A7DBF" w:rsidRDefault="009A7DBF">
      <w:pPr>
        <w:widowControl w:val="0"/>
        <w:shd w:val="clear" w:color="auto" w:fill="FFFFFF"/>
        <w:rPr>
          <w:color w:val="222222"/>
          <w:sz w:val="22"/>
          <w:szCs w:val="22"/>
        </w:rPr>
      </w:pPr>
    </w:p>
    <w:p w14:paraId="7C04C9F7" w14:textId="77777777" w:rsidR="009A7DBF" w:rsidRDefault="003F4922">
      <w:pPr>
        <w:widowControl w:val="0"/>
        <w:shd w:val="clear" w:color="auto" w:fill="FFFFFF"/>
        <w:rPr>
          <w:rFonts w:eastAsiaTheme="minorHAnsi"/>
          <w:color w:val="222222"/>
          <w:sz w:val="22"/>
          <w:szCs w:val="22"/>
          <w:lang w:val="lt-LT" w:eastAsia="en-US"/>
        </w:rPr>
      </w:pPr>
      <w:r>
        <w:rPr>
          <w:color w:val="222222"/>
          <w:sz w:val="22"/>
          <w:szCs w:val="22"/>
        </w:rPr>
        <w:t>arba</w:t>
      </w:r>
    </w:p>
    <w:p w14:paraId="5EC4FC91" w14:textId="77777777" w:rsidR="009A7DBF" w:rsidRDefault="009A7DBF">
      <w:pPr>
        <w:widowControl w:val="0"/>
        <w:shd w:val="clear" w:color="auto" w:fill="FFFFFF"/>
        <w:rPr>
          <w:color w:val="222222"/>
          <w:sz w:val="22"/>
          <w:szCs w:val="22"/>
        </w:rPr>
      </w:pPr>
    </w:p>
    <w:p w14:paraId="461A3FFC" w14:textId="77777777" w:rsidR="009A7DBF" w:rsidRDefault="003F4922">
      <w:pPr>
        <w:widowControl w:val="0"/>
        <w:shd w:val="clear" w:color="auto" w:fill="FFFFFF"/>
        <w:rPr>
          <w:rFonts w:eastAsiaTheme="minorHAnsi"/>
          <w:color w:val="222222"/>
          <w:sz w:val="22"/>
          <w:szCs w:val="22"/>
          <w:lang w:val="lt-LT" w:eastAsia="en-US"/>
        </w:rPr>
      </w:pPr>
      <w:r>
        <w:rPr>
          <w:color w:val="222222"/>
          <w:sz w:val="22"/>
          <w:szCs w:val="22"/>
        </w:rPr>
        <w:t>TAD Pharma GmbH</w:t>
      </w:r>
    </w:p>
    <w:p w14:paraId="7815834E" w14:textId="77777777" w:rsidR="009A7DBF" w:rsidRDefault="003F4922">
      <w:pPr>
        <w:widowControl w:val="0"/>
        <w:shd w:val="clear" w:color="auto" w:fill="FFFFFF"/>
        <w:rPr>
          <w:rFonts w:eastAsiaTheme="minorHAnsi"/>
          <w:color w:val="222222"/>
          <w:sz w:val="22"/>
          <w:szCs w:val="22"/>
          <w:lang w:val="lt-LT" w:eastAsia="en-US"/>
        </w:rPr>
      </w:pPr>
      <w:r>
        <w:rPr>
          <w:color w:val="222222"/>
          <w:sz w:val="22"/>
          <w:szCs w:val="22"/>
        </w:rPr>
        <w:t>Heinz-Lohmann-Straße 5</w:t>
      </w:r>
    </w:p>
    <w:p w14:paraId="6C5B4297" w14:textId="77777777" w:rsidR="009A7DBF" w:rsidRDefault="003F4922">
      <w:pPr>
        <w:widowControl w:val="0"/>
        <w:shd w:val="clear" w:color="auto" w:fill="FFFFFF"/>
        <w:rPr>
          <w:rFonts w:eastAsiaTheme="minorHAnsi"/>
          <w:color w:val="222222"/>
          <w:sz w:val="22"/>
          <w:szCs w:val="22"/>
          <w:lang w:val="lt-LT" w:eastAsia="en-US"/>
        </w:rPr>
      </w:pPr>
      <w:r>
        <w:rPr>
          <w:color w:val="222222"/>
          <w:sz w:val="22"/>
          <w:szCs w:val="22"/>
        </w:rPr>
        <w:t>27472 Cuxhaven</w:t>
      </w:r>
    </w:p>
    <w:p w14:paraId="0416936B" w14:textId="77777777" w:rsidR="009A7DBF" w:rsidRDefault="003F4922">
      <w:pPr>
        <w:widowControl w:val="0"/>
        <w:shd w:val="clear" w:color="auto" w:fill="FFFFFF"/>
        <w:rPr>
          <w:rFonts w:eastAsiaTheme="minorHAnsi"/>
          <w:color w:val="222222"/>
          <w:sz w:val="22"/>
          <w:szCs w:val="22"/>
          <w:lang w:val="lt-LT" w:eastAsia="en-US"/>
        </w:rPr>
      </w:pPr>
      <w:r>
        <w:rPr>
          <w:color w:val="222222"/>
          <w:sz w:val="22"/>
          <w:szCs w:val="22"/>
        </w:rPr>
        <w:lastRenderedPageBreak/>
        <w:t>Vokietija</w:t>
      </w:r>
    </w:p>
    <w:p w14:paraId="71222D62" w14:textId="77777777" w:rsidR="009A7DBF" w:rsidRDefault="009A7DBF">
      <w:pPr>
        <w:widowControl w:val="0"/>
        <w:rPr>
          <w:sz w:val="22"/>
          <w:szCs w:val="22"/>
        </w:rPr>
      </w:pPr>
    </w:p>
    <w:p w14:paraId="47340DAD" w14:textId="77777777" w:rsidR="009A7DBF" w:rsidRDefault="003F4922">
      <w:pPr>
        <w:widowControl w:val="0"/>
        <w:rPr>
          <w:rFonts w:eastAsiaTheme="minorHAnsi"/>
          <w:sz w:val="22"/>
          <w:szCs w:val="22"/>
          <w:lang w:val="lt-LT" w:eastAsia="en-US"/>
        </w:rPr>
      </w:pPr>
      <w:r>
        <w:rPr>
          <w:sz w:val="22"/>
          <w:szCs w:val="22"/>
        </w:rPr>
        <w:t>Jeigu apie šį vaistą norite sužinoti daugiau, kreipkitės į vietinį registruotojo atstovą.</w:t>
      </w:r>
    </w:p>
    <w:p w14:paraId="32FD701A" w14:textId="77777777" w:rsidR="009A7DBF" w:rsidRDefault="003F4922">
      <w:pPr>
        <w:widowControl w:val="0"/>
        <w:rPr>
          <w:rFonts w:eastAsia="Calibri"/>
          <w:sz w:val="22"/>
          <w:szCs w:val="22"/>
          <w:lang w:val="lt-LT" w:eastAsia="en-US"/>
        </w:rPr>
      </w:pPr>
      <w:r>
        <w:rPr>
          <w:rFonts w:eastAsia="Calibri"/>
          <w:sz w:val="22"/>
          <w:szCs w:val="22"/>
        </w:rPr>
        <w:t>UAB KRKA Lietuva</w:t>
      </w:r>
    </w:p>
    <w:p w14:paraId="3FC26F82" w14:textId="77777777" w:rsidR="009A7DBF" w:rsidRDefault="003F4922">
      <w:pPr>
        <w:widowControl w:val="0"/>
        <w:rPr>
          <w:rFonts w:eastAsia="Calibri"/>
          <w:sz w:val="22"/>
          <w:szCs w:val="22"/>
          <w:lang w:val="lt-LT" w:eastAsia="en-US"/>
        </w:rPr>
      </w:pPr>
      <w:r>
        <w:rPr>
          <w:rFonts w:eastAsia="Calibri"/>
          <w:sz w:val="22"/>
          <w:szCs w:val="22"/>
        </w:rPr>
        <w:t>Senasis Ukmergės kelias 4,</w:t>
      </w:r>
    </w:p>
    <w:p w14:paraId="213CB4CE" w14:textId="77777777" w:rsidR="009A7DBF" w:rsidRDefault="003F4922">
      <w:pPr>
        <w:widowControl w:val="0"/>
        <w:rPr>
          <w:rFonts w:eastAsia="Calibri"/>
          <w:sz w:val="22"/>
          <w:szCs w:val="22"/>
          <w:lang w:val="lt-LT" w:eastAsia="en-US"/>
        </w:rPr>
      </w:pPr>
      <w:r>
        <w:rPr>
          <w:rFonts w:eastAsia="Calibri"/>
          <w:sz w:val="22"/>
          <w:szCs w:val="22"/>
        </w:rPr>
        <w:t>Užubalių km., Vilniaus r.</w:t>
      </w:r>
    </w:p>
    <w:p w14:paraId="30F10FDD" w14:textId="77777777" w:rsidR="009A7DBF" w:rsidRDefault="003F4922">
      <w:pPr>
        <w:widowControl w:val="0"/>
        <w:rPr>
          <w:rFonts w:eastAsia="Calibri"/>
          <w:sz w:val="22"/>
          <w:szCs w:val="22"/>
          <w:lang w:val="lt-LT" w:eastAsia="en-US"/>
        </w:rPr>
      </w:pPr>
      <w:r>
        <w:rPr>
          <w:rFonts w:eastAsia="Calibri"/>
          <w:sz w:val="22"/>
          <w:szCs w:val="22"/>
        </w:rPr>
        <w:t>LT - 14013</w:t>
      </w:r>
    </w:p>
    <w:p w14:paraId="2AFA60A3" w14:textId="77777777" w:rsidR="009A7DBF" w:rsidRDefault="003F4922">
      <w:pPr>
        <w:widowControl w:val="0"/>
        <w:rPr>
          <w:rFonts w:eastAsia="Calibri"/>
          <w:sz w:val="22"/>
          <w:szCs w:val="22"/>
          <w:lang w:val="lt-LT" w:eastAsia="en-US"/>
        </w:rPr>
      </w:pPr>
      <w:r>
        <w:rPr>
          <w:rFonts w:eastAsia="Calibri"/>
          <w:sz w:val="22"/>
          <w:szCs w:val="22"/>
        </w:rPr>
        <w:t>Tel. + 370 5 236 27 40</w:t>
      </w:r>
    </w:p>
    <w:p w14:paraId="625A0E67" w14:textId="77777777" w:rsidR="009A7DBF" w:rsidRDefault="009A7DBF">
      <w:pPr>
        <w:widowControl w:val="0"/>
        <w:rPr>
          <w:sz w:val="22"/>
          <w:szCs w:val="22"/>
        </w:rPr>
      </w:pPr>
    </w:p>
    <w:p w14:paraId="33E7604F" w14:textId="77777777" w:rsidR="009A7DBF" w:rsidRDefault="003F4922">
      <w:pPr>
        <w:widowControl w:val="0"/>
        <w:numPr>
          <w:ilvl w:val="12"/>
          <w:numId w:val="0"/>
        </w:numPr>
        <w:ind w:right="-2"/>
        <w:rPr>
          <w:rFonts w:eastAsia="Calibri"/>
          <w:sz w:val="22"/>
          <w:szCs w:val="22"/>
          <w:lang w:val="lt-LT" w:eastAsia="en-US"/>
        </w:rPr>
      </w:pPr>
      <w:r>
        <w:rPr>
          <w:rFonts w:eastAsia="Calibri"/>
          <w:b/>
          <w:sz w:val="22"/>
          <w:szCs w:val="22"/>
        </w:rPr>
        <w:t>Šis vaistas Europos ekonominės erdvės valstybėse narėse registruotas tokiais pavadinimais</w:t>
      </w:r>
      <w:r>
        <w:rPr>
          <w:rFonts w:eastAsia="Calibri"/>
          <w:sz w:val="22"/>
          <w:szCs w:val="22"/>
        </w:rPr>
        <w:t>:</w:t>
      </w:r>
    </w:p>
    <w:p w14:paraId="4E6676D6" w14:textId="77777777" w:rsidR="009A7DBF" w:rsidRDefault="009A7DBF">
      <w:pPr>
        <w:widowControl w:val="0"/>
        <w:numPr>
          <w:ilvl w:val="12"/>
          <w:numId w:val="0"/>
        </w:numPr>
        <w:ind w:right="-2"/>
        <w:rPr>
          <w:rFonts w:eastAsia="Calibri"/>
          <w:sz w:val="22"/>
          <w:szCs w:val="22"/>
        </w:rPr>
      </w:pPr>
    </w:p>
    <w:tbl>
      <w:tblPr>
        <w:tblW w:w="90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4"/>
        <w:gridCol w:w="2340"/>
      </w:tblGrid>
      <w:tr w:rsidR="009A7DBF" w14:paraId="2D9868BF" w14:textId="77777777">
        <w:tc>
          <w:tcPr>
            <w:tcW w:w="6674" w:type="dxa"/>
          </w:tcPr>
          <w:p w14:paraId="4BE9DC2A" w14:textId="77777777" w:rsidR="009A7DBF" w:rsidRDefault="003F4922">
            <w:pPr>
              <w:jc w:val="center"/>
              <w:rPr>
                <w:rFonts w:eastAsia="Calibri"/>
                <w:b/>
                <w:sz w:val="22"/>
                <w:szCs w:val="22"/>
              </w:rPr>
            </w:pPr>
            <w:r>
              <w:rPr>
                <w:rFonts w:eastAsia="Calibri"/>
                <w:b/>
                <w:sz w:val="22"/>
                <w:szCs w:val="22"/>
              </w:rPr>
              <w:t>Valstybės narės pavadinimas</w:t>
            </w:r>
          </w:p>
        </w:tc>
        <w:tc>
          <w:tcPr>
            <w:tcW w:w="2340" w:type="dxa"/>
          </w:tcPr>
          <w:p w14:paraId="65B00ABA" w14:textId="77777777" w:rsidR="009A7DBF" w:rsidRDefault="003F4922">
            <w:pPr>
              <w:jc w:val="center"/>
              <w:rPr>
                <w:rFonts w:eastAsia="Calibri"/>
                <w:b/>
                <w:sz w:val="22"/>
                <w:szCs w:val="22"/>
                <w:lang w:val="lt-LT" w:eastAsia="en-US"/>
              </w:rPr>
            </w:pPr>
            <w:r>
              <w:rPr>
                <w:rFonts w:eastAsia="Calibri"/>
                <w:b/>
                <w:sz w:val="22"/>
                <w:szCs w:val="22"/>
              </w:rPr>
              <w:t>Vaisto pavadinimas</w:t>
            </w:r>
          </w:p>
        </w:tc>
      </w:tr>
      <w:tr w:rsidR="009A7DBF" w14:paraId="502BD0BE" w14:textId="77777777">
        <w:tc>
          <w:tcPr>
            <w:tcW w:w="6674" w:type="dxa"/>
          </w:tcPr>
          <w:p w14:paraId="4AF745CC" w14:textId="77777777" w:rsidR="009A7DBF" w:rsidRDefault="003F4922">
            <w:pPr>
              <w:rPr>
                <w:rFonts w:eastAsia="Calibri"/>
                <w:sz w:val="22"/>
                <w:szCs w:val="22"/>
              </w:rPr>
            </w:pPr>
            <w:r>
              <w:rPr>
                <w:rFonts w:eastAsia="Calibri"/>
                <w:sz w:val="22"/>
                <w:szCs w:val="22"/>
              </w:rPr>
              <w:t xml:space="preserve">Estija, Lietuva, Slovėnija, Slovakija, Čekija, Lenkija, Vengrija, Rumunija, </w:t>
            </w:r>
          </w:p>
        </w:tc>
        <w:tc>
          <w:tcPr>
            <w:tcW w:w="2340" w:type="dxa"/>
          </w:tcPr>
          <w:p w14:paraId="0B3D77DB" w14:textId="77777777" w:rsidR="009A7DBF" w:rsidRDefault="003F4922">
            <w:pPr>
              <w:rPr>
                <w:rFonts w:eastAsia="Calibri"/>
                <w:sz w:val="22"/>
                <w:szCs w:val="22"/>
                <w:lang w:val="lt-LT" w:eastAsia="en-US"/>
              </w:rPr>
            </w:pPr>
            <w:r>
              <w:rPr>
                <w:rFonts w:eastAsia="Calibri"/>
                <w:sz w:val="22"/>
                <w:szCs w:val="22"/>
              </w:rPr>
              <w:t>Aclexa</w:t>
            </w:r>
          </w:p>
        </w:tc>
      </w:tr>
      <w:tr w:rsidR="009A7DBF" w14:paraId="27F3E0FF" w14:textId="77777777">
        <w:tc>
          <w:tcPr>
            <w:tcW w:w="6674" w:type="dxa"/>
          </w:tcPr>
          <w:p w14:paraId="3BF3EE1A" w14:textId="77777777" w:rsidR="009A7DBF" w:rsidRDefault="003F4922">
            <w:pPr>
              <w:rPr>
                <w:rFonts w:eastAsia="Calibri"/>
                <w:sz w:val="22"/>
                <w:szCs w:val="22"/>
              </w:rPr>
            </w:pPr>
            <w:r>
              <w:rPr>
                <w:rFonts w:eastAsia="Calibri"/>
                <w:sz w:val="22"/>
                <w:szCs w:val="22"/>
              </w:rPr>
              <w:t>Bulgarija</w:t>
            </w:r>
          </w:p>
        </w:tc>
        <w:tc>
          <w:tcPr>
            <w:tcW w:w="2340" w:type="dxa"/>
          </w:tcPr>
          <w:p w14:paraId="18023690" w14:textId="77777777" w:rsidR="009A7DBF" w:rsidRDefault="003F4922">
            <w:pPr>
              <w:rPr>
                <w:rFonts w:eastAsia="Calibri"/>
                <w:sz w:val="22"/>
                <w:szCs w:val="22"/>
              </w:rPr>
            </w:pPr>
            <w:r>
              <w:rPr>
                <w:rFonts w:eastAsia="Calibri"/>
                <w:sz w:val="22"/>
                <w:szCs w:val="22"/>
              </w:rPr>
              <w:t>A</w:t>
            </w:r>
            <w:r>
              <w:rPr>
                <w:rFonts w:eastAsia="Calibri"/>
                <w:sz w:val="22"/>
                <w:szCs w:val="22"/>
                <w:lang w:val="bg-BG"/>
              </w:rPr>
              <w:t>клекса</w:t>
            </w:r>
          </w:p>
        </w:tc>
      </w:tr>
      <w:tr w:rsidR="009A7DBF" w14:paraId="33E07B92" w14:textId="77777777">
        <w:tc>
          <w:tcPr>
            <w:tcW w:w="6674" w:type="dxa"/>
          </w:tcPr>
          <w:p w14:paraId="520B5055" w14:textId="77777777" w:rsidR="009A7DBF" w:rsidRDefault="003F4922">
            <w:pPr>
              <w:rPr>
                <w:rFonts w:eastAsia="Calibri"/>
                <w:sz w:val="22"/>
                <w:szCs w:val="22"/>
              </w:rPr>
            </w:pPr>
            <w:r>
              <w:rPr>
                <w:rFonts w:eastAsia="Calibri"/>
                <w:sz w:val="22"/>
                <w:szCs w:val="22"/>
              </w:rPr>
              <w:t>Vokietija</w:t>
            </w:r>
          </w:p>
        </w:tc>
        <w:tc>
          <w:tcPr>
            <w:tcW w:w="2340" w:type="dxa"/>
          </w:tcPr>
          <w:p w14:paraId="1715A17A" w14:textId="77777777" w:rsidR="009A7DBF" w:rsidRDefault="003F4922">
            <w:pPr>
              <w:rPr>
                <w:rFonts w:eastAsia="Calibri"/>
                <w:sz w:val="22"/>
                <w:szCs w:val="22"/>
                <w:lang w:val="lt-LT" w:eastAsia="en-US"/>
              </w:rPr>
            </w:pPr>
            <w:r>
              <w:rPr>
                <w:rFonts w:eastAsia="Calibri"/>
                <w:sz w:val="22"/>
                <w:szCs w:val="22"/>
              </w:rPr>
              <w:t>Celecoxib TAD</w:t>
            </w:r>
          </w:p>
        </w:tc>
      </w:tr>
      <w:tr w:rsidR="009A7DBF" w14:paraId="521A8F16" w14:textId="77777777">
        <w:tc>
          <w:tcPr>
            <w:tcW w:w="6674" w:type="dxa"/>
          </w:tcPr>
          <w:p w14:paraId="45F156FF" w14:textId="77777777" w:rsidR="009A7DBF" w:rsidRDefault="003F4922">
            <w:pPr>
              <w:rPr>
                <w:rFonts w:eastAsia="Calibri"/>
                <w:sz w:val="22"/>
                <w:szCs w:val="22"/>
              </w:rPr>
            </w:pPr>
            <w:r>
              <w:rPr>
                <w:rFonts w:eastAsia="Calibri"/>
                <w:sz w:val="22"/>
                <w:szCs w:val="22"/>
              </w:rPr>
              <w:t>Ispanija, Portugalija, Danija, Švedija, Suomija, Airija, Belgija, Nyderlandai</w:t>
            </w:r>
          </w:p>
        </w:tc>
        <w:tc>
          <w:tcPr>
            <w:tcW w:w="2340" w:type="dxa"/>
          </w:tcPr>
          <w:p w14:paraId="56A34F00" w14:textId="77777777" w:rsidR="009A7DBF" w:rsidRDefault="003F4922">
            <w:pPr>
              <w:rPr>
                <w:rFonts w:eastAsia="Calibri"/>
                <w:sz w:val="22"/>
                <w:szCs w:val="22"/>
                <w:lang w:val="lt-LT" w:eastAsia="en-US"/>
              </w:rPr>
            </w:pPr>
            <w:r>
              <w:rPr>
                <w:rFonts w:eastAsia="Calibri"/>
                <w:sz w:val="22"/>
                <w:szCs w:val="22"/>
              </w:rPr>
              <w:t>Celecoxib Krka</w:t>
            </w:r>
          </w:p>
        </w:tc>
      </w:tr>
      <w:tr w:rsidR="009A7DBF" w14:paraId="3AE059E2" w14:textId="77777777">
        <w:tc>
          <w:tcPr>
            <w:tcW w:w="6674" w:type="dxa"/>
          </w:tcPr>
          <w:p w14:paraId="5FF021E5" w14:textId="77777777" w:rsidR="009A7DBF" w:rsidRDefault="003F4922">
            <w:pPr>
              <w:rPr>
                <w:rFonts w:eastAsia="Calibri"/>
                <w:sz w:val="22"/>
                <w:szCs w:val="22"/>
              </w:rPr>
            </w:pPr>
            <w:r>
              <w:rPr>
                <w:rFonts w:eastAsia="Calibri"/>
                <w:sz w:val="22"/>
                <w:szCs w:val="22"/>
              </w:rPr>
              <w:t>Jungtinė Karalystė</w:t>
            </w:r>
          </w:p>
        </w:tc>
        <w:tc>
          <w:tcPr>
            <w:tcW w:w="2340" w:type="dxa"/>
          </w:tcPr>
          <w:p w14:paraId="1A514568" w14:textId="77777777" w:rsidR="009A7DBF" w:rsidRDefault="003F4922">
            <w:pPr>
              <w:rPr>
                <w:rFonts w:eastAsia="Calibri"/>
                <w:sz w:val="22"/>
                <w:szCs w:val="22"/>
                <w:lang w:val="lt-LT" w:eastAsia="en-US"/>
              </w:rPr>
            </w:pPr>
            <w:r>
              <w:rPr>
                <w:rFonts w:eastAsia="Calibri"/>
                <w:sz w:val="22"/>
                <w:szCs w:val="22"/>
              </w:rPr>
              <w:t>Celecoxib</w:t>
            </w:r>
          </w:p>
        </w:tc>
      </w:tr>
      <w:tr w:rsidR="009A7DBF" w14:paraId="2EFAFDE0" w14:textId="77777777">
        <w:tc>
          <w:tcPr>
            <w:tcW w:w="6674" w:type="dxa"/>
          </w:tcPr>
          <w:p w14:paraId="4BE5084B" w14:textId="77777777" w:rsidR="009A7DBF" w:rsidRDefault="003F4922">
            <w:pPr>
              <w:rPr>
                <w:rFonts w:eastAsia="Calibri"/>
                <w:sz w:val="22"/>
                <w:szCs w:val="22"/>
              </w:rPr>
            </w:pPr>
            <w:r>
              <w:rPr>
                <w:rFonts w:eastAsia="Calibri"/>
                <w:sz w:val="22"/>
                <w:szCs w:val="22"/>
              </w:rPr>
              <w:t>Prancūzija</w:t>
            </w:r>
          </w:p>
        </w:tc>
        <w:tc>
          <w:tcPr>
            <w:tcW w:w="2340" w:type="dxa"/>
          </w:tcPr>
          <w:p w14:paraId="2C7C133E" w14:textId="77777777" w:rsidR="009A7DBF" w:rsidRDefault="003F4922">
            <w:pPr>
              <w:rPr>
                <w:rFonts w:eastAsia="Calibri"/>
                <w:sz w:val="22"/>
                <w:szCs w:val="22"/>
              </w:rPr>
            </w:pPr>
            <w:r>
              <w:rPr>
                <w:rFonts w:eastAsia="Calibri"/>
                <w:sz w:val="22"/>
                <w:szCs w:val="22"/>
              </w:rPr>
              <w:t>Celecoxib HCS</w:t>
            </w:r>
          </w:p>
        </w:tc>
      </w:tr>
    </w:tbl>
    <w:p w14:paraId="6DEA57BC" w14:textId="77777777" w:rsidR="009A7DBF" w:rsidRDefault="009A7DBF">
      <w:pPr>
        <w:widowControl w:val="0"/>
        <w:ind w:left="567" w:hanging="567"/>
        <w:outlineLvl w:val="0"/>
        <w:rPr>
          <w:sz w:val="22"/>
          <w:szCs w:val="22"/>
        </w:rPr>
      </w:pPr>
    </w:p>
    <w:p w14:paraId="5234AD93" w14:textId="569AA6B0" w:rsidR="009A7DBF" w:rsidRDefault="003F4922">
      <w:pPr>
        <w:widowControl w:val="0"/>
        <w:ind w:left="567" w:hanging="567"/>
        <w:outlineLvl w:val="0"/>
        <w:rPr>
          <w:rFonts w:eastAsiaTheme="minorHAnsi"/>
          <w:b/>
          <w:sz w:val="22"/>
          <w:szCs w:val="22"/>
          <w:lang w:val="lt-LT" w:eastAsia="en-US"/>
        </w:rPr>
      </w:pPr>
      <w:r>
        <w:rPr>
          <w:b/>
          <w:sz w:val="22"/>
          <w:szCs w:val="22"/>
        </w:rPr>
        <w:t xml:space="preserve">Šis pakuotės lapelis paskutinį kartą peržiūrėtas </w:t>
      </w:r>
      <w:r w:rsidR="00691DCD">
        <w:rPr>
          <w:b/>
          <w:sz w:val="22"/>
          <w:szCs w:val="22"/>
        </w:rPr>
        <w:t>2026-04-23</w:t>
      </w:r>
      <w:r>
        <w:rPr>
          <w:b/>
          <w:sz w:val="22"/>
        </w:rPr>
        <w:t>.</w:t>
      </w:r>
    </w:p>
    <w:p w14:paraId="49F3B7FE" w14:textId="77777777" w:rsidR="009A7DBF" w:rsidRDefault="009A7DBF">
      <w:pPr>
        <w:widowControl w:val="0"/>
        <w:ind w:left="567" w:hanging="567"/>
        <w:rPr>
          <w:sz w:val="22"/>
          <w:szCs w:val="22"/>
        </w:rPr>
      </w:pPr>
    </w:p>
    <w:p w14:paraId="25E67214" w14:textId="77777777" w:rsidR="009A7DBF" w:rsidRDefault="009A7DBF">
      <w:pPr>
        <w:widowControl w:val="0"/>
        <w:ind w:left="567" w:hanging="567"/>
        <w:rPr>
          <w:sz w:val="22"/>
          <w:szCs w:val="22"/>
        </w:rPr>
      </w:pPr>
    </w:p>
    <w:p w14:paraId="14B324D6" w14:textId="77777777" w:rsidR="009A7DBF" w:rsidRDefault="003F4922">
      <w:pPr>
        <w:widowControl w:val="0"/>
        <w:numPr>
          <w:ilvl w:val="12"/>
          <w:numId w:val="0"/>
        </w:numPr>
        <w:ind w:right="-2"/>
        <w:rPr>
          <w:rFonts w:eastAsia="Calibri"/>
          <w:sz w:val="22"/>
          <w:szCs w:val="22"/>
        </w:rPr>
      </w:pPr>
      <w:r>
        <w:rPr>
          <w:rFonts w:eastAsia="Calibri"/>
          <w:sz w:val="22"/>
          <w:szCs w:val="22"/>
        </w:rPr>
        <w:t>Išsami informacija apie šį vaistą pateikiama Valstybinės vaistų kontrolės tarnybos prie Lietuvos Respublikos sveikatos apsaugos ministerijos tinklalapyje</w:t>
      </w:r>
      <w:r>
        <w:rPr>
          <w:rFonts w:eastAsia="Calibri"/>
          <w:i/>
          <w:sz w:val="22"/>
          <w:szCs w:val="22"/>
        </w:rPr>
        <w:t xml:space="preserve"> </w:t>
      </w:r>
      <w:hyperlink r:id="rId9" w:history="1">
        <w:r>
          <w:rPr>
            <w:rStyle w:val="Hipersaitas"/>
            <w:sz w:val="22"/>
            <w:lang w:val="sl-SI"/>
          </w:rPr>
          <w:t>https://vvkt.lrv.lt/lt/</w:t>
        </w:r>
      </w:hyperlink>
      <w:r>
        <w:rPr>
          <w:rFonts w:eastAsia="Calibri"/>
          <w:sz w:val="22"/>
          <w:szCs w:val="22"/>
        </w:rPr>
        <w:t>.</w:t>
      </w:r>
    </w:p>
    <w:p w14:paraId="3798E8BB" w14:textId="77777777" w:rsidR="009A7DBF" w:rsidRDefault="009A7DBF">
      <w:pPr>
        <w:widowControl w:val="0"/>
        <w:numPr>
          <w:ilvl w:val="12"/>
          <w:numId w:val="0"/>
        </w:numPr>
        <w:ind w:right="-2"/>
        <w:rPr>
          <w:rFonts w:eastAsia="Calibri"/>
          <w:sz w:val="22"/>
          <w:szCs w:val="22"/>
        </w:rPr>
      </w:pPr>
    </w:p>
    <w:p w14:paraId="00251040" w14:textId="77777777" w:rsidR="009A7DBF" w:rsidRDefault="009A7DBF">
      <w:pPr>
        <w:widowControl w:val="0"/>
        <w:numPr>
          <w:ilvl w:val="12"/>
          <w:numId w:val="0"/>
        </w:numPr>
        <w:ind w:right="-2"/>
        <w:rPr>
          <w:rFonts w:eastAsia="Calibri" w:cstheme="minorBidi"/>
          <w:sz w:val="22"/>
          <w:szCs w:val="22"/>
          <w:lang w:val="lt-LT" w:eastAsia="en-US"/>
        </w:rPr>
      </w:pPr>
    </w:p>
    <w:sectPr w:rsidR="009A7DBF">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FE655" w14:textId="77777777" w:rsidR="00980015" w:rsidRDefault="00980015">
      <w:r>
        <w:separator/>
      </w:r>
    </w:p>
  </w:endnote>
  <w:endnote w:type="continuationSeparator" w:id="0">
    <w:p w14:paraId="5BD6FD1B" w14:textId="77777777" w:rsidR="00980015" w:rsidRDefault="00980015">
      <w:r>
        <w:continuationSeparator/>
      </w:r>
    </w:p>
  </w:endnote>
  <w:endnote w:type="continuationNotice" w:id="1">
    <w:p w14:paraId="0A0A85E9" w14:textId="77777777" w:rsidR="00980015" w:rsidRDefault="00980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DokChampa">
    <w:charset w:val="00"/>
    <w:family w:val="swiss"/>
    <w:pitch w:val="variable"/>
    <w:sig w:usb0="03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384F" w14:textId="77777777" w:rsidR="009A7DBF" w:rsidRDefault="003F492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4A0564" w14:textId="77777777" w:rsidR="009A7DBF" w:rsidRDefault="009A7DB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C3D2" w14:textId="77777777" w:rsidR="009A7DBF" w:rsidRDefault="009A7DB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571B" w14:textId="77777777" w:rsidR="009A7DBF" w:rsidRDefault="009A7D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3C960" w14:textId="77777777" w:rsidR="00980015" w:rsidRDefault="00980015">
      <w:r>
        <w:separator/>
      </w:r>
    </w:p>
  </w:footnote>
  <w:footnote w:type="continuationSeparator" w:id="0">
    <w:p w14:paraId="3A2773B6" w14:textId="77777777" w:rsidR="00980015" w:rsidRDefault="00980015">
      <w:r>
        <w:continuationSeparator/>
      </w:r>
    </w:p>
  </w:footnote>
  <w:footnote w:type="continuationNotice" w:id="1">
    <w:p w14:paraId="0095D555" w14:textId="77777777" w:rsidR="00980015" w:rsidRDefault="009800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5EC4" w14:textId="77777777" w:rsidR="009A7DBF" w:rsidRDefault="009A7DB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D031" w14:textId="77777777" w:rsidR="009A7DBF" w:rsidRDefault="009A7DBF">
    <w:pPr>
      <w:spacing w:line="20" w:lineRule="exact"/>
    </w:pPr>
  </w:p>
  <w:p w14:paraId="5F0ECCA7" w14:textId="77777777" w:rsidR="009A7DBF" w:rsidRDefault="009A7DBF">
    <w:pPr>
      <w:pStyle w:val="Antrats"/>
    </w:pPr>
    <w:bookmarkStart w:id="2" w:name="TableTag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77DD" w14:textId="77777777" w:rsidR="009A7DBF" w:rsidRDefault="009A7D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B5460"/>
    <w:multiLevelType w:val="hybridMultilevel"/>
    <w:tmpl w:val="80A6DDF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C96A65"/>
    <w:multiLevelType w:val="hybridMultilevel"/>
    <w:tmpl w:val="D33A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9EB0B9A"/>
    <w:multiLevelType w:val="hybridMultilevel"/>
    <w:tmpl w:val="9558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922E1"/>
    <w:multiLevelType w:val="hybridMultilevel"/>
    <w:tmpl w:val="AA74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37B36"/>
    <w:multiLevelType w:val="hybridMultilevel"/>
    <w:tmpl w:val="1C3C9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34BA3"/>
    <w:multiLevelType w:val="hybridMultilevel"/>
    <w:tmpl w:val="D70C8C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686E0F"/>
    <w:multiLevelType w:val="hybridMultilevel"/>
    <w:tmpl w:val="EFA06812"/>
    <w:lvl w:ilvl="0" w:tplc="0FB640A4">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C7035"/>
    <w:multiLevelType w:val="hybridMultilevel"/>
    <w:tmpl w:val="DE64430E"/>
    <w:lvl w:ilvl="0" w:tplc="0FB640A4">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1747AFD"/>
    <w:multiLevelType w:val="hybridMultilevel"/>
    <w:tmpl w:val="062298D6"/>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D02B71"/>
    <w:multiLevelType w:val="hybridMultilevel"/>
    <w:tmpl w:val="DE90BE1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833EB"/>
    <w:multiLevelType w:val="hybridMultilevel"/>
    <w:tmpl w:val="DC3EE104"/>
    <w:lvl w:ilvl="0" w:tplc="04F803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A4BFE"/>
    <w:multiLevelType w:val="hybridMultilevel"/>
    <w:tmpl w:val="3136341C"/>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F127968"/>
    <w:multiLevelType w:val="hybridMultilevel"/>
    <w:tmpl w:val="C58AF758"/>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210C02"/>
    <w:multiLevelType w:val="hybridMultilevel"/>
    <w:tmpl w:val="6096AEFA"/>
    <w:lvl w:ilvl="0" w:tplc="04090001">
      <w:start w:val="1"/>
      <w:numFmt w:val="bullet"/>
      <w:lvlText w:val=""/>
      <w:lvlJc w:val="left"/>
      <w:pPr>
        <w:ind w:left="720" w:hanging="360"/>
      </w:pPr>
      <w:rPr>
        <w:rFonts w:ascii="Symbol" w:hAnsi="Symbol" w:hint="default"/>
      </w:rPr>
    </w:lvl>
    <w:lvl w:ilvl="1" w:tplc="0FB640A4">
      <w:start w:val="1"/>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00004A1"/>
    <w:multiLevelType w:val="hybridMultilevel"/>
    <w:tmpl w:val="8796EE7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C2453"/>
    <w:multiLevelType w:val="hybridMultilevel"/>
    <w:tmpl w:val="6110FA5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951A4E"/>
    <w:multiLevelType w:val="hybridMultilevel"/>
    <w:tmpl w:val="9586B8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A54C0E"/>
    <w:multiLevelType w:val="hybridMultilevel"/>
    <w:tmpl w:val="D07E247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9F44CAC"/>
    <w:multiLevelType w:val="hybridMultilevel"/>
    <w:tmpl w:val="4AA8A26E"/>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12214642">
    <w:abstractNumId w:val="18"/>
  </w:num>
  <w:num w:numId="2" w16cid:durableId="1371808849">
    <w:abstractNumId w:val="6"/>
  </w:num>
  <w:num w:numId="3" w16cid:durableId="1360472416">
    <w:abstractNumId w:val="3"/>
  </w:num>
  <w:num w:numId="4" w16cid:durableId="1016734815">
    <w:abstractNumId w:val="0"/>
    <w:lvlOverride w:ilvl="0">
      <w:lvl w:ilvl="0">
        <w:start w:val="1"/>
        <w:numFmt w:val="bullet"/>
        <w:lvlText w:val="-"/>
        <w:legacy w:legacy="1" w:legacySpace="0" w:legacyIndent="360"/>
        <w:lvlJc w:val="left"/>
        <w:pPr>
          <w:ind w:left="360" w:hanging="360"/>
        </w:pPr>
      </w:lvl>
    </w:lvlOverride>
  </w:num>
  <w:num w:numId="5" w16cid:durableId="250085700">
    <w:abstractNumId w:val="22"/>
  </w:num>
  <w:num w:numId="6" w16cid:durableId="672143667">
    <w:abstractNumId w:val="23"/>
  </w:num>
  <w:num w:numId="7" w16cid:durableId="523597091">
    <w:abstractNumId w:val="13"/>
  </w:num>
  <w:num w:numId="8" w16cid:durableId="1361198749">
    <w:abstractNumId w:val="19"/>
  </w:num>
  <w:num w:numId="9" w16cid:durableId="1205212551">
    <w:abstractNumId w:val="11"/>
  </w:num>
  <w:num w:numId="10" w16cid:durableId="1771193779">
    <w:abstractNumId w:val="14"/>
  </w:num>
  <w:num w:numId="11" w16cid:durableId="1634434961">
    <w:abstractNumId w:val="8"/>
  </w:num>
  <w:num w:numId="12" w16cid:durableId="1828520655">
    <w:abstractNumId w:val="5"/>
  </w:num>
  <w:num w:numId="13" w16cid:durableId="1680883996">
    <w:abstractNumId w:val="2"/>
  </w:num>
  <w:num w:numId="14" w16cid:durableId="25713352">
    <w:abstractNumId w:val="4"/>
  </w:num>
  <w:num w:numId="15" w16cid:durableId="937522773">
    <w:abstractNumId w:val="24"/>
  </w:num>
  <w:num w:numId="16" w16cid:durableId="135340913">
    <w:abstractNumId w:val="7"/>
  </w:num>
  <w:num w:numId="17" w16cid:durableId="1772310314">
    <w:abstractNumId w:val="15"/>
  </w:num>
  <w:num w:numId="18" w16cid:durableId="826821854">
    <w:abstractNumId w:val="17"/>
  </w:num>
  <w:num w:numId="19" w16cid:durableId="2025201703">
    <w:abstractNumId w:val="10"/>
  </w:num>
  <w:num w:numId="20" w16cid:durableId="1486243397">
    <w:abstractNumId w:val="20"/>
  </w:num>
  <w:num w:numId="21" w16cid:durableId="688457249">
    <w:abstractNumId w:val="12"/>
  </w:num>
  <w:num w:numId="22" w16cid:durableId="1377390897">
    <w:abstractNumId w:val="28"/>
  </w:num>
  <w:num w:numId="23" w16cid:durableId="71242837">
    <w:abstractNumId w:val="16"/>
  </w:num>
  <w:num w:numId="24" w16cid:durableId="1327199970">
    <w:abstractNumId w:val="26"/>
  </w:num>
  <w:num w:numId="25" w16cid:durableId="941759693">
    <w:abstractNumId w:val="25"/>
  </w:num>
  <w:num w:numId="26" w16cid:durableId="1957911218">
    <w:abstractNumId w:val="9"/>
  </w:num>
  <w:num w:numId="27" w16cid:durableId="1484616120">
    <w:abstractNumId w:val="21"/>
  </w:num>
  <w:num w:numId="28" w16cid:durableId="1957329657">
    <w:abstractNumId w:val="1"/>
  </w:num>
  <w:num w:numId="29" w16cid:durableId="8183048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DBF"/>
    <w:rsid w:val="000A2E42"/>
    <w:rsid w:val="00186C84"/>
    <w:rsid w:val="001B4246"/>
    <w:rsid w:val="002D061E"/>
    <w:rsid w:val="002E2E9F"/>
    <w:rsid w:val="0038751D"/>
    <w:rsid w:val="003D393F"/>
    <w:rsid w:val="003F4922"/>
    <w:rsid w:val="0042487C"/>
    <w:rsid w:val="004C199D"/>
    <w:rsid w:val="00691DCD"/>
    <w:rsid w:val="007429C2"/>
    <w:rsid w:val="007C170D"/>
    <w:rsid w:val="007D0625"/>
    <w:rsid w:val="007F213F"/>
    <w:rsid w:val="008062B6"/>
    <w:rsid w:val="00843650"/>
    <w:rsid w:val="008F2274"/>
    <w:rsid w:val="00980015"/>
    <w:rsid w:val="009A3FAA"/>
    <w:rsid w:val="009A7DBF"/>
    <w:rsid w:val="00AF739A"/>
    <w:rsid w:val="00E4295D"/>
    <w:rsid w:val="00F35B1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69620"/>
  <w15:chartTrackingRefBased/>
  <w15:docId w15:val="{6F56385D-58C6-4331-8289-C3AB0299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HTML Typewriter"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sl-SI" w:eastAsia="sl-SI"/>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spacing w:before="240" w:after="60"/>
      <w:outlineLvl w:val="3"/>
    </w:pPr>
    <w:rPr>
      <w:b/>
      <w:bCs/>
      <w:sz w:val="28"/>
      <w:szCs w:val="28"/>
    </w:rPr>
  </w:style>
  <w:style w:type="paragraph" w:styleId="Antrat5">
    <w:name w:val="heading 5"/>
    <w:basedOn w:val="prastasis"/>
    <w:next w:val="prastasis"/>
    <w:link w:val="Antrat5Diagrama"/>
    <w:qFormat/>
    <w:pPr>
      <w:keepNext/>
      <w:tabs>
        <w:tab w:val="left" w:pos="567"/>
      </w:tabs>
      <w:spacing w:line="260" w:lineRule="exact"/>
      <w:jc w:val="both"/>
      <w:outlineLvl w:val="4"/>
    </w:pPr>
    <w:rPr>
      <w:noProof/>
      <w:sz w:val="20"/>
      <w:lang w:val="cs-CZ" w:eastAsia="x-none"/>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i/>
      <w:sz w:val="20"/>
      <w:lang w:val="cs-CZ" w:eastAsia="x-none"/>
    </w:rPr>
  </w:style>
  <w:style w:type="paragraph" w:styleId="Antrat8">
    <w:name w:val="heading 8"/>
    <w:basedOn w:val="prastasis"/>
    <w:next w:val="prastasis"/>
    <w:link w:val="Antrat8Diagrama"/>
    <w:qFormat/>
    <w:pPr>
      <w:keepNext/>
      <w:tabs>
        <w:tab w:val="left" w:pos="567"/>
      </w:tabs>
      <w:spacing w:line="260" w:lineRule="exact"/>
      <w:ind w:left="567" w:hanging="567"/>
      <w:jc w:val="both"/>
      <w:outlineLvl w:val="7"/>
    </w:pPr>
    <w:rPr>
      <w:b/>
      <w:i/>
      <w:sz w:val="20"/>
      <w:lang w:val="cs-CZ" w:eastAsia="x-none"/>
    </w:rPr>
  </w:style>
  <w:style w:type="paragraph" w:styleId="Antrat9">
    <w:name w:val="heading 9"/>
    <w:basedOn w:val="prastasis"/>
    <w:next w:val="prastasis"/>
    <w:link w:val="Antrat9Diagrama"/>
    <w:qFormat/>
    <w:pPr>
      <w:keepNext/>
      <w:tabs>
        <w:tab w:val="left" w:pos="567"/>
      </w:tabs>
      <w:spacing w:line="260" w:lineRule="exact"/>
      <w:jc w:val="both"/>
      <w:outlineLvl w:val="8"/>
    </w:pPr>
    <w:rPr>
      <w:b/>
      <w:i/>
      <w:sz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320"/>
        <w:tab w:val="right" w:pos="8640"/>
      </w:tabs>
    </w:pPr>
  </w:style>
  <w:style w:type="table" w:styleId="Lentelstinklelis">
    <w:name w:val="Table Grid"/>
    <w:basedOn w:val="prastojilent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uiPriority w:val="99"/>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link w:val="Pagrindinistekstas2Diagrama"/>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5Diagrama">
    <w:name w:val="Antraštė 5 Diagrama"/>
    <w:link w:val="Antrat5"/>
    <w:rPr>
      <w:noProof/>
      <w:lang w:val="cs-CZ" w:eastAsia="x-none"/>
    </w:rPr>
  </w:style>
  <w:style w:type="character" w:customStyle="1" w:styleId="Antrat7Diagrama">
    <w:name w:val="Antraštė 7 Diagrama"/>
    <w:link w:val="Antrat7"/>
    <w:rPr>
      <w:i/>
      <w:lang w:val="cs-CZ" w:eastAsia="x-none"/>
    </w:rPr>
  </w:style>
  <w:style w:type="character" w:customStyle="1" w:styleId="Antrat8Diagrama">
    <w:name w:val="Antraštė 8 Diagrama"/>
    <w:link w:val="Antrat8"/>
    <w:rPr>
      <w:b/>
      <w:i/>
      <w:lang w:val="cs-CZ" w:eastAsia="x-none"/>
    </w:rPr>
  </w:style>
  <w:style w:type="character" w:customStyle="1" w:styleId="Antrat9Diagrama">
    <w:name w:val="Antraštė 9 Diagrama"/>
    <w:link w:val="Antrat9"/>
    <w:rPr>
      <w:b/>
      <w:i/>
      <w:lang w:val="cs-CZ" w:eastAsia="x-none"/>
    </w:rPr>
  </w:style>
  <w:style w:type="numbering" w:customStyle="1" w:styleId="Brezseznama1">
    <w:name w:val="Brez seznama1"/>
    <w:next w:val="Sraonra"/>
    <w:uiPriority w:val="99"/>
    <w:semiHidden/>
    <w:unhideWhenUsed/>
  </w:style>
  <w:style w:type="character" w:customStyle="1" w:styleId="Antrat1Diagrama">
    <w:name w:val="Antraštė 1 Diagrama"/>
    <w:link w:val="Antrat1"/>
    <w:rPr>
      <w:rFonts w:ascii="Arial" w:hAnsi="Arial" w:cs="Arial"/>
      <w:b/>
      <w:bCs/>
      <w:kern w:val="32"/>
      <w:sz w:val="32"/>
      <w:szCs w:val="32"/>
      <w:lang w:val="sl-SI" w:eastAsia="sl-SI"/>
    </w:rPr>
  </w:style>
  <w:style w:type="character" w:customStyle="1" w:styleId="Antrat2Diagrama">
    <w:name w:val="Antraštė 2 Diagrama"/>
    <w:link w:val="Antrat2"/>
    <w:rPr>
      <w:b/>
      <w:sz w:val="24"/>
      <w:u w:val="single"/>
      <w:lang w:val="en-US" w:eastAsia="sl-SI"/>
    </w:rPr>
  </w:style>
  <w:style w:type="character" w:customStyle="1" w:styleId="Antrat3Diagrama">
    <w:name w:val="Antraštė 3 Diagrama"/>
    <w:link w:val="Antrat3"/>
    <w:rPr>
      <w:b/>
      <w:sz w:val="24"/>
      <w:lang w:val="en-US" w:eastAsia="sl-SI"/>
    </w:rPr>
  </w:style>
  <w:style w:type="character" w:customStyle="1" w:styleId="Antrat4Diagrama">
    <w:name w:val="Antraštė 4 Diagrama"/>
    <w:link w:val="Antrat4"/>
    <w:rPr>
      <w:b/>
      <w:bCs/>
      <w:sz w:val="28"/>
      <w:szCs w:val="28"/>
      <w:lang w:val="sl-SI" w:eastAsia="sl-SI"/>
    </w:rPr>
  </w:style>
  <w:style w:type="character" w:customStyle="1" w:styleId="Antrat6Diagrama">
    <w:name w:val="Antraštė 6 Diagrama"/>
    <w:link w:val="Antrat6"/>
    <w:rPr>
      <w:b/>
      <w:sz w:val="24"/>
      <w:lang w:val="en-US" w:eastAsia="sl-SI"/>
    </w:rPr>
  </w:style>
  <w:style w:type="numbering" w:customStyle="1" w:styleId="NoList1">
    <w:name w:val="No List1"/>
    <w:next w:val="Sraonra"/>
    <w:uiPriority w:val="99"/>
    <w:semiHidden/>
    <w:unhideWhenUsed/>
  </w:style>
  <w:style w:type="numbering" w:customStyle="1" w:styleId="NoList11">
    <w:name w:val="No List11"/>
    <w:next w:val="Sraonra"/>
    <w:semiHidden/>
  </w:style>
  <w:style w:type="paragraph" w:styleId="Pagrindiniotekstotrauka">
    <w:name w:val="Body Text Indent"/>
    <w:basedOn w:val="prastasis"/>
    <w:link w:val="PagrindiniotekstotraukaDiagrama"/>
    <w:pPr>
      <w:ind w:left="567" w:hanging="567"/>
    </w:pPr>
    <w:rPr>
      <w:b/>
      <w:color w:val="808080"/>
      <w:sz w:val="20"/>
      <w:lang w:val="cs-CZ" w:eastAsia="x-none"/>
    </w:rPr>
  </w:style>
  <w:style w:type="character" w:customStyle="1" w:styleId="PagrindiniotekstotraukaDiagrama">
    <w:name w:val="Pagrindinio teksto įtrauka Diagrama"/>
    <w:link w:val="Pagrindiniotekstotrauka"/>
    <w:rPr>
      <w:b/>
      <w:color w:val="808080"/>
      <w:lang w:val="cs-CZ" w:eastAsia="x-none"/>
    </w:rPr>
  </w:style>
  <w:style w:type="character" w:customStyle="1" w:styleId="PagrindinistekstasDiagrama">
    <w:name w:val="Pagrindinis tekstas Diagrama"/>
    <w:link w:val="Pagrindinistekstas"/>
    <w:rPr>
      <w:sz w:val="22"/>
      <w:lang w:val="sl-SI" w:eastAsia="sl-SI"/>
    </w:rPr>
  </w:style>
  <w:style w:type="paragraph" w:styleId="Pagrindiniotekstotrauka2">
    <w:name w:val="Body Text Indent 2"/>
    <w:basedOn w:val="prastasis"/>
    <w:link w:val="Pagrindiniotekstotrauka2Diagrama"/>
    <w:pPr>
      <w:tabs>
        <w:tab w:val="left" w:pos="567"/>
      </w:tabs>
      <w:spacing w:line="260" w:lineRule="exact"/>
      <w:ind w:left="567" w:hanging="567"/>
      <w:jc w:val="both"/>
    </w:pPr>
    <w:rPr>
      <w:b/>
      <w:sz w:val="20"/>
      <w:lang w:val="cs-CZ" w:eastAsia="x-none"/>
    </w:rPr>
  </w:style>
  <w:style w:type="character" w:customStyle="1" w:styleId="Pagrindiniotekstotrauka2Diagrama">
    <w:name w:val="Pagrindinio teksto įtrauka 2 Diagrama"/>
    <w:link w:val="Pagrindiniotekstotrauka2"/>
    <w:rPr>
      <w:b/>
      <w:lang w:val="cs-CZ" w:eastAsia="x-none"/>
    </w:rPr>
  </w:style>
  <w:style w:type="paragraph" w:styleId="Pagrindiniotekstotrauka3">
    <w:name w:val="Body Text Indent 3"/>
    <w:basedOn w:val="prastasis"/>
    <w:link w:val="Pagrindiniotekstotrauka3Diagrama"/>
    <w:pPr>
      <w:tabs>
        <w:tab w:val="left" w:pos="567"/>
      </w:tabs>
      <w:spacing w:line="260" w:lineRule="exact"/>
      <w:ind w:left="567" w:hanging="567"/>
    </w:pPr>
    <w:rPr>
      <w:i/>
      <w:color w:val="008000"/>
      <w:sz w:val="20"/>
      <w:lang w:val="cs-CZ" w:eastAsia="x-none"/>
    </w:rPr>
  </w:style>
  <w:style w:type="character" w:customStyle="1" w:styleId="Pagrindiniotekstotrauka3Diagrama">
    <w:name w:val="Pagrindinio teksto įtrauka 3 Diagrama"/>
    <w:link w:val="Pagrindiniotekstotrauka3"/>
    <w:rPr>
      <w:i/>
      <w:color w:val="008000"/>
      <w:lang w:val="cs-CZ" w:eastAsia="x-none"/>
    </w:rPr>
  </w:style>
  <w:style w:type="character" w:customStyle="1" w:styleId="PoratDiagrama">
    <w:name w:val="Poraštė Diagrama"/>
    <w:link w:val="Porat"/>
    <w:rPr>
      <w:sz w:val="24"/>
      <w:lang w:val="sl-SI" w:eastAsia="sl-SI"/>
    </w:rPr>
  </w:style>
  <w:style w:type="character" w:customStyle="1" w:styleId="AntratsDiagrama">
    <w:name w:val="Antraštės Diagrama"/>
    <w:link w:val="Antrats"/>
    <w:rPr>
      <w:sz w:val="24"/>
      <w:lang w:val="sl-SI" w:eastAsia="sl-SI"/>
    </w:rPr>
  </w:style>
  <w:style w:type="paragraph" w:styleId="Tekstoblokas">
    <w:name w:val="Block Text"/>
    <w:basedOn w:val="prastasis"/>
    <w:pPr>
      <w:tabs>
        <w:tab w:val="left" w:pos="2657"/>
      </w:tabs>
      <w:spacing w:before="120"/>
      <w:ind w:left="-37" w:right="-28"/>
    </w:pPr>
    <w:rPr>
      <w:sz w:val="22"/>
      <w:lang w:val="cs-CZ" w:eastAsia="en-US"/>
    </w:rPr>
  </w:style>
  <w:style w:type="character" w:customStyle="1" w:styleId="Pagrindinistekstas2Diagrama">
    <w:name w:val="Pagrindinis tekstas 2 Diagrama"/>
    <w:link w:val="Pagrindinistekstas2"/>
    <w:rPr>
      <w:sz w:val="24"/>
      <w:lang w:val="sl-SI" w:eastAsia="sl-SI"/>
    </w:rPr>
  </w:style>
  <w:style w:type="paragraph" w:styleId="Pagrindinistekstas3">
    <w:name w:val="Body Text 3"/>
    <w:basedOn w:val="prastasis"/>
    <w:link w:val="Pagrindinistekstas3Diagrama"/>
    <w:pPr>
      <w:tabs>
        <w:tab w:val="left" w:pos="567"/>
      </w:tabs>
      <w:spacing w:line="260" w:lineRule="exact"/>
      <w:jc w:val="both"/>
    </w:pPr>
    <w:rPr>
      <w:b/>
      <w:i/>
      <w:sz w:val="20"/>
      <w:lang w:val="cs-CZ" w:eastAsia="x-none"/>
    </w:rPr>
  </w:style>
  <w:style w:type="character" w:customStyle="1" w:styleId="Pagrindinistekstas3Diagrama">
    <w:name w:val="Pagrindinis tekstas 3 Diagrama"/>
    <w:link w:val="Pagrindinistekstas3"/>
    <w:rPr>
      <w:b/>
      <w:i/>
      <w:lang w:val="cs-CZ" w:eastAsia="x-none"/>
    </w:rPr>
  </w:style>
  <w:style w:type="character" w:styleId="Komentaronuoroda">
    <w:name w:val="annotation reference"/>
    <w:rPr>
      <w:sz w:val="16"/>
    </w:rPr>
  </w:style>
  <w:style w:type="paragraph" w:styleId="Komentarotekstas">
    <w:name w:val="annotation text"/>
    <w:basedOn w:val="prastasis"/>
    <w:link w:val="KomentarotekstasDiagrama"/>
    <w:pPr>
      <w:tabs>
        <w:tab w:val="left" w:pos="567"/>
      </w:tabs>
      <w:spacing w:line="260" w:lineRule="exact"/>
    </w:pPr>
    <w:rPr>
      <w:sz w:val="20"/>
      <w:lang w:val="cs-CZ" w:eastAsia="x-none"/>
    </w:rPr>
  </w:style>
  <w:style w:type="character" w:customStyle="1" w:styleId="KomentarotekstasDiagrama">
    <w:name w:val="Komentaro tekstas Diagrama"/>
    <w:link w:val="Komentarotekstas"/>
    <w:rPr>
      <w:lang w:val="cs-CZ" w:eastAsia="x-none"/>
    </w:rPr>
  </w:style>
  <w:style w:type="paragraph" w:styleId="Dokumentostruktra">
    <w:name w:val="Document Map"/>
    <w:basedOn w:val="prastasis"/>
    <w:link w:val="DokumentostruktraDiagrama"/>
    <w:pPr>
      <w:shd w:val="clear" w:color="auto" w:fill="000080"/>
      <w:tabs>
        <w:tab w:val="left" w:pos="567"/>
      </w:tabs>
      <w:spacing w:line="260" w:lineRule="exact"/>
    </w:pPr>
    <w:rPr>
      <w:rFonts w:ascii="Tahoma" w:hAnsi="Tahoma"/>
      <w:sz w:val="20"/>
      <w:lang w:val="cs-CZ" w:eastAsia="x-none"/>
    </w:rPr>
  </w:style>
  <w:style w:type="character" w:customStyle="1" w:styleId="DokumentostruktraDiagrama">
    <w:name w:val="Dokumento struktūra Diagrama"/>
    <w:link w:val="Dokumentostruktra"/>
    <w:rPr>
      <w:rFonts w:ascii="Tahoma" w:hAnsi="Tahoma"/>
      <w:shd w:val="clear" w:color="auto" w:fill="000080"/>
      <w:lang w:val="cs-CZ" w:eastAsia="x-none"/>
    </w:rPr>
  </w:style>
  <w:style w:type="character" w:styleId="Dokumentoinaosnumeris">
    <w:name w:val="endnote reference"/>
    <w:rPr>
      <w:vertAlign w:val="superscript"/>
    </w:rPr>
  </w:style>
  <w:style w:type="paragraph" w:styleId="Dokumentoinaostekstas">
    <w:name w:val="endnote text"/>
    <w:basedOn w:val="prastasis"/>
    <w:next w:val="prastasis"/>
    <w:link w:val="DokumentoinaostekstasDiagrama"/>
    <w:pPr>
      <w:tabs>
        <w:tab w:val="left" w:pos="567"/>
      </w:tabs>
    </w:pPr>
    <w:rPr>
      <w:sz w:val="20"/>
      <w:lang w:val="cs-CZ" w:eastAsia="x-none"/>
    </w:rPr>
  </w:style>
  <w:style w:type="character" w:customStyle="1" w:styleId="DokumentoinaostekstasDiagrama">
    <w:name w:val="Dokumento išnašos tekstas Diagrama"/>
    <w:link w:val="Dokumentoinaostekstas"/>
    <w:rPr>
      <w:lang w:val="cs-CZ" w:eastAsia="x-none"/>
    </w:rPr>
  </w:style>
  <w:style w:type="character" w:styleId="Puslapioinaosnuoroda">
    <w:name w:val="footnote reference"/>
    <w:rPr>
      <w:vertAlign w:val="superscript"/>
    </w:rPr>
  </w:style>
  <w:style w:type="paragraph" w:styleId="Puslapioinaostekstas">
    <w:name w:val="footnote text"/>
    <w:basedOn w:val="prastasis"/>
    <w:link w:val="PuslapioinaostekstasDiagrama"/>
    <w:pPr>
      <w:tabs>
        <w:tab w:val="left" w:pos="567"/>
      </w:tabs>
      <w:spacing w:line="260" w:lineRule="exact"/>
    </w:pPr>
    <w:rPr>
      <w:sz w:val="20"/>
      <w:lang w:val="cs-CZ" w:eastAsia="x-none"/>
    </w:rPr>
  </w:style>
  <w:style w:type="character" w:customStyle="1" w:styleId="PuslapioinaostekstasDiagrama">
    <w:name w:val="Puslapio išnašos tekstas Diagrama"/>
    <w:link w:val="Puslapioinaostekstas"/>
    <w:rPr>
      <w:lang w:val="cs-CZ" w:eastAsia="x-none"/>
    </w:rPr>
  </w:style>
  <w:style w:type="paragraph" w:styleId="Pavadinimas">
    <w:name w:val="Title"/>
    <w:basedOn w:val="prastasis"/>
    <w:link w:val="PavadinimasDiagrama"/>
    <w:qFormat/>
    <w:pPr>
      <w:overflowPunct w:val="0"/>
      <w:autoSpaceDE w:val="0"/>
      <w:autoSpaceDN w:val="0"/>
      <w:adjustRightInd w:val="0"/>
      <w:jc w:val="center"/>
      <w:textAlignment w:val="baseline"/>
    </w:pPr>
    <w:rPr>
      <w:b/>
      <w:sz w:val="20"/>
      <w:lang w:val="x-none" w:eastAsia="x-none"/>
    </w:rPr>
  </w:style>
  <w:style w:type="character" w:customStyle="1" w:styleId="PavadinimasDiagrama">
    <w:name w:val="Pavadinimas Diagrama"/>
    <w:link w:val="Pavadinimas"/>
    <w:rPr>
      <w:b/>
      <w:lang w:val="x-none" w:eastAsia="x-none"/>
    </w:rPr>
  </w:style>
  <w:style w:type="paragraph" w:styleId="Debesliotekstas">
    <w:name w:val="Balloon Text"/>
    <w:basedOn w:val="prastasis"/>
    <w:link w:val="DebesliotekstasDiagrama"/>
    <w:rPr>
      <w:rFonts w:ascii="Tahoma" w:hAnsi="Tahoma"/>
      <w:sz w:val="16"/>
      <w:szCs w:val="16"/>
      <w:lang w:val="x-none" w:eastAsia="x-none"/>
    </w:rPr>
  </w:style>
  <w:style w:type="character" w:customStyle="1" w:styleId="DebesliotekstasDiagrama">
    <w:name w:val="Debesėlio tekstas Diagrama"/>
    <w:link w:val="Debesliotekstas"/>
    <w:rPr>
      <w:rFonts w:ascii="Tahoma" w:hAnsi="Tahoma"/>
      <w:sz w:val="16"/>
      <w:szCs w:val="16"/>
      <w:lang w:val="x-none" w:eastAsia="x-none"/>
    </w:rPr>
  </w:style>
  <w:style w:type="paragraph" w:styleId="Komentarotema">
    <w:name w:val="annotation subject"/>
    <w:basedOn w:val="Komentarotekstas"/>
    <w:next w:val="Komentarotekstas"/>
    <w:link w:val="KomentarotemaDiagrama"/>
    <w:pPr>
      <w:tabs>
        <w:tab w:val="clear" w:pos="567"/>
      </w:tabs>
      <w:spacing w:line="240" w:lineRule="auto"/>
    </w:pPr>
    <w:rPr>
      <w:b/>
      <w:bCs/>
    </w:rPr>
  </w:style>
  <w:style w:type="character" w:customStyle="1" w:styleId="KomentarotemaDiagrama">
    <w:name w:val="Komentaro tema Diagrama"/>
    <w:link w:val="Komentarotema"/>
    <w:rPr>
      <w:b/>
      <w:bCs/>
      <w:lang w:val="cs-CZ" w:eastAsia="x-none"/>
    </w:rPr>
  </w:style>
  <w:style w:type="paragraph" w:customStyle="1" w:styleId="Paragraph">
    <w:name w:val="Paragraph"/>
    <w:pPr>
      <w:spacing w:after="240"/>
    </w:pPr>
    <w:rPr>
      <w:sz w:val="24"/>
      <w:szCs w:val="24"/>
      <w:lang w:val="en-US" w:eastAsia="en-US"/>
    </w:rPr>
  </w:style>
  <w:style w:type="paragraph" w:customStyle="1" w:styleId="CharCharDiagramaDiagrama">
    <w:name w:val="Char Char Diagrama Diagrama"/>
    <w:basedOn w:val="prastasis"/>
    <w:pPr>
      <w:widowControl w:val="0"/>
      <w:tabs>
        <w:tab w:val="left" w:pos="567"/>
      </w:tabs>
      <w:adjustRightInd w:val="0"/>
      <w:spacing w:after="160" w:line="240" w:lineRule="exact"/>
      <w:jc w:val="both"/>
      <w:textAlignment w:val="baseline"/>
    </w:pPr>
    <w:rPr>
      <w:rFonts w:ascii="Verdana" w:hAnsi="Verdana"/>
      <w:sz w:val="20"/>
      <w:lang w:val="en-US" w:eastAsia="en-US"/>
    </w:rPr>
  </w:style>
  <w:style w:type="paragraph" w:styleId="Sraopastraipa">
    <w:name w:val="List Paragraph"/>
    <w:basedOn w:val="prastasis"/>
    <w:uiPriority w:val="34"/>
    <w:qFormat/>
    <w:pPr>
      <w:spacing w:after="200" w:line="276" w:lineRule="auto"/>
      <w:ind w:left="720"/>
      <w:contextualSpacing/>
    </w:pPr>
    <w:rPr>
      <w:rFonts w:ascii="Calibri" w:eastAsia="Calibri" w:hAnsi="Calibri" w:cs="DokChampa"/>
      <w:sz w:val="22"/>
      <w:szCs w:val="22"/>
      <w:lang w:val="lt-LT" w:eastAsia="en-US"/>
    </w:rPr>
  </w:style>
  <w:style w:type="character" w:customStyle="1" w:styleId="CharacterStyle2">
    <w:name w:val="Character Style 2"/>
    <w:rPr>
      <w:sz w:val="22"/>
    </w:rPr>
  </w:style>
  <w:style w:type="character" w:customStyle="1" w:styleId="PaprastasistekstasDiagrama">
    <w:name w:val="Paprastasis tekstas Diagrama"/>
    <w:link w:val="Paprastasistekstas"/>
    <w:uiPriority w:val="99"/>
    <w:rPr>
      <w:rFonts w:ascii="Courier New" w:hAnsi="Courier New"/>
      <w:lang w:val="en-GB" w:eastAsia="sl-SI"/>
    </w:rPr>
  </w:style>
  <w:style w:type="table" w:customStyle="1" w:styleId="Tabelamrea1">
    <w:name w:val="Tabela – mreža1"/>
    <w:basedOn w:val="prastojilentel"/>
    <w:next w:val="Lentelstinklelis"/>
    <w:uiPriority w:val="59"/>
    <w:rPr>
      <w:rFonts w:ascii="Calibri" w:hAnsi="Calibri"/>
      <w:sz w:val="22"/>
      <w:szCs w:val="22"/>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spausdinimomainl">
    <w:name w:val="HTML Typewriter"/>
    <w:uiPriority w:val="99"/>
    <w:unhideWhenUsed/>
    <w:rPr>
      <w:rFonts w:ascii="Courier New" w:eastAsia="Times New Roman" w:hAnsi="Courier New" w:cs="Courier New"/>
      <w:sz w:val="20"/>
      <w:szCs w:val="20"/>
    </w:rPr>
  </w:style>
  <w:style w:type="paragraph" w:styleId="Pataisymai">
    <w:name w:val="Revision"/>
    <w:hidden/>
    <w:uiPriority w:val="99"/>
    <w:semiHidden/>
    <w:rPr>
      <w:rFonts w:ascii="Calibri" w:eastAsia="Calibri" w:hAnsi="Calibri" w:cs="DokChampa"/>
      <w:sz w:val="22"/>
      <w:szCs w:val="22"/>
      <w:lang w:eastAsia="en-US"/>
    </w:rPr>
  </w:style>
  <w:style w:type="paragraph" w:styleId="Betarp">
    <w:name w:val="No Spacing"/>
    <w:uiPriority w:val="1"/>
    <w:qFormat/>
    <w:rPr>
      <w:rFonts w:ascii="Calibri" w:eastAsia="Calibri" w:hAnsi="Calibri" w:cs="DokChampa"/>
      <w:sz w:val="22"/>
      <w:szCs w:val="22"/>
      <w:lang w:eastAsia="en-US"/>
    </w:rPr>
  </w:style>
  <w:style w:type="paragraph" w:customStyle="1" w:styleId="BTEMEASMCA">
    <w:name w:val="BT EMEA_SMCA"/>
    <w:basedOn w:val="prastasis"/>
    <w:link w:val="BTEMEASMCAChar"/>
    <w:autoRedefine/>
    <w:rPr>
      <w:rFonts w:eastAsia="SimSun"/>
      <w:noProof/>
      <w:sz w:val="22"/>
      <w:szCs w:val="22"/>
      <w:lang w:val="x-none" w:eastAsia="en-US"/>
    </w:rPr>
  </w:style>
  <w:style w:type="character" w:customStyle="1" w:styleId="BTEMEASMCAChar">
    <w:name w:val="BT EMEA_SMCA Char"/>
    <w:link w:val="BTEMEASMCA"/>
    <w:locked/>
    <w:rPr>
      <w:rFonts w:eastAsia="SimSun"/>
      <w:noProof/>
      <w:sz w:val="22"/>
      <w:szCs w:val="22"/>
      <w:lang w:val="x-none" w:eastAsia="en-US"/>
    </w:rPr>
  </w:style>
  <w:style w:type="numbering" w:customStyle="1" w:styleId="Brezseznama2">
    <w:name w:val="Brez seznama2"/>
    <w:next w:val="Sraonra"/>
    <w:uiPriority w:val="99"/>
    <w:semiHidden/>
    <w:unhideWhenUsed/>
  </w:style>
  <w:style w:type="numbering" w:customStyle="1" w:styleId="NoList12">
    <w:name w:val="No List12"/>
    <w:next w:val="Sraonra"/>
    <w:uiPriority w:val="99"/>
    <w:semiHidden/>
    <w:unhideWhenUsed/>
  </w:style>
  <w:style w:type="numbering" w:customStyle="1" w:styleId="NoList111">
    <w:name w:val="No List111"/>
    <w:next w:val="Sraonra"/>
    <w:semiHidden/>
  </w:style>
  <w:style w:type="table" w:customStyle="1" w:styleId="Tabelamrea2">
    <w:name w:val="Tabela – mreža2"/>
    <w:basedOn w:val="prastojilentel"/>
    <w:next w:val="Lentelstinklelis"/>
    <w:uiPriority w:val="59"/>
    <w:rPr>
      <w:rFonts w:ascii="Calibri" w:hAnsi="Calibri"/>
      <w:sz w:val="22"/>
      <w:szCs w:val="22"/>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style>
  <w:style w:type="numbering" w:customStyle="1" w:styleId="Sraonra11">
    <w:name w:val="Sąrašo nėra11"/>
    <w:next w:val="Sraonra"/>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931729">
      <w:bodyDiv w:val="1"/>
      <w:marLeft w:val="0"/>
      <w:marRight w:val="0"/>
      <w:marTop w:val="0"/>
      <w:marBottom w:val="0"/>
      <w:divBdr>
        <w:top w:val="none" w:sz="0" w:space="0" w:color="auto"/>
        <w:left w:val="none" w:sz="0" w:space="0" w:color="auto"/>
        <w:bottom w:val="none" w:sz="0" w:space="0" w:color="auto"/>
        <w:right w:val="none" w:sz="0" w:space="0" w:color="auto"/>
      </w:divBdr>
      <w:divsChild>
        <w:div w:id="1133522719">
          <w:marLeft w:val="0"/>
          <w:marRight w:val="0"/>
          <w:marTop w:val="0"/>
          <w:marBottom w:val="0"/>
          <w:divBdr>
            <w:top w:val="none" w:sz="0" w:space="0" w:color="auto"/>
            <w:left w:val="none" w:sz="0" w:space="0" w:color="auto"/>
            <w:bottom w:val="none" w:sz="0" w:space="0" w:color="auto"/>
            <w:right w:val="none" w:sz="0" w:space="0" w:color="auto"/>
          </w:divBdr>
        </w:div>
      </w:divsChild>
    </w:div>
    <w:div w:id="1595169863">
      <w:bodyDiv w:val="1"/>
      <w:marLeft w:val="0"/>
      <w:marRight w:val="0"/>
      <w:marTop w:val="0"/>
      <w:marBottom w:val="0"/>
      <w:divBdr>
        <w:top w:val="none" w:sz="0" w:space="0" w:color="auto"/>
        <w:left w:val="none" w:sz="0" w:space="0" w:color="auto"/>
        <w:bottom w:val="none" w:sz="0" w:space="0" w:color="auto"/>
        <w:right w:val="none" w:sz="0" w:space="0" w:color="auto"/>
      </w:divBdr>
      <w:divsChild>
        <w:div w:id="1792476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5E208-8FAC-4A61-A3A7-8507BFBC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51568</Words>
  <Characters>29394</Characters>
  <Application>Microsoft Office Word</Application>
  <DocSecurity>4</DocSecurity>
  <Lines>244</Lines>
  <Paragraphs>161</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80801</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2026-05-27T05:03:00Z</dcterms:created>
  <dcterms:modified xsi:type="dcterms:W3CDTF">2026-05-27T05:03:00Z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PI_Text107974_1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