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71" w:rsidRPr="006B5E26" w:rsidRDefault="00945471" w:rsidP="00945471">
      <w:pPr>
        <w:tabs>
          <w:tab w:val="left" w:pos="720"/>
        </w:tabs>
        <w:spacing w:after="0" w:line="240" w:lineRule="auto"/>
        <w:jc w:val="center"/>
        <w:outlineLvl w:val="0"/>
        <w:rPr>
          <w:rFonts w:ascii="Times New Roman" w:eastAsia="Times New Roman" w:hAnsi="Times New Roman"/>
          <w:snapToGrid w:val="0"/>
          <w:lang w:val="lt-LT"/>
        </w:rPr>
      </w:pPr>
      <w:r w:rsidRPr="006B5E26">
        <w:rPr>
          <w:rFonts w:ascii="Times New Roman" w:hAnsi="Times New Roman"/>
          <w:b/>
          <w:lang w:val="lt-LT"/>
        </w:rPr>
        <w:t>Pakuotės lapelis: informacija vartotojui</w:t>
      </w:r>
    </w:p>
    <w:p w:rsidR="00945471" w:rsidRPr="006B5E26" w:rsidRDefault="00945471" w:rsidP="00945471">
      <w:pPr>
        <w:tabs>
          <w:tab w:val="left" w:pos="720"/>
        </w:tabs>
        <w:spacing w:after="0" w:line="240" w:lineRule="auto"/>
        <w:jc w:val="center"/>
        <w:outlineLvl w:val="0"/>
        <w:rPr>
          <w:rFonts w:ascii="Times New Roman" w:hAnsi="Times New Roman"/>
          <w:b/>
          <w:lang w:val="lt-LT"/>
        </w:rPr>
      </w:pPr>
    </w:p>
    <w:p w:rsidR="00945471" w:rsidRPr="006B5E26" w:rsidRDefault="00945471" w:rsidP="00945471">
      <w:pPr>
        <w:numPr>
          <w:ilvl w:val="12"/>
          <w:numId w:val="0"/>
        </w:numPr>
        <w:tabs>
          <w:tab w:val="left" w:pos="720"/>
        </w:tabs>
        <w:spacing w:after="0" w:line="240" w:lineRule="auto"/>
        <w:jc w:val="center"/>
        <w:rPr>
          <w:rFonts w:ascii="Times New Roman" w:eastAsia="Times New Roman" w:hAnsi="Times New Roman"/>
          <w:b/>
          <w:snapToGrid w:val="0"/>
          <w:lang w:val="lt-LT"/>
        </w:rPr>
      </w:pP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infuzinis tirpalas</w:t>
      </w:r>
    </w:p>
    <w:p w:rsidR="00945471" w:rsidRPr="006B5E26" w:rsidRDefault="00945471" w:rsidP="00945471">
      <w:pPr>
        <w:tabs>
          <w:tab w:val="left" w:pos="720"/>
        </w:tabs>
        <w:spacing w:after="0" w:line="240" w:lineRule="auto"/>
        <w:jc w:val="center"/>
        <w:rPr>
          <w:rFonts w:ascii="Times New Roman" w:hAnsi="Times New Roman"/>
          <w:lang w:val="lt-LT"/>
        </w:rPr>
      </w:pPr>
    </w:p>
    <w:p w:rsidR="00945471" w:rsidRPr="006B5E26" w:rsidRDefault="00945471" w:rsidP="00945471">
      <w:pPr>
        <w:tabs>
          <w:tab w:val="left" w:pos="720"/>
        </w:tabs>
        <w:suppressAutoHyphens/>
        <w:spacing w:after="0" w:line="240" w:lineRule="auto"/>
        <w:rPr>
          <w:rFonts w:ascii="Times New Roman" w:eastAsia="Times New Roman" w:hAnsi="Times New Roman"/>
          <w:snapToGrid w:val="0"/>
          <w:lang w:val="lt-LT"/>
        </w:rPr>
      </w:pPr>
      <w:r w:rsidRPr="006B5E26">
        <w:rPr>
          <w:rFonts w:ascii="Times New Roman" w:hAnsi="Times New Roman"/>
          <w:b/>
          <w:lang w:val="lt-LT"/>
        </w:rPr>
        <w:t>Atidžiai perskaitykite visą šį lapelį, prieš pradėdami vartoti vaistą, nes jame pateikiama Jums svarbi informacija.</w:t>
      </w:r>
    </w:p>
    <w:p w:rsidR="00945471" w:rsidRPr="006B5E26" w:rsidRDefault="00945471" w:rsidP="00945471">
      <w:pPr>
        <w:numPr>
          <w:ilvl w:val="0"/>
          <w:numId w:val="1"/>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Neišmeskite šio lapelio, nes vėl gali prireikti jį perskaityti.</w:t>
      </w:r>
    </w:p>
    <w:p w:rsidR="00945471" w:rsidRPr="006B5E26" w:rsidRDefault="00945471" w:rsidP="00945471">
      <w:pPr>
        <w:numPr>
          <w:ilvl w:val="0"/>
          <w:numId w:val="1"/>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Jeigu kiltų daugiau klausimų, kreipkitės į gydytoją arba slaugytoją.</w:t>
      </w:r>
    </w:p>
    <w:p w:rsidR="00945471" w:rsidRPr="006B5E26" w:rsidRDefault="00945471" w:rsidP="00945471">
      <w:pPr>
        <w:numPr>
          <w:ilvl w:val="0"/>
          <w:numId w:val="1"/>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color w:val="000000"/>
          <w:lang w:val="lt-LT"/>
        </w:rPr>
        <w:t xml:space="preserve">Jeigu pasireiškė šalutinis poveikis (net jeigu jis šiame lapelyje nenurodytas), kreipkitės į gydytoją arba slaugytoją. </w:t>
      </w:r>
      <w:r w:rsidRPr="006B5E26">
        <w:rPr>
          <w:rFonts w:ascii="Times New Roman" w:hAnsi="Times New Roman"/>
          <w:lang w:val="lt-LT"/>
        </w:rPr>
        <w:t>Žr. 4 skyrių.</w:t>
      </w:r>
    </w:p>
    <w:p w:rsidR="00945471" w:rsidRPr="006B5E26" w:rsidRDefault="00945471" w:rsidP="00945471">
      <w:p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b/>
          <w:lang w:val="lt-LT"/>
        </w:rPr>
        <w:t>Apie ką rašoma šiame lapelyje?</w:t>
      </w:r>
    </w:p>
    <w:p w:rsidR="00945471" w:rsidRPr="006B5E26" w:rsidRDefault="00945471" w:rsidP="00945471">
      <w:pPr>
        <w:numPr>
          <w:ilvl w:val="12"/>
          <w:numId w:val="0"/>
        </w:numPr>
        <w:tabs>
          <w:tab w:val="left" w:pos="720"/>
        </w:tabs>
        <w:spacing w:after="0" w:line="240" w:lineRule="auto"/>
        <w:ind w:right="-2"/>
        <w:outlineLvl w:val="0"/>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1.</w:t>
      </w:r>
      <w:r w:rsidRPr="006B5E26">
        <w:rPr>
          <w:rFonts w:ascii="Times New Roman" w:hAnsi="Times New Roman"/>
          <w:lang w:val="lt-LT"/>
        </w:rPr>
        <w:tab/>
        <w:t xml:space="preserve">Kas yra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infuzinis tirpalas ir kam jis vartojamas</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2.</w:t>
      </w:r>
      <w:r w:rsidRPr="006B5E26">
        <w:rPr>
          <w:rFonts w:ascii="Times New Roman" w:hAnsi="Times New Roman"/>
          <w:lang w:val="lt-LT"/>
        </w:rPr>
        <w:tab/>
        <w:t xml:space="preserve">Kas žinotina prieš vartojant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infuzinio tirpalo</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3.</w:t>
      </w:r>
      <w:r w:rsidRPr="006B5E26">
        <w:rPr>
          <w:rFonts w:ascii="Times New Roman" w:hAnsi="Times New Roman"/>
          <w:lang w:val="lt-LT"/>
        </w:rPr>
        <w:tab/>
        <w:t xml:space="preserve">Kaip vartoti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infuzinį tirpalą</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4.</w:t>
      </w:r>
      <w:r w:rsidRPr="006B5E26">
        <w:rPr>
          <w:rFonts w:ascii="Times New Roman" w:hAnsi="Times New Roman"/>
          <w:lang w:val="lt-LT"/>
        </w:rPr>
        <w:tab/>
        <w:t>Galimas šalutinis poveikis</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5.</w:t>
      </w:r>
      <w:r w:rsidRPr="006B5E26">
        <w:rPr>
          <w:rFonts w:ascii="Times New Roman" w:hAnsi="Times New Roman"/>
          <w:lang w:val="lt-LT"/>
        </w:rPr>
        <w:tab/>
        <w:t xml:space="preserve">Kaip laikyti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infuzinį tirpalą</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6.</w:t>
      </w:r>
      <w:r w:rsidRPr="006B5E26">
        <w:rPr>
          <w:rFonts w:ascii="Times New Roman" w:hAnsi="Times New Roman"/>
          <w:lang w:val="lt-LT"/>
        </w:rPr>
        <w:tab/>
        <w:t>Pakuotės turinys ir kita informacija</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0"/>
          <w:numId w:val="2"/>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 xml:space="preserve">Kas yra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infuzinis tirpalas ir kam jis vartojamas</w:t>
      </w:r>
    </w:p>
    <w:p w:rsidR="00945471" w:rsidRPr="006B5E26" w:rsidRDefault="00945471" w:rsidP="00945471">
      <w:pPr>
        <w:tabs>
          <w:tab w:val="left" w:pos="720"/>
        </w:tabs>
        <w:spacing w:after="0" w:line="240" w:lineRule="auto"/>
        <w:rPr>
          <w:rFonts w:ascii="Times New Roman" w:hAnsi="Times New Roman"/>
          <w:lang w:val="lt-LT"/>
        </w:rPr>
      </w:pPr>
    </w:p>
    <w:p w:rsidR="00945471" w:rsidRPr="006B5E26" w:rsidRDefault="00945471" w:rsidP="00945471">
      <w:pPr>
        <w:tabs>
          <w:tab w:val="left" w:pos="720"/>
        </w:tabs>
        <w:spacing w:after="0" w:line="240" w:lineRule="auto"/>
        <w:ind w:right="-2"/>
        <w:rPr>
          <w:rFonts w:ascii="Times New Roman" w:eastAsia="Times New Roman" w:hAnsi="Times New Roman"/>
          <w:snapToGrid w:val="0"/>
          <w:lang w:val="lt-LT"/>
        </w:rPr>
      </w:pP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yra maitinamasis mišinys, kurį sudaro aminorūgščių (medžiagų, iš kurių organizme susidaro baltymai), gliukozės (angliavandenių) ir druskų (elektrolitų ir mikroelementų) tirpalas plastikiniame dviejų 125 mililitrų kamerų maišelyje.</w:t>
      </w:r>
    </w:p>
    <w:p w:rsidR="00945471" w:rsidRPr="006B5E26" w:rsidRDefault="00945471" w:rsidP="00945471">
      <w:pPr>
        <w:tabs>
          <w:tab w:val="left" w:pos="720"/>
        </w:tabs>
        <w:spacing w:after="0" w:line="240" w:lineRule="auto"/>
        <w:ind w:right="-2"/>
        <w:rPr>
          <w:rFonts w:ascii="Times New Roman" w:hAnsi="Times New Roman"/>
          <w:lang w:val="lt-LT"/>
        </w:rPr>
      </w:pPr>
    </w:p>
    <w:p w:rsidR="00945471" w:rsidRPr="006B5E26" w:rsidRDefault="00945471" w:rsidP="00945471">
      <w:p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Šis vaistas yra tirpalas, skirtas lašinti į veną (intraveninei infuzijai). Jo galima vartoti naujagimiams, kurie maistinių medžiagų negali gauti įprastu būdu.</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0"/>
          <w:numId w:val="3"/>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 xml:space="preserve">Kas žinotina prieš vartojant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infuzinio tirpalo</w:t>
      </w:r>
    </w:p>
    <w:p w:rsidR="00945471" w:rsidRPr="006B5E26" w:rsidRDefault="00945471" w:rsidP="00945471">
      <w:p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outlineLvl w:val="0"/>
        <w:rPr>
          <w:rFonts w:ascii="Times New Roman" w:eastAsia="Times New Roman" w:hAnsi="Times New Roman"/>
          <w:b/>
          <w:snapToGrid w:val="0"/>
          <w:lang w:val="lt-LT"/>
        </w:rPr>
      </w:pP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vartoti negalima:</w:t>
      </w:r>
    </w:p>
    <w:p w:rsidR="00945471" w:rsidRPr="006B5E26" w:rsidRDefault="00945471" w:rsidP="00945471">
      <w:pPr>
        <w:numPr>
          <w:ilvl w:val="0"/>
          <w:numId w:val="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jeigu yra alergija bet kuriai veikliajai medžiagai arba bet kuriai pagalbinei šio vaisto medžiagai (jos išvardytos 6 skyriuje);</w:t>
      </w:r>
    </w:p>
    <w:p w:rsidR="00945471" w:rsidRPr="006B5E26" w:rsidRDefault="00945471" w:rsidP="00945471">
      <w:pPr>
        <w:numPr>
          <w:ilvl w:val="0"/>
          <w:numId w:val="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jeigu Jūsų vaikui yra įgimtas aminorūgščių apykaitos sutrikimas (organizme tam tikros aminorūgštys panaudojamos netinkamai); </w:t>
      </w:r>
    </w:p>
    <w:p w:rsidR="00945471" w:rsidRPr="006B5E26" w:rsidRDefault="00945471" w:rsidP="00945471">
      <w:pPr>
        <w:numPr>
          <w:ilvl w:val="0"/>
          <w:numId w:val="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jeigu yra sunki hiperglikemija (didelis cukraus kiekis) ir ši situacija nėra kontroliuojama, </w:t>
      </w:r>
    </w:p>
    <w:p w:rsidR="00945471" w:rsidRPr="006B5E26" w:rsidRDefault="00945471" w:rsidP="00945471">
      <w:pPr>
        <w:numPr>
          <w:ilvl w:val="0"/>
          <w:numId w:val="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jeigu vienos iš šio vaisto sudėtyje esančių druskų (elektrolitų) kiekis Jūsų vaiko kraujyje (serume) yra padidėjęs;</w:t>
      </w:r>
    </w:p>
    <w:p w:rsidR="00945471" w:rsidRPr="006B5E26" w:rsidRDefault="00945471" w:rsidP="00945471">
      <w:pPr>
        <w:numPr>
          <w:ilvl w:val="0"/>
          <w:numId w:val="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jeigu Jūsų vaiko būklė yra nestabili, pavyzdžiui, patyrėte sunkią traumą, sergate nekontroliuojamu cukriniu diabetu, yra </w:t>
      </w:r>
      <w:proofErr w:type="spellStart"/>
      <w:r w:rsidRPr="006B5E26">
        <w:rPr>
          <w:rFonts w:ascii="Times New Roman" w:hAnsi="Times New Roman"/>
          <w:lang w:val="lt-LT"/>
        </w:rPr>
        <w:t>metabolinė</w:t>
      </w:r>
      <w:proofErr w:type="spellEnd"/>
      <w:r w:rsidRPr="006B5E26">
        <w:rPr>
          <w:rFonts w:ascii="Times New Roman" w:hAnsi="Times New Roman"/>
          <w:lang w:val="lt-LT"/>
        </w:rPr>
        <w:t xml:space="preserve"> </w:t>
      </w:r>
      <w:proofErr w:type="spellStart"/>
      <w:r w:rsidRPr="006B5E26">
        <w:rPr>
          <w:rFonts w:ascii="Times New Roman" w:hAnsi="Times New Roman"/>
          <w:lang w:val="lt-LT"/>
        </w:rPr>
        <w:t>acidozė</w:t>
      </w:r>
      <w:proofErr w:type="spellEnd"/>
      <w:r w:rsidRPr="006B5E26">
        <w:rPr>
          <w:rFonts w:ascii="Times New Roman" w:hAnsi="Times New Roman"/>
          <w:lang w:val="lt-LT"/>
        </w:rPr>
        <w:t xml:space="preserve"> (labai didelio rūgšties kiekio kraujyje sukeltas sutrikimas), sunki infekcija (sunkus sepsis), ūminis šokas ar koma.</w:t>
      </w:r>
    </w:p>
    <w:p w:rsidR="00945471" w:rsidRPr="006B5E26" w:rsidRDefault="00945471" w:rsidP="00945471">
      <w:pPr>
        <w:tabs>
          <w:tab w:val="left" w:pos="720"/>
        </w:tabs>
        <w:spacing w:after="0" w:line="240" w:lineRule="auto"/>
        <w:ind w:right="-2"/>
        <w:outlineLvl w:val="0"/>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lang w:val="lt-LT"/>
        </w:rPr>
        <w:t xml:space="preserve">Be to, bendrosios priežastys, dėl kurių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vartoti negalima, yra: </w:t>
      </w:r>
    </w:p>
    <w:p w:rsidR="00945471" w:rsidRPr="006B5E26" w:rsidRDefault="00945471" w:rsidP="00945471">
      <w:pPr>
        <w:numPr>
          <w:ilvl w:val="0"/>
          <w:numId w:val="5"/>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per didelis skysčio kiekis Jūsų vaiko kraujyje (ūminė plaučių edema);</w:t>
      </w:r>
    </w:p>
    <w:p w:rsidR="00945471" w:rsidRPr="006B5E26" w:rsidRDefault="00945471" w:rsidP="00945471">
      <w:pPr>
        <w:numPr>
          <w:ilvl w:val="0"/>
          <w:numId w:val="5"/>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per didelis skysčio kiekis Jūsų vaiko organizme (</w:t>
      </w:r>
      <w:proofErr w:type="spellStart"/>
      <w:r w:rsidRPr="006B5E26">
        <w:rPr>
          <w:rFonts w:ascii="Times New Roman" w:hAnsi="Times New Roman"/>
          <w:lang w:val="lt-LT"/>
        </w:rPr>
        <w:t>hiperhidratacija</w:t>
      </w:r>
      <w:proofErr w:type="spellEnd"/>
      <w:r w:rsidRPr="006B5E26">
        <w:rPr>
          <w:rFonts w:ascii="Times New Roman" w:hAnsi="Times New Roman"/>
          <w:lang w:val="lt-LT"/>
        </w:rPr>
        <w:t xml:space="preserve">); </w:t>
      </w:r>
    </w:p>
    <w:p w:rsidR="00945471" w:rsidRPr="006B5E26" w:rsidRDefault="00945471" w:rsidP="00945471">
      <w:pPr>
        <w:numPr>
          <w:ilvl w:val="0"/>
          <w:numId w:val="5"/>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Jūsų vaikui pasireiškęs nekontroliuojamas širdies nepakankamumas;</w:t>
      </w:r>
    </w:p>
    <w:p w:rsidR="00945471" w:rsidRPr="006B5E26" w:rsidRDefault="00945471" w:rsidP="00945471">
      <w:pPr>
        <w:numPr>
          <w:ilvl w:val="0"/>
          <w:numId w:val="5"/>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skysčio stoka Jūsų vaiko organizme (</w:t>
      </w:r>
      <w:proofErr w:type="spellStart"/>
      <w:r w:rsidRPr="006B5E26">
        <w:rPr>
          <w:rFonts w:ascii="Times New Roman" w:hAnsi="Times New Roman"/>
          <w:lang w:val="lt-LT"/>
        </w:rPr>
        <w:t>hipotoninė</w:t>
      </w:r>
      <w:proofErr w:type="spellEnd"/>
      <w:r w:rsidRPr="006B5E26">
        <w:rPr>
          <w:rFonts w:ascii="Times New Roman" w:hAnsi="Times New Roman"/>
          <w:lang w:val="lt-LT"/>
        </w:rPr>
        <w:t xml:space="preserve"> dehidratacija).</w:t>
      </w:r>
    </w:p>
    <w:p w:rsidR="00945471" w:rsidRPr="006B5E26" w:rsidRDefault="00945471" w:rsidP="00945471">
      <w:pPr>
        <w:tabs>
          <w:tab w:val="left" w:pos="720"/>
        </w:tabs>
        <w:spacing w:after="0" w:line="240" w:lineRule="auto"/>
        <w:ind w:right="-2"/>
        <w:outlineLvl w:val="0"/>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lang w:val="lt-LT"/>
        </w:rPr>
        <w:t xml:space="preserve">Jei bet kuri anksčiau paminėta būklė Jūsų vaikui tinka,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duoti savo vaikui negalite. Jei abejojate, pasitarkite su gydytoju arba slaugytoju, prieš pradėdami vartoti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w:t>
      </w:r>
    </w:p>
    <w:p w:rsidR="00945471" w:rsidRPr="006B5E26" w:rsidRDefault="00945471" w:rsidP="00945471">
      <w:pPr>
        <w:numPr>
          <w:ilvl w:val="12"/>
          <w:numId w:val="0"/>
        </w:numPr>
        <w:tabs>
          <w:tab w:val="left" w:pos="720"/>
        </w:tabs>
        <w:spacing w:after="0" w:line="240" w:lineRule="auto"/>
        <w:ind w:right="-2"/>
        <w:outlineLvl w:val="0"/>
        <w:rPr>
          <w:rFonts w:ascii="Times New Roman" w:hAnsi="Times New Roman"/>
          <w:b/>
          <w:lang w:val="lt-LT"/>
        </w:rPr>
      </w:pPr>
    </w:p>
    <w:p w:rsidR="00945471" w:rsidRPr="006B5E26" w:rsidRDefault="00945471" w:rsidP="00945471">
      <w:pPr>
        <w:keepNext/>
        <w:numPr>
          <w:ilvl w:val="12"/>
          <w:numId w:val="0"/>
        </w:numPr>
        <w:tabs>
          <w:tab w:val="left" w:pos="720"/>
        </w:tabs>
        <w:spacing w:after="0" w:line="240" w:lineRule="auto"/>
        <w:ind w:right="-2"/>
        <w:outlineLvl w:val="0"/>
        <w:rPr>
          <w:rFonts w:ascii="Times New Roman" w:eastAsia="Times New Roman" w:hAnsi="Times New Roman"/>
          <w:b/>
          <w:snapToGrid w:val="0"/>
          <w:lang w:val="lt-LT"/>
        </w:rPr>
      </w:pPr>
      <w:r w:rsidRPr="006B5E26">
        <w:rPr>
          <w:rFonts w:ascii="Times New Roman" w:hAnsi="Times New Roman"/>
          <w:b/>
          <w:lang w:val="lt-LT"/>
        </w:rPr>
        <w:t>Įspėjimai ir atsargumo priemonės</w:t>
      </w:r>
    </w:p>
    <w:p w:rsidR="00945471" w:rsidRPr="006B5E26" w:rsidRDefault="00945471" w:rsidP="00945471">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Svarbu, kad, prieš pradėdami vartoti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žinotumėte toliau pateikiamą informaciją.</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proofErr w:type="spellStart"/>
      <w:r w:rsidRPr="006B5E26">
        <w:rPr>
          <w:rFonts w:ascii="Times New Roman" w:hAnsi="Times New Roman"/>
          <w:lang w:val="lt-LT"/>
        </w:rPr>
        <w:lastRenderedPageBreak/>
        <w:t>Pediaven</w:t>
      </w:r>
      <w:proofErr w:type="spellEnd"/>
      <w:r w:rsidRPr="006B5E26">
        <w:rPr>
          <w:rFonts w:ascii="Times New Roman" w:hAnsi="Times New Roman"/>
          <w:lang w:val="lt-LT"/>
        </w:rPr>
        <w:t xml:space="preserve"> NN2 būtina vartoti ypač atsargiai, jei ribojamas skysčių suvartojimas, pavyzdžiui, sergant tam tikromis širdies, plaučių ar inkstų ligomis.</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Pasakykite savo gydytojui, jei gydymo laikotarpiu atsiras bet koks šalutinis poveikis, pavyzdžiui, drebulys, prakaitavimas, karščiavimas, išbėrimas ar kvėpavimo pasunkėjimas. Infuzija bus sustabdyta.</w:t>
      </w:r>
    </w:p>
    <w:p w:rsidR="00945471" w:rsidRDefault="00945471" w:rsidP="00945471">
      <w:pPr>
        <w:numPr>
          <w:ilvl w:val="12"/>
          <w:numId w:val="0"/>
        </w:numPr>
        <w:spacing w:after="0" w:line="240" w:lineRule="auto"/>
        <w:rPr>
          <w:rFonts w:ascii="Times New Roman" w:hAnsi="Times New Roman"/>
          <w:lang w:val="lt-LT"/>
        </w:rPr>
      </w:pPr>
    </w:p>
    <w:p w:rsidR="00945471" w:rsidRPr="00D81A5B" w:rsidRDefault="00945471" w:rsidP="00945471">
      <w:pPr>
        <w:numPr>
          <w:ilvl w:val="12"/>
          <w:numId w:val="0"/>
        </w:numPr>
        <w:spacing w:after="0" w:line="240" w:lineRule="auto"/>
        <w:rPr>
          <w:rFonts w:ascii="Times New Roman" w:hAnsi="Times New Roman"/>
          <w:lang w:val="lt-LT"/>
        </w:rPr>
      </w:pPr>
      <w:r w:rsidRPr="00D81A5B">
        <w:rPr>
          <w:rFonts w:ascii="Times New Roman" w:hAnsi="Times New Roman"/>
          <w:lang w:val="lt-LT"/>
        </w:rPr>
        <w:t>Kai vaistas lašinamas naujagimiams ir jaunesniems kaip 2</w:t>
      </w:r>
      <w:r>
        <w:rPr>
          <w:rFonts w:ascii="Times New Roman" w:hAnsi="Times New Roman"/>
          <w:lang w:val="lt-LT"/>
        </w:rPr>
        <w:t> </w:t>
      </w:r>
      <w:r w:rsidRPr="00D81A5B">
        <w:rPr>
          <w:rFonts w:ascii="Times New Roman" w:hAnsi="Times New Roman"/>
          <w:lang w:val="lt-LT"/>
        </w:rPr>
        <w:t xml:space="preserve">metų vaikams, tirpalas (maišeliuose ir infuzijos rinkiniuose) turi būti apsaugotas nuo šviesos, kol lašinimas bus užbaigtas. Dėl aplinkos šviesos poveikio </w:t>
      </w:r>
      <w:proofErr w:type="spellStart"/>
      <w:r>
        <w:rPr>
          <w:rFonts w:ascii="Times New Roman" w:hAnsi="Times New Roman"/>
          <w:lang w:val="lt-LT"/>
        </w:rPr>
        <w:t>Pediaven</w:t>
      </w:r>
      <w:proofErr w:type="spellEnd"/>
      <w:r>
        <w:rPr>
          <w:rFonts w:ascii="Times New Roman" w:hAnsi="Times New Roman"/>
          <w:lang w:val="lt-LT"/>
        </w:rPr>
        <w:t xml:space="preserve"> NN2</w:t>
      </w:r>
      <w:r w:rsidRPr="00D81A5B">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945471" w:rsidRPr="006B5E26" w:rsidRDefault="00945471" w:rsidP="00945471">
      <w:pPr>
        <w:tabs>
          <w:tab w:val="left" w:pos="567"/>
        </w:tabs>
        <w:spacing w:after="0" w:line="240" w:lineRule="auto"/>
        <w:rPr>
          <w:rFonts w:ascii="Times New Roman" w:hAnsi="Times New Roman"/>
          <w:lang w:val="lt-LT"/>
        </w:rPr>
      </w:pPr>
    </w:p>
    <w:p w:rsidR="00945471" w:rsidRPr="006B5E26" w:rsidRDefault="00945471" w:rsidP="00945471">
      <w:pPr>
        <w:tabs>
          <w:tab w:val="left" w:pos="567"/>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Padidėjęs magnio kiekis kraujyje</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Gydytojas stebės Jūsų būklę gydymo laikotarpiu, be to, jis gali keisti dozę ar, jei reikia, skirti vartoti papildomų maistinių medžiagų (dažniausiai vitaminų, riebalų, amino rūgščių ir elektrolitų).</w:t>
      </w:r>
    </w:p>
    <w:p w:rsidR="00945471" w:rsidRPr="006B5E26" w:rsidRDefault="00945471" w:rsidP="00945471">
      <w:pPr>
        <w:numPr>
          <w:ilvl w:val="12"/>
          <w:numId w:val="0"/>
        </w:numPr>
        <w:tabs>
          <w:tab w:val="left" w:pos="720"/>
        </w:tabs>
        <w:spacing w:after="0" w:line="240" w:lineRule="auto"/>
        <w:rPr>
          <w:rFonts w:ascii="Times New Roman" w:hAnsi="Times New Roman"/>
          <w:b/>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 xml:space="preserve">Kiti vaistai ir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vartojate ar neseniai vartojote kitų vaistų, įskaitant įsigytus be recepto, arba dėl to nesate tikri, apie tai pasakykite gydytojui.</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0"/>
          <w:numId w:val="3"/>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 xml:space="preserve">Kaip vartoti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infuzinį tirpalą</w:t>
      </w:r>
    </w:p>
    <w:p w:rsidR="00945471" w:rsidRPr="006B5E26" w:rsidRDefault="00945471" w:rsidP="00945471">
      <w:p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Dozavimas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w:t>
      </w:r>
      <w:proofErr w:type="spellStart"/>
      <w:r w:rsidRPr="006B5E26">
        <w:rPr>
          <w:rFonts w:ascii="Times New Roman" w:hAnsi="Times New Roman"/>
          <w:lang w:val="lt-LT"/>
        </w:rPr>
        <w:t>enteriniu</w:t>
      </w:r>
      <w:proofErr w:type="spellEnd"/>
      <w:r w:rsidRPr="006B5E26">
        <w:rPr>
          <w:rFonts w:ascii="Times New Roman" w:hAnsi="Times New Roman"/>
          <w:lang w:val="lt-LT"/>
        </w:rPr>
        <w:t xml:space="preserve"> būdu (per virškinimo takte esantį zondą).</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 esate maitinamas tik į veną, gydytojas Jums gali skirti tuo pačiu metu vartoti vitaminų ir riebalų. Jei tirpalas papildomas vitaminais, maišelį būtina apsaugoti nuo šviesos.</w:t>
      </w:r>
      <w:r w:rsidRPr="006B5E26">
        <w:rPr>
          <w:rFonts w:ascii="Times New Roman" w:hAnsi="Times New Roman"/>
          <w:color w:val="008000"/>
          <w:lang w:val="lt-LT"/>
        </w:rPr>
        <w:t xml:space="preserve"> </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Vartojimo metodas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gali lašinti tik sveikatos priežiūros specialistai ir tik į veną. </w:t>
      </w:r>
    </w:p>
    <w:p w:rsidR="00945471" w:rsidRPr="00D81A5B" w:rsidRDefault="00945471" w:rsidP="00945471">
      <w:pPr>
        <w:tabs>
          <w:tab w:val="left" w:pos="567"/>
        </w:tabs>
        <w:autoSpaceDE w:val="0"/>
        <w:autoSpaceDN w:val="0"/>
        <w:adjustRightInd w:val="0"/>
        <w:spacing w:after="0" w:line="240" w:lineRule="auto"/>
        <w:rPr>
          <w:rFonts w:ascii="Times New Roman" w:hAnsi="Times New Roman"/>
          <w:lang w:val="lt-LT"/>
        </w:rPr>
      </w:pPr>
      <w:r w:rsidRPr="00F75A59">
        <w:rPr>
          <w:rFonts w:ascii="Times New Roman" w:hAnsi="Times New Roman"/>
          <w:lang w:val="lt-LT"/>
        </w:rPr>
        <w:t xml:space="preserve">Kai </w:t>
      </w:r>
      <w:proofErr w:type="spellStart"/>
      <w:r>
        <w:rPr>
          <w:rFonts w:ascii="Times New Roman" w:hAnsi="Times New Roman"/>
          <w:lang w:val="lt-LT"/>
        </w:rPr>
        <w:t>Pediaven</w:t>
      </w:r>
      <w:proofErr w:type="spellEnd"/>
      <w:r>
        <w:rPr>
          <w:rFonts w:ascii="Times New Roman" w:hAnsi="Times New Roman"/>
          <w:lang w:val="lt-LT"/>
        </w:rPr>
        <w:t xml:space="preserve"> NN2 </w:t>
      </w:r>
      <w:r w:rsidRPr="00F75A59">
        <w:rPr>
          <w:rFonts w:ascii="Times New Roman" w:hAnsi="Times New Roman"/>
          <w:lang w:val="lt-LT"/>
        </w:rPr>
        <w:t>lašinamas naujagimiams ir jaunesniems kaip 2</w:t>
      </w:r>
      <w:r>
        <w:rPr>
          <w:rFonts w:ascii="Times New Roman" w:hAnsi="Times New Roman"/>
          <w:lang w:val="lt-LT"/>
        </w:rPr>
        <w:t> </w:t>
      </w:r>
      <w:r w:rsidRPr="00F75A59">
        <w:rPr>
          <w:rFonts w:ascii="Times New Roman" w:hAnsi="Times New Roman"/>
          <w:lang w:val="lt-LT"/>
        </w:rPr>
        <w:t>metų vaikams, tirpalas (maišeliuose ir infuzijos rinkiniuose) turi būti apsaugotas nuo šviesos, kol lašinimas bus užbaigtas (žr. 2</w:t>
      </w:r>
      <w:r>
        <w:rPr>
          <w:rFonts w:ascii="Times New Roman" w:hAnsi="Times New Roman"/>
          <w:lang w:val="lt-LT"/>
        </w:rPr>
        <w:t> </w:t>
      </w:r>
      <w:r w:rsidRPr="00F75A59">
        <w:rPr>
          <w:rFonts w:ascii="Times New Roman" w:hAnsi="Times New Roman"/>
          <w:lang w:val="lt-LT"/>
        </w:rPr>
        <w:t>skyrių).</w:t>
      </w:r>
    </w:p>
    <w:p w:rsidR="00945471" w:rsidRPr="006B5E26" w:rsidRDefault="00945471" w:rsidP="00945471">
      <w:pPr>
        <w:tabs>
          <w:tab w:val="left" w:pos="567"/>
        </w:tabs>
        <w:autoSpaceDE w:val="0"/>
        <w:autoSpaceDN w:val="0"/>
        <w:adjustRightInd w:val="0"/>
        <w:spacing w:after="0" w:line="240" w:lineRule="auto"/>
        <w:rPr>
          <w:rFonts w:ascii="Times New Roman" w:hAnsi="Times New Roman"/>
          <w:b/>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 xml:space="preserve">Ką daryti pavartojus per didelę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dozę?</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Tiksliai vykdykite gydytojo nurodymus. Jei manote, kad Jums sulašinta daugiau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nei skirta, apie tai nedelsdami pasakykite gydytojui.</w:t>
      </w:r>
    </w:p>
    <w:p w:rsidR="00945471" w:rsidRPr="006B5E26" w:rsidRDefault="00945471" w:rsidP="00945471">
      <w:pPr>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 xml:space="preserve">Pamiršus pavartoti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Tiksliai vykdykite gydytojo nurodymus. Jei Jūsų vaikui nesulašinta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apie tai nedelsdami pasakykite gydytojui. Negalima vartoti dvigubos dozės norint kompensuoti praleistą dozę, be to, negalima didinti infuzijos greičio.</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kiltų daugiau klausimų dėl šio vaisto vartojimo, kreipkitės į gydytoją.</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b/>
          <w:lang w:val="lt-LT"/>
        </w:rPr>
        <w:t>4.</w:t>
      </w:r>
      <w:r w:rsidRPr="006B5E26">
        <w:rPr>
          <w:rFonts w:ascii="Times New Roman" w:hAnsi="Times New Roman"/>
          <w:b/>
          <w:lang w:val="lt-LT"/>
        </w:rPr>
        <w:tab/>
        <w:t>Galimas šalutinis poveikis</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8610"/>
        </w:tabs>
        <w:spacing w:after="0" w:line="240" w:lineRule="auto"/>
        <w:ind w:right="-29"/>
        <w:rPr>
          <w:rFonts w:ascii="Times New Roman" w:eastAsia="Times New Roman" w:hAnsi="Times New Roman"/>
          <w:snapToGrid w:val="0"/>
          <w:lang w:val="lt-LT"/>
        </w:rPr>
      </w:pPr>
      <w:r w:rsidRPr="006B5E26">
        <w:rPr>
          <w:rFonts w:ascii="Times New Roman" w:hAnsi="Times New Roman"/>
          <w:lang w:val="lt-LT"/>
        </w:rPr>
        <w:lastRenderedPageBreak/>
        <w:t>Šis vaistas, kaip ir visi kiti, gali sukelti šalutinį poveikį, nors jis pasireiškia ne visiems žmonėms.</w:t>
      </w:r>
      <w:r w:rsidRPr="006B5E26">
        <w:rPr>
          <w:rFonts w:ascii="Times New Roman" w:hAnsi="Times New Roman"/>
          <w:lang w:val="lt-LT"/>
        </w:rPr>
        <w:tab/>
      </w:r>
    </w:p>
    <w:p w:rsidR="00945471" w:rsidRPr="006B5E26" w:rsidRDefault="00945471" w:rsidP="00945471">
      <w:pPr>
        <w:numPr>
          <w:ilvl w:val="12"/>
          <w:numId w:val="0"/>
        </w:numPr>
        <w:tabs>
          <w:tab w:val="left" w:pos="8610"/>
        </w:tabs>
        <w:spacing w:after="0" w:line="240" w:lineRule="auto"/>
        <w:ind w:right="-29"/>
        <w:rPr>
          <w:rFonts w:ascii="Times New Roman" w:hAnsi="Times New Roman"/>
          <w:lang w:val="lt-LT"/>
        </w:rPr>
      </w:pPr>
    </w:p>
    <w:p w:rsidR="00945471" w:rsidRPr="006B5E26" w:rsidRDefault="00945471" w:rsidP="00945471">
      <w:pPr>
        <w:keepNext/>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Jei atsiranda bet kuris toliau išvardytas poveikis, apie tai nedelsdami pasakykite savo gydytojui, kadangi tokiu atveju būtina nedelsiant sustabdyti infuziją.</w:t>
      </w:r>
    </w:p>
    <w:p w:rsidR="00945471" w:rsidRPr="006B5E26" w:rsidRDefault="00945471" w:rsidP="00945471">
      <w:pPr>
        <w:keepNext/>
        <w:numPr>
          <w:ilvl w:val="0"/>
          <w:numId w:val="6"/>
        </w:numPr>
        <w:tabs>
          <w:tab w:val="left" w:pos="567"/>
          <w:tab w:val="left" w:pos="720"/>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 xml:space="preserve">Neįprasti požymiai ar alerginės reakcijos simptomai, pavyzdžiui, prakaitavimas, karščiavimas, drebulys, galvos skausmas, išbėrimas ar kvėpavimo pasunkėjimas. </w:t>
      </w:r>
    </w:p>
    <w:p w:rsidR="00945471" w:rsidRPr="006B5E26" w:rsidRDefault="00945471" w:rsidP="00945471">
      <w:pPr>
        <w:tabs>
          <w:tab w:val="left" w:pos="720"/>
        </w:tabs>
        <w:spacing w:after="0" w:line="240" w:lineRule="auto"/>
        <w:ind w:left="567"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Gali pasireikšti su </w:t>
      </w:r>
      <w:proofErr w:type="spellStart"/>
      <w:r w:rsidRPr="006B5E26">
        <w:rPr>
          <w:rFonts w:ascii="Times New Roman" w:hAnsi="Times New Roman"/>
          <w:lang w:val="lt-LT"/>
        </w:rPr>
        <w:t>parenteriniu</w:t>
      </w:r>
      <w:proofErr w:type="spellEnd"/>
      <w:r w:rsidRPr="006B5E26">
        <w:rPr>
          <w:rFonts w:ascii="Times New Roman" w:hAnsi="Times New Roman"/>
          <w:lang w:val="lt-LT"/>
        </w:rPr>
        <w:t xml:space="preserve"> maitinimu (maitinimu pro veną) susijęs šalutinis poveikis, ypač gydymo pradžioje. Toks poveikis yra:</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vaisto patekimas už venos ribų (</w:t>
      </w:r>
      <w:proofErr w:type="spellStart"/>
      <w:r w:rsidRPr="006B5E26">
        <w:rPr>
          <w:rFonts w:ascii="Times New Roman" w:hAnsi="Times New Roman"/>
          <w:lang w:val="lt-LT"/>
        </w:rPr>
        <w:t>ekstravazacija</w:t>
      </w:r>
      <w:proofErr w:type="spellEnd"/>
      <w:r w:rsidRPr="006B5E26">
        <w:rPr>
          <w:rFonts w:ascii="Times New Roman" w:hAnsi="Times New Roman"/>
          <w:lang w:val="lt-LT"/>
        </w:rPr>
        <w:t xml:space="preserve">), sukeliantis vietinį uždegimą ar audinių žūtį; </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cukraus kiekio kraujyje padidėjimas (hiperglikemija);</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virškinimo trakto sutrikimai (pykinimas, vėmimas);</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skysčių ir elektrolitų pusiausvyros sutrikimas, pavyzdžiui, elektrolitų (natrio, kalio, chlorido, kalcio, magnio, fosforo) kiekio kraujyje pokytis;</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 xml:space="preserve">per didelio aminorūgščių kiekio sukelta </w:t>
      </w:r>
      <w:proofErr w:type="spellStart"/>
      <w:r w:rsidRPr="006B5E26">
        <w:rPr>
          <w:rFonts w:ascii="Times New Roman" w:hAnsi="Times New Roman"/>
          <w:lang w:val="lt-LT"/>
        </w:rPr>
        <w:t>metabolinė</w:t>
      </w:r>
      <w:proofErr w:type="spellEnd"/>
      <w:r w:rsidRPr="006B5E26">
        <w:rPr>
          <w:rFonts w:ascii="Times New Roman" w:hAnsi="Times New Roman"/>
          <w:lang w:val="lt-LT"/>
        </w:rPr>
        <w:t xml:space="preserve"> </w:t>
      </w:r>
      <w:proofErr w:type="spellStart"/>
      <w:r w:rsidRPr="006B5E26">
        <w:rPr>
          <w:rFonts w:ascii="Times New Roman" w:hAnsi="Times New Roman"/>
          <w:lang w:val="lt-LT"/>
        </w:rPr>
        <w:t>acidozė</w:t>
      </w:r>
      <w:proofErr w:type="spellEnd"/>
      <w:r w:rsidRPr="006B5E26">
        <w:rPr>
          <w:rFonts w:ascii="Times New Roman" w:hAnsi="Times New Roman"/>
          <w:lang w:val="lt-LT"/>
        </w:rPr>
        <w:t xml:space="preserve"> (rūgštinių ir šarminių medžiagų pusiausvyros kraujyje sutrikimas). Gali pasireikšti </w:t>
      </w:r>
      <w:proofErr w:type="spellStart"/>
      <w:r w:rsidRPr="006B5E26">
        <w:rPr>
          <w:rFonts w:ascii="Times New Roman" w:hAnsi="Times New Roman"/>
          <w:lang w:val="lt-LT"/>
        </w:rPr>
        <w:t>hiperazotemija</w:t>
      </w:r>
      <w:proofErr w:type="spellEnd"/>
      <w:r w:rsidRPr="006B5E26">
        <w:rPr>
          <w:rFonts w:ascii="Times New Roman" w:hAnsi="Times New Roman"/>
          <w:lang w:val="lt-LT"/>
        </w:rPr>
        <w:t xml:space="preserve"> (per didelis azotinių atliekų kiekis kraujyje), ypač jei yra inkstų ar kvėpavimo sutrikimų;</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proofErr w:type="spellStart"/>
      <w:r w:rsidRPr="006B5E26">
        <w:rPr>
          <w:rFonts w:ascii="Times New Roman" w:hAnsi="Times New Roman"/>
          <w:lang w:val="lt-LT"/>
        </w:rPr>
        <w:t>fenilalanino</w:t>
      </w:r>
      <w:proofErr w:type="spellEnd"/>
      <w:r w:rsidRPr="006B5E26">
        <w:rPr>
          <w:rFonts w:ascii="Times New Roman" w:hAnsi="Times New Roman"/>
          <w:lang w:val="lt-LT"/>
        </w:rPr>
        <w:t xml:space="preserve"> (aminorūgšties) koncentracijos kraujyje padidėjimas (toks poveikis galimas neišnešiotiems naujagimiams, kurių būklė yra sunki);</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 xml:space="preserve">venų trombozė (kraujo krešulių atsiradimas venose), ypač jei vaistas </w:t>
      </w:r>
      <w:proofErr w:type="spellStart"/>
      <w:r w:rsidRPr="006B5E26">
        <w:rPr>
          <w:rFonts w:ascii="Times New Roman" w:hAnsi="Times New Roman"/>
          <w:lang w:val="lt-LT"/>
        </w:rPr>
        <w:t>infuzuojamas</w:t>
      </w:r>
      <w:proofErr w:type="spellEnd"/>
      <w:r w:rsidRPr="006B5E26">
        <w:rPr>
          <w:rFonts w:ascii="Times New Roman" w:hAnsi="Times New Roman"/>
          <w:lang w:val="lt-LT"/>
        </w:rPr>
        <w:t xml:space="preserve"> į veną rankoje (periferinę veną);</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trumpalaikis kepenų funkcijos sutrikimas;</w:t>
      </w:r>
    </w:p>
    <w:p w:rsidR="00945471" w:rsidRPr="006B5E26" w:rsidRDefault="00945471" w:rsidP="00945471">
      <w:pPr>
        <w:numPr>
          <w:ilvl w:val="0"/>
          <w:numId w:val="6"/>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alerginės reakcijos į tam tikras amino rūgštis.</w:t>
      </w:r>
    </w:p>
    <w:p w:rsidR="00945471" w:rsidRPr="006B5E26" w:rsidRDefault="00945471" w:rsidP="00945471">
      <w:pPr>
        <w:tabs>
          <w:tab w:val="left" w:pos="720"/>
        </w:tabs>
        <w:spacing w:after="0" w:line="240" w:lineRule="auto"/>
        <w:ind w:left="567"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Netinkamas vartojimas (per didelė dozė ar per greita infuzija) gali sukelti hiperglikemijos (kalcio kiekio kraujyje padidėjimas) ir </w:t>
      </w:r>
      <w:proofErr w:type="spellStart"/>
      <w:r w:rsidRPr="006B5E26">
        <w:rPr>
          <w:rFonts w:ascii="Times New Roman" w:hAnsi="Times New Roman"/>
          <w:lang w:val="lt-LT"/>
        </w:rPr>
        <w:t>hipovolemijos</w:t>
      </w:r>
      <w:proofErr w:type="spellEnd"/>
      <w:r w:rsidRPr="006B5E26">
        <w:rPr>
          <w:rFonts w:ascii="Times New Roman" w:hAnsi="Times New Roman"/>
          <w:lang w:val="lt-LT"/>
        </w:rPr>
        <w:t xml:space="preserve"> (kraujo tūrio kraujagyslėse padidėjimo) požymių.</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tabs>
          <w:tab w:val="left" w:pos="567"/>
        </w:tabs>
        <w:spacing w:after="0" w:line="240" w:lineRule="auto"/>
        <w:rPr>
          <w:rFonts w:ascii="Times New Roman" w:eastAsia="Times New Roman" w:hAnsi="Times New Roman"/>
          <w:b/>
          <w:snapToGrid w:val="0"/>
          <w:lang w:val="lt-LT"/>
        </w:rPr>
      </w:pPr>
      <w:r w:rsidRPr="006B5E26">
        <w:rPr>
          <w:rFonts w:ascii="Times New Roman" w:hAnsi="Times New Roman"/>
          <w:b/>
          <w:lang w:val="lt-LT"/>
        </w:rPr>
        <w:t>Pranešimas apie šalutinį poveikį</w:t>
      </w:r>
    </w:p>
    <w:p w:rsidR="00945471" w:rsidRDefault="00945471" w:rsidP="00945471">
      <w:pPr>
        <w:tabs>
          <w:tab w:val="left" w:pos="567"/>
        </w:tabs>
        <w:spacing w:after="0" w:line="240" w:lineRule="auto"/>
        <w:ind w:right="140"/>
        <w:rPr>
          <w:rFonts w:ascii="Times New Roman" w:eastAsia="Times New Roman" w:hAnsi="Times New Roman"/>
          <w:snapToGrid w:val="0"/>
          <w:szCs w:val="20"/>
          <w:lang w:val="lt-LT"/>
        </w:rPr>
      </w:pPr>
      <w:r w:rsidRPr="009566E0">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vaistininkui arba slaugytojui</w:t>
      </w:r>
      <w:r w:rsidRPr="009566E0">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9566E0">
        <w:rPr>
          <w:rFonts w:ascii="Times New Roman" w:eastAsia="Times New Roman" w:hAnsi="Times New Roman"/>
          <w:snapToGrid w:val="0"/>
          <w:szCs w:val="20"/>
          <w:lang w:val="lt-LT" w:eastAsia="zh-CN"/>
        </w:rPr>
        <w:t>elefonu 8 800 73568</w:t>
      </w:r>
      <w:r w:rsidRPr="009566E0">
        <w:rPr>
          <w:rFonts w:ascii="Times New Roman" w:eastAsia="Times New Roman" w:hAnsi="Times New Roman"/>
          <w:snapToGrid w:val="0"/>
          <w:szCs w:val="20"/>
          <w:lang w:val="lt-LT"/>
        </w:rPr>
        <w:t xml:space="preserve"> arba užpildyti interneto svetainėje </w:t>
      </w:r>
      <w:hyperlink r:id="rId5" w:history="1">
        <w:r w:rsidRPr="009566E0">
          <w:rPr>
            <w:rFonts w:ascii="Times New Roman" w:eastAsia="SimSun" w:hAnsi="Times New Roman"/>
            <w:snapToGrid w:val="0"/>
            <w:color w:val="0000FF"/>
            <w:szCs w:val="20"/>
            <w:u w:val="single"/>
            <w:lang w:val="lt-LT"/>
          </w:rPr>
          <w:t>www.vvkt.lt</w:t>
        </w:r>
      </w:hyperlink>
      <w:r w:rsidRPr="009566E0">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9566E0">
        <w:rPr>
          <w:rFonts w:ascii="Times New Roman" w:eastAsia="Times New Roman" w:hAnsi="Times New Roman"/>
          <w:snapToGrid w:val="0"/>
          <w:szCs w:val="20"/>
          <w:lang w:val="lt-LT" w:eastAsia="zh-CN"/>
        </w:rPr>
        <w:t xml:space="preserve">nemokamu </w:t>
      </w:r>
      <w:r w:rsidRPr="009566E0">
        <w:rPr>
          <w:rFonts w:ascii="Times New Roman" w:eastAsia="Times New Roman" w:hAnsi="Times New Roman"/>
          <w:snapToGrid w:val="0"/>
          <w:szCs w:val="20"/>
          <w:lang w:val="lt-LT"/>
        </w:rPr>
        <w:t>fakso numeriu 8 800 20131</w:t>
      </w:r>
      <w:r w:rsidRPr="009566E0">
        <w:rPr>
          <w:rFonts w:ascii="Times New Roman" w:eastAsia="Times New Roman" w:hAnsi="Times New Roman"/>
          <w:snapToGrid w:val="0"/>
          <w:szCs w:val="20"/>
          <w:lang w:val="lt-LT" w:eastAsia="zh-CN"/>
        </w:rPr>
        <w:t xml:space="preserve">, </w:t>
      </w:r>
      <w:r w:rsidRPr="009566E0">
        <w:rPr>
          <w:rFonts w:ascii="Times New Roman" w:eastAsia="Times New Roman" w:hAnsi="Times New Roman"/>
          <w:snapToGrid w:val="0"/>
          <w:szCs w:val="20"/>
          <w:lang w:val="lt-LT"/>
        </w:rPr>
        <w:t xml:space="preserve">el. paštu </w:t>
      </w:r>
      <w:hyperlink r:id="rId6" w:history="1">
        <w:r w:rsidRPr="009566E0">
          <w:rPr>
            <w:rFonts w:ascii="Times New Roman" w:eastAsia="SimSun" w:hAnsi="Times New Roman"/>
            <w:snapToGrid w:val="0"/>
            <w:color w:val="0000FF"/>
            <w:szCs w:val="20"/>
            <w:u w:val="single"/>
            <w:lang w:val="lt-LT"/>
          </w:rPr>
          <w:t>NepageidaujamaR@vvkt.lt</w:t>
        </w:r>
      </w:hyperlink>
      <w:r w:rsidRPr="009566E0">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7" w:history="1">
        <w:r w:rsidRPr="009566E0">
          <w:rPr>
            <w:rFonts w:ascii="Times New Roman" w:eastAsia="SimSun" w:hAnsi="Times New Roman"/>
            <w:snapToGrid w:val="0"/>
            <w:color w:val="0000FF"/>
            <w:szCs w:val="20"/>
            <w:u w:val="single"/>
            <w:lang w:val="lt-LT"/>
          </w:rPr>
          <w:t>http://www.vvkt.lt</w:t>
        </w:r>
      </w:hyperlink>
      <w:r w:rsidRPr="009566E0">
        <w:rPr>
          <w:rFonts w:ascii="Times New Roman" w:eastAsia="Times New Roman" w:hAnsi="Times New Roman"/>
          <w:snapToGrid w:val="0"/>
          <w:szCs w:val="20"/>
          <w:lang w:val="lt-LT"/>
        </w:rPr>
        <w:t>). Pranešdami apie šalutinį poveikį galite mums padėti gauti daugiau informacijos apie šio vaisto saugumą.</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left="567" w:right="-2" w:hanging="567"/>
        <w:rPr>
          <w:rFonts w:ascii="Times New Roman" w:eastAsia="Times New Roman" w:hAnsi="Times New Roman"/>
          <w:b/>
          <w:snapToGrid w:val="0"/>
          <w:lang w:val="lt-LT"/>
        </w:rPr>
      </w:pPr>
      <w:r w:rsidRPr="006B5E26">
        <w:rPr>
          <w:rFonts w:ascii="Times New Roman" w:hAnsi="Times New Roman"/>
          <w:b/>
          <w:lang w:val="lt-LT"/>
        </w:rPr>
        <w:t>5.</w:t>
      </w:r>
      <w:r w:rsidRPr="006B5E26">
        <w:rPr>
          <w:rFonts w:ascii="Times New Roman" w:hAnsi="Times New Roman"/>
          <w:b/>
          <w:lang w:val="lt-LT"/>
        </w:rPr>
        <w:tab/>
        <w:t xml:space="preserve">Kaip laikyti </w:t>
      </w: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infuzinį tirpalą</w:t>
      </w:r>
    </w:p>
    <w:p w:rsidR="00945471" w:rsidRPr="006B5E26" w:rsidRDefault="00945471" w:rsidP="00945471">
      <w:pPr>
        <w:numPr>
          <w:ilvl w:val="12"/>
          <w:numId w:val="0"/>
        </w:numPr>
        <w:tabs>
          <w:tab w:val="left" w:pos="720"/>
        </w:tabs>
        <w:spacing w:after="0" w:line="240" w:lineRule="auto"/>
        <w:ind w:left="567" w:right="-2" w:hanging="567"/>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Šį vaistą laikykite vaikams nepastebimoje ir nepasiekiamoje vietoje.</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Ant maišelio ir pakuotės po „Tinka iki“ nurodytam tinkamumo laikui pasibaigus, šio vaisto vartoti negalima.</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Laikyti žemesnėje kaip 25°C temperatūroje. Negalima užšaldyti. Laikyti išoriniame maišelyje. Po 2 kamerų turinio sumaišymo vartoti nedelsiant.</w:t>
      </w:r>
    </w:p>
    <w:p w:rsidR="00945471" w:rsidRDefault="00945471" w:rsidP="00945471">
      <w:pPr>
        <w:numPr>
          <w:ilvl w:val="12"/>
          <w:numId w:val="0"/>
        </w:numPr>
        <w:spacing w:after="0" w:line="240" w:lineRule="auto"/>
        <w:ind w:right="-2"/>
        <w:rPr>
          <w:rFonts w:ascii="Times New Roman" w:hAnsi="Times New Roman"/>
          <w:lang w:val="lt-LT"/>
        </w:rPr>
      </w:pPr>
    </w:p>
    <w:p w:rsidR="00945471" w:rsidRPr="00F75A59" w:rsidRDefault="00945471" w:rsidP="00945471">
      <w:pPr>
        <w:numPr>
          <w:ilvl w:val="12"/>
          <w:numId w:val="0"/>
        </w:numPr>
        <w:spacing w:after="0" w:line="240" w:lineRule="auto"/>
        <w:ind w:right="-2"/>
        <w:rPr>
          <w:rFonts w:ascii="Times New Roman" w:hAnsi="Times New Roman"/>
          <w:lang w:val="lt-LT"/>
        </w:rPr>
      </w:pPr>
      <w:r w:rsidRPr="00F75A59">
        <w:rPr>
          <w:rFonts w:ascii="Times New Roman" w:hAnsi="Times New Roman"/>
          <w:lang w:val="lt-LT"/>
        </w:rPr>
        <w:t xml:space="preserve">Kai </w:t>
      </w:r>
      <w:proofErr w:type="spellStart"/>
      <w:r>
        <w:rPr>
          <w:rFonts w:ascii="Times New Roman" w:hAnsi="Times New Roman"/>
          <w:lang w:val="lt-LT"/>
        </w:rPr>
        <w:t>Pediaven</w:t>
      </w:r>
      <w:proofErr w:type="spellEnd"/>
      <w:r>
        <w:rPr>
          <w:rFonts w:ascii="Times New Roman" w:hAnsi="Times New Roman"/>
          <w:lang w:val="lt-LT"/>
        </w:rPr>
        <w:t xml:space="preserve"> NN2 </w:t>
      </w:r>
      <w:r w:rsidRPr="00F75A59">
        <w:rPr>
          <w:rFonts w:ascii="Times New Roman" w:hAnsi="Times New Roman"/>
          <w:lang w:val="lt-LT"/>
        </w:rPr>
        <w:t>lašinamas naujagimiams ir jaunesniems kaip 2</w:t>
      </w:r>
      <w:r>
        <w:rPr>
          <w:rFonts w:ascii="Times New Roman" w:hAnsi="Times New Roman"/>
          <w:lang w:val="lt-LT"/>
        </w:rPr>
        <w:t> </w:t>
      </w:r>
      <w:r w:rsidRPr="00F75A59">
        <w:rPr>
          <w:rFonts w:ascii="Times New Roman" w:hAnsi="Times New Roman"/>
          <w:lang w:val="lt-LT"/>
        </w:rPr>
        <w:t>metų vaikams, tirpalas (maišeliuose ir infuzijos rinkiniuose) turi būti apsaugotas nuo šviesos, kol lašinimas bus užbaigtas (žr. 2</w:t>
      </w:r>
      <w:r>
        <w:rPr>
          <w:rFonts w:ascii="Times New Roman" w:hAnsi="Times New Roman"/>
          <w:lang w:val="lt-LT"/>
        </w:rPr>
        <w:t> </w:t>
      </w:r>
      <w:r w:rsidRPr="00F75A59">
        <w:rPr>
          <w:rFonts w:ascii="Times New Roman" w:hAnsi="Times New Roman"/>
          <w:lang w:val="lt-LT"/>
        </w:rPr>
        <w:t>skyrių).</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b/>
          <w:lang w:val="lt-LT"/>
        </w:rPr>
        <w:t xml:space="preserve">Laikymas po mišinio papildymo kitomis medžiagomis. </w:t>
      </w:r>
      <w:r w:rsidRPr="006B5E26">
        <w:rPr>
          <w:rFonts w:ascii="Times New Roman" w:hAnsi="Times New Roman"/>
          <w:lang w:val="lt-LT"/>
        </w:rPr>
        <w:t>Po dviejų kamerų turinio sumaišymo priedus galima įšvirkšti per priedų jungtį. Po priedų įšvirkštimo mišinį būtina vartoti nedelsiant.</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Jei pakuotė pažeista ar pastebėjote matomų gedimo požymių, šio vaisto vartoti negalima. </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Vaistų negalima išmesti į kanalizaciją arba su buitinėmis atliekomis. Kaip išmesti nereikalingus vaistus, klauskite vaistininko. Šios priemonės padės apsaugoti aplinką.</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keepNext/>
        <w:keepLines/>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6.</w:t>
      </w:r>
      <w:r w:rsidRPr="006B5E26">
        <w:rPr>
          <w:rFonts w:ascii="Times New Roman" w:hAnsi="Times New Roman"/>
          <w:b/>
          <w:lang w:val="lt-LT"/>
        </w:rPr>
        <w:tab/>
        <w:t>Pakuotės turinys ir kita informacija</w:t>
      </w:r>
    </w:p>
    <w:p w:rsidR="00945471" w:rsidRPr="006B5E26" w:rsidRDefault="00945471" w:rsidP="00945471">
      <w:pPr>
        <w:keepNext/>
        <w:keepLines/>
        <w:numPr>
          <w:ilvl w:val="12"/>
          <w:numId w:val="0"/>
        </w:numPr>
        <w:tabs>
          <w:tab w:val="left" w:pos="720"/>
        </w:tabs>
        <w:spacing w:after="0" w:line="240" w:lineRule="auto"/>
        <w:ind w:right="-2"/>
        <w:rPr>
          <w:rFonts w:ascii="Times New Roman" w:hAnsi="Times New Roman"/>
          <w:b/>
          <w:lang w:val="lt-LT"/>
        </w:rPr>
      </w:pPr>
    </w:p>
    <w:p w:rsidR="00945471" w:rsidRPr="006B5E26" w:rsidRDefault="00945471" w:rsidP="00945471">
      <w:pPr>
        <w:keepNext/>
        <w:keepLines/>
        <w:numPr>
          <w:ilvl w:val="12"/>
          <w:numId w:val="0"/>
        </w:numPr>
        <w:tabs>
          <w:tab w:val="left" w:pos="720"/>
        </w:tabs>
        <w:spacing w:after="0" w:line="240" w:lineRule="auto"/>
        <w:ind w:right="-2"/>
        <w:rPr>
          <w:rFonts w:ascii="Times New Roman" w:eastAsia="Times New Roman" w:hAnsi="Times New Roman"/>
          <w:b/>
          <w:snapToGrid w:val="0"/>
          <w:lang w:val="lt-LT"/>
        </w:rPr>
      </w:pP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sudėtis</w:t>
      </w:r>
    </w:p>
    <w:p w:rsidR="00945471" w:rsidRPr="006B5E26" w:rsidRDefault="00945471" w:rsidP="00945471">
      <w:pPr>
        <w:keepNext/>
        <w:keepLines/>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keepNext/>
        <w:keepLines/>
        <w:numPr>
          <w:ilvl w:val="0"/>
          <w:numId w:val="7"/>
        </w:numPr>
        <w:tabs>
          <w:tab w:val="num" w:pos="426"/>
          <w:tab w:val="left" w:pos="567"/>
        </w:tabs>
        <w:spacing w:after="0" w:line="240" w:lineRule="auto"/>
        <w:ind w:hanging="630"/>
        <w:jc w:val="both"/>
        <w:rPr>
          <w:rFonts w:ascii="Times New Roman" w:eastAsia="Times New Roman" w:hAnsi="Times New Roman"/>
          <w:b/>
          <w:snapToGrid w:val="0"/>
          <w:lang w:val="lt-LT"/>
        </w:rPr>
      </w:pPr>
      <w:r w:rsidRPr="006B5E26">
        <w:rPr>
          <w:rFonts w:ascii="Times New Roman" w:hAnsi="Times New Roman"/>
          <w:lang w:val="lt-LT"/>
        </w:rPr>
        <w:t>Veikliosios medžiagos yra:</w:t>
      </w:r>
      <w:r w:rsidRPr="006B5E26">
        <w:rPr>
          <w:rFonts w:ascii="Times New Roman" w:hAnsi="Times New Roman"/>
          <w:b/>
          <w:lang w:val="lt-LT"/>
        </w:rPr>
        <w:t xml:space="preserve"> </w:t>
      </w:r>
    </w:p>
    <w:tbl>
      <w:tblPr>
        <w:tblW w:w="9703" w:type="dxa"/>
        <w:jc w:val="center"/>
        <w:tblLayout w:type="fixed"/>
        <w:tblCellMar>
          <w:left w:w="113" w:type="dxa"/>
          <w:right w:w="0" w:type="dxa"/>
        </w:tblCellMar>
        <w:tblLook w:val="04A0" w:firstRow="1" w:lastRow="0" w:firstColumn="1" w:lastColumn="0" w:noHBand="0" w:noVBand="1"/>
      </w:tblPr>
      <w:tblGrid>
        <w:gridCol w:w="3281"/>
        <w:gridCol w:w="1461"/>
        <w:gridCol w:w="1764"/>
        <w:gridCol w:w="1749"/>
        <w:gridCol w:w="1448"/>
      </w:tblGrid>
      <w:tr w:rsidR="00945471" w:rsidRPr="007B2D4B" w:rsidTr="00DE27D0">
        <w:trPr>
          <w:cantSplit/>
          <w:jc w:val="center"/>
        </w:trPr>
        <w:tc>
          <w:tcPr>
            <w:tcW w:w="3281" w:type="dxa"/>
            <w:tcBorders>
              <w:top w:val="single" w:sz="2" w:space="0" w:color="auto"/>
              <w:left w:val="single" w:sz="2" w:space="0" w:color="auto"/>
              <w:bottom w:val="nil"/>
              <w:right w:val="single" w:sz="2" w:space="0" w:color="auto"/>
            </w:tcBorders>
          </w:tcPr>
          <w:p w:rsidR="00945471" w:rsidRPr="007B2D4B" w:rsidRDefault="00945471" w:rsidP="00DE27D0">
            <w:pPr>
              <w:keepNext/>
              <w:keepLines/>
              <w:tabs>
                <w:tab w:val="left" w:pos="567"/>
              </w:tabs>
              <w:spacing w:after="0" w:line="240" w:lineRule="auto"/>
              <w:rPr>
                <w:rFonts w:ascii="Times New Roman" w:hAnsi="Times New Roman"/>
                <w:lang w:val="lt-LT"/>
              </w:rPr>
            </w:pPr>
          </w:p>
        </w:tc>
        <w:tc>
          <w:tcPr>
            <w:tcW w:w="1461" w:type="dxa"/>
            <w:tcBorders>
              <w:top w:val="single" w:sz="2" w:space="0" w:color="auto"/>
              <w:left w:val="single" w:sz="2" w:space="0" w:color="auto"/>
              <w:bottom w:val="nil"/>
              <w:right w:val="single" w:sz="2" w:space="0" w:color="auto"/>
            </w:tcBorders>
            <w:hideMark/>
          </w:tcPr>
          <w:p w:rsidR="00945471" w:rsidRPr="007B2D4B" w:rsidRDefault="00945471" w:rsidP="00DE27D0">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Aminorūgščių kamera</w:t>
            </w:r>
          </w:p>
        </w:tc>
        <w:tc>
          <w:tcPr>
            <w:tcW w:w="1764" w:type="dxa"/>
            <w:tcBorders>
              <w:top w:val="single" w:sz="2" w:space="0" w:color="auto"/>
              <w:left w:val="single" w:sz="2" w:space="0" w:color="auto"/>
              <w:bottom w:val="nil"/>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 xml:space="preserve">Gliukozės </w:t>
            </w:r>
          </w:p>
          <w:p w:rsidR="00945471" w:rsidRPr="006B5E26" w:rsidRDefault="00945471" w:rsidP="00DE27D0">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kamera</w:t>
            </w:r>
          </w:p>
        </w:tc>
        <w:tc>
          <w:tcPr>
            <w:tcW w:w="1749" w:type="dxa"/>
            <w:tcBorders>
              <w:top w:val="single" w:sz="2" w:space="0" w:color="auto"/>
              <w:left w:val="single" w:sz="2" w:space="0" w:color="auto"/>
              <w:bottom w:val="nil"/>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Vartoti paruoštas sumaišytas tirpalas</w:t>
            </w:r>
          </w:p>
        </w:tc>
        <w:tc>
          <w:tcPr>
            <w:tcW w:w="1448" w:type="dxa"/>
            <w:tcBorders>
              <w:top w:val="single" w:sz="2" w:space="0" w:color="auto"/>
              <w:left w:val="single" w:sz="2" w:space="0" w:color="auto"/>
              <w:bottom w:val="nil"/>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Sudėtis</w:t>
            </w:r>
          </w:p>
        </w:tc>
      </w:tr>
      <w:tr w:rsidR="00945471" w:rsidRPr="007B2D4B" w:rsidTr="00DE27D0">
        <w:trPr>
          <w:jc w:val="center"/>
        </w:trPr>
        <w:tc>
          <w:tcPr>
            <w:tcW w:w="3281" w:type="dxa"/>
            <w:tcBorders>
              <w:top w:val="nil"/>
              <w:left w:val="single" w:sz="2" w:space="0" w:color="auto"/>
              <w:bottom w:val="single" w:sz="2" w:space="0" w:color="auto"/>
              <w:right w:val="single" w:sz="2" w:space="0" w:color="auto"/>
            </w:tcBorders>
            <w:hideMark/>
          </w:tcPr>
          <w:p w:rsidR="00945471" w:rsidRPr="007B2D4B" w:rsidRDefault="00945471" w:rsidP="00DE27D0">
            <w:pPr>
              <w:keepNext/>
              <w:keepLines/>
              <w:tabs>
                <w:tab w:val="left" w:pos="567"/>
              </w:tabs>
              <w:spacing w:after="0" w:line="240" w:lineRule="auto"/>
              <w:ind w:left="54"/>
              <w:rPr>
                <w:rFonts w:ascii="Times New Roman" w:hAnsi="Times New Roman"/>
                <w:b/>
                <w:lang w:val="lt-LT"/>
              </w:rPr>
            </w:pPr>
            <w:r w:rsidRPr="007B2D4B">
              <w:rPr>
                <w:rFonts w:ascii="Times New Roman" w:hAnsi="Times New Roman"/>
                <w:b/>
                <w:lang w:val="lt-LT"/>
              </w:rPr>
              <w:t>Veikliosios medžiagos</w:t>
            </w:r>
          </w:p>
        </w:tc>
        <w:tc>
          <w:tcPr>
            <w:tcW w:w="1461" w:type="dxa"/>
            <w:tcBorders>
              <w:top w:val="nil"/>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764" w:type="dxa"/>
            <w:tcBorders>
              <w:top w:val="nil"/>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ind w:right="-28"/>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749" w:type="dxa"/>
            <w:tcBorders>
              <w:top w:val="nil"/>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ind w:right="-6"/>
              <w:jc w:val="center"/>
              <w:rPr>
                <w:rFonts w:ascii="Times New Roman" w:eastAsia="Times New Roman" w:hAnsi="Times New Roman"/>
                <w:b/>
                <w:snapToGrid w:val="0"/>
                <w:lang w:val="lt-LT"/>
              </w:rPr>
            </w:pPr>
            <w:r w:rsidRPr="007B2D4B">
              <w:rPr>
                <w:rFonts w:ascii="Times New Roman" w:hAnsi="Times New Roman"/>
                <w:b/>
                <w:lang w:val="lt-LT"/>
              </w:rPr>
              <w:t>250 ml</w:t>
            </w:r>
          </w:p>
        </w:tc>
        <w:tc>
          <w:tcPr>
            <w:tcW w:w="1448" w:type="dxa"/>
            <w:tcBorders>
              <w:top w:val="nil"/>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ind w:right="51"/>
              <w:jc w:val="center"/>
              <w:rPr>
                <w:rFonts w:ascii="Times New Roman" w:eastAsia="Times New Roman" w:hAnsi="Times New Roman"/>
                <w:b/>
                <w:snapToGrid w:val="0"/>
                <w:lang w:val="lt-LT"/>
              </w:rPr>
            </w:pPr>
            <w:r w:rsidRPr="007B2D4B">
              <w:rPr>
                <w:rFonts w:ascii="Times New Roman" w:hAnsi="Times New Roman"/>
                <w:b/>
                <w:lang w:val="lt-LT"/>
              </w:rPr>
              <w:t>1000 ml</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keepNext/>
              <w:keepLines/>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Alaninas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keepNext/>
              <w:keepLines/>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Argininas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Asparto</w:t>
            </w:r>
            <w:proofErr w:type="spellEnd"/>
            <w:r w:rsidRPr="007B2D4B">
              <w:rPr>
                <w:rFonts w:ascii="Times New Roman" w:hAnsi="Times New Roman"/>
                <w:lang w:val="lt-LT"/>
              </w:rPr>
              <w:t xml:space="preserve"> rūgštis</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Acetilcisteinas</w:t>
            </w:r>
            <w:proofErr w:type="spellEnd"/>
          </w:p>
          <w:p w:rsidR="00945471" w:rsidRPr="006B5E26" w:rsidRDefault="00945471" w:rsidP="00DE27D0">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 (atitinkantis </w:t>
            </w:r>
            <w:proofErr w:type="spellStart"/>
            <w:r w:rsidRPr="007B2D4B">
              <w:rPr>
                <w:rFonts w:ascii="Times New Roman" w:hAnsi="Times New Roman"/>
                <w:lang w:val="lt-LT"/>
              </w:rPr>
              <w:t>cisteiną</w:t>
            </w:r>
            <w:proofErr w:type="spellEnd"/>
            <w:r w:rsidRPr="007B2D4B">
              <w:rPr>
                <w:rFonts w:ascii="Times New Roman" w:hAnsi="Times New Roman"/>
                <w:lang w:val="lt-LT"/>
              </w:rPr>
              <w:t>)</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0,38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0,28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Glutamo</w:t>
            </w:r>
            <w:proofErr w:type="spellEnd"/>
            <w:r w:rsidRPr="007B2D4B">
              <w:rPr>
                <w:rFonts w:ascii="Times New Roman" w:hAnsi="Times New Roman"/>
                <w:lang w:val="lt-LT"/>
              </w:rPr>
              <w:t xml:space="preserve"> rūgštis</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Glicinas</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Histidinas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Izoleucinas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0,80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Leucinas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i/>
                <w:lang w:val="lt-LT"/>
              </w:rPr>
            </w:pPr>
            <w:r w:rsidRPr="007B2D4B">
              <w:rPr>
                <w:rFonts w:ascii="Times New Roman" w:hAnsi="Times New Roman"/>
                <w:lang w:val="lt-LT"/>
              </w:rPr>
              <w:t xml:space="preserve">Lizinas </w:t>
            </w:r>
            <w:proofErr w:type="spellStart"/>
            <w:r w:rsidRPr="007B2D4B">
              <w:rPr>
                <w:rFonts w:ascii="Times New Roman" w:hAnsi="Times New Roman"/>
                <w:lang w:val="lt-LT"/>
              </w:rPr>
              <w:t>monohidratas</w:t>
            </w:r>
            <w:proofErr w:type="spellEnd"/>
          </w:p>
          <w:p w:rsidR="00945471" w:rsidRPr="006B5E26" w:rsidRDefault="00945471" w:rsidP="00DE27D0">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(atitinkantis bevandenį liziną)</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1,60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Metioninas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0,32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Fenilalaninas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0,72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Prolinas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Serinas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Taurinas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Treoninas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Triptofanas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Tirozinas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0,12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proofErr w:type="spellStart"/>
            <w:r w:rsidRPr="007B2D4B">
              <w:rPr>
                <w:rFonts w:ascii="Times New Roman" w:hAnsi="Times New Roman"/>
                <w:lang w:val="lt-LT"/>
              </w:rPr>
              <w:t>Valinas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Kalio-</w:t>
            </w:r>
            <w:proofErr w:type="spellStart"/>
            <w:r w:rsidRPr="007B2D4B">
              <w:rPr>
                <w:rFonts w:ascii="Times New Roman" w:hAnsi="Times New Roman"/>
                <w:lang w:val="lt-LT"/>
              </w:rPr>
              <w:t>divandenilio</w:t>
            </w:r>
            <w:proofErr w:type="spellEnd"/>
            <w:r w:rsidRPr="007B2D4B">
              <w:rPr>
                <w:rFonts w:ascii="Times New Roman" w:hAnsi="Times New Roman"/>
                <w:lang w:val="lt-LT"/>
              </w:rPr>
              <w:t xml:space="preserve"> fosfatas</w:t>
            </w:r>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1,24</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Kalio </w:t>
            </w:r>
            <w:proofErr w:type="spellStart"/>
            <w:r w:rsidRPr="007B2D4B">
              <w:rPr>
                <w:rFonts w:ascii="Times New Roman" w:hAnsi="Times New Roman"/>
                <w:lang w:val="lt-LT"/>
              </w:rPr>
              <w:t>hidroksidas</w:t>
            </w:r>
            <w:proofErr w:type="spellEnd"/>
          </w:p>
        </w:tc>
        <w:tc>
          <w:tcPr>
            <w:tcW w:w="1461"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764"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0.44</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Gliukozė </w:t>
            </w:r>
            <w:proofErr w:type="spellStart"/>
            <w:r w:rsidRPr="007B2D4B">
              <w:rPr>
                <w:rFonts w:ascii="Times New Roman" w:hAnsi="Times New Roman"/>
                <w:lang w:val="lt-LT"/>
              </w:rPr>
              <w:t>monohidratas</w:t>
            </w:r>
            <w:proofErr w:type="spellEnd"/>
          </w:p>
          <w:p w:rsidR="00945471" w:rsidRPr="006B5E26" w:rsidRDefault="00945471" w:rsidP="00DE27D0">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(atitinka bevandenę gliukozę)</w:t>
            </w:r>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110,0 g</w:t>
            </w:r>
          </w:p>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100,0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Kalcio </w:t>
            </w:r>
            <w:proofErr w:type="spellStart"/>
            <w:r w:rsidRPr="007B2D4B">
              <w:rPr>
                <w:rFonts w:ascii="Times New Roman" w:hAnsi="Times New Roman"/>
                <w:lang w:val="lt-LT"/>
              </w:rPr>
              <w:t>gliukonatas</w:t>
            </w:r>
            <w:proofErr w:type="spellEnd"/>
            <w:r w:rsidRPr="007B2D4B">
              <w:rPr>
                <w:rFonts w:ascii="Times New Roman" w:hAnsi="Times New Roman"/>
                <w:lang w:val="lt-LT"/>
              </w:rPr>
              <w:t xml:space="preserve"> </w:t>
            </w:r>
            <w:proofErr w:type="spellStart"/>
            <w:r w:rsidRPr="007B2D4B">
              <w:rPr>
                <w:rFonts w:ascii="Times New Roman" w:hAnsi="Times New Roman"/>
                <w:lang w:val="lt-LT"/>
              </w:rPr>
              <w:t>monohidratas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3,44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Magnio laktatas </w:t>
            </w:r>
            <w:proofErr w:type="spellStart"/>
            <w:r w:rsidRPr="007B2D4B">
              <w:rPr>
                <w:rFonts w:ascii="Times New Roman" w:hAnsi="Times New Roman"/>
                <w:lang w:val="lt-LT"/>
              </w:rPr>
              <w:t>dihidratas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0,39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Natrio chloridas</w:t>
            </w:r>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1,16 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Cinko acetatas </w:t>
            </w:r>
            <w:proofErr w:type="spellStart"/>
            <w:r w:rsidRPr="007B2D4B">
              <w:rPr>
                <w:rFonts w:ascii="Times New Roman" w:hAnsi="Times New Roman"/>
                <w:lang w:val="lt-LT"/>
              </w:rPr>
              <w:t>dihidratas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7,72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Vario sulfatas </w:t>
            </w:r>
            <w:proofErr w:type="spellStart"/>
            <w:r w:rsidRPr="007B2D4B">
              <w:rPr>
                <w:rFonts w:ascii="Times New Roman" w:hAnsi="Times New Roman"/>
                <w:lang w:val="lt-LT"/>
              </w:rPr>
              <w:t>pentahidratas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1,04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Natrio fluoridas</w:t>
            </w:r>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w:t>
            </w:r>
            <w:proofErr w:type="spellStart"/>
            <w:r w:rsidRPr="007B2D4B">
              <w:rPr>
                <w:rFonts w:ascii="Times New Roman" w:hAnsi="Times New Roman"/>
                <w:lang w:val="lt-LT"/>
              </w:rPr>
              <w:t>mikrogramų</w:t>
            </w:r>
            <w:proofErr w:type="spellEnd"/>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w:t>
            </w:r>
            <w:proofErr w:type="spellStart"/>
            <w:r w:rsidRPr="007B2D4B">
              <w:rPr>
                <w:rFonts w:ascii="Times New Roman" w:hAnsi="Times New Roman"/>
                <w:lang w:val="lt-LT"/>
              </w:rPr>
              <w:t>mikrogramų</w:t>
            </w:r>
            <w:proofErr w:type="spellEnd"/>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Seleno dioksidas</w:t>
            </w:r>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w:t>
            </w:r>
            <w:proofErr w:type="spellStart"/>
            <w:r w:rsidRPr="007B2D4B">
              <w:rPr>
                <w:rFonts w:ascii="Times New Roman" w:hAnsi="Times New Roman"/>
                <w:lang w:val="lt-LT"/>
              </w:rPr>
              <w:t>mikrogramų</w:t>
            </w:r>
            <w:proofErr w:type="spellEnd"/>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w:t>
            </w:r>
            <w:proofErr w:type="spellStart"/>
            <w:r w:rsidRPr="007B2D4B">
              <w:rPr>
                <w:rFonts w:ascii="Times New Roman" w:hAnsi="Times New Roman"/>
                <w:lang w:val="lt-LT"/>
              </w:rPr>
              <w:t>mikrogramų</w:t>
            </w:r>
            <w:proofErr w:type="spellEnd"/>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Mangano chloridas </w:t>
            </w:r>
            <w:proofErr w:type="spellStart"/>
            <w:r w:rsidRPr="007B2D4B">
              <w:rPr>
                <w:rFonts w:ascii="Times New Roman" w:hAnsi="Times New Roman"/>
                <w:lang w:val="lt-LT"/>
              </w:rPr>
              <w:t>tetrahidratas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w:t>
            </w:r>
            <w:proofErr w:type="spellStart"/>
            <w:r w:rsidRPr="007B2D4B">
              <w:rPr>
                <w:rFonts w:ascii="Times New Roman" w:hAnsi="Times New Roman"/>
                <w:lang w:val="lt-LT"/>
              </w:rPr>
              <w:t>mikrogramų</w:t>
            </w:r>
            <w:proofErr w:type="spellEnd"/>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w:t>
            </w:r>
            <w:proofErr w:type="spellStart"/>
            <w:r w:rsidRPr="007B2D4B">
              <w:rPr>
                <w:rFonts w:ascii="Times New Roman" w:hAnsi="Times New Roman"/>
                <w:lang w:val="lt-LT"/>
              </w:rPr>
              <w:t>mikrogramų</w:t>
            </w:r>
            <w:proofErr w:type="spellEnd"/>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Kalio jodidas</w:t>
            </w:r>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w:t>
            </w:r>
            <w:proofErr w:type="spellStart"/>
            <w:r w:rsidRPr="007B2D4B">
              <w:rPr>
                <w:rFonts w:ascii="Times New Roman" w:hAnsi="Times New Roman"/>
                <w:lang w:val="lt-LT"/>
              </w:rPr>
              <w:t>mikrogramų</w:t>
            </w:r>
            <w:proofErr w:type="spellEnd"/>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w:t>
            </w:r>
            <w:proofErr w:type="spellStart"/>
            <w:r w:rsidRPr="007B2D4B">
              <w:rPr>
                <w:rFonts w:ascii="Times New Roman" w:hAnsi="Times New Roman"/>
                <w:lang w:val="lt-LT"/>
              </w:rPr>
              <w:t>mikrogramų</w:t>
            </w:r>
            <w:proofErr w:type="spellEnd"/>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0,01 mg</w:t>
            </w:r>
          </w:p>
        </w:tc>
      </w:tr>
      <w:tr w:rsidR="00945471" w:rsidRPr="007B2D4B" w:rsidTr="00DE27D0">
        <w:trPr>
          <w:jc w:val="center"/>
        </w:trPr>
        <w:tc>
          <w:tcPr>
            <w:tcW w:w="3281" w:type="dxa"/>
            <w:tcBorders>
              <w:top w:val="single" w:sz="2" w:space="0" w:color="auto"/>
              <w:left w:val="single" w:sz="2" w:space="0" w:color="auto"/>
              <w:bottom w:val="single" w:sz="2" w:space="0" w:color="auto"/>
              <w:right w:val="single" w:sz="2" w:space="0" w:color="auto"/>
            </w:tcBorders>
            <w:hideMark/>
          </w:tcPr>
          <w:p w:rsidR="00945471" w:rsidRPr="007B2D4B" w:rsidRDefault="00945471" w:rsidP="00DE27D0">
            <w:pPr>
              <w:tabs>
                <w:tab w:val="left" w:pos="567"/>
              </w:tabs>
              <w:spacing w:after="0" w:line="240" w:lineRule="auto"/>
              <w:rPr>
                <w:rFonts w:ascii="Times New Roman" w:hAnsi="Times New Roman"/>
                <w:lang w:val="lt-LT"/>
              </w:rPr>
            </w:pPr>
            <w:r w:rsidRPr="007B2D4B">
              <w:rPr>
                <w:rFonts w:ascii="Times New Roman" w:hAnsi="Times New Roman"/>
                <w:lang w:val="lt-LT"/>
              </w:rPr>
              <w:t xml:space="preserve">Chromo chloridas </w:t>
            </w:r>
            <w:proofErr w:type="spellStart"/>
            <w:r w:rsidRPr="007B2D4B">
              <w:rPr>
                <w:rFonts w:ascii="Times New Roman" w:hAnsi="Times New Roman"/>
                <w:lang w:val="lt-LT"/>
              </w:rPr>
              <w:t>heksahidratas</w:t>
            </w:r>
            <w:proofErr w:type="spellEnd"/>
          </w:p>
        </w:tc>
        <w:tc>
          <w:tcPr>
            <w:tcW w:w="1461" w:type="dxa"/>
            <w:tcBorders>
              <w:top w:val="single" w:sz="2" w:space="0" w:color="auto"/>
              <w:left w:val="single" w:sz="2" w:space="0" w:color="auto"/>
              <w:bottom w:val="single" w:sz="2" w:space="0" w:color="auto"/>
              <w:right w:val="single" w:sz="2" w:space="0" w:color="auto"/>
            </w:tcBorders>
          </w:tcPr>
          <w:p w:rsidR="00945471" w:rsidRPr="007B2D4B" w:rsidRDefault="00945471" w:rsidP="00DE27D0">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w:t>
            </w:r>
            <w:proofErr w:type="spellStart"/>
            <w:r w:rsidRPr="007B2D4B">
              <w:rPr>
                <w:rFonts w:ascii="Times New Roman" w:hAnsi="Times New Roman"/>
                <w:lang w:val="lt-LT"/>
              </w:rPr>
              <w:t>mikrogramų</w:t>
            </w:r>
            <w:proofErr w:type="spellEnd"/>
          </w:p>
        </w:tc>
        <w:tc>
          <w:tcPr>
            <w:tcW w:w="1749"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w:t>
            </w:r>
            <w:proofErr w:type="spellStart"/>
            <w:r w:rsidRPr="007B2D4B">
              <w:rPr>
                <w:rFonts w:ascii="Times New Roman" w:hAnsi="Times New Roman"/>
                <w:lang w:val="lt-LT"/>
              </w:rPr>
              <w:t>mikrogramų</w:t>
            </w:r>
            <w:proofErr w:type="spellEnd"/>
          </w:p>
        </w:tc>
        <w:tc>
          <w:tcPr>
            <w:tcW w:w="1448" w:type="dxa"/>
            <w:tcBorders>
              <w:top w:val="single" w:sz="2" w:space="0" w:color="auto"/>
              <w:left w:val="single" w:sz="2" w:space="0" w:color="auto"/>
              <w:bottom w:val="single" w:sz="2" w:space="0" w:color="auto"/>
              <w:right w:val="single" w:sz="2" w:space="0" w:color="auto"/>
            </w:tcBorders>
            <w:hideMark/>
          </w:tcPr>
          <w:p w:rsidR="00945471" w:rsidRPr="006B5E26" w:rsidRDefault="00945471" w:rsidP="00DE27D0">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bl>
    <w:p w:rsidR="00945471" w:rsidRPr="006B5E26" w:rsidRDefault="00945471" w:rsidP="00945471">
      <w:pPr>
        <w:tabs>
          <w:tab w:val="left" w:pos="720"/>
        </w:tabs>
        <w:spacing w:after="0" w:line="240" w:lineRule="auto"/>
        <w:rPr>
          <w:rFonts w:ascii="Times New Roman" w:hAnsi="Times New Roman"/>
          <w:lang w:val="lt-LT"/>
        </w:rPr>
      </w:pPr>
    </w:p>
    <w:p w:rsidR="00945471" w:rsidRPr="006B5E26" w:rsidRDefault="00945471" w:rsidP="00945471">
      <w:pPr>
        <w:numPr>
          <w:ilvl w:val="0"/>
          <w:numId w:val="8"/>
        </w:numPr>
        <w:tabs>
          <w:tab w:val="left" w:pos="567"/>
        </w:tabs>
        <w:spacing w:after="0" w:line="240" w:lineRule="auto"/>
        <w:ind w:left="426" w:hanging="426"/>
        <w:rPr>
          <w:rFonts w:ascii="Times New Roman" w:eastAsia="Times New Roman" w:hAnsi="Times New Roman"/>
          <w:snapToGrid w:val="0"/>
          <w:lang w:val="lt-LT"/>
        </w:rPr>
      </w:pPr>
      <w:r w:rsidRPr="006B5E26">
        <w:rPr>
          <w:rFonts w:ascii="Times New Roman" w:hAnsi="Times New Roman"/>
          <w:lang w:val="lt-LT"/>
        </w:rPr>
        <w:t xml:space="preserve">Pagalbinės medžiagos: vandenilio chlorido rūgštis (pH koreguoti), ledinė acto rūgštis (pH koreguoti), injekcinis vanduo. </w:t>
      </w:r>
    </w:p>
    <w:p w:rsidR="00945471" w:rsidRPr="006B5E26" w:rsidRDefault="00945471" w:rsidP="00945471">
      <w:p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Tirpalo </w:t>
      </w:r>
      <w:proofErr w:type="spellStart"/>
      <w:r w:rsidRPr="006B5E26">
        <w:rPr>
          <w:rFonts w:ascii="Times New Roman" w:hAnsi="Times New Roman"/>
          <w:lang w:val="lt-LT"/>
        </w:rPr>
        <w:t>osmoliariškumas</w:t>
      </w:r>
      <w:proofErr w:type="spellEnd"/>
      <w:r w:rsidRPr="006B5E26">
        <w:rPr>
          <w:rFonts w:ascii="Times New Roman" w:hAnsi="Times New Roman"/>
          <w:lang w:val="lt-LT"/>
        </w:rPr>
        <w:t xml:space="preserve"> yra maždaug 790 </w:t>
      </w:r>
      <w:proofErr w:type="spellStart"/>
      <w:r w:rsidRPr="006B5E26">
        <w:rPr>
          <w:rFonts w:ascii="Times New Roman" w:hAnsi="Times New Roman"/>
          <w:lang w:val="lt-LT"/>
        </w:rPr>
        <w:t>mosm</w:t>
      </w:r>
      <w:proofErr w:type="spellEnd"/>
      <w:r w:rsidRPr="006B5E26">
        <w:rPr>
          <w:rFonts w:ascii="Times New Roman" w:hAnsi="Times New Roman"/>
          <w:lang w:val="lt-LT"/>
        </w:rPr>
        <w:t>/l.</w:t>
      </w:r>
    </w:p>
    <w:p w:rsidR="00945471" w:rsidRPr="006B5E26" w:rsidRDefault="00945471" w:rsidP="00945471">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Tirpalo pH yra 4,8</w:t>
      </w:r>
      <w:r w:rsidRPr="006B5E26">
        <w:rPr>
          <w:rFonts w:ascii="Times New Roman" w:hAnsi="Times New Roman"/>
          <w:lang w:val="lt-LT"/>
        </w:rPr>
        <w:noBreakHyphen/>
        <w:t>5,5 (imtinai).</w:t>
      </w:r>
    </w:p>
    <w:p w:rsidR="00945471" w:rsidRPr="006B5E26" w:rsidRDefault="00945471" w:rsidP="00945471">
      <w:pPr>
        <w:keepNext/>
        <w:numPr>
          <w:ilvl w:val="12"/>
          <w:numId w:val="0"/>
        </w:numPr>
        <w:tabs>
          <w:tab w:val="left" w:pos="720"/>
        </w:tabs>
        <w:spacing w:after="0" w:line="240" w:lineRule="auto"/>
        <w:rPr>
          <w:rFonts w:ascii="Times New Roman" w:hAnsi="Times New Roman"/>
          <w:lang w:val="lt-LT"/>
        </w:rPr>
      </w:pPr>
    </w:p>
    <w:tbl>
      <w:tblPr>
        <w:tblW w:w="0" w:type="auto"/>
        <w:tblLook w:val="04A0" w:firstRow="1" w:lastRow="0" w:firstColumn="1" w:lastColumn="0" w:noHBand="0" w:noVBand="1"/>
      </w:tblPr>
      <w:tblGrid>
        <w:gridCol w:w="2660"/>
        <w:gridCol w:w="2258"/>
        <w:gridCol w:w="3705"/>
      </w:tblGrid>
      <w:tr w:rsidR="00945471" w:rsidRPr="007B2D4B" w:rsidTr="00DE27D0">
        <w:tc>
          <w:tcPr>
            <w:tcW w:w="2660" w:type="dxa"/>
            <w:hideMark/>
          </w:tcPr>
          <w:p w:rsidR="00945471" w:rsidRPr="007B2D4B" w:rsidRDefault="00945471" w:rsidP="00DE27D0">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b/>
                <w:color w:val="000000"/>
                <w:lang w:val="lt-LT"/>
              </w:rPr>
              <w:t>Maistinė vertė</w:t>
            </w:r>
          </w:p>
        </w:tc>
        <w:tc>
          <w:tcPr>
            <w:tcW w:w="2258"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b/>
                <w:snapToGrid w:val="0"/>
                <w:color w:val="000000"/>
                <w:lang w:val="lt-LT"/>
              </w:rPr>
            </w:pPr>
            <w:r w:rsidRPr="007B2D4B">
              <w:rPr>
                <w:rFonts w:ascii="Times New Roman" w:hAnsi="Times New Roman"/>
                <w:b/>
                <w:color w:val="000000"/>
                <w:lang w:val="lt-LT"/>
              </w:rPr>
              <w:t>250 ml</w:t>
            </w:r>
          </w:p>
        </w:tc>
        <w:tc>
          <w:tcPr>
            <w:tcW w:w="3705"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b/>
                <w:color w:val="000000"/>
                <w:lang w:val="lt-LT"/>
              </w:rPr>
              <w:t>1000 ml</w:t>
            </w:r>
          </w:p>
        </w:tc>
      </w:tr>
      <w:tr w:rsidR="00945471" w:rsidRPr="007B2D4B" w:rsidTr="00DE27D0">
        <w:tc>
          <w:tcPr>
            <w:tcW w:w="2660" w:type="dxa"/>
            <w:hideMark/>
          </w:tcPr>
          <w:p w:rsidR="00945471" w:rsidRPr="007B2D4B" w:rsidRDefault="00945471" w:rsidP="00DE27D0">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Gliukozė</w:t>
            </w:r>
          </w:p>
        </w:tc>
        <w:tc>
          <w:tcPr>
            <w:tcW w:w="2258"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25,00 g</w:t>
            </w:r>
          </w:p>
        </w:tc>
        <w:tc>
          <w:tcPr>
            <w:tcW w:w="3705"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100 g</w:t>
            </w:r>
          </w:p>
        </w:tc>
      </w:tr>
      <w:tr w:rsidR="00945471" w:rsidRPr="007B2D4B" w:rsidTr="00DE27D0">
        <w:tc>
          <w:tcPr>
            <w:tcW w:w="2660" w:type="dxa"/>
            <w:hideMark/>
          </w:tcPr>
          <w:p w:rsidR="00945471" w:rsidRPr="007B2D4B" w:rsidRDefault="00945471" w:rsidP="00DE27D0">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Aminorūgštys</w:t>
            </w:r>
          </w:p>
        </w:tc>
        <w:tc>
          <w:tcPr>
            <w:tcW w:w="2258"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4,25 g</w:t>
            </w:r>
          </w:p>
        </w:tc>
        <w:tc>
          <w:tcPr>
            <w:tcW w:w="3705"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17 g</w:t>
            </w:r>
          </w:p>
        </w:tc>
      </w:tr>
      <w:tr w:rsidR="00945471" w:rsidRPr="007B2D4B" w:rsidTr="00DE27D0">
        <w:tc>
          <w:tcPr>
            <w:tcW w:w="2660" w:type="dxa"/>
            <w:hideMark/>
          </w:tcPr>
          <w:p w:rsidR="00945471" w:rsidRPr="007B2D4B" w:rsidRDefault="00945471" w:rsidP="00DE27D0">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Azotas (iš viso)</w:t>
            </w:r>
          </w:p>
        </w:tc>
        <w:tc>
          <w:tcPr>
            <w:tcW w:w="2258"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0,61 g</w:t>
            </w:r>
          </w:p>
        </w:tc>
        <w:tc>
          <w:tcPr>
            <w:tcW w:w="3705" w:type="dxa"/>
            <w:hideMark/>
          </w:tcPr>
          <w:p w:rsidR="00945471" w:rsidRPr="006B5E26" w:rsidRDefault="00945471" w:rsidP="00DE27D0">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2,44 g</w:t>
            </w:r>
          </w:p>
        </w:tc>
      </w:tr>
      <w:tr w:rsidR="00945471" w:rsidRPr="007B2D4B" w:rsidTr="00DE27D0">
        <w:tc>
          <w:tcPr>
            <w:tcW w:w="2660" w:type="dxa"/>
            <w:hideMark/>
          </w:tcPr>
          <w:p w:rsidR="00945471" w:rsidRPr="007B2D4B" w:rsidRDefault="00945471" w:rsidP="00DE27D0">
            <w:pPr>
              <w:numPr>
                <w:ilvl w:val="12"/>
                <w:numId w:val="0"/>
              </w:numPr>
              <w:tabs>
                <w:tab w:val="left" w:pos="720"/>
              </w:tabs>
              <w:spacing w:after="0" w:line="240" w:lineRule="auto"/>
              <w:ind w:right="-2"/>
              <w:rPr>
                <w:rFonts w:ascii="Times New Roman" w:hAnsi="Times New Roman"/>
                <w:lang w:val="lt-LT"/>
              </w:rPr>
            </w:pPr>
            <w:r w:rsidRPr="007B2D4B">
              <w:rPr>
                <w:rFonts w:ascii="Times New Roman" w:hAnsi="Times New Roman"/>
                <w:color w:val="000000"/>
                <w:lang w:val="lt-LT"/>
              </w:rPr>
              <w:t>Bendroji energinė vertė</w:t>
            </w:r>
          </w:p>
        </w:tc>
        <w:tc>
          <w:tcPr>
            <w:tcW w:w="2258" w:type="dxa"/>
            <w:hideMark/>
          </w:tcPr>
          <w:p w:rsidR="00945471" w:rsidRPr="006B5E26" w:rsidRDefault="00945471" w:rsidP="00DE27D0">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118 kcal</w:t>
            </w:r>
          </w:p>
        </w:tc>
        <w:tc>
          <w:tcPr>
            <w:tcW w:w="3705" w:type="dxa"/>
            <w:hideMark/>
          </w:tcPr>
          <w:p w:rsidR="00945471" w:rsidRPr="006B5E26" w:rsidRDefault="00945471" w:rsidP="00DE27D0">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470 kcal</w:t>
            </w:r>
          </w:p>
        </w:tc>
      </w:tr>
      <w:tr w:rsidR="00945471" w:rsidRPr="007B2D4B" w:rsidTr="00DE27D0">
        <w:tc>
          <w:tcPr>
            <w:tcW w:w="2660" w:type="dxa"/>
            <w:hideMark/>
          </w:tcPr>
          <w:p w:rsidR="00945471" w:rsidRPr="007B2D4B" w:rsidRDefault="00945471" w:rsidP="00DE27D0">
            <w:pPr>
              <w:numPr>
                <w:ilvl w:val="12"/>
                <w:numId w:val="0"/>
              </w:numPr>
              <w:tabs>
                <w:tab w:val="left" w:pos="720"/>
              </w:tabs>
              <w:spacing w:after="0" w:line="240" w:lineRule="auto"/>
              <w:ind w:right="-2"/>
              <w:rPr>
                <w:rFonts w:ascii="Times New Roman" w:hAnsi="Times New Roman"/>
                <w:color w:val="000000"/>
                <w:lang w:val="lt-LT"/>
              </w:rPr>
            </w:pPr>
            <w:r w:rsidRPr="007B2D4B">
              <w:rPr>
                <w:rFonts w:ascii="Times New Roman" w:hAnsi="Times New Roman"/>
                <w:color w:val="000000"/>
                <w:lang w:val="lt-LT"/>
              </w:rPr>
              <w:t>Nebaltyminė energinė vertė </w:t>
            </w:r>
          </w:p>
        </w:tc>
        <w:tc>
          <w:tcPr>
            <w:tcW w:w="2258" w:type="dxa"/>
            <w:hideMark/>
          </w:tcPr>
          <w:p w:rsidR="00945471" w:rsidRPr="006B5E26" w:rsidRDefault="00945471" w:rsidP="00DE27D0">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100 kcal</w:t>
            </w:r>
          </w:p>
        </w:tc>
        <w:tc>
          <w:tcPr>
            <w:tcW w:w="3705" w:type="dxa"/>
            <w:hideMark/>
          </w:tcPr>
          <w:p w:rsidR="00945471" w:rsidRPr="006B5E26" w:rsidRDefault="00945471" w:rsidP="00DE27D0">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400 kcal</w:t>
            </w:r>
          </w:p>
        </w:tc>
      </w:tr>
    </w:tbl>
    <w:p w:rsidR="00945471" w:rsidRPr="006B5E26" w:rsidRDefault="00945471" w:rsidP="00945471">
      <w:pPr>
        <w:tabs>
          <w:tab w:val="left" w:pos="720"/>
        </w:tabs>
        <w:spacing w:after="0" w:line="240" w:lineRule="auto"/>
        <w:ind w:left="567" w:hanging="567"/>
        <w:rPr>
          <w:rFonts w:ascii="Times New Roman" w:hAnsi="Times New Roman"/>
          <w:b/>
          <w:lang w:val="lt-LT"/>
        </w:rPr>
      </w:pPr>
    </w:p>
    <w:p w:rsidR="00945471" w:rsidRPr="006B5E26" w:rsidRDefault="00945471" w:rsidP="00945471">
      <w:pPr>
        <w:tabs>
          <w:tab w:val="left" w:pos="720"/>
        </w:tabs>
        <w:spacing w:after="0" w:line="240" w:lineRule="auto"/>
        <w:ind w:left="567" w:hanging="567"/>
        <w:rPr>
          <w:rFonts w:ascii="Times New Roman" w:eastAsia="Times New Roman" w:hAnsi="Times New Roman"/>
          <w:b/>
          <w:snapToGrid w:val="0"/>
          <w:lang w:val="lt-LT"/>
        </w:rPr>
      </w:pPr>
      <w:proofErr w:type="spellStart"/>
      <w:r w:rsidRPr="006B5E26">
        <w:rPr>
          <w:rFonts w:ascii="Times New Roman" w:hAnsi="Times New Roman"/>
          <w:b/>
          <w:lang w:val="lt-LT"/>
        </w:rPr>
        <w:t>Pediaven</w:t>
      </w:r>
      <w:proofErr w:type="spellEnd"/>
      <w:r w:rsidRPr="006B5E26">
        <w:rPr>
          <w:rFonts w:ascii="Times New Roman" w:hAnsi="Times New Roman"/>
          <w:b/>
          <w:lang w:val="lt-LT"/>
        </w:rPr>
        <w:t xml:space="preserve"> NN2 išvaizda ir kiekis pakuotėje</w:t>
      </w:r>
    </w:p>
    <w:p w:rsidR="00945471" w:rsidRPr="006B5E26" w:rsidRDefault="00945471" w:rsidP="00945471">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Šis vaistas yra skaidrus, bespalvis ar šiek tiek gelsvas infuzinis tirpalas, kuriame nėra dalelių. Šis vaistas tiekiamas 10 x 250 ml 2 kamerų maišeliais (kiekvienoje kameroje yra 125 ml tirpalo). </w:t>
      </w:r>
    </w:p>
    <w:p w:rsidR="00945471" w:rsidRPr="006B5E26" w:rsidRDefault="00945471" w:rsidP="00945471">
      <w:pPr>
        <w:tabs>
          <w:tab w:val="left" w:pos="720"/>
        </w:tabs>
        <w:spacing w:after="0" w:line="240" w:lineRule="auto"/>
        <w:rPr>
          <w:rFonts w:ascii="Times New Roman" w:hAnsi="Times New Roman"/>
          <w:u w:val="single"/>
          <w:lang w:val="lt-LT"/>
        </w:rPr>
      </w:pPr>
    </w:p>
    <w:p w:rsidR="00945471" w:rsidRPr="006B5E26" w:rsidRDefault="00945471" w:rsidP="00945471">
      <w:pPr>
        <w:keepNext/>
        <w:tabs>
          <w:tab w:val="left" w:pos="567"/>
        </w:tabs>
        <w:spacing w:after="0" w:line="240" w:lineRule="auto"/>
        <w:jc w:val="both"/>
        <w:outlineLvl w:val="3"/>
        <w:rPr>
          <w:rFonts w:ascii="Times New Roman" w:eastAsia="Times New Roman" w:hAnsi="Times New Roman"/>
          <w:b/>
          <w:snapToGrid w:val="0"/>
          <w:lang w:val="lt-LT"/>
        </w:rPr>
      </w:pPr>
      <w:r w:rsidRPr="006B5E26">
        <w:rPr>
          <w:rFonts w:ascii="Times New Roman" w:hAnsi="Times New Roman"/>
          <w:b/>
          <w:lang w:val="lt-LT"/>
        </w:rPr>
        <w:t>Rinkodaros teisės turėtojas ir gamintojas</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widowControl w:val="0"/>
        <w:tabs>
          <w:tab w:val="left" w:pos="720"/>
        </w:tabs>
        <w:autoSpaceDE w:val="0"/>
        <w:autoSpaceDN w:val="0"/>
        <w:adjustRightInd w:val="0"/>
        <w:spacing w:after="0" w:line="240" w:lineRule="auto"/>
        <w:rPr>
          <w:rFonts w:ascii="Times New Roman" w:eastAsia="Times New Roman" w:hAnsi="Times New Roman"/>
          <w:i/>
          <w:snapToGrid w:val="0"/>
          <w:lang w:val="lt-LT"/>
        </w:rPr>
      </w:pPr>
      <w:r w:rsidRPr="006B5E26">
        <w:rPr>
          <w:rFonts w:ascii="Times New Roman" w:hAnsi="Times New Roman"/>
          <w:i/>
          <w:lang w:val="lt-LT"/>
        </w:rPr>
        <w:t>Rinkodaros teisės turėtojas</w:t>
      </w:r>
    </w:p>
    <w:p w:rsidR="00945471" w:rsidRPr="00D463E0" w:rsidRDefault="00945471" w:rsidP="00945471">
      <w:pPr>
        <w:widowControl w:val="0"/>
        <w:tabs>
          <w:tab w:val="left" w:pos="720"/>
        </w:tabs>
        <w:autoSpaceDE w:val="0"/>
        <w:autoSpaceDN w:val="0"/>
        <w:adjustRightInd w:val="0"/>
        <w:spacing w:after="0" w:line="240" w:lineRule="auto"/>
        <w:rPr>
          <w:rFonts w:ascii="Times New Roman" w:hAnsi="Times New Roman"/>
          <w:lang w:val="lt-LT"/>
        </w:rPr>
      </w:pPr>
      <w:proofErr w:type="spellStart"/>
      <w:r w:rsidRPr="00D463E0">
        <w:rPr>
          <w:rFonts w:ascii="Times New Roman" w:hAnsi="Times New Roman"/>
          <w:lang w:val="lt-LT"/>
        </w:rPr>
        <w:t>Fresenius</w:t>
      </w:r>
      <w:proofErr w:type="spellEnd"/>
      <w:r w:rsidRPr="00D463E0">
        <w:rPr>
          <w:rFonts w:ascii="Times New Roman" w:hAnsi="Times New Roman"/>
          <w:lang w:val="lt-LT"/>
        </w:rPr>
        <w:t xml:space="preserve"> Kabi </w:t>
      </w:r>
      <w:proofErr w:type="spellStart"/>
      <w:r w:rsidRPr="00D463E0">
        <w:rPr>
          <w:rFonts w:ascii="Times New Roman" w:hAnsi="Times New Roman"/>
          <w:lang w:val="lt-LT"/>
        </w:rPr>
        <w:t>Polska</w:t>
      </w:r>
      <w:proofErr w:type="spellEnd"/>
      <w:r w:rsidRPr="00D463E0">
        <w:rPr>
          <w:rFonts w:ascii="Times New Roman" w:hAnsi="Times New Roman"/>
          <w:lang w:val="lt-LT"/>
        </w:rPr>
        <w:t xml:space="preserve"> Sp. z </w:t>
      </w:r>
      <w:proofErr w:type="spellStart"/>
      <w:r w:rsidRPr="00D463E0">
        <w:rPr>
          <w:rFonts w:ascii="Times New Roman" w:hAnsi="Times New Roman"/>
          <w:lang w:val="lt-LT"/>
        </w:rPr>
        <w:t>o.o</w:t>
      </w:r>
      <w:proofErr w:type="spellEnd"/>
      <w:r w:rsidRPr="00D463E0">
        <w:rPr>
          <w:rFonts w:ascii="Times New Roman" w:hAnsi="Times New Roman"/>
          <w:lang w:val="lt-LT"/>
        </w:rPr>
        <w:t>.</w:t>
      </w:r>
    </w:p>
    <w:p w:rsidR="00945471" w:rsidRPr="00D463E0" w:rsidRDefault="00945471" w:rsidP="00945471">
      <w:pPr>
        <w:widowControl w:val="0"/>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 xml:space="preserve">Al. </w:t>
      </w:r>
      <w:proofErr w:type="spellStart"/>
      <w:r w:rsidRPr="00D463E0">
        <w:rPr>
          <w:rFonts w:ascii="Times New Roman" w:hAnsi="Times New Roman"/>
          <w:lang w:val="lt-LT"/>
        </w:rPr>
        <w:t>Jerozolimskie</w:t>
      </w:r>
      <w:proofErr w:type="spellEnd"/>
      <w:r w:rsidRPr="00D463E0">
        <w:rPr>
          <w:rFonts w:ascii="Times New Roman" w:hAnsi="Times New Roman"/>
          <w:lang w:val="lt-LT"/>
        </w:rPr>
        <w:t xml:space="preserve"> 134</w:t>
      </w:r>
    </w:p>
    <w:p w:rsidR="00945471" w:rsidRPr="00D463E0" w:rsidRDefault="00945471" w:rsidP="00945471">
      <w:pPr>
        <w:widowControl w:val="0"/>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 xml:space="preserve">02-305 </w:t>
      </w:r>
      <w:proofErr w:type="spellStart"/>
      <w:r w:rsidRPr="00D463E0">
        <w:rPr>
          <w:rFonts w:ascii="Times New Roman" w:hAnsi="Times New Roman"/>
          <w:lang w:val="lt-LT"/>
        </w:rPr>
        <w:t>Warszawa</w:t>
      </w:r>
      <w:proofErr w:type="spellEnd"/>
    </w:p>
    <w:p w:rsidR="00945471" w:rsidRDefault="00945471" w:rsidP="00945471">
      <w:pPr>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Lenkija</w:t>
      </w:r>
    </w:p>
    <w:p w:rsidR="00945471" w:rsidRPr="006B5E26" w:rsidRDefault="00945471" w:rsidP="00945471">
      <w:pPr>
        <w:tabs>
          <w:tab w:val="left" w:pos="720"/>
        </w:tabs>
        <w:autoSpaceDE w:val="0"/>
        <w:autoSpaceDN w:val="0"/>
        <w:adjustRightInd w:val="0"/>
        <w:spacing w:after="0" w:line="240" w:lineRule="auto"/>
        <w:rPr>
          <w:rFonts w:ascii="Times New Roman" w:hAnsi="Times New Roman"/>
          <w:lang w:val="lt-LT"/>
        </w:rPr>
      </w:pPr>
    </w:p>
    <w:p w:rsidR="00945471" w:rsidRPr="006B5E26" w:rsidRDefault="00945471" w:rsidP="00945471">
      <w:pPr>
        <w:tabs>
          <w:tab w:val="left" w:pos="720"/>
        </w:tabs>
        <w:autoSpaceDE w:val="0"/>
        <w:autoSpaceDN w:val="0"/>
        <w:adjustRightInd w:val="0"/>
        <w:spacing w:after="0" w:line="240" w:lineRule="auto"/>
        <w:rPr>
          <w:rFonts w:ascii="Times New Roman" w:eastAsia="Times New Roman" w:hAnsi="Times New Roman"/>
          <w:i/>
          <w:snapToGrid w:val="0"/>
          <w:lang w:val="lt-LT"/>
        </w:rPr>
      </w:pPr>
      <w:r w:rsidRPr="006B5E26">
        <w:rPr>
          <w:rFonts w:ascii="Times New Roman" w:hAnsi="Times New Roman"/>
          <w:i/>
          <w:lang w:val="lt-LT"/>
        </w:rPr>
        <w:t>Gamintojas</w:t>
      </w:r>
    </w:p>
    <w:p w:rsidR="00945471" w:rsidRPr="006B5E26" w:rsidRDefault="00945471" w:rsidP="00945471">
      <w:pPr>
        <w:tabs>
          <w:tab w:val="left" w:pos="720"/>
        </w:tabs>
        <w:autoSpaceDE w:val="0"/>
        <w:autoSpaceDN w:val="0"/>
        <w:adjustRightInd w:val="0"/>
        <w:spacing w:after="0" w:line="240" w:lineRule="auto"/>
        <w:rPr>
          <w:rFonts w:ascii="Times New Roman" w:eastAsia="Times New Roman" w:hAnsi="Times New Roman"/>
          <w:snapToGrid w:val="0"/>
          <w:lang w:val="lt-LT"/>
        </w:rPr>
      </w:pPr>
      <w:proofErr w:type="spellStart"/>
      <w:r w:rsidRPr="006B5E26">
        <w:rPr>
          <w:rFonts w:ascii="Times New Roman" w:hAnsi="Times New Roman"/>
          <w:lang w:val="lt-LT"/>
        </w:rPr>
        <w:t>Fresenius</w:t>
      </w:r>
      <w:proofErr w:type="spellEnd"/>
      <w:r w:rsidRPr="006B5E26">
        <w:rPr>
          <w:rFonts w:ascii="Times New Roman" w:hAnsi="Times New Roman"/>
          <w:lang w:val="lt-LT"/>
        </w:rPr>
        <w:t xml:space="preserve"> Kabi </w:t>
      </w:r>
      <w:proofErr w:type="spellStart"/>
      <w:r w:rsidRPr="006B5E26">
        <w:rPr>
          <w:rFonts w:ascii="Times New Roman" w:hAnsi="Times New Roman"/>
          <w:lang w:val="lt-LT"/>
        </w:rPr>
        <w:t>Austria</w:t>
      </w:r>
      <w:proofErr w:type="spellEnd"/>
      <w:r w:rsidRPr="006B5E26">
        <w:rPr>
          <w:rFonts w:ascii="Times New Roman" w:hAnsi="Times New Roman"/>
          <w:lang w:val="lt-LT"/>
        </w:rPr>
        <w:t xml:space="preserve"> </w:t>
      </w:r>
      <w:proofErr w:type="spellStart"/>
      <w:r w:rsidRPr="006B5E26">
        <w:rPr>
          <w:rFonts w:ascii="Times New Roman" w:hAnsi="Times New Roman"/>
          <w:lang w:val="lt-LT"/>
        </w:rPr>
        <w:t>GmbH</w:t>
      </w:r>
      <w:proofErr w:type="spellEnd"/>
    </w:p>
    <w:p w:rsidR="00945471" w:rsidRPr="006B5E26" w:rsidRDefault="00945471" w:rsidP="00945471">
      <w:pPr>
        <w:tabs>
          <w:tab w:val="left" w:pos="567"/>
        </w:tabs>
        <w:spacing w:after="0" w:line="240" w:lineRule="auto"/>
        <w:rPr>
          <w:rFonts w:ascii="Times New Roman" w:eastAsia="Times New Roman" w:hAnsi="Times New Roman"/>
          <w:snapToGrid w:val="0"/>
          <w:lang w:val="lt-LT"/>
        </w:rPr>
      </w:pPr>
      <w:proofErr w:type="spellStart"/>
      <w:r w:rsidRPr="006B5E26">
        <w:rPr>
          <w:rFonts w:ascii="Times New Roman" w:hAnsi="Times New Roman"/>
          <w:lang w:val="lt-LT"/>
        </w:rPr>
        <w:t>Hafnerstrasse</w:t>
      </w:r>
      <w:proofErr w:type="spellEnd"/>
      <w:r w:rsidRPr="006B5E26">
        <w:rPr>
          <w:rFonts w:ascii="Times New Roman" w:hAnsi="Times New Roman"/>
          <w:lang w:val="lt-LT"/>
        </w:rPr>
        <w:t xml:space="preserve"> 36</w:t>
      </w:r>
    </w:p>
    <w:p w:rsidR="00945471" w:rsidRPr="006B5E26" w:rsidRDefault="00945471" w:rsidP="00945471">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8055 </w:t>
      </w:r>
      <w:proofErr w:type="spellStart"/>
      <w:r w:rsidRPr="006B5E26">
        <w:rPr>
          <w:rFonts w:ascii="Times New Roman" w:hAnsi="Times New Roman"/>
          <w:lang w:val="lt-LT"/>
        </w:rPr>
        <w:t>Graz</w:t>
      </w:r>
      <w:proofErr w:type="spellEnd"/>
    </w:p>
    <w:p w:rsidR="00945471" w:rsidRPr="006B5E26" w:rsidRDefault="00945471" w:rsidP="00945471">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Austrija</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apie šį vaistą norite sužinoti daugiau, kreipkitės į vietinį rinkodaros teisės turėtojo atstovą:</w:t>
      </w:r>
    </w:p>
    <w:p w:rsidR="00945471" w:rsidRPr="006B5E26" w:rsidRDefault="00945471" w:rsidP="00945471">
      <w:pPr>
        <w:tabs>
          <w:tab w:val="left" w:pos="567"/>
        </w:tabs>
        <w:spacing w:after="0" w:line="240" w:lineRule="auto"/>
        <w:rPr>
          <w:rFonts w:ascii="Times New Roman" w:hAnsi="Times New Roman"/>
          <w:lang w:val="lt-LT"/>
        </w:rPr>
      </w:pPr>
    </w:p>
    <w:p w:rsidR="00945471" w:rsidRPr="006B5E26" w:rsidRDefault="00945471" w:rsidP="00945471">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UAB „</w:t>
      </w:r>
      <w:proofErr w:type="spellStart"/>
      <w:r w:rsidRPr="006B5E26">
        <w:rPr>
          <w:rFonts w:ascii="Times New Roman" w:hAnsi="Times New Roman"/>
          <w:lang w:val="lt-LT"/>
        </w:rPr>
        <w:t>Fresenius</w:t>
      </w:r>
      <w:proofErr w:type="spellEnd"/>
      <w:r w:rsidRPr="006B5E26">
        <w:rPr>
          <w:rFonts w:ascii="Times New Roman" w:hAnsi="Times New Roman"/>
          <w:lang w:val="lt-LT"/>
        </w:rPr>
        <w:t xml:space="preserve"> Kabi Baltics“</w:t>
      </w:r>
    </w:p>
    <w:p w:rsidR="00945471" w:rsidRPr="005373EB" w:rsidRDefault="00945471" w:rsidP="00945471">
      <w:pPr>
        <w:widowControl w:val="0"/>
        <w:numPr>
          <w:ilvl w:val="12"/>
          <w:numId w:val="0"/>
        </w:numPr>
        <w:tabs>
          <w:tab w:val="left" w:pos="567"/>
        </w:tabs>
        <w:spacing w:after="0" w:line="240" w:lineRule="auto"/>
        <w:ind w:right="-2"/>
        <w:rPr>
          <w:rFonts w:ascii="Times New Roman" w:hAnsi="Times New Roman"/>
          <w:lang w:val="lt-LT"/>
        </w:rPr>
      </w:pPr>
      <w:r w:rsidRPr="005373EB">
        <w:rPr>
          <w:rFonts w:ascii="Times New Roman" w:hAnsi="Times New Roman"/>
          <w:lang w:val="lt-LT"/>
        </w:rPr>
        <w:t>J. Basanavičiaus g. 26</w:t>
      </w:r>
    </w:p>
    <w:p w:rsidR="00945471" w:rsidRPr="006B5E26" w:rsidRDefault="00945471" w:rsidP="00945471">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5373EB">
        <w:rPr>
          <w:rFonts w:ascii="Times New Roman" w:hAnsi="Times New Roman"/>
          <w:lang w:val="lt-LT"/>
        </w:rPr>
        <w:t>Vilnius, LT-03244</w:t>
      </w:r>
    </w:p>
    <w:p w:rsidR="00945471" w:rsidRPr="006B5E26" w:rsidRDefault="00945471" w:rsidP="00945471">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Tel. </w:t>
      </w:r>
      <w:r w:rsidRPr="005373EB">
        <w:rPr>
          <w:rFonts w:ascii="Times New Roman" w:hAnsi="Times New Roman"/>
          <w:lang w:val="lt-LT"/>
        </w:rPr>
        <w:t>+370 5 252 3213</w:t>
      </w:r>
    </w:p>
    <w:p w:rsidR="00945471" w:rsidRPr="006B5E26" w:rsidRDefault="00945471" w:rsidP="00945471">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Faksas +370 526 08 696</w:t>
      </w:r>
    </w:p>
    <w:p w:rsidR="00945471" w:rsidRPr="006B5E26" w:rsidRDefault="00945471" w:rsidP="00945471">
      <w:pPr>
        <w:tabs>
          <w:tab w:val="left" w:pos="720"/>
        </w:tabs>
        <w:spacing w:after="0" w:line="240" w:lineRule="auto"/>
        <w:ind w:left="567" w:hanging="567"/>
        <w:rPr>
          <w:rFonts w:ascii="Times New Roman" w:hAnsi="Times New Roman"/>
          <w:lang w:val="lt-LT"/>
        </w:rPr>
      </w:pPr>
    </w:p>
    <w:p w:rsidR="00945471" w:rsidRPr="006B5E26" w:rsidRDefault="00945471" w:rsidP="00945471">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b/>
          <w:lang w:val="lt-LT"/>
        </w:rPr>
        <w:t>Šio vaistinio preparato rinkodaros teisė EEE valstybėse narėse suteikta tokiais pavadinimais</w:t>
      </w:r>
      <w:r w:rsidRPr="006B5E26">
        <w:rPr>
          <w:rFonts w:ascii="Times New Roman" w:hAnsi="Times New Roman"/>
          <w:lang w:val="lt-LT"/>
        </w:rPr>
        <w:t>:</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945471" w:rsidRPr="007B2D4B"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PEDIAVEN </w:t>
            </w:r>
            <w:proofErr w:type="spellStart"/>
            <w:r w:rsidRPr="007B2D4B">
              <w:rPr>
                <w:rFonts w:ascii="Times New Roman" w:hAnsi="Times New Roman"/>
                <w:lang w:val="lt-LT"/>
              </w:rPr>
              <w:t>Start</w:t>
            </w:r>
            <w:proofErr w:type="spellEnd"/>
            <w:r w:rsidRPr="007B2D4B">
              <w:rPr>
                <w:rFonts w:ascii="Times New Roman" w:hAnsi="Times New Roman"/>
                <w:lang w:val="lt-LT"/>
              </w:rPr>
              <w:t xml:space="preserve">-Up </w:t>
            </w:r>
            <w:proofErr w:type="spellStart"/>
            <w:r w:rsidRPr="007B2D4B">
              <w:rPr>
                <w:rFonts w:ascii="Times New Roman" w:hAnsi="Times New Roman"/>
                <w:lang w:val="lt-LT"/>
              </w:rPr>
              <w:t>kaliumfrei</w:t>
            </w:r>
            <w:proofErr w:type="spellEnd"/>
            <w:r w:rsidRPr="007B2D4B">
              <w:rPr>
                <w:rFonts w:ascii="Times New Roman" w:hAnsi="Times New Roman"/>
                <w:lang w:val="lt-LT"/>
              </w:rPr>
              <w:t xml:space="preserve"> </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PEDIAVEN </w:t>
            </w:r>
            <w:proofErr w:type="spellStart"/>
            <w:r w:rsidRPr="007B2D4B">
              <w:rPr>
                <w:rFonts w:ascii="Times New Roman" w:hAnsi="Times New Roman"/>
                <w:lang w:val="lt-LT"/>
              </w:rPr>
              <w:t>Start</w:t>
            </w:r>
            <w:proofErr w:type="spellEnd"/>
            <w:r w:rsidRPr="007B2D4B">
              <w:rPr>
                <w:rFonts w:ascii="Times New Roman" w:hAnsi="Times New Roman"/>
                <w:lang w:val="lt-LT"/>
              </w:rPr>
              <w:t>-Up</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945471" w:rsidRPr="007B2D4B" w:rsidTr="00DE27D0">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G10% Start</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G10%</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G15%</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G20%</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NN1</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NN2</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3E709D">
              <w:rPr>
                <w:rFonts w:ascii="Times New Roman" w:hAnsi="Times New Roman"/>
                <w:color w:val="000000"/>
                <w:lang w:val="lt-LT"/>
              </w:rPr>
              <w:t>Kidiaven</w:t>
            </w:r>
            <w:proofErr w:type="spellEnd"/>
            <w:r w:rsidRPr="003E709D">
              <w:rPr>
                <w:rFonts w:ascii="Times New Roman" w:hAnsi="Times New Roman"/>
                <w:color w:val="000000"/>
                <w:lang w:val="lt-LT"/>
              </w:rPr>
              <w:t xml:space="preserve"> </w:t>
            </w:r>
            <w:r w:rsidRPr="007B2D4B">
              <w:rPr>
                <w:rFonts w:ascii="Times New Roman" w:hAnsi="Times New Roman"/>
                <w:lang w:val="fr-FR"/>
              </w:rPr>
              <w:t>Nouveau-Né 1</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7B2D4B">
              <w:rPr>
                <w:rFonts w:ascii="Times New Roman" w:hAnsi="Times New Roman"/>
                <w:lang w:val="fr-FR"/>
              </w:rPr>
              <w:t>Kidiaven</w:t>
            </w:r>
            <w:proofErr w:type="spellEnd"/>
            <w:r w:rsidRPr="007B2D4B">
              <w:rPr>
                <w:rFonts w:ascii="Times New Roman" w:hAnsi="Times New Roman"/>
                <w:lang w:val="fr-FR"/>
              </w:rPr>
              <w:t xml:space="preserve"> Nouveau-Né 2</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proofErr w:type="spellStart"/>
            <w:r w:rsidRPr="007B2D4B">
              <w:rPr>
                <w:rFonts w:ascii="Times New Roman" w:hAnsi="Times New Roman"/>
                <w:color w:val="000000"/>
                <w:lang w:val="fr-FR"/>
              </w:rPr>
              <w:t>Kidiaven</w:t>
            </w:r>
            <w:proofErr w:type="spellEnd"/>
            <w:r w:rsidRPr="007B2D4B">
              <w:rPr>
                <w:rFonts w:ascii="Times New Roman" w:hAnsi="Times New Roman"/>
                <w:color w:val="000000"/>
                <w:lang w:val="fr-FR"/>
              </w:rPr>
              <w:t xml:space="preserve"> G15%</w:t>
            </w:r>
          </w:p>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Kidiaven</w:t>
            </w:r>
            <w:proofErr w:type="spellEnd"/>
            <w:r w:rsidRPr="007B2D4B">
              <w:rPr>
                <w:rFonts w:ascii="Times New Roman" w:hAnsi="Times New Roman"/>
                <w:color w:val="000000"/>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color w:val="000000"/>
              </w:rPr>
              <w:t>Kidiaven</w:t>
            </w:r>
            <w:proofErr w:type="spellEnd"/>
            <w:r w:rsidRPr="007B2D4B">
              <w:rPr>
                <w:rFonts w:ascii="Times New Roman" w:hAnsi="Times New Roman"/>
                <w:color w:val="000000"/>
              </w:rPr>
              <w:t xml:space="preserve"> G25% </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lastRenderedPageBreak/>
              <w:t>Vengrija</w:t>
            </w:r>
          </w:p>
        </w:tc>
        <w:tc>
          <w:tcPr>
            <w:tcW w:w="6985" w:type="dxa"/>
            <w:tcBorders>
              <w:top w:val="single" w:sz="4" w:space="0" w:color="auto"/>
              <w:left w:val="single" w:sz="4" w:space="0" w:color="auto"/>
              <w:bottom w:val="single" w:sz="4" w:space="0" w:color="auto"/>
              <w:right w:val="single" w:sz="4" w:space="0" w:color="auto"/>
            </w:tcBorders>
            <w:hideMark/>
          </w:tcPr>
          <w:p w:rsidR="00945471" w:rsidRPr="006B5E26" w:rsidRDefault="00945471" w:rsidP="00DE27D0">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w:t>
            </w:r>
            <w:r w:rsidRPr="007B2D4B">
              <w:rPr>
                <w:rFonts w:ascii="Times New Roman" w:hAnsi="Times New Roman"/>
                <w:color w:val="000000"/>
              </w:rPr>
              <w:t>Start-Up</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color w:val="000000"/>
              </w:rPr>
              <w:t>Pediaven</w:t>
            </w:r>
            <w:proofErr w:type="spellEnd"/>
            <w:r w:rsidRPr="007B2D4B">
              <w:rPr>
                <w:rFonts w:ascii="Times New Roman" w:hAnsi="Times New Roman"/>
                <w:color w:val="000000"/>
              </w:rPr>
              <w:t xml:space="preserve"> G15%</w:t>
            </w:r>
          </w:p>
        </w:tc>
      </w:tr>
      <w:tr w:rsidR="00945471" w:rsidRPr="00DD25D6"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7B2D4B">
              <w:rPr>
                <w:rFonts w:ascii="Times New Roman" w:hAnsi="Times New Roman"/>
                <w:lang w:val="lt-LT"/>
              </w:rPr>
              <w:t>Kidiamix</w:t>
            </w:r>
            <w:proofErr w:type="spellEnd"/>
            <w:r w:rsidRPr="007B2D4B">
              <w:rPr>
                <w:rFonts w:ascii="Times New Roman" w:hAnsi="Times New Roman"/>
                <w:lang w:val="lt-LT"/>
              </w:rPr>
              <w:t xml:space="preserve"> </w:t>
            </w:r>
            <w:r w:rsidRPr="007B2D4B">
              <w:rPr>
                <w:rFonts w:ascii="Times New Roman" w:hAnsi="Times New Roman"/>
                <w:color w:val="000000"/>
                <w:lang w:val="es-ES_tradnl"/>
              </w:rPr>
              <w:t xml:space="preserve">G10% </w:t>
            </w:r>
            <w:proofErr w:type="spellStart"/>
            <w:r w:rsidRPr="007B2D4B">
              <w:rPr>
                <w:rFonts w:ascii="Times New Roman" w:hAnsi="Times New Roman"/>
                <w:color w:val="000000"/>
                <w:lang w:val="es-ES_tradnl"/>
              </w:rPr>
              <w:t>senza</w:t>
            </w:r>
            <w:proofErr w:type="spellEnd"/>
            <w:r w:rsidRPr="007B2D4B">
              <w:rPr>
                <w:rFonts w:ascii="Times New Roman" w:hAnsi="Times New Roman"/>
                <w:color w:val="000000"/>
                <w:lang w:val="es-ES_tradnl"/>
              </w:rPr>
              <w:t xml:space="preserve"> </w:t>
            </w:r>
            <w:proofErr w:type="spellStart"/>
            <w:r w:rsidRPr="007B2D4B">
              <w:rPr>
                <w:rFonts w:ascii="Times New Roman" w:hAnsi="Times New Roman"/>
                <w:color w:val="000000"/>
                <w:lang w:val="es-ES_tradnl"/>
              </w:rPr>
              <w:t>potassio</w:t>
            </w:r>
            <w:proofErr w:type="spellEnd"/>
          </w:p>
          <w:p w:rsidR="00945471" w:rsidRPr="006B5E26" w:rsidRDefault="00945471"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7B2D4B">
              <w:rPr>
                <w:rFonts w:ascii="Times New Roman" w:hAnsi="Times New Roman"/>
                <w:color w:val="000000"/>
                <w:lang w:val="es-ES_tradnl"/>
              </w:rPr>
              <w:t>Kidiamix</w:t>
            </w:r>
            <w:proofErr w:type="spellEnd"/>
            <w:r w:rsidRPr="007B2D4B">
              <w:rPr>
                <w:rFonts w:ascii="Times New Roman" w:hAnsi="Times New Roman"/>
                <w:color w:val="000000"/>
                <w:lang w:val="es-ES_tradnl"/>
              </w:rPr>
              <w:t xml:space="preserve"> G10%</w:t>
            </w:r>
          </w:p>
          <w:p w:rsidR="00945471" w:rsidRPr="006B5E26" w:rsidRDefault="00945471"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7B2D4B">
              <w:rPr>
                <w:rFonts w:ascii="Times New Roman" w:hAnsi="Times New Roman"/>
                <w:color w:val="000000"/>
                <w:lang w:val="es-ES_tradnl"/>
              </w:rPr>
              <w:t>Kidiamix</w:t>
            </w:r>
            <w:proofErr w:type="spellEnd"/>
            <w:r w:rsidRPr="007B2D4B">
              <w:rPr>
                <w:rFonts w:ascii="Times New Roman" w:hAnsi="Times New Roman"/>
                <w:color w:val="000000"/>
                <w:lang w:val="es-ES_tradnl"/>
              </w:rPr>
              <w:t xml:space="preserve"> G15%</w:t>
            </w:r>
          </w:p>
          <w:p w:rsidR="00945471" w:rsidRPr="003E709D" w:rsidRDefault="00945471" w:rsidP="00DE27D0">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proofErr w:type="spellStart"/>
            <w:r w:rsidRPr="003E709D">
              <w:rPr>
                <w:rFonts w:ascii="Times New Roman" w:hAnsi="Times New Roman"/>
                <w:color w:val="000000"/>
                <w:lang w:val="es-ES_tradnl"/>
              </w:rPr>
              <w:t>Kidiamix</w:t>
            </w:r>
            <w:proofErr w:type="spellEnd"/>
            <w:r w:rsidRPr="003E709D">
              <w:rPr>
                <w:rFonts w:ascii="Times New Roman" w:hAnsi="Times New Roman"/>
                <w:color w:val="000000"/>
                <w:lang w:val="es-ES_tradnl"/>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3E709D">
              <w:rPr>
                <w:rFonts w:ascii="Times New Roman" w:hAnsi="Times New Roman"/>
                <w:color w:val="000000"/>
                <w:lang w:val="es-ES_tradnl"/>
              </w:rPr>
              <w:t>Kidiamix</w:t>
            </w:r>
            <w:proofErr w:type="spellEnd"/>
            <w:r w:rsidRPr="003E709D">
              <w:rPr>
                <w:rFonts w:ascii="Times New Roman" w:hAnsi="Times New Roman"/>
                <w:color w:val="000000"/>
                <w:lang w:val="es-ES_tradnl"/>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w:t>
            </w:r>
            <w:proofErr w:type="spellStart"/>
            <w:r w:rsidRPr="007B2D4B">
              <w:rPr>
                <w:rFonts w:ascii="Times New Roman" w:hAnsi="Times New Roman"/>
                <w:lang w:val="lt-LT"/>
              </w:rPr>
              <w:t>Start</w:t>
            </w:r>
            <w:proofErr w:type="spellEnd"/>
            <w:r w:rsidRPr="007B2D4B">
              <w:rPr>
                <w:rFonts w:ascii="Times New Roman" w:hAnsi="Times New Roman"/>
                <w:lang w:val="lt-LT"/>
              </w:rPr>
              <w:t xml:space="preserve">-Up </w:t>
            </w:r>
            <w:proofErr w:type="spellStart"/>
            <w:r w:rsidRPr="007B2D4B">
              <w:rPr>
                <w:rFonts w:ascii="Times New Roman" w:hAnsi="Times New Roman"/>
                <w:lang w:val="lt-LT"/>
              </w:rPr>
              <w:t>Potassium</w:t>
            </w:r>
            <w:proofErr w:type="spellEnd"/>
            <w:r w:rsidRPr="007B2D4B">
              <w:rPr>
                <w:rFonts w:ascii="Times New Roman" w:hAnsi="Times New Roman"/>
                <w:lang w:val="lt-LT"/>
              </w:rPr>
              <w:t xml:space="preserve"> </w:t>
            </w:r>
            <w:proofErr w:type="spellStart"/>
            <w:r w:rsidRPr="007B2D4B">
              <w:rPr>
                <w:rFonts w:ascii="Times New Roman" w:hAnsi="Times New Roman"/>
                <w:lang w:val="lt-LT"/>
              </w:rPr>
              <w:t>Free</w:t>
            </w:r>
            <w:proofErr w:type="spellEnd"/>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w:t>
            </w:r>
            <w:proofErr w:type="spellStart"/>
            <w:r w:rsidRPr="007B2D4B">
              <w:rPr>
                <w:rFonts w:ascii="Times New Roman" w:hAnsi="Times New Roman"/>
                <w:lang w:val="lt-LT"/>
              </w:rPr>
              <w:t>Start</w:t>
            </w:r>
            <w:proofErr w:type="spellEnd"/>
            <w:r w:rsidRPr="007B2D4B">
              <w:rPr>
                <w:rFonts w:ascii="Times New Roman" w:hAnsi="Times New Roman"/>
                <w:lang w:val="lt-LT"/>
              </w:rPr>
              <w:t>-Up</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 </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NN1</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NN2</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G10% Start</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color w:val="000000"/>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color w:val="000000"/>
              </w:rPr>
              <w:t>Kidiamix</w:t>
            </w:r>
            <w:proofErr w:type="spellEnd"/>
            <w:r w:rsidRPr="007B2D4B">
              <w:rPr>
                <w:rFonts w:ascii="Times New Roman" w:hAnsi="Times New Roman"/>
                <w:color w:val="000000"/>
              </w:rPr>
              <w:t xml:space="preserve"> G25% </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NN1</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NN2</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NN1</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NN2</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w:t>
            </w:r>
          </w:p>
        </w:tc>
      </w:tr>
      <w:tr w:rsidR="00945471" w:rsidRPr="007B2D4B" w:rsidTr="00DE27D0">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945471" w:rsidRPr="007B2D4B" w:rsidRDefault="00945471" w:rsidP="00DE27D0">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NN1</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NN2</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G15</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G20</w:t>
            </w:r>
          </w:p>
          <w:p w:rsidR="00945471" w:rsidRPr="006B5E26" w:rsidRDefault="00945471" w:rsidP="00DE27D0">
            <w:pPr>
              <w:tabs>
                <w:tab w:val="left" w:pos="567"/>
                <w:tab w:val="center" w:pos="4153"/>
                <w:tab w:val="right" w:pos="8306"/>
              </w:tabs>
              <w:spacing w:after="0" w:line="240" w:lineRule="auto"/>
              <w:rPr>
                <w:rFonts w:ascii="Times New Roman" w:eastAsia="Times New Roman" w:hAnsi="Times New Roman"/>
                <w:snapToGrid w:val="0"/>
                <w:lang w:val="lt-LT"/>
              </w:rPr>
            </w:pPr>
            <w:proofErr w:type="spellStart"/>
            <w:r w:rsidRPr="007B2D4B">
              <w:rPr>
                <w:rFonts w:ascii="Times New Roman" w:hAnsi="Times New Roman"/>
                <w:lang w:val="lt-LT"/>
              </w:rPr>
              <w:t>Pediaven</w:t>
            </w:r>
            <w:proofErr w:type="spellEnd"/>
            <w:r w:rsidRPr="007B2D4B">
              <w:rPr>
                <w:rFonts w:ascii="Times New Roman" w:hAnsi="Times New Roman"/>
                <w:lang w:val="lt-LT"/>
              </w:rPr>
              <w:t xml:space="preserve"> G25</w:t>
            </w:r>
          </w:p>
        </w:tc>
      </w:tr>
    </w:tbl>
    <w:p w:rsidR="00945471" w:rsidRPr="006B5E26" w:rsidRDefault="00945471" w:rsidP="00945471">
      <w:pPr>
        <w:tabs>
          <w:tab w:val="left" w:pos="567"/>
        </w:tabs>
        <w:spacing w:after="0" w:line="240" w:lineRule="auto"/>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keepNext/>
        <w:numPr>
          <w:ilvl w:val="12"/>
          <w:numId w:val="0"/>
        </w:numPr>
        <w:tabs>
          <w:tab w:val="left" w:pos="720"/>
        </w:tabs>
        <w:spacing w:after="0" w:line="240" w:lineRule="auto"/>
        <w:outlineLvl w:val="0"/>
        <w:rPr>
          <w:rFonts w:ascii="Times New Roman" w:eastAsia="Times New Roman" w:hAnsi="Times New Roman"/>
          <w:b/>
          <w:snapToGrid w:val="0"/>
          <w:lang w:val="lt-LT"/>
        </w:rPr>
      </w:pPr>
      <w:r w:rsidRPr="006B5E26">
        <w:rPr>
          <w:rFonts w:ascii="Times New Roman" w:hAnsi="Times New Roman"/>
          <w:b/>
          <w:lang w:val="lt-LT"/>
        </w:rPr>
        <w:t>Šis pakuotės lapelis paskutinį kartą peržiūrėtas</w:t>
      </w:r>
      <w:r>
        <w:rPr>
          <w:rFonts w:ascii="Times New Roman" w:hAnsi="Times New Roman"/>
          <w:b/>
          <w:lang w:val="lt-LT"/>
        </w:rPr>
        <w:t xml:space="preserve"> 2020-03-19.</w:t>
      </w:r>
    </w:p>
    <w:p w:rsidR="00945471" w:rsidRPr="006B5E26" w:rsidRDefault="00945471" w:rsidP="00945471">
      <w:pPr>
        <w:keepNext/>
        <w:numPr>
          <w:ilvl w:val="12"/>
          <w:numId w:val="0"/>
        </w:numPr>
        <w:tabs>
          <w:tab w:val="left" w:pos="720"/>
        </w:tabs>
        <w:spacing w:after="0" w:line="240" w:lineRule="auto"/>
        <w:rPr>
          <w:rFonts w:ascii="Times New Roman" w:hAnsi="Times New Roman"/>
          <w:lang w:val="lt-LT"/>
        </w:rPr>
      </w:pPr>
    </w:p>
    <w:p w:rsidR="00945471" w:rsidRPr="006B5E26" w:rsidRDefault="00945471" w:rsidP="00945471">
      <w:pPr>
        <w:keepNext/>
        <w:numPr>
          <w:ilvl w:val="12"/>
          <w:numId w:val="0"/>
        </w:numPr>
        <w:tabs>
          <w:tab w:val="left" w:pos="720"/>
        </w:tabs>
        <w:spacing w:after="0" w:line="240" w:lineRule="auto"/>
        <w:rPr>
          <w:rFonts w:ascii="Times New Roman" w:hAnsi="Times New Roman"/>
          <w:lang w:val="lt-LT"/>
        </w:rPr>
      </w:pPr>
    </w:p>
    <w:p w:rsidR="00945471" w:rsidRPr="006B5E26" w:rsidRDefault="00945471" w:rsidP="00945471">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Išsami informacija apie šį vaistą pateikiama Valstybinės vaistų kontrolės tarnybos prie Lietuvos Respublikos sveikatos apsaugos ministerijos tinklalapyje</w:t>
      </w:r>
      <w:r w:rsidRPr="006B5E26">
        <w:rPr>
          <w:rFonts w:ascii="Times New Roman" w:hAnsi="Times New Roman"/>
          <w:i/>
          <w:lang w:val="lt-LT"/>
        </w:rPr>
        <w:t xml:space="preserve"> </w:t>
      </w:r>
      <w:hyperlink r:id="rId8" w:history="1">
        <w:r w:rsidRPr="006B5E26">
          <w:rPr>
            <w:rFonts w:ascii="Times New Roman" w:hAnsi="Times New Roman"/>
            <w:color w:val="0000FF"/>
            <w:u w:val="single"/>
            <w:lang w:val="lt-LT"/>
          </w:rPr>
          <w:t>http://www.vvkt.lt/</w:t>
        </w:r>
      </w:hyperlink>
      <w:r w:rsidRPr="006B5E26">
        <w:rPr>
          <w:rFonts w:ascii="Times New Roman" w:hAnsi="Times New Roman"/>
          <w:lang w:val="lt-LT"/>
        </w:rPr>
        <w:t>.</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Toliau pateikta informacija skirta tik sveikatos priežiūros specialistams:</w:t>
      </w:r>
    </w:p>
    <w:p w:rsidR="00945471" w:rsidRPr="006B5E26" w:rsidRDefault="00945471" w:rsidP="00945471">
      <w:pPr>
        <w:numPr>
          <w:ilvl w:val="12"/>
          <w:numId w:val="0"/>
        </w:numPr>
        <w:tabs>
          <w:tab w:val="left" w:pos="720"/>
        </w:tabs>
        <w:spacing w:after="0" w:line="240" w:lineRule="auto"/>
        <w:ind w:right="-2"/>
        <w:rPr>
          <w:rFonts w:ascii="Times New Roman" w:hAnsi="Times New Roman"/>
          <w:b/>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Specialūs įspėjimai ir atsargumo priemonės</w:t>
      </w:r>
    </w:p>
    <w:p w:rsidR="00945471" w:rsidRPr="006B5E26" w:rsidRDefault="00945471" w:rsidP="00945471">
      <w:pPr>
        <w:tabs>
          <w:tab w:val="left" w:pos="720"/>
        </w:tabs>
        <w:spacing w:after="0" w:line="240" w:lineRule="auto"/>
        <w:rPr>
          <w:rFonts w:ascii="Times New Roman" w:eastAsia="Times New Roman" w:hAnsi="Times New Roman"/>
          <w:snapToGrid w:val="0"/>
          <w:lang w:val="lt-LT"/>
        </w:rPr>
      </w:pP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infuzinis tirpalas yra </w:t>
      </w:r>
      <w:proofErr w:type="spellStart"/>
      <w:r w:rsidRPr="006B5E26">
        <w:rPr>
          <w:rFonts w:ascii="Times New Roman" w:hAnsi="Times New Roman"/>
          <w:lang w:val="lt-LT"/>
        </w:rPr>
        <w:t>hipertoninis</w:t>
      </w:r>
      <w:proofErr w:type="spellEnd"/>
      <w:r w:rsidRPr="006B5E26">
        <w:rPr>
          <w:rFonts w:ascii="Times New Roman" w:hAnsi="Times New Roman"/>
          <w:lang w:val="lt-LT"/>
        </w:rPr>
        <w:t xml:space="preserve"> tirpalas. Atliekant injekciją į periferines venas rekomenduojama kas 48 valandas keisti injekcijos vietą, kad būtų sumažinta pažeidimų rizika.</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Atsižvelgiant į infekcijos riziką, susijusią su vartojimu į centrinę veną, būtina tiksliai laikytis </w:t>
      </w:r>
      <w:proofErr w:type="spellStart"/>
      <w:r w:rsidRPr="006B5E26">
        <w:rPr>
          <w:rFonts w:ascii="Times New Roman" w:hAnsi="Times New Roman"/>
          <w:lang w:val="lt-LT"/>
        </w:rPr>
        <w:t>aseptikos</w:t>
      </w:r>
      <w:proofErr w:type="spellEnd"/>
      <w:r w:rsidRPr="006B5E26">
        <w:rPr>
          <w:rFonts w:ascii="Times New Roman" w:hAnsi="Times New Roman"/>
          <w:lang w:val="lt-LT"/>
        </w:rPr>
        <w:t xml:space="preserve"> reikalavimų, kad būtų išvengta bet kokio užteršimo, ypač įkišant kateterį.</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Siekiant išvengti su per greita infuzija susijusios rizikos, rekomenduojama, kad infuzija būtų nuolatinė ir gerai kontroliuojama.</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lastRenderedPageBreak/>
        <w:t xml:space="preserve">Reikia stebėti gliukozės kiekį kraujyje ir </w:t>
      </w:r>
      <w:proofErr w:type="spellStart"/>
      <w:r w:rsidRPr="006B5E26">
        <w:rPr>
          <w:rFonts w:ascii="Times New Roman" w:hAnsi="Times New Roman"/>
          <w:lang w:val="lt-LT"/>
        </w:rPr>
        <w:t>osmoliariškumą</w:t>
      </w:r>
      <w:proofErr w:type="spellEnd"/>
      <w:r w:rsidRPr="006B5E26">
        <w:rPr>
          <w:rFonts w:ascii="Times New Roman" w:hAnsi="Times New Roman"/>
          <w:lang w:val="lt-LT"/>
        </w:rPr>
        <w:t>, skysčių ir elektrolitų pusiausvyrą, rūgščių ir šarmų pusiausvyrą bei kepenų funkcijos parametrus.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Jei atsiranda bet kokių anafilaksinės reakcijos požymių ar simptomų (ypač jei pasireiškia karščiavimas, drebulys, prakaitavimas, išbėrimas ar </w:t>
      </w:r>
      <w:proofErr w:type="spellStart"/>
      <w:r w:rsidRPr="006B5E26">
        <w:rPr>
          <w:rFonts w:ascii="Times New Roman" w:hAnsi="Times New Roman"/>
          <w:lang w:val="lt-LT"/>
        </w:rPr>
        <w:t>dispnėja</w:t>
      </w:r>
      <w:proofErr w:type="spellEnd"/>
      <w:r w:rsidRPr="006B5E26">
        <w:rPr>
          <w:rFonts w:ascii="Times New Roman" w:hAnsi="Times New Roman"/>
          <w:lang w:val="lt-LT"/>
        </w:rPr>
        <w:t>), infuziją būtina nedelsiant sustabdyti.</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Infuzijos metu (ypač jos pradžioje) būtinas klinikinių ir laboratorinių parametrų stebėjimas. Jį reikia dažninti toliau išvardytais atvejais.</w:t>
      </w:r>
    </w:p>
    <w:p w:rsidR="00945471" w:rsidRPr="006B5E26" w:rsidRDefault="00945471" w:rsidP="00945471">
      <w:pPr>
        <w:numPr>
          <w:ilvl w:val="0"/>
          <w:numId w:val="9"/>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Sunkus kepenų sutrikimas.</w:t>
      </w:r>
    </w:p>
    <w:p w:rsidR="00945471" w:rsidRPr="006B5E26" w:rsidRDefault="00945471" w:rsidP="00945471">
      <w:pPr>
        <w:numPr>
          <w:ilvl w:val="0"/>
          <w:numId w:val="9"/>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Sunkus inkstų sutrikimas.</w:t>
      </w:r>
    </w:p>
    <w:p w:rsidR="00945471" w:rsidRPr="006B5E26" w:rsidRDefault="00945471" w:rsidP="00945471">
      <w:pPr>
        <w:numPr>
          <w:ilvl w:val="0"/>
          <w:numId w:val="10"/>
        </w:numPr>
        <w:tabs>
          <w:tab w:val="left" w:pos="567"/>
          <w:tab w:val="left" w:pos="720"/>
        </w:tabs>
        <w:spacing w:after="0" w:line="240" w:lineRule="auto"/>
        <w:ind w:left="567" w:right="-2" w:hanging="567"/>
        <w:rPr>
          <w:rFonts w:ascii="Times New Roman" w:eastAsia="Times New Roman" w:hAnsi="Times New Roman"/>
          <w:snapToGrid w:val="0"/>
          <w:lang w:val="lt-LT"/>
        </w:rPr>
      </w:pPr>
      <w:proofErr w:type="spellStart"/>
      <w:r w:rsidRPr="006B5E26">
        <w:rPr>
          <w:rFonts w:ascii="Times New Roman" w:hAnsi="Times New Roman"/>
          <w:lang w:val="lt-LT"/>
        </w:rPr>
        <w:t>Metabolinė</w:t>
      </w:r>
      <w:proofErr w:type="spellEnd"/>
      <w:r w:rsidRPr="006B5E26">
        <w:rPr>
          <w:rFonts w:ascii="Times New Roman" w:hAnsi="Times New Roman"/>
          <w:lang w:val="lt-LT"/>
        </w:rPr>
        <w:t xml:space="preserve"> </w:t>
      </w:r>
      <w:proofErr w:type="spellStart"/>
      <w:r w:rsidRPr="006B5E26">
        <w:rPr>
          <w:rFonts w:ascii="Times New Roman" w:hAnsi="Times New Roman"/>
          <w:lang w:val="lt-LT"/>
        </w:rPr>
        <w:t>acidozė</w:t>
      </w:r>
      <w:proofErr w:type="spellEnd"/>
      <w:r w:rsidRPr="006B5E26">
        <w:rPr>
          <w:rFonts w:ascii="Times New Roman" w:hAnsi="Times New Roman"/>
          <w:lang w:val="lt-LT"/>
        </w:rPr>
        <w:t xml:space="preserve"> (labai didelio rūgšties kiekio kraujyje sukeltas sutrikimas).</w:t>
      </w:r>
    </w:p>
    <w:p w:rsidR="00945471" w:rsidRPr="006B5E26" w:rsidRDefault="00945471" w:rsidP="00945471">
      <w:pPr>
        <w:numPr>
          <w:ilvl w:val="0"/>
          <w:numId w:val="10"/>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 xml:space="preserve">Cukrinis diabetas ar gliukozės </w:t>
      </w:r>
      <w:proofErr w:type="spellStart"/>
      <w:r w:rsidRPr="006B5E26">
        <w:rPr>
          <w:rFonts w:ascii="Times New Roman" w:hAnsi="Times New Roman"/>
          <w:lang w:val="lt-LT"/>
        </w:rPr>
        <w:t>netoleravimas</w:t>
      </w:r>
      <w:proofErr w:type="spellEnd"/>
      <w:r w:rsidRPr="006B5E26">
        <w:rPr>
          <w:rFonts w:ascii="Times New Roman" w:hAnsi="Times New Roman"/>
          <w:lang w:val="lt-LT"/>
        </w:rPr>
        <w:t xml:space="preserve"> neišnešiotam naujagimiui.</w:t>
      </w:r>
    </w:p>
    <w:p w:rsidR="00945471" w:rsidRPr="006B5E26" w:rsidRDefault="00945471" w:rsidP="00945471">
      <w:pPr>
        <w:tabs>
          <w:tab w:val="left" w:pos="720"/>
        </w:tabs>
        <w:spacing w:after="0" w:line="240" w:lineRule="auto"/>
        <w:ind w:right="-2"/>
        <w:rPr>
          <w:rFonts w:ascii="Times New Roman" w:eastAsia="Times New Roman" w:hAnsi="Times New Roman"/>
          <w:b/>
          <w:u w:val="single"/>
          <w:lang w:val="lt-LT" w:eastAsia="lt-LT"/>
        </w:rPr>
      </w:pPr>
    </w:p>
    <w:p w:rsidR="00945471" w:rsidRPr="006B5E26" w:rsidRDefault="00945471" w:rsidP="00945471">
      <w:pPr>
        <w:tabs>
          <w:tab w:val="left" w:pos="720"/>
        </w:tabs>
        <w:spacing w:after="0" w:line="240" w:lineRule="auto"/>
        <w:ind w:right="-2"/>
        <w:rPr>
          <w:rFonts w:ascii="Times New Roman" w:eastAsia="Times New Roman" w:hAnsi="Times New Roman"/>
          <w:b/>
          <w:u w:val="single"/>
          <w:lang w:val="lt-LT" w:eastAsia="lt-LT"/>
        </w:rPr>
      </w:pPr>
      <w:proofErr w:type="spellStart"/>
      <w:r w:rsidRPr="006B5E26">
        <w:rPr>
          <w:rFonts w:ascii="Times New Roman" w:eastAsia="Times New Roman" w:hAnsi="Times New Roman"/>
          <w:b/>
          <w:u w:val="single"/>
          <w:lang w:val="lt-LT" w:eastAsia="lt-LT"/>
        </w:rPr>
        <w:t>Ekstravazacija</w:t>
      </w:r>
      <w:proofErr w:type="spellEnd"/>
    </w:p>
    <w:p w:rsidR="00945471" w:rsidRPr="006B5E26" w:rsidRDefault="00945471" w:rsidP="00945471">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 xml:space="preserve">Kaip ir vartojant bet kokio į veną leidžiamo vaistinio preparato, gali pasireikšti </w:t>
      </w:r>
      <w:proofErr w:type="spellStart"/>
      <w:r w:rsidRPr="006B5E26">
        <w:rPr>
          <w:rFonts w:ascii="Times New Roman" w:eastAsia="Times New Roman" w:hAnsi="Times New Roman"/>
          <w:lang w:val="lt-LT" w:eastAsia="lt-LT"/>
        </w:rPr>
        <w:t>ekstravazacija</w:t>
      </w:r>
      <w:proofErr w:type="spellEnd"/>
      <w:r w:rsidRPr="006B5E26">
        <w:rPr>
          <w:rFonts w:ascii="Times New Roman" w:eastAsia="Times New Roman" w:hAnsi="Times New Roman"/>
          <w:lang w:val="lt-LT" w:eastAsia="lt-LT"/>
        </w:rPr>
        <w:t xml:space="preserve"> (žr. </w:t>
      </w:r>
      <w:r w:rsidRPr="006B5E26">
        <w:rPr>
          <w:rFonts w:ascii="Times New Roman" w:hAnsi="Times New Roman"/>
          <w:lang w:val="lt-LT"/>
        </w:rPr>
        <w:t>preparato charakteristikų santraukos</w:t>
      </w:r>
      <w:r w:rsidRPr="006B5E26">
        <w:rPr>
          <w:rFonts w:ascii="Times New Roman" w:eastAsia="Times New Roman" w:hAnsi="Times New Roman"/>
          <w:lang w:val="lt-LT" w:eastAsia="lt-LT"/>
        </w:rPr>
        <w:t xml:space="preserve"> 4.8 skyrių). </w:t>
      </w:r>
    </w:p>
    <w:p w:rsidR="00945471" w:rsidRPr="006B5E26" w:rsidRDefault="00945471" w:rsidP="00945471">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 xml:space="preserve">Reikia reguliariai vertinti kateterio įkišimo vietą, ar neatsiranda </w:t>
      </w:r>
      <w:proofErr w:type="spellStart"/>
      <w:r w:rsidRPr="006B5E26">
        <w:rPr>
          <w:rFonts w:ascii="Times New Roman" w:eastAsia="Times New Roman" w:hAnsi="Times New Roman"/>
          <w:lang w:val="lt-LT" w:eastAsia="lt-LT"/>
        </w:rPr>
        <w:t>ekstravazacijos</w:t>
      </w:r>
      <w:proofErr w:type="spellEnd"/>
      <w:r w:rsidRPr="006B5E26">
        <w:rPr>
          <w:rFonts w:ascii="Times New Roman" w:eastAsia="Times New Roman" w:hAnsi="Times New Roman"/>
          <w:lang w:val="lt-LT" w:eastAsia="lt-LT"/>
        </w:rPr>
        <w:t xml:space="preserve"> požymių.</w:t>
      </w:r>
    </w:p>
    <w:p w:rsidR="00945471" w:rsidRPr="006B5E26" w:rsidRDefault="00945471" w:rsidP="00945471">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 xml:space="preserve">Jei pasireiškia </w:t>
      </w:r>
      <w:proofErr w:type="spellStart"/>
      <w:r w:rsidRPr="006B5E26">
        <w:rPr>
          <w:rFonts w:ascii="Times New Roman" w:eastAsia="Times New Roman" w:hAnsi="Times New Roman"/>
          <w:lang w:val="lt-LT" w:eastAsia="lt-LT"/>
        </w:rPr>
        <w:t>ekstravazacija</w:t>
      </w:r>
      <w:proofErr w:type="spellEnd"/>
      <w:r w:rsidRPr="006B5E26">
        <w:rPr>
          <w:rFonts w:ascii="Times New Roman" w:eastAsia="Times New Roman" w:hAnsi="Times New Roman"/>
          <w:lang w:val="lt-LT" w:eastAsia="lt-LT"/>
        </w:rPr>
        <w:t xml:space="preserve">, įprastinės rekomendacijos apima nedelsiamą infuzijos nutraukimą, įkišto kateterio ar kaniulės palikimą, kad būtų galima atlikti nedelsiamus paciento būklės kontrolei reikalingus veiksmus bei skysčio likučio aspiraciją prieš kateterio ar kaniulės ištraukimą bei susijusios galūnės pakėlimą (jei </w:t>
      </w:r>
      <w:proofErr w:type="spellStart"/>
      <w:r w:rsidRPr="006B5E26">
        <w:rPr>
          <w:rFonts w:ascii="Times New Roman" w:eastAsia="Times New Roman" w:hAnsi="Times New Roman"/>
          <w:lang w:val="lt-LT" w:eastAsia="lt-LT"/>
        </w:rPr>
        <w:t>ekstravazacija</w:t>
      </w:r>
      <w:proofErr w:type="spellEnd"/>
      <w:r w:rsidRPr="006B5E26">
        <w:rPr>
          <w:rFonts w:ascii="Times New Roman" w:eastAsia="Times New Roman" w:hAnsi="Times New Roman"/>
          <w:lang w:val="lt-LT" w:eastAsia="lt-LT"/>
        </w:rPr>
        <w:t xml:space="preserve"> įvyko galūnėje).</w:t>
      </w:r>
    </w:p>
    <w:p w:rsidR="00945471" w:rsidRPr="006B5E26" w:rsidRDefault="00945471" w:rsidP="00945471">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 xml:space="preserve">Galimos gydymo galimybės yra nefarmakologinės, farmakologinės priemonės ir (arba) chirurginė procedūra. Jei yra didelė </w:t>
      </w:r>
      <w:proofErr w:type="spellStart"/>
      <w:r w:rsidRPr="006B5E26">
        <w:rPr>
          <w:rFonts w:ascii="Times New Roman" w:eastAsia="Times New Roman" w:hAnsi="Times New Roman"/>
          <w:lang w:val="lt-LT" w:eastAsia="lt-LT"/>
        </w:rPr>
        <w:t>ekstravazacija</w:t>
      </w:r>
      <w:proofErr w:type="spellEnd"/>
      <w:r w:rsidRPr="006B5E26">
        <w:rPr>
          <w:rFonts w:ascii="Times New Roman" w:eastAsia="Times New Roman" w:hAnsi="Times New Roman"/>
          <w:lang w:val="lt-LT" w:eastAsia="lt-LT"/>
        </w:rPr>
        <w:t>, būtina pasitarti su plastikos chirurgu.</w:t>
      </w:r>
    </w:p>
    <w:p w:rsidR="00945471" w:rsidRPr="006B5E26" w:rsidRDefault="00945471" w:rsidP="00945471">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Atnaujinti infuzijos į tą pačią periferinę ar centrinę veną negalima.</w:t>
      </w:r>
    </w:p>
    <w:p w:rsidR="00945471" w:rsidRPr="006B5E26" w:rsidRDefault="00945471" w:rsidP="00945471">
      <w:pPr>
        <w:tabs>
          <w:tab w:val="left" w:pos="720"/>
        </w:tabs>
        <w:spacing w:after="0" w:line="240" w:lineRule="auto"/>
        <w:ind w:right="-2"/>
        <w:rPr>
          <w:rFonts w:ascii="Times New Roman" w:eastAsia="Times New Roman" w:hAnsi="Times New Roman"/>
          <w:b/>
          <w:u w:val="single"/>
          <w:lang w:val="lt-LT" w:eastAsia="lt-LT"/>
        </w:rPr>
      </w:pPr>
    </w:p>
    <w:p w:rsidR="00945471" w:rsidRPr="006B5E26" w:rsidRDefault="00945471" w:rsidP="00945471">
      <w:p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Vartojimo metodas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Būtina taikyti nuolatinę 24 valandų trukmės infuziją.</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Siekiant užtikrinti visišką </w:t>
      </w:r>
      <w:proofErr w:type="spellStart"/>
      <w:r w:rsidRPr="006B5E26">
        <w:rPr>
          <w:rFonts w:ascii="Times New Roman" w:hAnsi="Times New Roman"/>
          <w:lang w:val="lt-LT"/>
        </w:rPr>
        <w:t>parenterinį</w:t>
      </w:r>
      <w:proofErr w:type="spellEnd"/>
      <w:r w:rsidRPr="006B5E26">
        <w:rPr>
          <w:rFonts w:ascii="Times New Roman" w:hAnsi="Times New Roman"/>
          <w:lang w:val="lt-LT"/>
        </w:rPr>
        <w:t xml:space="preserve"> maitinimą, rekomenduojama kartu vartoti vitaminų bei lipidų. Vis dėlto </w:t>
      </w:r>
      <w:proofErr w:type="spellStart"/>
      <w:r w:rsidRPr="006B5E26">
        <w:rPr>
          <w:rFonts w:ascii="Times New Roman" w:hAnsi="Times New Roman"/>
          <w:lang w:val="lt-LT"/>
        </w:rPr>
        <w:t>Pediaven</w:t>
      </w:r>
      <w:proofErr w:type="spellEnd"/>
      <w:r w:rsidRPr="006B5E26">
        <w:rPr>
          <w:rFonts w:ascii="Times New Roman" w:hAnsi="Times New Roman"/>
          <w:lang w:val="lt-LT"/>
        </w:rPr>
        <w:t xml:space="preserve"> NN2 sudėtyje jau yra mikroelementų. Tam tikrais atvejais, atsižvelgiant į paciento poreikius, į maišelį galima įšvirkšti aminorūgščių ir elektrolitų (žr. poskyrį „Suderinamumas“). </w:t>
      </w:r>
    </w:p>
    <w:p w:rsidR="00945471" w:rsidRPr="00D81A5B" w:rsidRDefault="00945471" w:rsidP="00945471">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Kai vaistinis preparatas lašinamas naujagimiams ir jaunesniems kaip 2</w:t>
      </w:r>
      <w:r>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infuzija bus užbaigta.</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Infuzijos greitis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Dozė turi būti parinkta individualiai, atsižvelgiant į paciento amžių, kūno svorį, </w:t>
      </w:r>
      <w:proofErr w:type="spellStart"/>
      <w:r w:rsidRPr="006B5E26">
        <w:rPr>
          <w:rFonts w:ascii="Times New Roman" w:hAnsi="Times New Roman"/>
          <w:lang w:val="lt-LT"/>
        </w:rPr>
        <w:t>metabolinį</w:t>
      </w:r>
      <w:proofErr w:type="spellEnd"/>
      <w:r w:rsidRPr="006B5E26">
        <w:rPr>
          <w:rFonts w:ascii="Times New Roman" w:hAnsi="Times New Roman"/>
          <w:lang w:val="lt-LT"/>
        </w:rPr>
        <w:t xml:space="preserve"> ir energijos poreikį ir klinikinę būklę.</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Specialios su vartojimu susijusios atsargumo priemonės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Prieš vartojimą reikia nuplėšti išorinį maišelį ir patikrinti vidinio maišelio sandarumą (ar neprateka skysčio). Jei pakuotė pažeista, jos naudoti negalima. </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Vaistą galima naudoti tik tuo atveju, jei gliukozės ir aminorūgščių tirpalai yra skaidrūs, bespalviai ar šiek tiek gelsvi ir juose nėra dalelių. </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Dviejų kamerų turinį būtina sumaišyti prieš vartojimą ir prieš bet kokios papildomos medžiagos įšvirkštimą per priedų jungtį.</w:t>
      </w:r>
    </w:p>
    <w:p w:rsidR="00945471" w:rsidRPr="00D81A5B" w:rsidRDefault="00945471" w:rsidP="00945471">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 xml:space="preserve">Šviesos poveikis intraveninei </w:t>
      </w:r>
      <w:proofErr w:type="spellStart"/>
      <w:r w:rsidRPr="00D81A5B">
        <w:rPr>
          <w:rFonts w:ascii="Times New Roman" w:hAnsi="Times New Roman"/>
          <w:lang w:val="lt-LT"/>
        </w:rPr>
        <w:t>parenterinei</w:t>
      </w:r>
      <w:proofErr w:type="spellEnd"/>
      <w:r w:rsidRPr="00D81A5B">
        <w:rPr>
          <w:rFonts w:ascii="Times New Roman" w:hAnsi="Times New Roman"/>
          <w:lang w:val="lt-LT"/>
        </w:rPr>
        <w:t xml:space="preserve">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Pr>
          <w:rFonts w:ascii="Times New Roman" w:hAnsi="Times New Roman"/>
          <w:lang w:val="lt-LT"/>
        </w:rPr>
        <w:t> </w:t>
      </w:r>
      <w:r w:rsidRPr="00D81A5B">
        <w:rPr>
          <w:rFonts w:ascii="Times New Roman" w:hAnsi="Times New Roman"/>
          <w:lang w:val="lt-LT"/>
        </w:rPr>
        <w:t xml:space="preserve">metų vaikams, </w:t>
      </w:r>
      <w:proofErr w:type="spellStart"/>
      <w:r>
        <w:rPr>
          <w:rFonts w:ascii="Times New Roman" w:hAnsi="Times New Roman"/>
          <w:lang w:val="lt-LT"/>
        </w:rPr>
        <w:t>Pediaven</w:t>
      </w:r>
      <w:proofErr w:type="spellEnd"/>
      <w:r>
        <w:rPr>
          <w:rFonts w:ascii="Times New Roman" w:hAnsi="Times New Roman"/>
          <w:lang w:val="lt-LT"/>
        </w:rPr>
        <w:t xml:space="preserve"> NN2</w:t>
      </w:r>
      <w:r w:rsidRPr="00D81A5B">
        <w:rPr>
          <w:rFonts w:ascii="Times New Roman" w:hAnsi="Times New Roman"/>
          <w:lang w:val="lt-LT"/>
        </w:rPr>
        <w:t xml:space="preserve"> turi būti apsaugotas nuo aplinkos šviesos, kol infuzija bus užbaigta.</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Dviejų kamerų turinio sumaišymas prieš vartojimą</w:t>
      </w:r>
    </w:p>
    <w:p w:rsidR="00945471" w:rsidRPr="006B5E26" w:rsidRDefault="00945471" w:rsidP="00945471">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1.</w:t>
      </w:r>
      <w:r w:rsidRPr="006B5E26">
        <w:rPr>
          <w:rFonts w:ascii="Times New Roman" w:hAnsi="Times New Roman"/>
          <w:lang w:val="lt-LT"/>
        </w:rPr>
        <w:tab/>
        <w:t>Nuimkite viršutinį maišelį ir vidinį maišelį padėkite ant kieto paviršiaus.</w:t>
      </w:r>
    </w:p>
    <w:p w:rsidR="00945471" w:rsidRPr="006B5E26" w:rsidRDefault="00945471" w:rsidP="00945471">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2.</w:t>
      </w:r>
      <w:r w:rsidRPr="006B5E26">
        <w:rPr>
          <w:rFonts w:ascii="Times New Roman" w:hAnsi="Times New Roman"/>
          <w:lang w:val="lt-LT"/>
        </w:rPr>
        <w:tab/>
        <w:t xml:space="preserve">Maišelį atsargiai vyniokite nuo rankenos ir paspauskite, kol vertikali pertvara suplyš. Maišelį kelis kartus apverskite, kad mišinys taptų homogeniškas. </w:t>
      </w:r>
    </w:p>
    <w:p w:rsidR="00945471" w:rsidRPr="006B5E26" w:rsidRDefault="00945471" w:rsidP="00945471">
      <w:pPr>
        <w:numPr>
          <w:ilvl w:val="12"/>
          <w:numId w:val="0"/>
        </w:numPr>
        <w:tabs>
          <w:tab w:val="left" w:pos="720"/>
        </w:tabs>
        <w:spacing w:after="0" w:line="240" w:lineRule="auto"/>
        <w:ind w:left="567" w:right="-2" w:hanging="567"/>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Vartoti tik vieną kartą. Po infuzijos bet kokį nesuvartotą mišinio likutį reikia sunaikinti.</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Būtina laikytis griežtos </w:t>
      </w:r>
      <w:proofErr w:type="spellStart"/>
      <w:r w:rsidRPr="006B5E26">
        <w:rPr>
          <w:rFonts w:ascii="Times New Roman" w:hAnsi="Times New Roman"/>
          <w:lang w:val="lt-LT"/>
        </w:rPr>
        <w:t>aseptikos</w:t>
      </w:r>
      <w:proofErr w:type="spellEnd"/>
      <w:r w:rsidRPr="006B5E26">
        <w:rPr>
          <w:rFonts w:ascii="Times New Roman" w:hAnsi="Times New Roman"/>
          <w:lang w:val="lt-LT"/>
        </w:rPr>
        <w:t xml:space="preserve"> sąlygų, vadovaujantis </w:t>
      </w:r>
      <w:proofErr w:type="spellStart"/>
      <w:r w:rsidRPr="006B5E26">
        <w:rPr>
          <w:rFonts w:ascii="Times New Roman" w:hAnsi="Times New Roman"/>
          <w:lang w:val="lt-LT"/>
        </w:rPr>
        <w:t>validuotais</w:t>
      </w:r>
      <w:proofErr w:type="spellEnd"/>
      <w:r w:rsidRPr="006B5E26">
        <w:rPr>
          <w:rFonts w:ascii="Times New Roman" w:hAnsi="Times New Roman"/>
          <w:lang w:val="lt-LT"/>
        </w:rPr>
        <w:t xml:space="preserve"> darbo su vaistiniais preparatais ir kateteriais bei infuzijos atlikimo reikalavimais.</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keepNext/>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lastRenderedPageBreak/>
        <w:t>Tinkamumo laikas po sumaišymo</w:t>
      </w:r>
    </w:p>
    <w:p w:rsidR="00945471" w:rsidRPr="006B5E26" w:rsidRDefault="00945471" w:rsidP="00945471">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Įrodyta, kad cheminiu ir fiziniu požiūriu tirpalas po 2 kamerų turinio sumaišymo 25°C temperatūroje išlieka stabilus 24 valandas. Vis dėlto mikrobiologiniu požiūriu vaistinį preparatą būtina vartoti nedelsiant. </w:t>
      </w:r>
    </w:p>
    <w:p w:rsidR="00945471" w:rsidRPr="006B5E26" w:rsidRDefault="00945471" w:rsidP="00945471">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Jei vaistinis preparatas nevartojamas nedelsiant, už jo laikymo trukmę ir sąlygas atsako vartotojas.</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Suderinamumas</w:t>
      </w:r>
    </w:p>
    <w:p w:rsidR="00945471" w:rsidRPr="006B5E26" w:rsidRDefault="00945471" w:rsidP="00945471">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Į maišelį įšvirkšti ar per tą patį vamzdelį </w:t>
      </w:r>
      <w:proofErr w:type="spellStart"/>
      <w:r w:rsidRPr="006B5E26">
        <w:rPr>
          <w:rFonts w:ascii="Times New Roman" w:hAnsi="Times New Roman"/>
          <w:lang w:val="lt-LT"/>
        </w:rPr>
        <w:t>infuzuoti</w:t>
      </w:r>
      <w:proofErr w:type="spellEnd"/>
      <w:r w:rsidRPr="006B5E26">
        <w:rPr>
          <w:rFonts w:ascii="Times New Roman" w:hAnsi="Times New Roman"/>
          <w:lang w:val="lt-LT"/>
        </w:rPr>
        <w:t xml:space="preserve">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w:t>
      </w:r>
      <w:proofErr w:type="spellStart"/>
      <w:r w:rsidRPr="006B5E26">
        <w:rPr>
          <w:rFonts w:ascii="Times New Roman" w:hAnsi="Times New Roman"/>
          <w:lang w:val="lt-LT"/>
        </w:rPr>
        <w:t>aseptinėmis</w:t>
      </w:r>
      <w:proofErr w:type="spellEnd"/>
      <w:r w:rsidRPr="006B5E26">
        <w:rPr>
          <w:rFonts w:ascii="Times New Roman" w:hAnsi="Times New Roman"/>
          <w:lang w:val="lt-LT"/>
        </w:rPr>
        <w:t xml:space="preserve"> sąlygomis. </w:t>
      </w:r>
    </w:p>
    <w:p w:rsidR="00945471"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A4542E" w:rsidRDefault="00945471" w:rsidP="00945471">
      <w:pPr>
        <w:autoSpaceDE w:val="0"/>
        <w:autoSpaceDN w:val="0"/>
        <w:adjustRightInd w:val="0"/>
        <w:spacing w:before="60" w:after="120" w:line="240" w:lineRule="auto"/>
        <w:rPr>
          <w:rFonts w:ascii="Times New Roman" w:hAnsi="Times New Roman"/>
          <w:b/>
          <w:lang w:val="lt-LT"/>
        </w:rPr>
      </w:pPr>
      <w:r w:rsidRPr="00A4542E">
        <w:rPr>
          <w:rFonts w:ascii="Times New Roman" w:hAnsi="Times New Roman"/>
          <w:b/>
          <w:lang w:val="lt-LT"/>
        </w:rPr>
        <w:t xml:space="preserve">Specialūs reikalavimai atliekoms tvarkyti ir vaistiniam preparatui ruošti </w:t>
      </w:r>
    </w:p>
    <w:p w:rsidR="00945471" w:rsidRDefault="00945471" w:rsidP="00945471">
      <w:pPr>
        <w:spacing w:after="0" w:line="240" w:lineRule="auto"/>
        <w:rPr>
          <w:rFonts w:ascii="Times New Roman" w:hAnsi="Times New Roman"/>
          <w:lang w:val="lt-LT"/>
        </w:rPr>
      </w:pPr>
      <w:r w:rsidRPr="00A4542E">
        <w:rPr>
          <w:rFonts w:ascii="Times New Roman" w:hAnsi="Times New Roman"/>
          <w:lang w:val="lt-LT"/>
        </w:rPr>
        <w:t>Kai vaistinis preparatas lašinamas naujagimiams ir jaunesniems kaip 2</w:t>
      </w:r>
      <w:r>
        <w:rPr>
          <w:rFonts w:ascii="Times New Roman" w:hAnsi="Times New Roman"/>
          <w:lang w:val="lt-LT"/>
        </w:rPr>
        <w:t> </w:t>
      </w:r>
      <w:r w:rsidRPr="00A4542E">
        <w:rPr>
          <w:rFonts w:ascii="Times New Roman" w:hAnsi="Times New Roman"/>
          <w:lang w:val="lt-LT"/>
        </w:rPr>
        <w:t xml:space="preserve">metų vaikams, tirpalą reikia apsaugoti nuo šviesos, kol infuzija bus užbaigta. Dėl aplinkos šviesos poveikio </w:t>
      </w:r>
      <w:proofErr w:type="spellStart"/>
      <w:r>
        <w:rPr>
          <w:rFonts w:ascii="Times New Roman" w:hAnsi="Times New Roman"/>
          <w:lang w:val="lt-LT"/>
        </w:rPr>
        <w:t>Pediaven</w:t>
      </w:r>
      <w:proofErr w:type="spellEnd"/>
      <w:r>
        <w:rPr>
          <w:rFonts w:ascii="Times New Roman" w:hAnsi="Times New Roman"/>
          <w:lang w:val="lt-LT"/>
        </w:rPr>
        <w:t xml:space="preserve"> NN2</w:t>
      </w:r>
      <w:r w:rsidRPr="00A4542E">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945471" w:rsidRPr="006B5E26" w:rsidRDefault="00945471" w:rsidP="00945471">
      <w:pPr>
        <w:numPr>
          <w:ilvl w:val="12"/>
          <w:numId w:val="0"/>
        </w:numPr>
        <w:tabs>
          <w:tab w:val="left" w:pos="720"/>
        </w:tabs>
        <w:spacing w:after="0" w:line="240" w:lineRule="auto"/>
        <w:ind w:right="-2"/>
        <w:rPr>
          <w:rFonts w:ascii="Times New Roman" w:hAnsi="Times New Roman"/>
          <w:lang w:val="lt-LT"/>
        </w:rPr>
      </w:pPr>
    </w:p>
    <w:p w:rsidR="00945471" w:rsidRPr="00893522" w:rsidRDefault="00945471" w:rsidP="00945471">
      <w:pPr>
        <w:rPr>
          <w:lang w:val="lt-LT"/>
        </w:rPr>
      </w:pPr>
    </w:p>
    <w:p w:rsidR="00945471" w:rsidRPr="00DD25D6" w:rsidRDefault="00945471" w:rsidP="00945471">
      <w:pPr>
        <w:rPr>
          <w:lang w:val="lt-LT"/>
        </w:rPr>
      </w:pPr>
    </w:p>
    <w:p w:rsidR="003576C2" w:rsidRDefault="003576C2">
      <w:bookmarkStart w:id="0" w:name="_GoBack"/>
      <w:bookmarkEnd w:id="0"/>
    </w:p>
    <w:sectPr w:rsidR="003576C2" w:rsidSect="00133F5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9C6E35"/>
    <w:multiLevelType w:val="hybridMultilevel"/>
    <w:tmpl w:val="6C487A1E"/>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116B82"/>
    <w:multiLevelType w:val="hybridMultilevel"/>
    <w:tmpl w:val="4B567A9E"/>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9504312C">
      <w:start w:val="1"/>
      <w:numFmt w:val="decimal"/>
      <w:lvlText w:val="%1."/>
      <w:lvlJc w:val="left"/>
      <w:pPr>
        <w:tabs>
          <w:tab w:val="num" w:pos="570"/>
        </w:tabs>
        <w:ind w:left="570" w:hanging="570"/>
      </w:pPr>
    </w:lvl>
    <w:lvl w:ilvl="1" w:tplc="D1508E4C">
      <w:start w:val="1"/>
      <w:numFmt w:val="lowerLetter"/>
      <w:lvlText w:val="%2."/>
      <w:lvlJc w:val="left"/>
      <w:pPr>
        <w:tabs>
          <w:tab w:val="num" w:pos="1080"/>
        </w:tabs>
        <w:ind w:left="1080" w:hanging="360"/>
      </w:pPr>
    </w:lvl>
    <w:lvl w:ilvl="2" w:tplc="9954CB8C">
      <w:start w:val="1"/>
      <w:numFmt w:val="lowerRoman"/>
      <w:lvlText w:val="%3."/>
      <w:lvlJc w:val="right"/>
      <w:pPr>
        <w:tabs>
          <w:tab w:val="num" w:pos="1800"/>
        </w:tabs>
        <w:ind w:left="1800" w:hanging="180"/>
      </w:pPr>
    </w:lvl>
    <w:lvl w:ilvl="3" w:tplc="6C8E1C9C">
      <w:start w:val="1"/>
      <w:numFmt w:val="decimal"/>
      <w:lvlText w:val="%4."/>
      <w:lvlJc w:val="left"/>
      <w:pPr>
        <w:tabs>
          <w:tab w:val="num" w:pos="2520"/>
        </w:tabs>
        <w:ind w:left="2520" w:hanging="360"/>
      </w:pPr>
    </w:lvl>
    <w:lvl w:ilvl="4" w:tplc="1656252E">
      <w:start w:val="1"/>
      <w:numFmt w:val="lowerLetter"/>
      <w:lvlText w:val="%5."/>
      <w:lvlJc w:val="left"/>
      <w:pPr>
        <w:tabs>
          <w:tab w:val="num" w:pos="3240"/>
        </w:tabs>
        <w:ind w:left="3240" w:hanging="360"/>
      </w:pPr>
    </w:lvl>
    <w:lvl w:ilvl="5" w:tplc="C0064B90">
      <w:start w:val="1"/>
      <w:numFmt w:val="lowerRoman"/>
      <w:lvlText w:val="%6."/>
      <w:lvlJc w:val="right"/>
      <w:pPr>
        <w:tabs>
          <w:tab w:val="num" w:pos="3960"/>
        </w:tabs>
        <w:ind w:left="3960" w:hanging="180"/>
      </w:pPr>
    </w:lvl>
    <w:lvl w:ilvl="6" w:tplc="3BE07B8C">
      <w:start w:val="1"/>
      <w:numFmt w:val="decimal"/>
      <w:lvlText w:val="%7."/>
      <w:lvlJc w:val="left"/>
      <w:pPr>
        <w:tabs>
          <w:tab w:val="num" w:pos="4680"/>
        </w:tabs>
        <w:ind w:left="4680" w:hanging="360"/>
      </w:pPr>
    </w:lvl>
    <w:lvl w:ilvl="7" w:tplc="2B2A51F4">
      <w:start w:val="1"/>
      <w:numFmt w:val="lowerLetter"/>
      <w:lvlText w:val="%8."/>
      <w:lvlJc w:val="left"/>
      <w:pPr>
        <w:tabs>
          <w:tab w:val="num" w:pos="5400"/>
        </w:tabs>
        <w:ind w:left="5400" w:hanging="360"/>
      </w:pPr>
    </w:lvl>
    <w:lvl w:ilvl="8" w:tplc="7BF29222">
      <w:start w:val="1"/>
      <w:numFmt w:val="lowerRoman"/>
      <w:lvlText w:val="%9."/>
      <w:lvlJc w:val="right"/>
      <w:pPr>
        <w:tabs>
          <w:tab w:val="num" w:pos="6120"/>
        </w:tabs>
        <w:ind w:left="6120" w:hanging="180"/>
      </w:pPr>
    </w:lvl>
  </w:abstractNum>
  <w:abstractNum w:abstractNumId="4" w15:restartNumberingAfterBreak="0">
    <w:nsid w:val="3423510D"/>
    <w:multiLevelType w:val="hybridMultilevel"/>
    <w:tmpl w:val="77E6578E"/>
    <w:lvl w:ilvl="0" w:tplc="FFFFFFFF">
      <w:numFmt w:val="bullet"/>
      <w:lvlText w:val="-"/>
      <w:lvlJc w:val="left"/>
      <w:pPr>
        <w:tabs>
          <w:tab w:val="num" w:pos="1080"/>
        </w:tabs>
        <w:ind w:left="1080" w:hanging="360"/>
      </w:pPr>
      <w:rPr>
        <w:rFonts w:ascii="Symbol" w:eastAsia="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37330F"/>
    <w:multiLevelType w:val="hybridMultilevel"/>
    <w:tmpl w:val="0C2AE754"/>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B50AE962">
      <w:start w:val="2"/>
      <w:numFmt w:val="decimal"/>
      <w:lvlText w:val="%1."/>
      <w:lvlJc w:val="left"/>
      <w:pPr>
        <w:tabs>
          <w:tab w:val="num" w:pos="570"/>
        </w:tabs>
        <w:ind w:left="570" w:hanging="570"/>
      </w:pPr>
    </w:lvl>
    <w:lvl w:ilvl="1" w:tplc="FCF83D98">
      <w:start w:val="1"/>
      <w:numFmt w:val="lowerLetter"/>
      <w:lvlText w:val="%2."/>
      <w:lvlJc w:val="left"/>
      <w:pPr>
        <w:tabs>
          <w:tab w:val="num" w:pos="1080"/>
        </w:tabs>
        <w:ind w:left="1080" w:hanging="360"/>
      </w:pPr>
    </w:lvl>
    <w:lvl w:ilvl="2" w:tplc="7304F5E0">
      <w:start w:val="1"/>
      <w:numFmt w:val="lowerRoman"/>
      <w:lvlText w:val="%3."/>
      <w:lvlJc w:val="right"/>
      <w:pPr>
        <w:tabs>
          <w:tab w:val="num" w:pos="1800"/>
        </w:tabs>
        <w:ind w:left="1800" w:hanging="180"/>
      </w:pPr>
    </w:lvl>
    <w:lvl w:ilvl="3" w:tplc="31C4AF0C">
      <w:start w:val="1"/>
      <w:numFmt w:val="decimal"/>
      <w:lvlText w:val="%4."/>
      <w:lvlJc w:val="left"/>
      <w:pPr>
        <w:tabs>
          <w:tab w:val="num" w:pos="2520"/>
        </w:tabs>
        <w:ind w:left="2520" w:hanging="360"/>
      </w:pPr>
    </w:lvl>
    <w:lvl w:ilvl="4" w:tplc="00B22F5E">
      <w:start w:val="1"/>
      <w:numFmt w:val="lowerLetter"/>
      <w:lvlText w:val="%5."/>
      <w:lvlJc w:val="left"/>
      <w:pPr>
        <w:tabs>
          <w:tab w:val="num" w:pos="3240"/>
        </w:tabs>
        <w:ind w:left="3240" w:hanging="360"/>
      </w:pPr>
    </w:lvl>
    <w:lvl w:ilvl="5" w:tplc="99025F22">
      <w:start w:val="1"/>
      <w:numFmt w:val="lowerRoman"/>
      <w:lvlText w:val="%6."/>
      <w:lvlJc w:val="right"/>
      <w:pPr>
        <w:tabs>
          <w:tab w:val="num" w:pos="3960"/>
        </w:tabs>
        <w:ind w:left="3960" w:hanging="180"/>
      </w:pPr>
    </w:lvl>
    <w:lvl w:ilvl="6" w:tplc="F0A235C6">
      <w:start w:val="1"/>
      <w:numFmt w:val="decimal"/>
      <w:lvlText w:val="%7."/>
      <w:lvlJc w:val="left"/>
      <w:pPr>
        <w:tabs>
          <w:tab w:val="num" w:pos="4680"/>
        </w:tabs>
        <w:ind w:left="4680" w:hanging="360"/>
      </w:pPr>
    </w:lvl>
    <w:lvl w:ilvl="7" w:tplc="3CF0236A">
      <w:start w:val="1"/>
      <w:numFmt w:val="lowerLetter"/>
      <w:lvlText w:val="%8."/>
      <w:lvlJc w:val="left"/>
      <w:pPr>
        <w:tabs>
          <w:tab w:val="num" w:pos="5400"/>
        </w:tabs>
        <w:ind w:left="5400" w:hanging="360"/>
      </w:pPr>
    </w:lvl>
    <w:lvl w:ilvl="8" w:tplc="E3EA1B44">
      <w:start w:val="1"/>
      <w:numFmt w:val="lowerRoman"/>
      <w:lvlText w:val="%9."/>
      <w:lvlJc w:val="right"/>
      <w:pPr>
        <w:tabs>
          <w:tab w:val="num" w:pos="6120"/>
        </w:tabs>
        <w:ind w:left="6120" w:hanging="180"/>
      </w:pPr>
    </w:lvl>
  </w:abstractNum>
  <w:abstractNum w:abstractNumId="7" w15:restartNumberingAfterBreak="0">
    <w:nsid w:val="64670A22"/>
    <w:multiLevelType w:val="hybridMultilevel"/>
    <w:tmpl w:val="B2B413C2"/>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EB90331"/>
    <w:multiLevelType w:val="hybridMultilevel"/>
    <w:tmpl w:val="F01AC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A45AB4"/>
    <w:multiLevelType w:val="hybridMultilevel"/>
    <w:tmpl w:val="1E9E1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5"/>
  </w:num>
  <w:num w:numId="7">
    <w:abstractNumId w:val="2"/>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71"/>
    <w:rsid w:val="003576C2"/>
    <w:rsid w:val="00945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84F29-7D68-4E51-8ED0-EE2994A1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471"/>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12504</Words>
  <Characters>7128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2020-03-19T12:16:00Z</dcterms:created>
  <dcterms:modified xsi:type="dcterms:W3CDTF">2020-03-19T12:16:00Z</dcterms:modified>
</cp:coreProperties>
</file>