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7B" w:rsidRPr="00B15D3A" w:rsidRDefault="00C5357B" w:rsidP="00C5357B">
      <w:pPr>
        <w:spacing w:after="0" w:line="240" w:lineRule="auto"/>
        <w:jc w:val="center"/>
        <w:rPr>
          <w:rFonts w:ascii="Times New Roman" w:hAnsi="Times New Roman"/>
          <w:b/>
          <w:lang w:val="lt-LT"/>
        </w:rPr>
      </w:pPr>
      <w:r w:rsidRPr="00B15D3A">
        <w:rPr>
          <w:rFonts w:ascii="Times New Roman" w:hAnsi="Times New Roman"/>
          <w:b/>
          <w:lang w:val="lt-LT"/>
        </w:rPr>
        <w:t>Pakuotės lapelis: informacija pacientui</w:t>
      </w:r>
    </w:p>
    <w:p w:rsidR="00C5357B" w:rsidRPr="00B15D3A" w:rsidRDefault="00C5357B" w:rsidP="00C5357B">
      <w:pPr>
        <w:spacing w:after="0" w:line="240" w:lineRule="auto"/>
        <w:ind w:firstLine="567"/>
        <w:jc w:val="center"/>
        <w:rPr>
          <w:rFonts w:ascii="Times New Roman" w:hAnsi="Times New Roman"/>
          <w:b/>
          <w:lang w:val="lt-LT"/>
        </w:rPr>
      </w:pPr>
    </w:p>
    <w:p w:rsidR="00C5357B" w:rsidRPr="00B15D3A" w:rsidRDefault="00C5357B" w:rsidP="00C5357B">
      <w:pPr>
        <w:spacing w:after="0" w:line="240" w:lineRule="auto"/>
        <w:ind w:firstLine="567"/>
        <w:jc w:val="center"/>
        <w:rPr>
          <w:rFonts w:ascii="Times New Roman" w:hAnsi="Times New Roman"/>
          <w:b/>
          <w:lang w:val="lt-LT"/>
        </w:rPr>
      </w:pPr>
      <w:proofErr w:type="spellStart"/>
      <w:r w:rsidRPr="00B15D3A">
        <w:rPr>
          <w:rFonts w:ascii="Times New Roman" w:hAnsi="Times New Roman"/>
          <w:b/>
          <w:lang w:val="lt-LT"/>
        </w:rPr>
        <w:t>Sollazon</w:t>
      </w:r>
      <w:proofErr w:type="spellEnd"/>
      <w:r w:rsidRPr="00B15D3A">
        <w:rPr>
          <w:rFonts w:ascii="Times New Roman" w:hAnsi="Times New Roman"/>
          <w:b/>
          <w:lang w:val="lt-LT"/>
        </w:rPr>
        <w:t xml:space="preserve"> 50 mg tabletės</w:t>
      </w:r>
    </w:p>
    <w:p w:rsidR="00C5357B" w:rsidRPr="00B15D3A" w:rsidRDefault="00C5357B" w:rsidP="00C5357B">
      <w:pPr>
        <w:spacing w:after="0" w:line="240" w:lineRule="auto"/>
        <w:ind w:firstLine="567"/>
        <w:jc w:val="center"/>
        <w:rPr>
          <w:rFonts w:ascii="Times New Roman" w:hAnsi="Times New Roman"/>
          <w:b/>
          <w:lang w:val="lt-LT"/>
        </w:rPr>
      </w:pPr>
      <w:proofErr w:type="spellStart"/>
      <w:r w:rsidRPr="006C2039">
        <w:rPr>
          <w:rFonts w:ascii="Times New Roman" w:hAnsi="Times New Roman"/>
          <w:b/>
          <w:lang w:val="lt-LT"/>
        </w:rPr>
        <w:t>Sollazon</w:t>
      </w:r>
      <w:proofErr w:type="spellEnd"/>
      <w:r w:rsidRPr="006C2039">
        <w:rPr>
          <w:rFonts w:ascii="Times New Roman" w:hAnsi="Times New Roman"/>
          <w:b/>
          <w:lang w:val="lt-LT"/>
        </w:rPr>
        <w:t xml:space="preserve"> 100 mg tabletės</w:t>
      </w:r>
    </w:p>
    <w:p w:rsidR="00C5357B" w:rsidRPr="00B15D3A" w:rsidRDefault="00C5357B" w:rsidP="00C5357B">
      <w:pPr>
        <w:spacing w:after="0" w:line="240" w:lineRule="auto"/>
        <w:ind w:firstLine="567"/>
        <w:jc w:val="center"/>
        <w:rPr>
          <w:rFonts w:ascii="Times New Roman" w:hAnsi="Times New Roman"/>
          <w:lang w:val="lt-LT"/>
        </w:rPr>
      </w:pPr>
      <w:proofErr w:type="spellStart"/>
      <w:r w:rsidRPr="00B15D3A">
        <w:rPr>
          <w:rFonts w:ascii="Times New Roman" w:hAnsi="Times New Roman"/>
          <w:lang w:val="lt-LT"/>
        </w:rPr>
        <w:t>Cilostazolas</w:t>
      </w:r>
      <w:proofErr w:type="spellEnd"/>
    </w:p>
    <w:p w:rsidR="00C5357B" w:rsidRPr="00B15D3A" w:rsidRDefault="00C5357B" w:rsidP="00C5357B">
      <w:pPr>
        <w:spacing w:after="0" w:line="240" w:lineRule="auto"/>
        <w:jc w:val="center"/>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Atidžiai perskaitykite visą šį lapelį, prieš pradėdami vartoti vaistą, nes jame pateikiama Jums svarbi informacija.</w:t>
      </w:r>
    </w:p>
    <w:p w:rsidR="00C5357B" w:rsidRPr="00B15D3A" w:rsidRDefault="00C5357B" w:rsidP="00C5357B">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Neišmeskite šio lapelio, nes vėl gali prireikti jį perskaityti.</w:t>
      </w:r>
    </w:p>
    <w:p w:rsidR="00C5357B" w:rsidRPr="00B15D3A" w:rsidRDefault="00C5357B" w:rsidP="00C5357B">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Jeigu kiltų daugiau klausimų, kreipkitės į gydytoją arba vaistininką.</w:t>
      </w:r>
    </w:p>
    <w:p w:rsidR="00C5357B" w:rsidRPr="00B15D3A" w:rsidRDefault="00C5357B" w:rsidP="00C5357B">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Šis vaistas skirtas tik Jums, todėl kitiems žmonėms jo duoti negalima. Vaistas gali jiems pakenkti (net tiems, kurių ligos požymiai yra tokie patys kaip Jūsų).</w:t>
      </w:r>
    </w:p>
    <w:p w:rsidR="00C5357B" w:rsidRPr="00B15D3A" w:rsidRDefault="00C5357B" w:rsidP="00C5357B">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Jeigu pasireiškė šalutinis poveikis (net jeigu jis šiame lapelyje nenurodytas), kreipkitės į gydytoją arba vaistininką. Žr. 4 skyrių.</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Apie ką rašoma šiame lapelyje?</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1.</w:t>
      </w:r>
      <w:r w:rsidRPr="00B15D3A">
        <w:rPr>
          <w:rFonts w:ascii="Times New Roman" w:hAnsi="Times New Roman"/>
          <w:lang w:val="lt-LT"/>
        </w:rPr>
        <w:tab/>
        <w:t xml:space="preserve">Kas yra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ir kam jis vartojamas</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2.</w:t>
      </w:r>
      <w:r w:rsidRPr="00B15D3A">
        <w:rPr>
          <w:rFonts w:ascii="Times New Roman" w:hAnsi="Times New Roman"/>
          <w:lang w:val="lt-LT"/>
        </w:rPr>
        <w:tab/>
        <w:t xml:space="preserve">Kas žinotina prieš vartojant </w:t>
      </w:r>
      <w:proofErr w:type="spellStart"/>
      <w:r w:rsidRPr="00B15D3A">
        <w:rPr>
          <w:rFonts w:ascii="Times New Roman" w:hAnsi="Times New Roman"/>
          <w:lang w:val="lt-LT"/>
        </w:rPr>
        <w:t>Sollazon</w:t>
      </w:r>
      <w:proofErr w:type="spellEnd"/>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3.</w:t>
      </w:r>
      <w:r w:rsidRPr="00B15D3A">
        <w:rPr>
          <w:rFonts w:ascii="Times New Roman" w:hAnsi="Times New Roman"/>
          <w:lang w:val="lt-LT"/>
        </w:rPr>
        <w:tab/>
        <w:t xml:space="preserve">Kaip vartoti </w:t>
      </w:r>
      <w:proofErr w:type="spellStart"/>
      <w:r w:rsidRPr="00B15D3A">
        <w:rPr>
          <w:rFonts w:ascii="Times New Roman" w:hAnsi="Times New Roman"/>
          <w:lang w:val="lt-LT"/>
        </w:rPr>
        <w:t>Sollazon</w:t>
      </w:r>
      <w:proofErr w:type="spellEnd"/>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4.</w:t>
      </w:r>
      <w:r w:rsidRPr="00B15D3A">
        <w:rPr>
          <w:rFonts w:ascii="Times New Roman" w:hAnsi="Times New Roman"/>
          <w:lang w:val="lt-LT"/>
        </w:rPr>
        <w:tab/>
        <w:t>Galimas šalutinis poveikis</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5.</w:t>
      </w:r>
      <w:r w:rsidRPr="00B15D3A">
        <w:rPr>
          <w:rFonts w:ascii="Times New Roman" w:hAnsi="Times New Roman"/>
          <w:lang w:val="lt-LT"/>
        </w:rPr>
        <w:tab/>
        <w:t xml:space="preserve">Kaip laikyti </w:t>
      </w:r>
      <w:proofErr w:type="spellStart"/>
      <w:r w:rsidRPr="00B15D3A">
        <w:rPr>
          <w:rFonts w:ascii="Times New Roman" w:hAnsi="Times New Roman"/>
          <w:lang w:val="lt-LT"/>
        </w:rPr>
        <w:t>Sollazon</w:t>
      </w:r>
      <w:proofErr w:type="spellEnd"/>
      <w:r w:rsidRPr="00B15D3A" w:rsidDel="0032198D">
        <w:rPr>
          <w:rFonts w:ascii="Times New Roman" w:hAnsi="Times New Roman"/>
          <w:lang w:val="lt-LT"/>
        </w:rPr>
        <w:t xml:space="preserve"> </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6.</w:t>
      </w:r>
      <w:r w:rsidRPr="00B15D3A">
        <w:rPr>
          <w:rFonts w:ascii="Times New Roman" w:hAnsi="Times New Roman"/>
          <w:lang w:val="lt-LT"/>
        </w:rPr>
        <w:tab/>
        <w:t>Pakuotės turinys ir kita informacija</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tabs>
          <w:tab w:val="left" w:pos="567"/>
        </w:tabs>
        <w:spacing w:after="0" w:line="240" w:lineRule="auto"/>
        <w:rPr>
          <w:rFonts w:ascii="Times New Roman" w:hAnsi="Times New Roman"/>
          <w:b/>
          <w:lang w:val="lt-LT"/>
        </w:rPr>
      </w:pPr>
      <w:r w:rsidRPr="00B15D3A">
        <w:rPr>
          <w:rFonts w:ascii="Times New Roman" w:hAnsi="Times New Roman"/>
          <w:b/>
          <w:lang w:val="lt-LT"/>
        </w:rPr>
        <w:t>1.</w:t>
      </w:r>
      <w:r w:rsidRPr="00B15D3A">
        <w:rPr>
          <w:rFonts w:ascii="Times New Roman" w:hAnsi="Times New Roman"/>
          <w:b/>
          <w:lang w:val="lt-LT"/>
        </w:rPr>
        <w:tab/>
        <w:t xml:space="preserve">Kas yra </w:t>
      </w:r>
      <w:proofErr w:type="spellStart"/>
      <w:r w:rsidRPr="00B15D3A">
        <w:rPr>
          <w:rFonts w:ascii="Times New Roman" w:hAnsi="Times New Roman"/>
          <w:b/>
          <w:lang w:val="lt-LT"/>
        </w:rPr>
        <w:t>Sollazon</w:t>
      </w:r>
      <w:proofErr w:type="spellEnd"/>
      <w:r w:rsidRPr="00B15D3A">
        <w:rPr>
          <w:rFonts w:ascii="Times New Roman" w:hAnsi="Times New Roman"/>
          <w:lang w:val="lt-LT"/>
        </w:rPr>
        <w:t xml:space="preserve"> </w:t>
      </w:r>
      <w:r w:rsidRPr="00B15D3A">
        <w:rPr>
          <w:rFonts w:ascii="Times New Roman" w:hAnsi="Times New Roman"/>
          <w:b/>
          <w:lang w:val="lt-LT"/>
        </w:rPr>
        <w:t>ir kam jis vartojamas</w:t>
      </w:r>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Veiklioji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medžiaga (</w:t>
      </w:r>
      <w:proofErr w:type="spellStart"/>
      <w:r w:rsidRPr="00B15D3A">
        <w:rPr>
          <w:rFonts w:ascii="Times New Roman" w:hAnsi="Times New Roman"/>
          <w:lang w:val="lt-LT"/>
        </w:rPr>
        <w:t>cilostazolas</w:t>
      </w:r>
      <w:proofErr w:type="spellEnd"/>
      <w:r w:rsidRPr="00B15D3A">
        <w:rPr>
          <w:rFonts w:ascii="Times New Roman" w:hAnsi="Times New Roman"/>
          <w:lang w:val="lt-LT"/>
        </w:rPr>
        <w:t xml:space="preserve">) priklauso vaistų grupei, vadinamai </w:t>
      </w:r>
      <w:proofErr w:type="spellStart"/>
      <w:r w:rsidRPr="00B15D3A">
        <w:rPr>
          <w:rFonts w:ascii="Times New Roman" w:hAnsi="Times New Roman"/>
          <w:lang w:val="lt-LT"/>
        </w:rPr>
        <w:t>fosfodiesterazės</w:t>
      </w:r>
      <w:proofErr w:type="spellEnd"/>
      <w:r w:rsidRPr="00B15D3A">
        <w:rPr>
          <w:rFonts w:ascii="Times New Roman" w:hAnsi="Times New Roman"/>
          <w:lang w:val="lt-LT"/>
        </w:rPr>
        <w:t xml:space="preserve"> 3 tipo inhibitoriais.</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Jis sukelia kelių rūšių poveikį, įskaitant kai kurių kraujagyslių išplėtimą ir kai kurių kraujo ląstelių, vadinamų trombocitais, krešėjimo aktyvumo (sulipimo) slopinimą kraujagyslių viduje.</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i/>
          <w:strike/>
          <w:lang w:val="lt-LT"/>
        </w:rPr>
      </w:pPr>
      <w:r w:rsidRPr="00B15D3A">
        <w:rPr>
          <w:rFonts w:ascii="Times New Roman" w:hAnsi="Times New Roman"/>
          <w:lang w:val="lt-LT"/>
        </w:rPr>
        <w:t xml:space="preserve">Jums buvo paskirtas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„protarpiniam šlubumui“ gydyti. „Protarpinis šlubumas“ yra panašus į mėšlungį, skausmą kojose, vaikščiojimo metu, kurį sukelia nepakankamas Jūsų kojų aprūpinimas krauju.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gali pailginti nueitą be skausmo atstumą, kadangi jis pagerina kraujotaką Jūsų kojose.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rekomenduojamas tik pacientams, kurių simptomai pakankamai nesumažėjo pakoregavus gyvenimo būdą (pvz., metus rūkyti ir intensyviau mankštinantis) ir atlikus kitas reikiamas intervencijas. Vartojant </w:t>
      </w:r>
      <w:proofErr w:type="spellStart"/>
      <w:r w:rsidRPr="00B15D3A">
        <w:rPr>
          <w:rFonts w:ascii="Times New Roman" w:hAnsi="Times New Roman"/>
          <w:lang w:val="lt-LT"/>
        </w:rPr>
        <w:t>cilostazolą</w:t>
      </w:r>
      <w:proofErr w:type="spellEnd"/>
      <w:r w:rsidRPr="00B15D3A">
        <w:rPr>
          <w:rFonts w:ascii="Times New Roman" w:hAnsi="Times New Roman"/>
          <w:lang w:val="lt-LT"/>
        </w:rPr>
        <w:t xml:space="preserve"> svarbu toliau tęsti koreguotą gyvenimo būdą.</w:t>
      </w:r>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tabs>
          <w:tab w:val="left" w:pos="567"/>
        </w:tabs>
        <w:spacing w:after="0" w:line="240" w:lineRule="auto"/>
        <w:rPr>
          <w:rFonts w:ascii="Times New Roman" w:hAnsi="Times New Roman"/>
          <w:b/>
          <w:lang w:val="lt-LT"/>
        </w:rPr>
      </w:pPr>
      <w:r w:rsidRPr="00B15D3A">
        <w:rPr>
          <w:rFonts w:ascii="Times New Roman" w:hAnsi="Times New Roman"/>
          <w:b/>
          <w:lang w:val="lt-LT"/>
        </w:rPr>
        <w:t>2.</w:t>
      </w:r>
      <w:r w:rsidRPr="00B15D3A">
        <w:rPr>
          <w:rFonts w:ascii="Times New Roman" w:hAnsi="Times New Roman"/>
          <w:b/>
          <w:lang w:val="lt-LT"/>
        </w:rPr>
        <w:tab/>
        <w:t xml:space="preserve">Kas žinotina prieš vartojant </w:t>
      </w:r>
      <w:proofErr w:type="spellStart"/>
      <w:r w:rsidRPr="00B15D3A">
        <w:rPr>
          <w:rFonts w:ascii="Times New Roman" w:hAnsi="Times New Roman"/>
          <w:b/>
          <w:lang w:val="lt-LT"/>
        </w:rPr>
        <w:t>Sollazon</w:t>
      </w:r>
      <w:proofErr w:type="spellEnd"/>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proofErr w:type="spellStart"/>
      <w:r w:rsidRPr="00B15D3A">
        <w:rPr>
          <w:rFonts w:ascii="Times New Roman" w:hAnsi="Times New Roman"/>
          <w:b/>
          <w:lang w:val="lt-LT"/>
        </w:rPr>
        <w:t>Sollazon</w:t>
      </w:r>
      <w:proofErr w:type="spellEnd"/>
      <w:r w:rsidRPr="00B15D3A">
        <w:rPr>
          <w:rFonts w:ascii="Times New Roman" w:hAnsi="Times New Roman"/>
          <w:lang w:val="lt-LT"/>
        </w:rPr>
        <w:t xml:space="preserve"> </w:t>
      </w:r>
      <w:r w:rsidRPr="00B15D3A">
        <w:rPr>
          <w:rFonts w:ascii="Times New Roman" w:hAnsi="Times New Roman"/>
          <w:b/>
          <w:lang w:val="lt-LT"/>
        </w:rPr>
        <w:t>vartoti negalima:</w:t>
      </w:r>
    </w:p>
    <w:p w:rsidR="00C5357B" w:rsidRPr="00B15D3A" w:rsidRDefault="00C5357B" w:rsidP="00C5357B">
      <w:pPr>
        <w:numPr>
          <w:ilvl w:val="0"/>
          <w:numId w:val="8"/>
        </w:numPr>
        <w:spacing w:after="0" w:line="240" w:lineRule="auto"/>
        <w:ind w:left="567" w:hanging="567"/>
        <w:rPr>
          <w:rFonts w:ascii="Times New Roman" w:hAnsi="Times New Roman"/>
          <w:lang w:val="lt-LT"/>
        </w:rPr>
      </w:pPr>
      <w:r w:rsidRPr="00B15D3A">
        <w:rPr>
          <w:rFonts w:ascii="Times New Roman" w:hAnsi="Times New Roman"/>
          <w:lang w:val="lt-LT"/>
        </w:rPr>
        <w:t xml:space="preserve">jeigu yra alergija </w:t>
      </w:r>
      <w:proofErr w:type="spellStart"/>
      <w:r w:rsidRPr="00B15D3A">
        <w:rPr>
          <w:rFonts w:ascii="Times New Roman" w:hAnsi="Times New Roman"/>
          <w:lang w:val="lt-LT"/>
        </w:rPr>
        <w:t>cilostazolui</w:t>
      </w:r>
      <w:proofErr w:type="spellEnd"/>
      <w:r w:rsidRPr="00B15D3A">
        <w:rPr>
          <w:rFonts w:ascii="Times New Roman" w:hAnsi="Times New Roman"/>
          <w:lang w:val="lt-LT"/>
        </w:rPr>
        <w:t xml:space="preserve"> arba bet kuriai pagalbinei šio vaisto medžiagai (jos išvardytos 6 skyriuje);</w:t>
      </w:r>
    </w:p>
    <w:p w:rsidR="00C5357B" w:rsidRPr="00B15D3A" w:rsidRDefault="00C5357B" w:rsidP="00C5357B">
      <w:pPr>
        <w:numPr>
          <w:ilvl w:val="0"/>
          <w:numId w:val="1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sergate „širdies nepakankamumu“;</w:t>
      </w:r>
    </w:p>
    <w:p w:rsidR="00C5357B" w:rsidRPr="00B15D3A" w:rsidRDefault="00C5357B" w:rsidP="00C5357B">
      <w:pPr>
        <w:numPr>
          <w:ilvl w:val="0"/>
          <w:numId w:val="8"/>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ramybės metu pastoviai jaučiate skausmą krūtinėje arba anksčiau buvo ištikęs „širdies priepuolis“ ar per paskutinius šešis mėnesius Jums buvo atlikta bet kokia širdies operacija;</w:t>
      </w:r>
    </w:p>
    <w:p w:rsidR="00C5357B" w:rsidRPr="00B15D3A" w:rsidRDefault="00C5357B" w:rsidP="00C5357B">
      <w:pPr>
        <w:numPr>
          <w:ilvl w:val="0"/>
          <w:numId w:val="8"/>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Jums dabar ar anksčiau pritemdavo sąmonė dėl širdies ligos ar pasireikšdavo bet koks sunkus širdies plakimo sutrikimas;</w:t>
      </w:r>
    </w:p>
    <w:p w:rsidR="00C5357B" w:rsidRPr="00B15D3A" w:rsidRDefault="00C5357B" w:rsidP="00C5357B">
      <w:pPr>
        <w:numPr>
          <w:ilvl w:val="0"/>
          <w:numId w:val="8"/>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žinote, kad Jums yra būsenų, dėl kurių padidėja kraujavimo ar kraujosruvų rizika, tokių, kaip:</w:t>
      </w:r>
    </w:p>
    <w:p w:rsidR="00C5357B" w:rsidRPr="00B15D3A" w:rsidRDefault="00C5357B" w:rsidP="00C5357B">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aktyvi skrandžio opa (-</w:t>
      </w:r>
      <w:proofErr w:type="spellStart"/>
      <w:r w:rsidRPr="00B15D3A">
        <w:rPr>
          <w:rFonts w:ascii="Times New Roman" w:hAnsi="Times New Roman"/>
          <w:lang w:val="lt-LT"/>
        </w:rPr>
        <w:t>os</w:t>
      </w:r>
      <w:proofErr w:type="spellEnd"/>
      <w:r w:rsidRPr="00B15D3A">
        <w:rPr>
          <w:rFonts w:ascii="Times New Roman" w:hAnsi="Times New Roman"/>
          <w:lang w:val="lt-LT"/>
        </w:rPr>
        <w:t>);</w:t>
      </w:r>
    </w:p>
    <w:p w:rsidR="00C5357B" w:rsidRPr="00B15D3A" w:rsidRDefault="00C5357B" w:rsidP="00C5357B">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insultas per paskutinius šešis mėnesius;</w:t>
      </w:r>
    </w:p>
    <w:p w:rsidR="00C5357B" w:rsidRPr="00B15D3A" w:rsidRDefault="00C5357B" w:rsidP="00C5357B">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akių sutrikimai, jeigu sergate cukriniu diabetu;</w:t>
      </w:r>
    </w:p>
    <w:p w:rsidR="00C5357B" w:rsidRPr="00B15D3A" w:rsidRDefault="00C5357B" w:rsidP="00C5357B">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nepakankamai gerai reguliuojamas kraujo spaudimas;</w:t>
      </w:r>
    </w:p>
    <w:p w:rsidR="00C5357B" w:rsidRPr="00B15D3A" w:rsidRDefault="00C5357B" w:rsidP="00C5357B">
      <w:pPr>
        <w:numPr>
          <w:ilvl w:val="0"/>
          <w:numId w:val="9"/>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lastRenderedPageBreak/>
        <w:t xml:space="preserve">jeigu kartu vartojate </w:t>
      </w:r>
      <w:proofErr w:type="spellStart"/>
      <w:r w:rsidRPr="00B15D3A">
        <w:rPr>
          <w:rFonts w:ascii="Times New Roman" w:hAnsi="Times New Roman"/>
          <w:lang w:val="lt-LT"/>
        </w:rPr>
        <w:t>acetilsalicilo</w:t>
      </w:r>
      <w:proofErr w:type="spellEnd"/>
      <w:r w:rsidRPr="00B15D3A">
        <w:rPr>
          <w:rFonts w:ascii="Times New Roman" w:hAnsi="Times New Roman"/>
          <w:lang w:val="lt-LT"/>
        </w:rPr>
        <w:t xml:space="preserve"> rūgšties ir </w:t>
      </w:r>
      <w:proofErr w:type="spellStart"/>
      <w:r w:rsidRPr="00B15D3A">
        <w:rPr>
          <w:rFonts w:ascii="Times New Roman" w:hAnsi="Times New Roman"/>
          <w:lang w:val="lt-LT"/>
        </w:rPr>
        <w:t>klopidogrelio</w:t>
      </w:r>
      <w:proofErr w:type="spellEnd"/>
      <w:r w:rsidRPr="00B15D3A">
        <w:rPr>
          <w:rFonts w:ascii="Times New Roman" w:hAnsi="Times New Roman"/>
          <w:lang w:val="lt-LT"/>
        </w:rPr>
        <w:t xml:space="preserve"> arba bet kokį kitą dviejų ar daugiau vaistinių preparatų derinį, galintį padidinti kraujavimo riziką (jeigu abejojate, pasitarkite su gydytoju arba vaistininku);</w:t>
      </w:r>
    </w:p>
    <w:p w:rsidR="00C5357B" w:rsidRPr="00B15D3A" w:rsidRDefault="00C5357B" w:rsidP="00C5357B">
      <w:pPr>
        <w:numPr>
          <w:ilvl w:val="0"/>
          <w:numId w:val="9"/>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sergate sunkia inkstų liga arba vidutinio sunkumo ar sunkia kepenų liga;</w:t>
      </w:r>
    </w:p>
    <w:p w:rsidR="00C5357B" w:rsidRPr="00B15D3A" w:rsidRDefault="00C5357B" w:rsidP="00C5357B">
      <w:pPr>
        <w:numPr>
          <w:ilvl w:val="0"/>
          <w:numId w:val="9"/>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esate nėščia.</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Įspėjimai ir atsargumo priemonės</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 xml:space="preserve">Pasitarkite su gydytoju arba vaistininku, prieš pradėdami vartoti </w:t>
      </w:r>
      <w:proofErr w:type="spellStart"/>
      <w:r w:rsidRPr="00B15D3A">
        <w:rPr>
          <w:rFonts w:ascii="Times New Roman" w:hAnsi="Times New Roman"/>
          <w:lang w:val="lt-LT"/>
        </w:rPr>
        <w:t>Sollazon</w:t>
      </w:r>
      <w:proofErr w:type="spellEnd"/>
      <w:r w:rsidRPr="00B15D3A">
        <w:rPr>
          <w:rFonts w:ascii="Times New Roman" w:hAnsi="Times New Roman"/>
          <w:lang w:val="lt-LT"/>
        </w:rPr>
        <w:t>:</w:t>
      </w:r>
    </w:p>
    <w:p w:rsidR="00C5357B" w:rsidRPr="00B15D3A" w:rsidRDefault="00C5357B" w:rsidP="00C5357B">
      <w:pPr>
        <w:numPr>
          <w:ilvl w:val="0"/>
          <w:numId w:val="10"/>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yra sunki širdies liga arba bet koks širdies plakimo sutrikimas;</w:t>
      </w:r>
    </w:p>
    <w:p w:rsidR="00C5357B" w:rsidRPr="00B15D3A" w:rsidRDefault="00C5357B" w:rsidP="00C5357B">
      <w:pPr>
        <w:numPr>
          <w:ilvl w:val="0"/>
          <w:numId w:val="10"/>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yra problemų su Jūsų kraujo spaudimu.</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Gydymo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metu nepamirškite, kad:</w:t>
      </w:r>
    </w:p>
    <w:p w:rsidR="00C5357B" w:rsidRPr="00B15D3A" w:rsidRDefault="00C5357B" w:rsidP="00C5357B">
      <w:pPr>
        <w:numPr>
          <w:ilvl w:val="0"/>
          <w:numId w:val="11"/>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jeigu Jums reikia atlikti operaciją, įskaitant danties traukimą, gydytojui arba odontologui turite pasakyti, jog vartojate </w:t>
      </w:r>
      <w:proofErr w:type="spellStart"/>
      <w:r w:rsidRPr="00B15D3A">
        <w:rPr>
          <w:rFonts w:ascii="Times New Roman" w:hAnsi="Times New Roman"/>
          <w:lang w:val="lt-LT"/>
        </w:rPr>
        <w:t>Sollazon</w:t>
      </w:r>
      <w:proofErr w:type="spellEnd"/>
      <w:r w:rsidRPr="00B15D3A">
        <w:rPr>
          <w:rFonts w:ascii="Times New Roman" w:hAnsi="Times New Roman"/>
          <w:lang w:val="lt-LT"/>
        </w:rPr>
        <w:t>;</w:t>
      </w:r>
    </w:p>
    <w:p w:rsidR="00C5357B" w:rsidRPr="00B15D3A" w:rsidRDefault="00C5357B" w:rsidP="00C5357B">
      <w:pPr>
        <w:numPr>
          <w:ilvl w:val="0"/>
          <w:numId w:val="11"/>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atsiradus nedidelėms kraujosruvoms ar kraujavimui, turite nutraukti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vartojimą ir kreiptis į gydytoją.</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Vaikams ir paaugliams</w:t>
      </w:r>
    </w:p>
    <w:p w:rsidR="00C5357B" w:rsidRPr="00B15D3A" w:rsidRDefault="00C5357B" w:rsidP="00C5357B">
      <w:pPr>
        <w:spacing w:after="0" w:line="240" w:lineRule="auto"/>
        <w:rPr>
          <w:rFonts w:ascii="Times New Roman" w:hAnsi="Times New Roman"/>
          <w:lang w:val="lt-LT"/>
        </w:rPr>
      </w:pP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vaikams yra netinkamas.</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 xml:space="preserve">Kiti vaistai ir </w:t>
      </w:r>
      <w:proofErr w:type="spellStart"/>
      <w:r w:rsidRPr="00B15D3A">
        <w:rPr>
          <w:rFonts w:ascii="Times New Roman" w:hAnsi="Times New Roman"/>
          <w:b/>
          <w:lang w:val="lt-LT"/>
        </w:rPr>
        <w:t>Sollazon</w:t>
      </w:r>
      <w:proofErr w:type="spellEnd"/>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Jeigu vartojate ar neseniai vartojote kitų vaistų arba dėl to nesate tikri, apie tai pasakykite gydytojui arba vaistininkui.</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Jūs turite specialiai informuoti gydytoją, jeigu vartojate kai kurių vaistų, paprastai vartojamų raumenų arba sąnarių skausmingoms ir (arba) uždegiminėms būklėms gydyti, arba jeigu vartojate vaistų kraujo krešėjimui slopinti. Šiems vaistams priklauso:</w:t>
      </w:r>
    </w:p>
    <w:p w:rsidR="00C5357B" w:rsidRPr="00B15D3A" w:rsidRDefault="00C5357B" w:rsidP="00C5357B">
      <w:pPr>
        <w:numPr>
          <w:ilvl w:val="0"/>
          <w:numId w:val="12"/>
        </w:numPr>
        <w:tabs>
          <w:tab w:val="left" w:pos="567"/>
        </w:tabs>
        <w:autoSpaceDE w:val="0"/>
        <w:autoSpaceDN w:val="0"/>
        <w:adjustRightInd w:val="0"/>
        <w:spacing w:after="0" w:line="240" w:lineRule="auto"/>
        <w:rPr>
          <w:rFonts w:ascii="Times New Roman" w:hAnsi="Times New Roman"/>
          <w:lang w:val="lt-LT"/>
        </w:rPr>
      </w:pPr>
      <w:proofErr w:type="spellStart"/>
      <w:r w:rsidRPr="00B15D3A">
        <w:rPr>
          <w:rFonts w:ascii="Times New Roman" w:hAnsi="Times New Roman"/>
          <w:lang w:val="lt-LT"/>
        </w:rPr>
        <w:t>acetilsalicilo</w:t>
      </w:r>
      <w:proofErr w:type="spellEnd"/>
      <w:r w:rsidRPr="00B15D3A">
        <w:rPr>
          <w:rFonts w:ascii="Times New Roman" w:hAnsi="Times New Roman"/>
          <w:lang w:val="lt-LT"/>
        </w:rPr>
        <w:t xml:space="preserve"> rūgštis;</w:t>
      </w:r>
    </w:p>
    <w:p w:rsidR="00C5357B" w:rsidRPr="00B15D3A" w:rsidRDefault="00C5357B" w:rsidP="00C5357B">
      <w:pPr>
        <w:numPr>
          <w:ilvl w:val="0"/>
          <w:numId w:val="12"/>
        </w:numPr>
        <w:tabs>
          <w:tab w:val="left" w:pos="567"/>
        </w:tabs>
        <w:autoSpaceDE w:val="0"/>
        <w:autoSpaceDN w:val="0"/>
        <w:adjustRightInd w:val="0"/>
        <w:spacing w:after="0" w:line="240" w:lineRule="auto"/>
        <w:rPr>
          <w:rFonts w:ascii="Times New Roman" w:hAnsi="Times New Roman"/>
          <w:lang w:val="lt-LT"/>
        </w:rPr>
      </w:pPr>
      <w:proofErr w:type="spellStart"/>
      <w:r w:rsidRPr="00B15D3A">
        <w:rPr>
          <w:rFonts w:ascii="Times New Roman" w:hAnsi="Times New Roman"/>
          <w:lang w:val="lt-LT"/>
        </w:rPr>
        <w:t>klopidogrelis</w:t>
      </w:r>
      <w:proofErr w:type="spellEnd"/>
      <w:r w:rsidRPr="00B15D3A">
        <w:rPr>
          <w:rFonts w:ascii="Times New Roman" w:hAnsi="Times New Roman"/>
          <w:lang w:val="lt-LT"/>
        </w:rPr>
        <w:t>;</w:t>
      </w:r>
    </w:p>
    <w:p w:rsidR="00C5357B" w:rsidRPr="00B15D3A" w:rsidRDefault="00C5357B" w:rsidP="00C5357B">
      <w:pPr>
        <w:numPr>
          <w:ilvl w:val="0"/>
          <w:numId w:val="12"/>
        </w:numPr>
        <w:tabs>
          <w:tab w:val="left" w:pos="567"/>
        </w:tabs>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antikoaguliantai (pvz., </w:t>
      </w:r>
      <w:proofErr w:type="spellStart"/>
      <w:r w:rsidRPr="00B15D3A">
        <w:rPr>
          <w:rFonts w:ascii="Times New Roman" w:hAnsi="Times New Roman"/>
          <w:lang w:val="lt-LT"/>
        </w:rPr>
        <w:t>varfarinas</w:t>
      </w:r>
      <w:proofErr w:type="spellEnd"/>
      <w:r w:rsidRPr="00B15D3A">
        <w:rPr>
          <w:rFonts w:ascii="Times New Roman" w:hAnsi="Times New Roman"/>
          <w:lang w:val="lt-LT"/>
        </w:rPr>
        <w:t xml:space="preserve">, </w:t>
      </w:r>
      <w:proofErr w:type="spellStart"/>
      <w:r w:rsidRPr="00B15D3A">
        <w:rPr>
          <w:rFonts w:ascii="Times New Roman" w:hAnsi="Times New Roman"/>
          <w:lang w:val="lt-LT"/>
        </w:rPr>
        <w:t>dabigatranas</w:t>
      </w:r>
      <w:proofErr w:type="spellEnd"/>
      <w:r w:rsidRPr="00B15D3A">
        <w:rPr>
          <w:rFonts w:ascii="Times New Roman" w:hAnsi="Times New Roman"/>
          <w:lang w:val="lt-LT"/>
        </w:rPr>
        <w:t xml:space="preserve">, </w:t>
      </w:r>
      <w:proofErr w:type="spellStart"/>
      <w:r w:rsidRPr="00B15D3A">
        <w:rPr>
          <w:rFonts w:ascii="Times New Roman" w:hAnsi="Times New Roman"/>
          <w:lang w:val="lt-LT"/>
        </w:rPr>
        <w:t>rivaroksabanas</w:t>
      </w:r>
      <w:proofErr w:type="spellEnd"/>
      <w:r w:rsidRPr="00B15D3A">
        <w:rPr>
          <w:rFonts w:ascii="Times New Roman" w:hAnsi="Times New Roman"/>
          <w:lang w:val="lt-LT"/>
        </w:rPr>
        <w:t xml:space="preserve">, </w:t>
      </w:r>
      <w:proofErr w:type="spellStart"/>
      <w:r w:rsidRPr="00B15D3A">
        <w:rPr>
          <w:rFonts w:ascii="Times New Roman" w:hAnsi="Times New Roman"/>
          <w:lang w:val="lt-LT"/>
        </w:rPr>
        <w:t>apiksabanas</w:t>
      </w:r>
      <w:proofErr w:type="spellEnd"/>
      <w:r w:rsidRPr="00B15D3A">
        <w:rPr>
          <w:rFonts w:ascii="Times New Roman" w:hAnsi="Times New Roman"/>
          <w:lang w:val="lt-LT"/>
        </w:rPr>
        <w:t xml:space="preserve"> ar mažos molekulinės masės heparinai).</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vartojate šių vaistinių preparatų kartu su </w:t>
      </w:r>
      <w:proofErr w:type="spellStart"/>
      <w:r w:rsidRPr="00B15D3A">
        <w:rPr>
          <w:rFonts w:ascii="Times New Roman" w:hAnsi="Times New Roman"/>
          <w:lang w:val="lt-LT"/>
        </w:rPr>
        <w:t>Sollazon</w:t>
      </w:r>
      <w:proofErr w:type="spellEnd"/>
      <w:r w:rsidRPr="00B15D3A">
        <w:rPr>
          <w:rFonts w:ascii="Times New Roman" w:hAnsi="Times New Roman"/>
          <w:lang w:val="lt-LT"/>
        </w:rPr>
        <w:t>, Jūsų gydytojas gali atlikti kai kuriuos įprastus kraujo tyrimus.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Kai kurie kartu vartojami vaistai gali daryti įtaką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Jie gali arba stiprinti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šalutinį poveikį, arba mažinti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veiksmingumą.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gali taip pat gali daryti įtaką kitiems vaistiniams preparatams. Prieš pradedant vartoti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pasakykite gydytojui, jeigu vartojate:</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eritromicino</w:t>
      </w:r>
      <w:proofErr w:type="spellEnd"/>
      <w:r w:rsidRPr="00B15D3A">
        <w:rPr>
          <w:rFonts w:ascii="Times New Roman" w:hAnsi="Times New Roman"/>
          <w:lang w:val="lt-LT"/>
        </w:rPr>
        <w:t xml:space="preserve">, </w:t>
      </w:r>
      <w:proofErr w:type="spellStart"/>
      <w:r w:rsidRPr="00B15D3A">
        <w:rPr>
          <w:rFonts w:ascii="Times New Roman" w:hAnsi="Times New Roman"/>
          <w:lang w:val="lt-LT"/>
        </w:rPr>
        <w:t>klaritromicino</w:t>
      </w:r>
      <w:proofErr w:type="spellEnd"/>
      <w:r w:rsidRPr="00B15D3A">
        <w:rPr>
          <w:rFonts w:ascii="Times New Roman" w:hAnsi="Times New Roman"/>
          <w:lang w:val="lt-LT"/>
        </w:rPr>
        <w:t xml:space="preserve"> arba </w:t>
      </w:r>
      <w:proofErr w:type="spellStart"/>
      <w:r w:rsidRPr="00B15D3A">
        <w:rPr>
          <w:rFonts w:ascii="Times New Roman" w:hAnsi="Times New Roman"/>
          <w:lang w:val="lt-LT"/>
        </w:rPr>
        <w:t>rifampicino</w:t>
      </w:r>
      <w:proofErr w:type="spellEnd"/>
      <w:r w:rsidRPr="00B15D3A">
        <w:rPr>
          <w:rFonts w:ascii="Times New Roman" w:hAnsi="Times New Roman"/>
          <w:lang w:val="lt-LT"/>
        </w:rPr>
        <w:t xml:space="preserve"> (antibiotikų);</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ketokonazolo</w:t>
      </w:r>
      <w:proofErr w:type="spellEnd"/>
      <w:r w:rsidRPr="00B15D3A">
        <w:rPr>
          <w:rFonts w:ascii="Times New Roman" w:hAnsi="Times New Roman"/>
          <w:lang w:val="lt-LT"/>
        </w:rPr>
        <w:t xml:space="preserve"> (grybelinėms infekcijoms gydyti);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omeprazolo</w:t>
      </w:r>
      <w:proofErr w:type="spellEnd"/>
      <w:r w:rsidRPr="00B15D3A">
        <w:rPr>
          <w:rFonts w:ascii="Times New Roman" w:hAnsi="Times New Roman"/>
          <w:lang w:val="lt-LT"/>
        </w:rPr>
        <w:t xml:space="preserve"> (skrandyje rūgšties pertekliui sumažinti);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diltiazemo</w:t>
      </w:r>
      <w:proofErr w:type="spellEnd"/>
      <w:r w:rsidRPr="00B15D3A">
        <w:rPr>
          <w:rFonts w:ascii="Times New Roman" w:hAnsi="Times New Roman"/>
          <w:lang w:val="lt-LT"/>
        </w:rPr>
        <w:t xml:space="preserve"> (padidėjusiam kraujospūdžiui arba krūtinės skausmui mažinti);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cisaprido</w:t>
      </w:r>
      <w:proofErr w:type="spellEnd"/>
      <w:r w:rsidRPr="00B15D3A">
        <w:rPr>
          <w:rFonts w:ascii="Times New Roman" w:hAnsi="Times New Roman"/>
          <w:lang w:val="lt-LT"/>
        </w:rPr>
        <w:t xml:space="preserve"> (skrandžio sutrikimams gydyti);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lovastatino</w:t>
      </w:r>
      <w:proofErr w:type="spellEnd"/>
      <w:r w:rsidRPr="00B15D3A">
        <w:rPr>
          <w:rFonts w:ascii="Times New Roman" w:hAnsi="Times New Roman"/>
          <w:lang w:val="lt-LT"/>
        </w:rPr>
        <w:t xml:space="preserve">, </w:t>
      </w:r>
      <w:proofErr w:type="spellStart"/>
      <w:r w:rsidRPr="00B15D3A">
        <w:rPr>
          <w:rFonts w:ascii="Times New Roman" w:hAnsi="Times New Roman"/>
          <w:lang w:val="lt-LT"/>
        </w:rPr>
        <w:t>simvastatino</w:t>
      </w:r>
      <w:proofErr w:type="spellEnd"/>
      <w:r w:rsidRPr="00B15D3A">
        <w:rPr>
          <w:rFonts w:ascii="Times New Roman" w:hAnsi="Times New Roman"/>
          <w:lang w:val="lt-LT"/>
        </w:rPr>
        <w:t xml:space="preserve"> arba </w:t>
      </w:r>
      <w:proofErr w:type="spellStart"/>
      <w:r w:rsidRPr="00B15D3A">
        <w:rPr>
          <w:rFonts w:ascii="Times New Roman" w:hAnsi="Times New Roman"/>
          <w:lang w:val="lt-LT"/>
        </w:rPr>
        <w:t>atorvastatino</w:t>
      </w:r>
      <w:proofErr w:type="spellEnd"/>
      <w:r w:rsidRPr="00B15D3A">
        <w:rPr>
          <w:rFonts w:ascii="Times New Roman" w:hAnsi="Times New Roman"/>
          <w:lang w:val="lt-LT"/>
        </w:rPr>
        <w:t xml:space="preserve"> (dideliam cholesterolio kiekiui kraujyje mažinti);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halofantrino</w:t>
      </w:r>
      <w:proofErr w:type="spellEnd"/>
      <w:r w:rsidRPr="00B15D3A">
        <w:rPr>
          <w:rFonts w:ascii="Times New Roman" w:hAnsi="Times New Roman"/>
          <w:lang w:val="lt-LT"/>
        </w:rPr>
        <w:t xml:space="preserve"> (maliarijai gydyti);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pimozido</w:t>
      </w:r>
      <w:proofErr w:type="spellEnd"/>
      <w:r w:rsidRPr="00B15D3A">
        <w:rPr>
          <w:rFonts w:ascii="Times New Roman" w:hAnsi="Times New Roman"/>
          <w:lang w:val="lt-LT"/>
        </w:rPr>
        <w:t xml:space="preserve"> (psichikos sutrikimams gydyti);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skalsių darinių (migrenai gydyti, pvz., </w:t>
      </w:r>
      <w:proofErr w:type="spellStart"/>
      <w:r w:rsidRPr="00B15D3A">
        <w:rPr>
          <w:rFonts w:ascii="Times New Roman" w:hAnsi="Times New Roman"/>
          <w:lang w:val="lt-LT"/>
        </w:rPr>
        <w:t>ergotamino</w:t>
      </w:r>
      <w:proofErr w:type="spellEnd"/>
      <w:r w:rsidRPr="00B15D3A">
        <w:rPr>
          <w:rFonts w:ascii="Times New Roman" w:hAnsi="Times New Roman"/>
          <w:lang w:val="lt-LT"/>
        </w:rPr>
        <w:t xml:space="preserve">, </w:t>
      </w:r>
      <w:proofErr w:type="spellStart"/>
      <w:r w:rsidRPr="00B15D3A">
        <w:rPr>
          <w:rFonts w:ascii="Times New Roman" w:hAnsi="Times New Roman"/>
          <w:lang w:val="lt-LT"/>
        </w:rPr>
        <w:t>dihidroergotamino</w:t>
      </w:r>
      <w:proofErr w:type="spellEnd"/>
      <w:r w:rsidRPr="00B15D3A">
        <w:rPr>
          <w:rFonts w:ascii="Times New Roman" w:hAnsi="Times New Roman"/>
          <w:lang w:val="lt-LT"/>
        </w:rPr>
        <w:t>);</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karbamazepino</w:t>
      </w:r>
      <w:proofErr w:type="spellEnd"/>
      <w:r w:rsidRPr="00B15D3A">
        <w:rPr>
          <w:rFonts w:ascii="Times New Roman" w:hAnsi="Times New Roman"/>
          <w:lang w:val="lt-LT"/>
        </w:rPr>
        <w:t xml:space="preserve"> arba </w:t>
      </w:r>
      <w:proofErr w:type="spellStart"/>
      <w:r w:rsidRPr="00B15D3A">
        <w:rPr>
          <w:rFonts w:ascii="Times New Roman" w:hAnsi="Times New Roman"/>
          <w:lang w:val="lt-LT"/>
        </w:rPr>
        <w:t>fenitoino</w:t>
      </w:r>
      <w:proofErr w:type="spellEnd"/>
      <w:r w:rsidRPr="00B15D3A">
        <w:rPr>
          <w:rFonts w:ascii="Times New Roman" w:hAnsi="Times New Roman"/>
          <w:lang w:val="lt-LT"/>
        </w:rPr>
        <w:t xml:space="preserve"> (traukuliams gydyti);</w:t>
      </w:r>
    </w:p>
    <w:p w:rsidR="00C5357B" w:rsidRPr="00B15D3A" w:rsidRDefault="00C5357B" w:rsidP="00C5357B">
      <w:pPr>
        <w:numPr>
          <w:ilvl w:val="0"/>
          <w:numId w:val="13"/>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jonažolės </w:t>
      </w:r>
      <w:r>
        <w:rPr>
          <w:rFonts w:ascii="Times New Roman" w:hAnsi="Times New Roman"/>
          <w:lang w:val="lt-LT"/>
        </w:rPr>
        <w:t xml:space="preserve">preparatų </w:t>
      </w:r>
      <w:r w:rsidRPr="00B15D3A">
        <w:rPr>
          <w:rFonts w:ascii="Times New Roman" w:hAnsi="Times New Roman"/>
          <w:lang w:val="lt-LT"/>
        </w:rPr>
        <w:t>(vaistažolių preparato).</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abejojate, ar tai tinka Jūsų vartojamiems vaistams, kreipkitės į gydytoją arba vaistininką.</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Prieš vartojant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pasakykite gydytojui, jeigu vartojate vaistų nuo per didelio kraujo spaudimo, kadangi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gali sukelti papildomą kraujospūdį mažinantį poveikį. Per stiprus Jūsų kraujospūdžio sumažėjimas gali sukelti širdies plakimo padažnėjimą. Šiems vaistams priklauso:</w:t>
      </w:r>
    </w:p>
    <w:p w:rsidR="00C5357B" w:rsidRPr="00B15D3A" w:rsidRDefault="00C5357B" w:rsidP="00C5357B">
      <w:pPr>
        <w:numPr>
          <w:ilvl w:val="0"/>
          <w:numId w:val="1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diuretikai (pvz., </w:t>
      </w:r>
      <w:proofErr w:type="spellStart"/>
      <w:r w:rsidRPr="00B15D3A">
        <w:rPr>
          <w:rFonts w:ascii="Times New Roman" w:hAnsi="Times New Roman"/>
          <w:lang w:val="lt-LT"/>
        </w:rPr>
        <w:t>hidrochlortiazidas</w:t>
      </w:r>
      <w:proofErr w:type="spellEnd"/>
      <w:r w:rsidRPr="00B15D3A">
        <w:rPr>
          <w:rFonts w:ascii="Times New Roman" w:hAnsi="Times New Roman"/>
          <w:lang w:val="lt-LT"/>
        </w:rPr>
        <w:t xml:space="preserve">, </w:t>
      </w:r>
      <w:proofErr w:type="spellStart"/>
      <w:r w:rsidRPr="00B15D3A">
        <w:rPr>
          <w:rFonts w:ascii="Times New Roman" w:hAnsi="Times New Roman"/>
          <w:lang w:val="lt-LT"/>
        </w:rPr>
        <w:t>furozemidas</w:t>
      </w:r>
      <w:proofErr w:type="spellEnd"/>
      <w:r w:rsidRPr="00B15D3A">
        <w:rPr>
          <w:rFonts w:ascii="Times New Roman" w:hAnsi="Times New Roman"/>
          <w:lang w:val="lt-LT"/>
        </w:rPr>
        <w:t>);</w:t>
      </w:r>
    </w:p>
    <w:p w:rsidR="00C5357B" w:rsidRPr="00B15D3A" w:rsidRDefault="00C5357B" w:rsidP="00C5357B">
      <w:pPr>
        <w:numPr>
          <w:ilvl w:val="0"/>
          <w:numId w:val="1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lastRenderedPageBreak/>
        <w:t xml:space="preserve">kalcio kanalų blokatoriai (pvz., </w:t>
      </w:r>
      <w:proofErr w:type="spellStart"/>
      <w:r w:rsidRPr="00B15D3A">
        <w:rPr>
          <w:rFonts w:ascii="Times New Roman" w:hAnsi="Times New Roman"/>
          <w:lang w:val="lt-LT"/>
        </w:rPr>
        <w:t>verapamilis</w:t>
      </w:r>
      <w:proofErr w:type="spellEnd"/>
      <w:r w:rsidRPr="00B15D3A">
        <w:rPr>
          <w:rFonts w:ascii="Times New Roman" w:hAnsi="Times New Roman"/>
          <w:lang w:val="lt-LT"/>
        </w:rPr>
        <w:t xml:space="preserve">, </w:t>
      </w:r>
      <w:proofErr w:type="spellStart"/>
      <w:r w:rsidRPr="00B15D3A">
        <w:rPr>
          <w:rFonts w:ascii="Times New Roman" w:hAnsi="Times New Roman"/>
          <w:lang w:val="lt-LT"/>
        </w:rPr>
        <w:t>amlodipinas</w:t>
      </w:r>
      <w:proofErr w:type="spellEnd"/>
      <w:r w:rsidRPr="00B15D3A">
        <w:rPr>
          <w:rFonts w:ascii="Times New Roman" w:hAnsi="Times New Roman"/>
          <w:lang w:val="lt-LT"/>
        </w:rPr>
        <w:t>);</w:t>
      </w:r>
    </w:p>
    <w:p w:rsidR="00C5357B" w:rsidRPr="00B15D3A" w:rsidRDefault="00C5357B" w:rsidP="00C5357B">
      <w:pPr>
        <w:numPr>
          <w:ilvl w:val="0"/>
          <w:numId w:val="1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AKF inhibitoriai (pvz., </w:t>
      </w:r>
      <w:proofErr w:type="spellStart"/>
      <w:r w:rsidRPr="00B15D3A">
        <w:rPr>
          <w:rFonts w:ascii="Times New Roman" w:hAnsi="Times New Roman"/>
          <w:lang w:val="lt-LT"/>
        </w:rPr>
        <w:t>kaptoprilis</w:t>
      </w:r>
      <w:proofErr w:type="spellEnd"/>
      <w:r w:rsidRPr="00B15D3A">
        <w:rPr>
          <w:rFonts w:ascii="Times New Roman" w:hAnsi="Times New Roman"/>
          <w:lang w:val="lt-LT"/>
        </w:rPr>
        <w:t xml:space="preserve">, </w:t>
      </w:r>
      <w:proofErr w:type="spellStart"/>
      <w:r w:rsidRPr="00B15D3A">
        <w:rPr>
          <w:rFonts w:ascii="Times New Roman" w:hAnsi="Times New Roman"/>
          <w:lang w:val="lt-LT"/>
        </w:rPr>
        <w:t>lizinoprilis</w:t>
      </w:r>
      <w:proofErr w:type="spellEnd"/>
      <w:r w:rsidRPr="00B15D3A">
        <w:rPr>
          <w:rFonts w:ascii="Times New Roman" w:hAnsi="Times New Roman"/>
          <w:lang w:val="lt-LT"/>
        </w:rPr>
        <w:t>);</w:t>
      </w:r>
    </w:p>
    <w:p w:rsidR="00C5357B" w:rsidRPr="00B15D3A" w:rsidRDefault="00C5357B" w:rsidP="00C5357B">
      <w:pPr>
        <w:numPr>
          <w:ilvl w:val="0"/>
          <w:numId w:val="14"/>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angiotenzino</w:t>
      </w:r>
      <w:proofErr w:type="spellEnd"/>
      <w:r w:rsidRPr="00B15D3A">
        <w:rPr>
          <w:rFonts w:ascii="Times New Roman" w:hAnsi="Times New Roman"/>
          <w:lang w:val="lt-LT"/>
        </w:rPr>
        <w:t xml:space="preserve"> II receptorių blokatoriai (pvz., </w:t>
      </w:r>
      <w:proofErr w:type="spellStart"/>
      <w:r w:rsidRPr="00B15D3A">
        <w:rPr>
          <w:rFonts w:ascii="Times New Roman" w:hAnsi="Times New Roman"/>
          <w:lang w:val="lt-LT"/>
        </w:rPr>
        <w:t>valsartanas</w:t>
      </w:r>
      <w:proofErr w:type="spellEnd"/>
      <w:r w:rsidRPr="00B15D3A">
        <w:rPr>
          <w:rFonts w:ascii="Times New Roman" w:hAnsi="Times New Roman"/>
          <w:lang w:val="lt-LT"/>
        </w:rPr>
        <w:t xml:space="preserve">, </w:t>
      </w:r>
      <w:proofErr w:type="spellStart"/>
      <w:r w:rsidRPr="00B15D3A">
        <w:rPr>
          <w:rFonts w:ascii="Times New Roman" w:hAnsi="Times New Roman"/>
          <w:lang w:val="lt-LT"/>
        </w:rPr>
        <w:t>kandesartanas</w:t>
      </w:r>
      <w:proofErr w:type="spellEnd"/>
      <w:r w:rsidRPr="00B15D3A">
        <w:rPr>
          <w:rFonts w:ascii="Times New Roman" w:hAnsi="Times New Roman"/>
          <w:lang w:val="lt-LT"/>
        </w:rPr>
        <w:t>);</w:t>
      </w:r>
    </w:p>
    <w:p w:rsidR="00C5357B" w:rsidRPr="00B15D3A" w:rsidRDefault="00C5357B" w:rsidP="00C5357B">
      <w:pPr>
        <w:numPr>
          <w:ilvl w:val="0"/>
          <w:numId w:val="1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beta </w:t>
      </w:r>
      <w:proofErr w:type="spellStart"/>
      <w:r w:rsidRPr="00B15D3A">
        <w:rPr>
          <w:rFonts w:ascii="Times New Roman" w:hAnsi="Times New Roman"/>
          <w:lang w:val="lt-LT"/>
        </w:rPr>
        <w:t>adrenoreceptorių</w:t>
      </w:r>
      <w:proofErr w:type="spellEnd"/>
      <w:r w:rsidRPr="00B15D3A">
        <w:rPr>
          <w:rFonts w:ascii="Times New Roman" w:hAnsi="Times New Roman"/>
          <w:lang w:val="lt-LT"/>
        </w:rPr>
        <w:t xml:space="preserve"> blokatoriai (pvz., </w:t>
      </w:r>
      <w:proofErr w:type="spellStart"/>
      <w:r w:rsidRPr="00B15D3A">
        <w:rPr>
          <w:rFonts w:ascii="Times New Roman" w:hAnsi="Times New Roman"/>
          <w:lang w:val="lt-LT"/>
        </w:rPr>
        <w:t>labetalolis</w:t>
      </w:r>
      <w:proofErr w:type="spellEnd"/>
      <w:r w:rsidRPr="00B15D3A">
        <w:rPr>
          <w:rFonts w:ascii="Times New Roman" w:hAnsi="Times New Roman"/>
          <w:lang w:val="lt-LT"/>
        </w:rPr>
        <w:t xml:space="preserve">, </w:t>
      </w:r>
      <w:proofErr w:type="spellStart"/>
      <w:r w:rsidRPr="00B15D3A">
        <w:rPr>
          <w:rFonts w:ascii="Times New Roman" w:hAnsi="Times New Roman"/>
          <w:lang w:val="lt-LT"/>
        </w:rPr>
        <w:t>karvedilolis</w:t>
      </w:r>
      <w:proofErr w:type="spellEnd"/>
      <w:r w:rsidRPr="00B15D3A">
        <w:rPr>
          <w:rFonts w:ascii="Times New Roman" w:hAnsi="Times New Roman"/>
          <w:lang w:val="lt-LT"/>
        </w:rPr>
        <w:t>).</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Galbūt Jūs ir galite vartoti minėtų vaistų kartu su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ir Jūsų gydytojas galės nuspręsti, kas Jums tinka.</w:t>
      </w:r>
    </w:p>
    <w:p w:rsidR="00C5357B" w:rsidRPr="00B15D3A" w:rsidRDefault="00C5357B" w:rsidP="00C5357B">
      <w:pPr>
        <w:autoSpaceDE w:val="0"/>
        <w:autoSpaceDN w:val="0"/>
        <w:adjustRightInd w:val="0"/>
        <w:spacing w:after="0" w:line="240" w:lineRule="auto"/>
        <w:rPr>
          <w:rFonts w:ascii="Times New Roman" w:hAnsi="Times New Roman"/>
          <w:b/>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Nėštumas ir žindymo laikotarpis</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esate nėščia, žindote kūdikį, manote, kad galbūt esate nėščia arba planuojate pastoti, tai prieš vartodama šį vaistą pasitarkite su gydytoju arba vaistininku.</w:t>
      </w:r>
    </w:p>
    <w:p w:rsidR="00C5357B" w:rsidRPr="00B15D3A" w:rsidRDefault="00C5357B" w:rsidP="00C5357B">
      <w:pPr>
        <w:autoSpaceDE w:val="0"/>
        <w:autoSpaceDN w:val="0"/>
        <w:adjustRightInd w:val="0"/>
        <w:spacing w:after="0" w:line="240" w:lineRule="auto"/>
        <w:rPr>
          <w:rFonts w:ascii="Times New Roman" w:hAnsi="Times New Roman"/>
          <w:lang w:val="lt-LT"/>
        </w:rPr>
      </w:pP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nėštumo metu</w:t>
      </w:r>
      <w:r w:rsidRPr="00B15D3A">
        <w:rPr>
          <w:rFonts w:ascii="Times New Roman" w:hAnsi="Times New Roman"/>
          <w:b/>
          <w:lang w:val="lt-LT"/>
        </w:rPr>
        <w:t xml:space="preserve"> VARTOTI NEGALIMA.</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Žindyvėms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vartoti </w:t>
      </w:r>
      <w:r w:rsidRPr="00B15D3A">
        <w:rPr>
          <w:rFonts w:ascii="Times New Roman" w:hAnsi="Times New Roman"/>
          <w:b/>
          <w:lang w:val="lt-LT"/>
        </w:rPr>
        <w:t>NEREKOMENDUOJAMA</w:t>
      </w:r>
      <w:r w:rsidRPr="00B15D3A">
        <w:rPr>
          <w:rFonts w:ascii="Times New Roman" w:hAnsi="Times New Roman"/>
          <w:lang w:val="lt-LT"/>
        </w:rPr>
        <w:t>.</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Vairavimas ir mechanizmų valdymas</w:t>
      </w:r>
    </w:p>
    <w:p w:rsidR="00C5357B" w:rsidRPr="00B15D3A" w:rsidRDefault="00C5357B" w:rsidP="00C5357B">
      <w:pPr>
        <w:spacing w:after="0" w:line="240" w:lineRule="auto"/>
        <w:rPr>
          <w:rFonts w:ascii="Times New Roman" w:hAnsi="Times New Roman"/>
          <w:lang w:val="lt-LT"/>
        </w:rPr>
      </w:pP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gali sukelti galvos svaigimą. Jeigu jaučiate </w:t>
      </w:r>
      <w:r>
        <w:rPr>
          <w:rFonts w:ascii="Times New Roman" w:hAnsi="Times New Roman"/>
          <w:lang w:val="lt-LT"/>
        </w:rPr>
        <w:t xml:space="preserve"> svaigulį </w:t>
      </w:r>
      <w:r w:rsidRPr="00B15D3A">
        <w:rPr>
          <w:rFonts w:ascii="Times New Roman" w:hAnsi="Times New Roman"/>
          <w:lang w:val="lt-LT"/>
        </w:rPr>
        <w:t xml:space="preserve">po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suvartojimo, </w:t>
      </w:r>
      <w:r w:rsidRPr="00B15D3A">
        <w:rPr>
          <w:rFonts w:ascii="Times New Roman" w:hAnsi="Times New Roman"/>
          <w:b/>
          <w:lang w:val="lt-LT"/>
        </w:rPr>
        <w:t xml:space="preserve">ATSISAKYKITE VAIRUOTI </w:t>
      </w:r>
      <w:r w:rsidRPr="00B15D3A">
        <w:rPr>
          <w:rFonts w:ascii="Times New Roman" w:hAnsi="Times New Roman"/>
          <w:lang w:val="lt-LT"/>
        </w:rPr>
        <w:t>ir valdyti mechanizmus bei praneškite savo gydytojui arba vaistininkui.</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tabs>
          <w:tab w:val="left" w:pos="567"/>
        </w:tabs>
        <w:spacing w:after="0" w:line="240" w:lineRule="auto"/>
        <w:rPr>
          <w:rFonts w:ascii="Times New Roman" w:hAnsi="Times New Roman"/>
          <w:b/>
          <w:lang w:val="lt-LT"/>
        </w:rPr>
      </w:pPr>
      <w:r w:rsidRPr="00B15D3A">
        <w:rPr>
          <w:rFonts w:ascii="Times New Roman" w:hAnsi="Times New Roman"/>
          <w:b/>
          <w:lang w:val="lt-LT"/>
        </w:rPr>
        <w:t>3.</w:t>
      </w:r>
      <w:r w:rsidRPr="00B15D3A">
        <w:rPr>
          <w:rFonts w:ascii="Times New Roman" w:hAnsi="Times New Roman"/>
          <w:b/>
          <w:lang w:val="lt-LT"/>
        </w:rPr>
        <w:tab/>
        <w:t xml:space="preserve">Kaip vartoti </w:t>
      </w:r>
      <w:proofErr w:type="spellStart"/>
      <w:r w:rsidRPr="00B15D3A">
        <w:rPr>
          <w:rFonts w:ascii="Times New Roman" w:hAnsi="Times New Roman"/>
          <w:b/>
          <w:lang w:val="lt-LT"/>
        </w:rPr>
        <w:t>Sollazon</w:t>
      </w:r>
      <w:proofErr w:type="spellEnd"/>
    </w:p>
    <w:p w:rsidR="00C5357B" w:rsidRPr="00B15D3A" w:rsidRDefault="00C5357B" w:rsidP="00C5357B">
      <w:pPr>
        <w:tabs>
          <w:tab w:val="left" w:pos="425"/>
        </w:tabs>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Visada vartokite šį vaistą tiksliai kaip nurodė gydytojas. Jeigu abejojate, kreipkitės į gydytoją arba vaistininką.</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Rekomenduojama dozė yra dvi 100 mg tabletės (po dvi 50 mg tabletes du kartus per parą (iš ryto ir vakare) arba viena 100 mg tabletė du kartus per parą (iš ryto ir vakare)). Senyvo amžiaus žmonėms šios dozės keisti nereikia. Vis dėlto Jūsų gydytojas gali paskirti mažesnę dozę, jeigu vartojate kitų vaistų, kurie gali daryti įtaką </w:t>
      </w:r>
      <w:proofErr w:type="spellStart"/>
      <w:r w:rsidRPr="00B15D3A">
        <w:rPr>
          <w:rFonts w:ascii="Times New Roman" w:hAnsi="Times New Roman"/>
          <w:lang w:val="lt-LT"/>
        </w:rPr>
        <w:t>Sollazon</w:t>
      </w:r>
      <w:proofErr w:type="spellEnd"/>
      <w:r w:rsidRPr="00B15D3A">
        <w:rPr>
          <w:rFonts w:ascii="Times New Roman" w:hAnsi="Times New Roman"/>
          <w:lang w:val="lt-LT"/>
        </w:rPr>
        <w:t>.</w:t>
      </w:r>
    </w:p>
    <w:p w:rsidR="00C5357B" w:rsidRPr="00B15D3A" w:rsidRDefault="00C5357B" w:rsidP="00C5357B">
      <w:pPr>
        <w:numPr>
          <w:ilvl w:val="0"/>
          <w:numId w:val="15"/>
        </w:numPr>
        <w:autoSpaceDE w:val="0"/>
        <w:autoSpaceDN w:val="0"/>
        <w:adjustRightInd w:val="0"/>
        <w:spacing w:after="0" w:line="240" w:lineRule="auto"/>
        <w:ind w:left="567" w:hanging="567"/>
        <w:rPr>
          <w:rFonts w:ascii="Times New Roman" w:hAnsi="Times New Roman"/>
          <w:lang w:val="lt-LT"/>
        </w:rPr>
      </w:pP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tabletes reikia išgerti likus 30 minučių iki pusryčių ar vakarienės. Visada tabletes nurykite užsigerdami vandeniu.</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Tam tikrą palankų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poveikį galite pajusti per 4–12 gydymo savaičių. </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Po 3 gydymo mėnesių gydytojas gali pakartotinai įvertinti būklės pagerėjimą ir rekomenduoti nutraukti gydymą </w:t>
      </w:r>
      <w:proofErr w:type="spellStart"/>
      <w:r w:rsidRPr="00B15D3A">
        <w:rPr>
          <w:rFonts w:ascii="Times New Roman" w:hAnsi="Times New Roman"/>
          <w:lang w:val="lt-LT"/>
        </w:rPr>
        <w:t>cilostazolu</w:t>
      </w:r>
      <w:proofErr w:type="spellEnd"/>
      <w:r w:rsidRPr="00B15D3A">
        <w:rPr>
          <w:rFonts w:ascii="Times New Roman" w:hAnsi="Times New Roman"/>
          <w:lang w:val="lt-LT"/>
        </w:rPr>
        <w:t>, jeigu gydymo poveikis yra nepakankamas.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Vartojimas vaikams ir paaugliams</w:t>
      </w:r>
    </w:p>
    <w:p w:rsidR="00C5357B" w:rsidRPr="00B15D3A" w:rsidRDefault="00C5357B" w:rsidP="00C5357B">
      <w:pPr>
        <w:autoSpaceDE w:val="0"/>
        <w:autoSpaceDN w:val="0"/>
        <w:adjustRightInd w:val="0"/>
        <w:spacing w:after="0" w:line="240" w:lineRule="auto"/>
        <w:rPr>
          <w:rFonts w:ascii="Times New Roman" w:hAnsi="Times New Roman"/>
          <w:lang w:val="lt-LT"/>
        </w:rPr>
      </w:pP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vaikams yra netinkamas.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Ką daryti pavartojus per didelę </w:t>
      </w:r>
      <w:proofErr w:type="spellStart"/>
      <w:r w:rsidRPr="00B15D3A">
        <w:rPr>
          <w:rFonts w:ascii="Times New Roman" w:hAnsi="Times New Roman"/>
          <w:b/>
          <w:lang w:val="lt-LT"/>
        </w:rPr>
        <w:t>Sollazon</w:t>
      </w:r>
      <w:proofErr w:type="spellEnd"/>
      <w:r w:rsidRPr="00B15D3A">
        <w:rPr>
          <w:rFonts w:ascii="Times New Roman" w:hAnsi="Times New Roman"/>
          <w:lang w:val="lt-LT"/>
        </w:rPr>
        <w:t xml:space="preserve"> </w:t>
      </w:r>
      <w:r w:rsidRPr="00B15D3A">
        <w:rPr>
          <w:rFonts w:ascii="Times New Roman" w:hAnsi="Times New Roman"/>
          <w:b/>
          <w:lang w:val="lt-LT"/>
        </w:rPr>
        <w:t>dozę?</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dėl bet kokios priežasties pavartojote per daug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tablečių, Jums gali pasireikšti tokie požymiai ir simptomai, kaip stiprus galvos skausmas, viduriavimas, kraujospūdžio kritimas ir nereguliarus širdies plakimas.</w:t>
      </w: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pavartojote daugiau tablečių nei Jums paskirta dozė, nedelsiant kreipkitės į savo gydytoją arba artimiausią ligoninę. Nepamirškite su savimi pasiimti pakuotę, kad būtų aišku, kokį vaistą suvartojote.</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Pamiršus pavartoti </w:t>
      </w:r>
      <w:proofErr w:type="spellStart"/>
      <w:r w:rsidRPr="00B15D3A">
        <w:rPr>
          <w:rFonts w:ascii="Times New Roman" w:hAnsi="Times New Roman"/>
          <w:b/>
          <w:lang w:val="lt-LT"/>
        </w:rPr>
        <w:t>Sollazon</w:t>
      </w:r>
      <w:proofErr w:type="spellEnd"/>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pamiršote pavartoti dozę, nesijaudinkite; palaukite, kol reikės vartoti kitą dozę ir išgerkite kitą tabletę, o toliau vartokite tabletes įprastai. </w:t>
      </w:r>
      <w:r w:rsidRPr="00B15D3A">
        <w:rPr>
          <w:rFonts w:ascii="Times New Roman" w:hAnsi="Times New Roman"/>
          <w:b/>
          <w:lang w:val="lt-LT"/>
        </w:rPr>
        <w:t xml:space="preserve">NEGALIMA </w:t>
      </w:r>
      <w:r w:rsidRPr="00B15D3A">
        <w:rPr>
          <w:rFonts w:ascii="Times New Roman" w:hAnsi="Times New Roman"/>
          <w:lang w:val="lt-LT"/>
        </w:rPr>
        <w:t>vartoti dvigubos dozės norint kompensuoti praleistą tabletę.</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Nustojus vartoti </w:t>
      </w:r>
      <w:proofErr w:type="spellStart"/>
      <w:r w:rsidRPr="00B15D3A">
        <w:rPr>
          <w:rFonts w:ascii="Times New Roman" w:hAnsi="Times New Roman"/>
          <w:b/>
          <w:lang w:val="lt-LT"/>
        </w:rPr>
        <w:t>Sollazon</w:t>
      </w:r>
      <w:proofErr w:type="spellEnd"/>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nustojote vartoti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skausmas kojose gali atsinaujinti arba sustiprėti. Taigi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vartojimą reikia nutraukti tik jeigu pajausite šalutinį poveikį, reikalaujantį skubios medicinos pagalbos (žr. 4 skyrių), arba jeigu taip liepia gydytojas.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kiltų daugiau klausimų dėl šio vaisto vartojimo, kreipkitės į gydytoją arba vaistininką.</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tabs>
          <w:tab w:val="left" w:pos="567"/>
        </w:tabs>
        <w:spacing w:after="0" w:line="240" w:lineRule="auto"/>
        <w:rPr>
          <w:rFonts w:ascii="Times New Roman" w:hAnsi="Times New Roman"/>
          <w:lang w:val="lt-LT"/>
        </w:rPr>
      </w:pPr>
      <w:r w:rsidRPr="00B15D3A">
        <w:rPr>
          <w:rFonts w:ascii="Times New Roman" w:hAnsi="Times New Roman"/>
          <w:b/>
          <w:lang w:val="lt-LT"/>
        </w:rPr>
        <w:t>4.</w:t>
      </w:r>
      <w:r w:rsidRPr="00B15D3A">
        <w:rPr>
          <w:rFonts w:ascii="Times New Roman" w:hAnsi="Times New Roman"/>
          <w:b/>
          <w:lang w:val="lt-LT"/>
        </w:rPr>
        <w:tab/>
        <w:t>Galimas šalutinis poveikis</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Šis vaistas, kaip ir visi kiti, gali sukelti šalutinį poveikį, nors jis pasireiškia ne visiems žmonėms.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pasireiškia bet koks toliau išvardytas šalutinis poveikis, Jums gali prireikti skubios medicinos pagalbos. Nutraukite </w:t>
      </w:r>
      <w:proofErr w:type="spellStart"/>
      <w:r w:rsidRPr="00B15D3A">
        <w:rPr>
          <w:rFonts w:ascii="Times New Roman" w:hAnsi="Times New Roman"/>
          <w:lang w:val="lt-LT"/>
        </w:rPr>
        <w:t>Sollazon</w:t>
      </w:r>
      <w:proofErr w:type="spellEnd"/>
      <w:r w:rsidRPr="00B15D3A">
        <w:rPr>
          <w:rFonts w:ascii="Times New Roman" w:hAnsi="Times New Roman"/>
          <w:lang w:val="lt-LT"/>
        </w:rPr>
        <w:t xml:space="preserve"> vartojimą ir nedelsdami kreipkitės į gydytoją arba į artimiausią ligoninę.</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Insultas.</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Širdies priepuolis.</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Širdies sutrikimai, kurie gali sukelti dusulį ar kulkšnių patinimą.</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Nereguliarus širdies plakimas (naujai atsiradęs ar pasunkėjęs).</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Pastebimas kraujavimas.</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Nedidelės kraujosruvos.</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Sunki liga, kurios metu ant odos, burnos, akių ir lytinių organų atsiranda pūslių.</w:t>
      </w:r>
    </w:p>
    <w:p w:rsidR="00C5357B" w:rsidRPr="00B15D3A" w:rsidRDefault="00C5357B" w:rsidP="00C5357B">
      <w:pPr>
        <w:numPr>
          <w:ilvl w:val="0"/>
          <w:numId w:val="6"/>
        </w:numPr>
        <w:spacing w:after="0" w:line="240" w:lineRule="auto"/>
        <w:ind w:left="567" w:hanging="567"/>
        <w:rPr>
          <w:rFonts w:ascii="Times New Roman" w:hAnsi="Times New Roman"/>
          <w:lang w:val="lt-LT"/>
        </w:rPr>
      </w:pPr>
      <w:r w:rsidRPr="00B15D3A">
        <w:rPr>
          <w:rFonts w:ascii="Times New Roman" w:hAnsi="Times New Roman"/>
          <w:lang w:val="lt-LT"/>
        </w:rPr>
        <w:t>Kepenų ar kraujo ligos sukeltas odos ar akių baltymo pageltimas (gelta).</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Jūs turite nedelsiant kreiptis į gydytoją, jeigu karščiuojate arba Jums skauda gerklę. Jums gali reikėti atlikti kai kuriuos kraujo tyrimus, prieš atnaujinant gydymą.</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b/>
          <w:lang w:val="lt-LT"/>
        </w:rPr>
        <w:t xml:space="preserve">Vartojant </w:t>
      </w:r>
      <w:proofErr w:type="spellStart"/>
      <w:r w:rsidRPr="00B15D3A">
        <w:rPr>
          <w:rFonts w:ascii="Times New Roman" w:hAnsi="Times New Roman"/>
          <w:b/>
          <w:lang w:val="lt-LT"/>
        </w:rPr>
        <w:t>cilostazolo</w:t>
      </w:r>
      <w:proofErr w:type="spellEnd"/>
      <w:r w:rsidRPr="00B15D3A">
        <w:rPr>
          <w:rFonts w:ascii="Times New Roman" w:hAnsi="Times New Roman"/>
          <w:b/>
          <w:lang w:val="lt-LT"/>
        </w:rPr>
        <w:t xml:space="preserve"> gauta pranešimų apie toliau nurodytą šalutinį poveikį. Jūs turite apie jį nedelsiant pranešti gydytojui.</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Labai dažnas šalutinis poveikis </w:t>
      </w:r>
      <w:r w:rsidRPr="00B15D3A">
        <w:rPr>
          <w:rFonts w:ascii="Times New Roman" w:hAnsi="Times New Roman"/>
          <w:lang w:val="lt-LT"/>
        </w:rPr>
        <w:t>(gali pasireikšti daugiau kaip 1 iš 10 žmonių)</w:t>
      </w:r>
    </w:p>
    <w:p w:rsidR="00C5357B" w:rsidRPr="00B15D3A" w:rsidRDefault="00C5357B" w:rsidP="00C5357B">
      <w:pPr>
        <w:numPr>
          <w:ilvl w:val="0"/>
          <w:numId w:val="5"/>
        </w:numPr>
        <w:spacing w:after="0" w:line="240" w:lineRule="auto"/>
        <w:ind w:left="567" w:hanging="567"/>
        <w:rPr>
          <w:rFonts w:ascii="Times New Roman" w:hAnsi="Times New Roman"/>
          <w:lang w:val="lt-LT"/>
        </w:rPr>
      </w:pPr>
      <w:r w:rsidRPr="00B15D3A">
        <w:rPr>
          <w:rFonts w:ascii="Times New Roman" w:hAnsi="Times New Roman"/>
          <w:lang w:val="lt-LT"/>
        </w:rPr>
        <w:t>galvos skausmas;</w:t>
      </w:r>
    </w:p>
    <w:p w:rsidR="00C5357B" w:rsidRPr="00B15D3A" w:rsidRDefault="00C5357B" w:rsidP="00C5357B">
      <w:pPr>
        <w:numPr>
          <w:ilvl w:val="0"/>
          <w:numId w:val="5"/>
        </w:numPr>
        <w:spacing w:after="0" w:line="240" w:lineRule="auto"/>
        <w:ind w:left="567" w:hanging="567"/>
        <w:rPr>
          <w:rFonts w:ascii="Times New Roman" w:hAnsi="Times New Roman"/>
          <w:lang w:val="lt-LT"/>
        </w:rPr>
      </w:pPr>
      <w:r w:rsidRPr="00B15D3A">
        <w:rPr>
          <w:rFonts w:ascii="Times New Roman" w:hAnsi="Times New Roman"/>
          <w:lang w:val="lt-LT"/>
        </w:rPr>
        <w:t>pakitusios išmatos;</w:t>
      </w:r>
    </w:p>
    <w:p w:rsidR="00C5357B" w:rsidRPr="00B15D3A" w:rsidRDefault="00C5357B" w:rsidP="00C5357B">
      <w:pPr>
        <w:numPr>
          <w:ilvl w:val="0"/>
          <w:numId w:val="5"/>
        </w:numPr>
        <w:spacing w:after="0" w:line="240" w:lineRule="auto"/>
        <w:ind w:left="567" w:hanging="567"/>
        <w:rPr>
          <w:rFonts w:ascii="Times New Roman" w:hAnsi="Times New Roman"/>
          <w:lang w:val="lt-LT"/>
        </w:rPr>
      </w:pPr>
      <w:r w:rsidRPr="00B15D3A">
        <w:rPr>
          <w:rFonts w:ascii="Times New Roman" w:hAnsi="Times New Roman"/>
          <w:lang w:val="lt-LT"/>
        </w:rPr>
        <w:t>viduriavimas.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Dažnas šalutinis poveikis </w:t>
      </w:r>
      <w:r w:rsidRPr="00B15D3A">
        <w:rPr>
          <w:rFonts w:ascii="Times New Roman" w:hAnsi="Times New Roman"/>
          <w:lang w:val="lt-LT"/>
        </w:rPr>
        <w:t xml:space="preserve">(gali pasireikšti </w:t>
      </w:r>
      <w:r>
        <w:rPr>
          <w:rFonts w:ascii="Times New Roman" w:hAnsi="Times New Roman"/>
          <w:lang w:val="lt-LT"/>
        </w:rPr>
        <w:t xml:space="preserve"> rečiau </w:t>
      </w:r>
      <w:r w:rsidRPr="00B15D3A">
        <w:rPr>
          <w:rFonts w:ascii="Times New Roman" w:hAnsi="Times New Roman"/>
          <w:lang w:val="lt-LT"/>
        </w:rPr>
        <w:t>kaip 1 iš 10 žmonių)</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dažnas širdies plakimas;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širdies mušimas (</w:t>
      </w:r>
      <w:proofErr w:type="spellStart"/>
      <w:r w:rsidRPr="00B15D3A">
        <w:rPr>
          <w:rFonts w:ascii="Times New Roman" w:hAnsi="Times New Roman"/>
          <w:lang w:val="lt-LT"/>
        </w:rPr>
        <w:t>palpitacija</w:t>
      </w:r>
      <w:proofErr w:type="spellEnd"/>
      <w:r w:rsidRPr="00B15D3A">
        <w:rPr>
          <w:rFonts w:ascii="Times New Roman" w:hAnsi="Times New Roman"/>
          <w:lang w:val="lt-LT"/>
        </w:rPr>
        <w:t>);</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krūtinės skausmas;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svaigulys;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gerklės skausmas;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sloga (rinitas);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pilvo skausmas;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diskomfortas pilve (</w:t>
      </w:r>
      <w:proofErr w:type="spellStart"/>
      <w:r w:rsidRPr="00B15D3A">
        <w:rPr>
          <w:rFonts w:ascii="Times New Roman" w:hAnsi="Times New Roman"/>
          <w:lang w:val="lt-LT"/>
        </w:rPr>
        <w:t>nevirškinimas</w:t>
      </w:r>
      <w:proofErr w:type="spellEnd"/>
      <w:r w:rsidRPr="00B15D3A">
        <w:rPr>
          <w:rFonts w:ascii="Times New Roman" w:hAnsi="Times New Roman"/>
          <w:lang w:val="lt-LT"/>
        </w:rPr>
        <w:t>);</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pykinimas (arba vėmimas);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apetito netekimas (anoreksija);</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pernelyg stiprus raugulys ar gausus dujų išėjimas (</w:t>
      </w:r>
      <w:proofErr w:type="spellStart"/>
      <w:r w:rsidRPr="00B15D3A">
        <w:rPr>
          <w:rFonts w:ascii="Times New Roman" w:hAnsi="Times New Roman"/>
          <w:lang w:val="lt-LT"/>
        </w:rPr>
        <w:t>flatulencija</w:t>
      </w:r>
      <w:proofErr w:type="spellEnd"/>
      <w:r w:rsidRPr="00B15D3A">
        <w:rPr>
          <w:rFonts w:ascii="Times New Roman" w:hAnsi="Times New Roman"/>
          <w:lang w:val="lt-LT"/>
        </w:rPr>
        <w:t>);</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kulkšnių, pėdų ar veido patinimas;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išbėrimas ar odos išvaizdos pokyčiai;</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odos niežėjimas;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dėminės odos kraujosruvos;</w:t>
      </w:r>
    </w:p>
    <w:p w:rsidR="00C5357B" w:rsidRPr="00B15D3A" w:rsidRDefault="00C5357B" w:rsidP="00C5357B">
      <w:pPr>
        <w:numPr>
          <w:ilvl w:val="0"/>
          <w:numId w:val="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bendras silpnumas.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Nedažnas šalutinis poveikis </w:t>
      </w:r>
      <w:r w:rsidRPr="00B15D3A">
        <w:rPr>
          <w:rFonts w:ascii="Times New Roman" w:hAnsi="Times New Roman"/>
          <w:lang w:val="lt-LT"/>
        </w:rPr>
        <w:t xml:space="preserve">(gali pasireikšti </w:t>
      </w:r>
      <w:r>
        <w:rPr>
          <w:rFonts w:ascii="Times New Roman" w:hAnsi="Times New Roman"/>
          <w:lang w:val="lt-LT"/>
        </w:rPr>
        <w:t xml:space="preserve">rečiau </w:t>
      </w:r>
      <w:r w:rsidRPr="00B15D3A">
        <w:rPr>
          <w:rFonts w:ascii="Times New Roman" w:hAnsi="Times New Roman"/>
          <w:lang w:val="lt-LT"/>
        </w:rPr>
        <w:t>kaip 1 iš 100 žmonių)</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širdies priepuolis;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nereguliarus širdies plakimas (naujai pasireiškęs arba pasunkėjęs);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širdies ligos, kurios gali sukelti dusulį arba kulkšnių patinimą;</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plaučių uždegimas;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kosulys;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drebulys;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netikėtas kraujavimas;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lastRenderedPageBreak/>
        <w:t>polinkis kraujuoti (pvz., kraujavimas iš skrandžio, akių ar raumenų, nosies arba kraujas seilėse ar šlapime);</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raudonųjų kraujo ląstelių sumažėjimas kraujyje;</w:t>
      </w:r>
    </w:p>
    <w:p w:rsidR="00C5357B" w:rsidRPr="00B15D3A" w:rsidRDefault="00C5357B" w:rsidP="00C5357B">
      <w:pPr>
        <w:numPr>
          <w:ilvl w:val="0"/>
          <w:numId w:val="4"/>
        </w:numPr>
        <w:spacing w:after="0" w:line="240" w:lineRule="auto"/>
        <w:ind w:left="567" w:hanging="567"/>
        <w:rPr>
          <w:rFonts w:ascii="Times New Roman" w:hAnsi="Times New Roman"/>
          <w:lang w:val="lt-LT"/>
        </w:rPr>
      </w:pPr>
      <w:r>
        <w:rPr>
          <w:rFonts w:ascii="Times New Roman" w:hAnsi="Times New Roman"/>
          <w:lang w:val="lt-LT"/>
        </w:rPr>
        <w:t xml:space="preserve"> svaigulys </w:t>
      </w:r>
      <w:r w:rsidRPr="00B15D3A">
        <w:rPr>
          <w:rFonts w:ascii="Times New Roman" w:hAnsi="Times New Roman"/>
          <w:lang w:val="lt-LT"/>
        </w:rPr>
        <w:t>atsistojant;</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alpimas;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nerimas;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miego sutrikimas;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neįprasti sapnai;</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alerginė reakcija;</w:t>
      </w:r>
    </w:p>
    <w:p w:rsidR="00C5357B" w:rsidRPr="00B15D3A" w:rsidRDefault="00C5357B" w:rsidP="00C5357B">
      <w:pPr>
        <w:numPr>
          <w:ilvl w:val="0"/>
          <w:numId w:val="4"/>
        </w:numPr>
        <w:spacing w:after="0" w:line="240" w:lineRule="auto"/>
        <w:ind w:left="567" w:hanging="567"/>
        <w:rPr>
          <w:rFonts w:ascii="Times New Roman" w:hAnsi="Times New Roman"/>
          <w:lang w:val="lt-LT"/>
        </w:rPr>
      </w:pPr>
      <w:r>
        <w:rPr>
          <w:rFonts w:ascii="Times New Roman" w:hAnsi="Times New Roman"/>
          <w:lang w:val="lt-LT"/>
        </w:rPr>
        <w:t xml:space="preserve">raumenų gėla ir </w:t>
      </w:r>
      <w:r w:rsidRPr="00B15D3A">
        <w:rPr>
          <w:rFonts w:ascii="Times New Roman" w:hAnsi="Times New Roman"/>
          <w:lang w:val="lt-LT"/>
        </w:rPr>
        <w:t>skausmas;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cukrinis diabetas ir padidėjęs cukraus kiekis kraujyje;</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 xml:space="preserve">skrandžio </w:t>
      </w:r>
      <w:r>
        <w:rPr>
          <w:rFonts w:ascii="Times New Roman" w:hAnsi="Times New Roman"/>
          <w:lang w:val="lt-LT"/>
        </w:rPr>
        <w:t xml:space="preserve"> skausmas</w:t>
      </w:r>
      <w:r w:rsidRPr="00B15D3A">
        <w:rPr>
          <w:rFonts w:ascii="Times New Roman" w:hAnsi="Times New Roman"/>
          <w:lang w:val="lt-LT"/>
        </w:rPr>
        <w:t>(gastritas);</w:t>
      </w:r>
    </w:p>
    <w:p w:rsidR="00C5357B" w:rsidRPr="00B15D3A" w:rsidRDefault="00C5357B" w:rsidP="00C5357B">
      <w:pPr>
        <w:numPr>
          <w:ilvl w:val="0"/>
          <w:numId w:val="4"/>
        </w:numPr>
        <w:spacing w:after="0" w:line="240" w:lineRule="auto"/>
        <w:ind w:left="567" w:hanging="567"/>
        <w:rPr>
          <w:rFonts w:ascii="Times New Roman" w:hAnsi="Times New Roman"/>
          <w:lang w:val="lt-LT"/>
        </w:rPr>
      </w:pPr>
      <w:r w:rsidRPr="00B15D3A">
        <w:rPr>
          <w:rFonts w:ascii="Times New Roman" w:hAnsi="Times New Roman"/>
          <w:lang w:val="lt-LT"/>
        </w:rPr>
        <w:t>negalavimas.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Pacientams, sergantiems cukriniu diabetu, gali būti didesnė kraujavimo į akį rizika.</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spacing w:after="0" w:line="240" w:lineRule="auto"/>
        <w:jc w:val="both"/>
        <w:rPr>
          <w:rFonts w:ascii="Times New Roman" w:hAnsi="Times New Roman"/>
          <w:b/>
          <w:lang w:val="lt-LT"/>
        </w:rPr>
      </w:pPr>
      <w:r w:rsidRPr="00B15D3A">
        <w:rPr>
          <w:rFonts w:ascii="Times New Roman" w:hAnsi="Times New Roman"/>
          <w:b/>
          <w:lang w:val="lt-LT"/>
        </w:rPr>
        <w:t xml:space="preserve">Retas šalutinis poveikis </w:t>
      </w:r>
      <w:r w:rsidRPr="00B15D3A">
        <w:rPr>
          <w:rFonts w:ascii="Times New Roman" w:hAnsi="Times New Roman"/>
          <w:lang w:val="lt-LT"/>
        </w:rPr>
        <w:t xml:space="preserve">(gali pasireikšti </w:t>
      </w:r>
      <w:r>
        <w:rPr>
          <w:rFonts w:ascii="Times New Roman" w:hAnsi="Times New Roman"/>
          <w:lang w:val="lt-LT"/>
        </w:rPr>
        <w:t xml:space="preserve"> rečiau </w:t>
      </w:r>
      <w:r w:rsidRPr="00B15D3A">
        <w:rPr>
          <w:rFonts w:ascii="Times New Roman" w:hAnsi="Times New Roman"/>
          <w:lang w:val="lt-LT"/>
        </w:rPr>
        <w:t>kaip 1 iš 1000 žmonių)</w:t>
      </w:r>
    </w:p>
    <w:p w:rsidR="00C5357B" w:rsidRPr="00B15D3A" w:rsidRDefault="00C5357B" w:rsidP="00C5357B">
      <w:pPr>
        <w:numPr>
          <w:ilvl w:val="0"/>
          <w:numId w:val="3"/>
        </w:numPr>
        <w:spacing w:after="0" w:line="240" w:lineRule="auto"/>
        <w:ind w:left="567" w:hanging="567"/>
        <w:jc w:val="both"/>
        <w:rPr>
          <w:rFonts w:ascii="Times New Roman" w:hAnsi="Times New Roman"/>
          <w:lang w:val="lt-LT"/>
        </w:rPr>
      </w:pPr>
      <w:r w:rsidRPr="00B15D3A">
        <w:rPr>
          <w:rFonts w:ascii="Times New Roman" w:hAnsi="Times New Roman"/>
          <w:lang w:val="lt-LT"/>
        </w:rPr>
        <w:t>polinkis kraujuoti ilgiau nei paprastai;</w:t>
      </w:r>
    </w:p>
    <w:p w:rsidR="00C5357B" w:rsidRPr="00B15D3A" w:rsidRDefault="00C5357B" w:rsidP="00C5357B">
      <w:pPr>
        <w:numPr>
          <w:ilvl w:val="0"/>
          <w:numId w:val="3"/>
        </w:numPr>
        <w:spacing w:after="0" w:line="240" w:lineRule="auto"/>
        <w:ind w:left="567" w:hanging="567"/>
        <w:jc w:val="both"/>
        <w:rPr>
          <w:rFonts w:ascii="Times New Roman" w:hAnsi="Times New Roman"/>
          <w:lang w:val="lt-LT"/>
        </w:rPr>
      </w:pPr>
      <w:r w:rsidRPr="00B15D3A">
        <w:rPr>
          <w:rFonts w:ascii="Times New Roman" w:hAnsi="Times New Roman"/>
          <w:lang w:val="lt-LT"/>
        </w:rPr>
        <w:t>trombocitų skaičiaus padidėjimas kraujyje;</w:t>
      </w:r>
    </w:p>
    <w:p w:rsidR="00C5357B" w:rsidRPr="00B15D3A" w:rsidRDefault="00C5357B" w:rsidP="00C5357B">
      <w:pPr>
        <w:numPr>
          <w:ilvl w:val="0"/>
          <w:numId w:val="3"/>
        </w:numPr>
        <w:spacing w:after="0" w:line="240" w:lineRule="auto"/>
        <w:ind w:left="567" w:hanging="567"/>
        <w:jc w:val="both"/>
        <w:rPr>
          <w:rFonts w:ascii="Times New Roman" w:hAnsi="Times New Roman"/>
          <w:lang w:val="lt-LT"/>
        </w:rPr>
      </w:pPr>
      <w:r w:rsidRPr="00B15D3A">
        <w:rPr>
          <w:rFonts w:ascii="Times New Roman" w:hAnsi="Times New Roman"/>
          <w:lang w:val="lt-LT"/>
        </w:rPr>
        <w:t>inkstų sutrikimai.</w:t>
      </w:r>
    </w:p>
    <w:p w:rsidR="00C5357B" w:rsidRPr="00B15D3A" w:rsidRDefault="00C5357B" w:rsidP="00C5357B">
      <w:pPr>
        <w:spacing w:after="0" w:line="240" w:lineRule="auto"/>
        <w:ind w:left="567" w:hanging="567"/>
        <w:jc w:val="both"/>
        <w:rPr>
          <w:rFonts w:ascii="Times New Roman" w:hAnsi="Times New Roman"/>
          <w:lang w:val="lt-LT"/>
        </w:rPr>
      </w:pPr>
    </w:p>
    <w:p w:rsidR="00C5357B" w:rsidRPr="00B15D3A" w:rsidRDefault="00C5357B" w:rsidP="00C5357B">
      <w:pPr>
        <w:spacing w:after="0" w:line="240" w:lineRule="auto"/>
        <w:jc w:val="both"/>
        <w:rPr>
          <w:rFonts w:ascii="Times New Roman" w:hAnsi="Times New Roman"/>
          <w:lang w:val="lt-LT"/>
        </w:rPr>
      </w:pPr>
      <w:r w:rsidRPr="00B15D3A">
        <w:rPr>
          <w:rFonts w:ascii="Times New Roman" w:hAnsi="Times New Roman"/>
          <w:lang w:val="lt-LT"/>
        </w:rPr>
        <w:t xml:space="preserve">Gauta pranešimų apie toliau išvardytą šalutinį poveikį, pasireiškusį </w:t>
      </w:r>
      <w:proofErr w:type="spellStart"/>
      <w:r w:rsidRPr="00B15D3A">
        <w:rPr>
          <w:rFonts w:ascii="Times New Roman" w:hAnsi="Times New Roman"/>
          <w:lang w:val="lt-LT"/>
        </w:rPr>
        <w:t>cilostazolo</w:t>
      </w:r>
      <w:proofErr w:type="spellEnd"/>
      <w:r w:rsidRPr="00B15D3A">
        <w:rPr>
          <w:rFonts w:ascii="Times New Roman" w:hAnsi="Times New Roman"/>
          <w:lang w:val="lt-LT"/>
        </w:rPr>
        <w:t xml:space="preserve"> vartojimo metu, tačiau jo</w:t>
      </w:r>
      <w:r w:rsidRPr="00B15D3A">
        <w:rPr>
          <w:rFonts w:ascii="Times New Roman" w:hAnsi="Times New Roman"/>
          <w:b/>
          <w:lang w:val="lt-LT"/>
        </w:rPr>
        <w:t xml:space="preserve"> dažnis nežinomas</w:t>
      </w:r>
      <w:r w:rsidRPr="00B15D3A">
        <w:rPr>
          <w:rFonts w:ascii="Times New Roman" w:hAnsi="Times New Roman"/>
          <w:lang w:val="lt-LT"/>
        </w:rPr>
        <w:t xml:space="preserve"> (dažnis negali būti </w:t>
      </w:r>
      <w:r>
        <w:rPr>
          <w:rFonts w:ascii="Times New Roman" w:hAnsi="Times New Roman"/>
          <w:lang w:val="lt-LT"/>
        </w:rPr>
        <w:t xml:space="preserve"> apskaičiuotas </w:t>
      </w:r>
      <w:r w:rsidRPr="00B15D3A">
        <w:rPr>
          <w:rFonts w:ascii="Times New Roman" w:hAnsi="Times New Roman"/>
          <w:lang w:val="lt-LT"/>
        </w:rPr>
        <w:t>pagal turimus duomenis)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kraujospūdžio pokyčiai;</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raudonųjų kraujo ląstelių, baltųjų kraujo ląstelių ir trombocitų sumažėjimas kraujyje;</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apsunkintas kvėpavimas;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apsunkintas judėjimas;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karščiavimas;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karščio pylimas;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egzema ir kitokie odos išbėrimai;</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sumažėjęs odos jautrumas;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ašarojančios ar lipnios akys (konjunktyvitas);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skambėjimas ausyse (ūžesys);</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kepenų sutrikimai, įskaitant kepenų uždegimą;</w:t>
      </w:r>
    </w:p>
    <w:p w:rsidR="00C5357B" w:rsidRPr="00B15D3A" w:rsidRDefault="00C5357B" w:rsidP="00C5357B">
      <w:pPr>
        <w:numPr>
          <w:ilvl w:val="0"/>
          <w:numId w:val="7"/>
        </w:numPr>
        <w:spacing w:after="0" w:line="240" w:lineRule="auto"/>
        <w:ind w:left="567" w:hanging="567"/>
        <w:rPr>
          <w:rFonts w:ascii="Times New Roman" w:hAnsi="Times New Roman"/>
          <w:lang w:val="lt-LT"/>
        </w:rPr>
      </w:pPr>
      <w:r w:rsidRPr="00B15D3A">
        <w:rPr>
          <w:rFonts w:ascii="Times New Roman" w:hAnsi="Times New Roman"/>
          <w:lang w:val="lt-LT"/>
        </w:rPr>
        <w:t>šlapimo pokyčiai.</w:t>
      </w:r>
    </w:p>
    <w:p w:rsidR="00C5357B" w:rsidRPr="00B15D3A" w:rsidRDefault="00C5357B" w:rsidP="00C5357B">
      <w:pPr>
        <w:spacing w:after="0" w:line="240" w:lineRule="auto"/>
        <w:jc w:val="both"/>
        <w:rPr>
          <w:rFonts w:ascii="Times New Roman" w:hAnsi="Times New Roman"/>
          <w:lang w:val="lt-LT"/>
        </w:rPr>
      </w:pPr>
    </w:p>
    <w:p w:rsidR="00C5357B" w:rsidRPr="00B15D3A" w:rsidRDefault="00C5357B" w:rsidP="00C5357B">
      <w:pPr>
        <w:spacing w:after="0" w:line="240" w:lineRule="auto"/>
        <w:jc w:val="both"/>
        <w:rPr>
          <w:rFonts w:ascii="Times New Roman" w:hAnsi="Times New Roman"/>
          <w:lang w:val="lt-LT"/>
        </w:rPr>
      </w:pPr>
      <w:r w:rsidRPr="00B15D3A">
        <w:rPr>
          <w:rFonts w:ascii="Times New Roman" w:hAnsi="Times New Roman"/>
          <w:lang w:val="lt-LT"/>
        </w:rPr>
        <w:t>Jeigu kuris nors iš šalutinių poveikių tampa sunkus, pasakykite gydytojui arba vaistininkui.</w:t>
      </w:r>
    </w:p>
    <w:p w:rsidR="00C5357B" w:rsidRPr="00B15D3A" w:rsidRDefault="00C5357B" w:rsidP="00C5357B">
      <w:pPr>
        <w:spacing w:after="0" w:line="240" w:lineRule="auto"/>
        <w:jc w:val="both"/>
        <w:rPr>
          <w:rFonts w:ascii="Times New Roman" w:hAnsi="Times New Roman"/>
          <w:lang w:val="lt-LT"/>
        </w:rPr>
      </w:pPr>
    </w:p>
    <w:p w:rsidR="00C5357B" w:rsidRPr="00B15D3A" w:rsidRDefault="00C5357B" w:rsidP="00C5357B">
      <w:pPr>
        <w:tabs>
          <w:tab w:val="left" w:pos="567"/>
        </w:tabs>
        <w:spacing w:after="0" w:line="240" w:lineRule="auto"/>
        <w:rPr>
          <w:rFonts w:ascii="Times New Roman" w:hAnsi="Times New Roman"/>
          <w:b/>
          <w:lang w:val="lt-LT"/>
        </w:rPr>
      </w:pPr>
      <w:r w:rsidRPr="00B15D3A">
        <w:rPr>
          <w:rFonts w:ascii="Times New Roman" w:hAnsi="Times New Roman"/>
          <w:b/>
          <w:lang w:val="lt-LT"/>
        </w:rPr>
        <w:t>Pranešimas apie šalutinį poveikį</w:t>
      </w:r>
    </w:p>
    <w:p w:rsidR="00C5357B" w:rsidRPr="00B15D3A" w:rsidRDefault="00C5357B" w:rsidP="00C5357B">
      <w:pPr>
        <w:tabs>
          <w:tab w:val="left" w:pos="567"/>
        </w:tabs>
        <w:spacing w:after="0" w:line="240" w:lineRule="auto"/>
        <w:ind w:right="-2"/>
        <w:rPr>
          <w:rFonts w:ascii="Times New Roman" w:hAnsi="Times New Roman"/>
          <w:lang w:val="lt-LT"/>
        </w:rPr>
      </w:pPr>
      <w:r w:rsidRPr="00B15D3A">
        <w:rPr>
          <w:rFonts w:ascii="Times New Roman" w:hAnsi="Times New Roman"/>
          <w:lang w:val="lt-LT"/>
        </w:rPr>
        <w:t xml:space="preserve">Jeigu pasireiškė šalutinis poveikis, įskaitant šiame lapelyje nenurodytą, pasakykite gydytojui arba vaistininkui. </w:t>
      </w:r>
      <w:r w:rsidRPr="009C08DA">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FA0777">
          <w:rPr>
            <w:rStyle w:val="Hipersaitas"/>
            <w:rFonts w:ascii="Times New Roman" w:hAnsi="Times New Roman"/>
            <w:lang w:val="lt-LT"/>
          </w:rPr>
          <w:t>www.vvkt.lt</w:t>
        </w:r>
      </w:hyperlink>
      <w:r>
        <w:rPr>
          <w:rFonts w:ascii="Times New Roman" w:hAnsi="Times New Roman"/>
          <w:lang w:val="lt-LT"/>
        </w:rPr>
        <w:t xml:space="preserve"> </w:t>
      </w:r>
      <w:r w:rsidRPr="009C08D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A0777">
          <w:rPr>
            <w:rStyle w:val="Hipersaitas"/>
            <w:rFonts w:ascii="Times New Roman" w:hAnsi="Times New Roman"/>
            <w:lang w:val="lt-LT"/>
          </w:rPr>
          <w:t>NepageidaujamaR@vvkt.lt</w:t>
        </w:r>
      </w:hyperlink>
      <w:r>
        <w:rPr>
          <w:rFonts w:ascii="Times New Roman" w:hAnsi="Times New Roman"/>
          <w:lang w:val="lt-LT"/>
        </w:rPr>
        <w:t xml:space="preserve"> </w:t>
      </w:r>
      <w:r w:rsidRPr="009C08DA">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FA0777">
          <w:rPr>
            <w:rStyle w:val="Hipersaitas"/>
            <w:rFonts w:ascii="Times New Roman" w:hAnsi="Times New Roman"/>
            <w:lang w:val="lt-LT"/>
          </w:rPr>
          <w:t>http://www.vvkt.lt</w:t>
        </w:r>
      </w:hyperlink>
      <w:r>
        <w:rPr>
          <w:rFonts w:ascii="Times New Roman" w:hAnsi="Times New Roman"/>
          <w:lang w:val="lt-LT"/>
        </w:rPr>
        <w:t xml:space="preserve"> </w:t>
      </w:r>
      <w:r w:rsidRPr="009C08DA">
        <w:rPr>
          <w:rFonts w:ascii="Times New Roman" w:hAnsi="Times New Roman"/>
          <w:lang w:val="lt-LT"/>
        </w:rPr>
        <w:t>). Pranešdami apie šalutinį poveikį galite mums padėti gauti daugiau informacijos apie šio vaisto saugumą.</w:t>
      </w:r>
    </w:p>
    <w:p w:rsidR="00C5357B" w:rsidRDefault="00C5357B" w:rsidP="00C5357B">
      <w:pPr>
        <w:spacing w:after="0" w:line="240" w:lineRule="auto"/>
        <w:jc w:val="both"/>
        <w:rPr>
          <w:rFonts w:ascii="Times New Roman" w:hAnsi="Times New Roman"/>
          <w:lang w:val="lt-LT"/>
        </w:rPr>
      </w:pPr>
    </w:p>
    <w:p w:rsidR="00C5357B" w:rsidRPr="00B15D3A" w:rsidRDefault="00C5357B" w:rsidP="00C5357B">
      <w:pPr>
        <w:spacing w:after="0" w:line="240" w:lineRule="auto"/>
        <w:jc w:val="both"/>
        <w:rPr>
          <w:rFonts w:ascii="Times New Roman" w:hAnsi="Times New Roman"/>
          <w:lang w:val="lt-LT"/>
        </w:rPr>
      </w:pPr>
    </w:p>
    <w:p w:rsidR="00C5357B" w:rsidRPr="00B15D3A" w:rsidRDefault="00C5357B" w:rsidP="00C5357B">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5.</w:t>
      </w:r>
      <w:r w:rsidRPr="00B15D3A">
        <w:rPr>
          <w:rFonts w:ascii="Times New Roman" w:hAnsi="Times New Roman"/>
          <w:b/>
          <w:lang w:val="lt-LT"/>
        </w:rPr>
        <w:tab/>
        <w:t xml:space="preserve">Kaip laikyti </w:t>
      </w:r>
      <w:proofErr w:type="spellStart"/>
      <w:r w:rsidRPr="00B15D3A">
        <w:rPr>
          <w:rFonts w:ascii="Times New Roman" w:hAnsi="Times New Roman"/>
          <w:b/>
          <w:lang w:val="lt-LT"/>
        </w:rPr>
        <w:t>Sollazon</w:t>
      </w:r>
      <w:proofErr w:type="spellEnd"/>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Šiam </w:t>
      </w:r>
      <w:r>
        <w:rPr>
          <w:rFonts w:ascii="Times New Roman" w:hAnsi="Times New Roman"/>
          <w:lang w:val="lt-LT"/>
        </w:rPr>
        <w:t>vaistui</w:t>
      </w:r>
      <w:r w:rsidRPr="00B15D3A">
        <w:rPr>
          <w:rFonts w:ascii="Times New Roman" w:hAnsi="Times New Roman"/>
          <w:lang w:val="lt-LT"/>
        </w:rPr>
        <w:t xml:space="preserve"> specialių laikymo sąlygų nereikia.</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Šį vaistą laikykite vaikams nepastebimoje ir nepasiekiamoje vietoje.</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Ant </w:t>
      </w:r>
      <w:r>
        <w:rPr>
          <w:rFonts w:ascii="Times New Roman" w:hAnsi="Times New Roman"/>
          <w:lang w:val="lt-LT"/>
        </w:rPr>
        <w:t xml:space="preserve">kartono </w:t>
      </w:r>
      <w:r w:rsidRPr="00B15D3A">
        <w:rPr>
          <w:rFonts w:ascii="Times New Roman" w:hAnsi="Times New Roman"/>
          <w:lang w:val="lt-LT"/>
        </w:rPr>
        <w:t>dėžutės ir lizdinės plokštelės po „EXP“ nurodytam tinkamumo laikui pasibaigus, šio vaisto vartoti negalima. Vaistas tinkamas vartoti iki paskutinės nurodyto mėnesio dienos.</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Pastebėjus matomų gedimo požymių (pvz., pakitusi spalva), šio vaisto vartoti negalima.</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Vaistų negalima išmesti į kanalizaciją arba su buitinėmis atliekomis. Kaip išmesti nereikalingus vaistus, klauskite vaistininko. Šios priemonės padės apsaugoti aplinką.</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6.</w:t>
      </w:r>
      <w:r w:rsidRPr="00B15D3A">
        <w:rPr>
          <w:rFonts w:ascii="Times New Roman" w:hAnsi="Times New Roman"/>
          <w:b/>
          <w:lang w:val="lt-LT"/>
        </w:rPr>
        <w:tab/>
        <w:t>Pakuotės turinys ir kita informacija</w:t>
      </w:r>
    </w:p>
    <w:p w:rsidR="00C5357B" w:rsidRPr="00B15D3A" w:rsidRDefault="00C5357B" w:rsidP="00C5357B">
      <w:pPr>
        <w:autoSpaceDE w:val="0"/>
        <w:autoSpaceDN w:val="0"/>
        <w:adjustRightInd w:val="0"/>
        <w:spacing w:after="0" w:line="240" w:lineRule="auto"/>
        <w:rPr>
          <w:rFonts w:ascii="Times New Roman" w:hAnsi="Times New Roman"/>
          <w:b/>
          <w:lang w:val="lt-LT"/>
        </w:rPr>
      </w:pPr>
    </w:p>
    <w:p w:rsidR="00C5357B" w:rsidRPr="00B15D3A" w:rsidRDefault="00C5357B" w:rsidP="00C5357B">
      <w:pPr>
        <w:autoSpaceDE w:val="0"/>
        <w:autoSpaceDN w:val="0"/>
        <w:adjustRightInd w:val="0"/>
        <w:spacing w:after="0" w:line="240" w:lineRule="auto"/>
        <w:rPr>
          <w:rFonts w:ascii="Times New Roman" w:hAnsi="Times New Roman"/>
          <w:lang w:val="lt-LT"/>
        </w:rPr>
      </w:pPr>
      <w:proofErr w:type="spellStart"/>
      <w:r w:rsidRPr="00B15D3A">
        <w:rPr>
          <w:rFonts w:ascii="Times New Roman" w:hAnsi="Times New Roman"/>
          <w:b/>
          <w:lang w:val="lt-LT"/>
        </w:rPr>
        <w:t>Sollazon</w:t>
      </w:r>
      <w:proofErr w:type="spellEnd"/>
      <w:r w:rsidRPr="00B15D3A">
        <w:rPr>
          <w:rFonts w:ascii="Times New Roman" w:hAnsi="Times New Roman"/>
          <w:b/>
          <w:lang w:val="lt-LT"/>
        </w:rPr>
        <w:t xml:space="preserve"> sudėtis</w:t>
      </w:r>
    </w:p>
    <w:p w:rsidR="00C5357B" w:rsidRPr="006C2039" w:rsidRDefault="00C5357B" w:rsidP="00C5357B">
      <w:pPr>
        <w:pStyle w:val="Sraopastraipa"/>
        <w:numPr>
          <w:ilvl w:val="0"/>
          <w:numId w:val="17"/>
        </w:numPr>
        <w:spacing w:after="0" w:line="240" w:lineRule="auto"/>
        <w:rPr>
          <w:rFonts w:ascii="Times New Roman" w:hAnsi="Times New Roman"/>
          <w:lang w:val="lt-LT"/>
        </w:rPr>
      </w:pPr>
      <w:r w:rsidRPr="006C2039">
        <w:rPr>
          <w:rFonts w:ascii="Times New Roman" w:hAnsi="Times New Roman"/>
          <w:lang w:val="lt-LT"/>
        </w:rPr>
        <w:t xml:space="preserve">Veiklioji medžiaga yra </w:t>
      </w:r>
      <w:proofErr w:type="spellStart"/>
      <w:r w:rsidRPr="006C2039">
        <w:rPr>
          <w:rFonts w:ascii="Times New Roman" w:hAnsi="Times New Roman"/>
          <w:lang w:val="lt-LT"/>
        </w:rPr>
        <w:t>cilostazolas</w:t>
      </w:r>
      <w:proofErr w:type="spellEnd"/>
      <w:r w:rsidRPr="006C2039">
        <w:rPr>
          <w:rFonts w:ascii="Times New Roman" w:hAnsi="Times New Roman"/>
          <w:lang w:val="lt-LT"/>
        </w:rPr>
        <w:t xml:space="preserve">. Kiekvienoje tabletėje yra 50 mg arba 100 mg </w:t>
      </w:r>
      <w:proofErr w:type="spellStart"/>
      <w:r w:rsidRPr="006C2039">
        <w:rPr>
          <w:rFonts w:ascii="Times New Roman" w:hAnsi="Times New Roman"/>
          <w:lang w:val="lt-LT"/>
        </w:rPr>
        <w:t>cilostazolo</w:t>
      </w:r>
      <w:proofErr w:type="spellEnd"/>
      <w:r w:rsidRPr="006C2039">
        <w:rPr>
          <w:rFonts w:ascii="Times New Roman" w:hAnsi="Times New Roman"/>
          <w:lang w:val="lt-LT"/>
        </w:rPr>
        <w:t>.</w:t>
      </w:r>
    </w:p>
    <w:p w:rsidR="00C5357B" w:rsidRPr="006C2039" w:rsidRDefault="00C5357B" w:rsidP="00C5357B">
      <w:pPr>
        <w:pStyle w:val="Sraopastraipa"/>
        <w:numPr>
          <w:ilvl w:val="0"/>
          <w:numId w:val="17"/>
        </w:numPr>
        <w:spacing w:after="0" w:line="240" w:lineRule="auto"/>
        <w:rPr>
          <w:rFonts w:ascii="Times New Roman" w:hAnsi="Times New Roman"/>
          <w:lang w:val="lt-LT"/>
        </w:rPr>
      </w:pPr>
      <w:r w:rsidRPr="006C2039">
        <w:rPr>
          <w:rFonts w:ascii="Times New Roman" w:hAnsi="Times New Roman"/>
          <w:lang w:val="lt-LT"/>
        </w:rPr>
        <w:t xml:space="preserve">Pagalbinės medžiagos yra </w:t>
      </w:r>
      <w:proofErr w:type="spellStart"/>
      <w:r w:rsidRPr="006C2039">
        <w:rPr>
          <w:rFonts w:ascii="Times New Roman" w:hAnsi="Times New Roman"/>
          <w:lang w:val="lt-LT"/>
        </w:rPr>
        <w:t>mikrokristalinė</w:t>
      </w:r>
      <w:proofErr w:type="spellEnd"/>
      <w:r w:rsidRPr="006C2039">
        <w:rPr>
          <w:rFonts w:ascii="Times New Roman" w:hAnsi="Times New Roman"/>
          <w:lang w:val="lt-LT"/>
        </w:rPr>
        <w:t xml:space="preserve"> celiuliozė, kukurūzų krakmolas, </w:t>
      </w:r>
      <w:proofErr w:type="spellStart"/>
      <w:r w:rsidRPr="006C2039">
        <w:rPr>
          <w:rFonts w:ascii="Times New Roman" w:hAnsi="Times New Roman"/>
          <w:lang w:val="lt-LT"/>
        </w:rPr>
        <w:t>karmeliozės</w:t>
      </w:r>
      <w:proofErr w:type="spellEnd"/>
      <w:r w:rsidRPr="006C2039">
        <w:rPr>
          <w:rFonts w:ascii="Times New Roman" w:hAnsi="Times New Roman"/>
          <w:lang w:val="lt-LT"/>
        </w:rPr>
        <w:t xml:space="preserve"> kalcio druska, </w:t>
      </w:r>
      <w:proofErr w:type="spellStart"/>
      <w:r w:rsidRPr="006C2039">
        <w:rPr>
          <w:rFonts w:ascii="Times New Roman" w:hAnsi="Times New Roman"/>
          <w:lang w:val="lt-LT"/>
        </w:rPr>
        <w:t>hipromeliozė</w:t>
      </w:r>
      <w:proofErr w:type="spellEnd"/>
      <w:r w:rsidRPr="006C2039">
        <w:rPr>
          <w:rFonts w:ascii="Times New Roman" w:hAnsi="Times New Roman"/>
          <w:lang w:val="lt-LT"/>
        </w:rPr>
        <w:t xml:space="preserve"> 2910 ir magnio </w:t>
      </w:r>
      <w:proofErr w:type="spellStart"/>
      <w:r w:rsidRPr="006C2039">
        <w:rPr>
          <w:rFonts w:ascii="Times New Roman" w:hAnsi="Times New Roman"/>
          <w:lang w:val="lt-LT"/>
        </w:rPr>
        <w:t>stearatas</w:t>
      </w:r>
      <w:proofErr w:type="spellEnd"/>
      <w:r w:rsidRPr="006C2039">
        <w:rPr>
          <w:rFonts w:ascii="Times New Roman" w:hAnsi="Times New Roman"/>
          <w:lang w:val="lt-LT"/>
        </w:rPr>
        <w:t>.</w:t>
      </w:r>
    </w:p>
    <w:p w:rsidR="00C5357B" w:rsidRPr="00B15D3A" w:rsidRDefault="00C5357B" w:rsidP="00C5357B">
      <w:pPr>
        <w:autoSpaceDE w:val="0"/>
        <w:autoSpaceDN w:val="0"/>
        <w:adjustRightInd w:val="0"/>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proofErr w:type="spellStart"/>
      <w:r w:rsidRPr="00B15D3A">
        <w:rPr>
          <w:rFonts w:ascii="Times New Roman" w:hAnsi="Times New Roman"/>
          <w:b/>
          <w:lang w:val="lt-LT"/>
        </w:rPr>
        <w:t>Sollazon</w:t>
      </w:r>
      <w:proofErr w:type="spellEnd"/>
      <w:r w:rsidRPr="00B15D3A">
        <w:rPr>
          <w:rFonts w:ascii="Times New Roman" w:hAnsi="Times New Roman"/>
          <w:b/>
          <w:lang w:val="lt-LT"/>
        </w:rPr>
        <w:t xml:space="preserve"> išvaizda ir kiekis pakuotėje</w:t>
      </w:r>
    </w:p>
    <w:p w:rsidR="00C5357B" w:rsidRPr="00B15D3A" w:rsidRDefault="00C5357B" w:rsidP="00C5357B">
      <w:pPr>
        <w:spacing w:after="0" w:line="240" w:lineRule="auto"/>
        <w:rPr>
          <w:rFonts w:ascii="Times New Roman" w:hAnsi="Times New Roman"/>
          <w:lang w:val="lt-LT"/>
        </w:rPr>
      </w:pPr>
      <w:r w:rsidRPr="006C2039">
        <w:rPr>
          <w:rFonts w:ascii="Times New Roman" w:hAnsi="Times New Roman"/>
          <w:i/>
          <w:lang w:val="lt-LT"/>
        </w:rPr>
        <w:t>50 mg tabletės</w:t>
      </w:r>
      <w:r>
        <w:rPr>
          <w:rFonts w:ascii="Times New Roman" w:hAnsi="Times New Roman"/>
          <w:i/>
          <w:lang w:val="lt-LT"/>
        </w:rPr>
        <w:t xml:space="preserve">. </w:t>
      </w:r>
      <w:r>
        <w:rPr>
          <w:rFonts w:ascii="Times New Roman" w:hAnsi="Times New Roman"/>
          <w:lang w:val="lt-LT"/>
        </w:rPr>
        <w:t>B</w:t>
      </w:r>
      <w:r w:rsidRPr="00B15D3A">
        <w:rPr>
          <w:rFonts w:ascii="Times New Roman" w:hAnsi="Times New Roman"/>
          <w:lang w:val="lt-LT"/>
        </w:rPr>
        <w:t>ekvapės ar beveik bekvapės, baltos arba beveik baltos, apvalios, plokščios tabletės nuožul</w:t>
      </w:r>
      <w:r>
        <w:rPr>
          <w:rFonts w:ascii="Times New Roman" w:hAnsi="Times New Roman"/>
          <w:lang w:val="lt-LT"/>
        </w:rPr>
        <w:t>n</w:t>
      </w:r>
      <w:r w:rsidRPr="00B15D3A">
        <w:rPr>
          <w:rFonts w:ascii="Times New Roman" w:hAnsi="Times New Roman"/>
          <w:lang w:val="lt-LT"/>
        </w:rPr>
        <w:t>iais kraštais. Vienoje tabletės pusėje yra įspausta stilizuota “E”, kitoje – kodas “601”.</w:t>
      </w:r>
    </w:p>
    <w:p w:rsidR="00C5357B" w:rsidRPr="00B15D3A" w:rsidRDefault="00C5357B" w:rsidP="00C5357B">
      <w:pPr>
        <w:spacing w:after="0" w:line="240" w:lineRule="auto"/>
        <w:rPr>
          <w:rFonts w:ascii="Times New Roman" w:hAnsi="Times New Roman"/>
          <w:lang w:val="lt-LT"/>
        </w:rPr>
      </w:pPr>
      <w:r w:rsidRPr="006C2039">
        <w:rPr>
          <w:rFonts w:ascii="Times New Roman" w:hAnsi="Times New Roman"/>
          <w:i/>
          <w:lang w:val="lt-LT"/>
        </w:rPr>
        <w:t>100 mg tabletės</w:t>
      </w:r>
      <w:r>
        <w:rPr>
          <w:rFonts w:ascii="Times New Roman" w:hAnsi="Times New Roman"/>
          <w:lang w:val="lt-LT"/>
        </w:rPr>
        <w:t>.</w:t>
      </w:r>
      <w:r w:rsidRPr="00B15D3A">
        <w:rPr>
          <w:rFonts w:ascii="Times New Roman" w:hAnsi="Times New Roman"/>
          <w:lang w:val="lt-LT"/>
        </w:rPr>
        <w:t xml:space="preserve"> </w:t>
      </w:r>
      <w:r>
        <w:rPr>
          <w:rFonts w:ascii="Times New Roman" w:hAnsi="Times New Roman"/>
          <w:lang w:val="lt-LT"/>
        </w:rPr>
        <w:t>B</w:t>
      </w:r>
      <w:r w:rsidRPr="00B15D3A">
        <w:rPr>
          <w:rFonts w:ascii="Times New Roman" w:hAnsi="Times New Roman"/>
          <w:lang w:val="lt-LT"/>
        </w:rPr>
        <w:t>ekvapės ar beveik bekvapės, baltos arba beveik baltos, apvalios, plokščios tabletės nuožulniais kraštais. Vienoje tabletės pusėje yra įspausta stilizuota “E” ir kodas “602”, kita pusė yra lygi.</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Pr>
          <w:rFonts w:ascii="Times New Roman" w:hAnsi="Times New Roman"/>
          <w:lang w:val="lt-LT"/>
        </w:rPr>
        <w:t xml:space="preserve">Kartono dėžutėje </w:t>
      </w:r>
      <w:r w:rsidRPr="00B15D3A">
        <w:rPr>
          <w:rFonts w:ascii="Times New Roman" w:hAnsi="Times New Roman"/>
          <w:lang w:val="lt-LT"/>
        </w:rPr>
        <w:t>yra 28 (2x14), 56 (4x14) arba 98 (7x14) tabletės</w:t>
      </w:r>
      <w:r>
        <w:rPr>
          <w:rFonts w:ascii="Times New Roman" w:hAnsi="Times New Roman"/>
          <w:lang w:val="lt-LT"/>
        </w:rPr>
        <w:t xml:space="preserve"> PVC/</w:t>
      </w:r>
      <w:proofErr w:type="spellStart"/>
      <w:r>
        <w:rPr>
          <w:rFonts w:ascii="Times New Roman" w:hAnsi="Times New Roman"/>
          <w:lang w:val="lt-LT"/>
        </w:rPr>
        <w:t>PVdC</w:t>
      </w:r>
      <w:proofErr w:type="spellEnd"/>
      <w:r>
        <w:rPr>
          <w:rFonts w:ascii="Times New Roman" w:hAnsi="Times New Roman"/>
          <w:lang w:val="lt-LT"/>
        </w:rPr>
        <w:t>/aliuminio folijos lizdinėse plokštelėse</w:t>
      </w:r>
      <w:r w:rsidRPr="00B15D3A">
        <w:rPr>
          <w:rFonts w:ascii="Times New Roman" w:hAnsi="Times New Roman"/>
          <w:lang w:val="lt-LT"/>
        </w:rPr>
        <w:t xml:space="preserve"> </w:t>
      </w:r>
      <w:r>
        <w:rPr>
          <w:rFonts w:ascii="Times New Roman" w:hAnsi="Times New Roman"/>
          <w:lang w:val="lt-LT"/>
        </w:rPr>
        <w:t>ir</w:t>
      </w:r>
      <w:r w:rsidRPr="00B15D3A">
        <w:rPr>
          <w:rFonts w:ascii="Times New Roman" w:hAnsi="Times New Roman"/>
          <w:lang w:val="lt-LT"/>
        </w:rPr>
        <w:t xml:space="preserve"> pakuotės lapeli</w:t>
      </w:r>
      <w:r>
        <w:rPr>
          <w:rFonts w:ascii="Times New Roman" w:hAnsi="Times New Roman"/>
          <w:lang w:val="lt-LT"/>
        </w:rPr>
        <w:t>s</w:t>
      </w:r>
      <w:r w:rsidRPr="00B15D3A">
        <w:rPr>
          <w:rFonts w:ascii="Times New Roman" w:hAnsi="Times New Roman"/>
          <w:lang w:val="lt-LT"/>
        </w:rPr>
        <w:t>.</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Gali būti tiekiamos ne visų dydžių pakuotės.</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365092">
        <w:rPr>
          <w:rFonts w:ascii="Times New Roman" w:hAnsi="Times New Roman"/>
          <w:b/>
          <w:lang w:val="lt-LT"/>
        </w:rPr>
        <w:t>Registruotojas</w:t>
      </w:r>
      <w:r w:rsidRPr="00B15D3A">
        <w:rPr>
          <w:rFonts w:ascii="Times New Roman" w:hAnsi="Times New Roman"/>
          <w:b/>
          <w:lang w:val="lt-LT"/>
        </w:rPr>
        <w:t xml:space="preserve"> ir gamintojas</w:t>
      </w:r>
    </w:p>
    <w:p w:rsidR="00C5357B" w:rsidRPr="00B15D3A" w:rsidRDefault="00C5357B" w:rsidP="00C5357B">
      <w:pPr>
        <w:spacing w:after="0" w:line="240" w:lineRule="auto"/>
        <w:rPr>
          <w:rFonts w:ascii="Times New Roman" w:hAnsi="Times New Roman"/>
          <w:lang w:val="hu-HU"/>
        </w:rPr>
      </w:pPr>
    </w:p>
    <w:p w:rsidR="00C5357B" w:rsidRPr="00B15D3A" w:rsidRDefault="00C5357B" w:rsidP="00C5357B">
      <w:pPr>
        <w:spacing w:after="0" w:line="240" w:lineRule="auto"/>
        <w:rPr>
          <w:rFonts w:ascii="Times New Roman" w:hAnsi="Times New Roman"/>
          <w:i/>
          <w:lang w:val="hu-HU"/>
        </w:rPr>
      </w:pPr>
      <w:r w:rsidRPr="00365092">
        <w:rPr>
          <w:rFonts w:ascii="Times New Roman" w:hAnsi="Times New Roman"/>
          <w:i/>
          <w:lang w:val="lt-LT"/>
        </w:rPr>
        <w:t>Registruotojas</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EGIS Pharmaceuticals PLC</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1106 Budapest, Keresztúri út 30-38.</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Vengrija</w:t>
      </w:r>
    </w:p>
    <w:p w:rsidR="00C5357B" w:rsidRPr="00B15D3A" w:rsidRDefault="00C5357B" w:rsidP="00C5357B">
      <w:pPr>
        <w:numPr>
          <w:ilvl w:val="12"/>
          <w:numId w:val="0"/>
        </w:numPr>
        <w:spacing w:after="0" w:line="240" w:lineRule="auto"/>
        <w:ind w:right="-2"/>
        <w:rPr>
          <w:rFonts w:ascii="Times New Roman" w:hAnsi="Times New Roman"/>
          <w:lang w:val="lt-LT"/>
        </w:rPr>
      </w:pPr>
    </w:p>
    <w:p w:rsidR="00C5357B" w:rsidRPr="00B15D3A" w:rsidRDefault="00C5357B" w:rsidP="00C5357B">
      <w:pPr>
        <w:numPr>
          <w:ilvl w:val="12"/>
          <w:numId w:val="0"/>
        </w:numPr>
        <w:spacing w:after="0" w:line="240" w:lineRule="auto"/>
        <w:ind w:right="-2"/>
        <w:rPr>
          <w:rFonts w:ascii="Times New Roman" w:hAnsi="Times New Roman"/>
          <w:i/>
          <w:lang w:val="lt-LT"/>
        </w:rPr>
      </w:pPr>
      <w:r w:rsidRPr="00B15D3A">
        <w:rPr>
          <w:rFonts w:ascii="Times New Roman" w:hAnsi="Times New Roman"/>
          <w:i/>
          <w:lang w:val="lt-LT"/>
        </w:rPr>
        <w:t>Gamintojas</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EGIS Pharmaceuticals PLC</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1165 Budapest, Bökényföldi út 118-120.</w:t>
      </w:r>
    </w:p>
    <w:p w:rsidR="00C5357B" w:rsidRPr="00B15D3A" w:rsidRDefault="00C5357B" w:rsidP="00C5357B">
      <w:pPr>
        <w:spacing w:after="0" w:line="240" w:lineRule="auto"/>
        <w:rPr>
          <w:rFonts w:ascii="Times New Roman" w:hAnsi="Times New Roman"/>
          <w:lang w:val="hu-HU"/>
        </w:rPr>
      </w:pPr>
      <w:r w:rsidRPr="00B15D3A">
        <w:rPr>
          <w:rFonts w:ascii="Times New Roman" w:hAnsi="Times New Roman"/>
          <w:lang w:val="hu-HU"/>
        </w:rPr>
        <w:t>Vengrija</w:t>
      </w:r>
    </w:p>
    <w:p w:rsidR="00C5357B" w:rsidRPr="00B15D3A" w:rsidRDefault="00C5357B" w:rsidP="00C5357B">
      <w:pPr>
        <w:spacing w:after="0" w:line="240" w:lineRule="auto"/>
        <w:rPr>
          <w:rFonts w:ascii="Times New Roman" w:hAnsi="Times New Roman"/>
          <w:lang w:val="hu-HU"/>
        </w:rPr>
      </w:pPr>
    </w:p>
    <w:p w:rsidR="00C5357B" w:rsidRPr="00B15D3A" w:rsidRDefault="00C5357B" w:rsidP="00C5357B">
      <w:pPr>
        <w:numPr>
          <w:ilvl w:val="12"/>
          <w:numId w:val="0"/>
        </w:numPr>
        <w:spacing w:after="0" w:line="240" w:lineRule="auto"/>
        <w:ind w:right="-2"/>
        <w:rPr>
          <w:rFonts w:ascii="Times New Roman" w:hAnsi="Times New Roman"/>
          <w:lang w:val="lt-LT"/>
        </w:rPr>
      </w:pPr>
      <w:r w:rsidRPr="00B15D3A">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B15D3A">
        <w:rPr>
          <w:rFonts w:ascii="Times New Roman" w:hAnsi="Times New Roman"/>
          <w:lang w:val="lt-LT"/>
        </w:rPr>
        <w:t xml:space="preserve"> atstovą:</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EGIS PHARMACEUTICALS PLC atstovybė</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Latvių g. 11-2, LT-08123 Vilnius</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Tel.:+370 5 231 4658</w:t>
      </w: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lang w:val="lt-LT"/>
        </w:rPr>
        <w:t>Faks.: +370 5 210 7033</w:t>
      </w:r>
    </w:p>
    <w:p w:rsidR="00C5357B" w:rsidRPr="00B15D3A" w:rsidRDefault="00C5357B" w:rsidP="00C5357B">
      <w:pPr>
        <w:spacing w:after="0" w:line="240" w:lineRule="auto"/>
        <w:rPr>
          <w:rFonts w:ascii="Times New Roman" w:hAnsi="Times New Roman"/>
          <w:lang w:val="nb-NO"/>
        </w:rPr>
      </w:pPr>
      <w:r w:rsidRPr="00B15D3A">
        <w:rPr>
          <w:rFonts w:ascii="Times New Roman" w:hAnsi="Times New Roman"/>
          <w:lang w:val="lt-LT"/>
        </w:rPr>
        <w:t xml:space="preserve">El. paštas: </w:t>
      </w:r>
      <w:hyperlink r:id="rId8" w:history="1">
        <w:r w:rsidRPr="00B15D3A">
          <w:rPr>
            <w:rFonts w:ascii="Times New Roman" w:hAnsi="Times New Roman"/>
            <w:u w:val="single"/>
            <w:lang w:val="lt-LT"/>
          </w:rPr>
          <w:t>info@egis.lt</w:t>
        </w:r>
      </w:hyperlink>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120" w:line="240" w:lineRule="auto"/>
        <w:rPr>
          <w:rFonts w:ascii="Times New Roman" w:hAnsi="Times New Roman"/>
          <w:lang w:val="lt-LT"/>
        </w:rPr>
      </w:pPr>
      <w:r w:rsidRPr="00B15D3A">
        <w:rPr>
          <w:rFonts w:ascii="Times New Roman" w:hAnsi="Times New Roman"/>
          <w:b/>
          <w:lang w:val="lt-LT"/>
        </w:rPr>
        <w:t>Ši</w:t>
      </w:r>
      <w:r>
        <w:rPr>
          <w:rFonts w:ascii="Times New Roman" w:hAnsi="Times New Roman"/>
          <w:b/>
          <w:lang w:val="lt-LT"/>
        </w:rPr>
        <w:t>s</w:t>
      </w:r>
      <w:r w:rsidRPr="00B15D3A">
        <w:rPr>
          <w:rFonts w:ascii="Times New Roman" w:hAnsi="Times New Roman"/>
          <w:b/>
          <w:lang w:val="lt-LT"/>
        </w:rPr>
        <w:t xml:space="preserve"> vaist</w:t>
      </w:r>
      <w:r>
        <w:rPr>
          <w:rFonts w:ascii="Times New Roman" w:hAnsi="Times New Roman"/>
          <w:b/>
          <w:lang w:val="lt-LT"/>
        </w:rPr>
        <w:t>as</w:t>
      </w:r>
      <w:r w:rsidRPr="00B15D3A">
        <w:rPr>
          <w:rFonts w:ascii="Times New Roman" w:hAnsi="Times New Roman"/>
          <w:b/>
          <w:lang w:val="lt-LT"/>
        </w:rPr>
        <w:t xml:space="preserve"> </w:t>
      </w:r>
      <w:proofErr w:type="spellStart"/>
      <w:r w:rsidRPr="008F6248">
        <w:rPr>
          <w:rFonts w:ascii="Times New Roman" w:hAnsi="Times New Roman" w:cs="Times New Roman"/>
          <w:b/>
          <w:snapToGrid w:val="0"/>
        </w:rPr>
        <w:t>Europos</w:t>
      </w:r>
      <w:proofErr w:type="spellEnd"/>
      <w:r w:rsidRPr="008F6248">
        <w:rPr>
          <w:rFonts w:ascii="Times New Roman" w:hAnsi="Times New Roman" w:cs="Times New Roman"/>
          <w:b/>
          <w:snapToGrid w:val="0"/>
        </w:rPr>
        <w:t xml:space="preserve"> </w:t>
      </w:r>
      <w:proofErr w:type="spellStart"/>
      <w:r w:rsidRPr="008F6248">
        <w:rPr>
          <w:rFonts w:ascii="Times New Roman" w:hAnsi="Times New Roman" w:cs="Times New Roman"/>
          <w:b/>
          <w:snapToGrid w:val="0"/>
        </w:rPr>
        <w:t>ekonominės</w:t>
      </w:r>
      <w:proofErr w:type="spellEnd"/>
      <w:r w:rsidRPr="008F6248">
        <w:rPr>
          <w:rFonts w:ascii="Times New Roman" w:hAnsi="Times New Roman" w:cs="Times New Roman"/>
          <w:b/>
          <w:snapToGrid w:val="0"/>
        </w:rPr>
        <w:t xml:space="preserve"> </w:t>
      </w:r>
      <w:proofErr w:type="spellStart"/>
      <w:r w:rsidRPr="008F6248">
        <w:rPr>
          <w:rFonts w:ascii="Times New Roman" w:hAnsi="Times New Roman" w:cs="Times New Roman"/>
          <w:b/>
          <w:snapToGrid w:val="0"/>
        </w:rPr>
        <w:t>erdvės</w:t>
      </w:r>
      <w:proofErr w:type="spellEnd"/>
      <w:r>
        <w:rPr>
          <w:b/>
          <w:snapToGrid w:val="0"/>
        </w:rPr>
        <w:t xml:space="preserve"> </w:t>
      </w:r>
      <w:r w:rsidRPr="00B15D3A">
        <w:rPr>
          <w:rFonts w:ascii="Times New Roman" w:hAnsi="Times New Roman"/>
          <w:b/>
          <w:lang w:val="lt-LT"/>
        </w:rPr>
        <w:t xml:space="preserve"> valstybėse narėse </w:t>
      </w:r>
      <w:r w:rsidRPr="00B36603">
        <w:rPr>
          <w:rFonts w:ascii="Times New Roman" w:hAnsi="Times New Roman"/>
          <w:b/>
          <w:lang w:val="lt-LT"/>
        </w:rPr>
        <w:t>registruotas</w:t>
      </w:r>
      <w:r>
        <w:rPr>
          <w:rFonts w:ascii="Times New Roman" w:hAnsi="Times New Roman"/>
          <w:b/>
          <w:lang w:val="lt-LT"/>
        </w:rPr>
        <w:t xml:space="preserve"> </w:t>
      </w:r>
      <w:r w:rsidRPr="00B15D3A">
        <w:rPr>
          <w:rFonts w:ascii="Times New Roman" w:hAnsi="Times New Roman"/>
          <w:b/>
          <w:lang w:val="lt-LT"/>
        </w:rPr>
        <w:t>tokiais pavadinimais</w:t>
      </w:r>
      <w:r w:rsidRPr="00B15D3A">
        <w:rPr>
          <w:rFonts w:ascii="Times New Roman" w:hAnsi="Times New Roman"/>
          <w:lang w:val="lt-LT"/>
        </w:rPr>
        <w:t>:</w:t>
      </w:r>
    </w:p>
    <w:p w:rsidR="00C5357B" w:rsidRPr="00B15D3A" w:rsidRDefault="00C5357B" w:rsidP="00C5357B">
      <w:pPr>
        <w:spacing w:after="0" w:line="240" w:lineRule="auto"/>
        <w:ind w:left="567" w:hanging="567"/>
        <w:rPr>
          <w:rFonts w:ascii="Times New Roman" w:hAnsi="Times New Roman"/>
          <w:lang w:val="lt-LT"/>
        </w:rPr>
      </w:pPr>
    </w:p>
    <w:tbl>
      <w:tblPr>
        <w:tblW w:w="0" w:type="auto"/>
        <w:tblInd w:w="108" w:type="dxa"/>
        <w:tblLook w:val="04A0" w:firstRow="1" w:lastRow="0" w:firstColumn="1" w:lastColumn="0" w:noHBand="0" w:noVBand="1"/>
      </w:tblPr>
      <w:tblGrid>
        <w:gridCol w:w="1407"/>
        <w:gridCol w:w="7555"/>
      </w:tblGrid>
      <w:tr w:rsidR="00C5357B" w:rsidRPr="00E30216" w:rsidTr="00502741">
        <w:tc>
          <w:tcPr>
            <w:tcW w:w="1407"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lt-LT"/>
              </w:rPr>
              <w:t>Vengrija</w:t>
            </w:r>
          </w:p>
        </w:tc>
        <w:tc>
          <w:tcPr>
            <w:tcW w:w="7555" w:type="dxa"/>
            <w:shd w:val="clear" w:color="auto" w:fill="auto"/>
          </w:tcPr>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Noclaud 50 mg tabletta</w:t>
            </w:r>
          </w:p>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Noclaud 100 mg tabletta</w:t>
            </w:r>
          </w:p>
        </w:tc>
      </w:tr>
      <w:tr w:rsidR="00C5357B" w:rsidRPr="00E30216" w:rsidTr="00502741">
        <w:tc>
          <w:tcPr>
            <w:tcW w:w="1407"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lt-LT"/>
              </w:rPr>
              <w:t>Čekija</w:t>
            </w:r>
          </w:p>
        </w:tc>
        <w:tc>
          <w:tcPr>
            <w:tcW w:w="7555" w:type="dxa"/>
            <w:shd w:val="clear" w:color="auto" w:fill="auto"/>
          </w:tcPr>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Noclaud </w:t>
            </w:r>
          </w:p>
        </w:tc>
      </w:tr>
      <w:tr w:rsidR="00C5357B" w:rsidRPr="00E30216" w:rsidTr="00502741">
        <w:tc>
          <w:tcPr>
            <w:tcW w:w="1407"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lt-LT"/>
              </w:rPr>
              <w:t>Latvija</w:t>
            </w:r>
          </w:p>
        </w:tc>
        <w:tc>
          <w:tcPr>
            <w:tcW w:w="7555" w:type="dxa"/>
            <w:shd w:val="clear" w:color="auto" w:fill="auto"/>
          </w:tcPr>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Sollazon 50 mg tabletes</w:t>
            </w:r>
          </w:p>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Sollazon 100 mg tabletes</w:t>
            </w:r>
          </w:p>
        </w:tc>
      </w:tr>
      <w:tr w:rsidR="00C5357B" w:rsidRPr="00E30216" w:rsidTr="00502741">
        <w:tc>
          <w:tcPr>
            <w:tcW w:w="1407"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lt-LT"/>
              </w:rPr>
              <w:lastRenderedPageBreak/>
              <w:t>Lietuva</w:t>
            </w:r>
          </w:p>
        </w:tc>
        <w:tc>
          <w:tcPr>
            <w:tcW w:w="7555" w:type="dxa"/>
            <w:shd w:val="clear" w:color="auto" w:fill="auto"/>
          </w:tcPr>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Sollazon 50 mg tabletės</w:t>
            </w:r>
          </w:p>
          <w:p w:rsidR="00C5357B" w:rsidRPr="00B15D3A" w:rsidRDefault="00C5357B" w:rsidP="00502741">
            <w:pPr>
              <w:spacing w:after="0" w:line="240" w:lineRule="auto"/>
              <w:rPr>
                <w:rFonts w:ascii="Times New Roman" w:hAnsi="Times New Roman"/>
                <w:lang w:val="hu-HU"/>
              </w:rPr>
            </w:pPr>
            <w:r w:rsidRPr="00B15D3A">
              <w:rPr>
                <w:rFonts w:ascii="Times New Roman" w:hAnsi="Times New Roman"/>
                <w:lang w:val="hu-HU"/>
              </w:rPr>
              <w:t>Sollazon 100 mg tabletės</w:t>
            </w:r>
          </w:p>
        </w:tc>
      </w:tr>
      <w:tr w:rsidR="00C5357B" w:rsidRPr="00E30216" w:rsidTr="00502741">
        <w:tc>
          <w:tcPr>
            <w:tcW w:w="1407"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lt-LT"/>
              </w:rPr>
              <w:t>Lenkija</w:t>
            </w:r>
          </w:p>
        </w:tc>
        <w:tc>
          <w:tcPr>
            <w:tcW w:w="7555" w:type="dxa"/>
            <w:shd w:val="clear" w:color="auto" w:fill="auto"/>
          </w:tcPr>
          <w:p w:rsidR="00C5357B" w:rsidRPr="00B15D3A" w:rsidRDefault="00C5357B" w:rsidP="00502741">
            <w:pPr>
              <w:spacing w:after="0" w:line="240" w:lineRule="auto"/>
              <w:rPr>
                <w:rFonts w:ascii="Times New Roman" w:hAnsi="Times New Roman"/>
                <w:lang w:val="lt-LT"/>
              </w:rPr>
            </w:pPr>
            <w:r w:rsidRPr="00B15D3A">
              <w:rPr>
                <w:rFonts w:ascii="Times New Roman" w:hAnsi="Times New Roman"/>
                <w:lang w:val="hu-HU"/>
              </w:rPr>
              <w:t>Noclaud</w:t>
            </w:r>
          </w:p>
        </w:tc>
      </w:tr>
    </w:tbl>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lang w:val="lt-LT"/>
        </w:rPr>
      </w:pPr>
      <w:r w:rsidRPr="00B15D3A">
        <w:rPr>
          <w:rFonts w:ascii="Times New Roman" w:hAnsi="Times New Roman"/>
          <w:b/>
          <w:lang w:val="lt-LT"/>
        </w:rPr>
        <w:t>Šis pakuotės lapelis paskutinį kartą peržiūrėtas</w:t>
      </w:r>
      <w:r>
        <w:rPr>
          <w:rFonts w:ascii="Times New Roman" w:hAnsi="Times New Roman"/>
          <w:b/>
          <w:lang w:val="lt-LT"/>
        </w:rPr>
        <w:t xml:space="preserve"> 2022-03-03.</w:t>
      </w:r>
    </w:p>
    <w:p w:rsidR="00C5357B" w:rsidRPr="00B15D3A" w:rsidRDefault="00C5357B" w:rsidP="00C5357B">
      <w:pPr>
        <w:spacing w:after="0" w:line="240" w:lineRule="auto"/>
        <w:rPr>
          <w:rFonts w:ascii="Times New Roman" w:hAnsi="Times New Roman"/>
          <w:lang w:val="lt-LT"/>
        </w:rPr>
      </w:pPr>
    </w:p>
    <w:p w:rsidR="00C5357B" w:rsidRPr="00B15D3A" w:rsidRDefault="00C5357B" w:rsidP="00C5357B">
      <w:pPr>
        <w:spacing w:after="0" w:line="240" w:lineRule="auto"/>
        <w:rPr>
          <w:rFonts w:ascii="Times New Roman" w:hAnsi="Times New Roman"/>
          <w:b/>
          <w:lang w:val="lt-LT"/>
        </w:rPr>
      </w:pPr>
      <w:r w:rsidRPr="00B15D3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9" w:history="1">
        <w:r w:rsidRPr="00B15D3A">
          <w:rPr>
            <w:rFonts w:ascii="Times New Roman" w:hAnsi="Times New Roman"/>
            <w:color w:val="0000FF"/>
            <w:u w:val="single"/>
            <w:lang w:val="lt-LT"/>
          </w:rPr>
          <w:t>http://www.vvkt.lt/</w:t>
        </w:r>
      </w:hyperlink>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1DC"/>
    <w:multiLevelType w:val="hybridMultilevel"/>
    <w:tmpl w:val="D6C2841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23727"/>
    <w:multiLevelType w:val="hybridMultilevel"/>
    <w:tmpl w:val="30FEE8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D7FB4"/>
    <w:multiLevelType w:val="hybridMultilevel"/>
    <w:tmpl w:val="E528C28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C7594"/>
    <w:multiLevelType w:val="hybridMultilevel"/>
    <w:tmpl w:val="1A92AA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A6D26"/>
    <w:multiLevelType w:val="hybridMultilevel"/>
    <w:tmpl w:val="4170E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BD1428"/>
    <w:multiLevelType w:val="hybridMultilevel"/>
    <w:tmpl w:val="54DAA93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91591"/>
    <w:multiLevelType w:val="hybridMultilevel"/>
    <w:tmpl w:val="11147134"/>
    <w:lvl w:ilvl="0" w:tplc="DA3A7878">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FF0B1A"/>
    <w:multiLevelType w:val="hybridMultilevel"/>
    <w:tmpl w:val="EB7ECD2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6079E"/>
    <w:multiLevelType w:val="hybridMultilevel"/>
    <w:tmpl w:val="D946F13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34EBE"/>
    <w:multiLevelType w:val="hybridMultilevel"/>
    <w:tmpl w:val="4CB42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147655"/>
    <w:multiLevelType w:val="hybridMultilevel"/>
    <w:tmpl w:val="FEBC0FF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51AC5"/>
    <w:multiLevelType w:val="hybridMultilevel"/>
    <w:tmpl w:val="5058ABD2"/>
    <w:lvl w:ilvl="0" w:tplc="A0B6E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9607A"/>
    <w:multiLevelType w:val="hybridMultilevel"/>
    <w:tmpl w:val="D6F4D48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C49B1"/>
    <w:multiLevelType w:val="hybridMultilevel"/>
    <w:tmpl w:val="9B2687F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950C5"/>
    <w:multiLevelType w:val="hybridMultilevel"/>
    <w:tmpl w:val="CDDAD67A"/>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B1A3C"/>
    <w:multiLevelType w:val="hybridMultilevel"/>
    <w:tmpl w:val="63FC4F6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5"/>
  </w:num>
  <w:num w:numId="5">
    <w:abstractNumId w:val="15"/>
  </w:num>
  <w:num w:numId="6">
    <w:abstractNumId w:val="3"/>
  </w:num>
  <w:num w:numId="7">
    <w:abstractNumId w:val="16"/>
  </w:num>
  <w:num w:numId="8">
    <w:abstractNumId w:val="8"/>
  </w:num>
  <w:num w:numId="9">
    <w:abstractNumId w:val="7"/>
  </w:num>
  <w:num w:numId="10">
    <w:abstractNumId w:val="1"/>
  </w:num>
  <w:num w:numId="11">
    <w:abstractNumId w:val="14"/>
  </w:num>
  <w:num w:numId="12">
    <w:abstractNumId w:val="12"/>
  </w:num>
  <w:num w:numId="13">
    <w:abstractNumId w:val="2"/>
  </w:num>
  <w:num w:numId="14">
    <w:abstractNumId w:val="10"/>
  </w:num>
  <w:num w:numId="15">
    <w:abstractNumId w:val="4"/>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7B"/>
    <w:rsid w:val="00234094"/>
    <w:rsid w:val="009041DB"/>
    <w:rsid w:val="00C5357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4671E-969E-4759-A4A0-7EE583E3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357B"/>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5357B"/>
    <w:rPr>
      <w:color w:val="0000FF"/>
      <w:u w:val="single"/>
    </w:rPr>
  </w:style>
  <w:style w:type="paragraph" w:styleId="Sraopastraipa">
    <w:name w:val="List Paragraph"/>
    <w:basedOn w:val="prastasis"/>
    <w:uiPriority w:val="34"/>
    <w:qFormat/>
    <w:rsid w:val="00C53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is.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9712</Words>
  <Characters>5536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2022-03-18T09:03:00Z</dcterms:created>
  <dcterms:modified xsi:type="dcterms:W3CDTF">2022-03-18T09:04:00Z</dcterms:modified>
</cp:coreProperties>
</file>