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2E687" w14:textId="77777777" w:rsidR="005A7416" w:rsidRPr="00112B89" w:rsidRDefault="005A7416" w:rsidP="0085684D">
      <w:pPr>
        <w:spacing w:after="0" w:line="240" w:lineRule="auto"/>
        <w:jc w:val="center"/>
        <w:rPr>
          <w:rFonts w:ascii="Times New Roman" w:hAnsi="Times New Roman"/>
          <w:b/>
        </w:rPr>
      </w:pPr>
    </w:p>
    <w:p w14:paraId="35C2A162" w14:textId="77777777" w:rsidR="005A7416" w:rsidRPr="00112B89" w:rsidRDefault="005A7416" w:rsidP="0085684D">
      <w:pPr>
        <w:spacing w:after="0" w:line="240" w:lineRule="auto"/>
        <w:jc w:val="center"/>
        <w:rPr>
          <w:rFonts w:ascii="Times New Roman" w:hAnsi="Times New Roman"/>
          <w:b/>
        </w:rPr>
      </w:pPr>
    </w:p>
    <w:p w14:paraId="06B60C5D" w14:textId="77777777" w:rsidR="005A7416" w:rsidRPr="00112B89" w:rsidRDefault="005A7416" w:rsidP="0085684D">
      <w:pPr>
        <w:spacing w:after="0" w:line="240" w:lineRule="auto"/>
        <w:jc w:val="center"/>
        <w:rPr>
          <w:rFonts w:ascii="Times New Roman" w:hAnsi="Times New Roman"/>
          <w:b/>
        </w:rPr>
      </w:pPr>
    </w:p>
    <w:p w14:paraId="11050482" w14:textId="77777777" w:rsidR="005A7416" w:rsidRPr="00112B89" w:rsidRDefault="005A7416" w:rsidP="0085684D">
      <w:pPr>
        <w:spacing w:after="0" w:line="240" w:lineRule="auto"/>
        <w:jc w:val="center"/>
        <w:rPr>
          <w:rFonts w:ascii="Times New Roman" w:hAnsi="Times New Roman"/>
          <w:b/>
        </w:rPr>
      </w:pPr>
    </w:p>
    <w:p w14:paraId="088AB5F6" w14:textId="77777777" w:rsidR="005A7416" w:rsidRPr="00112B89" w:rsidRDefault="005A7416" w:rsidP="0085684D">
      <w:pPr>
        <w:spacing w:after="0" w:line="240" w:lineRule="auto"/>
        <w:jc w:val="center"/>
        <w:rPr>
          <w:rFonts w:ascii="Times New Roman" w:hAnsi="Times New Roman"/>
          <w:b/>
        </w:rPr>
      </w:pPr>
    </w:p>
    <w:p w14:paraId="4C7363D3" w14:textId="77777777" w:rsidR="005A7416" w:rsidRPr="00112B89" w:rsidRDefault="005A7416" w:rsidP="0085684D">
      <w:pPr>
        <w:spacing w:after="0" w:line="240" w:lineRule="auto"/>
        <w:jc w:val="center"/>
        <w:rPr>
          <w:rFonts w:ascii="Times New Roman" w:hAnsi="Times New Roman"/>
          <w:b/>
        </w:rPr>
      </w:pPr>
    </w:p>
    <w:p w14:paraId="01C97E1B" w14:textId="77777777" w:rsidR="005A7416" w:rsidRPr="00112B89" w:rsidRDefault="005A7416" w:rsidP="0085684D">
      <w:pPr>
        <w:spacing w:after="0" w:line="240" w:lineRule="auto"/>
        <w:jc w:val="center"/>
        <w:rPr>
          <w:rFonts w:ascii="Times New Roman" w:hAnsi="Times New Roman"/>
          <w:b/>
        </w:rPr>
      </w:pPr>
    </w:p>
    <w:p w14:paraId="29F78D3A" w14:textId="77777777" w:rsidR="005A7416" w:rsidRPr="00112B89" w:rsidRDefault="005A7416" w:rsidP="0085684D">
      <w:pPr>
        <w:spacing w:after="0" w:line="240" w:lineRule="auto"/>
        <w:jc w:val="center"/>
        <w:rPr>
          <w:rFonts w:ascii="Times New Roman" w:hAnsi="Times New Roman"/>
          <w:b/>
        </w:rPr>
      </w:pPr>
    </w:p>
    <w:p w14:paraId="18F1C57D" w14:textId="77777777" w:rsidR="005A7416" w:rsidRPr="00112B89" w:rsidRDefault="005A7416" w:rsidP="0085684D">
      <w:pPr>
        <w:spacing w:after="0" w:line="240" w:lineRule="auto"/>
        <w:jc w:val="center"/>
        <w:rPr>
          <w:rFonts w:ascii="Times New Roman" w:hAnsi="Times New Roman"/>
          <w:b/>
        </w:rPr>
      </w:pPr>
    </w:p>
    <w:p w14:paraId="0E32079B" w14:textId="77777777" w:rsidR="005A7416" w:rsidRPr="00112B89" w:rsidRDefault="005A7416" w:rsidP="0085684D">
      <w:pPr>
        <w:spacing w:after="0" w:line="240" w:lineRule="auto"/>
        <w:jc w:val="center"/>
        <w:rPr>
          <w:rFonts w:ascii="Times New Roman" w:hAnsi="Times New Roman"/>
          <w:b/>
        </w:rPr>
      </w:pPr>
    </w:p>
    <w:p w14:paraId="305A8BD1" w14:textId="77777777" w:rsidR="005A7416" w:rsidRPr="00112B89" w:rsidRDefault="005A7416" w:rsidP="0085684D">
      <w:pPr>
        <w:spacing w:after="0" w:line="240" w:lineRule="auto"/>
        <w:jc w:val="center"/>
        <w:rPr>
          <w:rFonts w:ascii="Times New Roman" w:hAnsi="Times New Roman"/>
          <w:b/>
        </w:rPr>
      </w:pPr>
    </w:p>
    <w:p w14:paraId="1CB2A7D8" w14:textId="77777777" w:rsidR="005A7416" w:rsidRPr="00112B89" w:rsidRDefault="005A7416" w:rsidP="0085684D">
      <w:pPr>
        <w:spacing w:after="0" w:line="240" w:lineRule="auto"/>
        <w:jc w:val="center"/>
        <w:rPr>
          <w:rFonts w:ascii="Times New Roman" w:hAnsi="Times New Roman"/>
          <w:b/>
        </w:rPr>
      </w:pPr>
    </w:p>
    <w:p w14:paraId="0CDDD7EC" w14:textId="77777777" w:rsidR="005A7416" w:rsidRPr="00112B89" w:rsidRDefault="005A7416" w:rsidP="0085684D">
      <w:pPr>
        <w:spacing w:after="0" w:line="240" w:lineRule="auto"/>
        <w:jc w:val="center"/>
        <w:rPr>
          <w:rFonts w:ascii="Times New Roman" w:hAnsi="Times New Roman"/>
          <w:b/>
        </w:rPr>
      </w:pPr>
    </w:p>
    <w:p w14:paraId="35B13308" w14:textId="77777777" w:rsidR="005A7416" w:rsidRPr="00112B89" w:rsidRDefault="005A7416" w:rsidP="0085684D">
      <w:pPr>
        <w:spacing w:after="0" w:line="240" w:lineRule="auto"/>
        <w:jc w:val="center"/>
        <w:rPr>
          <w:rFonts w:ascii="Times New Roman" w:hAnsi="Times New Roman"/>
          <w:b/>
        </w:rPr>
      </w:pPr>
    </w:p>
    <w:p w14:paraId="69FF7985" w14:textId="77777777" w:rsidR="005A7416" w:rsidRPr="00112B89" w:rsidRDefault="005A7416" w:rsidP="0085684D">
      <w:pPr>
        <w:spacing w:after="0" w:line="240" w:lineRule="auto"/>
        <w:jc w:val="center"/>
        <w:rPr>
          <w:rFonts w:ascii="Times New Roman" w:hAnsi="Times New Roman"/>
          <w:b/>
        </w:rPr>
      </w:pPr>
    </w:p>
    <w:p w14:paraId="08E5C554" w14:textId="77777777" w:rsidR="005A7416" w:rsidRPr="00112B89" w:rsidRDefault="005A7416" w:rsidP="0085684D">
      <w:pPr>
        <w:spacing w:after="0" w:line="240" w:lineRule="auto"/>
        <w:jc w:val="center"/>
        <w:rPr>
          <w:rFonts w:ascii="Times New Roman" w:hAnsi="Times New Roman"/>
          <w:b/>
        </w:rPr>
      </w:pPr>
    </w:p>
    <w:p w14:paraId="71CFCB1B" w14:textId="77777777" w:rsidR="005A7416" w:rsidRPr="00112B89" w:rsidRDefault="005A7416" w:rsidP="0085684D">
      <w:pPr>
        <w:spacing w:after="0" w:line="240" w:lineRule="auto"/>
        <w:jc w:val="center"/>
        <w:rPr>
          <w:rFonts w:ascii="Times New Roman" w:hAnsi="Times New Roman"/>
          <w:b/>
        </w:rPr>
      </w:pPr>
    </w:p>
    <w:p w14:paraId="4BAFAF5D" w14:textId="77777777" w:rsidR="005A7416" w:rsidRPr="00112B89" w:rsidRDefault="005A7416" w:rsidP="0085684D">
      <w:pPr>
        <w:spacing w:after="0" w:line="240" w:lineRule="auto"/>
        <w:jc w:val="center"/>
        <w:rPr>
          <w:rFonts w:ascii="Times New Roman" w:hAnsi="Times New Roman"/>
          <w:b/>
        </w:rPr>
      </w:pPr>
    </w:p>
    <w:p w14:paraId="2DE753A2" w14:textId="77777777" w:rsidR="005A7416" w:rsidRPr="00112B89" w:rsidRDefault="005A7416" w:rsidP="0085684D">
      <w:pPr>
        <w:spacing w:after="0" w:line="240" w:lineRule="auto"/>
        <w:jc w:val="center"/>
        <w:rPr>
          <w:rFonts w:ascii="Times New Roman" w:hAnsi="Times New Roman"/>
          <w:b/>
        </w:rPr>
      </w:pPr>
    </w:p>
    <w:p w14:paraId="1E804751" w14:textId="77777777" w:rsidR="005A7416" w:rsidRPr="00112B89" w:rsidRDefault="005A7416" w:rsidP="0085684D">
      <w:pPr>
        <w:spacing w:after="0" w:line="240" w:lineRule="auto"/>
        <w:jc w:val="center"/>
        <w:rPr>
          <w:rFonts w:ascii="Times New Roman" w:hAnsi="Times New Roman"/>
          <w:b/>
        </w:rPr>
      </w:pPr>
    </w:p>
    <w:p w14:paraId="3A3CC39F" w14:textId="77777777" w:rsidR="005A7416" w:rsidRPr="00112B89" w:rsidRDefault="005A7416" w:rsidP="0085684D">
      <w:pPr>
        <w:spacing w:after="0" w:line="240" w:lineRule="auto"/>
        <w:jc w:val="center"/>
        <w:rPr>
          <w:rFonts w:ascii="Times New Roman" w:hAnsi="Times New Roman"/>
          <w:b/>
        </w:rPr>
      </w:pPr>
    </w:p>
    <w:p w14:paraId="48297265" w14:textId="77777777" w:rsidR="005A7416" w:rsidRPr="00112B89" w:rsidRDefault="005A7416" w:rsidP="0085684D">
      <w:pPr>
        <w:spacing w:after="0" w:line="240" w:lineRule="auto"/>
        <w:jc w:val="center"/>
        <w:rPr>
          <w:rFonts w:ascii="Times New Roman" w:hAnsi="Times New Roman"/>
          <w:b/>
        </w:rPr>
      </w:pPr>
    </w:p>
    <w:p w14:paraId="7916590A" w14:textId="77777777" w:rsidR="005A7416" w:rsidRPr="00112B89" w:rsidRDefault="005A7416" w:rsidP="0085684D">
      <w:pPr>
        <w:spacing w:after="0" w:line="240" w:lineRule="auto"/>
        <w:jc w:val="center"/>
        <w:rPr>
          <w:rFonts w:ascii="Times New Roman" w:hAnsi="Times New Roman"/>
          <w:b/>
        </w:rPr>
      </w:pPr>
    </w:p>
    <w:p w14:paraId="6962D85B" w14:textId="77777777" w:rsidR="005A7416" w:rsidRPr="00112B89" w:rsidRDefault="005A7416" w:rsidP="0085684D">
      <w:pPr>
        <w:spacing w:after="0" w:line="240" w:lineRule="auto"/>
        <w:jc w:val="center"/>
        <w:rPr>
          <w:rFonts w:ascii="Times New Roman" w:hAnsi="Times New Roman"/>
          <w:b/>
        </w:rPr>
      </w:pPr>
      <w:r w:rsidRPr="00112B89">
        <w:rPr>
          <w:rFonts w:ascii="Times New Roman" w:hAnsi="Times New Roman"/>
          <w:b/>
        </w:rPr>
        <w:t>I PRIEDAS</w:t>
      </w:r>
    </w:p>
    <w:p w14:paraId="1013017D" w14:textId="77777777" w:rsidR="005A7416" w:rsidRPr="00112B89" w:rsidRDefault="005A7416" w:rsidP="0085684D">
      <w:pPr>
        <w:spacing w:after="0" w:line="240" w:lineRule="auto"/>
        <w:jc w:val="center"/>
        <w:rPr>
          <w:rFonts w:ascii="Times New Roman" w:hAnsi="Times New Roman"/>
        </w:rPr>
      </w:pPr>
    </w:p>
    <w:p w14:paraId="442CD780"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r w:rsidRPr="00112B89">
        <w:rPr>
          <w:rFonts w:ascii="Times New Roman" w:hAnsi="Times New Roman"/>
          <w:b/>
          <w:color w:val="000000"/>
        </w:rPr>
        <w:t>PREPARATO CHARAKTERISTIKŲ SANTRAUKA</w:t>
      </w:r>
    </w:p>
    <w:p w14:paraId="07542118" w14:textId="77777777" w:rsidR="005A7416" w:rsidRPr="00112B89" w:rsidRDefault="005A7416" w:rsidP="0085684D">
      <w:pPr>
        <w:widowControl w:val="0"/>
        <w:tabs>
          <w:tab w:val="left" w:pos="708"/>
          <w:tab w:val="left" w:pos="1416"/>
          <w:tab w:val="left" w:pos="2124"/>
          <w:tab w:val="left" w:pos="2832"/>
          <w:tab w:val="left" w:pos="3540"/>
          <w:tab w:val="left" w:pos="4248"/>
          <w:tab w:val="left" w:pos="4956"/>
          <w:tab w:val="left" w:pos="7050"/>
        </w:tabs>
        <w:suppressAutoHyphens/>
        <w:autoSpaceDE w:val="0"/>
        <w:autoSpaceDN w:val="0"/>
        <w:adjustRightInd w:val="0"/>
        <w:spacing w:after="0" w:line="240" w:lineRule="auto"/>
        <w:rPr>
          <w:rFonts w:ascii="Times New Roman" w:hAnsi="Times New Roman"/>
          <w:b/>
          <w:bCs/>
          <w:color w:val="000000"/>
        </w:rPr>
      </w:pPr>
    </w:p>
    <w:p w14:paraId="41865628" w14:textId="77777777" w:rsidR="005A7416" w:rsidRPr="00112B89" w:rsidRDefault="005A7416" w:rsidP="0085684D">
      <w:pPr>
        <w:widowControl w:val="0"/>
        <w:tabs>
          <w:tab w:val="left" w:pos="708"/>
          <w:tab w:val="left" w:pos="1416"/>
          <w:tab w:val="left" w:pos="2124"/>
          <w:tab w:val="left" w:pos="2832"/>
          <w:tab w:val="left" w:pos="3540"/>
          <w:tab w:val="left" w:pos="4248"/>
          <w:tab w:val="left" w:pos="4956"/>
          <w:tab w:val="left" w:pos="7050"/>
        </w:tabs>
        <w:suppressAutoHyphens/>
        <w:autoSpaceDE w:val="0"/>
        <w:autoSpaceDN w:val="0"/>
        <w:adjustRightInd w:val="0"/>
        <w:spacing w:after="0" w:line="240" w:lineRule="auto"/>
        <w:rPr>
          <w:rFonts w:ascii="Times New Roman" w:hAnsi="Times New Roman"/>
          <w:b/>
          <w:bCs/>
          <w:color w:val="000000"/>
        </w:rPr>
      </w:pPr>
    </w:p>
    <w:p w14:paraId="59A41E76" w14:textId="77777777" w:rsidR="005A7416" w:rsidRPr="00112B89" w:rsidRDefault="005A7416" w:rsidP="00C7398A">
      <w:pPr>
        <w:widowControl w:val="0"/>
        <w:tabs>
          <w:tab w:val="left" w:pos="567"/>
          <w:tab w:val="left" w:pos="708"/>
          <w:tab w:val="left" w:pos="1416"/>
          <w:tab w:val="left" w:pos="2124"/>
          <w:tab w:val="left" w:pos="2832"/>
          <w:tab w:val="left" w:pos="3540"/>
          <w:tab w:val="left" w:pos="4248"/>
          <w:tab w:val="left" w:pos="4956"/>
          <w:tab w:val="left" w:pos="7050"/>
        </w:tabs>
        <w:suppressAutoHyphens/>
        <w:autoSpaceDE w:val="0"/>
        <w:autoSpaceDN w:val="0"/>
        <w:adjustRightInd w:val="0"/>
        <w:spacing w:after="0" w:line="240" w:lineRule="auto"/>
        <w:outlineLvl w:val="1"/>
        <w:rPr>
          <w:rFonts w:ascii="Times New Roman" w:hAnsi="Times New Roman"/>
          <w:b/>
          <w:bCs/>
          <w:color w:val="000000"/>
        </w:rPr>
      </w:pPr>
      <w:r w:rsidRPr="00112B89">
        <w:rPr>
          <w:rFonts w:ascii="Times New Roman" w:hAnsi="Times New Roman"/>
          <w:b/>
          <w:bCs/>
          <w:color w:val="000000"/>
        </w:rPr>
        <w:br w:type="page"/>
      </w:r>
      <w:r w:rsidRPr="00112B89">
        <w:rPr>
          <w:rFonts w:ascii="Times New Roman" w:hAnsi="Times New Roman"/>
          <w:b/>
          <w:bCs/>
          <w:color w:val="000000"/>
        </w:rPr>
        <w:lastRenderedPageBreak/>
        <w:t>1.</w:t>
      </w:r>
      <w:r w:rsidRPr="00112B89">
        <w:rPr>
          <w:rFonts w:ascii="Times New Roman" w:hAnsi="Times New Roman"/>
          <w:b/>
          <w:bCs/>
          <w:color w:val="000000"/>
        </w:rPr>
        <w:tab/>
      </w:r>
      <w:r w:rsidRPr="00112B89">
        <w:rPr>
          <w:rFonts w:ascii="Times New Roman" w:hAnsi="Times New Roman"/>
          <w:b/>
          <w:caps/>
          <w:color w:val="000000"/>
        </w:rPr>
        <w:t>VAISTINIO</w:t>
      </w:r>
      <w:r w:rsidRPr="00112B89">
        <w:rPr>
          <w:rFonts w:ascii="Times New Roman" w:hAnsi="Times New Roman"/>
          <w:b/>
          <w:color w:val="000000"/>
        </w:rPr>
        <w:t xml:space="preserve"> PREPARATO PAVADINIMAS</w:t>
      </w:r>
    </w:p>
    <w:p w14:paraId="08317E3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6DC3ECA7" w14:textId="77777777" w:rsidR="005A7416" w:rsidRPr="00112B89" w:rsidRDefault="005A7416" w:rsidP="00C7398A">
      <w:pPr>
        <w:tabs>
          <w:tab w:val="left" w:pos="567"/>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3</w:t>
      </w:r>
      <w:r w:rsidR="00271402" w:rsidRPr="00112B89">
        <w:rPr>
          <w:rFonts w:ascii="Times New Roman" w:hAnsi="Times New Roman"/>
        </w:rPr>
        <w:t> </w:t>
      </w:r>
      <w:r w:rsidRPr="00112B89">
        <w:rPr>
          <w:rFonts w:ascii="Times New Roman" w:hAnsi="Times New Roman"/>
        </w:rPr>
        <w:t xml:space="preserve">mg injekcinis tirpalas </w:t>
      </w:r>
      <w:r w:rsidR="00CB4060" w:rsidRPr="00112B89">
        <w:rPr>
          <w:rFonts w:ascii="Times New Roman" w:hAnsi="Times New Roman"/>
        </w:rPr>
        <w:t>užpildytame švirkšte</w:t>
      </w:r>
    </w:p>
    <w:p w14:paraId="105AB95C"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0385A71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3968A8DA" w14:textId="77777777" w:rsidR="005A7416" w:rsidRPr="00112B89" w:rsidRDefault="005A7416" w:rsidP="00C7398A">
      <w:pPr>
        <w:widowControl w:val="0"/>
        <w:tabs>
          <w:tab w:val="left" w:pos="567"/>
        </w:tabs>
        <w:suppressAutoHyphens/>
        <w:autoSpaceDE w:val="0"/>
        <w:autoSpaceDN w:val="0"/>
        <w:adjustRightInd w:val="0"/>
        <w:spacing w:after="0" w:line="240" w:lineRule="auto"/>
        <w:outlineLvl w:val="1"/>
        <w:rPr>
          <w:rFonts w:ascii="Times New Roman" w:hAnsi="Times New Roman"/>
          <w:b/>
          <w:bCs/>
          <w:color w:val="000000"/>
        </w:rPr>
      </w:pPr>
      <w:r w:rsidRPr="00112B89">
        <w:rPr>
          <w:rFonts w:ascii="Times New Roman" w:hAnsi="Times New Roman"/>
          <w:b/>
          <w:bCs/>
          <w:color w:val="000000"/>
        </w:rPr>
        <w:t>2.</w:t>
      </w:r>
      <w:r w:rsidRPr="00112B89">
        <w:rPr>
          <w:rFonts w:ascii="Times New Roman" w:hAnsi="Times New Roman"/>
          <w:b/>
          <w:bCs/>
          <w:color w:val="000000"/>
        </w:rPr>
        <w:tab/>
      </w:r>
      <w:r w:rsidRPr="00112B89">
        <w:rPr>
          <w:rFonts w:ascii="Times New Roman" w:hAnsi="Times New Roman"/>
          <w:b/>
          <w:caps/>
          <w:color w:val="000000"/>
        </w:rPr>
        <w:t>kokybinė ir kiekybinė sudėtis</w:t>
      </w:r>
    </w:p>
    <w:p w14:paraId="7F227833" w14:textId="77777777" w:rsidR="005A7416" w:rsidRPr="00112B89" w:rsidRDefault="005A7416" w:rsidP="00C7398A">
      <w:pPr>
        <w:widowControl w:val="0"/>
        <w:tabs>
          <w:tab w:val="left" w:pos="567"/>
        </w:tabs>
        <w:suppressAutoHyphens/>
        <w:autoSpaceDE w:val="0"/>
        <w:autoSpaceDN w:val="0"/>
        <w:adjustRightInd w:val="0"/>
        <w:spacing w:after="0" w:line="240" w:lineRule="auto"/>
        <w:rPr>
          <w:rFonts w:ascii="Times New Roman" w:hAnsi="Times New Roman"/>
          <w:color w:val="000000"/>
        </w:rPr>
      </w:pPr>
    </w:p>
    <w:p w14:paraId="686A47E4"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Viename 3 ml injekcinio tirpalo </w:t>
      </w:r>
      <w:r w:rsidRPr="00112B89">
        <w:rPr>
          <w:rFonts w:ascii="Times New Roman" w:hAnsi="Times New Roman"/>
        </w:rPr>
        <w:t>užpildytame švirkšte</w:t>
      </w:r>
      <w:r w:rsidRPr="00112B89">
        <w:rPr>
          <w:rFonts w:ascii="Times New Roman" w:hAnsi="Times New Roman"/>
          <w:color w:val="000000"/>
        </w:rPr>
        <w:t xml:space="preserve"> yra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(3,375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w:t>
      </w:r>
      <w:r w:rsidRPr="00112B89">
        <w:rPr>
          <w:rFonts w:ascii="Times New Roman" w:hAnsi="Times New Roman"/>
          <w:bCs/>
        </w:rPr>
        <w:t xml:space="preserve">rūgšties </w:t>
      </w:r>
      <w:r w:rsidRPr="00112B89">
        <w:rPr>
          <w:rFonts w:ascii="Times New Roman" w:hAnsi="Times New Roman"/>
          <w:color w:val="000000"/>
        </w:rPr>
        <w:t xml:space="preserve">natrio druskos </w:t>
      </w:r>
      <w:proofErr w:type="spellStart"/>
      <w:r w:rsidRPr="00112B89">
        <w:rPr>
          <w:rFonts w:ascii="Times New Roman" w:hAnsi="Times New Roman"/>
          <w:color w:val="000000"/>
        </w:rPr>
        <w:t>monohidrato</w:t>
      </w:r>
      <w:proofErr w:type="spellEnd"/>
      <w:r w:rsidRPr="00112B89">
        <w:rPr>
          <w:rFonts w:ascii="Times New Roman" w:hAnsi="Times New Roman"/>
          <w:color w:val="000000"/>
        </w:rPr>
        <w:t xml:space="preserve"> pavidalu).</w:t>
      </w:r>
    </w:p>
    <w:p w14:paraId="5054F056" w14:textId="77777777" w:rsidR="005A7416" w:rsidRPr="00112B89" w:rsidRDefault="005A7416" w:rsidP="00C7398A">
      <w:pPr>
        <w:tabs>
          <w:tab w:val="left" w:pos="567"/>
        </w:tabs>
        <w:spacing w:after="0" w:line="240" w:lineRule="auto"/>
        <w:rPr>
          <w:rFonts w:ascii="Times New Roman" w:hAnsi="Times New Roman"/>
          <w:bCs/>
        </w:rPr>
      </w:pPr>
      <w:r w:rsidRPr="00112B89">
        <w:rPr>
          <w:rFonts w:ascii="Times New Roman" w:hAnsi="Times New Roman"/>
          <w:bCs/>
        </w:rPr>
        <w:t>Viename injekcinio tirpalo mililitre yra 1</w:t>
      </w:r>
      <w:r w:rsidR="00271402" w:rsidRPr="00112B89">
        <w:rPr>
          <w:rFonts w:ascii="Times New Roman" w:hAnsi="Times New Roman"/>
          <w:bCs/>
        </w:rPr>
        <w:t> </w:t>
      </w:r>
      <w:r w:rsidRPr="00112B89">
        <w:rPr>
          <w:rFonts w:ascii="Times New Roman" w:hAnsi="Times New Roman"/>
          <w:bCs/>
        </w:rPr>
        <w:t xml:space="preserve">mg </w:t>
      </w:r>
      <w:proofErr w:type="spellStart"/>
      <w:r w:rsidRPr="00112B89">
        <w:rPr>
          <w:rFonts w:ascii="Times New Roman" w:hAnsi="Times New Roman"/>
          <w:bCs/>
        </w:rPr>
        <w:t>ibandrono</w:t>
      </w:r>
      <w:proofErr w:type="spellEnd"/>
      <w:r w:rsidRPr="00112B89">
        <w:rPr>
          <w:rFonts w:ascii="Times New Roman" w:hAnsi="Times New Roman"/>
          <w:bCs/>
        </w:rPr>
        <w:t xml:space="preserve"> rūgšties.</w:t>
      </w:r>
    </w:p>
    <w:p w14:paraId="6594EC68" w14:textId="77777777" w:rsidR="005A7416" w:rsidRPr="00112B89" w:rsidRDefault="005A7416" w:rsidP="00C7398A">
      <w:pPr>
        <w:tabs>
          <w:tab w:val="left" w:pos="567"/>
        </w:tabs>
        <w:spacing w:after="0" w:line="240" w:lineRule="auto"/>
        <w:rPr>
          <w:rFonts w:ascii="Times New Roman" w:hAnsi="Times New Roman"/>
          <w:bCs/>
        </w:rPr>
      </w:pPr>
    </w:p>
    <w:p w14:paraId="1D3E317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Visos pagalbinės medžiagos išvardytos 6.1 skyriuje.</w:t>
      </w:r>
    </w:p>
    <w:p w14:paraId="75FC7A5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71EE732F"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63C5BD98" w14:textId="77777777" w:rsidR="005A7416" w:rsidRPr="00112B89" w:rsidRDefault="005A7416" w:rsidP="00C7398A">
      <w:pPr>
        <w:widowControl w:val="0"/>
        <w:tabs>
          <w:tab w:val="left" w:pos="567"/>
        </w:tabs>
        <w:suppressAutoHyphens/>
        <w:autoSpaceDE w:val="0"/>
        <w:autoSpaceDN w:val="0"/>
        <w:adjustRightInd w:val="0"/>
        <w:spacing w:after="0" w:line="240" w:lineRule="auto"/>
        <w:outlineLvl w:val="1"/>
        <w:rPr>
          <w:rFonts w:ascii="Times New Roman" w:hAnsi="Times New Roman"/>
          <w:b/>
          <w:bCs/>
          <w:caps/>
          <w:color w:val="000000"/>
        </w:rPr>
      </w:pPr>
      <w:r w:rsidRPr="00112B89">
        <w:rPr>
          <w:rFonts w:ascii="Times New Roman" w:hAnsi="Times New Roman"/>
          <w:b/>
          <w:bCs/>
          <w:caps/>
          <w:color w:val="000000"/>
        </w:rPr>
        <w:t>3.</w:t>
      </w:r>
      <w:r w:rsidRPr="00112B89">
        <w:rPr>
          <w:rFonts w:ascii="Times New Roman" w:hAnsi="Times New Roman"/>
          <w:b/>
          <w:bCs/>
          <w:caps/>
          <w:color w:val="000000"/>
        </w:rPr>
        <w:tab/>
        <w:t>FARMACINĖ forma</w:t>
      </w:r>
    </w:p>
    <w:p w14:paraId="3407633C" w14:textId="77777777" w:rsidR="005A7416" w:rsidRPr="00112B89" w:rsidRDefault="005A7416" w:rsidP="00C7398A">
      <w:pPr>
        <w:widowControl w:val="0"/>
        <w:tabs>
          <w:tab w:val="left" w:pos="567"/>
        </w:tabs>
        <w:suppressAutoHyphens/>
        <w:autoSpaceDE w:val="0"/>
        <w:autoSpaceDN w:val="0"/>
        <w:adjustRightInd w:val="0"/>
        <w:spacing w:after="0" w:line="240" w:lineRule="auto"/>
        <w:rPr>
          <w:rFonts w:ascii="Times New Roman" w:hAnsi="Times New Roman"/>
          <w:color w:val="000000"/>
        </w:rPr>
      </w:pPr>
    </w:p>
    <w:p w14:paraId="1A76C7AC" w14:textId="77777777" w:rsidR="005A7416" w:rsidRPr="00112B89" w:rsidRDefault="005A7416" w:rsidP="00C7398A">
      <w:pPr>
        <w:pStyle w:val="NormalParagraphStyle"/>
        <w:tabs>
          <w:tab w:val="left" w:pos="567"/>
        </w:tabs>
        <w:spacing w:line="240" w:lineRule="auto"/>
        <w:rPr>
          <w:sz w:val="22"/>
          <w:szCs w:val="22"/>
          <w:lang w:val="lt-LT"/>
        </w:rPr>
      </w:pPr>
      <w:r w:rsidRPr="00112B89">
        <w:rPr>
          <w:sz w:val="22"/>
          <w:szCs w:val="22"/>
          <w:lang w:val="lt-LT"/>
        </w:rPr>
        <w:t>Injekcinis tirpalas</w:t>
      </w:r>
      <w:r w:rsidR="003241D0" w:rsidRPr="00112B89">
        <w:rPr>
          <w:sz w:val="22"/>
          <w:szCs w:val="22"/>
          <w:lang w:val="lt-LT"/>
        </w:rPr>
        <w:t xml:space="preserve"> užpildytame švirkšte.</w:t>
      </w:r>
    </w:p>
    <w:p w14:paraId="59D6C0EA" w14:textId="77777777" w:rsidR="005A7416" w:rsidRPr="00112B89" w:rsidRDefault="005A7416" w:rsidP="00C7398A">
      <w:pPr>
        <w:widowControl w:val="0"/>
        <w:tabs>
          <w:tab w:val="left" w:pos="567"/>
        </w:tabs>
        <w:suppressAutoHyphen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Skaidrus bespalvis tirpalas.</w:t>
      </w:r>
    </w:p>
    <w:p w14:paraId="1EB3AA06" w14:textId="77777777" w:rsidR="005A7416" w:rsidRPr="00112B89" w:rsidRDefault="005A7416" w:rsidP="00C7398A">
      <w:pPr>
        <w:tabs>
          <w:tab w:val="left" w:pos="567"/>
        </w:tabs>
        <w:spacing w:after="0" w:line="240" w:lineRule="auto"/>
        <w:rPr>
          <w:rFonts w:ascii="Times New Roman" w:hAnsi="Times New Roman"/>
          <w:bCs/>
        </w:rPr>
      </w:pPr>
    </w:p>
    <w:p w14:paraId="6D8E79ED"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Tirpalo pH: 4,9 - 5,5.</w:t>
      </w:r>
    </w:p>
    <w:p w14:paraId="0DE85975" w14:textId="77777777" w:rsidR="005A7416" w:rsidRPr="00112B89" w:rsidRDefault="005A7416" w:rsidP="00C7398A">
      <w:pPr>
        <w:widowControl w:val="0"/>
        <w:tabs>
          <w:tab w:val="left" w:pos="567"/>
        </w:tabs>
        <w:suppressAutoHyphens/>
        <w:autoSpaceDE w:val="0"/>
        <w:autoSpaceDN w:val="0"/>
        <w:adjustRightInd w:val="0"/>
        <w:spacing w:after="0" w:line="240" w:lineRule="auto"/>
        <w:rPr>
          <w:rFonts w:ascii="Times New Roman" w:hAnsi="Times New Roman"/>
          <w:color w:val="000000"/>
        </w:rPr>
      </w:pPr>
    </w:p>
    <w:p w14:paraId="25BCA7C3" w14:textId="77777777" w:rsidR="005A7416" w:rsidRPr="00112B89" w:rsidRDefault="005A7416" w:rsidP="00C7398A">
      <w:pPr>
        <w:widowControl w:val="0"/>
        <w:tabs>
          <w:tab w:val="left" w:pos="567"/>
        </w:tabs>
        <w:suppressAutoHyphens/>
        <w:autoSpaceDE w:val="0"/>
        <w:autoSpaceDN w:val="0"/>
        <w:adjustRightInd w:val="0"/>
        <w:spacing w:after="0" w:line="240" w:lineRule="auto"/>
        <w:rPr>
          <w:rFonts w:ascii="Times New Roman" w:hAnsi="Times New Roman"/>
          <w:color w:val="000000"/>
        </w:rPr>
      </w:pPr>
    </w:p>
    <w:p w14:paraId="517C978A" w14:textId="77777777" w:rsidR="005A7416" w:rsidRPr="00112B89" w:rsidRDefault="005A7416" w:rsidP="00C7398A">
      <w:pPr>
        <w:widowControl w:val="0"/>
        <w:tabs>
          <w:tab w:val="left" w:pos="567"/>
        </w:tabs>
        <w:suppressAutoHyphens/>
        <w:autoSpaceDE w:val="0"/>
        <w:autoSpaceDN w:val="0"/>
        <w:adjustRightInd w:val="0"/>
        <w:spacing w:after="0" w:line="240" w:lineRule="auto"/>
        <w:outlineLvl w:val="1"/>
        <w:rPr>
          <w:rFonts w:ascii="Times New Roman" w:hAnsi="Times New Roman"/>
          <w:b/>
          <w:bCs/>
          <w:caps/>
          <w:color w:val="000000"/>
        </w:rPr>
      </w:pPr>
      <w:r w:rsidRPr="00112B89">
        <w:rPr>
          <w:rFonts w:ascii="Times New Roman" w:hAnsi="Times New Roman"/>
          <w:b/>
          <w:bCs/>
          <w:caps/>
          <w:color w:val="000000"/>
        </w:rPr>
        <w:t>4.</w:t>
      </w:r>
      <w:r w:rsidRPr="00112B89">
        <w:rPr>
          <w:rFonts w:ascii="Times New Roman" w:hAnsi="Times New Roman"/>
          <w:b/>
          <w:bCs/>
          <w:caps/>
          <w:color w:val="000000"/>
        </w:rPr>
        <w:tab/>
        <w:t>klinikinĖ informacija</w:t>
      </w:r>
    </w:p>
    <w:p w14:paraId="33CE6FB6" w14:textId="77777777" w:rsidR="005A7416" w:rsidRPr="00112B89" w:rsidRDefault="005A7416" w:rsidP="00C7398A">
      <w:pPr>
        <w:widowControl w:val="0"/>
        <w:tabs>
          <w:tab w:val="left" w:pos="567"/>
        </w:tabs>
        <w:suppressAutoHyphens/>
        <w:autoSpaceDE w:val="0"/>
        <w:autoSpaceDN w:val="0"/>
        <w:adjustRightInd w:val="0"/>
        <w:spacing w:after="0" w:line="240" w:lineRule="auto"/>
        <w:outlineLvl w:val="1"/>
        <w:rPr>
          <w:rFonts w:ascii="Times New Roman" w:hAnsi="Times New Roman"/>
          <w:b/>
          <w:bCs/>
          <w:caps/>
          <w:color w:val="000000"/>
        </w:rPr>
      </w:pPr>
    </w:p>
    <w:p w14:paraId="11A0662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4.1</w:t>
      </w:r>
      <w:r w:rsidRPr="00112B89">
        <w:rPr>
          <w:rFonts w:ascii="Times New Roman" w:hAnsi="Times New Roman"/>
          <w:b/>
          <w:bCs/>
          <w:color w:val="000000"/>
        </w:rPr>
        <w:tab/>
        <w:t>Terapinės indikacijos</w:t>
      </w:r>
    </w:p>
    <w:p w14:paraId="517B68CA"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p>
    <w:p w14:paraId="066FF4F0" w14:textId="77777777" w:rsidR="004C134A" w:rsidRPr="00112B89" w:rsidRDefault="00F35CCE" w:rsidP="00E537C0">
      <w:pPr>
        <w:pStyle w:val="BT-EMEASMCA"/>
        <w:numPr>
          <w:ilvl w:val="0"/>
          <w:numId w:val="0"/>
        </w:numPr>
        <w:tabs>
          <w:tab w:val="left" w:pos="567"/>
        </w:tabs>
        <w:spacing w:after="0" w:line="240" w:lineRule="auto"/>
        <w:rPr>
          <w:rFonts w:ascii="Times New Roman" w:hAnsi="Times New Roman"/>
        </w:rPr>
      </w:pPr>
      <w:r w:rsidRPr="00112B89">
        <w:rPr>
          <w:rFonts w:ascii="Times New Roman" w:hAnsi="Times New Roman"/>
        </w:rPr>
        <w:t xml:space="preserve">Moterų </w:t>
      </w:r>
      <w:r w:rsidR="005A7416" w:rsidRPr="00112B89">
        <w:rPr>
          <w:rFonts w:ascii="Times New Roman" w:hAnsi="Times New Roman"/>
        </w:rPr>
        <w:t>po menopauzės, kurioms yra padidėjusi kaulų lūžių rizika</w:t>
      </w:r>
      <w:r w:rsidRPr="00112B89">
        <w:rPr>
          <w:rFonts w:ascii="Times New Roman" w:hAnsi="Times New Roman"/>
        </w:rPr>
        <w:t>,</w:t>
      </w:r>
      <w:r w:rsidR="005A7416" w:rsidRPr="00112B89">
        <w:rPr>
          <w:rFonts w:ascii="Times New Roman" w:hAnsi="Times New Roman"/>
        </w:rPr>
        <w:t xml:space="preserve"> </w:t>
      </w:r>
      <w:r w:rsidRPr="00112B89">
        <w:rPr>
          <w:rFonts w:ascii="Times New Roman" w:hAnsi="Times New Roman"/>
        </w:rPr>
        <w:t xml:space="preserve">osteoporozės gydymas </w:t>
      </w:r>
      <w:r w:rsidR="005A7416" w:rsidRPr="00112B89">
        <w:rPr>
          <w:rFonts w:ascii="Times New Roman" w:hAnsi="Times New Roman"/>
        </w:rPr>
        <w:t xml:space="preserve">(žr. 5.1 skyrių). </w:t>
      </w:r>
    </w:p>
    <w:p w14:paraId="10144FB7" w14:textId="77777777" w:rsidR="004C134A" w:rsidRPr="00112B89" w:rsidRDefault="005A7416" w:rsidP="00E537C0">
      <w:pPr>
        <w:pStyle w:val="BT-EMEASMCA"/>
        <w:numPr>
          <w:ilvl w:val="0"/>
          <w:numId w:val="0"/>
        </w:numPr>
        <w:tabs>
          <w:tab w:val="left" w:pos="567"/>
        </w:tabs>
        <w:spacing w:after="0" w:line="240" w:lineRule="auto"/>
        <w:rPr>
          <w:rFonts w:ascii="Times New Roman" w:hAnsi="Times New Roman"/>
        </w:rPr>
      </w:pPr>
      <w:r w:rsidRPr="00112B89">
        <w:rPr>
          <w:rFonts w:ascii="Times New Roman" w:hAnsi="Times New Roman"/>
        </w:rPr>
        <w:t>Įrodyta, kad vaistinis preparatas veiksmingai mažina stuburo slankstelių lūžių riziką, veiksmingumas mažinant šlaunikaulio kaklelio lūžių riziką nenustatytas.</w:t>
      </w:r>
    </w:p>
    <w:p w14:paraId="7642DF9E"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p>
    <w:p w14:paraId="7E899CD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4.2</w:t>
      </w:r>
      <w:r w:rsidRPr="00112B89">
        <w:rPr>
          <w:rFonts w:ascii="Times New Roman" w:hAnsi="Times New Roman"/>
          <w:b/>
          <w:bCs/>
          <w:color w:val="000000"/>
        </w:rPr>
        <w:tab/>
        <w:t>Dozavimas ir vartojimo metodas</w:t>
      </w:r>
    </w:p>
    <w:p w14:paraId="0051F7D7"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639D9499" w14:textId="77777777" w:rsidR="00240D4B" w:rsidRPr="00112B89" w:rsidRDefault="00240D4B" w:rsidP="00C7398A">
      <w:pPr>
        <w:tabs>
          <w:tab w:val="left" w:pos="567"/>
        </w:tabs>
        <w:autoSpaceDE w:val="0"/>
        <w:autoSpaceDN w:val="0"/>
        <w:adjustRightInd w:val="0"/>
        <w:spacing w:after="0" w:line="240" w:lineRule="auto"/>
        <w:rPr>
          <w:rFonts w:ascii="Times New Roman" w:hAnsi="Times New Roman"/>
          <w:color w:val="000000"/>
          <w:u w:val="single"/>
        </w:rPr>
      </w:pPr>
      <w:proofErr w:type="spellStart"/>
      <w:r w:rsidRPr="00112B89">
        <w:rPr>
          <w:rFonts w:ascii="Times New Roman" w:hAnsi="Times New Roman"/>
          <w:lang w:eastAsia="lt-LT"/>
        </w:rPr>
        <w:t>Įbandrono</w:t>
      </w:r>
      <w:proofErr w:type="spellEnd"/>
      <w:r w:rsidRPr="00112B89">
        <w:rPr>
          <w:rFonts w:ascii="Times New Roman" w:hAnsi="Times New Roman"/>
          <w:lang w:eastAsia="lt-LT"/>
        </w:rPr>
        <w:t xml:space="preserve"> rūgštimi</w:t>
      </w:r>
      <w:r w:rsidRPr="0089774B">
        <w:rPr>
          <w:rFonts w:ascii="Times New Roman" w:hAnsi="Times New Roman"/>
          <w:lang w:eastAsia="lt-LT"/>
        </w:rPr>
        <w:t xml:space="preserve"> gydomi pacientai turi tur</w:t>
      </w:r>
      <w:r w:rsidRPr="0089774B">
        <w:rPr>
          <w:rFonts w:ascii="TimesNewRomanPSMT" w:eastAsia="TimesNewRomanPSMT" w:hAnsi="Times New Roman" w:cs="TimesNewRomanPSMT"/>
          <w:lang w:eastAsia="lt-LT"/>
        </w:rPr>
        <w:t>ė</w:t>
      </w:r>
      <w:r w:rsidRPr="0089774B">
        <w:rPr>
          <w:rFonts w:ascii="Times New Roman" w:hAnsi="Times New Roman"/>
          <w:lang w:eastAsia="lt-LT"/>
        </w:rPr>
        <w:t>ti šio vaisto pakuot</w:t>
      </w:r>
      <w:r w:rsidRPr="0089774B">
        <w:rPr>
          <w:rFonts w:ascii="TimesNewRomanPSMT" w:eastAsia="TimesNewRomanPSMT" w:hAnsi="Times New Roman" w:cs="TimesNewRomanPSMT"/>
          <w:lang w:eastAsia="lt-LT"/>
        </w:rPr>
        <w:t>ė</w:t>
      </w:r>
      <w:r w:rsidRPr="0089774B">
        <w:rPr>
          <w:rFonts w:ascii="Times New Roman" w:hAnsi="Times New Roman"/>
          <w:lang w:eastAsia="lt-LT"/>
        </w:rPr>
        <w:t>s lapel</w:t>
      </w:r>
      <w:r w:rsidRPr="0089774B">
        <w:rPr>
          <w:rFonts w:ascii="TimesNewRomanPSMT" w:eastAsia="TimesNewRomanPSMT" w:hAnsi="Times New Roman" w:cs="TimesNewRomanPSMT"/>
          <w:lang w:eastAsia="lt-LT"/>
        </w:rPr>
        <w:t>į</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bei paciento atmintin</w:t>
      </w:r>
      <w:r w:rsidRPr="0089774B">
        <w:rPr>
          <w:rFonts w:ascii="TimesNewRomanPSMT" w:eastAsia="TimesNewRomanPSMT" w:hAnsi="Times New Roman" w:cs="TimesNewRomanPSMT"/>
          <w:lang w:eastAsia="lt-LT"/>
        </w:rPr>
        <w:t>ę</w:t>
      </w:r>
      <w:r w:rsidRPr="0089774B">
        <w:rPr>
          <w:rFonts w:ascii="Times New Roman" w:hAnsi="Times New Roman"/>
          <w:lang w:eastAsia="lt-LT"/>
        </w:rPr>
        <w:t>.</w:t>
      </w:r>
    </w:p>
    <w:p w14:paraId="2F5A92D7" w14:textId="77777777" w:rsidR="00240D4B" w:rsidRPr="00112B89" w:rsidRDefault="00240D4B" w:rsidP="00C7398A">
      <w:pPr>
        <w:tabs>
          <w:tab w:val="left" w:pos="567"/>
        </w:tabs>
        <w:autoSpaceDE w:val="0"/>
        <w:autoSpaceDN w:val="0"/>
        <w:adjustRightInd w:val="0"/>
        <w:spacing w:after="0" w:line="240" w:lineRule="auto"/>
        <w:rPr>
          <w:rFonts w:ascii="Times New Roman" w:hAnsi="Times New Roman"/>
          <w:color w:val="000000"/>
          <w:u w:val="single"/>
        </w:rPr>
      </w:pPr>
    </w:p>
    <w:p w14:paraId="40C0217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u w:val="single"/>
        </w:rPr>
      </w:pPr>
      <w:r w:rsidRPr="00112B89">
        <w:rPr>
          <w:rFonts w:ascii="Times New Roman" w:hAnsi="Times New Roman"/>
          <w:color w:val="000000"/>
          <w:u w:val="single"/>
        </w:rPr>
        <w:t>Dozavimas</w:t>
      </w:r>
    </w:p>
    <w:p w14:paraId="25D19B0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Rekomenduojama dozė yra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suleistos į veną per 15-30 sekundžių, vieną kartą per 3 mėnesius.</w:t>
      </w:r>
    </w:p>
    <w:p w14:paraId="7534C3CA" w14:textId="77777777" w:rsidR="00E537C0" w:rsidRPr="00112B89" w:rsidRDefault="00E537C0" w:rsidP="00E537C0">
      <w:pPr>
        <w:tabs>
          <w:tab w:val="left" w:pos="567"/>
        </w:tabs>
        <w:autoSpaceDE w:val="0"/>
        <w:autoSpaceDN w:val="0"/>
        <w:adjustRightInd w:val="0"/>
        <w:spacing w:after="0" w:line="240" w:lineRule="auto"/>
        <w:rPr>
          <w:rFonts w:ascii="Times New Roman" w:hAnsi="Times New Roman"/>
          <w:color w:val="000000"/>
        </w:rPr>
      </w:pPr>
    </w:p>
    <w:p w14:paraId="04480656" w14:textId="77777777" w:rsidR="00E537C0" w:rsidRPr="00112B89" w:rsidRDefault="00E537C0" w:rsidP="00E537C0">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Pacientai turi papildomai vartoti kalcio ir vitamino D (žr. 4.4 ir 4.5 skyrius).</w:t>
      </w:r>
    </w:p>
    <w:p w14:paraId="5A27BEB9"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41CCA2DD" w14:textId="77777777" w:rsidR="005A7416" w:rsidRPr="0089774B" w:rsidRDefault="005A7416" w:rsidP="00C7398A">
      <w:pPr>
        <w:pStyle w:val="Style5"/>
        <w:widowControl/>
        <w:tabs>
          <w:tab w:val="left" w:pos="567"/>
        </w:tabs>
        <w:ind w:right="45"/>
        <w:rPr>
          <w:rStyle w:val="FontStyle33"/>
          <w:sz w:val="22"/>
          <w:szCs w:val="22"/>
          <w:lang w:val="lt-LT" w:eastAsia="en-US"/>
        </w:rPr>
      </w:pPr>
      <w:r w:rsidRPr="00112B89">
        <w:rPr>
          <w:sz w:val="22"/>
          <w:szCs w:val="22"/>
          <w:lang w:val="lt-LT"/>
        </w:rPr>
        <w:t>Praleidus vaisto dozę, jo suleisti reikia galimai greičiau patogiu laiku. T</w:t>
      </w:r>
      <w:r w:rsidRPr="00112B89">
        <w:rPr>
          <w:rStyle w:val="FontStyle33"/>
          <w:sz w:val="22"/>
          <w:szCs w:val="22"/>
          <w:lang w:val="lt-LT" w:eastAsia="en-US"/>
        </w:rPr>
        <w:t>oliau vartoti vaistą vieną kartą per 3 mėnesius, skaičiuojant nuo paskutinės injekcijos laiko.</w:t>
      </w:r>
    </w:p>
    <w:p w14:paraId="6290C21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6672C2F8" w14:textId="77777777" w:rsidR="00E537C0" w:rsidRPr="00112B89" w:rsidRDefault="00E537C0" w:rsidP="00E537C0">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rPr>
        <w:t xml:space="preserve">Optimali osteoporozės gydymo </w:t>
      </w:r>
      <w:proofErr w:type="spellStart"/>
      <w:r w:rsidRPr="00112B89">
        <w:rPr>
          <w:rFonts w:ascii="Times New Roman" w:hAnsi="Times New Roman"/>
        </w:rPr>
        <w:t>bisfosfonatais</w:t>
      </w:r>
      <w:proofErr w:type="spellEnd"/>
      <w:r w:rsidRPr="00112B89">
        <w:rPr>
          <w:rFonts w:ascii="Times New Roman" w:hAnsi="Times New Roman"/>
        </w:rPr>
        <w:t xml:space="preserve"> trukmė nėra nustatyta. Gydymo pratęsimo poreikį, remiantis </w:t>
      </w:r>
      <w:proofErr w:type="spellStart"/>
      <w:r w:rsidRPr="00112B89">
        <w:rPr>
          <w:rFonts w:ascii="Times New Roman" w:hAnsi="Times New Roman"/>
        </w:rPr>
        <w:t>ibandrono</w:t>
      </w:r>
      <w:proofErr w:type="spellEnd"/>
      <w:r w:rsidRPr="00112B89">
        <w:rPr>
          <w:rFonts w:ascii="Times New Roman" w:hAnsi="Times New Roman"/>
        </w:rPr>
        <w:t xml:space="preserve"> rūgšties gydymo nauda ir rizika konkrečiam pacientui, reikia vertinti periodiškai, ypač praėjus 5 ar daugiau gydymo metų.</w:t>
      </w:r>
    </w:p>
    <w:p w14:paraId="5BAEA365" w14:textId="77777777" w:rsidR="00E537C0" w:rsidRPr="00112B89" w:rsidRDefault="00E537C0" w:rsidP="00C7398A">
      <w:pPr>
        <w:tabs>
          <w:tab w:val="left" w:pos="567"/>
        </w:tabs>
        <w:autoSpaceDE w:val="0"/>
        <w:autoSpaceDN w:val="0"/>
        <w:adjustRightInd w:val="0"/>
        <w:spacing w:after="0" w:line="240" w:lineRule="auto"/>
        <w:rPr>
          <w:rFonts w:ascii="Times New Roman" w:hAnsi="Times New Roman"/>
          <w:color w:val="000000"/>
        </w:rPr>
      </w:pPr>
    </w:p>
    <w:p w14:paraId="55BF4AD5" w14:textId="77777777" w:rsidR="005A7416" w:rsidRPr="00112B89" w:rsidRDefault="005F0C74" w:rsidP="00C7398A">
      <w:pPr>
        <w:keepNext/>
        <w:tabs>
          <w:tab w:val="left" w:pos="567"/>
        </w:tabs>
        <w:spacing w:after="0" w:line="240" w:lineRule="auto"/>
        <w:rPr>
          <w:rFonts w:ascii="Times New Roman" w:hAnsi="Times New Roman"/>
          <w:iCs/>
          <w:color w:val="000000"/>
          <w:u w:val="single"/>
        </w:rPr>
      </w:pPr>
      <w:r w:rsidRPr="00112B89">
        <w:rPr>
          <w:rFonts w:ascii="Times New Roman" w:hAnsi="Times New Roman"/>
          <w:iCs/>
          <w:color w:val="000000"/>
          <w:u w:val="single"/>
        </w:rPr>
        <w:t>Ypatingos populiacijos</w:t>
      </w:r>
    </w:p>
    <w:p w14:paraId="26A6B1DC" w14:textId="77777777" w:rsidR="005A7416" w:rsidRPr="00112B89" w:rsidRDefault="005A7416" w:rsidP="00C7398A">
      <w:pPr>
        <w:keepNext/>
        <w:tabs>
          <w:tab w:val="left" w:pos="567"/>
        </w:tabs>
        <w:spacing w:after="0" w:line="240" w:lineRule="auto"/>
        <w:rPr>
          <w:rFonts w:ascii="Times New Roman" w:hAnsi="Times New Roman"/>
          <w:color w:val="000000"/>
        </w:rPr>
      </w:pPr>
    </w:p>
    <w:p w14:paraId="64020EA6" w14:textId="77777777" w:rsidR="005A7416" w:rsidRPr="00112B89" w:rsidRDefault="005A7416" w:rsidP="00C7398A">
      <w:pPr>
        <w:keepNext/>
        <w:tabs>
          <w:tab w:val="left" w:pos="567"/>
        </w:tabs>
        <w:spacing w:after="0" w:line="240" w:lineRule="auto"/>
        <w:rPr>
          <w:rFonts w:ascii="Times New Roman" w:hAnsi="Times New Roman"/>
          <w:color w:val="000000"/>
        </w:rPr>
      </w:pPr>
      <w:r w:rsidRPr="00112B89">
        <w:rPr>
          <w:rFonts w:ascii="Times New Roman" w:hAnsi="Times New Roman"/>
          <w:i/>
        </w:rPr>
        <w:t>Pacient</w:t>
      </w:r>
      <w:r w:rsidR="00532D8F" w:rsidRPr="00112B89">
        <w:rPr>
          <w:rFonts w:ascii="Times New Roman" w:hAnsi="Times New Roman"/>
          <w:i/>
        </w:rPr>
        <w:t>a</w:t>
      </w:r>
      <w:r w:rsidR="00DA20E3" w:rsidRPr="00112B89">
        <w:rPr>
          <w:rFonts w:ascii="Times New Roman" w:hAnsi="Times New Roman"/>
          <w:i/>
        </w:rPr>
        <w:t>ms</w:t>
      </w:r>
      <w:r w:rsidRPr="00112B89">
        <w:rPr>
          <w:rFonts w:ascii="Times New Roman" w:hAnsi="Times New Roman"/>
          <w:i/>
        </w:rPr>
        <w:t>, kur</w:t>
      </w:r>
      <w:r w:rsidR="00DA20E3" w:rsidRPr="00112B89">
        <w:rPr>
          <w:rFonts w:ascii="Times New Roman" w:hAnsi="Times New Roman"/>
          <w:i/>
        </w:rPr>
        <w:t>ių inkstų funkcija sutrikusi</w:t>
      </w:r>
    </w:p>
    <w:p w14:paraId="3DF8EC51" w14:textId="77777777" w:rsidR="003B46E7" w:rsidRPr="00112B89" w:rsidRDefault="003B46E7" w:rsidP="00C7398A">
      <w:pPr>
        <w:pStyle w:val="Style7"/>
        <w:widowControl/>
        <w:tabs>
          <w:tab w:val="left" w:pos="567"/>
        </w:tabs>
        <w:spacing w:line="240" w:lineRule="auto"/>
        <w:ind w:right="44"/>
        <w:jc w:val="left"/>
        <w:rPr>
          <w:color w:val="000000"/>
          <w:sz w:val="22"/>
          <w:szCs w:val="22"/>
          <w:lang w:val="lt-LT"/>
        </w:rPr>
      </w:pPr>
      <w:proofErr w:type="spellStart"/>
      <w:r w:rsidRPr="00112B89">
        <w:rPr>
          <w:color w:val="000000"/>
          <w:sz w:val="22"/>
          <w:szCs w:val="22"/>
          <w:lang w:val="lt-LT"/>
        </w:rPr>
        <w:t>Ibandrono</w:t>
      </w:r>
      <w:proofErr w:type="spellEnd"/>
      <w:r w:rsidRPr="00112B89">
        <w:rPr>
          <w:color w:val="000000"/>
          <w:sz w:val="22"/>
          <w:szCs w:val="22"/>
          <w:lang w:val="lt-LT"/>
        </w:rPr>
        <w:t xml:space="preserve"> rūgšties </w:t>
      </w:r>
      <w:r w:rsidR="008732AC" w:rsidRPr="00112B89">
        <w:rPr>
          <w:color w:val="000000"/>
          <w:sz w:val="22"/>
          <w:szCs w:val="22"/>
          <w:lang w:val="lt-LT"/>
        </w:rPr>
        <w:t xml:space="preserve">injekcijų </w:t>
      </w:r>
      <w:r w:rsidRPr="00112B89">
        <w:rPr>
          <w:color w:val="000000"/>
          <w:sz w:val="22"/>
          <w:szCs w:val="22"/>
          <w:lang w:val="lt-LT"/>
        </w:rPr>
        <w:t xml:space="preserve">nerekomenduojama vartoti pacientams, kurių kreatinino koncentracija kraujo serume </w:t>
      </w:r>
      <w:r w:rsidR="00595BC6" w:rsidRPr="00112B89">
        <w:rPr>
          <w:color w:val="000000"/>
          <w:sz w:val="22"/>
          <w:szCs w:val="22"/>
          <w:lang w:val="lt-LT"/>
        </w:rPr>
        <w:t>didesnė negu</w:t>
      </w:r>
      <w:r w:rsidRPr="00112B89">
        <w:rPr>
          <w:color w:val="000000"/>
          <w:sz w:val="22"/>
          <w:szCs w:val="22"/>
          <w:lang w:val="lt-LT"/>
        </w:rPr>
        <w:t xml:space="preserve"> 200</w:t>
      </w:r>
      <w:r w:rsidR="00271402" w:rsidRPr="00112B89">
        <w:rPr>
          <w:color w:val="000000"/>
          <w:sz w:val="22"/>
          <w:szCs w:val="22"/>
          <w:lang w:val="lt-LT"/>
        </w:rPr>
        <w:t> </w:t>
      </w:r>
      <w:r w:rsidRPr="00112B89">
        <w:rPr>
          <w:rFonts w:eastAsia="Times New Roman"/>
          <w:color w:val="000000"/>
          <w:sz w:val="22"/>
          <w:szCs w:val="22"/>
          <w:lang w:val="lt-LT"/>
        </w:rPr>
        <w:t>µ</w:t>
      </w:r>
      <w:proofErr w:type="spellStart"/>
      <w:r w:rsidRPr="00112B89">
        <w:rPr>
          <w:rFonts w:eastAsia="Times New Roman"/>
          <w:color w:val="000000"/>
          <w:sz w:val="22"/>
          <w:szCs w:val="22"/>
          <w:lang w:val="lt-LT"/>
        </w:rPr>
        <w:t>kmol</w:t>
      </w:r>
      <w:proofErr w:type="spellEnd"/>
      <w:r w:rsidRPr="00112B89">
        <w:rPr>
          <w:rFonts w:eastAsia="Times New Roman"/>
          <w:color w:val="000000"/>
          <w:sz w:val="22"/>
          <w:szCs w:val="22"/>
          <w:lang w:val="lt-LT"/>
        </w:rPr>
        <w:t>/l (2,3</w:t>
      </w:r>
      <w:r w:rsidR="00271402" w:rsidRPr="00112B89">
        <w:rPr>
          <w:rFonts w:eastAsia="Times New Roman"/>
          <w:color w:val="000000"/>
          <w:sz w:val="22"/>
          <w:szCs w:val="22"/>
          <w:lang w:val="lt-LT"/>
        </w:rPr>
        <w:t> </w:t>
      </w:r>
      <w:r w:rsidRPr="00112B89">
        <w:rPr>
          <w:rFonts w:eastAsia="Times New Roman"/>
          <w:color w:val="000000"/>
          <w:sz w:val="22"/>
          <w:szCs w:val="22"/>
          <w:lang w:val="lt-LT"/>
        </w:rPr>
        <w:t>mg/dl) arba</w:t>
      </w:r>
      <w:r w:rsidRPr="00112B89">
        <w:rPr>
          <w:color w:val="000000"/>
          <w:sz w:val="22"/>
          <w:szCs w:val="22"/>
          <w:lang w:val="lt-LT"/>
        </w:rPr>
        <w:t xml:space="preserve"> </w:t>
      </w:r>
      <w:proofErr w:type="spellStart"/>
      <w:r w:rsidRPr="00112B89">
        <w:rPr>
          <w:color w:val="000000"/>
          <w:sz w:val="22"/>
          <w:szCs w:val="22"/>
          <w:lang w:val="lt-LT"/>
        </w:rPr>
        <w:t>kreatinino</w:t>
      </w:r>
      <w:proofErr w:type="spellEnd"/>
      <w:r w:rsidRPr="00112B89">
        <w:rPr>
          <w:color w:val="000000"/>
          <w:sz w:val="22"/>
          <w:szCs w:val="22"/>
          <w:lang w:val="lt-LT"/>
        </w:rPr>
        <w:t xml:space="preserve"> klirensas (išmatuotas arba apskaičiuotas) yra maž</w:t>
      </w:r>
      <w:r w:rsidR="00595BC6" w:rsidRPr="00112B89">
        <w:rPr>
          <w:color w:val="000000"/>
          <w:sz w:val="22"/>
          <w:szCs w:val="22"/>
          <w:lang w:val="lt-LT"/>
        </w:rPr>
        <w:t>iau ka</w:t>
      </w:r>
      <w:r w:rsidRPr="00112B89">
        <w:rPr>
          <w:color w:val="000000"/>
          <w:sz w:val="22"/>
          <w:szCs w:val="22"/>
          <w:lang w:val="lt-LT"/>
        </w:rPr>
        <w:t>ip 30</w:t>
      </w:r>
      <w:r w:rsidR="00271402" w:rsidRPr="00112B89">
        <w:rPr>
          <w:color w:val="000000"/>
          <w:sz w:val="22"/>
          <w:szCs w:val="22"/>
          <w:lang w:val="lt-LT"/>
        </w:rPr>
        <w:t> </w:t>
      </w:r>
      <w:r w:rsidRPr="00112B89">
        <w:rPr>
          <w:color w:val="000000"/>
          <w:sz w:val="22"/>
          <w:szCs w:val="22"/>
          <w:lang w:val="lt-LT"/>
        </w:rPr>
        <w:t>ml/min., nes nepakanka klinikinių tyrimų, įska</w:t>
      </w:r>
      <w:r w:rsidR="00507117" w:rsidRPr="00112B89">
        <w:rPr>
          <w:color w:val="000000"/>
          <w:sz w:val="22"/>
          <w:szCs w:val="22"/>
          <w:lang w:val="lt-LT"/>
        </w:rPr>
        <w:t>i</w:t>
      </w:r>
      <w:r w:rsidRPr="00112B89">
        <w:rPr>
          <w:color w:val="000000"/>
          <w:sz w:val="22"/>
          <w:szCs w:val="22"/>
          <w:lang w:val="lt-LT"/>
        </w:rPr>
        <w:t>tant tokių pacientų tyrimų, patirties (žr. 4.4 ir 5.2 skyrius).</w:t>
      </w:r>
    </w:p>
    <w:p w14:paraId="118EBC7D" w14:textId="77777777" w:rsidR="003B46E7" w:rsidRPr="00112B89" w:rsidRDefault="003B46E7" w:rsidP="00C7398A">
      <w:pPr>
        <w:pStyle w:val="Style7"/>
        <w:widowControl/>
        <w:tabs>
          <w:tab w:val="left" w:pos="567"/>
        </w:tabs>
        <w:spacing w:line="240" w:lineRule="auto"/>
        <w:ind w:right="44"/>
        <w:jc w:val="left"/>
        <w:rPr>
          <w:rFonts w:eastAsia="Times New Roman"/>
          <w:color w:val="000000"/>
          <w:sz w:val="22"/>
          <w:szCs w:val="22"/>
          <w:lang w:val="lt-LT"/>
        </w:rPr>
      </w:pPr>
    </w:p>
    <w:p w14:paraId="2BE1D1D1" w14:textId="77777777" w:rsidR="005A7416" w:rsidRPr="00112B89" w:rsidRDefault="005A7416" w:rsidP="00C7398A">
      <w:pPr>
        <w:pStyle w:val="Style7"/>
        <w:widowControl/>
        <w:tabs>
          <w:tab w:val="left" w:pos="567"/>
        </w:tabs>
        <w:spacing w:line="240" w:lineRule="auto"/>
        <w:ind w:right="44"/>
        <w:jc w:val="left"/>
        <w:rPr>
          <w:rFonts w:eastAsia="Times New Roman"/>
          <w:color w:val="000000"/>
          <w:sz w:val="22"/>
          <w:szCs w:val="22"/>
          <w:lang w:val="lt-LT"/>
        </w:rPr>
      </w:pPr>
      <w:r w:rsidRPr="00112B89">
        <w:rPr>
          <w:rFonts w:eastAsia="Times New Roman"/>
          <w:color w:val="000000"/>
          <w:sz w:val="22"/>
          <w:szCs w:val="22"/>
          <w:lang w:val="lt-LT"/>
        </w:rPr>
        <w:t>Pacient</w:t>
      </w:r>
      <w:r w:rsidR="00532D8F" w:rsidRPr="00112B89">
        <w:rPr>
          <w:rFonts w:eastAsia="Times New Roman"/>
          <w:color w:val="000000"/>
          <w:sz w:val="22"/>
          <w:szCs w:val="22"/>
          <w:lang w:val="lt-LT"/>
        </w:rPr>
        <w:t>ams</w:t>
      </w:r>
      <w:r w:rsidRPr="00112B89">
        <w:rPr>
          <w:rFonts w:eastAsia="Times New Roman"/>
          <w:color w:val="000000"/>
          <w:sz w:val="22"/>
          <w:szCs w:val="22"/>
          <w:lang w:val="lt-LT"/>
        </w:rPr>
        <w:t>, kuriems yra lengvas arba vidutinio sunkumo inkstų pažeidimas ir kreatinino koncentracija kraujo serume yra 200</w:t>
      </w:r>
      <w:r w:rsidR="00271402" w:rsidRPr="00112B89">
        <w:rPr>
          <w:rFonts w:eastAsia="Times New Roman"/>
          <w:color w:val="000000"/>
          <w:sz w:val="22"/>
          <w:szCs w:val="22"/>
          <w:lang w:val="lt-LT"/>
        </w:rPr>
        <w:t> </w:t>
      </w:r>
      <w:r w:rsidRPr="00112B89">
        <w:rPr>
          <w:rFonts w:eastAsia="Times New Roman"/>
          <w:color w:val="000000"/>
          <w:sz w:val="22"/>
          <w:szCs w:val="22"/>
          <w:lang w:val="lt-LT"/>
        </w:rPr>
        <w:t>µ</w:t>
      </w:r>
      <w:proofErr w:type="spellStart"/>
      <w:r w:rsidRPr="00112B89">
        <w:rPr>
          <w:rFonts w:eastAsia="Times New Roman"/>
          <w:color w:val="000000"/>
          <w:sz w:val="22"/>
          <w:szCs w:val="22"/>
          <w:lang w:val="lt-LT"/>
        </w:rPr>
        <w:t>kmol</w:t>
      </w:r>
      <w:proofErr w:type="spellEnd"/>
      <w:r w:rsidRPr="00112B89">
        <w:rPr>
          <w:rFonts w:eastAsia="Times New Roman"/>
          <w:color w:val="000000"/>
          <w:sz w:val="22"/>
          <w:szCs w:val="22"/>
          <w:lang w:val="lt-LT"/>
        </w:rPr>
        <w:t>/l (2,3</w:t>
      </w:r>
      <w:r w:rsidR="00271402" w:rsidRPr="00112B89">
        <w:rPr>
          <w:rFonts w:eastAsia="Times New Roman"/>
          <w:color w:val="000000"/>
          <w:sz w:val="22"/>
          <w:szCs w:val="22"/>
          <w:lang w:val="lt-LT"/>
        </w:rPr>
        <w:t> </w:t>
      </w:r>
      <w:r w:rsidRPr="00112B89">
        <w:rPr>
          <w:rFonts w:eastAsia="Times New Roman"/>
          <w:color w:val="000000"/>
          <w:sz w:val="22"/>
          <w:szCs w:val="22"/>
          <w:lang w:val="lt-LT"/>
        </w:rPr>
        <w:t xml:space="preserve">mg/dl) arba mažesnė, arba </w:t>
      </w:r>
      <w:r w:rsidRPr="00112B89">
        <w:rPr>
          <w:rStyle w:val="FontStyle33"/>
          <w:sz w:val="22"/>
          <w:szCs w:val="22"/>
          <w:lang w:val="lt-LT" w:eastAsia="en-US"/>
        </w:rPr>
        <w:t xml:space="preserve">kai kreatinino klirensas </w:t>
      </w:r>
      <w:r w:rsidR="003B46E7" w:rsidRPr="00112B89">
        <w:rPr>
          <w:rFonts w:eastAsia="Times New Roman"/>
          <w:color w:val="000000"/>
          <w:sz w:val="22"/>
          <w:szCs w:val="22"/>
          <w:lang w:val="lt-LT"/>
        </w:rPr>
        <w:t xml:space="preserve">(išmatuotas arba apskaičiuotas) yra </w:t>
      </w:r>
      <w:r w:rsidRPr="00112B89">
        <w:rPr>
          <w:rStyle w:val="FontStyle33"/>
          <w:sz w:val="22"/>
          <w:szCs w:val="22"/>
          <w:lang w:val="lt-LT" w:eastAsia="en-US"/>
        </w:rPr>
        <w:t>30</w:t>
      </w:r>
      <w:r w:rsidR="00271402" w:rsidRPr="00112B89">
        <w:rPr>
          <w:rStyle w:val="FontStyle33"/>
          <w:sz w:val="22"/>
          <w:szCs w:val="22"/>
          <w:lang w:val="lt-LT" w:eastAsia="en-US"/>
        </w:rPr>
        <w:t> </w:t>
      </w:r>
      <w:r w:rsidRPr="00112B89">
        <w:rPr>
          <w:rStyle w:val="FontStyle33"/>
          <w:sz w:val="22"/>
          <w:szCs w:val="22"/>
          <w:lang w:val="lt-LT" w:eastAsia="en-US"/>
        </w:rPr>
        <w:t>ml/min</w:t>
      </w:r>
      <w:r w:rsidR="003B46E7" w:rsidRPr="00112B89">
        <w:rPr>
          <w:rStyle w:val="FontStyle33"/>
          <w:sz w:val="22"/>
          <w:szCs w:val="22"/>
          <w:lang w:val="lt-LT" w:eastAsia="en-US"/>
        </w:rPr>
        <w:t>.</w:t>
      </w:r>
      <w:r w:rsidRPr="00112B89">
        <w:rPr>
          <w:rStyle w:val="FontStyle33"/>
          <w:sz w:val="22"/>
          <w:szCs w:val="22"/>
          <w:lang w:val="lt-LT" w:eastAsia="en-US"/>
        </w:rPr>
        <w:t xml:space="preserve"> ar didesnis,</w:t>
      </w:r>
      <w:r w:rsidRPr="00112B89">
        <w:rPr>
          <w:rFonts w:eastAsia="Times New Roman"/>
          <w:color w:val="000000"/>
          <w:sz w:val="22"/>
          <w:szCs w:val="22"/>
          <w:lang w:val="lt-LT"/>
        </w:rPr>
        <w:t xml:space="preserve"> dozės keisti nereikia.</w:t>
      </w:r>
    </w:p>
    <w:p w14:paraId="113B009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1F9172A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i/>
        </w:rPr>
        <w:t>Pacient</w:t>
      </w:r>
      <w:r w:rsidR="00410A15" w:rsidRPr="00112B89">
        <w:rPr>
          <w:rFonts w:ascii="Times New Roman" w:hAnsi="Times New Roman"/>
          <w:i/>
        </w:rPr>
        <w:t>ms</w:t>
      </w:r>
      <w:proofErr w:type="spellEnd"/>
      <w:r w:rsidRPr="00112B89">
        <w:rPr>
          <w:rFonts w:ascii="Times New Roman" w:hAnsi="Times New Roman"/>
          <w:i/>
        </w:rPr>
        <w:t>, kur</w:t>
      </w:r>
      <w:r w:rsidR="00410A15" w:rsidRPr="00112B89">
        <w:rPr>
          <w:rFonts w:ascii="Times New Roman" w:hAnsi="Times New Roman"/>
          <w:i/>
        </w:rPr>
        <w:t>ių kepenų funkcija sutrikusi</w:t>
      </w:r>
      <w:r w:rsidRPr="00112B89">
        <w:rPr>
          <w:rFonts w:ascii="Times New Roman" w:hAnsi="Times New Roman"/>
          <w:i/>
        </w:rPr>
        <w:t xml:space="preserve"> </w:t>
      </w:r>
    </w:p>
    <w:p w14:paraId="29E8181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Dozės keisti nereikia (žr. 5.2 skyrių).</w:t>
      </w:r>
    </w:p>
    <w:p w14:paraId="47F0A5EF"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761AA68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i/>
          <w:iCs/>
          <w:color w:val="000000"/>
        </w:rPr>
        <w:t>Seny</w:t>
      </w:r>
      <w:r w:rsidR="00532D8F" w:rsidRPr="00112B89">
        <w:rPr>
          <w:rFonts w:ascii="Times New Roman" w:hAnsi="Times New Roman"/>
          <w:i/>
          <w:iCs/>
          <w:color w:val="000000"/>
        </w:rPr>
        <w:t>vi</w:t>
      </w:r>
      <w:r w:rsidR="00336E26" w:rsidRPr="00112B89">
        <w:rPr>
          <w:rFonts w:ascii="Times New Roman" w:hAnsi="Times New Roman"/>
          <w:i/>
          <w:iCs/>
          <w:color w:val="000000"/>
        </w:rPr>
        <w:t>ems</w:t>
      </w:r>
      <w:r w:rsidRPr="00112B89">
        <w:rPr>
          <w:rFonts w:ascii="Times New Roman" w:hAnsi="Times New Roman"/>
          <w:i/>
          <w:iCs/>
          <w:color w:val="000000"/>
        </w:rPr>
        <w:t xml:space="preserve"> pacient</w:t>
      </w:r>
      <w:r w:rsidR="00532D8F" w:rsidRPr="00112B89">
        <w:rPr>
          <w:rFonts w:ascii="Times New Roman" w:hAnsi="Times New Roman"/>
          <w:i/>
          <w:iCs/>
          <w:color w:val="000000"/>
        </w:rPr>
        <w:t>a</w:t>
      </w:r>
      <w:r w:rsidR="00336E26" w:rsidRPr="00112B89">
        <w:rPr>
          <w:rFonts w:ascii="Times New Roman" w:hAnsi="Times New Roman"/>
          <w:i/>
          <w:iCs/>
          <w:color w:val="000000"/>
        </w:rPr>
        <w:t>ms</w:t>
      </w:r>
      <w:r w:rsidR="008732AC" w:rsidRPr="00112B89">
        <w:rPr>
          <w:rFonts w:ascii="Times New Roman" w:hAnsi="Times New Roman"/>
          <w:i/>
          <w:iCs/>
          <w:color w:val="000000"/>
        </w:rPr>
        <w:t xml:space="preserve"> (vyresni</w:t>
      </w:r>
      <w:r w:rsidR="00336E26" w:rsidRPr="00112B89">
        <w:rPr>
          <w:rFonts w:ascii="Times New Roman" w:hAnsi="Times New Roman"/>
          <w:i/>
          <w:iCs/>
          <w:color w:val="000000"/>
        </w:rPr>
        <w:t>ems</w:t>
      </w:r>
      <w:r w:rsidR="008732AC" w:rsidRPr="00112B89">
        <w:rPr>
          <w:rFonts w:ascii="Times New Roman" w:hAnsi="Times New Roman"/>
          <w:i/>
          <w:iCs/>
          <w:color w:val="000000"/>
        </w:rPr>
        <w:t xml:space="preserve"> kaip 65 metai)</w:t>
      </w:r>
    </w:p>
    <w:p w14:paraId="777367A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Dozės keisti nereikia (žr. 5.2 skyrių).</w:t>
      </w:r>
    </w:p>
    <w:p w14:paraId="215D4193"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11A9634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i/>
          <w:iCs/>
          <w:color w:val="000000"/>
        </w:rPr>
        <w:t>Vaikų populiacija</w:t>
      </w:r>
    </w:p>
    <w:p w14:paraId="2A5210C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vaikams </w:t>
      </w:r>
      <w:r w:rsidR="008732AC" w:rsidRPr="00112B89">
        <w:rPr>
          <w:rFonts w:ascii="Times New Roman" w:hAnsi="Times New Roman"/>
          <w:color w:val="000000"/>
        </w:rPr>
        <w:t xml:space="preserve">iki 18 metų </w:t>
      </w:r>
      <w:r w:rsidRPr="00112B89">
        <w:rPr>
          <w:rFonts w:ascii="Times New Roman" w:hAnsi="Times New Roman"/>
          <w:color w:val="000000"/>
        </w:rPr>
        <w:t xml:space="preserve">neskiriama ir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tyrimų su </w:t>
      </w:r>
      <w:r w:rsidR="008732AC" w:rsidRPr="00112B89">
        <w:rPr>
          <w:rFonts w:ascii="Times New Roman" w:hAnsi="Times New Roman"/>
          <w:color w:val="000000"/>
        </w:rPr>
        <w:t xml:space="preserve">šia pacientų grupe </w:t>
      </w:r>
      <w:r w:rsidRPr="00112B89">
        <w:rPr>
          <w:rFonts w:ascii="Times New Roman" w:hAnsi="Times New Roman"/>
          <w:color w:val="000000"/>
        </w:rPr>
        <w:t>neatlikta</w:t>
      </w:r>
      <w:r w:rsidR="008732AC" w:rsidRPr="00112B89">
        <w:rPr>
          <w:rFonts w:ascii="Times New Roman" w:hAnsi="Times New Roman"/>
          <w:color w:val="000000"/>
        </w:rPr>
        <w:t xml:space="preserve"> (žr. 5.1 ir 5.2 skyrius)</w:t>
      </w:r>
      <w:r w:rsidRPr="00112B89">
        <w:rPr>
          <w:rFonts w:ascii="Times New Roman" w:hAnsi="Times New Roman"/>
          <w:color w:val="000000"/>
        </w:rPr>
        <w:t>.</w:t>
      </w:r>
    </w:p>
    <w:p w14:paraId="295988E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6AE659D0"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u w:val="single"/>
        </w:rPr>
        <w:t>Vartojimo metodas</w:t>
      </w:r>
    </w:p>
    <w:p w14:paraId="2210747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Leisti į veną</w:t>
      </w:r>
      <w:r w:rsidR="008732AC" w:rsidRPr="00112B89">
        <w:rPr>
          <w:rFonts w:ascii="Times New Roman" w:hAnsi="Times New Roman"/>
          <w:color w:val="000000"/>
        </w:rPr>
        <w:t xml:space="preserve"> per 15-30</w:t>
      </w:r>
      <w:r w:rsidR="00271402" w:rsidRPr="00112B89">
        <w:rPr>
          <w:rFonts w:ascii="Times New Roman" w:hAnsi="Times New Roman"/>
          <w:color w:val="000000"/>
        </w:rPr>
        <w:t> </w:t>
      </w:r>
      <w:r w:rsidR="008732AC" w:rsidRPr="00112B89">
        <w:rPr>
          <w:rFonts w:ascii="Times New Roman" w:hAnsi="Times New Roman"/>
          <w:color w:val="000000"/>
        </w:rPr>
        <w:t>s</w:t>
      </w:r>
      <w:r w:rsidR="003E2D19" w:rsidRPr="00112B89">
        <w:rPr>
          <w:rFonts w:ascii="Times New Roman" w:hAnsi="Times New Roman"/>
          <w:color w:val="000000"/>
        </w:rPr>
        <w:t>ek.</w:t>
      </w:r>
      <w:r w:rsidR="008732AC" w:rsidRPr="00112B89">
        <w:rPr>
          <w:rFonts w:ascii="Times New Roman" w:hAnsi="Times New Roman"/>
          <w:color w:val="000000"/>
        </w:rPr>
        <w:t xml:space="preserve"> laiką kas tris mėnesius</w:t>
      </w:r>
      <w:r w:rsidRPr="00112B89">
        <w:rPr>
          <w:rFonts w:ascii="Times New Roman" w:hAnsi="Times New Roman"/>
          <w:color w:val="000000"/>
        </w:rPr>
        <w:t>.</w:t>
      </w:r>
    </w:p>
    <w:p w14:paraId="6C51462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04FD649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Reikia griežtai laikytis leidimo į veną taisyklių (žr. 4.4 skyrių).</w:t>
      </w:r>
    </w:p>
    <w:p w14:paraId="0807E83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32646225" w14:textId="77777777" w:rsidR="005A7416" w:rsidRPr="00112B89" w:rsidRDefault="005A7416" w:rsidP="00C7398A">
      <w:pPr>
        <w:numPr>
          <w:ilvl w:val="1"/>
          <w:numId w:val="3"/>
        </w:num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Kontraindikacijos</w:t>
      </w:r>
    </w:p>
    <w:p w14:paraId="5015E8F3" w14:textId="77777777" w:rsidR="005A7416" w:rsidRPr="00112B89" w:rsidRDefault="005A7416" w:rsidP="00C7398A">
      <w:pPr>
        <w:tabs>
          <w:tab w:val="left" w:pos="540"/>
          <w:tab w:val="left" w:pos="567"/>
        </w:tabs>
        <w:autoSpaceDE w:val="0"/>
        <w:autoSpaceDN w:val="0"/>
        <w:adjustRightInd w:val="0"/>
        <w:spacing w:after="0" w:line="240" w:lineRule="auto"/>
        <w:rPr>
          <w:rFonts w:ascii="Times New Roman" w:hAnsi="Times New Roman"/>
          <w:b/>
          <w:bCs/>
        </w:rPr>
      </w:pPr>
    </w:p>
    <w:p w14:paraId="7396A55D" w14:textId="77777777" w:rsidR="005A7416" w:rsidRPr="00112B89" w:rsidRDefault="005A7416" w:rsidP="00C7398A">
      <w:pPr>
        <w:numPr>
          <w:ilvl w:val="0"/>
          <w:numId w:val="9"/>
        </w:numPr>
        <w:tabs>
          <w:tab w:val="left" w:pos="540"/>
          <w:tab w:val="left" w:pos="567"/>
        </w:tabs>
        <w:autoSpaceDE w:val="0"/>
        <w:autoSpaceDN w:val="0"/>
        <w:adjustRightInd w:val="0"/>
        <w:spacing w:after="0" w:line="240" w:lineRule="auto"/>
        <w:ind w:left="540" w:hanging="540"/>
        <w:rPr>
          <w:rFonts w:ascii="Times New Roman" w:hAnsi="Times New Roman"/>
          <w:color w:val="000000"/>
        </w:rPr>
      </w:pPr>
      <w:r w:rsidRPr="00112B89">
        <w:rPr>
          <w:rFonts w:ascii="Times New Roman" w:hAnsi="Times New Roman"/>
          <w:color w:val="000000"/>
        </w:rPr>
        <w:t xml:space="preserve">Padidėjęs jautrumas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rūgščiai arba bet kuriai pagalbinei medžiagai.</w:t>
      </w:r>
    </w:p>
    <w:p w14:paraId="7552E0FC" w14:textId="77777777" w:rsidR="005A7416" w:rsidRPr="00112B89" w:rsidRDefault="005A7416" w:rsidP="00C7398A">
      <w:pPr>
        <w:numPr>
          <w:ilvl w:val="0"/>
          <w:numId w:val="9"/>
        </w:numPr>
        <w:tabs>
          <w:tab w:val="left" w:pos="540"/>
          <w:tab w:val="left" w:pos="567"/>
        </w:tabs>
        <w:autoSpaceDE w:val="0"/>
        <w:autoSpaceDN w:val="0"/>
        <w:adjustRightInd w:val="0"/>
        <w:spacing w:after="0" w:line="240" w:lineRule="auto"/>
        <w:ind w:left="540" w:hanging="540"/>
        <w:rPr>
          <w:rFonts w:ascii="Times New Roman" w:hAnsi="Times New Roman"/>
          <w:color w:val="000000"/>
        </w:rPr>
      </w:pPr>
      <w:proofErr w:type="spellStart"/>
      <w:r w:rsidRPr="00112B89">
        <w:rPr>
          <w:rFonts w:ascii="Times New Roman" w:hAnsi="Times New Roman"/>
          <w:color w:val="000000"/>
        </w:rPr>
        <w:t>Hipokalcemija</w:t>
      </w:r>
      <w:proofErr w:type="spellEnd"/>
      <w:r w:rsidRPr="00112B89">
        <w:rPr>
          <w:rFonts w:ascii="Times New Roman" w:hAnsi="Times New Roman"/>
          <w:color w:val="000000"/>
        </w:rPr>
        <w:t>.</w:t>
      </w:r>
    </w:p>
    <w:p w14:paraId="078E1BA9"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71C7DC7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4.4</w:t>
      </w:r>
      <w:r w:rsidRPr="00112B89">
        <w:rPr>
          <w:rFonts w:ascii="Times New Roman" w:hAnsi="Times New Roman"/>
          <w:b/>
          <w:bCs/>
        </w:rPr>
        <w:tab/>
        <w:t>Specialūs įspėjimai ir atsargumo priemonės</w:t>
      </w:r>
    </w:p>
    <w:p w14:paraId="1B61924E"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0936827F"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i/>
          <w:color w:val="000000"/>
          <w:lang w:eastAsia="ja-JP"/>
        </w:rPr>
      </w:pPr>
      <w:r w:rsidRPr="00112B89">
        <w:rPr>
          <w:rFonts w:ascii="Times New Roman" w:eastAsia="MS Mincho" w:hAnsi="Times New Roman"/>
          <w:i/>
          <w:color w:val="000000"/>
          <w:lang w:eastAsia="ja-JP"/>
        </w:rPr>
        <w:t>Vartojimo klaidos</w:t>
      </w:r>
    </w:p>
    <w:p w14:paraId="0B38F28B"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 xml:space="preserve">Reikia laikytis atidumo ir </w:t>
      </w:r>
      <w:proofErr w:type="spellStart"/>
      <w:r w:rsidRPr="00112B89">
        <w:rPr>
          <w:rFonts w:ascii="Times New Roman" w:hAnsi="Times New Roman"/>
        </w:rPr>
        <w:t>ibandrono</w:t>
      </w:r>
      <w:proofErr w:type="spellEnd"/>
      <w:r w:rsidRPr="00112B89">
        <w:rPr>
          <w:rFonts w:ascii="Times New Roman" w:hAnsi="Times New Roman"/>
        </w:rPr>
        <w:t xml:space="preserve"> rūgšties tirpalo nesuleisti į arteriją arba palei veną, nes galimas audinių pažeidimas.</w:t>
      </w:r>
    </w:p>
    <w:p w14:paraId="22BD7F03"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color w:val="000000"/>
          <w:u w:val="single"/>
          <w:lang w:eastAsia="ja-JP"/>
        </w:rPr>
      </w:pPr>
    </w:p>
    <w:p w14:paraId="5ABE58A0"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i/>
          <w:color w:val="000000"/>
          <w:lang w:eastAsia="ja-JP"/>
        </w:rPr>
      </w:pPr>
      <w:proofErr w:type="spellStart"/>
      <w:r w:rsidRPr="00112B89">
        <w:rPr>
          <w:rFonts w:ascii="Times New Roman" w:eastAsia="MS Mincho" w:hAnsi="Times New Roman"/>
          <w:i/>
          <w:color w:val="000000"/>
          <w:lang w:eastAsia="ja-JP"/>
        </w:rPr>
        <w:t>Hipokalcemija</w:t>
      </w:r>
      <w:proofErr w:type="spellEnd"/>
      <w:r w:rsidRPr="00112B89">
        <w:rPr>
          <w:rFonts w:ascii="Times New Roman" w:eastAsia="MS Mincho" w:hAnsi="Times New Roman"/>
          <w:i/>
          <w:color w:val="000000"/>
          <w:lang w:eastAsia="ja-JP"/>
        </w:rPr>
        <w:t xml:space="preserve"> </w:t>
      </w:r>
    </w:p>
    <w:p w14:paraId="535AD75A"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color w:val="000000"/>
          <w:lang w:eastAsia="ja-JP"/>
        </w:rPr>
      </w:pPr>
      <w:proofErr w:type="spellStart"/>
      <w:r w:rsidRPr="00112B89">
        <w:rPr>
          <w:rFonts w:ascii="Times New Roman" w:eastAsia="MS Mincho" w:hAnsi="Times New Roman"/>
          <w:color w:val="000000"/>
          <w:lang w:eastAsia="ja-JP"/>
        </w:rPr>
        <w:t>Ibandrono</w:t>
      </w:r>
      <w:proofErr w:type="spellEnd"/>
      <w:r w:rsidRPr="00112B89">
        <w:rPr>
          <w:rFonts w:ascii="Times New Roman" w:eastAsia="MS Mincho" w:hAnsi="Times New Roman"/>
          <w:color w:val="000000"/>
          <w:lang w:eastAsia="ja-JP"/>
        </w:rPr>
        <w:t xml:space="preserve"> rūgštis, kaip ir kiti į veną leidžiami </w:t>
      </w:r>
      <w:proofErr w:type="spellStart"/>
      <w:r w:rsidRPr="00112B89">
        <w:rPr>
          <w:rFonts w:ascii="Times New Roman" w:eastAsia="MS Mincho" w:hAnsi="Times New Roman"/>
          <w:color w:val="000000"/>
          <w:lang w:eastAsia="ja-JP"/>
        </w:rPr>
        <w:t>bisfosfonatai</w:t>
      </w:r>
      <w:proofErr w:type="spellEnd"/>
      <w:r w:rsidRPr="00112B89">
        <w:rPr>
          <w:rFonts w:ascii="Times New Roman" w:eastAsia="MS Mincho" w:hAnsi="Times New Roman"/>
          <w:color w:val="000000"/>
          <w:lang w:eastAsia="ja-JP"/>
        </w:rPr>
        <w:t>, gali sukelti laikiną kalcio kiekio sumažėjimą.</w:t>
      </w:r>
    </w:p>
    <w:p w14:paraId="5F0480BE"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color w:val="000000"/>
          <w:lang w:eastAsia="ja-JP"/>
        </w:rPr>
      </w:pPr>
      <w:r w:rsidRPr="00112B89">
        <w:rPr>
          <w:rFonts w:ascii="Times New Roman" w:eastAsia="MS Mincho" w:hAnsi="Times New Roman"/>
          <w:color w:val="000000"/>
          <w:lang w:eastAsia="ja-JP"/>
        </w:rPr>
        <w:t xml:space="preserve">Jei yra </w:t>
      </w:r>
      <w:proofErr w:type="spellStart"/>
      <w:r w:rsidRPr="00112B89">
        <w:rPr>
          <w:rFonts w:ascii="Times New Roman" w:eastAsia="MS Mincho" w:hAnsi="Times New Roman"/>
          <w:color w:val="000000"/>
          <w:lang w:eastAsia="ja-JP"/>
        </w:rPr>
        <w:t>hipokalcemija</w:t>
      </w:r>
      <w:proofErr w:type="spellEnd"/>
      <w:r w:rsidRPr="00112B89">
        <w:rPr>
          <w:rFonts w:ascii="Times New Roman" w:eastAsia="MS Mincho" w:hAnsi="Times New Roman"/>
          <w:color w:val="000000"/>
          <w:lang w:eastAsia="ja-JP"/>
        </w:rPr>
        <w:t xml:space="preserve">, ją reikia koreguoti prieš pradedant gydymą </w:t>
      </w:r>
      <w:proofErr w:type="spellStart"/>
      <w:r w:rsidRPr="00112B89">
        <w:rPr>
          <w:rFonts w:ascii="Times New Roman" w:eastAsia="MS Mincho" w:hAnsi="Times New Roman"/>
          <w:color w:val="000000"/>
          <w:lang w:eastAsia="ja-JP"/>
        </w:rPr>
        <w:t>ibandrono</w:t>
      </w:r>
      <w:proofErr w:type="spellEnd"/>
      <w:r w:rsidRPr="00112B89">
        <w:rPr>
          <w:rFonts w:ascii="Times New Roman" w:eastAsia="MS Mincho" w:hAnsi="Times New Roman"/>
          <w:color w:val="000000"/>
          <w:lang w:eastAsia="ja-JP"/>
        </w:rPr>
        <w:t xml:space="preserve"> rūgštimi. Prieš pradedant gydymą </w:t>
      </w:r>
      <w:proofErr w:type="spellStart"/>
      <w:r w:rsidRPr="00112B89">
        <w:rPr>
          <w:rFonts w:ascii="Times New Roman" w:eastAsia="MS Mincho" w:hAnsi="Times New Roman"/>
          <w:color w:val="000000"/>
          <w:lang w:eastAsia="ja-JP"/>
        </w:rPr>
        <w:t>ibandrono</w:t>
      </w:r>
      <w:proofErr w:type="spellEnd"/>
      <w:r w:rsidRPr="00112B89">
        <w:rPr>
          <w:rFonts w:ascii="Times New Roman" w:eastAsia="MS Mincho" w:hAnsi="Times New Roman"/>
          <w:color w:val="000000"/>
          <w:lang w:eastAsia="ja-JP"/>
        </w:rPr>
        <w:t xml:space="preserve"> rūgšties suleidimu į veną</w:t>
      </w:r>
      <w:r w:rsidR="00FD47C5" w:rsidRPr="00112B89">
        <w:rPr>
          <w:rFonts w:ascii="Times New Roman" w:eastAsia="MS Mincho" w:hAnsi="Times New Roman"/>
          <w:color w:val="000000"/>
          <w:lang w:eastAsia="ja-JP"/>
        </w:rPr>
        <w:t>,</w:t>
      </w:r>
      <w:r w:rsidRPr="00112B89">
        <w:rPr>
          <w:rFonts w:ascii="Times New Roman" w:eastAsia="MS Mincho" w:hAnsi="Times New Roman"/>
          <w:color w:val="000000"/>
          <w:lang w:eastAsia="ja-JP"/>
        </w:rPr>
        <w:t xml:space="preserve"> turi būti veiksmingai gydomi kiti kaulų ir mineralų metabolizmo sutrikimai. </w:t>
      </w:r>
    </w:p>
    <w:p w14:paraId="4ACBEC30"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color w:val="000000"/>
          <w:lang w:eastAsia="ja-JP"/>
        </w:rPr>
      </w:pPr>
      <w:r w:rsidRPr="00112B89">
        <w:rPr>
          <w:rFonts w:ascii="Times New Roman" w:eastAsia="MS Mincho" w:hAnsi="Times New Roman"/>
          <w:color w:val="000000"/>
          <w:lang w:eastAsia="ja-JP"/>
        </w:rPr>
        <w:t>Vi</w:t>
      </w:r>
      <w:r w:rsidRPr="00112B89">
        <w:rPr>
          <w:rFonts w:ascii="Times New Roman" w:eastAsia="MS Mincho" w:hAnsi="Times New Roman"/>
          <w:b/>
          <w:color w:val="000000"/>
          <w:lang w:eastAsia="ja-JP"/>
        </w:rPr>
        <w:t>s</w:t>
      </w:r>
      <w:r w:rsidRPr="00112B89">
        <w:rPr>
          <w:rFonts w:ascii="Times New Roman" w:eastAsia="MS Mincho" w:hAnsi="Times New Roman"/>
          <w:color w:val="000000"/>
          <w:lang w:eastAsia="ja-JP"/>
        </w:rPr>
        <w:t>i pacientai turi vartoti tinkamą papildomą kalcio ir vitamino D kiekį.</w:t>
      </w:r>
    </w:p>
    <w:p w14:paraId="0C30CE40"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47651470" w14:textId="77777777" w:rsidR="008732AC" w:rsidRPr="00112B89" w:rsidRDefault="008732AC" w:rsidP="00C7398A">
      <w:pPr>
        <w:tabs>
          <w:tab w:val="left" w:pos="567"/>
        </w:tabs>
        <w:autoSpaceDE w:val="0"/>
        <w:autoSpaceDN w:val="0"/>
        <w:adjustRightInd w:val="0"/>
        <w:spacing w:after="0" w:line="240" w:lineRule="auto"/>
        <w:rPr>
          <w:rFonts w:ascii="Times New Roman" w:hAnsi="Times New Roman"/>
          <w:i/>
          <w:color w:val="000000"/>
        </w:rPr>
      </w:pPr>
      <w:r w:rsidRPr="00112B89">
        <w:rPr>
          <w:rFonts w:ascii="Times New Roman" w:hAnsi="Times New Roman"/>
          <w:i/>
          <w:color w:val="000000"/>
        </w:rPr>
        <w:t>Anafilaksinė reakcija arba šokas</w:t>
      </w:r>
    </w:p>
    <w:p w14:paraId="0BCDE675" w14:textId="77777777" w:rsidR="008732AC" w:rsidRPr="00112B89" w:rsidRDefault="008732AC"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Leidžiant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į veną pasitaikė anafilaksinės reakcijos arba šoko, kurie sukėlė pacientų mirtį, atvejų.</w:t>
      </w:r>
    </w:p>
    <w:p w14:paraId="750EBAD7" w14:textId="77777777" w:rsidR="008732AC" w:rsidRPr="00112B89" w:rsidRDefault="008732AC"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Leidžiant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į veną turi būti paruošt</w:t>
      </w:r>
      <w:r w:rsidR="00507117" w:rsidRPr="00112B89">
        <w:rPr>
          <w:rFonts w:ascii="Times New Roman" w:hAnsi="Times New Roman"/>
          <w:color w:val="000000"/>
        </w:rPr>
        <w:t>o</w:t>
      </w:r>
      <w:r w:rsidRPr="00112B89">
        <w:rPr>
          <w:rFonts w:ascii="Times New Roman" w:hAnsi="Times New Roman"/>
          <w:color w:val="000000"/>
        </w:rPr>
        <w:t xml:space="preserve">s tinkamos medicininio gaivinimo ir </w:t>
      </w:r>
      <w:r w:rsidR="00507117" w:rsidRPr="00112B89">
        <w:rPr>
          <w:rFonts w:ascii="Times New Roman" w:hAnsi="Times New Roman"/>
          <w:color w:val="000000"/>
        </w:rPr>
        <w:t>stebėjimo</w:t>
      </w:r>
      <w:r w:rsidRPr="00112B89">
        <w:rPr>
          <w:rFonts w:ascii="Times New Roman" w:hAnsi="Times New Roman"/>
          <w:color w:val="000000"/>
        </w:rPr>
        <w:t xml:space="preserve"> </w:t>
      </w:r>
      <w:r w:rsidR="00507117" w:rsidRPr="00112B89">
        <w:rPr>
          <w:rFonts w:ascii="Times New Roman" w:hAnsi="Times New Roman"/>
          <w:color w:val="000000"/>
        </w:rPr>
        <w:t>prie</w:t>
      </w:r>
      <w:r w:rsidRPr="00112B89">
        <w:rPr>
          <w:rFonts w:ascii="Times New Roman" w:hAnsi="Times New Roman"/>
          <w:color w:val="000000"/>
        </w:rPr>
        <w:t>monės. Jeigu įvyksta anafilaksinė reakcija arba kitokia padidėjusio jautrumo reakcija, alerginė reakcija, reikia nedelsiant nutraukti vaisto leidimą ir taikyti tinkamas gaivinimo priemones.</w:t>
      </w:r>
    </w:p>
    <w:p w14:paraId="5122CDFB"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color w:val="000000"/>
          <w:u w:val="single"/>
          <w:lang w:eastAsia="ja-JP"/>
        </w:rPr>
      </w:pPr>
    </w:p>
    <w:p w14:paraId="3F44E409"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i/>
          <w:color w:val="000000"/>
          <w:lang w:eastAsia="ja-JP"/>
        </w:rPr>
      </w:pPr>
      <w:r w:rsidRPr="00112B89">
        <w:rPr>
          <w:rFonts w:ascii="Times New Roman" w:eastAsia="MS Mincho" w:hAnsi="Times New Roman"/>
          <w:i/>
          <w:color w:val="000000"/>
          <w:lang w:eastAsia="ja-JP"/>
        </w:rPr>
        <w:t xml:space="preserve">Inkstų funkcijos sutrikimas </w:t>
      </w:r>
    </w:p>
    <w:p w14:paraId="50ECFC8B"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color w:val="000000"/>
          <w:lang w:eastAsia="ja-JP"/>
        </w:rPr>
      </w:pPr>
      <w:r w:rsidRPr="00112B89">
        <w:rPr>
          <w:rFonts w:ascii="Times New Roman" w:eastAsia="MS Mincho" w:hAnsi="Times New Roman"/>
          <w:color w:val="000000"/>
          <w:lang w:eastAsia="ja-JP"/>
        </w:rPr>
        <w:t>Pacient</w:t>
      </w:r>
      <w:r w:rsidR="00532D8F" w:rsidRPr="00112B89">
        <w:rPr>
          <w:rFonts w:ascii="Times New Roman" w:eastAsia="MS Mincho" w:hAnsi="Times New Roman"/>
          <w:color w:val="000000"/>
          <w:lang w:eastAsia="ja-JP"/>
        </w:rPr>
        <w:t>u</w:t>
      </w:r>
      <w:r w:rsidRPr="00112B89">
        <w:rPr>
          <w:rFonts w:ascii="Times New Roman" w:eastAsia="MS Mincho" w:hAnsi="Times New Roman"/>
          <w:color w:val="000000"/>
          <w:lang w:eastAsia="ja-JP"/>
        </w:rPr>
        <w:t>s, serganči</w:t>
      </w:r>
      <w:r w:rsidR="00532D8F" w:rsidRPr="00112B89">
        <w:rPr>
          <w:rFonts w:ascii="Times New Roman" w:eastAsia="MS Mincho" w:hAnsi="Times New Roman"/>
          <w:color w:val="000000"/>
          <w:lang w:eastAsia="ja-JP"/>
        </w:rPr>
        <w:t>u</w:t>
      </w:r>
      <w:r w:rsidRPr="00112B89">
        <w:rPr>
          <w:rFonts w:ascii="Times New Roman" w:eastAsia="MS Mincho" w:hAnsi="Times New Roman"/>
          <w:color w:val="000000"/>
          <w:lang w:eastAsia="ja-JP"/>
        </w:rPr>
        <w:t>s gretutinėmis ligomis, arba vartojančias vaistus, kurie pasižymi galimu neigiamu poveikiu inkstams, gydymo laikotarpiu reikia reguliariai tirti laikantis geros klinikinės praktikos taisyklių.</w:t>
      </w:r>
    </w:p>
    <w:p w14:paraId="2EA14114"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color w:val="000000"/>
          <w:lang w:eastAsia="ja-JP"/>
        </w:rPr>
      </w:pPr>
    </w:p>
    <w:p w14:paraId="7B4A7B45" w14:textId="77777777" w:rsidR="005A7416" w:rsidRPr="00112B89" w:rsidRDefault="005A7416" w:rsidP="00C7398A">
      <w:pPr>
        <w:pStyle w:val="Style7"/>
        <w:widowControl/>
        <w:tabs>
          <w:tab w:val="left" w:pos="567"/>
        </w:tabs>
        <w:spacing w:line="240" w:lineRule="auto"/>
        <w:ind w:right="44"/>
        <w:jc w:val="left"/>
        <w:rPr>
          <w:rFonts w:eastAsia="MS Mincho"/>
          <w:color w:val="000000"/>
          <w:sz w:val="22"/>
          <w:szCs w:val="22"/>
          <w:lang w:val="lt-LT" w:eastAsia="ja-JP"/>
        </w:rPr>
      </w:pPr>
      <w:r w:rsidRPr="00112B89">
        <w:rPr>
          <w:rFonts w:eastAsia="MS Mincho"/>
          <w:color w:val="000000"/>
          <w:sz w:val="22"/>
          <w:szCs w:val="22"/>
          <w:lang w:val="lt-LT" w:eastAsia="ja-JP"/>
        </w:rPr>
        <w:t xml:space="preserve">Kadangi klinikinės patirties yra nedaug, </w:t>
      </w:r>
      <w:proofErr w:type="spellStart"/>
      <w:r w:rsidRPr="00112B89">
        <w:rPr>
          <w:rFonts w:eastAsia="MS Mincho"/>
          <w:color w:val="000000"/>
          <w:sz w:val="22"/>
          <w:szCs w:val="22"/>
          <w:lang w:val="lt-LT" w:eastAsia="ja-JP"/>
        </w:rPr>
        <w:t>ibandrono</w:t>
      </w:r>
      <w:proofErr w:type="spellEnd"/>
      <w:r w:rsidRPr="00112B89">
        <w:rPr>
          <w:rFonts w:eastAsia="MS Mincho"/>
          <w:color w:val="000000"/>
          <w:sz w:val="22"/>
          <w:szCs w:val="22"/>
          <w:lang w:val="lt-LT" w:eastAsia="ja-JP"/>
        </w:rPr>
        <w:t xml:space="preserve"> rūgšties injekcijų nerekomenduojama vartoti pacient</w:t>
      </w:r>
      <w:r w:rsidR="00532D8F" w:rsidRPr="00112B89">
        <w:rPr>
          <w:rFonts w:eastAsia="MS Mincho"/>
          <w:color w:val="000000"/>
          <w:sz w:val="22"/>
          <w:szCs w:val="22"/>
          <w:lang w:val="lt-LT" w:eastAsia="ja-JP"/>
        </w:rPr>
        <w:t>a</w:t>
      </w:r>
      <w:r w:rsidRPr="00112B89">
        <w:rPr>
          <w:rFonts w:eastAsia="MS Mincho"/>
          <w:color w:val="000000"/>
          <w:sz w:val="22"/>
          <w:szCs w:val="22"/>
          <w:lang w:val="lt-LT" w:eastAsia="ja-JP"/>
        </w:rPr>
        <w:t xml:space="preserve">ms, kurių </w:t>
      </w:r>
      <w:r w:rsidRPr="00112B89">
        <w:rPr>
          <w:rFonts w:eastAsia="Times New Roman"/>
          <w:color w:val="000000"/>
          <w:sz w:val="22"/>
          <w:szCs w:val="22"/>
          <w:lang w:val="lt-LT"/>
        </w:rPr>
        <w:t>kreatinino koncentracija kraujo serume yra didesnė negu 200</w:t>
      </w:r>
      <w:r w:rsidR="00271402" w:rsidRPr="00112B89">
        <w:rPr>
          <w:rFonts w:eastAsia="Times New Roman"/>
          <w:color w:val="000000"/>
          <w:sz w:val="22"/>
          <w:szCs w:val="22"/>
          <w:lang w:val="lt-LT"/>
        </w:rPr>
        <w:t xml:space="preserve"> </w:t>
      </w:r>
      <w:r w:rsidRPr="00112B89">
        <w:rPr>
          <w:rFonts w:eastAsia="Times New Roman"/>
          <w:color w:val="000000"/>
          <w:sz w:val="22"/>
          <w:szCs w:val="22"/>
          <w:lang w:val="lt-LT"/>
        </w:rPr>
        <w:t>µ</w:t>
      </w:r>
      <w:proofErr w:type="spellStart"/>
      <w:r w:rsidRPr="00112B89">
        <w:rPr>
          <w:rFonts w:eastAsia="Times New Roman"/>
          <w:color w:val="000000"/>
          <w:sz w:val="22"/>
          <w:szCs w:val="22"/>
          <w:lang w:val="lt-LT"/>
        </w:rPr>
        <w:t>kmol</w:t>
      </w:r>
      <w:proofErr w:type="spellEnd"/>
      <w:r w:rsidRPr="00112B89">
        <w:rPr>
          <w:rFonts w:eastAsia="Times New Roman"/>
          <w:color w:val="000000"/>
          <w:sz w:val="22"/>
          <w:szCs w:val="22"/>
          <w:lang w:val="lt-LT"/>
        </w:rPr>
        <w:t>/l (2,3</w:t>
      </w:r>
      <w:r w:rsidR="00271402" w:rsidRPr="00112B89">
        <w:rPr>
          <w:rFonts w:eastAsia="Times New Roman"/>
          <w:color w:val="000000"/>
          <w:sz w:val="22"/>
          <w:szCs w:val="22"/>
          <w:lang w:val="lt-LT"/>
        </w:rPr>
        <w:t> </w:t>
      </w:r>
      <w:r w:rsidRPr="00112B89">
        <w:rPr>
          <w:rFonts w:eastAsia="Times New Roman"/>
          <w:color w:val="000000"/>
          <w:sz w:val="22"/>
          <w:szCs w:val="22"/>
          <w:lang w:val="lt-LT"/>
        </w:rPr>
        <w:t xml:space="preserve">mg/dl) arba </w:t>
      </w:r>
      <w:proofErr w:type="spellStart"/>
      <w:r w:rsidRPr="00112B89">
        <w:rPr>
          <w:rStyle w:val="FontStyle33"/>
          <w:sz w:val="22"/>
          <w:szCs w:val="22"/>
          <w:lang w:val="lt-LT" w:eastAsia="en-US"/>
        </w:rPr>
        <w:t>kreatinino</w:t>
      </w:r>
      <w:proofErr w:type="spellEnd"/>
      <w:r w:rsidRPr="00112B89">
        <w:rPr>
          <w:rStyle w:val="FontStyle33"/>
          <w:sz w:val="22"/>
          <w:szCs w:val="22"/>
          <w:lang w:val="lt-LT" w:eastAsia="en-US"/>
        </w:rPr>
        <w:t xml:space="preserve"> klirensas yra mažiau 30</w:t>
      </w:r>
      <w:r w:rsidR="00271402" w:rsidRPr="00112B89">
        <w:rPr>
          <w:rStyle w:val="FontStyle33"/>
          <w:sz w:val="22"/>
          <w:szCs w:val="22"/>
          <w:lang w:val="lt-LT" w:eastAsia="en-US"/>
        </w:rPr>
        <w:t> </w:t>
      </w:r>
      <w:r w:rsidRPr="00112B89">
        <w:rPr>
          <w:rStyle w:val="FontStyle33"/>
          <w:sz w:val="22"/>
          <w:szCs w:val="22"/>
          <w:lang w:val="lt-LT" w:eastAsia="en-US"/>
        </w:rPr>
        <w:t>ml/min.</w:t>
      </w:r>
      <w:r w:rsidRPr="00112B89">
        <w:rPr>
          <w:rFonts w:eastAsia="MS Mincho"/>
          <w:color w:val="000000"/>
          <w:sz w:val="22"/>
          <w:szCs w:val="22"/>
          <w:lang w:val="lt-LT" w:eastAsia="ja-JP"/>
        </w:rPr>
        <w:t xml:space="preserve"> (žr. 4.2 ir 5.2 skyrių).</w:t>
      </w:r>
    </w:p>
    <w:p w14:paraId="7368128E"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7A9CC19A" w14:textId="77777777" w:rsidR="00595BC6" w:rsidRPr="00112B89" w:rsidRDefault="00595BC6" w:rsidP="00C7398A">
      <w:pPr>
        <w:tabs>
          <w:tab w:val="left" w:pos="567"/>
        </w:tabs>
        <w:autoSpaceDE w:val="0"/>
        <w:autoSpaceDN w:val="0"/>
        <w:adjustRightInd w:val="0"/>
        <w:spacing w:after="0" w:line="240" w:lineRule="auto"/>
        <w:rPr>
          <w:rFonts w:ascii="Times New Roman" w:hAnsi="Times New Roman"/>
          <w:i/>
          <w:color w:val="000000"/>
        </w:rPr>
      </w:pPr>
      <w:proofErr w:type="spellStart"/>
      <w:r w:rsidRPr="00112B89">
        <w:rPr>
          <w:rFonts w:ascii="Times New Roman" w:hAnsi="Times New Roman"/>
          <w:i/>
          <w:color w:val="000000"/>
        </w:rPr>
        <w:lastRenderedPageBreak/>
        <w:t>Pacient</w:t>
      </w:r>
      <w:r w:rsidR="00CD22B4" w:rsidRPr="00112B89">
        <w:rPr>
          <w:rFonts w:ascii="Times New Roman" w:hAnsi="Times New Roman"/>
          <w:i/>
          <w:color w:val="000000"/>
        </w:rPr>
        <w:t>ms</w:t>
      </w:r>
      <w:proofErr w:type="spellEnd"/>
      <w:r w:rsidRPr="00112B89">
        <w:rPr>
          <w:rFonts w:ascii="Times New Roman" w:hAnsi="Times New Roman"/>
          <w:i/>
          <w:color w:val="000000"/>
        </w:rPr>
        <w:t>, kurių širdies funkcija sutrikusi</w:t>
      </w:r>
    </w:p>
    <w:p w14:paraId="6ABC2010" w14:textId="77777777" w:rsidR="00595BC6" w:rsidRPr="00112B89" w:rsidRDefault="00595BC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Pacientus, kuriems </w:t>
      </w:r>
      <w:r w:rsidR="00507117" w:rsidRPr="00112B89">
        <w:rPr>
          <w:rFonts w:ascii="Times New Roman" w:hAnsi="Times New Roman"/>
          <w:color w:val="000000"/>
        </w:rPr>
        <w:t>gresia</w:t>
      </w:r>
      <w:r w:rsidRPr="00112B89">
        <w:rPr>
          <w:rFonts w:ascii="Times New Roman" w:hAnsi="Times New Roman"/>
          <w:color w:val="000000"/>
        </w:rPr>
        <w:t xml:space="preserve"> širdies nepakankamumas, reikia saugoti nuo </w:t>
      </w:r>
      <w:proofErr w:type="spellStart"/>
      <w:r w:rsidRPr="00112B89">
        <w:rPr>
          <w:rFonts w:ascii="Times New Roman" w:hAnsi="Times New Roman"/>
          <w:color w:val="000000"/>
        </w:rPr>
        <w:t>hiperhidracijos</w:t>
      </w:r>
      <w:proofErr w:type="spellEnd"/>
      <w:r w:rsidRPr="00112B89">
        <w:rPr>
          <w:rFonts w:ascii="Times New Roman" w:hAnsi="Times New Roman"/>
          <w:color w:val="000000"/>
        </w:rPr>
        <w:t>.</w:t>
      </w:r>
    </w:p>
    <w:p w14:paraId="4E26EE0A" w14:textId="77777777" w:rsidR="00595BC6" w:rsidRPr="00112B89" w:rsidRDefault="00595BC6" w:rsidP="00C7398A">
      <w:pPr>
        <w:tabs>
          <w:tab w:val="left" w:pos="567"/>
        </w:tabs>
        <w:autoSpaceDE w:val="0"/>
        <w:autoSpaceDN w:val="0"/>
        <w:adjustRightInd w:val="0"/>
        <w:spacing w:after="0" w:line="240" w:lineRule="auto"/>
        <w:rPr>
          <w:rFonts w:ascii="Times New Roman" w:hAnsi="Times New Roman"/>
          <w:color w:val="000000"/>
        </w:rPr>
      </w:pPr>
    </w:p>
    <w:p w14:paraId="4686C28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i/>
          <w:color w:val="000000"/>
        </w:rPr>
      </w:pPr>
      <w:r w:rsidRPr="00112B89">
        <w:rPr>
          <w:rFonts w:ascii="Times New Roman" w:hAnsi="Times New Roman"/>
          <w:i/>
          <w:color w:val="000000"/>
        </w:rPr>
        <w:t xml:space="preserve">Žandikaulio </w:t>
      </w:r>
      <w:proofErr w:type="spellStart"/>
      <w:r w:rsidRPr="00112B89">
        <w:rPr>
          <w:rFonts w:ascii="Times New Roman" w:hAnsi="Times New Roman"/>
          <w:i/>
          <w:color w:val="000000"/>
        </w:rPr>
        <w:t>osteonekrozė</w:t>
      </w:r>
      <w:proofErr w:type="spellEnd"/>
    </w:p>
    <w:p w14:paraId="3AE0DD01"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Vaistui jau esant rinkoje yra pasteb</w:t>
      </w:r>
      <w:r w:rsidRPr="0089774B">
        <w:rPr>
          <w:rFonts w:ascii="TimesNewRomanPSMT" w:eastAsia="TimesNewRomanPSMT" w:hAnsi="Times New Roman" w:cs="TimesNewRomanPSMT"/>
          <w:lang w:eastAsia="lt-LT"/>
        </w:rPr>
        <w:t>ė</w:t>
      </w:r>
      <w:r w:rsidRPr="0089774B">
        <w:rPr>
          <w:rFonts w:ascii="Times New Roman" w:hAnsi="Times New Roman"/>
          <w:lang w:eastAsia="lt-LT"/>
        </w:rPr>
        <w:t>ta labai ret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žandikaulio </w:t>
      </w:r>
      <w:proofErr w:type="spellStart"/>
      <w:r w:rsidRPr="0089774B">
        <w:rPr>
          <w:rFonts w:ascii="Times New Roman" w:hAnsi="Times New Roman"/>
          <w:lang w:eastAsia="lt-LT"/>
        </w:rPr>
        <w:t>osteonekroz</w:t>
      </w:r>
      <w:r w:rsidRPr="0089774B">
        <w:rPr>
          <w:rFonts w:ascii="TimesNewRomanPSMT" w:eastAsia="TimesNewRomanPSMT" w:hAnsi="Times New Roman" w:cs="TimesNewRomanPSMT"/>
          <w:lang w:eastAsia="lt-LT"/>
        </w:rPr>
        <w:t>ė</w:t>
      </w:r>
      <w:r w:rsidRPr="0089774B">
        <w:rPr>
          <w:rFonts w:ascii="Times New Roman" w:hAnsi="Times New Roman"/>
          <w:lang w:eastAsia="lt-LT"/>
        </w:rPr>
        <w:t>s</w:t>
      </w:r>
      <w:proofErr w:type="spellEnd"/>
      <w:r w:rsidRPr="0089774B">
        <w:rPr>
          <w:rFonts w:ascii="Times New Roman" w:hAnsi="Times New Roman"/>
          <w:lang w:eastAsia="lt-LT"/>
        </w:rPr>
        <w:t xml:space="preserve"> (ŽON) atvej</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pacientams, kurie </w:t>
      </w:r>
      <w:proofErr w:type="spellStart"/>
      <w:r w:rsidRPr="0089774B">
        <w:rPr>
          <w:rFonts w:ascii="Times New Roman" w:hAnsi="Times New Roman"/>
          <w:lang w:eastAsia="lt-LT"/>
        </w:rPr>
        <w:t>įbandrono</w:t>
      </w:r>
      <w:proofErr w:type="spellEnd"/>
      <w:r w:rsidRPr="0089774B">
        <w:rPr>
          <w:rFonts w:ascii="Times New Roman" w:hAnsi="Times New Roman"/>
          <w:lang w:eastAsia="lt-LT"/>
        </w:rPr>
        <w:t xml:space="preserve"> rūgštimi buvo gydomi nuo osteoporoz</w:t>
      </w:r>
      <w:r w:rsidRPr="0089774B">
        <w:rPr>
          <w:rFonts w:ascii="TimesNewRomanPSMT" w:eastAsia="TimesNewRomanPSMT" w:hAnsi="Times New Roman" w:cs="TimesNewRomanPSMT"/>
          <w:lang w:eastAsia="lt-LT"/>
        </w:rPr>
        <w:t>ė</w:t>
      </w:r>
      <w:r w:rsidRPr="0089774B">
        <w:rPr>
          <w:rFonts w:ascii="Times New Roman" w:hAnsi="Times New Roman"/>
          <w:lang w:eastAsia="lt-LT"/>
        </w:rPr>
        <w:t>s (žr. 4.8 skyri</w:t>
      </w:r>
      <w:r w:rsidRPr="0089774B">
        <w:rPr>
          <w:rFonts w:ascii="TimesNewRomanPSMT" w:eastAsia="TimesNewRomanPSMT" w:hAnsi="Times New Roman" w:cs="TimesNewRomanPSMT"/>
          <w:lang w:eastAsia="lt-LT"/>
        </w:rPr>
        <w:t>ų</w:t>
      </w:r>
      <w:r w:rsidRPr="0089774B">
        <w:rPr>
          <w:rFonts w:ascii="Times New Roman" w:hAnsi="Times New Roman"/>
          <w:lang w:eastAsia="lt-LT"/>
        </w:rPr>
        <w:t>).</w:t>
      </w:r>
    </w:p>
    <w:p w14:paraId="5F8B38CB"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p>
    <w:p w14:paraId="7B0E9DE2"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Pacientams, kuri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burnoje yra neužgijusi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atvir</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minkšt</w:t>
      </w:r>
      <w:r w:rsidRPr="0089774B">
        <w:rPr>
          <w:rFonts w:ascii="TimesNewRomanPSMT" w:eastAsia="TimesNewRomanPSMT" w:hAnsi="Times New Roman" w:cs="TimesNewRomanPSMT"/>
          <w:lang w:eastAsia="lt-LT"/>
        </w:rPr>
        <w:t>ų</w:t>
      </w:r>
      <w:r w:rsidRPr="0089774B">
        <w:rPr>
          <w:rFonts w:ascii="Times New Roman" w:hAnsi="Times New Roman"/>
          <w:lang w:eastAsia="lt-LT"/>
        </w:rPr>
        <w:t>j</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audini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pažaid</w:t>
      </w:r>
      <w:r w:rsidRPr="0089774B">
        <w:rPr>
          <w:rFonts w:ascii="TimesNewRomanPSMT" w:eastAsia="TimesNewRomanPSMT" w:hAnsi="Times New Roman" w:cs="TimesNewRomanPSMT"/>
          <w:lang w:eastAsia="lt-LT"/>
        </w:rPr>
        <w:t>ų</w:t>
      </w:r>
      <w:r w:rsidRPr="0089774B">
        <w:rPr>
          <w:rFonts w:ascii="Times New Roman" w:hAnsi="Times New Roman"/>
          <w:lang w:eastAsia="lt-LT"/>
        </w:rPr>
        <w:t>, gydymo ar naujo gydymo kurso pradži</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reikia atid</w:t>
      </w:r>
      <w:r w:rsidRPr="0089774B">
        <w:rPr>
          <w:rFonts w:ascii="TimesNewRomanPSMT" w:eastAsia="TimesNewRomanPSMT" w:hAnsi="Times New Roman" w:cs="TimesNewRomanPSMT"/>
          <w:lang w:eastAsia="lt-LT"/>
        </w:rPr>
        <w:t>ė</w:t>
      </w:r>
      <w:r w:rsidRPr="0089774B">
        <w:rPr>
          <w:rFonts w:ascii="Times New Roman" w:hAnsi="Times New Roman"/>
          <w:lang w:eastAsia="lt-LT"/>
        </w:rPr>
        <w:t>ti.</w:t>
      </w:r>
    </w:p>
    <w:p w14:paraId="7ACBD4A5"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p>
    <w:p w14:paraId="78A9AD5B"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Prieš gydym</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proofErr w:type="spellStart"/>
      <w:r w:rsidRPr="0089774B">
        <w:rPr>
          <w:rFonts w:ascii="Times New Roman" w:hAnsi="Times New Roman"/>
          <w:lang w:eastAsia="lt-LT"/>
        </w:rPr>
        <w:t>ibandrono</w:t>
      </w:r>
      <w:proofErr w:type="spellEnd"/>
      <w:r w:rsidRPr="0089774B">
        <w:rPr>
          <w:rFonts w:ascii="Times New Roman" w:hAnsi="Times New Roman"/>
          <w:lang w:eastAsia="lt-LT"/>
        </w:rPr>
        <w:t xml:space="preserve"> rūgštimi rekomenduojama ištirti lydin</w:t>
      </w:r>
      <w:r w:rsidRPr="0089774B">
        <w:rPr>
          <w:rFonts w:ascii="TimesNewRomanPSMT" w:eastAsia="TimesNewRomanPSMT" w:hAnsi="Times New Roman" w:cs="TimesNewRomanPSMT"/>
          <w:lang w:eastAsia="lt-LT"/>
        </w:rPr>
        <w:t>č</w:t>
      </w:r>
      <w:r w:rsidRPr="0089774B">
        <w:rPr>
          <w:rFonts w:ascii="Times New Roman" w:hAnsi="Times New Roman"/>
          <w:lang w:eastAsia="lt-LT"/>
        </w:rPr>
        <w:t>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rizikos veiksni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turin</w:t>
      </w:r>
      <w:r w:rsidRPr="0089774B">
        <w:rPr>
          <w:rFonts w:ascii="TimesNewRomanPSMT" w:eastAsia="TimesNewRomanPSMT" w:hAnsi="Times New Roman" w:cs="TimesNewRomanPSMT"/>
          <w:lang w:eastAsia="lt-LT"/>
        </w:rPr>
        <w:t>č</w:t>
      </w:r>
      <w:r w:rsidRPr="0089774B">
        <w:rPr>
          <w:rFonts w:ascii="Times New Roman" w:hAnsi="Times New Roman"/>
          <w:lang w:eastAsia="lt-LT"/>
        </w:rPr>
        <w:t>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pacient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w:t>
      </w:r>
      <w:r w:rsidRPr="0089774B">
        <w:rPr>
          <w:rFonts w:ascii="TimesNewRomanPSMT" w:eastAsia="TimesNewRomanPSMT" w:hAnsi="Times New Roman" w:cs="TimesNewRomanPSMT"/>
          <w:lang w:eastAsia="lt-LT"/>
        </w:rPr>
        <w:t>ū</w:t>
      </w:r>
      <w:r w:rsidRPr="0089774B">
        <w:rPr>
          <w:rFonts w:ascii="Times New Roman" w:hAnsi="Times New Roman"/>
          <w:lang w:eastAsia="lt-LT"/>
        </w:rPr>
        <w:t>kl</w:t>
      </w:r>
      <w:r w:rsidRPr="0089774B">
        <w:rPr>
          <w:rFonts w:ascii="TimesNewRomanPSMT" w:eastAsia="TimesNewRomanPSMT" w:hAnsi="Times New Roman" w:cs="TimesNewRomanPSMT"/>
          <w:lang w:eastAsia="lt-LT"/>
        </w:rPr>
        <w:t>ę</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ir taikyti profilaktin</w:t>
      </w:r>
      <w:r w:rsidRPr="0089774B">
        <w:rPr>
          <w:rFonts w:ascii="TimesNewRomanPSMT" w:eastAsia="TimesNewRomanPSMT" w:hAnsi="Times New Roman" w:cs="TimesNewRomanPSMT"/>
          <w:lang w:eastAsia="lt-LT"/>
        </w:rPr>
        <w:t>į</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gydym</w:t>
      </w:r>
      <w:r w:rsidRPr="0089774B">
        <w:rPr>
          <w:rFonts w:ascii="TimesNewRomanPSMT" w:eastAsia="TimesNewRomanPSMT" w:hAnsi="Times New Roman" w:cs="TimesNewRomanPSMT"/>
          <w:lang w:eastAsia="lt-LT"/>
        </w:rPr>
        <w:t>ą</w:t>
      </w:r>
      <w:r w:rsidRPr="0089774B">
        <w:rPr>
          <w:rFonts w:ascii="Times New Roman" w:hAnsi="Times New Roman"/>
          <w:lang w:eastAsia="lt-LT"/>
        </w:rPr>
        <w:t xml:space="preserve">, remiantis individualiu naudos ir rizikos </w:t>
      </w:r>
      <w:r w:rsidRPr="0089774B">
        <w:rPr>
          <w:rFonts w:ascii="TimesNewRomanPSMT" w:eastAsia="TimesNewRomanPSMT" w:hAnsi="Times New Roman" w:cs="TimesNewRomanPSMT"/>
          <w:lang w:eastAsia="lt-LT"/>
        </w:rPr>
        <w:t>į</w:t>
      </w:r>
      <w:r w:rsidRPr="0089774B">
        <w:rPr>
          <w:rFonts w:ascii="Times New Roman" w:hAnsi="Times New Roman"/>
          <w:lang w:eastAsia="lt-LT"/>
        </w:rPr>
        <w:t>vertinimu.</w:t>
      </w:r>
    </w:p>
    <w:p w14:paraId="206C8029"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p>
    <w:p w14:paraId="7D7D615C"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 xml:space="preserve">Rizikos veiksniai, </w:t>
      </w:r>
      <w:r w:rsidRPr="0089774B">
        <w:rPr>
          <w:rFonts w:ascii="TimesNewRomanPSMT" w:eastAsia="TimesNewRomanPSMT" w:hAnsi="Times New Roman" w:cs="TimesNewRomanPSMT"/>
          <w:lang w:eastAsia="lt-LT"/>
        </w:rPr>
        <w:t>į</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kuriuos reikia atsižvelgti vertinant paciento rizik</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susirgti ŽON, yra šie:</w:t>
      </w:r>
    </w:p>
    <w:p w14:paraId="4E0CF6AA" w14:textId="77777777" w:rsidR="00240D4B" w:rsidRPr="0089774B" w:rsidRDefault="00240D4B" w:rsidP="00AF76F1">
      <w:pPr>
        <w:pStyle w:val="Sraopastraipa"/>
        <w:numPr>
          <w:ilvl w:val="0"/>
          <w:numId w:val="3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stiprumas kaul</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proofErr w:type="spellStart"/>
      <w:r w:rsidRPr="0089774B">
        <w:rPr>
          <w:rFonts w:ascii="Times New Roman" w:hAnsi="Times New Roman"/>
          <w:lang w:eastAsia="lt-LT"/>
        </w:rPr>
        <w:t>rezorbcij</w:t>
      </w:r>
      <w:r w:rsidRPr="0089774B">
        <w:rPr>
          <w:rFonts w:ascii="TimesNewRomanPSMT" w:eastAsia="TimesNewRomanPSMT" w:hAnsi="Times New Roman" w:cs="TimesNewRomanPSMT"/>
          <w:lang w:eastAsia="lt-LT"/>
        </w:rPr>
        <w:t>ą</w:t>
      </w:r>
      <w:proofErr w:type="spellEnd"/>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slopinan</w:t>
      </w:r>
      <w:r w:rsidRPr="0089774B">
        <w:rPr>
          <w:rFonts w:ascii="TimesNewRomanPSMT" w:eastAsia="TimesNewRomanPSMT" w:hAnsi="Times New Roman" w:cs="TimesNewRomanPSMT"/>
          <w:lang w:eastAsia="lt-LT"/>
        </w:rPr>
        <w:t>č</w:t>
      </w:r>
      <w:r w:rsidRPr="0089774B">
        <w:rPr>
          <w:rFonts w:ascii="Times New Roman" w:hAnsi="Times New Roman"/>
          <w:lang w:eastAsia="lt-LT"/>
        </w:rPr>
        <w:t>io vaisto (didesn</w:t>
      </w:r>
      <w:r w:rsidRPr="0089774B">
        <w:rPr>
          <w:rFonts w:ascii="TimesNewRomanPSMT" w:eastAsia="TimesNewRomanPSMT" w:hAnsi="Times New Roman" w:cs="TimesNewRomanPSMT"/>
          <w:lang w:eastAsia="lt-LT"/>
        </w:rPr>
        <w:t>ę</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rizik</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kelia labai stipr</w:t>
      </w:r>
      <w:r w:rsidRPr="0089774B">
        <w:rPr>
          <w:rFonts w:ascii="TimesNewRomanPSMT" w:eastAsia="TimesNewRomanPSMT" w:hAnsi="Times New Roman" w:cs="TimesNewRomanPSMT"/>
          <w:lang w:eastAsia="lt-LT"/>
        </w:rPr>
        <w:t>ū</w:t>
      </w:r>
      <w:r w:rsidRPr="0089774B">
        <w:rPr>
          <w:rFonts w:ascii="Times New Roman" w:hAnsi="Times New Roman"/>
          <w:lang w:eastAsia="lt-LT"/>
        </w:rPr>
        <w:t>s junginiai), vartojimo b</w:t>
      </w:r>
      <w:r w:rsidRPr="0089774B">
        <w:rPr>
          <w:rFonts w:ascii="TimesNewRomanPSMT" w:eastAsia="TimesNewRomanPSMT" w:hAnsi="Times New Roman" w:cs="TimesNewRomanPSMT"/>
          <w:lang w:eastAsia="lt-LT"/>
        </w:rPr>
        <w:t>ū</w:t>
      </w:r>
      <w:r w:rsidRPr="0089774B">
        <w:rPr>
          <w:rFonts w:ascii="Times New Roman" w:hAnsi="Times New Roman"/>
          <w:lang w:eastAsia="lt-LT"/>
        </w:rPr>
        <w:t>das (didesn</w:t>
      </w:r>
      <w:r w:rsidRPr="0089774B">
        <w:rPr>
          <w:rFonts w:ascii="TimesNewRomanPSMT" w:eastAsia="TimesNewRomanPSMT" w:hAnsi="Times New Roman" w:cs="TimesNewRomanPSMT"/>
          <w:lang w:eastAsia="lt-LT"/>
        </w:rPr>
        <w:t>ė</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rizika kyla vartojant </w:t>
      </w:r>
      <w:proofErr w:type="spellStart"/>
      <w:r w:rsidRPr="0089774B">
        <w:rPr>
          <w:rFonts w:ascii="Times New Roman" w:hAnsi="Times New Roman"/>
          <w:lang w:eastAsia="lt-LT"/>
        </w:rPr>
        <w:t>parenteraliai</w:t>
      </w:r>
      <w:proofErr w:type="spellEnd"/>
      <w:r w:rsidRPr="0089774B">
        <w:rPr>
          <w:rFonts w:ascii="Times New Roman" w:hAnsi="Times New Roman"/>
          <w:lang w:eastAsia="lt-LT"/>
        </w:rPr>
        <w:t>) ir kaul</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proofErr w:type="spellStart"/>
      <w:r w:rsidRPr="0089774B">
        <w:rPr>
          <w:rFonts w:ascii="Times New Roman" w:hAnsi="Times New Roman"/>
          <w:lang w:eastAsia="lt-LT"/>
        </w:rPr>
        <w:t>rezorbcijos</w:t>
      </w:r>
      <w:proofErr w:type="spellEnd"/>
      <w:r w:rsidRPr="0089774B">
        <w:rPr>
          <w:rFonts w:ascii="Times New Roman" w:hAnsi="Times New Roman"/>
          <w:lang w:eastAsia="lt-LT"/>
        </w:rPr>
        <w:t xml:space="preserve"> terapijos sukauptoji doz</w:t>
      </w:r>
      <w:r w:rsidRPr="0089774B">
        <w:rPr>
          <w:rFonts w:ascii="TimesNewRomanPSMT" w:eastAsia="TimesNewRomanPSMT" w:hAnsi="Times New Roman" w:cs="TimesNewRomanPSMT"/>
          <w:lang w:eastAsia="lt-LT"/>
        </w:rPr>
        <w:t>ė</w:t>
      </w:r>
      <w:r w:rsidRPr="0089774B">
        <w:rPr>
          <w:rFonts w:ascii="Times New Roman" w:hAnsi="Times New Roman"/>
          <w:lang w:eastAsia="lt-LT"/>
        </w:rPr>
        <w:t>;</w:t>
      </w:r>
    </w:p>
    <w:p w14:paraId="625FB57E" w14:textId="77777777" w:rsidR="00240D4B" w:rsidRPr="0089774B" w:rsidRDefault="00240D4B" w:rsidP="00AF76F1">
      <w:pPr>
        <w:pStyle w:val="Sraopastraipa"/>
        <w:numPr>
          <w:ilvl w:val="0"/>
          <w:numId w:val="3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v</w:t>
      </w:r>
      <w:r w:rsidRPr="0089774B">
        <w:rPr>
          <w:rFonts w:ascii="TimesNewRomanPSMT" w:eastAsia="TimesNewRomanPSMT" w:hAnsi="Times New Roman" w:cs="TimesNewRomanPSMT"/>
          <w:lang w:eastAsia="lt-LT"/>
        </w:rPr>
        <w:t>ė</w:t>
      </w:r>
      <w:r w:rsidRPr="0089774B">
        <w:rPr>
          <w:rFonts w:ascii="Times New Roman" w:hAnsi="Times New Roman"/>
          <w:lang w:eastAsia="lt-LT"/>
        </w:rPr>
        <w:t>žio liga, lydin</w:t>
      </w:r>
      <w:r w:rsidRPr="0089774B">
        <w:rPr>
          <w:rFonts w:ascii="TimesNewRomanPSMT" w:eastAsia="TimesNewRomanPSMT" w:hAnsi="Times New Roman" w:cs="TimesNewRomanPSMT"/>
          <w:lang w:eastAsia="lt-LT"/>
        </w:rPr>
        <w:t>č</w:t>
      </w:r>
      <w:r w:rsidRPr="0089774B">
        <w:rPr>
          <w:rFonts w:ascii="Times New Roman" w:hAnsi="Times New Roman"/>
          <w:lang w:eastAsia="lt-LT"/>
        </w:rPr>
        <w:t>ios patologin</w:t>
      </w:r>
      <w:r w:rsidRPr="0089774B">
        <w:rPr>
          <w:rFonts w:ascii="TimesNewRomanPSMT" w:eastAsia="TimesNewRomanPSMT" w:hAnsi="Times New Roman" w:cs="TimesNewRomanPSMT"/>
          <w:lang w:eastAsia="lt-LT"/>
        </w:rPr>
        <w:t>ė</w:t>
      </w:r>
      <w:r w:rsidRPr="0089774B">
        <w:rPr>
          <w:rFonts w:ascii="Times New Roman" w:hAnsi="Times New Roman"/>
          <w:lang w:eastAsia="lt-LT"/>
        </w:rPr>
        <w:t>s b</w:t>
      </w:r>
      <w:r w:rsidRPr="0089774B">
        <w:rPr>
          <w:rFonts w:ascii="TimesNewRomanPSMT" w:eastAsia="TimesNewRomanPSMT" w:hAnsi="Times New Roman" w:cs="TimesNewRomanPSMT"/>
          <w:lang w:eastAsia="lt-LT"/>
        </w:rPr>
        <w:t>ū</w:t>
      </w:r>
      <w:r w:rsidRPr="0089774B">
        <w:rPr>
          <w:rFonts w:ascii="Times New Roman" w:hAnsi="Times New Roman"/>
          <w:lang w:eastAsia="lt-LT"/>
        </w:rPr>
        <w:t>kl</w:t>
      </w:r>
      <w:r w:rsidRPr="0089774B">
        <w:rPr>
          <w:rFonts w:ascii="TimesNewRomanPSMT" w:eastAsia="TimesNewRomanPSMT" w:hAnsi="Times New Roman" w:cs="TimesNewRomanPSMT"/>
          <w:lang w:eastAsia="lt-LT"/>
        </w:rPr>
        <w:t>ė</w:t>
      </w:r>
      <w:r w:rsidRPr="0089774B">
        <w:rPr>
          <w:rFonts w:ascii="Times New Roman" w:hAnsi="Times New Roman"/>
          <w:lang w:eastAsia="lt-LT"/>
        </w:rPr>
        <w:t xml:space="preserve">s (pvz., anemija, </w:t>
      </w:r>
      <w:proofErr w:type="spellStart"/>
      <w:r w:rsidRPr="0089774B">
        <w:rPr>
          <w:rFonts w:ascii="Times New Roman" w:hAnsi="Times New Roman"/>
          <w:lang w:eastAsia="lt-LT"/>
        </w:rPr>
        <w:t>koaguliacijos</w:t>
      </w:r>
      <w:proofErr w:type="spellEnd"/>
      <w:r w:rsidRPr="0089774B">
        <w:rPr>
          <w:rFonts w:ascii="Times New Roman" w:hAnsi="Times New Roman"/>
          <w:lang w:eastAsia="lt-LT"/>
        </w:rPr>
        <w:t xml:space="preserve"> sutrikimai, infekcija), r</w:t>
      </w:r>
      <w:r w:rsidRPr="0089774B">
        <w:rPr>
          <w:rFonts w:ascii="TimesNewRomanPSMT" w:eastAsia="TimesNewRomanPSMT" w:hAnsi="Times New Roman" w:cs="TimesNewRomanPSMT"/>
          <w:lang w:eastAsia="lt-LT"/>
        </w:rPr>
        <w:t>ū</w:t>
      </w:r>
      <w:r w:rsidRPr="0089774B">
        <w:rPr>
          <w:rFonts w:ascii="Times New Roman" w:hAnsi="Times New Roman"/>
          <w:lang w:eastAsia="lt-LT"/>
        </w:rPr>
        <w:t>kymas;</w:t>
      </w:r>
    </w:p>
    <w:p w14:paraId="0CC28588" w14:textId="77777777" w:rsidR="00240D4B" w:rsidRPr="0089774B" w:rsidRDefault="00240D4B" w:rsidP="00AF76F1">
      <w:pPr>
        <w:pStyle w:val="Sraopastraipa"/>
        <w:numPr>
          <w:ilvl w:val="0"/>
          <w:numId w:val="3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 xml:space="preserve">gretutinis gydymas kortikosteroidais, chemoterapija, </w:t>
      </w:r>
      <w:proofErr w:type="spellStart"/>
      <w:r w:rsidRPr="0089774B">
        <w:rPr>
          <w:rFonts w:ascii="Times New Roman" w:hAnsi="Times New Roman"/>
          <w:lang w:eastAsia="lt-LT"/>
        </w:rPr>
        <w:t>angiogenez</w:t>
      </w:r>
      <w:r w:rsidRPr="0089774B">
        <w:rPr>
          <w:rFonts w:ascii="TimesNewRomanPSMT" w:eastAsia="TimesNewRomanPSMT" w:hAnsi="Times New Roman" w:cs="TimesNewRomanPSMT"/>
          <w:lang w:eastAsia="lt-LT"/>
        </w:rPr>
        <w:t>ė</w:t>
      </w:r>
      <w:r w:rsidRPr="0089774B">
        <w:rPr>
          <w:rFonts w:ascii="Times New Roman" w:hAnsi="Times New Roman"/>
          <w:lang w:eastAsia="lt-LT"/>
        </w:rPr>
        <w:t>s</w:t>
      </w:r>
      <w:proofErr w:type="spellEnd"/>
      <w:r w:rsidRPr="0089774B">
        <w:rPr>
          <w:rFonts w:ascii="Times New Roman" w:hAnsi="Times New Roman"/>
          <w:lang w:eastAsia="lt-LT"/>
        </w:rPr>
        <w:t xml:space="preserve"> inhibitoriais, galvos ir kaklo radioterapija;</w:t>
      </w:r>
    </w:p>
    <w:p w14:paraId="1D897552" w14:textId="77777777" w:rsidR="00240D4B" w:rsidRPr="0089774B" w:rsidRDefault="00240D4B" w:rsidP="00AF76F1">
      <w:pPr>
        <w:pStyle w:val="Sraopastraipa"/>
        <w:numPr>
          <w:ilvl w:val="0"/>
          <w:numId w:val="34"/>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 xml:space="preserve">prasta burnos higiena, </w:t>
      </w:r>
      <w:proofErr w:type="spellStart"/>
      <w:r w:rsidRPr="0089774B">
        <w:rPr>
          <w:rFonts w:ascii="Times New Roman" w:hAnsi="Times New Roman"/>
          <w:lang w:eastAsia="lt-LT"/>
        </w:rPr>
        <w:t>periodonto</w:t>
      </w:r>
      <w:proofErr w:type="spellEnd"/>
      <w:r w:rsidRPr="0089774B">
        <w:rPr>
          <w:rFonts w:ascii="Times New Roman" w:hAnsi="Times New Roman"/>
          <w:lang w:eastAsia="lt-LT"/>
        </w:rPr>
        <w:t xml:space="preserve"> ligos, blogai pritaikyti protezai, buvusios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ligos, invazin</w:t>
      </w:r>
      <w:r w:rsidRPr="0089774B">
        <w:rPr>
          <w:rFonts w:ascii="TimesNewRomanPSMT" w:eastAsia="TimesNewRomanPSMT" w:hAnsi="Times New Roman" w:cs="TimesNewRomanPSMT"/>
          <w:lang w:eastAsia="lt-LT"/>
        </w:rPr>
        <w:t>ė</w:t>
      </w:r>
      <w:r w:rsidRPr="0089774B">
        <w:rPr>
          <w:rFonts w:ascii="Times New Roman" w:hAnsi="Times New Roman"/>
          <w:lang w:eastAsia="lt-LT"/>
        </w:rPr>
        <w:t>s odontologin</w:t>
      </w:r>
      <w:r w:rsidRPr="0089774B">
        <w:rPr>
          <w:rFonts w:ascii="TimesNewRomanPSMT" w:eastAsia="TimesNewRomanPSMT" w:hAnsi="Times New Roman" w:cs="TimesNewRomanPSMT"/>
          <w:lang w:eastAsia="lt-LT"/>
        </w:rPr>
        <w:t>ė</w:t>
      </w:r>
      <w:r w:rsidRPr="0089774B">
        <w:rPr>
          <w:rFonts w:ascii="Times New Roman" w:hAnsi="Times New Roman"/>
          <w:lang w:eastAsia="lt-LT"/>
        </w:rPr>
        <w:t>s proced</w:t>
      </w:r>
      <w:r w:rsidRPr="0089774B">
        <w:rPr>
          <w:rFonts w:ascii="TimesNewRomanPSMT" w:eastAsia="TimesNewRomanPSMT" w:hAnsi="Times New Roman" w:cs="TimesNewRomanPSMT"/>
          <w:lang w:eastAsia="lt-LT"/>
        </w:rPr>
        <w:t>ū</w:t>
      </w:r>
      <w:r w:rsidRPr="0089774B">
        <w:rPr>
          <w:rFonts w:ascii="Times New Roman" w:hAnsi="Times New Roman"/>
          <w:lang w:eastAsia="lt-LT"/>
        </w:rPr>
        <w:t>ros, pvz., danties traukimas.</w:t>
      </w:r>
    </w:p>
    <w:p w14:paraId="3D668622"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p>
    <w:p w14:paraId="21349ACC"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 xml:space="preserve">Gydymo </w:t>
      </w:r>
      <w:proofErr w:type="spellStart"/>
      <w:r w:rsidRPr="0089774B">
        <w:rPr>
          <w:rFonts w:ascii="Times New Roman" w:hAnsi="Times New Roman"/>
          <w:lang w:eastAsia="lt-LT"/>
        </w:rPr>
        <w:t>įbandrono</w:t>
      </w:r>
      <w:proofErr w:type="spellEnd"/>
      <w:r w:rsidRPr="0089774B">
        <w:rPr>
          <w:rFonts w:ascii="Times New Roman" w:hAnsi="Times New Roman"/>
          <w:lang w:eastAsia="lt-LT"/>
        </w:rPr>
        <w:t xml:space="preserve"> rūgštimi metu visi pacientai turi b</w:t>
      </w:r>
      <w:r w:rsidRPr="0089774B">
        <w:rPr>
          <w:rFonts w:ascii="TimesNewRomanPSMT" w:eastAsia="TimesNewRomanPSMT" w:hAnsi="Times New Roman" w:cs="TimesNewRomanPSMT"/>
          <w:lang w:eastAsia="lt-LT"/>
        </w:rPr>
        <w:t>ū</w:t>
      </w:r>
      <w:r w:rsidRPr="0089774B">
        <w:rPr>
          <w:rFonts w:ascii="Times New Roman" w:hAnsi="Times New Roman"/>
          <w:lang w:eastAsia="lt-LT"/>
        </w:rPr>
        <w:t>ti skatinami palaikyti ger</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burnos higien</w:t>
      </w:r>
      <w:r w:rsidRPr="0089774B">
        <w:rPr>
          <w:rFonts w:ascii="TimesNewRomanPSMT" w:eastAsia="TimesNewRomanPSMT" w:hAnsi="Times New Roman" w:cs="TimesNewRomanPSMT"/>
          <w:lang w:eastAsia="lt-LT"/>
        </w:rPr>
        <w:t>ą</w:t>
      </w:r>
      <w:r w:rsidRPr="0089774B">
        <w:rPr>
          <w:rFonts w:ascii="Times New Roman" w:hAnsi="Times New Roman"/>
          <w:lang w:eastAsia="lt-LT"/>
        </w:rPr>
        <w:t>, reguliariai tikrintis dantis ir iš karto pranešti apie visus burnos simptomus, tokius kaip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išklibimas, skausmas ar patinimas, negyjan</w:t>
      </w:r>
      <w:r w:rsidRPr="0089774B">
        <w:rPr>
          <w:rFonts w:ascii="TimesNewRomanPSMT" w:eastAsia="TimesNewRomanPSMT" w:hAnsi="Times New Roman" w:cs="TimesNewRomanPSMT"/>
          <w:lang w:eastAsia="lt-LT"/>
        </w:rPr>
        <w:t>č</w:t>
      </w:r>
      <w:r w:rsidRPr="0089774B">
        <w:rPr>
          <w:rFonts w:ascii="Times New Roman" w:hAnsi="Times New Roman"/>
          <w:lang w:eastAsia="lt-LT"/>
        </w:rPr>
        <w:t>ios opos ar išskyros. Gydymo metu invazines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gydymo proced</w:t>
      </w:r>
      <w:r w:rsidRPr="0089774B">
        <w:rPr>
          <w:rFonts w:ascii="TimesNewRomanPSMT" w:eastAsia="TimesNewRomanPSMT" w:hAnsi="Times New Roman" w:cs="TimesNewRomanPSMT"/>
          <w:lang w:eastAsia="lt-LT"/>
        </w:rPr>
        <w:t>ū</w:t>
      </w:r>
      <w:r w:rsidRPr="0089774B">
        <w:rPr>
          <w:rFonts w:ascii="Times New Roman" w:hAnsi="Times New Roman"/>
          <w:lang w:eastAsia="lt-LT"/>
        </w:rPr>
        <w:t>ras galima atlikti nuodugniai apsvars</w:t>
      </w:r>
      <w:r w:rsidRPr="0089774B">
        <w:rPr>
          <w:rFonts w:ascii="TimesNewRomanPSMT" w:eastAsia="TimesNewRomanPSMT" w:hAnsi="Times New Roman" w:cs="TimesNewRomanPSMT"/>
          <w:lang w:eastAsia="lt-LT"/>
        </w:rPr>
        <w:t>č</w:t>
      </w:r>
      <w:r w:rsidRPr="0089774B">
        <w:rPr>
          <w:rFonts w:ascii="Times New Roman" w:hAnsi="Times New Roman"/>
          <w:lang w:eastAsia="lt-LT"/>
        </w:rPr>
        <w:t xml:space="preserve">ius ir kuo toliau nuo </w:t>
      </w:r>
      <w:proofErr w:type="spellStart"/>
      <w:r w:rsidR="006B6C0C" w:rsidRPr="0089774B">
        <w:rPr>
          <w:rFonts w:ascii="Times New Roman" w:hAnsi="Times New Roman"/>
          <w:lang w:eastAsia="lt-LT"/>
        </w:rPr>
        <w:t>ibandrono</w:t>
      </w:r>
      <w:proofErr w:type="spellEnd"/>
      <w:r w:rsidR="006B6C0C" w:rsidRPr="0089774B">
        <w:rPr>
          <w:rFonts w:ascii="Times New Roman" w:hAnsi="Times New Roman"/>
          <w:lang w:eastAsia="lt-LT"/>
        </w:rPr>
        <w:t xml:space="preserve"> rūgšties</w:t>
      </w:r>
      <w:r w:rsidRPr="0089774B">
        <w:rPr>
          <w:rFonts w:ascii="Times New Roman" w:hAnsi="Times New Roman"/>
          <w:lang w:eastAsia="lt-LT"/>
        </w:rPr>
        <w:t xml:space="preserve"> vartojimo vietos.</w:t>
      </w:r>
    </w:p>
    <w:p w14:paraId="7A2352C8" w14:textId="77777777" w:rsidR="00240D4B" w:rsidRPr="0089774B" w:rsidRDefault="00240D4B" w:rsidP="00240D4B">
      <w:pPr>
        <w:autoSpaceDE w:val="0"/>
        <w:autoSpaceDN w:val="0"/>
        <w:adjustRightInd w:val="0"/>
        <w:spacing w:after="0" w:line="240" w:lineRule="auto"/>
        <w:rPr>
          <w:rFonts w:ascii="Times New Roman" w:hAnsi="Times New Roman"/>
          <w:lang w:eastAsia="lt-LT"/>
        </w:rPr>
      </w:pPr>
    </w:p>
    <w:p w14:paraId="382BB838" w14:textId="77777777" w:rsidR="00240D4B" w:rsidRPr="0089774B" w:rsidRDefault="00240D4B" w:rsidP="00AF76F1">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Pacient</w:t>
      </w:r>
      <w:r w:rsidRPr="0089774B">
        <w:rPr>
          <w:rFonts w:ascii="TimesNewRomanPSMT" w:eastAsia="TimesNewRomanPSMT" w:hAnsi="Times New Roman" w:cs="TimesNewRomanPSMT"/>
          <w:lang w:eastAsia="lt-LT"/>
        </w:rPr>
        <w:t>ų</w:t>
      </w:r>
      <w:r w:rsidRPr="0089774B">
        <w:rPr>
          <w:rFonts w:ascii="Times New Roman" w:hAnsi="Times New Roman"/>
          <w:lang w:eastAsia="lt-LT"/>
        </w:rPr>
        <w:t>, kuriems atsirado ŽON, gydymo planas turi b</w:t>
      </w:r>
      <w:r w:rsidRPr="0089774B">
        <w:rPr>
          <w:rFonts w:ascii="TimesNewRomanPSMT" w:eastAsia="TimesNewRomanPSMT" w:hAnsi="Times New Roman" w:cs="TimesNewRomanPSMT"/>
          <w:lang w:eastAsia="lt-LT"/>
        </w:rPr>
        <w:t>ū</w:t>
      </w:r>
      <w:r w:rsidRPr="0089774B">
        <w:rPr>
          <w:rFonts w:ascii="Times New Roman" w:hAnsi="Times New Roman"/>
          <w:lang w:eastAsia="lt-LT"/>
        </w:rPr>
        <w:t>ti parengtas glaudžiai bendradarbiaujant</w:t>
      </w:r>
      <w:r w:rsidR="006B6C0C" w:rsidRPr="0089774B">
        <w:rPr>
          <w:rFonts w:ascii="Times New Roman" w:hAnsi="Times New Roman"/>
          <w:lang w:eastAsia="lt-LT"/>
        </w:rPr>
        <w:t xml:space="preserve"> </w:t>
      </w:r>
      <w:r w:rsidRPr="0089774B">
        <w:rPr>
          <w:rFonts w:ascii="Times New Roman" w:hAnsi="Times New Roman"/>
          <w:lang w:eastAsia="lt-LT"/>
        </w:rPr>
        <w:t>gydan</w:t>
      </w:r>
      <w:r w:rsidRPr="0089774B">
        <w:rPr>
          <w:rFonts w:ascii="TimesNewRomanPSMT" w:eastAsia="TimesNewRomanPSMT" w:hAnsi="Times New Roman" w:cs="TimesNewRomanPSMT"/>
          <w:lang w:eastAsia="lt-LT"/>
        </w:rPr>
        <w:t>č</w:t>
      </w:r>
      <w:r w:rsidRPr="0089774B">
        <w:rPr>
          <w:rFonts w:ascii="Times New Roman" w:hAnsi="Times New Roman"/>
          <w:lang w:eastAsia="lt-LT"/>
        </w:rPr>
        <w:t>iam gydytojui ir gydytojui odontologui ar burnos chirurgui, turin</w:t>
      </w:r>
      <w:r w:rsidRPr="0089774B">
        <w:rPr>
          <w:rFonts w:ascii="TimesNewRomanPSMT" w:eastAsia="TimesNewRomanPSMT" w:hAnsi="Times New Roman" w:cs="TimesNewRomanPSMT"/>
          <w:lang w:eastAsia="lt-LT"/>
        </w:rPr>
        <w:t>č</w:t>
      </w:r>
      <w:r w:rsidRPr="0089774B">
        <w:rPr>
          <w:rFonts w:ascii="Times New Roman" w:hAnsi="Times New Roman"/>
          <w:lang w:eastAsia="lt-LT"/>
        </w:rPr>
        <w:t>iam ŽON gydymo patirties.</w:t>
      </w:r>
      <w:r w:rsidR="006B6C0C" w:rsidRPr="0089774B">
        <w:rPr>
          <w:rFonts w:ascii="Times New Roman" w:hAnsi="Times New Roman"/>
          <w:lang w:eastAsia="lt-LT"/>
        </w:rPr>
        <w:t xml:space="preserve"> </w:t>
      </w:r>
      <w:r w:rsidRPr="0089774B">
        <w:rPr>
          <w:rFonts w:ascii="Times New Roman" w:hAnsi="Times New Roman"/>
          <w:lang w:eastAsia="lt-LT"/>
        </w:rPr>
        <w:t>Reikia apsvarstyti, ar nevert</w:t>
      </w:r>
      <w:r w:rsidRPr="0089774B">
        <w:rPr>
          <w:rFonts w:ascii="TimesNewRomanPSMT" w:eastAsia="TimesNewRomanPSMT" w:hAnsi="Times New Roman" w:cs="TimesNewRomanPSMT"/>
          <w:lang w:eastAsia="lt-LT"/>
        </w:rPr>
        <w:t>ė</w:t>
      </w:r>
      <w:r w:rsidRPr="0089774B">
        <w:rPr>
          <w:rFonts w:ascii="Times New Roman" w:hAnsi="Times New Roman"/>
          <w:lang w:eastAsia="lt-LT"/>
        </w:rPr>
        <w:t>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gydymo </w:t>
      </w:r>
      <w:proofErr w:type="spellStart"/>
      <w:r w:rsidR="006B6C0C" w:rsidRPr="0089774B">
        <w:rPr>
          <w:rFonts w:ascii="Times New Roman" w:hAnsi="Times New Roman"/>
          <w:lang w:eastAsia="lt-LT"/>
        </w:rPr>
        <w:t>įbandrono</w:t>
      </w:r>
      <w:proofErr w:type="spellEnd"/>
      <w:r w:rsidR="006B6C0C" w:rsidRPr="0089774B">
        <w:rPr>
          <w:rFonts w:ascii="Times New Roman" w:hAnsi="Times New Roman"/>
          <w:lang w:eastAsia="lt-LT"/>
        </w:rPr>
        <w:t xml:space="preserve"> rūgštimi </w:t>
      </w:r>
      <w:r w:rsidRPr="0089774B">
        <w:rPr>
          <w:rFonts w:ascii="Times New Roman" w:hAnsi="Times New Roman"/>
          <w:lang w:eastAsia="lt-LT"/>
        </w:rPr>
        <w:t xml:space="preserve">laikinai nutraukti, jeigu </w:t>
      </w:r>
      <w:r w:rsidRPr="0089774B">
        <w:rPr>
          <w:rFonts w:ascii="TimesNewRomanPSMT" w:eastAsia="TimesNewRomanPSMT" w:hAnsi="Times New Roman" w:cs="TimesNewRomanPSMT"/>
          <w:lang w:eastAsia="lt-LT"/>
        </w:rPr>
        <w:t>į</w:t>
      </w:r>
      <w:r w:rsidRPr="0089774B">
        <w:rPr>
          <w:rFonts w:ascii="Times New Roman" w:hAnsi="Times New Roman"/>
          <w:lang w:eastAsia="lt-LT"/>
        </w:rPr>
        <w:t>manoma, kol b</w:t>
      </w:r>
      <w:r w:rsidRPr="0089774B">
        <w:rPr>
          <w:rFonts w:ascii="TimesNewRomanPSMT" w:eastAsia="TimesNewRomanPSMT" w:hAnsi="Times New Roman" w:cs="TimesNewRomanPSMT"/>
          <w:lang w:eastAsia="lt-LT"/>
        </w:rPr>
        <w:t>ū</w:t>
      </w:r>
      <w:r w:rsidRPr="0089774B">
        <w:rPr>
          <w:rFonts w:ascii="Times New Roman" w:hAnsi="Times New Roman"/>
          <w:lang w:eastAsia="lt-LT"/>
        </w:rPr>
        <w:t>kl</w:t>
      </w:r>
      <w:r w:rsidRPr="0089774B">
        <w:rPr>
          <w:rFonts w:ascii="TimesNewRomanPSMT" w:eastAsia="TimesNewRomanPSMT" w:hAnsi="Times New Roman" w:cs="TimesNewRomanPSMT"/>
          <w:lang w:eastAsia="lt-LT"/>
        </w:rPr>
        <w:t>ė</w:t>
      </w:r>
      <w:r w:rsidR="006B6C0C"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pager</w:t>
      </w:r>
      <w:r w:rsidRPr="0089774B">
        <w:rPr>
          <w:rFonts w:ascii="TimesNewRomanPSMT" w:eastAsia="TimesNewRomanPSMT" w:hAnsi="Times New Roman" w:cs="TimesNewRomanPSMT"/>
          <w:lang w:eastAsia="lt-LT"/>
        </w:rPr>
        <w:t>ė</w:t>
      </w:r>
      <w:r w:rsidRPr="0089774B">
        <w:rPr>
          <w:rFonts w:ascii="Times New Roman" w:hAnsi="Times New Roman"/>
          <w:lang w:eastAsia="lt-LT"/>
        </w:rPr>
        <w:t>s ar susij</w:t>
      </w:r>
      <w:r w:rsidRPr="0089774B">
        <w:rPr>
          <w:rFonts w:ascii="TimesNewRomanPSMT" w:eastAsia="TimesNewRomanPSMT" w:hAnsi="Times New Roman" w:cs="TimesNewRomanPSMT"/>
          <w:lang w:eastAsia="lt-LT"/>
        </w:rPr>
        <w:t>ę</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rizikos veiksniai bus sušvelninti.</w:t>
      </w:r>
    </w:p>
    <w:p w14:paraId="0047160A" w14:textId="77777777" w:rsidR="00595BC6" w:rsidRPr="00112B89" w:rsidRDefault="00595BC6" w:rsidP="00595BC6">
      <w:pPr>
        <w:tabs>
          <w:tab w:val="left" w:pos="567"/>
        </w:tabs>
        <w:spacing w:after="0" w:line="240" w:lineRule="auto"/>
        <w:rPr>
          <w:rFonts w:ascii="Times New Roman" w:hAnsi="Times New Roman"/>
          <w:i/>
        </w:rPr>
      </w:pPr>
    </w:p>
    <w:p w14:paraId="42251B01" w14:textId="77777777" w:rsidR="00EC6332" w:rsidRPr="00112B89" w:rsidRDefault="00EC6332" w:rsidP="00595BC6">
      <w:pPr>
        <w:tabs>
          <w:tab w:val="left" w:pos="567"/>
        </w:tabs>
        <w:spacing w:after="0" w:line="240" w:lineRule="auto"/>
        <w:rPr>
          <w:rFonts w:ascii="Times New Roman" w:hAnsi="Times New Roman"/>
          <w:i/>
        </w:rPr>
      </w:pPr>
      <w:r w:rsidRPr="00112B89">
        <w:rPr>
          <w:rFonts w:ascii="Times New Roman" w:hAnsi="Times New Roman"/>
          <w:i/>
        </w:rPr>
        <w:t xml:space="preserve">Išorinio ausies kanalo </w:t>
      </w:r>
      <w:proofErr w:type="spellStart"/>
      <w:r w:rsidRPr="00112B89">
        <w:rPr>
          <w:rFonts w:ascii="Times New Roman" w:hAnsi="Times New Roman"/>
          <w:i/>
        </w:rPr>
        <w:t>osteonekrozė</w:t>
      </w:r>
      <w:proofErr w:type="spellEnd"/>
    </w:p>
    <w:p w14:paraId="2489D700" w14:textId="77777777" w:rsidR="00EC6332" w:rsidRPr="00112B89" w:rsidRDefault="00EC6332" w:rsidP="00595BC6">
      <w:pPr>
        <w:tabs>
          <w:tab w:val="left" w:pos="567"/>
        </w:tabs>
        <w:spacing w:after="0" w:line="240" w:lineRule="auto"/>
        <w:rPr>
          <w:rFonts w:ascii="Times New Roman" w:hAnsi="Times New Roman"/>
        </w:rPr>
      </w:pPr>
      <w:r w:rsidRPr="00112B89">
        <w:rPr>
          <w:rFonts w:ascii="Times New Roman" w:hAnsi="Times New Roman"/>
        </w:rPr>
        <w:t xml:space="preserve">Vartojant </w:t>
      </w:r>
      <w:proofErr w:type="spellStart"/>
      <w:r w:rsidRPr="00112B89">
        <w:rPr>
          <w:rFonts w:ascii="Times New Roman" w:hAnsi="Times New Roman"/>
        </w:rPr>
        <w:t>bisfosfonat</w:t>
      </w:r>
      <w:r w:rsidR="006813E7" w:rsidRPr="00112B89">
        <w:rPr>
          <w:rFonts w:ascii="Times New Roman" w:hAnsi="Times New Roman"/>
        </w:rPr>
        <w:t>ų</w:t>
      </w:r>
      <w:proofErr w:type="spellEnd"/>
      <w:r w:rsidRPr="00112B89">
        <w:rPr>
          <w:rFonts w:ascii="Times New Roman" w:hAnsi="Times New Roman"/>
        </w:rPr>
        <w:t>, pacient</w:t>
      </w:r>
      <w:r w:rsidR="006813E7" w:rsidRPr="00112B89">
        <w:rPr>
          <w:rFonts w:ascii="Times New Roman" w:hAnsi="Times New Roman"/>
        </w:rPr>
        <w:t>ams</w:t>
      </w:r>
      <w:r w:rsidRPr="00112B89">
        <w:rPr>
          <w:rFonts w:ascii="Times New Roman" w:hAnsi="Times New Roman"/>
        </w:rPr>
        <w:t xml:space="preserve"> nustatyta išorinio ausies kanalo </w:t>
      </w:r>
      <w:proofErr w:type="spellStart"/>
      <w:r w:rsidRPr="00112B89">
        <w:rPr>
          <w:rFonts w:ascii="Times New Roman" w:hAnsi="Times New Roman"/>
        </w:rPr>
        <w:t>osteonekrozės</w:t>
      </w:r>
      <w:proofErr w:type="spellEnd"/>
      <w:r w:rsidRPr="00112B89">
        <w:rPr>
          <w:rFonts w:ascii="Times New Roman" w:hAnsi="Times New Roman"/>
        </w:rPr>
        <w:t xml:space="preserve"> atvejų, kurie daugiausia siejami su ilgalaikiu gydymu. Tarp galimų išorinio ausies kanalo </w:t>
      </w:r>
      <w:proofErr w:type="spellStart"/>
      <w:r w:rsidRPr="00112B89">
        <w:rPr>
          <w:rFonts w:ascii="Times New Roman" w:hAnsi="Times New Roman"/>
        </w:rPr>
        <w:t>osteonekrozės</w:t>
      </w:r>
      <w:proofErr w:type="spellEnd"/>
      <w:r w:rsidRPr="00112B89">
        <w:rPr>
          <w:rFonts w:ascii="Times New Roman" w:hAnsi="Times New Roman"/>
        </w:rPr>
        <w:t xml:space="preserve"> rizikos veiksnių – steroidų vartojimas ir chemoterapija ir (arba) lokalūs rizikos veiksniai, pvz., infekcija arba trauma. Išorinio ausies kanalo </w:t>
      </w:r>
      <w:proofErr w:type="spellStart"/>
      <w:r w:rsidRPr="00112B89">
        <w:rPr>
          <w:rFonts w:ascii="Times New Roman" w:hAnsi="Times New Roman"/>
        </w:rPr>
        <w:t>osteonekrozės</w:t>
      </w:r>
      <w:proofErr w:type="spellEnd"/>
      <w:r w:rsidRPr="00112B89">
        <w:rPr>
          <w:rFonts w:ascii="Times New Roman" w:hAnsi="Times New Roman"/>
        </w:rPr>
        <w:t xml:space="preserve"> galimybę reik</w:t>
      </w:r>
      <w:r w:rsidR="006813E7" w:rsidRPr="00112B89">
        <w:rPr>
          <w:rFonts w:ascii="Times New Roman" w:hAnsi="Times New Roman"/>
        </w:rPr>
        <w:t>ia</w:t>
      </w:r>
      <w:r w:rsidRPr="00112B89">
        <w:rPr>
          <w:rFonts w:ascii="Times New Roman" w:hAnsi="Times New Roman"/>
        </w:rPr>
        <w:t xml:space="preserve"> turėti omenyje gydant tuos </w:t>
      </w:r>
      <w:proofErr w:type="spellStart"/>
      <w:r w:rsidRPr="00112B89">
        <w:rPr>
          <w:rFonts w:ascii="Times New Roman" w:hAnsi="Times New Roman"/>
        </w:rPr>
        <w:t>bisfosfonatų</w:t>
      </w:r>
      <w:proofErr w:type="spellEnd"/>
      <w:r w:rsidRPr="00112B89">
        <w:rPr>
          <w:rFonts w:ascii="Times New Roman" w:hAnsi="Times New Roman"/>
        </w:rPr>
        <w:t xml:space="preserve"> vartojančius pacientus, kuriems pasireiškia su ausimi susijusių simptomų, įskaitant simptomus, kuriuos sukelia lėtinės ausų infekcijos.</w:t>
      </w:r>
    </w:p>
    <w:p w14:paraId="5709D07F" w14:textId="77777777" w:rsidR="00EC6332" w:rsidRPr="00112B89" w:rsidRDefault="00EC6332" w:rsidP="00595BC6">
      <w:pPr>
        <w:tabs>
          <w:tab w:val="left" w:pos="567"/>
        </w:tabs>
        <w:spacing w:after="0" w:line="240" w:lineRule="auto"/>
        <w:rPr>
          <w:rFonts w:ascii="Times New Roman" w:hAnsi="Times New Roman"/>
          <w:i/>
        </w:rPr>
      </w:pPr>
    </w:p>
    <w:p w14:paraId="2E908C80" w14:textId="77777777" w:rsidR="00595BC6" w:rsidRPr="00112B89" w:rsidRDefault="00595BC6" w:rsidP="00595BC6">
      <w:pPr>
        <w:tabs>
          <w:tab w:val="left" w:pos="567"/>
        </w:tabs>
        <w:spacing w:after="0" w:line="240" w:lineRule="auto"/>
        <w:rPr>
          <w:rFonts w:ascii="Times New Roman" w:hAnsi="Times New Roman"/>
          <w:i/>
        </w:rPr>
      </w:pPr>
      <w:r w:rsidRPr="00112B89">
        <w:rPr>
          <w:rFonts w:ascii="Times New Roman" w:hAnsi="Times New Roman"/>
          <w:i/>
        </w:rPr>
        <w:t>Netipiniai šlaunikaulio lūžiai</w:t>
      </w:r>
    </w:p>
    <w:p w14:paraId="7A6AE7B5" w14:textId="77777777" w:rsidR="00595BC6" w:rsidRPr="00112B89" w:rsidRDefault="00595BC6" w:rsidP="00595BC6">
      <w:pPr>
        <w:tabs>
          <w:tab w:val="left" w:pos="567"/>
        </w:tabs>
        <w:spacing w:after="0" w:line="240" w:lineRule="auto"/>
        <w:rPr>
          <w:rFonts w:ascii="Times New Roman" w:hAnsi="Times New Roman"/>
        </w:rPr>
      </w:pPr>
      <w:r w:rsidRPr="00112B89">
        <w:rPr>
          <w:rFonts w:ascii="Times New Roman" w:hAnsi="Times New Roman"/>
        </w:rPr>
        <w:t xml:space="preserve">Pranešama, kad gydant </w:t>
      </w:r>
      <w:proofErr w:type="spellStart"/>
      <w:r w:rsidRPr="00112B89">
        <w:rPr>
          <w:rFonts w:ascii="Times New Roman" w:hAnsi="Times New Roman"/>
        </w:rPr>
        <w:t>bisfosfonatais</w:t>
      </w:r>
      <w:proofErr w:type="spellEnd"/>
      <w:r w:rsidRPr="00112B89">
        <w:rPr>
          <w:rFonts w:ascii="Times New Roman" w:hAnsi="Times New Roman"/>
        </w:rPr>
        <w:t xml:space="preserve"> pasitaikė netipinių šlaunikaulio </w:t>
      </w:r>
      <w:proofErr w:type="spellStart"/>
      <w:r w:rsidRPr="00112B89">
        <w:rPr>
          <w:rFonts w:ascii="Times New Roman" w:hAnsi="Times New Roman"/>
        </w:rPr>
        <w:t>pogūbrinių</w:t>
      </w:r>
      <w:proofErr w:type="spellEnd"/>
      <w:r w:rsidRPr="00112B89">
        <w:rPr>
          <w:rFonts w:ascii="Times New Roman" w:hAnsi="Times New Roman"/>
        </w:rPr>
        <w:t xml:space="preserve"> ar </w:t>
      </w:r>
      <w:proofErr w:type="spellStart"/>
      <w:r w:rsidRPr="00112B89">
        <w:rPr>
          <w:rFonts w:ascii="Times New Roman" w:hAnsi="Times New Roman"/>
        </w:rPr>
        <w:t>diafizės</w:t>
      </w:r>
      <w:proofErr w:type="spellEnd"/>
      <w:r w:rsidRPr="00112B89">
        <w:rPr>
          <w:rFonts w:ascii="Times New Roman" w:hAnsi="Times New Roman"/>
        </w:rPr>
        <w:t xml:space="preserve"> lūžių, pirmiausia nuo osteoporozės ilgai gydytiems pacientams. Šie skersiniai ar trumpi įstrižiniai lūžiai gali pasireikšti bet kurioje šlaunikaulio vietoje – nuo pat mažojo gūbrio iki pat </w:t>
      </w:r>
      <w:proofErr w:type="spellStart"/>
      <w:r w:rsidRPr="00112B89">
        <w:rPr>
          <w:rFonts w:ascii="Times New Roman" w:hAnsi="Times New Roman"/>
        </w:rPr>
        <w:t>virškrumplinės</w:t>
      </w:r>
      <w:proofErr w:type="spellEnd"/>
      <w:r w:rsidRPr="00112B89">
        <w:rPr>
          <w:rFonts w:ascii="Times New Roman" w:hAnsi="Times New Roman"/>
        </w:rPr>
        <w:t xml:space="preserve"> keteros. Šie lūžiai įvyksta po mažos traumos arba ne dėl jos, o kai kurie pacientai kelias savaites ar mėnesius iki visiško šlaunikaulio lūžio jaučia šlaunies ar kirkšnies skausmą, dažnai susijusį su stresinių lūžių radiologiniais požymiais. Lūžiai dažnai būna abipusiai, todėl reikia ištirti </w:t>
      </w:r>
      <w:proofErr w:type="spellStart"/>
      <w:r w:rsidRPr="00112B89">
        <w:rPr>
          <w:rFonts w:ascii="Times New Roman" w:hAnsi="Times New Roman"/>
        </w:rPr>
        <w:t>bisfosfonatais</w:t>
      </w:r>
      <w:proofErr w:type="spellEnd"/>
      <w:r w:rsidRPr="00112B89">
        <w:rPr>
          <w:rFonts w:ascii="Times New Roman" w:hAnsi="Times New Roman"/>
        </w:rPr>
        <w:t xml:space="preserve"> gydomų pacientų, kuriems lūžo šlaunikaulio kūnas, priešingos pusės šlaunikaulį. Taip pat buvo pastebėtas blogas tokių lūžių gijimas. Reikia apsvarstyti, ar pacientams, kuriems įtariamas netipinis šlaunikaulio lūžis, gydymo </w:t>
      </w:r>
      <w:proofErr w:type="spellStart"/>
      <w:r w:rsidRPr="00112B89">
        <w:rPr>
          <w:rFonts w:ascii="Times New Roman" w:hAnsi="Times New Roman"/>
        </w:rPr>
        <w:t>bisfosfonatais</w:t>
      </w:r>
      <w:proofErr w:type="spellEnd"/>
      <w:r w:rsidRPr="00112B89">
        <w:rPr>
          <w:rFonts w:ascii="Times New Roman" w:hAnsi="Times New Roman"/>
        </w:rPr>
        <w:t xml:space="preserve"> nereikia nutraukti, kol jam individualiai bus įvertintas gydymo naudos ir rizikos santykis. </w:t>
      </w:r>
    </w:p>
    <w:p w14:paraId="72480974" w14:textId="75EBA91C" w:rsidR="00595BC6" w:rsidRDefault="00595BC6" w:rsidP="00595BC6">
      <w:pPr>
        <w:tabs>
          <w:tab w:val="left" w:pos="567"/>
        </w:tabs>
        <w:spacing w:after="0" w:line="240" w:lineRule="auto"/>
        <w:rPr>
          <w:rFonts w:ascii="Times New Roman" w:hAnsi="Times New Roman"/>
        </w:rPr>
      </w:pPr>
      <w:r w:rsidRPr="00112B89">
        <w:rPr>
          <w:rFonts w:ascii="Times New Roman" w:hAnsi="Times New Roman"/>
        </w:rPr>
        <w:lastRenderedPageBreak/>
        <w:t xml:space="preserve">Pacientams reikia nurodyti, kad </w:t>
      </w:r>
      <w:proofErr w:type="spellStart"/>
      <w:r w:rsidRPr="00112B89">
        <w:rPr>
          <w:rFonts w:ascii="Times New Roman" w:hAnsi="Times New Roman"/>
        </w:rPr>
        <w:t>bisfosfonatų</w:t>
      </w:r>
      <w:proofErr w:type="spellEnd"/>
      <w:r w:rsidRPr="00112B89">
        <w:rPr>
          <w:rFonts w:ascii="Times New Roman" w:hAnsi="Times New Roman"/>
        </w:rPr>
        <w:t xml:space="preserve"> vartojimo metu praneštų apie bet kokį šlaunies, klubo ar kirkšnies skausmą, o visus pacientus, kuriems pasireiškia tokie simptomai, reikia ištirti, ar jie nepatyrė nepilno šlaunikaulio lūžio</w:t>
      </w:r>
      <w:r w:rsidR="002B4081">
        <w:rPr>
          <w:rFonts w:ascii="Times New Roman" w:hAnsi="Times New Roman"/>
        </w:rPr>
        <w:t xml:space="preserve"> (žr. 4.8 skyrių)</w:t>
      </w:r>
      <w:r w:rsidRPr="00112B89">
        <w:rPr>
          <w:rFonts w:ascii="Times New Roman" w:hAnsi="Times New Roman"/>
        </w:rPr>
        <w:t>.</w:t>
      </w:r>
    </w:p>
    <w:p w14:paraId="5736EB13" w14:textId="77777777" w:rsidR="002B4081" w:rsidRDefault="002B4081" w:rsidP="00595BC6">
      <w:pPr>
        <w:tabs>
          <w:tab w:val="left" w:pos="567"/>
        </w:tabs>
        <w:spacing w:after="0" w:line="240" w:lineRule="auto"/>
        <w:rPr>
          <w:rFonts w:ascii="Times New Roman" w:hAnsi="Times New Roman"/>
        </w:rPr>
      </w:pPr>
    </w:p>
    <w:p w14:paraId="59D4550E" w14:textId="71B97C0D" w:rsidR="002B4081" w:rsidRDefault="00DC331F" w:rsidP="00595BC6">
      <w:pPr>
        <w:tabs>
          <w:tab w:val="left" w:pos="567"/>
        </w:tabs>
        <w:spacing w:after="0" w:line="240" w:lineRule="auto"/>
        <w:rPr>
          <w:rFonts w:ascii="Times New Roman" w:hAnsi="Times New Roman"/>
          <w:i/>
          <w:iCs/>
        </w:rPr>
      </w:pPr>
      <w:r>
        <w:rPr>
          <w:rFonts w:ascii="Times New Roman" w:hAnsi="Times New Roman"/>
          <w:i/>
          <w:iCs/>
        </w:rPr>
        <w:t>A</w:t>
      </w:r>
      <w:r w:rsidR="002B4081" w:rsidRPr="00DE47C3">
        <w:rPr>
          <w:rFonts w:ascii="Times New Roman" w:hAnsi="Times New Roman"/>
          <w:i/>
          <w:iCs/>
        </w:rPr>
        <w:t>tipiniai kitų ilgųjų kaulų lūžiai</w:t>
      </w:r>
    </w:p>
    <w:p w14:paraId="03C461B0" w14:textId="79DD7EF2" w:rsidR="00DC331F" w:rsidRPr="00DC331F" w:rsidRDefault="00DC331F" w:rsidP="00DC331F">
      <w:pPr>
        <w:keepNext/>
        <w:keepLines/>
        <w:tabs>
          <w:tab w:val="left" w:pos="567"/>
        </w:tabs>
        <w:autoSpaceDE w:val="0"/>
        <w:autoSpaceDN w:val="0"/>
        <w:adjustRightInd w:val="0"/>
        <w:spacing w:after="0" w:line="260" w:lineRule="exact"/>
        <w:rPr>
          <w:rFonts w:ascii="Times New Roman" w:eastAsia="Times New Roman" w:hAnsi="Times New Roman"/>
          <w:color w:val="000000"/>
        </w:rPr>
      </w:pPr>
      <w:r w:rsidRPr="00DC331F">
        <w:rPr>
          <w:rFonts w:ascii="Times New Roman" w:eastAsia="Times New Roman" w:hAnsi="Times New Roman"/>
          <w:color w:val="000000"/>
        </w:rPr>
        <w:t xml:space="preserve">Ilgai gydomiems pacientams taip pat buvo pastebėta atipinių kitų ilgųjų kaulų, pavyzdžiui, alkūnkaulio ir blauzdikaulio, lūžių. Kaip ir atipiniai šlaunikaulio lūžiai, šie lūžiai įvyksta po mažos traumos arba ne dėl jos, o kai kurie pacientai jaučia </w:t>
      </w:r>
      <w:proofErr w:type="spellStart"/>
      <w:r w:rsidRPr="00DC331F">
        <w:rPr>
          <w:rFonts w:ascii="Times New Roman" w:eastAsia="Times New Roman" w:hAnsi="Times New Roman"/>
          <w:color w:val="000000"/>
        </w:rPr>
        <w:t>prodrominį</w:t>
      </w:r>
      <w:proofErr w:type="spellEnd"/>
      <w:r w:rsidRPr="00DC331F">
        <w:rPr>
          <w:rFonts w:ascii="Times New Roman" w:eastAsia="Times New Roman" w:hAnsi="Times New Roman"/>
          <w:color w:val="000000"/>
        </w:rPr>
        <w:t xml:space="preserve"> skausmą prieš įvykstant pilnam lūžiui. Kai lūžta alkūnkaulis, tai gali būti susiję su pasikartojančia stresine apkrova dėl ilgalaikio pagalbinių vaikščiojimo priemonių naudojimo (žr. 4.8 skyrių).</w:t>
      </w:r>
    </w:p>
    <w:p w14:paraId="509FAD5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18C9A25F" w14:textId="77777777" w:rsidR="00D2162F" w:rsidRDefault="00595BC6" w:rsidP="00595BC6">
      <w:pPr>
        <w:tabs>
          <w:tab w:val="left" w:pos="567"/>
        </w:tabs>
        <w:spacing w:after="0" w:line="240" w:lineRule="auto"/>
        <w:rPr>
          <w:rFonts w:ascii="Times New Roman" w:hAnsi="Times New Roman"/>
          <w:color w:val="000000"/>
          <w:u w:val="single"/>
        </w:rPr>
      </w:pPr>
      <w:r w:rsidRPr="001D1F4D">
        <w:rPr>
          <w:rFonts w:ascii="Times New Roman" w:hAnsi="Times New Roman"/>
          <w:color w:val="000000"/>
          <w:u w:val="single"/>
        </w:rPr>
        <w:t>Pagalbinė</w:t>
      </w:r>
      <w:r w:rsidR="00D2162F" w:rsidRPr="001D1F4D">
        <w:rPr>
          <w:rFonts w:ascii="Times New Roman" w:hAnsi="Times New Roman"/>
          <w:color w:val="000000"/>
          <w:u w:val="single"/>
        </w:rPr>
        <w:t>s</w:t>
      </w:r>
      <w:r w:rsidRPr="001D1F4D">
        <w:rPr>
          <w:rFonts w:ascii="Times New Roman" w:hAnsi="Times New Roman"/>
          <w:color w:val="000000"/>
          <w:u w:val="single"/>
        </w:rPr>
        <w:t xml:space="preserve"> medžiag</w:t>
      </w:r>
      <w:r w:rsidR="00D2162F" w:rsidRPr="001D1F4D">
        <w:rPr>
          <w:rFonts w:ascii="Times New Roman" w:hAnsi="Times New Roman"/>
          <w:color w:val="000000"/>
          <w:u w:val="single"/>
        </w:rPr>
        <w:t>os</w:t>
      </w:r>
    </w:p>
    <w:p w14:paraId="0A66E018" w14:textId="77777777" w:rsidR="00595BC6" w:rsidRPr="001D1F4D" w:rsidRDefault="00D2162F" w:rsidP="00595BC6">
      <w:pPr>
        <w:tabs>
          <w:tab w:val="left" w:pos="567"/>
        </w:tabs>
        <w:spacing w:after="0" w:line="240" w:lineRule="auto"/>
        <w:rPr>
          <w:rFonts w:ascii="Times New Roman" w:hAnsi="Times New Roman"/>
          <w:color w:val="000000"/>
          <w:u w:val="single"/>
        </w:rPr>
      </w:pPr>
      <w:r>
        <w:rPr>
          <w:rFonts w:ascii="Times New Roman" w:hAnsi="Times New Roman"/>
          <w:i/>
          <w:color w:val="000000"/>
        </w:rPr>
        <w:t>Natris</w:t>
      </w:r>
    </w:p>
    <w:p w14:paraId="27AFBA6F" w14:textId="77777777" w:rsidR="00D2162F" w:rsidRPr="00D2162F" w:rsidRDefault="00595BC6" w:rsidP="00D2162F">
      <w:pPr>
        <w:widowControl w:val="0"/>
        <w:tabs>
          <w:tab w:val="left" w:pos="567"/>
        </w:tabs>
        <w:spacing w:after="0" w:line="240" w:lineRule="auto"/>
        <w:rPr>
          <w:rFonts w:ascii="Times New Roman" w:eastAsia="Times New Roman" w:hAnsi="Times New Roman"/>
          <w:lang w:eastAsia="lt-LT"/>
        </w:rPr>
      </w:pPr>
      <w:r w:rsidRPr="00112B89">
        <w:rPr>
          <w:rFonts w:ascii="Times New Roman" w:hAnsi="Times New Roman"/>
          <w:color w:val="000000"/>
        </w:rPr>
        <w:t xml:space="preserve">Šio </w:t>
      </w:r>
      <w:r w:rsidR="00D2162F">
        <w:rPr>
          <w:rFonts w:ascii="Times New Roman" w:hAnsi="Times New Roman"/>
          <w:color w:val="000000"/>
        </w:rPr>
        <w:t>vaisto</w:t>
      </w:r>
      <w:r w:rsidRPr="00112B89">
        <w:rPr>
          <w:rFonts w:ascii="Times New Roman" w:hAnsi="Times New Roman"/>
          <w:color w:val="000000"/>
        </w:rPr>
        <w:t xml:space="preserve"> </w:t>
      </w:r>
      <w:r w:rsidR="00D2162F">
        <w:rPr>
          <w:rFonts w:ascii="Times New Roman" w:hAnsi="Times New Roman"/>
          <w:color w:val="000000"/>
        </w:rPr>
        <w:t>vienoje dozėje (3 ml)</w:t>
      </w:r>
      <w:r w:rsidR="00D2162F" w:rsidRPr="00112B89">
        <w:rPr>
          <w:rFonts w:ascii="Times New Roman" w:hAnsi="Times New Roman"/>
          <w:color w:val="000000"/>
        </w:rPr>
        <w:t xml:space="preserve"> </w:t>
      </w:r>
      <w:r w:rsidRPr="00112B89">
        <w:rPr>
          <w:rFonts w:ascii="Times New Roman" w:hAnsi="Times New Roman"/>
          <w:color w:val="000000"/>
        </w:rPr>
        <w:t xml:space="preserve">yra </w:t>
      </w:r>
      <w:r w:rsidRPr="00112B89">
        <w:rPr>
          <w:rFonts w:ascii="Times New Roman" w:hAnsi="Times New Roman"/>
        </w:rPr>
        <w:t xml:space="preserve">mažiau kaip 1 </w:t>
      </w:r>
      <w:proofErr w:type="spellStart"/>
      <w:r w:rsidRPr="00112B89">
        <w:rPr>
          <w:rFonts w:ascii="Times New Roman" w:hAnsi="Times New Roman"/>
        </w:rPr>
        <w:t>mmol</w:t>
      </w:r>
      <w:proofErr w:type="spellEnd"/>
      <w:r w:rsidRPr="00112B89">
        <w:rPr>
          <w:rFonts w:ascii="Times New Roman" w:hAnsi="Times New Roman"/>
        </w:rPr>
        <w:t xml:space="preserve"> (23 mg) </w:t>
      </w:r>
      <w:r w:rsidR="002F213B" w:rsidRPr="00112B89">
        <w:rPr>
          <w:rFonts w:ascii="Times New Roman" w:hAnsi="Times New Roman"/>
        </w:rPr>
        <w:t xml:space="preserve">natrio </w:t>
      </w:r>
      <w:proofErr w:type="spellStart"/>
      <w:r w:rsidR="00D2162F" w:rsidRPr="00DE47C3">
        <w:rPr>
          <w:rFonts w:ascii="Times New Roman" w:eastAsia="Times New Roman" w:hAnsi="Times New Roman"/>
        </w:rPr>
        <w:t>t.y</w:t>
      </w:r>
      <w:proofErr w:type="spellEnd"/>
      <w:r w:rsidR="00D2162F" w:rsidRPr="00DE47C3">
        <w:rPr>
          <w:rFonts w:ascii="Times New Roman" w:eastAsia="Times New Roman" w:hAnsi="Times New Roman"/>
        </w:rPr>
        <w:t>. jis beveik neturi reikšmės.</w:t>
      </w:r>
    </w:p>
    <w:p w14:paraId="1B8FF344" w14:textId="77777777" w:rsidR="00595BC6" w:rsidRPr="00112B89" w:rsidRDefault="00595BC6" w:rsidP="00595BC6">
      <w:pPr>
        <w:tabs>
          <w:tab w:val="left" w:pos="567"/>
        </w:tabs>
        <w:spacing w:after="0" w:line="240" w:lineRule="auto"/>
        <w:rPr>
          <w:rFonts w:ascii="Times New Roman" w:hAnsi="Times New Roman"/>
        </w:rPr>
      </w:pPr>
    </w:p>
    <w:p w14:paraId="7C74415B" w14:textId="77777777" w:rsidR="00595BC6" w:rsidRPr="00112B89" w:rsidRDefault="00595BC6" w:rsidP="00C7398A">
      <w:pPr>
        <w:tabs>
          <w:tab w:val="left" w:pos="567"/>
        </w:tabs>
        <w:autoSpaceDE w:val="0"/>
        <w:autoSpaceDN w:val="0"/>
        <w:adjustRightInd w:val="0"/>
        <w:spacing w:after="0" w:line="240" w:lineRule="auto"/>
        <w:rPr>
          <w:rFonts w:ascii="Times New Roman" w:hAnsi="Times New Roman"/>
          <w:i/>
          <w:color w:val="000000"/>
        </w:rPr>
      </w:pPr>
    </w:p>
    <w:p w14:paraId="12FC2F1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4.5</w:t>
      </w:r>
      <w:r w:rsidRPr="00112B89">
        <w:rPr>
          <w:rFonts w:ascii="Times New Roman" w:hAnsi="Times New Roman"/>
          <w:b/>
          <w:bCs/>
        </w:rPr>
        <w:tab/>
        <w:t>Sąveika su kitais vaistiniais preparatais ir kitokia sąveika</w:t>
      </w:r>
    </w:p>
    <w:p w14:paraId="6FA7D9C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155A7F43" w14:textId="77777777" w:rsidR="00595BC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Manoma, kad su metabolizmu susijusios sąveikos neturėtų būti, nes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neslopina pagrindinių žmogaus kepenų P450 </w:t>
      </w:r>
      <w:proofErr w:type="spellStart"/>
      <w:r w:rsidRPr="00112B89">
        <w:rPr>
          <w:rFonts w:ascii="Times New Roman" w:hAnsi="Times New Roman"/>
          <w:color w:val="000000"/>
        </w:rPr>
        <w:t>izofermentų</w:t>
      </w:r>
      <w:proofErr w:type="spellEnd"/>
      <w:r w:rsidRPr="00112B89">
        <w:rPr>
          <w:rFonts w:ascii="Times New Roman" w:hAnsi="Times New Roman"/>
          <w:color w:val="000000"/>
        </w:rPr>
        <w:t xml:space="preserve"> ir nesužadino žiurkių kepenų </w:t>
      </w:r>
      <w:proofErr w:type="spellStart"/>
      <w:r w:rsidRPr="00112B89">
        <w:rPr>
          <w:rFonts w:ascii="Times New Roman" w:hAnsi="Times New Roman"/>
          <w:color w:val="000000"/>
        </w:rPr>
        <w:t>citochromo</w:t>
      </w:r>
      <w:proofErr w:type="spellEnd"/>
      <w:r w:rsidRPr="00112B89">
        <w:rPr>
          <w:rFonts w:ascii="Times New Roman" w:hAnsi="Times New Roman"/>
          <w:color w:val="000000"/>
        </w:rPr>
        <w:t xml:space="preserve"> P450 sistemos </w:t>
      </w:r>
      <w:proofErr w:type="spellStart"/>
      <w:r w:rsidRPr="00112B89">
        <w:rPr>
          <w:rFonts w:ascii="Times New Roman" w:hAnsi="Times New Roman"/>
          <w:color w:val="000000"/>
        </w:rPr>
        <w:t>izofermentų</w:t>
      </w:r>
      <w:proofErr w:type="spellEnd"/>
      <w:r w:rsidR="00595BC6" w:rsidRPr="00112B89">
        <w:rPr>
          <w:rFonts w:ascii="Times New Roman" w:hAnsi="Times New Roman"/>
          <w:color w:val="000000"/>
        </w:rPr>
        <w:t xml:space="preserve"> (žr. 5.2 skyrių)</w:t>
      </w:r>
      <w:r w:rsidRPr="00112B89">
        <w:rPr>
          <w:rFonts w:ascii="Times New Roman" w:hAnsi="Times New Roman"/>
          <w:color w:val="000000"/>
        </w:rPr>
        <w:t xml:space="preserve">. </w:t>
      </w:r>
      <w:proofErr w:type="spellStart"/>
      <w:r w:rsidR="00595BC6" w:rsidRPr="00112B89">
        <w:rPr>
          <w:rFonts w:ascii="Times New Roman" w:hAnsi="Times New Roman"/>
          <w:color w:val="000000"/>
        </w:rPr>
        <w:t>Ibandrono</w:t>
      </w:r>
      <w:proofErr w:type="spellEnd"/>
      <w:r w:rsidR="00595BC6" w:rsidRPr="00112B89">
        <w:rPr>
          <w:rFonts w:ascii="Times New Roman" w:hAnsi="Times New Roman"/>
          <w:color w:val="000000"/>
        </w:rPr>
        <w:t xml:space="preserve"> rūgštis eliminuojama tik </w:t>
      </w:r>
      <w:proofErr w:type="spellStart"/>
      <w:r w:rsidR="00595BC6" w:rsidRPr="00112B89">
        <w:rPr>
          <w:rFonts w:ascii="Times New Roman" w:hAnsi="Times New Roman"/>
          <w:color w:val="000000"/>
        </w:rPr>
        <w:t>ekskrecijos</w:t>
      </w:r>
      <w:proofErr w:type="spellEnd"/>
      <w:r w:rsidR="00595BC6" w:rsidRPr="00112B89">
        <w:rPr>
          <w:rFonts w:ascii="Times New Roman" w:hAnsi="Times New Roman"/>
          <w:color w:val="000000"/>
        </w:rPr>
        <w:t xml:space="preserve"> per inkstus būdu ir jos </w:t>
      </w:r>
      <w:proofErr w:type="spellStart"/>
      <w:r w:rsidR="00595BC6" w:rsidRPr="00112B89">
        <w:rPr>
          <w:rFonts w:ascii="Times New Roman" w:hAnsi="Times New Roman"/>
          <w:color w:val="000000"/>
        </w:rPr>
        <w:t>biotransformacija</w:t>
      </w:r>
      <w:proofErr w:type="spellEnd"/>
      <w:r w:rsidR="00595BC6" w:rsidRPr="00112B89">
        <w:rPr>
          <w:rFonts w:ascii="Times New Roman" w:hAnsi="Times New Roman"/>
          <w:color w:val="000000"/>
        </w:rPr>
        <w:t xml:space="preserve"> organizme nevyksta.</w:t>
      </w:r>
    </w:p>
    <w:p w14:paraId="4BD0EA68" w14:textId="77777777" w:rsidR="005A7416" w:rsidRPr="00112B89" w:rsidRDefault="005A7416" w:rsidP="00F37EA9">
      <w:pPr>
        <w:tabs>
          <w:tab w:val="left" w:pos="567"/>
        </w:tabs>
        <w:autoSpaceDE w:val="0"/>
        <w:autoSpaceDN w:val="0"/>
        <w:adjustRightInd w:val="0"/>
        <w:spacing w:after="0" w:line="240" w:lineRule="auto"/>
        <w:rPr>
          <w:rFonts w:ascii="Times New Roman" w:hAnsi="Times New Roman"/>
          <w:color w:val="000000"/>
        </w:rPr>
      </w:pPr>
    </w:p>
    <w:p w14:paraId="28BD730C"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06F34FFB" w14:textId="77777777" w:rsidR="005A7416" w:rsidRPr="00112B89" w:rsidRDefault="005A7416" w:rsidP="00C7398A">
      <w:pPr>
        <w:keepNext/>
        <w:tabs>
          <w:tab w:val="left" w:pos="567"/>
        </w:tabs>
        <w:spacing w:after="0" w:line="240" w:lineRule="auto"/>
        <w:rPr>
          <w:rFonts w:ascii="Times New Roman" w:hAnsi="Times New Roman"/>
        </w:rPr>
      </w:pPr>
      <w:r w:rsidRPr="00112B89">
        <w:rPr>
          <w:rFonts w:ascii="Times New Roman" w:hAnsi="Times New Roman"/>
          <w:b/>
          <w:bCs/>
        </w:rPr>
        <w:t>4.6</w:t>
      </w:r>
      <w:r w:rsidRPr="00112B89">
        <w:rPr>
          <w:rFonts w:ascii="Times New Roman" w:hAnsi="Times New Roman"/>
          <w:b/>
          <w:bCs/>
        </w:rPr>
        <w:tab/>
        <w:t>Vaisingumas, nėštumo ir žindymo laikotarpis</w:t>
      </w:r>
    </w:p>
    <w:p w14:paraId="3F5001A3" w14:textId="77777777" w:rsidR="005A7416" w:rsidRPr="00112B89" w:rsidRDefault="005A7416" w:rsidP="00C7398A">
      <w:pPr>
        <w:keepNext/>
        <w:tabs>
          <w:tab w:val="left" w:pos="567"/>
        </w:tabs>
        <w:spacing w:after="0" w:line="240" w:lineRule="auto"/>
        <w:rPr>
          <w:rFonts w:ascii="Times New Roman" w:hAnsi="Times New Roman"/>
          <w:color w:val="000000"/>
        </w:rPr>
      </w:pPr>
    </w:p>
    <w:p w14:paraId="7B5B9F8E" w14:textId="77777777" w:rsidR="005A7416" w:rsidRPr="00112B89" w:rsidRDefault="005A7416" w:rsidP="00C7398A">
      <w:pPr>
        <w:keepNext/>
        <w:tabs>
          <w:tab w:val="left" w:pos="567"/>
        </w:tabs>
        <w:spacing w:after="0" w:line="240" w:lineRule="auto"/>
        <w:rPr>
          <w:rFonts w:ascii="Times New Roman" w:hAnsi="Times New Roman"/>
          <w:u w:val="single"/>
        </w:rPr>
      </w:pPr>
      <w:r w:rsidRPr="00112B89">
        <w:rPr>
          <w:rFonts w:ascii="Times New Roman" w:hAnsi="Times New Roman"/>
          <w:u w:val="single"/>
        </w:rPr>
        <w:t>Nėštumas</w:t>
      </w:r>
      <w:r w:rsidRPr="00112B89">
        <w:rPr>
          <w:rFonts w:ascii="Times New Roman" w:hAnsi="Times New Roman"/>
          <w:color w:val="000000"/>
          <w:u w:val="single"/>
        </w:rPr>
        <w:t xml:space="preserve"> </w:t>
      </w:r>
    </w:p>
    <w:p w14:paraId="05050685" w14:textId="77777777" w:rsidR="00595BC6" w:rsidRPr="00112B89" w:rsidRDefault="00595BC6" w:rsidP="00C7398A">
      <w:pPr>
        <w:tabs>
          <w:tab w:val="left" w:pos="567"/>
        </w:tabs>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vartojama moterims po menopauzės, jos negalima vartoti vaisingoms moterims</w:t>
      </w:r>
      <w:r w:rsidR="002F213B" w:rsidRPr="00112B89">
        <w:rPr>
          <w:rFonts w:ascii="Times New Roman" w:hAnsi="Times New Roman"/>
          <w:color w:val="000000"/>
        </w:rPr>
        <w:t>.</w:t>
      </w:r>
      <w:r w:rsidRPr="00112B89">
        <w:rPr>
          <w:rFonts w:ascii="Times New Roman" w:hAnsi="Times New Roman"/>
          <w:color w:val="000000"/>
        </w:rPr>
        <w:t xml:space="preserve"> </w:t>
      </w:r>
    </w:p>
    <w:p w14:paraId="2CD7E094" w14:textId="77777777" w:rsidR="002F213B" w:rsidRPr="00112B89" w:rsidRDefault="002F213B" w:rsidP="00C7398A">
      <w:pPr>
        <w:tabs>
          <w:tab w:val="left" w:pos="567"/>
        </w:tabs>
        <w:autoSpaceDE w:val="0"/>
        <w:autoSpaceDN w:val="0"/>
        <w:adjustRightInd w:val="0"/>
        <w:spacing w:after="0" w:line="240" w:lineRule="auto"/>
        <w:rPr>
          <w:rFonts w:ascii="Times New Roman" w:hAnsi="Times New Roman"/>
          <w:color w:val="000000"/>
        </w:rPr>
      </w:pPr>
    </w:p>
    <w:p w14:paraId="70CF537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Duomenų apie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vartojimą nėštumo metu nepakanka. Su žiurkėmis atlikti tyrimai parodė toksinį poveikį reprodukcijai (žr. 5.3 skyrių). Galimas pavojus žmogui nežinomas.</w:t>
      </w:r>
    </w:p>
    <w:p w14:paraId="5CC139C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negalima vartoti nėštumo metu.</w:t>
      </w:r>
    </w:p>
    <w:p w14:paraId="7BD2100E"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4BEF2F4" w14:textId="77777777" w:rsidR="005A7416" w:rsidRPr="00112B89" w:rsidRDefault="005A7416" w:rsidP="0085684D">
      <w:pPr>
        <w:autoSpaceDE w:val="0"/>
        <w:autoSpaceDN w:val="0"/>
        <w:adjustRightInd w:val="0"/>
        <w:spacing w:after="0" w:line="240" w:lineRule="auto"/>
        <w:rPr>
          <w:rFonts w:ascii="Times New Roman" w:hAnsi="Times New Roman"/>
          <w:color w:val="000000"/>
          <w:u w:val="single"/>
        </w:rPr>
      </w:pPr>
      <w:r w:rsidRPr="00112B89">
        <w:rPr>
          <w:rFonts w:ascii="Times New Roman" w:hAnsi="Times New Roman"/>
          <w:color w:val="000000"/>
          <w:u w:val="single"/>
        </w:rPr>
        <w:t>Žindymas</w:t>
      </w:r>
    </w:p>
    <w:p w14:paraId="6C7B5CDF"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Nežinoma, ar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išsiskiria į motinos pieną. Su žiurkių laktacijos laikotarpiu atlikti tyrimai parodė, kad suleidus vaistinio preparato į veną, piene atsirado nedidelė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koncentracija.</w:t>
      </w:r>
    </w:p>
    <w:p w14:paraId="53A6B5DF"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negalima vartoti žindymo metu.</w:t>
      </w:r>
    </w:p>
    <w:p w14:paraId="3D9C045A"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255FD075" w14:textId="77777777" w:rsidR="005A7416" w:rsidRPr="00112B89" w:rsidRDefault="005A7416" w:rsidP="0085684D">
      <w:pPr>
        <w:autoSpaceDE w:val="0"/>
        <w:autoSpaceDN w:val="0"/>
        <w:adjustRightInd w:val="0"/>
        <w:spacing w:after="0" w:line="240" w:lineRule="auto"/>
        <w:rPr>
          <w:rFonts w:ascii="Times New Roman" w:eastAsia="MS Mincho" w:hAnsi="Times New Roman"/>
          <w:color w:val="000000"/>
          <w:u w:val="single"/>
          <w:lang w:eastAsia="ja-JP"/>
        </w:rPr>
      </w:pPr>
      <w:r w:rsidRPr="00112B89">
        <w:rPr>
          <w:rFonts w:ascii="Times New Roman" w:eastAsia="MS Mincho" w:hAnsi="Times New Roman"/>
          <w:color w:val="000000"/>
          <w:u w:val="single"/>
          <w:lang w:eastAsia="ja-JP"/>
        </w:rPr>
        <w:t xml:space="preserve">Vaisingumas </w:t>
      </w:r>
    </w:p>
    <w:p w14:paraId="67CCD13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eastAsia="MS Mincho" w:hAnsi="Times New Roman"/>
          <w:color w:val="000000"/>
          <w:lang w:eastAsia="ja-JP"/>
        </w:rPr>
        <w:t xml:space="preserve">Duomenų apie </w:t>
      </w:r>
      <w:proofErr w:type="spellStart"/>
      <w:r w:rsidRPr="00112B89">
        <w:rPr>
          <w:rFonts w:ascii="Times New Roman" w:eastAsia="MS Mincho" w:hAnsi="Times New Roman"/>
          <w:color w:val="000000"/>
          <w:lang w:eastAsia="ja-JP"/>
        </w:rPr>
        <w:t>ibandrono</w:t>
      </w:r>
      <w:proofErr w:type="spellEnd"/>
      <w:r w:rsidRPr="00112B89">
        <w:rPr>
          <w:rFonts w:ascii="Times New Roman" w:eastAsia="MS Mincho" w:hAnsi="Times New Roman"/>
          <w:color w:val="000000"/>
          <w:lang w:eastAsia="ja-JP"/>
        </w:rPr>
        <w:t xml:space="preserve"> rūgšties poveikį žmonėms nėra. Poveikio žiurkių reprodukcijai tyrimų metu sušerta </w:t>
      </w:r>
      <w:proofErr w:type="spellStart"/>
      <w:r w:rsidRPr="00112B89">
        <w:rPr>
          <w:rFonts w:ascii="Times New Roman" w:eastAsia="MS Mincho" w:hAnsi="Times New Roman"/>
          <w:color w:val="000000"/>
          <w:lang w:eastAsia="ja-JP"/>
        </w:rPr>
        <w:t>ibandrono</w:t>
      </w:r>
      <w:proofErr w:type="spellEnd"/>
      <w:r w:rsidRPr="00112B89">
        <w:rPr>
          <w:rFonts w:ascii="Times New Roman" w:eastAsia="MS Mincho" w:hAnsi="Times New Roman"/>
          <w:color w:val="000000"/>
          <w:lang w:eastAsia="ja-JP"/>
        </w:rPr>
        <w:t xml:space="preserve"> rūgštis vaisingumą sumažino. Tyrimų su žiurkėmis metu suleistos į veną didelės </w:t>
      </w:r>
      <w:proofErr w:type="spellStart"/>
      <w:r w:rsidRPr="00112B89">
        <w:rPr>
          <w:rFonts w:ascii="Times New Roman" w:eastAsia="MS Mincho" w:hAnsi="Times New Roman"/>
          <w:color w:val="000000"/>
          <w:lang w:eastAsia="ja-JP"/>
        </w:rPr>
        <w:t>ibandrono</w:t>
      </w:r>
      <w:proofErr w:type="spellEnd"/>
      <w:r w:rsidRPr="00112B89">
        <w:rPr>
          <w:rFonts w:ascii="Times New Roman" w:eastAsia="MS Mincho" w:hAnsi="Times New Roman"/>
          <w:color w:val="000000"/>
          <w:lang w:eastAsia="ja-JP"/>
        </w:rPr>
        <w:t xml:space="preserve"> rūgšties paros dozės vaisingumą sumažino (žr. 5.3 skyrių).</w:t>
      </w:r>
    </w:p>
    <w:p w14:paraId="378364CE"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46BEF84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4.7</w:t>
      </w:r>
      <w:r w:rsidRPr="00112B89">
        <w:rPr>
          <w:rFonts w:ascii="Times New Roman" w:hAnsi="Times New Roman"/>
          <w:b/>
          <w:bCs/>
          <w:color w:val="000000"/>
        </w:rPr>
        <w:tab/>
        <w:t>Poveikis gebėjimui vairuoti ir valdyti mechanizmus</w:t>
      </w:r>
    </w:p>
    <w:p w14:paraId="27483DB3"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1973B773" w14:textId="77777777" w:rsidR="00595BC6" w:rsidRPr="00112B89" w:rsidRDefault="007D1DA7" w:rsidP="00595BC6">
      <w:pPr>
        <w:tabs>
          <w:tab w:val="left" w:pos="567"/>
        </w:tabs>
        <w:spacing w:after="0" w:line="260" w:lineRule="exact"/>
        <w:rPr>
          <w:rFonts w:ascii="Times New Roman" w:eastAsia="Times New Roman" w:hAnsi="Times New Roman"/>
          <w:snapToGrid w:val="0"/>
          <w:szCs w:val="24"/>
        </w:rPr>
      </w:pPr>
      <w:r w:rsidRPr="0089774B">
        <w:rPr>
          <w:rFonts w:ascii="Times New Roman" w:eastAsia="Times New Roman" w:hAnsi="Times New Roman"/>
          <w:snapToGrid w:val="0"/>
          <w:szCs w:val="24"/>
        </w:rPr>
        <w:t xml:space="preserve">Atsižvelgiant į </w:t>
      </w:r>
      <w:proofErr w:type="spellStart"/>
      <w:r w:rsidRPr="0089774B">
        <w:rPr>
          <w:rFonts w:ascii="Times New Roman" w:eastAsia="Times New Roman" w:hAnsi="Times New Roman"/>
          <w:snapToGrid w:val="0"/>
          <w:szCs w:val="24"/>
        </w:rPr>
        <w:t>farmakodinamines</w:t>
      </w:r>
      <w:proofErr w:type="spellEnd"/>
      <w:r w:rsidRPr="0089774B">
        <w:rPr>
          <w:rFonts w:ascii="Times New Roman" w:eastAsia="Times New Roman" w:hAnsi="Times New Roman"/>
          <w:snapToGrid w:val="0"/>
          <w:szCs w:val="24"/>
        </w:rPr>
        <w:t xml:space="preserve"> ir </w:t>
      </w:r>
      <w:proofErr w:type="spellStart"/>
      <w:r w:rsidRPr="0089774B">
        <w:rPr>
          <w:rFonts w:ascii="Times New Roman" w:eastAsia="Times New Roman" w:hAnsi="Times New Roman"/>
          <w:snapToGrid w:val="0"/>
          <w:szCs w:val="24"/>
        </w:rPr>
        <w:t>farmakokinetines</w:t>
      </w:r>
      <w:proofErr w:type="spellEnd"/>
      <w:r w:rsidRPr="0089774B">
        <w:rPr>
          <w:rFonts w:ascii="Times New Roman" w:eastAsia="Times New Roman" w:hAnsi="Times New Roman"/>
          <w:snapToGrid w:val="0"/>
          <w:szCs w:val="24"/>
        </w:rPr>
        <w:t xml:space="preserve"> savybes bei pranešimus apie nepageidaujamas reakcijas, </w:t>
      </w:r>
      <w:proofErr w:type="spellStart"/>
      <w:r w:rsidRPr="0089774B">
        <w:rPr>
          <w:rFonts w:ascii="Times New Roman" w:eastAsia="Times New Roman" w:hAnsi="Times New Roman"/>
          <w:snapToGrid w:val="0"/>
          <w:szCs w:val="24"/>
        </w:rPr>
        <w:t>ibandrono</w:t>
      </w:r>
      <w:proofErr w:type="spellEnd"/>
      <w:r w:rsidRPr="0089774B">
        <w:rPr>
          <w:rFonts w:ascii="Times New Roman" w:eastAsia="Times New Roman" w:hAnsi="Times New Roman"/>
          <w:snapToGrid w:val="0"/>
          <w:szCs w:val="24"/>
        </w:rPr>
        <w:t xml:space="preserve"> rūgštis g</w:t>
      </w:r>
      <w:r w:rsidR="00595BC6" w:rsidRPr="0089774B">
        <w:rPr>
          <w:rFonts w:ascii="Times New Roman" w:eastAsia="Times New Roman" w:hAnsi="Times New Roman"/>
          <w:snapToGrid w:val="0"/>
          <w:szCs w:val="24"/>
        </w:rPr>
        <w:t>ebėjimo vairuoti ir valdyti mechanizmus neveikia arba veikia nereikšmingai</w:t>
      </w:r>
      <w:r w:rsidRPr="0089774B">
        <w:rPr>
          <w:rFonts w:ascii="Times New Roman" w:eastAsia="Times New Roman" w:hAnsi="Times New Roman"/>
          <w:snapToGrid w:val="0"/>
          <w:szCs w:val="24"/>
        </w:rPr>
        <w:t>.</w:t>
      </w:r>
      <w:r w:rsidR="00595BC6" w:rsidRPr="00112B89">
        <w:rPr>
          <w:rFonts w:ascii="Times New Roman" w:eastAsia="Times New Roman" w:hAnsi="Times New Roman"/>
          <w:snapToGrid w:val="0"/>
          <w:szCs w:val="24"/>
        </w:rPr>
        <w:t xml:space="preserve"> </w:t>
      </w:r>
    </w:p>
    <w:p w14:paraId="07516BD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59A26E9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4.8</w:t>
      </w:r>
      <w:r w:rsidRPr="00112B89">
        <w:rPr>
          <w:rFonts w:ascii="Times New Roman" w:hAnsi="Times New Roman"/>
          <w:b/>
          <w:bCs/>
          <w:color w:val="000000"/>
        </w:rPr>
        <w:tab/>
        <w:t>Nepageidaujamas poveikis</w:t>
      </w:r>
    </w:p>
    <w:p w14:paraId="4778A69D" w14:textId="77777777" w:rsidR="007D1DA7" w:rsidRPr="00112B89" w:rsidRDefault="007D1DA7" w:rsidP="007D1DA7">
      <w:pPr>
        <w:autoSpaceDE w:val="0"/>
        <w:autoSpaceDN w:val="0"/>
        <w:adjustRightInd w:val="0"/>
        <w:spacing w:after="0" w:line="240" w:lineRule="auto"/>
        <w:rPr>
          <w:rFonts w:ascii="Times New Roman" w:hAnsi="Times New Roman"/>
          <w:color w:val="000000"/>
          <w:u w:val="single"/>
        </w:rPr>
      </w:pPr>
    </w:p>
    <w:p w14:paraId="7A9CAB20" w14:textId="77777777" w:rsidR="007D1DA7" w:rsidRPr="00112B89" w:rsidRDefault="007D1DA7" w:rsidP="007D1DA7">
      <w:pPr>
        <w:autoSpaceDE w:val="0"/>
        <w:autoSpaceDN w:val="0"/>
        <w:adjustRightInd w:val="0"/>
        <w:spacing w:after="0" w:line="240" w:lineRule="auto"/>
        <w:rPr>
          <w:rFonts w:ascii="Times New Roman" w:hAnsi="Times New Roman"/>
          <w:color w:val="000000"/>
          <w:u w:val="single"/>
        </w:rPr>
      </w:pPr>
      <w:r w:rsidRPr="00112B89">
        <w:rPr>
          <w:rFonts w:ascii="Times New Roman" w:hAnsi="Times New Roman"/>
          <w:color w:val="000000"/>
          <w:u w:val="single"/>
        </w:rPr>
        <w:t xml:space="preserve">Saugumo duomenų santrauka </w:t>
      </w:r>
    </w:p>
    <w:p w14:paraId="675DDF83" w14:textId="77777777" w:rsidR="005A7416" w:rsidRPr="00112B89" w:rsidRDefault="007D1DA7"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lastRenderedPageBreak/>
        <w:t>Sunkiausi</w:t>
      </w:r>
      <w:r w:rsidR="0031390A" w:rsidRPr="00112B89">
        <w:rPr>
          <w:rFonts w:ascii="Times New Roman" w:hAnsi="Times New Roman"/>
          <w:color w:val="000000"/>
        </w:rPr>
        <w:t>os</w:t>
      </w:r>
      <w:r w:rsidRPr="00112B89">
        <w:rPr>
          <w:rFonts w:ascii="Times New Roman" w:hAnsi="Times New Roman"/>
          <w:color w:val="000000"/>
        </w:rPr>
        <w:t xml:space="preserve"> nepageidaujamo poveikio re</w:t>
      </w:r>
      <w:r w:rsidR="0031390A" w:rsidRPr="00112B89">
        <w:rPr>
          <w:rFonts w:ascii="Times New Roman" w:hAnsi="Times New Roman"/>
          <w:color w:val="000000"/>
        </w:rPr>
        <w:t>akcijos</w:t>
      </w:r>
      <w:r w:rsidRPr="00112B89">
        <w:rPr>
          <w:rFonts w:ascii="Times New Roman" w:hAnsi="Times New Roman"/>
          <w:color w:val="000000"/>
        </w:rPr>
        <w:t>, apie kuri</w:t>
      </w:r>
      <w:r w:rsidR="0031390A" w:rsidRPr="00112B89">
        <w:rPr>
          <w:rFonts w:ascii="Times New Roman" w:hAnsi="Times New Roman"/>
          <w:color w:val="000000"/>
        </w:rPr>
        <w:t>a</w:t>
      </w:r>
      <w:r w:rsidRPr="00112B89">
        <w:rPr>
          <w:rFonts w:ascii="Times New Roman" w:hAnsi="Times New Roman"/>
          <w:color w:val="000000"/>
        </w:rPr>
        <w:t xml:space="preserve">s buvo pranešta, yra anafilaksinė reakcija arba šokas, netipiniai šlaunikaulio lūžiai, žandikaulio </w:t>
      </w:r>
      <w:proofErr w:type="spellStart"/>
      <w:r w:rsidRPr="00112B89">
        <w:rPr>
          <w:rFonts w:ascii="Times New Roman" w:hAnsi="Times New Roman"/>
          <w:color w:val="000000"/>
        </w:rPr>
        <w:t>osteonekrozė</w:t>
      </w:r>
      <w:proofErr w:type="spellEnd"/>
      <w:r w:rsidRPr="00112B89">
        <w:rPr>
          <w:rFonts w:ascii="Times New Roman" w:hAnsi="Times New Roman"/>
          <w:color w:val="000000"/>
        </w:rPr>
        <w:t xml:space="preserve"> ir akių uždegimas (žr. poskyrį „Parinktų nepageidaujamo poveikio </w:t>
      </w:r>
      <w:r w:rsidR="00D77A92" w:rsidRPr="00112B89">
        <w:rPr>
          <w:rFonts w:ascii="Times New Roman" w:hAnsi="Times New Roman"/>
          <w:color w:val="000000"/>
        </w:rPr>
        <w:t>reakcij</w:t>
      </w:r>
      <w:r w:rsidRPr="00112B89">
        <w:rPr>
          <w:rFonts w:ascii="Times New Roman" w:hAnsi="Times New Roman"/>
          <w:color w:val="000000"/>
        </w:rPr>
        <w:t>ų aprašymas“ ir 4.4 skyrių).</w:t>
      </w:r>
    </w:p>
    <w:p w14:paraId="17548C38" w14:textId="77777777" w:rsidR="007D1DA7" w:rsidRPr="00112B89" w:rsidRDefault="007D1DA7" w:rsidP="00C7398A">
      <w:pPr>
        <w:tabs>
          <w:tab w:val="left" w:pos="567"/>
        </w:tabs>
        <w:autoSpaceDE w:val="0"/>
        <w:autoSpaceDN w:val="0"/>
        <w:adjustRightInd w:val="0"/>
        <w:spacing w:after="0" w:line="240" w:lineRule="auto"/>
        <w:rPr>
          <w:rFonts w:ascii="Times New Roman" w:hAnsi="Times New Roman"/>
          <w:color w:val="000000"/>
        </w:rPr>
      </w:pPr>
    </w:p>
    <w:p w14:paraId="2193FBD7" w14:textId="77777777" w:rsidR="0031390A" w:rsidRPr="00112B89" w:rsidRDefault="007D1DA7" w:rsidP="007D1DA7">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Nepageidaujamos reakcijos, apie kurias pranešta dažniausiai, buvo sąnarių skausmas ir į gripą panaši liga.</w:t>
      </w:r>
      <w:r w:rsidR="0031390A" w:rsidRPr="00112B89">
        <w:rPr>
          <w:rFonts w:ascii="Times New Roman" w:hAnsi="Times New Roman"/>
          <w:color w:val="000000"/>
        </w:rPr>
        <w:t xml:space="preserve"> Šie simptomai dažniausiai susiję su pirma vaisto doze, trunka trumpai, </w:t>
      </w:r>
      <w:r w:rsidR="00D77A92" w:rsidRPr="00112B89">
        <w:rPr>
          <w:rFonts w:ascii="Times New Roman" w:hAnsi="Times New Roman"/>
          <w:color w:val="000000"/>
        </w:rPr>
        <w:t>būna</w:t>
      </w:r>
      <w:r w:rsidR="0031390A" w:rsidRPr="00112B89">
        <w:rPr>
          <w:rFonts w:ascii="Times New Roman" w:hAnsi="Times New Roman"/>
          <w:color w:val="000000"/>
        </w:rPr>
        <w:t xml:space="preserve"> lengvi arba vidutini</w:t>
      </w:r>
      <w:r w:rsidR="00D77A92" w:rsidRPr="00112B89">
        <w:rPr>
          <w:rFonts w:ascii="Times New Roman" w:hAnsi="Times New Roman"/>
          <w:color w:val="000000"/>
        </w:rPr>
        <w:t>o sunkumo, paprastai išnyksta</w:t>
      </w:r>
      <w:r w:rsidR="0031390A" w:rsidRPr="00112B89">
        <w:rPr>
          <w:rFonts w:ascii="Times New Roman" w:hAnsi="Times New Roman"/>
          <w:color w:val="000000"/>
        </w:rPr>
        <w:t xml:space="preserve"> tęsiant vaisto vartojimą ir nereikalauja jokio gydymo vaistais (</w:t>
      </w:r>
      <w:proofErr w:type="spellStart"/>
      <w:r w:rsidR="0031390A" w:rsidRPr="00112B89">
        <w:rPr>
          <w:rFonts w:ascii="Times New Roman" w:hAnsi="Times New Roman"/>
          <w:color w:val="000000"/>
        </w:rPr>
        <w:t>žr</w:t>
      </w:r>
      <w:proofErr w:type="spellEnd"/>
      <w:r w:rsidR="0031390A" w:rsidRPr="00112B89">
        <w:rPr>
          <w:rFonts w:ascii="Times New Roman" w:hAnsi="Times New Roman"/>
          <w:color w:val="000000"/>
        </w:rPr>
        <w:t>, poskyrį</w:t>
      </w:r>
      <w:r w:rsidR="00271402" w:rsidRPr="00112B89">
        <w:rPr>
          <w:rFonts w:ascii="Times New Roman" w:hAnsi="Times New Roman"/>
          <w:color w:val="000000"/>
        </w:rPr>
        <w:t xml:space="preserve"> </w:t>
      </w:r>
      <w:r w:rsidR="0031390A" w:rsidRPr="00112B89">
        <w:rPr>
          <w:rFonts w:ascii="Times New Roman" w:hAnsi="Times New Roman"/>
          <w:color w:val="000000"/>
        </w:rPr>
        <w:t>„Į gripą panaši liga“).</w:t>
      </w:r>
    </w:p>
    <w:p w14:paraId="4531231F" w14:textId="77777777" w:rsidR="0031390A" w:rsidRPr="00112B89" w:rsidRDefault="0031390A" w:rsidP="007D1DA7">
      <w:pPr>
        <w:autoSpaceDE w:val="0"/>
        <w:autoSpaceDN w:val="0"/>
        <w:adjustRightInd w:val="0"/>
        <w:spacing w:after="0" w:line="240" w:lineRule="auto"/>
        <w:rPr>
          <w:rFonts w:ascii="Times New Roman" w:hAnsi="Times New Roman"/>
          <w:color w:val="000000"/>
        </w:rPr>
      </w:pPr>
    </w:p>
    <w:p w14:paraId="091D4910" w14:textId="77777777" w:rsidR="0031390A" w:rsidRPr="00112B89" w:rsidRDefault="0031390A" w:rsidP="0031390A">
      <w:pPr>
        <w:tabs>
          <w:tab w:val="left" w:pos="567"/>
        </w:tabs>
        <w:spacing w:after="0" w:line="260" w:lineRule="exact"/>
        <w:rPr>
          <w:rFonts w:ascii="Times New Roman" w:eastAsia="Times New Roman" w:hAnsi="Times New Roman"/>
          <w:iCs/>
          <w:snapToGrid w:val="0"/>
          <w:u w:val="single"/>
          <w:lang w:eastAsia="lt-LT"/>
        </w:rPr>
      </w:pPr>
      <w:r w:rsidRPr="00112B89">
        <w:rPr>
          <w:rFonts w:ascii="Times New Roman" w:eastAsia="Times New Roman" w:hAnsi="Times New Roman"/>
          <w:iCs/>
          <w:snapToGrid w:val="0"/>
          <w:u w:val="single"/>
          <w:lang w:eastAsia="lt-LT"/>
        </w:rPr>
        <w:t>Nepageidaujamo poveikio reakcijų santrauka lentelėje</w:t>
      </w:r>
    </w:p>
    <w:p w14:paraId="43889466" w14:textId="77777777" w:rsidR="00D77A92" w:rsidRPr="00112B89" w:rsidRDefault="00D77A92" w:rsidP="0031390A">
      <w:pPr>
        <w:tabs>
          <w:tab w:val="left" w:pos="567"/>
        </w:tabs>
        <w:spacing w:after="0" w:line="260" w:lineRule="exact"/>
        <w:rPr>
          <w:rFonts w:ascii="Times New Roman" w:eastAsia="Times New Roman" w:hAnsi="Times New Roman"/>
          <w:snapToGrid w:val="0"/>
          <w:u w:val="single"/>
        </w:rPr>
      </w:pPr>
    </w:p>
    <w:p w14:paraId="69B1DFA0" w14:textId="77777777" w:rsidR="0031390A" w:rsidRPr="00112B89" w:rsidRDefault="0031390A" w:rsidP="0031390A">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1. lentelėje išvardytos visos žinomos nepageidaujamo poveikio reakcijos.</w:t>
      </w:r>
    </w:p>
    <w:p w14:paraId="67DCDD68" w14:textId="77777777" w:rsidR="005A7416" w:rsidRPr="00112B89" w:rsidRDefault="005A7416" w:rsidP="00D77A92">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Išgertos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dozės saugumas buvo įvertintas pagal 1251 pacient</w:t>
      </w:r>
      <w:r w:rsidR="00532D8F" w:rsidRPr="00112B89">
        <w:rPr>
          <w:rFonts w:ascii="Times New Roman" w:hAnsi="Times New Roman"/>
          <w:color w:val="000000"/>
        </w:rPr>
        <w:t>ą</w:t>
      </w:r>
      <w:r w:rsidRPr="00112B89">
        <w:rPr>
          <w:rFonts w:ascii="Times New Roman" w:hAnsi="Times New Roman"/>
          <w:color w:val="000000"/>
        </w:rPr>
        <w:t>, kuri</w:t>
      </w:r>
      <w:r w:rsidR="00532D8F" w:rsidRPr="00112B89">
        <w:rPr>
          <w:rFonts w:ascii="Times New Roman" w:hAnsi="Times New Roman"/>
          <w:color w:val="000000"/>
        </w:rPr>
        <w:t>e</w:t>
      </w:r>
      <w:r w:rsidRPr="00112B89">
        <w:rPr>
          <w:rFonts w:ascii="Times New Roman" w:hAnsi="Times New Roman"/>
          <w:color w:val="000000"/>
        </w:rPr>
        <w:t xml:space="preserve"> buvo gydyt</w:t>
      </w:r>
      <w:r w:rsidR="00532D8F" w:rsidRPr="00112B89">
        <w:rPr>
          <w:rFonts w:ascii="Times New Roman" w:hAnsi="Times New Roman"/>
          <w:color w:val="000000"/>
        </w:rPr>
        <w:t>i</w:t>
      </w:r>
      <w:r w:rsidRPr="00112B89">
        <w:rPr>
          <w:rFonts w:ascii="Times New Roman" w:hAnsi="Times New Roman"/>
          <w:color w:val="000000"/>
        </w:rPr>
        <w:t xml:space="preserve"> keturių placebu kontroliuojamų klinikinių tyrimų metu, duomenis. Didžioji dauguma pacien</w:t>
      </w:r>
      <w:r w:rsidR="00532D8F" w:rsidRPr="00112B89">
        <w:rPr>
          <w:rFonts w:ascii="Times New Roman" w:hAnsi="Times New Roman"/>
          <w:color w:val="000000"/>
        </w:rPr>
        <w:t>t</w:t>
      </w:r>
      <w:r w:rsidRPr="00112B89">
        <w:rPr>
          <w:rFonts w:ascii="Times New Roman" w:hAnsi="Times New Roman"/>
          <w:color w:val="000000"/>
        </w:rPr>
        <w:t xml:space="preserve">ų dalyvavo pagrindiniame trejų metų gydymo tyrime (MF 4411). </w:t>
      </w:r>
    </w:p>
    <w:p w14:paraId="1F26C848"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Dviejų metų trukmės tyrimo su osteoporoze sergančiomis moterimis po menopauzės (BM 16550) metu suleidžiant 3 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vieną kartą per 3 mėnesius ir vartojant per burną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vieną kartą per parą, bendrieji saugumo duomenys buvo panašūs. Suleidžiant į veną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vieną kartą per tris mėnesius, bendra pacien</w:t>
      </w:r>
      <w:r w:rsidR="00532D8F" w:rsidRPr="00112B89">
        <w:rPr>
          <w:rFonts w:ascii="Times New Roman" w:hAnsi="Times New Roman"/>
          <w:color w:val="000000"/>
        </w:rPr>
        <w:t>t</w:t>
      </w:r>
      <w:r w:rsidRPr="00112B89">
        <w:rPr>
          <w:rFonts w:ascii="Times New Roman" w:hAnsi="Times New Roman"/>
          <w:color w:val="000000"/>
        </w:rPr>
        <w:t>ų, kuri</w:t>
      </w:r>
      <w:r w:rsidR="00532D8F" w:rsidRPr="00112B89">
        <w:rPr>
          <w:rFonts w:ascii="Times New Roman" w:hAnsi="Times New Roman"/>
          <w:color w:val="000000"/>
        </w:rPr>
        <w:t>e</w:t>
      </w:r>
      <w:r w:rsidRPr="00112B89">
        <w:rPr>
          <w:rFonts w:ascii="Times New Roman" w:hAnsi="Times New Roman"/>
          <w:color w:val="000000"/>
        </w:rPr>
        <w:t xml:space="preserve">ms pasireiškė nepageidaujamas poveikis, dalis po vienerių ir dviejų metų buvo atitinkamai 26,0% ir 28,6%. </w:t>
      </w:r>
      <w:r w:rsidR="0031390A" w:rsidRPr="00112B89">
        <w:rPr>
          <w:rFonts w:ascii="Times New Roman" w:hAnsi="Times New Roman"/>
          <w:color w:val="000000"/>
        </w:rPr>
        <w:t>D</w:t>
      </w:r>
      <w:r w:rsidRPr="00112B89">
        <w:rPr>
          <w:rFonts w:ascii="Times New Roman" w:hAnsi="Times New Roman"/>
          <w:color w:val="000000"/>
        </w:rPr>
        <w:t>auguma atvejų gydymo nutraukti neprireikė.</w:t>
      </w:r>
    </w:p>
    <w:p w14:paraId="2DDE4268"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2A657D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Nepageidaujamos reakcijos, išvardytos toliau pagal </w:t>
      </w:r>
      <w:proofErr w:type="spellStart"/>
      <w:r w:rsidR="0031390A" w:rsidRPr="00112B89">
        <w:rPr>
          <w:rFonts w:ascii="Times New Roman" w:hAnsi="Times New Roman"/>
          <w:color w:val="000000"/>
        </w:rPr>
        <w:t>MedDRA</w:t>
      </w:r>
      <w:proofErr w:type="spellEnd"/>
      <w:r w:rsidR="0031390A" w:rsidRPr="00112B89">
        <w:rPr>
          <w:rFonts w:ascii="Times New Roman" w:hAnsi="Times New Roman"/>
          <w:color w:val="000000"/>
        </w:rPr>
        <w:t xml:space="preserve"> </w:t>
      </w:r>
      <w:r w:rsidRPr="00112B89">
        <w:rPr>
          <w:rFonts w:ascii="Times New Roman" w:hAnsi="Times New Roman"/>
          <w:color w:val="000000"/>
        </w:rPr>
        <w:t>organų sistemų klases</w:t>
      </w:r>
      <w:r w:rsidR="0031390A" w:rsidRPr="00112B89">
        <w:rPr>
          <w:rFonts w:ascii="Times New Roman" w:hAnsi="Times New Roman"/>
          <w:color w:val="000000"/>
        </w:rPr>
        <w:t xml:space="preserve"> ir dažnio grupes</w:t>
      </w:r>
      <w:r w:rsidRPr="00112B89">
        <w:rPr>
          <w:rFonts w:ascii="Times New Roman" w:hAnsi="Times New Roman"/>
          <w:color w:val="000000"/>
        </w:rPr>
        <w:t>.</w:t>
      </w:r>
    </w:p>
    <w:p w14:paraId="02858916"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7E8D5A0"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Naudojami tokie nepageidaujamo poveikio </w:t>
      </w:r>
      <w:r w:rsidR="0031390A" w:rsidRPr="00112B89">
        <w:rPr>
          <w:rFonts w:ascii="Times New Roman" w:hAnsi="Times New Roman"/>
          <w:color w:val="000000"/>
        </w:rPr>
        <w:t>reakcijų</w:t>
      </w:r>
      <w:r w:rsidRPr="00112B89">
        <w:rPr>
          <w:rFonts w:ascii="Times New Roman" w:hAnsi="Times New Roman"/>
          <w:color w:val="000000"/>
        </w:rPr>
        <w:t xml:space="preserve"> dažnio apibūdinamai: </w:t>
      </w:r>
      <w:r w:rsidR="0031390A" w:rsidRPr="00112B89">
        <w:rPr>
          <w:rFonts w:ascii="Times New Roman" w:hAnsi="Times New Roman"/>
          <w:color w:val="000000"/>
        </w:rPr>
        <w:t xml:space="preserve">labai dažni (&gt;1/10), </w:t>
      </w:r>
      <w:r w:rsidRPr="00112B89">
        <w:rPr>
          <w:rFonts w:ascii="Times New Roman" w:hAnsi="Times New Roman"/>
          <w:color w:val="000000"/>
        </w:rPr>
        <w:t xml:space="preserve">dažni (nuo ≥1/100 iki &lt;1/10), nedažni (nuo ≥1/1000 iki &lt;1/100), reti (nuo ≥1/10000 iki &lt;1/1000), </w:t>
      </w:r>
      <w:r w:rsidRPr="00112B89">
        <w:rPr>
          <w:rFonts w:ascii="Times New Roman" w:hAnsi="Times New Roman"/>
        </w:rPr>
        <w:t>labai reti (&lt;1/10000), dažnis nežinomas (negali būti įvertintas pagal turimus duomenis)</w:t>
      </w:r>
      <w:r w:rsidRPr="00112B89">
        <w:rPr>
          <w:rFonts w:ascii="Times New Roman" w:hAnsi="Times New Roman"/>
          <w:color w:val="000000"/>
        </w:rPr>
        <w:t>. Kiekvienoje dažnio grupėje nepageidaujamos reakcijos pateikiamos mažėjančio sunkumo tvarka.</w:t>
      </w:r>
    </w:p>
    <w:p w14:paraId="1A5843A8"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728370F" w14:textId="77777777" w:rsidR="005A7416" w:rsidRPr="00112B89" w:rsidRDefault="005A7416" w:rsidP="001E61A7">
      <w:pPr>
        <w:pStyle w:val="Sraopastraipa"/>
        <w:keepNext/>
        <w:tabs>
          <w:tab w:val="left" w:pos="284"/>
        </w:tabs>
        <w:spacing w:after="0" w:line="240" w:lineRule="auto"/>
        <w:ind w:left="0"/>
        <w:rPr>
          <w:rFonts w:ascii="Times New Roman" w:hAnsi="Times New Roman"/>
        </w:rPr>
      </w:pPr>
      <w:r w:rsidRPr="00112B89">
        <w:rPr>
          <w:rFonts w:ascii="Times New Roman" w:hAnsi="Times New Roman"/>
        </w:rPr>
        <w:t xml:space="preserve">1. lentelė. Nepageidaujamos reakcijos, kurios pasireiškė moterims po menopauzės, suleidžiant 3 mg </w:t>
      </w:r>
      <w:proofErr w:type="spellStart"/>
      <w:r w:rsidRPr="00112B89">
        <w:rPr>
          <w:rFonts w:ascii="Times New Roman" w:hAnsi="Times New Roman"/>
        </w:rPr>
        <w:t>ibandrono</w:t>
      </w:r>
      <w:proofErr w:type="spellEnd"/>
      <w:r w:rsidRPr="00112B89">
        <w:rPr>
          <w:rFonts w:ascii="Times New Roman" w:hAnsi="Times New Roman"/>
        </w:rPr>
        <w:t xml:space="preserve"> rūgšties į veną vieną kartą per 3 mėnesius arba vartojant per burną po 2,5</w:t>
      </w:r>
      <w:r w:rsidR="00271402" w:rsidRPr="00112B89">
        <w:rPr>
          <w:rFonts w:ascii="Times New Roman" w:hAnsi="Times New Roman"/>
        </w:rPr>
        <w:t> </w:t>
      </w:r>
      <w:r w:rsidRPr="00112B89">
        <w:rPr>
          <w:rFonts w:ascii="Times New Roman" w:hAnsi="Times New Roman"/>
        </w:rPr>
        <w:t xml:space="preserve">mg </w:t>
      </w:r>
      <w:proofErr w:type="spellStart"/>
      <w:r w:rsidRPr="00112B89">
        <w:rPr>
          <w:rFonts w:ascii="Times New Roman" w:hAnsi="Times New Roman"/>
        </w:rPr>
        <w:t>ibandrono</w:t>
      </w:r>
      <w:proofErr w:type="spellEnd"/>
      <w:r w:rsidRPr="00112B89">
        <w:rPr>
          <w:rFonts w:ascii="Times New Roman" w:hAnsi="Times New Roman"/>
        </w:rPr>
        <w:t xml:space="preserve"> rūgšties vieną kartą per parą III fazės BM16550 ir MF4411 tyrimų metu bei vaistiniam preparatui esant rinkoje.</w:t>
      </w:r>
    </w:p>
    <w:p w14:paraId="6CD508AC" w14:textId="77777777" w:rsidR="005A7416" w:rsidRPr="00112B89" w:rsidRDefault="005A7416" w:rsidP="0085684D">
      <w:pPr>
        <w:keepNext/>
        <w:tabs>
          <w:tab w:val="left" w:pos="567"/>
        </w:tabs>
        <w:spacing w:after="0" w:line="240" w:lineRule="auto"/>
        <w:rPr>
          <w:rFonts w:ascii="Times New Roman" w:hAnsi="Times New Roman"/>
        </w:rPr>
      </w:pPr>
    </w:p>
    <w:tbl>
      <w:tblPr>
        <w:tblW w:w="8871" w:type="dxa"/>
        <w:tblInd w:w="180" w:type="dxa"/>
        <w:tblLook w:val="0000" w:firstRow="0" w:lastRow="0" w:firstColumn="0" w:lastColumn="0" w:noHBand="0" w:noVBand="0"/>
      </w:tblPr>
      <w:tblGrid>
        <w:gridCol w:w="1377"/>
        <w:gridCol w:w="1407"/>
        <w:gridCol w:w="1607"/>
        <w:gridCol w:w="1618"/>
        <w:gridCol w:w="1636"/>
        <w:gridCol w:w="1226"/>
      </w:tblGrid>
      <w:tr w:rsidR="003540F2" w:rsidRPr="00112B89" w14:paraId="70A0A2E6" w14:textId="7D525276" w:rsidTr="00DE47C3">
        <w:trPr>
          <w:trHeight w:val="20"/>
        </w:trPr>
        <w:tc>
          <w:tcPr>
            <w:tcW w:w="1608" w:type="dxa"/>
            <w:tcBorders>
              <w:top w:val="single" w:sz="8" w:space="0" w:color="000000"/>
              <w:left w:val="single" w:sz="8" w:space="0" w:color="000000"/>
              <w:bottom w:val="single" w:sz="8" w:space="0" w:color="000000"/>
              <w:right w:val="single" w:sz="8" w:space="0" w:color="000000"/>
            </w:tcBorders>
          </w:tcPr>
          <w:p w14:paraId="43BAA09A" w14:textId="77777777" w:rsidR="003540F2" w:rsidRPr="00112B89" w:rsidRDefault="003540F2" w:rsidP="0085684D">
            <w:pPr>
              <w:keepNext/>
              <w:tabs>
                <w:tab w:val="left" w:pos="567"/>
              </w:tabs>
              <w:spacing w:after="0" w:line="240" w:lineRule="auto"/>
              <w:rPr>
                <w:rFonts w:ascii="Times New Roman" w:hAnsi="Times New Roman"/>
              </w:rPr>
            </w:pPr>
            <w:r w:rsidRPr="00112B89">
              <w:rPr>
                <w:rFonts w:ascii="Times New Roman" w:hAnsi="Times New Roman"/>
                <w:b/>
                <w:bCs/>
              </w:rPr>
              <w:t>Organų sistemų klasės</w:t>
            </w:r>
          </w:p>
        </w:tc>
        <w:tc>
          <w:tcPr>
            <w:tcW w:w="1420" w:type="dxa"/>
            <w:tcBorders>
              <w:top w:val="single" w:sz="8" w:space="0" w:color="000000"/>
              <w:left w:val="single" w:sz="8" w:space="0" w:color="000000"/>
              <w:bottom w:val="single" w:sz="8" w:space="0" w:color="000000"/>
              <w:right w:val="single" w:sz="8" w:space="0" w:color="000000"/>
            </w:tcBorders>
          </w:tcPr>
          <w:p w14:paraId="69AFFFFF"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b/>
                <w:bCs/>
                <w:color w:val="000000"/>
              </w:rPr>
              <w:t>Dažni</w:t>
            </w:r>
          </w:p>
        </w:tc>
        <w:tc>
          <w:tcPr>
            <w:tcW w:w="1701" w:type="dxa"/>
            <w:tcBorders>
              <w:top w:val="single" w:sz="8" w:space="0" w:color="000000"/>
              <w:left w:val="single" w:sz="8" w:space="0" w:color="000000"/>
              <w:bottom w:val="single" w:sz="8" w:space="0" w:color="000000"/>
              <w:right w:val="single" w:sz="8" w:space="0" w:color="000000"/>
            </w:tcBorders>
          </w:tcPr>
          <w:p w14:paraId="1FFCC17D" w14:textId="77777777" w:rsidR="003540F2" w:rsidRPr="00112B89" w:rsidRDefault="003540F2" w:rsidP="0085684D">
            <w:pPr>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Nedažni</w:t>
            </w:r>
          </w:p>
        </w:tc>
        <w:tc>
          <w:tcPr>
            <w:tcW w:w="1740" w:type="dxa"/>
            <w:tcBorders>
              <w:top w:val="single" w:sz="8" w:space="0" w:color="000000"/>
              <w:left w:val="single" w:sz="8" w:space="0" w:color="000000"/>
              <w:bottom w:val="single" w:sz="8" w:space="0" w:color="000000"/>
              <w:right w:val="single" w:sz="8" w:space="0" w:color="000000"/>
            </w:tcBorders>
          </w:tcPr>
          <w:p w14:paraId="3E97A8CF"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b/>
                <w:bCs/>
                <w:color w:val="000000"/>
              </w:rPr>
              <w:t>Reti</w:t>
            </w:r>
          </w:p>
        </w:tc>
        <w:tc>
          <w:tcPr>
            <w:tcW w:w="1652" w:type="dxa"/>
            <w:tcBorders>
              <w:top w:val="single" w:sz="8" w:space="0" w:color="000000"/>
              <w:left w:val="single" w:sz="8" w:space="0" w:color="000000"/>
              <w:bottom w:val="single" w:sz="8" w:space="0" w:color="000000"/>
              <w:right w:val="single" w:sz="8" w:space="0" w:color="000000"/>
            </w:tcBorders>
          </w:tcPr>
          <w:p w14:paraId="5B33E337" w14:textId="77777777" w:rsidR="003540F2" w:rsidRPr="00112B89" w:rsidRDefault="003540F2" w:rsidP="0085684D">
            <w:pPr>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Labai reti</w:t>
            </w:r>
          </w:p>
        </w:tc>
        <w:tc>
          <w:tcPr>
            <w:tcW w:w="750" w:type="dxa"/>
            <w:tcBorders>
              <w:top w:val="single" w:sz="8" w:space="0" w:color="000000"/>
              <w:left w:val="single" w:sz="8" w:space="0" w:color="000000"/>
              <w:bottom w:val="single" w:sz="8" w:space="0" w:color="000000"/>
              <w:right w:val="single" w:sz="8" w:space="0" w:color="000000"/>
            </w:tcBorders>
          </w:tcPr>
          <w:p w14:paraId="5A32709A" w14:textId="2DB50300" w:rsidR="003540F2" w:rsidRPr="00112B89" w:rsidRDefault="003540F2" w:rsidP="0085684D">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Dažnis nežinomas</w:t>
            </w:r>
          </w:p>
        </w:tc>
      </w:tr>
      <w:tr w:rsidR="003540F2" w:rsidRPr="00112B89" w14:paraId="11A352D6" w14:textId="5C16A7F9" w:rsidTr="00DE47C3">
        <w:trPr>
          <w:trHeight w:val="20"/>
        </w:trPr>
        <w:tc>
          <w:tcPr>
            <w:tcW w:w="1608" w:type="dxa"/>
            <w:tcBorders>
              <w:top w:val="single" w:sz="8" w:space="0" w:color="000000"/>
              <w:left w:val="single" w:sz="8" w:space="0" w:color="000000"/>
              <w:bottom w:val="single" w:sz="8" w:space="0" w:color="000000"/>
              <w:right w:val="single" w:sz="8" w:space="0" w:color="000000"/>
            </w:tcBorders>
          </w:tcPr>
          <w:p w14:paraId="5D963D4D" w14:textId="77777777" w:rsidR="003540F2" w:rsidRPr="00112B89" w:rsidRDefault="003540F2" w:rsidP="0085684D">
            <w:pPr>
              <w:keepNext/>
              <w:tabs>
                <w:tab w:val="left" w:pos="567"/>
              </w:tabs>
              <w:spacing w:after="0" w:line="240" w:lineRule="auto"/>
              <w:rPr>
                <w:rFonts w:ascii="Times New Roman" w:hAnsi="Times New Roman"/>
              </w:rPr>
            </w:pPr>
            <w:r w:rsidRPr="00112B89">
              <w:rPr>
                <w:rFonts w:ascii="Times New Roman" w:hAnsi="Times New Roman"/>
              </w:rPr>
              <w:t>Imuninės sistemos sutrikimai</w:t>
            </w:r>
          </w:p>
        </w:tc>
        <w:tc>
          <w:tcPr>
            <w:tcW w:w="1420" w:type="dxa"/>
            <w:tcBorders>
              <w:top w:val="single" w:sz="8" w:space="0" w:color="000000"/>
              <w:left w:val="single" w:sz="8" w:space="0" w:color="000000"/>
              <w:bottom w:val="single" w:sz="8" w:space="0" w:color="000000"/>
              <w:right w:val="single" w:sz="8" w:space="0" w:color="000000"/>
            </w:tcBorders>
          </w:tcPr>
          <w:p w14:paraId="67BA949A"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701" w:type="dxa"/>
            <w:tcBorders>
              <w:top w:val="single" w:sz="8" w:space="0" w:color="000000"/>
              <w:left w:val="single" w:sz="8" w:space="0" w:color="000000"/>
              <w:bottom w:val="single" w:sz="8" w:space="0" w:color="000000"/>
              <w:right w:val="single" w:sz="8" w:space="0" w:color="000000"/>
            </w:tcBorders>
          </w:tcPr>
          <w:p w14:paraId="7BE3CBC8" w14:textId="77777777" w:rsidR="003540F2" w:rsidRPr="00112B89" w:rsidRDefault="003540F2" w:rsidP="00D77A92">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Bronchinės astmos paūmėjimas</w:t>
            </w:r>
          </w:p>
        </w:tc>
        <w:tc>
          <w:tcPr>
            <w:tcW w:w="1740" w:type="dxa"/>
            <w:tcBorders>
              <w:top w:val="single" w:sz="8" w:space="0" w:color="000000"/>
              <w:left w:val="single" w:sz="8" w:space="0" w:color="000000"/>
              <w:bottom w:val="single" w:sz="8" w:space="0" w:color="000000"/>
              <w:right w:val="single" w:sz="8" w:space="0" w:color="000000"/>
            </w:tcBorders>
          </w:tcPr>
          <w:p w14:paraId="6D0DB0D0" w14:textId="77777777" w:rsidR="003540F2" w:rsidRPr="00112B89" w:rsidRDefault="003540F2" w:rsidP="00A96317">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Padidėjusio jautrumo reakcija</w:t>
            </w:r>
          </w:p>
        </w:tc>
        <w:tc>
          <w:tcPr>
            <w:tcW w:w="1652" w:type="dxa"/>
            <w:tcBorders>
              <w:top w:val="single" w:sz="8" w:space="0" w:color="000000"/>
              <w:left w:val="single" w:sz="8" w:space="0" w:color="000000"/>
              <w:bottom w:val="single" w:sz="8" w:space="0" w:color="000000"/>
              <w:right w:val="single" w:sz="8" w:space="0" w:color="000000"/>
            </w:tcBorders>
          </w:tcPr>
          <w:p w14:paraId="414510D3"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Anafilaksinė reakcija arba šokas*†</w:t>
            </w:r>
          </w:p>
        </w:tc>
        <w:tc>
          <w:tcPr>
            <w:tcW w:w="750" w:type="dxa"/>
            <w:tcBorders>
              <w:top w:val="single" w:sz="8" w:space="0" w:color="000000"/>
              <w:left w:val="single" w:sz="8" w:space="0" w:color="000000"/>
              <w:bottom w:val="single" w:sz="8" w:space="0" w:color="000000"/>
              <w:right w:val="single" w:sz="8" w:space="0" w:color="000000"/>
            </w:tcBorders>
          </w:tcPr>
          <w:p w14:paraId="6C36E81A"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r>
      <w:tr w:rsidR="003540F2" w:rsidRPr="00112B89" w14:paraId="7A5111DD" w14:textId="117315D3" w:rsidTr="00DE47C3">
        <w:trPr>
          <w:trHeight w:val="20"/>
        </w:trPr>
        <w:tc>
          <w:tcPr>
            <w:tcW w:w="1608" w:type="dxa"/>
            <w:tcBorders>
              <w:top w:val="single" w:sz="8" w:space="0" w:color="000000"/>
              <w:left w:val="single" w:sz="8" w:space="0" w:color="000000"/>
              <w:bottom w:val="single" w:sz="8" w:space="0" w:color="000000"/>
              <w:right w:val="single" w:sz="8" w:space="0" w:color="000000"/>
            </w:tcBorders>
          </w:tcPr>
          <w:p w14:paraId="41AD8999" w14:textId="77777777" w:rsidR="003540F2" w:rsidRPr="00112B89" w:rsidRDefault="003540F2" w:rsidP="0085684D">
            <w:pPr>
              <w:keepNext/>
              <w:tabs>
                <w:tab w:val="left" w:pos="567"/>
              </w:tabs>
              <w:spacing w:after="0" w:line="240" w:lineRule="auto"/>
              <w:rPr>
                <w:rFonts w:ascii="Times New Roman" w:hAnsi="Times New Roman"/>
              </w:rPr>
            </w:pPr>
            <w:r>
              <w:rPr>
                <w:rFonts w:ascii="Times New Roman" w:hAnsi="Times New Roman"/>
              </w:rPr>
              <w:t>Metabolizmo ir mitybos sutrikimai</w:t>
            </w:r>
          </w:p>
        </w:tc>
        <w:tc>
          <w:tcPr>
            <w:tcW w:w="1420" w:type="dxa"/>
            <w:tcBorders>
              <w:top w:val="single" w:sz="8" w:space="0" w:color="000000"/>
              <w:left w:val="single" w:sz="8" w:space="0" w:color="000000"/>
              <w:bottom w:val="single" w:sz="8" w:space="0" w:color="000000"/>
              <w:right w:val="single" w:sz="8" w:space="0" w:color="000000"/>
            </w:tcBorders>
          </w:tcPr>
          <w:p w14:paraId="398492B7"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701" w:type="dxa"/>
            <w:tcBorders>
              <w:top w:val="single" w:sz="8" w:space="0" w:color="000000"/>
              <w:left w:val="single" w:sz="8" w:space="0" w:color="000000"/>
              <w:bottom w:val="single" w:sz="8" w:space="0" w:color="000000"/>
              <w:right w:val="single" w:sz="8" w:space="0" w:color="000000"/>
            </w:tcBorders>
          </w:tcPr>
          <w:p w14:paraId="2DFD520B" w14:textId="77777777" w:rsidR="003540F2" w:rsidRPr="00112B89" w:rsidRDefault="003540F2" w:rsidP="00D77A92">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Hipokalcemija</w:t>
            </w:r>
            <w:proofErr w:type="spellEnd"/>
            <w:r w:rsidRPr="00112B89">
              <w:rPr>
                <w:rFonts w:ascii="Times New Roman" w:hAnsi="Times New Roman"/>
                <w:color w:val="000000"/>
              </w:rPr>
              <w:t>†</w:t>
            </w:r>
          </w:p>
        </w:tc>
        <w:tc>
          <w:tcPr>
            <w:tcW w:w="1740" w:type="dxa"/>
            <w:tcBorders>
              <w:top w:val="single" w:sz="8" w:space="0" w:color="000000"/>
              <w:left w:val="single" w:sz="8" w:space="0" w:color="000000"/>
              <w:bottom w:val="single" w:sz="8" w:space="0" w:color="000000"/>
              <w:right w:val="single" w:sz="8" w:space="0" w:color="000000"/>
            </w:tcBorders>
          </w:tcPr>
          <w:p w14:paraId="6A41487C" w14:textId="77777777" w:rsidR="003540F2" w:rsidRPr="00112B89" w:rsidRDefault="003540F2" w:rsidP="00A96317">
            <w:pPr>
              <w:autoSpaceDE w:val="0"/>
              <w:autoSpaceDN w:val="0"/>
              <w:adjustRightInd w:val="0"/>
              <w:spacing w:after="0" w:line="240" w:lineRule="auto"/>
              <w:rPr>
                <w:rFonts w:ascii="Times New Roman" w:hAnsi="Times New Roman"/>
                <w:color w:val="000000"/>
              </w:rPr>
            </w:pPr>
          </w:p>
        </w:tc>
        <w:tc>
          <w:tcPr>
            <w:tcW w:w="1652" w:type="dxa"/>
            <w:tcBorders>
              <w:top w:val="single" w:sz="8" w:space="0" w:color="000000"/>
              <w:left w:val="single" w:sz="8" w:space="0" w:color="000000"/>
              <w:bottom w:val="single" w:sz="8" w:space="0" w:color="000000"/>
              <w:right w:val="single" w:sz="8" w:space="0" w:color="000000"/>
            </w:tcBorders>
          </w:tcPr>
          <w:p w14:paraId="6586AABD"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750" w:type="dxa"/>
            <w:tcBorders>
              <w:top w:val="single" w:sz="8" w:space="0" w:color="000000"/>
              <w:left w:val="single" w:sz="8" w:space="0" w:color="000000"/>
              <w:bottom w:val="single" w:sz="8" w:space="0" w:color="000000"/>
              <w:right w:val="single" w:sz="8" w:space="0" w:color="000000"/>
            </w:tcBorders>
          </w:tcPr>
          <w:p w14:paraId="0718F42E"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r>
      <w:tr w:rsidR="003540F2" w:rsidRPr="00112B89" w14:paraId="43864A63" w14:textId="635C48D9" w:rsidTr="00DE47C3">
        <w:trPr>
          <w:trHeight w:val="255"/>
        </w:trPr>
        <w:tc>
          <w:tcPr>
            <w:tcW w:w="1608" w:type="dxa"/>
            <w:tcBorders>
              <w:top w:val="single" w:sz="8" w:space="0" w:color="000000"/>
              <w:left w:val="single" w:sz="8" w:space="0" w:color="000000"/>
              <w:right w:val="single" w:sz="8" w:space="0" w:color="000000"/>
            </w:tcBorders>
          </w:tcPr>
          <w:p w14:paraId="13273922" w14:textId="77777777" w:rsidR="003540F2" w:rsidRPr="00112B89" w:rsidRDefault="003540F2" w:rsidP="0085684D">
            <w:pPr>
              <w:keepNext/>
              <w:tabs>
                <w:tab w:val="left" w:pos="567"/>
              </w:tabs>
              <w:spacing w:after="0" w:line="240" w:lineRule="auto"/>
              <w:rPr>
                <w:rFonts w:ascii="Times New Roman" w:hAnsi="Times New Roman"/>
              </w:rPr>
            </w:pPr>
            <w:r w:rsidRPr="00112B89">
              <w:rPr>
                <w:rFonts w:ascii="Times New Roman" w:hAnsi="Times New Roman"/>
              </w:rPr>
              <w:t>Nervų sistemos sutrikimai</w:t>
            </w:r>
          </w:p>
        </w:tc>
        <w:tc>
          <w:tcPr>
            <w:tcW w:w="1420" w:type="dxa"/>
            <w:tcBorders>
              <w:top w:val="single" w:sz="8" w:space="0" w:color="000000"/>
              <w:left w:val="single" w:sz="8" w:space="0" w:color="000000"/>
              <w:bottom w:val="single" w:sz="8" w:space="0" w:color="000000"/>
              <w:right w:val="single" w:sz="8" w:space="0" w:color="000000"/>
            </w:tcBorders>
          </w:tcPr>
          <w:p w14:paraId="62C78BEA" w14:textId="77777777" w:rsidR="003540F2" w:rsidRPr="00112B89" w:rsidRDefault="003540F2" w:rsidP="001C2557">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Galvos skausmas</w:t>
            </w:r>
          </w:p>
        </w:tc>
        <w:tc>
          <w:tcPr>
            <w:tcW w:w="1701" w:type="dxa"/>
            <w:tcBorders>
              <w:top w:val="single" w:sz="8" w:space="0" w:color="000000"/>
              <w:left w:val="single" w:sz="8" w:space="0" w:color="000000"/>
              <w:bottom w:val="single" w:sz="8" w:space="0" w:color="000000"/>
              <w:right w:val="single" w:sz="8" w:space="0" w:color="000000"/>
            </w:tcBorders>
          </w:tcPr>
          <w:p w14:paraId="1C4F838D"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740" w:type="dxa"/>
            <w:tcBorders>
              <w:top w:val="single" w:sz="8" w:space="0" w:color="000000"/>
              <w:left w:val="single" w:sz="8" w:space="0" w:color="000000"/>
              <w:bottom w:val="single" w:sz="8" w:space="0" w:color="000000"/>
              <w:right w:val="single" w:sz="8" w:space="0" w:color="000000"/>
            </w:tcBorders>
          </w:tcPr>
          <w:p w14:paraId="31766F25"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652" w:type="dxa"/>
            <w:tcBorders>
              <w:top w:val="single" w:sz="8" w:space="0" w:color="000000"/>
              <w:left w:val="single" w:sz="8" w:space="0" w:color="000000"/>
              <w:bottom w:val="single" w:sz="8" w:space="0" w:color="000000"/>
              <w:right w:val="single" w:sz="8" w:space="0" w:color="000000"/>
            </w:tcBorders>
          </w:tcPr>
          <w:p w14:paraId="2792BDC1"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750" w:type="dxa"/>
            <w:tcBorders>
              <w:top w:val="single" w:sz="8" w:space="0" w:color="000000"/>
              <w:left w:val="single" w:sz="8" w:space="0" w:color="000000"/>
              <w:bottom w:val="single" w:sz="8" w:space="0" w:color="000000"/>
              <w:right w:val="single" w:sz="8" w:space="0" w:color="000000"/>
            </w:tcBorders>
          </w:tcPr>
          <w:p w14:paraId="66639940"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r>
      <w:tr w:rsidR="003540F2" w:rsidRPr="00112B89" w14:paraId="734FD2D8" w14:textId="15FB2616" w:rsidTr="00DE47C3">
        <w:trPr>
          <w:trHeight w:val="20"/>
        </w:trPr>
        <w:tc>
          <w:tcPr>
            <w:tcW w:w="1608" w:type="dxa"/>
            <w:tcBorders>
              <w:top w:val="single" w:sz="8" w:space="0" w:color="000000"/>
              <w:left w:val="single" w:sz="8" w:space="0" w:color="000000"/>
              <w:right w:val="single" w:sz="8" w:space="0" w:color="000000"/>
            </w:tcBorders>
          </w:tcPr>
          <w:p w14:paraId="11E0976D"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Akių sutrikimai </w:t>
            </w:r>
          </w:p>
        </w:tc>
        <w:tc>
          <w:tcPr>
            <w:tcW w:w="1420" w:type="dxa"/>
            <w:tcBorders>
              <w:top w:val="single" w:sz="8" w:space="0" w:color="000000"/>
              <w:left w:val="single" w:sz="8" w:space="0" w:color="000000"/>
              <w:bottom w:val="single" w:sz="8" w:space="0" w:color="000000"/>
              <w:right w:val="single" w:sz="8" w:space="0" w:color="000000"/>
            </w:tcBorders>
          </w:tcPr>
          <w:p w14:paraId="701DF3CE"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701" w:type="dxa"/>
            <w:tcBorders>
              <w:top w:val="single" w:sz="8" w:space="0" w:color="000000"/>
              <w:left w:val="single" w:sz="8" w:space="0" w:color="000000"/>
              <w:bottom w:val="single" w:sz="8" w:space="0" w:color="000000"/>
              <w:right w:val="single" w:sz="8" w:space="0" w:color="000000"/>
            </w:tcBorders>
          </w:tcPr>
          <w:p w14:paraId="481F236A"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740" w:type="dxa"/>
            <w:tcBorders>
              <w:top w:val="single" w:sz="8" w:space="0" w:color="000000"/>
              <w:left w:val="single" w:sz="8" w:space="0" w:color="000000"/>
              <w:bottom w:val="single" w:sz="8" w:space="0" w:color="000000"/>
              <w:right w:val="single" w:sz="8" w:space="0" w:color="000000"/>
            </w:tcBorders>
          </w:tcPr>
          <w:p w14:paraId="6D9E83D4"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Akių uždegimas*† </w:t>
            </w:r>
          </w:p>
        </w:tc>
        <w:tc>
          <w:tcPr>
            <w:tcW w:w="1652" w:type="dxa"/>
            <w:tcBorders>
              <w:top w:val="single" w:sz="8" w:space="0" w:color="000000"/>
              <w:left w:val="single" w:sz="8" w:space="0" w:color="000000"/>
              <w:bottom w:val="single" w:sz="8" w:space="0" w:color="000000"/>
              <w:right w:val="single" w:sz="8" w:space="0" w:color="000000"/>
            </w:tcBorders>
          </w:tcPr>
          <w:p w14:paraId="7534528D"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750" w:type="dxa"/>
            <w:tcBorders>
              <w:top w:val="single" w:sz="8" w:space="0" w:color="000000"/>
              <w:left w:val="single" w:sz="8" w:space="0" w:color="000000"/>
              <w:bottom w:val="single" w:sz="8" w:space="0" w:color="000000"/>
              <w:right w:val="single" w:sz="8" w:space="0" w:color="000000"/>
            </w:tcBorders>
          </w:tcPr>
          <w:p w14:paraId="5EF0DACE"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r>
      <w:tr w:rsidR="003540F2" w:rsidRPr="00112B89" w14:paraId="25FB7D81" w14:textId="5906EF3F" w:rsidTr="00DE47C3">
        <w:trPr>
          <w:trHeight w:val="20"/>
        </w:trPr>
        <w:tc>
          <w:tcPr>
            <w:tcW w:w="1608" w:type="dxa"/>
            <w:tcBorders>
              <w:top w:val="single" w:sz="8" w:space="0" w:color="000000"/>
              <w:left w:val="single" w:sz="8" w:space="0" w:color="000000"/>
              <w:right w:val="single" w:sz="8" w:space="0" w:color="000000"/>
            </w:tcBorders>
          </w:tcPr>
          <w:p w14:paraId="5858B0C3"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Kraujagyslių sutrikimai</w:t>
            </w:r>
          </w:p>
        </w:tc>
        <w:tc>
          <w:tcPr>
            <w:tcW w:w="1420" w:type="dxa"/>
            <w:tcBorders>
              <w:top w:val="single" w:sz="8" w:space="0" w:color="000000"/>
              <w:left w:val="single" w:sz="8" w:space="0" w:color="000000"/>
              <w:bottom w:val="single" w:sz="8" w:space="0" w:color="000000"/>
              <w:right w:val="single" w:sz="8" w:space="0" w:color="000000"/>
            </w:tcBorders>
          </w:tcPr>
          <w:p w14:paraId="5D821243"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701" w:type="dxa"/>
            <w:tcBorders>
              <w:top w:val="single" w:sz="8" w:space="0" w:color="000000"/>
              <w:left w:val="single" w:sz="8" w:space="0" w:color="000000"/>
              <w:bottom w:val="single" w:sz="8" w:space="0" w:color="000000"/>
              <w:right w:val="single" w:sz="8" w:space="0" w:color="000000"/>
            </w:tcBorders>
          </w:tcPr>
          <w:p w14:paraId="620383FB"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Venų uždegimas arba </w:t>
            </w:r>
            <w:proofErr w:type="spellStart"/>
            <w:r w:rsidRPr="00112B89">
              <w:rPr>
                <w:rFonts w:ascii="Times New Roman" w:hAnsi="Times New Roman"/>
                <w:color w:val="000000"/>
              </w:rPr>
              <w:t>tromboflebitas</w:t>
            </w:r>
            <w:proofErr w:type="spellEnd"/>
          </w:p>
        </w:tc>
        <w:tc>
          <w:tcPr>
            <w:tcW w:w="1740" w:type="dxa"/>
            <w:tcBorders>
              <w:top w:val="single" w:sz="8" w:space="0" w:color="000000"/>
              <w:left w:val="single" w:sz="8" w:space="0" w:color="000000"/>
              <w:bottom w:val="single" w:sz="8" w:space="0" w:color="000000"/>
              <w:right w:val="single" w:sz="8" w:space="0" w:color="000000"/>
            </w:tcBorders>
          </w:tcPr>
          <w:p w14:paraId="3BEB26C0"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652" w:type="dxa"/>
            <w:tcBorders>
              <w:top w:val="single" w:sz="8" w:space="0" w:color="000000"/>
              <w:left w:val="single" w:sz="8" w:space="0" w:color="000000"/>
              <w:bottom w:val="single" w:sz="8" w:space="0" w:color="000000"/>
              <w:right w:val="single" w:sz="8" w:space="0" w:color="000000"/>
            </w:tcBorders>
          </w:tcPr>
          <w:p w14:paraId="473A632D"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750" w:type="dxa"/>
            <w:tcBorders>
              <w:top w:val="single" w:sz="8" w:space="0" w:color="000000"/>
              <w:left w:val="single" w:sz="8" w:space="0" w:color="000000"/>
              <w:bottom w:val="single" w:sz="8" w:space="0" w:color="000000"/>
              <w:right w:val="single" w:sz="8" w:space="0" w:color="000000"/>
            </w:tcBorders>
          </w:tcPr>
          <w:p w14:paraId="7A1518A1"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r>
      <w:tr w:rsidR="003540F2" w:rsidRPr="00112B89" w14:paraId="7289DF7A" w14:textId="165EC30A" w:rsidTr="00DE47C3">
        <w:trPr>
          <w:trHeight w:val="20"/>
        </w:trPr>
        <w:tc>
          <w:tcPr>
            <w:tcW w:w="1608" w:type="dxa"/>
            <w:tcBorders>
              <w:top w:val="single" w:sz="8" w:space="0" w:color="000000"/>
              <w:left w:val="single" w:sz="8" w:space="0" w:color="000000"/>
              <w:bottom w:val="single" w:sz="4" w:space="0" w:color="auto"/>
              <w:right w:val="single" w:sz="8" w:space="0" w:color="000000"/>
            </w:tcBorders>
          </w:tcPr>
          <w:p w14:paraId="3C0A94A1"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Virškinimo trakto sutrikimai</w:t>
            </w:r>
          </w:p>
        </w:tc>
        <w:tc>
          <w:tcPr>
            <w:tcW w:w="1420" w:type="dxa"/>
            <w:tcBorders>
              <w:top w:val="single" w:sz="8" w:space="0" w:color="000000"/>
              <w:left w:val="single" w:sz="8" w:space="0" w:color="000000"/>
              <w:bottom w:val="single" w:sz="8" w:space="0" w:color="000000"/>
              <w:right w:val="single" w:sz="8" w:space="0" w:color="000000"/>
            </w:tcBorders>
          </w:tcPr>
          <w:p w14:paraId="7CF4CB5D" w14:textId="77777777" w:rsidR="003540F2" w:rsidRPr="00112B89" w:rsidRDefault="003540F2" w:rsidP="00A96317">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Gastritas, dispepsija, viduriavimas, pilvo </w:t>
            </w:r>
            <w:r w:rsidRPr="00112B89">
              <w:rPr>
                <w:rFonts w:ascii="Times New Roman" w:hAnsi="Times New Roman"/>
                <w:color w:val="000000"/>
              </w:rPr>
              <w:lastRenderedPageBreak/>
              <w:t xml:space="preserve">skausmas, pykinimas, vidurių užkietėjimas </w:t>
            </w:r>
          </w:p>
        </w:tc>
        <w:tc>
          <w:tcPr>
            <w:tcW w:w="1701" w:type="dxa"/>
            <w:tcBorders>
              <w:top w:val="single" w:sz="8" w:space="0" w:color="000000"/>
              <w:left w:val="single" w:sz="8" w:space="0" w:color="000000"/>
              <w:bottom w:val="single" w:sz="8" w:space="0" w:color="000000"/>
              <w:right w:val="single" w:sz="8" w:space="0" w:color="000000"/>
            </w:tcBorders>
          </w:tcPr>
          <w:p w14:paraId="562A97AF"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740" w:type="dxa"/>
            <w:tcBorders>
              <w:top w:val="single" w:sz="8" w:space="0" w:color="000000"/>
              <w:left w:val="single" w:sz="8" w:space="0" w:color="000000"/>
              <w:bottom w:val="single" w:sz="8" w:space="0" w:color="000000"/>
              <w:right w:val="single" w:sz="8" w:space="0" w:color="000000"/>
            </w:tcBorders>
          </w:tcPr>
          <w:p w14:paraId="3B09F9CE"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652" w:type="dxa"/>
            <w:tcBorders>
              <w:top w:val="single" w:sz="8" w:space="0" w:color="000000"/>
              <w:left w:val="single" w:sz="8" w:space="0" w:color="000000"/>
              <w:bottom w:val="single" w:sz="8" w:space="0" w:color="000000"/>
              <w:right w:val="single" w:sz="8" w:space="0" w:color="000000"/>
            </w:tcBorders>
          </w:tcPr>
          <w:p w14:paraId="08C11687"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750" w:type="dxa"/>
            <w:tcBorders>
              <w:top w:val="single" w:sz="8" w:space="0" w:color="000000"/>
              <w:left w:val="single" w:sz="8" w:space="0" w:color="000000"/>
              <w:bottom w:val="single" w:sz="8" w:space="0" w:color="000000"/>
              <w:right w:val="single" w:sz="8" w:space="0" w:color="000000"/>
            </w:tcBorders>
          </w:tcPr>
          <w:p w14:paraId="4C6D157F"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r>
      <w:tr w:rsidR="003540F2" w:rsidRPr="00112B89" w14:paraId="2075965C" w14:textId="0FDE9230" w:rsidTr="00DE47C3">
        <w:trPr>
          <w:trHeight w:val="20"/>
        </w:trPr>
        <w:tc>
          <w:tcPr>
            <w:tcW w:w="1608" w:type="dxa"/>
            <w:tcBorders>
              <w:top w:val="single" w:sz="4" w:space="0" w:color="auto"/>
              <w:left w:val="single" w:sz="8" w:space="0" w:color="000000"/>
              <w:bottom w:val="single" w:sz="8" w:space="0" w:color="000000"/>
              <w:right w:val="single" w:sz="8" w:space="0" w:color="000000"/>
            </w:tcBorders>
          </w:tcPr>
          <w:p w14:paraId="2E4F527E"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Odos ir poodinio audinio sutrikimai</w:t>
            </w:r>
          </w:p>
        </w:tc>
        <w:tc>
          <w:tcPr>
            <w:tcW w:w="1420" w:type="dxa"/>
            <w:tcBorders>
              <w:top w:val="single" w:sz="8" w:space="0" w:color="000000"/>
              <w:left w:val="single" w:sz="8" w:space="0" w:color="000000"/>
              <w:bottom w:val="single" w:sz="8" w:space="0" w:color="000000"/>
              <w:right w:val="single" w:sz="8" w:space="0" w:color="000000"/>
            </w:tcBorders>
          </w:tcPr>
          <w:p w14:paraId="341C7953"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Bėrimas</w:t>
            </w:r>
          </w:p>
        </w:tc>
        <w:tc>
          <w:tcPr>
            <w:tcW w:w="1701" w:type="dxa"/>
            <w:tcBorders>
              <w:top w:val="single" w:sz="8" w:space="0" w:color="000000"/>
              <w:left w:val="single" w:sz="8" w:space="0" w:color="000000"/>
              <w:bottom w:val="single" w:sz="8" w:space="0" w:color="000000"/>
              <w:right w:val="single" w:sz="8" w:space="0" w:color="000000"/>
            </w:tcBorders>
          </w:tcPr>
          <w:p w14:paraId="43673EEB"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740" w:type="dxa"/>
            <w:tcBorders>
              <w:top w:val="single" w:sz="8" w:space="0" w:color="000000"/>
              <w:left w:val="single" w:sz="8" w:space="0" w:color="000000"/>
              <w:bottom w:val="single" w:sz="8" w:space="0" w:color="000000"/>
              <w:right w:val="single" w:sz="8" w:space="0" w:color="000000"/>
            </w:tcBorders>
          </w:tcPr>
          <w:p w14:paraId="6AE58813"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Angioneurozinė</w:t>
            </w:r>
            <w:proofErr w:type="spellEnd"/>
            <w:r w:rsidRPr="00112B89">
              <w:rPr>
                <w:rFonts w:ascii="Times New Roman" w:hAnsi="Times New Roman"/>
                <w:color w:val="000000"/>
              </w:rPr>
              <w:t xml:space="preserve"> edema, veido edema, dilgėlinė.</w:t>
            </w:r>
          </w:p>
        </w:tc>
        <w:tc>
          <w:tcPr>
            <w:tcW w:w="1652" w:type="dxa"/>
            <w:tcBorders>
              <w:top w:val="single" w:sz="8" w:space="0" w:color="000000"/>
              <w:left w:val="single" w:sz="8" w:space="0" w:color="000000"/>
              <w:bottom w:val="single" w:sz="8" w:space="0" w:color="000000"/>
              <w:right w:val="single" w:sz="8" w:space="0" w:color="000000"/>
            </w:tcBorders>
          </w:tcPr>
          <w:p w14:paraId="02A21E6B" w14:textId="77777777" w:rsidR="003540F2" w:rsidRPr="00112B89" w:rsidRDefault="003540F2" w:rsidP="006B6C0C">
            <w:pPr>
              <w:autoSpaceDE w:val="0"/>
              <w:autoSpaceDN w:val="0"/>
              <w:adjustRightInd w:val="0"/>
              <w:spacing w:after="0" w:line="240" w:lineRule="auto"/>
              <w:rPr>
                <w:rFonts w:ascii="Times New Roman" w:hAnsi="Times New Roman"/>
                <w:color w:val="000000"/>
              </w:rPr>
            </w:pPr>
            <w:proofErr w:type="spellStart"/>
            <w:r w:rsidRPr="0089774B">
              <w:rPr>
                <w:rFonts w:ascii="Times New Roman" w:hAnsi="Times New Roman"/>
                <w:i/>
                <w:iCs/>
                <w:lang w:eastAsia="lt-LT"/>
              </w:rPr>
              <w:t>Stevens-Johnson</w:t>
            </w:r>
            <w:proofErr w:type="spellEnd"/>
            <w:r w:rsidRPr="0089774B">
              <w:rPr>
                <w:rFonts w:ascii="Times New Roman" w:hAnsi="Times New Roman"/>
                <w:i/>
                <w:iCs/>
                <w:lang w:eastAsia="lt-LT"/>
              </w:rPr>
              <w:t xml:space="preserve"> </w:t>
            </w:r>
            <w:r w:rsidRPr="0089774B">
              <w:rPr>
                <w:rFonts w:ascii="Times New Roman" w:hAnsi="Times New Roman"/>
                <w:lang w:eastAsia="lt-LT"/>
              </w:rPr>
              <w:t>sindromas †, daugiaform</w:t>
            </w:r>
            <w:r w:rsidRPr="0089774B">
              <w:rPr>
                <w:rFonts w:ascii="TimesNewRomanPSMT" w:eastAsia="TimesNewRomanPSMT" w:hAnsi="Times New Roman" w:cs="TimesNewRomanPSMT"/>
                <w:lang w:eastAsia="lt-LT"/>
              </w:rPr>
              <w:t>ė</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raudon</w:t>
            </w:r>
            <w:r w:rsidRPr="0089774B">
              <w:rPr>
                <w:rFonts w:ascii="TimesNewRomanPSMT" w:eastAsia="TimesNewRomanPSMT" w:hAnsi="Times New Roman" w:cs="TimesNewRomanPSMT"/>
                <w:lang w:eastAsia="lt-LT"/>
              </w:rPr>
              <w:t>ė</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w:t>
            </w:r>
            <w:proofErr w:type="spellStart"/>
            <w:r w:rsidRPr="0089774B">
              <w:rPr>
                <w:rFonts w:ascii="Times New Roman" w:hAnsi="Times New Roman"/>
                <w:lang w:eastAsia="lt-LT"/>
              </w:rPr>
              <w:t>eritema</w:t>
            </w:r>
            <w:proofErr w:type="spellEnd"/>
            <w:r w:rsidRPr="0089774B">
              <w:rPr>
                <w:rFonts w:ascii="Times New Roman" w:hAnsi="Times New Roman"/>
                <w:lang w:eastAsia="lt-LT"/>
              </w:rPr>
              <w:t>) †, p</w:t>
            </w:r>
            <w:r w:rsidRPr="0089774B">
              <w:rPr>
                <w:rFonts w:ascii="TimesNewRomanPSMT" w:eastAsia="TimesNewRomanPSMT" w:hAnsi="Times New Roman" w:cs="TimesNewRomanPSMT"/>
                <w:lang w:eastAsia="lt-LT"/>
              </w:rPr>
              <w:t>ū</w:t>
            </w:r>
            <w:r w:rsidRPr="0089774B">
              <w:rPr>
                <w:rFonts w:ascii="Times New Roman" w:hAnsi="Times New Roman"/>
                <w:lang w:eastAsia="lt-LT"/>
              </w:rPr>
              <w:t>slelinis dermatitas †</w:t>
            </w:r>
          </w:p>
        </w:tc>
        <w:tc>
          <w:tcPr>
            <w:tcW w:w="750" w:type="dxa"/>
            <w:tcBorders>
              <w:top w:val="single" w:sz="8" w:space="0" w:color="000000"/>
              <w:left w:val="single" w:sz="8" w:space="0" w:color="000000"/>
              <w:bottom w:val="single" w:sz="8" w:space="0" w:color="000000"/>
              <w:right w:val="single" w:sz="8" w:space="0" w:color="000000"/>
            </w:tcBorders>
          </w:tcPr>
          <w:p w14:paraId="689B083D" w14:textId="77777777" w:rsidR="003540F2" w:rsidRPr="0089774B" w:rsidRDefault="003540F2" w:rsidP="006B6C0C">
            <w:pPr>
              <w:autoSpaceDE w:val="0"/>
              <w:autoSpaceDN w:val="0"/>
              <w:adjustRightInd w:val="0"/>
              <w:spacing w:after="0" w:line="240" w:lineRule="auto"/>
              <w:rPr>
                <w:rFonts w:ascii="Times New Roman" w:hAnsi="Times New Roman"/>
                <w:i/>
                <w:iCs/>
                <w:lang w:eastAsia="lt-LT"/>
              </w:rPr>
            </w:pPr>
          </w:p>
        </w:tc>
      </w:tr>
      <w:tr w:rsidR="003540F2" w:rsidRPr="00112B89" w14:paraId="355F6082" w14:textId="1E97ECF8" w:rsidTr="00DE47C3">
        <w:trPr>
          <w:trHeight w:val="20"/>
        </w:trPr>
        <w:tc>
          <w:tcPr>
            <w:tcW w:w="1608" w:type="dxa"/>
            <w:tcBorders>
              <w:top w:val="single" w:sz="8" w:space="0" w:color="000000"/>
              <w:left w:val="single" w:sz="8" w:space="0" w:color="000000"/>
              <w:bottom w:val="single" w:sz="8" w:space="0" w:color="000000"/>
              <w:right w:val="single" w:sz="8" w:space="0" w:color="000000"/>
            </w:tcBorders>
          </w:tcPr>
          <w:p w14:paraId="5A1616B2"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Skeleto, raumenų ir jungiamojo audinio sutrikimai</w:t>
            </w:r>
          </w:p>
        </w:tc>
        <w:tc>
          <w:tcPr>
            <w:tcW w:w="1420" w:type="dxa"/>
            <w:tcBorders>
              <w:top w:val="single" w:sz="8" w:space="0" w:color="000000"/>
              <w:left w:val="single" w:sz="8" w:space="0" w:color="000000"/>
              <w:bottom w:val="single" w:sz="8" w:space="0" w:color="000000"/>
              <w:right w:val="single" w:sz="8" w:space="0" w:color="000000"/>
            </w:tcBorders>
          </w:tcPr>
          <w:p w14:paraId="1C71A241" w14:textId="77777777" w:rsidR="003540F2" w:rsidRPr="00112B89" w:rsidRDefault="003540F2" w:rsidP="000E154F">
            <w:pPr>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Artralgija</w:t>
            </w:r>
            <w:proofErr w:type="spellEnd"/>
            <w:r w:rsidRPr="00112B89">
              <w:rPr>
                <w:rFonts w:ascii="Times New Roman" w:hAnsi="Times New Roman"/>
                <w:color w:val="000000"/>
              </w:rPr>
              <w:t xml:space="preserve">, </w:t>
            </w:r>
            <w:proofErr w:type="spellStart"/>
            <w:r w:rsidRPr="00112B89">
              <w:rPr>
                <w:rFonts w:ascii="Times New Roman" w:hAnsi="Times New Roman"/>
                <w:color w:val="000000"/>
              </w:rPr>
              <w:t>mialgija</w:t>
            </w:r>
            <w:proofErr w:type="spellEnd"/>
            <w:r w:rsidRPr="00112B89">
              <w:rPr>
                <w:rFonts w:ascii="Times New Roman" w:hAnsi="Times New Roman"/>
                <w:color w:val="000000"/>
              </w:rPr>
              <w:t>, skeleto raumenų skausmas, nugaros skausmas</w:t>
            </w:r>
          </w:p>
        </w:tc>
        <w:tc>
          <w:tcPr>
            <w:tcW w:w="1701" w:type="dxa"/>
            <w:tcBorders>
              <w:top w:val="single" w:sz="8" w:space="0" w:color="000000"/>
              <w:left w:val="single" w:sz="8" w:space="0" w:color="000000"/>
              <w:bottom w:val="single" w:sz="8" w:space="0" w:color="000000"/>
              <w:right w:val="single" w:sz="8" w:space="0" w:color="000000"/>
            </w:tcBorders>
          </w:tcPr>
          <w:p w14:paraId="4E6A4731"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Kaulų skausmas</w:t>
            </w:r>
          </w:p>
        </w:tc>
        <w:tc>
          <w:tcPr>
            <w:tcW w:w="1740" w:type="dxa"/>
            <w:tcBorders>
              <w:top w:val="single" w:sz="8" w:space="0" w:color="000000"/>
              <w:left w:val="single" w:sz="8" w:space="0" w:color="000000"/>
              <w:bottom w:val="single" w:sz="8" w:space="0" w:color="000000"/>
              <w:right w:val="single" w:sz="8" w:space="0" w:color="000000"/>
            </w:tcBorders>
          </w:tcPr>
          <w:p w14:paraId="5E3A09C0" w14:textId="77777777" w:rsidR="003540F2" w:rsidRPr="00112B89" w:rsidRDefault="003540F2" w:rsidP="00D77A92">
            <w:pPr>
              <w:autoSpaceDE w:val="0"/>
              <w:autoSpaceDN w:val="0"/>
              <w:adjustRightInd w:val="0"/>
              <w:spacing w:after="0" w:line="240" w:lineRule="auto"/>
              <w:rPr>
                <w:rFonts w:ascii="Times New Roman" w:hAnsi="Times New Roman"/>
                <w:color w:val="000000"/>
              </w:rPr>
            </w:pPr>
            <w:r w:rsidRPr="00112B89">
              <w:rPr>
                <w:rFonts w:ascii="Times New Roman" w:hAnsi="Times New Roman"/>
                <w:iCs/>
              </w:rPr>
              <w:t xml:space="preserve">Atipiniai šlaunikaulio </w:t>
            </w:r>
            <w:proofErr w:type="spellStart"/>
            <w:r w:rsidRPr="00112B89">
              <w:rPr>
                <w:rFonts w:ascii="Times New Roman" w:hAnsi="Times New Roman"/>
                <w:iCs/>
              </w:rPr>
              <w:t>pogūbriniai</w:t>
            </w:r>
            <w:proofErr w:type="spellEnd"/>
            <w:r w:rsidRPr="00112B89">
              <w:rPr>
                <w:rFonts w:ascii="Times New Roman" w:hAnsi="Times New Roman"/>
                <w:iCs/>
              </w:rPr>
              <w:t xml:space="preserve"> ir </w:t>
            </w:r>
            <w:proofErr w:type="spellStart"/>
            <w:r w:rsidRPr="00112B89">
              <w:rPr>
                <w:rFonts w:ascii="Times New Roman" w:hAnsi="Times New Roman"/>
                <w:iCs/>
              </w:rPr>
              <w:t>diafizės</w:t>
            </w:r>
            <w:proofErr w:type="spellEnd"/>
            <w:r w:rsidRPr="00112B89">
              <w:rPr>
                <w:rFonts w:ascii="Times New Roman" w:hAnsi="Times New Roman"/>
                <w:iCs/>
              </w:rPr>
              <w:t xml:space="preserve"> lūžiai </w:t>
            </w:r>
            <w:r w:rsidRPr="00112B89">
              <w:rPr>
                <w:rFonts w:ascii="Times New Roman" w:eastAsia="MS Mincho" w:hAnsi="Times New Roman"/>
                <w:lang w:eastAsia="ja-JP"/>
              </w:rPr>
              <w:t>†</w:t>
            </w:r>
            <w:r w:rsidRPr="00112B89">
              <w:rPr>
                <w:rFonts w:ascii="Times New Roman" w:hAnsi="Times New Roman"/>
                <w:iCs/>
              </w:rPr>
              <w:t xml:space="preserve"> </w:t>
            </w:r>
            <w:r w:rsidRPr="00112B89">
              <w:rPr>
                <w:rFonts w:ascii="Times New Roman" w:eastAsia="MS Mincho" w:hAnsi="Times New Roman"/>
                <w:lang w:eastAsia="ja-JP"/>
              </w:rPr>
              <w:t xml:space="preserve"> </w:t>
            </w:r>
          </w:p>
        </w:tc>
        <w:tc>
          <w:tcPr>
            <w:tcW w:w="1652" w:type="dxa"/>
            <w:tcBorders>
              <w:top w:val="single" w:sz="8" w:space="0" w:color="000000"/>
              <w:left w:val="single" w:sz="8" w:space="0" w:color="000000"/>
              <w:bottom w:val="single" w:sz="8" w:space="0" w:color="000000"/>
              <w:right w:val="single" w:sz="8" w:space="0" w:color="000000"/>
            </w:tcBorders>
          </w:tcPr>
          <w:p w14:paraId="7394FA9D" w14:textId="77777777" w:rsidR="003540F2" w:rsidRPr="00112B89" w:rsidRDefault="003540F2" w:rsidP="006B6C0C">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Žandikaulio </w:t>
            </w:r>
            <w:proofErr w:type="spellStart"/>
            <w:r w:rsidRPr="00112B89">
              <w:rPr>
                <w:rFonts w:ascii="Times New Roman" w:hAnsi="Times New Roman"/>
                <w:color w:val="000000"/>
              </w:rPr>
              <w:t>osteonekrozė</w:t>
            </w:r>
            <w:proofErr w:type="spellEnd"/>
            <w:r w:rsidRPr="00112B89">
              <w:rPr>
                <w:rFonts w:ascii="Times New Roman" w:hAnsi="Times New Roman"/>
                <w:color w:val="000000"/>
              </w:rPr>
              <w:t xml:space="preserve">*†, išorinio ausies kanalo </w:t>
            </w:r>
            <w:proofErr w:type="spellStart"/>
            <w:r w:rsidRPr="00112B89">
              <w:rPr>
                <w:rFonts w:ascii="Times New Roman" w:hAnsi="Times New Roman"/>
                <w:color w:val="000000"/>
              </w:rPr>
              <w:t>osteonekrozė</w:t>
            </w:r>
            <w:proofErr w:type="spellEnd"/>
            <w:r w:rsidRPr="00112B89">
              <w:rPr>
                <w:rFonts w:ascii="Times New Roman" w:hAnsi="Times New Roman"/>
                <w:color w:val="000000"/>
              </w:rPr>
              <w:t xml:space="preserve"> </w:t>
            </w:r>
            <w:r w:rsidRPr="0089774B">
              <w:rPr>
                <w:rFonts w:ascii="Times New Roman" w:hAnsi="Times New Roman"/>
                <w:lang w:eastAsia="lt-LT"/>
              </w:rPr>
              <w:t>(</w:t>
            </w:r>
            <w:proofErr w:type="spellStart"/>
            <w:r w:rsidRPr="0089774B">
              <w:rPr>
                <w:rFonts w:ascii="Times New Roman" w:hAnsi="Times New Roman"/>
                <w:lang w:eastAsia="lt-LT"/>
              </w:rPr>
              <w:t>bisfosfonat</w:t>
            </w:r>
            <w:r w:rsidRPr="0089774B">
              <w:rPr>
                <w:rFonts w:ascii="TimesNewRomanPSMT" w:eastAsia="TimesNewRomanPSMT" w:hAnsi="Times New Roman" w:cs="TimesNewRomanPSMT"/>
                <w:lang w:eastAsia="lt-LT"/>
              </w:rPr>
              <w:t>ų</w:t>
            </w:r>
            <w:proofErr w:type="spellEnd"/>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klas</w:t>
            </w:r>
            <w:r w:rsidRPr="0089774B">
              <w:rPr>
                <w:rFonts w:ascii="TimesNewRomanPSMT" w:eastAsia="TimesNewRomanPSMT" w:hAnsi="Times New Roman" w:cs="TimesNewRomanPSMT"/>
                <w:lang w:eastAsia="lt-LT"/>
              </w:rPr>
              <w:t>ė</w:t>
            </w:r>
            <w:r w:rsidRPr="0089774B">
              <w:rPr>
                <w:rFonts w:ascii="Times New Roman" w:hAnsi="Times New Roman"/>
                <w:lang w:eastAsia="lt-LT"/>
              </w:rPr>
              <w:t>s nepageidaujama reakcija)</w:t>
            </w:r>
            <w:r w:rsidRPr="00112B89">
              <w:rPr>
                <w:rFonts w:ascii="Times New Roman" w:hAnsi="Times New Roman"/>
                <w:color w:val="000000"/>
              </w:rPr>
              <w:t>†</w:t>
            </w:r>
          </w:p>
        </w:tc>
        <w:tc>
          <w:tcPr>
            <w:tcW w:w="750" w:type="dxa"/>
            <w:tcBorders>
              <w:top w:val="single" w:sz="8" w:space="0" w:color="000000"/>
              <w:left w:val="single" w:sz="8" w:space="0" w:color="000000"/>
              <w:bottom w:val="single" w:sz="8" w:space="0" w:color="000000"/>
              <w:right w:val="single" w:sz="8" w:space="0" w:color="000000"/>
            </w:tcBorders>
          </w:tcPr>
          <w:p w14:paraId="456AB3A5" w14:textId="2EEB23F3" w:rsidR="003540F2" w:rsidRPr="00112B89" w:rsidRDefault="00DC331F" w:rsidP="006B6C0C">
            <w:pPr>
              <w:autoSpaceDE w:val="0"/>
              <w:autoSpaceDN w:val="0"/>
              <w:adjustRightInd w:val="0"/>
              <w:spacing w:after="0" w:line="240" w:lineRule="auto"/>
              <w:rPr>
                <w:rFonts w:ascii="Times New Roman" w:hAnsi="Times New Roman"/>
                <w:color w:val="000000"/>
              </w:rPr>
            </w:pPr>
            <w:r>
              <w:rPr>
                <w:rFonts w:ascii="Times New Roman" w:hAnsi="Times New Roman"/>
                <w:color w:val="000000"/>
              </w:rPr>
              <w:t>A</w:t>
            </w:r>
            <w:r w:rsidR="003540F2" w:rsidRPr="003540F2">
              <w:rPr>
                <w:rFonts w:ascii="Times New Roman" w:hAnsi="Times New Roman"/>
                <w:color w:val="000000"/>
              </w:rPr>
              <w:t>tipiniai ilgųjų kaulų, išskyrus šlaunikaulį</w:t>
            </w:r>
            <w:r>
              <w:rPr>
                <w:rFonts w:ascii="Times New Roman" w:hAnsi="Times New Roman"/>
                <w:color w:val="000000"/>
              </w:rPr>
              <w:t>,</w:t>
            </w:r>
            <w:r w:rsidR="003540F2">
              <w:rPr>
                <w:rFonts w:ascii="Times New Roman" w:hAnsi="Times New Roman"/>
                <w:color w:val="000000"/>
              </w:rPr>
              <w:t xml:space="preserve"> </w:t>
            </w:r>
            <w:r w:rsidR="003540F2" w:rsidRPr="003540F2">
              <w:rPr>
                <w:rFonts w:ascii="Times New Roman" w:hAnsi="Times New Roman"/>
                <w:color w:val="000000"/>
              </w:rPr>
              <w:t>lūžiai</w:t>
            </w:r>
          </w:p>
        </w:tc>
      </w:tr>
      <w:tr w:rsidR="003540F2" w:rsidRPr="00112B89" w14:paraId="76321E2F" w14:textId="297A9AB5" w:rsidTr="00DE47C3">
        <w:trPr>
          <w:trHeight w:val="20"/>
        </w:trPr>
        <w:tc>
          <w:tcPr>
            <w:tcW w:w="1608" w:type="dxa"/>
            <w:tcBorders>
              <w:top w:val="single" w:sz="8" w:space="0" w:color="000000"/>
              <w:left w:val="single" w:sz="8" w:space="0" w:color="000000"/>
              <w:bottom w:val="single" w:sz="4" w:space="0" w:color="auto"/>
              <w:right w:val="single" w:sz="8" w:space="0" w:color="000000"/>
            </w:tcBorders>
          </w:tcPr>
          <w:p w14:paraId="27061E4A"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Bendrieji sutrikimai ir vartojimo vietos pažeidimai</w:t>
            </w:r>
          </w:p>
        </w:tc>
        <w:tc>
          <w:tcPr>
            <w:tcW w:w="1420" w:type="dxa"/>
            <w:tcBorders>
              <w:top w:val="single" w:sz="8" w:space="0" w:color="000000"/>
              <w:left w:val="single" w:sz="8" w:space="0" w:color="000000"/>
              <w:bottom w:val="single" w:sz="8" w:space="0" w:color="000000"/>
              <w:right w:val="single" w:sz="8" w:space="0" w:color="000000"/>
            </w:tcBorders>
          </w:tcPr>
          <w:p w14:paraId="30C4C62A" w14:textId="77777777" w:rsidR="003540F2" w:rsidRPr="00112B89" w:rsidRDefault="003540F2" w:rsidP="00782918">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Į gripą panaši liga*, nuovargis </w:t>
            </w:r>
          </w:p>
        </w:tc>
        <w:tc>
          <w:tcPr>
            <w:tcW w:w="1701" w:type="dxa"/>
            <w:tcBorders>
              <w:top w:val="single" w:sz="8" w:space="0" w:color="000000"/>
              <w:left w:val="single" w:sz="8" w:space="0" w:color="000000"/>
              <w:bottom w:val="single" w:sz="8" w:space="0" w:color="000000"/>
              <w:right w:val="single" w:sz="8" w:space="0" w:color="000000"/>
            </w:tcBorders>
          </w:tcPr>
          <w:p w14:paraId="07F30577" w14:textId="77777777" w:rsidR="003540F2" w:rsidRPr="00112B89" w:rsidRDefault="003540F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Vaisto suleidimo vietos reakcija, </w:t>
            </w:r>
            <w:proofErr w:type="spellStart"/>
            <w:r w:rsidRPr="00112B89">
              <w:rPr>
                <w:rFonts w:ascii="Times New Roman" w:hAnsi="Times New Roman"/>
                <w:color w:val="000000"/>
              </w:rPr>
              <w:t>astenija</w:t>
            </w:r>
            <w:proofErr w:type="spellEnd"/>
          </w:p>
        </w:tc>
        <w:tc>
          <w:tcPr>
            <w:tcW w:w="1740" w:type="dxa"/>
            <w:tcBorders>
              <w:top w:val="single" w:sz="8" w:space="0" w:color="000000"/>
              <w:left w:val="single" w:sz="8" w:space="0" w:color="000000"/>
              <w:bottom w:val="single" w:sz="8" w:space="0" w:color="000000"/>
              <w:right w:val="single" w:sz="8" w:space="0" w:color="000000"/>
            </w:tcBorders>
          </w:tcPr>
          <w:p w14:paraId="11254F4B"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1652" w:type="dxa"/>
            <w:tcBorders>
              <w:top w:val="single" w:sz="8" w:space="0" w:color="000000"/>
              <w:left w:val="single" w:sz="8" w:space="0" w:color="000000"/>
              <w:bottom w:val="single" w:sz="8" w:space="0" w:color="000000"/>
              <w:right w:val="single" w:sz="8" w:space="0" w:color="000000"/>
            </w:tcBorders>
          </w:tcPr>
          <w:p w14:paraId="5F5FB867"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c>
          <w:tcPr>
            <w:tcW w:w="750" w:type="dxa"/>
            <w:tcBorders>
              <w:top w:val="single" w:sz="8" w:space="0" w:color="000000"/>
              <w:left w:val="single" w:sz="8" w:space="0" w:color="000000"/>
              <w:bottom w:val="single" w:sz="8" w:space="0" w:color="000000"/>
              <w:right w:val="single" w:sz="8" w:space="0" w:color="000000"/>
            </w:tcBorders>
          </w:tcPr>
          <w:p w14:paraId="5F8DDC75" w14:textId="77777777" w:rsidR="003540F2" w:rsidRPr="00112B89" w:rsidRDefault="003540F2" w:rsidP="0085684D">
            <w:pPr>
              <w:autoSpaceDE w:val="0"/>
              <w:autoSpaceDN w:val="0"/>
              <w:adjustRightInd w:val="0"/>
              <w:spacing w:after="0" w:line="240" w:lineRule="auto"/>
              <w:rPr>
                <w:rFonts w:ascii="Times New Roman" w:hAnsi="Times New Roman"/>
                <w:color w:val="000000"/>
              </w:rPr>
            </w:pPr>
          </w:p>
        </w:tc>
      </w:tr>
    </w:tbl>
    <w:p w14:paraId="7BBCD7F3" w14:textId="77777777" w:rsidR="005A7416" w:rsidRPr="00112B89" w:rsidRDefault="005A7416" w:rsidP="0085684D">
      <w:pPr>
        <w:autoSpaceDE w:val="0"/>
        <w:autoSpaceDN w:val="0"/>
        <w:adjustRightInd w:val="0"/>
        <w:spacing w:after="0" w:line="240" w:lineRule="auto"/>
        <w:rPr>
          <w:rFonts w:ascii="Times New Roman" w:eastAsia="MS Mincho" w:hAnsi="Times New Roman"/>
          <w:color w:val="000000"/>
          <w:lang w:eastAsia="ja-JP"/>
        </w:rPr>
      </w:pPr>
      <w:r w:rsidRPr="00112B89">
        <w:rPr>
          <w:rFonts w:ascii="Times New Roman" w:eastAsia="MS Mincho" w:hAnsi="Times New Roman"/>
          <w:color w:val="000000"/>
          <w:lang w:eastAsia="ja-JP"/>
        </w:rPr>
        <w:t xml:space="preserve">*Žiūrėti informaciją </w:t>
      </w:r>
      <w:r w:rsidR="00C01AAE" w:rsidRPr="00112B89">
        <w:rPr>
          <w:rFonts w:ascii="Times New Roman" w:eastAsia="MS Mincho" w:hAnsi="Times New Roman"/>
          <w:color w:val="000000"/>
          <w:lang w:eastAsia="ja-JP"/>
        </w:rPr>
        <w:t>toliau</w:t>
      </w:r>
      <w:r w:rsidRPr="00112B89">
        <w:rPr>
          <w:rFonts w:ascii="Times New Roman" w:eastAsia="MS Mincho" w:hAnsi="Times New Roman"/>
          <w:color w:val="000000"/>
          <w:lang w:eastAsia="ja-JP"/>
        </w:rPr>
        <w:t xml:space="preserve">. </w:t>
      </w:r>
    </w:p>
    <w:p w14:paraId="16B56E4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eastAsia="MS Mincho" w:hAnsi="Times New Roman"/>
          <w:color w:val="000000"/>
          <w:lang w:eastAsia="ja-JP"/>
        </w:rPr>
        <w:t>†Nustatyta vaistiniam preparatui esant rinkoje.</w:t>
      </w:r>
    </w:p>
    <w:p w14:paraId="4953798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2269CF37" w14:textId="77777777" w:rsidR="00D77A92" w:rsidRPr="00112B89" w:rsidRDefault="00D77A92"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Parinktų nepageidaujamo poveikio reakcijų aprašymas</w:t>
      </w:r>
    </w:p>
    <w:p w14:paraId="503F3A09" w14:textId="77777777" w:rsidR="00D77A92" w:rsidRPr="00112B89" w:rsidRDefault="00D77A92" w:rsidP="0085684D">
      <w:pPr>
        <w:autoSpaceDE w:val="0"/>
        <w:autoSpaceDN w:val="0"/>
        <w:adjustRightInd w:val="0"/>
        <w:spacing w:after="0" w:line="240" w:lineRule="auto"/>
        <w:rPr>
          <w:rFonts w:ascii="Times New Roman" w:hAnsi="Times New Roman"/>
          <w:color w:val="000000"/>
        </w:rPr>
      </w:pPr>
    </w:p>
    <w:p w14:paraId="24A248EF" w14:textId="77777777" w:rsidR="005A7416" w:rsidRPr="00112B89" w:rsidRDefault="005A7416" w:rsidP="00F264CF">
      <w:pPr>
        <w:autoSpaceDE w:val="0"/>
        <w:autoSpaceDN w:val="0"/>
        <w:adjustRightInd w:val="0"/>
        <w:spacing w:after="0" w:line="240" w:lineRule="auto"/>
        <w:rPr>
          <w:rFonts w:ascii="Times New Roman" w:hAnsi="Times New Roman"/>
          <w:i/>
          <w:color w:val="000000"/>
        </w:rPr>
      </w:pPr>
      <w:r w:rsidRPr="00112B89">
        <w:rPr>
          <w:rFonts w:ascii="Times New Roman" w:hAnsi="Times New Roman"/>
          <w:i/>
          <w:color w:val="000000"/>
        </w:rPr>
        <w:t>Į gripą panaši liga</w:t>
      </w:r>
    </w:p>
    <w:p w14:paraId="00D4AE41" w14:textId="77777777" w:rsidR="005A7416" w:rsidRPr="00112B89" w:rsidRDefault="005A7416" w:rsidP="00F264CF">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Į gripą panašus sutrikimas gali būti ūminės fazės reakcija arba simptomai, įskaitant </w:t>
      </w:r>
      <w:proofErr w:type="spellStart"/>
      <w:r w:rsidRPr="00112B89">
        <w:rPr>
          <w:rFonts w:ascii="Times New Roman" w:hAnsi="Times New Roman"/>
          <w:color w:val="000000"/>
        </w:rPr>
        <w:t>mialgiją</w:t>
      </w:r>
      <w:proofErr w:type="spellEnd"/>
      <w:r w:rsidRPr="00112B89">
        <w:rPr>
          <w:rFonts w:ascii="Times New Roman" w:hAnsi="Times New Roman"/>
          <w:color w:val="000000"/>
        </w:rPr>
        <w:t xml:space="preserve">, </w:t>
      </w:r>
      <w:proofErr w:type="spellStart"/>
      <w:r w:rsidRPr="00112B89">
        <w:rPr>
          <w:rFonts w:ascii="Times New Roman" w:hAnsi="Times New Roman"/>
          <w:color w:val="000000"/>
        </w:rPr>
        <w:t>artralgiją</w:t>
      </w:r>
      <w:proofErr w:type="spellEnd"/>
      <w:r w:rsidRPr="00112B89">
        <w:rPr>
          <w:rFonts w:ascii="Times New Roman" w:hAnsi="Times New Roman"/>
          <w:color w:val="000000"/>
        </w:rPr>
        <w:t xml:space="preserve">, karščiavimą, </w:t>
      </w:r>
      <w:proofErr w:type="spellStart"/>
      <w:r w:rsidRPr="00112B89">
        <w:rPr>
          <w:rFonts w:ascii="Times New Roman" w:hAnsi="Times New Roman"/>
          <w:color w:val="000000"/>
        </w:rPr>
        <w:t>šaltkrėtį</w:t>
      </w:r>
      <w:proofErr w:type="spellEnd"/>
      <w:r w:rsidRPr="00112B89">
        <w:rPr>
          <w:rFonts w:ascii="Times New Roman" w:hAnsi="Times New Roman"/>
          <w:color w:val="000000"/>
        </w:rPr>
        <w:t xml:space="preserve">, nuovargį, pykinimą, apetito nebuvimą arba kaulų skausmą. </w:t>
      </w:r>
    </w:p>
    <w:p w14:paraId="7A2D9447" w14:textId="77777777" w:rsidR="002F213B" w:rsidRPr="00112B89" w:rsidRDefault="002F213B" w:rsidP="0085684D">
      <w:pPr>
        <w:autoSpaceDE w:val="0"/>
        <w:autoSpaceDN w:val="0"/>
        <w:adjustRightInd w:val="0"/>
        <w:spacing w:after="0" w:line="240" w:lineRule="auto"/>
        <w:rPr>
          <w:rFonts w:ascii="Times New Roman" w:hAnsi="Times New Roman"/>
          <w:i/>
        </w:rPr>
      </w:pPr>
    </w:p>
    <w:p w14:paraId="419E6F7D" w14:textId="77777777" w:rsidR="005A7416" w:rsidRPr="00112B89" w:rsidRDefault="005A7416" w:rsidP="0085684D">
      <w:pPr>
        <w:autoSpaceDE w:val="0"/>
        <w:autoSpaceDN w:val="0"/>
        <w:adjustRightInd w:val="0"/>
        <w:spacing w:after="0" w:line="240" w:lineRule="auto"/>
        <w:rPr>
          <w:rFonts w:ascii="Times New Roman" w:hAnsi="Times New Roman"/>
          <w:i/>
          <w:color w:val="000000"/>
        </w:rPr>
      </w:pPr>
      <w:r w:rsidRPr="00112B89">
        <w:rPr>
          <w:rFonts w:ascii="Times New Roman" w:hAnsi="Times New Roman"/>
          <w:i/>
        </w:rPr>
        <w:t xml:space="preserve">Žandikaulio </w:t>
      </w:r>
      <w:proofErr w:type="spellStart"/>
      <w:r w:rsidRPr="00112B89">
        <w:rPr>
          <w:rFonts w:ascii="Times New Roman" w:hAnsi="Times New Roman"/>
          <w:i/>
        </w:rPr>
        <w:t>osteonekrozė</w:t>
      </w:r>
      <w:proofErr w:type="spellEnd"/>
    </w:p>
    <w:p w14:paraId="7627F1FD" w14:textId="77777777" w:rsidR="006B6C0C" w:rsidRPr="00112B89" w:rsidRDefault="006B6C0C" w:rsidP="0085684D">
      <w:pPr>
        <w:autoSpaceDE w:val="0"/>
        <w:autoSpaceDN w:val="0"/>
        <w:adjustRightInd w:val="0"/>
        <w:spacing w:after="0" w:line="240" w:lineRule="auto"/>
        <w:rPr>
          <w:rFonts w:ascii="Times New Roman" w:hAnsi="Times New Roman"/>
          <w:i/>
          <w:color w:val="000000"/>
        </w:rPr>
      </w:pPr>
      <w:r w:rsidRPr="0089774B">
        <w:rPr>
          <w:rFonts w:ascii="Times New Roman" w:hAnsi="Times New Roman"/>
        </w:rPr>
        <w:t xml:space="preserve">Yra pastebėta žandikaulio </w:t>
      </w:r>
      <w:proofErr w:type="spellStart"/>
      <w:r w:rsidRPr="0089774B">
        <w:rPr>
          <w:rFonts w:ascii="Times New Roman" w:hAnsi="Times New Roman"/>
        </w:rPr>
        <w:t>osteonekrozės</w:t>
      </w:r>
      <w:proofErr w:type="spellEnd"/>
      <w:r w:rsidRPr="0089774B">
        <w:rPr>
          <w:rFonts w:ascii="Times New Roman" w:hAnsi="Times New Roman"/>
        </w:rPr>
        <w:t xml:space="preserve"> atvejų, dauguma jų registruota vėžiu sirgusiems pacientams, gydytiems kaulų </w:t>
      </w:r>
      <w:proofErr w:type="spellStart"/>
      <w:r w:rsidRPr="0089774B">
        <w:rPr>
          <w:rFonts w:ascii="Times New Roman" w:hAnsi="Times New Roman"/>
        </w:rPr>
        <w:t>rezorbciją</w:t>
      </w:r>
      <w:proofErr w:type="spellEnd"/>
      <w:r w:rsidRPr="0089774B">
        <w:rPr>
          <w:rFonts w:ascii="Times New Roman" w:hAnsi="Times New Roman"/>
        </w:rPr>
        <w:t xml:space="preserve"> slopinančiais vaistiniais preparatais, tokiais kaip </w:t>
      </w:r>
      <w:proofErr w:type="spellStart"/>
      <w:r w:rsidRPr="0089774B">
        <w:rPr>
          <w:rFonts w:ascii="Times New Roman" w:hAnsi="Times New Roman"/>
        </w:rPr>
        <w:t>ibandrono</w:t>
      </w:r>
      <w:proofErr w:type="spellEnd"/>
      <w:r w:rsidRPr="0089774B">
        <w:rPr>
          <w:rFonts w:ascii="Times New Roman" w:hAnsi="Times New Roman"/>
        </w:rPr>
        <w:t xml:space="preserve"> rūgštis (žr. 4.4 skyrių). ŽON atvejų yra pastebėta </w:t>
      </w:r>
      <w:proofErr w:type="spellStart"/>
      <w:r w:rsidRPr="0089774B">
        <w:rPr>
          <w:rFonts w:ascii="Times New Roman" w:hAnsi="Times New Roman"/>
        </w:rPr>
        <w:t>ibandrono</w:t>
      </w:r>
      <w:proofErr w:type="spellEnd"/>
      <w:r w:rsidRPr="0089774B">
        <w:rPr>
          <w:rFonts w:ascii="Times New Roman" w:hAnsi="Times New Roman"/>
        </w:rPr>
        <w:t xml:space="preserve"> rūgšties preparatams jau esant rinkoje.</w:t>
      </w:r>
      <w:r w:rsidRPr="00112B89">
        <w:rPr>
          <w:rFonts w:ascii="Times New Roman" w:hAnsi="Times New Roman"/>
          <w:i/>
          <w:color w:val="000000"/>
        </w:rPr>
        <w:t xml:space="preserve"> </w:t>
      </w:r>
    </w:p>
    <w:p w14:paraId="757B601B" w14:textId="77777777" w:rsidR="006B6C0C" w:rsidRDefault="006B6C0C" w:rsidP="0085684D">
      <w:pPr>
        <w:autoSpaceDE w:val="0"/>
        <w:autoSpaceDN w:val="0"/>
        <w:adjustRightInd w:val="0"/>
        <w:spacing w:after="0" w:line="240" w:lineRule="auto"/>
        <w:rPr>
          <w:rFonts w:ascii="Times New Roman" w:hAnsi="Times New Roman"/>
          <w:i/>
          <w:color w:val="000000"/>
        </w:rPr>
      </w:pPr>
    </w:p>
    <w:p w14:paraId="2831B16D" w14:textId="77777777" w:rsidR="00DC331F" w:rsidRPr="00DC331F" w:rsidRDefault="00DC331F" w:rsidP="00DC331F">
      <w:pPr>
        <w:tabs>
          <w:tab w:val="left" w:pos="567"/>
        </w:tabs>
        <w:spacing w:after="0" w:line="260" w:lineRule="exact"/>
        <w:rPr>
          <w:rFonts w:ascii="Times New Roman" w:eastAsia="Times New Roman" w:hAnsi="Times New Roman"/>
          <w:i/>
          <w:iCs/>
          <w:szCs w:val="20"/>
          <w:u w:val="single"/>
        </w:rPr>
      </w:pPr>
      <w:r w:rsidRPr="00DC331F">
        <w:rPr>
          <w:rFonts w:ascii="Times New Roman" w:eastAsia="Times New Roman" w:hAnsi="Times New Roman"/>
          <w:i/>
          <w:iCs/>
          <w:szCs w:val="20"/>
          <w:u w:val="single"/>
        </w:rPr>
        <w:t xml:space="preserve">Atipiniai šlaunikaulio </w:t>
      </w:r>
      <w:proofErr w:type="spellStart"/>
      <w:r w:rsidRPr="00DC331F">
        <w:rPr>
          <w:rFonts w:ascii="Times New Roman" w:eastAsia="Times New Roman" w:hAnsi="Times New Roman"/>
          <w:i/>
          <w:iCs/>
          <w:szCs w:val="20"/>
          <w:u w:val="single"/>
        </w:rPr>
        <w:t>pogūbriniai</w:t>
      </w:r>
      <w:proofErr w:type="spellEnd"/>
      <w:r w:rsidRPr="00DC331F">
        <w:rPr>
          <w:rFonts w:ascii="Times New Roman" w:eastAsia="Times New Roman" w:hAnsi="Times New Roman"/>
          <w:i/>
          <w:iCs/>
          <w:szCs w:val="20"/>
          <w:u w:val="single"/>
        </w:rPr>
        <w:t xml:space="preserve"> ir </w:t>
      </w:r>
      <w:proofErr w:type="spellStart"/>
      <w:r w:rsidRPr="00DC331F">
        <w:rPr>
          <w:rFonts w:ascii="Times New Roman" w:eastAsia="Times New Roman" w:hAnsi="Times New Roman"/>
          <w:i/>
          <w:iCs/>
          <w:szCs w:val="20"/>
          <w:u w:val="single"/>
        </w:rPr>
        <w:t>diafizės</w:t>
      </w:r>
      <w:proofErr w:type="spellEnd"/>
      <w:r w:rsidRPr="00DC331F">
        <w:rPr>
          <w:rFonts w:ascii="Times New Roman" w:eastAsia="Times New Roman" w:hAnsi="Times New Roman"/>
          <w:i/>
          <w:iCs/>
          <w:szCs w:val="20"/>
          <w:u w:val="single"/>
        </w:rPr>
        <w:t xml:space="preserve"> lūžiai</w:t>
      </w:r>
    </w:p>
    <w:p w14:paraId="48CFCD3E" w14:textId="15705CE5" w:rsidR="003540F2" w:rsidRPr="00DE47C3" w:rsidRDefault="00DC331F" w:rsidP="00DC331F">
      <w:pPr>
        <w:autoSpaceDE w:val="0"/>
        <w:autoSpaceDN w:val="0"/>
        <w:adjustRightInd w:val="0"/>
        <w:spacing w:after="0" w:line="240" w:lineRule="auto"/>
        <w:rPr>
          <w:rFonts w:ascii="Times New Roman" w:hAnsi="Times New Roman"/>
          <w:iCs/>
          <w:color w:val="000000"/>
        </w:rPr>
      </w:pPr>
      <w:r w:rsidRPr="00DC331F">
        <w:rPr>
          <w:rFonts w:ascii="Times New Roman" w:eastAsia="Times New Roman" w:hAnsi="Times New Roman"/>
          <w:szCs w:val="20"/>
        </w:rPr>
        <w:t xml:space="preserve">Nors </w:t>
      </w:r>
      <w:proofErr w:type="spellStart"/>
      <w:r w:rsidRPr="00DC331F">
        <w:rPr>
          <w:rFonts w:ascii="Times New Roman" w:eastAsia="Times New Roman" w:hAnsi="Times New Roman"/>
          <w:szCs w:val="20"/>
        </w:rPr>
        <w:t>patofiziologija</w:t>
      </w:r>
      <w:proofErr w:type="spellEnd"/>
      <w:r w:rsidRPr="00DC331F">
        <w:rPr>
          <w:rFonts w:ascii="Times New Roman" w:eastAsia="Times New Roman" w:hAnsi="Times New Roman"/>
          <w:szCs w:val="20"/>
        </w:rPr>
        <w:t xml:space="preserve"> neaiški, epidemiologinių tyrimų duomenys rodo, kad ilgalaikio osteoporozės po menopauzės gydymo </w:t>
      </w:r>
      <w:proofErr w:type="spellStart"/>
      <w:r w:rsidRPr="00DC331F">
        <w:rPr>
          <w:rFonts w:ascii="Times New Roman" w:eastAsia="Times New Roman" w:hAnsi="Times New Roman"/>
          <w:szCs w:val="20"/>
        </w:rPr>
        <w:t>bisfosfonatais</w:t>
      </w:r>
      <w:proofErr w:type="spellEnd"/>
      <w:r w:rsidRPr="00DC331F">
        <w:rPr>
          <w:rFonts w:ascii="Times New Roman" w:eastAsia="Times New Roman" w:hAnsi="Times New Roman"/>
          <w:szCs w:val="20"/>
        </w:rPr>
        <w:t xml:space="preserve"> atveju, ypač vartojant ilgiau nei trejus–penkerius metus, padidėja atipinių šlaunikaulio </w:t>
      </w:r>
      <w:proofErr w:type="spellStart"/>
      <w:r w:rsidRPr="00DC331F">
        <w:rPr>
          <w:rFonts w:ascii="Times New Roman" w:eastAsia="Times New Roman" w:hAnsi="Times New Roman"/>
          <w:szCs w:val="20"/>
        </w:rPr>
        <w:t>pogūbrinių</w:t>
      </w:r>
      <w:proofErr w:type="spellEnd"/>
      <w:r w:rsidRPr="00DC331F">
        <w:rPr>
          <w:rFonts w:ascii="Times New Roman" w:eastAsia="Times New Roman" w:hAnsi="Times New Roman"/>
          <w:szCs w:val="20"/>
        </w:rPr>
        <w:t xml:space="preserve"> ir </w:t>
      </w:r>
      <w:proofErr w:type="spellStart"/>
      <w:r w:rsidRPr="00DC331F">
        <w:rPr>
          <w:rFonts w:ascii="Times New Roman" w:eastAsia="Times New Roman" w:hAnsi="Times New Roman"/>
          <w:szCs w:val="20"/>
        </w:rPr>
        <w:t>diafizės</w:t>
      </w:r>
      <w:proofErr w:type="spellEnd"/>
      <w:r w:rsidRPr="00DC331F">
        <w:rPr>
          <w:rFonts w:ascii="Times New Roman" w:eastAsia="Times New Roman" w:hAnsi="Times New Roman"/>
          <w:szCs w:val="20"/>
        </w:rPr>
        <w:t xml:space="preserve"> lūžių rizika. Absoliuti atipinių ilgųjų kaulų </w:t>
      </w:r>
      <w:proofErr w:type="spellStart"/>
      <w:r w:rsidRPr="00DC331F">
        <w:rPr>
          <w:rFonts w:ascii="Times New Roman" w:eastAsia="Times New Roman" w:hAnsi="Times New Roman"/>
          <w:szCs w:val="20"/>
        </w:rPr>
        <w:t>pogūbrinių</w:t>
      </w:r>
      <w:proofErr w:type="spellEnd"/>
      <w:r w:rsidRPr="00DC331F">
        <w:rPr>
          <w:rFonts w:ascii="Times New Roman" w:eastAsia="Times New Roman" w:hAnsi="Times New Roman"/>
          <w:szCs w:val="20"/>
        </w:rPr>
        <w:t xml:space="preserve"> ir </w:t>
      </w:r>
      <w:proofErr w:type="spellStart"/>
      <w:r w:rsidRPr="00DC331F">
        <w:rPr>
          <w:rFonts w:ascii="Times New Roman" w:eastAsia="Times New Roman" w:hAnsi="Times New Roman"/>
          <w:szCs w:val="20"/>
        </w:rPr>
        <w:t>diafizės</w:t>
      </w:r>
      <w:proofErr w:type="spellEnd"/>
      <w:r w:rsidRPr="00DC331F">
        <w:rPr>
          <w:rFonts w:ascii="Times New Roman" w:eastAsia="Times New Roman" w:hAnsi="Times New Roman"/>
          <w:szCs w:val="20"/>
        </w:rPr>
        <w:t xml:space="preserve"> lūžių (</w:t>
      </w:r>
      <w:proofErr w:type="spellStart"/>
      <w:r w:rsidRPr="00DC331F">
        <w:rPr>
          <w:rFonts w:ascii="Times New Roman" w:eastAsia="Times New Roman" w:hAnsi="Times New Roman"/>
          <w:szCs w:val="20"/>
        </w:rPr>
        <w:t>bisfosfonatų</w:t>
      </w:r>
      <w:proofErr w:type="spellEnd"/>
      <w:r w:rsidRPr="00DC331F">
        <w:rPr>
          <w:rFonts w:ascii="Times New Roman" w:eastAsia="Times New Roman" w:hAnsi="Times New Roman"/>
          <w:szCs w:val="20"/>
        </w:rPr>
        <w:t xml:space="preserve"> klasės nepageidaujamos reakcijos) rizika išlieka labai maža.</w:t>
      </w:r>
    </w:p>
    <w:p w14:paraId="5970F044" w14:textId="77777777" w:rsidR="003540F2" w:rsidRDefault="003540F2" w:rsidP="0085684D">
      <w:pPr>
        <w:autoSpaceDE w:val="0"/>
        <w:autoSpaceDN w:val="0"/>
        <w:adjustRightInd w:val="0"/>
        <w:spacing w:after="0" w:line="240" w:lineRule="auto"/>
        <w:rPr>
          <w:rFonts w:ascii="Times New Roman" w:hAnsi="Times New Roman"/>
          <w:i/>
          <w:color w:val="000000"/>
        </w:rPr>
      </w:pPr>
    </w:p>
    <w:p w14:paraId="1922ECEA" w14:textId="77777777" w:rsidR="005A7416" w:rsidRPr="00112B89" w:rsidRDefault="005A7416" w:rsidP="0085684D">
      <w:pPr>
        <w:autoSpaceDE w:val="0"/>
        <w:autoSpaceDN w:val="0"/>
        <w:adjustRightInd w:val="0"/>
        <w:spacing w:after="0" w:line="240" w:lineRule="auto"/>
        <w:rPr>
          <w:rFonts w:ascii="Times New Roman" w:eastAsia="MS Mincho" w:hAnsi="Times New Roman"/>
          <w:i/>
          <w:color w:val="000000"/>
          <w:lang w:eastAsia="ja-JP"/>
        </w:rPr>
      </w:pPr>
      <w:r w:rsidRPr="00112B89">
        <w:rPr>
          <w:rFonts w:ascii="Times New Roman" w:eastAsia="MS Mincho" w:hAnsi="Times New Roman"/>
          <w:i/>
          <w:color w:val="000000"/>
          <w:lang w:eastAsia="ja-JP"/>
        </w:rPr>
        <w:t>Akių uždegimas</w:t>
      </w:r>
    </w:p>
    <w:p w14:paraId="6BE77F48" w14:textId="77777777" w:rsidR="005A7416" w:rsidRPr="00112B89" w:rsidRDefault="005A7416" w:rsidP="001B012C">
      <w:pPr>
        <w:autoSpaceDE w:val="0"/>
        <w:autoSpaceDN w:val="0"/>
        <w:adjustRightInd w:val="0"/>
        <w:spacing w:after="0" w:line="240" w:lineRule="auto"/>
        <w:rPr>
          <w:rFonts w:ascii="Times New Roman" w:eastAsia="MS Mincho" w:hAnsi="Times New Roman"/>
          <w:lang w:eastAsia="ja-JP"/>
        </w:rPr>
      </w:pPr>
      <w:r w:rsidRPr="00112B89">
        <w:rPr>
          <w:rFonts w:ascii="Times New Roman" w:eastAsia="MS Mincho" w:hAnsi="Times New Roman"/>
          <w:color w:val="000000"/>
          <w:lang w:eastAsia="ja-JP"/>
        </w:rPr>
        <w:t xml:space="preserve">Vartojusiesiems </w:t>
      </w:r>
      <w:proofErr w:type="spellStart"/>
      <w:r w:rsidRPr="00112B89">
        <w:rPr>
          <w:rFonts w:ascii="Times New Roman" w:eastAsia="MS Mincho" w:hAnsi="Times New Roman"/>
          <w:color w:val="000000"/>
          <w:lang w:eastAsia="ja-JP"/>
        </w:rPr>
        <w:t>ibandrono</w:t>
      </w:r>
      <w:proofErr w:type="spellEnd"/>
      <w:r w:rsidRPr="00112B89">
        <w:rPr>
          <w:rFonts w:ascii="Times New Roman" w:eastAsia="MS Mincho" w:hAnsi="Times New Roman"/>
          <w:color w:val="000000"/>
          <w:lang w:eastAsia="ja-JP"/>
        </w:rPr>
        <w:t xml:space="preserve"> rūgštį buvo pastebėti akių uždegimo reiškiniai, tokie kaip </w:t>
      </w:r>
      <w:proofErr w:type="spellStart"/>
      <w:r w:rsidRPr="00112B89">
        <w:rPr>
          <w:rFonts w:ascii="Times New Roman" w:eastAsia="MS Mincho" w:hAnsi="Times New Roman"/>
          <w:color w:val="000000"/>
          <w:lang w:eastAsia="ja-JP"/>
        </w:rPr>
        <w:t>uveitas</w:t>
      </w:r>
      <w:proofErr w:type="spellEnd"/>
      <w:r w:rsidRPr="00112B89">
        <w:rPr>
          <w:rFonts w:ascii="Times New Roman" w:eastAsia="MS Mincho" w:hAnsi="Times New Roman"/>
          <w:color w:val="000000"/>
          <w:lang w:eastAsia="ja-JP"/>
        </w:rPr>
        <w:t xml:space="preserve">, </w:t>
      </w:r>
      <w:proofErr w:type="spellStart"/>
      <w:r w:rsidRPr="00112B89">
        <w:rPr>
          <w:rFonts w:ascii="Times New Roman" w:eastAsia="MS Mincho" w:hAnsi="Times New Roman"/>
          <w:color w:val="000000"/>
          <w:lang w:eastAsia="ja-JP"/>
        </w:rPr>
        <w:t>episkleritas</w:t>
      </w:r>
      <w:proofErr w:type="spellEnd"/>
      <w:r w:rsidRPr="00112B89">
        <w:rPr>
          <w:rFonts w:ascii="Times New Roman" w:eastAsia="MS Mincho" w:hAnsi="Times New Roman"/>
          <w:color w:val="000000"/>
          <w:lang w:eastAsia="ja-JP"/>
        </w:rPr>
        <w:t xml:space="preserve"> ir </w:t>
      </w:r>
      <w:proofErr w:type="spellStart"/>
      <w:r w:rsidRPr="00112B89">
        <w:rPr>
          <w:rFonts w:ascii="Times New Roman" w:eastAsia="MS Mincho" w:hAnsi="Times New Roman"/>
          <w:color w:val="000000"/>
          <w:lang w:eastAsia="ja-JP"/>
        </w:rPr>
        <w:t>skleritas</w:t>
      </w:r>
      <w:proofErr w:type="spellEnd"/>
      <w:r w:rsidRPr="00112B89">
        <w:rPr>
          <w:rFonts w:ascii="Times New Roman" w:eastAsia="MS Mincho" w:hAnsi="Times New Roman"/>
          <w:color w:val="000000"/>
          <w:lang w:eastAsia="ja-JP"/>
        </w:rPr>
        <w:t xml:space="preserve">. </w:t>
      </w:r>
      <w:r w:rsidRPr="00112B89">
        <w:rPr>
          <w:rFonts w:ascii="Times New Roman" w:eastAsia="MS Mincho" w:hAnsi="Times New Roman"/>
          <w:lang w:eastAsia="ja-JP"/>
        </w:rPr>
        <w:t xml:space="preserve">Kai kuriais atvejais šie reiškiniai neišnykdavo, kol nebuvo nutrauktas </w:t>
      </w:r>
      <w:proofErr w:type="spellStart"/>
      <w:r w:rsidRPr="00112B89">
        <w:rPr>
          <w:rFonts w:ascii="Times New Roman" w:eastAsia="MS Mincho" w:hAnsi="Times New Roman"/>
          <w:lang w:eastAsia="ja-JP"/>
        </w:rPr>
        <w:t>ibandrono</w:t>
      </w:r>
      <w:proofErr w:type="spellEnd"/>
      <w:r w:rsidRPr="00112B89">
        <w:rPr>
          <w:rFonts w:ascii="Times New Roman" w:eastAsia="MS Mincho" w:hAnsi="Times New Roman"/>
          <w:lang w:eastAsia="ja-JP"/>
        </w:rPr>
        <w:t xml:space="preserve"> rūgšties vartojimas.</w:t>
      </w:r>
    </w:p>
    <w:p w14:paraId="2B0AE8CA" w14:textId="77777777" w:rsidR="005A7416" w:rsidRPr="00112B89" w:rsidRDefault="005A7416" w:rsidP="001B012C">
      <w:pPr>
        <w:autoSpaceDE w:val="0"/>
        <w:autoSpaceDN w:val="0"/>
        <w:adjustRightInd w:val="0"/>
        <w:spacing w:after="0" w:line="240" w:lineRule="auto"/>
        <w:rPr>
          <w:rFonts w:ascii="Times New Roman" w:eastAsia="MS Mincho" w:hAnsi="Times New Roman"/>
          <w:lang w:eastAsia="ja-JP"/>
        </w:rPr>
      </w:pPr>
    </w:p>
    <w:p w14:paraId="5C915C22" w14:textId="77777777" w:rsidR="00D77A92" w:rsidRPr="00112B89" w:rsidRDefault="00D77A92" w:rsidP="001B012C">
      <w:pPr>
        <w:autoSpaceDE w:val="0"/>
        <w:autoSpaceDN w:val="0"/>
        <w:adjustRightInd w:val="0"/>
        <w:spacing w:after="0" w:line="240" w:lineRule="auto"/>
        <w:rPr>
          <w:rFonts w:ascii="Times New Roman" w:hAnsi="Times New Roman"/>
          <w:i/>
        </w:rPr>
      </w:pPr>
      <w:r w:rsidRPr="00112B89">
        <w:rPr>
          <w:rFonts w:ascii="Times New Roman" w:hAnsi="Times New Roman"/>
          <w:i/>
        </w:rPr>
        <w:t>Anafilaksinė reakcija arba šokas</w:t>
      </w:r>
    </w:p>
    <w:p w14:paraId="4F885A85" w14:textId="77777777" w:rsidR="00D77A92" w:rsidRPr="00112B89" w:rsidRDefault="00D77A92" w:rsidP="001B012C">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Pranešama, kad gydant pacientus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rūgštimi pasitaikė anafilaksinės reakcijos arba šoko, </w:t>
      </w:r>
      <w:r w:rsidR="00641C46" w:rsidRPr="00112B89">
        <w:rPr>
          <w:rFonts w:ascii="Times New Roman" w:hAnsi="Times New Roman"/>
          <w:color w:val="000000"/>
        </w:rPr>
        <w:t xml:space="preserve">įskaitant tuos, </w:t>
      </w:r>
      <w:r w:rsidRPr="00112B89">
        <w:rPr>
          <w:rFonts w:ascii="Times New Roman" w:hAnsi="Times New Roman"/>
          <w:color w:val="000000"/>
        </w:rPr>
        <w:t>kurie sukėlė pacientų mirtį, atvejų.</w:t>
      </w:r>
    </w:p>
    <w:p w14:paraId="3D0575CF" w14:textId="77777777" w:rsidR="00D77A92" w:rsidRPr="00112B89" w:rsidRDefault="00D77A92" w:rsidP="001B012C">
      <w:pPr>
        <w:autoSpaceDE w:val="0"/>
        <w:autoSpaceDN w:val="0"/>
        <w:adjustRightInd w:val="0"/>
        <w:spacing w:after="0" w:line="240" w:lineRule="auto"/>
        <w:rPr>
          <w:rFonts w:ascii="Times New Roman" w:eastAsia="MS Mincho" w:hAnsi="Times New Roman"/>
          <w:lang w:eastAsia="ja-JP"/>
        </w:rPr>
      </w:pPr>
    </w:p>
    <w:p w14:paraId="158569B5" w14:textId="77777777" w:rsidR="00641C46" w:rsidRPr="00112B89" w:rsidRDefault="00641C46" w:rsidP="001B012C">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89774B">
        <w:rPr>
          <w:rFonts w:ascii="Times New Roman" w:eastAsia="Times New Roman" w:hAnsi="Times New Roman"/>
          <w:snapToGrid w:val="0"/>
          <w:szCs w:val="24"/>
          <w:u w:val="single"/>
        </w:rPr>
        <w:lastRenderedPageBreak/>
        <w:t>Pranešimas apie įtariamas nepageidaujamas reakcijas</w:t>
      </w:r>
    </w:p>
    <w:p w14:paraId="3A35009F" w14:textId="38495CC0" w:rsidR="00641C46" w:rsidRPr="0089774B" w:rsidRDefault="00641C46" w:rsidP="001B012C">
      <w:pPr>
        <w:tabs>
          <w:tab w:val="left" w:pos="567"/>
        </w:tabs>
        <w:autoSpaceDE w:val="0"/>
        <w:autoSpaceDN w:val="0"/>
        <w:adjustRightInd w:val="0"/>
        <w:spacing w:after="0" w:line="260" w:lineRule="exact"/>
        <w:rPr>
          <w:rFonts w:ascii="Times New Roman" w:eastAsia="Times New Roman" w:hAnsi="Times New Roman"/>
          <w:snapToGrid w:val="0"/>
          <w:szCs w:val="24"/>
        </w:rPr>
      </w:pPr>
      <w:r w:rsidRPr="0089774B">
        <w:rPr>
          <w:rFonts w:ascii="Times New Roman" w:eastAsia="Times New Roman" w:hAnsi="Times New Roman"/>
          <w:snapToGrid w:val="0"/>
          <w:szCs w:val="24"/>
        </w:rPr>
        <w:t xml:space="preserve">Svarbu pranešti apie įtariamas nepageidaujamas reakcijas, pastebėtas po vaistinio preparato registracijos, nes tai leidžia nuolat stebėti vaistinio preparato naudos ir rizikos santykį. </w:t>
      </w:r>
      <w:r w:rsidR="00EE217A" w:rsidRPr="00EE217A">
        <w:rPr>
          <w:rFonts w:ascii="Times New Roman" w:eastAsia="Times New Roman" w:hAnsi="Times New Roman"/>
          <w:snapToGrid w:val="0"/>
          <w:szCs w:val="24"/>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EE217A" w:rsidRPr="00EE217A">
        <w:rPr>
          <w:rFonts w:ascii="Times New Roman" w:eastAsia="Times New Roman" w:hAnsi="Times New Roman"/>
          <w:snapToGrid w:val="0"/>
          <w:szCs w:val="24"/>
          <w:u w:val="single"/>
        </w:rPr>
        <w:t>https://vvkt.lrv.lt/lt/</w:t>
      </w:r>
      <w:r w:rsidR="00EE217A" w:rsidRPr="00EE217A">
        <w:rPr>
          <w:rFonts w:ascii="Times New Roman" w:eastAsia="Times New Roman" w:hAnsi="Times New Roman"/>
          <w:snapToGrid w:val="0"/>
          <w:szCs w:val="24"/>
        </w:rPr>
        <w:t xml:space="preserve"> nurodytais būdais.</w:t>
      </w:r>
    </w:p>
    <w:p w14:paraId="1E65B2A0" w14:textId="77777777" w:rsidR="00A61DEE" w:rsidRPr="0089774B" w:rsidRDefault="00A61DEE" w:rsidP="001B012C">
      <w:pPr>
        <w:autoSpaceDE w:val="0"/>
        <w:autoSpaceDN w:val="0"/>
        <w:adjustRightInd w:val="0"/>
        <w:spacing w:after="0"/>
        <w:rPr>
          <w:rFonts w:ascii="Times New Roman" w:hAnsi="Times New Roman"/>
        </w:rPr>
      </w:pPr>
    </w:p>
    <w:p w14:paraId="3E8255F4" w14:textId="77777777" w:rsidR="005A7416" w:rsidRPr="00112B89" w:rsidRDefault="005A7416" w:rsidP="001B012C">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4.9</w:t>
      </w:r>
      <w:r w:rsidRPr="00112B89">
        <w:rPr>
          <w:rFonts w:ascii="Times New Roman" w:hAnsi="Times New Roman"/>
          <w:b/>
          <w:bCs/>
          <w:color w:val="000000"/>
        </w:rPr>
        <w:tab/>
        <w:t>Perdozavimas</w:t>
      </w:r>
    </w:p>
    <w:p w14:paraId="29284377" w14:textId="77777777" w:rsidR="005A7416" w:rsidRPr="00112B89" w:rsidRDefault="005A7416" w:rsidP="001B012C">
      <w:pPr>
        <w:tabs>
          <w:tab w:val="left" w:pos="567"/>
        </w:tabs>
        <w:autoSpaceDE w:val="0"/>
        <w:autoSpaceDN w:val="0"/>
        <w:adjustRightInd w:val="0"/>
        <w:spacing w:after="0" w:line="240" w:lineRule="auto"/>
        <w:rPr>
          <w:rFonts w:ascii="Times New Roman" w:hAnsi="Times New Roman"/>
          <w:color w:val="000000"/>
        </w:rPr>
      </w:pPr>
    </w:p>
    <w:p w14:paraId="08B0ED32" w14:textId="77777777" w:rsidR="005A7416" w:rsidRPr="00112B89" w:rsidRDefault="005A7416" w:rsidP="001B012C">
      <w:pPr>
        <w:tabs>
          <w:tab w:val="left" w:pos="567"/>
        </w:tabs>
        <w:spacing w:after="0" w:line="240" w:lineRule="auto"/>
        <w:rPr>
          <w:rFonts w:ascii="Times New Roman" w:hAnsi="Times New Roman"/>
          <w:color w:val="000000"/>
        </w:rPr>
      </w:pPr>
      <w:r w:rsidRPr="00112B89">
        <w:rPr>
          <w:rFonts w:ascii="Times New Roman" w:hAnsi="Times New Roman"/>
          <w:color w:val="000000"/>
        </w:rPr>
        <w:t xml:space="preserve">Specialios informacijos apie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perdozavimo gydymą nėra.</w:t>
      </w:r>
    </w:p>
    <w:p w14:paraId="06885D27" w14:textId="77777777" w:rsidR="005A7416" w:rsidRPr="00112B89" w:rsidRDefault="005A7416" w:rsidP="001B012C">
      <w:pPr>
        <w:tabs>
          <w:tab w:val="left" w:pos="567"/>
        </w:tabs>
        <w:spacing w:after="0" w:line="240" w:lineRule="auto"/>
        <w:rPr>
          <w:rFonts w:ascii="Times New Roman" w:hAnsi="Times New Roman"/>
          <w:color w:val="000000"/>
        </w:rPr>
      </w:pPr>
    </w:p>
    <w:p w14:paraId="386A474F" w14:textId="77777777" w:rsidR="005A7416" w:rsidRPr="00112B89" w:rsidRDefault="005A7416" w:rsidP="001B012C">
      <w:pPr>
        <w:tabs>
          <w:tab w:val="left" w:pos="567"/>
        </w:tabs>
        <w:spacing w:after="0" w:line="240" w:lineRule="auto"/>
        <w:rPr>
          <w:rFonts w:ascii="Times New Roman" w:hAnsi="Times New Roman"/>
          <w:color w:val="000000"/>
        </w:rPr>
      </w:pPr>
      <w:r w:rsidRPr="00112B89">
        <w:rPr>
          <w:rFonts w:ascii="Times New Roman" w:hAnsi="Times New Roman"/>
          <w:lang w:bidi="lo-LA"/>
        </w:rPr>
        <w:t xml:space="preserve">Tačiau, remiantis duomenimis apie šios klasės junginius, leidžiamo į veną šio vaisto perdozavimas gali sukelti </w:t>
      </w:r>
      <w:proofErr w:type="spellStart"/>
      <w:r w:rsidRPr="00112B89">
        <w:rPr>
          <w:rFonts w:ascii="Times New Roman" w:hAnsi="Times New Roman"/>
          <w:lang w:bidi="lo-LA"/>
        </w:rPr>
        <w:t>hipokalcemiją</w:t>
      </w:r>
      <w:proofErr w:type="spellEnd"/>
      <w:r w:rsidRPr="00112B89">
        <w:rPr>
          <w:rFonts w:ascii="Times New Roman" w:hAnsi="Times New Roman"/>
          <w:lang w:bidi="lo-LA"/>
        </w:rPr>
        <w:t xml:space="preserve">, </w:t>
      </w:r>
      <w:proofErr w:type="spellStart"/>
      <w:r w:rsidRPr="00112B89">
        <w:rPr>
          <w:rFonts w:ascii="Times New Roman" w:hAnsi="Times New Roman"/>
          <w:lang w:bidi="lo-LA"/>
        </w:rPr>
        <w:t>hipofosfatemiją</w:t>
      </w:r>
      <w:proofErr w:type="spellEnd"/>
      <w:r w:rsidRPr="00112B89">
        <w:rPr>
          <w:rFonts w:ascii="Times New Roman" w:hAnsi="Times New Roman"/>
          <w:lang w:bidi="lo-LA"/>
        </w:rPr>
        <w:t xml:space="preserve"> ir </w:t>
      </w:r>
      <w:proofErr w:type="spellStart"/>
      <w:r w:rsidRPr="00112B89">
        <w:rPr>
          <w:rFonts w:ascii="Times New Roman" w:hAnsi="Times New Roman"/>
          <w:lang w:bidi="lo-LA"/>
        </w:rPr>
        <w:t>hipomagnezemiją</w:t>
      </w:r>
      <w:proofErr w:type="spellEnd"/>
      <w:r w:rsidRPr="00112B89">
        <w:rPr>
          <w:rFonts w:ascii="Times New Roman" w:hAnsi="Times New Roman"/>
          <w:lang w:bidi="lo-LA"/>
        </w:rPr>
        <w:t xml:space="preserve">. </w:t>
      </w:r>
      <w:r w:rsidRPr="00112B89">
        <w:rPr>
          <w:rFonts w:ascii="Times New Roman" w:hAnsi="Times New Roman"/>
        </w:rPr>
        <w:t xml:space="preserve">Kliniškai reikšmingą kalcio, fosforo ir magnio sumažėjimą kraujo serume reikia koreguoti suleidžiant atitinkamai kalcio </w:t>
      </w:r>
      <w:proofErr w:type="spellStart"/>
      <w:r w:rsidRPr="00112B89">
        <w:rPr>
          <w:rFonts w:ascii="Times New Roman" w:hAnsi="Times New Roman"/>
        </w:rPr>
        <w:t>gliukonato</w:t>
      </w:r>
      <w:proofErr w:type="spellEnd"/>
      <w:r w:rsidRPr="00112B89">
        <w:rPr>
          <w:rFonts w:ascii="Times New Roman" w:hAnsi="Times New Roman"/>
        </w:rPr>
        <w:t>, kalio arba natrio fosfato, magnio sulfato.</w:t>
      </w:r>
    </w:p>
    <w:p w14:paraId="603E66A2" w14:textId="77777777" w:rsidR="005A7416" w:rsidRPr="00112B89" w:rsidRDefault="005A7416" w:rsidP="001B012C">
      <w:pPr>
        <w:tabs>
          <w:tab w:val="left" w:pos="567"/>
        </w:tabs>
        <w:autoSpaceDE w:val="0"/>
        <w:autoSpaceDN w:val="0"/>
        <w:adjustRightInd w:val="0"/>
        <w:spacing w:after="0" w:line="240" w:lineRule="auto"/>
        <w:rPr>
          <w:rFonts w:ascii="Times New Roman" w:hAnsi="Times New Roman"/>
          <w:color w:val="000000"/>
        </w:rPr>
      </w:pPr>
    </w:p>
    <w:p w14:paraId="54F432E3" w14:textId="77777777" w:rsidR="001B012C" w:rsidRPr="00112B89" w:rsidRDefault="001B012C" w:rsidP="001B012C">
      <w:pPr>
        <w:tabs>
          <w:tab w:val="left" w:pos="567"/>
        </w:tabs>
        <w:autoSpaceDE w:val="0"/>
        <w:autoSpaceDN w:val="0"/>
        <w:adjustRightInd w:val="0"/>
        <w:spacing w:after="0" w:line="240" w:lineRule="auto"/>
        <w:rPr>
          <w:rFonts w:ascii="Times New Roman" w:hAnsi="Times New Roman"/>
          <w:color w:val="000000"/>
        </w:rPr>
      </w:pPr>
    </w:p>
    <w:p w14:paraId="375106B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5.</w:t>
      </w:r>
      <w:r w:rsidRPr="00112B89">
        <w:rPr>
          <w:rFonts w:ascii="Times New Roman" w:hAnsi="Times New Roman"/>
          <w:b/>
          <w:bCs/>
          <w:color w:val="000000"/>
        </w:rPr>
        <w:tab/>
        <w:t xml:space="preserve">FARMAKOLOGINĖS </w:t>
      </w:r>
      <w:r w:rsidRPr="00112B89">
        <w:rPr>
          <w:rFonts w:ascii="Times New Roman" w:hAnsi="Times New Roman"/>
          <w:b/>
          <w:bCs/>
          <w:caps/>
          <w:color w:val="000000"/>
        </w:rPr>
        <w:t>savybės</w:t>
      </w:r>
    </w:p>
    <w:p w14:paraId="3A7C0CB9"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p>
    <w:p w14:paraId="4400F86A"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5.1</w:t>
      </w:r>
      <w:r w:rsidRPr="00112B89">
        <w:rPr>
          <w:rFonts w:ascii="Times New Roman" w:hAnsi="Times New Roman"/>
          <w:b/>
          <w:bCs/>
          <w:color w:val="000000"/>
        </w:rPr>
        <w:tab/>
      </w:r>
      <w:proofErr w:type="spellStart"/>
      <w:r w:rsidRPr="00112B89">
        <w:rPr>
          <w:rFonts w:ascii="Times New Roman" w:hAnsi="Times New Roman"/>
          <w:b/>
          <w:bCs/>
          <w:color w:val="000000"/>
        </w:rPr>
        <w:t>Farmakodinaminės</w:t>
      </w:r>
      <w:proofErr w:type="spellEnd"/>
      <w:r w:rsidRPr="00112B89">
        <w:rPr>
          <w:rFonts w:ascii="Times New Roman" w:hAnsi="Times New Roman"/>
          <w:b/>
          <w:bCs/>
          <w:color w:val="000000"/>
        </w:rPr>
        <w:t xml:space="preserve"> savybės</w:t>
      </w:r>
    </w:p>
    <w:p w14:paraId="7446C0D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5961CDA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Farmakoterapinė</w:t>
      </w:r>
      <w:proofErr w:type="spellEnd"/>
      <w:r w:rsidRPr="00112B89">
        <w:rPr>
          <w:rFonts w:ascii="Times New Roman" w:hAnsi="Times New Roman"/>
          <w:color w:val="000000"/>
        </w:rPr>
        <w:t xml:space="preserve"> grupė – vaistiniai preparatai kaulų ligoms gydyti, </w:t>
      </w:r>
      <w:proofErr w:type="spellStart"/>
      <w:r w:rsidRPr="00112B89">
        <w:rPr>
          <w:rFonts w:ascii="Times New Roman" w:hAnsi="Times New Roman"/>
          <w:color w:val="000000"/>
        </w:rPr>
        <w:t>bisfosfonatai</w:t>
      </w:r>
      <w:proofErr w:type="spellEnd"/>
      <w:r w:rsidRPr="00112B89">
        <w:rPr>
          <w:rFonts w:ascii="Times New Roman" w:hAnsi="Times New Roman"/>
          <w:color w:val="000000"/>
        </w:rPr>
        <w:t>, ATC kodas – M05B A06.</w:t>
      </w:r>
    </w:p>
    <w:p w14:paraId="181A705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954345C" w14:textId="77777777" w:rsidR="005A7416" w:rsidRPr="00112B89" w:rsidRDefault="005A7416" w:rsidP="0085684D">
      <w:pPr>
        <w:autoSpaceDE w:val="0"/>
        <w:autoSpaceDN w:val="0"/>
        <w:adjustRightInd w:val="0"/>
        <w:spacing w:after="0" w:line="240" w:lineRule="auto"/>
        <w:rPr>
          <w:rFonts w:ascii="Times New Roman" w:hAnsi="Times New Roman"/>
          <w:i/>
          <w:iCs/>
          <w:color w:val="000000"/>
          <w:u w:val="single"/>
        </w:rPr>
      </w:pPr>
      <w:r w:rsidRPr="00112B89">
        <w:rPr>
          <w:rFonts w:ascii="Times New Roman" w:hAnsi="Times New Roman"/>
          <w:i/>
          <w:iCs/>
          <w:color w:val="000000"/>
          <w:u w:val="single"/>
        </w:rPr>
        <w:t>Veikimo mechanizmas</w:t>
      </w:r>
    </w:p>
    <w:p w14:paraId="3E69923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yra stipraus poveikio </w:t>
      </w:r>
      <w:proofErr w:type="spellStart"/>
      <w:r w:rsidRPr="00112B89">
        <w:rPr>
          <w:rFonts w:ascii="Times New Roman" w:hAnsi="Times New Roman"/>
          <w:color w:val="000000"/>
        </w:rPr>
        <w:t>bisfosfonatas</w:t>
      </w:r>
      <w:proofErr w:type="spellEnd"/>
      <w:r w:rsidRPr="00112B89">
        <w:rPr>
          <w:rFonts w:ascii="Times New Roman" w:hAnsi="Times New Roman"/>
          <w:color w:val="000000"/>
        </w:rPr>
        <w:t xml:space="preserve">, kuris priklauso grupei </w:t>
      </w:r>
      <w:proofErr w:type="spellStart"/>
      <w:r w:rsidRPr="00112B89">
        <w:rPr>
          <w:rFonts w:ascii="Times New Roman" w:hAnsi="Times New Roman"/>
          <w:color w:val="000000"/>
        </w:rPr>
        <w:t>bisfosfonatų</w:t>
      </w:r>
      <w:proofErr w:type="spellEnd"/>
      <w:r w:rsidRPr="00112B89">
        <w:rPr>
          <w:rFonts w:ascii="Times New Roman" w:hAnsi="Times New Roman"/>
          <w:color w:val="000000"/>
        </w:rPr>
        <w:t xml:space="preserve">, kurių sudėtyje yra azoto ir kurie selektyviai veikia kaulinį audinį ir specifiškai slopina </w:t>
      </w:r>
      <w:proofErr w:type="spellStart"/>
      <w:r w:rsidRPr="00112B89">
        <w:rPr>
          <w:rFonts w:ascii="Times New Roman" w:hAnsi="Times New Roman"/>
          <w:color w:val="000000"/>
        </w:rPr>
        <w:t>osteoklastų</w:t>
      </w:r>
      <w:proofErr w:type="spellEnd"/>
      <w:r w:rsidRPr="00112B89">
        <w:rPr>
          <w:rFonts w:ascii="Times New Roman" w:hAnsi="Times New Roman"/>
          <w:color w:val="000000"/>
        </w:rPr>
        <w:t xml:space="preserve"> aktyvumą, tiesiogiai neveikdami kaulų formavimosi. Šie vaistiniai preparatai neveikia </w:t>
      </w:r>
      <w:proofErr w:type="spellStart"/>
      <w:r w:rsidRPr="00112B89">
        <w:rPr>
          <w:rFonts w:ascii="Times New Roman" w:hAnsi="Times New Roman"/>
          <w:color w:val="000000"/>
        </w:rPr>
        <w:t>osteoklastų</w:t>
      </w:r>
      <w:proofErr w:type="spellEnd"/>
      <w:r w:rsidRPr="00112B89">
        <w:rPr>
          <w:rFonts w:ascii="Times New Roman" w:hAnsi="Times New Roman"/>
          <w:color w:val="000000"/>
        </w:rPr>
        <w:t xml:space="preserve"> </w:t>
      </w:r>
      <w:proofErr w:type="spellStart"/>
      <w:r w:rsidRPr="00112B89">
        <w:rPr>
          <w:rFonts w:ascii="Times New Roman" w:hAnsi="Times New Roman"/>
          <w:color w:val="000000"/>
        </w:rPr>
        <w:t>proliferacijos</w:t>
      </w:r>
      <w:proofErr w:type="spellEnd"/>
      <w:r w:rsidRPr="00112B89">
        <w:rPr>
          <w:rFonts w:ascii="Times New Roman" w:hAnsi="Times New Roman"/>
          <w:color w:val="000000"/>
        </w:rPr>
        <w:t xml:space="preserve">.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slopina suaktyvėjusią moterų po menopauzės kaulų apykaitą iki prieš menopauzę buvusio lygmens ir dėl to laipsniškai didina kaulų masę bei retina kaulų lūžius.</w:t>
      </w:r>
    </w:p>
    <w:p w14:paraId="731A942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DB19B84" w14:textId="77777777" w:rsidR="005A7416" w:rsidRPr="00112B89" w:rsidRDefault="005A7416" w:rsidP="0085684D">
      <w:pPr>
        <w:autoSpaceDE w:val="0"/>
        <w:autoSpaceDN w:val="0"/>
        <w:adjustRightInd w:val="0"/>
        <w:spacing w:after="0" w:line="240" w:lineRule="auto"/>
        <w:rPr>
          <w:rFonts w:ascii="Times New Roman" w:hAnsi="Times New Roman"/>
          <w:i/>
          <w:iCs/>
          <w:color w:val="000000"/>
          <w:u w:val="single"/>
        </w:rPr>
      </w:pPr>
      <w:proofErr w:type="spellStart"/>
      <w:r w:rsidRPr="00112B89">
        <w:rPr>
          <w:rFonts w:ascii="Times New Roman" w:hAnsi="Times New Roman"/>
          <w:i/>
          <w:iCs/>
          <w:color w:val="000000"/>
          <w:u w:val="single"/>
        </w:rPr>
        <w:t>Farmakodinaminis</w:t>
      </w:r>
      <w:proofErr w:type="spellEnd"/>
      <w:r w:rsidRPr="00112B89">
        <w:rPr>
          <w:rFonts w:ascii="Times New Roman" w:hAnsi="Times New Roman"/>
          <w:i/>
          <w:iCs/>
          <w:color w:val="000000"/>
          <w:u w:val="single"/>
        </w:rPr>
        <w:t xml:space="preserve"> poveikis</w:t>
      </w:r>
    </w:p>
    <w:p w14:paraId="01A7F59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Farmakodinaminis</w:t>
      </w:r>
      <w:proofErr w:type="spellEnd"/>
      <w:r w:rsidRPr="00112B89">
        <w:rPr>
          <w:rFonts w:ascii="Times New Roman" w:hAnsi="Times New Roman"/>
          <w:color w:val="000000"/>
        </w:rPr>
        <w:t xml:space="preserve">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poveikis yra kaulų </w:t>
      </w:r>
      <w:proofErr w:type="spellStart"/>
      <w:r w:rsidRPr="00112B89">
        <w:rPr>
          <w:rFonts w:ascii="Times New Roman" w:hAnsi="Times New Roman"/>
          <w:color w:val="000000"/>
        </w:rPr>
        <w:t>rezorbcijos</w:t>
      </w:r>
      <w:proofErr w:type="spellEnd"/>
      <w:r w:rsidRPr="00112B89">
        <w:rPr>
          <w:rFonts w:ascii="Times New Roman" w:hAnsi="Times New Roman"/>
          <w:color w:val="000000"/>
        </w:rPr>
        <w:t xml:space="preserve"> slopinimas.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stabdo eksperimentiškai sužadintą kaulų destrukciją </w:t>
      </w:r>
      <w:proofErr w:type="spellStart"/>
      <w:r w:rsidRPr="00112B89">
        <w:rPr>
          <w:rFonts w:ascii="Times New Roman" w:hAnsi="Times New Roman"/>
          <w:i/>
          <w:iCs/>
          <w:color w:val="000000"/>
        </w:rPr>
        <w:t>in</w:t>
      </w:r>
      <w:proofErr w:type="spellEnd"/>
      <w:r w:rsidRPr="00112B89">
        <w:rPr>
          <w:rFonts w:ascii="Times New Roman" w:hAnsi="Times New Roman"/>
          <w:i/>
          <w:iCs/>
          <w:color w:val="000000"/>
        </w:rPr>
        <w:t xml:space="preserve"> </w:t>
      </w:r>
      <w:proofErr w:type="spellStart"/>
      <w:r w:rsidRPr="00112B89">
        <w:rPr>
          <w:rFonts w:ascii="Times New Roman" w:hAnsi="Times New Roman"/>
          <w:i/>
          <w:iCs/>
          <w:color w:val="000000"/>
        </w:rPr>
        <w:t>vivo</w:t>
      </w:r>
      <w:proofErr w:type="spellEnd"/>
      <w:r w:rsidRPr="00112B89">
        <w:rPr>
          <w:rFonts w:ascii="Times New Roman" w:hAnsi="Times New Roman"/>
          <w:color w:val="000000"/>
        </w:rPr>
        <w:t xml:space="preserve">, sukeltą lytinių liaukų funkcijos susilpnėjimo, </w:t>
      </w:r>
      <w:proofErr w:type="spellStart"/>
      <w:r w:rsidRPr="00112B89">
        <w:rPr>
          <w:rFonts w:ascii="Times New Roman" w:hAnsi="Times New Roman"/>
          <w:color w:val="000000"/>
        </w:rPr>
        <w:t>retinoidų</w:t>
      </w:r>
      <w:proofErr w:type="spellEnd"/>
      <w:r w:rsidRPr="00112B89">
        <w:rPr>
          <w:rFonts w:ascii="Times New Roman" w:hAnsi="Times New Roman"/>
          <w:color w:val="000000"/>
        </w:rPr>
        <w:t xml:space="preserve">, navikų ar navikų ekstraktų. Be to, slopinama endogeninė jaunų (greitai augančių) žiurkių kaulų </w:t>
      </w:r>
      <w:proofErr w:type="spellStart"/>
      <w:r w:rsidRPr="00112B89">
        <w:rPr>
          <w:rFonts w:ascii="Times New Roman" w:hAnsi="Times New Roman"/>
          <w:color w:val="000000"/>
        </w:rPr>
        <w:t>rezorbcija</w:t>
      </w:r>
      <w:proofErr w:type="spellEnd"/>
      <w:r w:rsidRPr="00112B89">
        <w:rPr>
          <w:rFonts w:ascii="Times New Roman" w:hAnsi="Times New Roman"/>
          <w:color w:val="000000"/>
        </w:rPr>
        <w:t>, dėl to padidėja normali kaulų masė, palyginti su negydytų gyvūnų kaulų mase.</w:t>
      </w:r>
    </w:p>
    <w:p w14:paraId="2385652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F85F44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Gyvūnų modeliais patvirtinta, kad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stipriai slopina </w:t>
      </w:r>
      <w:proofErr w:type="spellStart"/>
      <w:r w:rsidRPr="00112B89">
        <w:rPr>
          <w:rFonts w:ascii="Times New Roman" w:hAnsi="Times New Roman"/>
          <w:color w:val="000000"/>
        </w:rPr>
        <w:t>osteoklastų</w:t>
      </w:r>
      <w:proofErr w:type="spellEnd"/>
      <w:r w:rsidRPr="00112B89">
        <w:rPr>
          <w:rFonts w:ascii="Times New Roman" w:hAnsi="Times New Roman"/>
          <w:color w:val="000000"/>
        </w:rPr>
        <w:t xml:space="preserve"> aktyvumą. Duomenų, kad sutriktų augančių žiurkių mineralizacija, net vartojant 5000 kartų didesnes dozes už tas, kurių reikia osteoporozei gydyti, negauta.</w:t>
      </w:r>
    </w:p>
    <w:p w14:paraId="60F8A00B"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3D20A528"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Ilgalaikis vartojimas vieną kartą per parą arba su pertraukomis (ilgos pertraukos tarp dozių) žiurkėms, šunims ir beždžionėms buvo susijęs su naujo, normalios kokybės kaulinio audinio susiformavimu, kurio mechaninis atsparumas išliko toks pat arba padidėjo net skiriant toksines dozes. Klinikiniame tyrime (MF4411) su žmonėms buvo įrodytas gydymo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rūgštimi veiksmingumas, vaistinį preparatą vartojant vieną kartą per parą arba su 9</w:t>
      </w:r>
      <w:r w:rsidRPr="00112B89">
        <w:rPr>
          <w:rFonts w:ascii="Times New Roman" w:hAnsi="Times New Roman"/>
          <w:color w:val="000000"/>
        </w:rPr>
        <w:noBreakHyphen/>
        <w:t>10 savaičių pertraukomis ir nustatytas veiksmingumas lūžių profilaktikai.</w:t>
      </w:r>
    </w:p>
    <w:p w14:paraId="286CBD3C"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6EA46822"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Modeliuose su gyvūnais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sukėlė biocheminių rodmenų pokyčius, rodančių nuo dozės priklausomą kaulų </w:t>
      </w:r>
      <w:proofErr w:type="spellStart"/>
      <w:r w:rsidRPr="00112B89">
        <w:rPr>
          <w:rFonts w:ascii="Times New Roman" w:hAnsi="Times New Roman"/>
          <w:color w:val="000000"/>
        </w:rPr>
        <w:t>rezorbcijos</w:t>
      </w:r>
      <w:proofErr w:type="spellEnd"/>
      <w:r w:rsidRPr="00112B89">
        <w:rPr>
          <w:rFonts w:ascii="Times New Roman" w:hAnsi="Times New Roman"/>
          <w:color w:val="000000"/>
        </w:rPr>
        <w:t xml:space="preserve"> slopinimą, įskaitant ir biocheminių kaulų kolageno irimo žymenų (pvz., </w:t>
      </w:r>
      <w:proofErr w:type="spellStart"/>
      <w:r w:rsidRPr="00112B89">
        <w:rPr>
          <w:rFonts w:ascii="Times New Roman" w:hAnsi="Times New Roman"/>
          <w:color w:val="000000"/>
        </w:rPr>
        <w:t>deoksipiridinolino</w:t>
      </w:r>
      <w:proofErr w:type="spellEnd"/>
      <w:r w:rsidRPr="00112B89">
        <w:rPr>
          <w:rFonts w:ascii="Times New Roman" w:hAnsi="Times New Roman"/>
          <w:color w:val="000000"/>
        </w:rPr>
        <w:t xml:space="preserve"> ir kryžminių I tipo kolageno N-</w:t>
      </w:r>
      <w:proofErr w:type="spellStart"/>
      <w:r w:rsidRPr="00112B89">
        <w:rPr>
          <w:rFonts w:ascii="Times New Roman" w:hAnsi="Times New Roman"/>
          <w:color w:val="000000"/>
        </w:rPr>
        <w:t>telopeptidų</w:t>
      </w:r>
      <w:proofErr w:type="spellEnd"/>
      <w:r w:rsidRPr="00112B89">
        <w:rPr>
          <w:rFonts w:ascii="Times New Roman" w:hAnsi="Times New Roman"/>
          <w:color w:val="000000"/>
        </w:rPr>
        <w:t xml:space="preserve"> (NTX)) kiekio sumažėjimą šlapime.</w:t>
      </w:r>
    </w:p>
    <w:p w14:paraId="343BC92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74A1A1AE"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lastRenderedPageBreak/>
        <w:t>Vaistinį preparatą vartojant vieną kartą per parą arba su pertraukomis (9</w:t>
      </w:r>
      <w:r w:rsidRPr="00112B89">
        <w:rPr>
          <w:rFonts w:ascii="Times New Roman" w:hAnsi="Times New Roman"/>
          <w:color w:val="000000"/>
        </w:rPr>
        <w:noBreakHyphen/>
        <w:t xml:space="preserve">10 savaičių pertrauka kas 3 mėnesiai) per burną, arba suleidžiant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į veną </w:t>
      </w:r>
      <w:r w:rsidRPr="00112B89">
        <w:rPr>
          <w:rFonts w:ascii="Times New Roman" w:hAnsi="Times New Roman"/>
        </w:rPr>
        <w:t xml:space="preserve">moterims po menopauzės sukeliami su doze susiję kaulų </w:t>
      </w:r>
      <w:proofErr w:type="spellStart"/>
      <w:r w:rsidRPr="00112B89">
        <w:rPr>
          <w:rFonts w:ascii="Times New Roman" w:hAnsi="Times New Roman"/>
        </w:rPr>
        <w:t>rezorbciją</w:t>
      </w:r>
      <w:proofErr w:type="spellEnd"/>
      <w:r w:rsidRPr="00112B89">
        <w:rPr>
          <w:rFonts w:ascii="Times New Roman" w:hAnsi="Times New Roman"/>
        </w:rPr>
        <w:t xml:space="preserve"> slopinantys biocheminiai pokyčiai.</w:t>
      </w:r>
    </w:p>
    <w:p w14:paraId="77C4845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916392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suleidimas į veną po 3-7 dienų sukėlė I tipo kolageno alfa grandies C-</w:t>
      </w:r>
      <w:proofErr w:type="spellStart"/>
      <w:r w:rsidRPr="00112B89">
        <w:rPr>
          <w:rFonts w:ascii="Times New Roman" w:hAnsi="Times New Roman"/>
          <w:color w:val="000000"/>
        </w:rPr>
        <w:t>telopeptidų</w:t>
      </w:r>
      <w:proofErr w:type="spellEnd"/>
      <w:r w:rsidRPr="00112B89">
        <w:rPr>
          <w:rFonts w:ascii="Times New Roman" w:hAnsi="Times New Roman"/>
          <w:color w:val="000000"/>
        </w:rPr>
        <w:t xml:space="preserve"> (CTX) kiekio sumažėjimą kraujo serume, 3 mėnesių laikotarpiu - ir </w:t>
      </w:r>
      <w:proofErr w:type="spellStart"/>
      <w:r w:rsidRPr="00112B89">
        <w:rPr>
          <w:rFonts w:ascii="Times New Roman" w:hAnsi="Times New Roman"/>
          <w:color w:val="000000"/>
        </w:rPr>
        <w:t>osteokalcino</w:t>
      </w:r>
      <w:proofErr w:type="spellEnd"/>
      <w:r w:rsidRPr="00112B89">
        <w:rPr>
          <w:rFonts w:ascii="Times New Roman" w:hAnsi="Times New Roman"/>
          <w:color w:val="000000"/>
        </w:rPr>
        <w:t xml:space="preserve"> kiekio sumažėjimą. </w:t>
      </w:r>
    </w:p>
    <w:p w14:paraId="749B5984"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06C620AE" w14:textId="77777777" w:rsidR="005A7416" w:rsidRPr="00112B89" w:rsidRDefault="005A7416" w:rsidP="00367416">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Nutraukus gydymą, moterų po menopauzės kaulų reabsorbcija vėl padidėjo iki prieš gydymą buvusio patologinio greičio.</w:t>
      </w:r>
    </w:p>
    <w:p w14:paraId="79E07345" w14:textId="77777777" w:rsidR="005A7416" w:rsidRPr="00112B89" w:rsidRDefault="005A7416" w:rsidP="00367416">
      <w:pPr>
        <w:autoSpaceDE w:val="0"/>
        <w:autoSpaceDN w:val="0"/>
        <w:adjustRightInd w:val="0"/>
        <w:spacing w:after="0" w:line="240" w:lineRule="auto"/>
        <w:rPr>
          <w:rFonts w:ascii="Times New Roman" w:hAnsi="Times New Roman"/>
          <w:color w:val="000000"/>
        </w:rPr>
      </w:pPr>
    </w:p>
    <w:p w14:paraId="32B329E2" w14:textId="77777777" w:rsidR="005A7416" w:rsidRPr="00112B89" w:rsidRDefault="005A7416" w:rsidP="00367416">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Moterų po menopauzės kaulų biopsijos medžiagos histologinis tyrimas praėjus dviem ir trims gydymo metams geriamosiomis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kasdieninėmis dozėmis arba suleidžiamomis į veną iki 1 mg dozėmis kartą per tris mėnesius parodė, kad kaulinio audinio kokybė yra normali ir nėra mineralizacijos defektų. Po dviejų metų gydymo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doze, suleidžiama į veną, taip pat buvo nustatytas lauktas kaulų apykaitos sumažėjimas, normali kaulų struktūra, mineralizacijos defektų nebuvo.</w:t>
      </w:r>
    </w:p>
    <w:p w14:paraId="1E5A9AD8"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14F31ED9" w14:textId="77777777" w:rsidR="005A7416" w:rsidRPr="00112B89" w:rsidRDefault="005A7416" w:rsidP="0085684D">
      <w:pPr>
        <w:autoSpaceDE w:val="0"/>
        <w:autoSpaceDN w:val="0"/>
        <w:adjustRightInd w:val="0"/>
        <w:spacing w:after="0" w:line="240" w:lineRule="auto"/>
        <w:rPr>
          <w:rFonts w:ascii="Times New Roman" w:hAnsi="Times New Roman"/>
          <w:i/>
          <w:color w:val="000000"/>
          <w:u w:val="single"/>
        </w:rPr>
      </w:pPr>
      <w:r w:rsidRPr="00112B89">
        <w:rPr>
          <w:rFonts w:ascii="Times New Roman" w:hAnsi="Times New Roman"/>
          <w:i/>
          <w:color w:val="000000"/>
          <w:u w:val="single"/>
        </w:rPr>
        <w:t>Klinikinis veiksmingumas</w:t>
      </w:r>
    </w:p>
    <w:p w14:paraId="4DF31E28"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Norint nustatyti, kurioms moterims yra padidėjusi kaulų lūžių dėl osteoporozės rizika, reikia atsižvelgti į nepriklausomus rizikos veiksnius, pvz.: mažas kaulų mineralinis tankis, amžius, anksčiau buvę kaulų lūžiai, kaulų lūžiai kraujo giminaičių istorijoje, greita kaulų apykaita ir mažas kūno masės indeksas.</w:t>
      </w:r>
    </w:p>
    <w:p w14:paraId="02D8CEA2"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27BD81E" w14:textId="77777777" w:rsidR="005A7416" w:rsidRPr="00112B89" w:rsidRDefault="005A7416" w:rsidP="0085684D">
      <w:pPr>
        <w:autoSpaceDE w:val="0"/>
        <w:autoSpaceDN w:val="0"/>
        <w:adjustRightInd w:val="0"/>
        <w:spacing w:after="0" w:line="240" w:lineRule="auto"/>
        <w:rPr>
          <w:rFonts w:ascii="Times New Roman" w:hAnsi="Times New Roman"/>
          <w:color w:val="000000"/>
          <w:u w:val="single"/>
        </w:rPr>
      </w:pPr>
      <w:r w:rsidRPr="00112B89">
        <w:rPr>
          <w:rFonts w:ascii="Times New Roman" w:hAnsi="Times New Roman"/>
          <w:color w:val="000000"/>
          <w:u w:val="single"/>
        </w:rPr>
        <w:t xml:space="preserve">3 mg </w:t>
      </w:r>
      <w:proofErr w:type="spellStart"/>
      <w:r w:rsidRPr="00112B89">
        <w:rPr>
          <w:rFonts w:ascii="Times New Roman" w:hAnsi="Times New Roman"/>
          <w:color w:val="000000"/>
          <w:u w:val="single"/>
        </w:rPr>
        <w:t>ibandrono</w:t>
      </w:r>
      <w:proofErr w:type="spellEnd"/>
      <w:r w:rsidRPr="00112B89">
        <w:rPr>
          <w:rFonts w:ascii="Times New Roman" w:hAnsi="Times New Roman"/>
          <w:color w:val="000000"/>
          <w:u w:val="single"/>
        </w:rPr>
        <w:t xml:space="preserve"> rūgšties suleidimas vieną kartą per 3 mėnesius</w:t>
      </w:r>
    </w:p>
    <w:p w14:paraId="741EEAB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61203E75" w14:textId="77777777" w:rsidR="005A7416" w:rsidRPr="00112B89" w:rsidRDefault="005A7416" w:rsidP="0085684D">
      <w:pPr>
        <w:autoSpaceDE w:val="0"/>
        <w:autoSpaceDN w:val="0"/>
        <w:adjustRightInd w:val="0"/>
        <w:spacing w:after="0" w:line="240" w:lineRule="auto"/>
        <w:rPr>
          <w:rFonts w:ascii="Times New Roman" w:hAnsi="Times New Roman"/>
          <w:i/>
          <w:color w:val="000000"/>
        </w:rPr>
      </w:pPr>
      <w:r w:rsidRPr="00112B89">
        <w:rPr>
          <w:rFonts w:ascii="Times New Roman" w:hAnsi="Times New Roman"/>
          <w:i/>
          <w:color w:val="000000"/>
        </w:rPr>
        <w:t>Kaulų mineralinis tankis (KMT)</w:t>
      </w:r>
    </w:p>
    <w:p w14:paraId="2D08FAA0" w14:textId="77777777" w:rsidR="005A7416" w:rsidRPr="00112B89" w:rsidRDefault="005A7416" w:rsidP="0085684D">
      <w:pPr>
        <w:autoSpaceDE w:val="0"/>
        <w:autoSpaceDN w:val="0"/>
        <w:adjustRightInd w:val="0"/>
        <w:spacing w:after="0" w:line="240" w:lineRule="auto"/>
        <w:rPr>
          <w:rFonts w:ascii="Times New Roman" w:hAnsi="Times New Roman"/>
          <w:color w:val="000000"/>
          <w:u w:val="single"/>
        </w:rPr>
      </w:pPr>
    </w:p>
    <w:p w14:paraId="4C83AA16"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dvejus metus trukusio </w:t>
      </w:r>
      <w:proofErr w:type="spellStart"/>
      <w:r w:rsidRPr="00112B89">
        <w:rPr>
          <w:rFonts w:ascii="Times New Roman" w:hAnsi="Times New Roman"/>
          <w:color w:val="000000"/>
        </w:rPr>
        <w:t>daugiacentrinio</w:t>
      </w:r>
      <w:proofErr w:type="spellEnd"/>
      <w:r w:rsidRPr="00112B89">
        <w:rPr>
          <w:rFonts w:ascii="Times New Roman" w:hAnsi="Times New Roman"/>
          <w:color w:val="000000"/>
        </w:rPr>
        <w:t xml:space="preserve"> dvigubai aklo tyrimo (BM 16550), kuriame dalyvavo osteoporoze sergančios moterys po menopauzės (55-80 metų 1386 moterys), sergančios osteoporoze (pradinis juosmens slankstelių KMT T balas mažesnis kaip -2,5 SN), duomenimis bent jau buvo toks pat veiksmingas kaip geriamoji 2,5</w:t>
      </w:r>
      <w:r w:rsidR="00271402" w:rsidRPr="00112B89">
        <w:rPr>
          <w:rFonts w:ascii="Times New Roman" w:hAnsi="Times New Roman"/>
          <w:color w:val="000000"/>
        </w:rPr>
        <w:t xml:space="preserve">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dozė. Tai įrodė ir pirminė duomenų analizė po vienerių metų, ir patvirtinamoji vertinamosios baigties analizė po dviejų metų (2. lentelė).</w:t>
      </w:r>
    </w:p>
    <w:p w14:paraId="7220DF49" w14:textId="77777777" w:rsidR="005A7416" w:rsidRPr="00112B89" w:rsidRDefault="005A7416" w:rsidP="000F6574">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Pirminė klinikinio tyrimo BM16550 duomenų analizė po vienerių metų, ir patvirtinamoji vertinamosios baigties analizė po dviejų metų parodė ne mažesnį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3 mg į veną kartą per tris mėnesius dozės, palyginti su geriamąja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doze, juosmens slankstelių, bendro klubų kaulų, šlaunikaulio kaklelio ir gūbrio srities KMT pokytį (2. lentelė).</w:t>
      </w:r>
    </w:p>
    <w:p w14:paraId="7222F6CB"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262AC94"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2. lentelė. Vidutinis santykinis juosmens slankstelių, bendro klubo kaulų, šlaunikaulio kaklelio ir gūbrio srities KMT pokytis, palyginti su pradiniu, po vienerių (pirminė analizė) ir po dviejų (protokolo populiacijos) BM 16550 tyrimo duomenimis.</w:t>
      </w:r>
    </w:p>
    <w:p w14:paraId="5E8373B8"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tbl>
      <w:tblPr>
        <w:tblW w:w="0" w:type="auto"/>
        <w:tblLook w:val="0000" w:firstRow="0" w:lastRow="0" w:firstColumn="0" w:lastColumn="0" w:noHBand="0" w:noVBand="0"/>
      </w:tblPr>
      <w:tblGrid>
        <w:gridCol w:w="2143"/>
        <w:gridCol w:w="1551"/>
        <w:gridCol w:w="1903"/>
        <w:gridCol w:w="1551"/>
        <w:gridCol w:w="1903"/>
      </w:tblGrid>
      <w:tr w:rsidR="005A7416" w:rsidRPr="00112B89" w14:paraId="7F56A2E1" w14:textId="77777777" w:rsidTr="00B97B53">
        <w:trPr>
          <w:trHeight w:val="745"/>
        </w:trPr>
        <w:tc>
          <w:tcPr>
            <w:tcW w:w="0" w:type="auto"/>
            <w:tcBorders>
              <w:top w:val="single" w:sz="8" w:space="0" w:color="000000"/>
              <w:left w:val="single" w:sz="8" w:space="0" w:color="000000"/>
              <w:bottom w:val="single" w:sz="8" w:space="0" w:color="000000"/>
              <w:right w:val="single" w:sz="8" w:space="0" w:color="000000"/>
            </w:tcBorders>
            <w:vAlign w:val="center"/>
          </w:tcPr>
          <w:p w14:paraId="73FB3E6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8959FC2" w14:textId="77777777" w:rsidR="005A7416" w:rsidRPr="00112B89" w:rsidRDefault="005A7416" w:rsidP="00FE30F2">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Vienerių metų BM 16550 tyrimo duomenys</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F1E7AB7" w14:textId="77777777" w:rsidR="005A7416" w:rsidRPr="00112B89" w:rsidRDefault="005A7416" w:rsidP="00FE30F2">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Dviejų metų BM 16550 tyrimo duomenys</w:t>
            </w:r>
          </w:p>
        </w:tc>
      </w:tr>
      <w:tr w:rsidR="005A7416" w:rsidRPr="00112B89" w14:paraId="08156602" w14:textId="77777777" w:rsidTr="00B97B53">
        <w:trPr>
          <w:trHeight w:val="1325"/>
        </w:trPr>
        <w:tc>
          <w:tcPr>
            <w:tcW w:w="0" w:type="auto"/>
            <w:tcBorders>
              <w:top w:val="single" w:sz="8" w:space="0" w:color="000000"/>
              <w:left w:val="single" w:sz="8" w:space="0" w:color="000000"/>
              <w:bottom w:val="single" w:sz="8" w:space="0" w:color="000000"/>
              <w:right w:val="single" w:sz="8" w:space="0" w:color="000000"/>
            </w:tcBorders>
          </w:tcPr>
          <w:p w14:paraId="39B3A13A"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Vidutinis santykinis % pokytis, palyginti su pradiniu [95 % PI]</w:t>
            </w:r>
          </w:p>
        </w:tc>
        <w:tc>
          <w:tcPr>
            <w:tcW w:w="0" w:type="auto"/>
            <w:tcBorders>
              <w:top w:val="single" w:sz="8" w:space="0" w:color="000000"/>
              <w:left w:val="single" w:sz="8" w:space="0" w:color="000000"/>
              <w:bottom w:val="single" w:sz="8" w:space="0" w:color="000000"/>
              <w:right w:val="single" w:sz="8" w:space="0" w:color="000000"/>
            </w:tcBorders>
          </w:tcPr>
          <w:p w14:paraId="3B3D01EA"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dozė</w:t>
            </w:r>
          </w:p>
          <w:p w14:paraId="2E7F51AA" w14:textId="77777777" w:rsidR="005A7416" w:rsidRPr="00112B89" w:rsidRDefault="005A7416" w:rsidP="00FE30F2">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(n=377)</w:t>
            </w:r>
          </w:p>
        </w:tc>
        <w:tc>
          <w:tcPr>
            <w:tcW w:w="0" w:type="auto"/>
            <w:tcBorders>
              <w:top w:val="single" w:sz="8" w:space="0" w:color="000000"/>
              <w:left w:val="single" w:sz="8" w:space="0" w:color="000000"/>
              <w:bottom w:val="single" w:sz="8" w:space="0" w:color="000000"/>
              <w:right w:val="single" w:sz="8" w:space="0" w:color="000000"/>
            </w:tcBorders>
          </w:tcPr>
          <w:p w14:paraId="656CB08F"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w:t>
            </w:r>
            <w:r w:rsidR="002F213B" w:rsidRPr="00112B89">
              <w:rPr>
                <w:rFonts w:ascii="Times New Roman" w:hAnsi="Times New Roman"/>
                <w:color w:val="000000"/>
              </w:rPr>
              <w:t xml:space="preserve"> 3 mg</w:t>
            </w:r>
            <w:r w:rsidRPr="00112B89">
              <w:rPr>
                <w:rFonts w:ascii="Times New Roman" w:hAnsi="Times New Roman"/>
                <w:color w:val="000000"/>
              </w:rPr>
              <w:t xml:space="preserve"> suleidimas kartą per 3 mėnesius</w:t>
            </w:r>
          </w:p>
          <w:p w14:paraId="15BE5AEF" w14:textId="77777777" w:rsidR="005A7416" w:rsidRPr="00112B89" w:rsidRDefault="005A7416" w:rsidP="00FE30F2">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(n=365)</w:t>
            </w:r>
          </w:p>
        </w:tc>
        <w:tc>
          <w:tcPr>
            <w:tcW w:w="0" w:type="auto"/>
            <w:tcBorders>
              <w:top w:val="single" w:sz="8" w:space="0" w:color="000000"/>
              <w:left w:val="single" w:sz="8" w:space="0" w:color="000000"/>
              <w:bottom w:val="single" w:sz="8" w:space="0" w:color="000000"/>
              <w:right w:val="single" w:sz="8" w:space="0" w:color="000000"/>
            </w:tcBorders>
          </w:tcPr>
          <w:p w14:paraId="42B33567"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dozė</w:t>
            </w:r>
          </w:p>
          <w:p w14:paraId="70147B32" w14:textId="77777777" w:rsidR="005A7416" w:rsidRPr="00112B89" w:rsidRDefault="005A7416" w:rsidP="00FE30F2">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(n=334)</w:t>
            </w:r>
          </w:p>
        </w:tc>
        <w:tc>
          <w:tcPr>
            <w:tcW w:w="0" w:type="auto"/>
            <w:tcBorders>
              <w:top w:val="single" w:sz="8" w:space="0" w:color="000000"/>
              <w:left w:val="single" w:sz="8" w:space="0" w:color="000000"/>
              <w:bottom w:val="single" w:sz="8" w:space="0" w:color="000000"/>
              <w:right w:val="single" w:sz="8" w:space="0" w:color="000000"/>
            </w:tcBorders>
          </w:tcPr>
          <w:p w14:paraId="5CC711A4"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suleidimas kartą per 3 mėnesius</w:t>
            </w:r>
          </w:p>
          <w:p w14:paraId="5BFCB0BF" w14:textId="77777777" w:rsidR="005A7416" w:rsidRPr="00112B89" w:rsidRDefault="005A7416" w:rsidP="00FE30F2">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(n=334)</w:t>
            </w:r>
          </w:p>
        </w:tc>
      </w:tr>
      <w:tr w:rsidR="005A7416" w:rsidRPr="00112B89" w14:paraId="120F2859" w14:textId="77777777" w:rsidTr="00B97B53">
        <w:trPr>
          <w:trHeight w:val="288"/>
        </w:trPr>
        <w:tc>
          <w:tcPr>
            <w:tcW w:w="0" w:type="auto"/>
            <w:tcBorders>
              <w:top w:val="single" w:sz="8" w:space="0" w:color="000000"/>
              <w:left w:val="single" w:sz="8" w:space="0" w:color="000000"/>
              <w:bottom w:val="single" w:sz="8" w:space="0" w:color="000000"/>
              <w:right w:val="single" w:sz="8" w:space="0" w:color="000000"/>
            </w:tcBorders>
          </w:tcPr>
          <w:p w14:paraId="37F70D4E"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L2-L4 juosmens slankstelių KMT</w:t>
            </w:r>
          </w:p>
        </w:tc>
        <w:tc>
          <w:tcPr>
            <w:tcW w:w="0" w:type="auto"/>
            <w:tcBorders>
              <w:top w:val="single" w:sz="8" w:space="0" w:color="000000"/>
              <w:left w:val="single" w:sz="8" w:space="0" w:color="000000"/>
              <w:bottom w:val="single" w:sz="8" w:space="0" w:color="000000"/>
              <w:right w:val="single" w:sz="8" w:space="0" w:color="000000"/>
            </w:tcBorders>
          </w:tcPr>
          <w:p w14:paraId="1BC6341E"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3,8 [3,4, 4,2]</w:t>
            </w:r>
          </w:p>
        </w:tc>
        <w:tc>
          <w:tcPr>
            <w:tcW w:w="0" w:type="auto"/>
            <w:tcBorders>
              <w:top w:val="single" w:sz="8" w:space="0" w:color="000000"/>
              <w:left w:val="single" w:sz="8" w:space="0" w:color="000000"/>
              <w:bottom w:val="single" w:sz="8" w:space="0" w:color="000000"/>
              <w:right w:val="single" w:sz="8" w:space="0" w:color="000000"/>
            </w:tcBorders>
          </w:tcPr>
          <w:p w14:paraId="1DCA2104"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4,8 [4,5, 5,2</w:t>
            </w:r>
            <w:r w:rsidR="00CA744A" w:rsidRPr="00112B89">
              <w:rPr>
                <w:rFonts w:ascii="Times New Roman" w:hAnsi="Times New Roman"/>
                <w:color w:val="000000"/>
              </w:rPr>
              <w:t>]</w:t>
            </w:r>
          </w:p>
        </w:tc>
        <w:tc>
          <w:tcPr>
            <w:tcW w:w="0" w:type="auto"/>
            <w:tcBorders>
              <w:top w:val="single" w:sz="8" w:space="0" w:color="000000"/>
              <w:left w:val="single" w:sz="8" w:space="0" w:color="000000"/>
              <w:bottom w:val="single" w:sz="8" w:space="0" w:color="000000"/>
              <w:right w:val="single" w:sz="8" w:space="0" w:color="000000"/>
            </w:tcBorders>
          </w:tcPr>
          <w:p w14:paraId="6E61602E"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4,8 [4,3, 5,4]</w:t>
            </w:r>
          </w:p>
        </w:tc>
        <w:tc>
          <w:tcPr>
            <w:tcW w:w="0" w:type="auto"/>
            <w:tcBorders>
              <w:top w:val="single" w:sz="8" w:space="0" w:color="000000"/>
              <w:left w:val="single" w:sz="8" w:space="0" w:color="000000"/>
              <w:bottom w:val="single" w:sz="8" w:space="0" w:color="000000"/>
              <w:right w:val="single" w:sz="8" w:space="0" w:color="000000"/>
            </w:tcBorders>
          </w:tcPr>
          <w:p w14:paraId="28B3BABA"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6,3 [5,7, 6,8]</w:t>
            </w:r>
          </w:p>
        </w:tc>
      </w:tr>
      <w:tr w:rsidR="005A7416" w:rsidRPr="00112B89" w14:paraId="34346D37" w14:textId="77777777" w:rsidTr="00B97B53">
        <w:trPr>
          <w:trHeight w:val="288"/>
        </w:trPr>
        <w:tc>
          <w:tcPr>
            <w:tcW w:w="0" w:type="auto"/>
            <w:tcBorders>
              <w:top w:val="single" w:sz="8" w:space="0" w:color="000000"/>
              <w:left w:val="single" w:sz="8" w:space="0" w:color="000000"/>
              <w:bottom w:val="single" w:sz="8" w:space="0" w:color="000000"/>
              <w:right w:val="single" w:sz="8" w:space="0" w:color="000000"/>
            </w:tcBorders>
          </w:tcPr>
          <w:p w14:paraId="6A8B895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Bendras klubo kaulų KMT</w:t>
            </w:r>
          </w:p>
        </w:tc>
        <w:tc>
          <w:tcPr>
            <w:tcW w:w="0" w:type="auto"/>
            <w:tcBorders>
              <w:top w:val="single" w:sz="8" w:space="0" w:color="000000"/>
              <w:left w:val="single" w:sz="8" w:space="0" w:color="000000"/>
              <w:bottom w:val="single" w:sz="8" w:space="0" w:color="000000"/>
              <w:right w:val="single" w:sz="8" w:space="0" w:color="000000"/>
            </w:tcBorders>
          </w:tcPr>
          <w:p w14:paraId="0620B27D"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1,8 [1,5, 2,1]</w:t>
            </w:r>
          </w:p>
        </w:tc>
        <w:tc>
          <w:tcPr>
            <w:tcW w:w="0" w:type="auto"/>
            <w:tcBorders>
              <w:top w:val="single" w:sz="8" w:space="0" w:color="000000"/>
              <w:left w:val="single" w:sz="8" w:space="0" w:color="000000"/>
              <w:bottom w:val="single" w:sz="8" w:space="0" w:color="000000"/>
              <w:right w:val="single" w:sz="8" w:space="0" w:color="000000"/>
            </w:tcBorders>
          </w:tcPr>
          <w:p w14:paraId="2F6C1DC2"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2,4 [2,0, 2,7]</w:t>
            </w:r>
          </w:p>
        </w:tc>
        <w:tc>
          <w:tcPr>
            <w:tcW w:w="0" w:type="auto"/>
            <w:tcBorders>
              <w:top w:val="single" w:sz="8" w:space="0" w:color="000000"/>
              <w:left w:val="single" w:sz="8" w:space="0" w:color="000000"/>
              <w:bottom w:val="single" w:sz="8" w:space="0" w:color="000000"/>
              <w:right w:val="single" w:sz="8" w:space="0" w:color="000000"/>
            </w:tcBorders>
          </w:tcPr>
          <w:p w14:paraId="61BE65BB"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2,2[1,8, 2,6]</w:t>
            </w:r>
          </w:p>
        </w:tc>
        <w:tc>
          <w:tcPr>
            <w:tcW w:w="0" w:type="auto"/>
            <w:tcBorders>
              <w:top w:val="single" w:sz="8" w:space="0" w:color="000000"/>
              <w:left w:val="single" w:sz="8" w:space="0" w:color="000000"/>
              <w:bottom w:val="single" w:sz="8" w:space="0" w:color="000000"/>
              <w:right w:val="single" w:sz="8" w:space="0" w:color="000000"/>
            </w:tcBorders>
          </w:tcPr>
          <w:p w14:paraId="605190FF"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3,1 [2,6, 3,6]</w:t>
            </w:r>
          </w:p>
        </w:tc>
      </w:tr>
      <w:tr w:rsidR="005A7416" w:rsidRPr="00112B89" w14:paraId="667D2E6A" w14:textId="77777777" w:rsidTr="00B97B53">
        <w:trPr>
          <w:trHeight w:val="288"/>
        </w:trPr>
        <w:tc>
          <w:tcPr>
            <w:tcW w:w="0" w:type="auto"/>
            <w:tcBorders>
              <w:top w:val="single" w:sz="8" w:space="0" w:color="000000"/>
              <w:left w:val="single" w:sz="8" w:space="0" w:color="000000"/>
              <w:bottom w:val="single" w:sz="8" w:space="0" w:color="000000"/>
              <w:right w:val="single" w:sz="8" w:space="0" w:color="000000"/>
            </w:tcBorders>
          </w:tcPr>
          <w:p w14:paraId="5A4EA40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Šlaunikaulio kaklelio KMT</w:t>
            </w:r>
          </w:p>
        </w:tc>
        <w:tc>
          <w:tcPr>
            <w:tcW w:w="0" w:type="auto"/>
            <w:tcBorders>
              <w:top w:val="single" w:sz="8" w:space="0" w:color="000000"/>
              <w:left w:val="single" w:sz="8" w:space="0" w:color="000000"/>
              <w:bottom w:val="single" w:sz="8" w:space="0" w:color="000000"/>
              <w:right w:val="single" w:sz="8" w:space="0" w:color="000000"/>
            </w:tcBorders>
          </w:tcPr>
          <w:p w14:paraId="15F6B014"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1,6 [1,2, 2,0]</w:t>
            </w:r>
          </w:p>
        </w:tc>
        <w:tc>
          <w:tcPr>
            <w:tcW w:w="0" w:type="auto"/>
            <w:tcBorders>
              <w:top w:val="single" w:sz="8" w:space="0" w:color="000000"/>
              <w:left w:val="single" w:sz="8" w:space="0" w:color="000000"/>
              <w:bottom w:val="single" w:sz="8" w:space="0" w:color="000000"/>
              <w:right w:val="single" w:sz="8" w:space="0" w:color="000000"/>
            </w:tcBorders>
          </w:tcPr>
          <w:p w14:paraId="33CDB074"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2,3 [1,9, 2,7]</w:t>
            </w:r>
          </w:p>
        </w:tc>
        <w:tc>
          <w:tcPr>
            <w:tcW w:w="0" w:type="auto"/>
            <w:tcBorders>
              <w:top w:val="single" w:sz="8" w:space="0" w:color="000000"/>
              <w:left w:val="single" w:sz="8" w:space="0" w:color="000000"/>
              <w:bottom w:val="single" w:sz="8" w:space="0" w:color="000000"/>
              <w:right w:val="single" w:sz="8" w:space="0" w:color="000000"/>
            </w:tcBorders>
          </w:tcPr>
          <w:p w14:paraId="74F72D07"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2,2 [1,8, 2,7]</w:t>
            </w:r>
          </w:p>
        </w:tc>
        <w:tc>
          <w:tcPr>
            <w:tcW w:w="0" w:type="auto"/>
            <w:tcBorders>
              <w:top w:val="single" w:sz="8" w:space="0" w:color="000000"/>
              <w:left w:val="single" w:sz="8" w:space="0" w:color="000000"/>
              <w:bottom w:val="single" w:sz="8" w:space="0" w:color="000000"/>
              <w:right w:val="single" w:sz="8" w:space="0" w:color="000000"/>
            </w:tcBorders>
          </w:tcPr>
          <w:p w14:paraId="49874C0B"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2,8 [2,3, 3,3]</w:t>
            </w:r>
          </w:p>
        </w:tc>
      </w:tr>
      <w:tr w:rsidR="005A7416" w:rsidRPr="00112B89" w14:paraId="0083808C" w14:textId="77777777" w:rsidTr="00B97B53">
        <w:trPr>
          <w:trHeight w:val="288"/>
        </w:trPr>
        <w:tc>
          <w:tcPr>
            <w:tcW w:w="0" w:type="auto"/>
            <w:tcBorders>
              <w:top w:val="single" w:sz="8" w:space="0" w:color="000000"/>
              <w:left w:val="single" w:sz="8" w:space="0" w:color="000000"/>
              <w:bottom w:val="single" w:sz="8" w:space="0" w:color="000000"/>
              <w:right w:val="single" w:sz="8" w:space="0" w:color="000000"/>
            </w:tcBorders>
          </w:tcPr>
          <w:p w14:paraId="6B6A925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lastRenderedPageBreak/>
              <w:t>Šlaunikaulio gūbrio KMT</w:t>
            </w:r>
          </w:p>
        </w:tc>
        <w:tc>
          <w:tcPr>
            <w:tcW w:w="0" w:type="auto"/>
            <w:tcBorders>
              <w:top w:val="single" w:sz="8" w:space="0" w:color="000000"/>
              <w:left w:val="single" w:sz="8" w:space="0" w:color="000000"/>
              <w:bottom w:val="single" w:sz="8" w:space="0" w:color="000000"/>
              <w:right w:val="single" w:sz="8" w:space="0" w:color="000000"/>
            </w:tcBorders>
          </w:tcPr>
          <w:p w14:paraId="727CFAC7"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3,0 [2,6, 3,4]</w:t>
            </w:r>
          </w:p>
        </w:tc>
        <w:tc>
          <w:tcPr>
            <w:tcW w:w="0" w:type="auto"/>
            <w:tcBorders>
              <w:top w:val="single" w:sz="8" w:space="0" w:color="000000"/>
              <w:left w:val="single" w:sz="8" w:space="0" w:color="000000"/>
              <w:bottom w:val="single" w:sz="8" w:space="0" w:color="000000"/>
              <w:right w:val="single" w:sz="8" w:space="0" w:color="000000"/>
            </w:tcBorders>
          </w:tcPr>
          <w:p w14:paraId="3FADA924"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3,8 [3,2, 4,4]</w:t>
            </w:r>
          </w:p>
        </w:tc>
        <w:tc>
          <w:tcPr>
            <w:tcW w:w="0" w:type="auto"/>
            <w:tcBorders>
              <w:top w:val="single" w:sz="8" w:space="0" w:color="000000"/>
              <w:left w:val="single" w:sz="8" w:space="0" w:color="000000"/>
              <w:bottom w:val="single" w:sz="8" w:space="0" w:color="000000"/>
              <w:right w:val="single" w:sz="8" w:space="0" w:color="000000"/>
            </w:tcBorders>
          </w:tcPr>
          <w:p w14:paraId="043EA5DF"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3,5 [3,0, 4,0]</w:t>
            </w:r>
          </w:p>
        </w:tc>
        <w:tc>
          <w:tcPr>
            <w:tcW w:w="0" w:type="auto"/>
            <w:tcBorders>
              <w:top w:val="single" w:sz="8" w:space="0" w:color="000000"/>
              <w:left w:val="single" w:sz="8" w:space="0" w:color="000000"/>
              <w:bottom w:val="single" w:sz="8" w:space="0" w:color="000000"/>
              <w:right w:val="single" w:sz="8" w:space="0" w:color="000000"/>
            </w:tcBorders>
          </w:tcPr>
          <w:p w14:paraId="726DFCAD" w14:textId="77777777" w:rsidR="005A7416" w:rsidRPr="00112B89" w:rsidRDefault="005A7416" w:rsidP="00CB4C6C">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4,9 [4,1, 5,7]</w:t>
            </w:r>
          </w:p>
        </w:tc>
      </w:tr>
    </w:tbl>
    <w:p w14:paraId="4FE72C8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72A46E04"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Be to, numatytoji perspektyvioji duomenų analizė po vienerių ir po dviejų metų parodė, kad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injekcija vieną kartą per 3 mėnesius labiau padidina juosmens slankstelių KMT, palyginti su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doze (p&lt;0,001 po vienerių, p&lt;0,001 po dviejų metų).</w:t>
      </w:r>
    </w:p>
    <w:p w14:paraId="291D8A7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6D569AC6"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Po vienerių metų gautais duomenimis (pacien</w:t>
      </w:r>
      <w:r w:rsidR="00532D8F" w:rsidRPr="00112B89">
        <w:rPr>
          <w:rFonts w:ascii="Times New Roman" w:hAnsi="Times New Roman"/>
          <w:color w:val="000000"/>
        </w:rPr>
        <w:t>t</w:t>
      </w:r>
      <w:r w:rsidRPr="00112B89">
        <w:rPr>
          <w:rFonts w:ascii="Times New Roman" w:hAnsi="Times New Roman"/>
          <w:color w:val="000000"/>
        </w:rPr>
        <w:t>ų, kuri</w:t>
      </w:r>
      <w:r w:rsidR="00532D8F" w:rsidRPr="00112B89">
        <w:rPr>
          <w:rFonts w:ascii="Times New Roman" w:hAnsi="Times New Roman"/>
          <w:color w:val="000000"/>
        </w:rPr>
        <w:t>e</w:t>
      </w:r>
      <w:r w:rsidRPr="00112B89">
        <w:rPr>
          <w:rFonts w:ascii="Times New Roman" w:hAnsi="Times New Roman"/>
          <w:color w:val="000000"/>
        </w:rPr>
        <w:t>ms pasireiškė KMT atsakas) 92,1% pacien</w:t>
      </w:r>
      <w:r w:rsidR="00532D8F" w:rsidRPr="00112B89">
        <w:rPr>
          <w:rFonts w:ascii="Times New Roman" w:hAnsi="Times New Roman"/>
          <w:color w:val="000000"/>
        </w:rPr>
        <w:t>t</w:t>
      </w:r>
      <w:r w:rsidRPr="00112B89">
        <w:rPr>
          <w:rFonts w:ascii="Times New Roman" w:hAnsi="Times New Roman"/>
          <w:color w:val="000000"/>
        </w:rPr>
        <w:t>ų, kuri</w:t>
      </w:r>
      <w:r w:rsidR="00532D8F" w:rsidRPr="00112B89">
        <w:rPr>
          <w:rFonts w:ascii="Times New Roman" w:hAnsi="Times New Roman"/>
          <w:color w:val="000000"/>
        </w:rPr>
        <w:t>e</w:t>
      </w:r>
      <w:r w:rsidRPr="00112B89">
        <w:rPr>
          <w:rFonts w:ascii="Times New Roman" w:hAnsi="Times New Roman"/>
          <w:color w:val="000000"/>
        </w:rPr>
        <w:t>ms buvo suleidžiama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dozė vieną kartą per 3 mėnesius, juosmens slankstelių KMT buvo toks pat arba didesnis už pradinį palyginti su 84,9% pacien</w:t>
      </w:r>
      <w:r w:rsidR="00532D8F" w:rsidRPr="00112B89">
        <w:rPr>
          <w:rFonts w:ascii="Times New Roman" w:hAnsi="Times New Roman"/>
          <w:color w:val="000000"/>
        </w:rPr>
        <w:t>t</w:t>
      </w:r>
      <w:r w:rsidRPr="00112B89">
        <w:rPr>
          <w:rFonts w:ascii="Times New Roman" w:hAnsi="Times New Roman"/>
          <w:color w:val="000000"/>
        </w:rPr>
        <w:t>ų, kuri</w:t>
      </w:r>
      <w:r w:rsidR="00532D8F" w:rsidRPr="00112B89">
        <w:rPr>
          <w:rFonts w:ascii="Times New Roman" w:hAnsi="Times New Roman"/>
          <w:color w:val="000000"/>
        </w:rPr>
        <w:t>e</w:t>
      </w:r>
      <w:r w:rsidRPr="00112B89">
        <w:rPr>
          <w:rFonts w:ascii="Times New Roman" w:hAnsi="Times New Roman"/>
          <w:color w:val="000000"/>
        </w:rPr>
        <w:t xml:space="preserve"> vartojo 2,5</w:t>
      </w:r>
      <w:r w:rsidR="00532D8F"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(p=0,002). Po dviejų metų atsakas gautais duomenimis, atsakas pasireiškė atitinkamai 92,8% ir 84,7 % pacien</w:t>
      </w:r>
      <w:r w:rsidR="00532D8F" w:rsidRPr="00112B89">
        <w:rPr>
          <w:rFonts w:ascii="Times New Roman" w:hAnsi="Times New Roman"/>
          <w:color w:val="000000"/>
        </w:rPr>
        <w:t>t</w:t>
      </w:r>
      <w:r w:rsidRPr="00112B89">
        <w:rPr>
          <w:rFonts w:ascii="Times New Roman" w:hAnsi="Times New Roman"/>
          <w:color w:val="000000"/>
        </w:rPr>
        <w:t>ų, kuri</w:t>
      </w:r>
      <w:r w:rsidR="00532D8F" w:rsidRPr="00112B89">
        <w:rPr>
          <w:rFonts w:ascii="Times New Roman" w:hAnsi="Times New Roman"/>
          <w:color w:val="000000"/>
        </w:rPr>
        <w:t>e</w:t>
      </w:r>
      <w:r w:rsidRPr="00112B89">
        <w:rPr>
          <w:rFonts w:ascii="Times New Roman" w:hAnsi="Times New Roman"/>
          <w:color w:val="000000"/>
        </w:rPr>
        <w:t xml:space="preserve"> vartojo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(p=0,001).</w:t>
      </w:r>
    </w:p>
    <w:p w14:paraId="2E7C951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7C6F7FD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82,3% pacien</w:t>
      </w:r>
      <w:r w:rsidR="00532D8F" w:rsidRPr="00112B89">
        <w:rPr>
          <w:rFonts w:ascii="Times New Roman" w:hAnsi="Times New Roman"/>
          <w:color w:val="000000"/>
        </w:rPr>
        <w:t>t</w:t>
      </w:r>
      <w:r w:rsidRPr="00112B89">
        <w:rPr>
          <w:rFonts w:ascii="Times New Roman" w:hAnsi="Times New Roman"/>
          <w:color w:val="000000"/>
        </w:rPr>
        <w:t>ų, kuri</w:t>
      </w:r>
      <w:r w:rsidR="00532D8F" w:rsidRPr="00112B89">
        <w:rPr>
          <w:rFonts w:ascii="Times New Roman" w:hAnsi="Times New Roman"/>
          <w:color w:val="000000"/>
        </w:rPr>
        <w:t>e</w:t>
      </w:r>
      <w:r w:rsidRPr="00112B89">
        <w:rPr>
          <w:rFonts w:ascii="Times New Roman" w:hAnsi="Times New Roman"/>
          <w:color w:val="000000"/>
        </w:rPr>
        <w:t xml:space="preserve">ms 3 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dozė buvo suleidžiama vieną kartą per 3 mėnesius, ir 75,1% pacien</w:t>
      </w:r>
      <w:r w:rsidR="00532D8F" w:rsidRPr="00112B89">
        <w:rPr>
          <w:rFonts w:ascii="Times New Roman" w:hAnsi="Times New Roman"/>
          <w:color w:val="000000"/>
        </w:rPr>
        <w:t>t</w:t>
      </w:r>
      <w:r w:rsidRPr="00112B89">
        <w:rPr>
          <w:rFonts w:ascii="Times New Roman" w:hAnsi="Times New Roman"/>
          <w:color w:val="000000"/>
        </w:rPr>
        <w:t>ų, vartojusių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bendras klubo kaulų KMT po vienerių metų buvo toks pat arba didesnis už pradinį (p=0,02),. Po dvejų metų 85,4% pacien</w:t>
      </w:r>
      <w:r w:rsidR="00532D8F" w:rsidRPr="00112B89">
        <w:rPr>
          <w:rFonts w:ascii="Times New Roman" w:hAnsi="Times New Roman"/>
          <w:color w:val="000000"/>
        </w:rPr>
        <w:t>tų</w:t>
      </w:r>
      <w:r w:rsidRPr="00112B89">
        <w:rPr>
          <w:rFonts w:ascii="Times New Roman" w:hAnsi="Times New Roman"/>
          <w:color w:val="000000"/>
        </w:rPr>
        <w:t>, kuri</w:t>
      </w:r>
      <w:r w:rsidR="00532D8F" w:rsidRPr="00112B89">
        <w:rPr>
          <w:rFonts w:ascii="Times New Roman" w:hAnsi="Times New Roman"/>
          <w:color w:val="000000"/>
        </w:rPr>
        <w:t>e</w:t>
      </w:r>
      <w:r w:rsidRPr="00112B89">
        <w:rPr>
          <w:rFonts w:ascii="Times New Roman" w:hAnsi="Times New Roman"/>
          <w:color w:val="000000"/>
        </w:rPr>
        <w:t>ms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dozė buvo suleidžiama vieną kartą per 3 mėnesius, ir 77,0% pacien</w:t>
      </w:r>
      <w:r w:rsidR="00532D8F" w:rsidRPr="00112B89">
        <w:rPr>
          <w:rFonts w:ascii="Times New Roman" w:hAnsi="Times New Roman"/>
          <w:color w:val="000000"/>
        </w:rPr>
        <w:t>t</w:t>
      </w:r>
      <w:r w:rsidRPr="00112B89">
        <w:rPr>
          <w:rFonts w:ascii="Times New Roman" w:hAnsi="Times New Roman"/>
          <w:color w:val="000000"/>
        </w:rPr>
        <w:t>ų, vartojusių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bendras klubo kaulų KMT buvo toks pat arba didesnis už pradinį (p&lt;0,004).</w:t>
      </w:r>
    </w:p>
    <w:p w14:paraId="5C87828A"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5A7CDA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Juosmens slankstelių ir bendrą klubo kaulų KMT padidėjo arba išliko toks pat po vienerių metų pasireiškė 76,2% pacien</w:t>
      </w:r>
      <w:r w:rsidR="00532D8F" w:rsidRPr="00112B89">
        <w:rPr>
          <w:rFonts w:ascii="Times New Roman" w:hAnsi="Times New Roman"/>
          <w:color w:val="000000"/>
        </w:rPr>
        <w:t>t</w:t>
      </w:r>
      <w:r w:rsidRPr="00112B89">
        <w:rPr>
          <w:rFonts w:ascii="Times New Roman" w:hAnsi="Times New Roman"/>
          <w:color w:val="000000"/>
        </w:rPr>
        <w:t>ų, kuri</w:t>
      </w:r>
      <w:r w:rsidR="00532D8F" w:rsidRPr="00112B89">
        <w:rPr>
          <w:rFonts w:ascii="Times New Roman" w:hAnsi="Times New Roman"/>
          <w:color w:val="000000"/>
        </w:rPr>
        <w:t>e</w:t>
      </w:r>
      <w:r w:rsidRPr="00112B89">
        <w:rPr>
          <w:rFonts w:ascii="Times New Roman" w:hAnsi="Times New Roman"/>
          <w:color w:val="000000"/>
        </w:rPr>
        <w:t xml:space="preserve">ms 3 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dozė buvo suleidžiama vieną kartą per 3 mėnesius, ir 67,2% pacien</w:t>
      </w:r>
      <w:r w:rsidR="00532D8F" w:rsidRPr="00112B89">
        <w:rPr>
          <w:rFonts w:ascii="Times New Roman" w:hAnsi="Times New Roman"/>
          <w:color w:val="000000"/>
        </w:rPr>
        <w:t>t</w:t>
      </w:r>
      <w:r w:rsidRPr="00112B89">
        <w:rPr>
          <w:rFonts w:ascii="Times New Roman" w:hAnsi="Times New Roman"/>
          <w:color w:val="000000"/>
        </w:rPr>
        <w:t>ų, vartojusių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(p=0,007). Po dviejų metų šį kriterijų atitiko atitinkamai 80,1% ir 68,8% pacien</w:t>
      </w:r>
      <w:r w:rsidR="00532D8F" w:rsidRPr="00112B89">
        <w:rPr>
          <w:rFonts w:ascii="Times New Roman" w:hAnsi="Times New Roman"/>
          <w:color w:val="000000"/>
        </w:rPr>
        <w:t>t</w:t>
      </w:r>
      <w:r w:rsidRPr="00112B89">
        <w:rPr>
          <w:rFonts w:ascii="Times New Roman" w:hAnsi="Times New Roman"/>
          <w:color w:val="000000"/>
        </w:rPr>
        <w:t xml:space="preserve">ų, kurioms 3 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dozė buvo suleidžiama vieną kartą per 3 mėnesius arba vartojo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grupėse (p=0,001).</w:t>
      </w:r>
    </w:p>
    <w:p w14:paraId="2189AAF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39703552" w14:textId="77777777" w:rsidR="005A7416" w:rsidRPr="00112B89" w:rsidRDefault="005A7416" w:rsidP="0085684D">
      <w:pPr>
        <w:autoSpaceDE w:val="0"/>
        <w:autoSpaceDN w:val="0"/>
        <w:adjustRightInd w:val="0"/>
        <w:spacing w:after="0" w:line="240" w:lineRule="auto"/>
        <w:rPr>
          <w:rFonts w:ascii="Times New Roman" w:hAnsi="Times New Roman"/>
          <w:i/>
          <w:color w:val="000000"/>
        </w:rPr>
      </w:pPr>
      <w:r w:rsidRPr="00112B89">
        <w:rPr>
          <w:rFonts w:ascii="Times New Roman" w:hAnsi="Times New Roman"/>
          <w:i/>
          <w:color w:val="000000"/>
        </w:rPr>
        <w:t>Biocheminiai kaulų apykaitos žymekliai</w:t>
      </w:r>
    </w:p>
    <w:p w14:paraId="20BA6D1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Kiekvieną kartą tiriant, stebėtas kliniškai reikšmingas CTX koncentracijų serume sumažėjimas. Po 12 mėnesių santykinio pokyčio mediana, palyginti su pradiniu rodmeniu, suleidžiant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dozę vieną kartą per 3 mėnesius, buvo – 58,6%, o vartojant 2,5 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 62,6%. Be to, nustatyta, kad atsakas (apibūdinamas rodmens sumažėjimu ≥50 %, palyginti su pradiniu) pasireiškė 64,8% pacien</w:t>
      </w:r>
      <w:r w:rsidR="00532D8F" w:rsidRPr="00112B89">
        <w:rPr>
          <w:rFonts w:ascii="Times New Roman" w:hAnsi="Times New Roman"/>
          <w:color w:val="000000"/>
        </w:rPr>
        <w:t>t</w:t>
      </w:r>
      <w:r w:rsidRPr="00112B89">
        <w:rPr>
          <w:rFonts w:ascii="Times New Roman" w:hAnsi="Times New Roman"/>
          <w:color w:val="000000"/>
        </w:rPr>
        <w:t>ų kuri</w:t>
      </w:r>
      <w:r w:rsidR="00532D8F" w:rsidRPr="00112B89">
        <w:rPr>
          <w:rFonts w:ascii="Times New Roman" w:hAnsi="Times New Roman"/>
          <w:color w:val="000000"/>
        </w:rPr>
        <w:t>e</w:t>
      </w:r>
      <w:r w:rsidRPr="00112B89">
        <w:rPr>
          <w:rFonts w:ascii="Times New Roman" w:hAnsi="Times New Roman"/>
          <w:color w:val="000000"/>
        </w:rPr>
        <w:t>ms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dozė buvo suleidžiama vieną kartą per 3 mėnesius, ir 64,9% pacien</w:t>
      </w:r>
      <w:r w:rsidR="00532D8F" w:rsidRPr="00112B89">
        <w:rPr>
          <w:rFonts w:ascii="Times New Roman" w:hAnsi="Times New Roman"/>
          <w:color w:val="000000"/>
        </w:rPr>
        <w:t>t</w:t>
      </w:r>
      <w:r w:rsidRPr="00112B89">
        <w:rPr>
          <w:rFonts w:ascii="Times New Roman" w:hAnsi="Times New Roman"/>
          <w:color w:val="000000"/>
        </w:rPr>
        <w:t>ų, vartojusių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CTX koncentracijos serume sumažėjimas išliko daugiau kaip 2 metus, daugiau kaip pusei pacien</w:t>
      </w:r>
      <w:r w:rsidR="00532D8F" w:rsidRPr="00112B89">
        <w:rPr>
          <w:rFonts w:ascii="Times New Roman" w:hAnsi="Times New Roman"/>
          <w:color w:val="000000"/>
        </w:rPr>
        <w:t>t</w:t>
      </w:r>
      <w:r w:rsidRPr="00112B89">
        <w:rPr>
          <w:rFonts w:ascii="Times New Roman" w:hAnsi="Times New Roman"/>
          <w:color w:val="000000"/>
        </w:rPr>
        <w:t>ų abiejose gydymo grupėse nustatytas atsakas.</w:t>
      </w:r>
    </w:p>
    <w:p w14:paraId="2AF8178C"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0AAC29EF"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Atsižvelgiant į BM 16550 tyrimo duomenis, manoma, kad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dozė, suleidžiama vieną kartą per 3 mėnesius, tikėtinai ne mažiau veiksmingai saugo nuo lūžių, kaip ir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dozė.</w:t>
      </w:r>
    </w:p>
    <w:p w14:paraId="09D161A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09C4DD6" w14:textId="77777777" w:rsidR="005A7416" w:rsidRPr="00112B89" w:rsidRDefault="005A7416" w:rsidP="0085684D">
      <w:pPr>
        <w:autoSpaceDE w:val="0"/>
        <w:autoSpaceDN w:val="0"/>
        <w:adjustRightInd w:val="0"/>
        <w:spacing w:after="0" w:line="240" w:lineRule="auto"/>
        <w:rPr>
          <w:rFonts w:ascii="Times New Roman" w:hAnsi="Times New Roman"/>
          <w:color w:val="000000"/>
          <w:u w:val="single"/>
        </w:rPr>
      </w:pPr>
      <w:r w:rsidRPr="00112B89">
        <w:rPr>
          <w:rFonts w:ascii="Times New Roman" w:hAnsi="Times New Roman"/>
          <w:color w:val="000000"/>
          <w:u w:val="single"/>
        </w:rPr>
        <w:t>Geriamoji 2,5</w:t>
      </w:r>
      <w:r w:rsidR="00271402" w:rsidRPr="00112B89">
        <w:rPr>
          <w:rFonts w:ascii="Times New Roman" w:hAnsi="Times New Roman"/>
          <w:color w:val="000000"/>
          <w:u w:val="single"/>
        </w:rPr>
        <w:t> </w:t>
      </w:r>
      <w:r w:rsidRPr="00112B89">
        <w:rPr>
          <w:rFonts w:ascii="Times New Roman" w:hAnsi="Times New Roman"/>
          <w:color w:val="000000"/>
          <w:u w:val="single"/>
        </w:rPr>
        <w:t xml:space="preserve">mg </w:t>
      </w:r>
      <w:proofErr w:type="spellStart"/>
      <w:r w:rsidRPr="00112B89">
        <w:rPr>
          <w:rFonts w:ascii="Times New Roman" w:hAnsi="Times New Roman"/>
          <w:color w:val="000000"/>
          <w:u w:val="single"/>
        </w:rPr>
        <w:t>ibandrono</w:t>
      </w:r>
      <w:proofErr w:type="spellEnd"/>
      <w:r w:rsidRPr="00112B89">
        <w:rPr>
          <w:rFonts w:ascii="Times New Roman" w:hAnsi="Times New Roman"/>
          <w:color w:val="000000"/>
          <w:u w:val="single"/>
        </w:rPr>
        <w:t xml:space="preserve"> rūgšties dozė vieną kartą per parą</w:t>
      </w:r>
    </w:p>
    <w:p w14:paraId="4762E27C"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37977D6C"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Pradinio trejus metus trukusio atsitiktinių imčių dvigubai aklo placebu kontroliuojamo kaulų lūžių tyrimo (MF 4411) duomenimis, nustatytas statistiškai ir kliniškai reikšmingas naujų </w:t>
      </w:r>
      <w:proofErr w:type="spellStart"/>
      <w:r w:rsidRPr="00112B89">
        <w:rPr>
          <w:rFonts w:ascii="Times New Roman" w:hAnsi="Times New Roman"/>
          <w:color w:val="000000"/>
        </w:rPr>
        <w:t>radiografinių</w:t>
      </w:r>
      <w:proofErr w:type="spellEnd"/>
      <w:r w:rsidRPr="00112B89">
        <w:rPr>
          <w:rFonts w:ascii="Times New Roman" w:hAnsi="Times New Roman"/>
          <w:color w:val="000000"/>
        </w:rPr>
        <w:t xml:space="preserve"> </w:t>
      </w:r>
      <w:proofErr w:type="spellStart"/>
      <w:r w:rsidRPr="00112B89">
        <w:rPr>
          <w:rFonts w:ascii="Times New Roman" w:hAnsi="Times New Roman"/>
          <w:color w:val="000000"/>
        </w:rPr>
        <w:t>morfometrinių</w:t>
      </w:r>
      <w:proofErr w:type="spellEnd"/>
      <w:r w:rsidRPr="00112B89">
        <w:rPr>
          <w:rFonts w:ascii="Times New Roman" w:hAnsi="Times New Roman"/>
          <w:color w:val="000000"/>
        </w:rPr>
        <w:t xml:space="preserve"> ir simptominių stuburo slankstelių lūžių dažnio sumažėjimas (3. lentelė). Šio tyrimo metu buvo įvertinti gydymo planai, pagal kuriuos buvo per burną vartota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dozė arba po 20</w:t>
      </w:r>
      <w:r w:rsidR="00271402" w:rsidRPr="00112B89">
        <w:rPr>
          <w:rFonts w:ascii="Times New Roman" w:hAnsi="Times New Roman"/>
          <w:color w:val="000000"/>
        </w:rPr>
        <w:t> </w:t>
      </w:r>
      <w:r w:rsidRPr="00112B89">
        <w:rPr>
          <w:rFonts w:ascii="Times New Roman" w:hAnsi="Times New Roman"/>
          <w:color w:val="000000"/>
        </w:rPr>
        <w:t>mg dozė su pertraukomis (tiriamasis gydymo planas). Pacient</w:t>
      </w:r>
      <w:r w:rsidR="00532D8F" w:rsidRPr="00112B89">
        <w:rPr>
          <w:rFonts w:ascii="Times New Roman" w:hAnsi="Times New Roman"/>
          <w:color w:val="000000"/>
        </w:rPr>
        <w:t>ai</w:t>
      </w:r>
      <w:r w:rsidRPr="00112B89">
        <w:rPr>
          <w:rFonts w:ascii="Times New Roman" w:hAnsi="Times New Roman"/>
          <w:color w:val="000000"/>
        </w:rPr>
        <w:t xml:space="preserve">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dozę išgerdavo likus 60 minučių iki pirmojo dienos valgio arba gėrimo (nevalgymo laikas išgėrus dozę). Tyrime dalyvavo 55</w:t>
      </w:r>
      <w:r w:rsidRPr="00112B89">
        <w:rPr>
          <w:rFonts w:ascii="Times New Roman" w:hAnsi="Times New Roman"/>
          <w:color w:val="000000"/>
        </w:rPr>
        <w:noBreakHyphen/>
        <w:t>80 metų moterys praėjus ne mažiau kaip 5 metams po menopauzės, kurių juosmens slankstelių KMT bent viename slankstelyje (L1-L4) buvo 2</w:t>
      </w:r>
      <w:r w:rsidRPr="00112B89">
        <w:rPr>
          <w:rFonts w:ascii="Times New Roman" w:hAnsi="Times New Roman"/>
          <w:color w:val="000000"/>
        </w:rPr>
        <w:noBreakHyphen/>
        <w:t>5 SN mažesnis už vidurkį prieš menopauzę (T balas) ir kurios buvo patyrusios nuo vieno iki keturių vyraujančių stuburo slankstelių lūžių. Vis</w:t>
      </w:r>
      <w:r w:rsidR="00FC3102" w:rsidRPr="00112B89">
        <w:rPr>
          <w:rFonts w:ascii="Times New Roman" w:hAnsi="Times New Roman"/>
          <w:color w:val="000000"/>
        </w:rPr>
        <w:t>i</w:t>
      </w:r>
      <w:r w:rsidRPr="00112B89">
        <w:rPr>
          <w:rFonts w:ascii="Times New Roman" w:hAnsi="Times New Roman"/>
          <w:color w:val="000000"/>
        </w:rPr>
        <w:t xml:space="preserve"> pacient</w:t>
      </w:r>
      <w:r w:rsidR="00FC3102" w:rsidRPr="00112B89">
        <w:rPr>
          <w:rFonts w:ascii="Times New Roman" w:hAnsi="Times New Roman"/>
          <w:color w:val="000000"/>
        </w:rPr>
        <w:t>ai</w:t>
      </w:r>
      <w:r w:rsidRPr="00112B89">
        <w:rPr>
          <w:rFonts w:ascii="Times New Roman" w:hAnsi="Times New Roman"/>
          <w:color w:val="000000"/>
        </w:rPr>
        <w:t xml:space="preserve"> vartojo po 500</w:t>
      </w:r>
      <w:r w:rsidR="00271402" w:rsidRPr="00112B89">
        <w:rPr>
          <w:rFonts w:ascii="Times New Roman" w:hAnsi="Times New Roman"/>
          <w:color w:val="000000"/>
        </w:rPr>
        <w:t> </w:t>
      </w:r>
      <w:r w:rsidRPr="00112B89">
        <w:rPr>
          <w:rFonts w:ascii="Times New Roman" w:hAnsi="Times New Roman"/>
          <w:color w:val="000000"/>
        </w:rPr>
        <w:t>mg kalcio ir 400 TV vitamino D per parą. Veiksmingumas buvo įvertintas, tiriant 2928 pacient</w:t>
      </w:r>
      <w:r w:rsidR="00FC3102" w:rsidRPr="00112B89">
        <w:rPr>
          <w:rFonts w:ascii="Times New Roman" w:hAnsi="Times New Roman"/>
          <w:color w:val="000000"/>
        </w:rPr>
        <w:t>u</w:t>
      </w:r>
      <w:r w:rsidRPr="00112B89">
        <w:rPr>
          <w:rFonts w:ascii="Times New Roman" w:hAnsi="Times New Roman"/>
          <w:color w:val="000000"/>
        </w:rPr>
        <w:t>s. Vartojant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w:t>
      </w:r>
      <w:r w:rsidRPr="00112B89">
        <w:rPr>
          <w:rFonts w:ascii="Times New Roman" w:hAnsi="Times New Roman"/>
          <w:color w:val="000000"/>
        </w:rPr>
        <w:lastRenderedPageBreak/>
        <w:t xml:space="preserve">dozę, naujų stuburo slankstelių lūžių atvejai buvo statistiškai ir kliniškai reikšmingai retesni. Šis gydymo planas per trejus metus sumažino naujų </w:t>
      </w:r>
      <w:proofErr w:type="spellStart"/>
      <w:r w:rsidRPr="00112B89">
        <w:rPr>
          <w:rFonts w:ascii="Times New Roman" w:hAnsi="Times New Roman"/>
          <w:color w:val="000000"/>
        </w:rPr>
        <w:t>radiografinių</w:t>
      </w:r>
      <w:proofErr w:type="spellEnd"/>
      <w:r w:rsidRPr="00112B89">
        <w:rPr>
          <w:rFonts w:ascii="Times New Roman" w:hAnsi="Times New Roman"/>
          <w:color w:val="000000"/>
        </w:rPr>
        <w:t xml:space="preserve"> stuburo slankstelių lūžių dažnį 62% (p=0,0001). Santykinė rizika po 2 metų sumažėjo 61% (p=0,0006). Po vienerių gydymo metų statistiškai reikšmingo skirtumo nenustatyta (p=0,056). Įtaka kaulų lūžiams nekito per visą tyrimą. Poveikio silpnėjimo požymių nepastebėta.</w:t>
      </w:r>
    </w:p>
    <w:p w14:paraId="49B371EC"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042654D6"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Klinikinių stuburo slankstelių lūžių dažnis irgi reikšmingai sumažėjo 49% (p=0,011). Be to, didelę įtaką stuburo slankstelių lūžiams rodo ir statistiškai reikšmingas pacien</w:t>
      </w:r>
      <w:r w:rsidR="00FC3102" w:rsidRPr="00112B89">
        <w:rPr>
          <w:rFonts w:ascii="Times New Roman" w:hAnsi="Times New Roman"/>
          <w:color w:val="000000"/>
        </w:rPr>
        <w:t>t</w:t>
      </w:r>
      <w:r w:rsidRPr="00112B89">
        <w:rPr>
          <w:rFonts w:ascii="Times New Roman" w:hAnsi="Times New Roman"/>
          <w:color w:val="000000"/>
        </w:rPr>
        <w:t>ų ūgio mažėjimo sulėtėjimas, palyginti su placebu (p&lt;0,0001).</w:t>
      </w:r>
    </w:p>
    <w:p w14:paraId="4D91510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ADDAD90"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3. lentelė. Trejus metus trukusio MF 4411 lūžių tyrimo duomenys (%, 95% PI)</w:t>
      </w:r>
    </w:p>
    <w:tbl>
      <w:tblPr>
        <w:tblW w:w="9214" w:type="dxa"/>
        <w:tblInd w:w="108" w:type="dxa"/>
        <w:tblLayout w:type="fixed"/>
        <w:tblLook w:val="0000" w:firstRow="0" w:lastRow="0" w:firstColumn="0" w:lastColumn="0" w:noHBand="0" w:noVBand="0"/>
      </w:tblPr>
      <w:tblGrid>
        <w:gridCol w:w="4395"/>
        <w:gridCol w:w="2445"/>
        <w:gridCol w:w="2374"/>
      </w:tblGrid>
      <w:tr w:rsidR="005A7416" w:rsidRPr="00112B89" w14:paraId="1ED1B701" w14:textId="77777777" w:rsidTr="00B97B53">
        <w:trPr>
          <w:trHeight w:val="541"/>
        </w:trPr>
        <w:tc>
          <w:tcPr>
            <w:tcW w:w="4395" w:type="dxa"/>
            <w:tcBorders>
              <w:top w:val="single" w:sz="8" w:space="0" w:color="000000"/>
              <w:left w:val="single" w:sz="8" w:space="0" w:color="000000"/>
              <w:bottom w:val="single" w:sz="8" w:space="0" w:color="000000"/>
              <w:right w:val="single" w:sz="8" w:space="0" w:color="000000"/>
            </w:tcBorders>
          </w:tcPr>
          <w:p w14:paraId="0558667A"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tc>
        <w:tc>
          <w:tcPr>
            <w:tcW w:w="2445" w:type="dxa"/>
            <w:tcBorders>
              <w:top w:val="single" w:sz="8" w:space="0" w:color="000000"/>
              <w:left w:val="single" w:sz="8" w:space="0" w:color="000000"/>
              <w:bottom w:val="single" w:sz="8" w:space="0" w:color="000000"/>
              <w:right w:val="single" w:sz="8" w:space="0" w:color="000000"/>
            </w:tcBorders>
          </w:tcPr>
          <w:p w14:paraId="2B5FFEC8"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Placebas</w:t>
            </w:r>
          </w:p>
          <w:p w14:paraId="1CBE1BCB"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(n=974)</w:t>
            </w:r>
          </w:p>
        </w:tc>
        <w:tc>
          <w:tcPr>
            <w:tcW w:w="2374" w:type="dxa"/>
            <w:tcBorders>
              <w:top w:val="single" w:sz="8" w:space="0" w:color="000000"/>
              <w:left w:val="single" w:sz="8" w:space="0" w:color="000000"/>
              <w:bottom w:val="single" w:sz="8" w:space="0" w:color="000000"/>
              <w:right w:val="single" w:sz="8" w:space="0" w:color="000000"/>
            </w:tcBorders>
          </w:tcPr>
          <w:p w14:paraId="443D0C1E"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2,5 mg</w:t>
            </w:r>
            <w:r w:rsidR="00271402" w:rsidRPr="00112B89">
              <w:rPr>
                <w:rFonts w:ascii="Times New Roman" w:hAnsi="Times New Roman"/>
                <w:color w:val="000000"/>
              </w:rPr>
              <w:t>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dozė</w:t>
            </w:r>
          </w:p>
          <w:p w14:paraId="7506BEC6"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(n=977)</w:t>
            </w:r>
          </w:p>
        </w:tc>
      </w:tr>
      <w:tr w:rsidR="005A7416" w:rsidRPr="00112B89" w14:paraId="57EEA72E" w14:textId="77777777" w:rsidTr="00B97B53">
        <w:trPr>
          <w:trHeight w:val="541"/>
        </w:trPr>
        <w:tc>
          <w:tcPr>
            <w:tcW w:w="4395" w:type="dxa"/>
            <w:tcBorders>
              <w:top w:val="single" w:sz="8" w:space="0" w:color="000000"/>
              <w:left w:val="single" w:sz="8" w:space="0" w:color="000000"/>
              <w:bottom w:val="single" w:sz="8" w:space="0" w:color="000000"/>
              <w:right w:val="single" w:sz="8" w:space="0" w:color="000000"/>
            </w:tcBorders>
          </w:tcPr>
          <w:p w14:paraId="6E666B9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Santykinės rizikos sumažėjimas</w:t>
            </w:r>
          </w:p>
          <w:p w14:paraId="6A3B6676"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Nauji </w:t>
            </w:r>
            <w:proofErr w:type="spellStart"/>
            <w:r w:rsidRPr="00112B89">
              <w:rPr>
                <w:rFonts w:ascii="Times New Roman" w:hAnsi="Times New Roman"/>
                <w:color w:val="000000"/>
              </w:rPr>
              <w:t>morfometriniai</w:t>
            </w:r>
            <w:proofErr w:type="spellEnd"/>
            <w:r w:rsidRPr="00112B89">
              <w:rPr>
                <w:rFonts w:ascii="Times New Roman" w:hAnsi="Times New Roman"/>
                <w:color w:val="000000"/>
              </w:rPr>
              <w:t xml:space="preserve"> stuburo slankstelių lūžiai</w:t>
            </w:r>
          </w:p>
        </w:tc>
        <w:tc>
          <w:tcPr>
            <w:tcW w:w="2445" w:type="dxa"/>
            <w:tcBorders>
              <w:top w:val="single" w:sz="8" w:space="0" w:color="000000"/>
              <w:left w:val="single" w:sz="8" w:space="0" w:color="000000"/>
              <w:bottom w:val="single" w:sz="8" w:space="0" w:color="000000"/>
              <w:right w:val="single" w:sz="8" w:space="0" w:color="000000"/>
            </w:tcBorders>
          </w:tcPr>
          <w:p w14:paraId="03D6A399"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p>
        </w:tc>
        <w:tc>
          <w:tcPr>
            <w:tcW w:w="2374" w:type="dxa"/>
            <w:tcBorders>
              <w:top w:val="single" w:sz="8" w:space="0" w:color="000000"/>
              <w:left w:val="single" w:sz="8" w:space="0" w:color="000000"/>
              <w:bottom w:val="single" w:sz="8" w:space="0" w:color="000000"/>
              <w:right w:val="single" w:sz="8" w:space="0" w:color="000000"/>
            </w:tcBorders>
          </w:tcPr>
          <w:p w14:paraId="5C4ED92E"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62% (40,9, 75,1)</w:t>
            </w:r>
          </w:p>
        </w:tc>
      </w:tr>
      <w:tr w:rsidR="005A7416" w:rsidRPr="00112B89" w14:paraId="2037CA5C" w14:textId="77777777" w:rsidTr="00B97B53">
        <w:trPr>
          <w:trHeight w:val="541"/>
        </w:trPr>
        <w:tc>
          <w:tcPr>
            <w:tcW w:w="4395" w:type="dxa"/>
            <w:tcBorders>
              <w:top w:val="single" w:sz="8" w:space="0" w:color="000000"/>
              <w:left w:val="single" w:sz="8" w:space="0" w:color="000000"/>
              <w:bottom w:val="single" w:sz="8" w:space="0" w:color="000000"/>
              <w:right w:val="single" w:sz="8" w:space="0" w:color="000000"/>
            </w:tcBorders>
          </w:tcPr>
          <w:p w14:paraId="79907802"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Naujų </w:t>
            </w:r>
            <w:proofErr w:type="spellStart"/>
            <w:r w:rsidRPr="00112B89">
              <w:rPr>
                <w:rFonts w:ascii="Times New Roman" w:hAnsi="Times New Roman"/>
                <w:color w:val="000000"/>
              </w:rPr>
              <w:t>morfometrinių</w:t>
            </w:r>
            <w:proofErr w:type="spellEnd"/>
            <w:r w:rsidRPr="00112B89">
              <w:rPr>
                <w:rFonts w:ascii="Times New Roman" w:hAnsi="Times New Roman"/>
                <w:color w:val="000000"/>
              </w:rPr>
              <w:t xml:space="preserve"> stuburo slankstelių lūžių dažnis</w:t>
            </w:r>
          </w:p>
        </w:tc>
        <w:tc>
          <w:tcPr>
            <w:tcW w:w="2445" w:type="dxa"/>
            <w:tcBorders>
              <w:top w:val="single" w:sz="8" w:space="0" w:color="000000"/>
              <w:left w:val="single" w:sz="8" w:space="0" w:color="000000"/>
              <w:bottom w:val="single" w:sz="8" w:space="0" w:color="000000"/>
              <w:right w:val="single" w:sz="8" w:space="0" w:color="000000"/>
            </w:tcBorders>
          </w:tcPr>
          <w:p w14:paraId="3658DEEF"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9,56% (7,5, 11,7)</w:t>
            </w:r>
          </w:p>
        </w:tc>
        <w:tc>
          <w:tcPr>
            <w:tcW w:w="2374" w:type="dxa"/>
            <w:tcBorders>
              <w:top w:val="single" w:sz="8" w:space="0" w:color="000000"/>
              <w:left w:val="single" w:sz="8" w:space="0" w:color="000000"/>
              <w:bottom w:val="single" w:sz="8" w:space="0" w:color="000000"/>
              <w:right w:val="single" w:sz="8" w:space="0" w:color="000000"/>
            </w:tcBorders>
          </w:tcPr>
          <w:p w14:paraId="0A6D5A8F"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4,68% (3,2, 6,2)</w:t>
            </w:r>
          </w:p>
        </w:tc>
      </w:tr>
      <w:tr w:rsidR="005A7416" w:rsidRPr="00112B89" w14:paraId="1E12FA0A" w14:textId="77777777" w:rsidTr="00B97B53">
        <w:trPr>
          <w:trHeight w:val="541"/>
        </w:trPr>
        <w:tc>
          <w:tcPr>
            <w:tcW w:w="4395" w:type="dxa"/>
            <w:tcBorders>
              <w:top w:val="single" w:sz="8" w:space="0" w:color="000000"/>
              <w:left w:val="single" w:sz="8" w:space="0" w:color="000000"/>
              <w:bottom w:val="single" w:sz="8" w:space="0" w:color="000000"/>
              <w:right w:val="single" w:sz="8" w:space="0" w:color="000000"/>
            </w:tcBorders>
          </w:tcPr>
          <w:p w14:paraId="175AFDEC"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Klinikinių stuburo slankstelių lūžių atvejų santykinės rizikos sumažėjimas</w:t>
            </w:r>
          </w:p>
        </w:tc>
        <w:tc>
          <w:tcPr>
            <w:tcW w:w="2445" w:type="dxa"/>
            <w:tcBorders>
              <w:top w:val="single" w:sz="8" w:space="0" w:color="000000"/>
              <w:left w:val="single" w:sz="8" w:space="0" w:color="000000"/>
              <w:bottom w:val="single" w:sz="8" w:space="0" w:color="000000"/>
              <w:right w:val="single" w:sz="8" w:space="0" w:color="000000"/>
            </w:tcBorders>
          </w:tcPr>
          <w:p w14:paraId="18CBF9B0"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p>
        </w:tc>
        <w:tc>
          <w:tcPr>
            <w:tcW w:w="2374" w:type="dxa"/>
            <w:tcBorders>
              <w:top w:val="single" w:sz="8" w:space="0" w:color="000000"/>
              <w:left w:val="single" w:sz="8" w:space="0" w:color="000000"/>
              <w:bottom w:val="single" w:sz="8" w:space="0" w:color="000000"/>
              <w:right w:val="single" w:sz="8" w:space="0" w:color="000000"/>
            </w:tcBorders>
          </w:tcPr>
          <w:p w14:paraId="64369C31"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49% (14,03, 69,49)</w:t>
            </w:r>
          </w:p>
        </w:tc>
      </w:tr>
      <w:tr w:rsidR="005A7416" w:rsidRPr="00112B89" w14:paraId="7B87166F" w14:textId="77777777" w:rsidTr="00B97B53">
        <w:trPr>
          <w:trHeight w:val="541"/>
        </w:trPr>
        <w:tc>
          <w:tcPr>
            <w:tcW w:w="4395" w:type="dxa"/>
            <w:tcBorders>
              <w:top w:val="single" w:sz="8" w:space="0" w:color="000000"/>
              <w:left w:val="single" w:sz="8" w:space="0" w:color="000000"/>
              <w:bottom w:val="single" w:sz="8" w:space="0" w:color="000000"/>
              <w:right w:val="single" w:sz="8" w:space="0" w:color="000000"/>
            </w:tcBorders>
          </w:tcPr>
          <w:p w14:paraId="590F1D3C"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Klinikinių stuburo slankstelių lūžių atvejų dažnis</w:t>
            </w:r>
          </w:p>
        </w:tc>
        <w:tc>
          <w:tcPr>
            <w:tcW w:w="2445" w:type="dxa"/>
            <w:tcBorders>
              <w:top w:val="single" w:sz="8" w:space="0" w:color="000000"/>
              <w:left w:val="single" w:sz="8" w:space="0" w:color="000000"/>
              <w:bottom w:val="single" w:sz="8" w:space="0" w:color="000000"/>
              <w:right w:val="single" w:sz="8" w:space="0" w:color="000000"/>
            </w:tcBorders>
          </w:tcPr>
          <w:p w14:paraId="33E16B34"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5,33% (3,73, 6,92)</w:t>
            </w:r>
          </w:p>
        </w:tc>
        <w:tc>
          <w:tcPr>
            <w:tcW w:w="2374" w:type="dxa"/>
            <w:tcBorders>
              <w:top w:val="single" w:sz="8" w:space="0" w:color="000000"/>
              <w:left w:val="single" w:sz="8" w:space="0" w:color="000000"/>
              <w:bottom w:val="single" w:sz="8" w:space="0" w:color="000000"/>
              <w:right w:val="single" w:sz="8" w:space="0" w:color="000000"/>
            </w:tcBorders>
          </w:tcPr>
          <w:p w14:paraId="69DA6CA6"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2,75% (1,61, 3,89)</w:t>
            </w:r>
          </w:p>
        </w:tc>
      </w:tr>
      <w:tr w:rsidR="005A7416" w:rsidRPr="00112B89" w14:paraId="2CBD27D6" w14:textId="77777777" w:rsidTr="00B97B53">
        <w:trPr>
          <w:trHeight w:val="541"/>
        </w:trPr>
        <w:tc>
          <w:tcPr>
            <w:tcW w:w="4395" w:type="dxa"/>
            <w:tcBorders>
              <w:top w:val="single" w:sz="8" w:space="0" w:color="000000"/>
              <w:left w:val="single" w:sz="8" w:space="0" w:color="000000"/>
              <w:bottom w:val="single" w:sz="8" w:space="0" w:color="000000"/>
              <w:right w:val="single" w:sz="8" w:space="0" w:color="000000"/>
            </w:tcBorders>
          </w:tcPr>
          <w:p w14:paraId="0874A36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KMT – vidutinis juosmens slankstelių rodmens pokytis 3-čiais metais, palyginti su pradiniu</w:t>
            </w:r>
          </w:p>
        </w:tc>
        <w:tc>
          <w:tcPr>
            <w:tcW w:w="2445" w:type="dxa"/>
            <w:tcBorders>
              <w:top w:val="single" w:sz="8" w:space="0" w:color="000000"/>
              <w:left w:val="single" w:sz="8" w:space="0" w:color="000000"/>
              <w:bottom w:val="single" w:sz="8" w:space="0" w:color="000000"/>
              <w:right w:val="single" w:sz="8" w:space="0" w:color="000000"/>
            </w:tcBorders>
          </w:tcPr>
          <w:p w14:paraId="7DAC67DF"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1,26% (0,8, 1,7)</w:t>
            </w:r>
          </w:p>
        </w:tc>
        <w:tc>
          <w:tcPr>
            <w:tcW w:w="2374" w:type="dxa"/>
            <w:tcBorders>
              <w:top w:val="single" w:sz="8" w:space="0" w:color="000000"/>
              <w:left w:val="single" w:sz="8" w:space="0" w:color="000000"/>
              <w:bottom w:val="single" w:sz="8" w:space="0" w:color="000000"/>
              <w:right w:val="single" w:sz="8" w:space="0" w:color="000000"/>
            </w:tcBorders>
          </w:tcPr>
          <w:p w14:paraId="5A19D996"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6,54% (6,1, 7,0)</w:t>
            </w:r>
          </w:p>
        </w:tc>
      </w:tr>
      <w:tr w:rsidR="005A7416" w:rsidRPr="00112B89" w14:paraId="0AF64CA9" w14:textId="77777777" w:rsidTr="00B97B53">
        <w:trPr>
          <w:trHeight w:val="541"/>
        </w:trPr>
        <w:tc>
          <w:tcPr>
            <w:tcW w:w="4395" w:type="dxa"/>
            <w:tcBorders>
              <w:top w:val="single" w:sz="8" w:space="0" w:color="000000"/>
              <w:left w:val="single" w:sz="8" w:space="0" w:color="000000"/>
              <w:bottom w:val="single" w:sz="8" w:space="0" w:color="000000"/>
              <w:right w:val="single" w:sz="8" w:space="0" w:color="000000"/>
            </w:tcBorders>
          </w:tcPr>
          <w:p w14:paraId="6FADF622"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KMT – vidutinis visų klubo kaulų rodmens pokytis 3-čiais metais, palyginti su pradiniu</w:t>
            </w:r>
          </w:p>
        </w:tc>
        <w:tc>
          <w:tcPr>
            <w:tcW w:w="2445" w:type="dxa"/>
            <w:tcBorders>
              <w:top w:val="single" w:sz="8" w:space="0" w:color="000000"/>
              <w:left w:val="single" w:sz="8" w:space="0" w:color="000000"/>
              <w:bottom w:val="single" w:sz="8" w:space="0" w:color="000000"/>
              <w:right w:val="single" w:sz="8" w:space="0" w:color="000000"/>
            </w:tcBorders>
          </w:tcPr>
          <w:p w14:paraId="7FC87BCC"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-0,69% (-1,0, -0,4)</w:t>
            </w:r>
          </w:p>
        </w:tc>
        <w:tc>
          <w:tcPr>
            <w:tcW w:w="2374" w:type="dxa"/>
            <w:tcBorders>
              <w:top w:val="single" w:sz="8" w:space="0" w:color="000000"/>
              <w:left w:val="single" w:sz="8" w:space="0" w:color="000000"/>
              <w:bottom w:val="single" w:sz="8" w:space="0" w:color="000000"/>
              <w:right w:val="single" w:sz="8" w:space="0" w:color="000000"/>
            </w:tcBorders>
          </w:tcPr>
          <w:p w14:paraId="49422E48"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3,36% (3,0, 3,7)</w:t>
            </w:r>
          </w:p>
        </w:tc>
      </w:tr>
    </w:tbl>
    <w:p w14:paraId="25E7B45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4FDD88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Gydomasis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poveikis buvo įvertintas papildomai analizuojant pogrupį pacien</w:t>
      </w:r>
      <w:r w:rsidR="00FC3102" w:rsidRPr="00112B89">
        <w:rPr>
          <w:rFonts w:ascii="Times New Roman" w:hAnsi="Times New Roman"/>
          <w:color w:val="000000"/>
        </w:rPr>
        <w:t>t</w:t>
      </w:r>
      <w:r w:rsidRPr="00112B89">
        <w:rPr>
          <w:rFonts w:ascii="Times New Roman" w:hAnsi="Times New Roman"/>
          <w:color w:val="000000"/>
        </w:rPr>
        <w:t>ų, kurių pradinis juosmens slankstelių KMT T balas buvo mažesnis kaip -2,5 (4. lentelė). Stuburo slankstelių lūžių rizikos sumažėjimas buvo panašus į visos populiacijos.</w:t>
      </w:r>
    </w:p>
    <w:p w14:paraId="5969717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3D33A13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4. lentelė. Trejus metus trukusio MF 4411 lūžių tyrimo duomenys (%, 95% PI) apie pacient</w:t>
      </w:r>
      <w:r w:rsidR="00FC3102" w:rsidRPr="00112B89">
        <w:rPr>
          <w:rFonts w:ascii="Times New Roman" w:hAnsi="Times New Roman"/>
          <w:color w:val="000000"/>
        </w:rPr>
        <w:t>u</w:t>
      </w:r>
      <w:r w:rsidRPr="00112B89">
        <w:rPr>
          <w:rFonts w:ascii="Times New Roman" w:hAnsi="Times New Roman"/>
          <w:color w:val="000000"/>
        </w:rPr>
        <w:t>s, kurių pradinis juosmens slankstelių KMT T balas buvo mažesnis kaip -2,5.</w:t>
      </w:r>
    </w:p>
    <w:tbl>
      <w:tblPr>
        <w:tblW w:w="9214" w:type="dxa"/>
        <w:tblInd w:w="108" w:type="dxa"/>
        <w:tblLayout w:type="fixed"/>
        <w:tblLook w:val="0000" w:firstRow="0" w:lastRow="0" w:firstColumn="0" w:lastColumn="0" w:noHBand="0" w:noVBand="0"/>
      </w:tblPr>
      <w:tblGrid>
        <w:gridCol w:w="4678"/>
        <w:gridCol w:w="2410"/>
        <w:gridCol w:w="2126"/>
      </w:tblGrid>
      <w:tr w:rsidR="005A7416" w:rsidRPr="00112B89" w14:paraId="11EA6759" w14:textId="77777777" w:rsidTr="00B97B53">
        <w:trPr>
          <w:trHeight w:val="541"/>
        </w:trPr>
        <w:tc>
          <w:tcPr>
            <w:tcW w:w="4678" w:type="dxa"/>
            <w:tcBorders>
              <w:top w:val="single" w:sz="8" w:space="0" w:color="000000"/>
              <w:left w:val="single" w:sz="8" w:space="0" w:color="000000"/>
              <w:bottom w:val="single" w:sz="8" w:space="0" w:color="000000"/>
              <w:right w:val="single" w:sz="8" w:space="0" w:color="000000"/>
            </w:tcBorders>
          </w:tcPr>
          <w:p w14:paraId="00BC04B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tc>
        <w:tc>
          <w:tcPr>
            <w:tcW w:w="2410" w:type="dxa"/>
            <w:tcBorders>
              <w:top w:val="single" w:sz="8" w:space="0" w:color="000000"/>
              <w:left w:val="single" w:sz="8" w:space="0" w:color="000000"/>
              <w:bottom w:val="single" w:sz="8" w:space="0" w:color="000000"/>
              <w:right w:val="single" w:sz="8" w:space="0" w:color="000000"/>
            </w:tcBorders>
          </w:tcPr>
          <w:p w14:paraId="480E66A8"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Placebas</w:t>
            </w:r>
          </w:p>
          <w:p w14:paraId="6B850403"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(n=587)</w:t>
            </w:r>
          </w:p>
        </w:tc>
        <w:tc>
          <w:tcPr>
            <w:tcW w:w="2126" w:type="dxa"/>
            <w:tcBorders>
              <w:top w:val="single" w:sz="8" w:space="0" w:color="000000"/>
              <w:left w:val="single" w:sz="8" w:space="0" w:color="000000"/>
              <w:bottom w:val="single" w:sz="8" w:space="0" w:color="000000"/>
              <w:right w:val="single" w:sz="8" w:space="0" w:color="000000"/>
            </w:tcBorders>
          </w:tcPr>
          <w:p w14:paraId="68F7C93E"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dozė</w:t>
            </w:r>
          </w:p>
          <w:p w14:paraId="04F04DEE"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(n=575)</w:t>
            </w:r>
          </w:p>
        </w:tc>
      </w:tr>
      <w:tr w:rsidR="005A7416" w:rsidRPr="00112B89" w14:paraId="01C1EDDB" w14:textId="77777777" w:rsidTr="00B97B53">
        <w:trPr>
          <w:trHeight w:val="541"/>
        </w:trPr>
        <w:tc>
          <w:tcPr>
            <w:tcW w:w="4678" w:type="dxa"/>
            <w:tcBorders>
              <w:top w:val="single" w:sz="8" w:space="0" w:color="000000"/>
              <w:left w:val="single" w:sz="8" w:space="0" w:color="000000"/>
              <w:bottom w:val="single" w:sz="8" w:space="0" w:color="000000"/>
              <w:right w:val="single" w:sz="8" w:space="0" w:color="000000"/>
            </w:tcBorders>
          </w:tcPr>
          <w:p w14:paraId="688B8A8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Santykinės rizikos sumažėjimas</w:t>
            </w:r>
          </w:p>
          <w:p w14:paraId="4C4E955E"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Nauji </w:t>
            </w:r>
            <w:proofErr w:type="spellStart"/>
            <w:r w:rsidRPr="00112B89">
              <w:rPr>
                <w:rFonts w:ascii="Times New Roman" w:hAnsi="Times New Roman"/>
                <w:color w:val="000000"/>
              </w:rPr>
              <w:t>morfometriniai</w:t>
            </w:r>
            <w:proofErr w:type="spellEnd"/>
            <w:r w:rsidRPr="00112B89">
              <w:rPr>
                <w:rFonts w:ascii="Times New Roman" w:hAnsi="Times New Roman"/>
                <w:color w:val="000000"/>
              </w:rPr>
              <w:t xml:space="preserve"> stuburo slankstelių lūžiai</w:t>
            </w:r>
          </w:p>
        </w:tc>
        <w:tc>
          <w:tcPr>
            <w:tcW w:w="2410" w:type="dxa"/>
            <w:tcBorders>
              <w:top w:val="single" w:sz="8" w:space="0" w:color="000000"/>
              <w:left w:val="single" w:sz="8" w:space="0" w:color="000000"/>
              <w:bottom w:val="single" w:sz="8" w:space="0" w:color="000000"/>
              <w:right w:val="single" w:sz="8" w:space="0" w:color="000000"/>
            </w:tcBorders>
          </w:tcPr>
          <w:p w14:paraId="7DC50AB1"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p>
        </w:tc>
        <w:tc>
          <w:tcPr>
            <w:tcW w:w="2126" w:type="dxa"/>
            <w:tcBorders>
              <w:top w:val="single" w:sz="8" w:space="0" w:color="000000"/>
              <w:left w:val="single" w:sz="8" w:space="0" w:color="000000"/>
              <w:bottom w:val="single" w:sz="8" w:space="0" w:color="000000"/>
              <w:right w:val="single" w:sz="8" w:space="0" w:color="000000"/>
            </w:tcBorders>
          </w:tcPr>
          <w:p w14:paraId="0B381673"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59% (34,5, 74,3)</w:t>
            </w:r>
          </w:p>
        </w:tc>
      </w:tr>
      <w:tr w:rsidR="005A7416" w:rsidRPr="00112B89" w14:paraId="2F34FF0A" w14:textId="77777777" w:rsidTr="00B97B53">
        <w:trPr>
          <w:trHeight w:val="541"/>
        </w:trPr>
        <w:tc>
          <w:tcPr>
            <w:tcW w:w="4678" w:type="dxa"/>
            <w:tcBorders>
              <w:top w:val="single" w:sz="8" w:space="0" w:color="000000"/>
              <w:left w:val="single" w:sz="8" w:space="0" w:color="000000"/>
              <w:bottom w:val="single" w:sz="8" w:space="0" w:color="000000"/>
              <w:right w:val="single" w:sz="8" w:space="0" w:color="000000"/>
            </w:tcBorders>
          </w:tcPr>
          <w:p w14:paraId="07CEA74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Naujų </w:t>
            </w:r>
            <w:proofErr w:type="spellStart"/>
            <w:r w:rsidRPr="00112B89">
              <w:rPr>
                <w:rFonts w:ascii="Times New Roman" w:hAnsi="Times New Roman"/>
                <w:color w:val="000000"/>
              </w:rPr>
              <w:t>morfometrinių</w:t>
            </w:r>
            <w:proofErr w:type="spellEnd"/>
            <w:r w:rsidRPr="00112B89">
              <w:rPr>
                <w:rFonts w:ascii="Times New Roman" w:hAnsi="Times New Roman"/>
                <w:color w:val="000000"/>
              </w:rPr>
              <w:t xml:space="preserve"> stuburo slankstelių lūžių dažnis</w:t>
            </w:r>
          </w:p>
        </w:tc>
        <w:tc>
          <w:tcPr>
            <w:tcW w:w="2410" w:type="dxa"/>
            <w:tcBorders>
              <w:top w:val="single" w:sz="8" w:space="0" w:color="000000"/>
              <w:left w:val="single" w:sz="8" w:space="0" w:color="000000"/>
              <w:bottom w:val="single" w:sz="8" w:space="0" w:color="000000"/>
              <w:right w:val="single" w:sz="8" w:space="0" w:color="000000"/>
            </w:tcBorders>
          </w:tcPr>
          <w:p w14:paraId="1DF3210A"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12,54% (9,53, 15,55)</w:t>
            </w:r>
          </w:p>
        </w:tc>
        <w:tc>
          <w:tcPr>
            <w:tcW w:w="2126" w:type="dxa"/>
            <w:tcBorders>
              <w:top w:val="single" w:sz="8" w:space="0" w:color="000000"/>
              <w:left w:val="single" w:sz="8" w:space="0" w:color="000000"/>
              <w:bottom w:val="single" w:sz="8" w:space="0" w:color="000000"/>
              <w:right w:val="single" w:sz="8" w:space="0" w:color="000000"/>
            </w:tcBorders>
          </w:tcPr>
          <w:p w14:paraId="13473E7D"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5,36% (3,31, 7,41)</w:t>
            </w:r>
          </w:p>
        </w:tc>
      </w:tr>
      <w:tr w:rsidR="005A7416" w:rsidRPr="00112B89" w14:paraId="51198F86" w14:textId="77777777" w:rsidTr="00B97B53">
        <w:trPr>
          <w:trHeight w:val="541"/>
        </w:trPr>
        <w:tc>
          <w:tcPr>
            <w:tcW w:w="4678" w:type="dxa"/>
            <w:tcBorders>
              <w:top w:val="single" w:sz="8" w:space="0" w:color="000000"/>
              <w:left w:val="single" w:sz="8" w:space="0" w:color="000000"/>
              <w:bottom w:val="single" w:sz="8" w:space="0" w:color="000000"/>
              <w:right w:val="single" w:sz="8" w:space="0" w:color="000000"/>
            </w:tcBorders>
          </w:tcPr>
          <w:p w14:paraId="1F28F89E"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Klinikinių stuburo slankstelių lūžių atvejų santykinės rizikos sumažėjimas</w:t>
            </w:r>
          </w:p>
        </w:tc>
        <w:tc>
          <w:tcPr>
            <w:tcW w:w="2410" w:type="dxa"/>
            <w:tcBorders>
              <w:top w:val="single" w:sz="8" w:space="0" w:color="000000"/>
              <w:left w:val="single" w:sz="8" w:space="0" w:color="000000"/>
              <w:bottom w:val="single" w:sz="8" w:space="0" w:color="000000"/>
              <w:right w:val="single" w:sz="8" w:space="0" w:color="000000"/>
            </w:tcBorders>
          </w:tcPr>
          <w:p w14:paraId="01D6764B"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p>
        </w:tc>
        <w:tc>
          <w:tcPr>
            <w:tcW w:w="2126" w:type="dxa"/>
            <w:tcBorders>
              <w:top w:val="single" w:sz="8" w:space="0" w:color="000000"/>
              <w:left w:val="single" w:sz="8" w:space="0" w:color="000000"/>
              <w:bottom w:val="single" w:sz="8" w:space="0" w:color="000000"/>
              <w:right w:val="single" w:sz="8" w:space="0" w:color="000000"/>
            </w:tcBorders>
          </w:tcPr>
          <w:p w14:paraId="1B84CF83"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50% (9,49, 71,91)</w:t>
            </w:r>
          </w:p>
        </w:tc>
      </w:tr>
      <w:tr w:rsidR="005A7416" w:rsidRPr="00112B89" w14:paraId="7DB653FC" w14:textId="77777777" w:rsidTr="00B97B53">
        <w:trPr>
          <w:trHeight w:val="267"/>
        </w:trPr>
        <w:tc>
          <w:tcPr>
            <w:tcW w:w="4678" w:type="dxa"/>
            <w:tcBorders>
              <w:top w:val="single" w:sz="8" w:space="0" w:color="000000"/>
              <w:left w:val="single" w:sz="8" w:space="0" w:color="000000"/>
              <w:bottom w:val="single" w:sz="8" w:space="0" w:color="000000"/>
              <w:right w:val="single" w:sz="8" w:space="0" w:color="000000"/>
            </w:tcBorders>
          </w:tcPr>
          <w:p w14:paraId="5CA3DFFB"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Klinikinių stuburo slankstelių lūžių atvejų dažnis</w:t>
            </w:r>
          </w:p>
        </w:tc>
        <w:tc>
          <w:tcPr>
            <w:tcW w:w="2410" w:type="dxa"/>
            <w:tcBorders>
              <w:top w:val="single" w:sz="8" w:space="0" w:color="000000"/>
              <w:left w:val="single" w:sz="8" w:space="0" w:color="000000"/>
              <w:bottom w:val="single" w:sz="8" w:space="0" w:color="000000"/>
              <w:right w:val="single" w:sz="8" w:space="0" w:color="000000"/>
            </w:tcBorders>
          </w:tcPr>
          <w:p w14:paraId="15D48FAE"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6,97% (4,67, 9,27)</w:t>
            </w:r>
          </w:p>
        </w:tc>
        <w:tc>
          <w:tcPr>
            <w:tcW w:w="2126" w:type="dxa"/>
            <w:tcBorders>
              <w:top w:val="single" w:sz="8" w:space="0" w:color="000000"/>
              <w:left w:val="single" w:sz="8" w:space="0" w:color="000000"/>
              <w:bottom w:val="single" w:sz="8" w:space="0" w:color="000000"/>
              <w:right w:val="single" w:sz="8" w:space="0" w:color="000000"/>
            </w:tcBorders>
          </w:tcPr>
          <w:p w14:paraId="1698C47B"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3,57% (1,89, 5,24)</w:t>
            </w:r>
          </w:p>
        </w:tc>
      </w:tr>
      <w:tr w:rsidR="005A7416" w:rsidRPr="00112B89" w14:paraId="7E89295B" w14:textId="77777777" w:rsidTr="00B97B53">
        <w:trPr>
          <w:trHeight w:val="541"/>
        </w:trPr>
        <w:tc>
          <w:tcPr>
            <w:tcW w:w="4678" w:type="dxa"/>
            <w:tcBorders>
              <w:top w:val="single" w:sz="8" w:space="0" w:color="000000"/>
              <w:left w:val="single" w:sz="8" w:space="0" w:color="000000"/>
              <w:bottom w:val="single" w:sz="8" w:space="0" w:color="000000"/>
              <w:right w:val="single" w:sz="8" w:space="0" w:color="000000"/>
            </w:tcBorders>
          </w:tcPr>
          <w:p w14:paraId="56C0D85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KMT – vidutinis juosmens slankstelių rodmens pokytis 3-čiais metais, palyginti su pradiniu</w:t>
            </w:r>
          </w:p>
        </w:tc>
        <w:tc>
          <w:tcPr>
            <w:tcW w:w="2410" w:type="dxa"/>
            <w:tcBorders>
              <w:top w:val="single" w:sz="8" w:space="0" w:color="000000"/>
              <w:left w:val="single" w:sz="8" w:space="0" w:color="000000"/>
              <w:bottom w:val="single" w:sz="8" w:space="0" w:color="000000"/>
              <w:right w:val="single" w:sz="8" w:space="0" w:color="000000"/>
            </w:tcBorders>
          </w:tcPr>
          <w:p w14:paraId="3F377950"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1,13% (0,6, 1,7)</w:t>
            </w:r>
          </w:p>
        </w:tc>
        <w:tc>
          <w:tcPr>
            <w:tcW w:w="2126" w:type="dxa"/>
            <w:tcBorders>
              <w:top w:val="single" w:sz="8" w:space="0" w:color="000000"/>
              <w:left w:val="single" w:sz="8" w:space="0" w:color="000000"/>
              <w:bottom w:val="single" w:sz="8" w:space="0" w:color="000000"/>
              <w:right w:val="single" w:sz="8" w:space="0" w:color="000000"/>
            </w:tcBorders>
          </w:tcPr>
          <w:p w14:paraId="4E35BC64"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7,01% (6,5, 7,6)</w:t>
            </w:r>
          </w:p>
        </w:tc>
      </w:tr>
      <w:tr w:rsidR="005A7416" w:rsidRPr="00112B89" w14:paraId="56C8F7E1" w14:textId="77777777" w:rsidTr="00B97B53">
        <w:trPr>
          <w:trHeight w:val="540"/>
        </w:trPr>
        <w:tc>
          <w:tcPr>
            <w:tcW w:w="4678" w:type="dxa"/>
            <w:tcBorders>
              <w:top w:val="single" w:sz="8" w:space="0" w:color="000000"/>
              <w:left w:val="single" w:sz="8" w:space="0" w:color="000000"/>
              <w:bottom w:val="single" w:sz="8" w:space="0" w:color="000000"/>
              <w:right w:val="single" w:sz="8" w:space="0" w:color="000000"/>
            </w:tcBorders>
          </w:tcPr>
          <w:p w14:paraId="6F0490E0"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KMT – vidutinis visų klubo kaulų rodmens pokytis 3-čiais metais, palyginti su pradiniu</w:t>
            </w:r>
          </w:p>
        </w:tc>
        <w:tc>
          <w:tcPr>
            <w:tcW w:w="2410" w:type="dxa"/>
            <w:tcBorders>
              <w:top w:val="single" w:sz="8" w:space="0" w:color="000000"/>
              <w:left w:val="single" w:sz="8" w:space="0" w:color="000000"/>
              <w:bottom w:val="single" w:sz="8" w:space="0" w:color="000000"/>
              <w:right w:val="single" w:sz="8" w:space="0" w:color="000000"/>
            </w:tcBorders>
          </w:tcPr>
          <w:p w14:paraId="1D36D54B"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-0,70% (-1,1, -0,2)</w:t>
            </w:r>
          </w:p>
        </w:tc>
        <w:tc>
          <w:tcPr>
            <w:tcW w:w="2126" w:type="dxa"/>
            <w:tcBorders>
              <w:top w:val="single" w:sz="8" w:space="0" w:color="000000"/>
              <w:left w:val="single" w:sz="8" w:space="0" w:color="000000"/>
              <w:bottom w:val="single" w:sz="8" w:space="0" w:color="000000"/>
              <w:right w:val="single" w:sz="8" w:space="0" w:color="000000"/>
            </w:tcBorders>
          </w:tcPr>
          <w:p w14:paraId="5BA151B8"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color w:val="000000"/>
              </w:rPr>
              <w:t>3,59% (3,1, 4,1)</w:t>
            </w:r>
          </w:p>
        </w:tc>
      </w:tr>
    </w:tbl>
    <w:p w14:paraId="76DA4C20"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2FA75C3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Visoje MF4411 tyrimo pacientų populiacijoje </w:t>
      </w:r>
      <w:proofErr w:type="spellStart"/>
      <w:r w:rsidRPr="00112B89">
        <w:rPr>
          <w:rFonts w:ascii="Times New Roman" w:hAnsi="Times New Roman"/>
          <w:color w:val="000000"/>
        </w:rPr>
        <w:t>neslankstelinių</w:t>
      </w:r>
      <w:proofErr w:type="spellEnd"/>
      <w:r w:rsidRPr="00112B89">
        <w:rPr>
          <w:rFonts w:ascii="Times New Roman" w:hAnsi="Times New Roman"/>
          <w:color w:val="000000"/>
        </w:rPr>
        <w:t xml:space="preserve"> lūžių dažnis nesumažėjo, tačiau kasdien vartojama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buvo veiksminga didelės rizikos pogrupyje (šlaunikaulio kaklelio KMT T balas mažesnis kaip -3), kurioje </w:t>
      </w:r>
      <w:proofErr w:type="spellStart"/>
      <w:r w:rsidRPr="00112B89">
        <w:rPr>
          <w:rFonts w:ascii="Times New Roman" w:hAnsi="Times New Roman"/>
          <w:color w:val="000000"/>
        </w:rPr>
        <w:t>neslankstelinių</w:t>
      </w:r>
      <w:proofErr w:type="spellEnd"/>
      <w:r w:rsidRPr="00112B89">
        <w:rPr>
          <w:rFonts w:ascii="Times New Roman" w:hAnsi="Times New Roman"/>
          <w:color w:val="000000"/>
        </w:rPr>
        <w:t xml:space="preserve"> lūžių rizika sumažėjo 69%.</w:t>
      </w:r>
    </w:p>
    <w:p w14:paraId="428975BC"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2E76794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lastRenderedPageBreak/>
        <w:t xml:space="preserve">Vartojant </w:t>
      </w:r>
      <w:r w:rsidR="00CA744A" w:rsidRPr="00112B89">
        <w:rPr>
          <w:rFonts w:ascii="Times New Roman" w:hAnsi="Times New Roman"/>
          <w:color w:val="000000"/>
        </w:rPr>
        <w:t>per burn</w:t>
      </w:r>
      <w:r w:rsidR="00F37EA9" w:rsidRPr="00112B89">
        <w:rPr>
          <w:rFonts w:ascii="Times New Roman" w:hAnsi="Times New Roman"/>
          <w:color w:val="000000"/>
        </w:rPr>
        <w:t xml:space="preserve">ą </w:t>
      </w:r>
      <w:r w:rsidRPr="00112B89">
        <w:rPr>
          <w:rFonts w:ascii="Times New Roman" w:hAnsi="Times New Roman"/>
          <w:color w:val="000000"/>
        </w:rPr>
        <w:t>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00F37EA9" w:rsidRPr="00112B89">
        <w:rPr>
          <w:rFonts w:ascii="Times New Roman" w:hAnsi="Times New Roman"/>
          <w:color w:val="000000"/>
        </w:rPr>
        <w:t>ibandrono</w:t>
      </w:r>
      <w:proofErr w:type="spellEnd"/>
      <w:r w:rsidR="00F37EA9" w:rsidRPr="00112B89">
        <w:rPr>
          <w:rFonts w:ascii="Times New Roman" w:hAnsi="Times New Roman"/>
          <w:color w:val="000000"/>
        </w:rPr>
        <w:t xml:space="preserve"> rūgšties</w:t>
      </w:r>
      <w:r w:rsidRPr="00112B89">
        <w:rPr>
          <w:rFonts w:ascii="Times New Roman" w:hAnsi="Times New Roman"/>
          <w:color w:val="000000"/>
        </w:rPr>
        <w:t xml:space="preserve"> paros dozę, stuburo slankstelių ir kitų skeleto kaulų KMT nuolat didėjo.</w:t>
      </w:r>
    </w:p>
    <w:p w14:paraId="1217535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23E3F89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Vartojant vaistinį preparatą, palyginti su placebu, juosmens slankstelių KMT per trejus metus padidėjo 5,3% ir 6,5%, palyginti su pradiniu. Klubo kaulų pokytis, palyginti su pradiniu, buvo toks: šlaunikaulio kaklelio – 2,8%, visų klubo kaulų – 3,4%, šlaunikaulio gūbrio – 5,5%.</w:t>
      </w:r>
    </w:p>
    <w:p w14:paraId="7BC441C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331C1402"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Kaip ir tikėtasi, vartojant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biocheminiai kaulų </w:t>
      </w:r>
      <w:proofErr w:type="spellStart"/>
      <w:r w:rsidRPr="00112B89">
        <w:rPr>
          <w:rFonts w:ascii="Times New Roman" w:hAnsi="Times New Roman"/>
          <w:color w:val="000000"/>
        </w:rPr>
        <w:t>rezorbcijos</w:t>
      </w:r>
      <w:proofErr w:type="spellEnd"/>
      <w:r w:rsidRPr="00112B89">
        <w:rPr>
          <w:rFonts w:ascii="Times New Roman" w:hAnsi="Times New Roman"/>
          <w:color w:val="000000"/>
        </w:rPr>
        <w:t xml:space="preserve"> žymekliai (pvz., CTX šlapime ir </w:t>
      </w:r>
      <w:proofErr w:type="spellStart"/>
      <w:r w:rsidRPr="00112B89">
        <w:rPr>
          <w:rFonts w:ascii="Times New Roman" w:hAnsi="Times New Roman"/>
          <w:color w:val="000000"/>
        </w:rPr>
        <w:t>osteokalcino</w:t>
      </w:r>
      <w:proofErr w:type="spellEnd"/>
      <w:r w:rsidRPr="00112B89">
        <w:rPr>
          <w:rFonts w:ascii="Times New Roman" w:hAnsi="Times New Roman"/>
          <w:color w:val="000000"/>
        </w:rPr>
        <w:t xml:space="preserve"> kiekis serume) parodė </w:t>
      </w:r>
      <w:proofErr w:type="spellStart"/>
      <w:r w:rsidRPr="00112B89">
        <w:rPr>
          <w:rFonts w:ascii="Times New Roman" w:hAnsi="Times New Roman"/>
          <w:color w:val="000000"/>
        </w:rPr>
        <w:t>rezorbcijos</w:t>
      </w:r>
      <w:proofErr w:type="spellEnd"/>
      <w:r w:rsidRPr="00112B89">
        <w:rPr>
          <w:rFonts w:ascii="Times New Roman" w:hAnsi="Times New Roman"/>
          <w:color w:val="000000"/>
        </w:rPr>
        <w:t xml:space="preserve"> sulėtėjimą iki prieš menopauzę buvusio lygio, stipriausias slopinimas buvo pasiektas per 3</w:t>
      </w:r>
      <w:r w:rsidRPr="00112B89">
        <w:rPr>
          <w:rFonts w:ascii="Times New Roman" w:hAnsi="Times New Roman"/>
          <w:color w:val="000000"/>
        </w:rPr>
        <w:noBreakHyphen/>
        <w:t>6 mėnesius.</w:t>
      </w:r>
    </w:p>
    <w:p w14:paraId="57386AD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2A688DD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Kliniškai reikšmingas biocheminių kaulų </w:t>
      </w:r>
      <w:proofErr w:type="spellStart"/>
      <w:r w:rsidRPr="00112B89">
        <w:rPr>
          <w:rFonts w:ascii="Times New Roman" w:hAnsi="Times New Roman"/>
          <w:color w:val="000000"/>
        </w:rPr>
        <w:t>rezorbcijos</w:t>
      </w:r>
      <w:proofErr w:type="spellEnd"/>
      <w:r w:rsidRPr="00112B89">
        <w:rPr>
          <w:rFonts w:ascii="Times New Roman" w:hAnsi="Times New Roman"/>
          <w:color w:val="000000"/>
        </w:rPr>
        <w:t xml:space="preserve"> žymeklių sumažėjimas 50% buvo nustatytas praėjus vienam mėnesiui nuo gydymo 2,5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doze pradžios.</w:t>
      </w:r>
    </w:p>
    <w:p w14:paraId="0815ED4A"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C3CD93E" w14:textId="77777777" w:rsidR="005A7416" w:rsidRPr="00112B89" w:rsidRDefault="005A7416" w:rsidP="00F37EA9">
      <w:pPr>
        <w:autoSpaceDE w:val="0"/>
        <w:autoSpaceDN w:val="0"/>
        <w:adjustRightInd w:val="0"/>
        <w:spacing w:after="0" w:line="240" w:lineRule="auto"/>
        <w:rPr>
          <w:rFonts w:ascii="Times New Roman" w:eastAsia="MS Mincho" w:hAnsi="Times New Roman"/>
          <w:color w:val="000000"/>
          <w:u w:val="single"/>
          <w:lang w:eastAsia="ja-JP"/>
        </w:rPr>
      </w:pPr>
      <w:r w:rsidRPr="00112B89">
        <w:rPr>
          <w:rFonts w:ascii="Times New Roman" w:eastAsia="MS Mincho" w:hAnsi="Times New Roman"/>
          <w:iCs/>
          <w:color w:val="000000"/>
          <w:u w:val="single"/>
          <w:lang w:eastAsia="ja-JP"/>
        </w:rPr>
        <w:t xml:space="preserve">Vaikų populiacija </w:t>
      </w:r>
      <w:r w:rsidR="00F37EA9" w:rsidRPr="00112B89">
        <w:rPr>
          <w:rFonts w:ascii="Times New Roman" w:eastAsia="MS Mincho" w:hAnsi="Times New Roman"/>
          <w:iCs/>
          <w:color w:val="000000"/>
          <w:u w:val="single"/>
          <w:lang w:eastAsia="ja-JP"/>
        </w:rPr>
        <w:t>(žr. 4.2 ir 5.2 skyrius)</w:t>
      </w:r>
    </w:p>
    <w:p w14:paraId="5567038D" w14:textId="77777777" w:rsidR="005A7416" w:rsidRPr="00112B89" w:rsidRDefault="005A7416" w:rsidP="0085684D">
      <w:pPr>
        <w:autoSpaceDE w:val="0"/>
        <w:autoSpaceDN w:val="0"/>
        <w:adjustRightInd w:val="0"/>
        <w:spacing w:after="0" w:line="240" w:lineRule="auto"/>
        <w:rPr>
          <w:rFonts w:ascii="Times New Roman" w:eastAsia="MS Mincho" w:hAnsi="Times New Roman"/>
          <w:color w:val="000000"/>
          <w:lang w:eastAsia="ja-JP"/>
        </w:rPr>
      </w:pPr>
      <w:proofErr w:type="spellStart"/>
      <w:r w:rsidRPr="00112B89">
        <w:rPr>
          <w:rFonts w:ascii="Times New Roman" w:eastAsia="MS Mincho" w:hAnsi="Times New Roman"/>
          <w:color w:val="000000"/>
          <w:lang w:eastAsia="ja-JP"/>
        </w:rPr>
        <w:t>Ibandrono</w:t>
      </w:r>
      <w:proofErr w:type="spellEnd"/>
      <w:r w:rsidRPr="00112B89">
        <w:rPr>
          <w:rFonts w:ascii="Times New Roman" w:eastAsia="MS Mincho" w:hAnsi="Times New Roman"/>
          <w:color w:val="000000"/>
          <w:lang w:eastAsia="ja-JP"/>
        </w:rPr>
        <w:t xml:space="preserve"> rūgšties tyrimai vaikams neatlikti, todėl duomenų apie veiksmingumą arba saugumą šiai pacientų populiacijai nėra.</w:t>
      </w:r>
    </w:p>
    <w:p w14:paraId="6C0024DE"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C93410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5.2</w:t>
      </w:r>
      <w:r w:rsidRPr="00112B89">
        <w:rPr>
          <w:rFonts w:ascii="Times New Roman" w:hAnsi="Times New Roman"/>
          <w:b/>
          <w:bCs/>
          <w:color w:val="000000"/>
        </w:rPr>
        <w:tab/>
      </w:r>
      <w:proofErr w:type="spellStart"/>
      <w:r w:rsidRPr="00112B89">
        <w:rPr>
          <w:rFonts w:ascii="Times New Roman" w:hAnsi="Times New Roman"/>
          <w:b/>
          <w:bCs/>
          <w:color w:val="000000"/>
        </w:rPr>
        <w:t>Farmakokinetinės</w:t>
      </w:r>
      <w:proofErr w:type="spellEnd"/>
      <w:r w:rsidRPr="00112B89">
        <w:rPr>
          <w:rFonts w:ascii="Times New Roman" w:hAnsi="Times New Roman"/>
          <w:b/>
          <w:bCs/>
          <w:color w:val="000000"/>
        </w:rPr>
        <w:t xml:space="preserve"> savybės</w:t>
      </w:r>
    </w:p>
    <w:p w14:paraId="18325E12"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F4F98A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Tyrimų su įvairių rūšių gyvūnais ir žmonėmis duomenimis, svarbiausias farmakologinis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poveikis kauliniam audiniui nėra tiesiogiai susijęs su plazmoje išmatuota koncentracija.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koncentracija kraujo plazmoje po 0,5-6</w:t>
      </w:r>
      <w:r w:rsidR="00271402" w:rsidRPr="00112B89">
        <w:rPr>
          <w:rFonts w:ascii="Times New Roman" w:hAnsi="Times New Roman"/>
          <w:color w:val="000000"/>
        </w:rPr>
        <w:t> </w:t>
      </w:r>
      <w:r w:rsidRPr="00112B89">
        <w:rPr>
          <w:rFonts w:ascii="Times New Roman" w:hAnsi="Times New Roman"/>
          <w:color w:val="000000"/>
        </w:rPr>
        <w:t>mg suleidimo į veną didėja proporcingai dozei.</w:t>
      </w:r>
    </w:p>
    <w:p w14:paraId="0BA11146"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3D205789" w14:textId="77777777" w:rsidR="005A7416" w:rsidRPr="00112B89" w:rsidRDefault="005A7416" w:rsidP="0085684D">
      <w:pPr>
        <w:autoSpaceDE w:val="0"/>
        <w:autoSpaceDN w:val="0"/>
        <w:adjustRightInd w:val="0"/>
        <w:spacing w:after="0" w:line="240" w:lineRule="auto"/>
        <w:rPr>
          <w:rFonts w:ascii="Times New Roman" w:hAnsi="Times New Roman"/>
          <w:i/>
          <w:iCs/>
          <w:color w:val="000000"/>
          <w:u w:val="single"/>
        </w:rPr>
      </w:pPr>
      <w:r w:rsidRPr="00112B89">
        <w:rPr>
          <w:rFonts w:ascii="Times New Roman" w:hAnsi="Times New Roman"/>
          <w:i/>
          <w:iCs/>
          <w:color w:val="000000"/>
          <w:u w:val="single"/>
        </w:rPr>
        <w:t>Absorbcija</w:t>
      </w:r>
    </w:p>
    <w:p w14:paraId="1CCB09F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Duomenys nebūtini.</w:t>
      </w:r>
    </w:p>
    <w:p w14:paraId="3449675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7F0DAFE5" w14:textId="77777777" w:rsidR="005A7416" w:rsidRPr="00112B89" w:rsidRDefault="005A7416" w:rsidP="0085684D">
      <w:pPr>
        <w:autoSpaceDE w:val="0"/>
        <w:autoSpaceDN w:val="0"/>
        <w:adjustRightInd w:val="0"/>
        <w:spacing w:after="0" w:line="240" w:lineRule="auto"/>
        <w:rPr>
          <w:rFonts w:ascii="Times New Roman" w:hAnsi="Times New Roman"/>
          <w:i/>
          <w:iCs/>
          <w:color w:val="000000"/>
          <w:u w:val="single"/>
        </w:rPr>
      </w:pPr>
      <w:r w:rsidRPr="00112B89">
        <w:rPr>
          <w:rFonts w:ascii="Times New Roman" w:hAnsi="Times New Roman"/>
          <w:i/>
          <w:iCs/>
          <w:color w:val="000000"/>
          <w:u w:val="single"/>
        </w:rPr>
        <w:t>Pasiskirstymas</w:t>
      </w:r>
    </w:p>
    <w:p w14:paraId="4B21CEB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Iš pradžių į sisteminę kraujotaką patekusi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greitai prisijungia prie kaulinio audinio arba šalinama su šlapimu. Nustatyta, kad tariamas galutinis pasiskirstymo tūris </w:t>
      </w:r>
      <w:r w:rsidRPr="00112B89">
        <w:rPr>
          <w:rFonts w:ascii="Times New Roman" w:hAnsi="Times New Roman"/>
        </w:rPr>
        <w:t>ne mažesnis kaip 90 l, į kaulus patenka 40-50</w:t>
      </w:r>
      <w:r w:rsidRPr="00112B89">
        <w:rPr>
          <w:rFonts w:ascii="Times New Roman" w:hAnsi="Times New Roman"/>
        </w:rPr>
        <w:sym w:font="Symbol" w:char="F025"/>
      </w:r>
      <w:r w:rsidRPr="00112B89">
        <w:rPr>
          <w:rFonts w:ascii="Times New Roman" w:hAnsi="Times New Roman"/>
        </w:rPr>
        <w:t xml:space="preserve"> kraujyje esančio kiekio</w:t>
      </w:r>
      <w:r w:rsidRPr="00112B89">
        <w:rPr>
          <w:rFonts w:ascii="Times New Roman" w:hAnsi="Times New Roman"/>
          <w:color w:val="000000"/>
        </w:rPr>
        <w:t>. Maždaug 85</w:t>
      </w:r>
      <w:r w:rsidRPr="00112B89">
        <w:rPr>
          <w:rFonts w:ascii="Times New Roman" w:hAnsi="Times New Roman"/>
          <w:color w:val="000000"/>
        </w:rPr>
        <w:noBreakHyphen/>
        <w:t xml:space="preserve">87% vaistinio preparato būna prisijungusio prie žmogaus plazmos baltymų (nustatyta </w:t>
      </w:r>
      <w:proofErr w:type="spellStart"/>
      <w:r w:rsidRPr="00112B89">
        <w:rPr>
          <w:rFonts w:ascii="Times New Roman" w:hAnsi="Times New Roman"/>
          <w:i/>
          <w:iCs/>
          <w:color w:val="000000"/>
        </w:rPr>
        <w:t>in</w:t>
      </w:r>
      <w:proofErr w:type="spellEnd"/>
      <w:r w:rsidRPr="00112B89">
        <w:rPr>
          <w:rFonts w:ascii="Times New Roman" w:hAnsi="Times New Roman"/>
          <w:i/>
          <w:iCs/>
          <w:color w:val="000000"/>
        </w:rPr>
        <w:t xml:space="preserve"> </w:t>
      </w:r>
      <w:proofErr w:type="spellStart"/>
      <w:r w:rsidRPr="00112B89">
        <w:rPr>
          <w:rFonts w:ascii="Times New Roman" w:hAnsi="Times New Roman"/>
          <w:i/>
          <w:iCs/>
          <w:color w:val="000000"/>
        </w:rPr>
        <w:t>vitro</w:t>
      </w:r>
      <w:proofErr w:type="spellEnd"/>
      <w:r w:rsidRPr="00112B89">
        <w:rPr>
          <w:rFonts w:ascii="Times New Roman" w:hAnsi="Times New Roman"/>
          <w:color w:val="000000"/>
        </w:rPr>
        <w:t>, esant gydomosioms koncentracijomis), todėl sąveikos su kitais vaistiniais preparatais dėl išstūmimo iš jungties tikimybė yra maža.</w:t>
      </w:r>
    </w:p>
    <w:p w14:paraId="6B050DE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3BF2A684" w14:textId="77777777" w:rsidR="005A7416" w:rsidRPr="00112B89" w:rsidRDefault="005A7416" w:rsidP="0085684D">
      <w:pPr>
        <w:autoSpaceDE w:val="0"/>
        <w:autoSpaceDN w:val="0"/>
        <w:adjustRightInd w:val="0"/>
        <w:spacing w:after="0" w:line="240" w:lineRule="auto"/>
        <w:rPr>
          <w:rFonts w:ascii="Times New Roman" w:hAnsi="Times New Roman"/>
          <w:i/>
          <w:iCs/>
          <w:color w:val="000000"/>
          <w:u w:val="single"/>
        </w:rPr>
      </w:pPr>
      <w:proofErr w:type="spellStart"/>
      <w:r w:rsidRPr="00112B89">
        <w:rPr>
          <w:rFonts w:ascii="Times New Roman" w:hAnsi="Times New Roman"/>
          <w:i/>
          <w:iCs/>
          <w:u w:val="single"/>
        </w:rPr>
        <w:t>Biotransformacija</w:t>
      </w:r>
      <w:proofErr w:type="spellEnd"/>
    </w:p>
    <w:p w14:paraId="66EAE2E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Duomenų, kad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būtų </w:t>
      </w:r>
      <w:proofErr w:type="spellStart"/>
      <w:r w:rsidRPr="00112B89">
        <w:rPr>
          <w:rFonts w:ascii="Times New Roman" w:hAnsi="Times New Roman"/>
          <w:color w:val="000000"/>
        </w:rPr>
        <w:t>metabolizuojama</w:t>
      </w:r>
      <w:proofErr w:type="spellEnd"/>
      <w:r w:rsidRPr="00112B89">
        <w:rPr>
          <w:rFonts w:ascii="Times New Roman" w:hAnsi="Times New Roman"/>
          <w:color w:val="000000"/>
        </w:rPr>
        <w:t xml:space="preserve"> gyvūnų ar žmonių organizme, nėra.</w:t>
      </w:r>
    </w:p>
    <w:p w14:paraId="5C0FA6A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F798D11" w14:textId="77777777" w:rsidR="005A7416" w:rsidRPr="00112B89" w:rsidRDefault="005A7416" w:rsidP="0085684D">
      <w:pPr>
        <w:autoSpaceDE w:val="0"/>
        <w:autoSpaceDN w:val="0"/>
        <w:adjustRightInd w:val="0"/>
        <w:spacing w:after="0" w:line="240" w:lineRule="auto"/>
        <w:rPr>
          <w:rFonts w:ascii="Times New Roman" w:hAnsi="Times New Roman"/>
          <w:i/>
          <w:iCs/>
          <w:color w:val="000000"/>
          <w:u w:val="single"/>
        </w:rPr>
      </w:pPr>
      <w:r w:rsidRPr="00112B89">
        <w:rPr>
          <w:rFonts w:ascii="Times New Roman" w:hAnsi="Times New Roman"/>
          <w:i/>
          <w:iCs/>
          <w:color w:val="000000"/>
          <w:u w:val="single"/>
        </w:rPr>
        <w:t>Eliminacija</w:t>
      </w:r>
    </w:p>
    <w:p w14:paraId="55259FB0"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Dalis absorbuotos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eliminuojama iš kraujotakos </w:t>
      </w:r>
      <w:proofErr w:type="spellStart"/>
      <w:r w:rsidRPr="00112B89">
        <w:rPr>
          <w:rFonts w:ascii="Times New Roman" w:hAnsi="Times New Roman"/>
          <w:color w:val="000000"/>
        </w:rPr>
        <w:t>rezorbcijos</w:t>
      </w:r>
      <w:proofErr w:type="spellEnd"/>
      <w:r w:rsidRPr="00112B89">
        <w:rPr>
          <w:rFonts w:ascii="Times New Roman" w:hAnsi="Times New Roman"/>
          <w:color w:val="000000"/>
        </w:rPr>
        <w:t xml:space="preserve"> į kaulus būdu (nustatyta, kad moterų po menopauzės organizme maždaug 40</w:t>
      </w:r>
      <w:r w:rsidRPr="00112B89">
        <w:rPr>
          <w:rFonts w:ascii="Times New Roman" w:hAnsi="Times New Roman"/>
          <w:color w:val="000000"/>
        </w:rPr>
        <w:noBreakHyphen/>
        <w:t>50 %), kita dalis eliminuojama per inkstus nepakitusios medžiagos pavidalu.</w:t>
      </w:r>
    </w:p>
    <w:p w14:paraId="1F6C0CF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0F3A140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Nustatyta plati pusinės eliminacijos periodo amplitudė, dažniausiai nustatytas galutinis pusinės eliminacijos periodas truko nuo 10 iki 72 valandų. Apskaičiuotieji rodmenys dažniausiai priklauso nuo tyrimo trukmės, vartotos dozės ir tyrimo metodo jautrumo, todėl manoma, kad tikrasis galutinis pusinis periodas yra žymiai ilgesnis, kaip ir kitų </w:t>
      </w:r>
      <w:proofErr w:type="spellStart"/>
      <w:r w:rsidRPr="00112B89">
        <w:rPr>
          <w:rFonts w:ascii="Times New Roman" w:hAnsi="Times New Roman"/>
          <w:color w:val="000000"/>
        </w:rPr>
        <w:t>bisfosfonatų</w:t>
      </w:r>
      <w:proofErr w:type="spellEnd"/>
      <w:r w:rsidRPr="00112B89">
        <w:rPr>
          <w:rFonts w:ascii="Times New Roman" w:hAnsi="Times New Roman"/>
          <w:color w:val="000000"/>
        </w:rPr>
        <w:t>. Iš pradžių koncentracija plazmoje greitai mažėja ir per 3 valandas po vaistinio preparato suleidimo į veną arba per 8 valandas po pavartojimo per burną sumažėja iki 10% didžiausios koncentracijos.</w:t>
      </w:r>
    </w:p>
    <w:p w14:paraId="421F488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52D4F49"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Bendrasis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klirensas yra mažas, vidutiniai rodmenys yra 84</w:t>
      </w:r>
      <w:r w:rsidRPr="00112B89">
        <w:rPr>
          <w:rFonts w:ascii="Times New Roman" w:hAnsi="Times New Roman"/>
          <w:color w:val="000000"/>
        </w:rPr>
        <w:noBreakHyphen/>
        <w:t>160</w:t>
      </w:r>
      <w:r w:rsidR="00271402" w:rsidRPr="00112B89">
        <w:rPr>
          <w:rFonts w:ascii="Times New Roman" w:hAnsi="Times New Roman"/>
          <w:color w:val="000000"/>
        </w:rPr>
        <w:t> </w:t>
      </w:r>
      <w:r w:rsidRPr="00112B89">
        <w:rPr>
          <w:rFonts w:ascii="Times New Roman" w:hAnsi="Times New Roman"/>
          <w:color w:val="000000"/>
        </w:rPr>
        <w:t>ml/min. Klirensas per inkstus (sveikų moterų po menopauzės maždaug 60</w:t>
      </w:r>
      <w:r w:rsidR="00271402" w:rsidRPr="00112B89">
        <w:rPr>
          <w:rFonts w:ascii="Times New Roman" w:hAnsi="Times New Roman"/>
          <w:color w:val="000000"/>
        </w:rPr>
        <w:t> </w:t>
      </w:r>
      <w:r w:rsidRPr="00112B89">
        <w:rPr>
          <w:rFonts w:ascii="Times New Roman" w:hAnsi="Times New Roman"/>
          <w:color w:val="000000"/>
        </w:rPr>
        <w:t>ml/min.) sudaro 50–60% bendrojo klirenso ir yra susijęs su kreatinino klirensu. Manoma, kad bendrojo ir klirenso per inkstus skirtumas parodo vaistinio preparato pasisavinimą į kaulus.</w:t>
      </w:r>
    </w:p>
    <w:p w14:paraId="764775DD" w14:textId="77777777" w:rsidR="00F37EA9" w:rsidRPr="00112B89" w:rsidRDefault="00F37EA9" w:rsidP="0085684D">
      <w:pPr>
        <w:autoSpaceDE w:val="0"/>
        <w:autoSpaceDN w:val="0"/>
        <w:adjustRightInd w:val="0"/>
        <w:spacing w:after="0" w:line="240" w:lineRule="auto"/>
        <w:rPr>
          <w:rFonts w:ascii="Times New Roman" w:hAnsi="Times New Roman"/>
          <w:color w:val="000000"/>
        </w:rPr>
      </w:pPr>
    </w:p>
    <w:p w14:paraId="2E819107" w14:textId="77777777" w:rsidR="00F37EA9" w:rsidRPr="00112B89" w:rsidRDefault="00F37EA9"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Vaistinio preparato išsiskyrimo nesutampa su žinomais rūgščių arba šarmų transportavimo mechanizmais, susijusiais su kitų veikliųjų medžiagų </w:t>
      </w:r>
      <w:proofErr w:type="spellStart"/>
      <w:r w:rsidRPr="00112B89">
        <w:rPr>
          <w:rFonts w:ascii="Times New Roman" w:hAnsi="Times New Roman"/>
          <w:color w:val="000000"/>
        </w:rPr>
        <w:t>ekskrecija</w:t>
      </w:r>
      <w:proofErr w:type="spellEnd"/>
      <w:r w:rsidRPr="00112B89">
        <w:rPr>
          <w:rFonts w:ascii="Times New Roman" w:hAnsi="Times New Roman"/>
          <w:color w:val="000000"/>
        </w:rPr>
        <w:t xml:space="preserve"> (žr. 4.5 skyrius). Be to,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rūgštis neslopina svarbiausio žmogaus kepenyse veikiančio fermento P450 </w:t>
      </w:r>
      <w:proofErr w:type="spellStart"/>
      <w:r w:rsidRPr="00112B89">
        <w:rPr>
          <w:rFonts w:ascii="Times New Roman" w:hAnsi="Times New Roman"/>
          <w:color w:val="000000"/>
        </w:rPr>
        <w:t>izofermentų</w:t>
      </w:r>
      <w:proofErr w:type="spellEnd"/>
      <w:r w:rsidRPr="00112B89">
        <w:rPr>
          <w:rFonts w:ascii="Times New Roman" w:hAnsi="Times New Roman"/>
          <w:color w:val="000000"/>
        </w:rPr>
        <w:t xml:space="preserve"> ir nesukelia žiurkių kepenų </w:t>
      </w:r>
      <w:proofErr w:type="spellStart"/>
      <w:r w:rsidRPr="00112B89">
        <w:rPr>
          <w:rFonts w:ascii="Times New Roman" w:hAnsi="Times New Roman"/>
          <w:color w:val="000000"/>
        </w:rPr>
        <w:t>citochromo</w:t>
      </w:r>
      <w:proofErr w:type="spellEnd"/>
      <w:r w:rsidRPr="00112B89">
        <w:rPr>
          <w:rFonts w:ascii="Times New Roman" w:hAnsi="Times New Roman"/>
          <w:color w:val="000000"/>
        </w:rPr>
        <w:t xml:space="preserve"> P450 sistemos aktyvumo padidėjimo.</w:t>
      </w:r>
    </w:p>
    <w:p w14:paraId="3BA5893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88CF9DC" w14:textId="77777777" w:rsidR="005A7416" w:rsidRPr="00112B89" w:rsidRDefault="005A7416" w:rsidP="0085684D">
      <w:pPr>
        <w:keepNext/>
        <w:tabs>
          <w:tab w:val="left" w:pos="567"/>
        </w:tabs>
        <w:spacing w:after="0" w:line="240" w:lineRule="auto"/>
        <w:rPr>
          <w:rFonts w:ascii="Times New Roman" w:hAnsi="Times New Roman"/>
          <w:color w:val="000000"/>
          <w:u w:val="single"/>
        </w:rPr>
      </w:pPr>
      <w:r w:rsidRPr="00112B89">
        <w:rPr>
          <w:rFonts w:ascii="Times New Roman" w:hAnsi="Times New Roman"/>
          <w:color w:val="000000"/>
          <w:u w:val="single"/>
        </w:rPr>
        <w:t>Farmakokinetika ypatingų klinikinių aplinkybių atveju</w:t>
      </w:r>
    </w:p>
    <w:p w14:paraId="335A5DB1" w14:textId="77777777" w:rsidR="005A7416" w:rsidRPr="00112B89" w:rsidRDefault="005A7416" w:rsidP="0085684D">
      <w:pPr>
        <w:keepNext/>
        <w:tabs>
          <w:tab w:val="left" w:pos="567"/>
        </w:tabs>
        <w:spacing w:after="0" w:line="240" w:lineRule="auto"/>
        <w:rPr>
          <w:rFonts w:ascii="Times New Roman" w:hAnsi="Times New Roman"/>
          <w:color w:val="000000"/>
          <w:u w:val="single"/>
        </w:rPr>
      </w:pPr>
    </w:p>
    <w:p w14:paraId="2CC910F1" w14:textId="77777777" w:rsidR="005A7416" w:rsidRPr="00112B89" w:rsidRDefault="005A7416" w:rsidP="0085684D">
      <w:pPr>
        <w:keepNext/>
        <w:tabs>
          <w:tab w:val="left" w:pos="567"/>
        </w:tabs>
        <w:spacing w:after="0" w:line="240" w:lineRule="auto"/>
        <w:rPr>
          <w:rFonts w:ascii="Times New Roman" w:hAnsi="Times New Roman"/>
          <w:i/>
          <w:iCs/>
          <w:color w:val="000000"/>
        </w:rPr>
      </w:pPr>
      <w:r w:rsidRPr="00112B89">
        <w:rPr>
          <w:rFonts w:ascii="Times New Roman" w:hAnsi="Times New Roman"/>
          <w:i/>
          <w:iCs/>
          <w:color w:val="000000"/>
        </w:rPr>
        <w:t>Lytis</w:t>
      </w:r>
    </w:p>
    <w:p w14:paraId="389BA586" w14:textId="77777777" w:rsidR="005A7416" w:rsidRPr="00112B89" w:rsidRDefault="005A7416" w:rsidP="002656C1">
      <w:pPr>
        <w:spacing w:after="0" w:line="240" w:lineRule="auto"/>
        <w:rPr>
          <w:rFonts w:ascii="Times New Roman" w:hAnsi="Times New Roman"/>
        </w:rPr>
      </w:pPr>
      <w:r w:rsidRPr="00112B89">
        <w:rPr>
          <w:rFonts w:ascii="Times New Roman" w:hAnsi="Times New Roman"/>
        </w:rPr>
        <w:t xml:space="preserve">Vyrų ir moterų organizme </w:t>
      </w:r>
      <w:proofErr w:type="spellStart"/>
      <w:r w:rsidRPr="00112B89">
        <w:rPr>
          <w:rFonts w:ascii="Times New Roman" w:hAnsi="Times New Roman"/>
        </w:rPr>
        <w:t>ibandrono</w:t>
      </w:r>
      <w:proofErr w:type="spellEnd"/>
      <w:r w:rsidRPr="00112B89">
        <w:rPr>
          <w:rFonts w:ascii="Times New Roman" w:hAnsi="Times New Roman"/>
        </w:rPr>
        <w:t xml:space="preserve"> rūgšties </w:t>
      </w:r>
      <w:proofErr w:type="spellStart"/>
      <w:r w:rsidRPr="00112B89">
        <w:rPr>
          <w:rFonts w:ascii="Times New Roman" w:hAnsi="Times New Roman"/>
        </w:rPr>
        <w:t>farmakokinetika</w:t>
      </w:r>
      <w:proofErr w:type="spellEnd"/>
      <w:r w:rsidRPr="00112B89">
        <w:rPr>
          <w:rFonts w:ascii="Times New Roman" w:hAnsi="Times New Roman"/>
        </w:rPr>
        <w:t xml:space="preserve">  panaši. </w:t>
      </w:r>
    </w:p>
    <w:p w14:paraId="4629D375"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DA1F7CF" w14:textId="77777777" w:rsidR="005A7416" w:rsidRPr="00112B89" w:rsidRDefault="005A7416" w:rsidP="0085684D">
      <w:pPr>
        <w:autoSpaceDE w:val="0"/>
        <w:autoSpaceDN w:val="0"/>
        <w:adjustRightInd w:val="0"/>
        <w:spacing w:after="0" w:line="240" w:lineRule="auto"/>
        <w:rPr>
          <w:rFonts w:ascii="Times New Roman" w:hAnsi="Times New Roman"/>
          <w:i/>
          <w:iCs/>
          <w:color w:val="000000"/>
        </w:rPr>
      </w:pPr>
      <w:r w:rsidRPr="00112B89">
        <w:rPr>
          <w:rFonts w:ascii="Times New Roman" w:hAnsi="Times New Roman"/>
          <w:i/>
          <w:iCs/>
          <w:color w:val="000000"/>
        </w:rPr>
        <w:t>Rasė</w:t>
      </w:r>
    </w:p>
    <w:p w14:paraId="59ACA4E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Duomenų apie kokius nors kliniškai reikšmingus etninius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savybių skirtumus </w:t>
      </w:r>
      <w:proofErr w:type="spellStart"/>
      <w:r w:rsidR="00271402" w:rsidRPr="00112B89">
        <w:rPr>
          <w:rFonts w:ascii="Times New Roman" w:hAnsi="Times New Roman"/>
          <w:color w:val="000000"/>
        </w:rPr>
        <w:t>a</w:t>
      </w:r>
      <w:r w:rsidRPr="00112B89">
        <w:rPr>
          <w:rFonts w:ascii="Times New Roman" w:hAnsi="Times New Roman"/>
          <w:color w:val="000000"/>
        </w:rPr>
        <w:t>zijos</w:t>
      </w:r>
      <w:proofErr w:type="spellEnd"/>
      <w:r w:rsidRPr="00112B89">
        <w:rPr>
          <w:rFonts w:ascii="Times New Roman" w:hAnsi="Times New Roman"/>
          <w:color w:val="000000"/>
        </w:rPr>
        <w:t xml:space="preserve"> mongolidų ir baltųjų organizme negauta. Duomenys apie pacientus, kilusius iš Afrikos, yra negausūs.</w:t>
      </w:r>
    </w:p>
    <w:p w14:paraId="4F3F108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16ADADF" w14:textId="77777777" w:rsidR="005A7416" w:rsidRPr="00112B89" w:rsidRDefault="00641C46" w:rsidP="0085684D">
      <w:pPr>
        <w:autoSpaceDE w:val="0"/>
        <w:autoSpaceDN w:val="0"/>
        <w:adjustRightInd w:val="0"/>
        <w:spacing w:after="0" w:line="240" w:lineRule="auto"/>
        <w:rPr>
          <w:rFonts w:ascii="Times New Roman" w:hAnsi="Times New Roman"/>
          <w:i/>
          <w:iCs/>
          <w:color w:val="000000"/>
        </w:rPr>
      </w:pPr>
      <w:r w:rsidRPr="00112B89">
        <w:rPr>
          <w:rFonts w:ascii="Times New Roman" w:hAnsi="Times New Roman"/>
          <w:i/>
          <w:iCs/>
          <w:color w:val="000000"/>
        </w:rPr>
        <w:t xml:space="preserve">Sutrikusi </w:t>
      </w:r>
      <w:r w:rsidR="005A7416" w:rsidRPr="00112B89">
        <w:rPr>
          <w:rFonts w:ascii="Times New Roman" w:hAnsi="Times New Roman"/>
          <w:i/>
          <w:iCs/>
          <w:color w:val="000000"/>
        </w:rPr>
        <w:t>inkstų funkcij</w:t>
      </w:r>
      <w:r w:rsidRPr="00112B89">
        <w:rPr>
          <w:rFonts w:ascii="Times New Roman" w:hAnsi="Times New Roman"/>
          <w:i/>
          <w:iCs/>
          <w:color w:val="000000"/>
        </w:rPr>
        <w:t>a</w:t>
      </w:r>
    </w:p>
    <w:p w14:paraId="3B5B7B32"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klirensas per inkstus iš pacientų, kuriems nustatytas įvairaus laipsnio inkstų funkcijos sutrikimas, organizmo tiesiogiai priklauso nuo </w:t>
      </w:r>
      <w:proofErr w:type="spellStart"/>
      <w:r w:rsidRPr="00112B89">
        <w:rPr>
          <w:rFonts w:ascii="Times New Roman" w:hAnsi="Times New Roman"/>
          <w:color w:val="000000"/>
        </w:rPr>
        <w:t>kreatinino</w:t>
      </w:r>
      <w:proofErr w:type="spellEnd"/>
      <w:r w:rsidRPr="00112B89">
        <w:rPr>
          <w:rFonts w:ascii="Times New Roman" w:hAnsi="Times New Roman"/>
          <w:color w:val="000000"/>
        </w:rPr>
        <w:t xml:space="preserve"> klirenso</w:t>
      </w:r>
      <w:r w:rsidR="00491658" w:rsidRPr="00112B89">
        <w:rPr>
          <w:rFonts w:ascii="Times New Roman" w:hAnsi="Times New Roman"/>
          <w:color w:val="000000"/>
        </w:rPr>
        <w:t xml:space="preserve"> (</w:t>
      </w:r>
      <w:proofErr w:type="spellStart"/>
      <w:r w:rsidR="00491658" w:rsidRPr="00112B89">
        <w:rPr>
          <w:rFonts w:ascii="Times New Roman" w:hAnsi="Times New Roman"/>
          <w:color w:val="000000"/>
        </w:rPr>
        <w:t>CLcr</w:t>
      </w:r>
      <w:proofErr w:type="spellEnd"/>
      <w:r w:rsidR="00491658" w:rsidRPr="00112B89">
        <w:rPr>
          <w:rFonts w:ascii="Times New Roman" w:hAnsi="Times New Roman"/>
          <w:color w:val="000000"/>
        </w:rPr>
        <w:t>)</w:t>
      </w:r>
      <w:r w:rsidRPr="00112B89">
        <w:rPr>
          <w:rFonts w:ascii="Times New Roman" w:hAnsi="Times New Roman"/>
          <w:color w:val="000000"/>
        </w:rPr>
        <w:t>.</w:t>
      </w:r>
    </w:p>
    <w:p w14:paraId="3F92135E"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61FDCDB2"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Pacientams, kuriems yra lengvas ar vidutinio sunkumo inkstų funkcijos sutrikimas (kreatinino klirensas yra 30</w:t>
      </w:r>
      <w:r w:rsidR="00271402" w:rsidRPr="00112B89">
        <w:rPr>
          <w:rFonts w:ascii="Times New Roman" w:hAnsi="Times New Roman"/>
          <w:color w:val="000000"/>
        </w:rPr>
        <w:t> </w:t>
      </w:r>
      <w:r w:rsidRPr="00112B89">
        <w:rPr>
          <w:rFonts w:ascii="Times New Roman" w:hAnsi="Times New Roman"/>
          <w:color w:val="000000"/>
        </w:rPr>
        <w:t>ml/min. arba didesnis), dozės keisti nebūtina.</w:t>
      </w:r>
    </w:p>
    <w:p w14:paraId="60C9099E"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1B82D814"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Nustatyta, kad 21 parą 10</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paros dozę vartojusių tiriamųjų, kuriems buvo sunkus inkstų funkcijos sutrikimas (kreatinino klirensas mažesnis kaip 30</w:t>
      </w:r>
      <w:r w:rsidR="00271402" w:rsidRPr="00112B89">
        <w:rPr>
          <w:rFonts w:ascii="Times New Roman" w:hAnsi="Times New Roman"/>
          <w:color w:val="000000"/>
        </w:rPr>
        <w:t> </w:t>
      </w:r>
      <w:r w:rsidRPr="00112B89">
        <w:rPr>
          <w:rFonts w:ascii="Times New Roman" w:hAnsi="Times New Roman"/>
          <w:color w:val="000000"/>
        </w:rPr>
        <w:t xml:space="preserve">ml/min.), plazmoje nustatyta 2–3 kartus didesnė vaistinio preparato koncentracija nei tiriamųjų, kurių inkstų funkcija buvo normali, o bendrasis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klirensas buvo 44</w:t>
      </w:r>
      <w:r w:rsidR="00271402" w:rsidRPr="00112B89">
        <w:rPr>
          <w:rFonts w:ascii="Times New Roman" w:hAnsi="Times New Roman"/>
          <w:color w:val="000000"/>
        </w:rPr>
        <w:t> </w:t>
      </w:r>
      <w:r w:rsidRPr="00112B89">
        <w:rPr>
          <w:rFonts w:ascii="Times New Roman" w:hAnsi="Times New Roman"/>
          <w:color w:val="000000"/>
        </w:rPr>
        <w:t xml:space="preserve">ml/min. Tiriamųjų, kuriems buvo sunkus inkstų funkcijos sutrikimas ir kuriems į veną buvo suleista 0,5 mg vaistinio preparato dozė, bendrasis klirensas, klirensas per inkstus ir ne per inkstus sumažėjo atitinkamai 67%, 77% ir 50%, tačiau toleravimo sumažėjimo dėl padidėjusios ekspozicijos nenustatyta. </w:t>
      </w:r>
      <w:proofErr w:type="spellStart"/>
      <w:r w:rsidRPr="00112B89">
        <w:rPr>
          <w:rFonts w:ascii="Times New Roman" w:hAnsi="Times New Roman"/>
          <w:color w:val="000000"/>
        </w:rPr>
        <w:t>Klinikinų</w:t>
      </w:r>
      <w:proofErr w:type="spellEnd"/>
      <w:r w:rsidRPr="00112B89">
        <w:rPr>
          <w:rFonts w:ascii="Times New Roman" w:hAnsi="Times New Roman"/>
          <w:color w:val="000000"/>
        </w:rPr>
        <w:t xml:space="preserve"> duomenų sukaupta nedaug, todėl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nerekomenduojama vartoti pacient</w:t>
      </w:r>
      <w:r w:rsidR="00FC3102" w:rsidRPr="00112B89">
        <w:rPr>
          <w:rFonts w:ascii="Times New Roman" w:hAnsi="Times New Roman"/>
          <w:color w:val="000000"/>
        </w:rPr>
        <w:t>a</w:t>
      </w:r>
      <w:r w:rsidRPr="00112B89">
        <w:rPr>
          <w:rFonts w:ascii="Times New Roman" w:hAnsi="Times New Roman"/>
          <w:color w:val="000000"/>
        </w:rPr>
        <w:t>ms, kuri</w:t>
      </w:r>
      <w:r w:rsidR="00FC3102" w:rsidRPr="00112B89">
        <w:rPr>
          <w:rFonts w:ascii="Times New Roman" w:hAnsi="Times New Roman"/>
          <w:color w:val="000000"/>
        </w:rPr>
        <w:t>e</w:t>
      </w:r>
      <w:r w:rsidRPr="00112B89">
        <w:rPr>
          <w:rFonts w:ascii="Times New Roman" w:hAnsi="Times New Roman"/>
          <w:color w:val="000000"/>
        </w:rPr>
        <w:t xml:space="preserve">ms yra sunkus inkstų funkcijos sutrikimas (žr. 4.2 ir 4.4 skyrius).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w:t>
      </w:r>
      <w:proofErr w:type="spellStart"/>
      <w:r w:rsidRPr="00112B89">
        <w:rPr>
          <w:rFonts w:ascii="Times New Roman" w:hAnsi="Times New Roman"/>
          <w:color w:val="000000"/>
        </w:rPr>
        <w:t>farmakokinetika</w:t>
      </w:r>
      <w:proofErr w:type="spellEnd"/>
      <w:r w:rsidRPr="00112B89">
        <w:rPr>
          <w:rFonts w:ascii="Times New Roman" w:hAnsi="Times New Roman"/>
          <w:color w:val="000000"/>
        </w:rPr>
        <w:t xml:space="preserve"> nebuvo įvertinta pacientams, kurie serga galutinės stadijos inkstų liga, gydoma kitaip nei atliekant hemodializes.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w:t>
      </w:r>
      <w:proofErr w:type="spellStart"/>
      <w:r w:rsidRPr="00112B89">
        <w:rPr>
          <w:rFonts w:ascii="Times New Roman" w:hAnsi="Times New Roman"/>
          <w:color w:val="000000"/>
        </w:rPr>
        <w:t>farmakokinetika</w:t>
      </w:r>
      <w:proofErr w:type="spellEnd"/>
      <w:r w:rsidRPr="00112B89">
        <w:rPr>
          <w:rFonts w:ascii="Times New Roman" w:hAnsi="Times New Roman"/>
          <w:color w:val="000000"/>
        </w:rPr>
        <w:t xml:space="preserve"> tokių pacientų organizme nežinoma, todėl tokiomis aplinkybėmis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vartoti negalima.</w:t>
      </w:r>
    </w:p>
    <w:p w14:paraId="05A83D67"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22484C7F" w14:textId="77777777" w:rsidR="005A7416" w:rsidRPr="00112B89" w:rsidRDefault="00641C46" w:rsidP="0085684D">
      <w:pPr>
        <w:autoSpaceDE w:val="0"/>
        <w:autoSpaceDN w:val="0"/>
        <w:adjustRightInd w:val="0"/>
        <w:spacing w:after="0" w:line="240" w:lineRule="auto"/>
        <w:rPr>
          <w:rFonts w:ascii="Times New Roman" w:hAnsi="Times New Roman"/>
          <w:i/>
          <w:iCs/>
          <w:color w:val="000000"/>
        </w:rPr>
      </w:pPr>
      <w:r w:rsidRPr="00112B89">
        <w:rPr>
          <w:rFonts w:ascii="Times New Roman" w:hAnsi="Times New Roman"/>
          <w:i/>
          <w:iCs/>
          <w:color w:val="000000"/>
        </w:rPr>
        <w:t>Sutrikusi</w:t>
      </w:r>
      <w:r w:rsidR="005A7416" w:rsidRPr="00112B89">
        <w:rPr>
          <w:rFonts w:ascii="Times New Roman" w:hAnsi="Times New Roman"/>
          <w:i/>
          <w:iCs/>
          <w:color w:val="000000"/>
        </w:rPr>
        <w:t xml:space="preserve"> kepenų funkcij</w:t>
      </w:r>
      <w:r w:rsidRPr="00112B89">
        <w:rPr>
          <w:rFonts w:ascii="Times New Roman" w:hAnsi="Times New Roman"/>
          <w:i/>
          <w:iCs/>
          <w:color w:val="000000"/>
        </w:rPr>
        <w:t>a</w:t>
      </w:r>
      <w:r w:rsidR="00DC56EA" w:rsidRPr="00112B89">
        <w:rPr>
          <w:rFonts w:ascii="Times New Roman" w:hAnsi="Times New Roman"/>
          <w:i/>
          <w:iCs/>
          <w:color w:val="000000"/>
        </w:rPr>
        <w:t xml:space="preserve"> </w:t>
      </w:r>
      <w:r w:rsidR="00491658" w:rsidRPr="00112B89">
        <w:rPr>
          <w:rFonts w:ascii="Times New Roman" w:hAnsi="Times New Roman"/>
          <w:i/>
          <w:iCs/>
          <w:color w:val="000000"/>
        </w:rPr>
        <w:t>(žr. 4.2 skyrių)</w:t>
      </w:r>
    </w:p>
    <w:p w14:paraId="4AAB60D4"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Duomenų apie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w:t>
      </w:r>
      <w:proofErr w:type="spellStart"/>
      <w:r w:rsidRPr="00112B89">
        <w:rPr>
          <w:rFonts w:ascii="Times New Roman" w:hAnsi="Times New Roman"/>
          <w:color w:val="000000"/>
        </w:rPr>
        <w:t>farmakokinetiką</w:t>
      </w:r>
      <w:proofErr w:type="spellEnd"/>
      <w:r w:rsidRPr="00112B89">
        <w:rPr>
          <w:rFonts w:ascii="Times New Roman" w:hAnsi="Times New Roman"/>
          <w:color w:val="000000"/>
        </w:rPr>
        <w:t xml:space="preserve"> pacientų, kuriems yra kepenų funkcijos sutrikimas, organizme nėra. Kepenys nedaro reikšmingos įtakos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klirensui, nes vaistinis preparatas </w:t>
      </w:r>
      <w:proofErr w:type="spellStart"/>
      <w:r w:rsidRPr="00112B89">
        <w:rPr>
          <w:rFonts w:ascii="Times New Roman" w:hAnsi="Times New Roman"/>
          <w:color w:val="000000"/>
        </w:rPr>
        <w:t>nemetabolizuojamas</w:t>
      </w:r>
      <w:proofErr w:type="spellEnd"/>
      <w:r w:rsidRPr="00112B89">
        <w:rPr>
          <w:rFonts w:ascii="Times New Roman" w:hAnsi="Times New Roman"/>
          <w:color w:val="000000"/>
        </w:rPr>
        <w:t xml:space="preserve">, bet šalinamas </w:t>
      </w:r>
      <w:proofErr w:type="spellStart"/>
      <w:r w:rsidRPr="00112B89">
        <w:rPr>
          <w:rFonts w:ascii="Times New Roman" w:hAnsi="Times New Roman"/>
          <w:color w:val="000000"/>
        </w:rPr>
        <w:t>ekskrecijos</w:t>
      </w:r>
      <w:proofErr w:type="spellEnd"/>
      <w:r w:rsidRPr="00112B89">
        <w:rPr>
          <w:rFonts w:ascii="Times New Roman" w:hAnsi="Times New Roman"/>
          <w:color w:val="000000"/>
        </w:rPr>
        <w:t xml:space="preserve"> per inkstus būdu arba patenka į kaulus. Todėl pacientams, kuriems yra kepenų funkcijos sutrikimas, dozės keisti nebūtina.</w:t>
      </w:r>
    </w:p>
    <w:p w14:paraId="2BAE83CD"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610320B1" w14:textId="77777777" w:rsidR="005A7416" w:rsidRPr="00112B89" w:rsidRDefault="005A7416" w:rsidP="0085684D">
      <w:pPr>
        <w:autoSpaceDE w:val="0"/>
        <w:autoSpaceDN w:val="0"/>
        <w:adjustRightInd w:val="0"/>
        <w:spacing w:after="0" w:line="240" w:lineRule="auto"/>
        <w:rPr>
          <w:rFonts w:ascii="Times New Roman" w:hAnsi="Times New Roman"/>
          <w:i/>
          <w:iCs/>
          <w:color w:val="000000"/>
        </w:rPr>
      </w:pPr>
      <w:r w:rsidRPr="00112B89">
        <w:rPr>
          <w:rFonts w:ascii="Times New Roman" w:hAnsi="Times New Roman"/>
          <w:i/>
          <w:iCs/>
          <w:color w:val="000000"/>
        </w:rPr>
        <w:t xml:space="preserve">Senyvi </w:t>
      </w:r>
      <w:r w:rsidR="00674E88" w:rsidRPr="00112B89">
        <w:rPr>
          <w:rFonts w:ascii="Times New Roman" w:hAnsi="Times New Roman"/>
          <w:i/>
          <w:iCs/>
          <w:color w:val="000000"/>
        </w:rPr>
        <w:t>pacientai</w:t>
      </w:r>
      <w:r w:rsidR="00491658" w:rsidRPr="00112B89">
        <w:rPr>
          <w:rFonts w:ascii="Times New Roman" w:hAnsi="Times New Roman"/>
          <w:i/>
          <w:iCs/>
          <w:color w:val="000000"/>
        </w:rPr>
        <w:t xml:space="preserve"> (žr. 4.2 skyrių)</w:t>
      </w:r>
    </w:p>
    <w:p w14:paraId="500A229B"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Dispersinės analizės duomenimis, amžius nėra nei vieno tirto farmakokinetikos parametro nepriklausomas veiksnys. Senstant inkstų funkcija silpnėja, todėl inkstų funkcija yra vienintelis veiksnys, į kurį reikia atsižvelgti (žr. poskyrį „Pacienta</w:t>
      </w:r>
      <w:r w:rsidR="00217472" w:rsidRPr="00112B89">
        <w:rPr>
          <w:rFonts w:ascii="Times New Roman" w:hAnsi="Times New Roman"/>
          <w:color w:val="000000"/>
        </w:rPr>
        <w:t>ms</w:t>
      </w:r>
      <w:r w:rsidRPr="00112B89">
        <w:rPr>
          <w:rFonts w:ascii="Times New Roman" w:hAnsi="Times New Roman"/>
          <w:color w:val="000000"/>
        </w:rPr>
        <w:t>, kuriems inkstų funkcij</w:t>
      </w:r>
      <w:r w:rsidR="00217472" w:rsidRPr="00112B89">
        <w:rPr>
          <w:rFonts w:ascii="Times New Roman" w:hAnsi="Times New Roman"/>
          <w:color w:val="000000"/>
        </w:rPr>
        <w:t>a</w:t>
      </w:r>
      <w:r w:rsidRPr="00112B89">
        <w:rPr>
          <w:rFonts w:ascii="Times New Roman" w:hAnsi="Times New Roman"/>
          <w:color w:val="000000"/>
        </w:rPr>
        <w:t xml:space="preserve"> sutrik</w:t>
      </w:r>
      <w:r w:rsidR="00217472" w:rsidRPr="00112B89">
        <w:rPr>
          <w:rFonts w:ascii="Times New Roman" w:hAnsi="Times New Roman"/>
          <w:color w:val="000000"/>
        </w:rPr>
        <w:t>usi</w:t>
      </w:r>
      <w:r w:rsidRPr="00112B89">
        <w:rPr>
          <w:rFonts w:ascii="Times New Roman" w:hAnsi="Times New Roman"/>
          <w:color w:val="000000"/>
        </w:rPr>
        <w:t>“).</w:t>
      </w:r>
    </w:p>
    <w:p w14:paraId="2FDE7B4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052B82D9" w14:textId="77777777" w:rsidR="005A7416" w:rsidRPr="00112B89" w:rsidRDefault="005A7416" w:rsidP="0085684D">
      <w:pPr>
        <w:autoSpaceDE w:val="0"/>
        <w:autoSpaceDN w:val="0"/>
        <w:adjustRightInd w:val="0"/>
        <w:spacing w:after="0" w:line="240" w:lineRule="auto"/>
        <w:rPr>
          <w:rFonts w:ascii="Times New Roman" w:hAnsi="Times New Roman"/>
          <w:i/>
          <w:iCs/>
          <w:color w:val="000000"/>
        </w:rPr>
      </w:pPr>
      <w:r w:rsidRPr="00112B89">
        <w:rPr>
          <w:rFonts w:ascii="Times New Roman" w:hAnsi="Times New Roman"/>
          <w:i/>
          <w:iCs/>
          <w:color w:val="000000"/>
        </w:rPr>
        <w:t>Vaikų populiacija</w:t>
      </w:r>
      <w:r w:rsidR="00491658" w:rsidRPr="00112B89">
        <w:rPr>
          <w:rFonts w:ascii="Times New Roman" w:hAnsi="Times New Roman"/>
          <w:i/>
          <w:iCs/>
          <w:color w:val="000000"/>
        </w:rPr>
        <w:t xml:space="preserve"> (žr. 4.2 ir 5.1 skyrius)</w:t>
      </w:r>
    </w:p>
    <w:p w14:paraId="7147799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Duomenų apie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vartojimą šios amžiaus grupės pacientams nėra.</w:t>
      </w:r>
    </w:p>
    <w:p w14:paraId="5E0FE5D3"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22F0BF5F"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5.3</w:t>
      </w:r>
      <w:r w:rsidRPr="00112B89">
        <w:rPr>
          <w:rFonts w:ascii="Times New Roman" w:hAnsi="Times New Roman"/>
          <w:b/>
          <w:bCs/>
          <w:color w:val="000000"/>
        </w:rPr>
        <w:tab/>
      </w:r>
      <w:proofErr w:type="spellStart"/>
      <w:r w:rsidRPr="00112B89">
        <w:rPr>
          <w:rFonts w:ascii="Times New Roman" w:hAnsi="Times New Roman"/>
          <w:b/>
          <w:bCs/>
          <w:color w:val="000000"/>
        </w:rPr>
        <w:t>Ikiklinikinių</w:t>
      </w:r>
      <w:proofErr w:type="spellEnd"/>
      <w:r w:rsidRPr="00112B89">
        <w:rPr>
          <w:rFonts w:ascii="Times New Roman" w:hAnsi="Times New Roman"/>
          <w:b/>
          <w:bCs/>
          <w:color w:val="000000"/>
        </w:rPr>
        <w:t xml:space="preserve"> saugumo tyrimų duomenys</w:t>
      </w:r>
    </w:p>
    <w:p w14:paraId="08EA72B0"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253E6EE1"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Toksinis poveikis, pvz., inkstų veiklos sutrikimo požymiai, šunims buvo pastebėtas tik kai ekspozicija buvo tokia, kuri laikoma pakankamai viršijančia maksimalią žmogui, todėl jo klinikinė reikšmė yra maža. </w:t>
      </w:r>
    </w:p>
    <w:p w14:paraId="67307644"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49360850" w14:textId="77777777" w:rsidR="005A7416" w:rsidRPr="00112B89" w:rsidRDefault="005A7416" w:rsidP="0085684D">
      <w:pPr>
        <w:autoSpaceDE w:val="0"/>
        <w:autoSpaceDN w:val="0"/>
        <w:adjustRightInd w:val="0"/>
        <w:spacing w:after="0" w:line="240" w:lineRule="auto"/>
        <w:rPr>
          <w:rFonts w:ascii="Times New Roman" w:hAnsi="Times New Roman"/>
          <w:i/>
          <w:iCs/>
          <w:color w:val="000000"/>
        </w:rPr>
      </w:pPr>
      <w:proofErr w:type="spellStart"/>
      <w:r w:rsidRPr="00112B89">
        <w:rPr>
          <w:rFonts w:ascii="Times New Roman" w:hAnsi="Times New Roman"/>
          <w:i/>
          <w:iCs/>
          <w:color w:val="000000"/>
        </w:rPr>
        <w:lastRenderedPageBreak/>
        <w:t>Mutageniškumas</w:t>
      </w:r>
      <w:proofErr w:type="spellEnd"/>
      <w:r w:rsidRPr="00112B89">
        <w:rPr>
          <w:rFonts w:ascii="Times New Roman" w:hAnsi="Times New Roman"/>
          <w:i/>
          <w:iCs/>
          <w:color w:val="000000"/>
        </w:rPr>
        <w:t xml:space="preserve">, </w:t>
      </w:r>
      <w:proofErr w:type="spellStart"/>
      <w:r w:rsidRPr="00112B89">
        <w:rPr>
          <w:rFonts w:ascii="Times New Roman" w:hAnsi="Times New Roman"/>
          <w:i/>
          <w:iCs/>
          <w:color w:val="000000"/>
        </w:rPr>
        <w:t>kancerogeniškumas</w:t>
      </w:r>
      <w:proofErr w:type="spellEnd"/>
    </w:p>
    <w:p w14:paraId="38E9B756" w14:textId="77777777" w:rsidR="005A7416" w:rsidRPr="00112B89" w:rsidRDefault="005A7416" w:rsidP="0085684D">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Galimo kancerogeninio poveikio rizikos nepastebėta. </w:t>
      </w:r>
      <w:proofErr w:type="spellStart"/>
      <w:r w:rsidRPr="00112B89">
        <w:rPr>
          <w:rFonts w:ascii="Times New Roman" w:hAnsi="Times New Roman"/>
          <w:color w:val="000000"/>
        </w:rPr>
        <w:t>Genotoksiškumo</w:t>
      </w:r>
      <w:proofErr w:type="spellEnd"/>
      <w:r w:rsidRPr="00112B89">
        <w:rPr>
          <w:rFonts w:ascii="Times New Roman" w:hAnsi="Times New Roman"/>
          <w:color w:val="000000"/>
        </w:rPr>
        <w:t xml:space="preserve"> tyrimai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poveikio genų aktyvumui neparodė.</w:t>
      </w:r>
    </w:p>
    <w:p w14:paraId="792B22A6"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06DD344B" w14:textId="77777777" w:rsidR="005A7416" w:rsidRPr="00112B89" w:rsidRDefault="005A7416" w:rsidP="0085684D">
      <w:pPr>
        <w:autoSpaceDE w:val="0"/>
        <w:autoSpaceDN w:val="0"/>
        <w:adjustRightInd w:val="0"/>
        <w:spacing w:after="0" w:line="240" w:lineRule="auto"/>
        <w:rPr>
          <w:rFonts w:ascii="Times New Roman" w:hAnsi="Times New Roman"/>
          <w:i/>
          <w:iCs/>
          <w:color w:val="000000"/>
        </w:rPr>
      </w:pPr>
      <w:r w:rsidRPr="00112B89">
        <w:rPr>
          <w:rFonts w:ascii="Times New Roman" w:hAnsi="Times New Roman"/>
          <w:i/>
          <w:iCs/>
          <w:color w:val="000000"/>
        </w:rPr>
        <w:t>Toksinis poveikis reprodukcijai</w:t>
      </w:r>
    </w:p>
    <w:p w14:paraId="6F2BC9A1" w14:textId="77777777" w:rsidR="005A7416" w:rsidRPr="00112B89" w:rsidRDefault="005A7416" w:rsidP="008E6EF6">
      <w:pPr>
        <w:spacing w:after="0" w:line="240" w:lineRule="auto"/>
        <w:rPr>
          <w:rFonts w:ascii="Times New Roman" w:hAnsi="Times New Roman"/>
        </w:rPr>
      </w:pPr>
      <w:r w:rsidRPr="00112B89">
        <w:rPr>
          <w:rFonts w:ascii="Times New Roman" w:hAnsi="Times New Roman"/>
        </w:rPr>
        <w:t>Specifinio tyrimo dozuojant vaisto 3 mėnesių režimu neatlikta.</w:t>
      </w:r>
    </w:p>
    <w:p w14:paraId="7DE32204" w14:textId="77777777" w:rsidR="005A7416" w:rsidRPr="00112B89" w:rsidRDefault="005A7416" w:rsidP="008E6EF6">
      <w:pPr>
        <w:spacing w:after="0" w:line="240" w:lineRule="auto"/>
        <w:rPr>
          <w:rFonts w:ascii="Times New Roman" w:hAnsi="Times New Roman"/>
          <w:spacing w:val="-4"/>
        </w:rPr>
      </w:pPr>
      <w:r w:rsidRPr="00112B89">
        <w:rPr>
          <w:rFonts w:ascii="Times New Roman" w:hAnsi="Times New Roman"/>
        </w:rPr>
        <w:t xml:space="preserve">Suleidžiant </w:t>
      </w:r>
      <w:proofErr w:type="spellStart"/>
      <w:r w:rsidRPr="00112B89">
        <w:rPr>
          <w:rFonts w:ascii="Times New Roman" w:hAnsi="Times New Roman"/>
        </w:rPr>
        <w:t>ibandrono</w:t>
      </w:r>
      <w:proofErr w:type="spellEnd"/>
      <w:r w:rsidRPr="00112B89">
        <w:rPr>
          <w:rFonts w:ascii="Times New Roman" w:hAnsi="Times New Roman"/>
        </w:rPr>
        <w:t xml:space="preserve"> rūgšties į veną žiurkėms ir triušiams kasdien, tiesioginio </w:t>
      </w:r>
      <w:proofErr w:type="spellStart"/>
      <w:r w:rsidRPr="00112B89">
        <w:rPr>
          <w:rFonts w:ascii="Times New Roman" w:hAnsi="Times New Roman"/>
        </w:rPr>
        <w:t>teratogeninio</w:t>
      </w:r>
      <w:proofErr w:type="spellEnd"/>
      <w:r w:rsidRPr="00112B89">
        <w:rPr>
          <w:rFonts w:ascii="Times New Roman" w:hAnsi="Times New Roman"/>
        </w:rPr>
        <w:t xml:space="preserve"> ir toksinio poveikio vaisiui nepastebėta. F1 kartos žiurkių </w:t>
      </w:r>
      <w:proofErr w:type="spellStart"/>
      <w:r w:rsidRPr="00112B89">
        <w:rPr>
          <w:rFonts w:ascii="Times New Roman" w:hAnsi="Times New Roman"/>
        </w:rPr>
        <w:t>palikuonims</w:t>
      </w:r>
      <w:proofErr w:type="spellEnd"/>
      <w:r w:rsidRPr="00112B89">
        <w:rPr>
          <w:rFonts w:ascii="Times New Roman" w:hAnsi="Times New Roman"/>
        </w:rPr>
        <w:t xml:space="preserve"> buvo lėtesnis kūno masės augimas. </w:t>
      </w:r>
      <w:r w:rsidRPr="00112B89">
        <w:rPr>
          <w:rFonts w:ascii="Times New Roman" w:hAnsi="Times New Roman"/>
          <w:spacing w:val="-3"/>
        </w:rPr>
        <w:t>Tiriant toksiškumą reprodukcijai, žiurkėms sumaitinus 1</w:t>
      </w:r>
      <w:r w:rsidR="00271402" w:rsidRPr="00112B89">
        <w:rPr>
          <w:rFonts w:ascii="Times New Roman" w:hAnsi="Times New Roman"/>
          <w:spacing w:val="-3"/>
        </w:rPr>
        <w:t> </w:t>
      </w:r>
      <w:r w:rsidRPr="00112B89">
        <w:rPr>
          <w:rFonts w:ascii="Times New Roman" w:hAnsi="Times New Roman"/>
          <w:spacing w:val="-3"/>
        </w:rPr>
        <w:t>mg/kg kūno svorio per parą ir didesnes dozes, poveikis vaikingumui pasireiškė padidėjusia embrionų žūtimi prieš implantaciją. Tiriant toksiškumą reprodukcijai, žiurkių patinams į veną sušvirkštus 0,3 ir 1</w:t>
      </w:r>
      <w:r w:rsidR="00271402" w:rsidRPr="00112B89">
        <w:rPr>
          <w:rFonts w:ascii="Times New Roman" w:hAnsi="Times New Roman"/>
          <w:spacing w:val="-3"/>
        </w:rPr>
        <w:t> </w:t>
      </w:r>
      <w:r w:rsidRPr="00112B89">
        <w:rPr>
          <w:rFonts w:ascii="Times New Roman" w:hAnsi="Times New Roman"/>
          <w:spacing w:val="-3"/>
        </w:rPr>
        <w:t>mg/kg kūno svorio per parą, sumažėjo spermos kiekis, o patinų ir patelių vaikingumas sumažėjo sušvirkštus atitinkamai 1</w:t>
      </w:r>
      <w:r w:rsidR="00271402" w:rsidRPr="00112B89">
        <w:rPr>
          <w:rFonts w:ascii="Times New Roman" w:hAnsi="Times New Roman"/>
          <w:spacing w:val="-3"/>
        </w:rPr>
        <w:t> </w:t>
      </w:r>
      <w:r w:rsidRPr="00112B89">
        <w:rPr>
          <w:rFonts w:ascii="Times New Roman" w:hAnsi="Times New Roman"/>
          <w:spacing w:val="-3"/>
        </w:rPr>
        <w:t>mg/kg kūno svorio ir 1,2</w:t>
      </w:r>
      <w:r w:rsidR="00271402" w:rsidRPr="00112B89">
        <w:rPr>
          <w:rFonts w:ascii="Times New Roman" w:hAnsi="Times New Roman"/>
          <w:spacing w:val="-3"/>
        </w:rPr>
        <w:t> </w:t>
      </w:r>
      <w:r w:rsidRPr="00112B89">
        <w:rPr>
          <w:rFonts w:ascii="Times New Roman" w:hAnsi="Times New Roman"/>
          <w:spacing w:val="-3"/>
        </w:rPr>
        <w:t xml:space="preserve">mg/kg kūno svorio per parą. Tiriant </w:t>
      </w:r>
      <w:proofErr w:type="spellStart"/>
      <w:r w:rsidRPr="00112B89">
        <w:rPr>
          <w:rFonts w:ascii="Times New Roman" w:hAnsi="Times New Roman"/>
          <w:spacing w:val="-3"/>
        </w:rPr>
        <w:t>ibandrono</w:t>
      </w:r>
      <w:proofErr w:type="spellEnd"/>
      <w:r w:rsidRPr="00112B89">
        <w:rPr>
          <w:rFonts w:ascii="Times New Roman" w:hAnsi="Times New Roman"/>
          <w:spacing w:val="-3"/>
        </w:rPr>
        <w:t xml:space="preserve"> rūgšties neigiamą poveikį žiurkių reprodukcijai, nustatyta nepageidaujamų reiškinių, būdingų </w:t>
      </w:r>
      <w:proofErr w:type="spellStart"/>
      <w:r w:rsidRPr="00112B89">
        <w:rPr>
          <w:rFonts w:ascii="Times New Roman" w:hAnsi="Times New Roman"/>
          <w:spacing w:val="-3"/>
        </w:rPr>
        <w:t>bisfosfonatų</w:t>
      </w:r>
      <w:proofErr w:type="spellEnd"/>
      <w:r w:rsidRPr="00112B89">
        <w:rPr>
          <w:rFonts w:ascii="Times New Roman" w:hAnsi="Times New Roman"/>
          <w:spacing w:val="-3"/>
        </w:rPr>
        <w:t xml:space="preserve"> klasės vaistams. Tai sumažėjęs implantacijos vietų skaičius, pasunkėjęs natūralus jauniklių atsivedimas (</w:t>
      </w:r>
      <w:proofErr w:type="spellStart"/>
      <w:r w:rsidRPr="00112B89">
        <w:rPr>
          <w:rFonts w:ascii="Times New Roman" w:hAnsi="Times New Roman"/>
          <w:spacing w:val="-3"/>
        </w:rPr>
        <w:t>distocija</w:t>
      </w:r>
      <w:proofErr w:type="spellEnd"/>
      <w:r w:rsidRPr="00112B89">
        <w:rPr>
          <w:rFonts w:ascii="Times New Roman" w:hAnsi="Times New Roman"/>
          <w:spacing w:val="-3"/>
        </w:rPr>
        <w:t xml:space="preserve">), padažnėję vidaus organų pokyčiai (inkstų geldelių ir </w:t>
      </w:r>
      <w:r w:rsidRPr="00112B89">
        <w:rPr>
          <w:rFonts w:ascii="Times New Roman" w:hAnsi="Times New Roman"/>
          <w:spacing w:val="-4"/>
        </w:rPr>
        <w:t>šlapimtakių sindromas).</w:t>
      </w:r>
    </w:p>
    <w:p w14:paraId="0D9CEF76" w14:textId="77777777" w:rsidR="005A7416" w:rsidRPr="00112B89" w:rsidRDefault="005A7416" w:rsidP="0085684D">
      <w:pPr>
        <w:autoSpaceDE w:val="0"/>
        <w:autoSpaceDN w:val="0"/>
        <w:adjustRightInd w:val="0"/>
        <w:spacing w:after="0" w:line="240" w:lineRule="auto"/>
        <w:rPr>
          <w:rFonts w:ascii="Times New Roman" w:hAnsi="Times New Roman"/>
          <w:color w:val="000000"/>
        </w:rPr>
      </w:pPr>
    </w:p>
    <w:p w14:paraId="589B4D0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58E699C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aps/>
          <w:color w:val="000000"/>
        </w:rPr>
      </w:pPr>
      <w:r w:rsidRPr="00112B89">
        <w:rPr>
          <w:rFonts w:ascii="Times New Roman" w:hAnsi="Times New Roman"/>
          <w:b/>
          <w:bCs/>
          <w:color w:val="000000"/>
        </w:rPr>
        <w:t>6.</w:t>
      </w:r>
      <w:r w:rsidRPr="00112B89">
        <w:rPr>
          <w:rFonts w:ascii="Times New Roman" w:hAnsi="Times New Roman"/>
          <w:b/>
          <w:bCs/>
          <w:color w:val="000000"/>
        </w:rPr>
        <w:tab/>
      </w:r>
      <w:r w:rsidRPr="00112B89">
        <w:rPr>
          <w:rFonts w:ascii="Times New Roman" w:hAnsi="Times New Roman"/>
          <w:b/>
          <w:bCs/>
          <w:caps/>
          <w:color w:val="000000"/>
        </w:rPr>
        <w:t>farmacinė informacija</w:t>
      </w:r>
    </w:p>
    <w:p w14:paraId="21A61C6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p>
    <w:p w14:paraId="7C9D0664"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6.1</w:t>
      </w:r>
      <w:r w:rsidRPr="00112B89">
        <w:rPr>
          <w:rFonts w:ascii="Times New Roman" w:hAnsi="Times New Roman"/>
          <w:b/>
          <w:bCs/>
          <w:color w:val="000000"/>
        </w:rPr>
        <w:tab/>
        <w:t>Pagalbinių medžiagų sąrašas</w:t>
      </w:r>
    </w:p>
    <w:p w14:paraId="2F0B1C2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i/>
          <w:iCs/>
          <w:color w:val="000000"/>
        </w:rPr>
      </w:pPr>
    </w:p>
    <w:p w14:paraId="58438DFC" w14:textId="77777777" w:rsidR="005A7416" w:rsidRPr="00112B89" w:rsidRDefault="005A7416" w:rsidP="00C7398A">
      <w:pPr>
        <w:tabs>
          <w:tab w:val="left" w:pos="567"/>
        </w:tabs>
        <w:spacing w:after="0" w:line="240" w:lineRule="auto"/>
        <w:rPr>
          <w:rFonts w:ascii="Times New Roman" w:hAnsi="Times New Roman"/>
          <w:iCs/>
        </w:rPr>
      </w:pPr>
      <w:r w:rsidRPr="00112B89">
        <w:rPr>
          <w:rFonts w:ascii="Times New Roman" w:hAnsi="Times New Roman"/>
          <w:iCs/>
        </w:rPr>
        <w:t>Natrio chloridas</w:t>
      </w:r>
    </w:p>
    <w:p w14:paraId="32AACE85" w14:textId="77777777" w:rsidR="005A7416" w:rsidRPr="00112B89" w:rsidRDefault="005A7416" w:rsidP="00C7398A">
      <w:pPr>
        <w:tabs>
          <w:tab w:val="left" w:pos="567"/>
        </w:tabs>
        <w:spacing w:after="0" w:line="240" w:lineRule="auto"/>
        <w:rPr>
          <w:rFonts w:ascii="Times New Roman" w:hAnsi="Times New Roman"/>
          <w:iCs/>
        </w:rPr>
      </w:pPr>
      <w:r w:rsidRPr="00112B89">
        <w:rPr>
          <w:rFonts w:ascii="Times New Roman" w:hAnsi="Times New Roman"/>
          <w:iCs/>
        </w:rPr>
        <w:t>Natrio hidroksidas (E524) (pH koregavimui)</w:t>
      </w:r>
    </w:p>
    <w:p w14:paraId="5DC19337" w14:textId="77777777" w:rsidR="005A7416" w:rsidRPr="00112B89" w:rsidRDefault="005A7416" w:rsidP="00C7398A">
      <w:pPr>
        <w:tabs>
          <w:tab w:val="left" w:pos="567"/>
        </w:tabs>
        <w:spacing w:after="0" w:line="240" w:lineRule="auto"/>
        <w:rPr>
          <w:rFonts w:ascii="Times New Roman" w:hAnsi="Times New Roman"/>
          <w:iCs/>
        </w:rPr>
      </w:pPr>
      <w:r w:rsidRPr="00112B89">
        <w:rPr>
          <w:rFonts w:ascii="Times New Roman" w:hAnsi="Times New Roman"/>
          <w:iCs/>
        </w:rPr>
        <w:t>Ledinė acto rūgštis (E260)</w:t>
      </w:r>
    </w:p>
    <w:p w14:paraId="66398915" w14:textId="77777777" w:rsidR="005A7416" w:rsidRPr="00112B89" w:rsidRDefault="005A7416" w:rsidP="00C7398A">
      <w:pPr>
        <w:tabs>
          <w:tab w:val="left" w:pos="567"/>
        </w:tabs>
        <w:spacing w:after="0" w:line="240" w:lineRule="auto"/>
        <w:rPr>
          <w:rFonts w:ascii="Times New Roman" w:hAnsi="Times New Roman"/>
          <w:iCs/>
        </w:rPr>
      </w:pPr>
      <w:r w:rsidRPr="00112B89">
        <w:rPr>
          <w:rFonts w:ascii="Times New Roman" w:hAnsi="Times New Roman"/>
          <w:iCs/>
        </w:rPr>
        <w:t xml:space="preserve">Natrio acetatas </w:t>
      </w:r>
      <w:proofErr w:type="spellStart"/>
      <w:r w:rsidRPr="00112B89">
        <w:rPr>
          <w:rFonts w:ascii="Times New Roman" w:hAnsi="Times New Roman"/>
          <w:iCs/>
        </w:rPr>
        <w:t>trihidratas</w:t>
      </w:r>
      <w:proofErr w:type="spellEnd"/>
    </w:p>
    <w:p w14:paraId="484CDE3E" w14:textId="77777777" w:rsidR="005A7416" w:rsidRPr="00112B89" w:rsidRDefault="005A7416" w:rsidP="00C7398A">
      <w:pPr>
        <w:tabs>
          <w:tab w:val="left" w:pos="567"/>
        </w:tabs>
        <w:spacing w:after="0" w:line="240" w:lineRule="auto"/>
        <w:rPr>
          <w:rFonts w:ascii="Times New Roman" w:hAnsi="Times New Roman"/>
          <w:iCs/>
        </w:rPr>
      </w:pPr>
      <w:r w:rsidRPr="00112B89">
        <w:rPr>
          <w:rFonts w:ascii="Times New Roman" w:hAnsi="Times New Roman"/>
          <w:iCs/>
        </w:rPr>
        <w:t>Injekcinis vanduo</w:t>
      </w:r>
    </w:p>
    <w:p w14:paraId="47F6D4C7"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634DB17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6.2</w:t>
      </w:r>
      <w:r w:rsidRPr="00112B89">
        <w:rPr>
          <w:rFonts w:ascii="Times New Roman" w:hAnsi="Times New Roman"/>
          <w:b/>
          <w:bCs/>
          <w:color w:val="000000"/>
        </w:rPr>
        <w:tab/>
        <w:t>Nesuderinamumas</w:t>
      </w:r>
    </w:p>
    <w:p w14:paraId="369E97B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7D2E6399"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Šio vaistinio preparato negalima maišyti su kitais, išskyrus nurodytus 6.6 skyriuje.</w:t>
      </w:r>
    </w:p>
    <w:p w14:paraId="77AFDFE9"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312DED40"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6.3</w:t>
      </w:r>
      <w:r w:rsidRPr="00112B89">
        <w:rPr>
          <w:rFonts w:ascii="Times New Roman" w:hAnsi="Times New Roman"/>
          <w:b/>
          <w:bCs/>
          <w:color w:val="000000"/>
        </w:rPr>
        <w:tab/>
        <w:t>Tinkamumo laikas</w:t>
      </w:r>
    </w:p>
    <w:p w14:paraId="49F3709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1B341200" w14:textId="77777777" w:rsidR="005A7416" w:rsidRPr="00112B89" w:rsidRDefault="0048756C"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3</w:t>
      </w:r>
      <w:r w:rsidR="005A7416" w:rsidRPr="00112B89">
        <w:rPr>
          <w:rFonts w:ascii="Times New Roman" w:hAnsi="Times New Roman"/>
          <w:color w:val="000000"/>
        </w:rPr>
        <w:t xml:space="preserve"> metai.</w:t>
      </w:r>
    </w:p>
    <w:p w14:paraId="37A3511C"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0F6B611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6.4</w:t>
      </w:r>
      <w:r w:rsidRPr="00112B89">
        <w:rPr>
          <w:rFonts w:ascii="Times New Roman" w:hAnsi="Times New Roman"/>
          <w:b/>
          <w:bCs/>
          <w:color w:val="000000"/>
        </w:rPr>
        <w:tab/>
        <w:t>Specialios laikymo sąlygos</w:t>
      </w:r>
    </w:p>
    <w:p w14:paraId="2579430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380CD41C"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Šiam vaistiniam preparatui specialių laikymo sąlygų nereikia.</w:t>
      </w:r>
    </w:p>
    <w:p w14:paraId="5F31FFFA"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1C35F07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6.5</w:t>
      </w:r>
      <w:r w:rsidRPr="00112B89">
        <w:rPr>
          <w:rFonts w:ascii="Times New Roman" w:hAnsi="Times New Roman"/>
          <w:b/>
          <w:bCs/>
          <w:color w:val="000000"/>
        </w:rPr>
        <w:tab/>
      </w:r>
      <w:proofErr w:type="spellStart"/>
      <w:r w:rsidRPr="00112B89">
        <w:rPr>
          <w:rFonts w:ascii="Times New Roman" w:hAnsi="Times New Roman"/>
          <w:b/>
          <w:bCs/>
          <w:color w:val="000000"/>
        </w:rPr>
        <w:t>Talpyklės</w:t>
      </w:r>
      <w:proofErr w:type="spellEnd"/>
      <w:r w:rsidRPr="00112B89">
        <w:rPr>
          <w:rFonts w:ascii="Times New Roman" w:hAnsi="Times New Roman"/>
          <w:b/>
          <w:bCs/>
          <w:color w:val="000000"/>
        </w:rPr>
        <w:t xml:space="preserve"> pobūdis ir jos turinys</w:t>
      </w:r>
    </w:p>
    <w:p w14:paraId="5C55D1A0"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6357D844" w14:textId="77777777" w:rsidR="005A7416" w:rsidRPr="00112B89" w:rsidRDefault="005A7416" w:rsidP="00C7398A">
      <w:pPr>
        <w:tabs>
          <w:tab w:val="left" w:pos="567"/>
        </w:tabs>
        <w:spacing w:after="0" w:line="240" w:lineRule="auto"/>
        <w:rPr>
          <w:rFonts w:ascii="Times New Roman" w:hAnsi="Times New Roman"/>
          <w:color w:val="000000"/>
        </w:rPr>
      </w:pPr>
      <w:r w:rsidRPr="00112B89">
        <w:rPr>
          <w:rFonts w:ascii="Times New Roman" w:hAnsi="Times New Roman"/>
        </w:rPr>
        <w:t xml:space="preserve">3 ml </w:t>
      </w:r>
      <w:r w:rsidR="00774287" w:rsidRPr="00112B89">
        <w:rPr>
          <w:rFonts w:ascii="Times New Roman" w:hAnsi="Times New Roman"/>
        </w:rPr>
        <w:t xml:space="preserve">talpos </w:t>
      </w:r>
      <w:r w:rsidRPr="00112B89">
        <w:rPr>
          <w:rFonts w:ascii="Times New Roman" w:hAnsi="Times New Roman"/>
        </w:rPr>
        <w:t>bespalvi</w:t>
      </w:r>
      <w:r w:rsidR="00774287" w:rsidRPr="00112B89">
        <w:rPr>
          <w:rFonts w:ascii="Times New Roman" w:hAnsi="Times New Roman"/>
        </w:rPr>
        <w:t>o</w:t>
      </w:r>
      <w:r w:rsidRPr="00112B89">
        <w:rPr>
          <w:rFonts w:ascii="Times New Roman" w:hAnsi="Times New Roman"/>
        </w:rPr>
        <w:t xml:space="preserve"> I tipo stiklo užpildyta</w:t>
      </w:r>
      <w:r w:rsidR="00774287" w:rsidRPr="00112B89">
        <w:rPr>
          <w:rFonts w:ascii="Times New Roman" w:hAnsi="Times New Roman"/>
        </w:rPr>
        <w:t>s</w:t>
      </w:r>
      <w:r w:rsidRPr="00112B89">
        <w:rPr>
          <w:rFonts w:ascii="Times New Roman" w:hAnsi="Times New Roman"/>
        </w:rPr>
        <w:t xml:space="preserve"> švirkšt</w:t>
      </w:r>
      <w:r w:rsidR="00774287" w:rsidRPr="00112B89">
        <w:rPr>
          <w:rFonts w:ascii="Times New Roman" w:hAnsi="Times New Roman"/>
        </w:rPr>
        <w:t>as, kuriame</w:t>
      </w:r>
      <w:r w:rsidRPr="00112B89">
        <w:rPr>
          <w:rFonts w:ascii="Times New Roman" w:hAnsi="Times New Roman"/>
        </w:rPr>
        <w:t xml:space="preserve"> yra </w:t>
      </w:r>
      <w:r w:rsidRPr="00112B89">
        <w:rPr>
          <w:rFonts w:ascii="Times New Roman" w:hAnsi="Times New Roman"/>
          <w:color w:val="000000"/>
        </w:rPr>
        <w:t>3</w:t>
      </w:r>
      <w:r w:rsidR="00271402" w:rsidRPr="00112B89">
        <w:rPr>
          <w:rFonts w:ascii="Times New Roman" w:hAnsi="Times New Roman"/>
          <w:color w:val="000000"/>
        </w:rPr>
        <w:t> </w:t>
      </w:r>
      <w:r w:rsidRPr="00112B89">
        <w:rPr>
          <w:rFonts w:ascii="Times New Roman" w:hAnsi="Times New Roman"/>
          <w:color w:val="000000"/>
        </w:rPr>
        <w:t>ml injekcinio tirpalo.</w:t>
      </w:r>
    </w:p>
    <w:p w14:paraId="3C108D2F" w14:textId="77777777" w:rsidR="005A7416" w:rsidRPr="00112B89" w:rsidRDefault="005A7416" w:rsidP="00C7398A">
      <w:pPr>
        <w:tabs>
          <w:tab w:val="left" w:pos="567"/>
        </w:tabs>
        <w:spacing w:after="0" w:line="240" w:lineRule="auto"/>
        <w:rPr>
          <w:rFonts w:ascii="Times New Roman" w:hAnsi="Times New Roman"/>
          <w:bCs/>
        </w:rPr>
      </w:pPr>
      <w:r w:rsidRPr="00112B89">
        <w:rPr>
          <w:rFonts w:ascii="Times New Roman" w:hAnsi="Times New Roman"/>
          <w:bCs/>
        </w:rPr>
        <w:t>Pakuotėje yra vienas užpildytas švirkštas ir viena injekcinė adata.</w:t>
      </w:r>
    </w:p>
    <w:p w14:paraId="62050DC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76EF677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6.6</w:t>
      </w:r>
      <w:r w:rsidRPr="00112B89">
        <w:rPr>
          <w:rFonts w:ascii="Times New Roman" w:hAnsi="Times New Roman"/>
          <w:b/>
          <w:bCs/>
          <w:color w:val="000000"/>
        </w:rPr>
        <w:tab/>
        <w:t>Specialūs reikalavimai atliekoms tvarkyti ir vaistiniam preparatui ruošti</w:t>
      </w:r>
    </w:p>
    <w:p w14:paraId="5961DD1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p>
    <w:p w14:paraId="1A6C45BA"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Jeigu preparatas vartojamas intraveninės infuzijos sistema, tai gali būti </w:t>
      </w:r>
      <w:proofErr w:type="spellStart"/>
      <w:r w:rsidRPr="00112B89">
        <w:rPr>
          <w:rFonts w:ascii="Times New Roman" w:hAnsi="Times New Roman"/>
          <w:color w:val="000000"/>
        </w:rPr>
        <w:t>infuzuojamas</w:t>
      </w:r>
      <w:proofErr w:type="spellEnd"/>
      <w:r w:rsidRPr="00112B89">
        <w:rPr>
          <w:rFonts w:ascii="Times New Roman" w:hAnsi="Times New Roman"/>
          <w:color w:val="000000"/>
        </w:rPr>
        <w:t xml:space="preserve"> tik su </w:t>
      </w:r>
      <w:proofErr w:type="spellStart"/>
      <w:r w:rsidRPr="00112B89">
        <w:rPr>
          <w:rFonts w:ascii="Times New Roman" w:hAnsi="Times New Roman"/>
          <w:color w:val="000000"/>
        </w:rPr>
        <w:t>izotoniniu</w:t>
      </w:r>
      <w:proofErr w:type="spellEnd"/>
      <w:r w:rsidRPr="00112B89">
        <w:rPr>
          <w:rFonts w:ascii="Times New Roman" w:hAnsi="Times New Roman"/>
          <w:color w:val="000000"/>
        </w:rPr>
        <w:t xml:space="preserve"> natrio chlorido arba 50</w:t>
      </w:r>
      <w:r w:rsidR="00271402" w:rsidRPr="00112B89">
        <w:rPr>
          <w:rFonts w:ascii="Times New Roman" w:hAnsi="Times New Roman"/>
          <w:color w:val="000000"/>
        </w:rPr>
        <w:t xml:space="preserve"> </w:t>
      </w:r>
      <w:r w:rsidRPr="00112B89">
        <w:rPr>
          <w:rFonts w:ascii="Times New Roman" w:hAnsi="Times New Roman"/>
          <w:color w:val="000000"/>
        </w:rPr>
        <w:t>mg/ml (5</w:t>
      </w:r>
      <w:r w:rsidRPr="00112B89">
        <w:rPr>
          <w:rFonts w:ascii="Times New Roman" w:hAnsi="Times New Roman"/>
          <w:spacing w:val="-3"/>
        </w:rPr>
        <w:t xml:space="preserve">%) gliukozės tirpalu. Tai galioja ir skysčiams, kuriais praplaunamos peteliškės tipo adatos ar kitos infuzinės sistemos. </w:t>
      </w:r>
    </w:p>
    <w:p w14:paraId="46BBC025" w14:textId="77777777" w:rsidR="005A7416" w:rsidRPr="00112B89" w:rsidRDefault="005A7416" w:rsidP="00C7398A">
      <w:pPr>
        <w:tabs>
          <w:tab w:val="left" w:pos="567"/>
        </w:tabs>
        <w:spacing w:after="0" w:line="240" w:lineRule="auto"/>
        <w:rPr>
          <w:rFonts w:ascii="Times New Roman" w:hAnsi="Times New Roman"/>
          <w:color w:val="000000"/>
        </w:rPr>
      </w:pPr>
    </w:p>
    <w:p w14:paraId="2BC72189"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Nesuvartotą injekcinį tirpalą, švirkštus ir injekcines adatas reikia tvarkyti laikantis vietinių reikalavimų. Vaistinio preparato patekimą į aplinką būtina kiek įmanoma sumažinti.</w:t>
      </w:r>
    </w:p>
    <w:p w14:paraId="115E534C"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6AAE4BDF"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lastRenderedPageBreak/>
        <w:t>Švirkštų ir kitų aštrių medicininių prietaisų vartojimo ir šalinimo atžvilgiu reikia griežtai laikytis šių reikalavimų:</w:t>
      </w:r>
    </w:p>
    <w:p w14:paraId="3BA18BDE" w14:textId="77777777" w:rsidR="005A7416" w:rsidRPr="00112B89" w:rsidRDefault="005A7416" w:rsidP="00C7398A">
      <w:pPr>
        <w:pStyle w:val="BT-EMEASMCA"/>
        <w:tabs>
          <w:tab w:val="left" w:pos="567"/>
        </w:tabs>
        <w:spacing w:after="0" w:line="240" w:lineRule="auto"/>
        <w:rPr>
          <w:rFonts w:ascii="Times New Roman" w:hAnsi="Times New Roman"/>
        </w:rPr>
      </w:pPr>
      <w:r w:rsidRPr="00112B89">
        <w:rPr>
          <w:rFonts w:ascii="Times New Roman" w:hAnsi="Times New Roman"/>
        </w:rPr>
        <w:t>Adatų ir švirkštų niekada negalima vartoti pakartotinai.</w:t>
      </w:r>
    </w:p>
    <w:p w14:paraId="3F7FA608" w14:textId="77777777" w:rsidR="005A7416" w:rsidRPr="00112B89" w:rsidRDefault="005A7416" w:rsidP="00C7398A">
      <w:pPr>
        <w:pStyle w:val="BT-EMEASMCA"/>
        <w:tabs>
          <w:tab w:val="left" w:pos="567"/>
        </w:tabs>
        <w:spacing w:after="0" w:line="240" w:lineRule="auto"/>
        <w:rPr>
          <w:rFonts w:ascii="Times New Roman" w:hAnsi="Times New Roman"/>
        </w:rPr>
      </w:pPr>
      <w:r w:rsidRPr="00112B89">
        <w:rPr>
          <w:rFonts w:ascii="Times New Roman" w:hAnsi="Times New Roman"/>
        </w:rPr>
        <w:t xml:space="preserve">Panaudotas adatas ir švirkštus išmesti į jų </w:t>
      </w:r>
      <w:proofErr w:type="spellStart"/>
      <w:r w:rsidRPr="00112B89">
        <w:rPr>
          <w:rFonts w:ascii="Times New Roman" w:hAnsi="Times New Roman"/>
        </w:rPr>
        <w:t>talpyklę</w:t>
      </w:r>
      <w:proofErr w:type="spellEnd"/>
      <w:r w:rsidRPr="00112B89">
        <w:rPr>
          <w:rFonts w:ascii="Times New Roman" w:hAnsi="Times New Roman"/>
        </w:rPr>
        <w:t xml:space="preserve"> (specialias </w:t>
      </w:r>
      <w:proofErr w:type="spellStart"/>
      <w:r w:rsidRPr="00112B89">
        <w:rPr>
          <w:rFonts w:ascii="Times New Roman" w:hAnsi="Times New Roman"/>
        </w:rPr>
        <w:t>talpykles</w:t>
      </w:r>
      <w:proofErr w:type="spellEnd"/>
      <w:r w:rsidRPr="00112B89">
        <w:rPr>
          <w:rFonts w:ascii="Times New Roman" w:hAnsi="Times New Roman"/>
        </w:rPr>
        <w:t>).</w:t>
      </w:r>
    </w:p>
    <w:p w14:paraId="1F114757" w14:textId="77777777" w:rsidR="005A7416" w:rsidRPr="00112B89" w:rsidRDefault="005A7416" w:rsidP="00C7398A">
      <w:pPr>
        <w:pStyle w:val="BT-EMEASMCA"/>
        <w:tabs>
          <w:tab w:val="left" w:pos="567"/>
        </w:tabs>
        <w:spacing w:after="0" w:line="240" w:lineRule="auto"/>
        <w:rPr>
          <w:rFonts w:ascii="Times New Roman" w:hAnsi="Times New Roman"/>
        </w:rPr>
      </w:pPr>
      <w:proofErr w:type="spellStart"/>
      <w:r w:rsidRPr="00112B89">
        <w:rPr>
          <w:rFonts w:ascii="Times New Roman" w:hAnsi="Times New Roman"/>
        </w:rPr>
        <w:t>Talpyklę</w:t>
      </w:r>
      <w:proofErr w:type="spellEnd"/>
      <w:r w:rsidRPr="00112B89">
        <w:rPr>
          <w:rFonts w:ascii="Times New Roman" w:hAnsi="Times New Roman"/>
        </w:rPr>
        <w:t xml:space="preserve"> laikyti vaikams nepasiekiamoje vietoje.</w:t>
      </w:r>
    </w:p>
    <w:p w14:paraId="74EAA48D" w14:textId="77777777" w:rsidR="005A7416" w:rsidRPr="00112B89" w:rsidRDefault="005A7416" w:rsidP="00C7398A">
      <w:pPr>
        <w:pStyle w:val="BT-EMEASMCA"/>
        <w:tabs>
          <w:tab w:val="left" w:pos="567"/>
        </w:tabs>
        <w:spacing w:after="0" w:line="240" w:lineRule="auto"/>
        <w:rPr>
          <w:rFonts w:ascii="Times New Roman" w:hAnsi="Times New Roman"/>
        </w:rPr>
      </w:pPr>
      <w:r w:rsidRPr="00112B89">
        <w:rPr>
          <w:rFonts w:ascii="Times New Roman" w:hAnsi="Times New Roman"/>
        </w:rPr>
        <w:t xml:space="preserve">Panaudotų aštrių instrumentų </w:t>
      </w:r>
      <w:proofErr w:type="spellStart"/>
      <w:r w:rsidRPr="00112B89">
        <w:rPr>
          <w:rFonts w:ascii="Times New Roman" w:hAnsi="Times New Roman"/>
        </w:rPr>
        <w:t>talpyklių</w:t>
      </w:r>
      <w:proofErr w:type="spellEnd"/>
      <w:r w:rsidRPr="00112B89">
        <w:rPr>
          <w:rFonts w:ascii="Times New Roman" w:hAnsi="Times New Roman"/>
        </w:rPr>
        <w:t xml:space="preserve"> išmesti su buitinėmis atliekomis negalima.</w:t>
      </w:r>
    </w:p>
    <w:p w14:paraId="68B7AE28" w14:textId="77777777" w:rsidR="005A7416" w:rsidRPr="00112B89" w:rsidRDefault="005A7416" w:rsidP="00C7398A">
      <w:pPr>
        <w:pStyle w:val="BT-EMEASMCA"/>
        <w:tabs>
          <w:tab w:val="left" w:pos="567"/>
        </w:tabs>
        <w:spacing w:after="0" w:line="240" w:lineRule="auto"/>
        <w:rPr>
          <w:rFonts w:ascii="Times New Roman" w:hAnsi="Times New Roman"/>
        </w:rPr>
      </w:pPr>
      <w:r w:rsidRPr="00112B89">
        <w:rPr>
          <w:rFonts w:ascii="Times New Roman" w:hAnsi="Times New Roman"/>
        </w:rPr>
        <w:t xml:space="preserve">Pripildytas </w:t>
      </w:r>
      <w:proofErr w:type="spellStart"/>
      <w:r w:rsidRPr="00112B89">
        <w:rPr>
          <w:rFonts w:ascii="Times New Roman" w:hAnsi="Times New Roman"/>
        </w:rPr>
        <w:t>talpykles</w:t>
      </w:r>
      <w:proofErr w:type="spellEnd"/>
      <w:r w:rsidRPr="00112B89">
        <w:rPr>
          <w:rFonts w:ascii="Times New Roman" w:hAnsi="Times New Roman"/>
        </w:rPr>
        <w:t xml:space="preserve"> reikia tvarkyti laikantis vietinių reikalavimų arba </w:t>
      </w:r>
      <w:r w:rsidR="00CD33F7" w:rsidRPr="00112B89">
        <w:rPr>
          <w:rFonts w:ascii="Times New Roman" w:hAnsi="Times New Roman"/>
        </w:rPr>
        <w:t xml:space="preserve">kaip nurodė </w:t>
      </w:r>
      <w:r w:rsidRPr="00112B89">
        <w:rPr>
          <w:rFonts w:ascii="Times New Roman" w:hAnsi="Times New Roman"/>
        </w:rPr>
        <w:t xml:space="preserve">Jūsų </w:t>
      </w:r>
      <w:r w:rsidR="00CD33F7" w:rsidRPr="00112B89">
        <w:rPr>
          <w:rFonts w:ascii="Times New Roman" w:hAnsi="Times New Roman"/>
        </w:rPr>
        <w:t>sveikatos priežiūros specialistas</w:t>
      </w:r>
      <w:r w:rsidRPr="00112B89">
        <w:rPr>
          <w:rFonts w:ascii="Times New Roman" w:hAnsi="Times New Roman"/>
        </w:rPr>
        <w:t>.</w:t>
      </w:r>
    </w:p>
    <w:p w14:paraId="69A114F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63AE18C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28FA5ED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7.</w:t>
      </w:r>
      <w:r w:rsidRPr="00112B89">
        <w:rPr>
          <w:rFonts w:ascii="Times New Roman" w:hAnsi="Times New Roman"/>
          <w:b/>
          <w:bCs/>
          <w:color w:val="000000"/>
        </w:rPr>
        <w:tab/>
        <w:t>R</w:t>
      </w:r>
      <w:r w:rsidR="00641C46" w:rsidRPr="00112B89">
        <w:rPr>
          <w:rFonts w:ascii="Times New Roman" w:hAnsi="Times New Roman"/>
          <w:b/>
          <w:bCs/>
          <w:color w:val="000000"/>
        </w:rPr>
        <w:t>EGISTRUOTOJAS</w:t>
      </w:r>
    </w:p>
    <w:p w14:paraId="28154D4D" w14:textId="77777777" w:rsidR="005A7416" w:rsidRPr="00112B89" w:rsidRDefault="005A7416" w:rsidP="00C7398A">
      <w:pPr>
        <w:widowControl w:val="0"/>
        <w:tabs>
          <w:tab w:val="left" w:pos="567"/>
        </w:tabs>
        <w:suppressAutoHyphens/>
        <w:autoSpaceDE w:val="0"/>
        <w:autoSpaceDN w:val="0"/>
        <w:adjustRightInd w:val="0"/>
        <w:spacing w:after="0" w:line="240" w:lineRule="auto"/>
        <w:rPr>
          <w:rFonts w:ascii="Times New Roman" w:hAnsi="Times New Roman"/>
          <w:color w:val="000000"/>
        </w:rPr>
      </w:pPr>
    </w:p>
    <w:p w14:paraId="54434BBA" w14:textId="77777777" w:rsidR="005A7416" w:rsidRPr="00112B89" w:rsidRDefault="005A7416" w:rsidP="00C7398A">
      <w:pPr>
        <w:tabs>
          <w:tab w:val="left" w:pos="567"/>
        </w:tabs>
        <w:spacing w:after="0" w:line="240" w:lineRule="auto"/>
        <w:rPr>
          <w:rFonts w:ascii="Times New Roman" w:eastAsia="Batang" w:hAnsi="Times New Roman"/>
          <w:lang w:eastAsia="ko-KR"/>
        </w:rPr>
      </w:pPr>
      <w:proofErr w:type="spellStart"/>
      <w:r w:rsidRPr="00112B89">
        <w:rPr>
          <w:rFonts w:ascii="Times New Roman" w:eastAsia="Batang" w:hAnsi="Times New Roman"/>
          <w:lang w:eastAsia="ko-KR"/>
        </w:rPr>
        <w:t>ratiopharm</w:t>
      </w:r>
      <w:proofErr w:type="spellEnd"/>
      <w:r w:rsidRPr="00112B89">
        <w:rPr>
          <w:rFonts w:ascii="Times New Roman" w:eastAsia="Batang" w:hAnsi="Times New Roman"/>
          <w:lang w:eastAsia="ko-KR"/>
        </w:rPr>
        <w:t xml:space="preserve"> </w:t>
      </w:r>
      <w:proofErr w:type="spellStart"/>
      <w:r w:rsidRPr="00112B89">
        <w:rPr>
          <w:rFonts w:ascii="Times New Roman" w:eastAsia="Batang" w:hAnsi="Times New Roman"/>
          <w:lang w:eastAsia="ko-KR"/>
        </w:rPr>
        <w:t>GmbH</w:t>
      </w:r>
      <w:proofErr w:type="spellEnd"/>
    </w:p>
    <w:p w14:paraId="34BD06B9" w14:textId="77777777" w:rsidR="005A7416" w:rsidRPr="00112B89" w:rsidRDefault="005A7416" w:rsidP="00C7398A">
      <w:pPr>
        <w:tabs>
          <w:tab w:val="left" w:pos="567"/>
        </w:tabs>
        <w:spacing w:after="0" w:line="240" w:lineRule="auto"/>
        <w:rPr>
          <w:rFonts w:ascii="Times New Roman" w:eastAsia="Batang" w:hAnsi="Times New Roman"/>
          <w:lang w:eastAsia="ko-KR"/>
        </w:rPr>
      </w:pPr>
      <w:proofErr w:type="spellStart"/>
      <w:r w:rsidRPr="00112B89">
        <w:rPr>
          <w:rFonts w:ascii="Times New Roman" w:eastAsia="Batang" w:hAnsi="Times New Roman"/>
          <w:lang w:eastAsia="ko-KR"/>
        </w:rPr>
        <w:t>Graf</w:t>
      </w:r>
      <w:proofErr w:type="spellEnd"/>
      <w:r w:rsidRPr="00112B89">
        <w:rPr>
          <w:rFonts w:ascii="Times New Roman" w:eastAsia="Batang" w:hAnsi="Times New Roman"/>
          <w:lang w:eastAsia="ko-KR"/>
        </w:rPr>
        <w:t>–</w:t>
      </w:r>
      <w:proofErr w:type="spellStart"/>
      <w:r w:rsidRPr="00112B89">
        <w:rPr>
          <w:rFonts w:ascii="Times New Roman" w:eastAsia="Batang" w:hAnsi="Times New Roman"/>
          <w:lang w:eastAsia="ko-KR"/>
        </w:rPr>
        <w:t>Arco</w:t>
      </w:r>
      <w:proofErr w:type="spellEnd"/>
      <w:r w:rsidRPr="00112B89">
        <w:rPr>
          <w:rFonts w:ascii="Times New Roman" w:eastAsia="Batang" w:hAnsi="Times New Roman"/>
          <w:lang w:eastAsia="ko-KR"/>
        </w:rPr>
        <w:t>–Str. 3</w:t>
      </w:r>
    </w:p>
    <w:p w14:paraId="52B7AD1D" w14:textId="77777777" w:rsidR="005A7416" w:rsidRPr="00112B89" w:rsidRDefault="005A7416" w:rsidP="00C7398A">
      <w:pPr>
        <w:tabs>
          <w:tab w:val="left" w:pos="567"/>
        </w:tabs>
        <w:spacing w:after="0" w:line="240" w:lineRule="auto"/>
        <w:rPr>
          <w:rFonts w:ascii="Times New Roman" w:eastAsia="Batang" w:hAnsi="Times New Roman"/>
          <w:lang w:eastAsia="ko-KR"/>
        </w:rPr>
      </w:pPr>
      <w:r w:rsidRPr="00112B89">
        <w:rPr>
          <w:rFonts w:ascii="Times New Roman" w:eastAsia="Batang" w:hAnsi="Times New Roman"/>
          <w:lang w:eastAsia="ko-KR"/>
        </w:rPr>
        <w:t xml:space="preserve">89079 </w:t>
      </w:r>
      <w:proofErr w:type="spellStart"/>
      <w:r w:rsidRPr="00112B89">
        <w:rPr>
          <w:rFonts w:ascii="Times New Roman" w:eastAsia="Batang" w:hAnsi="Times New Roman"/>
          <w:lang w:eastAsia="ko-KR"/>
        </w:rPr>
        <w:t>Ulm</w:t>
      </w:r>
      <w:proofErr w:type="spellEnd"/>
    </w:p>
    <w:p w14:paraId="6B791D6E" w14:textId="77777777" w:rsidR="005A7416" w:rsidRPr="00112B89" w:rsidRDefault="005A7416" w:rsidP="00C7398A">
      <w:pPr>
        <w:tabs>
          <w:tab w:val="left" w:pos="567"/>
        </w:tabs>
        <w:spacing w:after="0" w:line="240" w:lineRule="auto"/>
        <w:rPr>
          <w:rFonts w:ascii="Times New Roman" w:eastAsia="Batang" w:hAnsi="Times New Roman"/>
          <w:lang w:eastAsia="ko-KR"/>
        </w:rPr>
      </w:pPr>
      <w:r w:rsidRPr="00112B89">
        <w:rPr>
          <w:rFonts w:ascii="Times New Roman" w:eastAsia="Batang" w:hAnsi="Times New Roman"/>
          <w:lang w:eastAsia="ko-KR"/>
        </w:rPr>
        <w:t xml:space="preserve">Vokietija  </w:t>
      </w:r>
    </w:p>
    <w:p w14:paraId="206AF46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422E0AF9"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7B67D53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8.</w:t>
      </w:r>
      <w:r w:rsidRPr="00112B89">
        <w:rPr>
          <w:rFonts w:ascii="Times New Roman" w:hAnsi="Times New Roman"/>
          <w:b/>
          <w:bCs/>
          <w:color w:val="000000"/>
        </w:rPr>
        <w:tab/>
        <w:t>R</w:t>
      </w:r>
      <w:r w:rsidR="00641C46" w:rsidRPr="00112B89">
        <w:rPr>
          <w:rFonts w:ascii="Times New Roman" w:hAnsi="Times New Roman"/>
          <w:b/>
          <w:bCs/>
          <w:color w:val="000000"/>
        </w:rPr>
        <w:t>EGISTRACIJOS</w:t>
      </w:r>
      <w:r w:rsidRPr="00112B89">
        <w:rPr>
          <w:rFonts w:ascii="Times New Roman" w:hAnsi="Times New Roman"/>
          <w:b/>
          <w:bCs/>
          <w:color w:val="000000"/>
        </w:rPr>
        <w:t xml:space="preserve"> </w:t>
      </w:r>
      <w:r w:rsidR="0062205C" w:rsidRPr="00112B89">
        <w:rPr>
          <w:rFonts w:ascii="Times New Roman" w:hAnsi="Times New Roman"/>
          <w:b/>
          <w:bCs/>
          <w:color w:val="000000"/>
        </w:rPr>
        <w:t>PAŽYMĖJIMO</w:t>
      </w:r>
      <w:r w:rsidRPr="00112B89">
        <w:rPr>
          <w:rFonts w:ascii="Times New Roman" w:hAnsi="Times New Roman"/>
          <w:b/>
          <w:bCs/>
          <w:color w:val="000000"/>
        </w:rPr>
        <w:t xml:space="preserve"> NUMERIS (-IAI)</w:t>
      </w:r>
    </w:p>
    <w:p w14:paraId="596B61E4"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0797499D" w14:textId="77777777" w:rsidR="00206BD9" w:rsidRPr="00112B89" w:rsidRDefault="00206BD9" w:rsidP="00206BD9">
      <w:pPr>
        <w:tabs>
          <w:tab w:val="left" w:pos="567"/>
        </w:tabs>
        <w:spacing w:after="0" w:line="240" w:lineRule="auto"/>
        <w:rPr>
          <w:rFonts w:ascii="Times New Roman" w:hAnsi="Times New Roman"/>
        </w:rPr>
      </w:pPr>
      <w:r w:rsidRPr="00112B89">
        <w:rPr>
          <w:rFonts w:ascii="Times New Roman" w:hAnsi="Times New Roman"/>
        </w:rPr>
        <w:t>LT/1/13/3360/004</w:t>
      </w:r>
    </w:p>
    <w:p w14:paraId="51EFC11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75CF338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28F9516F"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9.</w:t>
      </w:r>
      <w:r w:rsidRPr="00112B89">
        <w:rPr>
          <w:rFonts w:ascii="Times New Roman" w:hAnsi="Times New Roman"/>
          <w:b/>
          <w:bCs/>
          <w:color w:val="000000"/>
        </w:rPr>
        <w:tab/>
        <w:t>R</w:t>
      </w:r>
      <w:r w:rsidR="00641C46" w:rsidRPr="00112B89">
        <w:rPr>
          <w:rFonts w:ascii="Times New Roman" w:hAnsi="Times New Roman"/>
          <w:b/>
          <w:bCs/>
          <w:color w:val="000000"/>
        </w:rPr>
        <w:t>EGISTRAVIMO/PERREGISTRAVIMO</w:t>
      </w:r>
      <w:r w:rsidRPr="00112B89">
        <w:rPr>
          <w:rFonts w:ascii="Times New Roman" w:hAnsi="Times New Roman"/>
          <w:b/>
          <w:bCs/>
          <w:color w:val="000000"/>
        </w:rPr>
        <w:t xml:space="preserve"> DATA</w:t>
      </w:r>
    </w:p>
    <w:p w14:paraId="7FB5E590"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0034C824" w14:textId="77777777" w:rsidR="005A7416" w:rsidRPr="00112B89" w:rsidRDefault="005A7416" w:rsidP="00C7398A">
      <w:pPr>
        <w:tabs>
          <w:tab w:val="left" w:pos="567"/>
        </w:tabs>
        <w:spacing w:after="0" w:line="240" w:lineRule="auto"/>
        <w:rPr>
          <w:rFonts w:ascii="Times New Roman" w:hAnsi="Times New Roman"/>
        </w:rPr>
      </w:pPr>
      <w:r w:rsidRPr="0089774B">
        <w:rPr>
          <w:rFonts w:ascii="Times New Roman" w:hAnsi="Times New Roman"/>
        </w:rPr>
        <w:t>R</w:t>
      </w:r>
      <w:r w:rsidR="00641C46" w:rsidRPr="0089774B">
        <w:rPr>
          <w:rFonts w:ascii="Times New Roman" w:hAnsi="Times New Roman"/>
        </w:rPr>
        <w:t>egistravimo data</w:t>
      </w:r>
      <w:r w:rsidRPr="0089774B">
        <w:rPr>
          <w:rFonts w:ascii="Times New Roman" w:hAnsi="Times New Roman"/>
        </w:rPr>
        <w:t xml:space="preserve"> </w:t>
      </w:r>
      <w:r w:rsidR="00206BD9" w:rsidRPr="0089774B">
        <w:rPr>
          <w:rFonts w:ascii="Times New Roman" w:hAnsi="Times New Roman"/>
        </w:rPr>
        <w:t>2013 m. rugpjūčio 1 d.</w:t>
      </w:r>
    </w:p>
    <w:p w14:paraId="03EEC641" w14:textId="77777777" w:rsidR="001B012C" w:rsidRPr="00112B89" w:rsidRDefault="00DC56EA" w:rsidP="001B012C">
      <w:pPr>
        <w:spacing w:after="0" w:line="240" w:lineRule="auto"/>
        <w:rPr>
          <w:rFonts w:ascii="Times New Roman" w:eastAsia="Times New Roman" w:hAnsi="Times New Roman"/>
          <w:snapToGrid w:val="0"/>
          <w:szCs w:val="24"/>
        </w:rPr>
      </w:pPr>
      <w:r w:rsidRPr="00112B89">
        <w:rPr>
          <w:rFonts w:ascii="Times New Roman" w:hAnsi="Times New Roman"/>
          <w:color w:val="000000"/>
        </w:rPr>
        <w:t xml:space="preserve">Paskutinio perregistravimo data </w:t>
      </w:r>
      <w:r w:rsidR="001B012C" w:rsidRPr="0089774B">
        <w:rPr>
          <w:rFonts w:ascii="Times New Roman" w:eastAsia="Times New Roman" w:hAnsi="Times New Roman"/>
          <w:snapToGrid w:val="0"/>
          <w:szCs w:val="24"/>
        </w:rPr>
        <w:t>2016 m. gegužės 10 d.</w:t>
      </w:r>
    </w:p>
    <w:p w14:paraId="7A384F6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5D4C106D" w14:textId="77777777" w:rsidR="007D0EDD" w:rsidRPr="00112B89" w:rsidRDefault="007D0EDD" w:rsidP="00C7398A">
      <w:pPr>
        <w:tabs>
          <w:tab w:val="left" w:pos="567"/>
        </w:tabs>
        <w:autoSpaceDE w:val="0"/>
        <w:autoSpaceDN w:val="0"/>
        <w:adjustRightInd w:val="0"/>
        <w:spacing w:after="0" w:line="240" w:lineRule="auto"/>
        <w:rPr>
          <w:rFonts w:ascii="Times New Roman" w:hAnsi="Times New Roman"/>
          <w:color w:val="000000"/>
        </w:rPr>
      </w:pPr>
    </w:p>
    <w:p w14:paraId="4A1F1B03"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10.</w:t>
      </w:r>
      <w:r w:rsidRPr="00112B89">
        <w:rPr>
          <w:rFonts w:ascii="Times New Roman" w:hAnsi="Times New Roman"/>
          <w:b/>
          <w:bCs/>
          <w:color w:val="000000"/>
        </w:rPr>
        <w:tab/>
        <w:t>TEKSTO PERŽIŪROS DATA</w:t>
      </w:r>
    </w:p>
    <w:p w14:paraId="265C0DC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075B0369" w14:textId="3A90C5EC" w:rsidR="001D1F4D" w:rsidRPr="00112B89" w:rsidRDefault="00DE47C3" w:rsidP="00C7398A">
      <w:pPr>
        <w:tabs>
          <w:tab w:val="left" w:pos="567"/>
        </w:tabs>
        <w:autoSpaceDE w:val="0"/>
        <w:autoSpaceDN w:val="0"/>
        <w:adjustRightInd w:val="0"/>
        <w:spacing w:after="0" w:line="240" w:lineRule="auto"/>
        <w:rPr>
          <w:rFonts w:ascii="Times New Roman" w:hAnsi="Times New Roman"/>
          <w:color w:val="000000"/>
        </w:rPr>
      </w:pPr>
      <w:r>
        <w:rPr>
          <w:rFonts w:ascii="Times New Roman" w:hAnsi="Times New Roman"/>
          <w:color w:val="000000"/>
        </w:rPr>
        <w:t>2025 m. sausio 16 d.</w:t>
      </w:r>
    </w:p>
    <w:p w14:paraId="0DB1DA2F" w14:textId="77777777" w:rsidR="00EA5B27" w:rsidRDefault="00EA5B27" w:rsidP="00641C46">
      <w:pPr>
        <w:pStyle w:val="Paprastasistekstas"/>
        <w:tabs>
          <w:tab w:val="left" w:pos="567"/>
          <w:tab w:val="left" w:pos="5954"/>
          <w:tab w:val="left" w:pos="6237"/>
          <w:tab w:val="left" w:pos="6663"/>
          <w:tab w:val="left" w:pos="6946"/>
          <w:tab w:val="left" w:pos="7797"/>
        </w:tabs>
        <w:rPr>
          <w:rFonts w:ascii="Times New Roman" w:hAnsi="Times New Roman"/>
          <w:sz w:val="22"/>
          <w:szCs w:val="22"/>
          <w:lang w:val="lt-LT"/>
        </w:rPr>
      </w:pPr>
    </w:p>
    <w:p w14:paraId="499E80ED" w14:textId="0A6632A7" w:rsidR="005A7416" w:rsidRPr="00112B89" w:rsidRDefault="005A7416" w:rsidP="00641C46">
      <w:pPr>
        <w:pStyle w:val="Paprastasistekstas"/>
        <w:tabs>
          <w:tab w:val="left" w:pos="567"/>
          <w:tab w:val="left" w:pos="5954"/>
          <w:tab w:val="left" w:pos="6237"/>
          <w:tab w:val="left" w:pos="6663"/>
          <w:tab w:val="left" w:pos="6946"/>
          <w:tab w:val="left" w:pos="7797"/>
        </w:tabs>
        <w:rPr>
          <w:rFonts w:ascii="Times New Roman" w:hAnsi="Times New Roman"/>
          <w:sz w:val="22"/>
          <w:szCs w:val="22"/>
          <w:lang w:val="lt-LT"/>
        </w:rPr>
      </w:pPr>
      <w:bookmarkStart w:id="0" w:name="_GoBack"/>
      <w:bookmarkEnd w:id="0"/>
      <w:r w:rsidRPr="0089774B">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89774B">
        <w:rPr>
          <w:rFonts w:ascii="Times New Roman" w:hAnsi="Times New Roman"/>
          <w:i/>
          <w:sz w:val="22"/>
          <w:szCs w:val="22"/>
          <w:lang w:val="lt-LT"/>
        </w:rPr>
        <w:t xml:space="preserve"> </w:t>
      </w:r>
      <w:hyperlink r:id="rId8" w:history="1">
        <w:r w:rsidR="009733BE" w:rsidRPr="009733BE">
          <w:rPr>
            <w:rFonts w:ascii="Times New Roman" w:eastAsia="Times New Roman" w:hAnsi="Times New Roman"/>
            <w:color w:val="0000FF"/>
            <w:sz w:val="22"/>
            <w:szCs w:val="22"/>
            <w:u w:val="single"/>
            <w:lang w:val="lt-LT" w:eastAsia="lt-LT"/>
          </w:rPr>
          <w:t>https://vvkt.lrv.lt/lt/</w:t>
        </w:r>
      </w:hyperlink>
      <w:r w:rsidR="009733BE" w:rsidRPr="009733BE">
        <w:rPr>
          <w:rFonts w:ascii="Times New Roman" w:eastAsia="Times New Roman" w:hAnsi="Times New Roman"/>
          <w:sz w:val="22"/>
          <w:szCs w:val="22"/>
          <w:lang w:val="lt-LT" w:eastAsia="lt-LT"/>
        </w:rPr>
        <w:t>.</w:t>
      </w:r>
    </w:p>
    <w:p w14:paraId="60C4DD43"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r w:rsidRPr="00112B89">
        <w:rPr>
          <w:rFonts w:ascii="Times New Roman" w:hAnsi="Times New Roman"/>
          <w:b/>
          <w:bCs/>
          <w:color w:val="000000"/>
        </w:rPr>
        <w:br w:type="page"/>
      </w:r>
    </w:p>
    <w:p w14:paraId="7B693305"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0DD7454C"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168A3F77"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50B17D50"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44215209"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4D54F34B"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4F065DC9"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4248C42E"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7C9B0295"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61BF0138"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779E9B2E"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1AB42BC0"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0CFF17EE"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3145BB43"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5B2DBCD9"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04B2C3ED"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59130E92"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4B22EF13"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163A854B"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5E185C78"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67A059B5" w14:textId="77777777" w:rsidR="005A7416" w:rsidRPr="00112B89" w:rsidRDefault="005A7416" w:rsidP="0085684D">
      <w:pPr>
        <w:spacing w:after="0" w:line="240" w:lineRule="auto"/>
        <w:jc w:val="center"/>
        <w:rPr>
          <w:rFonts w:ascii="Times New Roman" w:hAnsi="Times New Roman"/>
          <w:b/>
        </w:rPr>
      </w:pPr>
      <w:bookmarkStart w:id="1" w:name="_Toc129243128"/>
      <w:bookmarkStart w:id="2" w:name="_Toc129243253"/>
    </w:p>
    <w:p w14:paraId="0D9E6719" w14:textId="77777777" w:rsidR="005A7416" w:rsidRPr="00112B89" w:rsidRDefault="005A7416" w:rsidP="0085684D">
      <w:pPr>
        <w:spacing w:after="0" w:line="240" w:lineRule="auto"/>
        <w:jc w:val="center"/>
        <w:rPr>
          <w:rFonts w:ascii="Times New Roman" w:hAnsi="Times New Roman"/>
          <w:b/>
        </w:rPr>
      </w:pPr>
    </w:p>
    <w:p w14:paraId="10E5E49B" w14:textId="77777777" w:rsidR="001B012C" w:rsidRPr="00112B89" w:rsidRDefault="001B012C" w:rsidP="0085684D">
      <w:pPr>
        <w:spacing w:after="0" w:line="240" w:lineRule="auto"/>
        <w:jc w:val="center"/>
        <w:rPr>
          <w:rFonts w:ascii="Times New Roman" w:hAnsi="Times New Roman"/>
          <w:b/>
        </w:rPr>
      </w:pPr>
    </w:p>
    <w:p w14:paraId="5E7FBC77" w14:textId="77777777" w:rsidR="005A7416" w:rsidRPr="00112B89" w:rsidRDefault="005A7416" w:rsidP="0085684D">
      <w:pPr>
        <w:spacing w:after="0" w:line="240" w:lineRule="auto"/>
        <w:jc w:val="center"/>
        <w:rPr>
          <w:rFonts w:ascii="Times New Roman" w:hAnsi="Times New Roman"/>
          <w:b/>
        </w:rPr>
      </w:pPr>
      <w:r w:rsidRPr="00112B89">
        <w:rPr>
          <w:rFonts w:ascii="Times New Roman" w:hAnsi="Times New Roman"/>
          <w:b/>
        </w:rPr>
        <w:t>II PRIEDAS</w:t>
      </w:r>
      <w:bookmarkEnd w:id="1"/>
      <w:bookmarkEnd w:id="2"/>
    </w:p>
    <w:p w14:paraId="656DF6DF" w14:textId="77777777" w:rsidR="005A7416" w:rsidRPr="00112B89" w:rsidRDefault="005A7416" w:rsidP="0085684D">
      <w:pPr>
        <w:spacing w:after="0" w:line="240" w:lineRule="auto"/>
        <w:jc w:val="center"/>
        <w:rPr>
          <w:rFonts w:ascii="Times New Roman" w:hAnsi="Times New Roman"/>
          <w:b/>
        </w:rPr>
      </w:pPr>
    </w:p>
    <w:p w14:paraId="46A4BA74" w14:textId="77777777" w:rsidR="005A7416" w:rsidRPr="00112B89" w:rsidRDefault="005A7416" w:rsidP="0085684D">
      <w:pPr>
        <w:spacing w:after="0" w:line="240" w:lineRule="auto"/>
        <w:jc w:val="center"/>
        <w:rPr>
          <w:rFonts w:ascii="Times New Roman" w:hAnsi="Times New Roman"/>
          <w:b/>
        </w:rPr>
      </w:pPr>
      <w:r w:rsidRPr="00112B89">
        <w:rPr>
          <w:rFonts w:ascii="Times New Roman" w:hAnsi="Times New Roman"/>
          <w:b/>
        </w:rPr>
        <w:t>R</w:t>
      </w:r>
      <w:r w:rsidR="0079102D" w:rsidRPr="00112B89">
        <w:rPr>
          <w:rFonts w:ascii="Times New Roman" w:hAnsi="Times New Roman"/>
          <w:b/>
        </w:rPr>
        <w:t>EGISTRACIJOS</w:t>
      </w:r>
      <w:r w:rsidRPr="00112B89">
        <w:rPr>
          <w:rFonts w:ascii="Times New Roman" w:hAnsi="Times New Roman"/>
          <w:b/>
        </w:rPr>
        <w:t xml:space="preserve"> SĄLYGOS</w:t>
      </w:r>
    </w:p>
    <w:p w14:paraId="3891CE21" w14:textId="77777777" w:rsidR="005A7416" w:rsidRPr="00112B89" w:rsidRDefault="005A7416" w:rsidP="0085684D">
      <w:pPr>
        <w:spacing w:after="0" w:line="240" w:lineRule="auto"/>
        <w:jc w:val="center"/>
        <w:rPr>
          <w:rFonts w:ascii="Times New Roman" w:hAnsi="Times New Roman"/>
          <w:b/>
        </w:rPr>
      </w:pPr>
    </w:p>
    <w:p w14:paraId="4C9DA799" w14:textId="77777777" w:rsidR="005A7416" w:rsidRPr="0089774B" w:rsidRDefault="005A7416" w:rsidP="00673C4F">
      <w:pPr>
        <w:tabs>
          <w:tab w:val="left" w:pos="1701"/>
        </w:tabs>
        <w:spacing w:after="0"/>
        <w:ind w:left="1701" w:right="567" w:hanging="567"/>
        <w:rPr>
          <w:rFonts w:ascii="Times New Roman" w:hAnsi="Times New Roman"/>
          <w:b/>
        </w:rPr>
      </w:pPr>
      <w:r w:rsidRPr="0089774B">
        <w:rPr>
          <w:rFonts w:ascii="Times New Roman" w:hAnsi="Times New Roman"/>
          <w:b/>
        </w:rPr>
        <w:t>A.</w:t>
      </w:r>
      <w:r w:rsidRPr="0089774B">
        <w:rPr>
          <w:rFonts w:ascii="Times New Roman" w:hAnsi="Times New Roman"/>
          <w:b/>
        </w:rPr>
        <w:tab/>
        <w:t>GAMINTOJAS (-AI), ATSAKINGAS (-I) UŽ SERIJŲ IŠLEIDIMĄ</w:t>
      </w:r>
    </w:p>
    <w:p w14:paraId="573369BA" w14:textId="77777777" w:rsidR="005A7416" w:rsidRPr="0089774B" w:rsidRDefault="005A7416" w:rsidP="00673C4F">
      <w:pPr>
        <w:tabs>
          <w:tab w:val="left" w:pos="1701"/>
        </w:tabs>
        <w:spacing w:after="0"/>
        <w:ind w:left="567" w:right="567" w:hanging="567"/>
        <w:rPr>
          <w:rFonts w:ascii="Times New Roman" w:hAnsi="Times New Roman"/>
        </w:rPr>
      </w:pPr>
    </w:p>
    <w:p w14:paraId="6A6BF9E8" w14:textId="77777777" w:rsidR="005A7416" w:rsidRPr="00112B89" w:rsidRDefault="005A7416" w:rsidP="00673C4F">
      <w:pPr>
        <w:tabs>
          <w:tab w:val="left" w:pos="1701"/>
        </w:tabs>
        <w:spacing w:after="0"/>
        <w:ind w:left="1701" w:right="567" w:hanging="567"/>
        <w:rPr>
          <w:rFonts w:ascii="Times New Roman" w:hAnsi="Times New Roman"/>
          <w:b/>
        </w:rPr>
      </w:pPr>
      <w:r w:rsidRPr="00112B89">
        <w:rPr>
          <w:rFonts w:ascii="Times New Roman" w:hAnsi="Times New Roman"/>
          <w:b/>
        </w:rPr>
        <w:t>B.</w:t>
      </w:r>
      <w:r w:rsidRPr="00112B89">
        <w:rPr>
          <w:rFonts w:ascii="Times New Roman" w:hAnsi="Times New Roman"/>
          <w:b/>
        </w:rPr>
        <w:tab/>
        <w:t>TIEKIMO IR VARTOJIMO SĄLYGOS AR APRIBOJIMAI</w:t>
      </w:r>
    </w:p>
    <w:p w14:paraId="4B5F245A" w14:textId="77777777" w:rsidR="005A7416" w:rsidRPr="00112B89" w:rsidRDefault="005A7416" w:rsidP="0085684D">
      <w:pPr>
        <w:spacing w:after="0" w:line="240" w:lineRule="auto"/>
        <w:jc w:val="center"/>
        <w:rPr>
          <w:rFonts w:ascii="Times New Roman" w:hAnsi="Times New Roman"/>
          <w:b/>
        </w:rPr>
      </w:pPr>
    </w:p>
    <w:p w14:paraId="1C028031" w14:textId="77777777" w:rsidR="005A7416" w:rsidRPr="00112B89" w:rsidRDefault="005A7416" w:rsidP="00673C4F">
      <w:pPr>
        <w:tabs>
          <w:tab w:val="left" w:pos="567"/>
        </w:tabs>
        <w:spacing w:after="0" w:line="240" w:lineRule="auto"/>
        <w:rPr>
          <w:rFonts w:ascii="Times New Roman" w:hAnsi="Times New Roman"/>
          <w:b/>
          <w:lang w:eastAsia="pl-PL"/>
        </w:rPr>
      </w:pPr>
      <w:r w:rsidRPr="00112B89">
        <w:br w:type="page"/>
      </w:r>
      <w:r w:rsidRPr="0089774B">
        <w:rPr>
          <w:rFonts w:ascii="Times New Roman" w:hAnsi="Times New Roman"/>
          <w:b/>
        </w:rPr>
        <w:lastRenderedPageBreak/>
        <w:t>A.</w:t>
      </w:r>
      <w:r w:rsidRPr="0089774B">
        <w:rPr>
          <w:rFonts w:ascii="Times New Roman" w:hAnsi="Times New Roman"/>
          <w:b/>
        </w:rPr>
        <w:tab/>
        <w:t>GAMINTOJAS (-AI), ATSAKINGAS (-I) UŽ SERIJŲ IŠLEIDIMĄ</w:t>
      </w:r>
    </w:p>
    <w:p w14:paraId="26FC9611" w14:textId="77777777" w:rsidR="005A7416" w:rsidRPr="00112B89" w:rsidRDefault="005A7416" w:rsidP="0085684D">
      <w:pPr>
        <w:autoSpaceDE w:val="0"/>
        <w:autoSpaceDN w:val="0"/>
        <w:adjustRightInd w:val="0"/>
        <w:spacing w:after="0" w:line="240" w:lineRule="auto"/>
        <w:rPr>
          <w:rFonts w:ascii="Times New Roman" w:hAnsi="Times New Roman"/>
        </w:rPr>
      </w:pPr>
    </w:p>
    <w:p w14:paraId="4315E1D8" w14:textId="77777777" w:rsidR="005A7416" w:rsidRPr="00112B89" w:rsidRDefault="005A7416" w:rsidP="0085684D">
      <w:pPr>
        <w:autoSpaceDE w:val="0"/>
        <w:autoSpaceDN w:val="0"/>
        <w:adjustRightInd w:val="0"/>
        <w:spacing w:after="0" w:line="240" w:lineRule="auto"/>
        <w:rPr>
          <w:rFonts w:ascii="Times New Roman" w:hAnsi="Times New Roman"/>
          <w:u w:val="single"/>
        </w:rPr>
      </w:pPr>
      <w:r w:rsidRPr="00112B89">
        <w:rPr>
          <w:rFonts w:ascii="Times New Roman" w:hAnsi="Times New Roman"/>
          <w:u w:val="single"/>
        </w:rPr>
        <w:t>Gamintojo (-ų), atsakingo (-ų) už serijų išleidimą, pavadinimas (-ai) ir adresas (-ai)</w:t>
      </w:r>
    </w:p>
    <w:p w14:paraId="3985E2E0" w14:textId="77777777" w:rsidR="005A7416" w:rsidRPr="00112B89" w:rsidRDefault="005A7416" w:rsidP="0085684D">
      <w:pPr>
        <w:autoSpaceDE w:val="0"/>
        <w:autoSpaceDN w:val="0"/>
        <w:adjustRightInd w:val="0"/>
        <w:spacing w:after="0" w:line="240" w:lineRule="auto"/>
        <w:rPr>
          <w:rFonts w:ascii="Times New Roman" w:hAnsi="Times New Roman"/>
          <w:u w:val="single"/>
        </w:rPr>
      </w:pPr>
    </w:p>
    <w:p w14:paraId="605D892F" w14:textId="77777777" w:rsidR="005A7416" w:rsidRPr="00112B89" w:rsidRDefault="005A7416" w:rsidP="00CD186B">
      <w:pPr>
        <w:spacing w:after="0" w:line="240" w:lineRule="auto"/>
        <w:rPr>
          <w:rFonts w:ascii="Times New Roman" w:hAnsi="Times New Roman"/>
          <w:lang w:eastAsia="pl-PL"/>
        </w:rPr>
      </w:pPr>
      <w:proofErr w:type="spellStart"/>
      <w:r w:rsidRPr="00112B89">
        <w:rPr>
          <w:rFonts w:ascii="Times New Roman" w:hAnsi="Times New Roman"/>
          <w:lang w:eastAsia="pl-PL"/>
        </w:rPr>
        <w:t>Synthon</w:t>
      </w:r>
      <w:proofErr w:type="spellEnd"/>
      <w:r w:rsidRPr="00112B89">
        <w:rPr>
          <w:rFonts w:ascii="Times New Roman" w:hAnsi="Times New Roman"/>
          <w:lang w:eastAsia="pl-PL"/>
        </w:rPr>
        <w:t xml:space="preserve"> BV</w:t>
      </w:r>
    </w:p>
    <w:p w14:paraId="7F64B9CB" w14:textId="77777777" w:rsidR="005A7416" w:rsidRPr="00112B89" w:rsidRDefault="005A7416" w:rsidP="00CD186B">
      <w:pPr>
        <w:spacing w:after="0" w:line="240" w:lineRule="auto"/>
        <w:rPr>
          <w:rFonts w:ascii="Times New Roman" w:hAnsi="Times New Roman"/>
          <w:lang w:eastAsia="pl-PL"/>
        </w:rPr>
      </w:pPr>
      <w:proofErr w:type="spellStart"/>
      <w:r w:rsidRPr="00112B89">
        <w:rPr>
          <w:rFonts w:ascii="Times New Roman" w:hAnsi="Times New Roman"/>
          <w:lang w:eastAsia="pl-PL"/>
        </w:rPr>
        <w:t>Microweg</w:t>
      </w:r>
      <w:proofErr w:type="spellEnd"/>
      <w:r w:rsidRPr="00112B89">
        <w:rPr>
          <w:rFonts w:ascii="Times New Roman" w:hAnsi="Times New Roman"/>
          <w:lang w:eastAsia="pl-PL"/>
        </w:rPr>
        <w:t xml:space="preserve"> 22</w:t>
      </w:r>
    </w:p>
    <w:p w14:paraId="5638AC43" w14:textId="77777777" w:rsidR="005A7416" w:rsidRPr="00112B89" w:rsidRDefault="005A7416" w:rsidP="00CD186B">
      <w:pPr>
        <w:spacing w:after="0" w:line="240" w:lineRule="auto"/>
        <w:rPr>
          <w:rFonts w:ascii="Times New Roman" w:hAnsi="Times New Roman"/>
          <w:lang w:eastAsia="pl-PL"/>
        </w:rPr>
      </w:pPr>
      <w:r w:rsidRPr="00112B89">
        <w:rPr>
          <w:rFonts w:ascii="Times New Roman" w:hAnsi="Times New Roman"/>
          <w:lang w:eastAsia="pl-PL"/>
        </w:rPr>
        <w:t xml:space="preserve">6545CM </w:t>
      </w:r>
      <w:proofErr w:type="spellStart"/>
      <w:r w:rsidRPr="00112B89">
        <w:rPr>
          <w:rFonts w:ascii="Times New Roman" w:hAnsi="Times New Roman"/>
          <w:lang w:eastAsia="pl-PL"/>
        </w:rPr>
        <w:t>Nijmegen</w:t>
      </w:r>
      <w:proofErr w:type="spellEnd"/>
    </w:p>
    <w:p w14:paraId="57356892" w14:textId="77777777" w:rsidR="005A7416" w:rsidRPr="00112B89" w:rsidRDefault="005A7416" w:rsidP="00CD186B">
      <w:pPr>
        <w:spacing w:after="0" w:line="240" w:lineRule="auto"/>
        <w:rPr>
          <w:rFonts w:ascii="Times New Roman" w:hAnsi="Times New Roman"/>
          <w:lang w:eastAsia="pl-PL"/>
        </w:rPr>
      </w:pPr>
      <w:r w:rsidRPr="00112B89">
        <w:rPr>
          <w:rFonts w:ascii="Times New Roman" w:hAnsi="Times New Roman"/>
          <w:lang w:eastAsia="pl-PL"/>
        </w:rPr>
        <w:t>Nyderlandai</w:t>
      </w:r>
    </w:p>
    <w:p w14:paraId="36F987E6" w14:textId="77777777" w:rsidR="005A7416" w:rsidRPr="00112B89" w:rsidRDefault="005A7416" w:rsidP="00CD186B">
      <w:pPr>
        <w:spacing w:after="0" w:line="240" w:lineRule="auto"/>
        <w:rPr>
          <w:rFonts w:ascii="Times New Roman" w:hAnsi="Times New Roman"/>
          <w:lang w:eastAsia="pl-PL"/>
        </w:rPr>
      </w:pPr>
    </w:p>
    <w:p w14:paraId="1DDF5ABF" w14:textId="77777777" w:rsidR="005A7416" w:rsidRPr="00112B89" w:rsidRDefault="005A7416" w:rsidP="00CD186B">
      <w:pPr>
        <w:spacing w:after="0" w:line="240" w:lineRule="auto"/>
        <w:rPr>
          <w:rFonts w:ascii="Times New Roman" w:hAnsi="Times New Roman"/>
          <w:lang w:eastAsia="pl-PL"/>
        </w:rPr>
      </w:pPr>
      <w:r w:rsidRPr="00112B89">
        <w:rPr>
          <w:rFonts w:ascii="Times New Roman" w:hAnsi="Times New Roman"/>
          <w:lang w:eastAsia="pl-PL"/>
        </w:rPr>
        <w:t>arba</w:t>
      </w:r>
    </w:p>
    <w:p w14:paraId="1CA92336" w14:textId="77777777" w:rsidR="005A7416" w:rsidRPr="00112B89" w:rsidRDefault="005A7416" w:rsidP="00CD186B">
      <w:pPr>
        <w:spacing w:after="0" w:line="240" w:lineRule="auto"/>
        <w:rPr>
          <w:rFonts w:ascii="Times New Roman" w:hAnsi="Times New Roman"/>
          <w:lang w:eastAsia="pl-PL"/>
        </w:rPr>
      </w:pPr>
    </w:p>
    <w:p w14:paraId="1FB88F95" w14:textId="77777777" w:rsidR="005A7416" w:rsidRPr="00112B89" w:rsidRDefault="005A7416" w:rsidP="00CD186B">
      <w:pPr>
        <w:spacing w:after="0" w:line="240" w:lineRule="auto"/>
        <w:rPr>
          <w:rFonts w:ascii="Times New Roman" w:hAnsi="Times New Roman"/>
          <w:lang w:eastAsia="pl-PL"/>
        </w:rPr>
      </w:pPr>
      <w:proofErr w:type="spellStart"/>
      <w:r w:rsidRPr="00112B89">
        <w:rPr>
          <w:rFonts w:ascii="Times New Roman" w:hAnsi="Times New Roman"/>
          <w:lang w:eastAsia="pl-PL"/>
        </w:rPr>
        <w:t>Synthon</w:t>
      </w:r>
      <w:proofErr w:type="spellEnd"/>
      <w:r w:rsidRPr="00112B89">
        <w:rPr>
          <w:rFonts w:ascii="Times New Roman" w:hAnsi="Times New Roman"/>
          <w:lang w:eastAsia="pl-PL"/>
        </w:rPr>
        <w:t xml:space="preserve"> </w:t>
      </w:r>
      <w:proofErr w:type="spellStart"/>
      <w:r w:rsidRPr="00112B89">
        <w:rPr>
          <w:rFonts w:ascii="Times New Roman" w:hAnsi="Times New Roman"/>
          <w:lang w:eastAsia="pl-PL"/>
        </w:rPr>
        <w:t>Hispania</w:t>
      </w:r>
      <w:proofErr w:type="spellEnd"/>
      <w:r w:rsidRPr="00112B89">
        <w:rPr>
          <w:rFonts w:ascii="Times New Roman" w:hAnsi="Times New Roman"/>
          <w:lang w:eastAsia="pl-PL"/>
        </w:rPr>
        <w:t xml:space="preserve"> SL</w:t>
      </w:r>
    </w:p>
    <w:p w14:paraId="06690D1E" w14:textId="77777777" w:rsidR="005A7416" w:rsidRPr="00112B89" w:rsidRDefault="005A7416" w:rsidP="00CD186B">
      <w:pPr>
        <w:spacing w:after="0" w:line="240" w:lineRule="auto"/>
        <w:rPr>
          <w:rFonts w:ascii="Times New Roman" w:hAnsi="Times New Roman"/>
        </w:rPr>
      </w:pPr>
      <w:proofErr w:type="spellStart"/>
      <w:r w:rsidRPr="00112B89">
        <w:rPr>
          <w:rFonts w:ascii="Times New Roman" w:hAnsi="Times New Roman"/>
        </w:rPr>
        <w:t>Castelló</w:t>
      </w:r>
      <w:proofErr w:type="spellEnd"/>
      <w:r w:rsidRPr="00112B89">
        <w:rPr>
          <w:rFonts w:ascii="Times New Roman" w:hAnsi="Times New Roman"/>
        </w:rPr>
        <w:t xml:space="preserve"> 1, </w:t>
      </w:r>
      <w:proofErr w:type="spellStart"/>
      <w:r w:rsidRPr="00112B89">
        <w:rPr>
          <w:rFonts w:ascii="Times New Roman" w:hAnsi="Times New Roman"/>
        </w:rPr>
        <w:t>Polígono</w:t>
      </w:r>
      <w:proofErr w:type="spellEnd"/>
      <w:r w:rsidRPr="00112B89">
        <w:rPr>
          <w:rFonts w:ascii="Times New Roman" w:hAnsi="Times New Roman"/>
        </w:rPr>
        <w:t xml:space="preserve"> </w:t>
      </w:r>
      <w:proofErr w:type="spellStart"/>
      <w:r w:rsidRPr="00112B89">
        <w:rPr>
          <w:rFonts w:ascii="Times New Roman" w:hAnsi="Times New Roman"/>
        </w:rPr>
        <w:t>Las</w:t>
      </w:r>
      <w:proofErr w:type="spellEnd"/>
      <w:r w:rsidRPr="00112B89">
        <w:rPr>
          <w:rFonts w:ascii="Times New Roman" w:hAnsi="Times New Roman"/>
        </w:rPr>
        <w:t xml:space="preserve"> </w:t>
      </w:r>
      <w:proofErr w:type="spellStart"/>
      <w:r w:rsidRPr="00112B89">
        <w:rPr>
          <w:rFonts w:ascii="Times New Roman" w:hAnsi="Times New Roman"/>
        </w:rPr>
        <w:t>Salinas</w:t>
      </w:r>
      <w:proofErr w:type="spellEnd"/>
    </w:p>
    <w:p w14:paraId="0728DE0A" w14:textId="77777777" w:rsidR="005A7416" w:rsidRPr="00112B89" w:rsidRDefault="005A7416" w:rsidP="00CD186B">
      <w:pPr>
        <w:spacing w:after="0" w:line="240" w:lineRule="auto"/>
        <w:rPr>
          <w:rFonts w:ascii="Times New Roman" w:hAnsi="Times New Roman"/>
        </w:rPr>
      </w:pPr>
      <w:r w:rsidRPr="00112B89">
        <w:rPr>
          <w:rFonts w:ascii="Times New Roman" w:hAnsi="Times New Roman"/>
        </w:rPr>
        <w:t xml:space="preserve">08830 </w:t>
      </w:r>
      <w:proofErr w:type="spellStart"/>
      <w:r w:rsidRPr="00112B89">
        <w:rPr>
          <w:rFonts w:ascii="Times New Roman" w:hAnsi="Times New Roman"/>
        </w:rPr>
        <w:t>Sant</w:t>
      </w:r>
      <w:proofErr w:type="spellEnd"/>
      <w:r w:rsidRPr="00112B89">
        <w:rPr>
          <w:rFonts w:ascii="Times New Roman" w:hAnsi="Times New Roman"/>
        </w:rPr>
        <w:t xml:space="preserve"> </w:t>
      </w:r>
      <w:proofErr w:type="spellStart"/>
      <w:r w:rsidRPr="00112B89">
        <w:rPr>
          <w:rFonts w:ascii="Times New Roman" w:hAnsi="Times New Roman"/>
        </w:rPr>
        <w:t>Boi</w:t>
      </w:r>
      <w:proofErr w:type="spellEnd"/>
      <w:r w:rsidRPr="00112B89">
        <w:rPr>
          <w:rFonts w:ascii="Times New Roman" w:hAnsi="Times New Roman"/>
        </w:rPr>
        <w:t xml:space="preserve"> de </w:t>
      </w:r>
      <w:proofErr w:type="spellStart"/>
      <w:r w:rsidRPr="00112B89">
        <w:rPr>
          <w:rFonts w:ascii="Times New Roman" w:hAnsi="Times New Roman"/>
        </w:rPr>
        <w:t>Llobregat</w:t>
      </w:r>
      <w:proofErr w:type="spellEnd"/>
    </w:p>
    <w:p w14:paraId="45DAEA91" w14:textId="77777777" w:rsidR="005A7416" w:rsidRPr="00112B89" w:rsidRDefault="005A7416" w:rsidP="00CD186B">
      <w:pPr>
        <w:spacing w:after="0" w:line="240" w:lineRule="auto"/>
        <w:rPr>
          <w:rFonts w:ascii="Times New Roman" w:hAnsi="Times New Roman"/>
        </w:rPr>
      </w:pPr>
      <w:r w:rsidRPr="00112B89">
        <w:rPr>
          <w:rFonts w:ascii="Times New Roman" w:hAnsi="Times New Roman"/>
        </w:rPr>
        <w:t>Ispanija</w:t>
      </w:r>
    </w:p>
    <w:p w14:paraId="7A659AB5" w14:textId="77777777" w:rsidR="005A7416" w:rsidRPr="00112B89" w:rsidRDefault="005A7416" w:rsidP="00CD186B">
      <w:pPr>
        <w:spacing w:after="0" w:line="240" w:lineRule="auto"/>
        <w:rPr>
          <w:rFonts w:ascii="Times New Roman" w:hAnsi="Times New Roman"/>
        </w:rPr>
      </w:pPr>
    </w:p>
    <w:p w14:paraId="26ED1062" w14:textId="77777777" w:rsidR="005A7416" w:rsidRPr="00112B89" w:rsidRDefault="005A7416" w:rsidP="00CD186B">
      <w:pPr>
        <w:spacing w:after="0" w:line="240" w:lineRule="auto"/>
        <w:rPr>
          <w:rFonts w:ascii="Times New Roman" w:hAnsi="Times New Roman"/>
        </w:rPr>
      </w:pPr>
      <w:r w:rsidRPr="00112B89">
        <w:rPr>
          <w:rFonts w:ascii="Times New Roman" w:hAnsi="Times New Roman"/>
        </w:rPr>
        <w:t>arba</w:t>
      </w:r>
    </w:p>
    <w:p w14:paraId="6F9A588A" w14:textId="77777777" w:rsidR="005A7416" w:rsidRPr="00112B89" w:rsidRDefault="005A7416" w:rsidP="00CD186B">
      <w:pPr>
        <w:spacing w:after="0" w:line="240" w:lineRule="auto"/>
        <w:rPr>
          <w:rFonts w:ascii="Times New Roman" w:hAnsi="Times New Roman"/>
        </w:rPr>
      </w:pPr>
    </w:p>
    <w:p w14:paraId="0F439747" w14:textId="77777777" w:rsidR="005A7416" w:rsidRPr="00112B89" w:rsidRDefault="005A7416" w:rsidP="00CD186B">
      <w:pPr>
        <w:spacing w:after="0" w:line="240" w:lineRule="auto"/>
        <w:rPr>
          <w:rFonts w:ascii="Times New Roman" w:hAnsi="Times New Roman"/>
        </w:rPr>
      </w:pPr>
      <w:proofErr w:type="spellStart"/>
      <w:r w:rsidRPr="00112B89">
        <w:rPr>
          <w:rFonts w:ascii="Times New Roman" w:hAnsi="Times New Roman"/>
        </w:rPr>
        <w:t>Merckle</w:t>
      </w:r>
      <w:proofErr w:type="spellEnd"/>
      <w:r w:rsidRPr="00112B89">
        <w:rPr>
          <w:rFonts w:ascii="Times New Roman" w:hAnsi="Times New Roman"/>
        </w:rPr>
        <w:t xml:space="preserve"> </w:t>
      </w:r>
      <w:proofErr w:type="spellStart"/>
      <w:r w:rsidRPr="00112B89">
        <w:rPr>
          <w:rFonts w:ascii="Times New Roman" w:hAnsi="Times New Roman"/>
        </w:rPr>
        <w:t>GmbH</w:t>
      </w:r>
      <w:proofErr w:type="spellEnd"/>
    </w:p>
    <w:p w14:paraId="2F0F3D0F" w14:textId="77777777" w:rsidR="005A7416" w:rsidRPr="00112B89" w:rsidRDefault="005A7416" w:rsidP="00CD186B">
      <w:pPr>
        <w:spacing w:after="0" w:line="240" w:lineRule="auto"/>
        <w:rPr>
          <w:rFonts w:ascii="Times New Roman" w:hAnsi="Times New Roman"/>
        </w:rPr>
      </w:pPr>
      <w:proofErr w:type="spellStart"/>
      <w:r w:rsidRPr="00112B89">
        <w:rPr>
          <w:rFonts w:ascii="Times New Roman" w:hAnsi="Times New Roman"/>
        </w:rPr>
        <w:t>Ludwig-Merckle-Strasse</w:t>
      </w:r>
      <w:proofErr w:type="spellEnd"/>
      <w:r w:rsidRPr="00112B89">
        <w:rPr>
          <w:rFonts w:ascii="Times New Roman" w:hAnsi="Times New Roman"/>
        </w:rPr>
        <w:t xml:space="preserve"> 3</w:t>
      </w:r>
    </w:p>
    <w:p w14:paraId="76A6401D" w14:textId="77777777" w:rsidR="005A7416" w:rsidRPr="00112B89" w:rsidRDefault="005A7416" w:rsidP="00CD186B">
      <w:pPr>
        <w:spacing w:after="0" w:line="240" w:lineRule="auto"/>
        <w:rPr>
          <w:rFonts w:ascii="Times New Roman" w:hAnsi="Times New Roman"/>
        </w:rPr>
      </w:pPr>
      <w:r w:rsidRPr="00112B89">
        <w:rPr>
          <w:rFonts w:ascii="Times New Roman" w:hAnsi="Times New Roman"/>
        </w:rPr>
        <w:t xml:space="preserve">89143 </w:t>
      </w:r>
      <w:proofErr w:type="spellStart"/>
      <w:r w:rsidRPr="00112B89">
        <w:rPr>
          <w:rFonts w:ascii="Times New Roman" w:hAnsi="Times New Roman"/>
        </w:rPr>
        <w:t>Blaubeuren</w:t>
      </w:r>
      <w:proofErr w:type="spellEnd"/>
    </w:p>
    <w:p w14:paraId="62F6864E" w14:textId="77777777" w:rsidR="005A7416" w:rsidRPr="00112B89" w:rsidRDefault="005A7416" w:rsidP="00CD186B">
      <w:pPr>
        <w:spacing w:after="0" w:line="240" w:lineRule="auto"/>
        <w:rPr>
          <w:rFonts w:ascii="Times New Roman" w:hAnsi="Times New Roman"/>
        </w:rPr>
      </w:pPr>
      <w:r w:rsidRPr="00112B89">
        <w:rPr>
          <w:rFonts w:ascii="Times New Roman" w:hAnsi="Times New Roman"/>
        </w:rPr>
        <w:t>Vokietija</w:t>
      </w:r>
    </w:p>
    <w:p w14:paraId="268B3C39" w14:textId="77777777" w:rsidR="005A7416" w:rsidRPr="00112B89" w:rsidRDefault="005A7416" w:rsidP="0085684D">
      <w:pPr>
        <w:autoSpaceDE w:val="0"/>
        <w:autoSpaceDN w:val="0"/>
        <w:adjustRightInd w:val="0"/>
        <w:spacing w:after="0" w:line="240" w:lineRule="auto"/>
        <w:rPr>
          <w:rFonts w:ascii="Times New Roman" w:hAnsi="Times New Roman"/>
        </w:rPr>
      </w:pPr>
    </w:p>
    <w:p w14:paraId="46922109" w14:textId="77777777" w:rsidR="005A7416" w:rsidRPr="00112B89" w:rsidRDefault="005A7416" w:rsidP="00673C4F">
      <w:pPr>
        <w:spacing w:after="0" w:line="240" w:lineRule="auto"/>
        <w:rPr>
          <w:rFonts w:ascii="Times New Roman" w:hAnsi="Times New Roman"/>
          <w:lang w:eastAsia="pl-PL"/>
        </w:rPr>
      </w:pPr>
      <w:bookmarkStart w:id="3" w:name="_Toc129243129"/>
      <w:bookmarkStart w:id="4" w:name="_Toc129243254"/>
      <w:r w:rsidRPr="00112B89">
        <w:rPr>
          <w:rFonts w:ascii="Times New Roman" w:hAnsi="Times New Roman"/>
          <w:lang w:eastAsia="pl-PL"/>
        </w:rPr>
        <w:t>Su pakuote pateikiamame lapelyje nurodomas gamintojo, atsakingo už konkrečios serijos išleidimą, pavadinimas ir adresas.</w:t>
      </w:r>
    </w:p>
    <w:p w14:paraId="6F0A374D" w14:textId="77777777" w:rsidR="005A7416" w:rsidRPr="00112B89" w:rsidRDefault="005A7416" w:rsidP="00673C4F">
      <w:pPr>
        <w:spacing w:after="0" w:line="240" w:lineRule="auto"/>
        <w:rPr>
          <w:rFonts w:ascii="Times New Roman" w:hAnsi="Times New Roman"/>
          <w:lang w:eastAsia="pl-PL"/>
        </w:rPr>
      </w:pPr>
    </w:p>
    <w:p w14:paraId="75F8676D" w14:textId="77777777" w:rsidR="005A7416" w:rsidRPr="00112B89" w:rsidRDefault="005A7416" w:rsidP="00673C4F">
      <w:pPr>
        <w:spacing w:after="0" w:line="240" w:lineRule="auto"/>
        <w:rPr>
          <w:rFonts w:ascii="Times New Roman" w:hAnsi="Times New Roman"/>
          <w:lang w:eastAsia="pl-PL"/>
        </w:rPr>
      </w:pPr>
    </w:p>
    <w:p w14:paraId="55A4B483" w14:textId="77777777" w:rsidR="005A7416" w:rsidRPr="00112B89" w:rsidRDefault="005A7416" w:rsidP="00673C4F">
      <w:pPr>
        <w:spacing w:after="0" w:line="240" w:lineRule="auto"/>
        <w:ind w:left="567" w:hanging="567"/>
        <w:rPr>
          <w:rFonts w:ascii="Times New Roman" w:hAnsi="Times New Roman"/>
        </w:rPr>
      </w:pPr>
      <w:r w:rsidRPr="0089774B">
        <w:rPr>
          <w:rFonts w:ascii="Times New Roman" w:hAnsi="Times New Roman"/>
          <w:b/>
        </w:rPr>
        <w:t>B.</w:t>
      </w:r>
      <w:r w:rsidRPr="00112B89">
        <w:rPr>
          <w:rFonts w:ascii="Times New Roman" w:hAnsi="Times New Roman"/>
          <w:b/>
        </w:rPr>
        <w:tab/>
        <w:t>TIEKIMO IR VARTOJIMO SĄLYGOS AR APRIBOJIMAI</w:t>
      </w:r>
    </w:p>
    <w:p w14:paraId="2AADDF6E" w14:textId="77777777" w:rsidR="005A7416" w:rsidRPr="00112B89" w:rsidRDefault="005A7416" w:rsidP="00673C4F">
      <w:pPr>
        <w:spacing w:after="0"/>
        <w:rPr>
          <w:rFonts w:ascii="Times New Roman" w:hAnsi="Times New Roman"/>
        </w:rPr>
      </w:pPr>
    </w:p>
    <w:p w14:paraId="6B6150A1" w14:textId="77777777" w:rsidR="005A7416" w:rsidRPr="00112B89" w:rsidRDefault="005A7416" w:rsidP="00673C4F">
      <w:pPr>
        <w:spacing w:after="0"/>
        <w:rPr>
          <w:rFonts w:ascii="Times New Roman" w:hAnsi="Times New Roman"/>
        </w:rPr>
      </w:pPr>
      <w:r w:rsidRPr="00112B89">
        <w:rPr>
          <w:rFonts w:ascii="Times New Roman" w:hAnsi="Times New Roman"/>
        </w:rPr>
        <w:t>Receptinis vaistinis preparatas.</w:t>
      </w:r>
    </w:p>
    <w:p w14:paraId="0F5F303F" w14:textId="77777777" w:rsidR="005A7416" w:rsidRPr="00112B89" w:rsidRDefault="005A7416" w:rsidP="00673C4F">
      <w:pPr>
        <w:spacing w:after="0" w:line="240" w:lineRule="auto"/>
        <w:rPr>
          <w:rFonts w:ascii="Times New Roman" w:hAnsi="Times New Roman"/>
          <w:b/>
          <w:lang w:eastAsia="pl-PL"/>
        </w:rPr>
      </w:pPr>
    </w:p>
    <w:bookmarkEnd w:id="3"/>
    <w:bookmarkEnd w:id="4"/>
    <w:p w14:paraId="51CA88D3" w14:textId="77777777" w:rsidR="005A7416" w:rsidRPr="00112B89" w:rsidRDefault="005A7416" w:rsidP="0085684D">
      <w:pPr>
        <w:autoSpaceDE w:val="0"/>
        <w:autoSpaceDN w:val="0"/>
        <w:adjustRightInd w:val="0"/>
        <w:spacing w:after="0" w:line="240" w:lineRule="auto"/>
        <w:rPr>
          <w:rFonts w:ascii="Times New Roman" w:hAnsi="Times New Roman"/>
        </w:rPr>
      </w:pPr>
    </w:p>
    <w:p w14:paraId="61EFD95F" w14:textId="77777777" w:rsidR="005A7416" w:rsidRPr="00112B89" w:rsidRDefault="005A7416" w:rsidP="0085684D">
      <w:pPr>
        <w:autoSpaceDE w:val="0"/>
        <w:autoSpaceDN w:val="0"/>
        <w:adjustRightInd w:val="0"/>
        <w:spacing w:after="0" w:line="240" w:lineRule="auto"/>
        <w:rPr>
          <w:rFonts w:ascii="Times New Roman" w:hAnsi="Times New Roman"/>
        </w:rPr>
      </w:pPr>
    </w:p>
    <w:p w14:paraId="4972FFBB" w14:textId="77777777" w:rsidR="005A7416" w:rsidRPr="00112B89" w:rsidRDefault="005A7416" w:rsidP="0085684D">
      <w:pPr>
        <w:autoSpaceDE w:val="0"/>
        <w:autoSpaceDN w:val="0"/>
        <w:adjustRightInd w:val="0"/>
        <w:spacing w:after="0" w:line="240" w:lineRule="auto"/>
        <w:rPr>
          <w:rFonts w:ascii="Times New Roman" w:hAnsi="Times New Roman"/>
        </w:rPr>
      </w:pPr>
      <w:r w:rsidRPr="00112B89">
        <w:rPr>
          <w:rFonts w:ascii="Times New Roman" w:hAnsi="Times New Roman"/>
        </w:rPr>
        <w:br w:type="page"/>
      </w:r>
    </w:p>
    <w:p w14:paraId="5BC98A30" w14:textId="77777777" w:rsidR="005A7416" w:rsidRPr="00112B89" w:rsidRDefault="005A7416" w:rsidP="0085684D">
      <w:pPr>
        <w:autoSpaceDE w:val="0"/>
        <w:autoSpaceDN w:val="0"/>
        <w:adjustRightInd w:val="0"/>
        <w:spacing w:after="0" w:line="240" w:lineRule="auto"/>
        <w:rPr>
          <w:rFonts w:ascii="Times New Roman" w:hAnsi="Times New Roman"/>
        </w:rPr>
      </w:pPr>
    </w:p>
    <w:p w14:paraId="5DC74ACC" w14:textId="77777777" w:rsidR="005A7416" w:rsidRPr="00112B89" w:rsidRDefault="005A7416" w:rsidP="0085684D">
      <w:pPr>
        <w:autoSpaceDE w:val="0"/>
        <w:autoSpaceDN w:val="0"/>
        <w:adjustRightInd w:val="0"/>
        <w:spacing w:after="0" w:line="240" w:lineRule="auto"/>
        <w:rPr>
          <w:rFonts w:ascii="Times New Roman" w:hAnsi="Times New Roman"/>
        </w:rPr>
      </w:pPr>
    </w:p>
    <w:p w14:paraId="418D5B83" w14:textId="77777777" w:rsidR="005A7416" w:rsidRPr="00112B89" w:rsidRDefault="005A7416" w:rsidP="0085684D">
      <w:pPr>
        <w:autoSpaceDE w:val="0"/>
        <w:autoSpaceDN w:val="0"/>
        <w:adjustRightInd w:val="0"/>
        <w:spacing w:after="0" w:line="240" w:lineRule="auto"/>
        <w:rPr>
          <w:rFonts w:ascii="Times New Roman" w:hAnsi="Times New Roman"/>
        </w:rPr>
      </w:pPr>
    </w:p>
    <w:p w14:paraId="66FC7D8A" w14:textId="77777777" w:rsidR="005A7416" w:rsidRPr="00112B89" w:rsidRDefault="005A7416" w:rsidP="0085684D">
      <w:pPr>
        <w:autoSpaceDE w:val="0"/>
        <w:autoSpaceDN w:val="0"/>
        <w:adjustRightInd w:val="0"/>
        <w:spacing w:after="0" w:line="240" w:lineRule="auto"/>
        <w:rPr>
          <w:rFonts w:ascii="Times New Roman" w:hAnsi="Times New Roman"/>
        </w:rPr>
      </w:pPr>
    </w:p>
    <w:p w14:paraId="7F6905E0" w14:textId="77777777" w:rsidR="005A7416" w:rsidRPr="00112B89" w:rsidRDefault="005A7416" w:rsidP="0085684D">
      <w:pPr>
        <w:autoSpaceDE w:val="0"/>
        <w:autoSpaceDN w:val="0"/>
        <w:adjustRightInd w:val="0"/>
        <w:spacing w:after="0" w:line="240" w:lineRule="auto"/>
        <w:rPr>
          <w:rFonts w:ascii="Times New Roman" w:hAnsi="Times New Roman"/>
        </w:rPr>
      </w:pPr>
    </w:p>
    <w:p w14:paraId="7B134E0B" w14:textId="77777777" w:rsidR="005A7416" w:rsidRPr="00112B89" w:rsidRDefault="005A7416" w:rsidP="0085684D">
      <w:pPr>
        <w:autoSpaceDE w:val="0"/>
        <w:autoSpaceDN w:val="0"/>
        <w:adjustRightInd w:val="0"/>
        <w:spacing w:after="0" w:line="240" w:lineRule="auto"/>
        <w:rPr>
          <w:rFonts w:ascii="Times New Roman" w:hAnsi="Times New Roman"/>
        </w:rPr>
      </w:pPr>
    </w:p>
    <w:p w14:paraId="2EA5FCF3" w14:textId="77777777" w:rsidR="005A7416" w:rsidRPr="00112B89" w:rsidRDefault="005A7416" w:rsidP="0085684D">
      <w:pPr>
        <w:autoSpaceDE w:val="0"/>
        <w:autoSpaceDN w:val="0"/>
        <w:adjustRightInd w:val="0"/>
        <w:spacing w:after="0" w:line="240" w:lineRule="auto"/>
        <w:rPr>
          <w:rFonts w:ascii="Times New Roman" w:hAnsi="Times New Roman"/>
        </w:rPr>
      </w:pPr>
    </w:p>
    <w:p w14:paraId="30E5C0FB" w14:textId="77777777" w:rsidR="005A7416" w:rsidRPr="00112B89" w:rsidRDefault="005A7416" w:rsidP="0085684D">
      <w:pPr>
        <w:autoSpaceDE w:val="0"/>
        <w:autoSpaceDN w:val="0"/>
        <w:adjustRightInd w:val="0"/>
        <w:spacing w:after="0" w:line="240" w:lineRule="auto"/>
        <w:rPr>
          <w:rFonts w:ascii="Times New Roman" w:hAnsi="Times New Roman"/>
        </w:rPr>
      </w:pPr>
    </w:p>
    <w:p w14:paraId="79293AB1" w14:textId="77777777" w:rsidR="005A7416" w:rsidRPr="00112B89" w:rsidRDefault="005A7416" w:rsidP="0085684D">
      <w:pPr>
        <w:autoSpaceDE w:val="0"/>
        <w:autoSpaceDN w:val="0"/>
        <w:adjustRightInd w:val="0"/>
        <w:spacing w:after="0" w:line="240" w:lineRule="auto"/>
        <w:rPr>
          <w:rFonts w:ascii="Times New Roman" w:hAnsi="Times New Roman"/>
        </w:rPr>
      </w:pPr>
    </w:p>
    <w:p w14:paraId="3DBD8C84" w14:textId="77777777" w:rsidR="005A7416" w:rsidRPr="00112B89" w:rsidRDefault="005A7416" w:rsidP="0085684D">
      <w:pPr>
        <w:autoSpaceDE w:val="0"/>
        <w:autoSpaceDN w:val="0"/>
        <w:adjustRightInd w:val="0"/>
        <w:spacing w:after="0" w:line="240" w:lineRule="auto"/>
        <w:rPr>
          <w:rFonts w:ascii="Times New Roman" w:hAnsi="Times New Roman"/>
        </w:rPr>
      </w:pPr>
    </w:p>
    <w:p w14:paraId="2BC4734E" w14:textId="77777777" w:rsidR="005A7416" w:rsidRPr="00112B89" w:rsidRDefault="005A7416" w:rsidP="0085684D">
      <w:pPr>
        <w:autoSpaceDE w:val="0"/>
        <w:autoSpaceDN w:val="0"/>
        <w:adjustRightInd w:val="0"/>
        <w:spacing w:after="0" w:line="240" w:lineRule="auto"/>
        <w:rPr>
          <w:rFonts w:ascii="Times New Roman" w:hAnsi="Times New Roman"/>
        </w:rPr>
      </w:pPr>
    </w:p>
    <w:p w14:paraId="2A883886" w14:textId="77777777" w:rsidR="005A7416" w:rsidRPr="00112B89" w:rsidRDefault="005A7416" w:rsidP="0085684D">
      <w:pPr>
        <w:autoSpaceDE w:val="0"/>
        <w:autoSpaceDN w:val="0"/>
        <w:adjustRightInd w:val="0"/>
        <w:spacing w:after="0" w:line="240" w:lineRule="auto"/>
        <w:rPr>
          <w:rFonts w:ascii="Times New Roman" w:hAnsi="Times New Roman"/>
        </w:rPr>
      </w:pPr>
    </w:p>
    <w:p w14:paraId="46ED4791" w14:textId="77777777" w:rsidR="005A7416" w:rsidRPr="00112B89" w:rsidRDefault="005A7416" w:rsidP="0085684D">
      <w:pPr>
        <w:autoSpaceDE w:val="0"/>
        <w:autoSpaceDN w:val="0"/>
        <w:adjustRightInd w:val="0"/>
        <w:spacing w:after="0" w:line="240" w:lineRule="auto"/>
        <w:rPr>
          <w:rFonts w:ascii="Times New Roman" w:hAnsi="Times New Roman"/>
        </w:rPr>
      </w:pPr>
    </w:p>
    <w:p w14:paraId="17DF6C2E" w14:textId="77777777" w:rsidR="005A7416" w:rsidRPr="00112B89" w:rsidRDefault="005A7416" w:rsidP="0085684D">
      <w:pPr>
        <w:autoSpaceDE w:val="0"/>
        <w:autoSpaceDN w:val="0"/>
        <w:adjustRightInd w:val="0"/>
        <w:spacing w:after="0" w:line="240" w:lineRule="auto"/>
        <w:rPr>
          <w:rFonts w:ascii="Times New Roman" w:hAnsi="Times New Roman"/>
        </w:rPr>
      </w:pPr>
    </w:p>
    <w:p w14:paraId="7145E6C4" w14:textId="77777777" w:rsidR="005A7416" w:rsidRPr="00112B89" w:rsidRDefault="005A7416" w:rsidP="0085684D">
      <w:pPr>
        <w:autoSpaceDE w:val="0"/>
        <w:autoSpaceDN w:val="0"/>
        <w:adjustRightInd w:val="0"/>
        <w:spacing w:after="0" w:line="240" w:lineRule="auto"/>
        <w:rPr>
          <w:rFonts w:ascii="Times New Roman" w:hAnsi="Times New Roman"/>
        </w:rPr>
      </w:pPr>
    </w:p>
    <w:p w14:paraId="21B2E70A" w14:textId="77777777" w:rsidR="005A7416" w:rsidRPr="00112B89" w:rsidRDefault="005A7416" w:rsidP="0085684D">
      <w:pPr>
        <w:autoSpaceDE w:val="0"/>
        <w:autoSpaceDN w:val="0"/>
        <w:adjustRightInd w:val="0"/>
        <w:spacing w:after="0" w:line="240" w:lineRule="auto"/>
        <w:rPr>
          <w:rFonts w:ascii="Times New Roman" w:hAnsi="Times New Roman"/>
        </w:rPr>
      </w:pPr>
    </w:p>
    <w:p w14:paraId="67562B98" w14:textId="77777777" w:rsidR="005A7416" w:rsidRPr="00112B89" w:rsidRDefault="005A7416" w:rsidP="0085684D">
      <w:pPr>
        <w:autoSpaceDE w:val="0"/>
        <w:autoSpaceDN w:val="0"/>
        <w:adjustRightInd w:val="0"/>
        <w:spacing w:after="0" w:line="240" w:lineRule="auto"/>
        <w:rPr>
          <w:rFonts w:ascii="Times New Roman" w:hAnsi="Times New Roman"/>
        </w:rPr>
      </w:pPr>
    </w:p>
    <w:p w14:paraId="6FD35290" w14:textId="77777777" w:rsidR="005A7416" w:rsidRPr="00112B89" w:rsidRDefault="005A7416" w:rsidP="0085684D">
      <w:pPr>
        <w:autoSpaceDE w:val="0"/>
        <w:autoSpaceDN w:val="0"/>
        <w:adjustRightInd w:val="0"/>
        <w:spacing w:after="0" w:line="240" w:lineRule="auto"/>
        <w:rPr>
          <w:rFonts w:ascii="Times New Roman" w:hAnsi="Times New Roman"/>
        </w:rPr>
      </w:pPr>
    </w:p>
    <w:p w14:paraId="1913512E" w14:textId="77777777" w:rsidR="005A7416" w:rsidRPr="00112B89" w:rsidRDefault="005A7416" w:rsidP="0085684D">
      <w:pPr>
        <w:autoSpaceDE w:val="0"/>
        <w:autoSpaceDN w:val="0"/>
        <w:adjustRightInd w:val="0"/>
        <w:spacing w:after="0" w:line="240" w:lineRule="auto"/>
        <w:rPr>
          <w:rFonts w:ascii="Times New Roman" w:hAnsi="Times New Roman"/>
        </w:rPr>
      </w:pPr>
    </w:p>
    <w:p w14:paraId="151E16B9" w14:textId="77777777" w:rsidR="005A7416" w:rsidRPr="00112B89" w:rsidRDefault="005A7416" w:rsidP="0085684D">
      <w:pPr>
        <w:autoSpaceDE w:val="0"/>
        <w:autoSpaceDN w:val="0"/>
        <w:adjustRightInd w:val="0"/>
        <w:spacing w:after="0" w:line="240" w:lineRule="auto"/>
        <w:rPr>
          <w:rFonts w:ascii="Times New Roman" w:hAnsi="Times New Roman"/>
        </w:rPr>
      </w:pPr>
    </w:p>
    <w:p w14:paraId="3E5A75D9" w14:textId="77777777" w:rsidR="005A7416" w:rsidRPr="00112B89" w:rsidRDefault="005A7416" w:rsidP="0085684D">
      <w:pPr>
        <w:autoSpaceDE w:val="0"/>
        <w:autoSpaceDN w:val="0"/>
        <w:adjustRightInd w:val="0"/>
        <w:spacing w:after="0" w:line="240" w:lineRule="auto"/>
        <w:rPr>
          <w:rFonts w:ascii="Times New Roman" w:hAnsi="Times New Roman"/>
        </w:rPr>
      </w:pPr>
    </w:p>
    <w:p w14:paraId="2F67D9FA" w14:textId="77777777" w:rsidR="00206BD9" w:rsidRPr="00112B89" w:rsidRDefault="00206BD9" w:rsidP="0085684D">
      <w:pPr>
        <w:autoSpaceDE w:val="0"/>
        <w:autoSpaceDN w:val="0"/>
        <w:adjustRightInd w:val="0"/>
        <w:spacing w:after="0" w:line="240" w:lineRule="auto"/>
        <w:rPr>
          <w:rFonts w:ascii="Times New Roman" w:hAnsi="Times New Roman"/>
        </w:rPr>
      </w:pPr>
    </w:p>
    <w:p w14:paraId="3E2224FC" w14:textId="77777777" w:rsidR="001B012C" w:rsidRPr="00112B89" w:rsidRDefault="001B012C" w:rsidP="0085684D">
      <w:pPr>
        <w:autoSpaceDE w:val="0"/>
        <w:autoSpaceDN w:val="0"/>
        <w:adjustRightInd w:val="0"/>
        <w:spacing w:after="0" w:line="240" w:lineRule="auto"/>
        <w:rPr>
          <w:rFonts w:ascii="Times New Roman" w:hAnsi="Times New Roman"/>
        </w:rPr>
      </w:pPr>
    </w:p>
    <w:p w14:paraId="3EF1B73B" w14:textId="77777777" w:rsidR="005A7416" w:rsidRPr="00112B89" w:rsidRDefault="005A7416" w:rsidP="0085684D">
      <w:pPr>
        <w:jc w:val="center"/>
        <w:rPr>
          <w:rFonts w:ascii="Times New Roman" w:hAnsi="Times New Roman"/>
          <w:b/>
        </w:rPr>
      </w:pPr>
      <w:r w:rsidRPr="00112B89">
        <w:rPr>
          <w:rFonts w:ascii="Times New Roman" w:hAnsi="Times New Roman"/>
          <w:b/>
        </w:rPr>
        <w:t>III PRIEDAS</w:t>
      </w:r>
    </w:p>
    <w:p w14:paraId="5A0F2A8C" w14:textId="77777777" w:rsidR="005A7416" w:rsidRPr="00112B89" w:rsidRDefault="005A7416" w:rsidP="0085684D">
      <w:pPr>
        <w:autoSpaceDE w:val="0"/>
        <w:autoSpaceDN w:val="0"/>
        <w:adjustRightInd w:val="0"/>
        <w:spacing w:after="0" w:line="240" w:lineRule="auto"/>
        <w:jc w:val="center"/>
        <w:rPr>
          <w:rFonts w:ascii="Times New Roman" w:hAnsi="Times New Roman"/>
        </w:rPr>
      </w:pPr>
      <w:r w:rsidRPr="00112B89">
        <w:rPr>
          <w:rFonts w:ascii="Times New Roman" w:hAnsi="Times New Roman"/>
          <w:b/>
        </w:rPr>
        <w:t>ŽENKLINIMAS IR PAKUOTĖS LAPELIS</w:t>
      </w:r>
      <w:r w:rsidRPr="00112B89">
        <w:rPr>
          <w:rFonts w:ascii="Times New Roman" w:hAnsi="Times New Roman"/>
        </w:rPr>
        <w:t xml:space="preserve"> </w:t>
      </w:r>
    </w:p>
    <w:p w14:paraId="12E02E14"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3D547A5A" w14:textId="77777777" w:rsidR="005A7416" w:rsidRPr="00112B89" w:rsidRDefault="005A7416" w:rsidP="0085684D">
      <w:pPr>
        <w:autoSpaceDE w:val="0"/>
        <w:autoSpaceDN w:val="0"/>
        <w:adjustRightInd w:val="0"/>
        <w:spacing w:after="0" w:line="240" w:lineRule="auto"/>
        <w:jc w:val="center"/>
        <w:rPr>
          <w:rFonts w:ascii="Times New Roman" w:hAnsi="Times New Roman"/>
        </w:rPr>
      </w:pPr>
      <w:r w:rsidRPr="00112B89">
        <w:rPr>
          <w:rFonts w:ascii="Times New Roman" w:hAnsi="Times New Roman"/>
        </w:rPr>
        <w:br w:type="page"/>
      </w:r>
    </w:p>
    <w:p w14:paraId="6CE6944D"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64D4445C"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3E4F56F6"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04C7F788"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066FDFEC"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0CEE071A"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229323EC"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01D5E669"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05F4FD2D"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22A14F37"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2168AD5E"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47CFA2D0"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03A5D57A"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0BFB6544"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4668A12B"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36FBC2B1"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7368D27F"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176035F2"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6102364A"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2CE9A99F"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1B1D1274"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4559AFE0"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1CBD0602" w14:textId="77777777" w:rsidR="001B012C" w:rsidRPr="00112B89" w:rsidRDefault="001B012C" w:rsidP="0085684D">
      <w:pPr>
        <w:autoSpaceDE w:val="0"/>
        <w:autoSpaceDN w:val="0"/>
        <w:adjustRightInd w:val="0"/>
        <w:spacing w:after="0" w:line="240" w:lineRule="auto"/>
        <w:jc w:val="center"/>
        <w:rPr>
          <w:rFonts w:ascii="Times New Roman" w:hAnsi="Times New Roman"/>
        </w:rPr>
      </w:pPr>
    </w:p>
    <w:p w14:paraId="1A9C4834" w14:textId="77777777" w:rsidR="005A7416" w:rsidRPr="00112B89" w:rsidRDefault="005A7416" w:rsidP="0085684D">
      <w:pPr>
        <w:numPr>
          <w:ilvl w:val="0"/>
          <w:numId w:val="2"/>
        </w:numPr>
        <w:spacing w:after="0" w:line="240" w:lineRule="auto"/>
        <w:jc w:val="center"/>
        <w:rPr>
          <w:rFonts w:ascii="Times New Roman" w:hAnsi="Times New Roman"/>
          <w:b/>
        </w:rPr>
      </w:pPr>
      <w:r w:rsidRPr="00112B89">
        <w:rPr>
          <w:rFonts w:ascii="Times New Roman" w:hAnsi="Times New Roman"/>
          <w:b/>
        </w:rPr>
        <w:t>ŽENKLINIMAS</w:t>
      </w:r>
    </w:p>
    <w:p w14:paraId="788AC5AF" w14:textId="77777777" w:rsidR="005A7416" w:rsidRPr="00112B89" w:rsidRDefault="005A7416" w:rsidP="0085684D">
      <w:pPr>
        <w:autoSpaceDE w:val="0"/>
        <w:autoSpaceDN w:val="0"/>
        <w:adjustRightInd w:val="0"/>
        <w:spacing w:after="0" w:line="240" w:lineRule="auto"/>
        <w:jc w:val="center"/>
        <w:rPr>
          <w:rFonts w:ascii="Times New Roman" w:hAnsi="Times New Roman"/>
          <w:color w:val="000000"/>
        </w:rPr>
      </w:pPr>
      <w:r w:rsidRPr="00112B89">
        <w:rPr>
          <w:rFonts w:ascii="Times New Roman" w:hAnsi="Times New Roman"/>
        </w:rPr>
        <w:br w:type="page"/>
      </w:r>
    </w:p>
    <w:p w14:paraId="7ECEBFC2"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lastRenderedPageBreak/>
        <w:t>INFORMACIJA ANT IŠORINĖS PAKUOTĖS</w:t>
      </w:r>
    </w:p>
    <w:p w14:paraId="5C9F78F9"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rPr>
      </w:pPr>
    </w:p>
    <w:p w14:paraId="6CF0E044"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KARTONO DĖŽUTĖ</w:t>
      </w:r>
    </w:p>
    <w:p w14:paraId="6FD87B8C" w14:textId="77777777" w:rsidR="005A7416" w:rsidRPr="00112B89" w:rsidRDefault="005A7416">
      <w:pPr>
        <w:tabs>
          <w:tab w:val="left" w:pos="567"/>
        </w:tabs>
        <w:autoSpaceDE w:val="0"/>
        <w:autoSpaceDN w:val="0"/>
        <w:adjustRightInd w:val="0"/>
        <w:spacing w:after="0" w:line="240" w:lineRule="auto"/>
        <w:rPr>
          <w:rFonts w:ascii="Times New Roman" w:hAnsi="Times New Roman"/>
          <w:color w:val="000000"/>
        </w:rPr>
      </w:pPr>
    </w:p>
    <w:p w14:paraId="5F08AAF6" w14:textId="77777777" w:rsidR="005A7416" w:rsidRPr="00112B89" w:rsidRDefault="005A7416">
      <w:pPr>
        <w:tabs>
          <w:tab w:val="left" w:pos="567"/>
        </w:tabs>
        <w:autoSpaceDE w:val="0"/>
        <w:autoSpaceDN w:val="0"/>
        <w:adjustRightInd w:val="0"/>
        <w:spacing w:after="0" w:line="240" w:lineRule="auto"/>
        <w:rPr>
          <w:rFonts w:ascii="Times New Roman" w:hAnsi="Times New Roman"/>
          <w:color w:val="000000"/>
        </w:rPr>
      </w:pPr>
    </w:p>
    <w:p w14:paraId="6A937801"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1.</w:t>
      </w:r>
      <w:r w:rsidRPr="00112B89">
        <w:rPr>
          <w:rFonts w:ascii="Times New Roman" w:hAnsi="Times New Roman"/>
          <w:b/>
          <w:bCs/>
          <w:color w:val="000000"/>
        </w:rPr>
        <w:tab/>
        <w:t>VAISTINIO PREPARATO PAVADINIMAS</w:t>
      </w:r>
    </w:p>
    <w:p w14:paraId="366FB9FF" w14:textId="77777777" w:rsidR="005A7416" w:rsidRPr="00112B89" w:rsidRDefault="005A7416">
      <w:pPr>
        <w:tabs>
          <w:tab w:val="left" w:pos="567"/>
        </w:tabs>
        <w:autoSpaceDE w:val="0"/>
        <w:autoSpaceDN w:val="0"/>
        <w:adjustRightInd w:val="0"/>
        <w:spacing w:after="0" w:line="240" w:lineRule="auto"/>
        <w:rPr>
          <w:rFonts w:ascii="Times New Roman" w:hAnsi="Times New Roman"/>
          <w:color w:val="000000"/>
        </w:rPr>
      </w:pPr>
    </w:p>
    <w:p w14:paraId="773F3A3C" w14:textId="77777777" w:rsidR="005A7416" w:rsidRPr="00112B89" w:rsidRDefault="005A7416">
      <w:pPr>
        <w:tabs>
          <w:tab w:val="left" w:pos="567"/>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3</w:t>
      </w:r>
      <w:r w:rsidR="00271402" w:rsidRPr="00112B89">
        <w:rPr>
          <w:rFonts w:ascii="Times New Roman" w:hAnsi="Times New Roman"/>
        </w:rPr>
        <w:t> </w:t>
      </w:r>
      <w:r w:rsidRPr="00112B89">
        <w:rPr>
          <w:rFonts w:ascii="Times New Roman" w:hAnsi="Times New Roman"/>
        </w:rPr>
        <w:t xml:space="preserve">mg injekcinis tirpalas </w:t>
      </w:r>
      <w:r w:rsidR="00CB4060" w:rsidRPr="00112B89">
        <w:rPr>
          <w:rFonts w:ascii="Times New Roman" w:hAnsi="Times New Roman"/>
        </w:rPr>
        <w:t>užpildytame švirkšte</w:t>
      </w:r>
    </w:p>
    <w:p w14:paraId="4FA9FE64" w14:textId="77777777" w:rsidR="005A7416" w:rsidRPr="00112B89" w:rsidRDefault="00C2594E">
      <w:pPr>
        <w:tabs>
          <w:tab w:val="left" w:pos="567"/>
        </w:tabs>
        <w:autoSpaceDE w:val="0"/>
        <w:autoSpaceDN w:val="0"/>
        <w:adjustRightInd w:val="0"/>
        <w:spacing w:after="0" w:line="240" w:lineRule="auto"/>
        <w:rPr>
          <w:rFonts w:ascii="Times New Roman" w:hAnsi="Times New Roman"/>
          <w:color w:val="000000"/>
        </w:rPr>
      </w:pPr>
      <w:proofErr w:type="spellStart"/>
      <w:r>
        <w:rPr>
          <w:rFonts w:ascii="Times New Roman" w:eastAsia="MS Mincho" w:hAnsi="Times New Roman"/>
          <w:lang w:eastAsia="ja-JP"/>
        </w:rPr>
        <w:t>a</w:t>
      </w:r>
      <w:r w:rsidR="005A7416" w:rsidRPr="00112B89">
        <w:rPr>
          <w:rFonts w:ascii="Times New Roman" w:eastAsia="MS Mincho" w:hAnsi="Times New Roman"/>
          <w:lang w:eastAsia="ja-JP"/>
        </w:rPr>
        <w:t>cidum</w:t>
      </w:r>
      <w:proofErr w:type="spellEnd"/>
      <w:r w:rsidR="005A7416" w:rsidRPr="00112B89">
        <w:rPr>
          <w:rFonts w:ascii="Times New Roman" w:eastAsia="MS Mincho" w:hAnsi="Times New Roman"/>
          <w:lang w:eastAsia="ja-JP"/>
        </w:rPr>
        <w:t xml:space="preserve"> </w:t>
      </w:r>
      <w:proofErr w:type="spellStart"/>
      <w:r w:rsidR="005A7416" w:rsidRPr="00112B89">
        <w:rPr>
          <w:rFonts w:ascii="Times New Roman" w:eastAsia="MS Mincho" w:hAnsi="Times New Roman"/>
          <w:lang w:eastAsia="ja-JP"/>
        </w:rPr>
        <w:t>ibandronicum</w:t>
      </w:r>
      <w:proofErr w:type="spellEnd"/>
    </w:p>
    <w:p w14:paraId="47912010" w14:textId="77777777" w:rsidR="005A7416" w:rsidRPr="00112B89" w:rsidRDefault="005A7416">
      <w:pPr>
        <w:tabs>
          <w:tab w:val="left" w:pos="567"/>
        </w:tabs>
        <w:autoSpaceDE w:val="0"/>
        <w:autoSpaceDN w:val="0"/>
        <w:adjustRightInd w:val="0"/>
        <w:spacing w:after="0" w:line="240" w:lineRule="auto"/>
        <w:rPr>
          <w:rFonts w:ascii="Times New Roman" w:hAnsi="Times New Roman"/>
          <w:color w:val="000000"/>
        </w:rPr>
      </w:pPr>
    </w:p>
    <w:p w14:paraId="2587E892" w14:textId="77777777" w:rsidR="005A7416" w:rsidRPr="00112B89" w:rsidRDefault="005A7416">
      <w:pPr>
        <w:tabs>
          <w:tab w:val="left" w:pos="567"/>
        </w:tabs>
        <w:autoSpaceDE w:val="0"/>
        <w:autoSpaceDN w:val="0"/>
        <w:adjustRightInd w:val="0"/>
        <w:spacing w:after="0" w:line="240" w:lineRule="auto"/>
        <w:rPr>
          <w:rFonts w:ascii="Times New Roman" w:hAnsi="Times New Roman"/>
          <w:color w:val="000000"/>
        </w:rPr>
      </w:pPr>
    </w:p>
    <w:p w14:paraId="69F1EBF3"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b/>
          <w:bCs/>
          <w:color w:val="000000"/>
        </w:rPr>
        <w:t>2.</w:t>
      </w:r>
      <w:r w:rsidRPr="00112B89">
        <w:rPr>
          <w:rFonts w:ascii="Times New Roman" w:hAnsi="Times New Roman"/>
          <w:b/>
          <w:bCs/>
          <w:color w:val="000000"/>
        </w:rPr>
        <w:tab/>
        <w:t>VEIKLIOJI (-IOS) MEDŽIAGA (-OS) IR JOS (-Ų) KIEKIS (-IAI)</w:t>
      </w:r>
    </w:p>
    <w:p w14:paraId="00F5AAFD" w14:textId="77777777" w:rsidR="005A7416" w:rsidRPr="00112B89" w:rsidRDefault="005A7416">
      <w:pPr>
        <w:tabs>
          <w:tab w:val="left" w:pos="567"/>
        </w:tabs>
        <w:autoSpaceDE w:val="0"/>
        <w:autoSpaceDN w:val="0"/>
        <w:adjustRightInd w:val="0"/>
        <w:spacing w:after="0" w:line="240" w:lineRule="auto"/>
        <w:rPr>
          <w:rFonts w:ascii="Times New Roman" w:hAnsi="Times New Roman"/>
          <w:color w:val="000000"/>
        </w:rPr>
      </w:pPr>
    </w:p>
    <w:p w14:paraId="6BAD59FD" w14:textId="77777777" w:rsidR="005A7416" w:rsidRPr="00112B89" w:rsidRDefault="005A7416">
      <w:pPr>
        <w:tabs>
          <w:tab w:val="left" w:pos="567"/>
        </w:tabs>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Viename 3</w:t>
      </w:r>
      <w:r w:rsidR="00271402" w:rsidRPr="00112B89">
        <w:rPr>
          <w:rFonts w:ascii="Times New Roman" w:hAnsi="Times New Roman"/>
          <w:color w:val="000000"/>
        </w:rPr>
        <w:t> </w:t>
      </w:r>
      <w:r w:rsidRPr="00112B89">
        <w:rPr>
          <w:rFonts w:ascii="Times New Roman" w:hAnsi="Times New Roman"/>
          <w:color w:val="000000"/>
        </w:rPr>
        <w:t xml:space="preserve">ml injekcinio tirpalo </w:t>
      </w:r>
      <w:r w:rsidRPr="00112B89">
        <w:rPr>
          <w:rFonts w:ascii="Times New Roman" w:hAnsi="Times New Roman"/>
        </w:rPr>
        <w:t>užpildytame švirkšte</w:t>
      </w:r>
      <w:r w:rsidRPr="00112B89">
        <w:rPr>
          <w:rFonts w:ascii="Times New Roman" w:hAnsi="Times New Roman"/>
          <w:color w:val="000000"/>
        </w:rPr>
        <w:t xml:space="preserve"> yra 3</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(3,375</w:t>
      </w:r>
      <w:r w:rsidR="00271402" w:rsidRPr="00112B89">
        <w:rPr>
          <w:rFonts w:ascii="Times New Roman" w:hAnsi="Times New Roman"/>
          <w:color w:val="000000"/>
        </w:rPr>
        <w:t> </w:t>
      </w:r>
      <w:r w:rsidRPr="00112B89">
        <w:rPr>
          <w:rFonts w:ascii="Times New Roman" w:hAnsi="Times New Roman"/>
          <w:color w:val="000000"/>
        </w:rPr>
        <w:t xml:space="preserve">mg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w:t>
      </w:r>
      <w:r w:rsidRPr="00112B89">
        <w:rPr>
          <w:rFonts w:ascii="Times New Roman" w:hAnsi="Times New Roman"/>
          <w:bCs/>
        </w:rPr>
        <w:t xml:space="preserve">rūgšties </w:t>
      </w:r>
      <w:r w:rsidRPr="00112B89">
        <w:rPr>
          <w:rFonts w:ascii="Times New Roman" w:hAnsi="Times New Roman"/>
          <w:color w:val="000000"/>
        </w:rPr>
        <w:t xml:space="preserve">natrio druskos </w:t>
      </w:r>
      <w:proofErr w:type="spellStart"/>
      <w:r w:rsidRPr="00112B89">
        <w:rPr>
          <w:rFonts w:ascii="Times New Roman" w:hAnsi="Times New Roman"/>
          <w:color w:val="000000"/>
        </w:rPr>
        <w:t>monohidrato</w:t>
      </w:r>
      <w:proofErr w:type="spellEnd"/>
      <w:r w:rsidRPr="00112B89">
        <w:rPr>
          <w:rFonts w:ascii="Times New Roman" w:hAnsi="Times New Roman"/>
          <w:color w:val="000000"/>
        </w:rPr>
        <w:t xml:space="preserve"> pavidalu).</w:t>
      </w:r>
    </w:p>
    <w:p w14:paraId="746233F2" w14:textId="77777777" w:rsidR="005A7416" w:rsidRPr="00112B89" w:rsidRDefault="005A7416">
      <w:pPr>
        <w:tabs>
          <w:tab w:val="left" w:pos="567"/>
        </w:tabs>
        <w:spacing w:after="0" w:line="240" w:lineRule="auto"/>
        <w:rPr>
          <w:rFonts w:ascii="Times New Roman" w:hAnsi="Times New Roman"/>
          <w:bCs/>
        </w:rPr>
      </w:pPr>
    </w:p>
    <w:p w14:paraId="766FCC03"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39F28E18"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3.</w:t>
      </w:r>
      <w:r w:rsidRPr="00112B89">
        <w:rPr>
          <w:rFonts w:ascii="Times New Roman" w:hAnsi="Times New Roman"/>
          <w:b/>
          <w:bCs/>
        </w:rPr>
        <w:tab/>
        <w:t>PAGALBINIŲ MEDŽIAGŲ SĄRAŠAS</w:t>
      </w:r>
    </w:p>
    <w:p w14:paraId="29420410"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64A2AF61" w14:textId="77777777" w:rsidR="005A7416" w:rsidRPr="00112B89" w:rsidRDefault="007D0EDD">
      <w:pPr>
        <w:tabs>
          <w:tab w:val="left" w:pos="567"/>
        </w:tabs>
        <w:spacing w:after="0" w:line="240" w:lineRule="auto"/>
        <w:rPr>
          <w:rFonts w:ascii="Times New Roman" w:hAnsi="Times New Roman"/>
          <w:iCs/>
        </w:rPr>
      </w:pPr>
      <w:r w:rsidRPr="00112B89">
        <w:rPr>
          <w:rFonts w:ascii="Times New Roman" w:hAnsi="Times New Roman"/>
          <w:iCs/>
        </w:rPr>
        <w:t>Pagalbinės medžiagos: n</w:t>
      </w:r>
      <w:r w:rsidR="005A7416" w:rsidRPr="00112B89">
        <w:rPr>
          <w:rFonts w:ascii="Times New Roman" w:hAnsi="Times New Roman"/>
          <w:iCs/>
        </w:rPr>
        <w:t xml:space="preserve">atrio chloridas, natrio hidroksidas (E524), ledinė acto rūgštis (E260), natrio acetatas </w:t>
      </w:r>
      <w:proofErr w:type="spellStart"/>
      <w:r w:rsidR="005A7416" w:rsidRPr="00112B89">
        <w:rPr>
          <w:rFonts w:ascii="Times New Roman" w:hAnsi="Times New Roman"/>
          <w:iCs/>
        </w:rPr>
        <w:t>trihidratas</w:t>
      </w:r>
      <w:proofErr w:type="spellEnd"/>
      <w:r w:rsidR="005A7416" w:rsidRPr="00112B89">
        <w:rPr>
          <w:rFonts w:ascii="Times New Roman" w:hAnsi="Times New Roman"/>
          <w:iCs/>
        </w:rPr>
        <w:t>, injekcinis vanduo.</w:t>
      </w:r>
    </w:p>
    <w:p w14:paraId="502F06B6"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3721523A"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145C5A4F"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4.</w:t>
      </w:r>
      <w:r w:rsidRPr="00112B89">
        <w:rPr>
          <w:rFonts w:ascii="Times New Roman" w:hAnsi="Times New Roman"/>
          <w:b/>
          <w:bCs/>
        </w:rPr>
        <w:tab/>
        <w:t>FARMACINĖ FORMA IR KIEKIS PAKUOTĖJE</w:t>
      </w:r>
    </w:p>
    <w:p w14:paraId="36013701"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67A804F1" w14:textId="77777777" w:rsidR="005A7416" w:rsidRPr="00112B89" w:rsidRDefault="00525982">
      <w:pPr>
        <w:pStyle w:val="NormalParagraphStyle"/>
        <w:tabs>
          <w:tab w:val="left" w:pos="567"/>
        </w:tabs>
        <w:rPr>
          <w:sz w:val="22"/>
          <w:szCs w:val="22"/>
          <w:lang w:val="lt-LT"/>
        </w:rPr>
      </w:pPr>
      <w:r w:rsidRPr="00112B89">
        <w:rPr>
          <w:sz w:val="22"/>
          <w:szCs w:val="22"/>
          <w:highlight w:val="lightGray"/>
          <w:lang w:val="lt-LT"/>
        </w:rPr>
        <w:t>Injekcinis tirpalas.</w:t>
      </w:r>
    </w:p>
    <w:p w14:paraId="33D27AC0"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2CBBF27D" w14:textId="77777777" w:rsidR="005A7416" w:rsidRPr="00112B89" w:rsidRDefault="005A7416">
      <w:pPr>
        <w:tabs>
          <w:tab w:val="left" w:pos="567"/>
        </w:tabs>
        <w:spacing w:after="0" w:line="240" w:lineRule="auto"/>
        <w:rPr>
          <w:rFonts w:ascii="Times New Roman" w:hAnsi="Times New Roman"/>
          <w:bCs/>
        </w:rPr>
      </w:pPr>
      <w:r w:rsidRPr="00112B89">
        <w:rPr>
          <w:rFonts w:ascii="Times New Roman" w:hAnsi="Times New Roman"/>
          <w:bCs/>
        </w:rPr>
        <w:t>Vienas užpildytas švirkštas ir viena injekcinė adata.</w:t>
      </w:r>
    </w:p>
    <w:p w14:paraId="41527DFA"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14B7AE20"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659FADFB"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5.</w:t>
      </w:r>
      <w:r w:rsidRPr="00112B89">
        <w:rPr>
          <w:rFonts w:ascii="Times New Roman" w:hAnsi="Times New Roman"/>
          <w:b/>
          <w:bCs/>
        </w:rPr>
        <w:tab/>
        <w:t>VARTOJIMO METODAS IR BŪDAS (-AI)</w:t>
      </w:r>
    </w:p>
    <w:p w14:paraId="39E26467"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3D32A4AD"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Leisti į veną.</w:t>
      </w:r>
    </w:p>
    <w:p w14:paraId="5AE451D8"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Prieš vartojimą perskaitykite pakuotės lapelį.</w:t>
      </w:r>
    </w:p>
    <w:p w14:paraId="0424B2E0"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0EEEE1F7"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7D5F891C"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6.</w:t>
      </w:r>
      <w:r w:rsidRPr="00112B89">
        <w:rPr>
          <w:rFonts w:ascii="Times New Roman" w:hAnsi="Times New Roman"/>
          <w:b/>
          <w:bCs/>
        </w:rPr>
        <w:tab/>
        <w:t>SPECIALUS ĮSPĖJIMAS, KAD VAISTINĮ PREPARATĄ BŪTINA LAIKYTI VAIKAMS NEPASTEBIMOJE IR NEPASIEKIAMOJE VIETOJE</w:t>
      </w:r>
    </w:p>
    <w:p w14:paraId="551BE2D8"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29DA530F"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Laikyti vaikams nepastebimoje ir nepasiekiamoje vietoje.</w:t>
      </w:r>
    </w:p>
    <w:p w14:paraId="37B13114"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23B4A2CF"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63D6B12B"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7.</w:t>
      </w:r>
      <w:r w:rsidRPr="00112B89">
        <w:rPr>
          <w:rFonts w:ascii="Times New Roman" w:hAnsi="Times New Roman"/>
          <w:b/>
          <w:bCs/>
        </w:rPr>
        <w:tab/>
        <w:t>KITAS (-I) SPECIALUS (-ŪS) ĮSPĖJIMAS (-AI) (JEI REIKIA)</w:t>
      </w:r>
    </w:p>
    <w:p w14:paraId="3E57B3E2"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459CC935"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2ADFC382"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8.</w:t>
      </w:r>
      <w:r w:rsidRPr="00112B89">
        <w:rPr>
          <w:rFonts w:ascii="Times New Roman" w:hAnsi="Times New Roman"/>
          <w:b/>
          <w:bCs/>
        </w:rPr>
        <w:tab/>
        <w:t>TINKAMUMO LAIKAS</w:t>
      </w:r>
    </w:p>
    <w:p w14:paraId="655C101E"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17E32A17"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Tinka iki {mm/MMMM}</w:t>
      </w:r>
    </w:p>
    <w:p w14:paraId="00D26A02"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2339844D"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709552F1"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9.</w:t>
      </w:r>
      <w:r w:rsidRPr="00112B89">
        <w:rPr>
          <w:rFonts w:ascii="Times New Roman" w:hAnsi="Times New Roman"/>
          <w:b/>
          <w:bCs/>
        </w:rPr>
        <w:tab/>
        <w:t>SPECIALIOS LAIKYMO SĄLYGOS</w:t>
      </w:r>
    </w:p>
    <w:p w14:paraId="2B9BCC25"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12F3688F"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1EFEE382"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lastRenderedPageBreak/>
        <w:t>10.</w:t>
      </w:r>
      <w:r w:rsidRPr="00112B89">
        <w:rPr>
          <w:rFonts w:ascii="Times New Roman" w:hAnsi="Times New Roman"/>
          <w:b/>
          <w:bCs/>
        </w:rPr>
        <w:tab/>
        <w:t>SPECIALIOS ATSARGUMO PRIEMONĖS DĖL NESUVARTOTO VAISTINIO PREPARATO AR JO ATLIEKŲ TVARKYMO (JEI REIKIA)</w:t>
      </w:r>
    </w:p>
    <w:p w14:paraId="336AB67D"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1FE79F19"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13CF32B7"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11.</w:t>
      </w:r>
      <w:r w:rsidRPr="00112B89">
        <w:rPr>
          <w:rFonts w:ascii="Times New Roman" w:hAnsi="Times New Roman"/>
          <w:b/>
          <w:bCs/>
        </w:rPr>
        <w:tab/>
        <w:t>R</w:t>
      </w:r>
      <w:r w:rsidR="0079102D" w:rsidRPr="00112B89">
        <w:rPr>
          <w:rFonts w:ascii="Times New Roman" w:hAnsi="Times New Roman"/>
          <w:b/>
          <w:bCs/>
        </w:rPr>
        <w:t>EGISTRUOTOJO</w:t>
      </w:r>
      <w:r w:rsidRPr="00112B89">
        <w:rPr>
          <w:rFonts w:ascii="Times New Roman" w:hAnsi="Times New Roman"/>
          <w:b/>
          <w:bCs/>
        </w:rPr>
        <w:t xml:space="preserve"> PAVADINIMAS IR ADRESAS</w:t>
      </w:r>
    </w:p>
    <w:p w14:paraId="0ED9458A"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404D754E" w14:textId="77777777" w:rsidR="005A7416" w:rsidRPr="00112B89" w:rsidRDefault="005A7416">
      <w:pPr>
        <w:tabs>
          <w:tab w:val="left" w:pos="567"/>
        </w:tabs>
        <w:spacing w:after="0" w:line="240" w:lineRule="auto"/>
        <w:rPr>
          <w:rFonts w:ascii="Times New Roman" w:eastAsia="Batang" w:hAnsi="Times New Roman"/>
          <w:lang w:eastAsia="ko-KR"/>
        </w:rPr>
      </w:pPr>
      <w:proofErr w:type="spellStart"/>
      <w:r w:rsidRPr="00112B89">
        <w:rPr>
          <w:rFonts w:ascii="Times New Roman" w:eastAsia="Batang" w:hAnsi="Times New Roman"/>
          <w:lang w:eastAsia="ko-KR"/>
        </w:rPr>
        <w:t>ratiopharm</w:t>
      </w:r>
      <w:proofErr w:type="spellEnd"/>
      <w:r w:rsidRPr="00112B89">
        <w:rPr>
          <w:rFonts w:ascii="Times New Roman" w:eastAsia="Batang" w:hAnsi="Times New Roman"/>
          <w:lang w:eastAsia="ko-KR"/>
        </w:rPr>
        <w:t xml:space="preserve"> </w:t>
      </w:r>
      <w:proofErr w:type="spellStart"/>
      <w:r w:rsidRPr="00112B89">
        <w:rPr>
          <w:rFonts w:ascii="Times New Roman" w:eastAsia="Batang" w:hAnsi="Times New Roman"/>
          <w:lang w:eastAsia="ko-KR"/>
        </w:rPr>
        <w:t>GmbH</w:t>
      </w:r>
      <w:proofErr w:type="spellEnd"/>
    </w:p>
    <w:p w14:paraId="769A17AF" w14:textId="77777777" w:rsidR="005A7416" w:rsidRPr="00112B89" w:rsidRDefault="005A7416">
      <w:pPr>
        <w:tabs>
          <w:tab w:val="left" w:pos="567"/>
        </w:tabs>
        <w:spacing w:after="0" w:line="240" w:lineRule="auto"/>
        <w:rPr>
          <w:rFonts w:ascii="Times New Roman" w:eastAsia="Batang" w:hAnsi="Times New Roman"/>
          <w:lang w:eastAsia="ko-KR"/>
        </w:rPr>
      </w:pPr>
      <w:proofErr w:type="spellStart"/>
      <w:r w:rsidRPr="00112B89">
        <w:rPr>
          <w:rFonts w:ascii="Times New Roman" w:eastAsia="Batang" w:hAnsi="Times New Roman"/>
          <w:lang w:eastAsia="ko-KR"/>
        </w:rPr>
        <w:t>Graf</w:t>
      </w:r>
      <w:proofErr w:type="spellEnd"/>
      <w:r w:rsidRPr="00112B89">
        <w:rPr>
          <w:rFonts w:ascii="Times New Roman" w:eastAsia="Batang" w:hAnsi="Times New Roman"/>
          <w:lang w:eastAsia="ko-KR"/>
        </w:rPr>
        <w:t>–</w:t>
      </w:r>
      <w:proofErr w:type="spellStart"/>
      <w:r w:rsidRPr="00112B89">
        <w:rPr>
          <w:rFonts w:ascii="Times New Roman" w:eastAsia="Batang" w:hAnsi="Times New Roman"/>
          <w:lang w:eastAsia="ko-KR"/>
        </w:rPr>
        <w:t>Arco</w:t>
      </w:r>
      <w:proofErr w:type="spellEnd"/>
      <w:r w:rsidRPr="00112B89">
        <w:rPr>
          <w:rFonts w:ascii="Times New Roman" w:eastAsia="Batang" w:hAnsi="Times New Roman"/>
          <w:lang w:eastAsia="ko-KR"/>
        </w:rPr>
        <w:t>–Str. 3</w:t>
      </w:r>
    </w:p>
    <w:p w14:paraId="108B996D" w14:textId="77777777" w:rsidR="005A7416" w:rsidRPr="00112B89" w:rsidRDefault="005A7416">
      <w:pPr>
        <w:tabs>
          <w:tab w:val="left" w:pos="567"/>
        </w:tabs>
        <w:spacing w:after="0" w:line="240" w:lineRule="auto"/>
        <w:rPr>
          <w:rFonts w:ascii="Times New Roman" w:eastAsia="Batang" w:hAnsi="Times New Roman"/>
          <w:lang w:eastAsia="ko-KR"/>
        </w:rPr>
      </w:pPr>
      <w:r w:rsidRPr="00112B89">
        <w:rPr>
          <w:rFonts w:ascii="Times New Roman" w:eastAsia="Batang" w:hAnsi="Times New Roman"/>
          <w:lang w:eastAsia="ko-KR"/>
        </w:rPr>
        <w:t xml:space="preserve">89079 </w:t>
      </w:r>
      <w:proofErr w:type="spellStart"/>
      <w:r w:rsidRPr="00112B89">
        <w:rPr>
          <w:rFonts w:ascii="Times New Roman" w:eastAsia="Batang" w:hAnsi="Times New Roman"/>
          <w:lang w:eastAsia="ko-KR"/>
        </w:rPr>
        <w:t>Ulm</w:t>
      </w:r>
      <w:proofErr w:type="spellEnd"/>
    </w:p>
    <w:p w14:paraId="5689A005" w14:textId="77777777" w:rsidR="005A7416" w:rsidRPr="00112B89" w:rsidRDefault="005A7416">
      <w:pPr>
        <w:tabs>
          <w:tab w:val="left" w:pos="567"/>
        </w:tabs>
        <w:spacing w:after="0" w:line="240" w:lineRule="auto"/>
        <w:rPr>
          <w:rFonts w:ascii="Times New Roman" w:eastAsia="Batang" w:hAnsi="Times New Roman"/>
          <w:lang w:eastAsia="ko-KR"/>
        </w:rPr>
      </w:pPr>
      <w:r w:rsidRPr="00112B89">
        <w:rPr>
          <w:rFonts w:ascii="Times New Roman" w:eastAsia="Batang" w:hAnsi="Times New Roman"/>
          <w:lang w:eastAsia="ko-KR"/>
        </w:rPr>
        <w:t xml:space="preserve">Vokietija  </w:t>
      </w:r>
    </w:p>
    <w:p w14:paraId="78CCCD35"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63E971F2"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0DC54F52"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12.</w:t>
      </w:r>
      <w:r w:rsidRPr="00112B89">
        <w:rPr>
          <w:rFonts w:ascii="Times New Roman" w:hAnsi="Times New Roman"/>
          <w:b/>
          <w:bCs/>
        </w:rPr>
        <w:tab/>
        <w:t>R</w:t>
      </w:r>
      <w:r w:rsidR="0079102D" w:rsidRPr="00112B89">
        <w:rPr>
          <w:rFonts w:ascii="Times New Roman" w:hAnsi="Times New Roman"/>
          <w:b/>
          <w:bCs/>
        </w:rPr>
        <w:t>EGISTRACIJOS</w:t>
      </w:r>
      <w:r w:rsidRPr="00112B89">
        <w:rPr>
          <w:rFonts w:ascii="Times New Roman" w:hAnsi="Times New Roman"/>
          <w:b/>
          <w:bCs/>
        </w:rPr>
        <w:t xml:space="preserve"> </w:t>
      </w:r>
      <w:r w:rsidR="0062205C" w:rsidRPr="00112B89">
        <w:rPr>
          <w:rFonts w:ascii="Times New Roman" w:hAnsi="Times New Roman"/>
          <w:b/>
          <w:bCs/>
        </w:rPr>
        <w:t>PAŽYMĖJIMO</w:t>
      </w:r>
      <w:r w:rsidRPr="00112B89">
        <w:rPr>
          <w:rFonts w:ascii="Times New Roman" w:hAnsi="Times New Roman"/>
          <w:b/>
          <w:bCs/>
        </w:rPr>
        <w:t xml:space="preserve"> NUMERIS</w:t>
      </w:r>
      <w:r w:rsidR="007D0EDD" w:rsidRPr="00112B89">
        <w:rPr>
          <w:rFonts w:ascii="Times New Roman" w:hAnsi="Times New Roman"/>
          <w:b/>
          <w:bCs/>
        </w:rPr>
        <w:t xml:space="preserve"> (-IAI)</w:t>
      </w:r>
    </w:p>
    <w:p w14:paraId="6580C0AC"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176C760E" w14:textId="77777777" w:rsidR="00206BD9" w:rsidRPr="00112B89" w:rsidRDefault="00206BD9" w:rsidP="00206BD9">
      <w:pPr>
        <w:tabs>
          <w:tab w:val="left" w:pos="567"/>
        </w:tabs>
        <w:spacing w:after="0" w:line="240" w:lineRule="auto"/>
        <w:rPr>
          <w:rFonts w:ascii="Times New Roman" w:hAnsi="Times New Roman"/>
        </w:rPr>
      </w:pPr>
      <w:r w:rsidRPr="00112B89">
        <w:rPr>
          <w:rFonts w:ascii="Times New Roman" w:hAnsi="Times New Roman"/>
        </w:rPr>
        <w:t>LT/1/13/3360/004</w:t>
      </w:r>
    </w:p>
    <w:p w14:paraId="36F9BC52"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25BA6956"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7B67D005"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13.</w:t>
      </w:r>
      <w:r w:rsidRPr="00112B89">
        <w:rPr>
          <w:rFonts w:ascii="Times New Roman" w:hAnsi="Times New Roman"/>
          <w:b/>
          <w:bCs/>
        </w:rPr>
        <w:tab/>
        <w:t>SERIJOS NUMERIS</w:t>
      </w:r>
    </w:p>
    <w:p w14:paraId="58A45078"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32AFE0CA"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Serija</w:t>
      </w:r>
    </w:p>
    <w:p w14:paraId="204F6D04"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2215FECF"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40DD0232"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14.</w:t>
      </w:r>
      <w:r w:rsidRPr="00112B89">
        <w:rPr>
          <w:rFonts w:ascii="Times New Roman" w:hAnsi="Times New Roman"/>
          <w:b/>
          <w:bCs/>
        </w:rPr>
        <w:tab/>
        <w:t>PARDAVIMO (IŠDAVIMO) TVARKA</w:t>
      </w:r>
    </w:p>
    <w:p w14:paraId="79AA1E70"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0E5EAC92"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Receptinis vaistinis preparatas.</w:t>
      </w:r>
    </w:p>
    <w:p w14:paraId="610F1682"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1ADF5F48"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06570FC5"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15.</w:t>
      </w:r>
      <w:r w:rsidRPr="00112B89">
        <w:rPr>
          <w:rFonts w:ascii="Times New Roman" w:hAnsi="Times New Roman"/>
          <w:b/>
          <w:bCs/>
        </w:rPr>
        <w:tab/>
        <w:t>VARTOJIMO INSTRUKCIJA</w:t>
      </w:r>
    </w:p>
    <w:p w14:paraId="5504BE66"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320933FC"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261C17BA"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16.</w:t>
      </w:r>
      <w:r w:rsidRPr="00112B89">
        <w:rPr>
          <w:rFonts w:ascii="Times New Roman" w:hAnsi="Times New Roman"/>
          <w:b/>
          <w:bCs/>
        </w:rPr>
        <w:tab/>
        <w:t>INFORMACIJA BRAILIO RAŠTU</w:t>
      </w:r>
    </w:p>
    <w:p w14:paraId="1EC6F17F" w14:textId="77777777" w:rsidR="005A7416" w:rsidRPr="00112B89" w:rsidRDefault="005A7416">
      <w:pPr>
        <w:tabs>
          <w:tab w:val="left" w:pos="567"/>
        </w:tabs>
        <w:autoSpaceDE w:val="0"/>
        <w:autoSpaceDN w:val="0"/>
        <w:adjustRightInd w:val="0"/>
        <w:spacing w:after="0" w:line="240" w:lineRule="auto"/>
        <w:rPr>
          <w:rFonts w:ascii="Times New Roman" w:hAnsi="Times New Roman"/>
        </w:rPr>
      </w:pPr>
    </w:p>
    <w:p w14:paraId="512B4E15" w14:textId="77777777" w:rsidR="005A7416" w:rsidRPr="00112B89" w:rsidRDefault="005A7416">
      <w:pPr>
        <w:tabs>
          <w:tab w:val="left" w:pos="567"/>
        </w:tabs>
        <w:spacing w:after="0" w:line="240" w:lineRule="auto"/>
        <w:rPr>
          <w:rFonts w:ascii="Times New Roman" w:hAnsi="Times New Roman"/>
        </w:rPr>
      </w:pPr>
      <w:r w:rsidRPr="0089774B">
        <w:rPr>
          <w:rFonts w:ascii="Times New Roman" w:hAnsi="Times New Roman"/>
          <w:highlight w:val="lightGray"/>
        </w:rPr>
        <w:t>Priimtas pagrindimas informacijos Brailio raštu nepateikti</w:t>
      </w:r>
    </w:p>
    <w:p w14:paraId="055F5745" w14:textId="77777777" w:rsidR="003E6F50" w:rsidRPr="00112B89" w:rsidRDefault="003E6F50">
      <w:pPr>
        <w:tabs>
          <w:tab w:val="left" w:pos="567"/>
        </w:tabs>
        <w:spacing w:after="0" w:line="240" w:lineRule="auto"/>
        <w:rPr>
          <w:rFonts w:ascii="Times New Roman" w:hAnsi="Times New Roman"/>
        </w:rPr>
      </w:pPr>
    </w:p>
    <w:p w14:paraId="35A3AB2A" w14:textId="77777777" w:rsidR="007D7EFF" w:rsidRPr="0089774B" w:rsidRDefault="007D7EFF" w:rsidP="007D7EFF">
      <w:pPr>
        <w:tabs>
          <w:tab w:val="left" w:pos="567"/>
        </w:tabs>
        <w:spacing w:after="0" w:line="240" w:lineRule="auto"/>
        <w:rPr>
          <w:rFonts w:ascii="Times New Roman" w:eastAsia="Times New Roman" w:hAnsi="Times New Roman"/>
          <w:shd w:val="clear" w:color="auto" w:fill="CCCCCC"/>
          <w:lang w:eastAsia="lt-LT" w:bidi="lt-LT"/>
        </w:rPr>
      </w:pPr>
    </w:p>
    <w:p w14:paraId="62EA2D77" w14:textId="77777777" w:rsidR="007D7EFF" w:rsidRPr="0089774B" w:rsidRDefault="007D7EFF" w:rsidP="00AF76F1">
      <w:pPr>
        <w:pStyle w:val="Sraopastraipa"/>
        <w:keepNext/>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hanging="720"/>
        <w:outlineLvl w:val="0"/>
        <w:rPr>
          <w:rFonts w:ascii="Times New Roman" w:eastAsia="Times New Roman" w:hAnsi="Times New Roman"/>
          <w:i/>
          <w:szCs w:val="20"/>
          <w:lang w:eastAsia="lt-LT" w:bidi="lt-LT"/>
        </w:rPr>
      </w:pPr>
      <w:r w:rsidRPr="0089774B">
        <w:rPr>
          <w:rFonts w:ascii="Times New Roman" w:eastAsia="Times New Roman" w:hAnsi="Times New Roman"/>
          <w:b/>
          <w:szCs w:val="20"/>
          <w:lang w:eastAsia="lt-LT" w:bidi="lt-LT"/>
        </w:rPr>
        <w:t>UNIKALUS IDENTIFIKATORIUS – 2D BRŪKŠNINIS KODAS</w:t>
      </w:r>
    </w:p>
    <w:p w14:paraId="4CDF2BCF" w14:textId="77777777" w:rsidR="007D7EFF" w:rsidRPr="0089774B" w:rsidRDefault="007D7EFF" w:rsidP="007D7EFF">
      <w:pPr>
        <w:spacing w:after="0" w:line="240" w:lineRule="auto"/>
        <w:rPr>
          <w:rFonts w:ascii="Times New Roman" w:eastAsia="Times New Roman" w:hAnsi="Times New Roman"/>
          <w:szCs w:val="20"/>
          <w:lang w:eastAsia="lt-LT" w:bidi="lt-LT"/>
        </w:rPr>
      </w:pPr>
    </w:p>
    <w:p w14:paraId="28A08E86" w14:textId="77777777" w:rsidR="007D7EFF" w:rsidRPr="0089774B" w:rsidRDefault="007D7EFF" w:rsidP="007D7EFF">
      <w:pPr>
        <w:tabs>
          <w:tab w:val="left" w:pos="567"/>
        </w:tabs>
        <w:spacing w:after="0" w:line="240" w:lineRule="auto"/>
        <w:rPr>
          <w:rFonts w:ascii="Times New Roman" w:eastAsia="Times New Roman" w:hAnsi="Times New Roman"/>
          <w:shd w:val="clear" w:color="auto" w:fill="CCCCCC"/>
          <w:lang w:eastAsia="lt-LT" w:bidi="lt-LT"/>
        </w:rPr>
      </w:pPr>
      <w:r w:rsidRPr="0089774B">
        <w:rPr>
          <w:rFonts w:ascii="Times New Roman" w:eastAsia="Times New Roman" w:hAnsi="Times New Roman"/>
          <w:szCs w:val="20"/>
          <w:highlight w:val="lightGray"/>
          <w:lang w:eastAsia="lt-LT" w:bidi="lt-LT"/>
        </w:rPr>
        <w:t>2D brūkšninis kodas su nurodytu unikaliu identifikatoriumi.</w:t>
      </w:r>
    </w:p>
    <w:p w14:paraId="32887ADB" w14:textId="77777777" w:rsidR="007D7EFF" w:rsidRPr="0089774B" w:rsidRDefault="007D7EFF" w:rsidP="007D7EFF">
      <w:pPr>
        <w:tabs>
          <w:tab w:val="left" w:pos="567"/>
        </w:tabs>
        <w:spacing w:after="0" w:line="240" w:lineRule="auto"/>
        <w:rPr>
          <w:rFonts w:ascii="Times New Roman" w:eastAsia="Times New Roman" w:hAnsi="Times New Roman"/>
          <w:shd w:val="clear" w:color="auto" w:fill="CCCCCC"/>
          <w:lang w:eastAsia="lt-LT" w:bidi="lt-LT"/>
        </w:rPr>
      </w:pPr>
    </w:p>
    <w:p w14:paraId="38DDE4AC" w14:textId="77777777" w:rsidR="007D7EFF" w:rsidRPr="0089774B" w:rsidRDefault="007D7EFF" w:rsidP="007D7EFF">
      <w:pPr>
        <w:spacing w:after="0" w:line="240" w:lineRule="auto"/>
        <w:rPr>
          <w:rFonts w:ascii="Times New Roman" w:eastAsia="Times New Roman" w:hAnsi="Times New Roman"/>
          <w:szCs w:val="20"/>
          <w:lang w:eastAsia="lt-LT" w:bidi="lt-LT"/>
        </w:rPr>
      </w:pPr>
    </w:p>
    <w:p w14:paraId="339A6E68" w14:textId="77777777" w:rsidR="007D7EFF" w:rsidRPr="0089774B" w:rsidRDefault="007D7EFF" w:rsidP="00AF76F1">
      <w:pPr>
        <w:pStyle w:val="Sraopastraipa"/>
        <w:keepNext/>
        <w:numPr>
          <w:ilvl w:val="0"/>
          <w:numId w:val="36"/>
        </w:numPr>
        <w:pBdr>
          <w:top w:val="single" w:sz="4" w:space="1" w:color="auto"/>
          <w:left w:val="single" w:sz="4" w:space="4" w:color="auto"/>
          <w:bottom w:val="single" w:sz="4" w:space="1" w:color="auto"/>
          <w:right w:val="single" w:sz="4" w:space="4" w:color="auto"/>
        </w:pBdr>
        <w:tabs>
          <w:tab w:val="left" w:pos="567"/>
        </w:tabs>
        <w:spacing w:after="0" w:line="240" w:lineRule="auto"/>
        <w:ind w:hanging="720"/>
        <w:outlineLvl w:val="0"/>
        <w:rPr>
          <w:rFonts w:ascii="Times New Roman" w:eastAsia="Times New Roman" w:hAnsi="Times New Roman"/>
          <w:i/>
          <w:szCs w:val="20"/>
          <w:lang w:eastAsia="lt-LT" w:bidi="lt-LT"/>
        </w:rPr>
      </w:pPr>
      <w:r w:rsidRPr="0089774B">
        <w:rPr>
          <w:rFonts w:ascii="Times New Roman" w:eastAsia="Times New Roman" w:hAnsi="Times New Roman"/>
          <w:b/>
          <w:szCs w:val="20"/>
          <w:lang w:eastAsia="lt-LT" w:bidi="lt-LT"/>
        </w:rPr>
        <w:t>UNIKALUS IDENTIFIKATORIUS – ŽMONĖMS SUPRANTAMI DUOMENYS</w:t>
      </w:r>
    </w:p>
    <w:p w14:paraId="468A500A" w14:textId="77777777" w:rsidR="007D7EFF" w:rsidRPr="0089774B" w:rsidRDefault="007D7EFF" w:rsidP="007D7EFF">
      <w:pPr>
        <w:spacing w:after="0" w:line="240" w:lineRule="auto"/>
        <w:rPr>
          <w:rFonts w:ascii="Times New Roman" w:eastAsia="Times New Roman" w:hAnsi="Times New Roman"/>
          <w:szCs w:val="20"/>
          <w:lang w:eastAsia="lt-LT" w:bidi="lt-LT"/>
        </w:rPr>
      </w:pPr>
    </w:p>
    <w:p w14:paraId="432D7BAE" w14:textId="77777777" w:rsidR="007D7EFF" w:rsidRPr="00112B89" w:rsidRDefault="007D7EFF" w:rsidP="007D7EFF">
      <w:pPr>
        <w:tabs>
          <w:tab w:val="left" w:pos="567"/>
        </w:tabs>
        <w:spacing w:after="0" w:line="260" w:lineRule="exact"/>
        <w:rPr>
          <w:rFonts w:ascii="Times New Roman" w:eastAsia="Times New Roman" w:hAnsi="Times New Roman"/>
          <w:color w:val="008000"/>
          <w:lang w:eastAsia="lt-LT" w:bidi="lt-LT"/>
        </w:rPr>
      </w:pPr>
      <w:r w:rsidRPr="00112B89">
        <w:rPr>
          <w:rFonts w:ascii="Times New Roman" w:eastAsia="Times New Roman" w:hAnsi="Times New Roman"/>
          <w:szCs w:val="20"/>
          <w:lang w:eastAsia="lt-LT" w:bidi="lt-LT"/>
        </w:rPr>
        <w:t xml:space="preserve">PC: </w:t>
      </w:r>
    </w:p>
    <w:p w14:paraId="42EE9934" w14:textId="77777777" w:rsidR="007D7EFF" w:rsidRPr="00112B89" w:rsidRDefault="007D7EFF" w:rsidP="007D7EFF">
      <w:pPr>
        <w:tabs>
          <w:tab w:val="left" w:pos="567"/>
        </w:tabs>
        <w:spacing w:after="0" w:line="260" w:lineRule="exact"/>
        <w:rPr>
          <w:rFonts w:ascii="Times New Roman" w:eastAsia="Times New Roman" w:hAnsi="Times New Roman"/>
          <w:lang w:eastAsia="lt-LT" w:bidi="lt-LT"/>
        </w:rPr>
      </w:pPr>
      <w:r w:rsidRPr="00112B89">
        <w:rPr>
          <w:rFonts w:ascii="Times New Roman" w:eastAsia="Times New Roman" w:hAnsi="Times New Roman"/>
          <w:szCs w:val="20"/>
          <w:lang w:eastAsia="lt-LT" w:bidi="lt-LT"/>
        </w:rPr>
        <w:t xml:space="preserve">SN: </w:t>
      </w:r>
    </w:p>
    <w:p w14:paraId="5678354F" w14:textId="77777777" w:rsidR="003E6F50" w:rsidRPr="00112B89" w:rsidRDefault="007D7EFF" w:rsidP="00AF76F1">
      <w:pPr>
        <w:tabs>
          <w:tab w:val="left" w:pos="567"/>
        </w:tabs>
        <w:spacing w:after="0" w:line="260" w:lineRule="exact"/>
        <w:rPr>
          <w:rFonts w:ascii="Times New Roman" w:hAnsi="Times New Roman"/>
        </w:rPr>
      </w:pPr>
      <w:r w:rsidRPr="00112B89">
        <w:rPr>
          <w:rFonts w:ascii="Times New Roman" w:eastAsia="Times New Roman" w:hAnsi="Times New Roman"/>
          <w:szCs w:val="20"/>
          <w:lang w:eastAsia="lt-LT" w:bidi="lt-LT"/>
        </w:rPr>
        <w:t xml:space="preserve">NN: </w:t>
      </w:r>
    </w:p>
    <w:p w14:paraId="5CA1F43C" w14:textId="77777777" w:rsidR="003E6F50" w:rsidRPr="00112B89" w:rsidRDefault="003E6F50">
      <w:pPr>
        <w:tabs>
          <w:tab w:val="left" w:pos="567"/>
        </w:tabs>
        <w:spacing w:after="0" w:line="240" w:lineRule="auto"/>
        <w:rPr>
          <w:rFonts w:ascii="Times New Roman" w:hAnsi="Times New Roman"/>
        </w:rPr>
      </w:pPr>
    </w:p>
    <w:p w14:paraId="4C238826" w14:textId="77777777" w:rsidR="007D7EFF" w:rsidRPr="00112B89" w:rsidRDefault="007D7EFF">
      <w:pPr>
        <w:spacing w:after="0" w:line="240" w:lineRule="auto"/>
        <w:rPr>
          <w:rFonts w:ascii="Times New Roman" w:hAnsi="Times New Roman"/>
        </w:rPr>
      </w:pPr>
      <w:r w:rsidRPr="00112B89">
        <w:rPr>
          <w:rFonts w:ascii="Times New Roman" w:hAnsi="Times New Roman"/>
        </w:rPr>
        <w:br w:type="page"/>
      </w:r>
    </w:p>
    <w:p w14:paraId="0A2AF84B" w14:textId="77777777" w:rsidR="003E6F50" w:rsidRPr="00112B89" w:rsidRDefault="003E6F50">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5A7416" w:rsidRPr="00112B89" w14:paraId="0F80C449" w14:textId="77777777" w:rsidTr="00B97B53">
        <w:trPr>
          <w:trHeight w:val="785"/>
        </w:trPr>
        <w:tc>
          <w:tcPr>
            <w:tcW w:w="9287" w:type="dxa"/>
          </w:tcPr>
          <w:p w14:paraId="2D840A99" w14:textId="77777777" w:rsidR="005A7416" w:rsidRPr="00112B89" w:rsidRDefault="005A7416">
            <w:pPr>
              <w:tabs>
                <w:tab w:val="left" w:pos="567"/>
              </w:tabs>
              <w:spacing w:after="0" w:line="240" w:lineRule="auto"/>
              <w:rPr>
                <w:rFonts w:ascii="Times New Roman" w:hAnsi="Times New Roman"/>
                <w:b/>
                <w:bCs/>
                <w:color w:val="000000"/>
              </w:rPr>
            </w:pPr>
            <w:r w:rsidRPr="00112B89">
              <w:rPr>
                <w:rFonts w:ascii="Times New Roman" w:hAnsi="Times New Roman"/>
                <w:b/>
                <w:bCs/>
                <w:color w:val="000000"/>
              </w:rPr>
              <w:t>MINIMALI INFORMACIJA ANT MAŽŲ VIDINIŲ PAKUOČIŲ</w:t>
            </w:r>
          </w:p>
          <w:p w14:paraId="3D974FA5" w14:textId="77777777" w:rsidR="005A7416" w:rsidRPr="00112B89" w:rsidRDefault="005A7416">
            <w:pPr>
              <w:tabs>
                <w:tab w:val="left" w:pos="567"/>
              </w:tabs>
              <w:spacing w:after="0" w:line="240" w:lineRule="auto"/>
              <w:rPr>
                <w:rFonts w:ascii="Times New Roman" w:hAnsi="Times New Roman"/>
                <w:bCs/>
              </w:rPr>
            </w:pPr>
          </w:p>
          <w:p w14:paraId="70D75264" w14:textId="77777777" w:rsidR="005A7416" w:rsidRPr="00112B89" w:rsidRDefault="005A7416">
            <w:pPr>
              <w:tabs>
                <w:tab w:val="left" w:pos="567"/>
              </w:tabs>
              <w:spacing w:after="0" w:line="240" w:lineRule="auto"/>
              <w:rPr>
                <w:rFonts w:ascii="Times New Roman" w:hAnsi="Times New Roman"/>
                <w:bCs/>
              </w:rPr>
            </w:pPr>
            <w:r w:rsidRPr="00112B89">
              <w:rPr>
                <w:rFonts w:ascii="Times New Roman" w:hAnsi="Times New Roman"/>
                <w:b/>
                <w:bCs/>
              </w:rPr>
              <w:t>UŽPILDYTAS ŠVIRKŠTAS</w:t>
            </w:r>
            <w:r w:rsidRPr="00112B89">
              <w:rPr>
                <w:rFonts w:ascii="Times New Roman" w:hAnsi="Times New Roman"/>
                <w:bCs/>
              </w:rPr>
              <w:t xml:space="preserve"> </w:t>
            </w:r>
          </w:p>
        </w:tc>
      </w:tr>
    </w:tbl>
    <w:p w14:paraId="59F6E508" w14:textId="77777777" w:rsidR="005A7416" w:rsidRPr="00112B89" w:rsidRDefault="005A7416">
      <w:pPr>
        <w:tabs>
          <w:tab w:val="left" w:pos="567"/>
        </w:tabs>
        <w:spacing w:after="0" w:line="240" w:lineRule="auto"/>
        <w:rPr>
          <w:rFonts w:ascii="Times New Roman" w:hAnsi="Times New Roman"/>
        </w:rPr>
      </w:pPr>
    </w:p>
    <w:p w14:paraId="6FBD4CCE" w14:textId="77777777" w:rsidR="005A7416" w:rsidRPr="00112B89" w:rsidRDefault="005A7416">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5A7416" w:rsidRPr="00112B89" w14:paraId="29CA2EF0" w14:textId="77777777" w:rsidTr="00B97B53">
        <w:tc>
          <w:tcPr>
            <w:tcW w:w="9287" w:type="dxa"/>
          </w:tcPr>
          <w:p w14:paraId="4C386010" w14:textId="77777777" w:rsidR="005A7416" w:rsidRPr="00112B89" w:rsidRDefault="005A7416">
            <w:pPr>
              <w:tabs>
                <w:tab w:val="left" w:pos="567"/>
              </w:tabs>
              <w:spacing w:after="0" w:line="240" w:lineRule="auto"/>
              <w:rPr>
                <w:rFonts w:ascii="Times New Roman" w:hAnsi="Times New Roman"/>
                <w:b/>
                <w:bCs/>
              </w:rPr>
            </w:pPr>
            <w:r w:rsidRPr="00112B89">
              <w:rPr>
                <w:rFonts w:ascii="Times New Roman" w:hAnsi="Times New Roman"/>
                <w:b/>
                <w:bCs/>
              </w:rPr>
              <w:t>1.</w:t>
            </w:r>
            <w:r w:rsidRPr="00112B89">
              <w:rPr>
                <w:rFonts w:ascii="Times New Roman" w:hAnsi="Times New Roman"/>
                <w:b/>
                <w:bCs/>
              </w:rPr>
              <w:tab/>
              <w:t>VAISTINIO PREPARATO PAVADINIMAS</w:t>
            </w:r>
          </w:p>
        </w:tc>
      </w:tr>
    </w:tbl>
    <w:p w14:paraId="4C7780F5" w14:textId="77777777" w:rsidR="005A7416" w:rsidRPr="00112B89" w:rsidRDefault="005A7416">
      <w:pPr>
        <w:tabs>
          <w:tab w:val="left" w:pos="567"/>
        </w:tabs>
        <w:spacing w:after="0" w:line="240" w:lineRule="auto"/>
        <w:rPr>
          <w:rFonts w:ascii="Times New Roman" w:hAnsi="Times New Roman"/>
        </w:rPr>
      </w:pPr>
    </w:p>
    <w:p w14:paraId="1F9B13B1" w14:textId="77777777" w:rsidR="005A7416" w:rsidRPr="00112B89" w:rsidRDefault="005A7416">
      <w:pPr>
        <w:tabs>
          <w:tab w:val="left" w:pos="567"/>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3</w:t>
      </w:r>
      <w:r w:rsidR="006E6F32" w:rsidRPr="00112B89">
        <w:rPr>
          <w:rFonts w:ascii="Times New Roman" w:hAnsi="Times New Roman"/>
        </w:rPr>
        <w:t> </w:t>
      </w:r>
      <w:r w:rsidRPr="00112B89">
        <w:rPr>
          <w:rFonts w:ascii="Times New Roman" w:hAnsi="Times New Roman"/>
        </w:rPr>
        <w:t xml:space="preserve">mg injekcinis tirpalas </w:t>
      </w:r>
    </w:p>
    <w:p w14:paraId="1B4F3B3B" w14:textId="77777777" w:rsidR="005A7416" w:rsidRPr="00112B89" w:rsidRDefault="00C2594E">
      <w:pPr>
        <w:tabs>
          <w:tab w:val="left" w:pos="567"/>
        </w:tabs>
        <w:spacing w:after="0" w:line="240" w:lineRule="auto"/>
        <w:rPr>
          <w:rFonts w:ascii="Times New Roman" w:hAnsi="Times New Roman"/>
        </w:rPr>
      </w:pPr>
      <w:proofErr w:type="spellStart"/>
      <w:r>
        <w:rPr>
          <w:rFonts w:ascii="Times New Roman" w:eastAsia="MS Mincho" w:hAnsi="Times New Roman"/>
          <w:lang w:eastAsia="ja-JP"/>
        </w:rPr>
        <w:t>a</w:t>
      </w:r>
      <w:r w:rsidR="005A7416" w:rsidRPr="00112B89">
        <w:rPr>
          <w:rFonts w:ascii="Times New Roman" w:eastAsia="MS Mincho" w:hAnsi="Times New Roman"/>
          <w:lang w:eastAsia="ja-JP"/>
        </w:rPr>
        <w:t>cidum</w:t>
      </w:r>
      <w:proofErr w:type="spellEnd"/>
      <w:r w:rsidR="005A7416" w:rsidRPr="00112B89">
        <w:rPr>
          <w:rFonts w:ascii="Times New Roman" w:eastAsia="MS Mincho" w:hAnsi="Times New Roman"/>
          <w:lang w:eastAsia="ja-JP"/>
        </w:rPr>
        <w:t xml:space="preserve"> </w:t>
      </w:r>
      <w:proofErr w:type="spellStart"/>
      <w:r w:rsidR="005A7416" w:rsidRPr="00112B89">
        <w:rPr>
          <w:rFonts w:ascii="Times New Roman" w:eastAsia="MS Mincho" w:hAnsi="Times New Roman"/>
          <w:lang w:eastAsia="ja-JP"/>
        </w:rPr>
        <w:t>ibandronicum</w:t>
      </w:r>
      <w:proofErr w:type="spellEnd"/>
    </w:p>
    <w:p w14:paraId="499FF650" w14:textId="77777777" w:rsidR="005A7416" w:rsidRPr="00112B89" w:rsidRDefault="005A7416">
      <w:pPr>
        <w:tabs>
          <w:tab w:val="left" w:pos="567"/>
        </w:tabs>
        <w:spacing w:after="0" w:line="240" w:lineRule="auto"/>
        <w:rPr>
          <w:rFonts w:ascii="Times New Roman" w:hAnsi="Times New Roman"/>
        </w:rPr>
      </w:pPr>
    </w:p>
    <w:p w14:paraId="18B93787" w14:textId="77777777" w:rsidR="005A7416" w:rsidRPr="00112B89" w:rsidRDefault="005A7416">
      <w:pPr>
        <w:tabs>
          <w:tab w:val="left" w:pos="567"/>
        </w:tabs>
        <w:spacing w:after="0" w:line="240" w:lineRule="auto"/>
        <w:rPr>
          <w:rFonts w:ascii="Times New Roman" w:hAnsi="Times New Roman"/>
        </w:rPr>
      </w:pPr>
      <w:r w:rsidRPr="00112B89">
        <w:rPr>
          <w:rFonts w:ascii="Times New Roman" w:hAnsi="Times New Roman"/>
        </w:rPr>
        <w:t xml:space="preserve">Leisti tik </w:t>
      </w:r>
      <w:proofErr w:type="spellStart"/>
      <w:r w:rsidR="000704A1" w:rsidRPr="00112B89">
        <w:rPr>
          <w:rFonts w:ascii="Times New Roman" w:hAnsi="Times New Roman"/>
        </w:rPr>
        <w:t>i.v</w:t>
      </w:r>
      <w:proofErr w:type="spellEnd"/>
      <w:r w:rsidR="000704A1" w:rsidRPr="00112B89">
        <w:rPr>
          <w:rFonts w:ascii="Times New Roman" w:hAnsi="Times New Roman"/>
        </w:rPr>
        <w:t>.</w:t>
      </w:r>
    </w:p>
    <w:p w14:paraId="1493EF11" w14:textId="77777777" w:rsidR="005A7416" w:rsidRPr="00112B89" w:rsidRDefault="005A7416">
      <w:pPr>
        <w:tabs>
          <w:tab w:val="left" w:pos="567"/>
        </w:tabs>
        <w:spacing w:after="0" w:line="240" w:lineRule="auto"/>
        <w:rPr>
          <w:rFonts w:ascii="Times New Roman" w:hAnsi="Times New Roman"/>
        </w:rPr>
      </w:pPr>
    </w:p>
    <w:p w14:paraId="0A471B6C" w14:textId="77777777" w:rsidR="005A7416" w:rsidRPr="00112B89" w:rsidRDefault="005A7416">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5A7416" w:rsidRPr="00112B89" w14:paraId="742EE233" w14:textId="77777777" w:rsidTr="00B97B53">
        <w:tc>
          <w:tcPr>
            <w:tcW w:w="9287" w:type="dxa"/>
          </w:tcPr>
          <w:p w14:paraId="64F3B335" w14:textId="77777777" w:rsidR="005A7416" w:rsidRPr="00112B89" w:rsidRDefault="005A7416">
            <w:pPr>
              <w:tabs>
                <w:tab w:val="left" w:pos="567"/>
              </w:tabs>
              <w:spacing w:after="0" w:line="240" w:lineRule="auto"/>
              <w:rPr>
                <w:rFonts w:ascii="Times New Roman" w:hAnsi="Times New Roman"/>
                <w:b/>
                <w:bCs/>
              </w:rPr>
            </w:pPr>
            <w:r w:rsidRPr="00112B89">
              <w:rPr>
                <w:rFonts w:ascii="Times New Roman" w:hAnsi="Times New Roman"/>
                <w:b/>
                <w:bCs/>
              </w:rPr>
              <w:t>2.</w:t>
            </w:r>
            <w:r w:rsidRPr="00112B89">
              <w:rPr>
                <w:rFonts w:ascii="Times New Roman" w:hAnsi="Times New Roman"/>
                <w:b/>
                <w:bCs/>
              </w:rPr>
              <w:tab/>
              <w:t>VARTOJIMO METODAS</w:t>
            </w:r>
          </w:p>
        </w:tc>
      </w:tr>
    </w:tbl>
    <w:p w14:paraId="45A8B896" w14:textId="77777777" w:rsidR="005A7416" w:rsidRPr="00112B89" w:rsidRDefault="005A7416">
      <w:pPr>
        <w:tabs>
          <w:tab w:val="left" w:pos="567"/>
        </w:tabs>
        <w:spacing w:after="0" w:line="240" w:lineRule="auto"/>
        <w:rPr>
          <w:rFonts w:ascii="Times New Roman" w:hAnsi="Times New Roman"/>
        </w:rPr>
      </w:pPr>
    </w:p>
    <w:p w14:paraId="74BE2848" w14:textId="77777777" w:rsidR="005A7416" w:rsidRPr="00112B89" w:rsidRDefault="005A7416">
      <w:pPr>
        <w:tabs>
          <w:tab w:val="left" w:pos="567"/>
        </w:tabs>
        <w:spacing w:after="0" w:line="240" w:lineRule="auto"/>
        <w:rPr>
          <w:rFonts w:ascii="Times New Roman" w:hAnsi="Times New Roman"/>
        </w:rPr>
      </w:pPr>
      <w:r w:rsidRPr="00112B89">
        <w:rPr>
          <w:rFonts w:ascii="Times New Roman" w:hAnsi="Times New Roman"/>
        </w:rPr>
        <w:t>Prieš vartojimą perskaitykite pakuotės lapelį.</w:t>
      </w:r>
    </w:p>
    <w:p w14:paraId="3E1C5189" w14:textId="77777777" w:rsidR="005A7416" w:rsidRPr="00112B89" w:rsidRDefault="005A7416">
      <w:pPr>
        <w:tabs>
          <w:tab w:val="left" w:pos="567"/>
        </w:tabs>
        <w:spacing w:after="0" w:line="240" w:lineRule="auto"/>
        <w:rPr>
          <w:rFonts w:ascii="Times New Roman" w:hAnsi="Times New Roman"/>
        </w:rPr>
      </w:pPr>
    </w:p>
    <w:p w14:paraId="5F70C684" w14:textId="77777777" w:rsidR="005A7416" w:rsidRPr="00112B89" w:rsidRDefault="005A7416">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5A7416" w:rsidRPr="00112B89" w14:paraId="3A9F452B" w14:textId="77777777" w:rsidTr="00B97B53">
        <w:tc>
          <w:tcPr>
            <w:tcW w:w="9287" w:type="dxa"/>
          </w:tcPr>
          <w:p w14:paraId="047C9651" w14:textId="77777777" w:rsidR="005A7416" w:rsidRPr="00112B89" w:rsidRDefault="005A7416">
            <w:pPr>
              <w:tabs>
                <w:tab w:val="left" w:pos="567"/>
              </w:tabs>
              <w:spacing w:after="0" w:line="240" w:lineRule="auto"/>
              <w:rPr>
                <w:rFonts w:ascii="Times New Roman" w:hAnsi="Times New Roman"/>
                <w:b/>
                <w:bCs/>
              </w:rPr>
            </w:pPr>
            <w:r w:rsidRPr="00112B89">
              <w:rPr>
                <w:rFonts w:ascii="Times New Roman" w:hAnsi="Times New Roman"/>
                <w:b/>
                <w:bCs/>
              </w:rPr>
              <w:t>3.</w:t>
            </w:r>
            <w:r w:rsidRPr="00112B89">
              <w:rPr>
                <w:rFonts w:ascii="Times New Roman" w:hAnsi="Times New Roman"/>
                <w:b/>
                <w:bCs/>
              </w:rPr>
              <w:tab/>
              <w:t>TINKAMUMO LAIKAS</w:t>
            </w:r>
          </w:p>
        </w:tc>
      </w:tr>
    </w:tbl>
    <w:p w14:paraId="0B2D4EC0" w14:textId="77777777" w:rsidR="005A7416" w:rsidRPr="00112B89" w:rsidRDefault="005A7416">
      <w:pPr>
        <w:tabs>
          <w:tab w:val="left" w:pos="567"/>
        </w:tabs>
        <w:spacing w:after="0" w:line="240" w:lineRule="auto"/>
        <w:rPr>
          <w:rFonts w:ascii="Times New Roman" w:hAnsi="Times New Roman"/>
        </w:rPr>
      </w:pPr>
    </w:p>
    <w:p w14:paraId="6432E434" w14:textId="77777777" w:rsidR="005A7416" w:rsidRPr="00112B89" w:rsidRDefault="005A7416">
      <w:pPr>
        <w:tabs>
          <w:tab w:val="left" w:pos="567"/>
        </w:tabs>
        <w:spacing w:after="0" w:line="240" w:lineRule="auto"/>
        <w:rPr>
          <w:rFonts w:ascii="Times New Roman" w:hAnsi="Times New Roman"/>
        </w:rPr>
      </w:pPr>
      <w:r w:rsidRPr="00112B89">
        <w:rPr>
          <w:rFonts w:ascii="Times New Roman" w:hAnsi="Times New Roman"/>
          <w:highlight w:val="lightGray"/>
        </w:rPr>
        <w:t xml:space="preserve">EXP </w:t>
      </w:r>
      <w:r w:rsidRPr="00112B89">
        <w:rPr>
          <w:rFonts w:ascii="Times New Roman" w:hAnsi="Times New Roman"/>
        </w:rPr>
        <w:t>{mm/MMMM}</w:t>
      </w:r>
    </w:p>
    <w:p w14:paraId="0F699189" w14:textId="77777777" w:rsidR="005A7416" w:rsidRPr="00112B89" w:rsidRDefault="005A7416">
      <w:pPr>
        <w:tabs>
          <w:tab w:val="left" w:pos="567"/>
        </w:tabs>
        <w:spacing w:after="0" w:line="240" w:lineRule="auto"/>
        <w:rPr>
          <w:rFonts w:ascii="Times New Roman" w:hAnsi="Times New Roman"/>
        </w:rPr>
      </w:pPr>
    </w:p>
    <w:p w14:paraId="6000E4CC" w14:textId="77777777" w:rsidR="005A7416" w:rsidRPr="00112B89" w:rsidRDefault="005A7416">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5A7416" w:rsidRPr="00112B89" w14:paraId="135B625F" w14:textId="77777777" w:rsidTr="00B97B53">
        <w:tc>
          <w:tcPr>
            <w:tcW w:w="9287" w:type="dxa"/>
          </w:tcPr>
          <w:p w14:paraId="1D565083" w14:textId="77777777" w:rsidR="005A7416" w:rsidRPr="00112B89" w:rsidRDefault="005A7416">
            <w:pPr>
              <w:tabs>
                <w:tab w:val="left" w:pos="567"/>
              </w:tabs>
              <w:spacing w:after="0" w:line="240" w:lineRule="auto"/>
              <w:rPr>
                <w:rFonts w:ascii="Times New Roman" w:hAnsi="Times New Roman"/>
                <w:b/>
                <w:bCs/>
              </w:rPr>
            </w:pPr>
            <w:r w:rsidRPr="00112B89">
              <w:rPr>
                <w:rFonts w:ascii="Times New Roman" w:hAnsi="Times New Roman"/>
                <w:b/>
                <w:bCs/>
              </w:rPr>
              <w:t>4.</w:t>
            </w:r>
            <w:r w:rsidRPr="00112B89">
              <w:rPr>
                <w:rFonts w:ascii="Times New Roman" w:hAnsi="Times New Roman"/>
                <w:b/>
                <w:bCs/>
              </w:rPr>
              <w:tab/>
              <w:t>SERIJOS NUMERIS</w:t>
            </w:r>
          </w:p>
        </w:tc>
      </w:tr>
    </w:tbl>
    <w:p w14:paraId="33D99381" w14:textId="77777777" w:rsidR="005A7416" w:rsidRPr="00112B89" w:rsidRDefault="005A7416">
      <w:pPr>
        <w:tabs>
          <w:tab w:val="left" w:pos="567"/>
        </w:tabs>
        <w:spacing w:after="0" w:line="240" w:lineRule="auto"/>
        <w:rPr>
          <w:rFonts w:ascii="Times New Roman" w:hAnsi="Times New Roman"/>
        </w:rPr>
      </w:pPr>
    </w:p>
    <w:p w14:paraId="3CFC9028" w14:textId="77777777" w:rsidR="005A7416" w:rsidRPr="00112B89" w:rsidRDefault="005A7416">
      <w:pPr>
        <w:tabs>
          <w:tab w:val="left" w:pos="567"/>
        </w:tabs>
        <w:spacing w:after="0" w:line="240" w:lineRule="auto"/>
        <w:rPr>
          <w:rFonts w:ascii="Times New Roman" w:hAnsi="Times New Roman"/>
        </w:rPr>
      </w:pPr>
      <w:r w:rsidRPr="00112B89">
        <w:rPr>
          <w:rFonts w:ascii="Times New Roman" w:hAnsi="Times New Roman"/>
          <w:highlight w:val="lightGray"/>
        </w:rPr>
        <w:t>Lot</w:t>
      </w:r>
    </w:p>
    <w:p w14:paraId="403335A2" w14:textId="77777777" w:rsidR="005A7416" w:rsidRPr="00112B89" w:rsidRDefault="005A7416">
      <w:pPr>
        <w:tabs>
          <w:tab w:val="left" w:pos="567"/>
        </w:tabs>
        <w:spacing w:after="0" w:line="240" w:lineRule="auto"/>
        <w:rPr>
          <w:rFonts w:ascii="Times New Roman" w:hAnsi="Times New Roman"/>
        </w:rPr>
      </w:pPr>
    </w:p>
    <w:p w14:paraId="079D5F4C" w14:textId="77777777" w:rsidR="005A7416" w:rsidRPr="00112B89" w:rsidRDefault="005A7416">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5A7416" w:rsidRPr="00112B89" w14:paraId="10C7B159" w14:textId="77777777" w:rsidTr="00B97B53">
        <w:tc>
          <w:tcPr>
            <w:tcW w:w="9287" w:type="dxa"/>
          </w:tcPr>
          <w:p w14:paraId="3B5D991D" w14:textId="77777777" w:rsidR="005A7416" w:rsidRPr="00112B89" w:rsidRDefault="005A7416">
            <w:pPr>
              <w:tabs>
                <w:tab w:val="left" w:pos="567"/>
              </w:tabs>
              <w:spacing w:after="0" w:line="240" w:lineRule="auto"/>
              <w:rPr>
                <w:rFonts w:ascii="Times New Roman" w:hAnsi="Times New Roman"/>
                <w:b/>
                <w:bCs/>
              </w:rPr>
            </w:pPr>
            <w:r w:rsidRPr="00112B89">
              <w:rPr>
                <w:rFonts w:ascii="Times New Roman" w:hAnsi="Times New Roman"/>
                <w:b/>
                <w:bCs/>
              </w:rPr>
              <w:t>5.</w:t>
            </w:r>
            <w:r w:rsidRPr="00112B89">
              <w:rPr>
                <w:rFonts w:ascii="Times New Roman" w:hAnsi="Times New Roman"/>
                <w:b/>
                <w:bCs/>
              </w:rPr>
              <w:tab/>
              <w:t>KIEKIS (MASĖ, TŪRIS ARBA VIENETAI)</w:t>
            </w:r>
          </w:p>
        </w:tc>
      </w:tr>
    </w:tbl>
    <w:p w14:paraId="57EB6591" w14:textId="77777777" w:rsidR="005A7416" w:rsidRPr="00112B89" w:rsidRDefault="005A7416">
      <w:pPr>
        <w:tabs>
          <w:tab w:val="left" w:pos="567"/>
        </w:tabs>
        <w:spacing w:after="0" w:line="240" w:lineRule="auto"/>
        <w:rPr>
          <w:rFonts w:ascii="Times New Roman" w:hAnsi="Times New Roman"/>
        </w:rPr>
      </w:pPr>
    </w:p>
    <w:p w14:paraId="7CA45B64" w14:textId="77777777" w:rsidR="005A7416" w:rsidRPr="00112B89" w:rsidRDefault="005A7416">
      <w:pPr>
        <w:tabs>
          <w:tab w:val="left" w:pos="567"/>
        </w:tabs>
        <w:spacing w:after="0" w:line="240" w:lineRule="auto"/>
        <w:rPr>
          <w:rFonts w:ascii="Times New Roman" w:hAnsi="Times New Roman"/>
        </w:rPr>
      </w:pPr>
      <w:r w:rsidRPr="00112B89">
        <w:rPr>
          <w:rFonts w:ascii="Times New Roman" w:hAnsi="Times New Roman"/>
        </w:rPr>
        <w:t>1 mg/ml</w:t>
      </w:r>
    </w:p>
    <w:p w14:paraId="485304DD" w14:textId="77777777" w:rsidR="005A7416" w:rsidRPr="00112B89" w:rsidRDefault="005A7416">
      <w:pPr>
        <w:tabs>
          <w:tab w:val="left" w:pos="567"/>
        </w:tabs>
        <w:spacing w:after="0" w:line="240" w:lineRule="auto"/>
        <w:rPr>
          <w:rFonts w:ascii="Times New Roman" w:hAnsi="Times New Roman"/>
        </w:rPr>
      </w:pPr>
    </w:p>
    <w:p w14:paraId="33EE5DBD" w14:textId="77777777" w:rsidR="005A7416" w:rsidRPr="00112B89" w:rsidRDefault="005A7416">
      <w:pPr>
        <w:tabs>
          <w:tab w:val="left" w:pos="567"/>
        </w:tabs>
        <w:spacing w:after="0" w:line="240" w:lineRule="auto"/>
        <w:rPr>
          <w:rFonts w:ascii="Times New Roman" w:hAnsi="Times New Roman"/>
        </w:rPr>
      </w:pPr>
    </w:p>
    <w:p w14:paraId="5A8EF220" w14:textId="77777777" w:rsidR="005A7416" w:rsidRPr="00112B89" w:rsidRDefault="005A741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112B89">
        <w:rPr>
          <w:rFonts w:ascii="Times New Roman" w:hAnsi="Times New Roman"/>
          <w:b/>
        </w:rPr>
        <w:t>6.</w:t>
      </w:r>
      <w:r w:rsidRPr="00112B89">
        <w:rPr>
          <w:rFonts w:ascii="Times New Roman" w:hAnsi="Times New Roman"/>
          <w:b/>
        </w:rPr>
        <w:tab/>
        <w:t>KITA</w:t>
      </w:r>
    </w:p>
    <w:p w14:paraId="38EBA6FE" w14:textId="77777777" w:rsidR="005A7416" w:rsidRPr="00112B89" w:rsidRDefault="005A7416">
      <w:pPr>
        <w:tabs>
          <w:tab w:val="left" w:pos="567"/>
        </w:tabs>
        <w:spacing w:after="0" w:line="240" w:lineRule="auto"/>
        <w:rPr>
          <w:rFonts w:ascii="Times New Roman" w:hAnsi="Times New Roman"/>
        </w:rPr>
      </w:pPr>
    </w:p>
    <w:p w14:paraId="4372314B" w14:textId="77777777" w:rsidR="005A7416" w:rsidRPr="00112B89" w:rsidRDefault="005A7416">
      <w:pPr>
        <w:tabs>
          <w:tab w:val="left" w:pos="567"/>
        </w:tabs>
        <w:spacing w:after="0" w:line="240" w:lineRule="auto"/>
        <w:rPr>
          <w:rFonts w:ascii="Times New Roman" w:hAnsi="Times New Roman"/>
        </w:rPr>
      </w:pPr>
    </w:p>
    <w:p w14:paraId="0ED9EDFB" w14:textId="77777777" w:rsidR="005A7416" w:rsidRPr="00112B89" w:rsidRDefault="005A7416">
      <w:pPr>
        <w:tabs>
          <w:tab w:val="left" w:pos="567"/>
        </w:tabs>
        <w:spacing w:after="0" w:line="240" w:lineRule="auto"/>
        <w:rPr>
          <w:rFonts w:ascii="Times New Roman" w:hAnsi="Times New Roman"/>
        </w:rPr>
      </w:pPr>
    </w:p>
    <w:p w14:paraId="598B6097" w14:textId="77777777" w:rsidR="005A7416" w:rsidRPr="00112B89" w:rsidRDefault="005A7416">
      <w:pPr>
        <w:tabs>
          <w:tab w:val="left" w:pos="567"/>
        </w:tabs>
        <w:spacing w:after="0" w:line="240" w:lineRule="auto"/>
        <w:rPr>
          <w:rFonts w:ascii="Times New Roman" w:hAnsi="Times New Roman"/>
        </w:rPr>
      </w:pPr>
    </w:p>
    <w:p w14:paraId="530579B7" w14:textId="77777777" w:rsidR="005A7416" w:rsidRPr="00112B89" w:rsidRDefault="005A7416" w:rsidP="004C797E">
      <w:pPr>
        <w:spacing w:after="0" w:line="240" w:lineRule="auto"/>
        <w:rPr>
          <w:rFonts w:ascii="Times New Roman" w:hAnsi="Times New Roman"/>
        </w:rPr>
      </w:pPr>
    </w:p>
    <w:p w14:paraId="141B3ACC" w14:textId="77777777" w:rsidR="005A7416" w:rsidRPr="00112B89" w:rsidRDefault="005A7416" w:rsidP="004C797E">
      <w:pPr>
        <w:spacing w:after="0" w:line="240" w:lineRule="auto"/>
        <w:rPr>
          <w:rFonts w:ascii="Times New Roman" w:hAnsi="Times New Roman"/>
        </w:rPr>
      </w:pPr>
    </w:p>
    <w:p w14:paraId="73AB6B5D" w14:textId="77777777" w:rsidR="005A7416" w:rsidRPr="00112B89" w:rsidRDefault="005A7416" w:rsidP="004C797E">
      <w:pPr>
        <w:spacing w:after="0" w:line="240" w:lineRule="auto"/>
        <w:rPr>
          <w:rFonts w:ascii="Times New Roman" w:hAnsi="Times New Roman"/>
        </w:rPr>
      </w:pPr>
    </w:p>
    <w:p w14:paraId="1242C506" w14:textId="77777777" w:rsidR="005A7416" w:rsidRPr="00112B89" w:rsidRDefault="005A7416" w:rsidP="004C797E">
      <w:pPr>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br w:type="page"/>
      </w:r>
    </w:p>
    <w:p w14:paraId="268D42EF"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144D96CE"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7F9F175A"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154FD295"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324E4D69"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00FC803A"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71CFE4B1"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4F856046"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4ACB3A1E"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71815ED2"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0B1F9AE6"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56861FBA"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727C08EB"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1B6F2439"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11CD5422"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0D216363"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54EE87EF"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5DE1B3CA"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36BB2FAA"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46205A15"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622CC2D9"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6A3BFC42"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1A4972BB" w14:textId="77777777" w:rsidR="001B012C" w:rsidRPr="00112B89" w:rsidRDefault="001B012C" w:rsidP="0085684D">
      <w:pPr>
        <w:widowControl w:val="0"/>
        <w:suppressAutoHyphens/>
        <w:autoSpaceDE w:val="0"/>
        <w:autoSpaceDN w:val="0"/>
        <w:adjustRightInd w:val="0"/>
        <w:spacing w:after="0" w:line="240" w:lineRule="auto"/>
        <w:jc w:val="center"/>
        <w:rPr>
          <w:rFonts w:ascii="Times New Roman" w:hAnsi="Times New Roman"/>
          <w:b/>
          <w:bCs/>
          <w:color w:val="000000"/>
        </w:rPr>
      </w:pPr>
    </w:p>
    <w:p w14:paraId="0EC321FD"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r w:rsidRPr="00112B89">
        <w:rPr>
          <w:rFonts w:ascii="Times New Roman" w:hAnsi="Times New Roman"/>
          <w:b/>
          <w:caps/>
          <w:color w:val="000000"/>
        </w:rPr>
        <w:t>B. PAKUOTĖS lapelis</w:t>
      </w:r>
    </w:p>
    <w:p w14:paraId="6EFBA745" w14:textId="77777777" w:rsidR="005A7416" w:rsidRPr="00112B89" w:rsidRDefault="005A7416" w:rsidP="0085684D">
      <w:pPr>
        <w:widowControl w:val="0"/>
        <w:suppressAutoHyphens/>
        <w:autoSpaceDE w:val="0"/>
        <w:autoSpaceDN w:val="0"/>
        <w:adjustRightInd w:val="0"/>
        <w:spacing w:after="0" w:line="240" w:lineRule="auto"/>
        <w:jc w:val="center"/>
        <w:rPr>
          <w:rFonts w:ascii="Times New Roman" w:hAnsi="Times New Roman"/>
          <w:b/>
          <w:bCs/>
          <w:color w:val="000000"/>
        </w:rPr>
      </w:pPr>
      <w:r w:rsidRPr="00112B89">
        <w:rPr>
          <w:rFonts w:ascii="Times New Roman" w:hAnsi="Times New Roman"/>
          <w:b/>
          <w:bCs/>
          <w:color w:val="000000"/>
        </w:rPr>
        <w:br w:type="page"/>
      </w:r>
      <w:r w:rsidRPr="00112B89">
        <w:rPr>
          <w:rFonts w:ascii="Times New Roman" w:hAnsi="Times New Roman"/>
          <w:b/>
          <w:bCs/>
          <w:color w:val="000000"/>
        </w:rPr>
        <w:lastRenderedPageBreak/>
        <w:t>Pakuotės lapelis: informacija vartotojui</w:t>
      </w:r>
    </w:p>
    <w:p w14:paraId="474D0364"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708800F2" w14:textId="77777777" w:rsidR="00491658" w:rsidRPr="00112B89" w:rsidRDefault="005A7416" w:rsidP="00491658">
      <w:pPr>
        <w:tabs>
          <w:tab w:val="left" w:pos="567"/>
        </w:tabs>
        <w:spacing w:after="0" w:line="240" w:lineRule="auto"/>
        <w:jc w:val="center"/>
        <w:rPr>
          <w:rFonts w:ascii="Times New Roman" w:hAnsi="Times New Roman"/>
          <w:b/>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3</w:t>
      </w:r>
      <w:r w:rsidR="006E6F32" w:rsidRPr="00112B89">
        <w:rPr>
          <w:rFonts w:ascii="Times New Roman" w:hAnsi="Times New Roman"/>
          <w:b/>
        </w:rPr>
        <w:t> </w:t>
      </w:r>
      <w:r w:rsidRPr="00112B89">
        <w:rPr>
          <w:rFonts w:ascii="Times New Roman" w:hAnsi="Times New Roman"/>
          <w:b/>
        </w:rPr>
        <w:t>mg injekcinis tirpalas</w:t>
      </w:r>
      <w:r w:rsidR="00F333C1" w:rsidRPr="00112B89">
        <w:rPr>
          <w:rFonts w:ascii="Times New Roman" w:hAnsi="Times New Roman"/>
        </w:rPr>
        <w:t xml:space="preserve"> užpildytame švirkšte</w:t>
      </w:r>
    </w:p>
    <w:p w14:paraId="2C993A27" w14:textId="77777777" w:rsidR="005A7416" w:rsidRPr="00112B89" w:rsidRDefault="00C2594E" w:rsidP="0085684D">
      <w:pPr>
        <w:autoSpaceDE w:val="0"/>
        <w:autoSpaceDN w:val="0"/>
        <w:adjustRightInd w:val="0"/>
        <w:spacing w:after="0" w:line="240" w:lineRule="auto"/>
        <w:jc w:val="center"/>
        <w:rPr>
          <w:rFonts w:ascii="Times New Roman" w:hAnsi="Times New Roman"/>
        </w:rPr>
      </w:pPr>
      <w:proofErr w:type="spellStart"/>
      <w:r>
        <w:rPr>
          <w:rFonts w:ascii="Times New Roman" w:hAnsi="Times New Roman"/>
        </w:rPr>
        <w:t>i</w:t>
      </w:r>
      <w:r w:rsidR="005A7416" w:rsidRPr="00112B89">
        <w:rPr>
          <w:rFonts w:ascii="Times New Roman" w:hAnsi="Times New Roman"/>
        </w:rPr>
        <w:t>bandrono</w:t>
      </w:r>
      <w:proofErr w:type="spellEnd"/>
      <w:r w:rsidR="005A7416" w:rsidRPr="00112B89">
        <w:rPr>
          <w:rFonts w:ascii="Times New Roman" w:hAnsi="Times New Roman"/>
        </w:rPr>
        <w:t xml:space="preserve"> rūgštis</w:t>
      </w:r>
    </w:p>
    <w:p w14:paraId="0D58B5ED" w14:textId="77777777" w:rsidR="005A7416" w:rsidRPr="00112B89" w:rsidRDefault="005A7416" w:rsidP="0085684D">
      <w:pPr>
        <w:autoSpaceDE w:val="0"/>
        <w:autoSpaceDN w:val="0"/>
        <w:adjustRightInd w:val="0"/>
        <w:spacing w:after="0" w:line="240" w:lineRule="auto"/>
        <w:jc w:val="center"/>
        <w:rPr>
          <w:rFonts w:ascii="Times New Roman" w:hAnsi="Times New Roman"/>
        </w:rPr>
      </w:pPr>
    </w:p>
    <w:p w14:paraId="1F47EAB7" w14:textId="77777777" w:rsidR="005A7416" w:rsidRPr="00112B89" w:rsidRDefault="005A7416" w:rsidP="000F267D">
      <w:pPr>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Atidžiai perskaitykite visą šį lapelį prieš pradėdami vartoti vaistą, nes jame pateikiama Jums svarbi informacija.</w:t>
      </w:r>
    </w:p>
    <w:p w14:paraId="25042900" w14:textId="77777777" w:rsidR="005A7416" w:rsidRPr="00112B89" w:rsidRDefault="005A7416" w:rsidP="000F267D">
      <w:pPr>
        <w:pStyle w:val="BT-EMEASMCA"/>
        <w:spacing w:after="0" w:line="240" w:lineRule="auto"/>
        <w:rPr>
          <w:rFonts w:ascii="Times New Roman" w:hAnsi="Times New Roman"/>
        </w:rPr>
      </w:pPr>
      <w:r w:rsidRPr="00112B89">
        <w:rPr>
          <w:rFonts w:ascii="Times New Roman" w:hAnsi="Times New Roman"/>
        </w:rPr>
        <w:t>Neišmeskite šio lapelio, nes vėl gali prireikti jį perskaityti.</w:t>
      </w:r>
    </w:p>
    <w:p w14:paraId="2BA5B985" w14:textId="77777777" w:rsidR="005A7416" w:rsidRPr="00112B89" w:rsidRDefault="005A7416" w:rsidP="000F267D">
      <w:pPr>
        <w:pStyle w:val="BT-EMEASMCA"/>
        <w:spacing w:after="0" w:line="240" w:lineRule="auto"/>
        <w:rPr>
          <w:rFonts w:ascii="Times New Roman" w:hAnsi="Times New Roman"/>
        </w:rPr>
      </w:pPr>
      <w:r w:rsidRPr="00112B89">
        <w:rPr>
          <w:rFonts w:ascii="Times New Roman" w:hAnsi="Times New Roman"/>
        </w:rPr>
        <w:t>Jeigu kiltų daugiau klausimų, kreipkitės į gydytoją</w:t>
      </w:r>
      <w:r w:rsidR="00690A2D" w:rsidRPr="00112B89">
        <w:rPr>
          <w:rFonts w:ascii="Times New Roman" w:hAnsi="Times New Roman"/>
        </w:rPr>
        <w:t>,</w:t>
      </w:r>
      <w:r w:rsidRPr="00112B89">
        <w:rPr>
          <w:rFonts w:ascii="Times New Roman" w:hAnsi="Times New Roman"/>
        </w:rPr>
        <w:t xml:space="preserve"> vaistininką</w:t>
      </w:r>
      <w:r w:rsidR="00690A2D" w:rsidRPr="00112B89">
        <w:rPr>
          <w:rFonts w:ascii="Times New Roman" w:hAnsi="Times New Roman"/>
        </w:rPr>
        <w:t xml:space="preserve"> arba slaugytoją</w:t>
      </w:r>
      <w:r w:rsidRPr="00112B89">
        <w:rPr>
          <w:rFonts w:ascii="Times New Roman" w:hAnsi="Times New Roman"/>
        </w:rPr>
        <w:t xml:space="preserve">. </w:t>
      </w:r>
    </w:p>
    <w:p w14:paraId="0FCAF8F6" w14:textId="77777777" w:rsidR="005A7416" w:rsidRPr="00112B89" w:rsidRDefault="005A7416" w:rsidP="00690A2D">
      <w:pPr>
        <w:pStyle w:val="BT-EMEASMCA"/>
        <w:numPr>
          <w:ilvl w:val="0"/>
          <w:numId w:val="0"/>
        </w:numPr>
        <w:spacing w:after="0" w:line="240" w:lineRule="auto"/>
        <w:ind w:left="720"/>
        <w:rPr>
          <w:rFonts w:ascii="Times New Roman" w:hAnsi="Times New Roman"/>
        </w:rPr>
      </w:pPr>
      <w:r w:rsidRPr="00112B89">
        <w:rPr>
          <w:rFonts w:ascii="Times New Roman" w:hAnsi="Times New Roman"/>
        </w:rPr>
        <w:t>Jeigu pasireiškė šalutinis poveikis (net jeigu jis šiame lapelyje nenurodytas), kreipkitės į</w:t>
      </w:r>
      <w:r w:rsidR="00690A2D" w:rsidRPr="00112B89">
        <w:rPr>
          <w:rFonts w:ascii="Times New Roman" w:hAnsi="Times New Roman"/>
        </w:rPr>
        <w:t xml:space="preserve"> gydytoją, vais</w:t>
      </w:r>
      <w:r w:rsidR="00266DD4" w:rsidRPr="00112B89">
        <w:rPr>
          <w:rFonts w:ascii="Times New Roman" w:hAnsi="Times New Roman"/>
        </w:rPr>
        <w:t>tininką arba sl</w:t>
      </w:r>
      <w:r w:rsidR="00690A2D" w:rsidRPr="00112B89">
        <w:rPr>
          <w:rFonts w:ascii="Times New Roman" w:hAnsi="Times New Roman"/>
        </w:rPr>
        <w:t>augytoją</w:t>
      </w:r>
      <w:r w:rsidRPr="00112B89">
        <w:rPr>
          <w:rFonts w:ascii="Times New Roman" w:hAnsi="Times New Roman"/>
        </w:rPr>
        <w:t>. Žr. 4 skyrių.</w:t>
      </w:r>
    </w:p>
    <w:p w14:paraId="78BDC071" w14:textId="77777777" w:rsidR="005A7416" w:rsidRPr="00112B89" w:rsidRDefault="005A7416" w:rsidP="0085684D">
      <w:pPr>
        <w:autoSpaceDE w:val="0"/>
        <w:autoSpaceDN w:val="0"/>
        <w:adjustRightInd w:val="0"/>
        <w:spacing w:after="0" w:line="240" w:lineRule="auto"/>
        <w:rPr>
          <w:rFonts w:ascii="Times New Roman" w:hAnsi="Times New Roman"/>
          <w:b/>
          <w:bCs/>
        </w:rPr>
      </w:pPr>
    </w:p>
    <w:p w14:paraId="228CAF68" w14:textId="77777777" w:rsidR="005A7416" w:rsidRPr="00112B89" w:rsidRDefault="005A7416" w:rsidP="000F267D">
      <w:pPr>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Apie ką rašoma šiame lapelyje?</w:t>
      </w:r>
    </w:p>
    <w:p w14:paraId="0A31E21B" w14:textId="77777777" w:rsidR="005A7416" w:rsidRPr="00112B89" w:rsidRDefault="005A7416" w:rsidP="000F267D">
      <w:pPr>
        <w:pStyle w:val="BT-EMEASMCA"/>
        <w:numPr>
          <w:ilvl w:val="0"/>
          <w:numId w:val="15"/>
        </w:numPr>
        <w:spacing w:after="0" w:line="240" w:lineRule="auto"/>
        <w:rPr>
          <w:rFonts w:ascii="Times New Roman" w:hAnsi="Times New Roman"/>
        </w:rPr>
      </w:pPr>
      <w:r w:rsidRPr="00112B89">
        <w:rPr>
          <w:rFonts w:ascii="Times New Roman" w:hAnsi="Times New Roman"/>
        </w:rPr>
        <w:t xml:space="preserve">Kas yra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ir kam jis vartojamas</w:t>
      </w:r>
    </w:p>
    <w:p w14:paraId="36BBD790" w14:textId="77777777" w:rsidR="005A7416" w:rsidRPr="00112B89" w:rsidRDefault="005A7416" w:rsidP="000F267D">
      <w:pPr>
        <w:pStyle w:val="BT-EMEASMCA"/>
        <w:numPr>
          <w:ilvl w:val="0"/>
          <w:numId w:val="15"/>
        </w:numPr>
        <w:spacing w:after="0" w:line="240" w:lineRule="auto"/>
        <w:rPr>
          <w:rFonts w:ascii="Times New Roman" w:hAnsi="Times New Roman"/>
        </w:rPr>
      </w:pPr>
      <w:r w:rsidRPr="00112B89">
        <w:rPr>
          <w:rFonts w:ascii="Times New Roman" w:hAnsi="Times New Roman"/>
        </w:rPr>
        <w:t xml:space="preserve">Kas žinotina prieš vartojant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w:t>
      </w:r>
    </w:p>
    <w:p w14:paraId="5F497A2A" w14:textId="77777777" w:rsidR="005A7416" w:rsidRPr="00112B89" w:rsidRDefault="005A7416" w:rsidP="000F267D">
      <w:pPr>
        <w:pStyle w:val="BT-EMEASMCA"/>
        <w:numPr>
          <w:ilvl w:val="0"/>
          <w:numId w:val="15"/>
        </w:numPr>
        <w:spacing w:after="0" w:line="240" w:lineRule="auto"/>
        <w:rPr>
          <w:rFonts w:ascii="Times New Roman" w:hAnsi="Times New Roman"/>
        </w:rPr>
      </w:pPr>
      <w:r w:rsidRPr="00112B89">
        <w:rPr>
          <w:rFonts w:ascii="Times New Roman" w:hAnsi="Times New Roman"/>
        </w:rPr>
        <w:t xml:space="preserve">Kaip vartoti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w:t>
      </w:r>
    </w:p>
    <w:p w14:paraId="20E088B5" w14:textId="77777777" w:rsidR="005A7416" w:rsidRPr="00112B89" w:rsidRDefault="005A7416" w:rsidP="000F267D">
      <w:pPr>
        <w:pStyle w:val="BT-EMEASMCA"/>
        <w:numPr>
          <w:ilvl w:val="0"/>
          <w:numId w:val="15"/>
        </w:numPr>
        <w:spacing w:after="0" w:line="240" w:lineRule="auto"/>
        <w:rPr>
          <w:rFonts w:ascii="Times New Roman" w:hAnsi="Times New Roman"/>
        </w:rPr>
      </w:pPr>
      <w:r w:rsidRPr="00112B89">
        <w:rPr>
          <w:rFonts w:ascii="Times New Roman" w:hAnsi="Times New Roman"/>
        </w:rPr>
        <w:t>Galimas šalutinis poveikis</w:t>
      </w:r>
    </w:p>
    <w:p w14:paraId="60E94D5C" w14:textId="77777777" w:rsidR="005A7416" w:rsidRPr="00112B89" w:rsidRDefault="005A7416" w:rsidP="000F267D">
      <w:pPr>
        <w:pStyle w:val="BT-EMEASMCA"/>
        <w:numPr>
          <w:ilvl w:val="0"/>
          <w:numId w:val="15"/>
        </w:numPr>
        <w:spacing w:after="0" w:line="240" w:lineRule="auto"/>
        <w:rPr>
          <w:rFonts w:ascii="Times New Roman" w:hAnsi="Times New Roman"/>
        </w:rPr>
      </w:pPr>
      <w:r w:rsidRPr="00112B89">
        <w:rPr>
          <w:rFonts w:ascii="Times New Roman" w:hAnsi="Times New Roman"/>
        </w:rPr>
        <w:t xml:space="preserve">Kaip laikyti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w:t>
      </w:r>
    </w:p>
    <w:p w14:paraId="7149B8CE" w14:textId="77777777" w:rsidR="005A7416" w:rsidRPr="00112B89" w:rsidRDefault="005A7416" w:rsidP="000F267D">
      <w:pPr>
        <w:pStyle w:val="BT-EMEASMCA"/>
        <w:numPr>
          <w:ilvl w:val="0"/>
          <w:numId w:val="15"/>
        </w:numPr>
        <w:spacing w:after="0" w:line="240" w:lineRule="auto"/>
        <w:rPr>
          <w:rFonts w:ascii="Times New Roman" w:hAnsi="Times New Roman"/>
        </w:rPr>
      </w:pPr>
      <w:r w:rsidRPr="00112B89">
        <w:rPr>
          <w:rFonts w:ascii="Times New Roman" w:hAnsi="Times New Roman"/>
        </w:rPr>
        <w:t>Pakuotės turinys ir kita informacija</w:t>
      </w:r>
    </w:p>
    <w:p w14:paraId="3443B6BD" w14:textId="77777777" w:rsidR="005A7416" w:rsidRPr="00112B89" w:rsidRDefault="005A7416" w:rsidP="0085684D">
      <w:pPr>
        <w:autoSpaceDE w:val="0"/>
        <w:autoSpaceDN w:val="0"/>
        <w:adjustRightInd w:val="0"/>
        <w:spacing w:after="0" w:line="240" w:lineRule="auto"/>
        <w:rPr>
          <w:rFonts w:ascii="Times New Roman" w:hAnsi="Times New Roman"/>
        </w:rPr>
      </w:pPr>
      <w:r w:rsidRPr="00112B89">
        <w:rPr>
          <w:rFonts w:ascii="Times New Roman" w:hAnsi="Times New Roman"/>
        </w:rPr>
        <w:t xml:space="preserve"> </w:t>
      </w:r>
    </w:p>
    <w:p w14:paraId="24C64CE6" w14:textId="77777777" w:rsidR="00C7398A" w:rsidRPr="00112B89" w:rsidRDefault="00C7398A" w:rsidP="00C7398A">
      <w:pPr>
        <w:spacing w:after="0" w:line="240" w:lineRule="auto"/>
        <w:rPr>
          <w:rFonts w:ascii="Times New Roman" w:hAnsi="Times New Roman"/>
        </w:rPr>
      </w:pPr>
    </w:p>
    <w:p w14:paraId="6680DE08" w14:textId="77777777" w:rsidR="00C7398A" w:rsidRPr="00112B89" w:rsidRDefault="00C7398A" w:rsidP="00C7398A">
      <w:pPr>
        <w:tabs>
          <w:tab w:val="left" w:pos="567"/>
        </w:tabs>
        <w:spacing w:after="0" w:line="240" w:lineRule="auto"/>
        <w:rPr>
          <w:rFonts w:ascii="Times New Roman" w:hAnsi="Times New Roman"/>
          <w:b/>
          <w:caps/>
        </w:rPr>
      </w:pPr>
      <w:r w:rsidRPr="00112B89">
        <w:rPr>
          <w:rFonts w:ascii="Times New Roman" w:hAnsi="Times New Roman"/>
          <w:b/>
        </w:rPr>
        <w:t>1.</w:t>
      </w:r>
      <w:r w:rsidRPr="00112B89">
        <w:rPr>
          <w:rFonts w:ascii="Times New Roman" w:hAnsi="Times New Roman"/>
          <w:b/>
        </w:rPr>
        <w:tab/>
        <w:t xml:space="preserve">Kas yra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ir kam jis vartojamas</w:t>
      </w:r>
    </w:p>
    <w:p w14:paraId="78D2C7DF" w14:textId="77777777" w:rsidR="00C7398A" w:rsidRPr="00112B89" w:rsidRDefault="00C7398A" w:rsidP="00C7398A">
      <w:pPr>
        <w:tabs>
          <w:tab w:val="left" w:pos="567"/>
        </w:tabs>
        <w:spacing w:after="0" w:line="240" w:lineRule="auto"/>
        <w:rPr>
          <w:rFonts w:ascii="Times New Roman" w:hAnsi="Times New Roman"/>
        </w:rPr>
      </w:pPr>
    </w:p>
    <w:p w14:paraId="494AB697" w14:textId="77777777" w:rsidR="005A7416" w:rsidRPr="00112B89" w:rsidRDefault="005A7416" w:rsidP="00795AFB">
      <w:pPr>
        <w:tabs>
          <w:tab w:val="left" w:pos="567"/>
        </w:tabs>
        <w:spacing w:after="0" w:line="240" w:lineRule="auto"/>
        <w:rPr>
          <w:rFonts w:ascii="Times New Roman" w:hAnsi="Times New Roman"/>
        </w:rPr>
      </w:pPr>
      <w:proofErr w:type="spellStart"/>
      <w:r w:rsidRPr="00112B89">
        <w:rPr>
          <w:rFonts w:ascii="Times New Roman" w:hAnsi="Times New Roman"/>
        </w:rPr>
        <w:t>Ibandrono</w:t>
      </w:r>
      <w:proofErr w:type="spellEnd"/>
      <w:r w:rsidRPr="00112B89">
        <w:rPr>
          <w:rFonts w:ascii="Times New Roman" w:hAnsi="Times New Roman"/>
        </w:rPr>
        <w:t xml:space="preserve"> rūgštis </w:t>
      </w:r>
      <w:r w:rsidRPr="00112B89">
        <w:rPr>
          <w:rFonts w:ascii="Times New Roman" w:hAnsi="Times New Roman"/>
          <w:spacing w:val="-3"/>
        </w:rPr>
        <w:t xml:space="preserve">priklauso vaistų, vadinamų </w:t>
      </w:r>
      <w:proofErr w:type="spellStart"/>
      <w:r w:rsidRPr="00112B89">
        <w:rPr>
          <w:rFonts w:ascii="Times New Roman" w:hAnsi="Times New Roman"/>
          <w:b/>
          <w:spacing w:val="-3"/>
        </w:rPr>
        <w:t>bisfosfonatai</w:t>
      </w:r>
      <w:r w:rsidRPr="00112B89">
        <w:rPr>
          <w:rFonts w:ascii="Times New Roman" w:hAnsi="Times New Roman"/>
          <w:spacing w:val="-3"/>
        </w:rPr>
        <w:t>s</w:t>
      </w:r>
      <w:proofErr w:type="spellEnd"/>
      <w:r w:rsidRPr="00112B89">
        <w:rPr>
          <w:rFonts w:ascii="Times New Roman" w:hAnsi="Times New Roman"/>
          <w:spacing w:val="-3"/>
        </w:rPr>
        <w:t>, grupei.</w:t>
      </w:r>
      <w:r w:rsidR="00491658" w:rsidRPr="00112B89">
        <w:rPr>
          <w:rFonts w:ascii="Times New Roman" w:hAnsi="Times New Roman"/>
          <w:spacing w:val="-3"/>
        </w:rPr>
        <w:t xml:space="preserve"> </w:t>
      </w:r>
      <w:r w:rsidR="00123658" w:rsidRPr="00112B89">
        <w:rPr>
          <w:rFonts w:ascii="Times New Roman" w:hAnsi="Times New Roman"/>
          <w:spacing w:val="-3"/>
        </w:rPr>
        <w:t xml:space="preserve">Šio vaisto </w:t>
      </w:r>
      <w:r w:rsidR="00491658" w:rsidRPr="00112B89">
        <w:rPr>
          <w:rFonts w:ascii="Times New Roman" w:hAnsi="Times New Roman"/>
          <w:spacing w:val="-3"/>
        </w:rPr>
        <w:t xml:space="preserve">sudėtyje yra </w:t>
      </w:r>
      <w:r w:rsidRPr="00112B89">
        <w:rPr>
          <w:rFonts w:ascii="Times New Roman" w:hAnsi="Times New Roman"/>
        </w:rPr>
        <w:t xml:space="preserve">veiklioji medžiaga </w:t>
      </w:r>
      <w:proofErr w:type="spellStart"/>
      <w:r w:rsidRPr="00112B89">
        <w:rPr>
          <w:rFonts w:ascii="Times New Roman" w:hAnsi="Times New Roman"/>
        </w:rPr>
        <w:t>ibandrono</w:t>
      </w:r>
      <w:proofErr w:type="spellEnd"/>
      <w:r w:rsidRPr="00112B89">
        <w:rPr>
          <w:rFonts w:ascii="Times New Roman" w:hAnsi="Times New Roman"/>
        </w:rPr>
        <w:t xml:space="preserve"> rūgštis. </w:t>
      </w:r>
    </w:p>
    <w:p w14:paraId="524B8D01" w14:textId="77777777" w:rsidR="00DC56EA" w:rsidRPr="00112B89" w:rsidRDefault="00DC56EA" w:rsidP="00C7398A">
      <w:pPr>
        <w:tabs>
          <w:tab w:val="left" w:pos="567"/>
        </w:tabs>
        <w:autoSpaceDE w:val="0"/>
        <w:autoSpaceDN w:val="0"/>
        <w:adjustRightInd w:val="0"/>
        <w:spacing w:after="0" w:line="240" w:lineRule="auto"/>
        <w:rPr>
          <w:rFonts w:ascii="Times New Roman" w:hAnsi="Times New Roman"/>
        </w:rPr>
      </w:pPr>
    </w:p>
    <w:p w14:paraId="376D4A83"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rPr>
        <w:t>Ibandrono</w:t>
      </w:r>
      <w:proofErr w:type="spellEnd"/>
      <w:r w:rsidRPr="00112B89">
        <w:rPr>
          <w:rFonts w:ascii="Times New Roman" w:hAnsi="Times New Roman"/>
        </w:rPr>
        <w:t xml:space="preserve"> rūgštis gali sustabdyti kaulų retėjimą, nes stabdo kaulų masės mažėjimą ir didina kaulų masę daugumai šį vaistą vartojančių moterų, net ir toms, kurios nepastebi ar nejaučia skirtumų. </w:t>
      </w:r>
      <w:proofErr w:type="spellStart"/>
      <w:r w:rsidRPr="00112B89">
        <w:rPr>
          <w:rFonts w:ascii="Times New Roman" w:hAnsi="Times New Roman"/>
        </w:rPr>
        <w:t>Ibandrono</w:t>
      </w:r>
      <w:proofErr w:type="spellEnd"/>
      <w:r w:rsidRPr="00112B89">
        <w:rPr>
          <w:rFonts w:ascii="Times New Roman" w:hAnsi="Times New Roman"/>
        </w:rPr>
        <w:t xml:space="preserve"> rūgštis gali padėti sumažinti kaulų lūžių tikimybę. Įrodyta, kad vaistas sumažina stuburo slankstelių, bet ne šlaunikaulio, lūžių riziką.</w:t>
      </w:r>
    </w:p>
    <w:p w14:paraId="76D053AF" w14:textId="77777777" w:rsidR="005A7416" w:rsidRPr="00112B89" w:rsidRDefault="005A7416" w:rsidP="00B97B53">
      <w:pPr>
        <w:tabs>
          <w:tab w:val="left" w:pos="567"/>
        </w:tabs>
        <w:spacing w:after="0" w:line="240" w:lineRule="auto"/>
        <w:rPr>
          <w:rFonts w:ascii="Times New Roman" w:hAnsi="Times New Roman"/>
          <w:b/>
        </w:rPr>
      </w:pPr>
    </w:p>
    <w:p w14:paraId="3127677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b/>
        </w:rPr>
        <w:t>Ibandrono</w:t>
      </w:r>
      <w:proofErr w:type="spellEnd"/>
      <w:r w:rsidRPr="00112B89">
        <w:rPr>
          <w:rFonts w:ascii="Times New Roman" w:hAnsi="Times New Roman"/>
          <w:b/>
        </w:rPr>
        <w:t xml:space="preserve"> rūgštis</w:t>
      </w:r>
      <w:r w:rsidRPr="00112B89">
        <w:rPr>
          <w:rFonts w:ascii="Times New Roman" w:hAnsi="Times New Roman"/>
          <w:b/>
          <w:bCs/>
        </w:rPr>
        <w:t xml:space="preserve"> skiriama osteoporozei po menopauzės gydyti, kai yra padidėjusi kaulų lūžių rizika</w:t>
      </w:r>
      <w:r w:rsidRPr="00112B89">
        <w:rPr>
          <w:rFonts w:ascii="Times New Roman" w:hAnsi="Times New Roman"/>
        </w:rPr>
        <w:t xml:space="preserve">. </w:t>
      </w:r>
    </w:p>
    <w:p w14:paraId="4FB85874" w14:textId="77777777" w:rsidR="008C7AC2"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Osteoporozė yra kaulų išretėjimas ir susilpnėjimas, kuris dažnai pasireiškia moterims po menopauzės. Menopauzė pasireiškia, kai moters kiaušidės nustoja gaminti moteriškąjį lytinį hormoną estrogeną, kuris padeda palaikyti sveikus kaulus.</w:t>
      </w:r>
      <w:r w:rsidR="008C7AC2" w:rsidRPr="00112B89">
        <w:rPr>
          <w:rFonts w:ascii="Times New Roman" w:hAnsi="Times New Roman"/>
        </w:rPr>
        <w:t xml:space="preserve"> </w:t>
      </w:r>
      <w:r w:rsidRPr="00112B89">
        <w:rPr>
          <w:rFonts w:ascii="Times New Roman" w:hAnsi="Times New Roman"/>
        </w:rPr>
        <w:t>Kuo anksčiau moteriai pasireiškia menopauzė, tuo didesnė su osteoporoze susijusių kaulų lūžių rizika.</w:t>
      </w:r>
    </w:p>
    <w:p w14:paraId="6E264463" w14:textId="77777777" w:rsidR="008C7AC2" w:rsidRPr="00112B89" w:rsidRDefault="008C7AC2" w:rsidP="00C7398A">
      <w:pPr>
        <w:tabs>
          <w:tab w:val="left" w:pos="567"/>
        </w:tabs>
        <w:autoSpaceDE w:val="0"/>
        <w:autoSpaceDN w:val="0"/>
        <w:adjustRightInd w:val="0"/>
        <w:spacing w:after="0" w:line="240" w:lineRule="auto"/>
        <w:rPr>
          <w:rFonts w:ascii="Times New Roman" w:hAnsi="Times New Roman"/>
        </w:rPr>
      </w:pPr>
    </w:p>
    <w:p w14:paraId="4D1A798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Kiti kaulų lūžių riziką didinantys veiksniai yra šie:</w:t>
      </w:r>
    </w:p>
    <w:p w14:paraId="0BB54215" w14:textId="77777777" w:rsidR="005A7416" w:rsidRPr="00112B89" w:rsidRDefault="005A7416" w:rsidP="006E6F32">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nepakankamas kalcio ir vitamino D kiekis maiste;</w:t>
      </w:r>
    </w:p>
    <w:p w14:paraId="43B4D3C7" w14:textId="77777777" w:rsidR="005A7416" w:rsidRPr="00112B89" w:rsidRDefault="005A7416" w:rsidP="006E6F32">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rūkymas arba per gausus alkoholio vartojimas;</w:t>
      </w:r>
    </w:p>
    <w:p w14:paraId="0B2D6352" w14:textId="77777777" w:rsidR="005A7416" w:rsidRPr="00112B89" w:rsidRDefault="005A7416" w:rsidP="006E6F32">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nepakankamas vaikščiojimas arba daroma per mažai kitų kūno masę reguliuojančių pratimų;</w:t>
      </w:r>
    </w:p>
    <w:p w14:paraId="6747F516" w14:textId="77777777" w:rsidR="005A7416" w:rsidRPr="00112B89" w:rsidRDefault="005A7416" w:rsidP="006E6F32">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giminėje buvusi osteoporozė.</w:t>
      </w:r>
    </w:p>
    <w:p w14:paraId="4E9244F4"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5C6C170F" w14:textId="77777777" w:rsidR="00491658"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b/>
          <w:bCs/>
        </w:rPr>
        <w:t>Sveikas gyvenimo būdas</w:t>
      </w:r>
      <w:r w:rsidRPr="00112B89">
        <w:rPr>
          <w:rFonts w:ascii="Times New Roman" w:hAnsi="Times New Roman"/>
        </w:rPr>
        <w:t xml:space="preserve"> taip pat padės gauti daugiau naudos iš gydymo. Tai yra</w:t>
      </w:r>
      <w:r w:rsidR="00491658" w:rsidRPr="00112B89">
        <w:rPr>
          <w:rFonts w:ascii="Times New Roman" w:hAnsi="Times New Roman"/>
        </w:rPr>
        <w:t>:</w:t>
      </w:r>
    </w:p>
    <w:p w14:paraId="39BD9329" w14:textId="77777777" w:rsidR="00491658" w:rsidRPr="00112B89" w:rsidRDefault="005A7416" w:rsidP="00D815E5">
      <w:pPr>
        <w:pStyle w:val="BT-EMEASMCA"/>
        <w:spacing w:after="0" w:line="240" w:lineRule="auto"/>
        <w:ind w:left="567" w:hanging="567"/>
        <w:rPr>
          <w:rFonts w:ascii="Times New Roman" w:hAnsi="Times New Roman"/>
        </w:rPr>
      </w:pPr>
      <w:r w:rsidRPr="00112B89">
        <w:rPr>
          <w:rFonts w:ascii="Times New Roman" w:hAnsi="Times New Roman"/>
        </w:rPr>
        <w:t xml:space="preserve">subalansuota mityba daug kalcio, ir vitamino D turinčiu maistu, </w:t>
      </w:r>
    </w:p>
    <w:p w14:paraId="38C35746" w14:textId="77777777" w:rsidR="00491658" w:rsidRPr="00112B89" w:rsidRDefault="005A7416" w:rsidP="00D815E5">
      <w:pPr>
        <w:pStyle w:val="BT-EMEASMCA"/>
        <w:spacing w:after="0" w:line="240" w:lineRule="auto"/>
        <w:ind w:left="567" w:hanging="567"/>
        <w:rPr>
          <w:rFonts w:ascii="Times New Roman" w:hAnsi="Times New Roman"/>
        </w:rPr>
      </w:pPr>
      <w:r w:rsidRPr="00112B89">
        <w:rPr>
          <w:rFonts w:ascii="Times New Roman" w:hAnsi="Times New Roman"/>
        </w:rPr>
        <w:t xml:space="preserve">vaikščiojimas arba kitokia kūno masę reguliuojanti mankšta, </w:t>
      </w:r>
    </w:p>
    <w:p w14:paraId="38F7E7EE" w14:textId="77777777" w:rsidR="005A7416" w:rsidRPr="00112B89" w:rsidRDefault="005A7416" w:rsidP="00D815E5">
      <w:pPr>
        <w:pStyle w:val="BT-EMEASMCA"/>
        <w:spacing w:after="0" w:line="240" w:lineRule="auto"/>
        <w:ind w:left="567" w:hanging="567"/>
        <w:rPr>
          <w:rFonts w:ascii="Times New Roman" w:hAnsi="Times New Roman"/>
        </w:rPr>
      </w:pPr>
      <w:r w:rsidRPr="00112B89">
        <w:rPr>
          <w:rFonts w:ascii="Times New Roman" w:hAnsi="Times New Roman"/>
        </w:rPr>
        <w:t>nerūkymas ir didelių alkoholio kiekių nevartojimas.</w:t>
      </w:r>
    </w:p>
    <w:p w14:paraId="1989649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46E4A123"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4C06A2F7"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b/>
          <w:bCs/>
        </w:rPr>
        <w:t>2.</w:t>
      </w:r>
      <w:r w:rsidRPr="00112B89">
        <w:rPr>
          <w:rFonts w:ascii="Times New Roman" w:hAnsi="Times New Roman"/>
          <w:b/>
          <w:bCs/>
        </w:rPr>
        <w:tab/>
        <w:t xml:space="preserve">Kas žinotina prieš vartojant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p>
    <w:p w14:paraId="35A6C31C"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rPr>
      </w:pPr>
    </w:p>
    <w:p w14:paraId="5997D9CB" w14:textId="7C487CEF"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00F147C2" w:rsidRPr="00112B89">
        <w:rPr>
          <w:rFonts w:ascii="Times New Roman" w:hAnsi="Times New Roman"/>
          <w:b/>
        </w:rPr>
        <w:t xml:space="preserve"> </w:t>
      </w:r>
      <w:r w:rsidRPr="00112B89">
        <w:rPr>
          <w:rFonts w:ascii="Times New Roman" w:hAnsi="Times New Roman"/>
          <w:b/>
          <w:bCs/>
        </w:rPr>
        <w:t xml:space="preserve">vartoti </w:t>
      </w:r>
      <w:r w:rsidR="00DC331F">
        <w:rPr>
          <w:rFonts w:ascii="Times New Roman" w:hAnsi="Times New Roman"/>
          <w:b/>
          <w:bCs/>
        </w:rPr>
        <w:t>draudžiama</w:t>
      </w:r>
      <w:r w:rsidRPr="00112B89">
        <w:rPr>
          <w:rFonts w:ascii="Times New Roman" w:hAnsi="Times New Roman"/>
          <w:b/>
          <w:bCs/>
        </w:rPr>
        <w:t>:</w:t>
      </w:r>
    </w:p>
    <w:p w14:paraId="318B2BAC" w14:textId="77777777" w:rsidR="005A7416" w:rsidRPr="00112B89" w:rsidRDefault="005A7416" w:rsidP="00D815E5">
      <w:pPr>
        <w:tabs>
          <w:tab w:val="left" w:pos="567"/>
        </w:tabs>
        <w:autoSpaceDE w:val="0"/>
        <w:autoSpaceDN w:val="0"/>
        <w:adjustRightInd w:val="0"/>
        <w:spacing w:after="0" w:line="240" w:lineRule="auto"/>
        <w:ind w:left="567" w:hanging="567"/>
        <w:rPr>
          <w:rFonts w:ascii="Times New Roman" w:hAnsi="Times New Roman"/>
        </w:rPr>
      </w:pPr>
    </w:p>
    <w:p w14:paraId="431720AE" w14:textId="77777777" w:rsidR="005A7416" w:rsidRPr="00112B89" w:rsidRDefault="005A7416" w:rsidP="00D815E5">
      <w:pPr>
        <w:pStyle w:val="BT-EMEASMCA"/>
        <w:tabs>
          <w:tab w:val="left" w:pos="567"/>
        </w:tabs>
        <w:spacing w:after="0" w:line="240" w:lineRule="auto"/>
        <w:ind w:left="567" w:hanging="567"/>
        <w:rPr>
          <w:rFonts w:ascii="Times New Roman" w:hAnsi="Times New Roman"/>
        </w:rPr>
      </w:pPr>
      <w:r w:rsidRPr="00112B89">
        <w:rPr>
          <w:rFonts w:ascii="Times New Roman" w:hAnsi="Times New Roman"/>
          <w:b/>
        </w:rPr>
        <w:lastRenderedPageBreak/>
        <w:t>jeigu kraujyje yra arba anksčiau buvo sumažėjusi kalcio koncentracija</w:t>
      </w:r>
      <w:r w:rsidRPr="00112B89">
        <w:rPr>
          <w:rFonts w:ascii="Times New Roman" w:hAnsi="Times New Roman"/>
        </w:rPr>
        <w:t>. Pasitarkite su savo gydytoju</w:t>
      </w:r>
      <w:r w:rsidR="00D815E5" w:rsidRPr="00112B89">
        <w:rPr>
          <w:rFonts w:ascii="Times New Roman" w:hAnsi="Times New Roman"/>
        </w:rPr>
        <w:t>;</w:t>
      </w:r>
    </w:p>
    <w:p w14:paraId="694D79B7" w14:textId="77777777" w:rsidR="005A7416" w:rsidRPr="00112B89" w:rsidRDefault="005A7416" w:rsidP="00D815E5">
      <w:pPr>
        <w:pStyle w:val="BT-EMEASMCA"/>
        <w:tabs>
          <w:tab w:val="left" w:pos="567"/>
        </w:tabs>
        <w:spacing w:after="0" w:line="240" w:lineRule="auto"/>
        <w:ind w:left="567" w:hanging="567"/>
        <w:rPr>
          <w:rFonts w:ascii="Times New Roman" w:hAnsi="Times New Roman"/>
          <w:color w:val="000000"/>
        </w:rPr>
      </w:pPr>
      <w:r w:rsidRPr="00112B89">
        <w:rPr>
          <w:rFonts w:ascii="Times New Roman" w:hAnsi="Times New Roman"/>
        </w:rPr>
        <w:t xml:space="preserve">jeigu yra </w:t>
      </w:r>
      <w:r w:rsidRPr="00112B89">
        <w:rPr>
          <w:rFonts w:ascii="Times New Roman" w:hAnsi="Times New Roman"/>
          <w:b/>
        </w:rPr>
        <w:t>alergija (padidėjęs jautrumas</w:t>
      </w:r>
      <w:r w:rsidRPr="00112B89">
        <w:rPr>
          <w:rFonts w:ascii="Times New Roman" w:hAnsi="Times New Roman"/>
        </w:rPr>
        <w:t xml:space="preserve">) </w:t>
      </w:r>
      <w:proofErr w:type="spellStart"/>
      <w:r w:rsidRPr="00112B89">
        <w:rPr>
          <w:rFonts w:ascii="Times New Roman" w:hAnsi="Times New Roman"/>
        </w:rPr>
        <w:t>ibandrono</w:t>
      </w:r>
      <w:proofErr w:type="spellEnd"/>
      <w:r w:rsidRPr="00112B89">
        <w:rPr>
          <w:rFonts w:ascii="Times New Roman" w:hAnsi="Times New Roman"/>
        </w:rPr>
        <w:t xml:space="preserve"> rūgščiai arba bet kuriai pagalbinei </w:t>
      </w:r>
      <w:r w:rsidRPr="00112B89">
        <w:rPr>
          <w:rFonts w:ascii="Times New Roman" w:hAnsi="Times New Roman"/>
          <w:color w:val="000000"/>
        </w:rPr>
        <w:t>šio vaisto medžiagai (jos išvardytos 6 skyriuje).</w:t>
      </w:r>
    </w:p>
    <w:p w14:paraId="5C435EC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p>
    <w:p w14:paraId="1F972D4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color w:val="000000"/>
        </w:rPr>
      </w:pPr>
      <w:r w:rsidRPr="00112B89">
        <w:rPr>
          <w:rFonts w:ascii="Times New Roman" w:hAnsi="Times New Roman"/>
          <w:b/>
          <w:bCs/>
          <w:color w:val="000000"/>
        </w:rPr>
        <w:t>Įspėjimai ir atsargumo priemonės</w:t>
      </w:r>
    </w:p>
    <w:p w14:paraId="05B1508B" w14:textId="77777777" w:rsidR="00A86531" w:rsidRPr="00112B89" w:rsidRDefault="00A86531" w:rsidP="00AF76F1">
      <w:pPr>
        <w:autoSpaceDE w:val="0"/>
        <w:autoSpaceDN w:val="0"/>
        <w:adjustRightInd w:val="0"/>
        <w:spacing w:after="0" w:line="240" w:lineRule="auto"/>
        <w:rPr>
          <w:rFonts w:ascii="Times New Roman" w:hAnsi="Times New Roman"/>
        </w:rPr>
      </w:pPr>
      <w:proofErr w:type="spellStart"/>
      <w:r w:rsidRPr="0089774B">
        <w:rPr>
          <w:rFonts w:ascii="Times New Roman" w:hAnsi="Times New Roman"/>
          <w:lang w:eastAsia="lt-LT"/>
        </w:rPr>
        <w:t>Ibandronic</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acid</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ratiopharm</w:t>
      </w:r>
      <w:proofErr w:type="spellEnd"/>
      <w:r w:rsidRPr="0089774B">
        <w:rPr>
          <w:rFonts w:ascii="Times New Roman" w:hAnsi="Times New Roman"/>
          <w:lang w:eastAsia="lt-LT"/>
        </w:rPr>
        <w:t xml:space="preserve"> injekcin</w:t>
      </w:r>
      <w:r w:rsidRPr="0089774B">
        <w:rPr>
          <w:rFonts w:ascii="TimesNewRomanPSMT" w:eastAsia="TimesNewRomanPSMT" w:hAnsi="Times New Roman" w:cs="TimesNewRomanPSMT"/>
          <w:lang w:eastAsia="lt-LT"/>
        </w:rPr>
        <w:t>į</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tirpal</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vartojantiems pacientams, kurie sirgo v</w:t>
      </w:r>
      <w:r w:rsidRPr="0089774B">
        <w:rPr>
          <w:rFonts w:ascii="TimesNewRomanPSMT" w:eastAsia="TimesNewRomanPSMT" w:hAnsi="Times New Roman" w:cs="TimesNewRomanPSMT"/>
          <w:lang w:eastAsia="lt-LT"/>
        </w:rPr>
        <w:t>ė</w:t>
      </w:r>
      <w:r w:rsidRPr="0089774B">
        <w:rPr>
          <w:rFonts w:ascii="Times New Roman" w:hAnsi="Times New Roman"/>
          <w:lang w:eastAsia="lt-LT"/>
        </w:rPr>
        <w:t>žio liga, yra pasteb</w:t>
      </w:r>
      <w:r w:rsidRPr="0089774B">
        <w:rPr>
          <w:rFonts w:ascii="TimesNewRomanPSMT" w:eastAsia="TimesNewRomanPSMT" w:hAnsi="Times New Roman" w:cs="TimesNewRomanPSMT"/>
          <w:lang w:eastAsia="lt-LT"/>
        </w:rPr>
        <w:t>ė</w:t>
      </w:r>
      <w:r w:rsidRPr="0089774B">
        <w:rPr>
          <w:rFonts w:ascii="Times New Roman" w:hAnsi="Times New Roman"/>
          <w:lang w:eastAsia="lt-LT"/>
        </w:rPr>
        <w:t>tas labai retas šalutinis poveikis, pasteb</w:t>
      </w:r>
      <w:r w:rsidRPr="0089774B">
        <w:rPr>
          <w:rFonts w:ascii="TimesNewRomanPSMT" w:eastAsia="TimesNewRomanPSMT" w:hAnsi="Times New Roman" w:cs="TimesNewRomanPSMT"/>
          <w:lang w:eastAsia="lt-LT"/>
        </w:rPr>
        <w:t>ė</w:t>
      </w:r>
      <w:r w:rsidRPr="0089774B">
        <w:rPr>
          <w:rFonts w:ascii="Times New Roman" w:hAnsi="Times New Roman"/>
          <w:lang w:eastAsia="lt-LT"/>
        </w:rPr>
        <w:t xml:space="preserve">tas vaistiniam preparatui esant rinkoje, vadinamas žandikaulio </w:t>
      </w:r>
      <w:proofErr w:type="spellStart"/>
      <w:r w:rsidRPr="0089774B">
        <w:rPr>
          <w:rFonts w:ascii="Times New Roman" w:hAnsi="Times New Roman"/>
          <w:lang w:eastAsia="lt-LT"/>
        </w:rPr>
        <w:t>osteonekroze</w:t>
      </w:r>
      <w:proofErr w:type="spellEnd"/>
      <w:r w:rsidRPr="0089774B">
        <w:rPr>
          <w:rFonts w:ascii="Times New Roman" w:hAnsi="Times New Roman"/>
          <w:lang w:eastAsia="lt-LT"/>
        </w:rPr>
        <w:t xml:space="preserve"> (ŽON) (kaulo pažaida žandikaulyje). ŽON taip pat gali pasireikšti po gydymo nutraukimo.</w:t>
      </w:r>
    </w:p>
    <w:p w14:paraId="7E6BA41B" w14:textId="77777777" w:rsidR="00A86531" w:rsidRPr="00112B89" w:rsidRDefault="00A86531" w:rsidP="00C7398A">
      <w:pPr>
        <w:tabs>
          <w:tab w:val="left" w:pos="567"/>
        </w:tabs>
        <w:spacing w:after="0" w:line="240" w:lineRule="auto"/>
        <w:rPr>
          <w:rFonts w:ascii="Times New Roman" w:hAnsi="Times New Roman"/>
        </w:rPr>
      </w:pPr>
    </w:p>
    <w:p w14:paraId="0283A82F" w14:textId="77777777" w:rsidR="00A86531" w:rsidRPr="0089774B" w:rsidRDefault="00A86531" w:rsidP="00A86531">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Svarbu stengtis išvengti ŽON atsiradimo, nes tai yra skausminga b</w:t>
      </w:r>
      <w:r w:rsidRPr="0089774B">
        <w:rPr>
          <w:rFonts w:ascii="TimesNewRomanPSMT" w:eastAsia="TimesNewRomanPSMT" w:hAnsi="Times New Roman" w:cs="TimesNewRomanPSMT"/>
          <w:lang w:eastAsia="lt-LT"/>
        </w:rPr>
        <w:t>ū</w:t>
      </w:r>
      <w:r w:rsidRPr="0089774B">
        <w:rPr>
          <w:rFonts w:ascii="Times New Roman" w:hAnsi="Times New Roman"/>
          <w:lang w:eastAsia="lt-LT"/>
        </w:rPr>
        <w:t>kl</w:t>
      </w:r>
      <w:r w:rsidRPr="0089774B">
        <w:rPr>
          <w:rFonts w:ascii="TimesNewRomanPSMT" w:eastAsia="TimesNewRomanPSMT" w:hAnsi="Times New Roman" w:cs="TimesNewRomanPSMT"/>
          <w:lang w:eastAsia="lt-LT"/>
        </w:rPr>
        <w:t>ė</w:t>
      </w:r>
      <w:r w:rsidRPr="0089774B">
        <w:rPr>
          <w:rFonts w:ascii="Times New Roman" w:hAnsi="Times New Roman"/>
          <w:lang w:eastAsia="lt-LT"/>
        </w:rPr>
        <w:t>, kuri</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gali b</w:t>
      </w:r>
      <w:r w:rsidRPr="0089774B">
        <w:rPr>
          <w:rFonts w:ascii="TimesNewRomanPSMT" w:eastAsia="TimesNewRomanPSMT" w:hAnsi="Times New Roman" w:cs="TimesNewRomanPSMT"/>
          <w:lang w:eastAsia="lt-LT"/>
        </w:rPr>
        <w:t>ū</w:t>
      </w:r>
      <w:r w:rsidRPr="0089774B">
        <w:rPr>
          <w:rFonts w:ascii="Times New Roman" w:hAnsi="Times New Roman"/>
          <w:lang w:eastAsia="lt-LT"/>
        </w:rPr>
        <w:t xml:space="preserve">ti sunku gydyti. Norint sumažinti žandikaulio </w:t>
      </w:r>
      <w:proofErr w:type="spellStart"/>
      <w:r w:rsidRPr="0089774B">
        <w:rPr>
          <w:rFonts w:ascii="Times New Roman" w:hAnsi="Times New Roman"/>
          <w:lang w:eastAsia="lt-LT"/>
        </w:rPr>
        <w:t>osteonekroz</w:t>
      </w:r>
      <w:r w:rsidRPr="0089774B">
        <w:rPr>
          <w:rFonts w:ascii="TimesNewRomanPSMT" w:eastAsia="TimesNewRomanPSMT" w:hAnsi="Times New Roman" w:cs="TimesNewRomanPSMT"/>
          <w:lang w:eastAsia="lt-LT"/>
        </w:rPr>
        <w:t>ė</w:t>
      </w:r>
      <w:r w:rsidRPr="0089774B">
        <w:rPr>
          <w:rFonts w:ascii="Times New Roman" w:hAnsi="Times New Roman"/>
          <w:lang w:eastAsia="lt-LT"/>
        </w:rPr>
        <w:t>s</w:t>
      </w:r>
      <w:proofErr w:type="spellEnd"/>
      <w:r w:rsidRPr="0089774B">
        <w:rPr>
          <w:rFonts w:ascii="Times New Roman" w:hAnsi="Times New Roman"/>
          <w:lang w:eastAsia="lt-LT"/>
        </w:rPr>
        <w:t xml:space="preserve"> atsiradimo pavoj</w:t>
      </w:r>
      <w:r w:rsidRPr="0089774B">
        <w:rPr>
          <w:rFonts w:ascii="TimesNewRomanPSMT" w:eastAsia="TimesNewRomanPSMT" w:hAnsi="Times New Roman" w:cs="TimesNewRomanPSMT"/>
          <w:lang w:eastAsia="lt-LT"/>
        </w:rPr>
        <w:t>ų</w:t>
      </w:r>
      <w:r w:rsidRPr="0089774B">
        <w:rPr>
          <w:rFonts w:ascii="Times New Roman" w:hAnsi="Times New Roman"/>
          <w:lang w:eastAsia="lt-LT"/>
        </w:rPr>
        <w:t>, yra keletas atsargumo priemoni</w:t>
      </w:r>
      <w:r w:rsidRPr="0089774B">
        <w:rPr>
          <w:rFonts w:ascii="TimesNewRomanPSMT" w:eastAsia="TimesNewRomanPSMT" w:hAnsi="Times New Roman" w:cs="TimesNewRomanPSMT"/>
          <w:lang w:eastAsia="lt-LT"/>
        </w:rPr>
        <w:t>ų</w:t>
      </w:r>
      <w:r w:rsidRPr="0089774B">
        <w:rPr>
          <w:rFonts w:ascii="Times New Roman" w:hAnsi="Times New Roman"/>
          <w:lang w:eastAsia="lt-LT"/>
        </w:rPr>
        <w:t>, kuri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Jums reikia imtis. </w:t>
      </w:r>
    </w:p>
    <w:p w14:paraId="3A998DE2" w14:textId="77777777" w:rsidR="00EE217A" w:rsidRDefault="00EE217A" w:rsidP="00A86531">
      <w:pPr>
        <w:autoSpaceDE w:val="0"/>
        <w:autoSpaceDN w:val="0"/>
        <w:adjustRightInd w:val="0"/>
        <w:spacing w:after="0" w:line="240" w:lineRule="auto"/>
        <w:rPr>
          <w:rFonts w:ascii="Times New Roman" w:hAnsi="Times New Roman"/>
          <w:lang w:eastAsia="lt-LT"/>
        </w:rPr>
      </w:pPr>
    </w:p>
    <w:p w14:paraId="0FD7B6AB" w14:textId="03EDCBCC" w:rsidR="00A86531" w:rsidRDefault="00DC331F" w:rsidP="00A86531">
      <w:pPr>
        <w:autoSpaceDE w:val="0"/>
        <w:autoSpaceDN w:val="0"/>
        <w:adjustRightInd w:val="0"/>
        <w:spacing w:after="0" w:line="240" w:lineRule="auto"/>
        <w:rPr>
          <w:rFonts w:ascii="Times New Roman" w:hAnsi="Times New Roman"/>
          <w:lang w:eastAsia="lt-LT"/>
        </w:rPr>
      </w:pPr>
      <w:r w:rsidRPr="00DC331F">
        <w:rPr>
          <w:rFonts w:ascii="Times New Roman" w:eastAsia="Times New Roman" w:hAnsi="Times New Roman"/>
          <w:color w:val="000000"/>
        </w:rPr>
        <w:t xml:space="preserve">Ilgai </w:t>
      </w:r>
      <w:proofErr w:type="spellStart"/>
      <w:r w:rsidR="00596E63">
        <w:rPr>
          <w:rFonts w:ascii="Times New Roman" w:eastAsia="Times New Roman" w:hAnsi="Times New Roman"/>
          <w:color w:val="000000"/>
        </w:rPr>
        <w:t>ibandrono</w:t>
      </w:r>
      <w:proofErr w:type="spellEnd"/>
      <w:r w:rsidR="00596E63">
        <w:rPr>
          <w:rFonts w:ascii="Times New Roman" w:eastAsia="Times New Roman" w:hAnsi="Times New Roman"/>
          <w:color w:val="000000"/>
        </w:rPr>
        <w:t xml:space="preserve"> rūgštimi </w:t>
      </w:r>
      <w:r w:rsidRPr="00DC331F">
        <w:rPr>
          <w:rFonts w:ascii="Times New Roman" w:eastAsia="Times New Roman" w:hAnsi="Times New Roman"/>
          <w:color w:val="000000"/>
        </w:rPr>
        <w:t>gydomiems pacientams taip pat buvo pastebėta netipinių ilgųjų kaulų, pavyzdžiui, alkūnkaulio ir blauzdikaulio, lūžių. Šie lūžiai įvyksta po mažos traumos arba ne dėl jos, o kai kurie pacientai jaučia skausmą lūžio vietoje prieš įvykstant pilnam lūžiui.</w:t>
      </w:r>
    </w:p>
    <w:p w14:paraId="7E882B36" w14:textId="77777777" w:rsidR="00EE217A" w:rsidRDefault="00EE217A" w:rsidP="00A86531">
      <w:pPr>
        <w:autoSpaceDE w:val="0"/>
        <w:autoSpaceDN w:val="0"/>
        <w:adjustRightInd w:val="0"/>
        <w:spacing w:after="0" w:line="240" w:lineRule="auto"/>
        <w:rPr>
          <w:rFonts w:ascii="Times New Roman" w:hAnsi="Times New Roman"/>
          <w:lang w:eastAsia="lt-LT"/>
        </w:rPr>
      </w:pPr>
    </w:p>
    <w:p w14:paraId="61877C50" w14:textId="77777777" w:rsidR="00A86531" w:rsidRPr="0089774B" w:rsidRDefault="00A86531" w:rsidP="00A86531">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Prieš prad</w:t>
      </w:r>
      <w:r w:rsidRPr="0089774B">
        <w:rPr>
          <w:rFonts w:ascii="TimesNewRomanPSMT" w:eastAsia="TimesNewRomanPSMT" w:hAnsi="Times New Roman" w:cs="TimesNewRomanPSMT"/>
          <w:lang w:eastAsia="lt-LT"/>
        </w:rPr>
        <w:t>ė</w:t>
      </w:r>
      <w:r w:rsidRPr="0089774B">
        <w:rPr>
          <w:rFonts w:ascii="Times New Roman" w:hAnsi="Times New Roman"/>
          <w:lang w:eastAsia="lt-LT"/>
        </w:rPr>
        <w:t>dami gydytis pasakykite gydytojui ar slaugytojui (sveikatos prieži</w:t>
      </w:r>
      <w:r w:rsidRPr="0089774B">
        <w:rPr>
          <w:rFonts w:ascii="TimesNewRomanPSMT" w:eastAsia="TimesNewRomanPSMT" w:hAnsi="Times New Roman" w:cs="TimesNewRomanPSMT"/>
          <w:lang w:eastAsia="lt-LT"/>
        </w:rPr>
        <w:t>ū</w:t>
      </w:r>
      <w:r w:rsidRPr="0089774B">
        <w:rPr>
          <w:rFonts w:ascii="Times New Roman" w:hAnsi="Times New Roman"/>
          <w:lang w:eastAsia="lt-LT"/>
        </w:rPr>
        <w:t>ros specialistui), jeigu:</w:t>
      </w:r>
    </w:p>
    <w:p w14:paraId="25B8F0C4" w14:textId="77777777" w:rsidR="00A86531" w:rsidRPr="0089774B" w:rsidRDefault="00A86531" w:rsidP="00AF76F1">
      <w:pPr>
        <w:pStyle w:val="Sraopastraipa"/>
        <w:numPr>
          <w:ilvl w:val="0"/>
          <w:numId w:val="37"/>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turite koki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nors burnos ar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problem</w:t>
      </w:r>
      <w:r w:rsidRPr="0089774B">
        <w:rPr>
          <w:rFonts w:ascii="TimesNewRomanPSMT" w:eastAsia="TimesNewRomanPSMT" w:hAnsi="Times New Roman" w:cs="TimesNewRomanPSMT"/>
          <w:lang w:eastAsia="lt-LT"/>
        </w:rPr>
        <w:t>ų</w:t>
      </w:r>
      <w:r w:rsidRPr="0089774B">
        <w:rPr>
          <w:rFonts w:ascii="Times New Roman" w:hAnsi="Times New Roman"/>
          <w:lang w:eastAsia="lt-LT"/>
        </w:rPr>
        <w:t>, toki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kaip prasta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w:t>
      </w:r>
      <w:r w:rsidRPr="0089774B">
        <w:rPr>
          <w:rFonts w:ascii="TimesNewRomanPSMT" w:eastAsia="TimesNewRomanPSMT" w:hAnsi="Times New Roman" w:cs="TimesNewRomanPSMT"/>
          <w:lang w:eastAsia="lt-LT"/>
        </w:rPr>
        <w:t>ū</w:t>
      </w:r>
      <w:r w:rsidRPr="0089774B">
        <w:rPr>
          <w:rFonts w:ascii="Times New Roman" w:hAnsi="Times New Roman"/>
          <w:lang w:eastAsia="lt-LT"/>
        </w:rPr>
        <w:t>kl</w:t>
      </w:r>
      <w:r w:rsidRPr="0089774B">
        <w:rPr>
          <w:rFonts w:ascii="TimesNewRomanPSMT" w:eastAsia="TimesNewRomanPSMT" w:hAnsi="Times New Roman" w:cs="TimesNewRomanPSMT"/>
          <w:lang w:eastAsia="lt-LT"/>
        </w:rPr>
        <w:t>ė</w:t>
      </w:r>
      <w:r w:rsidRPr="0089774B">
        <w:rPr>
          <w:rFonts w:ascii="Times New Roman" w:hAnsi="Times New Roman"/>
          <w:lang w:eastAsia="lt-LT"/>
        </w:rPr>
        <w:t>, danten</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liga ar planuojamas danties ištraukimas;</w:t>
      </w:r>
    </w:p>
    <w:p w14:paraId="42F951AA" w14:textId="77777777" w:rsidR="00A86531" w:rsidRPr="0089774B" w:rsidRDefault="00A86531" w:rsidP="00AF76F1">
      <w:pPr>
        <w:pStyle w:val="Sraopastraipa"/>
        <w:numPr>
          <w:ilvl w:val="0"/>
          <w:numId w:val="37"/>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kasdien nevalote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arba senai buvote pas odontolog</w:t>
      </w:r>
      <w:r w:rsidRPr="0089774B">
        <w:rPr>
          <w:rFonts w:ascii="TimesNewRomanPSMT" w:eastAsia="TimesNewRomanPSMT" w:hAnsi="Times New Roman" w:cs="TimesNewRomanPSMT"/>
          <w:lang w:eastAsia="lt-LT"/>
        </w:rPr>
        <w:t>ą</w:t>
      </w:r>
      <w:r w:rsidRPr="0089774B">
        <w:rPr>
          <w:rFonts w:ascii="Times New Roman" w:hAnsi="Times New Roman"/>
          <w:lang w:eastAsia="lt-LT"/>
        </w:rPr>
        <w:t>;</w:t>
      </w:r>
    </w:p>
    <w:p w14:paraId="71BEC504" w14:textId="77777777" w:rsidR="00A86531" w:rsidRPr="0089774B" w:rsidRDefault="00A86531" w:rsidP="00AF76F1">
      <w:pPr>
        <w:pStyle w:val="Sraopastraipa"/>
        <w:numPr>
          <w:ilvl w:val="0"/>
          <w:numId w:val="37"/>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esate r</w:t>
      </w:r>
      <w:r w:rsidRPr="0089774B">
        <w:rPr>
          <w:rFonts w:ascii="TimesNewRomanPSMT" w:eastAsia="TimesNewRomanPSMT" w:hAnsi="Times New Roman" w:cs="TimesNewRomanPSMT"/>
          <w:lang w:eastAsia="lt-LT"/>
        </w:rPr>
        <w:t>ū</w:t>
      </w:r>
      <w:r w:rsidRPr="0089774B">
        <w:rPr>
          <w:rFonts w:ascii="Times New Roman" w:hAnsi="Times New Roman"/>
          <w:lang w:eastAsia="lt-LT"/>
        </w:rPr>
        <w:t>kalius (r</w:t>
      </w:r>
      <w:r w:rsidRPr="0089774B">
        <w:rPr>
          <w:rFonts w:ascii="TimesNewRomanPSMT" w:eastAsia="TimesNewRomanPSMT" w:hAnsi="Times New Roman" w:cs="TimesNewRomanPSMT"/>
          <w:lang w:eastAsia="lt-LT"/>
        </w:rPr>
        <w:t>ū</w:t>
      </w:r>
      <w:r w:rsidRPr="0089774B">
        <w:rPr>
          <w:rFonts w:ascii="Times New Roman" w:hAnsi="Times New Roman"/>
          <w:lang w:eastAsia="lt-LT"/>
        </w:rPr>
        <w:t>kymas gali padidinti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lig</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pavoj</w:t>
      </w:r>
      <w:r w:rsidRPr="0089774B">
        <w:rPr>
          <w:rFonts w:ascii="TimesNewRomanPSMT" w:eastAsia="TimesNewRomanPSMT" w:hAnsi="Times New Roman" w:cs="TimesNewRomanPSMT"/>
          <w:lang w:eastAsia="lt-LT"/>
        </w:rPr>
        <w:t>ų</w:t>
      </w:r>
      <w:r w:rsidRPr="0089774B">
        <w:rPr>
          <w:rFonts w:ascii="Times New Roman" w:hAnsi="Times New Roman"/>
          <w:lang w:eastAsia="lt-LT"/>
        </w:rPr>
        <w:t>);</w:t>
      </w:r>
    </w:p>
    <w:p w14:paraId="3E9917A0" w14:textId="77777777" w:rsidR="00A86531" w:rsidRPr="0089774B" w:rsidRDefault="00A86531" w:rsidP="00AF76F1">
      <w:pPr>
        <w:pStyle w:val="Sraopastraipa"/>
        <w:numPr>
          <w:ilvl w:val="0"/>
          <w:numId w:val="37"/>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anks</w:t>
      </w:r>
      <w:r w:rsidRPr="0089774B">
        <w:rPr>
          <w:rFonts w:ascii="TimesNewRomanPSMT" w:eastAsia="TimesNewRomanPSMT" w:hAnsi="Times New Roman" w:cs="TimesNewRomanPSMT"/>
          <w:lang w:eastAsia="lt-LT"/>
        </w:rPr>
        <w:t>č</w:t>
      </w:r>
      <w:r w:rsidRPr="0089774B">
        <w:rPr>
          <w:rFonts w:ascii="Times New Roman" w:hAnsi="Times New Roman"/>
          <w:lang w:eastAsia="lt-LT"/>
        </w:rPr>
        <w:t xml:space="preserve">iau buvote gydomas </w:t>
      </w:r>
      <w:proofErr w:type="spellStart"/>
      <w:r w:rsidRPr="0089774B">
        <w:rPr>
          <w:rFonts w:ascii="Times New Roman" w:hAnsi="Times New Roman"/>
          <w:lang w:eastAsia="lt-LT"/>
        </w:rPr>
        <w:t>bisfosfonatais</w:t>
      </w:r>
      <w:proofErr w:type="spellEnd"/>
      <w:r w:rsidRPr="0089774B">
        <w:rPr>
          <w:rFonts w:ascii="Times New Roman" w:hAnsi="Times New Roman"/>
          <w:lang w:eastAsia="lt-LT"/>
        </w:rPr>
        <w:t xml:space="preserve"> (jie vartojami gydyti arba užkirsti keli</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kaul</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ligoms);</w:t>
      </w:r>
    </w:p>
    <w:p w14:paraId="122C21A1" w14:textId="77777777" w:rsidR="00A86531" w:rsidRPr="0089774B" w:rsidRDefault="00A86531" w:rsidP="00AF76F1">
      <w:pPr>
        <w:pStyle w:val="Sraopastraipa"/>
        <w:numPr>
          <w:ilvl w:val="0"/>
          <w:numId w:val="37"/>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 xml:space="preserve">vartojate vaistus, vadinamus kortikosteroidais (pavyzdžiui, prednizolono arba </w:t>
      </w:r>
      <w:proofErr w:type="spellStart"/>
      <w:r w:rsidRPr="0089774B">
        <w:rPr>
          <w:rFonts w:ascii="Times New Roman" w:hAnsi="Times New Roman"/>
          <w:lang w:eastAsia="lt-LT"/>
        </w:rPr>
        <w:t>deksametazono</w:t>
      </w:r>
      <w:proofErr w:type="spellEnd"/>
      <w:r w:rsidRPr="0089774B">
        <w:rPr>
          <w:rFonts w:ascii="Times New Roman" w:hAnsi="Times New Roman"/>
          <w:lang w:eastAsia="lt-LT"/>
        </w:rPr>
        <w:t>);</w:t>
      </w:r>
    </w:p>
    <w:p w14:paraId="4212E26C" w14:textId="77777777" w:rsidR="00A86531" w:rsidRPr="0089774B" w:rsidRDefault="00A86531" w:rsidP="00AF76F1">
      <w:pPr>
        <w:pStyle w:val="Sraopastraipa"/>
        <w:numPr>
          <w:ilvl w:val="0"/>
          <w:numId w:val="37"/>
        </w:num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sergate v</w:t>
      </w:r>
      <w:r w:rsidRPr="0089774B">
        <w:rPr>
          <w:rFonts w:ascii="TimesNewRomanPSMT" w:eastAsia="TimesNewRomanPSMT" w:hAnsi="Times New Roman" w:cs="TimesNewRomanPSMT"/>
          <w:lang w:eastAsia="lt-LT"/>
        </w:rPr>
        <w:t>ė</w:t>
      </w:r>
      <w:r w:rsidRPr="0089774B">
        <w:rPr>
          <w:rFonts w:ascii="Times New Roman" w:hAnsi="Times New Roman"/>
          <w:lang w:eastAsia="lt-LT"/>
        </w:rPr>
        <w:t>žio liga.</w:t>
      </w:r>
    </w:p>
    <w:p w14:paraId="69852744" w14:textId="77777777" w:rsidR="00A86531" w:rsidRPr="0089774B" w:rsidRDefault="00A86531" w:rsidP="00A86531">
      <w:pPr>
        <w:autoSpaceDE w:val="0"/>
        <w:autoSpaceDN w:val="0"/>
        <w:adjustRightInd w:val="0"/>
        <w:spacing w:after="0" w:line="240" w:lineRule="auto"/>
        <w:rPr>
          <w:rFonts w:ascii="Times New Roman" w:hAnsi="Times New Roman"/>
          <w:lang w:eastAsia="lt-LT"/>
        </w:rPr>
      </w:pPr>
    </w:p>
    <w:p w14:paraId="34405A55" w14:textId="77777777" w:rsidR="00A86531" w:rsidRPr="0089774B" w:rsidRDefault="00A86531" w:rsidP="00A86531">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Prieš paskirdamas gydym</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proofErr w:type="spellStart"/>
      <w:r w:rsidRPr="0089774B">
        <w:rPr>
          <w:rFonts w:ascii="Times New Roman" w:hAnsi="Times New Roman"/>
          <w:lang w:eastAsia="lt-LT"/>
        </w:rPr>
        <w:t>Ibandronic</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acid</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ratiopharm</w:t>
      </w:r>
      <w:proofErr w:type="spellEnd"/>
      <w:r w:rsidRPr="0089774B">
        <w:rPr>
          <w:rFonts w:ascii="Times New Roman" w:hAnsi="Times New Roman"/>
          <w:lang w:eastAsia="lt-LT"/>
        </w:rPr>
        <w:t xml:space="preserve"> gydytojas gali J</w:t>
      </w:r>
      <w:r w:rsidRPr="0089774B">
        <w:rPr>
          <w:rFonts w:ascii="TimesNewRomanPSMT" w:eastAsia="TimesNewRomanPSMT" w:hAnsi="Times New Roman" w:cs="TimesNewRomanPSMT"/>
          <w:lang w:eastAsia="lt-LT"/>
        </w:rPr>
        <w:t>ū</w:t>
      </w:r>
      <w:r w:rsidRPr="0089774B">
        <w:rPr>
          <w:rFonts w:ascii="Times New Roman" w:hAnsi="Times New Roman"/>
          <w:lang w:eastAsia="lt-LT"/>
        </w:rPr>
        <w:t>s</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paprašyti pasitikrinti dantis. </w:t>
      </w:r>
    </w:p>
    <w:p w14:paraId="23D647AC" w14:textId="77777777" w:rsidR="00A86531" w:rsidRPr="0089774B" w:rsidRDefault="00A86531" w:rsidP="00A86531">
      <w:pPr>
        <w:autoSpaceDE w:val="0"/>
        <w:autoSpaceDN w:val="0"/>
        <w:adjustRightInd w:val="0"/>
        <w:spacing w:after="0" w:line="240" w:lineRule="auto"/>
        <w:rPr>
          <w:rFonts w:ascii="Times New Roman" w:hAnsi="Times New Roman"/>
          <w:lang w:eastAsia="lt-LT"/>
        </w:rPr>
      </w:pPr>
    </w:p>
    <w:p w14:paraId="6E884E53" w14:textId="77777777" w:rsidR="00A86531" w:rsidRPr="0089774B" w:rsidRDefault="00A86531" w:rsidP="00A86531">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Gydymo metu J</w:t>
      </w:r>
      <w:r w:rsidRPr="0089774B">
        <w:rPr>
          <w:rFonts w:ascii="TimesNewRomanPSMT" w:eastAsia="TimesNewRomanPSMT" w:hAnsi="Times New Roman" w:cs="TimesNewRomanPSMT"/>
          <w:lang w:eastAsia="lt-LT"/>
        </w:rPr>
        <w:t>ū</w:t>
      </w:r>
      <w:r w:rsidRPr="0089774B">
        <w:rPr>
          <w:rFonts w:ascii="Times New Roman" w:hAnsi="Times New Roman"/>
          <w:lang w:eastAsia="lt-LT"/>
        </w:rPr>
        <w:t>s turite palaikyti ger</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burnos higien</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w:t>
      </w:r>
      <w:r w:rsidRPr="0089774B">
        <w:rPr>
          <w:rFonts w:ascii="TimesNewRomanPSMT" w:eastAsia="TimesNewRomanPSMT" w:hAnsi="Times New Roman" w:cs="TimesNewRomanPSMT"/>
          <w:lang w:eastAsia="lt-LT"/>
        </w:rPr>
        <w:t>į</w:t>
      </w:r>
      <w:r w:rsidRPr="0089774B">
        <w:rPr>
          <w:rFonts w:ascii="Times New Roman" w:hAnsi="Times New Roman"/>
          <w:lang w:eastAsia="lt-LT"/>
        </w:rPr>
        <w:t>skaitant ir reguliar</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valym</w:t>
      </w:r>
      <w:r w:rsidRPr="0089774B">
        <w:rPr>
          <w:rFonts w:ascii="TimesNewRomanPSMT" w:eastAsia="TimesNewRomanPSMT" w:hAnsi="Times New Roman" w:cs="TimesNewRomanPSMT"/>
          <w:lang w:eastAsia="lt-LT"/>
        </w:rPr>
        <w:t>ą</w:t>
      </w:r>
      <w:r w:rsidRPr="0089774B">
        <w:rPr>
          <w:rFonts w:ascii="Times New Roman" w:hAnsi="Times New Roman"/>
          <w:lang w:eastAsia="lt-LT"/>
        </w:rPr>
        <w:t>) ir reguliariai tikrintis dantis. Jeigu naudojate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protezus, J</w:t>
      </w:r>
      <w:r w:rsidRPr="0089774B">
        <w:rPr>
          <w:rFonts w:ascii="TimesNewRomanPSMT" w:eastAsia="TimesNewRomanPSMT" w:hAnsi="Times New Roman" w:cs="TimesNewRomanPSMT"/>
          <w:lang w:eastAsia="lt-LT"/>
        </w:rPr>
        <w:t>ū</w:t>
      </w:r>
      <w:r w:rsidRPr="0089774B">
        <w:rPr>
          <w:rFonts w:ascii="Times New Roman" w:hAnsi="Times New Roman"/>
          <w:lang w:eastAsia="lt-LT"/>
        </w:rPr>
        <w:t>s turite juos tinkamai pritaikyti. Jeigu gydot</w:t>
      </w:r>
      <w:r w:rsidRPr="0089774B">
        <w:rPr>
          <w:rFonts w:ascii="TimesNewRomanPSMT" w:eastAsia="TimesNewRomanPSMT" w:hAnsi="Times New Roman" w:cs="TimesNewRomanPSMT"/>
          <w:lang w:eastAsia="lt-LT"/>
        </w:rPr>
        <w:t>ė</w:t>
      </w:r>
      <w:r w:rsidRPr="0089774B">
        <w:rPr>
          <w:rFonts w:ascii="Times New Roman" w:hAnsi="Times New Roman"/>
          <w:lang w:eastAsia="lt-LT"/>
        </w:rPr>
        <w:t>s dantis arba rengiat</w:t>
      </w:r>
      <w:r w:rsidRPr="0089774B">
        <w:rPr>
          <w:rFonts w:ascii="TimesNewRomanPSMT" w:eastAsia="TimesNewRomanPSMT" w:hAnsi="Times New Roman" w:cs="TimesNewRomanPSMT"/>
          <w:lang w:eastAsia="lt-LT"/>
        </w:rPr>
        <w:t>ė</w:t>
      </w:r>
      <w:r w:rsidRPr="0089774B">
        <w:rPr>
          <w:rFonts w:ascii="Times New Roman" w:hAnsi="Times New Roman"/>
          <w:lang w:eastAsia="lt-LT"/>
        </w:rPr>
        <w:t>s odontologinei operacijai (pvz.,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 xml:space="preserve">traukimui), apie tai praneškite savo gydytojui ir pasakykite odontologui, kad esate gydomi </w:t>
      </w:r>
      <w:proofErr w:type="spellStart"/>
      <w:r w:rsidRPr="0089774B">
        <w:rPr>
          <w:rFonts w:ascii="Times New Roman" w:hAnsi="Times New Roman"/>
          <w:lang w:eastAsia="lt-LT"/>
        </w:rPr>
        <w:t>Ibandronic</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acid</w:t>
      </w:r>
      <w:proofErr w:type="spellEnd"/>
      <w:r w:rsidRPr="0089774B">
        <w:rPr>
          <w:rFonts w:ascii="Times New Roman" w:hAnsi="Times New Roman"/>
          <w:lang w:eastAsia="lt-LT"/>
        </w:rPr>
        <w:t xml:space="preserve"> </w:t>
      </w:r>
      <w:proofErr w:type="spellStart"/>
      <w:r w:rsidRPr="0089774B">
        <w:rPr>
          <w:rFonts w:ascii="Times New Roman" w:hAnsi="Times New Roman"/>
          <w:lang w:eastAsia="lt-LT"/>
        </w:rPr>
        <w:t>ratiopharm</w:t>
      </w:r>
      <w:proofErr w:type="spellEnd"/>
      <w:r w:rsidRPr="0089774B">
        <w:rPr>
          <w:rFonts w:ascii="Times New Roman" w:hAnsi="Times New Roman"/>
          <w:lang w:eastAsia="lt-LT"/>
        </w:rPr>
        <w:t>.</w:t>
      </w:r>
    </w:p>
    <w:p w14:paraId="7E31B2DF" w14:textId="77777777" w:rsidR="00A86531" w:rsidRPr="0089774B" w:rsidRDefault="00A86531" w:rsidP="00A86531">
      <w:pPr>
        <w:autoSpaceDE w:val="0"/>
        <w:autoSpaceDN w:val="0"/>
        <w:adjustRightInd w:val="0"/>
        <w:spacing w:after="0" w:line="240" w:lineRule="auto"/>
        <w:rPr>
          <w:rFonts w:ascii="Times New Roman" w:hAnsi="Times New Roman"/>
          <w:lang w:eastAsia="lt-LT"/>
        </w:rPr>
      </w:pPr>
    </w:p>
    <w:p w14:paraId="53A8046E" w14:textId="77777777" w:rsidR="00A86531" w:rsidRPr="0089774B" w:rsidRDefault="00A86531" w:rsidP="00A86531">
      <w:pPr>
        <w:autoSpaceDE w:val="0"/>
        <w:autoSpaceDN w:val="0"/>
        <w:adjustRightInd w:val="0"/>
        <w:spacing w:after="0" w:line="240" w:lineRule="auto"/>
        <w:rPr>
          <w:rFonts w:ascii="Times New Roman" w:hAnsi="Times New Roman"/>
          <w:lang w:eastAsia="lt-LT"/>
        </w:rPr>
      </w:pPr>
      <w:r w:rsidRPr="0089774B">
        <w:rPr>
          <w:rFonts w:ascii="Times New Roman" w:hAnsi="Times New Roman"/>
          <w:lang w:eastAsia="lt-LT"/>
        </w:rPr>
        <w:t>Pajut</w:t>
      </w:r>
      <w:r w:rsidRPr="0089774B">
        <w:rPr>
          <w:rFonts w:ascii="TimesNewRomanPSMT" w:eastAsia="TimesNewRomanPSMT" w:hAnsi="Times New Roman" w:cs="TimesNewRomanPSMT"/>
          <w:lang w:eastAsia="lt-LT"/>
        </w:rPr>
        <w:t>ę</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koki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nors burnos ar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negalavim</w:t>
      </w:r>
      <w:r w:rsidRPr="0089774B">
        <w:rPr>
          <w:rFonts w:ascii="TimesNewRomanPSMT" w:eastAsia="TimesNewRomanPSMT" w:hAnsi="Times New Roman" w:cs="TimesNewRomanPSMT"/>
          <w:lang w:eastAsia="lt-LT"/>
        </w:rPr>
        <w:t>ų</w:t>
      </w:r>
      <w:r w:rsidRPr="0089774B">
        <w:rPr>
          <w:rFonts w:ascii="Times New Roman" w:hAnsi="Times New Roman"/>
          <w:lang w:eastAsia="lt-LT"/>
        </w:rPr>
        <w:t>, toki</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kaip dant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iškritimas, skausmas ar patinimas,</w:t>
      </w:r>
      <w:r w:rsidR="00ED216D" w:rsidRPr="0089774B">
        <w:rPr>
          <w:rFonts w:ascii="Times New Roman" w:hAnsi="Times New Roman"/>
          <w:lang w:eastAsia="lt-LT"/>
        </w:rPr>
        <w:t xml:space="preserve"> </w:t>
      </w:r>
      <w:r w:rsidRPr="0089774B">
        <w:rPr>
          <w:rFonts w:ascii="Times New Roman" w:hAnsi="Times New Roman"/>
          <w:lang w:eastAsia="lt-LT"/>
        </w:rPr>
        <w:t>negyjan</w:t>
      </w:r>
      <w:r w:rsidRPr="0089774B">
        <w:rPr>
          <w:rFonts w:ascii="TimesNewRomanPSMT" w:eastAsia="TimesNewRomanPSMT" w:hAnsi="Times New Roman" w:cs="TimesNewRomanPSMT"/>
          <w:lang w:eastAsia="lt-LT"/>
        </w:rPr>
        <w:t>č</w:t>
      </w:r>
      <w:r w:rsidRPr="0089774B">
        <w:rPr>
          <w:rFonts w:ascii="Times New Roman" w:hAnsi="Times New Roman"/>
          <w:lang w:eastAsia="lt-LT"/>
        </w:rPr>
        <w:t>ios opel</w:t>
      </w:r>
      <w:r w:rsidRPr="0089774B">
        <w:rPr>
          <w:rFonts w:ascii="TimesNewRomanPSMT" w:eastAsia="TimesNewRomanPSMT" w:hAnsi="Times New Roman" w:cs="TimesNewRomanPSMT"/>
          <w:lang w:eastAsia="lt-LT"/>
        </w:rPr>
        <w:t>ė</w:t>
      </w:r>
      <w:r w:rsidRPr="0089774B">
        <w:rPr>
          <w:rFonts w:ascii="Times New Roman" w:hAnsi="Times New Roman"/>
          <w:lang w:eastAsia="lt-LT"/>
        </w:rPr>
        <w:t>s arba išskyros, nedelsdami kreipkit</w:t>
      </w:r>
      <w:r w:rsidRPr="0089774B">
        <w:rPr>
          <w:rFonts w:ascii="TimesNewRomanPSMT" w:eastAsia="TimesNewRomanPSMT" w:hAnsi="Times New Roman" w:cs="TimesNewRomanPSMT"/>
          <w:lang w:eastAsia="lt-LT"/>
        </w:rPr>
        <w:t>ė</w:t>
      </w:r>
      <w:r w:rsidRPr="0089774B">
        <w:rPr>
          <w:rFonts w:ascii="Times New Roman" w:hAnsi="Times New Roman"/>
          <w:lang w:eastAsia="lt-LT"/>
        </w:rPr>
        <w:t xml:space="preserve">s </w:t>
      </w:r>
      <w:r w:rsidRPr="0089774B">
        <w:rPr>
          <w:rFonts w:ascii="TimesNewRomanPSMT" w:eastAsia="TimesNewRomanPSMT" w:hAnsi="Times New Roman" w:cs="TimesNewRomanPSMT"/>
          <w:lang w:eastAsia="lt-LT"/>
        </w:rPr>
        <w:t>į</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gydytoj</w:t>
      </w:r>
      <w:r w:rsidRPr="0089774B">
        <w:rPr>
          <w:rFonts w:ascii="TimesNewRomanPSMT" w:eastAsia="TimesNewRomanPSMT" w:hAnsi="Times New Roman" w:cs="TimesNewRomanPSMT"/>
          <w:lang w:eastAsia="lt-LT"/>
        </w:rPr>
        <w:t>ą</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ir odontolog</w:t>
      </w:r>
      <w:r w:rsidRPr="0089774B">
        <w:rPr>
          <w:rFonts w:ascii="TimesNewRomanPSMT" w:eastAsia="TimesNewRomanPSMT" w:hAnsi="Times New Roman" w:cs="TimesNewRomanPSMT"/>
          <w:lang w:eastAsia="lt-LT"/>
        </w:rPr>
        <w:t>ą</w:t>
      </w:r>
      <w:r w:rsidRPr="0089774B">
        <w:rPr>
          <w:rFonts w:ascii="Times New Roman" w:hAnsi="Times New Roman"/>
          <w:lang w:eastAsia="lt-LT"/>
        </w:rPr>
        <w:t>, nes tai gal</w:t>
      </w:r>
      <w:r w:rsidRPr="0089774B">
        <w:rPr>
          <w:rFonts w:ascii="TimesNewRomanPSMT" w:eastAsia="TimesNewRomanPSMT" w:hAnsi="Times New Roman" w:cs="TimesNewRomanPSMT"/>
          <w:lang w:eastAsia="lt-LT"/>
        </w:rPr>
        <w:t>ė</w:t>
      </w:r>
      <w:r w:rsidRPr="0089774B">
        <w:rPr>
          <w:rFonts w:ascii="Times New Roman" w:hAnsi="Times New Roman"/>
          <w:lang w:eastAsia="lt-LT"/>
        </w:rPr>
        <w:t>t</w:t>
      </w:r>
      <w:r w:rsidRPr="0089774B">
        <w:rPr>
          <w:rFonts w:ascii="TimesNewRomanPSMT" w:eastAsia="TimesNewRomanPSMT" w:hAnsi="Times New Roman" w:cs="TimesNewRomanPSMT"/>
          <w:lang w:eastAsia="lt-LT"/>
        </w:rPr>
        <w:t>ų</w:t>
      </w:r>
      <w:r w:rsidRPr="0089774B">
        <w:rPr>
          <w:rFonts w:ascii="TimesNewRomanPSMT" w:eastAsia="TimesNewRomanPSMT" w:hAnsi="Times New Roman" w:cs="TimesNewRomanPSMT"/>
          <w:lang w:eastAsia="lt-LT"/>
        </w:rPr>
        <w:t xml:space="preserve"> </w:t>
      </w:r>
      <w:r w:rsidRPr="0089774B">
        <w:rPr>
          <w:rFonts w:ascii="Times New Roman" w:hAnsi="Times New Roman"/>
          <w:lang w:eastAsia="lt-LT"/>
        </w:rPr>
        <w:t>b</w:t>
      </w:r>
      <w:r w:rsidRPr="0089774B">
        <w:rPr>
          <w:rFonts w:ascii="TimesNewRomanPSMT" w:eastAsia="TimesNewRomanPSMT" w:hAnsi="Times New Roman" w:cs="TimesNewRomanPSMT"/>
          <w:lang w:eastAsia="lt-LT"/>
        </w:rPr>
        <w:t>ū</w:t>
      </w:r>
      <w:r w:rsidRPr="0089774B">
        <w:rPr>
          <w:rFonts w:ascii="Times New Roman" w:hAnsi="Times New Roman"/>
          <w:lang w:eastAsia="lt-LT"/>
        </w:rPr>
        <w:t>ti</w:t>
      </w:r>
      <w:r w:rsidR="00ED216D" w:rsidRPr="0089774B">
        <w:rPr>
          <w:rFonts w:ascii="Times New Roman" w:hAnsi="Times New Roman"/>
          <w:lang w:eastAsia="lt-LT"/>
        </w:rPr>
        <w:t xml:space="preserve"> </w:t>
      </w:r>
      <w:r w:rsidRPr="0089774B">
        <w:rPr>
          <w:rFonts w:ascii="Times New Roman" w:hAnsi="Times New Roman"/>
          <w:lang w:eastAsia="lt-LT"/>
        </w:rPr>
        <w:t xml:space="preserve">žandikaulio </w:t>
      </w:r>
      <w:proofErr w:type="spellStart"/>
      <w:r w:rsidRPr="0089774B">
        <w:rPr>
          <w:rFonts w:ascii="Times New Roman" w:hAnsi="Times New Roman"/>
          <w:lang w:eastAsia="lt-LT"/>
        </w:rPr>
        <w:t>osteonekroz</w:t>
      </w:r>
      <w:r w:rsidRPr="0089774B">
        <w:rPr>
          <w:rFonts w:ascii="TimesNewRomanPSMT" w:eastAsia="TimesNewRomanPSMT" w:hAnsi="Times New Roman" w:cs="TimesNewRomanPSMT"/>
          <w:lang w:eastAsia="lt-LT"/>
        </w:rPr>
        <w:t>ė</w:t>
      </w:r>
      <w:r w:rsidRPr="0089774B">
        <w:rPr>
          <w:rFonts w:ascii="Times New Roman" w:hAnsi="Times New Roman"/>
          <w:lang w:eastAsia="lt-LT"/>
        </w:rPr>
        <w:t>s</w:t>
      </w:r>
      <w:proofErr w:type="spellEnd"/>
      <w:r w:rsidRPr="0089774B">
        <w:rPr>
          <w:rFonts w:ascii="Times New Roman" w:hAnsi="Times New Roman"/>
          <w:lang w:eastAsia="lt-LT"/>
        </w:rPr>
        <w:t xml:space="preserve"> požymiai.</w:t>
      </w:r>
    </w:p>
    <w:p w14:paraId="6FBECDB2" w14:textId="77777777" w:rsidR="00A86531" w:rsidRPr="00112B89" w:rsidRDefault="00A86531" w:rsidP="00C7398A">
      <w:pPr>
        <w:tabs>
          <w:tab w:val="left" w:pos="567"/>
        </w:tabs>
        <w:spacing w:after="0" w:line="240" w:lineRule="auto"/>
        <w:rPr>
          <w:rFonts w:ascii="Times New Roman" w:hAnsi="Times New Roman"/>
        </w:rPr>
      </w:pPr>
    </w:p>
    <w:p w14:paraId="05E6086C"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 xml:space="preserve">Kai kurie žmonės vartodami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turi būti labai atsargūs. </w:t>
      </w:r>
      <w:r w:rsidR="009079F6" w:rsidRPr="00112B89">
        <w:rPr>
          <w:rFonts w:ascii="Times New Roman" w:hAnsi="Times New Roman"/>
        </w:rPr>
        <w:t>Toliau nurodytais atvejais p</w:t>
      </w:r>
      <w:r w:rsidRPr="00112B89">
        <w:rPr>
          <w:rFonts w:ascii="Times New Roman" w:hAnsi="Times New Roman"/>
        </w:rPr>
        <w:t>asitarkite su gydytoju</w:t>
      </w:r>
      <w:r w:rsidR="00D815E5" w:rsidRPr="00112B89">
        <w:rPr>
          <w:rFonts w:ascii="Times New Roman" w:hAnsi="Times New Roman"/>
        </w:rPr>
        <w:t xml:space="preserve"> prieš vartodami </w:t>
      </w:r>
      <w:proofErr w:type="spellStart"/>
      <w:r w:rsidR="00D815E5" w:rsidRPr="00112B89">
        <w:rPr>
          <w:rFonts w:ascii="Times New Roman" w:hAnsi="Times New Roman"/>
        </w:rPr>
        <w:t>ibandrono</w:t>
      </w:r>
      <w:proofErr w:type="spellEnd"/>
      <w:r w:rsidR="00D815E5" w:rsidRPr="00112B89">
        <w:rPr>
          <w:rFonts w:ascii="Times New Roman" w:hAnsi="Times New Roman"/>
        </w:rPr>
        <w:t xml:space="preserve"> rūgštį</w:t>
      </w:r>
      <w:r w:rsidR="009079F6" w:rsidRPr="00112B89">
        <w:rPr>
          <w:rFonts w:ascii="Times New Roman" w:hAnsi="Times New Roman"/>
        </w:rPr>
        <w:t>.</w:t>
      </w:r>
    </w:p>
    <w:p w14:paraId="64DDDA4B" w14:textId="77777777" w:rsidR="005A7416" w:rsidRPr="00112B89" w:rsidRDefault="008C7AC2" w:rsidP="00D815E5">
      <w:pPr>
        <w:pStyle w:val="BT-EMEASMCA"/>
        <w:numPr>
          <w:ilvl w:val="0"/>
          <w:numId w:val="31"/>
        </w:numPr>
        <w:tabs>
          <w:tab w:val="left" w:pos="567"/>
        </w:tabs>
        <w:spacing w:after="0" w:line="240" w:lineRule="auto"/>
        <w:ind w:left="567" w:hanging="567"/>
        <w:rPr>
          <w:rFonts w:ascii="Times New Roman" w:hAnsi="Times New Roman"/>
        </w:rPr>
      </w:pPr>
      <w:r w:rsidRPr="00112B89">
        <w:rPr>
          <w:rFonts w:ascii="Times New Roman" w:hAnsi="Times New Roman"/>
        </w:rPr>
        <w:t>J</w:t>
      </w:r>
      <w:r w:rsidR="005A7416" w:rsidRPr="00112B89">
        <w:rPr>
          <w:rFonts w:ascii="Times New Roman" w:hAnsi="Times New Roman"/>
        </w:rPr>
        <w:t xml:space="preserve">eigu yra </w:t>
      </w:r>
      <w:r w:rsidR="005A7416" w:rsidRPr="00112B89">
        <w:rPr>
          <w:rFonts w:ascii="Times New Roman" w:hAnsi="Times New Roman"/>
          <w:b/>
        </w:rPr>
        <w:t>sutrikusi inkstų funkcija, yra inkstų nepakankamumas arba Jums reikalinga dializė</w:t>
      </w:r>
      <w:r w:rsidR="005A7416" w:rsidRPr="00112B89">
        <w:rPr>
          <w:rFonts w:ascii="Times New Roman" w:hAnsi="Times New Roman"/>
        </w:rPr>
        <w:t>, arba sergate kitomis ligomis, galinčiomis trikdyti inkstų funkciją</w:t>
      </w:r>
      <w:r w:rsidRPr="00112B89">
        <w:rPr>
          <w:rFonts w:ascii="Times New Roman" w:hAnsi="Times New Roman"/>
        </w:rPr>
        <w:t>.</w:t>
      </w:r>
    </w:p>
    <w:p w14:paraId="2E0C5EE4" w14:textId="77777777" w:rsidR="005A7416" w:rsidRPr="00112B89" w:rsidRDefault="008C7AC2" w:rsidP="00D815E5">
      <w:pPr>
        <w:pStyle w:val="BT-EMEASMCA"/>
        <w:numPr>
          <w:ilvl w:val="0"/>
          <w:numId w:val="31"/>
        </w:numPr>
        <w:tabs>
          <w:tab w:val="left" w:pos="567"/>
        </w:tabs>
        <w:spacing w:after="0" w:line="240" w:lineRule="auto"/>
        <w:ind w:left="567" w:hanging="567"/>
        <w:rPr>
          <w:rFonts w:ascii="Times New Roman" w:hAnsi="Times New Roman"/>
        </w:rPr>
      </w:pPr>
      <w:r w:rsidRPr="00112B89">
        <w:rPr>
          <w:rFonts w:ascii="Times New Roman" w:hAnsi="Times New Roman"/>
        </w:rPr>
        <w:t xml:space="preserve">Jeigu </w:t>
      </w:r>
      <w:r w:rsidR="005A7416" w:rsidRPr="00112B89">
        <w:rPr>
          <w:rFonts w:ascii="Times New Roman" w:hAnsi="Times New Roman"/>
        </w:rPr>
        <w:t xml:space="preserve">yra koks nors </w:t>
      </w:r>
      <w:r w:rsidR="005A7416" w:rsidRPr="00112B89">
        <w:rPr>
          <w:rFonts w:ascii="Times New Roman" w:hAnsi="Times New Roman"/>
          <w:b/>
        </w:rPr>
        <w:t>mineralinių medžiagų apykaitos sutrikimas</w:t>
      </w:r>
      <w:r w:rsidR="005A7416" w:rsidRPr="00112B89">
        <w:rPr>
          <w:rFonts w:ascii="Times New Roman" w:hAnsi="Times New Roman"/>
        </w:rPr>
        <w:t xml:space="preserve"> (pvz., vitamino D trūkumas)</w:t>
      </w:r>
      <w:r w:rsidRPr="00112B89">
        <w:rPr>
          <w:rFonts w:ascii="Times New Roman" w:hAnsi="Times New Roman"/>
        </w:rPr>
        <w:t>.</w:t>
      </w:r>
    </w:p>
    <w:p w14:paraId="2BA11D08" w14:textId="77777777" w:rsidR="005A7416" w:rsidRPr="00112B89" w:rsidRDefault="005A7416" w:rsidP="00D815E5">
      <w:pPr>
        <w:pStyle w:val="Sraopastraipa"/>
        <w:numPr>
          <w:ilvl w:val="0"/>
          <w:numId w:val="31"/>
        </w:numPr>
        <w:tabs>
          <w:tab w:val="left" w:pos="567"/>
        </w:tabs>
        <w:autoSpaceDE w:val="0"/>
        <w:autoSpaceDN w:val="0"/>
        <w:adjustRightInd w:val="0"/>
        <w:spacing w:after="0" w:line="240" w:lineRule="auto"/>
        <w:ind w:left="567" w:hanging="567"/>
        <w:rPr>
          <w:rFonts w:ascii="Times New Roman" w:hAnsi="Times New Roman"/>
        </w:rPr>
      </w:pPr>
      <w:r w:rsidRPr="00112B89">
        <w:rPr>
          <w:rFonts w:ascii="Times New Roman" w:hAnsi="Times New Roman"/>
        </w:rPr>
        <w:t xml:space="preserve">Gydantis </w:t>
      </w:r>
      <w:proofErr w:type="spellStart"/>
      <w:r w:rsidRPr="00112B89">
        <w:rPr>
          <w:rFonts w:ascii="Times New Roman" w:hAnsi="Times New Roman"/>
        </w:rPr>
        <w:t>ibandrono</w:t>
      </w:r>
      <w:proofErr w:type="spellEnd"/>
      <w:r w:rsidRPr="00112B89">
        <w:rPr>
          <w:rFonts w:ascii="Times New Roman" w:hAnsi="Times New Roman"/>
        </w:rPr>
        <w:t xml:space="preserve"> rūgštimi vartokite vitamino D papildų. Jei tai neįmanoma, reikia informuoti gydytoją</w:t>
      </w:r>
      <w:r w:rsidR="008C7AC2" w:rsidRPr="00112B89">
        <w:rPr>
          <w:rFonts w:ascii="Times New Roman" w:hAnsi="Times New Roman"/>
        </w:rPr>
        <w:t>.</w:t>
      </w:r>
    </w:p>
    <w:p w14:paraId="5EE38B54" w14:textId="77777777" w:rsidR="00D815E5" w:rsidRPr="00112B89" w:rsidRDefault="00D815E5" w:rsidP="00D815E5">
      <w:pPr>
        <w:pStyle w:val="BT-EMEASMCA"/>
        <w:numPr>
          <w:ilvl w:val="0"/>
          <w:numId w:val="31"/>
        </w:numPr>
        <w:tabs>
          <w:tab w:val="left" w:pos="567"/>
        </w:tabs>
        <w:spacing w:after="0" w:line="240" w:lineRule="auto"/>
        <w:ind w:left="567" w:hanging="567"/>
        <w:rPr>
          <w:rFonts w:ascii="Times New Roman" w:hAnsi="Times New Roman"/>
        </w:rPr>
      </w:pPr>
      <w:r w:rsidRPr="00112B89">
        <w:rPr>
          <w:rFonts w:ascii="Times New Roman" w:hAnsi="Times New Roman"/>
        </w:rPr>
        <w:t>Jeigu sutrik</w:t>
      </w:r>
      <w:r w:rsidR="008C7AC2" w:rsidRPr="00112B89">
        <w:rPr>
          <w:rFonts w:ascii="Times New Roman" w:hAnsi="Times New Roman"/>
        </w:rPr>
        <w:t>usi</w:t>
      </w:r>
      <w:r w:rsidRPr="00112B89">
        <w:rPr>
          <w:rFonts w:ascii="Times New Roman" w:hAnsi="Times New Roman"/>
        </w:rPr>
        <w:t xml:space="preserve"> Jūsų širdies veikla ir jeigu gydytojas rekomendavo riboti paros skysčių kiekį.</w:t>
      </w:r>
    </w:p>
    <w:p w14:paraId="5A650409"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7058A409" w14:textId="77777777" w:rsidR="00D815E5" w:rsidRPr="00112B89" w:rsidRDefault="00D815E5"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 xml:space="preserve">Pranešama, kad pacientams, kurie buvo gydomi į veną leidžiama </w:t>
      </w:r>
      <w:proofErr w:type="spellStart"/>
      <w:r w:rsidRPr="00112B89">
        <w:rPr>
          <w:rFonts w:ascii="Times New Roman" w:hAnsi="Times New Roman"/>
        </w:rPr>
        <w:t>ibandrono</w:t>
      </w:r>
      <w:proofErr w:type="spellEnd"/>
      <w:r w:rsidRPr="00112B89">
        <w:rPr>
          <w:rFonts w:ascii="Times New Roman" w:hAnsi="Times New Roman"/>
        </w:rPr>
        <w:t xml:space="preserve"> rūgštimi, pasitaikė sunkių alerginių, kartais sukėlusių mirtį, reakcijų. Jeigu pajutote žemiau išvardytus simptomus – dusulį, pasunkėjusį kvėpavimą, spaudim</w:t>
      </w:r>
      <w:r w:rsidR="00AD6769" w:rsidRPr="00112B89">
        <w:rPr>
          <w:rFonts w:ascii="Times New Roman" w:hAnsi="Times New Roman"/>
        </w:rPr>
        <w:t>ą ryklėje, liežuvio patinimą, svaigulį, sąmon</w:t>
      </w:r>
      <w:r w:rsidR="00C7207E" w:rsidRPr="00112B89">
        <w:rPr>
          <w:rFonts w:ascii="Times New Roman" w:hAnsi="Times New Roman"/>
        </w:rPr>
        <w:t>ė</w:t>
      </w:r>
      <w:r w:rsidR="00AD6769" w:rsidRPr="00112B89">
        <w:rPr>
          <w:rFonts w:ascii="Times New Roman" w:hAnsi="Times New Roman"/>
        </w:rPr>
        <w:t>s pritemimą, veido paraudimą arba patinimą, atsirado išbėrimas, pykinimas, vėmimas, nedelsiant pasakykite gydytojui arba slaugytojai (žr. 4 skyrių).</w:t>
      </w:r>
    </w:p>
    <w:p w14:paraId="1399D426" w14:textId="77777777" w:rsidR="00AD6769" w:rsidRPr="00112B89" w:rsidRDefault="00AD6769" w:rsidP="00C7398A">
      <w:pPr>
        <w:tabs>
          <w:tab w:val="left" w:pos="567"/>
        </w:tabs>
        <w:autoSpaceDE w:val="0"/>
        <w:autoSpaceDN w:val="0"/>
        <w:adjustRightInd w:val="0"/>
        <w:spacing w:after="0" w:line="240" w:lineRule="auto"/>
        <w:rPr>
          <w:rFonts w:ascii="Times New Roman" w:hAnsi="Times New Roman"/>
        </w:rPr>
      </w:pPr>
    </w:p>
    <w:p w14:paraId="0F6C786B" w14:textId="77777777" w:rsidR="00AD6769" w:rsidRPr="00112B89" w:rsidRDefault="00AD6769" w:rsidP="00C7398A">
      <w:pPr>
        <w:tabs>
          <w:tab w:val="left" w:pos="567"/>
        </w:tabs>
        <w:autoSpaceDE w:val="0"/>
        <w:autoSpaceDN w:val="0"/>
        <w:adjustRightInd w:val="0"/>
        <w:spacing w:after="0" w:line="240" w:lineRule="auto"/>
        <w:rPr>
          <w:rFonts w:ascii="Times New Roman" w:hAnsi="Times New Roman"/>
          <w:b/>
        </w:rPr>
      </w:pPr>
      <w:r w:rsidRPr="00112B89">
        <w:rPr>
          <w:rFonts w:ascii="Times New Roman" w:hAnsi="Times New Roman"/>
          <w:b/>
        </w:rPr>
        <w:t>Vaikai ir paaugliai</w:t>
      </w:r>
    </w:p>
    <w:p w14:paraId="4F5466B4" w14:textId="77777777" w:rsidR="00AD6769" w:rsidRPr="00112B89" w:rsidRDefault="00AD6769" w:rsidP="00C7398A">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rPr>
        <w:t>Ibandrono</w:t>
      </w:r>
      <w:proofErr w:type="spellEnd"/>
      <w:r w:rsidRPr="00112B89">
        <w:rPr>
          <w:rFonts w:ascii="Times New Roman" w:hAnsi="Times New Roman"/>
        </w:rPr>
        <w:t xml:space="preserve"> rūgšties negalima vartoti jaunesniems kaip 18 metų vaikams ir paaugliams.</w:t>
      </w:r>
    </w:p>
    <w:p w14:paraId="73F4EC51" w14:textId="77777777" w:rsidR="00AD6769" w:rsidRPr="00112B89" w:rsidRDefault="00AD6769" w:rsidP="00C7398A">
      <w:pPr>
        <w:tabs>
          <w:tab w:val="left" w:pos="567"/>
        </w:tabs>
        <w:autoSpaceDE w:val="0"/>
        <w:autoSpaceDN w:val="0"/>
        <w:adjustRightInd w:val="0"/>
        <w:spacing w:after="0" w:line="240" w:lineRule="auto"/>
        <w:rPr>
          <w:rFonts w:ascii="Times New Roman" w:hAnsi="Times New Roman"/>
        </w:rPr>
      </w:pPr>
    </w:p>
    <w:p w14:paraId="161AD2F8"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b/>
          <w:bCs/>
        </w:rPr>
        <w:t xml:space="preserve">Kiti vaistai ir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p>
    <w:p w14:paraId="1E1C2B2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color w:val="000000"/>
        </w:rPr>
        <w:t>Jeigu vartojate ar neseniai vartojote kitų vaistų arba dėl to nesate tikri, apie tai pasakykite gydytojui, vaistininkui arba slaugytojai</w:t>
      </w:r>
      <w:r w:rsidR="00FE27C7" w:rsidRPr="00112B89">
        <w:rPr>
          <w:rFonts w:ascii="Times New Roman" w:hAnsi="Times New Roman"/>
          <w:color w:val="000000"/>
        </w:rPr>
        <w:t xml:space="preserve">. </w:t>
      </w:r>
    </w:p>
    <w:p w14:paraId="39B0D78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5048434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Nėštumas ir žindymo laikotarpis</w:t>
      </w:r>
    </w:p>
    <w:p w14:paraId="7F491B2E" w14:textId="77777777" w:rsidR="00AD6769" w:rsidRPr="00112B89" w:rsidRDefault="00AD6769" w:rsidP="00C7398A">
      <w:pPr>
        <w:tabs>
          <w:tab w:val="left" w:pos="567"/>
        </w:tabs>
        <w:spacing w:after="0" w:line="240" w:lineRule="auto"/>
        <w:rPr>
          <w:rFonts w:ascii="Times New Roman" w:hAnsi="Times New Roman"/>
        </w:rPr>
      </w:pPr>
      <w:proofErr w:type="spellStart"/>
      <w:r w:rsidRPr="00112B89">
        <w:rPr>
          <w:rFonts w:ascii="Times New Roman" w:hAnsi="Times New Roman"/>
        </w:rPr>
        <w:t>Ibandrono</w:t>
      </w:r>
      <w:proofErr w:type="spellEnd"/>
      <w:r w:rsidRPr="00112B89">
        <w:rPr>
          <w:rFonts w:ascii="Times New Roman" w:hAnsi="Times New Roman"/>
        </w:rPr>
        <w:t xml:space="preserve"> rūgštis tinka vartoti tik moterims po menopauzės. Jos negalima vartoti moterims, kurios gali turėti vaikų.</w:t>
      </w:r>
    </w:p>
    <w:p w14:paraId="32A4BC9B" w14:textId="77777777" w:rsidR="00AD6769" w:rsidRPr="00112B89" w:rsidRDefault="00AD6769" w:rsidP="00C7398A">
      <w:pPr>
        <w:tabs>
          <w:tab w:val="left" w:pos="567"/>
        </w:tabs>
        <w:spacing w:after="0" w:line="240" w:lineRule="auto"/>
        <w:rPr>
          <w:rFonts w:ascii="Times New Roman" w:hAnsi="Times New Roman"/>
        </w:rPr>
      </w:pPr>
    </w:p>
    <w:p w14:paraId="74E45AC0"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 xml:space="preserve">Jeigu esate nėščia, žindote kūdikį, </w:t>
      </w:r>
      <w:proofErr w:type="spellStart"/>
      <w:r w:rsidRPr="00112B89">
        <w:rPr>
          <w:rFonts w:ascii="Times New Roman" w:hAnsi="Times New Roman"/>
        </w:rPr>
        <w:t>ibandrono</w:t>
      </w:r>
      <w:proofErr w:type="spellEnd"/>
      <w:r w:rsidRPr="00112B89">
        <w:rPr>
          <w:rFonts w:ascii="Times New Roman" w:hAnsi="Times New Roman"/>
        </w:rPr>
        <w:t xml:space="preserve"> rūgšties</w:t>
      </w:r>
      <w:r w:rsidR="00C7207E" w:rsidRPr="00112B89">
        <w:rPr>
          <w:rFonts w:ascii="Times New Roman" w:hAnsi="Times New Roman"/>
        </w:rPr>
        <w:t xml:space="preserve"> </w:t>
      </w:r>
      <w:r w:rsidR="00AD6769" w:rsidRPr="00112B89">
        <w:rPr>
          <w:rFonts w:ascii="Times New Roman" w:hAnsi="Times New Roman"/>
        </w:rPr>
        <w:t>vartoti negalima.</w:t>
      </w:r>
    </w:p>
    <w:p w14:paraId="777A6CC9" w14:textId="77777777" w:rsidR="005A7416" w:rsidRPr="00112B89" w:rsidRDefault="005A7416" w:rsidP="00C7398A">
      <w:pPr>
        <w:tabs>
          <w:tab w:val="left" w:pos="567"/>
        </w:tabs>
        <w:spacing w:after="0" w:line="240" w:lineRule="auto"/>
        <w:rPr>
          <w:rFonts w:ascii="Times New Roman" w:hAnsi="Times New Roman"/>
        </w:rPr>
      </w:pPr>
    </w:p>
    <w:p w14:paraId="2EAC50BC"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Prieš varto</w:t>
      </w:r>
      <w:r w:rsidR="008208E4" w:rsidRPr="00112B89">
        <w:rPr>
          <w:rFonts w:ascii="Times New Roman" w:hAnsi="Times New Roman"/>
        </w:rPr>
        <w:t xml:space="preserve">dama šį </w:t>
      </w:r>
      <w:r w:rsidRPr="00112B89">
        <w:rPr>
          <w:rFonts w:ascii="Times New Roman" w:hAnsi="Times New Roman"/>
        </w:rPr>
        <w:t>vaistą pasitar</w:t>
      </w:r>
      <w:r w:rsidR="008208E4" w:rsidRPr="00112B89">
        <w:rPr>
          <w:rFonts w:ascii="Times New Roman" w:hAnsi="Times New Roman"/>
        </w:rPr>
        <w:t>kite</w:t>
      </w:r>
      <w:r w:rsidRPr="00112B89">
        <w:rPr>
          <w:rFonts w:ascii="Times New Roman" w:hAnsi="Times New Roman"/>
        </w:rPr>
        <w:t xml:space="preserve"> su gydytoju arba vaistininku.</w:t>
      </w:r>
    </w:p>
    <w:p w14:paraId="23A1FD90"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188938CF"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Vairavimas ir mechanizmų valdymas</w:t>
      </w:r>
    </w:p>
    <w:p w14:paraId="63551937"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Galite vairuoti ir valdyti mechanizmus, nes tikimybė</w:t>
      </w:r>
      <w:r w:rsidR="00AD6769" w:rsidRPr="00112B89">
        <w:rPr>
          <w:rFonts w:ascii="Times New Roman" w:hAnsi="Times New Roman"/>
        </w:rPr>
        <w:t>s</w:t>
      </w:r>
      <w:r w:rsidRPr="00112B89">
        <w:rPr>
          <w:rFonts w:ascii="Times New Roman" w:hAnsi="Times New Roman"/>
        </w:rPr>
        <w:t xml:space="preserve">, kad </w:t>
      </w:r>
      <w:proofErr w:type="spellStart"/>
      <w:r w:rsidRPr="00112B89">
        <w:rPr>
          <w:rFonts w:ascii="Times New Roman" w:hAnsi="Times New Roman"/>
        </w:rPr>
        <w:t>ibandrono</w:t>
      </w:r>
      <w:proofErr w:type="spellEnd"/>
      <w:r w:rsidRPr="00112B89">
        <w:rPr>
          <w:rFonts w:ascii="Times New Roman" w:hAnsi="Times New Roman"/>
        </w:rPr>
        <w:t xml:space="preserve"> rūgštis paveiks gebėjimą vairuoti ir valdyti mechanizmus, </w:t>
      </w:r>
      <w:r w:rsidR="00AD6769" w:rsidRPr="00112B89">
        <w:rPr>
          <w:rFonts w:ascii="Times New Roman" w:hAnsi="Times New Roman"/>
        </w:rPr>
        <w:t>nėra arba ji</w:t>
      </w:r>
      <w:r w:rsidRPr="00112B89">
        <w:rPr>
          <w:rFonts w:ascii="Times New Roman" w:hAnsi="Times New Roman"/>
        </w:rPr>
        <w:t xml:space="preserve"> labai maža.</w:t>
      </w:r>
    </w:p>
    <w:p w14:paraId="52B53FC7"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0E5C853F" w14:textId="77777777" w:rsidR="005A7416" w:rsidRPr="00112B89" w:rsidRDefault="005A7416" w:rsidP="00C7398A">
      <w:pPr>
        <w:tabs>
          <w:tab w:val="left" w:pos="567"/>
        </w:tabs>
        <w:spacing w:after="0" w:line="240" w:lineRule="auto"/>
        <w:rPr>
          <w:rFonts w:ascii="Times New Roman" w:hAnsi="Times New Roman"/>
          <w:b/>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sudėtyje yra natrio</w:t>
      </w:r>
    </w:p>
    <w:p w14:paraId="0E706E19" w14:textId="77777777" w:rsidR="00D2162F" w:rsidRPr="00DE47C3" w:rsidRDefault="005A7416" w:rsidP="00D2162F">
      <w:pPr>
        <w:autoSpaceDE w:val="0"/>
        <w:autoSpaceDN w:val="0"/>
        <w:adjustRightInd w:val="0"/>
        <w:spacing w:after="0" w:line="240" w:lineRule="auto"/>
        <w:rPr>
          <w:rFonts w:ascii="Times New Roman" w:eastAsia="Times New Roman" w:hAnsi="Times New Roman"/>
        </w:rPr>
      </w:pPr>
      <w:r w:rsidRPr="00112B89">
        <w:rPr>
          <w:rFonts w:ascii="Times New Roman" w:hAnsi="Times New Roman"/>
        </w:rPr>
        <w:t xml:space="preserve">Šio vaisto </w:t>
      </w:r>
      <w:r w:rsidR="00D2162F">
        <w:rPr>
          <w:rFonts w:ascii="Times New Roman" w:hAnsi="Times New Roman"/>
        </w:rPr>
        <w:t>vienoje dozėje</w:t>
      </w:r>
      <w:r w:rsidRPr="00112B89">
        <w:rPr>
          <w:rFonts w:ascii="Times New Roman" w:hAnsi="Times New Roman"/>
        </w:rPr>
        <w:t xml:space="preserve"> yra mažiau negu 1</w:t>
      </w:r>
      <w:r w:rsidR="006E6F32" w:rsidRPr="00112B89">
        <w:rPr>
          <w:rFonts w:ascii="Times New Roman" w:hAnsi="Times New Roman"/>
        </w:rPr>
        <w:t> </w:t>
      </w:r>
      <w:proofErr w:type="spellStart"/>
      <w:r w:rsidRPr="00112B89">
        <w:rPr>
          <w:rFonts w:ascii="Times New Roman" w:hAnsi="Times New Roman"/>
        </w:rPr>
        <w:t>mmol</w:t>
      </w:r>
      <w:proofErr w:type="spellEnd"/>
      <w:r w:rsidRPr="00112B89">
        <w:rPr>
          <w:rFonts w:ascii="Times New Roman" w:hAnsi="Times New Roman"/>
        </w:rPr>
        <w:t xml:space="preserve"> natrio (23</w:t>
      </w:r>
      <w:r w:rsidR="006E6F32" w:rsidRPr="00112B89">
        <w:rPr>
          <w:rFonts w:ascii="Times New Roman" w:hAnsi="Times New Roman"/>
        </w:rPr>
        <w:t> </w:t>
      </w:r>
      <w:r w:rsidRPr="00112B89">
        <w:rPr>
          <w:rFonts w:ascii="Times New Roman" w:hAnsi="Times New Roman"/>
        </w:rPr>
        <w:t>mg)</w:t>
      </w:r>
      <w:r w:rsidR="00D2162F" w:rsidRPr="00DE47C3">
        <w:rPr>
          <w:rFonts w:ascii="Times New Roman" w:eastAsia="Times New Roman" w:hAnsi="Times New Roman"/>
        </w:rPr>
        <w:t xml:space="preserve"> natrio, </w:t>
      </w:r>
      <w:proofErr w:type="spellStart"/>
      <w:r w:rsidR="00D2162F" w:rsidRPr="00DE47C3">
        <w:rPr>
          <w:rFonts w:ascii="Times New Roman" w:eastAsia="Times New Roman" w:hAnsi="Times New Roman"/>
        </w:rPr>
        <w:t>t.y</w:t>
      </w:r>
      <w:proofErr w:type="spellEnd"/>
      <w:r w:rsidR="00D2162F" w:rsidRPr="00DE47C3">
        <w:rPr>
          <w:rFonts w:ascii="Times New Roman" w:eastAsia="Times New Roman" w:hAnsi="Times New Roman"/>
        </w:rPr>
        <w:t>. jis beveik neturi reikšmės.</w:t>
      </w:r>
    </w:p>
    <w:p w14:paraId="0A3C6F0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4B7B3C80"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b/>
          <w:bCs/>
        </w:rPr>
        <w:t>3.</w:t>
      </w:r>
      <w:r w:rsidRPr="00112B89">
        <w:rPr>
          <w:rFonts w:ascii="Times New Roman" w:hAnsi="Times New Roman"/>
          <w:b/>
          <w:bCs/>
        </w:rPr>
        <w:tab/>
        <w:t xml:space="preserve">Kaip vartoti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p>
    <w:p w14:paraId="51CCCABF"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388AEFD5" w14:textId="77777777" w:rsidR="005A7416" w:rsidRPr="00112B89" w:rsidRDefault="005A7416" w:rsidP="00C7398A">
      <w:pPr>
        <w:tabs>
          <w:tab w:val="left" w:pos="567"/>
        </w:tabs>
        <w:spacing w:after="0" w:line="240" w:lineRule="auto"/>
        <w:rPr>
          <w:rFonts w:ascii="Times New Roman" w:hAnsi="Times New Roman"/>
        </w:rPr>
      </w:pPr>
      <w:proofErr w:type="spellStart"/>
      <w:r w:rsidRPr="00112B89">
        <w:rPr>
          <w:rFonts w:ascii="Times New Roman" w:hAnsi="Times New Roman"/>
        </w:rPr>
        <w:t>Ib</w:t>
      </w:r>
      <w:r w:rsidR="00F147C2" w:rsidRPr="00112B89">
        <w:rPr>
          <w:rFonts w:ascii="Times New Roman" w:hAnsi="Times New Roman"/>
        </w:rPr>
        <w:t>androno</w:t>
      </w:r>
      <w:proofErr w:type="spellEnd"/>
      <w:r w:rsidR="00F147C2" w:rsidRPr="00112B89">
        <w:rPr>
          <w:rFonts w:ascii="Times New Roman" w:hAnsi="Times New Roman"/>
        </w:rPr>
        <w:t xml:space="preserve"> rūgšties </w:t>
      </w:r>
      <w:r w:rsidRPr="00112B89">
        <w:rPr>
          <w:rFonts w:ascii="Times New Roman" w:hAnsi="Times New Roman"/>
        </w:rPr>
        <w:t xml:space="preserve">injekcinio tirpalo </w:t>
      </w:r>
      <w:r w:rsidR="00C04CA4" w:rsidRPr="00112B89">
        <w:rPr>
          <w:rFonts w:ascii="Times New Roman" w:hAnsi="Times New Roman"/>
        </w:rPr>
        <w:t xml:space="preserve">į veną </w:t>
      </w:r>
      <w:r w:rsidRPr="00112B89">
        <w:rPr>
          <w:rFonts w:ascii="Times New Roman" w:hAnsi="Times New Roman"/>
        </w:rPr>
        <w:t>rekomenduojama dozė yra 3</w:t>
      </w:r>
      <w:r w:rsidR="006E6F32" w:rsidRPr="00112B89">
        <w:rPr>
          <w:rFonts w:ascii="Times New Roman" w:hAnsi="Times New Roman"/>
        </w:rPr>
        <w:t> </w:t>
      </w:r>
      <w:r w:rsidRPr="00112B89">
        <w:rPr>
          <w:rFonts w:ascii="Times New Roman" w:hAnsi="Times New Roman"/>
        </w:rPr>
        <w:t>mg (vienas užpildytas švirkštas) kartą per 3 mėnesius.</w:t>
      </w:r>
    </w:p>
    <w:p w14:paraId="451F8E2D" w14:textId="77777777" w:rsidR="005A7416" w:rsidRPr="00112B89" w:rsidRDefault="005A7416" w:rsidP="00C7398A">
      <w:pPr>
        <w:tabs>
          <w:tab w:val="left" w:pos="567"/>
        </w:tabs>
        <w:spacing w:after="0" w:line="240" w:lineRule="auto"/>
        <w:rPr>
          <w:rFonts w:ascii="Times New Roman" w:hAnsi="Times New Roman"/>
          <w:b/>
        </w:rPr>
      </w:pPr>
      <w:proofErr w:type="spellStart"/>
      <w:r w:rsidRPr="00112B89">
        <w:rPr>
          <w:rFonts w:ascii="Times New Roman" w:hAnsi="Times New Roman"/>
        </w:rPr>
        <w:t>Ibandrono</w:t>
      </w:r>
      <w:proofErr w:type="spellEnd"/>
      <w:r w:rsidRPr="00112B89">
        <w:rPr>
          <w:rFonts w:ascii="Times New Roman" w:hAnsi="Times New Roman"/>
        </w:rPr>
        <w:t xml:space="preserve"> rūgštis paprastai suleidžiama gydytojo arba kito patyrusio medicinos personalo. </w:t>
      </w:r>
      <w:r w:rsidRPr="00112B89">
        <w:rPr>
          <w:rFonts w:ascii="Times New Roman" w:hAnsi="Times New Roman"/>
          <w:b/>
        </w:rPr>
        <w:t xml:space="preserve">Neleiskite vaisto pats. </w:t>
      </w:r>
    </w:p>
    <w:p w14:paraId="669E3F58" w14:textId="77777777" w:rsidR="005A7416" w:rsidRPr="00112B89" w:rsidRDefault="005A7416" w:rsidP="00C7398A">
      <w:pPr>
        <w:tabs>
          <w:tab w:val="left" w:pos="567"/>
        </w:tabs>
        <w:spacing w:after="0" w:line="240" w:lineRule="auto"/>
        <w:rPr>
          <w:rFonts w:ascii="Times New Roman" w:hAnsi="Times New Roman"/>
          <w:b/>
        </w:rPr>
      </w:pPr>
    </w:p>
    <w:p w14:paraId="5FF0FB7E"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Tirpalas turi būti suleidžiamas tik į veną (negalima suleisti į jokią kitą kūno vietą).</w:t>
      </w:r>
    </w:p>
    <w:p w14:paraId="3AECF98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302D60F9" w14:textId="77777777" w:rsidR="005A7416" w:rsidRPr="00112B89" w:rsidRDefault="005A7416" w:rsidP="00C7398A">
      <w:pPr>
        <w:tabs>
          <w:tab w:val="left" w:pos="567"/>
        </w:tabs>
        <w:spacing w:after="0" w:line="240" w:lineRule="auto"/>
        <w:rPr>
          <w:rFonts w:ascii="Times New Roman" w:hAnsi="Times New Roman"/>
          <w:b/>
          <w:bCs/>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r w:rsidRPr="00112B89">
        <w:rPr>
          <w:rFonts w:ascii="Times New Roman" w:hAnsi="Times New Roman"/>
          <w:b/>
          <w:bCs/>
        </w:rPr>
        <w:t>vartojimo trukmė</w:t>
      </w:r>
    </w:p>
    <w:p w14:paraId="57EDFB62"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 xml:space="preserve">Norint pasiekti geriausią gydymo veiksmingumą, svarbu </w:t>
      </w: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injekcinį tirpalą vartoti kas 3 mėnesius tol, kol Jums skiria gydytojas. </w:t>
      </w:r>
      <w:proofErr w:type="spellStart"/>
      <w:r w:rsidRPr="00112B89">
        <w:rPr>
          <w:rFonts w:ascii="Times New Roman" w:hAnsi="Times New Roman"/>
        </w:rPr>
        <w:t>Ibandrono</w:t>
      </w:r>
      <w:proofErr w:type="spellEnd"/>
      <w:r w:rsidRPr="00112B89">
        <w:rPr>
          <w:rFonts w:ascii="Times New Roman" w:hAnsi="Times New Roman"/>
        </w:rPr>
        <w:t xml:space="preserve"> rūgštis gali padėti gydyti osteoporozę tik tol, kol vartosite šį vaistą, netgi tuomet, jeigu Jūs nejaučiate arba nematote sveikatos skirtumo.</w:t>
      </w:r>
      <w:r w:rsidR="00B12D4A" w:rsidRPr="00112B89">
        <w:rPr>
          <w:rFonts w:ascii="Times New Roman" w:hAnsi="Times New Roman"/>
        </w:rPr>
        <w:t xml:space="preserve"> Pavartojus </w:t>
      </w:r>
      <w:proofErr w:type="spellStart"/>
      <w:r w:rsidR="00B12D4A" w:rsidRPr="00112B89">
        <w:rPr>
          <w:rFonts w:ascii="Times New Roman" w:hAnsi="Times New Roman"/>
        </w:rPr>
        <w:t>ibandrono</w:t>
      </w:r>
      <w:proofErr w:type="spellEnd"/>
      <w:r w:rsidR="00B12D4A" w:rsidRPr="00112B89">
        <w:rPr>
          <w:rFonts w:ascii="Times New Roman" w:hAnsi="Times New Roman"/>
        </w:rPr>
        <w:t xml:space="preserve"> rūgštį 5 metus, pasitarkite su gydytoju ar reikalinga jos vartojimą tęsti.</w:t>
      </w:r>
    </w:p>
    <w:p w14:paraId="5FD1D104" w14:textId="77777777" w:rsidR="00B12D4A" w:rsidRPr="00112B89" w:rsidRDefault="00B12D4A" w:rsidP="00C7398A">
      <w:pPr>
        <w:tabs>
          <w:tab w:val="left" w:pos="567"/>
        </w:tabs>
        <w:spacing w:after="0" w:line="240" w:lineRule="auto"/>
        <w:rPr>
          <w:rFonts w:ascii="Times New Roman" w:hAnsi="Times New Roman"/>
        </w:rPr>
      </w:pPr>
    </w:p>
    <w:p w14:paraId="0F4C6E4F" w14:textId="77777777" w:rsidR="005A7416" w:rsidRPr="00112B89" w:rsidRDefault="00B12D4A" w:rsidP="00C7398A">
      <w:pPr>
        <w:tabs>
          <w:tab w:val="left" w:pos="567"/>
        </w:tabs>
        <w:spacing w:after="0" w:line="240" w:lineRule="auto"/>
        <w:rPr>
          <w:rFonts w:ascii="Times New Roman" w:hAnsi="Times New Roman"/>
        </w:rPr>
      </w:pPr>
      <w:r w:rsidRPr="00112B89">
        <w:rPr>
          <w:rFonts w:ascii="Times New Roman" w:hAnsi="Times New Roman"/>
        </w:rPr>
        <w:t>Reikia v</w:t>
      </w:r>
      <w:r w:rsidR="005A7416" w:rsidRPr="00112B89">
        <w:rPr>
          <w:rFonts w:ascii="Times New Roman" w:hAnsi="Times New Roman"/>
        </w:rPr>
        <w:t>arto</w:t>
      </w:r>
      <w:r w:rsidRPr="00112B89">
        <w:rPr>
          <w:rFonts w:ascii="Times New Roman" w:hAnsi="Times New Roman"/>
        </w:rPr>
        <w:t>ti</w:t>
      </w:r>
      <w:r w:rsidR="005A7416" w:rsidRPr="00112B89">
        <w:rPr>
          <w:rFonts w:ascii="Times New Roman" w:hAnsi="Times New Roman"/>
        </w:rPr>
        <w:t>, kaip Jums rekomenduos gydytojas, kalcio ir vitamino D papildų.</w:t>
      </w:r>
    </w:p>
    <w:p w14:paraId="023076B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1847E051" w14:textId="77777777" w:rsidR="005A7416" w:rsidRPr="00112B89" w:rsidRDefault="005A7416" w:rsidP="00C7398A">
      <w:pPr>
        <w:tabs>
          <w:tab w:val="left" w:pos="567"/>
        </w:tabs>
        <w:spacing w:after="0" w:line="240" w:lineRule="auto"/>
        <w:rPr>
          <w:rFonts w:ascii="Times New Roman" w:hAnsi="Times New Roman"/>
          <w:b/>
          <w:bCs/>
        </w:rPr>
      </w:pPr>
      <w:r w:rsidRPr="00112B89">
        <w:rPr>
          <w:rFonts w:ascii="Times New Roman" w:hAnsi="Times New Roman"/>
          <w:b/>
          <w:bCs/>
        </w:rPr>
        <w:t xml:space="preserve">Pavartojus per didelę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r w:rsidRPr="00112B89">
        <w:rPr>
          <w:rFonts w:ascii="Times New Roman" w:hAnsi="Times New Roman"/>
          <w:b/>
          <w:bCs/>
        </w:rPr>
        <w:t>dozę</w:t>
      </w:r>
    </w:p>
    <w:p w14:paraId="18754AFD"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Jums gali sumažėti kalcio, fosforo arba magnio koncentracija kraujyje. Gydytojas gali imtis priemonių šių pokyčių atstatymui ir skirti suleisti vaistų, kurių sudėtyje yra šių medžiagų.</w:t>
      </w:r>
    </w:p>
    <w:p w14:paraId="66CA81EE"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01E7863E"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b/>
          <w:bCs/>
        </w:rPr>
        <w:t xml:space="preserve">Pamiršus pavartoti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dozę</w:t>
      </w:r>
    </w:p>
    <w:p w14:paraId="2A15B8E3" w14:textId="77777777" w:rsidR="005A7416" w:rsidRPr="00112B89" w:rsidRDefault="005A7416" w:rsidP="00C7398A">
      <w:pPr>
        <w:tabs>
          <w:tab w:val="left" w:pos="567"/>
        </w:tabs>
        <w:autoSpaceDE w:val="0"/>
        <w:autoSpaceDN w:val="0"/>
        <w:adjustRightInd w:val="0"/>
        <w:spacing w:after="0" w:line="240" w:lineRule="auto"/>
        <w:jc w:val="both"/>
        <w:rPr>
          <w:rFonts w:ascii="Times New Roman" w:hAnsi="Times New Roman"/>
        </w:rPr>
      </w:pPr>
      <w:r w:rsidRPr="00112B89">
        <w:rPr>
          <w:rFonts w:ascii="Times New Roman" w:hAnsi="Times New Roman"/>
        </w:rPr>
        <w:t>Jūs turite susitarti, kad kaip galint greičiau būtų suleista kita dozė. Po to injekcijos turi būti atliekamos kas 3 mėnesiai skaičiuojant nuo paskutinio vaisto suleidimo datos.</w:t>
      </w:r>
    </w:p>
    <w:p w14:paraId="1E62B76F"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4C23D51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15B1F2C7"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4.</w:t>
      </w:r>
      <w:r w:rsidRPr="00112B89">
        <w:rPr>
          <w:rFonts w:ascii="Times New Roman" w:hAnsi="Times New Roman"/>
          <w:b/>
          <w:bCs/>
        </w:rPr>
        <w:tab/>
        <w:t>Galimas šalutinis poveikis</w:t>
      </w:r>
    </w:p>
    <w:p w14:paraId="66BB6A99"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3EF5532A"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 xml:space="preserve">Šis vaistas, kaip ir kiti vaistai, gali sukelti šalutinį poveikį, nors jis pasireiškia ne visiems žmonėms. </w:t>
      </w:r>
    </w:p>
    <w:p w14:paraId="6484351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3EF5B475"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b/>
          <w:bCs/>
          <w:lang w:eastAsia="ja-JP"/>
        </w:rPr>
      </w:pPr>
      <w:r w:rsidRPr="00112B89">
        <w:rPr>
          <w:rFonts w:ascii="Times New Roman" w:eastAsia="MS Mincho" w:hAnsi="Times New Roman"/>
          <w:b/>
          <w:bCs/>
          <w:lang w:eastAsia="ja-JP"/>
        </w:rPr>
        <w:t>Jeigu pastebėjote bet kurį iš šių sunkių šalutinių poveikių, nedelsdami pasakykite slaugytojui</w:t>
      </w:r>
    </w:p>
    <w:p w14:paraId="7318C511" w14:textId="77777777" w:rsidR="00B12D4A" w:rsidRPr="00112B89" w:rsidRDefault="005A7416" w:rsidP="00C7398A">
      <w:pPr>
        <w:tabs>
          <w:tab w:val="left" w:pos="567"/>
        </w:tabs>
        <w:autoSpaceDE w:val="0"/>
        <w:autoSpaceDN w:val="0"/>
        <w:adjustRightInd w:val="0"/>
        <w:spacing w:after="0" w:line="240" w:lineRule="auto"/>
        <w:rPr>
          <w:rFonts w:ascii="Times New Roman" w:eastAsia="MS Mincho" w:hAnsi="Times New Roman"/>
          <w:b/>
          <w:bCs/>
          <w:lang w:eastAsia="ja-JP"/>
        </w:rPr>
      </w:pPr>
      <w:r w:rsidRPr="00112B89">
        <w:rPr>
          <w:rFonts w:ascii="Times New Roman" w:eastAsia="MS Mincho" w:hAnsi="Times New Roman"/>
          <w:b/>
          <w:bCs/>
          <w:lang w:eastAsia="ja-JP"/>
        </w:rPr>
        <w:lastRenderedPageBreak/>
        <w:t>arba gydytojui, nes Jums gali reikėti skubios medicininės pagalbos</w:t>
      </w:r>
      <w:r w:rsidR="00B12D4A" w:rsidRPr="00112B89">
        <w:rPr>
          <w:rFonts w:ascii="Times New Roman" w:eastAsia="MS Mincho" w:hAnsi="Times New Roman"/>
          <w:b/>
          <w:bCs/>
          <w:lang w:eastAsia="ja-JP"/>
        </w:rPr>
        <w:t>.</w:t>
      </w:r>
    </w:p>
    <w:p w14:paraId="184D11D8" w14:textId="77777777" w:rsidR="00B12D4A" w:rsidRPr="00112B89" w:rsidRDefault="00B12D4A" w:rsidP="00C7398A">
      <w:pPr>
        <w:tabs>
          <w:tab w:val="left" w:pos="567"/>
        </w:tabs>
        <w:autoSpaceDE w:val="0"/>
        <w:autoSpaceDN w:val="0"/>
        <w:adjustRightInd w:val="0"/>
        <w:spacing w:after="0" w:line="240" w:lineRule="auto"/>
        <w:rPr>
          <w:rFonts w:ascii="Times New Roman" w:eastAsia="MS Mincho" w:hAnsi="Times New Roman"/>
          <w:b/>
          <w:bCs/>
          <w:lang w:eastAsia="ja-JP"/>
        </w:rPr>
      </w:pPr>
    </w:p>
    <w:p w14:paraId="2E7ADBE7" w14:textId="77777777" w:rsidR="00EE217A" w:rsidRPr="00112B89" w:rsidRDefault="00EE217A" w:rsidP="00EE217A">
      <w:pPr>
        <w:tabs>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Nedažni</w:t>
      </w:r>
      <w:r w:rsidRPr="00112B89">
        <w:rPr>
          <w:rFonts w:ascii="Times New Roman" w:eastAsia="MS Mincho" w:hAnsi="Times New Roman"/>
          <w:bCs/>
          <w:color w:val="000000"/>
          <w:lang w:eastAsia="ja-JP"/>
        </w:rPr>
        <w:t xml:space="preserve"> </w:t>
      </w:r>
      <w:r w:rsidRPr="00112B89">
        <w:rPr>
          <w:rFonts w:ascii="Times New Roman" w:eastAsia="MS Mincho" w:hAnsi="Times New Roman"/>
          <w:color w:val="000000"/>
          <w:lang w:eastAsia="ja-JP"/>
        </w:rPr>
        <w:t xml:space="preserve">(gali pasireikšti mažiau kaip 1 iš 100 žmonių): </w:t>
      </w:r>
    </w:p>
    <w:p w14:paraId="28DB6DE0" w14:textId="77777777" w:rsidR="00EE217A" w:rsidRPr="00112B89" w:rsidRDefault="00EE217A" w:rsidP="00EE217A">
      <w:pPr>
        <w:pStyle w:val="BT-EMEASMCA"/>
        <w:spacing w:after="0" w:line="240" w:lineRule="auto"/>
        <w:ind w:left="567" w:hanging="567"/>
        <w:rPr>
          <w:rFonts w:ascii="Times New Roman" w:hAnsi="Times New Roman"/>
          <w:lang w:eastAsia="ja-JP"/>
        </w:rPr>
      </w:pPr>
      <w:r w:rsidRPr="00277116">
        <w:rPr>
          <w:rFonts w:ascii="Times New Roman" w:hAnsi="Times New Roman"/>
          <w:lang w:eastAsia="ja-JP"/>
        </w:rPr>
        <w:t>mažo kalcio kiekio kraujyje simptomai (</w:t>
      </w:r>
      <w:proofErr w:type="spellStart"/>
      <w:r w:rsidRPr="00277116">
        <w:rPr>
          <w:rFonts w:ascii="Times New Roman" w:hAnsi="Times New Roman"/>
          <w:lang w:eastAsia="ja-JP"/>
        </w:rPr>
        <w:t>hipokalcemija</w:t>
      </w:r>
      <w:proofErr w:type="spellEnd"/>
      <w:r w:rsidRPr="00277116">
        <w:rPr>
          <w:rFonts w:ascii="Times New Roman" w:hAnsi="Times New Roman"/>
          <w:lang w:eastAsia="ja-JP"/>
        </w:rPr>
        <w:t>), įskaitant raumenų mėšlungį ar spazmus ir (arba) dilgčiojimo pojūtį pirštuose ar aplink burną</w:t>
      </w:r>
      <w:r>
        <w:rPr>
          <w:rFonts w:ascii="Times New Roman" w:hAnsi="Times New Roman"/>
          <w:lang w:eastAsia="ja-JP"/>
        </w:rPr>
        <w:t>;</w:t>
      </w:r>
    </w:p>
    <w:p w14:paraId="1CBB29DD" w14:textId="77777777" w:rsidR="00EE217A" w:rsidRDefault="00EE217A" w:rsidP="00C7398A">
      <w:pPr>
        <w:tabs>
          <w:tab w:val="left" w:pos="567"/>
        </w:tabs>
        <w:autoSpaceDE w:val="0"/>
        <w:autoSpaceDN w:val="0"/>
        <w:adjustRightInd w:val="0"/>
        <w:spacing w:after="0" w:line="240" w:lineRule="auto"/>
        <w:rPr>
          <w:rFonts w:ascii="Times New Roman" w:eastAsia="MS Mincho" w:hAnsi="Times New Roman"/>
          <w:b/>
          <w:bCs/>
          <w:lang w:eastAsia="ja-JP"/>
        </w:rPr>
      </w:pPr>
    </w:p>
    <w:p w14:paraId="5FB237E6" w14:textId="6C8DF349" w:rsidR="005A7416" w:rsidRPr="00112B89" w:rsidRDefault="00B12D4A" w:rsidP="00C7398A">
      <w:pPr>
        <w:tabs>
          <w:tab w:val="left" w:pos="567"/>
        </w:tabs>
        <w:autoSpaceDE w:val="0"/>
        <w:autoSpaceDN w:val="0"/>
        <w:adjustRightInd w:val="0"/>
        <w:spacing w:after="0" w:line="240" w:lineRule="auto"/>
        <w:rPr>
          <w:rFonts w:ascii="Times New Roman" w:eastAsia="MS Mincho" w:hAnsi="Times New Roman"/>
          <w:b/>
          <w:bCs/>
          <w:lang w:eastAsia="ja-JP"/>
        </w:rPr>
      </w:pPr>
      <w:r w:rsidRPr="00112B89">
        <w:rPr>
          <w:rFonts w:ascii="Times New Roman" w:eastAsia="MS Mincho" w:hAnsi="Times New Roman"/>
          <w:b/>
          <w:bCs/>
          <w:lang w:eastAsia="ja-JP"/>
        </w:rPr>
        <w:t xml:space="preserve">Reti </w:t>
      </w:r>
      <w:r w:rsidRPr="00112B89">
        <w:rPr>
          <w:rFonts w:ascii="Times New Roman" w:eastAsia="MS Mincho" w:hAnsi="Times New Roman"/>
          <w:bCs/>
          <w:lang w:eastAsia="ja-JP"/>
        </w:rPr>
        <w:t xml:space="preserve">(gali pasitaikyti </w:t>
      </w:r>
      <w:r w:rsidR="00123658" w:rsidRPr="00112B89">
        <w:rPr>
          <w:rFonts w:ascii="Times New Roman" w:eastAsia="MS Mincho" w:hAnsi="Times New Roman"/>
          <w:bCs/>
          <w:lang w:eastAsia="ja-JP"/>
        </w:rPr>
        <w:t>mažiau</w:t>
      </w:r>
      <w:r w:rsidRPr="00112B89">
        <w:rPr>
          <w:rFonts w:ascii="Times New Roman" w:eastAsia="MS Mincho" w:hAnsi="Times New Roman"/>
          <w:bCs/>
          <w:lang w:eastAsia="ja-JP"/>
        </w:rPr>
        <w:t xml:space="preserve"> kaip 1 iš 1000 žmonių)</w:t>
      </w:r>
      <w:r w:rsidR="003F4601" w:rsidRPr="00112B89">
        <w:rPr>
          <w:rFonts w:ascii="Times New Roman" w:eastAsia="MS Mincho" w:hAnsi="Times New Roman"/>
          <w:bCs/>
          <w:lang w:eastAsia="ja-JP"/>
        </w:rPr>
        <w:t>:</w:t>
      </w:r>
    </w:p>
    <w:p w14:paraId="531767BE" w14:textId="77777777" w:rsidR="005A7416" w:rsidRPr="00112B89" w:rsidRDefault="005A7416" w:rsidP="00B12D4A">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 xml:space="preserve">niežėjimas, veido, lūpų, liežuvio ar gerklės patinimas, sunkinantis kvėpavimą; </w:t>
      </w:r>
    </w:p>
    <w:p w14:paraId="43F3C129" w14:textId="77777777" w:rsidR="00A64F0C" w:rsidRPr="00112B89" w:rsidRDefault="00B12D4A" w:rsidP="00A64F0C">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nuolatinis akių skausmas ir uždegimas (jei ilgai tęsiasi)</w:t>
      </w:r>
      <w:r w:rsidR="00A64F0C" w:rsidRPr="00112B89">
        <w:rPr>
          <w:rFonts w:ascii="Times New Roman" w:hAnsi="Times New Roman"/>
          <w:lang w:eastAsia="ja-JP"/>
        </w:rPr>
        <w:t>;</w:t>
      </w:r>
    </w:p>
    <w:p w14:paraId="79461343" w14:textId="77777777" w:rsidR="00B12D4A" w:rsidRPr="00112B89" w:rsidRDefault="00B12D4A" w:rsidP="00B12D4A">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 xml:space="preserve">naujai atsiradęs </w:t>
      </w:r>
      <w:r w:rsidR="00DC2E56" w:rsidRPr="00112B89">
        <w:rPr>
          <w:rFonts w:ascii="Times New Roman" w:hAnsi="Times New Roman"/>
        </w:rPr>
        <w:t>šlaunies, klubo ar kirkšnies</w:t>
      </w:r>
      <w:r w:rsidR="00DC2E56" w:rsidRPr="00112B89">
        <w:t xml:space="preserve"> </w:t>
      </w:r>
      <w:r w:rsidRPr="00112B89">
        <w:rPr>
          <w:rFonts w:ascii="Times New Roman" w:hAnsi="Times New Roman"/>
          <w:lang w:eastAsia="ja-JP"/>
        </w:rPr>
        <w:t>skausmas, silpnumas arba nemalonus pojūtis</w:t>
      </w:r>
      <w:r w:rsidR="00DC2E56" w:rsidRPr="00112B89">
        <w:rPr>
          <w:rFonts w:ascii="Times New Roman" w:hAnsi="Times New Roman"/>
          <w:lang w:eastAsia="ja-JP"/>
        </w:rPr>
        <w:t>. T</w:t>
      </w:r>
      <w:r w:rsidRPr="00112B89">
        <w:rPr>
          <w:rFonts w:ascii="Times New Roman" w:hAnsi="Times New Roman"/>
          <w:lang w:eastAsia="ja-JP"/>
        </w:rPr>
        <w:t xml:space="preserve">ai gali būti ankstyvi suplonėjusių kaulų </w:t>
      </w:r>
      <w:r w:rsidR="00C7207E" w:rsidRPr="00112B89">
        <w:rPr>
          <w:rFonts w:ascii="Times New Roman" w:hAnsi="Times New Roman"/>
          <w:lang w:eastAsia="ja-JP"/>
        </w:rPr>
        <w:t>neįprastų</w:t>
      </w:r>
      <w:r w:rsidRPr="00112B89">
        <w:rPr>
          <w:rFonts w:ascii="Times New Roman" w:hAnsi="Times New Roman"/>
          <w:lang w:eastAsia="ja-JP"/>
        </w:rPr>
        <w:t xml:space="preserve"> lūžių požymiai</w:t>
      </w:r>
      <w:r w:rsidR="007B2D52" w:rsidRPr="00112B89">
        <w:rPr>
          <w:rFonts w:ascii="Times New Roman" w:hAnsi="Times New Roman"/>
          <w:lang w:eastAsia="ja-JP"/>
        </w:rPr>
        <w:t>.</w:t>
      </w:r>
    </w:p>
    <w:p w14:paraId="105DFB96" w14:textId="77777777" w:rsidR="00924972" w:rsidRPr="00112B89" w:rsidRDefault="00924972" w:rsidP="00924972">
      <w:pPr>
        <w:pStyle w:val="BT-EMEASMCA"/>
        <w:numPr>
          <w:ilvl w:val="0"/>
          <w:numId w:val="0"/>
        </w:numPr>
        <w:tabs>
          <w:tab w:val="left" w:pos="0"/>
        </w:tabs>
        <w:spacing w:after="0" w:line="240" w:lineRule="auto"/>
        <w:rPr>
          <w:rFonts w:ascii="Times New Roman" w:hAnsi="Times New Roman"/>
          <w:lang w:eastAsia="ja-JP"/>
        </w:rPr>
      </w:pPr>
    </w:p>
    <w:p w14:paraId="008961EB" w14:textId="77777777" w:rsidR="00924972" w:rsidRPr="00112B89" w:rsidRDefault="00924972" w:rsidP="00924972">
      <w:pPr>
        <w:pStyle w:val="BT-EMEASMCA"/>
        <w:numPr>
          <w:ilvl w:val="0"/>
          <w:numId w:val="0"/>
        </w:numPr>
        <w:tabs>
          <w:tab w:val="left" w:pos="567"/>
        </w:tabs>
        <w:spacing w:after="0" w:line="240" w:lineRule="auto"/>
        <w:ind w:left="567" w:hanging="567"/>
        <w:rPr>
          <w:rFonts w:ascii="Times New Roman" w:hAnsi="Times New Roman"/>
          <w:lang w:eastAsia="ja-JP"/>
        </w:rPr>
      </w:pPr>
      <w:r w:rsidRPr="00112B89">
        <w:rPr>
          <w:rFonts w:ascii="Times New Roman" w:hAnsi="Times New Roman"/>
          <w:b/>
          <w:lang w:eastAsia="ja-JP"/>
        </w:rPr>
        <w:t>Labai reti</w:t>
      </w:r>
      <w:r w:rsidRPr="00112B89">
        <w:rPr>
          <w:rFonts w:ascii="Times New Roman" w:hAnsi="Times New Roman"/>
          <w:lang w:eastAsia="ja-JP"/>
        </w:rPr>
        <w:t xml:space="preserve"> (gali pasitaikyti </w:t>
      </w:r>
      <w:r w:rsidR="00123658" w:rsidRPr="00112B89">
        <w:rPr>
          <w:rFonts w:ascii="Times New Roman" w:eastAsia="MS Mincho" w:hAnsi="Times New Roman"/>
          <w:bCs/>
          <w:lang w:eastAsia="ja-JP"/>
        </w:rPr>
        <w:t>mažiau</w:t>
      </w:r>
      <w:r w:rsidRPr="00112B89">
        <w:rPr>
          <w:rFonts w:ascii="Times New Roman" w:hAnsi="Times New Roman"/>
          <w:lang w:eastAsia="ja-JP"/>
        </w:rPr>
        <w:t xml:space="preserve"> kaip 1 iš 10000 žmonių)</w:t>
      </w:r>
      <w:r w:rsidR="003F4601" w:rsidRPr="00112B89">
        <w:rPr>
          <w:rFonts w:ascii="Times New Roman" w:hAnsi="Times New Roman"/>
          <w:lang w:eastAsia="ja-JP"/>
        </w:rPr>
        <w:t>:</w:t>
      </w:r>
    </w:p>
    <w:p w14:paraId="317E1F3B" w14:textId="77777777" w:rsidR="00924972" w:rsidRPr="00112B89" w:rsidRDefault="00924972" w:rsidP="00924972">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skausmas ar žaizda burnoje ar žandikaulyje</w:t>
      </w:r>
      <w:r w:rsidR="003F4601" w:rsidRPr="00112B89">
        <w:rPr>
          <w:rFonts w:ascii="Times New Roman" w:hAnsi="Times New Roman"/>
          <w:lang w:eastAsia="ja-JP"/>
        </w:rPr>
        <w:t>, tai</w:t>
      </w:r>
      <w:r w:rsidR="00CB5B0C" w:rsidRPr="00112B89">
        <w:rPr>
          <w:rFonts w:ascii="Times New Roman" w:hAnsi="Times New Roman"/>
          <w:lang w:eastAsia="ja-JP"/>
        </w:rPr>
        <w:t xml:space="preserve"> gali būti pirmieji sunkių žandikaulio sutrikimų </w:t>
      </w:r>
      <w:r w:rsidR="005F20CF" w:rsidRPr="00112B89">
        <w:rPr>
          <w:rFonts w:ascii="Times New Roman" w:hAnsi="Times New Roman"/>
          <w:lang w:eastAsia="ja-JP"/>
        </w:rPr>
        <w:t xml:space="preserve">požymiai </w:t>
      </w:r>
      <w:r w:rsidR="00CB5B0C" w:rsidRPr="00112B89">
        <w:rPr>
          <w:rFonts w:ascii="Times New Roman" w:hAnsi="Times New Roman"/>
          <w:lang w:eastAsia="ja-JP"/>
        </w:rPr>
        <w:t xml:space="preserve">(nekrozė </w:t>
      </w:r>
      <w:r w:rsidR="005F20CF" w:rsidRPr="00112B89">
        <w:rPr>
          <w:rFonts w:ascii="Times New Roman" w:hAnsi="Times New Roman"/>
          <w:lang w:eastAsia="ja-JP"/>
        </w:rPr>
        <w:t>[</w:t>
      </w:r>
      <w:r w:rsidR="00CB5B0C" w:rsidRPr="00112B89">
        <w:rPr>
          <w:rFonts w:ascii="Times New Roman" w:hAnsi="Times New Roman"/>
          <w:lang w:eastAsia="ja-JP"/>
        </w:rPr>
        <w:t>kaulinio audinio išnykim</w:t>
      </w:r>
      <w:r w:rsidR="00CB4060" w:rsidRPr="00112B89">
        <w:rPr>
          <w:rFonts w:ascii="Times New Roman" w:hAnsi="Times New Roman"/>
          <w:lang w:eastAsia="ja-JP"/>
        </w:rPr>
        <w:t>as</w:t>
      </w:r>
      <w:r w:rsidR="005F20CF" w:rsidRPr="00112B89">
        <w:rPr>
          <w:rFonts w:ascii="Times New Roman" w:hAnsi="Times New Roman"/>
          <w:lang w:eastAsia="ja-JP"/>
        </w:rPr>
        <w:t>] žandikaulyje</w:t>
      </w:r>
      <w:r w:rsidR="00CB5B0C" w:rsidRPr="00112B89">
        <w:rPr>
          <w:rFonts w:ascii="Times New Roman" w:hAnsi="Times New Roman"/>
          <w:lang w:eastAsia="ja-JP"/>
        </w:rPr>
        <w:t>);</w:t>
      </w:r>
    </w:p>
    <w:p w14:paraId="4E80F061" w14:textId="77777777" w:rsidR="005F20CF" w:rsidRPr="00112B89" w:rsidRDefault="003F4601" w:rsidP="00DD2A44">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 xml:space="preserve">pasitarkite </w:t>
      </w:r>
      <w:r w:rsidR="005F20CF" w:rsidRPr="00112B89">
        <w:rPr>
          <w:rFonts w:ascii="Times New Roman" w:hAnsi="Times New Roman"/>
          <w:lang w:eastAsia="ja-JP"/>
        </w:rPr>
        <w:t>su gydytoju, jeigu Jums skauda ausį, iš ausies teka išskyros ir (arba) Jums prasidėjęs ausies uždegimas</w:t>
      </w:r>
      <w:r w:rsidRPr="00112B89">
        <w:rPr>
          <w:rFonts w:ascii="Times New Roman" w:hAnsi="Times New Roman"/>
          <w:lang w:eastAsia="ja-JP"/>
        </w:rPr>
        <w:t>, nes</w:t>
      </w:r>
      <w:r w:rsidR="005F20CF" w:rsidRPr="00112B89">
        <w:rPr>
          <w:rFonts w:ascii="Times New Roman" w:hAnsi="Times New Roman"/>
          <w:lang w:eastAsia="ja-JP"/>
        </w:rPr>
        <w:t xml:space="preserve"> </w:t>
      </w:r>
      <w:r w:rsidRPr="00112B89">
        <w:rPr>
          <w:rFonts w:ascii="Times New Roman" w:hAnsi="Times New Roman"/>
          <w:lang w:eastAsia="ja-JP"/>
        </w:rPr>
        <w:t>t</w:t>
      </w:r>
      <w:r w:rsidR="005F20CF" w:rsidRPr="00112B89">
        <w:rPr>
          <w:rFonts w:ascii="Times New Roman" w:hAnsi="Times New Roman"/>
          <w:lang w:eastAsia="ja-JP"/>
        </w:rPr>
        <w:t>ai gali būtų ausyje esančio kaulo pažeidimo požymiai</w:t>
      </w:r>
      <w:r w:rsidRPr="00112B89">
        <w:rPr>
          <w:rFonts w:ascii="Times New Roman" w:hAnsi="Times New Roman"/>
          <w:lang w:eastAsia="ja-JP"/>
        </w:rPr>
        <w:t>;</w:t>
      </w:r>
    </w:p>
    <w:p w14:paraId="43928554" w14:textId="77777777" w:rsidR="00CB5B0C" w:rsidRPr="00112B89" w:rsidRDefault="00CB5B0C" w:rsidP="00924972">
      <w:pPr>
        <w:pStyle w:val="BT-EMEASMCA"/>
        <w:tabs>
          <w:tab w:val="left" w:pos="567"/>
        </w:tabs>
        <w:spacing w:after="0" w:line="240" w:lineRule="auto"/>
        <w:ind w:left="567" w:hanging="567"/>
        <w:rPr>
          <w:rFonts w:ascii="Times New Roman" w:hAnsi="Times New Roman"/>
          <w:lang w:eastAsia="ja-JP"/>
        </w:rPr>
      </w:pPr>
      <w:r w:rsidRPr="00112B89">
        <w:rPr>
          <w:rFonts w:ascii="Times New Roman" w:hAnsi="Times New Roman"/>
          <w:lang w:eastAsia="ja-JP"/>
        </w:rPr>
        <w:t>sunki, gyvybei pavojinga alerginė reakcija (žr. 2 skyrių)</w:t>
      </w:r>
      <w:r w:rsidR="00ED216D" w:rsidRPr="00112B89">
        <w:rPr>
          <w:rFonts w:ascii="Times New Roman" w:hAnsi="Times New Roman"/>
          <w:lang w:eastAsia="ja-JP"/>
        </w:rPr>
        <w:t>;</w:t>
      </w:r>
    </w:p>
    <w:p w14:paraId="6711BFA1" w14:textId="77777777" w:rsidR="00ED216D" w:rsidRPr="00112B89" w:rsidRDefault="00ED216D" w:rsidP="00924972">
      <w:pPr>
        <w:pStyle w:val="BT-EMEASMCA"/>
        <w:tabs>
          <w:tab w:val="left" w:pos="567"/>
        </w:tabs>
        <w:spacing w:after="0" w:line="240" w:lineRule="auto"/>
        <w:ind w:left="567" w:hanging="567"/>
        <w:rPr>
          <w:rFonts w:ascii="Times New Roman" w:hAnsi="Times New Roman"/>
          <w:lang w:eastAsia="ja-JP"/>
        </w:rPr>
      </w:pPr>
      <w:r w:rsidRPr="0089774B">
        <w:rPr>
          <w:rFonts w:ascii="Times New Roman" w:hAnsi="Times New Roman"/>
          <w:lang w:eastAsia="lt-LT"/>
        </w:rPr>
        <w:t>sunkios nepageidaujamos odos reakcijos.</w:t>
      </w:r>
    </w:p>
    <w:p w14:paraId="2EF174B5" w14:textId="77777777" w:rsidR="005A7416" w:rsidRPr="00112B89" w:rsidRDefault="005A7416" w:rsidP="00C7398A">
      <w:pPr>
        <w:tabs>
          <w:tab w:val="left" w:pos="0"/>
          <w:tab w:val="left" w:pos="567"/>
        </w:tabs>
        <w:autoSpaceDE w:val="0"/>
        <w:autoSpaceDN w:val="0"/>
        <w:adjustRightInd w:val="0"/>
        <w:spacing w:after="0" w:line="240" w:lineRule="auto"/>
        <w:rPr>
          <w:rFonts w:ascii="Times New Roman" w:eastAsia="MS Mincho" w:hAnsi="Times New Roman"/>
          <w:color w:val="000000"/>
          <w:lang w:eastAsia="ja-JP"/>
        </w:rPr>
      </w:pPr>
    </w:p>
    <w:p w14:paraId="001708D8" w14:textId="77777777" w:rsidR="005A7416" w:rsidRPr="00112B89" w:rsidRDefault="005A7416" w:rsidP="00C7398A">
      <w:pPr>
        <w:tabs>
          <w:tab w:val="left" w:pos="0"/>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Kiti galimi šalutini</w:t>
      </w:r>
      <w:r w:rsidR="00123658" w:rsidRPr="00112B89">
        <w:rPr>
          <w:rFonts w:ascii="Times New Roman" w:eastAsia="MS Mincho" w:hAnsi="Times New Roman"/>
          <w:b/>
          <w:bCs/>
          <w:color w:val="000000"/>
          <w:lang w:eastAsia="ja-JP"/>
        </w:rPr>
        <w:t>o</w:t>
      </w:r>
      <w:r w:rsidRPr="00112B89">
        <w:rPr>
          <w:rFonts w:ascii="Times New Roman" w:eastAsia="MS Mincho" w:hAnsi="Times New Roman"/>
          <w:b/>
          <w:bCs/>
          <w:color w:val="000000"/>
          <w:lang w:eastAsia="ja-JP"/>
        </w:rPr>
        <w:t xml:space="preserve"> poveiki</w:t>
      </w:r>
      <w:r w:rsidR="00123658" w:rsidRPr="00112B89">
        <w:rPr>
          <w:rFonts w:ascii="Times New Roman" w:eastAsia="MS Mincho" w:hAnsi="Times New Roman"/>
          <w:b/>
          <w:bCs/>
          <w:color w:val="000000"/>
          <w:lang w:eastAsia="ja-JP"/>
        </w:rPr>
        <w:t>o reiškiniai</w:t>
      </w:r>
      <w:r w:rsidRPr="00112B89">
        <w:rPr>
          <w:rFonts w:ascii="Times New Roman" w:eastAsia="MS Mincho" w:hAnsi="Times New Roman"/>
          <w:b/>
          <w:bCs/>
          <w:color w:val="000000"/>
          <w:lang w:eastAsia="ja-JP"/>
        </w:rPr>
        <w:t xml:space="preserve"> </w:t>
      </w:r>
    </w:p>
    <w:p w14:paraId="0EBAE5B8" w14:textId="77777777" w:rsidR="005A7416" w:rsidRPr="00112B89" w:rsidRDefault="005A7416" w:rsidP="00C7398A">
      <w:pPr>
        <w:tabs>
          <w:tab w:val="left" w:pos="0"/>
          <w:tab w:val="left" w:pos="567"/>
        </w:tabs>
        <w:autoSpaceDE w:val="0"/>
        <w:autoSpaceDN w:val="0"/>
        <w:adjustRightInd w:val="0"/>
        <w:spacing w:after="0" w:line="240" w:lineRule="auto"/>
        <w:ind w:right="-20"/>
        <w:rPr>
          <w:rFonts w:ascii="Times New Roman" w:eastAsia="MS Mincho" w:hAnsi="Times New Roman"/>
          <w:b/>
          <w:bCs/>
          <w:color w:val="000000"/>
          <w:lang w:eastAsia="ja-JP"/>
        </w:rPr>
      </w:pPr>
    </w:p>
    <w:p w14:paraId="330B6D82" w14:textId="77777777" w:rsidR="005A7416" w:rsidRPr="00112B89" w:rsidRDefault="005A7416" w:rsidP="00C7398A">
      <w:pPr>
        <w:tabs>
          <w:tab w:val="left" w:pos="0"/>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 xml:space="preserve">Dažni </w:t>
      </w:r>
      <w:r w:rsidRPr="00112B89">
        <w:rPr>
          <w:rFonts w:ascii="Times New Roman" w:eastAsia="MS Mincho" w:hAnsi="Times New Roman"/>
          <w:color w:val="000000"/>
          <w:lang w:eastAsia="ja-JP"/>
        </w:rPr>
        <w:t>(</w:t>
      </w:r>
      <w:r w:rsidR="00CB5B0C" w:rsidRPr="00112B89">
        <w:rPr>
          <w:rFonts w:ascii="Times New Roman" w:eastAsia="MS Mincho" w:hAnsi="Times New Roman"/>
          <w:color w:val="000000"/>
          <w:lang w:eastAsia="ja-JP"/>
        </w:rPr>
        <w:t xml:space="preserve">gali </w:t>
      </w:r>
      <w:r w:rsidRPr="00112B89">
        <w:rPr>
          <w:rFonts w:ascii="Times New Roman" w:eastAsia="MS Mincho" w:hAnsi="Times New Roman"/>
          <w:color w:val="000000"/>
          <w:lang w:eastAsia="ja-JP"/>
        </w:rPr>
        <w:t>pasirei</w:t>
      </w:r>
      <w:r w:rsidR="00CB5B0C" w:rsidRPr="00112B89">
        <w:rPr>
          <w:rFonts w:ascii="Times New Roman" w:eastAsia="MS Mincho" w:hAnsi="Times New Roman"/>
          <w:color w:val="000000"/>
          <w:lang w:eastAsia="ja-JP"/>
        </w:rPr>
        <w:t>k</w:t>
      </w:r>
      <w:r w:rsidRPr="00112B89">
        <w:rPr>
          <w:rFonts w:ascii="Times New Roman" w:eastAsia="MS Mincho" w:hAnsi="Times New Roman"/>
          <w:color w:val="000000"/>
          <w:lang w:eastAsia="ja-JP"/>
        </w:rPr>
        <w:t>š</w:t>
      </w:r>
      <w:r w:rsidR="00CB5B0C" w:rsidRPr="00112B89">
        <w:rPr>
          <w:rFonts w:ascii="Times New Roman" w:eastAsia="MS Mincho" w:hAnsi="Times New Roman"/>
          <w:color w:val="000000"/>
          <w:lang w:eastAsia="ja-JP"/>
        </w:rPr>
        <w:t>t</w:t>
      </w:r>
      <w:r w:rsidRPr="00112B89">
        <w:rPr>
          <w:rFonts w:ascii="Times New Roman" w:eastAsia="MS Mincho" w:hAnsi="Times New Roman"/>
          <w:color w:val="000000"/>
          <w:lang w:eastAsia="ja-JP"/>
        </w:rPr>
        <w:t xml:space="preserve">i mažiau kaip 1 iš 10 žmonių): </w:t>
      </w:r>
    </w:p>
    <w:p w14:paraId="5874D50F" w14:textId="77777777" w:rsidR="00CB5B0C" w:rsidRPr="00112B89" w:rsidRDefault="00CB5B0C" w:rsidP="00CB5B0C">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g</w:t>
      </w:r>
      <w:r w:rsidR="005A7416" w:rsidRPr="00112B89">
        <w:rPr>
          <w:rFonts w:ascii="Times New Roman" w:hAnsi="Times New Roman"/>
          <w:lang w:eastAsia="ja-JP"/>
        </w:rPr>
        <w:t>alvos skausmas</w:t>
      </w:r>
      <w:r w:rsidR="00A64F0C" w:rsidRPr="00112B89">
        <w:rPr>
          <w:rFonts w:ascii="Times New Roman" w:hAnsi="Times New Roman"/>
          <w:lang w:eastAsia="ja-JP"/>
        </w:rPr>
        <w:t>;</w:t>
      </w:r>
    </w:p>
    <w:p w14:paraId="151E76FF" w14:textId="77777777" w:rsidR="00CB5B0C" w:rsidRPr="00112B89" w:rsidRDefault="005A7416" w:rsidP="00CB5B0C">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 xml:space="preserve">skrandžio skausmas (pavyzdžiui, “gastritas”), </w:t>
      </w:r>
      <w:proofErr w:type="spellStart"/>
      <w:r w:rsidRPr="00112B89">
        <w:rPr>
          <w:rFonts w:ascii="Times New Roman" w:hAnsi="Times New Roman"/>
          <w:lang w:eastAsia="ja-JP"/>
        </w:rPr>
        <w:t>nevirškinimas</w:t>
      </w:r>
      <w:proofErr w:type="spellEnd"/>
      <w:r w:rsidRPr="00112B89">
        <w:rPr>
          <w:rFonts w:ascii="Times New Roman" w:hAnsi="Times New Roman"/>
          <w:lang w:eastAsia="ja-JP"/>
        </w:rPr>
        <w:t>, pykinimas, viduriavimas ar vidurių užkietėjimas</w:t>
      </w:r>
      <w:r w:rsidR="00CB5B0C" w:rsidRPr="00112B89">
        <w:rPr>
          <w:rFonts w:ascii="Times New Roman" w:hAnsi="Times New Roman"/>
          <w:lang w:eastAsia="ja-JP"/>
        </w:rPr>
        <w:t>;</w:t>
      </w:r>
    </w:p>
    <w:p w14:paraId="4CC7C03F" w14:textId="77777777" w:rsidR="00CB5B0C" w:rsidRPr="00112B89" w:rsidRDefault="00CB5B0C" w:rsidP="00CB5B0C">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raumenų, sąnarių arba nugaros skausmas;</w:t>
      </w:r>
    </w:p>
    <w:p w14:paraId="2626FFCA" w14:textId="77777777" w:rsidR="00CB5B0C" w:rsidRPr="00112B89" w:rsidRDefault="00CB5B0C" w:rsidP="00CB5B0C">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nuovargis, išsekimas;</w:t>
      </w:r>
    </w:p>
    <w:p w14:paraId="412FA620" w14:textId="77777777" w:rsidR="00C7207E" w:rsidRPr="00112B89" w:rsidRDefault="00D2227D" w:rsidP="00CB5B0C">
      <w:pPr>
        <w:pStyle w:val="BT-EMEASMCA"/>
        <w:tabs>
          <w:tab w:val="left" w:pos="0"/>
          <w:tab w:val="left" w:pos="567"/>
        </w:tabs>
        <w:autoSpaceDE w:val="0"/>
        <w:autoSpaceDN w:val="0"/>
        <w:adjustRightInd w:val="0"/>
        <w:spacing w:after="0" w:line="240" w:lineRule="auto"/>
        <w:ind w:left="567" w:hanging="567"/>
        <w:rPr>
          <w:rFonts w:ascii="Times New Roman" w:hAnsi="Times New Roman"/>
          <w:lang w:eastAsia="ja-JP"/>
        </w:rPr>
      </w:pPr>
      <w:r w:rsidRPr="00112B89">
        <w:rPr>
          <w:rFonts w:ascii="Times New Roman" w:hAnsi="Times New Roman"/>
          <w:lang w:eastAsia="ja-JP"/>
        </w:rPr>
        <w:t>į</w:t>
      </w:r>
      <w:r w:rsidR="005A7416" w:rsidRPr="00112B89">
        <w:rPr>
          <w:rFonts w:ascii="Times New Roman" w:hAnsi="Times New Roman"/>
          <w:lang w:eastAsia="ja-JP"/>
        </w:rPr>
        <w:t xml:space="preserve"> gripą panašūs simptomai </w:t>
      </w:r>
      <w:r w:rsidR="00CB5B0C" w:rsidRPr="00112B89">
        <w:rPr>
          <w:rFonts w:ascii="Times New Roman" w:hAnsi="Times New Roman"/>
          <w:lang w:eastAsia="ja-JP"/>
        </w:rPr>
        <w:t xml:space="preserve">- </w:t>
      </w:r>
      <w:r w:rsidR="005A7416" w:rsidRPr="00112B89">
        <w:rPr>
          <w:rFonts w:ascii="Times New Roman" w:hAnsi="Times New Roman"/>
          <w:lang w:eastAsia="ja-JP"/>
        </w:rPr>
        <w:t xml:space="preserve">karščiavimas, </w:t>
      </w:r>
      <w:proofErr w:type="spellStart"/>
      <w:r w:rsidR="005A7416" w:rsidRPr="00112B89">
        <w:rPr>
          <w:rFonts w:ascii="Times New Roman" w:hAnsi="Times New Roman"/>
          <w:lang w:eastAsia="ja-JP"/>
        </w:rPr>
        <w:t>šaltkrėtis</w:t>
      </w:r>
      <w:proofErr w:type="spellEnd"/>
      <w:r w:rsidR="005A7416" w:rsidRPr="00112B89">
        <w:rPr>
          <w:rFonts w:ascii="Times New Roman" w:hAnsi="Times New Roman"/>
          <w:lang w:eastAsia="ja-JP"/>
        </w:rPr>
        <w:t xml:space="preserve"> ir drebulys, diskomforto jausmas, kaulų skausmas ar raumenų ir sąnarių gėla. </w:t>
      </w:r>
      <w:r w:rsidR="00CB5B0C" w:rsidRPr="00112B89">
        <w:rPr>
          <w:rFonts w:ascii="Times New Roman" w:hAnsi="Times New Roman"/>
          <w:lang w:eastAsia="ja-JP"/>
        </w:rPr>
        <w:t>Pasakykite gydytojui arba slaugytojai, jei atsiranda kuris nors sutrikimas arba tęsiasi ilgiau nei keletą dienų</w:t>
      </w:r>
      <w:r w:rsidRPr="00112B89">
        <w:rPr>
          <w:rFonts w:ascii="Times New Roman" w:hAnsi="Times New Roman"/>
          <w:lang w:eastAsia="ja-JP"/>
        </w:rPr>
        <w:t>;</w:t>
      </w:r>
    </w:p>
    <w:p w14:paraId="5C04E6E0" w14:textId="77777777" w:rsidR="005A7416" w:rsidRPr="00112B89" w:rsidRDefault="00CB5B0C" w:rsidP="00CB5B0C">
      <w:pPr>
        <w:pStyle w:val="BT-EMEASMCA"/>
        <w:tabs>
          <w:tab w:val="left" w:pos="0"/>
          <w:tab w:val="left" w:pos="567"/>
        </w:tabs>
        <w:autoSpaceDE w:val="0"/>
        <w:autoSpaceDN w:val="0"/>
        <w:adjustRightInd w:val="0"/>
        <w:spacing w:after="0" w:line="240" w:lineRule="auto"/>
        <w:ind w:left="567" w:hanging="567"/>
        <w:rPr>
          <w:rFonts w:ascii="Times New Roman" w:eastAsia="MS Mincho" w:hAnsi="Times New Roman"/>
          <w:color w:val="000000"/>
          <w:lang w:eastAsia="ja-JP"/>
        </w:rPr>
      </w:pPr>
      <w:r w:rsidRPr="00112B89">
        <w:rPr>
          <w:rFonts w:ascii="Times New Roman" w:eastAsia="MS Mincho" w:hAnsi="Times New Roman"/>
          <w:color w:val="000000"/>
          <w:lang w:eastAsia="ja-JP"/>
        </w:rPr>
        <w:t>bėrimas.</w:t>
      </w:r>
    </w:p>
    <w:p w14:paraId="431A03A1" w14:textId="77777777" w:rsidR="00CB5B0C" w:rsidRPr="00112B89" w:rsidRDefault="00CB5B0C" w:rsidP="00CB5B0C">
      <w:pPr>
        <w:pStyle w:val="BT-EMEASMCA"/>
        <w:numPr>
          <w:ilvl w:val="0"/>
          <w:numId w:val="0"/>
        </w:numPr>
        <w:tabs>
          <w:tab w:val="left" w:pos="0"/>
          <w:tab w:val="left" w:pos="567"/>
        </w:tabs>
        <w:autoSpaceDE w:val="0"/>
        <w:autoSpaceDN w:val="0"/>
        <w:adjustRightInd w:val="0"/>
        <w:spacing w:after="0" w:line="240" w:lineRule="auto"/>
        <w:ind w:left="567"/>
        <w:rPr>
          <w:rFonts w:ascii="Times New Roman" w:eastAsia="MS Mincho" w:hAnsi="Times New Roman"/>
          <w:color w:val="000000"/>
          <w:lang w:eastAsia="ja-JP"/>
        </w:rPr>
      </w:pPr>
    </w:p>
    <w:p w14:paraId="580A12AD" w14:textId="77777777" w:rsidR="005A7416" w:rsidRPr="00112B89" w:rsidRDefault="005A7416" w:rsidP="00C7398A">
      <w:pPr>
        <w:tabs>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Nedažni</w:t>
      </w:r>
      <w:r w:rsidRPr="00112B89">
        <w:rPr>
          <w:rFonts w:ascii="Times New Roman" w:eastAsia="MS Mincho" w:hAnsi="Times New Roman"/>
          <w:bCs/>
          <w:color w:val="000000"/>
          <w:lang w:eastAsia="ja-JP"/>
        </w:rPr>
        <w:t xml:space="preserve"> </w:t>
      </w:r>
      <w:r w:rsidRPr="00112B89">
        <w:rPr>
          <w:rFonts w:ascii="Times New Roman" w:eastAsia="MS Mincho" w:hAnsi="Times New Roman"/>
          <w:color w:val="000000"/>
          <w:lang w:eastAsia="ja-JP"/>
        </w:rPr>
        <w:t>(</w:t>
      </w:r>
      <w:r w:rsidR="00CB5B0C" w:rsidRPr="00112B89">
        <w:rPr>
          <w:rFonts w:ascii="Times New Roman" w:eastAsia="MS Mincho" w:hAnsi="Times New Roman"/>
          <w:color w:val="000000"/>
          <w:lang w:eastAsia="ja-JP"/>
        </w:rPr>
        <w:t xml:space="preserve">gali </w:t>
      </w:r>
      <w:r w:rsidRPr="00112B89">
        <w:rPr>
          <w:rFonts w:ascii="Times New Roman" w:eastAsia="MS Mincho" w:hAnsi="Times New Roman"/>
          <w:color w:val="000000"/>
          <w:lang w:eastAsia="ja-JP"/>
        </w:rPr>
        <w:t>pasire</w:t>
      </w:r>
      <w:r w:rsidR="00CB5B0C" w:rsidRPr="00112B89">
        <w:rPr>
          <w:rFonts w:ascii="Times New Roman" w:eastAsia="MS Mincho" w:hAnsi="Times New Roman"/>
          <w:color w:val="000000"/>
          <w:lang w:eastAsia="ja-JP"/>
        </w:rPr>
        <w:t>ikšti</w:t>
      </w:r>
      <w:r w:rsidRPr="00112B89">
        <w:rPr>
          <w:rFonts w:ascii="Times New Roman" w:eastAsia="MS Mincho" w:hAnsi="Times New Roman"/>
          <w:color w:val="000000"/>
          <w:lang w:eastAsia="ja-JP"/>
        </w:rPr>
        <w:t xml:space="preserve"> mažiau kaip 1 iš 100 žmonių): </w:t>
      </w:r>
    </w:p>
    <w:p w14:paraId="157B52DD" w14:textId="77777777" w:rsidR="00DC2E56" w:rsidRPr="00112B89" w:rsidRDefault="00DC2E56" w:rsidP="00DC2E56">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venų uždegimas;</w:t>
      </w:r>
    </w:p>
    <w:p w14:paraId="37269DDC" w14:textId="77777777" w:rsidR="00DC2E56" w:rsidRDefault="00DC2E56" w:rsidP="00DC2E56">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skausmas arba uždegimas vaisto suleidimo vietoje;</w:t>
      </w:r>
    </w:p>
    <w:p w14:paraId="395464EB" w14:textId="77777777" w:rsidR="00DC2E56" w:rsidRPr="00112B89" w:rsidRDefault="00DC2E56" w:rsidP="00DC2E56">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kaulų skausmas;</w:t>
      </w:r>
    </w:p>
    <w:p w14:paraId="75B06415" w14:textId="77777777" w:rsidR="00DC2E56" w:rsidRPr="00112B89" w:rsidRDefault="00DC2E56" w:rsidP="00DC2E56">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silpnumo jausmas;</w:t>
      </w:r>
    </w:p>
    <w:p w14:paraId="0AFC7C3C" w14:textId="77777777" w:rsidR="00DC2E56" w:rsidRPr="00112B89" w:rsidRDefault="00DC2E56" w:rsidP="00DC2E56">
      <w:pPr>
        <w:pStyle w:val="BT-EMEASMCA"/>
        <w:spacing w:after="0" w:line="240" w:lineRule="auto"/>
        <w:ind w:left="567" w:hanging="567"/>
        <w:rPr>
          <w:rFonts w:ascii="Times New Roman" w:hAnsi="Times New Roman"/>
          <w:lang w:eastAsia="ja-JP"/>
        </w:rPr>
      </w:pPr>
      <w:r w:rsidRPr="00112B89">
        <w:rPr>
          <w:rFonts w:ascii="Times New Roman" w:hAnsi="Times New Roman"/>
          <w:lang w:eastAsia="ja-JP"/>
        </w:rPr>
        <w:t>astmos priepuolis.</w:t>
      </w:r>
    </w:p>
    <w:p w14:paraId="1336ADFE" w14:textId="77777777" w:rsidR="005A7416" w:rsidRPr="00112B89" w:rsidRDefault="005A7416" w:rsidP="00C7398A">
      <w:pPr>
        <w:tabs>
          <w:tab w:val="left" w:pos="567"/>
        </w:tabs>
        <w:autoSpaceDE w:val="0"/>
        <w:autoSpaceDN w:val="0"/>
        <w:adjustRightInd w:val="0"/>
        <w:spacing w:after="0" w:line="240" w:lineRule="auto"/>
        <w:rPr>
          <w:rFonts w:ascii="Times New Roman" w:eastAsia="MS Mincho" w:hAnsi="Times New Roman"/>
          <w:color w:val="000000"/>
          <w:lang w:eastAsia="ja-JP"/>
        </w:rPr>
      </w:pPr>
    </w:p>
    <w:p w14:paraId="33BD927C" w14:textId="77777777" w:rsidR="005A7416" w:rsidRPr="00112B89" w:rsidRDefault="005A7416" w:rsidP="00C7398A">
      <w:pPr>
        <w:tabs>
          <w:tab w:val="left" w:pos="567"/>
        </w:tabs>
        <w:autoSpaceDE w:val="0"/>
        <w:autoSpaceDN w:val="0"/>
        <w:adjustRightInd w:val="0"/>
        <w:spacing w:after="0" w:line="240" w:lineRule="auto"/>
        <w:ind w:right="-20"/>
        <w:rPr>
          <w:rFonts w:ascii="Times New Roman" w:eastAsia="MS Mincho" w:hAnsi="Times New Roman"/>
          <w:color w:val="000000"/>
          <w:lang w:eastAsia="ja-JP"/>
        </w:rPr>
      </w:pPr>
      <w:r w:rsidRPr="00112B89">
        <w:rPr>
          <w:rFonts w:ascii="Times New Roman" w:eastAsia="MS Mincho" w:hAnsi="Times New Roman"/>
          <w:b/>
          <w:bCs/>
          <w:color w:val="000000"/>
          <w:lang w:eastAsia="ja-JP"/>
        </w:rPr>
        <w:t>Reti</w:t>
      </w:r>
      <w:r w:rsidRPr="00112B89">
        <w:rPr>
          <w:rFonts w:ascii="Times New Roman" w:eastAsia="MS Mincho" w:hAnsi="Times New Roman"/>
          <w:bCs/>
          <w:color w:val="000000"/>
          <w:lang w:eastAsia="ja-JP"/>
        </w:rPr>
        <w:t xml:space="preserve"> </w:t>
      </w:r>
      <w:r w:rsidRPr="00112B89">
        <w:rPr>
          <w:rFonts w:ascii="Times New Roman" w:eastAsia="MS Mincho" w:hAnsi="Times New Roman"/>
          <w:color w:val="000000"/>
          <w:lang w:eastAsia="ja-JP"/>
        </w:rPr>
        <w:t>(</w:t>
      </w:r>
      <w:r w:rsidR="00DC2E56" w:rsidRPr="00112B89">
        <w:rPr>
          <w:rFonts w:ascii="Times New Roman" w:eastAsia="MS Mincho" w:hAnsi="Times New Roman"/>
          <w:color w:val="000000"/>
          <w:lang w:eastAsia="ja-JP"/>
        </w:rPr>
        <w:t xml:space="preserve">gali </w:t>
      </w:r>
      <w:r w:rsidRPr="00112B89">
        <w:rPr>
          <w:rFonts w:ascii="Times New Roman" w:eastAsia="MS Mincho" w:hAnsi="Times New Roman"/>
          <w:color w:val="000000"/>
          <w:lang w:eastAsia="ja-JP"/>
        </w:rPr>
        <w:t>pasirei</w:t>
      </w:r>
      <w:r w:rsidR="00DC2E56" w:rsidRPr="00112B89">
        <w:rPr>
          <w:rFonts w:ascii="Times New Roman" w:eastAsia="MS Mincho" w:hAnsi="Times New Roman"/>
          <w:color w:val="000000"/>
          <w:lang w:eastAsia="ja-JP"/>
        </w:rPr>
        <w:t>kšti</w:t>
      </w:r>
      <w:r w:rsidRPr="00112B89">
        <w:rPr>
          <w:rFonts w:ascii="Times New Roman" w:eastAsia="MS Mincho" w:hAnsi="Times New Roman"/>
          <w:color w:val="000000"/>
          <w:lang w:eastAsia="ja-JP"/>
        </w:rPr>
        <w:t xml:space="preserve"> mažiau kaip 1 iš 1000 žmonių): </w:t>
      </w:r>
    </w:p>
    <w:p w14:paraId="0AA97525" w14:textId="77777777" w:rsidR="00DC2E56" w:rsidRPr="00112B89" w:rsidRDefault="00DC2E56" w:rsidP="00DC2E56">
      <w:pPr>
        <w:pStyle w:val="BT-EMEASMCA"/>
        <w:spacing w:after="0"/>
        <w:ind w:left="567" w:hanging="567"/>
        <w:rPr>
          <w:rFonts w:ascii="Times New Roman" w:hAnsi="Times New Roman"/>
          <w:lang w:eastAsia="ja-JP"/>
        </w:rPr>
      </w:pPr>
      <w:r w:rsidRPr="00112B89">
        <w:rPr>
          <w:rFonts w:ascii="Times New Roman" w:hAnsi="Times New Roman"/>
          <w:lang w:eastAsia="ja-JP"/>
        </w:rPr>
        <w:t>dilgėlinė.</w:t>
      </w:r>
    </w:p>
    <w:p w14:paraId="21FFB49B" w14:textId="77777777" w:rsidR="0062205C" w:rsidRDefault="0062205C" w:rsidP="0062205C">
      <w:pPr>
        <w:pStyle w:val="BT-EMEASMCA"/>
        <w:numPr>
          <w:ilvl w:val="0"/>
          <w:numId w:val="0"/>
        </w:numPr>
        <w:tabs>
          <w:tab w:val="left" w:pos="567"/>
        </w:tabs>
        <w:spacing w:after="0"/>
        <w:rPr>
          <w:rFonts w:ascii="Times New Roman" w:hAnsi="Times New Roman"/>
          <w:lang w:eastAsia="ja-JP"/>
        </w:rPr>
      </w:pPr>
    </w:p>
    <w:p w14:paraId="06762985" w14:textId="5CDC19AD" w:rsidR="00596E63" w:rsidRPr="00596E63" w:rsidRDefault="00596E63" w:rsidP="0062205C">
      <w:pPr>
        <w:pStyle w:val="BT-EMEASMCA"/>
        <w:numPr>
          <w:ilvl w:val="0"/>
          <w:numId w:val="0"/>
        </w:numPr>
        <w:tabs>
          <w:tab w:val="left" w:pos="567"/>
        </w:tabs>
        <w:spacing w:after="0"/>
        <w:rPr>
          <w:rFonts w:ascii="Times New Roman" w:hAnsi="Times New Roman"/>
          <w:lang w:eastAsia="ja-JP"/>
        </w:rPr>
      </w:pPr>
      <w:r w:rsidRPr="00DE47C3">
        <w:rPr>
          <w:rFonts w:ascii="Times New Roman" w:hAnsi="Times New Roman"/>
          <w:b/>
          <w:bCs/>
          <w:lang w:eastAsia="lt-LT"/>
        </w:rPr>
        <w:t>Šalutinio poveikio reiškiniai, kurių dažnis nežinomas (negali būti apskaičiuotas pagal turimus duomenis):</w:t>
      </w:r>
    </w:p>
    <w:p w14:paraId="7B329B0B" w14:textId="38134E0D" w:rsidR="00596E63" w:rsidRDefault="00596E63" w:rsidP="0062205C">
      <w:pPr>
        <w:pStyle w:val="BT-EMEASMCA"/>
        <w:numPr>
          <w:ilvl w:val="0"/>
          <w:numId w:val="0"/>
        </w:numPr>
        <w:tabs>
          <w:tab w:val="left" w:pos="567"/>
        </w:tabs>
        <w:spacing w:after="0"/>
        <w:rPr>
          <w:rFonts w:ascii="Times New Roman" w:hAnsi="Times New Roman"/>
          <w:lang w:eastAsia="ja-JP"/>
        </w:rPr>
      </w:pPr>
      <w:r>
        <w:rPr>
          <w:rFonts w:ascii="Times New Roman" w:hAnsi="Times New Roman"/>
          <w:lang w:eastAsia="ja-JP"/>
        </w:rPr>
        <w:t xml:space="preserve">- </w:t>
      </w:r>
      <w:r>
        <w:rPr>
          <w:rFonts w:ascii="Times New Roman" w:hAnsi="Times New Roman"/>
          <w:lang w:eastAsia="ja-JP"/>
        </w:rPr>
        <w:tab/>
        <w:t>ilgųjų kaulų lūžiai (</w:t>
      </w:r>
      <w:proofErr w:type="spellStart"/>
      <w:r>
        <w:rPr>
          <w:rFonts w:ascii="Times New Roman" w:hAnsi="Times New Roman"/>
          <w:lang w:eastAsia="ja-JP"/>
        </w:rPr>
        <w:t>žiūr</w:t>
      </w:r>
      <w:proofErr w:type="spellEnd"/>
      <w:r>
        <w:rPr>
          <w:rFonts w:ascii="Times New Roman" w:hAnsi="Times New Roman"/>
          <w:lang w:eastAsia="ja-JP"/>
        </w:rPr>
        <w:t>. 2 skyrių)</w:t>
      </w:r>
    </w:p>
    <w:p w14:paraId="084AC8E5" w14:textId="77777777" w:rsidR="00596E63" w:rsidRDefault="00596E63" w:rsidP="0062205C">
      <w:pPr>
        <w:pStyle w:val="BT-EMEASMCA"/>
        <w:numPr>
          <w:ilvl w:val="0"/>
          <w:numId w:val="0"/>
        </w:numPr>
        <w:tabs>
          <w:tab w:val="left" w:pos="567"/>
        </w:tabs>
        <w:spacing w:after="0"/>
        <w:rPr>
          <w:rFonts w:ascii="Times New Roman" w:hAnsi="Times New Roman"/>
          <w:lang w:eastAsia="ja-JP"/>
        </w:rPr>
      </w:pPr>
    </w:p>
    <w:p w14:paraId="00D3A738" w14:textId="77777777" w:rsidR="00596E63" w:rsidRPr="00112B89" w:rsidRDefault="00596E63" w:rsidP="0062205C">
      <w:pPr>
        <w:pStyle w:val="BT-EMEASMCA"/>
        <w:numPr>
          <w:ilvl w:val="0"/>
          <w:numId w:val="0"/>
        </w:numPr>
        <w:tabs>
          <w:tab w:val="left" w:pos="567"/>
        </w:tabs>
        <w:spacing w:after="0"/>
        <w:rPr>
          <w:rFonts w:ascii="Times New Roman" w:hAnsi="Times New Roman"/>
          <w:lang w:eastAsia="ja-JP"/>
        </w:rPr>
      </w:pPr>
    </w:p>
    <w:p w14:paraId="69C05F92" w14:textId="77777777" w:rsidR="005A7416" w:rsidRPr="00112B89" w:rsidRDefault="00783EAB" w:rsidP="0062205C">
      <w:pPr>
        <w:tabs>
          <w:tab w:val="left" w:pos="567"/>
        </w:tabs>
        <w:spacing w:after="0" w:line="240" w:lineRule="auto"/>
        <w:rPr>
          <w:rFonts w:ascii="Times New Roman" w:hAnsi="Times New Roman"/>
          <w:b/>
        </w:rPr>
      </w:pPr>
      <w:r w:rsidRPr="0089774B">
        <w:rPr>
          <w:rFonts w:ascii="Times New Roman" w:hAnsi="Times New Roman"/>
          <w:b/>
        </w:rPr>
        <w:t>Pranešimas apie šalutinį poveikį</w:t>
      </w:r>
    </w:p>
    <w:p w14:paraId="141F45E6" w14:textId="50D9300C" w:rsidR="00DC2E56" w:rsidRPr="00DE47C3" w:rsidRDefault="00783EAB" w:rsidP="006E6F32">
      <w:pPr>
        <w:tabs>
          <w:tab w:val="left" w:pos="567"/>
        </w:tabs>
        <w:spacing w:after="0" w:line="260" w:lineRule="exact"/>
        <w:ind w:right="-449"/>
        <w:rPr>
          <w:rFonts w:ascii="Times New Roman" w:hAnsi="Times New Roman"/>
        </w:rPr>
      </w:pPr>
      <w:r w:rsidRPr="0089774B">
        <w:rPr>
          <w:rFonts w:ascii="Times New Roman" w:hAnsi="Times New Roman"/>
        </w:rPr>
        <w:t>Jeigu pasireiškė šalutinis poveikis, įskaitant šiame lapelyje nenurodytą, pasakykite gydytojui</w:t>
      </w:r>
      <w:r w:rsidR="002F7726" w:rsidRPr="0089774B">
        <w:rPr>
          <w:rFonts w:ascii="Times New Roman" w:hAnsi="Times New Roman"/>
        </w:rPr>
        <w:t>,</w:t>
      </w:r>
      <w:r w:rsidRPr="0089774B">
        <w:rPr>
          <w:rFonts w:ascii="Times New Roman" w:hAnsi="Times New Roman"/>
        </w:rPr>
        <w:t xml:space="preserve"> vaistininkui</w:t>
      </w:r>
      <w:r w:rsidR="002F7726" w:rsidRPr="0089774B">
        <w:rPr>
          <w:rFonts w:ascii="Times New Roman" w:hAnsi="Times New Roman"/>
        </w:rPr>
        <w:t xml:space="preserve"> arba slaugytojui</w:t>
      </w:r>
      <w:r w:rsidRPr="0089774B">
        <w:rPr>
          <w:rFonts w:ascii="Times New Roman" w:hAnsi="Times New Roman"/>
        </w:rPr>
        <w:t xml:space="preserve">. </w:t>
      </w:r>
      <w:r w:rsidR="00EE217A" w:rsidRPr="00DE47C3">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EC94493" w14:textId="77777777" w:rsidR="00DC2E56" w:rsidRPr="0089774B" w:rsidRDefault="00DC2E56" w:rsidP="00DC2E56">
      <w:pPr>
        <w:tabs>
          <w:tab w:val="left" w:pos="567"/>
        </w:tabs>
        <w:spacing w:after="0" w:line="260" w:lineRule="exact"/>
        <w:ind w:right="-449"/>
        <w:rPr>
          <w:rFonts w:ascii="Times New Roman" w:eastAsia="Times New Roman" w:hAnsi="Times New Roman"/>
          <w:snapToGrid w:val="0"/>
          <w:szCs w:val="24"/>
        </w:rPr>
      </w:pPr>
    </w:p>
    <w:p w14:paraId="5A5881D5" w14:textId="77777777" w:rsidR="003032A3" w:rsidRPr="00112B89" w:rsidRDefault="003032A3" w:rsidP="00C7398A">
      <w:pPr>
        <w:tabs>
          <w:tab w:val="left" w:pos="567"/>
        </w:tabs>
        <w:autoSpaceDE w:val="0"/>
        <w:autoSpaceDN w:val="0"/>
        <w:adjustRightInd w:val="0"/>
        <w:spacing w:after="0" w:line="240" w:lineRule="auto"/>
        <w:rPr>
          <w:rFonts w:ascii="Times New Roman" w:hAnsi="Times New Roman"/>
        </w:rPr>
      </w:pPr>
    </w:p>
    <w:p w14:paraId="1079BEB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b/>
          <w:bCs/>
        </w:rPr>
        <w:t>5.</w:t>
      </w:r>
      <w:r w:rsidRPr="00112B89">
        <w:rPr>
          <w:rFonts w:ascii="Times New Roman" w:hAnsi="Times New Roman"/>
          <w:b/>
          <w:bCs/>
        </w:rPr>
        <w:tab/>
        <w:t xml:space="preserve">Kaip laikyti </w:t>
      </w: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p>
    <w:p w14:paraId="29955EE0"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6265714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Šį vaistą laikykite vaikams nepastebimoje ir nepasiekiamoje vietoje.</w:t>
      </w:r>
    </w:p>
    <w:p w14:paraId="68B833BE"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 xml:space="preserve">Ant kartono dėžutės po ,,Tinka iki“ ir švirkšto </w:t>
      </w:r>
      <w:r w:rsidRPr="00112B89">
        <w:rPr>
          <w:rFonts w:ascii="Times New Roman" w:hAnsi="Times New Roman"/>
          <w:highlight w:val="lightGray"/>
        </w:rPr>
        <w:t>po „EXP“</w:t>
      </w:r>
      <w:r w:rsidRPr="00112B89">
        <w:rPr>
          <w:rFonts w:ascii="Times New Roman" w:hAnsi="Times New Roman"/>
        </w:rPr>
        <w:t xml:space="preserve"> nurodytam tinkamumo laikui pasibaigus, šio vaisto vartoti negalima. Vaistas tinkamas vartoti iki paskutinės nurodyto mėnesio dienos.</w:t>
      </w:r>
    </w:p>
    <w:p w14:paraId="7DA5F6A2" w14:textId="77777777" w:rsidR="00D2162F" w:rsidRDefault="00D2162F" w:rsidP="00D2162F">
      <w:pPr>
        <w:tabs>
          <w:tab w:val="left" w:pos="567"/>
        </w:tabs>
        <w:autoSpaceDE w:val="0"/>
        <w:autoSpaceDN w:val="0"/>
        <w:adjustRightInd w:val="0"/>
        <w:spacing w:after="0" w:line="240" w:lineRule="auto"/>
        <w:rPr>
          <w:rFonts w:ascii="Times New Roman" w:hAnsi="Times New Roman"/>
        </w:rPr>
      </w:pPr>
    </w:p>
    <w:p w14:paraId="62F3934B" w14:textId="77777777" w:rsidR="00D2162F" w:rsidRPr="00112B89" w:rsidRDefault="00D2162F" w:rsidP="00D2162F">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Šiam vaistiniam preparatui specialių laikymo sąlygų nereikia.</w:t>
      </w:r>
    </w:p>
    <w:p w14:paraId="35669A8F" w14:textId="77777777" w:rsidR="00D2162F" w:rsidRPr="00112B89" w:rsidRDefault="00D2162F" w:rsidP="00C7398A">
      <w:pPr>
        <w:tabs>
          <w:tab w:val="left" w:pos="567"/>
        </w:tabs>
        <w:autoSpaceDE w:val="0"/>
        <w:autoSpaceDN w:val="0"/>
        <w:adjustRightInd w:val="0"/>
        <w:spacing w:after="0" w:line="240" w:lineRule="auto"/>
        <w:rPr>
          <w:rFonts w:ascii="Times New Roman" w:hAnsi="Times New Roman"/>
        </w:rPr>
      </w:pPr>
    </w:p>
    <w:p w14:paraId="3C44328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r w:rsidRPr="00112B89">
        <w:rPr>
          <w:rFonts w:ascii="Times New Roman" w:hAnsi="Times New Roman"/>
        </w:rPr>
        <w:t xml:space="preserve">Vaistą suleidęs medicinos darbuotojas turi sunaikinti </w:t>
      </w:r>
      <w:r w:rsidR="00266DD4" w:rsidRPr="00112B89">
        <w:rPr>
          <w:rFonts w:ascii="Times New Roman" w:hAnsi="Times New Roman"/>
        </w:rPr>
        <w:t xml:space="preserve">nesuvartotą </w:t>
      </w:r>
      <w:r w:rsidRPr="00112B89">
        <w:rPr>
          <w:rFonts w:ascii="Times New Roman" w:hAnsi="Times New Roman"/>
        </w:rPr>
        <w:t xml:space="preserve">tirpalą, o švirkštą ir adatą įdėti į tinkamą atliekų </w:t>
      </w:r>
      <w:proofErr w:type="spellStart"/>
      <w:r w:rsidRPr="00112B89">
        <w:rPr>
          <w:rFonts w:ascii="Times New Roman" w:hAnsi="Times New Roman"/>
        </w:rPr>
        <w:t>talpyklę</w:t>
      </w:r>
      <w:proofErr w:type="spellEnd"/>
      <w:r w:rsidRPr="00112B89">
        <w:rPr>
          <w:rFonts w:ascii="Times New Roman" w:hAnsi="Times New Roman"/>
        </w:rPr>
        <w:t>.</w:t>
      </w:r>
    </w:p>
    <w:p w14:paraId="1F52F89A"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4D17EF1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2A3BC8E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6.</w:t>
      </w:r>
      <w:r w:rsidRPr="00112B89">
        <w:rPr>
          <w:rFonts w:ascii="Times New Roman" w:hAnsi="Times New Roman"/>
          <w:b/>
          <w:bCs/>
        </w:rPr>
        <w:tab/>
        <w:t>Pakuotės turinys ir kita informacija</w:t>
      </w:r>
    </w:p>
    <w:p w14:paraId="529627D2"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6582731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r w:rsidRPr="00112B89">
        <w:rPr>
          <w:rFonts w:ascii="Times New Roman" w:hAnsi="Times New Roman"/>
          <w:b/>
          <w:bCs/>
        </w:rPr>
        <w:t>sudėtis</w:t>
      </w:r>
    </w:p>
    <w:p w14:paraId="5885FDFD" w14:textId="77777777" w:rsidR="005A7416" w:rsidRPr="00112B89" w:rsidRDefault="005A7416" w:rsidP="00DC2E56">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 xml:space="preserve">Veiklioji medžiaga yra </w:t>
      </w:r>
      <w:proofErr w:type="spellStart"/>
      <w:r w:rsidRPr="00112B89">
        <w:rPr>
          <w:rFonts w:ascii="Times New Roman" w:hAnsi="Times New Roman"/>
        </w:rPr>
        <w:t>ibandrono</w:t>
      </w:r>
      <w:proofErr w:type="spellEnd"/>
      <w:r w:rsidRPr="00112B89">
        <w:rPr>
          <w:rFonts w:ascii="Times New Roman" w:hAnsi="Times New Roman"/>
        </w:rPr>
        <w:t xml:space="preserve"> rūgštis. Viename 3</w:t>
      </w:r>
      <w:r w:rsidR="006E6F32" w:rsidRPr="00112B89">
        <w:rPr>
          <w:rFonts w:ascii="Times New Roman" w:hAnsi="Times New Roman"/>
        </w:rPr>
        <w:t> </w:t>
      </w:r>
      <w:r w:rsidRPr="00112B89">
        <w:rPr>
          <w:rFonts w:ascii="Times New Roman" w:hAnsi="Times New Roman"/>
        </w:rPr>
        <w:t>ml injekcinio tirpalo užpildytame švirkšte yra 3</w:t>
      </w:r>
      <w:r w:rsidR="006E6F32" w:rsidRPr="00112B89">
        <w:rPr>
          <w:rFonts w:ascii="Times New Roman" w:hAnsi="Times New Roman"/>
        </w:rPr>
        <w:t> </w:t>
      </w:r>
      <w:r w:rsidRPr="00112B89">
        <w:rPr>
          <w:rFonts w:ascii="Times New Roman" w:hAnsi="Times New Roman"/>
        </w:rPr>
        <w:t xml:space="preserve">mg </w:t>
      </w:r>
      <w:proofErr w:type="spellStart"/>
      <w:r w:rsidRPr="00112B89">
        <w:rPr>
          <w:rFonts w:ascii="Times New Roman" w:hAnsi="Times New Roman"/>
        </w:rPr>
        <w:t>ibandrono</w:t>
      </w:r>
      <w:proofErr w:type="spellEnd"/>
      <w:r w:rsidRPr="00112B89">
        <w:rPr>
          <w:rFonts w:ascii="Times New Roman" w:hAnsi="Times New Roman"/>
        </w:rPr>
        <w:t xml:space="preserve"> rūgšties (3,375</w:t>
      </w:r>
      <w:r w:rsidR="006E6F32" w:rsidRPr="00112B89">
        <w:rPr>
          <w:rFonts w:ascii="Times New Roman" w:hAnsi="Times New Roman"/>
        </w:rPr>
        <w:t> </w:t>
      </w:r>
      <w:r w:rsidRPr="00112B89">
        <w:rPr>
          <w:rFonts w:ascii="Times New Roman" w:hAnsi="Times New Roman"/>
        </w:rPr>
        <w:t xml:space="preserve">mg </w:t>
      </w:r>
      <w:proofErr w:type="spellStart"/>
      <w:r w:rsidRPr="00112B89">
        <w:rPr>
          <w:rFonts w:ascii="Times New Roman" w:hAnsi="Times New Roman"/>
        </w:rPr>
        <w:t>ibandrono</w:t>
      </w:r>
      <w:proofErr w:type="spellEnd"/>
      <w:r w:rsidRPr="00112B89">
        <w:rPr>
          <w:rFonts w:ascii="Times New Roman" w:hAnsi="Times New Roman"/>
        </w:rPr>
        <w:t xml:space="preserve"> rūgšties natrio druskos </w:t>
      </w:r>
      <w:proofErr w:type="spellStart"/>
      <w:r w:rsidRPr="00112B89">
        <w:rPr>
          <w:rFonts w:ascii="Times New Roman" w:hAnsi="Times New Roman"/>
        </w:rPr>
        <w:t>monohidrato</w:t>
      </w:r>
      <w:proofErr w:type="spellEnd"/>
      <w:r w:rsidRPr="00112B89">
        <w:rPr>
          <w:rFonts w:ascii="Times New Roman" w:hAnsi="Times New Roman"/>
        </w:rPr>
        <w:t xml:space="preserve"> pavidalu).</w:t>
      </w:r>
    </w:p>
    <w:p w14:paraId="276DBB70" w14:textId="77777777" w:rsidR="005A7416" w:rsidRPr="00112B89" w:rsidRDefault="005A7416" w:rsidP="00DC2E56">
      <w:pPr>
        <w:pStyle w:val="BT-EMEASMCA"/>
        <w:tabs>
          <w:tab w:val="left" w:pos="567"/>
        </w:tabs>
        <w:spacing w:after="0" w:line="240" w:lineRule="auto"/>
        <w:ind w:left="567" w:hanging="567"/>
        <w:rPr>
          <w:rFonts w:ascii="Times New Roman" w:hAnsi="Times New Roman"/>
        </w:rPr>
      </w:pPr>
      <w:r w:rsidRPr="00112B89">
        <w:rPr>
          <w:rFonts w:ascii="Times New Roman" w:hAnsi="Times New Roman"/>
        </w:rPr>
        <w:t>Pagalbinės medžiagos:</w:t>
      </w:r>
      <w:r w:rsidRPr="00112B89">
        <w:rPr>
          <w:rFonts w:ascii="Times New Roman" w:hAnsi="Times New Roman"/>
          <w:iCs/>
        </w:rPr>
        <w:t xml:space="preserve"> natrio chloridas, n</w:t>
      </w:r>
      <w:r w:rsidRPr="00112B89">
        <w:rPr>
          <w:rFonts w:ascii="Times New Roman" w:hAnsi="Times New Roman"/>
        </w:rPr>
        <w:t xml:space="preserve">atrio hidroksidas (E524) (pH koregavimui), ledinė acto rūgštis (E260), natrio acetatas </w:t>
      </w:r>
      <w:proofErr w:type="spellStart"/>
      <w:r w:rsidRPr="00112B89">
        <w:rPr>
          <w:rFonts w:ascii="Times New Roman" w:hAnsi="Times New Roman"/>
        </w:rPr>
        <w:t>trihidratas</w:t>
      </w:r>
      <w:proofErr w:type="spellEnd"/>
      <w:r w:rsidRPr="00112B89">
        <w:rPr>
          <w:rFonts w:ascii="Times New Roman" w:hAnsi="Times New Roman"/>
        </w:rPr>
        <w:t>, injekcinis vanduo.</w:t>
      </w:r>
    </w:p>
    <w:p w14:paraId="37BC7A13" w14:textId="77777777" w:rsidR="005A7416" w:rsidRPr="00112B89" w:rsidRDefault="005A7416" w:rsidP="00DC2E56">
      <w:pPr>
        <w:tabs>
          <w:tab w:val="left" w:pos="567"/>
        </w:tabs>
        <w:autoSpaceDE w:val="0"/>
        <w:autoSpaceDN w:val="0"/>
        <w:adjustRightInd w:val="0"/>
        <w:spacing w:after="0" w:line="240" w:lineRule="auto"/>
        <w:ind w:left="567" w:hanging="567"/>
        <w:rPr>
          <w:rFonts w:ascii="Times New Roman" w:hAnsi="Times New Roman"/>
          <w:color w:val="000000"/>
        </w:rPr>
      </w:pPr>
    </w:p>
    <w:p w14:paraId="54A4023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w:t>
      </w:r>
      <w:r w:rsidRPr="00112B89">
        <w:rPr>
          <w:rFonts w:ascii="Times New Roman" w:hAnsi="Times New Roman"/>
          <w:b/>
          <w:bCs/>
        </w:rPr>
        <w:t xml:space="preserve">išvaizda ir kiekis pakuotėje </w:t>
      </w:r>
    </w:p>
    <w:p w14:paraId="32F5031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injekcinis tirpalas užpildytame švirkšte yra </w:t>
      </w:r>
      <w:r w:rsidRPr="00112B89">
        <w:rPr>
          <w:rFonts w:ascii="Times New Roman" w:hAnsi="Times New Roman"/>
          <w:color w:val="000000"/>
        </w:rPr>
        <w:t xml:space="preserve">skaidrus bespalvis tirpalas. </w:t>
      </w:r>
      <w:r w:rsidR="00C97779" w:rsidRPr="00112B89">
        <w:rPr>
          <w:rFonts w:ascii="Times New Roman" w:hAnsi="Times New Roman"/>
          <w:color w:val="000000"/>
        </w:rPr>
        <w:t xml:space="preserve">Kiekviename </w:t>
      </w:r>
      <w:r w:rsidRPr="00112B89">
        <w:rPr>
          <w:rFonts w:ascii="Times New Roman" w:hAnsi="Times New Roman"/>
        </w:rPr>
        <w:t>užpildytame švirkšte</w:t>
      </w:r>
      <w:r w:rsidRPr="00112B89">
        <w:rPr>
          <w:rFonts w:ascii="Times New Roman" w:hAnsi="Times New Roman"/>
          <w:color w:val="000000"/>
        </w:rPr>
        <w:t xml:space="preserve"> yra 3</w:t>
      </w:r>
      <w:r w:rsidR="006E6F32" w:rsidRPr="00112B89">
        <w:rPr>
          <w:rFonts w:ascii="Times New Roman" w:hAnsi="Times New Roman"/>
          <w:color w:val="000000"/>
        </w:rPr>
        <w:t> </w:t>
      </w:r>
      <w:r w:rsidRPr="00112B89">
        <w:rPr>
          <w:rFonts w:ascii="Times New Roman" w:hAnsi="Times New Roman"/>
          <w:color w:val="000000"/>
        </w:rPr>
        <w:t>ml injekcinio tirpalo.</w:t>
      </w:r>
    </w:p>
    <w:p w14:paraId="7C847BC5" w14:textId="77777777" w:rsidR="005A7416" w:rsidRPr="00112B89" w:rsidRDefault="005A7416" w:rsidP="00C7398A">
      <w:pPr>
        <w:widowControl w:val="0"/>
        <w:tabs>
          <w:tab w:val="left" w:pos="567"/>
        </w:tabs>
        <w:suppressAutoHyphens/>
        <w:autoSpaceDE w:val="0"/>
        <w:autoSpaceDN w:val="0"/>
        <w:adjustRightInd w:val="0"/>
        <w:spacing w:after="0" w:line="240" w:lineRule="auto"/>
        <w:rPr>
          <w:rFonts w:ascii="Times New Roman" w:hAnsi="Times New Roman"/>
          <w:bCs/>
        </w:rPr>
      </w:pPr>
    </w:p>
    <w:p w14:paraId="018D1C6C" w14:textId="77777777" w:rsidR="005A7416" w:rsidRPr="00112B89" w:rsidRDefault="005A7416" w:rsidP="00C7398A">
      <w:pPr>
        <w:tabs>
          <w:tab w:val="left" w:pos="567"/>
        </w:tabs>
        <w:spacing w:after="0" w:line="240" w:lineRule="auto"/>
        <w:rPr>
          <w:rFonts w:ascii="Times New Roman" w:hAnsi="Times New Roman"/>
          <w:bCs/>
        </w:rPr>
      </w:pPr>
      <w:r w:rsidRPr="00112B89">
        <w:rPr>
          <w:rFonts w:ascii="Times New Roman" w:hAnsi="Times New Roman"/>
        </w:rPr>
        <w:t>Pakuotėje yra v</w:t>
      </w:r>
      <w:r w:rsidRPr="00112B89">
        <w:rPr>
          <w:rFonts w:ascii="Times New Roman" w:hAnsi="Times New Roman"/>
          <w:bCs/>
        </w:rPr>
        <w:t>ienas užpildytas švirkštas ir viena injekcinė adata.</w:t>
      </w:r>
    </w:p>
    <w:p w14:paraId="1D88056C"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0644BDD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r w:rsidRPr="00112B89">
        <w:rPr>
          <w:rFonts w:ascii="Times New Roman" w:hAnsi="Times New Roman"/>
          <w:b/>
          <w:bCs/>
        </w:rPr>
        <w:t>R</w:t>
      </w:r>
      <w:r w:rsidR="00DC2E56" w:rsidRPr="00112B89">
        <w:rPr>
          <w:rFonts w:ascii="Times New Roman" w:hAnsi="Times New Roman"/>
          <w:b/>
          <w:bCs/>
        </w:rPr>
        <w:t>egistruotojas</w:t>
      </w:r>
      <w:r w:rsidRPr="00112B89">
        <w:rPr>
          <w:rFonts w:ascii="Times New Roman" w:hAnsi="Times New Roman"/>
          <w:b/>
          <w:bCs/>
        </w:rPr>
        <w:t xml:space="preserve"> ir gamintojas</w:t>
      </w:r>
    </w:p>
    <w:p w14:paraId="163338D6"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p>
    <w:p w14:paraId="46181829" w14:textId="77777777" w:rsidR="005A7416" w:rsidRPr="00112B89" w:rsidRDefault="00783EAB" w:rsidP="00C7398A">
      <w:pPr>
        <w:tabs>
          <w:tab w:val="left" w:pos="567"/>
        </w:tabs>
        <w:spacing w:after="0" w:line="240" w:lineRule="auto"/>
        <w:rPr>
          <w:rFonts w:ascii="Times New Roman" w:eastAsia="Batang" w:hAnsi="Times New Roman"/>
          <w:i/>
          <w:lang w:eastAsia="ko-KR"/>
        </w:rPr>
      </w:pPr>
      <w:r w:rsidRPr="00112B89">
        <w:rPr>
          <w:rFonts w:ascii="Times New Roman" w:eastAsia="Batang" w:hAnsi="Times New Roman"/>
          <w:i/>
          <w:lang w:eastAsia="ko-KR"/>
        </w:rPr>
        <w:t>R</w:t>
      </w:r>
      <w:r w:rsidR="00DC2E56" w:rsidRPr="00112B89">
        <w:rPr>
          <w:rFonts w:ascii="Times New Roman" w:eastAsia="Batang" w:hAnsi="Times New Roman"/>
          <w:i/>
          <w:lang w:eastAsia="ko-KR"/>
        </w:rPr>
        <w:t>egistruotojas</w:t>
      </w:r>
    </w:p>
    <w:p w14:paraId="2563B7BF" w14:textId="77777777" w:rsidR="005A7416" w:rsidRPr="00112B89" w:rsidRDefault="00C97779" w:rsidP="00C7398A">
      <w:pPr>
        <w:tabs>
          <w:tab w:val="left" w:pos="567"/>
        </w:tabs>
        <w:spacing w:after="0" w:line="240" w:lineRule="auto"/>
        <w:rPr>
          <w:rFonts w:ascii="Times New Roman" w:eastAsia="Batang" w:hAnsi="Times New Roman"/>
          <w:lang w:eastAsia="ko-KR"/>
        </w:rPr>
      </w:pPr>
      <w:proofErr w:type="spellStart"/>
      <w:r w:rsidRPr="00112B89">
        <w:rPr>
          <w:rFonts w:ascii="Times New Roman" w:eastAsia="Batang" w:hAnsi="Times New Roman"/>
          <w:lang w:eastAsia="ko-KR"/>
        </w:rPr>
        <w:t>r</w:t>
      </w:r>
      <w:r w:rsidR="005A7416" w:rsidRPr="00112B89">
        <w:rPr>
          <w:rFonts w:ascii="Times New Roman" w:eastAsia="Batang" w:hAnsi="Times New Roman"/>
          <w:lang w:eastAsia="ko-KR"/>
        </w:rPr>
        <w:t>atiopharm</w:t>
      </w:r>
      <w:proofErr w:type="spellEnd"/>
      <w:r w:rsidR="005A7416" w:rsidRPr="00112B89">
        <w:rPr>
          <w:rFonts w:ascii="Times New Roman" w:eastAsia="Batang" w:hAnsi="Times New Roman"/>
          <w:lang w:eastAsia="ko-KR"/>
        </w:rPr>
        <w:t xml:space="preserve"> </w:t>
      </w:r>
      <w:proofErr w:type="spellStart"/>
      <w:r w:rsidR="005A7416" w:rsidRPr="00112B89">
        <w:rPr>
          <w:rFonts w:ascii="Times New Roman" w:eastAsia="Batang" w:hAnsi="Times New Roman"/>
          <w:lang w:eastAsia="ko-KR"/>
        </w:rPr>
        <w:t>GmbH</w:t>
      </w:r>
      <w:proofErr w:type="spellEnd"/>
    </w:p>
    <w:p w14:paraId="7D8CEA42" w14:textId="77777777" w:rsidR="005A7416" w:rsidRPr="00112B89" w:rsidRDefault="005A7416" w:rsidP="00C7398A">
      <w:pPr>
        <w:tabs>
          <w:tab w:val="left" w:pos="567"/>
        </w:tabs>
        <w:spacing w:after="0" w:line="240" w:lineRule="auto"/>
        <w:rPr>
          <w:rFonts w:ascii="Times New Roman" w:eastAsia="Batang" w:hAnsi="Times New Roman"/>
          <w:lang w:eastAsia="ko-KR"/>
        </w:rPr>
      </w:pPr>
      <w:proofErr w:type="spellStart"/>
      <w:r w:rsidRPr="00112B89">
        <w:rPr>
          <w:rFonts w:ascii="Times New Roman" w:eastAsia="Batang" w:hAnsi="Times New Roman"/>
          <w:lang w:eastAsia="ko-KR"/>
        </w:rPr>
        <w:t>Graf</w:t>
      </w:r>
      <w:proofErr w:type="spellEnd"/>
      <w:r w:rsidRPr="00112B89">
        <w:rPr>
          <w:rFonts w:ascii="Times New Roman" w:eastAsia="Batang" w:hAnsi="Times New Roman"/>
          <w:lang w:eastAsia="ko-KR"/>
        </w:rPr>
        <w:t>–</w:t>
      </w:r>
      <w:proofErr w:type="spellStart"/>
      <w:r w:rsidRPr="00112B89">
        <w:rPr>
          <w:rFonts w:ascii="Times New Roman" w:eastAsia="Batang" w:hAnsi="Times New Roman"/>
          <w:lang w:eastAsia="ko-KR"/>
        </w:rPr>
        <w:t>Arco</w:t>
      </w:r>
      <w:proofErr w:type="spellEnd"/>
      <w:r w:rsidRPr="00112B89">
        <w:rPr>
          <w:rFonts w:ascii="Times New Roman" w:eastAsia="Batang" w:hAnsi="Times New Roman"/>
          <w:lang w:eastAsia="ko-KR"/>
        </w:rPr>
        <w:t>–Str. 3</w:t>
      </w:r>
    </w:p>
    <w:p w14:paraId="2203D7F2" w14:textId="77777777" w:rsidR="005A7416" w:rsidRPr="00112B89" w:rsidRDefault="005A7416" w:rsidP="00C7398A">
      <w:pPr>
        <w:tabs>
          <w:tab w:val="left" w:pos="567"/>
        </w:tabs>
        <w:spacing w:after="0" w:line="240" w:lineRule="auto"/>
        <w:rPr>
          <w:rFonts w:ascii="Times New Roman" w:eastAsia="Batang" w:hAnsi="Times New Roman"/>
          <w:lang w:eastAsia="ko-KR"/>
        </w:rPr>
      </w:pPr>
      <w:r w:rsidRPr="00112B89">
        <w:rPr>
          <w:rFonts w:ascii="Times New Roman" w:eastAsia="Batang" w:hAnsi="Times New Roman"/>
          <w:lang w:eastAsia="ko-KR"/>
        </w:rPr>
        <w:t xml:space="preserve">89079 </w:t>
      </w:r>
      <w:proofErr w:type="spellStart"/>
      <w:r w:rsidRPr="00112B89">
        <w:rPr>
          <w:rFonts w:ascii="Times New Roman" w:eastAsia="Batang" w:hAnsi="Times New Roman"/>
          <w:lang w:eastAsia="ko-KR"/>
        </w:rPr>
        <w:t>Ulm</w:t>
      </w:r>
      <w:proofErr w:type="spellEnd"/>
    </w:p>
    <w:p w14:paraId="08801D09" w14:textId="77777777" w:rsidR="005A7416" w:rsidRPr="00112B89" w:rsidRDefault="005A7416" w:rsidP="00C7398A">
      <w:pPr>
        <w:tabs>
          <w:tab w:val="left" w:pos="567"/>
        </w:tabs>
        <w:autoSpaceDE w:val="0"/>
        <w:autoSpaceDN w:val="0"/>
        <w:adjustRightInd w:val="0"/>
        <w:spacing w:after="0" w:line="240" w:lineRule="auto"/>
        <w:rPr>
          <w:rFonts w:ascii="Times New Roman" w:eastAsia="Batang" w:hAnsi="Times New Roman"/>
          <w:lang w:eastAsia="ko-KR"/>
        </w:rPr>
      </w:pPr>
      <w:r w:rsidRPr="00112B89">
        <w:rPr>
          <w:rFonts w:ascii="Times New Roman" w:eastAsia="Batang" w:hAnsi="Times New Roman"/>
          <w:lang w:eastAsia="ko-KR"/>
        </w:rPr>
        <w:t xml:space="preserve">Vokietija </w:t>
      </w:r>
    </w:p>
    <w:p w14:paraId="35E685A3"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p>
    <w:p w14:paraId="67A18DDD" w14:textId="77777777" w:rsidR="005A7416" w:rsidRPr="00112B89" w:rsidRDefault="00783EAB" w:rsidP="00C7398A">
      <w:pPr>
        <w:tabs>
          <w:tab w:val="left" w:pos="567"/>
        </w:tabs>
        <w:autoSpaceDE w:val="0"/>
        <w:autoSpaceDN w:val="0"/>
        <w:adjustRightInd w:val="0"/>
        <w:spacing w:after="0" w:line="240" w:lineRule="auto"/>
        <w:rPr>
          <w:rFonts w:ascii="Times New Roman" w:eastAsia="Batang" w:hAnsi="Times New Roman"/>
          <w:i/>
          <w:lang w:eastAsia="ko-KR"/>
        </w:rPr>
      </w:pPr>
      <w:r w:rsidRPr="00112B89">
        <w:rPr>
          <w:rFonts w:ascii="Times New Roman" w:hAnsi="Times New Roman"/>
          <w:bCs/>
          <w:i/>
        </w:rPr>
        <w:t>Gamintojas</w:t>
      </w:r>
    </w:p>
    <w:p w14:paraId="3BCC3459" w14:textId="77777777" w:rsidR="005A7416" w:rsidRPr="00112B89" w:rsidRDefault="005A7416" w:rsidP="00C7398A">
      <w:pPr>
        <w:tabs>
          <w:tab w:val="left" w:pos="567"/>
        </w:tabs>
        <w:spacing w:after="0" w:line="240" w:lineRule="auto"/>
        <w:rPr>
          <w:rFonts w:ascii="Times New Roman" w:hAnsi="Times New Roman"/>
          <w:lang w:eastAsia="pl-PL"/>
        </w:rPr>
      </w:pPr>
      <w:proofErr w:type="spellStart"/>
      <w:r w:rsidRPr="00112B89">
        <w:rPr>
          <w:rFonts w:ascii="Times New Roman" w:hAnsi="Times New Roman"/>
          <w:lang w:eastAsia="pl-PL"/>
        </w:rPr>
        <w:t>Synthon</w:t>
      </w:r>
      <w:proofErr w:type="spellEnd"/>
      <w:r w:rsidRPr="00112B89">
        <w:rPr>
          <w:rFonts w:ascii="Times New Roman" w:hAnsi="Times New Roman"/>
          <w:lang w:eastAsia="pl-PL"/>
        </w:rPr>
        <w:t xml:space="preserve"> BV</w:t>
      </w:r>
    </w:p>
    <w:p w14:paraId="240104BD" w14:textId="77777777" w:rsidR="005A7416" w:rsidRPr="00112B89" w:rsidRDefault="005A7416" w:rsidP="00C7398A">
      <w:pPr>
        <w:tabs>
          <w:tab w:val="left" w:pos="567"/>
        </w:tabs>
        <w:spacing w:after="0" w:line="240" w:lineRule="auto"/>
        <w:rPr>
          <w:rFonts w:ascii="Times New Roman" w:hAnsi="Times New Roman"/>
          <w:lang w:eastAsia="pl-PL"/>
        </w:rPr>
      </w:pPr>
      <w:proofErr w:type="spellStart"/>
      <w:r w:rsidRPr="00112B89">
        <w:rPr>
          <w:rFonts w:ascii="Times New Roman" w:hAnsi="Times New Roman"/>
          <w:lang w:eastAsia="pl-PL"/>
        </w:rPr>
        <w:t>Microweg</w:t>
      </w:r>
      <w:proofErr w:type="spellEnd"/>
      <w:r w:rsidRPr="00112B89">
        <w:rPr>
          <w:rFonts w:ascii="Times New Roman" w:hAnsi="Times New Roman"/>
          <w:lang w:eastAsia="pl-PL"/>
        </w:rPr>
        <w:t xml:space="preserve"> 22</w:t>
      </w:r>
    </w:p>
    <w:p w14:paraId="561F884C" w14:textId="77777777" w:rsidR="005A7416" w:rsidRPr="00112B89" w:rsidRDefault="005A7416" w:rsidP="00C7398A">
      <w:pPr>
        <w:tabs>
          <w:tab w:val="left" w:pos="567"/>
        </w:tabs>
        <w:spacing w:after="0" w:line="240" w:lineRule="auto"/>
        <w:rPr>
          <w:rFonts w:ascii="Times New Roman" w:hAnsi="Times New Roman"/>
          <w:lang w:eastAsia="pl-PL"/>
        </w:rPr>
      </w:pPr>
      <w:r w:rsidRPr="00112B89">
        <w:rPr>
          <w:rFonts w:ascii="Times New Roman" w:hAnsi="Times New Roman"/>
          <w:lang w:eastAsia="pl-PL"/>
        </w:rPr>
        <w:t xml:space="preserve">6545CM </w:t>
      </w:r>
      <w:proofErr w:type="spellStart"/>
      <w:r w:rsidRPr="00112B89">
        <w:rPr>
          <w:rFonts w:ascii="Times New Roman" w:hAnsi="Times New Roman"/>
          <w:lang w:eastAsia="pl-PL"/>
        </w:rPr>
        <w:t>Nijmegen</w:t>
      </w:r>
      <w:proofErr w:type="spellEnd"/>
    </w:p>
    <w:p w14:paraId="12BCA9F2" w14:textId="77777777" w:rsidR="005A7416" w:rsidRPr="00112B89" w:rsidRDefault="005A7416" w:rsidP="00C7398A">
      <w:pPr>
        <w:tabs>
          <w:tab w:val="left" w:pos="567"/>
        </w:tabs>
        <w:spacing w:after="0" w:line="240" w:lineRule="auto"/>
        <w:rPr>
          <w:rFonts w:ascii="Times New Roman" w:hAnsi="Times New Roman"/>
          <w:lang w:eastAsia="pl-PL"/>
        </w:rPr>
      </w:pPr>
      <w:r w:rsidRPr="00112B89">
        <w:rPr>
          <w:rFonts w:ascii="Times New Roman" w:hAnsi="Times New Roman"/>
          <w:lang w:eastAsia="pl-PL"/>
        </w:rPr>
        <w:t>Nyderlandai</w:t>
      </w:r>
    </w:p>
    <w:p w14:paraId="6AD076B0" w14:textId="77777777" w:rsidR="005A7416" w:rsidRPr="00112B89" w:rsidRDefault="005A7416" w:rsidP="00C7398A">
      <w:pPr>
        <w:tabs>
          <w:tab w:val="left" w:pos="567"/>
        </w:tabs>
        <w:spacing w:after="0" w:line="240" w:lineRule="auto"/>
        <w:rPr>
          <w:rFonts w:ascii="Times New Roman" w:hAnsi="Times New Roman"/>
          <w:lang w:eastAsia="pl-PL"/>
        </w:rPr>
      </w:pPr>
    </w:p>
    <w:p w14:paraId="5A662C9B" w14:textId="77777777" w:rsidR="005A7416" w:rsidRPr="00112B89" w:rsidRDefault="005A7416" w:rsidP="00C7398A">
      <w:pPr>
        <w:tabs>
          <w:tab w:val="left" w:pos="567"/>
        </w:tabs>
        <w:spacing w:after="0" w:line="240" w:lineRule="auto"/>
        <w:rPr>
          <w:rFonts w:ascii="Times New Roman" w:hAnsi="Times New Roman"/>
          <w:lang w:eastAsia="pl-PL"/>
        </w:rPr>
      </w:pPr>
      <w:r w:rsidRPr="00112B89">
        <w:rPr>
          <w:rFonts w:ascii="Times New Roman" w:hAnsi="Times New Roman"/>
          <w:lang w:eastAsia="pl-PL"/>
        </w:rPr>
        <w:t>arba</w:t>
      </w:r>
    </w:p>
    <w:p w14:paraId="1CCA1B17" w14:textId="77777777" w:rsidR="005A7416" w:rsidRPr="00112B89" w:rsidRDefault="005A7416" w:rsidP="00C7398A">
      <w:pPr>
        <w:tabs>
          <w:tab w:val="left" w:pos="567"/>
        </w:tabs>
        <w:spacing w:after="0" w:line="240" w:lineRule="auto"/>
        <w:rPr>
          <w:rFonts w:ascii="Times New Roman" w:hAnsi="Times New Roman"/>
          <w:lang w:eastAsia="pl-PL"/>
        </w:rPr>
      </w:pPr>
    </w:p>
    <w:p w14:paraId="107E0099" w14:textId="77777777" w:rsidR="005A7416" w:rsidRPr="00112B89" w:rsidRDefault="005A7416" w:rsidP="00C7398A">
      <w:pPr>
        <w:tabs>
          <w:tab w:val="left" w:pos="567"/>
        </w:tabs>
        <w:spacing w:after="0" w:line="240" w:lineRule="auto"/>
        <w:rPr>
          <w:rFonts w:ascii="Times New Roman" w:hAnsi="Times New Roman"/>
          <w:lang w:eastAsia="pl-PL"/>
        </w:rPr>
      </w:pPr>
      <w:proofErr w:type="spellStart"/>
      <w:r w:rsidRPr="00112B89">
        <w:rPr>
          <w:rFonts w:ascii="Times New Roman" w:hAnsi="Times New Roman"/>
          <w:lang w:eastAsia="pl-PL"/>
        </w:rPr>
        <w:t>Synthon</w:t>
      </w:r>
      <w:proofErr w:type="spellEnd"/>
      <w:r w:rsidRPr="00112B89">
        <w:rPr>
          <w:rFonts w:ascii="Times New Roman" w:hAnsi="Times New Roman"/>
          <w:lang w:eastAsia="pl-PL"/>
        </w:rPr>
        <w:t xml:space="preserve"> </w:t>
      </w:r>
      <w:proofErr w:type="spellStart"/>
      <w:r w:rsidRPr="00112B89">
        <w:rPr>
          <w:rFonts w:ascii="Times New Roman" w:hAnsi="Times New Roman"/>
          <w:lang w:eastAsia="pl-PL"/>
        </w:rPr>
        <w:t>Hispania</w:t>
      </w:r>
      <w:proofErr w:type="spellEnd"/>
      <w:r w:rsidRPr="00112B89">
        <w:rPr>
          <w:rFonts w:ascii="Times New Roman" w:hAnsi="Times New Roman"/>
          <w:lang w:eastAsia="pl-PL"/>
        </w:rPr>
        <w:t xml:space="preserve"> SL</w:t>
      </w:r>
    </w:p>
    <w:p w14:paraId="4CE9ACBF" w14:textId="77777777" w:rsidR="005A7416" w:rsidRPr="00112B89" w:rsidRDefault="005A7416" w:rsidP="00C7398A">
      <w:pPr>
        <w:tabs>
          <w:tab w:val="left" w:pos="567"/>
        </w:tabs>
        <w:spacing w:after="0" w:line="240" w:lineRule="auto"/>
        <w:rPr>
          <w:rFonts w:ascii="Times New Roman" w:hAnsi="Times New Roman"/>
        </w:rPr>
      </w:pPr>
      <w:proofErr w:type="spellStart"/>
      <w:r w:rsidRPr="00112B89">
        <w:rPr>
          <w:rFonts w:ascii="Times New Roman" w:hAnsi="Times New Roman"/>
        </w:rPr>
        <w:t>Castelló</w:t>
      </w:r>
      <w:proofErr w:type="spellEnd"/>
      <w:r w:rsidRPr="00112B89">
        <w:rPr>
          <w:rFonts w:ascii="Times New Roman" w:hAnsi="Times New Roman"/>
        </w:rPr>
        <w:t xml:space="preserve"> 1, </w:t>
      </w:r>
      <w:proofErr w:type="spellStart"/>
      <w:r w:rsidRPr="00112B89">
        <w:rPr>
          <w:rFonts w:ascii="Times New Roman" w:hAnsi="Times New Roman"/>
        </w:rPr>
        <w:t>Polígono</w:t>
      </w:r>
      <w:proofErr w:type="spellEnd"/>
      <w:r w:rsidRPr="00112B89">
        <w:rPr>
          <w:rFonts w:ascii="Times New Roman" w:hAnsi="Times New Roman"/>
        </w:rPr>
        <w:t xml:space="preserve"> </w:t>
      </w:r>
      <w:proofErr w:type="spellStart"/>
      <w:r w:rsidRPr="00112B89">
        <w:rPr>
          <w:rFonts w:ascii="Times New Roman" w:hAnsi="Times New Roman"/>
        </w:rPr>
        <w:t>Las</w:t>
      </w:r>
      <w:proofErr w:type="spellEnd"/>
      <w:r w:rsidRPr="00112B89">
        <w:rPr>
          <w:rFonts w:ascii="Times New Roman" w:hAnsi="Times New Roman"/>
        </w:rPr>
        <w:t xml:space="preserve"> </w:t>
      </w:r>
      <w:proofErr w:type="spellStart"/>
      <w:r w:rsidRPr="00112B89">
        <w:rPr>
          <w:rFonts w:ascii="Times New Roman" w:hAnsi="Times New Roman"/>
        </w:rPr>
        <w:t>Salinas</w:t>
      </w:r>
      <w:proofErr w:type="spellEnd"/>
    </w:p>
    <w:p w14:paraId="3B94F9F2"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 xml:space="preserve">08830 </w:t>
      </w:r>
      <w:proofErr w:type="spellStart"/>
      <w:r w:rsidRPr="00112B89">
        <w:rPr>
          <w:rFonts w:ascii="Times New Roman" w:hAnsi="Times New Roman"/>
        </w:rPr>
        <w:t>Sant</w:t>
      </w:r>
      <w:proofErr w:type="spellEnd"/>
      <w:r w:rsidRPr="00112B89">
        <w:rPr>
          <w:rFonts w:ascii="Times New Roman" w:hAnsi="Times New Roman"/>
        </w:rPr>
        <w:t xml:space="preserve"> </w:t>
      </w:r>
      <w:proofErr w:type="spellStart"/>
      <w:r w:rsidRPr="00112B89">
        <w:rPr>
          <w:rFonts w:ascii="Times New Roman" w:hAnsi="Times New Roman"/>
        </w:rPr>
        <w:t>Boi</w:t>
      </w:r>
      <w:proofErr w:type="spellEnd"/>
      <w:r w:rsidRPr="00112B89">
        <w:rPr>
          <w:rFonts w:ascii="Times New Roman" w:hAnsi="Times New Roman"/>
        </w:rPr>
        <w:t xml:space="preserve"> de </w:t>
      </w:r>
      <w:proofErr w:type="spellStart"/>
      <w:r w:rsidRPr="00112B89">
        <w:rPr>
          <w:rFonts w:ascii="Times New Roman" w:hAnsi="Times New Roman"/>
        </w:rPr>
        <w:t>Llobregat</w:t>
      </w:r>
      <w:proofErr w:type="spellEnd"/>
    </w:p>
    <w:p w14:paraId="5D459B98"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Ispanija</w:t>
      </w:r>
    </w:p>
    <w:p w14:paraId="526EF886" w14:textId="77777777" w:rsidR="005A7416" w:rsidRPr="00112B89" w:rsidRDefault="005A7416" w:rsidP="00C7398A">
      <w:pPr>
        <w:tabs>
          <w:tab w:val="left" w:pos="567"/>
        </w:tabs>
        <w:spacing w:after="0" w:line="240" w:lineRule="auto"/>
        <w:rPr>
          <w:rFonts w:ascii="Times New Roman" w:hAnsi="Times New Roman"/>
        </w:rPr>
      </w:pPr>
    </w:p>
    <w:p w14:paraId="06411283"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arba</w:t>
      </w:r>
    </w:p>
    <w:p w14:paraId="096FD94D" w14:textId="77777777" w:rsidR="005A7416" w:rsidRPr="00112B89" w:rsidRDefault="005A7416" w:rsidP="00C7398A">
      <w:pPr>
        <w:tabs>
          <w:tab w:val="left" w:pos="567"/>
        </w:tabs>
        <w:spacing w:after="0" w:line="240" w:lineRule="auto"/>
        <w:rPr>
          <w:rFonts w:ascii="Times New Roman" w:hAnsi="Times New Roman"/>
        </w:rPr>
      </w:pPr>
    </w:p>
    <w:p w14:paraId="22F00ACF" w14:textId="77777777" w:rsidR="005A7416" w:rsidRPr="00112B89" w:rsidRDefault="005A7416" w:rsidP="00C7398A">
      <w:pPr>
        <w:tabs>
          <w:tab w:val="left" w:pos="567"/>
        </w:tabs>
        <w:spacing w:after="0" w:line="240" w:lineRule="auto"/>
        <w:rPr>
          <w:rFonts w:ascii="Times New Roman" w:hAnsi="Times New Roman"/>
        </w:rPr>
      </w:pPr>
      <w:proofErr w:type="spellStart"/>
      <w:r w:rsidRPr="00112B89">
        <w:rPr>
          <w:rFonts w:ascii="Times New Roman" w:hAnsi="Times New Roman"/>
        </w:rPr>
        <w:t>Merckle</w:t>
      </w:r>
      <w:proofErr w:type="spellEnd"/>
      <w:r w:rsidRPr="00112B89">
        <w:rPr>
          <w:rFonts w:ascii="Times New Roman" w:hAnsi="Times New Roman"/>
        </w:rPr>
        <w:t xml:space="preserve"> </w:t>
      </w:r>
      <w:proofErr w:type="spellStart"/>
      <w:r w:rsidRPr="00112B89">
        <w:rPr>
          <w:rFonts w:ascii="Times New Roman" w:hAnsi="Times New Roman"/>
        </w:rPr>
        <w:t>GmbH</w:t>
      </w:r>
      <w:proofErr w:type="spellEnd"/>
    </w:p>
    <w:p w14:paraId="6DDB64A3" w14:textId="77777777" w:rsidR="005A7416" w:rsidRPr="00112B89" w:rsidRDefault="005A7416" w:rsidP="00C7398A">
      <w:pPr>
        <w:tabs>
          <w:tab w:val="left" w:pos="567"/>
        </w:tabs>
        <w:spacing w:after="0" w:line="240" w:lineRule="auto"/>
        <w:rPr>
          <w:rFonts w:ascii="Times New Roman" w:hAnsi="Times New Roman"/>
        </w:rPr>
      </w:pPr>
      <w:proofErr w:type="spellStart"/>
      <w:r w:rsidRPr="00112B89">
        <w:rPr>
          <w:rFonts w:ascii="Times New Roman" w:hAnsi="Times New Roman"/>
        </w:rPr>
        <w:t>Ludwig-Merckle-Strasse</w:t>
      </w:r>
      <w:proofErr w:type="spellEnd"/>
      <w:r w:rsidRPr="00112B89">
        <w:rPr>
          <w:rFonts w:ascii="Times New Roman" w:hAnsi="Times New Roman"/>
        </w:rPr>
        <w:t xml:space="preserve"> 3</w:t>
      </w:r>
    </w:p>
    <w:p w14:paraId="14B0BF52"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 xml:space="preserve">89143 </w:t>
      </w:r>
      <w:proofErr w:type="spellStart"/>
      <w:r w:rsidRPr="00112B89">
        <w:rPr>
          <w:rFonts w:ascii="Times New Roman" w:hAnsi="Times New Roman"/>
        </w:rPr>
        <w:t>Blaubeuren</w:t>
      </w:r>
      <w:proofErr w:type="spellEnd"/>
    </w:p>
    <w:p w14:paraId="5BA87B3D"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lastRenderedPageBreak/>
        <w:t>Vokietija</w:t>
      </w:r>
    </w:p>
    <w:p w14:paraId="698CB3D1"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rPr>
      </w:pPr>
    </w:p>
    <w:p w14:paraId="55DB3EE7" w14:textId="77777777" w:rsidR="005A7416" w:rsidRPr="00112B89" w:rsidRDefault="005A7416" w:rsidP="00C7398A">
      <w:pPr>
        <w:tabs>
          <w:tab w:val="left" w:pos="567"/>
        </w:tabs>
        <w:rPr>
          <w:rFonts w:ascii="Times New Roman" w:hAnsi="Times New Roman"/>
        </w:rPr>
      </w:pPr>
      <w:r w:rsidRPr="00112B89">
        <w:rPr>
          <w:rFonts w:ascii="Times New Roman" w:hAnsi="Times New Roman"/>
        </w:rPr>
        <w:t xml:space="preserve">Jeigu apie šį vaistą norite sužinoti daugiau, kreipkitės į vietinį </w:t>
      </w:r>
      <w:r w:rsidR="00D2227D" w:rsidRPr="00112B89">
        <w:rPr>
          <w:rFonts w:ascii="Times New Roman" w:hAnsi="Times New Roman"/>
        </w:rPr>
        <w:t>registruotojo</w:t>
      </w:r>
      <w:r w:rsidRPr="00112B89">
        <w:rPr>
          <w:rFonts w:ascii="Times New Roman" w:hAnsi="Times New Roman"/>
        </w:rPr>
        <w:t xml:space="preserve"> atstovą.</w:t>
      </w:r>
    </w:p>
    <w:tbl>
      <w:tblPr>
        <w:tblW w:w="4678" w:type="dxa"/>
        <w:tblInd w:w="-34" w:type="dxa"/>
        <w:tblLayout w:type="fixed"/>
        <w:tblLook w:val="0000" w:firstRow="0" w:lastRow="0" w:firstColumn="0" w:lastColumn="0" w:noHBand="0" w:noVBand="0"/>
      </w:tblPr>
      <w:tblGrid>
        <w:gridCol w:w="4678"/>
      </w:tblGrid>
      <w:tr w:rsidR="005A7416" w:rsidRPr="00112B89" w14:paraId="1A6FD669" w14:textId="77777777" w:rsidTr="00B97B53">
        <w:tc>
          <w:tcPr>
            <w:tcW w:w="4678" w:type="dxa"/>
          </w:tcPr>
          <w:p w14:paraId="570905EC" w14:textId="77777777" w:rsidR="005A7416" w:rsidRPr="00112B89" w:rsidRDefault="00D2162F" w:rsidP="00C7398A">
            <w:pPr>
              <w:tabs>
                <w:tab w:val="left" w:pos="567"/>
              </w:tabs>
              <w:spacing w:after="0" w:line="240" w:lineRule="auto"/>
              <w:rPr>
                <w:rFonts w:ascii="Times New Roman" w:hAnsi="Times New Roman"/>
              </w:rPr>
            </w:pPr>
            <w:r>
              <w:rPr>
                <w:rFonts w:ascii="Times New Roman" w:hAnsi="Times New Roman"/>
              </w:rPr>
              <w:t>UAB Teva Baltics</w:t>
            </w:r>
          </w:p>
          <w:p w14:paraId="10351F0E" w14:textId="77777777" w:rsidR="005A7416" w:rsidRPr="00112B89" w:rsidRDefault="00D2227D" w:rsidP="00C7398A">
            <w:pPr>
              <w:tabs>
                <w:tab w:val="left" w:pos="567"/>
              </w:tabs>
              <w:spacing w:after="0" w:line="240" w:lineRule="auto"/>
              <w:rPr>
                <w:rFonts w:ascii="Times New Roman" w:hAnsi="Times New Roman"/>
              </w:rPr>
            </w:pPr>
            <w:r w:rsidRPr="00112B89">
              <w:rPr>
                <w:rFonts w:ascii="Times New Roman" w:hAnsi="Times New Roman"/>
              </w:rPr>
              <w:t>Molėtų pl. 5</w:t>
            </w:r>
          </w:p>
          <w:p w14:paraId="60F51A46"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LT-0</w:t>
            </w:r>
            <w:r w:rsidR="00D2227D" w:rsidRPr="00112B89">
              <w:rPr>
                <w:rFonts w:ascii="Times New Roman" w:hAnsi="Times New Roman"/>
              </w:rPr>
              <w:t>8409</w:t>
            </w:r>
            <w:r w:rsidRPr="00112B89">
              <w:rPr>
                <w:rFonts w:ascii="Times New Roman" w:hAnsi="Times New Roman"/>
              </w:rPr>
              <w:t xml:space="preserve"> Vilnius</w:t>
            </w:r>
          </w:p>
          <w:p w14:paraId="35FDE67E"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Tel.+370 5 266 02 03</w:t>
            </w:r>
          </w:p>
          <w:p w14:paraId="68803B4D" w14:textId="77777777" w:rsidR="005A7416" w:rsidRPr="00112B89" w:rsidRDefault="005A7416" w:rsidP="00C7398A">
            <w:pPr>
              <w:tabs>
                <w:tab w:val="left" w:pos="567"/>
              </w:tabs>
              <w:spacing w:after="0" w:line="240" w:lineRule="auto"/>
              <w:rPr>
                <w:rFonts w:ascii="Times New Roman" w:eastAsia="MS Mincho" w:hAnsi="Times New Roman"/>
                <w:lang w:eastAsia="ja-JP"/>
              </w:rPr>
            </w:pPr>
          </w:p>
        </w:tc>
      </w:tr>
    </w:tbl>
    <w:p w14:paraId="4F814107" w14:textId="77777777" w:rsidR="00A66263" w:rsidRPr="00112B89" w:rsidRDefault="00A66263" w:rsidP="00C7398A">
      <w:pPr>
        <w:tabs>
          <w:tab w:val="left" w:pos="567"/>
        </w:tabs>
        <w:spacing w:after="0" w:line="240" w:lineRule="auto"/>
        <w:rPr>
          <w:rFonts w:ascii="Times New Roman" w:eastAsia="Times New Roman" w:hAnsi="Times New Roman"/>
          <w:b/>
          <w:snapToGrid w:val="0"/>
          <w:szCs w:val="20"/>
        </w:rPr>
      </w:pPr>
    </w:p>
    <w:p w14:paraId="2CA87CF1" w14:textId="77777777" w:rsidR="005A7416" w:rsidRPr="00112B89" w:rsidRDefault="00C97779" w:rsidP="00C7398A">
      <w:pPr>
        <w:tabs>
          <w:tab w:val="left" w:pos="567"/>
        </w:tabs>
        <w:spacing w:after="0" w:line="240" w:lineRule="auto"/>
        <w:rPr>
          <w:rFonts w:ascii="Times New Roman" w:hAnsi="Times New Roman"/>
          <w:b/>
          <w:bCs/>
        </w:rPr>
      </w:pPr>
      <w:r w:rsidRPr="00112B89">
        <w:rPr>
          <w:rFonts w:ascii="Times New Roman" w:eastAsia="Times New Roman" w:hAnsi="Times New Roman"/>
          <w:b/>
          <w:snapToGrid w:val="0"/>
          <w:szCs w:val="20"/>
        </w:rPr>
        <w:t>Šis vaistas EEE valstybėse narėse registruotas tokiais pavadinimais</w:t>
      </w:r>
      <w:r w:rsidRPr="00112B89">
        <w:rPr>
          <w:rFonts w:ascii="Times New Roman" w:eastAsia="Times New Roman" w:hAnsi="Times New Roman"/>
          <w:snapToGrid w:val="0"/>
          <w:szCs w:val="20"/>
        </w:rPr>
        <w:t>:</w:t>
      </w:r>
    </w:p>
    <w:tbl>
      <w:tblPr>
        <w:tblW w:w="8755" w:type="dxa"/>
        <w:tblLook w:val="01E0" w:firstRow="1" w:lastRow="1" w:firstColumn="1" w:lastColumn="1" w:noHBand="0" w:noVBand="0"/>
      </w:tblPr>
      <w:tblGrid>
        <w:gridCol w:w="1304"/>
        <w:gridCol w:w="7451"/>
      </w:tblGrid>
      <w:tr w:rsidR="005A7416" w:rsidRPr="00112B89" w14:paraId="223F6B14" w14:textId="77777777" w:rsidTr="00B97B53">
        <w:tc>
          <w:tcPr>
            <w:tcW w:w="1304" w:type="dxa"/>
          </w:tcPr>
          <w:p w14:paraId="56CDE365" w14:textId="77777777" w:rsidR="005A7416" w:rsidRPr="00112B89" w:rsidRDefault="005A7416" w:rsidP="00C7398A">
            <w:pPr>
              <w:tabs>
                <w:tab w:val="left" w:pos="567"/>
                <w:tab w:val="left" w:pos="2268"/>
              </w:tabs>
              <w:spacing w:after="0" w:line="240" w:lineRule="auto"/>
              <w:rPr>
                <w:rFonts w:ascii="Times New Roman" w:hAnsi="Times New Roman"/>
              </w:rPr>
            </w:pPr>
            <w:r w:rsidRPr="00112B89">
              <w:rPr>
                <w:rFonts w:ascii="Times New Roman" w:hAnsi="Times New Roman"/>
              </w:rPr>
              <w:t>Bulgarija</w:t>
            </w:r>
          </w:p>
        </w:tc>
        <w:tc>
          <w:tcPr>
            <w:tcW w:w="7451" w:type="dxa"/>
          </w:tcPr>
          <w:p w14:paraId="33997C39" w14:textId="77777777" w:rsidR="005A7416" w:rsidRPr="00112B89" w:rsidRDefault="005A7416" w:rsidP="006E6F32">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Teva</w:t>
            </w:r>
            <w:proofErr w:type="spellEnd"/>
            <w:r w:rsidRPr="00112B89">
              <w:rPr>
                <w:rFonts w:ascii="Times New Roman" w:hAnsi="Times New Roman"/>
              </w:rPr>
              <w:t xml:space="preserve"> 3</w:t>
            </w:r>
            <w:r w:rsidR="006E6F32" w:rsidRPr="00112B89">
              <w:rPr>
                <w:rFonts w:ascii="Times New Roman" w:hAnsi="Times New Roman"/>
              </w:rPr>
              <w:t> </w:t>
            </w:r>
            <w:r w:rsidRPr="00112B89">
              <w:rPr>
                <w:rFonts w:ascii="Times New Roman" w:hAnsi="Times New Roman"/>
              </w:rPr>
              <w:t xml:space="preserve">mg </w:t>
            </w:r>
            <w:proofErr w:type="spellStart"/>
            <w:r w:rsidRPr="00112B89">
              <w:rPr>
                <w:rFonts w:ascii="Times New Roman" w:hAnsi="Times New Roman"/>
              </w:rPr>
              <w:t>solution</w:t>
            </w:r>
            <w:proofErr w:type="spellEnd"/>
            <w:r w:rsidRPr="00112B89">
              <w:rPr>
                <w:rFonts w:ascii="Times New Roman" w:hAnsi="Times New Roman"/>
              </w:rPr>
              <w:t xml:space="preserve"> </w:t>
            </w:r>
            <w:proofErr w:type="spellStart"/>
            <w:r w:rsidRPr="00112B89">
              <w:rPr>
                <w:rFonts w:ascii="Times New Roman" w:hAnsi="Times New Roman"/>
              </w:rPr>
              <w:t>for</w:t>
            </w:r>
            <w:proofErr w:type="spellEnd"/>
            <w:r w:rsidRPr="00112B89">
              <w:rPr>
                <w:rFonts w:ascii="Times New Roman" w:hAnsi="Times New Roman"/>
              </w:rPr>
              <w:t xml:space="preserve"> </w:t>
            </w:r>
            <w:proofErr w:type="spellStart"/>
            <w:r w:rsidRPr="00112B89">
              <w:rPr>
                <w:rFonts w:ascii="Times New Roman" w:hAnsi="Times New Roman"/>
              </w:rPr>
              <w:t>injection</w:t>
            </w:r>
            <w:proofErr w:type="spellEnd"/>
          </w:p>
        </w:tc>
      </w:tr>
      <w:tr w:rsidR="005A7416" w:rsidRPr="00112B89" w14:paraId="73F8EF88" w14:textId="77777777" w:rsidTr="00B97B53">
        <w:tc>
          <w:tcPr>
            <w:tcW w:w="1304" w:type="dxa"/>
          </w:tcPr>
          <w:p w14:paraId="75FBA5F8" w14:textId="77777777" w:rsidR="005A7416" w:rsidRPr="00112B89" w:rsidRDefault="005A7416" w:rsidP="00C7398A">
            <w:pPr>
              <w:tabs>
                <w:tab w:val="left" w:pos="567"/>
                <w:tab w:val="left" w:pos="2268"/>
              </w:tabs>
              <w:spacing w:after="0" w:line="240" w:lineRule="auto"/>
              <w:rPr>
                <w:rFonts w:ascii="Times New Roman" w:hAnsi="Times New Roman"/>
              </w:rPr>
            </w:pPr>
            <w:r w:rsidRPr="00112B89">
              <w:rPr>
                <w:rFonts w:ascii="Times New Roman" w:hAnsi="Times New Roman"/>
              </w:rPr>
              <w:t>Latvija</w:t>
            </w:r>
          </w:p>
        </w:tc>
        <w:tc>
          <w:tcPr>
            <w:tcW w:w="7451" w:type="dxa"/>
          </w:tcPr>
          <w:p w14:paraId="521B14C7" w14:textId="77777777" w:rsidR="005A7416" w:rsidRPr="00112B89" w:rsidRDefault="005A7416" w:rsidP="006E6F32">
            <w:pPr>
              <w:tabs>
                <w:tab w:val="left" w:pos="567"/>
              </w:tabs>
              <w:autoSpaceDE w:val="0"/>
              <w:autoSpaceDN w:val="0"/>
              <w:adjustRightInd w:val="0"/>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r w:rsidRPr="00112B89">
              <w:rPr>
                <w:rFonts w:ascii="Times New Roman" w:hAnsi="Times New Roman"/>
              </w:rPr>
              <w:t xml:space="preserve"> 3</w:t>
            </w:r>
            <w:r w:rsidR="006E6F32" w:rsidRPr="00112B89">
              <w:rPr>
                <w:rFonts w:ascii="Times New Roman" w:hAnsi="Times New Roman"/>
              </w:rPr>
              <w:t> </w:t>
            </w:r>
            <w:r w:rsidRPr="00112B89">
              <w:rPr>
                <w:rFonts w:ascii="Times New Roman" w:hAnsi="Times New Roman"/>
              </w:rPr>
              <w:t xml:space="preserve">mg </w:t>
            </w:r>
            <w:proofErr w:type="spellStart"/>
            <w:r w:rsidRPr="00112B89">
              <w:rPr>
                <w:rFonts w:ascii="Times New Roman" w:hAnsi="Times New Roman"/>
              </w:rPr>
              <w:t>šķīdums</w:t>
            </w:r>
            <w:proofErr w:type="spellEnd"/>
            <w:r w:rsidRPr="00112B89">
              <w:rPr>
                <w:rFonts w:ascii="Times New Roman" w:hAnsi="Times New Roman"/>
              </w:rPr>
              <w:t xml:space="preserve"> </w:t>
            </w:r>
            <w:proofErr w:type="spellStart"/>
            <w:r w:rsidRPr="00112B89">
              <w:rPr>
                <w:rFonts w:ascii="Times New Roman" w:hAnsi="Times New Roman"/>
              </w:rPr>
              <w:t>injekcijām</w:t>
            </w:r>
            <w:proofErr w:type="spellEnd"/>
            <w:r w:rsidRPr="00112B89">
              <w:rPr>
                <w:rFonts w:ascii="Times New Roman" w:hAnsi="Times New Roman"/>
              </w:rPr>
              <w:t xml:space="preserve"> </w:t>
            </w:r>
            <w:proofErr w:type="spellStart"/>
            <w:r w:rsidRPr="00112B89">
              <w:rPr>
                <w:rFonts w:ascii="Times New Roman" w:hAnsi="Times New Roman"/>
              </w:rPr>
              <w:t>pilnšļircē</w:t>
            </w:r>
            <w:proofErr w:type="spellEnd"/>
          </w:p>
        </w:tc>
      </w:tr>
      <w:tr w:rsidR="005A7416" w:rsidRPr="00112B89" w14:paraId="7F4DBA61" w14:textId="77777777" w:rsidTr="00B97B53">
        <w:tc>
          <w:tcPr>
            <w:tcW w:w="1304" w:type="dxa"/>
          </w:tcPr>
          <w:p w14:paraId="300A1B0F" w14:textId="77777777" w:rsidR="005A7416" w:rsidRPr="00112B89" w:rsidRDefault="005A7416" w:rsidP="00C7398A">
            <w:pPr>
              <w:tabs>
                <w:tab w:val="left" w:pos="567"/>
                <w:tab w:val="left" w:pos="2268"/>
              </w:tabs>
              <w:spacing w:after="0" w:line="240" w:lineRule="auto"/>
              <w:rPr>
                <w:rFonts w:ascii="Times New Roman" w:hAnsi="Times New Roman"/>
              </w:rPr>
            </w:pPr>
            <w:r w:rsidRPr="00112B89">
              <w:rPr>
                <w:rFonts w:ascii="Times New Roman" w:hAnsi="Times New Roman"/>
              </w:rPr>
              <w:t>Estija</w:t>
            </w:r>
          </w:p>
        </w:tc>
        <w:tc>
          <w:tcPr>
            <w:tcW w:w="7451" w:type="dxa"/>
          </w:tcPr>
          <w:p w14:paraId="0EBCE299" w14:textId="77777777" w:rsidR="00233C13" w:rsidRPr="00112B89" w:rsidRDefault="005A7416" w:rsidP="00C7398A">
            <w:pPr>
              <w:tabs>
                <w:tab w:val="left" w:pos="567"/>
                <w:tab w:val="left" w:pos="2268"/>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ratiopharm</w:t>
            </w:r>
            <w:proofErr w:type="spellEnd"/>
          </w:p>
        </w:tc>
      </w:tr>
      <w:tr w:rsidR="00233C13" w:rsidRPr="00112B89" w14:paraId="5086A8F0" w14:textId="77777777" w:rsidTr="00B97B53">
        <w:tc>
          <w:tcPr>
            <w:tcW w:w="1304" w:type="dxa"/>
          </w:tcPr>
          <w:p w14:paraId="63F42148" w14:textId="77777777" w:rsidR="00233C13" w:rsidRPr="00112B89" w:rsidRDefault="00233C13" w:rsidP="00C7398A">
            <w:pPr>
              <w:tabs>
                <w:tab w:val="left" w:pos="567"/>
                <w:tab w:val="left" w:pos="2268"/>
              </w:tabs>
              <w:spacing w:after="0" w:line="240" w:lineRule="auto"/>
              <w:rPr>
                <w:rFonts w:ascii="Times New Roman" w:hAnsi="Times New Roman"/>
              </w:rPr>
            </w:pPr>
            <w:r w:rsidRPr="00112B89">
              <w:rPr>
                <w:rFonts w:ascii="Times New Roman" w:hAnsi="Times New Roman"/>
              </w:rPr>
              <w:t>Nyderlandai</w:t>
            </w:r>
          </w:p>
        </w:tc>
        <w:tc>
          <w:tcPr>
            <w:tcW w:w="7451" w:type="dxa"/>
          </w:tcPr>
          <w:p w14:paraId="27ADC5B6" w14:textId="77777777" w:rsidR="00233C13" w:rsidRPr="00112B89" w:rsidRDefault="00233C13" w:rsidP="00233C13">
            <w:pPr>
              <w:tabs>
                <w:tab w:val="left" w:pos="567"/>
                <w:tab w:val="left" w:pos="2268"/>
              </w:tabs>
              <w:spacing w:after="0" w:line="240" w:lineRule="auto"/>
              <w:rPr>
                <w:rFonts w:ascii="Times New Roman" w:hAnsi="Times New Roman"/>
              </w:rPr>
            </w:pPr>
            <w:proofErr w:type="spellStart"/>
            <w:r w:rsidRPr="00112B89">
              <w:rPr>
                <w:rFonts w:ascii="Times New Roman" w:hAnsi="Times New Roman"/>
              </w:rPr>
              <w:t>Ibandroninezuur</w:t>
            </w:r>
            <w:proofErr w:type="spellEnd"/>
            <w:r w:rsidRPr="00112B89">
              <w:rPr>
                <w:rFonts w:ascii="Times New Roman" w:hAnsi="Times New Roman"/>
              </w:rPr>
              <w:t xml:space="preserve"> </w:t>
            </w:r>
            <w:proofErr w:type="spellStart"/>
            <w:r w:rsidRPr="00112B89">
              <w:rPr>
                <w:rFonts w:ascii="Times New Roman" w:hAnsi="Times New Roman"/>
              </w:rPr>
              <w:t>Teva</w:t>
            </w:r>
            <w:proofErr w:type="spellEnd"/>
            <w:r w:rsidRPr="00112B89">
              <w:rPr>
                <w:rFonts w:ascii="Times New Roman" w:hAnsi="Times New Roman"/>
              </w:rPr>
              <w:t xml:space="preserve"> 3 mg, </w:t>
            </w:r>
            <w:proofErr w:type="spellStart"/>
            <w:r w:rsidRPr="00112B89">
              <w:rPr>
                <w:rFonts w:ascii="Times New Roman" w:hAnsi="Times New Roman"/>
              </w:rPr>
              <w:t>oplossing</w:t>
            </w:r>
            <w:proofErr w:type="spellEnd"/>
            <w:r w:rsidRPr="00112B89">
              <w:rPr>
                <w:rFonts w:ascii="Times New Roman" w:hAnsi="Times New Roman"/>
              </w:rPr>
              <w:t xml:space="preserve"> </w:t>
            </w:r>
            <w:proofErr w:type="spellStart"/>
            <w:r w:rsidRPr="00112B89">
              <w:rPr>
                <w:rFonts w:ascii="Times New Roman" w:hAnsi="Times New Roman"/>
              </w:rPr>
              <w:t>voor</w:t>
            </w:r>
            <w:proofErr w:type="spellEnd"/>
            <w:r w:rsidRPr="00112B89">
              <w:rPr>
                <w:rFonts w:ascii="Times New Roman" w:hAnsi="Times New Roman"/>
              </w:rPr>
              <w:t xml:space="preserve"> </w:t>
            </w:r>
            <w:proofErr w:type="spellStart"/>
            <w:r w:rsidRPr="00112B89">
              <w:rPr>
                <w:rFonts w:ascii="Times New Roman" w:hAnsi="Times New Roman"/>
              </w:rPr>
              <w:t>injectie</w:t>
            </w:r>
            <w:proofErr w:type="spellEnd"/>
          </w:p>
        </w:tc>
      </w:tr>
      <w:tr w:rsidR="00233C13" w:rsidRPr="00112B89" w14:paraId="181792B1" w14:textId="77777777" w:rsidTr="00B97B53">
        <w:tc>
          <w:tcPr>
            <w:tcW w:w="1304" w:type="dxa"/>
          </w:tcPr>
          <w:p w14:paraId="590BE683" w14:textId="77777777" w:rsidR="00233C13" w:rsidRPr="00112B89" w:rsidRDefault="00233C13" w:rsidP="00C7398A">
            <w:pPr>
              <w:tabs>
                <w:tab w:val="left" w:pos="567"/>
                <w:tab w:val="left" w:pos="2268"/>
              </w:tabs>
              <w:spacing w:after="0" w:line="240" w:lineRule="auto"/>
              <w:rPr>
                <w:rFonts w:ascii="Times New Roman" w:hAnsi="Times New Roman"/>
              </w:rPr>
            </w:pPr>
            <w:r w:rsidRPr="00112B89">
              <w:rPr>
                <w:rFonts w:ascii="Times New Roman" w:hAnsi="Times New Roman"/>
              </w:rPr>
              <w:t>Kipras</w:t>
            </w:r>
          </w:p>
        </w:tc>
        <w:tc>
          <w:tcPr>
            <w:tcW w:w="7451" w:type="dxa"/>
          </w:tcPr>
          <w:p w14:paraId="38971BF0" w14:textId="77777777" w:rsidR="00233C13" w:rsidRPr="00112B89" w:rsidRDefault="00233C13" w:rsidP="00C7398A">
            <w:pPr>
              <w:tabs>
                <w:tab w:val="left" w:pos="567"/>
                <w:tab w:val="left" w:pos="2268"/>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Teva</w:t>
            </w:r>
            <w:proofErr w:type="spellEnd"/>
            <w:r w:rsidRPr="00112B89">
              <w:rPr>
                <w:rFonts w:ascii="Times New Roman" w:hAnsi="Times New Roman"/>
              </w:rPr>
              <w:t xml:space="preserve"> </w:t>
            </w:r>
            <w:proofErr w:type="spellStart"/>
            <w:r w:rsidRPr="00112B89">
              <w:rPr>
                <w:rFonts w:ascii="Times New Roman" w:hAnsi="Times New Roman"/>
              </w:rPr>
              <w:t>Pharma</w:t>
            </w:r>
            <w:proofErr w:type="spellEnd"/>
            <w:r w:rsidRPr="00112B89">
              <w:rPr>
                <w:rFonts w:ascii="Times New Roman" w:hAnsi="Times New Roman"/>
              </w:rPr>
              <w:t xml:space="preserve"> 3 mg</w:t>
            </w:r>
          </w:p>
        </w:tc>
      </w:tr>
      <w:tr w:rsidR="00233C13" w:rsidRPr="00112B89" w14:paraId="325E0FA5" w14:textId="77777777" w:rsidTr="00B97B53">
        <w:tc>
          <w:tcPr>
            <w:tcW w:w="1304" w:type="dxa"/>
          </w:tcPr>
          <w:p w14:paraId="5B63553C" w14:textId="77777777" w:rsidR="00233C13" w:rsidRPr="00112B89" w:rsidRDefault="00233C13" w:rsidP="00C7398A">
            <w:pPr>
              <w:tabs>
                <w:tab w:val="left" w:pos="567"/>
                <w:tab w:val="left" w:pos="2268"/>
              </w:tabs>
              <w:spacing w:after="0" w:line="240" w:lineRule="auto"/>
              <w:rPr>
                <w:rFonts w:ascii="Times New Roman" w:hAnsi="Times New Roman"/>
              </w:rPr>
            </w:pPr>
            <w:r w:rsidRPr="00112B89">
              <w:rPr>
                <w:rFonts w:ascii="Times New Roman" w:hAnsi="Times New Roman"/>
              </w:rPr>
              <w:t>Graikija</w:t>
            </w:r>
          </w:p>
        </w:tc>
        <w:tc>
          <w:tcPr>
            <w:tcW w:w="7451" w:type="dxa"/>
          </w:tcPr>
          <w:p w14:paraId="0CC9BCD6" w14:textId="77777777" w:rsidR="00233C13" w:rsidRPr="00112B89" w:rsidRDefault="00233C13" w:rsidP="00C7398A">
            <w:pPr>
              <w:tabs>
                <w:tab w:val="left" w:pos="567"/>
                <w:tab w:val="left" w:pos="2268"/>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Pr="00112B89">
              <w:rPr>
                <w:rFonts w:ascii="Times New Roman" w:hAnsi="Times New Roman"/>
              </w:rPr>
              <w:t>Teva</w:t>
            </w:r>
            <w:proofErr w:type="spellEnd"/>
            <w:r w:rsidRPr="00112B89">
              <w:rPr>
                <w:rFonts w:ascii="Times New Roman" w:hAnsi="Times New Roman"/>
              </w:rPr>
              <w:t xml:space="preserve"> </w:t>
            </w:r>
            <w:proofErr w:type="spellStart"/>
            <w:r w:rsidRPr="00112B89">
              <w:rPr>
                <w:rFonts w:ascii="Times New Roman" w:hAnsi="Times New Roman"/>
              </w:rPr>
              <w:t>Pharma</w:t>
            </w:r>
            <w:proofErr w:type="spellEnd"/>
            <w:r w:rsidRPr="00112B89">
              <w:rPr>
                <w:rFonts w:ascii="Times New Roman" w:hAnsi="Times New Roman"/>
              </w:rPr>
              <w:t xml:space="preserve"> 3 mg</w:t>
            </w:r>
          </w:p>
        </w:tc>
      </w:tr>
    </w:tbl>
    <w:p w14:paraId="5D8B05BB"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bCs/>
        </w:rPr>
      </w:pPr>
    </w:p>
    <w:p w14:paraId="3967BA24" w14:textId="16A8A968" w:rsidR="005A7416" w:rsidRPr="00112B89" w:rsidRDefault="005A7416" w:rsidP="00792027">
      <w:pPr>
        <w:tabs>
          <w:tab w:val="left" w:pos="567"/>
        </w:tabs>
        <w:spacing w:after="0" w:line="240" w:lineRule="auto"/>
        <w:rPr>
          <w:rFonts w:ascii="Times New Roman" w:hAnsi="Times New Roman"/>
          <w:b/>
          <w:bCs/>
        </w:rPr>
      </w:pPr>
      <w:r w:rsidRPr="00112B89">
        <w:rPr>
          <w:rFonts w:ascii="Times New Roman" w:hAnsi="Times New Roman"/>
          <w:b/>
          <w:bCs/>
        </w:rPr>
        <w:t xml:space="preserve">Šis pakuotės lapelis paskutinį kartą peržiūrėtas </w:t>
      </w:r>
      <w:r w:rsidR="00DE47C3">
        <w:rPr>
          <w:rFonts w:ascii="Times New Roman" w:hAnsi="Times New Roman"/>
          <w:b/>
          <w:bCs/>
        </w:rPr>
        <w:t>2025-01-16.</w:t>
      </w:r>
    </w:p>
    <w:p w14:paraId="5B5CBD6F" w14:textId="77777777" w:rsidR="00206BD9" w:rsidRPr="00112B89" w:rsidRDefault="00206BD9" w:rsidP="00C7398A">
      <w:pPr>
        <w:tabs>
          <w:tab w:val="left" w:pos="567"/>
        </w:tabs>
        <w:autoSpaceDE w:val="0"/>
        <w:autoSpaceDN w:val="0"/>
        <w:adjustRightInd w:val="0"/>
        <w:spacing w:after="0" w:line="240" w:lineRule="auto"/>
        <w:rPr>
          <w:rFonts w:ascii="Times New Roman" w:hAnsi="Times New Roman"/>
          <w:b/>
          <w:bCs/>
        </w:rPr>
      </w:pPr>
    </w:p>
    <w:p w14:paraId="0FDC3AAC" w14:textId="5F77C183" w:rsidR="005A7416" w:rsidRPr="00112B89" w:rsidRDefault="00783EAB" w:rsidP="00C7398A">
      <w:pPr>
        <w:numPr>
          <w:ilvl w:val="12"/>
          <w:numId w:val="0"/>
        </w:numPr>
        <w:tabs>
          <w:tab w:val="left" w:pos="567"/>
        </w:tabs>
        <w:spacing w:line="240" w:lineRule="auto"/>
        <w:ind w:right="-2"/>
        <w:rPr>
          <w:rFonts w:ascii="Times New Roman" w:hAnsi="Times New Roman"/>
        </w:rPr>
      </w:pPr>
      <w:r w:rsidRPr="00112B89">
        <w:rPr>
          <w:rFonts w:ascii="Times New Roman" w:hAnsi="Times New Roman"/>
        </w:rPr>
        <w:t xml:space="preserve">Išsami informacija apie šį vaistą pateikiama Valstybinės vaistų kontrolės tarnybos prie Lietuvos Respublikos sveikatos apsaugos ministerijos </w:t>
      </w:r>
      <w:r w:rsidRPr="008C5025">
        <w:rPr>
          <w:rFonts w:ascii="Times New Roman" w:hAnsi="Times New Roman"/>
        </w:rPr>
        <w:t>tinklalapyje</w:t>
      </w:r>
      <w:r w:rsidRPr="008C5025">
        <w:rPr>
          <w:rFonts w:ascii="Times New Roman" w:hAnsi="Times New Roman"/>
          <w:i/>
        </w:rPr>
        <w:t xml:space="preserve"> </w:t>
      </w:r>
      <w:r w:rsidR="00EE217A" w:rsidRPr="00DE47C3">
        <w:rPr>
          <w:rFonts w:ascii="Times New Roman" w:hAnsi="Times New Roman"/>
          <w:color w:val="0000EE"/>
          <w:u w:val="single"/>
          <w:lang w:eastAsia="lt-LT"/>
        </w:rPr>
        <w:t>https://vvkt.lrv.lt/lt/</w:t>
      </w:r>
      <w:r w:rsidRPr="00112B89">
        <w:rPr>
          <w:rFonts w:ascii="Times New Roman" w:hAnsi="Times New Roman"/>
        </w:rPr>
        <w:t>.</w:t>
      </w:r>
    </w:p>
    <w:p w14:paraId="0EC388D1" w14:textId="77777777" w:rsidR="005A7416" w:rsidRPr="00112B89" w:rsidRDefault="005A7416" w:rsidP="00C7398A">
      <w:pPr>
        <w:pBdr>
          <w:bottom w:val="single" w:sz="6" w:space="1" w:color="auto"/>
        </w:pBdr>
        <w:tabs>
          <w:tab w:val="left" w:pos="567"/>
        </w:tabs>
        <w:autoSpaceDE w:val="0"/>
        <w:autoSpaceDN w:val="0"/>
        <w:adjustRightInd w:val="0"/>
        <w:spacing w:after="0" w:line="240" w:lineRule="auto"/>
        <w:rPr>
          <w:rFonts w:ascii="Times New Roman" w:hAnsi="Times New Roman"/>
          <w:color w:val="0000FF"/>
          <w:u w:val="single"/>
        </w:rPr>
      </w:pPr>
    </w:p>
    <w:p w14:paraId="7E64737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u w:val="single"/>
        </w:rPr>
      </w:pPr>
    </w:p>
    <w:p w14:paraId="6EAEAF9D" w14:textId="77777777" w:rsidR="005A7416" w:rsidRPr="00112B89" w:rsidRDefault="005A7416" w:rsidP="00C7398A">
      <w:pPr>
        <w:tabs>
          <w:tab w:val="left" w:pos="567"/>
        </w:tabs>
        <w:spacing w:after="0" w:line="240" w:lineRule="auto"/>
        <w:rPr>
          <w:rFonts w:ascii="Times New Roman" w:hAnsi="Times New Roman"/>
          <w:b/>
          <w:u w:val="single"/>
        </w:rPr>
      </w:pPr>
      <w:r w:rsidRPr="00112B89">
        <w:rPr>
          <w:rFonts w:ascii="Times New Roman" w:hAnsi="Times New Roman"/>
        </w:rPr>
        <w:t>Toliau pateikta informacija skirta tik sveikatos priežiūros specialistams:</w:t>
      </w:r>
    </w:p>
    <w:p w14:paraId="3E93FEF7" w14:textId="77777777" w:rsidR="005A7416" w:rsidRPr="00112B89" w:rsidRDefault="005A7416" w:rsidP="00C7398A">
      <w:pPr>
        <w:tabs>
          <w:tab w:val="left" w:pos="567"/>
        </w:tabs>
        <w:spacing w:after="0" w:line="240" w:lineRule="auto"/>
        <w:rPr>
          <w:rFonts w:ascii="Times New Roman" w:hAnsi="Times New Roman"/>
        </w:rPr>
      </w:pPr>
    </w:p>
    <w:p w14:paraId="4EA916FB"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Daugiau informacijos pateikta Preparato charakteristikų santraukoje.</w:t>
      </w:r>
    </w:p>
    <w:p w14:paraId="47E37F70" w14:textId="77777777" w:rsidR="005A7416" w:rsidRPr="00112B89" w:rsidRDefault="005A7416" w:rsidP="00C7398A">
      <w:pPr>
        <w:tabs>
          <w:tab w:val="left" w:pos="567"/>
        </w:tabs>
        <w:spacing w:after="0" w:line="240" w:lineRule="auto"/>
        <w:rPr>
          <w:rFonts w:ascii="Times New Roman" w:hAnsi="Times New Roman"/>
          <w:b/>
        </w:rPr>
      </w:pPr>
    </w:p>
    <w:p w14:paraId="7D9CC6DF" w14:textId="77777777" w:rsidR="005A7416" w:rsidRPr="00112B89" w:rsidRDefault="005A7416" w:rsidP="00C7398A">
      <w:pPr>
        <w:tabs>
          <w:tab w:val="left" w:pos="567"/>
        </w:tabs>
        <w:spacing w:after="0" w:line="240" w:lineRule="auto"/>
        <w:rPr>
          <w:rFonts w:ascii="Times New Roman" w:hAnsi="Times New Roman"/>
          <w:b/>
        </w:rPr>
      </w:pPr>
      <w:proofErr w:type="spellStart"/>
      <w:r w:rsidRPr="00112B89">
        <w:rPr>
          <w:rFonts w:ascii="Times New Roman" w:hAnsi="Times New Roman"/>
          <w:b/>
        </w:rPr>
        <w:t>Ibandronic</w:t>
      </w:r>
      <w:proofErr w:type="spellEnd"/>
      <w:r w:rsidRPr="00112B89">
        <w:rPr>
          <w:rFonts w:ascii="Times New Roman" w:hAnsi="Times New Roman"/>
          <w:b/>
        </w:rPr>
        <w:t xml:space="preserve"> </w:t>
      </w:r>
      <w:proofErr w:type="spellStart"/>
      <w:r w:rsidRPr="00112B89">
        <w:rPr>
          <w:rFonts w:ascii="Times New Roman" w:hAnsi="Times New Roman"/>
          <w:b/>
        </w:rPr>
        <w:t>acid</w:t>
      </w:r>
      <w:proofErr w:type="spellEnd"/>
      <w:r w:rsidRPr="00112B89">
        <w:rPr>
          <w:rFonts w:ascii="Times New Roman" w:hAnsi="Times New Roman"/>
          <w:b/>
        </w:rPr>
        <w:t xml:space="preserve"> </w:t>
      </w:r>
      <w:proofErr w:type="spellStart"/>
      <w:r w:rsidRPr="00112B89">
        <w:rPr>
          <w:rFonts w:ascii="Times New Roman" w:hAnsi="Times New Roman"/>
          <w:b/>
        </w:rPr>
        <w:t>ratiopharm</w:t>
      </w:r>
      <w:proofErr w:type="spellEnd"/>
      <w:r w:rsidRPr="00112B89">
        <w:rPr>
          <w:rFonts w:ascii="Times New Roman" w:hAnsi="Times New Roman"/>
          <w:b/>
        </w:rPr>
        <w:t xml:space="preserve"> 3 mg injekcinio tirpalo užpildytame švirkšte vartojimo metodas</w:t>
      </w:r>
    </w:p>
    <w:p w14:paraId="02865B64" w14:textId="77777777" w:rsidR="005A7416" w:rsidRPr="00112B89" w:rsidRDefault="005A7416" w:rsidP="00C7398A">
      <w:pPr>
        <w:tabs>
          <w:tab w:val="left" w:pos="567"/>
        </w:tabs>
        <w:spacing w:after="0" w:line="240" w:lineRule="auto"/>
        <w:rPr>
          <w:rFonts w:ascii="Times New Roman" w:hAnsi="Times New Roman"/>
          <w:u w:val="single"/>
        </w:rPr>
      </w:pPr>
    </w:p>
    <w:p w14:paraId="776CC0E6" w14:textId="77777777" w:rsidR="005A7416" w:rsidRPr="00112B89" w:rsidRDefault="005A7416" w:rsidP="00C7398A">
      <w:pPr>
        <w:tabs>
          <w:tab w:val="left" w:pos="567"/>
        </w:tabs>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00C97779" w:rsidRPr="00112B89">
        <w:rPr>
          <w:rFonts w:ascii="Times New Roman" w:hAnsi="Times New Roman"/>
        </w:rPr>
        <w:t>ratiopharm</w:t>
      </w:r>
      <w:proofErr w:type="spellEnd"/>
      <w:r w:rsidR="00C97779" w:rsidRPr="00112B89">
        <w:rPr>
          <w:rFonts w:ascii="Times New Roman" w:hAnsi="Times New Roman"/>
        </w:rPr>
        <w:t xml:space="preserve"> 3 mg </w:t>
      </w:r>
      <w:r w:rsidRPr="00112B89">
        <w:rPr>
          <w:rFonts w:ascii="Times New Roman" w:hAnsi="Times New Roman"/>
        </w:rPr>
        <w:t xml:space="preserve">injekcinį tirpalą </w:t>
      </w:r>
      <w:r w:rsidR="00266DD4" w:rsidRPr="00112B89">
        <w:rPr>
          <w:rFonts w:ascii="Times New Roman" w:hAnsi="Times New Roman"/>
        </w:rPr>
        <w:t xml:space="preserve">užpildytame švirkšte </w:t>
      </w:r>
      <w:r w:rsidRPr="00112B89">
        <w:rPr>
          <w:rFonts w:ascii="Times New Roman" w:hAnsi="Times New Roman"/>
        </w:rPr>
        <w:t>reikia suleisti į veną per 15-30 sekundžių.</w:t>
      </w:r>
    </w:p>
    <w:p w14:paraId="223132E4" w14:textId="77777777" w:rsidR="005A7416" w:rsidRPr="00112B89" w:rsidRDefault="005A7416" w:rsidP="00C7398A">
      <w:pPr>
        <w:tabs>
          <w:tab w:val="left" w:pos="567"/>
        </w:tabs>
        <w:spacing w:after="0" w:line="240" w:lineRule="auto"/>
        <w:rPr>
          <w:rFonts w:ascii="Times New Roman" w:hAnsi="Times New Roman"/>
        </w:rPr>
      </w:pPr>
    </w:p>
    <w:p w14:paraId="547A1EA2" w14:textId="77777777" w:rsidR="005A7416" w:rsidRPr="00112B89" w:rsidRDefault="005A7416" w:rsidP="00C7398A">
      <w:pPr>
        <w:tabs>
          <w:tab w:val="left" w:pos="567"/>
        </w:tabs>
        <w:spacing w:after="0" w:line="240" w:lineRule="auto"/>
        <w:rPr>
          <w:rFonts w:ascii="Times New Roman" w:hAnsi="Times New Roman"/>
        </w:rPr>
      </w:pPr>
      <w:r w:rsidRPr="00112B89">
        <w:rPr>
          <w:rFonts w:ascii="Times New Roman" w:hAnsi="Times New Roman"/>
        </w:rPr>
        <w:t>Tirpalas pasižymi dirginančiu poveikiu, todėl reikia griežtai laikytis taisyklių ir leisti tik į veną. Jeigu netyčia Jūs suleisite į audinius aplink veną, pacientas gali jausti vietinį dirginimą, skausmą, suleidimo vietoje uždegimą.</w:t>
      </w:r>
    </w:p>
    <w:p w14:paraId="6BF60377" w14:textId="77777777" w:rsidR="005A7416" w:rsidRPr="00112B89" w:rsidRDefault="005A7416" w:rsidP="00C7398A">
      <w:pPr>
        <w:tabs>
          <w:tab w:val="left" w:pos="567"/>
        </w:tabs>
        <w:spacing w:after="0" w:line="240" w:lineRule="auto"/>
        <w:rPr>
          <w:rFonts w:ascii="Times New Roman" w:hAnsi="Times New Roman"/>
          <w:b/>
        </w:rPr>
      </w:pPr>
    </w:p>
    <w:p w14:paraId="57EFEB88"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spacing w:val="-3"/>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00C97779" w:rsidRPr="00112B89">
        <w:t xml:space="preserve"> </w:t>
      </w:r>
      <w:proofErr w:type="spellStart"/>
      <w:r w:rsidR="00C97779" w:rsidRPr="00112B89">
        <w:rPr>
          <w:rFonts w:ascii="Times New Roman" w:hAnsi="Times New Roman"/>
        </w:rPr>
        <w:t>ratiopharm</w:t>
      </w:r>
      <w:proofErr w:type="spellEnd"/>
      <w:r w:rsidR="00C97779" w:rsidRPr="00112B89">
        <w:rPr>
          <w:rFonts w:ascii="Times New Roman" w:hAnsi="Times New Roman"/>
        </w:rPr>
        <w:t xml:space="preserve"> 3 mg</w:t>
      </w:r>
      <w:r w:rsidRPr="00112B89">
        <w:rPr>
          <w:rFonts w:ascii="Times New Roman" w:hAnsi="Times New Roman"/>
        </w:rPr>
        <w:t xml:space="preserve"> injekcin</w:t>
      </w:r>
      <w:r w:rsidR="00014328" w:rsidRPr="00112B89">
        <w:rPr>
          <w:rFonts w:ascii="Times New Roman" w:hAnsi="Times New Roman"/>
        </w:rPr>
        <w:t>io</w:t>
      </w:r>
      <w:r w:rsidRPr="00112B89">
        <w:rPr>
          <w:rFonts w:ascii="Times New Roman" w:hAnsi="Times New Roman"/>
        </w:rPr>
        <w:t xml:space="preserve"> tirpal</w:t>
      </w:r>
      <w:r w:rsidR="00014328" w:rsidRPr="00112B89">
        <w:rPr>
          <w:rFonts w:ascii="Times New Roman" w:hAnsi="Times New Roman"/>
        </w:rPr>
        <w:t>o</w:t>
      </w:r>
      <w:r w:rsidRPr="00112B89">
        <w:rPr>
          <w:rFonts w:ascii="Times New Roman" w:hAnsi="Times New Roman"/>
        </w:rPr>
        <w:t xml:space="preserve"> </w:t>
      </w:r>
      <w:r w:rsidR="00AD5E92" w:rsidRPr="00112B89">
        <w:rPr>
          <w:rFonts w:ascii="Times New Roman" w:hAnsi="Times New Roman"/>
        </w:rPr>
        <w:t xml:space="preserve">užpildytame švirkšte </w:t>
      </w:r>
      <w:r w:rsidRPr="00112B89">
        <w:rPr>
          <w:rFonts w:ascii="Times New Roman" w:hAnsi="Times New Roman"/>
          <w:b/>
        </w:rPr>
        <w:t>negalima</w:t>
      </w:r>
      <w:r w:rsidRPr="00112B89">
        <w:rPr>
          <w:rFonts w:ascii="Times New Roman" w:hAnsi="Times New Roman"/>
        </w:rPr>
        <w:t xml:space="preserve"> maišyti su tirpalais, kuriuose yra kalcio (pvz.: </w:t>
      </w:r>
      <w:proofErr w:type="spellStart"/>
      <w:r w:rsidRPr="00112B89">
        <w:rPr>
          <w:rFonts w:ascii="Times New Roman" w:hAnsi="Times New Roman"/>
        </w:rPr>
        <w:t>Ringerio</w:t>
      </w:r>
      <w:proofErr w:type="spellEnd"/>
      <w:r w:rsidRPr="00112B89">
        <w:rPr>
          <w:rFonts w:ascii="Times New Roman" w:hAnsi="Times New Roman"/>
        </w:rPr>
        <w:t xml:space="preserve"> laktato tirpalu, heparin</w:t>
      </w:r>
      <w:r w:rsidR="00AD5E92" w:rsidRPr="00112B89">
        <w:rPr>
          <w:rFonts w:ascii="Times New Roman" w:hAnsi="Times New Roman"/>
        </w:rPr>
        <w:t>o kalcio druska</w:t>
      </w:r>
      <w:r w:rsidRPr="00112B89">
        <w:rPr>
          <w:rFonts w:ascii="Times New Roman" w:hAnsi="Times New Roman"/>
        </w:rPr>
        <w:t xml:space="preserve">) arba kitais į veną leidžiamais vaistiniais preparatais. </w:t>
      </w:r>
      <w:r w:rsidRPr="00112B89">
        <w:rPr>
          <w:rFonts w:ascii="Times New Roman" w:hAnsi="Times New Roman"/>
          <w:color w:val="000000"/>
        </w:rPr>
        <w:t xml:space="preserve">Jeigu preparatas vartojamas intraveninės infuzijos sistema, tai gali būti </w:t>
      </w:r>
      <w:proofErr w:type="spellStart"/>
      <w:r w:rsidRPr="00112B89">
        <w:rPr>
          <w:rFonts w:ascii="Times New Roman" w:hAnsi="Times New Roman"/>
          <w:color w:val="000000"/>
        </w:rPr>
        <w:t>infuzuojamas</w:t>
      </w:r>
      <w:proofErr w:type="spellEnd"/>
      <w:r w:rsidRPr="00112B89">
        <w:rPr>
          <w:rFonts w:ascii="Times New Roman" w:hAnsi="Times New Roman"/>
          <w:color w:val="000000"/>
        </w:rPr>
        <w:t xml:space="preserve"> tik su </w:t>
      </w:r>
      <w:proofErr w:type="spellStart"/>
      <w:r w:rsidRPr="00112B89">
        <w:rPr>
          <w:rFonts w:ascii="Times New Roman" w:hAnsi="Times New Roman"/>
          <w:color w:val="000000"/>
        </w:rPr>
        <w:t>izotoniniu</w:t>
      </w:r>
      <w:proofErr w:type="spellEnd"/>
      <w:r w:rsidRPr="00112B89">
        <w:rPr>
          <w:rFonts w:ascii="Times New Roman" w:hAnsi="Times New Roman"/>
          <w:color w:val="000000"/>
        </w:rPr>
        <w:t xml:space="preserve"> natrio chlorido arba 50</w:t>
      </w:r>
      <w:r w:rsidR="008208E4" w:rsidRPr="00112B89">
        <w:rPr>
          <w:rFonts w:ascii="Times New Roman" w:hAnsi="Times New Roman"/>
          <w:color w:val="000000"/>
        </w:rPr>
        <w:t> </w:t>
      </w:r>
      <w:r w:rsidRPr="00112B89">
        <w:rPr>
          <w:rFonts w:ascii="Times New Roman" w:hAnsi="Times New Roman"/>
          <w:color w:val="000000"/>
        </w:rPr>
        <w:t>mg/ml (5</w:t>
      </w:r>
      <w:r w:rsidR="008208E4" w:rsidRPr="00112B89">
        <w:rPr>
          <w:rFonts w:ascii="Times New Roman" w:hAnsi="Times New Roman"/>
          <w:color w:val="000000"/>
        </w:rPr>
        <w:t> </w:t>
      </w:r>
      <w:r w:rsidRPr="00112B89">
        <w:rPr>
          <w:rFonts w:ascii="Times New Roman" w:hAnsi="Times New Roman"/>
          <w:spacing w:val="-3"/>
        </w:rPr>
        <w:t xml:space="preserve">%) gliukozės tirpalu. </w:t>
      </w:r>
    </w:p>
    <w:p w14:paraId="2A2BB1A0"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spacing w:val="-3"/>
        </w:rPr>
      </w:pPr>
    </w:p>
    <w:p w14:paraId="694A0C35"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b/>
          <w:spacing w:val="-3"/>
        </w:rPr>
      </w:pPr>
      <w:r w:rsidRPr="00112B89">
        <w:rPr>
          <w:rFonts w:ascii="Times New Roman" w:hAnsi="Times New Roman"/>
          <w:b/>
          <w:spacing w:val="-3"/>
        </w:rPr>
        <w:t>Praleidus vaisto dozę</w:t>
      </w:r>
    </w:p>
    <w:p w14:paraId="58C33939" w14:textId="77777777" w:rsidR="005A7416" w:rsidRPr="00112B89" w:rsidRDefault="005A7416" w:rsidP="00C7398A">
      <w:pPr>
        <w:tabs>
          <w:tab w:val="left" w:pos="567"/>
        </w:tabs>
        <w:autoSpaceDE w:val="0"/>
        <w:autoSpaceDN w:val="0"/>
        <w:adjustRightInd w:val="0"/>
        <w:spacing w:after="0" w:line="240" w:lineRule="auto"/>
        <w:rPr>
          <w:rFonts w:ascii="Times New Roman" w:hAnsi="Times New Roman"/>
          <w:color w:val="000000"/>
        </w:rPr>
      </w:pPr>
    </w:p>
    <w:p w14:paraId="54773618" w14:textId="77777777" w:rsidR="005A7416" w:rsidRPr="00112B89" w:rsidRDefault="005A7416" w:rsidP="00C7398A">
      <w:pPr>
        <w:tabs>
          <w:tab w:val="left" w:pos="567"/>
        </w:tabs>
        <w:autoSpaceDE w:val="0"/>
        <w:autoSpaceDN w:val="0"/>
        <w:adjustRightInd w:val="0"/>
        <w:spacing w:after="0" w:line="240" w:lineRule="auto"/>
        <w:jc w:val="both"/>
        <w:rPr>
          <w:rFonts w:ascii="Times New Roman" w:hAnsi="Times New Roman"/>
        </w:rPr>
      </w:pPr>
      <w:r w:rsidRPr="00112B89">
        <w:rPr>
          <w:rFonts w:ascii="Times New Roman" w:hAnsi="Times New Roman"/>
        </w:rPr>
        <w:t>Praleidus dozės suleidimo laiką, vaisto reikia suleisti artimiausiu tinkamu laiku. Po to injekcijos turi būti atliekamos kas 3 mėnesiai skaičiuojant nuo paskutinio vaisto suleidimo datos.</w:t>
      </w:r>
    </w:p>
    <w:p w14:paraId="7C631041" w14:textId="77777777" w:rsidR="005A7416" w:rsidRPr="00112B89" w:rsidRDefault="005A7416" w:rsidP="00C7398A">
      <w:pPr>
        <w:tabs>
          <w:tab w:val="left" w:pos="567"/>
        </w:tabs>
        <w:autoSpaceDE w:val="0"/>
        <w:autoSpaceDN w:val="0"/>
        <w:adjustRightInd w:val="0"/>
        <w:spacing w:after="0" w:line="240" w:lineRule="auto"/>
        <w:jc w:val="both"/>
        <w:rPr>
          <w:rFonts w:ascii="Times New Roman" w:hAnsi="Times New Roman"/>
        </w:rPr>
      </w:pPr>
    </w:p>
    <w:p w14:paraId="7F739023" w14:textId="77777777" w:rsidR="005A7416" w:rsidRPr="00112B89" w:rsidRDefault="005A7416" w:rsidP="00C7398A">
      <w:pPr>
        <w:tabs>
          <w:tab w:val="left" w:pos="567"/>
        </w:tabs>
        <w:autoSpaceDE w:val="0"/>
        <w:autoSpaceDN w:val="0"/>
        <w:adjustRightInd w:val="0"/>
        <w:spacing w:after="0" w:line="240" w:lineRule="auto"/>
        <w:jc w:val="both"/>
        <w:rPr>
          <w:rFonts w:ascii="Times New Roman" w:hAnsi="Times New Roman"/>
          <w:b/>
        </w:rPr>
      </w:pPr>
      <w:r w:rsidRPr="00112B89">
        <w:rPr>
          <w:rFonts w:ascii="Times New Roman" w:hAnsi="Times New Roman"/>
          <w:b/>
        </w:rPr>
        <w:t>Perdozavimas</w:t>
      </w:r>
    </w:p>
    <w:p w14:paraId="0F6D78BE" w14:textId="77777777" w:rsidR="005A7416" w:rsidRPr="00112B89" w:rsidRDefault="005A7416" w:rsidP="00C7398A">
      <w:pPr>
        <w:tabs>
          <w:tab w:val="left" w:pos="567"/>
        </w:tabs>
        <w:autoSpaceDE w:val="0"/>
        <w:autoSpaceDN w:val="0"/>
        <w:adjustRightInd w:val="0"/>
        <w:spacing w:after="0" w:line="240" w:lineRule="auto"/>
        <w:jc w:val="both"/>
        <w:rPr>
          <w:rFonts w:ascii="Times New Roman" w:hAnsi="Times New Roman"/>
        </w:rPr>
      </w:pPr>
    </w:p>
    <w:p w14:paraId="75BDC565" w14:textId="77777777" w:rsidR="005A7416" w:rsidRPr="00112B89" w:rsidRDefault="005A7416" w:rsidP="00C7398A">
      <w:pPr>
        <w:tabs>
          <w:tab w:val="left" w:pos="567"/>
        </w:tabs>
        <w:spacing w:after="0" w:line="240" w:lineRule="auto"/>
        <w:rPr>
          <w:rFonts w:ascii="Times New Roman" w:hAnsi="Times New Roman"/>
          <w:color w:val="000000"/>
        </w:rPr>
      </w:pPr>
      <w:r w:rsidRPr="00112B89">
        <w:rPr>
          <w:rFonts w:ascii="Times New Roman" w:hAnsi="Times New Roman"/>
          <w:color w:val="000000"/>
        </w:rPr>
        <w:t xml:space="preserve">Specialios informacijos apie </w:t>
      </w:r>
      <w:proofErr w:type="spellStart"/>
      <w:r w:rsidRPr="00112B89">
        <w:rPr>
          <w:rFonts w:ascii="Times New Roman" w:hAnsi="Times New Roman"/>
          <w:color w:val="000000"/>
        </w:rPr>
        <w:t>ibandrono</w:t>
      </w:r>
      <w:proofErr w:type="spellEnd"/>
      <w:r w:rsidRPr="00112B89">
        <w:rPr>
          <w:rFonts w:ascii="Times New Roman" w:hAnsi="Times New Roman"/>
          <w:color w:val="000000"/>
        </w:rPr>
        <w:t xml:space="preserve"> rūgšties perdozavimo gydymą nėra.</w:t>
      </w:r>
    </w:p>
    <w:p w14:paraId="0C4AB2A0" w14:textId="77777777" w:rsidR="005A7416" w:rsidRPr="00112B89" w:rsidRDefault="005A7416" w:rsidP="00C7398A">
      <w:pPr>
        <w:tabs>
          <w:tab w:val="left" w:pos="567"/>
        </w:tabs>
        <w:spacing w:after="0" w:line="240" w:lineRule="auto"/>
        <w:rPr>
          <w:rFonts w:ascii="Times New Roman" w:hAnsi="Times New Roman"/>
          <w:color w:val="000000"/>
        </w:rPr>
      </w:pPr>
    </w:p>
    <w:p w14:paraId="28B34C37" w14:textId="77777777" w:rsidR="005A7416" w:rsidRPr="00112B89" w:rsidRDefault="005A7416" w:rsidP="00C7398A">
      <w:pPr>
        <w:tabs>
          <w:tab w:val="left" w:pos="567"/>
        </w:tabs>
        <w:spacing w:after="0" w:line="240" w:lineRule="auto"/>
        <w:rPr>
          <w:rFonts w:ascii="Times New Roman" w:hAnsi="Times New Roman"/>
          <w:color w:val="000000"/>
        </w:rPr>
      </w:pPr>
      <w:r w:rsidRPr="00112B89">
        <w:rPr>
          <w:rFonts w:ascii="Times New Roman" w:hAnsi="Times New Roman"/>
          <w:lang w:bidi="lo-LA"/>
        </w:rPr>
        <w:t xml:space="preserve">Remiantis duomenimis apie šios klasės junginius, leidžiamo į veną šio vaisto perdozavimas gali sukelti </w:t>
      </w:r>
      <w:proofErr w:type="spellStart"/>
      <w:r w:rsidRPr="00112B89">
        <w:rPr>
          <w:rFonts w:ascii="Times New Roman" w:hAnsi="Times New Roman"/>
          <w:lang w:bidi="lo-LA"/>
        </w:rPr>
        <w:t>hipokalcemiją</w:t>
      </w:r>
      <w:proofErr w:type="spellEnd"/>
      <w:r w:rsidRPr="00112B89">
        <w:rPr>
          <w:rFonts w:ascii="Times New Roman" w:hAnsi="Times New Roman"/>
          <w:lang w:bidi="lo-LA"/>
        </w:rPr>
        <w:t xml:space="preserve">, </w:t>
      </w:r>
      <w:proofErr w:type="spellStart"/>
      <w:r w:rsidRPr="00112B89">
        <w:rPr>
          <w:rFonts w:ascii="Times New Roman" w:hAnsi="Times New Roman"/>
          <w:lang w:bidi="lo-LA"/>
        </w:rPr>
        <w:t>hipofosfatemiją</w:t>
      </w:r>
      <w:proofErr w:type="spellEnd"/>
      <w:r w:rsidRPr="00112B89">
        <w:rPr>
          <w:rFonts w:ascii="Times New Roman" w:hAnsi="Times New Roman"/>
          <w:lang w:bidi="lo-LA"/>
        </w:rPr>
        <w:t xml:space="preserve"> ir </w:t>
      </w:r>
      <w:proofErr w:type="spellStart"/>
      <w:r w:rsidRPr="00112B89">
        <w:rPr>
          <w:rFonts w:ascii="Times New Roman" w:hAnsi="Times New Roman"/>
          <w:lang w:bidi="lo-LA"/>
        </w:rPr>
        <w:t>hipomagnezemiją</w:t>
      </w:r>
      <w:proofErr w:type="spellEnd"/>
      <w:r w:rsidRPr="00112B89">
        <w:rPr>
          <w:rFonts w:ascii="Times New Roman" w:hAnsi="Times New Roman"/>
          <w:lang w:bidi="lo-LA"/>
        </w:rPr>
        <w:t xml:space="preserve">, dėl kurių gali būti </w:t>
      </w:r>
      <w:proofErr w:type="spellStart"/>
      <w:r w:rsidRPr="00112B89">
        <w:rPr>
          <w:rFonts w:ascii="Times New Roman" w:hAnsi="Times New Roman"/>
          <w:lang w:bidi="lo-LA"/>
        </w:rPr>
        <w:t>parestezija</w:t>
      </w:r>
      <w:proofErr w:type="spellEnd"/>
      <w:r w:rsidRPr="00112B89">
        <w:rPr>
          <w:rFonts w:ascii="Times New Roman" w:hAnsi="Times New Roman"/>
          <w:lang w:bidi="lo-LA"/>
        </w:rPr>
        <w:t xml:space="preserve">. Sunkiais </w:t>
      </w:r>
      <w:r w:rsidRPr="00112B89">
        <w:rPr>
          <w:rFonts w:ascii="Times New Roman" w:hAnsi="Times New Roman"/>
          <w:lang w:bidi="lo-LA"/>
        </w:rPr>
        <w:lastRenderedPageBreak/>
        <w:t xml:space="preserve">atvejais gali reikėti suleisti į veną tinkamą </w:t>
      </w:r>
      <w:r w:rsidRPr="00112B89">
        <w:rPr>
          <w:rFonts w:ascii="Times New Roman" w:hAnsi="Times New Roman"/>
        </w:rPr>
        <w:t xml:space="preserve">kalcio </w:t>
      </w:r>
      <w:proofErr w:type="spellStart"/>
      <w:r w:rsidRPr="00112B89">
        <w:rPr>
          <w:rFonts w:ascii="Times New Roman" w:hAnsi="Times New Roman"/>
        </w:rPr>
        <w:t>gliukonato</w:t>
      </w:r>
      <w:proofErr w:type="spellEnd"/>
      <w:r w:rsidRPr="00112B89">
        <w:rPr>
          <w:rFonts w:ascii="Times New Roman" w:hAnsi="Times New Roman"/>
        </w:rPr>
        <w:t>, kalio arba natrio fosfato, magnio sulfato dozę.</w:t>
      </w:r>
    </w:p>
    <w:p w14:paraId="017F9447" w14:textId="77777777" w:rsidR="005A7416" w:rsidRPr="00112B89" w:rsidRDefault="005A7416" w:rsidP="00A55E98">
      <w:pPr>
        <w:spacing w:after="0" w:line="240" w:lineRule="auto"/>
        <w:rPr>
          <w:rFonts w:ascii="Times New Roman" w:hAnsi="Times New Roman"/>
          <w:color w:val="000000"/>
        </w:rPr>
      </w:pPr>
    </w:p>
    <w:p w14:paraId="16682769" w14:textId="77777777" w:rsidR="005A7416" w:rsidRPr="00112B89" w:rsidRDefault="005A7416" w:rsidP="00A55E98">
      <w:pPr>
        <w:spacing w:after="0" w:line="240" w:lineRule="auto"/>
        <w:rPr>
          <w:rFonts w:ascii="Times New Roman" w:hAnsi="Times New Roman"/>
          <w:b/>
          <w:color w:val="000000"/>
        </w:rPr>
      </w:pPr>
      <w:r w:rsidRPr="00112B89">
        <w:rPr>
          <w:rFonts w:ascii="Times New Roman" w:hAnsi="Times New Roman"/>
          <w:b/>
          <w:color w:val="000000"/>
        </w:rPr>
        <w:t xml:space="preserve">Bendros rekomendacijos </w:t>
      </w:r>
    </w:p>
    <w:p w14:paraId="34BCA2CA" w14:textId="77777777" w:rsidR="005A7416" w:rsidRPr="00112B89" w:rsidRDefault="005A7416" w:rsidP="00A55E98">
      <w:pPr>
        <w:spacing w:after="0" w:line="240" w:lineRule="auto"/>
        <w:rPr>
          <w:rFonts w:ascii="Times New Roman" w:hAnsi="Times New Roman"/>
        </w:rPr>
      </w:pPr>
      <w:proofErr w:type="spellStart"/>
      <w:r w:rsidRPr="00112B89">
        <w:rPr>
          <w:rFonts w:ascii="Times New Roman" w:hAnsi="Times New Roman"/>
        </w:rPr>
        <w:t>Ibandronic</w:t>
      </w:r>
      <w:proofErr w:type="spellEnd"/>
      <w:r w:rsidRPr="00112B89">
        <w:rPr>
          <w:rFonts w:ascii="Times New Roman" w:hAnsi="Times New Roman"/>
        </w:rPr>
        <w:t xml:space="preserve"> </w:t>
      </w:r>
      <w:proofErr w:type="spellStart"/>
      <w:r w:rsidRPr="00112B89">
        <w:rPr>
          <w:rFonts w:ascii="Times New Roman" w:hAnsi="Times New Roman"/>
        </w:rPr>
        <w:t>acid</w:t>
      </w:r>
      <w:proofErr w:type="spellEnd"/>
      <w:r w:rsidRPr="00112B89">
        <w:rPr>
          <w:rFonts w:ascii="Times New Roman" w:hAnsi="Times New Roman"/>
        </w:rPr>
        <w:t xml:space="preserve"> </w:t>
      </w:r>
      <w:proofErr w:type="spellStart"/>
      <w:r w:rsidR="00AD5E92" w:rsidRPr="00112B89">
        <w:rPr>
          <w:rFonts w:ascii="Times New Roman" w:hAnsi="Times New Roman"/>
        </w:rPr>
        <w:t>ratiopharm</w:t>
      </w:r>
      <w:proofErr w:type="spellEnd"/>
      <w:r w:rsidR="00AD5E92" w:rsidRPr="00112B89">
        <w:rPr>
          <w:rFonts w:ascii="Times New Roman" w:hAnsi="Times New Roman"/>
        </w:rPr>
        <w:t xml:space="preserve"> </w:t>
      </w:r>
      <w:r w:rsidRPr="00112B89">
        <w:rPr>
          <w:rFonts w:ascii="Times New Roman" w:hAnsi="Times New Roman"/>
        </w:rPr>
        <w:t>3 mg injekcinis tirpalas</w:t>
      </w:r>
      <w:r w:rsidR="00AD5E92" w:rsidRPr="00112B89">
        <w:rPr>
          <w:rFonts w:ascii="Times New Roman" w:hAnsi="Times New Roman"/>
        </w:rPr>
        <w:t xml:space="preserve"> užpildytame švirkšte</w:t>
      </w:r>
      <w:r w:rsidRPr="00112B89">
        <w:rPr>
          <w:rFonts w:ascii="Times New Roman" w:hAnsi="Times New Roman"/>
        </w:rPr>
        <w:t xml:space="preserve">, kaip ir kiti į veną leidžiami </w:t>
      </w:r>
      <w:proofErr w:type="spellStart"/>
      <w:r w:rsidRPr="00112B89">
        <w:rPr>
          <w:rFonts w:ascii="Times New Roman" w:hAnsi="Times New Roman"/>
        </w:rPr>
        <w:t>bisfosfonatai</w:t>
      </w:r>
      <w:proofErr w:type="spellEnd"/>
      <w:r w:rsidRPr="00112B89">
        <w:rPr>
          <w:rFonts w:ascii="Times New Roman" w:hAnsi="Times New Roman"/>
        </w:rPr>
        <w:t>, gali sukelti laikiną kalcio koncentracijos kraujo serume sumažėjimą.</w:t>
      </w:r>
    </w:p>
    <w:p w14:paraId="43BDF4D7" w14:textId="77777777" w:rsidR="005A7416" w:rsidRPr="00112B89" w:rsidRDefault="005A7416" w:rsidP="00A55E98">
      <w:pPr>
        <w:spacing w:after="0" w:line="240" w:lineRule="auto"/>
        <w:rPr>
          <w:rFonts w:ascii="Times New Roman" w:hAnsi="Times New Roman"/>
        </w:rPr>
      </w:pPr>
    </w:p>
    <w:p w14:paraId="6966A8F1" w14:textId="77777777" w:rsidR="005A7416" w:rsidRPr="00112B89" w:rsidRDefault="005A7416" w:rsidP="00A55E98">
      <w:pPr>
        <w:spacing w:after="0" w:line="240" w:lineRule="auto"/>
        <w:rPr>
          <w:rFonts w:ascii="Times New Roman" w:hAnsi="Times New Roman"/>
        </w:rPr>
      </w:pPr>
      <w:r w:rsidRPr="00112B89">
        <w:rPr>
          <w:rFonts w:ascii="Times New Roman" w:hAnsi="Times New Roman"/>
        </w:rPr>
        <w:t xml:space="preserve">Prieš pradedant gydymą </w:t>
      </w:r>
      <w:proofErr w:type="spellStart"/>
      <w:r w:rsidRPr="00112B89">
        <w:rPr>
          <w:rFonts w:ascii="Times New Roman" w:hAnsi="Times New Roman"/>
        </w:rPr>
        <w:t>ibandrono</w:t>
      </w:r>
      <w:proofErr w:type="spellEnd"/>
      <w:r w:rsidRPr="00112B89">
        <w:rPr>
          <w:rFonts w:ascii="Times New Roman" w:hAnsi="Times New Roman"/>
        </w:rPr>
        <w:t xml:space="preserve"> rūgšties injekcijomis, reikia įvertinti galimą </w:t>
      </w:r>
      <w:proofErr w:type="spellStart"/>
      <w:r w:rsidRPr="00112B89">
        <w:rPr>
          <w:rFonts w:ascii="Times New Roman" w:hAnsi="Times New Roman"/>
        </w:rPr>
        <w:t>hipokalcemiją</w:t>
      </w:r>
      <w:proofErr w:type="spellEnd"/>
      <w:r w:rsidRPr="00112B89">
        <w:rPr>
          <w:rFonts w:ascii="Times New Roman" w:hAnsi="Times New Roman"/>
        </w:rPr>
        <w:t xml:space="preserve"> ir kitus kaulų ir mineralinių medžiagų apykaitos sutrikimu</w:t>
      </w:r>
      <w:r w:rsidR="00014328" w:rsidRPr="00112B89">
        <w:rPr>
          <w:rFonts w:ascii="Times New Roman" w:hAnsi="Times New Roman"/>
        </w:rPr>
        <w:t>s</w:t>
      </w:r>
      <w:r w:rsidRPr="00112B89">
        <w:rPr>
          <w:rFonts w:ascii="Times New Roman" w:hAnsi="Times New Roman"/>
        </w:rPr>
        <w:t xml:space="preserve"> ir tinkamai gydyti. Visiems pacientams svarbu vartoti kalcio ir vitamino D. Visi pacientai turi papildomai gauti kalcio ir vitamino D.</w:t>
      </w:r>
    </w:p>
    <w:p w14:paraId="226C1CFD" w14:textId="77777777" w:rsidR="005A7416" w:rsidRPr="00112B89" w:rsidRDefault="005A7416" w:rsidP="00A55E98">
      <w:pPr>
        <w:spacing w:after="0" w:line="240" w:lineRule="auto"/>
        <w:rPr>
          <w:rFonts w:ascii="Times New Roman" w:hAnsi="Times New Roman"/>
        </w:rPr>
      </w:pPr>
    </w:p>
    <w:p w14:paraId="28A0DDEB" w14:textId="77777777" w:rsidR="005A7416" w:rsidRPr="00112B89" w:rsidRDefault="005A7416" w:rsidP="00A55E98">
      <w:pPr>
        <w:spacing w:after="0" w:line="240" w:lineRule="auto"/>
        <w:rPr>
          <w:rFonts w:ascii="Times New Roman" w:hAnsi="Times New Roman"/>
        </w:rPr>
      </w:pPr>
      <w:r w:rsidRPr="00112B89">
        <w:rPr>
          <w:rFonts w:ascii="Times New Roman" w:hAnsi="Times New Roman"/>
        </w:rPr>
        <w:t>Sergantieji kitomis ligomis pacientai arba pacientai, gydomi vaistais, galinčiais sukelti nepageidaujamą poveikį inkstų veiklai, gydymo laikotarpiu turi būti reguliariai prižiūrimi laikantis geros medicininės praktikos taisyklių.</w:t>
      </w:r>
    </w:p>
    <w:p w14:paraId="3E6E4934" w14:textId="77777777" w:rsidR="005A7416" w:rsidRPr="00112B89" w:rsidRDefault="005A7416" w:rsidP="00A55E98">
      <w:pPr>
        <w:spacing w:after="0" w:line="240" w:lineRule="auto"/>
        <w:rPr>
          <w:rFonts w:ascii="Times New Roman" w:hAnsi="Times New Roman"/>
        </w:rPr>
      </w:pPr>
    </w:p>
    <w:p w14:paraId="27FB18A6" w14:textId="77777777" w:rsidR="005A7416" w:rsidRPr="00112B89" w:rsidRDefault="005A7416" w:rsidP="00034AD9">
      <w:pPr>
        <w:autoSpaceDE w:val="0"/>
        <w:autoSpaceDN w:val="0"/>
        <w:adjustRightInd w:val="0"/>
        <w:spacing w:after="0" w:line="240" w:lineRule="auto"/>
        <w:rPr>
          <w:rFonts w:ascii="Times New Roman" w:hAnsi="Times New Roman"/>
          <w:color w:val="000000"/>
        </w:rPr>
      </w:pPr>
      <w:r w:rsidRPr="00112B89">
        <w:rPr>
          <w:rFonts w:ascii="Times New Roman" w:hAnsi="Times New Roman"/>
          <w:color w:val="000000"/>
        </w:rPr>
        <w:t xml:space="preserve">Nesuvartotą </w:t>
      </w:r>
      <w:r w:rsidR="00AD5E92" w:rsidRPr="00112B89">
        <w:rPr>
          <w:rFonts w:ascii="Times New Roman" w:hAnsi="Times New Roman"/>
          <w:color w:val="000000"/>
        </w:rPr>
        <w:t xml:space="preserve">injekcinį </w:t>
      </w:r>
      <w:r w:rsidRPr="00112B89">
        <w:rPr>
          <w:rFonts w:ascii="Times New Roman" w:hAnsi="Times New Roman"/>
          <w:color w:val="000000"/>
        </w:rPr>
        <w:t>tirpalą, švirkštus ir injekcines adatas reikia tvarkyti laikantis vietinių reikalavimų.</w:t>
      </w:r>
    </w:p>
    <w:p w14:paraId="66ED5A17" w14:textId="77777777" w:rsidR="005A7416" w:rsidRPr="00112B89" w:rsidRDefault="005A7416" w:rsidP="00A55E98">
      <w:pPr>
        <w:spacing w:after="0" w:line="240" w:lineRule="auto"/>
        <w:rPr>
          <w:rFonts w:ascii="Times New Roman" w:hAnsi="Times New Roman"/>
        </w:rPr>
      </w:pPr>
    </w:p>
    <w:p w14:paraId="3AA610A1" w14:textId="77777777" w:rsidR="005A7416" w:rsidRPr="00112B89" w:rsidRDefault="005A7416" w:rsidP="00404612">
      <w:pPr>
        <w:spacing w:after="0" w:line="240" w:lineRule="auto"/>
        <w:rPr>
          <w:rFonts w:ascii="Times New Roman" w:hAnsi="Times New Roman"/>
        </w:rPr>
      </w:pPr>
    </w:p>
    <w:p w14:paraId="0FD8B606" w14:textId="77777777" w:rsidR="005A7416" w:rsidRPr="00112B89" w:rsidRDefault="005A7416" w:rsidP="00404612">
      <w:pPr>
        <w:spacing w:after="0" w:line="240" w:lineRule="auto"/>
        <w:rPr>
          <w:rFonts w:ascii="Times New Roman" w:hAnsi="Times New Roman"/>
        </w:rPr>
      </w:pPr>
    </w:p>
    <w:p w14:paraId="07CBCD3D" w14:textId="77777777" w:rsidR="0062205C" w:rsidRPr="00112B89" w:rsidRDefault="0062205C">
      <w:pPr>
        <w:spacing w:after="0" w:line="240" w:lineRule="auto"/>
        <w:rPr>
          <w:rFonts w:ascii="Times New Roman" w:hAnsi="Times New Roman"/>
        </w:rPr>
      </w:pPr>
    </w:p>
    <w:sectPr w:rsidR="0062205C" w:rsidRPr="00112B89" w:rsidSect="0085684D">
      <w:headerReference w:type="default" r:id="rId9"/>
      <w:footerReference w:type="default" r:id="rId10"/>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65EA3" w14:textId="77777777" w:rsidR="00DC4282" w:rsidRDefault="00DC4282" w:rsidP="00C84FBF">
      <w:pPr>
        <w:spacing w:after="0" w:line="240" w:lineRule="auto"/>
      </w:pPr>
      <w:r>
        <w:separator/>
      </w:r>
    </w:p>
  </w:endnote>
  <w:endnote w:type="continuationSeparator" w:id="0">
    <w:p w14:paraId="394BE740" w14:textId="77777777" w:rsidR="00DC4282" w:rsidRDefault="00DC4282" w:rsidP="00C84FBF">
      <w:pPr>
        <w:spacing w:after="0" w:line="240" w:lineRule="auto"/>
      </w:pPr>
      <w:r>
        <w:continuationSeparator/>
      </w:r>
    </w:p>
  </w:endnote>
  <w:endnote w:type="continuationNotice" w:id="1">
    <w:p w14:paraId="257CD767" w14:textId="77777777" w:rsidR="00DC4282" w:rsidRDefault="00DC4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634A1" w14:textId="2FD5E8FF" w:rsidR="001D1F4D" w:rsidRPr="00A162A1" w:rsidRDefault="001D1F4D">
    <w:pPr>
      <w:pStyle w:val="Porat"/>
      <w:jc w:val="right"/>
      <w:rPr>
        <w:rFonts w:ascii="Times New Roman" w:hAnsi="Times New Roman"/>
      </w:rPr>
    </w:pPr>
    <w:r w:rsidRPr="00A162A1">
      <w:rPr>
        <w:rFonts w:ascii="Times New Roman" w:hAnsi="Times New Roman"/>
      </w:rPr>
      <w:fldChar w:fldCharType="begin"/>
    </w:r>
    <w:r w:rsidRPr="00A162A1">
      <w:rPr>
        <w:rFonts w:ascii="Times New Roman" w:hAnsi="Times New Roman"/>
      </w:rPr>
      <w:instrText>PAGE   \* MERGEFORMAT</w:instrText>
    </w:r>
    <w:r w:rsidRPr="00A162A1">
      <w:rPr>
        <w:rFonts w:ascii="Times New Roman" w:hAnsi="Times New Roman"/>
      </w:rPr>
      <w:fldChar w:fldCharType="separate"/>
    </w:r>
    <w:r w:rsidR="00EA5B27">
      <w:rPr>
        <w:rFonts w:ascii="Times New Roman" w:hAnsi="Times New Roman"/>
        <w:noProof/>
      </w:rPr>
      <w:t>24</w:t>
    </w:r>
    <w:r w:rsidRPr="00A162A1">
      <w:rPr>
        <w:rFonts w:ascii="Times New Roman" w:hAnsi="Times New Roman"/>
      </w:rPr>
      <w:fldChar w:fldCharType="end"/>
    </w:r>
  </w:p>
  <w:p w14:paraId="59BDEDC3" w14:textId="77777777" w:rsidR="001D1F4D" w:rsidRPr="004D194D" w:rsidRDefault="001D1F4D" w:rsidP="0085684D">
    <w:pP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DE84B" w14:textId="77777777" w:rsidR="00DC4282" w:rsidRDefault="00DC4282" w:rsidP="00C84FBF">
      <w:pPr>
        <w:spacing w:after="0" w:line="240" w:lineRule="auto"/>
      </w:pPr>
      <w:r>
        <w:separator/>
      </w:r>
    </w:p>
  </w:footnote>
  <w:footnote w:type="continuationSeparator" w:id="0">
    <w:p w14:paraId="727C211F" w14:textId="77777777" w:rsidR="00DC4282" w:rsidRDefault="00DC4282" w:rsidP="00C84FBF">
      <w:pPr>
        <w:spacing w:after="0" w:line="240" w:lineRule="auto"/>
      </w:pPr>
      <w:r>
        <w:continuationSeparator/>
      </w:r>
    </w:p>
  </w:footnote>
  <w:footnote w:type="continuationNotice" w:id="1">
    <w:p w14:paraId="3590A449" w14:textId="77777777" w:rsidR="00DC4282" w:rsidRDefault="00DC4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7247E" w14:textId="3E55F107" w:rsidR="001D1F4D" w:rsidRPr="00DE47C3" w:rsidRDefault="001D1F4D" w:rsidP="0089774B">
    <w:pPr>
      <w:pStyle w:val="Antrats"/>
      <w:jc w:val="right"/>
      <w:rPr>
        <w:rFonts w:ascii="Times New Roman" w:hAnsi="Times New Roman"/>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E9F"/>
    <w:multiLevelType w:val="hybridMultilevel"/>
    <w:tmpl w:val="C2920D9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091C68"/>
    <w:multiLevelType w:val="hybridMultilevel"/>
    <w:tmpl w:val="09405DE0"/>
    <w:lvl w:ilvl="0" w:tplc="FBEE898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8669F"/>
    <w:multiLevelType w:val="hybridMultilevel"/>
    <w:tmpl w:val="66288B7E"/>
    <w:lvl w:ilvl="0" w:tplc="FA5AF16E">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B521D"/>
    <w:multiLevelType w:val="hybridMultilevel"/>
    <w:tmpl w:val="B78CFF3A"/>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EF09D5"/>
    <w:multiLevelType w:val="hybridMultilevel"/>
    <w:tmpl w:val="DB4204AA"/>
    <w:lvl w:ilvl="0" w:tplc="505EA1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C13B2"/>
    <w:multiLevelType w:val="hybridMultilevel"/>
    <w:tmpl w:val="CB4CDA90"/>
    <w:lvl w:ilvl="0" w:tplc="322C24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85901"/>
    <w:multiLevelType w:val="hybridMultilevel"/>
    <w:tmpl w:val="6D7C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B1E7E"/>
    <w:multiLevelType w:val="hybridMultilevel"/>
    <w:tmpl w:val="C360F4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60C7BBE"/>
    <w:multiLevelType w:val="hybridMultilevel"/>
    <w:tmpl w:val="9E3C15C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B010A6"/>
    <w:multiLevelType w:val="hybridMultilevel"/>
    <w:tmpl w:val="EB6AFB9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197D06"/>
    <w:multiLevelType w:val="hybridMultilevel"/>
    <w:tmpl w:val="FA66A912"/>
    <w:lvl w:ilvl="0" w:tplc="E6E232E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4C3FC9"/>
    <w:multiLevelType w:val="hybridMultilevel"/>
    <w:tmpl w:val="92544B42"/>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182391"/>
    <w:multiLevelType w:val="multilevel"/>
    <w:tmpl w:val="5616E9AE"/>
    <w:lvl w:ilvl="0">
      <w:start w:val="4"/>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1C076463"/>
    <w:multiLevelType w:val="hybridMultilevel"/>
    <w:tmpl w:val="0316CF9E"/>
    <w:lvl w:ilvl="0" w:tplc="505EA1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000B06"/>
    <w:multiLevelType w:val="hybridMultilevel"/>
    <w:tmpl w:val="6784A32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926C8A"/>
    <w:multiLevelType w:val="hybridMultilevel"/>
    <w:tmpl w:val="AA1441B6"/>
    <w:lvl w:ilvl="0" w:tplc="E6E232E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64A277D"/>
    <w:multiLevelType w:val="hybridMultilevel"/>
    <w:tmpl w:val="0E80C60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AE3402"/>
    <w:multiLevelType w:val="hybridMultilevel"/>
    <w:tmpl w:val="8A64ADE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D2509D"/>
    <w:multiLevelType w:val="hybridMultilevel"/>
    <w:tmpl w:val="8594E702"/>
    <w:lvl w:ilvl="0" w:tplc="8D7A24B4">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C2EBD"/>
    <w:multiLevelType w:val="hybridMultilevel"/>
    <w:tmpl w:val="8BCE03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45AE4"/>
    <w:multiLevelType w:val="hybridMultilevel"/>
    <w:tmpl w:val="A976AA3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CA64DD"/>
    <w:multiLevelType w:val="hybridMultilevel"/>
    <w:tmpl w:val="9CEECE4E"/>
    <w:lvl w:ilvl="0" w:tplc="FA5AF1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434ECC"/>
    <w:multiLevelType w:val="hybridMultilevel"/>
    <w:tmpl w:val="5992BE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F25FB3"/>
    <w:multiLevelType w:val="hybridMultilevel"/>
    <w:tmpl w:val="2348D54C"/>
    <w:lvl w:ilvl="0" w:tplc="FA5AF1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22113F"/>
    <w:multiLevelType w:val="hybridMultilevel"/>
    <w:tmpl w:val="54B8AD22"/>
    <w:lvl w:ilvl="0" w:tplc="E6E232E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D1A18A4"/>
    <w:multiLevelType w:val="hybridMultilevel"/>
    <w:tmpl w:val="D010A2A4"/>
    <w:lvl w:ilvl="0" w:tplc="E6E232E0">
      <w:start w:val="2"/>
      <w:numFmt w:val="bullet"/>
      <w:lvlText w:val="-"/>
      <w:lvlJc w:val="left"/>
      <w:pPr>
        <w:tabs>
          <w:tab w:val="num" w:pos="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96308"/>
    <w:multiLevelType w:val="hybridMultilevel"/>
    <w:tmpl w:val="B2782D6C"/>
    <w:lvl w:ilvl="0" w:tplc="505EA126">
      <w:numFmt w:val="bullet"/>
      <w:lvlText w:val="-"/>
      <w:lvlJc w:val="left"/>
      <w:pPr>
        <w:tabs>
          <w:tab w:val="num" w:pos="885"/>
        </w:tabs>
        <w:ind w:left="885" w:hanging="525"/>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134A42"/>
    <w:multiLevelType w:val="hybridMultilevel"/>
    <w:tmpl w:val="2084BF64"/>
    <w:lvl w:ilvl="0" w:tplc="FA5AF1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BF1A1D"/>
    <w:multiLevelType w:val="hybridMultilevel"/>
    <w:tmpl w:val="F7004CDE"/>
    <w:lvl w:ilvl="0" w:tplc="FA5AF1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172702"/>
    <w:multiLevelType w:val="hybridMultilevel"/>
    <w:tmpl w:val="F30CA208"/>
    <w:lvl w:ilvl="0" w:tplc="EC64673C">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AF161E7"/>
    <w:multiLevelType w:val="hybridMultilevel"/>
    <w:tmpl w:val="2A4E7C8E"/>
    <w:lvl w:ilvl="0" w:tplc="04270003">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2D2D00"/>
    <w:multiLevelType w:val="hybridMultilevel"/>
    <w:tmpl w:val="60CAAC5C"/>
    <w:lvl w:ilvl="0" w:tplc="4A3C5286">
      <w:start w:val="1"/>
      <w:numFmt w:val="decimal"/>
      <w:lvlText w:val="%1."/>
      <w:lvlJc w:val="left"/>
      <w:pPr>
        <w:ind w:left="1656" w:hanging="1296"/>
      </w:pPr>
      <w:rPr>
        <w:rFonts w:eastAsia="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3E73D0F"/>
    <w:multiLevelType w:val="hybridMultilevel"/>
    <w:tmpl w:val="71A2B252"/>
    <w:lvl w:ilvl="0" w:tplc="E6E232E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FB0AD8"/>
    <w:multiLevelType w:val="hybridMultilevel"/>
    <w:tmpl w:val="BA0E54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6" w15:restartNumberingAfterBreak="0">
    <w:nsid w:val="7E085AA4"/>
    <w:multiLevelType w:val="hybridMultilevel"/>
    <w:tmpl w:val="C1A20352"/>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3"/>
  </w:num>
  <w:num w:numId="4">
    <w:abstractNumId w:val="2"/>
  </w:num>
  <w:num w:numId="5">
    <w:abstractNumId w:val="29"/>
  </w:num>
  <w:num w:numId="6">
    <w:abstractNumId w:val="24"/>
  </w:num>
  <w:num w:numId="7">
    <w:abstractNumId w:val="22"/>
  </w:num>
  <w:num w:numId="8">
    <w:abstractNumId w:val="28"/>
  </w:num>
  <w:num w:numId="9">
    <w:abstractNumId w:val="27"/>
  </w:num>
  <w:num w:numId="10">
    <w:abstractNumId w:val="0"/>
  </w:num>
  <w:num w:numId="11">
    <w:abstractNumId w:val="7"/>
  </w:num>
  <w:num w:numId="12">
    <w:abstractNumId w:val="8"/>
  </w:num>
  <w:num w:numId="13">
    <w:abstractNumId w:val="21"/>
  </w:num>
  <w:num w:numId="14">
    <w:abstractNumId w:val="32"/>
  </w:num>
  <w:num w:numId="15">
    <w:abstractNumId w:val="3"/>
  </w:num>
  <w:num w:numId="16">
    <w:abstractNumId w:val="30"/>
  </w:num>
  <w:num w:numId="17">
    <w:abstractNumId w:val="36"/>
  </w:num>
  <w:num w:numId="18">
    <w:abstractNumId w:val="17"/>
  </w:num>
  <w:num w:numId="19">
    <w:abstractNumId w:val="9"/>
  </w:num>
  <w:num w:numId="20">
    <w:abstractNumId w:val="18"/>
  </w:num>
  <w:num w:numId="21">
    <w:abstractNumId w:val="26"/>
  </w:num>
  <w:num w:numId="22">
    <w:abstractNumId w:val="25"/>
  </w:num>
  <w:num w:numId="23">
    <w:abstractNumId w:val="20"/>
  </w:num>
  <w:num w:numId="24">
    <w:abstractNumId w:val="11"/>
  </w:num>
  <w:num w:numId="25">
    <w:abstractNumId w:val="16"/>
  </w:num>
  <w:num w:numId="26">
    <w:abstractNumId w:val="33"/>
  </w:num>
  <w:num w:numId="27">
    <w:abstractNumId w:val="15"/>
  </w:num>
  <w:num w:numId="28">
    <w:abstractNumId w:val="34"/>
  </w:num>
  <w:num w:numId="29">
    <w:abstractNumId w:val="1"/>
  </w:num>
  <w:num w:numId="30">
    <w:abstractNumId w:val="12"/>
  </w:num>
  <w:num w:numId="31">
    <w:abstractNumId w:val="6"/>
  </w:num>
  <w:num w:numId="32">
    <w:abstractNumId w:val="23"/>
  </w:num>
  <w:num w:numId="33">
    <w:abstractNumId w:val="12"/>
  </w:num>
  <w:num w:numId="34">
    <w:abstractNumId w:val="4"/>
  </w:num>
  <w:num w:numId="35">
    <w:abstractNumId w:val="35"/>
  </w:num>
  <w:num w:numId="36">
    <w:abstractNumId w:val="19"/>
  </w:num>
  <w:num w:numId="37">
    <w:abstractNumId w:val="1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4D"/>
    <w:rsid w:val="0001058D"/>
    <w:rsid w:val="00011DB1"/>
    <w:rsid w:val="00014328"/>
    <w:rsid w:val="00034AD9"/>
    <w:rsid w:val="000425BA"/>
    <w:rsid w:val="00050AD8"/>
    <w:rsid w:val="00051597"/>
    <w:rsid w:val="000704A1"/>
    <w:rsid w:val="00071172"/>
    <w:rsid w:val="00081FB4"/>
    <w:rsid w:val="000B4870"/>
    <w:rsid w:val="000C2090"/>
    <w:rsid w:val="000E154F"/>
    <w:rsid w:val="000F15D4"/>
    <w:rsid w:val="000F177C"/>
    <w:rsid w:val="000F267D"/>
    <w:rsid w:val="000F6574"/>
    <w:rsid w:val="00112B89"/>
    <w:rsid w:val="00116B31"/>
    <w:rsid w:val="00123658"/>
    <w:rsid w:val="0014068D"/>
    <w:rsid w:val="00165004"/>
    <w:rsid w:val="00167B21"/>
    <w:rsid w:val="00177658"/>
    <w:rsid w:val="00185B2E"/>
    <w:rsid w:val="00195AC3"/>
    <w:rsid w:val="00196B64"/>
    <w:rsid w:val="001A7268"/>
    <w:rsid w:val="001B012C"/>
    <w:rsid w:val="001B3241"/>
    <w:rsid w:val="001B40DA"/>
    <w:rsid w:val="001C2557"/>
    <w:rsid w:val="001C521A"/>
    <w:rsid w:val="001C5FE8"/>
    <w:rsid w:val="001C7247"/>
    <w:rsid w:val="001D1E53"/>
    <w:rsid w:val="001D1F4D"/>
    <w:rsid w:val="001D70F5"/>
    <w:rsid w:val="001E61A7"/>
    <w:rsid w:val="001F0F9D"/>
    <w:rsid w:val="001F6A2C"/>
    <w:rsid w:val="001F7610"/>
    <w:rsid w:val="00206BD9"/>
    <w:rsid w:val="00216B35"/>
    <w:rsid w:val="00217472"/>
    <w:rsid w:val="00223C93"/>
    <w:rsid w:val="00233C13"/>
    <w:rsid w:val="00240D4B"/>
    <w:rsid w:val="00260EC7"/>
    <w:rsid w:val="002656C1"/>
    <w:rsid w:val="00266DD4"/>
    <w:rsid w:val="00271402"/>
    <w:rsid w:val="00277116"/>
    <w:rsid w:val="0028127B"/>
    <w:rsid w:val="002838FB"/>
    <w:rsid w:val="002B4081"/>
    <w:rsid w:val="002B7A64"/>
    <w:rsid w:val="002C7E31"/>
    <w:rsid w:val="002F213B"/>
    <w:rsid w:val="002F7726"/>
    <w:rsid w:val="00300A4B"/>
    <w:rsid w:val="00300C94"/>
    <w:rsid w:val="003032A3"/>
    <w:rsid w:val="00303840"/>
    <w:rsid w:val="00303D0E"/>
    <w:rsid w:val="0031390A"/>
    <w:rsid w:val="00316BC0"/>
    <w:rsid w:val="003241D0"/>
    <w:rsid w:val="00336E26"/>
    <w:rsid w:val="0034076B"/>
    <w:rsid w:val="003540F2"/>
    <w:rsid w:val="00367416"/>
    <w:rsid w:val="00377EDA"/>
    <w:rsid w:val="00380E62"/>
    <w:rsid w:val="003833D5"/>
    <w:rsid w:val="00385B9F"/>
    <w:rsid w:val="003A4BF3"/>
    <w:rsid w:val="003B23A9"/>
    <w:rsid w:val="003B46E7"/>
    <w:rsid w:val="003E25B3"/>
    <w:rsid w:val="003E2D19"/>
    <w:rsid w:val="003E6F50"/>
    <w:rsid w:val="003F4601"/>
    <w:rsid w:val="00404612"/>
    <w:rsid w:val="00410A15"/>
    <w:rsid w:val="00432743"/>
    <w:rsid w:val="004622C0"/>
    <w:rsid w:val="0047363C"/>
    <w:rsid w:val="00474C12"/>
    <w:rsid w:val="00476146"/>
    <w:rsid w:val="0048756C"/>
    <w:rsid w:val="00491658"/>
    <w:rsid w:val="004C134A"/>
    <w:rsid w:val="004C797E"/>
    <w:rsid w:val="004D194D"/>
    <w:rsid w:val="004E7A00"/>
    <w:rsid w:val="004F30B1"/>
    <w:rsid w:val="00503B63"/>
    <w:rsid w:val="00507117"/>
    <w:rsid w:val="00520424"/>
    <w:rsid w:val="00521AFD"/>
    <w:rsid w:val="00525982"/>
    <w:rsid w:val="00527C2D"/>
    <w:rsid w:val="00532D8F"/>
    <w:rsid w:val="0056199C"/>
    <w:rsid w:val="00595BC6"/>
    <w:rsid w:val="00596E63"/>
    <w:rsid w:val="005A7416"/>
    <w:rsid w:val="005C7236"/>
    <w:rsid w:val="005F0C74"/>
    <w:rsid w:val="005F1332"/>
    <w:rsid w:val="005F20CF"/>
    <w:rsid w:val="005F746A"/>
    <w:rsid w:val="006204F7"/>
    <w:rsid w:val="0062205C"/>
    <w:rsid w:val="00641C46"/>
    <w:rsid w:val="00645247"/>
    <w:rsid w:val="00654CB3"/>
    <w:rsid w:val="00670E3D"/>
    <w:rsid w:val="00673C4F"/>
    <w:rsid w:val="00674E88"/>
    <w:rsid w:val="00676EF4"/>
    <w:rsid w:val="006813E7"/>
    <w:rsid w:val="00690A2D"/>
    <w:rsid w:val="006A7125"/>
    <w:rsid w:val="006B6C0C"/>
    <w:rsid w:val="006C2429"/>
    <w:rsid w:val="006E2D52"/>
    <w:rsid w:val="006E3321"/>
    <w:rsid w:val="006E6F32"/>
    <w:rsid w:val="006F0426"/>
    <w:rsid w:val="006F2122"/>
    <w:rsid w:val="006F5B88"/>
    <w:rsid w:val="006F62C8"/>
    <w:rsid w:val="006F6FD3"/>
    <w:rsid w:val="00703849"/>
    <w:rsid w:val="00717202"/>
    <w:rsid w:val="00732EB0"/>
    <w:rsid w:val="00751015"/>
    <w:rsid w:val="007601C7"/>
    <w:rsid w:val="00760750"/>
    <w:rsid w:val="007635F5"/>
    <w:rsid w:val="00771BC2"/>
    <w:rsid w:val="00774287"/>
    <w:rsid w:val="00775D0B"/>
    <w:rsid w:val="0077741C"/>
    <w:rsid w:val="00782918"/>
    <w:rsid w:val="00783EAB"/>
    <w:rsid w:val="0079102D"/>
    <w:rsid w:val="00792027"/>
    <w:rsid w:val="00795AFB"/>
    <w:rsid w:val="007976E7"/>
    <w:rsid w:val="007A3C7B"/>
    <w:rsid w:val="007B0EB5"/>
    <w:rsid w:val="007B133E"/>
    <w:rsid w:val="007B2D52"/>
    <w:rsid w:val="007B5E39"/>
    <w:rsid w:val="007C5016"/>
    <w:rsid w:val="007C6F1B"/>
    <w:rsid w:val="007C7617"/>
    <w:rsid w:val="007D0EDD"/>
    <w:rsid w:val="007D1DA7"/>
    <w:rsid w:val="007D7333"/>
    <w:rsid w:val="007D7EFF"/>
    <w:rsid w:val="007F5805"/>
    <w:rsid w:val="00804043"/>
    <w:rsid w:val="00812641"/>
    <w:rsid w:val="008208E4"/>
    <w:rsid w:val="0085684D"/>
    <w:rsid w:val="00862791"/>
    <w:rsid w:val="0086483C"/>
    <w:rsid w:val="00867CAA"/>
    <w:rsid w:val="00871DE4"/>
    <w:rsid w:val="008732AC"/>
    <w:rsid w:val="00881AA1"/>
    <w:rsid w:val="0089774B"/>
    <w:rsid w:val="008A4DBB"/>
    <w:rsid w:val="008B5614"/>
    <w:rsid w:val="008C5025"/>
    <w:rsid w:val="008C5859"/>
    <w:rsid w:val="008C7AC2"/>
    <w:rsid w:val="008D10A0"/>
    <w:rsid w:val="008D6F42"/>
    <w:rsid w:val="008E4DD7"/>
    <w:rsid w:val="008E6EF6"/>
    <w:rsid w:val="008F6A7F"/>
    <w:rsid w:val="00900873"/>
    <w:rsid w:val="00902C17"/>
    <w:rsid w:val="009079F6"/>
    <w:rsid w:val="00924972"/>
    <w:rsid w:val="009570EB"/>
    <w:rsid w:val="009614B5"/>
    <w:rsid w:val="00972FA6"/>
    <w:rsid w:val="009733BE"/>
    <w:rsid w:val="00975269"/>
    <w:rsid w:val="009827D6"/>
    <w:rsid w:val="009A215F"/>
    <w:rsid w:val="009A4A81"/>
    <w:rsid w:val="009A736D"/>
    <w:rsid w:val="009B3B86"/>
    <w:rsid w:val="009B4C84"/>
    <w:rsid w:val="009B5DA0"/>
    <w:rsid w:val="009C2691"/>
    <w:rsid w:val="009C4323"/>
    <w:rsid w:val="009C628F"/>
    <w:rsid w:val="009F5E3B"/>
    <w:rsid w:val="009F60B7"/>
    <w:rsid w:val="009F618B"/>
    <w:rsid w:val="00A14665"/>
    <w:rsid w:val="00A15D36"/>
    <w:rsid w:val="00A162A1"/>
    <w:rsid w:val="00A26224"/>
    <w:rsid w:val="00A30259"/>
    <w:rsid w:val="00A33071"/>
    <w:rsid w:val="00A373B4"/>
    <w:rsid w:val="00A55E98"/>
    <w:rsid w:val="00A56446"/>
    <w:rsid w:val="00A60FF2"/>
    <w:rsid w:val="00A61DEE"/>
    <w:rsid w:val="00A64F0C"/>
    <w:rsid w:val="00A66263"/>
    <w:rsid w:val="00A77B9A"/>
    <w:rsid w:val="00A8178F"/>
    <w:rsid w:val="00A852A0"/>
    <w:rsid w:val="00A86531"/>
    <w:rsid w:val="00A900FF"/>
    <w:rsid w:val="00A96317"/>
    <w:rsid w:val="00AA2663"/>
    <w:rsid w:val="00AA357C"/>
    <w:rsid w:val="00AA4386"/>
    <w:rsid w:val="00AA61B6"/>
    <w:rsid w:val="00AB39BA"/>
    <w:rsid w:val="00AC59D5"/>
    <w:rsid w:val="00AC5E6F"/>
    <w:rsid w:val="00AD5E92"/>
    <w:rsid w:val="00AD6769"/>
    <w:rsid w:val="00AF76F1"/>
    <w:rsid w:val="00B12D4A"/>
    <w:rsid w:val="00B31383"/>
    <w:rsid w:val="00B31F16"/>
    <w:rsid w:val="00B34D94"/>
    <w:rsid w:val="00B536B9"/>
    <w:rsid w:val="00B91CB5"/>
    <w:rsid w:val="00B979DD"/>
    <w:rsid w:val="00B97B53"/>
    <w:rsid w:val="00B97C1B"/>
    <w:rsid w:val="00BB4B61"/>
    <w:rsid w:val="00BB7903"/>
    <w:rsid w:val="00BC3080"/>
    <w:rsid w:val="00BC360C"/>
    <w:rsid w:val="00BC63BC"/>
    <w:rsid w:val="00BC6926"/>
    <w:rsid w:val="00BC7C47"/>
    <w:rsid w:val="00C01AAE"/>
    <w:rsid w:val="00C04CA4"/>
    <w:rsid w:val="00C11F7F"/>
    <w:rsid w:val="00C15D80"/>
    <w:rsid w:val="00C2594E"/>
    <w:rsid w:val="00C26A5E"/>
    <w:rsid w:val="00C50824"/>
    <w:rsid w:val="00C54A06"/>
    <w:rsid w:val="00C5612F"/>
    <w:rsid w:val="00C60A2C"/>
    <w:rsid w:val="00C61F11"/>
    <w:rsid w:val="00C7207E"/>
    <w:rsid w:val="00C7398A"/>
    <w:rsid w:val="00C84FBF"/>
    <w:rsid w:val="00C90ED4"/>
    <w:rsid w:val="00C959BA"/>
    <w:rsid w:val="00C96B12"/>
    <w:rsid w:val="00C97779"/>
    <w:rsid w:val="00CA1A95"/>
    <w:rsid w:val="00CA744A"/>
    <w:rsid w:val="00CB4060"/>
    <w:rsid w:val="00CB4C6C"/>
    <w:rsid w:val="00CB5B0C"/>
    <w:rsid w:val="00CB6A48"/>
    <w:rsid w:val="00CB6A66"/>
    <w:rsid w:val="00CC352E"/>
    <w:rsid w:val="00CD186B"/>
    <w:rsid w:val="00CD22B4"/>
    <w:rsid w:val="00CD33F7"/>
    <w:rsid w:val="00CD5BFA"/>
    <w:rsid w:val="00D155BC"/>
    <w:rsid w:val="00D16C5B"/>
    <w:rsid w:val="00D2162F"/>
    <w:rsid w:val="00D2227D"/>
    <w:rsid w:val="00D34CFF"/>
    <w:rsid w:val="00D5223C"/>
    <w:rsid w:val="00D56F2C"/>
    <w:rsid w:val="00D725ED"/>
    <w:rsid w:val="00D77A92"/>
    <w:rsid w:val="00D815E5"/>
    <w:rsid w:val="00D82978"/>
    <w:rsid w:val="00D829C1"/>
    <w:rsid w:val="00D8494A"/>
    <w:rsid w:val="00D86D80"/>
    <w:rsid w:val="00DA20E3"/>
    <w:rsid w:val="00DB373A"/>
    <w:rsid w:val="00DC2E56"/>
    <w:rsid w:val="00DC331F"/>
    <w:rsid w:val="00DC4282"/>
    <w:rsid w:val="00DC56EA"/>
    <w:rsid w:val="00DD1EC9"/>
    <w:rsid w:val="00DD2A44"/>
    <w:rsid w:val="00DE13B3"/>
    <w:rsid w:val="00DE47C3"/>
    <w:rsid w:val="00DE4CF2"/>
    <w:rsid w:val="00DF2C3D"/>
    <w:rsid w:val="00E07DA6"/>
    <w:rsid w:val="00E15CC2"/>
    <w:rsid w:val="00E31F82"/>
    <w:rsid w:val="00E537C0"/>
    <w:rsid w:val="00E911EA"/>
    <w:rsid w:val="00EA198E"/>
    <w:rsid w:val="00EA5B27"/>
    <w:rsid w:val="00EA5CED"/>
    <w:rsid w:val="00EC6332"/>
    <w:rsid w:val="00ED216D"/>
    <w:rsid w:val="00EE217A"/>
    <w:rsid w:val="00EF2CFE"/>
    <w:rsid w:val="00EF78A0"/>
    <w:rsid w:val="00F031D6"/>
    <w:rsid w:val="00F1325F"/>
    <w:rsid w:val="00F147C2"/>
    <w:rsid w:val="00F264CF"/>
    <w:rsid w:val="00F333C1"/>
    <w:rsid w:val="00F35CCE"/>
    <w:rsid w:val="00F37EA9"/>
    <w:rsid w:val="00F6011A"/>
    <w:rsid w:val="00F71928"/>
    <w:rsid w:val="00FB6272"/>
    <w:rsid w:val="00FC3102"/>
    <w:rsid w:val="00FD47C5"/>
    <w:rsid w:val="00FE1F96"/>
    <w:rsid w:val="00FE27C7"/>
    <w:rsid w:val="00FE30F2"/>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7EB49"/>
  <w15:docId w15:val="{C8356E99-82BB-48E2-AE01-BFEC472D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7A92"/>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85684D"/>
    <w:pPr>
      <w:keepNext/>
      <w:keepLines/>
      <w:spacing w:before="200" w:after="0"/>
      <w:outlineLvl w:val="1"/>
    </w:pPr>
    <w:rPr>
      <w:rFonts w:ascii="Cambria" w:eastAsia="Times New Roman" w:hAnsi="Cambria"/>
      <w:b/>
      <w:bCs/>
      <w:color w:val="4F81BD"/>
      <w:sz w:val="26"/>
      <w:szCs w:val="26"/>
      <w:lang w:val="en-US"/>
    </w:rPr>
  </w:style>
  <w:style w:type="paragraph" w:styleId="Antrat3">
    <w:name w:val="heading 3"/>
    <w:basedOn w:val="prastasis"/>
    <w:next w:val="prastasis"/>
    <w:link w:val="Antrat3Diagrama"/>
    <w:uiPriority w:val="99"/>
    <w:qFormat/>
    <w:rsid w:val="0085684D"/>
    <w:pPr>
      <w:keepNext/>
      <w:keepLines/>
      <w:spacing w:before="200" w:after="0"/>
      <w:outlineLvl w:val="2"/>
    </w:pPr>
    <w:rPr>
      <w:rFonts w:ascii="Cambria" w:eastAsia="Times New Roman" w:hAnsi="Cambria"/>
      <w:b/>
      <w:bCs/>
      <w:color w:val="4F81BD"/>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85684D"/>
    <w:rPr>
      <w:rFonts w:ascii="Cambria" w:hAnsi="Cambria" w:cs="Times New Roman"/>
      <w:b/>
      <w:bCs/>
      <w:color w:val="4F81BD"/>
      <w:sz w:val="26"/>
      <w:szCs w:val="26"/>
      <w:lang w:val="en-US"/>
    </w:rPr>
  </w:style>
  <w:style w:type="character" w:customStyle="1" w:styleId="Antrat3Diagrama">
    <w:name w:val="Antraštė 3 Diagrama"/>
    <w:link w:val="Antrat3"/>
    <w:uiPriority w:val="99"/>
    <w:semiHidden/>
    <w:locked/>
    <w:rsid w:val="0085684D"/>
    <w:rPr>
      <w:rFonts w:ascii="Cambria" w:hAnsi="Cambria" w:cs="Times New Roman"/>
      <w:b/>
      <w:bCs/>
      <w:color w:val="4F81BD"/>
      <w:lang w:val="en-US"/>
    </w:rPr>
  </w:style>
  <w:style w:type="paragraph" w:customStyle="1" w:styleId="Default">
    <w:name w:val="Default"/>
    <w:uiPriority w:val="99"/>
    <w:rsid w:val="0085684D"/>
    <w:pPr>
      <w:autoSpaceDE w:val="0"/>
      <w:autoSpaceDN w:val="0"/>
      <w:adjustRightInd w:val="0"/>
    </w:pPr>
    <w:rPr>
      <w:rFonts w:ascii="Times New Roman" w:hAnsi="Times New Roman"/>
      <w:color w:val="000000"/>
      <w:sz w:val="24"/>
      <w:szCs w:val="24"/>
      <w:lang w:val="cs-CZ" w:eastAsia="en-US"/>
    </w:rPr>
  </w:style>
  <w:style w:type="paragraph" w:styleId="Debesliotekstas">
    <w:name w:val="Balloon Text"/>
    <w:basedOn w:val="prastasis"/>
    <w:link w:val="DebesliotekstasDiagrama"/>
    <w:uiPriority w:val="99"/>
    <w:semiHidden/>
    <w:rsid w:val="0085684D"/>
    <w:pPr>
      <w:spacing w:after="0" w:line="240" w:lineRule="auto"/>
    </w:pPr>
    <w:rPr>
      <w:rFonts w:ascii="Tahoma" w:hAnsi="Tahoma" w:cs="Tahoma"/>
      <w:sz w:val="16"/>
      <w:szCs w:val="16"/>
      <w:lang w:val="en-US"/>
    </w:rPr>
  </w:style>
  <w:style w:type="character" w:customStyle="1" w:styleId="DebesliotekstasDiagrama">
    <w:name w:val="Debesėlio tekstas Diagrama"/>
    <w:link w:val="Debesliotekstas"/>
    <w:uiPriority w:val="99"/>
    <w:semiHidden/>
    <w:locked/>
    <w:rsid w:val="0085684D"/>
    <w:rPr>
      <w:rFonts w:ascii="Tahoma" w:hAnsi="Tahoma" w:cs="Tahoma"/>
      <w:sz w:val="16"/>
      <w:szCs w:val="16"/>
      <w:lang w:val="en-US"/>
    </w:rPr>
  </w:style>
  <w:style w:type="paragraph" w:styleId="Antrats">
    <w:name w:val="header"/>
    <w:basedOn w:val="prastasis"/>
    <w:link w:val="AntratsDiagrama"/>
    <w:uiPriority w:val="99"/>
    <w:semiHidden/>
    <w:rsid w:val="0085684D"/>
    <w:pPr>
      <w:tabs>
        <w:tab w:val="center" w:pos="4703"/>
        <w:tab w:val="right" w:pos="9406"/>
      </w:tabs>
    </w:pPr>
    <w:rPr>
      <w:lang w:val="en-US"/>
    </w:rPr>
  </w:style>
  <w:style w:type="character" w:customStyle="1" w:styleId="AntratsDiagrama">
    <w:name w:val="Antraštės Diagrama"/>
    <w:link w:val="Antrats"/>
    <w:uiPriority w:val="99"/>
    <w:semiHidden/>
    <w:locked/>
    <w:rsid w:val="0085684D"/>
    <w:rPr>
      <w:rFonts w:ascii="Calibri" w:hAnsi="Calibri" w:cs="Times New Roman"/>
      <w:lang w:val="en-US"/>
    </w:rPr>
  </w:style>
  <w:style w:type="paragraph" w:customStyle="1" w:styleId="PI-1EMEASMCA">
    <w:name w:val="PI-1 EMEA_SMCA"/>
    <w:basedOn w:val="Antrat2"/>
    <w:autoRedefine/>
    <w:uiPriority w:val="99"/>
    <w:rsid w:val="0085684D"/>
    <w:pPr>
      <w:keepLines w:val="0"/>
      <w:spacing w:before="0" w:line="240" w:lineRule="auto"/>
      <w:ind w:left="567" w:hanging="567"/>
    </w:pPr>
    <w:rPr>
      <w:rFonts w:ascii="Times New Roman" w:hAnsi="Times New Roman"/>
      <w:bCs w:val="0"/>
      <w:color w:val="auto"/>
      <w:sz w:val="22"/>
      <w:szCs w:val="22"/>
      <w:lang w:val="lt-LT"/>
    </w:rPr>
  </w:style>
  <w:style w:type="paragraph" w:customStyle="1" w:styleId="PI-2EMEASMCA">
    <w:name w:val="PI-2 EMEA_SMCA"/>
    <w:basedOn w:val="Antrat3"/>
    <w:autoRedefine/>
    <w:uiPriority w:val="99"/>
    <w:rsid w:val="0085684D"/>
    <w:pPr>
      <w:spacing w:before="0" w:line="240" w:lineRule="auto"/>
      <w:ind w:left="567" w:hanging="567"/>
    </w:pPr>
    <w:rPr>
      <w:rFonts w:ascii="Times New Roman" w:hAnsi="Times New Roman"/>
      <w:bCs w:val="0"/>
      <w:color w:val="auto"/>
      <w:kern w:val="28"/>
      <w:lang w:val="lt-LT"/>
    </w:rPr>
  </w:style>
  <w:style w:type="paragraph" w:customStyle="1" w:styleId="BTEMEASMCA">
    <w:name w:val="BT EMEA_SMCA"/>
    <w:basedOn w:val="prastasis"/>
    <w:link w:val="BTEMEASMCAChar"/>
    <w:autoRedefine/>
    <w:uiPriority w:val="99"/>
    <w:rsid w:val="0085684D"/>
    <w:pPr>
      <w:spacing w:after="0" w:line="240" w:lineRule="auto"/>
    </w:pPr>
    <w:rPr>
      <w:rFonts w:eastAsia="Times New Roman"/>
      <w:i/>
      <w:sz w:val="20"/>
      <w:szCs w:val="20"/>
      <w:lang w:eastAsia="lt-LT"/>
    </w:rPr>
  </w:style>
  <w:style w:type="character" w:customStyle="1" w:styleId="BTEMEASMCAChar">
    <w:name w:val="BT EMEA_SMCA Char"/>
    <w:link w:val="BTEMEASMCA"/>
    <w:uiPriority w:val="99"/>
    <w:locked/>
    <w:rsid w:val="0085684D"/>
    <w:rPr>
      <w:rFonts w:ascii="Calibri" w:hAnsi="Calibri"/>
      <w:i/>
      <w:sz w:val="20"/>
    </w:rPr>
  </w:style>
  <w:style w:type="paragraph" w:customStyle="1" w:styleId="NormalParagraphStyle">
    <w:name w:val="NormalParagraphStyle"/>
    <w:basedOn w:val="prastasis"/>
    <w:uiPriority w:val="99"/>
    <w:rsid w:val="0085684D"/>
    <w:pPr>
      <w:suppressAutoHyphens/>
      <w:autoSpaceDE w:val="0"/>
      <w:autoSpaceDN w:val="0"/>
      <w:adjustRightInd w:val="0"/>
      <w:spacing w:after="0" w:line="288" w:lineRule="auto"/>
    </w:pPr>
    <w:rPr>
      <w:rFonts w:ascii="Times New Roman" w:eastAsia="Times New Roman" w:hAnsi="Times New Roman"/>
      <w:color w:val="000000"/>
      <w:sz w:val="24"/>
      <w:szCs w:val="24"/>
      <w:lang w:val="en-US" w:eastAsia="lt-LT"/>
    </w:rPr>
  </w:style>
  <w:style w:type="paragraph" w:customStyle="1" w:styleId="BT-EMEASMCA">
    <w:name w:val="BT- EMEA_SMCA"/>
    <w:basedOn w:val="prastasis"/>
    <w:uiPriority w:val="99"/>
    <w:rsid w:val="00975269"/>
    <w:pPr>
      <w:numPr>
        <w:numId w:val="30"/>
      </w:numPr>
    </w:pPr>
  </w:style>
  <w:style w:type="paragraph" w:customStyle="1" w:styleId="Style5">
    <w:name w:val="Style5"/>
    <w:basedOn w:val="prastasis"/>
    <w:uiPriority w:val="99"/>
    <w:rsid w:val="00BC360C"/>
    <w:pPr>
      <w:widowControl w:val="0"/>
      <w:autoSpaceDE w:val="0"/>
      <w:autoSpaceDN w:val="0"/>
      <w:adjustRightInd w:val="0"/>
      <w:spacing w:after="0" w:line="240" w:lineRule="auto"/>
    </w:pPr>
    <w:rPr>
      <w:rFonts w:ascii="Times New Roman" w:eastAsia="SimSun" w:hAnsi="Times New Roman"/>
      <w:sz w:val="24"/>
      <w:szCs w:val="24"/>
      <w:lang w:val="es-ES" w:eastAsia="zh-CN"/>
    </w:rPr>
  </w:style>
  <w:style w:type="paragraph" w:customStyle="1" w:styleId="Style6">
    <w:name w:val="Style6"/>
    <w:basedOn w:val="prastasis"/>
    <w:uiPriority w:val="99"/>
    <w:rsid w:val="00BC360C"/>
    <w:pPr>
      <w:widowControl w:val="0"/>
      <w:autoSpaceDE w:val="0"/>
      <w:autoSpaceDN w:val="0"/>
      <w:adjustRightInd w:val="0"/>
      <w:spacing w:after="0" w:line="257" w:lineRule="exact"/>
    </w:pPr>
    <w:rPr>
      <w:rFonts w:ascii="Times New Roman" w:eastAsia="SimSun" w:hAnsi="Times New Roman"/>
      <w:sz w:val="24"/>
      <w:szCs w:val="24"/>
      <w:lang w:val="es-ES" w:eastAsia="zh-CN"/>
    </w:rPr>
  </w:style>
  <w:style w:type="character" w:customStyle="1" w:styleId="FontStyle33">
    <w:name w:val="Font Style33"/>
    <w:uiPriority w:val="99"/>
    <w:rsid w:val="00BC360C"/>
    <w:rPr>
      <w:rFonts w:ascii="Times New Roman" w:hAnsi="Times New Roman" w:cs="Times New Roman"/>
      <w:sz w:val="20"/>
      <w:szCs w:val="20"/>
    </w:rPr>
  </w:style>
  <w:style w:type="paragraph" w:customStyle="1" w:styleId="Style7">
    <w:name w:val="Style7"/>
    <w:basedOn w:val="prastasis"/>
    <w:uiPriority w:val="99"/>
    <w:rsid w:val="00C84FBF"/>
    <w:pPr>
      <w:widowControl w:val="0"/>
      <w:autoSpaceDE w:val="0"/>
      <w:autoSpaceDN w:val="0"/>
      <w:adjustRightInd w:val="0"/>
      <w:spacing w:after="0" w:line="254" w:lineRule="exact"/>
      <w:jc w:val="both"/>
    </w:pPr>
    <w:rPr>
      <w:rFonts w:ascii="Times New Roman" w:eastAsia="SimSun" w:hAnsi="Times New Roman"/>
      <w:sz w:val="24"/>
      <w:szCs w:val="24"/>
      <w:lang w:val="es-ES" w:eastAsia="zh-CN"/>
    </w:rPr>
  </w:style>
  <w:style w:type="paragraph" w:styleId="Porat">
    <w:name w:val="footer"/>
    <w:basedOn w:val="prastasis"/>
    <w:link w:val="PoratDiagrama"/>
    <w:uiPriority w:val="99"/>
    <w:rsid w:val="00C84FBF"/>
    <w:pPr>
      <w:tabs>
        <w:tab w:val="center" w:pos="4819"/>
        <w:tab w:val="right" w:pos="9638"/>
      </w:tabs>
      <w:spacing w:after="0" w:line="240" w:lineRule="auto"/>
    </w:pPr>
  </w:style>
  <w:style w:type="character" w:customStyle="1" w:styleId="PoratDiagrama">
    <w:name w:val="Poraštė Diagrama"/>
    <w:link w:val="Porat"/>
    <w:uiPriority w:val="99"/>
    <w:locked/>
    <w:rsid w:val="00C84FBF"/>
    <w:rPr>
      <w:rFonts w:cs="Times New Roman"/>
    </w:rPr>
  </w:style>
  <w:style w:type="paragraph" w:styleId="Sraopastraipa">
    <w:name w:val="List Paragraph"/>
    <w:basedOn w:val="prastasis"/>
    <w:uiPriority w:val="99"/>
    <w:qFormat/>
    <w:rsid w:val="00F264CF"/>
    <w:pPr>
      <w:ind w:left="720"/>
      <w:contextualSpacing/>
    </w:pPr>
  </w:style>
  <w:style w:type="character" w:styleId="Hipersaitas">
    <w:name w:val="Hyperlink"/>
    <w:uiPriority w:val="99"/>
    <w:rsid w:val="00404612"/>
    <w:rPr>
      <w:rFonts w:cs="Times New Roman"/>
      <w:color w:val="0000FF"/>
      <w:u w:val="single"/>
    </w:rPr>
  </w:style>
  <w:style w:type="table" w:styleId="Lentelstinklelis">
    <w:name w:val="Table Grid"/>
    <w:basedOn w:val="prastojilentel"/>
    <w:uiPriority w:val="99"/>
    <w:rsid w:val="00404612"/>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81AA1"/>
    <w:rPr>
      <w:rFonts w:cs="Times New Roman"/>
      <w:sz w:val="16"/>
      <w:szCs w:val="16"/>
    </w:rPr>
  </w:style>
  <w:style w:type="paragraph" w:styleId="Komentarotekstas">
    <w:name w:val="annotation text"/>
    <w:basedOn w:val="prastasis"/>
    <w:link w:val="KomentarotekstasDiagrama"/>
    <w:uiPriority w:val="99"/>
    <w:semiHidden/>
    <w:rsid w:val="00881AA1"/>
    <w:pPr>
      <w:spacing w:line="240" w:lineRule="auto"/>
    </w:pPr>
    <w:rPr>
      <w:sz w:val="20"/>
      <w:szCs w:val="20"/>
    </w:rPr>
  </w:style>
  <w:style w:type="character" w:customStyle="1" w:styleId="KomentarotekstasDiagrama">
    <w:name w:val="Komentaro tekstas Diagrama"/>
    <w:link w:val="Komentarotekstas"/>
    <w:uiPriority w:val="99"/>
    <w:semiHidden/>
    <w:locked/>
    <w:rsid w:val="00881AA1"/>
    <w:rPr>
      <w:rFonts w:cs="Times New Roman"/>
      <w:sz w:val="20"/>
      <w:szCs w:val="20"/>
    </w:rPr>
  </w:style>
  <w:style w:type="paragraph" w:styleId="Komentarotema">
    <w:name w:val="annotation subject"/>
    <w:basedOn w:val="Komentarotekstas"/>
    <w:next w:val="Komentarotekstas"/>
    <w:link w:val="KomentarotemaDiagrama"/>
    <w:uiPriority w:val="99"/>
    <w:semiHidden/>
    <w:rsid w:val="00881AA1"/>
    <w:rPr>
      <w:b/>
      <w:bCs/>
    </w:rPr>
  </w:style>
  <w:style w:type="character" w:customStyle="1" w:styleId="KomentarotemaDiagrama">
    <w:name w:val="Komentaro tema Diagrama"/>
    <w:link w:val="Komentarotema"/>
    <w:uiPriority w:val="99"/>
    <w:semiHidden/>
    <w:locked/>
    <w:rsid w:val="00881AA1"/>
    <w:rPr>
      <w:rFonts w:cs="Times New Roman"/>
      <w:b/>
      <w:bCs/>
      <w:sz w:val="20"/>
      <w:szCs w:val="20"/>
    </w:rPr>
  </w:style>
  <w:style w:type="paragraph" w:styleId="Paprastasistekstas">
    <w:name w:val="Plain Text"/>
    <w:basedOn w:val="prastasis"/>
    <w:link w:val="PaprastasistekstasDiagrama"/>
    <w:uiPriority w:val="99"/>
    <w:rsid w:val="00673C4F"/>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locked/>
    <w:rsid w:val="00673C4F"/>
    <w:rPr>
      <w:rFonts w:ascii="Courier New" w:eastAsia="SimSun" w:hAnsi="Courier New" w:cs="Times New Roman"/>
      <w:sz w:val="20"/>
      <w:szCs w:val="20"/>
      <w:lang w:val="en-US"/>
    </w:rPr>
  </w:style>
  <w:style w:type="paragraph" w:styleId="Pataisymai">
    <w:name w:val="Revision"/>
    <w:hidden/>
    <w:uiPriority w:val="99"/>
    <w:semiHidden/>
    <w:rsid w:val="002B408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31905">
      <w:bodyDiv w:val="1"/>
      <w:marLeft w:val="0"/>
      <w:marRight w:val="0"/>
      <w:marTop w:val="0"/>
      <w:marBottom w:val="0"/>
      <w:divBdr>
        <w:top w:val="none" w:sz="0" w:space="0" w:color="auto"/>
        <w:left w:val="none" w:sz="0" w:space="0" w:color="auto"/>
        <w:bottom w:val="none" w:sz="0" w:space="0" w:color="auto"/>
        <w:right w:val="none" w:sz="0" w:space="0" w:color="auto"/>
      </w:divBdr>
    </w:div>
    <w:div w:id="1298072861">
      <w:bodyDiv w:val="1"/>
      <w:marLeft w:val="0"/>
      <w:marRight w:val="0"/>
      <w:marTop w:val="0"/>
      <w:marBottom w:val="0"/>
      <w:divBdr>
        <w:top w:val="none" w:sz="0" w:space="0" w:color="auto"/>
        <w:left w:val="none" w:sz="0" w:space="0" w:color="auto"/>
        <w:bottom w:val="none" w:sz="0" w:space="0" w:color="auto"/>
        <w:right w:val="none" w:sz="0" w:space="0" w:color="auto"/>
      </w:divBdr>
    </w:div>
    <w:div w:id="1512796848">
      <w:bodyDiv w:val="1"/>
      <w:marLeft w:val="0"/>
      <w:marRight w:val="0"/>
      <w:marTop w:val="0"/>
      <w:marBottom w:val="0"/>
      <w:divBdr>
        <w:top w:val="none" w:sz="0" w:space="0" w:color="auto"/>
        <w:left w:val="none" w:sz="0" w:space="0" w:color="auto"/>
        <w:bottom w:val="none" w:sz="0" w:space="0" w:color="auto"/>
        <w:right w:val="none" w:sz="0" w:space="0" w:color="auto"/>
      </w:divBdr>
    </w:div>
    <w:div w:id="1708683030">
      <w:marLeft w:val="0"/>
      <w:marRight w:val="0"/>
      <w:marTop w:val="0"/>
      <w:marBottom w:val="0"/>
      <w:divBdr>
        <w:top w:val="none" w:sz="0" w:space="0" w:color="auto"/>
        <w:left w:val="none" w:sz="0" w:space="0" w:color="auto"/>
        <w:bottom w:val="none" w:sz="0" w:space="0" w:color="auto"/>
        <w:right w:val="none" w:sz="0" w:space="0" w:color="auto"/>
      </w:divBdr>
    </w:div>
    <w:div w:id="1708683031">
      <w:marLeft w:val="0"/>
      <w:marRight w:val="0"/>
      <w:marTop w:val="0"/>
      <w:marBottom w:val="0"/>
      <w:divBdr>
        <w:top w:val="none" w:sz="0" w:space="0" w:color="auto"/>
        <w:left w:val="none" w:sz="0" w:space="0" w:color="auto"/>
        <w:bottom w:val="none" w:sz="0" w:space="0" w:color="auto"/>
        <w:right w:val="none" w:sz="0" w:space="0" w:color="auto"/>
      </w:divBdr>
    </w:div>
    <w:div w:id="1708683032">
      <w:marLeft w:val="0"/>
      <w:marRight w:val="0"/>
      <w:marTop w:val="0"/>
      <w:marBottom w:val="0"/>
      <w:divBdr>
        <w:top w:val="none" w:sz="0" w:space="0" w:color="auto"/>
        <w:left w:val="none" w:sz="0" w:space="0" w:color="auto"/>
        <w:bottom w:val="none" w:sz="0" w:space="0" w:color="auto"/>
        <w:right w:val="none" w:sz="0" w:space="0" w:color="auto"/>
      </w:divBdr>
    </w:div>
    <w:div w:id="1708683033">
      <w:marLeft w:val="0"/>
      <w:marRight w:val="0"/>
      <w:marTop w:val="0"/>
      <w:marBottom w:val="0"/>
      <w:divBdr>
        <w:top w:val="none" w:sz="0" w:space="0" w:color="auto"/>
        <w:left w:val="none" w:sz="0" w:space="0" w:color="auto"/>
        <w:bottom w:val="none" w:sz="0" w:space="0" w:color="auto"/>
        <w:right w:val="none" w:sz="0" w:space="0" w:color="auto"/>
      </w:divBdr>
    </w:div>
    <w:div w:id="1708683034">
      <w:marLeft w:val="0"/>
      <w:marRight w:val="0"/>
      <w:marTop w:val="0"/>
      <w:marBottom w:val="0"/>
      <w:divBdr>
        <w:top w:val="none" w:sz="0" w:space="0" w:color="auto"/>
        <w:left w:val="none" w:sz="0" w:space="0" w:color="auto"/>
        <w:bottom w:val="none" w:sz="0" w:space="0" w:color="auto"/>
        <w:right w:val="none" w:sz="0" w:space="0" w:color="auto"/>
      </w:divBdr>
    </w:div>
    <w:div w:id="1708683035">
      <w:marLeft w:val="0"/>
      <w:marRight w:val="0"/>
      <w:marTop w:val="0"/>
      <w:marBottom w:val="0"/>
      <w:divBdr>
        <w:top w:val="none" w:sz="0" w:space="0" w:color="auto"/>
        <w:left w:val="none" w:sz="0" w:space="0" w:color="auto"/>
        <w:bottom w:val="none" w:sz="0" w:space="0" w:color="auto"/>
        <w:right w:val="none" w:sz="0" w:space="0" w:color="auto"/>
      </w:divBdr>
    </w:div>
    <w:div w:id="1708683036">
      <w:marLeft w:val="0"/>
      <w:marRight w:val="0"/>
      <w:marTop w:val="0"/>
      <w:marBottom w:val="0"/>
      <w:divBdr>
        <w:top w:val="none" w:sz="0" w:space="0" w:color="auto"/>
        <w:left w:val="none" w:sz="0" w:space="0" w:color="auto"/>
        <w:bottom w:val="none" w:sz="0" w:space="0" w:color="auto"/>
        <w:right w:val="none" w:sz="0" w:space="0" w:color="auto"/>
      </w:divBdr>
    </w:div>
    <w:div w:id="1708683037">
      <w:marLeft w:val="0"/>
      <w:marRight w:val="0"/>
      <w:marTop w:val="0"/>
      <w:marBottom w:val="0"/>
      <w:divBdr>
        <w:top w:val="none" w:sz="0" w:space="0" w:color="auto"/>
        <w:left w:val="none" w:sz="0" w:space="0" w:color="auto"/>
        <w:bottom w:val="none" w:sz="0" w:space="0" w:color="auto"/>
        <w:right w:val="none" w:sz="0" w:space="0" w:color="auto"/>
      </w:divBdr>
    </w:div>
    <w:div w:id="1708683038">
      <w:marLeft w:val="0"/>
      <w:marRight w:val="0"/>
      <w:marTop w:val="0"/>
      <w:marBottom w:val="0"/>
      <w:divBdr>
        <w:top w:val="none" w:sz="0" w:space="0" w:color="auto"/>
        <w:left w:val="none" w:sz="0" w:space="0" w:color="auto"/>
        <w:bottom w:val="none" w:sz="0" w:space="0" w:color="auto"/>
        <w:right w:val="none" w:sz="0" w:space="0" w:color="auto"/>
      </w:divBdr>
    </w:div>
    <w:div w:id="1708683039">
      <w:marLeft w:val="0"/>
      <w:marRight w:val="0"/>
      <w:marTop w:val="0"/>
      <w:marBottom w:val="0"/>
      <w:divBdr>
        <w:top w:val="none" w:sz="0" w:space="0" w:color="auto"/>
        <w:left w:val="none" w:sz="0" w:space="0" w:color="auto"/>
        <w:bottom w:val="none" w:sz="0" w:space="0" w:color="auto"/>
        <w:right w:val="none" w:sz="0" w:space="0" w:color="auto"/>
      </w:divBdr>
    </w:div>
    <w:div w:id="1708683040">
      <w:marLeft w:val="0"/>
      <w:marRight w:val="0"/>
      <w:marTop w:val="0"/>
      <w:marBottom w:val="0"/>
      <w:divBdr>
        <w:top w:val="none" w:sz="0" w:space="0" w:color="auto"/>
        <w:left w:val="none" w:sz="0" w:space="0" w:color="auto"/>
        <w:bottom w:val="none" w:sz="0" w:space="0" w:color="auto"/>
        <w:right w:val="none" w:sz="0" w:space="0" w:color="auto"/>
      </w:divBdr>
    </w:div>
    <w:div w:id="1708683041">
      <w:marLeft w:val="0"/>
      <w:marRight w:val="0"/>
      <w:marTop w:val="0"/>
      <w:marBottom w:val="0"/>
      <w:divBdr>
        <w:top w:val="none" w:sz="0" w:space="0" w:color="auto"/>
        <w:left w:val="none" w:sz="0" w:space="0" w:color="auto"/>
        <w:bottom w:val="none" w:sz="0" w:space="0" w:color="auto"/>
        <w:right w:val="none" w:sz="0" w:space="0" w:color="auto"/>
      </w:divBdr>
    </w:div>
    <w:div w:id="1708683042">
      <w:marLeft w:val="0"/>
      <w:marRight w:val="0"/>
      <w:marTop w:val="0"/>
      <w:marBottom w:val="0"/>
      <w:divBdr>
        <w:top w:val="none" w:sz="0" w:space="0" w:color="auto"/>
        <w:left w:val="none" w:sz="0" w:space="0" w:color="auto"/>
        <w:bottom w:val="none" w:sz="0" w:space="0" w:color="auto"/>
        <w:right w:val="none" w:sz="0" w:space="0" w:color="auto"/>
      </w:divBdr>
    </w:div>
    <w:div w:id="1708683043">
      <w:marLeft w:val="0"/>
      <w:marRight w:val="0"/>
      <w:marTop w:val="0"/>
      <w:marBottom w:val="0"/>
      <w:divBdr>
        <w:top w:val="none" w:sz="0" w:space="0" w:color="auto"/>
        <w:left w:val="none" w:sz="0" w:space="0" w:color="auto"/>
        <w:bottom w:val="none" w:sz="0" w:space="0" w:color="auto"/>
        <w:right w:val="none" w:sz="0" w:space="0" w:color="auto"/>
      </w:divBdr>
    </w:div>
    <w:div w:id="1708683044">
      <w:marLeft w:val="0"/>
      <w:marRight w:val="0"/>
      <w:marTop w:val="0"/>
      <w:marBottom w:val="0"/>
      <w:divBdr>
        <w:top w:val="none" w:sz="0" w:space="0" w:color="auto"/>
        <w:left w:val="none" w:sz="0" w:space="0" w:color="auto"/>
        <w:bottom w:val="none" w:sz="0" w:space="0" w:color="auto"/>
        <w:right w:val="none" w:sz="0" w:space="0" w:color="auto"/>
      </w:divBdr>
    </w:div>
    <w:div w:id="1708683045">
      <w:marLeft w:val="0"/>
      <w:marRight w:val="0"/>
      <w:marTop w:val="0"/>
      <w:marBottom w:val="0"/>
      <w:divBdr>
        <w:top w:val="none" w:sz="0" w:space="0" w:color="auto"/>
        <w:left w:val="none" w:sz="0" w:space="0" w:color="auto"/>
        <w:bottom w:val="none" w:sz="0" w:space="0" w:color="auto"/>
        <w:right w:val="none" w:sz="0" w:space="0" w:color="auto"/>
      </w:divBdr>
    </w:div>
    <w:div w:id="1708683046">
      <w:marLeft w:val="0"/>
      <w:marRight w:val="0"/>
      <w:marTop w:val="0"/>
      <w:marBottom w:val="0"/>
      <w:divBdr>
        <w:top w:val="none" w:sz="0" w:space="0" w:color="auto"/>
        <w:left w:val="none" w:sz="0" w:space="0" w:color="auto"/>
        <w:bottom w:val="none" w:sz="0" w:space="0" w:color="auto"/>
        <w:right w:val="none" w:sz="0" w:space="0" w:color="auto"/>
      </w:divBdr>
    </w:div>
    <w:div w:id="1708683047">
      <w:marLeft w:val="0"/>
      <w:marRight w:val="0"/>
      <w:marTop w:val="0"/>
      <w:marBottom w:val="0"/>
      <w:divBdr>
        <w:top w:val="none" w:sz="0" w:space="0" w:color="auto"/>
        <w:left w:val="none" w:sz="0" w:space="0" w:color="auto"/>
        <w:bottom w:val="none" w:sz="0" w:space="0" w:color="auto"/>
        <w:right w:val="none" w:sz="0" w:space="0" w:color="auto"/>
      </w:divBdr>
    </w:div>
    <w:div w:id="1708683048">
      <w:marLeft w:val="0"/>
      <w:marRight w:val="0"/>
      <w:marTop w:val="0"/>
      <w:marBottom w:val="0"/>
      <w:divBdr>
        <w:top w:val="none" w:sz="0" w:space="0" w:color="auto"/>
        <w:left w:val="none" w:sz="0" w:space="0" w:color="auto"/>
        <w:bottom w:val="none" w:sz="0" w:space="0" w:color="auto"/>
        <w:right w:val="none" w:sz="0" w:space="0" w:color="auto"/>
      </w:divBdr>
    </w:div>
    <w:div w:id="1708683049">
      <w:marLeft w:val="0"/>
      <w:marRight w:val="0"/>
      <w:marTop w:val="0"/>
      <w:marBottom w:val="0"/>
      <w:divBdr>
        <w:top w:val="none" w:sz="0" w:space="0" w:color="auto"/>
        <w:left w:val="none" w:sz="0" w:space="0" w:color="auto"/>
        <w:bottom w:val="none" w:sz="0" w:space="0" w:color="auto"/>
        <w:right w:val="none" w:sz="0" w:space="0" w:color="auto"/>
      </w:divBdr>
    </w:div>
    <w:div w:id="1708683050">
      <w:marLeft w:val="0"/>
      <w:marRight w:val="0"/>
      <w:marTop w:val="0"/>
      <w:marBottom w:val="0"/>
      <w:divBdr>
        <w:top w:val="none" w:sz="0" w:space="0" w:color="auto"/>
        <w:left w:val="none" w:sz="0" w:space="0" w:color="auto"/>
        <w:bottom w:val="none" w:sz="0" w:space="0" w:color="auto"/>
        <w:right w:val="none" w:sz="0" w:space="0" w:color="auto"/>
      </w:divBdr>
    </w:div>
    <w:div w:id="1708683051">
      <w:marLeft w:val="0"/>
      <w:marRight w:val="0"/>
      <w:marTop w:val="0"/>
      <w:marBottom w:val="0"/>
      <w:divBdr>
        <w:top w:val="none" w:sz="0" w:space="0" w:color="auto"/>
        <w:left w:val="none" w:sz="0" w:space="0" w:color="auto"/>
        <w:bottom w:val="none" w:sz="0" w:space="0" w:color="auto"/>
        <w:right w:val="none" w:sz="0" w:space="0" w:color="auto"/>
      </w:divBdr>
    </w:div>
    <w:div w:id="1708683052">
      <w:marLeft w:val="0"/>
      <w:marRight w:val="0"/>
      <w:marTop w:val="0"/>
      <w:marBottom w:val="0"/>
      <w:divBdr>
        <w:top w:val="none" w:sz="0" w:space="0" w:color="auto"/>
        <w:left w:val="none" w:sz="0" w:space="0" w:color="auto"/>
        <w:bottom w:val="none" w:sz="0" w:space="0" w:color="auto"/>
        <w:right w:val="none" w:sz="0" w:space="0" w:color="auto"/>
      </w:divBdr>
    </w:div>
    <w:div w:id="1708683053">
      <w:marLeft w:val="0"/>
      <w:marRight w:val="0"/>
      <w:marTop w:val="0"/>
      <w:marBottom w:val="0"/>
      <w:divBdr>
        <w:top w:val="none" w:sz="0" w:space="0" w:color="auto"/>
        <w:left w:val="none" w:sz="0" w:space="0" w:color="auto"/>
        <w:bottom w:val="none" w:sz="0" w:space="0" w:color="auto"/>
        <w:right w:val="none" w:sz="0" w:space="0" w:color="auto"/>
      </w:divBdr>
    </w:div>
    <w:div w:id="1708683054">
      <w:marLeft w:val="0"/>
      <w:marRight w:val="0"/>
      <w:marTop w:val="0"/>
      <w:marBottom w:val="0"/>
      <w:divBdr>
        <w:top w:val="none" w:sz="0" w:space="0" w:color="auto"/>
        <w:left w:val="none" w:sz="0" w:space="0" w:color="auto"/>
        <w:bottom w:val="none" w:sz="0" w:space="0" w:color="auto"/>
        <w:right w:val="none" w:sz="0" w:space="0" w:color="auto"/>
      </w:divBdr>
    </w:div>
    <w:div w:id="1708683055">
      <w:marLeft w:val="0"/>
      <w:marRight w:val="0"/>
      <w:marTop w:val="0"/>
      <w:marBottom w:val="0"/>
      <w:divBdr>
        <w:top w:val="none" w:sz="0" w:space="0" w:color="auto"/>
        <w:left w:val="none" w:sz="0" w:space="0" w:color="auto"/>
        <w:bottom w:val="none" w:sz="0" w:space="0" w:color="auto"/>
        <w:right w:val="none" w:sz="0" w:space="0" w:color="auto"/>
      </w:divBdr>
    </w:div>
    <w:div w:id="1708683056">
      <w:marLeft w:val="0"/>
      <w:marRight w:val="0"/>
      <w:marTop w:val="0"/>
      <w:marBottom w:val="0"/>
      <w:divBdr>
        <w:top w:val="none" w:sz="0" w:space="0" w:color="auto"/>
        <w:left w:val="none" w:sz="0" w:space="0" w:color="auto"/>
        <w:bottom w:val="none" w:sz="0" w:space="0" w:color="auto"/>
        <w:right w:val="none" w:sz="0" w:space="0" w:color="auto"/>
      </w:divBdr>
    </w:div>
    <w:div w:id="1708683057">
      <w:marLeft w:val="0"/>
      <w:marRight w:val="0"/>
      <w:marTop w:val="0"/>
      <w:marBottom w:val="0"/>
      <w:divBdr>
        <w:top w:val="none" w:sz="0" w:space="0" w:color="auto"/>
        <w:left w:val="none" w:sz="0" w:space="0" w:color="auto"/>
        <w:bottom w:val="none" w:sz="0" w:space="0" w:color="auto"/>
        <w:right w:val="none" w:sz="0" w:space="0" w:color="auto"/>
      </w:divBdr>
    </w:div>
    <w:div w:id="1708683058">
      <w:marLeft w:val="0"/>
      <w:marRight w:val="0"/>
      <w:marTop w:val="0"/>
      <w:marBottom w:val="0"/>
      <w:divBdr>
        <w:top w:val="none" w:sz="0" w:space="0" w:color="auto"/>
        <w:left w:val="none" w:sz="0" w:space="0" w:color="auto"/>
        <w:bottom w:val="none" w:sz="0" w:space="0" w:color="auto"/>
        <w:right w:val="none" w:sz="0" w:space="0" w:color="auto"/>
      </w:divBdr>
    </w:div>
    <w:div w:id="1708683059">
      <w:marLeft w:val="0"/>
      <w:marRight w:val="0"/>
      <w:marTop w:val="0"/>
      <w:marBottom w:val="0"/>
      <w:divBdr>
        <w:top w:val="none" w:sz="0" w:space="0" w:color="auto"/>
        <w:left w:val="none" w:sz="0" w:space="0" w:color="auto"/>
        <w:bottom w:val="none" w:sz="0" w:space="0" w:color="auto"/>
        <w:right w:val="none" w:sz="0" w:space="0" w:color="auto"/>
      </w:divBdr>
    </w:div>
    <w:div w:id="1708683060">
      <w:marLeft w:val="0"/>
      <w:marRight w:val="0"/>
      <w:marTop w:val="0"/>
      <w:marBottom w:val="0"/>
      <w:divBdr>
        <w:top w:val="none" w:sz="0" w:space="0" w:color="auto"/>
        <w:left w:val="none" w:sz="0" w:space="0" w:color="auto"/>
        <w:bottom w:val="none" w:sz="0" w:space="0" w:color="auto"/>
        <w:right w:val="none" w:sz="0" w:space="0" w:color="auto"/>
      </w:divBdr>
    </w:div>
    <w:div w:id="1708683061">
      <w:marLeft w:val="0"/>
      <w:marRight w:val="0"/>
      <w:marTop w:val="0"/>
      <w:marBottom w:val="0"/>
      <w:divBdr>
        <w:top w:val="none" w:sz="0" w:space="0" w:color="auto"/>
        <w:left w:val="none" w:sz="0" w:space="0" w:color="auto"/>
        <w:bottom w:val="none" w:sz="0" w:space="0" w:color="auto"/>
        <w:right w:val="none" w:sz="0" w:space="0" w:color="auto"/>
      </w:divBdr>
    </w:div>
    <w:div w:id="1708683062">
      <w:marLeft w:val="0"/>
      <w:marRight w:val="0"/>
      <w:marTop w:val="0"/>
      <w:marBottom w:val="0"/>
      <w:divBdr>
        <w:top w:val="none" w:sz="0" w:space="0" w:color="auto"/>
        <w:left w:val="none" w:sz="0" w:space="0" w:color="auto"/>
        <w:bottom w:val="none" w:sz="0" w:space="0" w:color="auto"/>
        <w:right w:val="none" w:sz="0" w:space="0" w:color="auto"/>
      </w:divBdr>
    </w:div>
    <w:div w:id="1708683063">
      <w:marLeft w:val="0"/>
      <w:marRight w:val="0"/>
      <w:marTop w:val="0"/>
      <w:marBottom w:val="0"/>
      <w:divBdr>
        <w:top w:val="none" w:sz="0" w:space="0" w:color="auto"/>
        <w:left w:val="none" w:sz="0" w:space="0" w:color="auto"/>
        <w:bottom w:val="none" w:sz="0" w:space="0" w:color="auto"/>
        <w:right w:val="none" w:sz="0" w:space="0" w:color="auto"/>
      </w:divBdr>
    </w:div>
    <w:div w:id="1708683064">
      <w:marLeft w:val="0"/>
      <w:marRight w:val="0"/>
      <w:marTop w:val="0"/>
      <w:marBottom w:val="0"/>
      <w:divBdr>
        <w:top w:val="none" w:sz="0" w:space="0" w:color="auto"/>
        <w:left w:val="none" w:sz="0" w:space="0" w:color="auto"/>
        <w:bottom w:val="none" w:sz="0" w:space="0" w:color="auto"/>
        <w:right w:val="none" w:sz="0" w:space="0" w:color="auto"/>
      </w:divBdr>
    </w:div>
    <w:div w:id="1708683065">
      <w:marLeft w:val="0"/>
      <w:marRight w:val="0"/>
      <w:marTop w:val="0"/>
      <w:marBottom w:val="0"/>
      <w:divBdr>
        <w:top w:val="none" w:sz="0" w:space="0" w:color="auto"/>
        <w:left w:val="none" w:sz="0" w:space="0" w:color="auto"/>
        <w:bottom w:val="none" w:sz="0" w:space="0" w:color="auto"/>
        <w:right w:val="none" w:sz="0" w:space="0" w:color="auto"/>
      </w:divBdr>
    </w:div>
    <w:div w:id="1708683066">
      <w:marLeft w:val="0"/>
      <w:marRight w:val="0"/>
      <w:marTop w:val="0"/>
      <w:marBottom w:val="0"/>
      <w:divBdr>
        <w:top w:val="none" w:sz="0" w:space="0" w:color="auto"/>
        <w:left w:val="none" w:sz="0" w:space="0" w:color="auto"/>
        <w:bottom w:val="none" w:sz="0" w:space="0" w:color="auto"/>
        <w:right w:val="none" w:sz="0" w:space="0" w:color="auto"/>
      </w:divBdr>
    </w:div>
    <w:div w:id="1708683067">
      <w:marLeft w:val="0"/>
      <w:marRight w:val="0"/>
      <w:marTop w:val="0"/>
      <w:marBottom w:val="0"/>
      <w:divBdr>
        <w:top w:val="none" w:sz="0" w:space="0" w:color="auto"/>
        <w:left w:val="none" w:sz="0" w:space="0" w:color="auto"/>
        <w:bottom w:val="none" w:sz="0" w:space="0" w:color="auto"/>
        <w:right w:val="none" w:sz="0" w:space="0" w:color="auto"/>
      </w:divBdr>
    </w:div>
    <w:div w:id="1708683068">
      <w:marLeft w:val="0"/>
      <w:marRight w:val="0"/>
      <w:marTop w:val="0"/>
      <w:marBottom w:val="0"/>
      <w:divBdr>
        <w:top w:val="none" w:sz="0" w:space="0" w:color="auto"/>
        <w:left w:val="none" w:sz="0" w:space="0" w:color="auto"/>
        <w:bottom w:val="none" w:sz="0" w:space="0" w:color="auto"/>
        <w:right w:val="none" w:sz="0" w:space="0" w:color="auto"/>
      </w:divBdr>
    </w:div>
    <w:div w:id="1739133720">
      <w:bodyDiv w:val="1"/>
      <w:marLeft w:val="0"/>
      <w:marRight w:val="0"/>
      <w:marTop w:val="0"/>
      <w:marBottom w:val="0"/>
      <w:divBdr>
        <w:top w:val="none" w:sz="0" w:space="0" w:color="auto"/>
        <w:left w:val="none" w:sz="0" w:space="0" w:color="auto"/>
        <w:bottom w:val="none" w:sz="0" w:space="0" w:color="auto"/>
        <w:right w:val="none" w:sz="0" w:space="0" w:color="auto"/>
      </w:divBdr>
    </w:div>
    <w:div w:id="1915779657">
      <w:bodyDiv w:val="1"/>
      <w:marLeft w:val="0"/>
      <w:marRight w:val="0"/>
      <w:marTop w:val="0"/>
      <w:marBottom w:val="0"/>
      <w:divBdr>
        <w:top w:val="none" w:sz="0" w:space="0" w:color="auto"/>
        <w:left w:val="none" w:sz="0" w:space="0" w:color="auto"/>
        <w:bottom w:val="none" w:sz="0" w:space="0" w:color="auto"/>
        <w:right w:val="none" w:sz="0" w:space="0" w:color="auto"/>
      </w:divBdr>
    </w:div>
    <w:div w:id="21153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E29F-44C6-43E0-B049-1444D2E1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7386</Words>
  <Characters>50127</Characters>
  <Application>Microsoft Office Word</Application>
  <DocSecurity>0</DocSecurity>
  <Lines>417</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57399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3</cp:revision>
  <dcterms:created xsi:type="dcterms:W3CDTF">2025-03-05T09:47:00Z</dcterms:created>
  <dcterms:modified xsi:type="dcterms:W3CDTF">2025-03-05T09:47:00Z</dcterms:modified>
</cp:coreProperties>
</file>