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4" w:rsidRDefault="00F33D14" w:rsidP="00F33D14">
      <w:pPr>
        <w:widowControl w:val="0"/>
        <w:tabs>
          <w:tab w:val="left" w:pos="567"/>
        </w:tabs>
        <w:jc w:val="center"/>
        <w:outlineLvl w:val="0"/>
        <w:rPr>
          <w:b/>
          <w:sz w:val="22"/>
          <w:szCs w:val="22"/>
          <w:lang w:val="lt-LT" w:eastAsia="en-US"/>
        </w:rPr>
      </w:pPr>
      <w:r>
        <w:rPr>
          <w:b/>
          <w:sz w:val="22"/>
          <w:szCs w:val="22"/>
          <w:lang w:val="lt-LT" w:eastAsia="en-US"/>
        </w:rPr>
        <w:t>Pakuotės lapelis: informacija vartotojui</w:t>
      </w:r>
    </w:p>
    <w:p w:rsidR="00F33D14" w:rsidRDefault="00F33D14" w:rsidP="00F33D14">
      <w:pPr>
        <w:widowControl w:val="0"/>
        <w:jc w:val="center"/>
        <w:rPr>
          <w:b/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jc w:val="center"/>
        <w:rPr>
          <w:b/>
          <w:sz w:val="22"/>
          <w:szCs w:val="22"/>
          <w:lang w:val="lt-LT" w:eastAsia="en-US"/>
        </w:rPr>
      </w:pPr>
      <w:proofErr w:type="spellStart"/>
      <w:r>
        <w:rPr>
          <w:b/>
          <w:sz w:val="22"/>
          <w:szCs w:val="22"/>
          <w:lang w:val="lt-LT" w:eastAsia="en-US"/>
        </w:rPr>
        <w:t>Bilobil</w:t>
      </w:r>
      <w:proofErr w:type="spellEnd"/>
      <w:r>
        <w:rPr>
          <w:b/>
          <w:sz w:val="22"/>
          <w:szCs w:val="22"/>
          <w:lang w:val="lt-LT" w:eastAsia="en-US"/>
        </w:rPr>
        <w:t xml:space="preserve"> 120</w:t>
      </w:r>
      <w:r>
        <w:rPr>
          <w:sz w:val="22"/>
          <w:szCs w:val="22"/>
          <w:lang w:val="lt-LT"/>
        </w:rPr>
        <w:t xml:space="preserve"> </w:t>
      </w:r>
      <w:r>
        <w:rPr>
          <w:b/>
          <w:sz w:val="22"/>
          <w:szCs w:val="22"/>
          <w:lang w:val="lt-LT" w:eastAsia="en-US"/>
        </w:rPr>
        <w:t>mg kietosios kapsulės</w:t>
      </w:r>
    </w:p>
    <w:p w:rsidR="00F33D14" w:rsidRDefault="00F33D14" w:rsidP="00F33D14">
      <w:pPr>
        <w:widowControl w:val="0"/>
        <w:jc w:val="center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Rafinuotas ir kiekybiškai įvertintas </w:t>
      </w:r>
      <w:proofErr w:type="spellStart"/>
      <w:r>
        <w:rPr>
          <w:sz w:val="22"/>
          <w:szCs w:val="22"/>
          <w:lang w:val="lt-LT" w:eastAsia="en-US"/>
        </w:rPr>
        <w:t>ginkmedžių</w:t>
      </w:r>
      <w:proofErr w:type="spellEnd"/>
      <w:r>
        <w:rPr>
          <w:sz w:val="22"/>
          <w:szCs w:val="22"/>
          <w:lang w:val="lt-LT" w:eastAsia="en-US"/>
        </w:rPr>
        <w:t xml:space="preserve"> sausasis ekstraktas</w:t>
      </w:r>
    </w:p>
    <w:p w:rsidR="00F33D14" w:rsidRDefault="00F33D14" w:rsidP="00F33D14">
      <w:pPr>
        <w:widowControl w:val="0"/>
        <w:jc w:val="center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jc w:val="center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b/>
          <w:sz w:val="22"/>
          <w:szCs w:val="22"/>
          <w:lang w:val="lt-LT" w:eastAsia="en-US"/>
        </w:rPr>
      </w:pPr>
      <w:r>
        <w:rPr>
          <w:b/>
          <w:sz w:val="22"/>
          <w:szCs w:val="22"/>
          <w:lang w:val="lt-LT" w:eastAsia="en-US"/>
        </w:rPr>
        <w:t>Atidžiai perskaitykite visą šį lapelį, prieš pradėdami vartoti vaistą, nes jame pateikiama Jums svarbi informacija.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Visada vartokite šį vaistą tiksliai kaip aprašyta šiame lapelyje arba kaip nurodė gydytojas arba vaistininkas.</w:t>
      </w:r>
    </w:p>
    <w:p w:rsidR="00F33D14" w:rsidRDefault="00F33D14" w:rsidP="00F33D14">
      <w:pPr>
        <w:widowControl w:val="0"/>
        <w:numPr>
          <w:ilvl w:val="0"/>
          <w:numId w:val="1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Neišmeskite šio lapelio, nes vėl gali prireikti jį perskaityti.</w:t>
      </w:r>
    </w:p>
    <w:p w:rsidR="00F33D14" w:rsidRDefault="00F33D14" w:rsidP="00F33D14">
      <w:pPr>
        <w:widowControl w:val="0"/>
        <w:numPr>
          <w:ilvl w:val="0"/>
          <w:numId w:val="1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Jeigu norite sužinoti daugiau arba pasitarti, kreipkitės į vaistininką.</w:t>
      </w:r>
    </w:p>
    <w:p w:rsidR="00F33D14" w:rsidRDefault="00F33D14" w:rsidP="00F33D14">
      <w:pPr>
        <w:widowControl w:val="0"/>
        <w:numPr>
          <w:ilvl w:val="0"/>
          <w:numId w:val="1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Jeigu pasireiškė šalutinis poveikis (net jeigu jis šiame lapelyje nenurodytas), kreipkitės į gydytoją arba vaistininką.</w:t>
      </w:r>
    </w:p>
    <w:p w:rsidR="00F33D14" w:rsidRDefault="00F33D14" w:rsidP="00F33D14">
      <w:pPr>
        <w:widowControl w:val="0"/>
        <w:numPr>
          <w:ilvl w:val="0"/>
          <w:numId w:val="1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Jeigu per </w:t>
      </w:r>
      <w:r>
        <w:rPr>
          <w:sz w:val="22"/>
          <w:szCs w:val="22"/>
        </w:rPr>
        <w:t>12 savaičių</w:t>
      </w:r>
      <w:r>
        <w:rPr>
          <w:sz w:val="22"/>
          <w:szCs w:val="22"/>
          <w:lang w:val="lt-LT" w:eastAsia="en-US"/>
        </w:rPr>
        <w:t xml:space="preserve"> Jūsų savijauta nepagerėjo arba net pablogėjo, kreipkitės į gydytoją.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b/>
          <w:sz w:val="22"/>
          <w:szCs w:val="22"/>
          <w:lang w:val="lt-LT" w:eastAsia="en-US"/>
        </w:rPr>
      </w:pPr>
      <w:r>
        <w:rPr>
          <w:b/>
          <w:sz w:val="22"/>
          <w:szCs w:val="22"/>
          <w:lang w:val="lt-LT" w:eastAsia="en-US"/>
        </w:rPr>
        <w:t>Apie ką rašoma šiame lapelyje?</w:t>
      </w:r>
    </w:p>
    <w:p w:rsidR="00F33D14" w:rsidRDefault="00F33D14" w:rsidP="00F33D14">
      <w:pPr>
        <w:widowControl w:val="0"/>
        <w:rPr>
          <w:b/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1.</w:t>
      </w:r>
      <w:r>
        <w:rPr>
          <w:sz w:val="22"/>
          <w:szCs w:val="22"/>
          <w:lang w:val="lt-LT" w:eastAsia="en-US"/>
        </w:rPr>
        <w:tab/>
        <w:t xml:space="preserve">Kas yra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ir kam jis vartojamas</w:t>
      </w:r>
    </w:p>
    <w:p w:rsidR="00F33D14" w:rsidRDefault="00F33D14" w:rsidP="00F33D14">
      <w:pPr>
        <w:widowControl w:val="0"/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2.</w:t>
      </w:r>
      <w:r>
        <w:rPr>
          <w:sz w:val="22"/>
          <w:szCs w:val="22"/>
          <w:lang w:val="lt-LT" w:eastAsia="en-US"/>
        </w:rPr>
        <w:tab/>
        <w:t xml:space="preserve">Kas žinotina prieš vartojant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3.</w:t>
      </w:r>
      <w:r>
        <w:rPr>
          <w:sz w:val="22"/>
          <w:szCs w:val="22"/>
          <w:lang w:val="lt-LT" w:eastAsia="en-US"/>
        </w:rPr>
        <w:tab/>
        <w:t xml:space="preserve">Kaip vartoti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4.</w:t>
      </w:r>
      <w:r>
        <w:rPr>
          <w:sz w:val="22"/>
          <w:szCs w:val="22"/>
          <w:lang w:val="lt-LT" w:eastAsia="en-US"/>
        </w:rPr>
        <w:tab/>
        <w:t>Galimas šalutinis poveikis</w:t>
      </w:r>
    </w:p>
    <w:p w:rsidR="00F33D14" w:rsidRDefault="00F33D14" w:rsidP="00F33D14">
      <w:pPr>
        <w:widowControl w:val="0"/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5.</w:t>
      </w:r>
      <w:r>
        <w:rPr>
          <w:sz w:val="22"/>
          <w:szCs w:val="22"/>
          <w:lang w:val="lt-LT" w:eastAsia="en-US"/>
        </w:rPr>
        <w:tab/>
        <w:t xml:space="preserve">Kaip laikyti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6.</w:t>
      </w:r>
      <w:r>
        <w:rPr>
          <w:sz w:val="22"/>
          <w:szCs w:val="22"/>
          <w:lang w:val="lt-LT" w:eastAsia="en-US"/>
        </w:rPr>
        <w:tab/>
        <w:t>Pakuotės turinys ir kita informacija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tabs>
          <w:tab w:val="left" w:pos="567"/>
        </w:tabs>
        <w:outlineLvl w:val="1"/>
        <w:rPr>
          <w:b/>
          <w:sz w:val="22"/>
          <w:szCs w:val="22"/>
          <w:lang w:val="lt-LT" w:eastAsia="en-US"/>
        </w:rPr>
      </w:pPr>
      <w:bookmarkStart w:id="0" w:name="_Toc129243264"/>
      <w:bookmarkStart w:id="1" w:name="_Toc129243139"/>
      <w:r>
        <w:rPr>
          <w:b/>
          <w:sz w:val="22"/>
          <w:szCs w:val="22"/>
          <w:lang w:val="lt-LT" w:eastAsia="en-US"/>
        </w:rPr>
        <w:t>1.</w:t>
      </w:r>
      <w:r>
        <w:rPr>
          <w:b/>
          <w:sz w:val="22"/>
          <w:szCs w:val="22"/>
          <w:lang w:val="lt-LT" w:eastAsia="en-US"/>
        </w:rPr>
        <w:tab/>
        <w:t>K</w:t>
      </w:r>
      <w:bookmarkEnd w:id="0"/>
      <w:bookmarkEnd w:id="1"/>
      <w:r>
        <w:rPr>
          <w:b/>
          <w:sz w:val="22"/>
          <w:szCs w:val="22"/>
          <w:lang w:val="lt-LT" w:eastAsia="en-US"/>
        </w:rPr>
        <w:t xml:space="preserve">as yra </w:t>
      </w:r>
      <w:proofErr w:type="spellStart"/>
      <w:r>
        <w:rPr>
          <w:b/>
          <w:sz w:val="22"/>
          <w:szCs w:val="22"/>
          <w:lang w:val="lt-LT" w:eastAsia="en-US"/>
        </w:rPr>
        <w:t>Bilobil</w:t>
      </w:r>
      <w:proofErr w:type="spellEnd"/>
      <w:r>
        <w:rPr>
          <w:b/>
          <w:sz w:val="22"/>
          <w:szCs w:val="22"/>
          <w:lang w:val="lt-LT" w:eastAsia="en-US"/>
        </w:rPr>
        <w:t xml:space="preserve"> ir kam jis vartojamas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Bilobil</w:t>
      </w:r>
      <w:proofErr w:type="spellEnd"/>
      <w:r>
        <w:rPr>
          <w:sz w:val="22"/>
          <w:szCs w:val="22"/>
          <w:lang w:val="lt-LT" w:eastAsia="lt-LT"/>
        </w:rPr>
        <w:t xml:space="preserve"> sudėtyje yra </w:t>
      </w:r>
      <w:r>
        <w:rPr>
          <w:sz w:val="22"/>
          <w:szCs w:val="22"/>
        </w:rPr>
        <w:t xml:space="preserve">dviskiaučių </w:t>
      </w:r>
      <w:proofErr w:type="spellStart"/>
      <w:r>
        <w:rPr>
          <w:sz w:val="22"/>
          <w:szCs w:val="22"/>
          <w:lang w:val="lt-LT" w:eastAsia="lt-LT"/>
        </w:rPr>
        <w:t>ginkmedžių</w:t>
      </w:r>
      <w:proofErr w:type="spellEnd"/>
      <w:r>
        <w:rPr>
          <w:sz w:val="22"/>
          <w:szCs w:val="22"/>
          <w:lang w:val="lt-LT" w:eastAsia="lt-LT"/>
        </w:rPr>
        <w:t xml:space="preserve"> lapų sausojo ekstrakto.</w:t>
      </w:r>
    </w:p>
    <w:p w:rsidR="00F33D14" w:rsidRDefault="00F33D14" w:rsidP="00F33D14">
      <w:pPr>
        <w:widowControl w:val="0"/>
        <w:rPr>
          <w:sz w:val="22"/>
          <w:szCs w:val="22"/>
          <w:lang w:val="lt-LT" w:eastAsia="lt-LT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lt-LT"/>
        </w:rPr>
      </w:pPr>
      <w:r>
        <w:rPr>
          <w:sz w:val="22"/>
          <w:szCs w:val="22"/>
        </w:rPr>
        <w:t xml:space="preserve">Bilobil </w:t>
      </w:r>
      <w:r>
        <w:rPr>
          <w:sz w:val="22"/>
          <w:szCs w:val="22"/>
          <w:lang w:val="lt-LT" w:eastAsia="en-US"/>
        </w:rPr>
        <w:t xml:space="preserve">yra </w:t>
      </w:r>
      <w:r>
        <w:rPr>
          <w:color w:val="000000"/>
          <w:sz w:val="22"/>
          <w:szCs w:val="22"/>
          <w:lang w:val="lt-LT" w:eastAsia="en-US"/>
        </w:rPr>
        <w:t>augalinis vaistinis preparatas</w:t>
      </w:r>
      <w:r>
        <w:rPr>
          <w:sz w:val="22"/>
          <w:szCs w:val="22"/>
        </w:rPr>
        <w:t xml:space="preserve"> skirtas su amžiumi susijusio pažinimo funkcijos pablogėjimo </w:t>
      </w:r>
      <w:r>
        <w:rPr>
          <w:color w:val="000000"/>
          <w:sz w:val="22"/>
          <w:szCs w:val="22"/>
          <w:lang w:val="lt-LT" w:eastAsia="en-US"/>
        </w:rPr>
        <w:t xml:space="preserve">(pasireiškia, pvz., sumažėjus atminčiai ir koncentracijai) </w:t>
      </w:r>
      <w:r>
        <w:rPr>
          <w:sz w:val="22"/>
          <w:szCs w:val="22"/>
        </w:rPr>
        <w:t>ir gyvenimo kokybės gerinimui sergantiesiems lengvos formos demencija.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tabs>
          <w:tab w:val="left" w:pos="567"/>
        </w:tabs>
        <w:outlineLvl w:val="1"/>
        <w:rPr>
          <w:b/>
          <w:sz w:val="22"/>
          <w:szCs w:val="22"/>
          <w:lang w:val="lt-LT" w:eastAsia="en-US"/>
        </w:rPr>
      </w:pPr>
      <w:bookmarkStart w:id="2" w:name="_Toc129243265"/>
      <w:bookmarkStart w:id="3" w:name="_Toc129243140"/>
      <w:r>
        <w:rPr>
          <w:b/>
          <w:sz w:val="22"/>
          <w:szCs w:val="22"/>
          <w:lang w:val="lt-LT" w:eastAsia="en-US"/>
        </w:rPr>
        <w:t>2.</w:t>
      </w:r>
      <w:r>
        <w:rPr>
          <w:b/>
          <w:sz w:val="22"/>
          <w:szCs w:val="22"/>
          <w:lang w:val="lt-LT" w:eastAsia="en-US"/>
        </w:rPr>
        <w:tab/>
        <w:t>K</w:t>
      </w:r>
      <w:bookmarkEnd w:id="2"/>
      <w:bookmarkEnd w:id="3"/>
      <w:r>
        <w:rPr>
          <w:b/>
          <w:sz w:val="22"/>
          <w:szCs w:val="22"/>
          <w:lang w:val="lt-LT" w:eastAsia="en-US"/>
        </w:rPr>
        <w:t xml:space="preserve">as žinotina prieš vartojant </w:t>
      </w:r>
      <w:proofErr w:type="spellStart"/>
      <w:r>
        <w:rPr>
          <w:b/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  <w:r>
        <w:rPr>
          <w:b/>
          <w:bCs/>
          <w:sz w:val="22"/>
          <w:szCs w:val="22"/>
          <w:lang w:val="lt-LT" w:eastAsia="en-US"/>
        </w:rPr>
        <w:t xml:space="preserve"> vartoti negalima:</w:t>
      </w:r>
    </w:p>
    <w:p w:rsidR="00F33D14" w:rsidRDefault="00F33D14" w:rsidP="00F33D14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jeigu yra alergija </w:t>
      </w:r>
      <w:proofErr w:type="spellStart"/>
      <w:r>
        <w:rPr>
          <w:sz w:val="22"/>
          <w:szCs w:val="22"/>
          <w:lang w:val="lt-LT" w:eastAsia="en-US"/>
        </w:rPr>
        <w:t>ginkmedžių</w:t>
      </w:r>
      <w:proofErr w:type="spellEnd"/>
      <w:r>
        <w:rPr>
          <w:sz w:val="22"/>
          <w:szCs w:val="22"/>
          <w:lang w:val="lt-LT" w:eastAsia="en-US"/>
        </w:rPr>
        <w:t xml:space="preserve"> lapų sausajam ekstraktui arba bet kuriai pagalbinei šio vaisto medžiagai (jos išvardytos 6 skyriuje);</w:t>
      </w:r>
    </w:p>
    <w:p w:rsidR="00F33D14" w:rsidRDefault="00F33D14" w:rsidP="00F33D14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jei esate nėščia.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 w:eastAsia="en-US"/>
        </w:rPr>
        <w:t>Įspėjimai ir atsargumo priemonės:</w:t>
      </w:r>
    </w:p>
    <w:p w:rsidR="00F33D14" w:rsidRDefault="00F33D14" w:rsidP="00F33D14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Pasitarkite su gydytoju arba vaistininku, prieš pradėdami vartoti Bilobil.</w:t>
      </w:r>
    </w:p>
    <w:p w:rsidR="00F33D14" w:rsidRDefault="00F33D14" w:rsidP="00F33D14">
      <w:pPr>
        <w:widowControl w:val="0"/>
        <w:rPr>
          <w:sz w:val="22"/>
          <w:szCs w:val="22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 Jums yra padidėjęs polinkis kraujuoti arba esate gydomi vaistais, kurie neleidžia kraujui krešėti,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galima vartoti tik pasitarus su gydytoju.</w:t>
      </w:r>
    </w:p>
    <w:p w:rsidR="00F33D14" w:rsidRDefault="00F33D14" w:rsidP="00F33D14">
      <w:pPr>
        <w:widowControl w:val="0"/>
        <w:rPr>
          <w:sz w:val="22"/>
          <w:szCs w:val="22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Jeigu Jums numatoma atlikti chirurginę operaciją, pasakykite gydytojui, kad vartojate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>.</w:t>
      </w:r>
      <w:r>
        <w:rPr>
          <w:sz w:val="22"/>
          <w:szCs w:val="22"/>
        </w:rPr>
        <w:t xml:space="preserve"> Atsargumo sumetimais Jūs turite nutraukti Bilobil vartojimą 3-4 dienas prieš procedūrą.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 sergate epilepsija, prieš vartodami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pasitarkite su gydytoju, nes vaistai, kurių sudėtyje yra </w:t>
      </w:r>
      <w:proofErr w:type="spellStart"/>
      <w:r>
        <w:rPr>
          <w:sz w:val="22"/>
          <w:szCs w:val="22"/>
          <w:lang w:val="lt-LT" w:eastAsia="en-US"/>
        </w:rPr>
        <w:t>ginkmedžio</w:t>
      </w:r>
      <w:proofErr w:type="spellEnd"/>
      <w:r>
        <w:rPr>
          <w:sz w:val="22"/>
          <w:szCs w:val="22"/>
          <w:lang w:val="lt-LT" w:eastAsia="en-US"/>
        </w:rPr>
        <w:t xml:space="preserve"> ekstrakto gali skatinti traukulius.</w:t>
      </w:r>
    </w:p>
    <w:p w:rsidR="00F33D14" w:rsidRDefault="00F33D14" w:rsidP="00F33D14">
      <w:pPr>
        <w:widowControl w:val="0"/>
        <w:rPr>
          <w:sz w:val="22"/>
          <w:szCs w:val="22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</w:rPr>
        <w:t xml:space="preserve">Bilobolio ir efavirenzo vartoti kartu nerekomenduojama (žr. skyrių </w:t>
      </w:r>
      <w:r>
        <w:rPr>
          <w:sz w:val="22"/>
          <w:szCs w:val="22"/>
          <w:lang w:val="lt-LT" w:eastAsia="en-US"/>
        </w:rPr>
        <w:t xml:space="preserve">„Kiti vaistai ir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>“).</w:t>
      </w:r>
    </w:p>
    <w:p w:rsidR="00F33D14" w:rsidRDefault="00F33D14" w:rsidP="00F33D14">
      <w:pPr>
        <w:widowControl w:val="0"/>
        <w:rPr>
          <w:sz w:val="22"/>
          <w:szCs w:val="22"/>
        </w:rPr>
      </w:pPr>
    </w:p>
    <w:p w:rsidR="00F33D14" w:rsidRDefault="00F33D14" w:rsidP="00F33D14">
      <w:pPr>
        <w:widowControl w:val="0"/>
        <w:rPr>
          <w:b/>
          <w:sz w:val="22"/>
          <w:szCs w:val="22"/>
          <w:lang w:val="lt-LT" w:eastAsia="en-US"/>
        </w:rPr>
      </w:pPr>
      <w:r>
        <w:rPr>
          <w:b/>
          <w:sz w:val="22"/>
          <w:szCs w:val="22"/>
          <w:lang w:val="lt-LT" w:eastAsia="en-US"/>
        </w:rPr>
        <w:lastRenderedPageBreak/>
        <w:t>Vaikams</w:t>
      </w:r>
      <w:r>
        <w:rPr>
          <w:b/>
          <w:sz w:val="22"/>
          <w:szCs w:val="22"/>
        </w:rPr>
        <w:t xml:space="preserve"> ir paaugliams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</w:rPr>
        <w:t>Bilobil nėra skirtas vaikams ir paaugliams.</w:t>
      </w:r>
    </w:p>
    <w:p w:rsidR="00F33D14" w:rsidRDefault="00F33D14" w:rsidP="00F33D14">
      <w:pPr>
        <w:widowControl w:val="0"/>
        <w:rPr>
          <w:i/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 w:eastAsia="en-US"/>
        </w:rPr>
        <w:t xml:space="preserve">Kiti vaistai ir </w:t>
      </w: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Jeigu vartojate arba neseniai vartojote kitų vaistų arba dėl to nesate tikri, apie tai pasakykite gydytojui arba vaistininkui.</w:t>
      </w:r>
    </w:p>
    <w:p w:rsidR="00F33D14" w:rsidRDefault="00F33D14" w:rsidP="00F33D14">
      <w:pPr>
        <w:widowControl w:val="0"/>
        <w:rPr>
          <w:sz w:val="22"/>
          <w:szCs w:val="22"/>
        </w:rPr>
      </w:pPr>
    </w:p>
    <w:p w:rsidR="00F33D14" w:rsidRDefault="00F33D14" w:rsidP="00F33D14">
      <w:pPr>
        <w:shd w:val="clear" w:color="auto" w:fill="FFFFFF"/>
        <w:rPr>
          <w:color w:val="000000"/>
          <w:sz w:val="22"/>
          <w:szCs w:val="22"/>
        </w:rPr>
      </w:pPr>
      <w:r>
        <w:rPr>
          <w:sz w:val="22"/>
          <w:szCs w:val="22"/>
          <w:lang w:val="lt-LT" w:eastAsia="en-US"/>
        </w:rPr>
        <w:t xml:space="preserve">Jei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yra vartojamas su kraujo krešėjimą slopinančiais vaistais (pvz., </w:t>
      </w:r>
      <w:proofErr w:type="spellStart"/>
      <w:r>
        <w:rPr>
          <w:sz w:val="22"/>
          <w:szCs w:val="22"/>
          <w:lang w:val="lt-LT" w:eastAsia="en-US"/>
        </w:rPr>
        <w:t>varfarinu</w:t>
      </w:r>
      <w:proofErr w:type="spellEnd"/>
      <w:r>
        <w:rPr>
          <w:sz w:val="22"/>
          <w:szCs w:val="22"/>
          <w:lang w:val="lt-LT" w:eastAsia="en-US"/>
        </w:rPr>
        <w:t xml:space="preserve">) ar </w:t>
      </w:r>
      <w:r>
        <w:rPr>
          <w:kern w:val="16"/>
          <w:sz w:val="22"/>
          <w:szCs w:val="22"/>
        </w:rPr>
        <w:t>su kraujo plokštelių sukibimą</w:t>
      </w:r>
      <w:r>
        <w:rPr>
          <w:color w:val="000000"/>
          <w:sz w:val="22"/>
          <w:szCs w:val="22"/>
        </w:rPr>
        <w:t xml:space="preserve"> mažinančiais vaistais (pvz., klopidogreliu, acetilsalicilo rūgštimi ir kitais nesteroidiniais vaistais nuo uždegimo</w:t>
      </w:r>
      <w:r>
        <w:rPr>
          <w:sz w:val="22"/>
          <w:szCs w:val="22"/>
          <w:lang w:val="lt-LT" w:eastAsia="en-US"/>
        </w:rPr>
        <w:t xml:space="preserve">) jų </w:t>
      </w:r>
      <w:r>
        <w:rPr>
          <w:color w:val="000000"/>
          <w:sz w:val="22"/>
          <w:szCs w:val="22"/>
        </w:rPr>
        <w:t>poveikiui gali būti daroma įtaka.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vartojimas su </w:t>
      </w:r>
      <w:proofErr w:type="spellStart"/>
      <w:r>
        <w:rPr>
          <w:sz w:val="22"/>
          <w:szCs w:val="22"/>
          <w:lang w:val="lt-LT" w:eastAsia="en-US"/>
        </w:rPr>
        <w:t>dabigatranu</w:t>
      </w:r>
      <w:proofErr w:type="spellEnd"/>
      <w:r>
        <w:rPr>
          <w:sz w:val="22"/>
          <w:szCs w:val="22"/>
          <w:lang w:val="lt-LT" w:eastAsia="en-US"/>
        </w:rPr>
        <w:t xml:space="preserve"> (vaistu, vartojamu norint išvengti kraujo krešėjimo), </w:t>
      </w:r>
      <w:proofErr w:type="spellStart"/>
      <w:r>
        <w:rPr>
          <w:sz w:val="22"/>
          <w:szCs w:val="22"/>
          <w:lang w:val="lt-LT" w:eastAsia="en-US"/>
        </w:rPr>
        <w:t>pastarjo</w:t>
      </w:r>
      <w:proofErr w:type="spellEnd"/>
      <w:r>
        <w:rPr>
          <w:sz w:val="22"/>
          <w:szCs w:val="22"/>
          <w:lang w:val="lt-LT" w:eastAsia="en-US"/>
        </w:rPr>
        <w:t xml:space="preserve"> poveikis gali sustiprėti. Pasitarkite su gydytoju prieš pradėdami gydymą.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vartojamas kartu su </w:t>
      </w:r>
      <w:proofErr w:type="spellStart"/>
      <w:r>
        <w:rPr>
          <w:sz w:val="22"/>
          <w:szCs w:val="22"/>
          <w:lang w:val="lt-LT" w:eastAsia="en-US"/>
        </w:rPr>
        <w:t>nifedipinu</w:t>
      </w:r>
      <w:proofErr w:type="spellEnd"/>
      <w:r>
        <w:rPr>
          <w:sz w:val="22"/>
          <w:szCs w:val="22"/>
          <w:lang w:val="lt-LT" w:eastAsia="en-US"/>
        </w:rPr>
        <w:t xml:space="preserve"> (vaistu, vartojamu kai kuriems širdies susirgimams ir hipertenzijai gydyti), jo poveikis gali sustiprėti, dėl to gali pasireikšti galvos svaigimas ar stipresnis karščio pylimas. Jei tai įvyks, pasitarkite su savo gydytoju.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</w:rPr>
      </w:pP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nerekomenduojamas, jei vartojate </w:t>
      </w:r>
      <w:proofErr w:type="spellStart"/>
      <w:r>
        <w:rPr>
          <w:sz w:val="22"/>
          <w:szCs w:val="22"/>
          <w:lang w:val="lt-LT" w:eastAsia="en-US"/>
        </w:rPr>
        <w:t>efavirenzo</w:t>
      </w:r>
      <w:proofErr w:type="spellEnd"/>
      <w:r>
        <w:rPr>
          <w:sz w:val="22"/>
          <w:szCs w:val="22"/>
          <w:lang w:val="lt-LT" w:eastAsia="en-US"/>
        </w:rPr>
        <w:t xml:space="preserve"> (vaistas ŽIV infekcijai gydyti), nes </w:t>
      </w:r>
      <w:proofErr w:type="spellStart"/>
      <w:r>
        <w:rPr>
          <w:sz w:val="22"/>
          <w:szCs w:val="22"/>
          <w:lang w:val="lt-LT" w:eastAsia="en-US"/>
        </w:rPr>
        <w:t>efavirenzo</w:t>
      </w:r>
      <w:proofErr w:type="spellEnd"/>
      <w:r>
        <w:rPr>
          <w:sz w:val="22"/>
          <w:szCs w:val="22"/>
          <w:lang w:val="lt-LT" w:eastAsia="en-US"/>
        </w:rPr>
        <w:t xml:space="preserve"> poveikis gali susilpnėti.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  <w:r>
        <w:rPr>
          <w:b/>
          <w:bCs/>
          <w:sz w:val="22"/>
          <w:szCs w:val="22"/>
          <w:lang w:val="lt-LT" w:eastAsia="en-US"/>
        </w:rPr>
        <w:t xml:space="preserve"> vartojimas su maistu ir gėrimais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kapsules galima vartoti </w:t>
      </w:r>
      <w:r>
        <w:rPr>
          <w:sz w:val="22"/>
          <w:szCs w:val="22"/>
        </w:rPr>
        <w:t>su maistu arbe be jo</w:t>
      </w:r>
      <w:r>
        <w:rPr>
          <w:sz w:val="22"/>
          <w:szCs w:val="22"/>
          <w:lang w:val="lt-LT" w:eastAsia="en-US"/>
        </w:rPr>
        <w:t>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 w:eastAsia="en-US"/>
        </w:rPr>
        <w:t>Nėštumas ir žindymo laikotarpis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Jei esate nėščia, žindote kūdikį, manote, kad galbūt esate nėščia arba planuojate pastoti, tai prieš vartodama šį vaistą pasitarkite su gydytoju arba vaistininku.</w:t>
      </w:r>
    </w:p>
    <w:p w:rsidR="00F33D14" w:rsidRDefault="00F33D14" w:rsidP="00F33D1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Šį vaistą nėštumo metu</w:t>
      </w:r>
      <w:r>
        <w:rPr>
          <w:sz w:val="22"/>
          <w:szCs w:val="22"/>
          <w:lang w:val="lt-LT" w:eastAsia="en-US"/>
        </w:rPr>
        <w:t xml:space="preserve"> vartoti </w:t>
      </w:r>
      <w:r>
        <w:rPr>
          <w:sz w:val="22"/>
          <w:szCs w:val="22"/>
        </w:rPr>
        <w:t>draudžiama (žr. 2 skyrių „Bilobil vartoti negalima“).</w:t>
      </w:r>
    </w:p>
    <w:p w:rsidR="00F33D14" w:rsidRDefault="00F33D14" w:rsidP="00F33D14">
      <w:pPr>
        <w:widowControl w:val="0"/>
        <w:rPr>
          <w:sz w:val="22"/>
          <w:szCs w:val="22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</w:rPr>
        <w:t>Žindymo laikotarpiu šio vaisto vartoti nerekomenduojama, nes trūksta duomenų apie vartojimo saugumą žindymo metu</w:t>
      </w:r>
      <w:r>
        <w:rPr>
          <w:sz w:val="22"/>
          <w:szCs w:val="22"/>
          <w:lang w:val="lt-LT" w:eastAsia="en-US"/>
        </w:rPr>
        <w:t>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 w:eastAsia="en-US"/>
        </w:rPr>
        <w:t>Vairavimas ir mechanizmų valdymas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</w:rPr>
        <w:t>Jokių adekvačių poveikio gebėjimui</w:t>
      </w:r>
      <w:r>
        <w:rPr>
          <w:sz w:val="22"/>
          <w:szCs w:val="22"/>
          <w:lang w:val="lt-LT" w:eastAsia="en-US"/>
        </w:rPr>
        <w:t xml:space="preserve"> vairuoti ir valdyti mechanizmus </w:t>
      </w:r>
      <w:r>
        <w:rPr>
          <w:sz w:val="22"/>
          <w:szCs w:val="22"/>
        </w:rPr>
        <w:t>tyrimų neatlikta</w:t>
      </w:r>
      <w:r>
        <w:rPr>
          <w:sz w:val="22"/>
          <w:szCs w:val="22"/>
          <w:lang w:val="lt-LT" w:eastAsia="en-US"/>
        </w:rPr>
        <w:t>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Cs/>
          <w:sz w:val="22"/>
          <w:szCs w:val="22"/>
          <w:lang w:val="lt-LT" w:eastAsia="en-US"/>
        </w:rPr>
      </w:pP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  <w:r>
        <w:rPr>
          <w:b/>
          <w:bCs/>
          <w:sz w:val="22"/>
          <w:szCs w:val="22"/>
          <w:lang w:val="lt-LT" w:eastAsia="en-US"/>
        </w:rPr>
        <w:t xml:space="preserve"> sudėtyje yra laktozės ir gliukozės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Jeigu gydytojas Jums yra sakęs, kad netoleruojate kokių nors angliavandenių, kreipkitės į jį prieš pradėdami vartoti šį vaistą.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tabs>
          <w:tab w:val="left" w:pos="567"/>
        </w:tabs>
        <w:outlineLvl w:val="1"/>
        <w:rPr>
          <w:b/>
          <w:sz w:val="22"/>
          <w:szCs w:val="22"/>
          <w:lang w:val="lt-LT" w:eastAsia="en-US"/>
        </w:rPr>
      </w:pPr>
      <w:bookmarkStart w:id="4" w:name="_Toc129243266"/>
      <w:bookmarkStart w:id="5" w:name="_Toc129243141"/>
      <w:r>
        <w:rPr>
          <w:b/>
          <w:sz w:val="22"/>
          <w:szCs w:val="22"/>
          <w:lang w:val="lt-LT" w:eastAsia="en-US"/>
        </w:rPr>
        <w:t>3.</w:t>
      </w:r>
      <w:r>
        <w:rPr>
          <w:b/>
          <w:sz w:val="22"/>
          <w:szCs w:val="22"/>
          <w:lang w:val="lt-LT" w:eastAsia="en-US"/>
        </w:rPr>
        <w:tab/>
        <w:t>K</w:t>
      </w:r>
      <w:bookmarkEnd w:id="4"/>
      <w:bookmarkEnd w:id="5"/>
      <w:r>
        <w:rPr>
          <w:b/>
          <w:sz w:val="22"/>
          <w:szCs w:val="22"/>
          <w:lang w:val="lt-LT" w:eastAsia="en-US"/>
        </w:rPr>
        <w:t xml:space="preserve">aip vartoti </w:t>
      </w:r>
      <w:proofErr w:type="spellStart"/>
      <w:r>
        <w:rPr>
          <w:b/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Visada vartokite šį vaistą tiksliai kaip nurodė gydytojas arba vaistininkas. Jeigu abejojate, kreipkitės į gydytoją arba vaistininką.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color w:val="000000"/>
          <w:sz w:val="22"/>
          <w:szCs w:val="22"/>
          <w:lang w:val="lt-LT" w:eastAsia="en-US"/>
        </w:rPr>
        <w:t xml:space="preserve">Rekomenduojama </w:t>
      </w:r>
      <w:r>
        <w:rPr>
          <w:color w:val="000000"/>
          <w:sz w:val="22"/>
          <w:szCs w:val="22"/>
        </w:rPr>
        <w:t xml:space="preserve">paros </w:t>
      </w:r>
      <w:r>
        <w:rPr>
          <w:color w:val="000000"/>
          <w:sz w:val="22"/>
          <w:szCs w:val="22"/>
          <w:lang w:val="lt-LT" w:eastAsia="en-US"/>
        </w:rPr>
        <w:t xml:space="preserve">dozė suaugusiems </w:t>
      </w:r>
      <w:r>
        <w:rPr>
          <w:color w:val="000000"/>
          <w:sz w:val="22"/>
          <w:szCs w:val="22"/>
        </w:rPr>
        <w:t xml:space="preserve">ir senyviems pacientams </w:t>
      </w:r>
      <w:r>
        <w:rPr>
          <w:color w:val="000000"/>
          <w:sz w:val="22"/>
          <w:szCs w:val="22"/>
          <w:lang w:val="lt-LT" w:eastAsia="en-US"/>
        </w:rPr>
        <w:t xml:space="preserve">yra 1 </w:t>
      </w:r>
      <w:r>
        <w:rPr>
          <w:color w:val="000000"/>
          <w:sz w:val="22"/>
          <w:szCs w:val="22"/>
        </w:rPr>
        <w:t xml:space="preserve">Bilobil 120 mg </w:t>
      </w:r>
      <w:r>
        <w:rPr>
          <w:color w:val="000000"/>
          <w:sz w:val="22"/>
          <w:szCs w:val="22"/>
          <w:lang w:val="lt-LT" w:eastAsia="en-US"/>
        </w:rPr>
        <w:t xml:space="preserve">kapsulė </w:t>
      </w:r>
      <w:r>
        <w:rPr>
          <w:color w:val="000000"/>
          <w:sz w:val="22"/>
          <w:szCs w:val="22"/>
        </w:rPr>
        <w:t>du</w:t>
      </w:r>
      <w:r>
        <w:rPr>
          <w:color w:val="000000"/>
          <w:sz w:val="22"/>
          <w:szCs w:val="22"/>
          <w:lang w:val="lt-LT" w:eastAsia="en-US"/>
        </w:rPr>
        <w:t xml:space="preserve"> kartus per parą</w:t>
      </w:r>
      <w:r>
        <w:rPr>
          <w:color w:val="000000"/>
          <w:sz w:val="22"/>
          <w:szCs w:val="22"/>
        </w:rPr>
        <w:t>,</w:t>
      </w:r>
      <w:r>
        <w:rPr>
          <w:sz w:val="22"/>
          <w:szCs w:val="22"/>
          <w:lang w:val="lt-LT" w:eastAsia="en-US"/>
        </w:rPr>
        <w:t xml:space="preserve"> ryte ir vakare.</w:t>
      </w:r>
    </w:p>
    <w:p w:rsidR="00F33D14" w:rsidRDefault="00F33D14" w:rsidP="00F33D14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Nurykite tabletę užgerdami vandeniu.</w:t>
      </w:r>
    </w:p>
    <w:p w:rsidR="00F33D14" w:rsidRDefault="00F33D14" w:rsidP="00F33D14">
      <w:pPr>
        <w:widowControl w:val="0"/>
        <w:rPr>
          <w:color w:val="000000"/>
          <w:sz w:val="22"/>
          <w:szCs w:val="22"/>
        </w:rPr>
      </w:pPr>
    </w:p>
    <w:p w:rsidR="00F33D14" w:rsidRDefault="00F33D14" w:rsidP="00F33D14">
      <w:pPr>
        <w:widowControl w:val="0"/>
        <w:rPr>
          <w:i/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</w:rPr>
        <w:t>Gydymo</w:t>
      </w:r>
      <w:r>
        <w:rPr>
          <w:i/>
          <w:color w:val="000000"/>
          <w:sz w:val="22"/>
          <w:szCs w:val="22"/>
          <w:u w:val="single"/>
        </w:rPr>
        <w:t xml:space="preserve"> trukmė</w:t>
      </w:r>
    </w:p>
    <w:p w:rsidR="00F33D14" w:rsidRDefault="00F33D14" w:rsidP="00F33D14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Bilobil reikia vartoti bent 8 savaites.</w:t>
      </w:r>
    </w:p>
    <w:p w:rsidR="00F33D14" w:rsidRDefault="00F33D14" w:rsidP="00F33D14">
      <w:pPr>
        <w:widowControl w:val="0"/>
        <w:rPr>
          <w:color w:val="000000"/>
          <w:sz w:val="22"/>
          <w:szCs w:val="22"/>
        </w:rPr>
      </w:pPr>
    </w:p>
    <w:p w:rsidR="00F33D14" w:rsidRDefault="00F33D14" w:rsidP="00F33D14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Jei po 3 gydymo mėnesių nepagerėja ar atsiranda pasunkėjimo požymių, reikia pasitarti su gydytoju, kad nustatytų, ar tęsti gydymą.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 w:eastAsia="en-US"/>
        </w:rPr>
        <w:lastRenderedPageBreak/>
        <w:t xml:space="preserve">Ką daryti pavartojus per didelę </w:t>
      </w: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  <w:r>
        <w:rPr>
          <w:b/>
          <w:bCs/>
          <w:sz w:val="22"/>
          <w:szCs w:val="22"/>
          <w:lang w:val="lt-LT" w:eastAsia="en-US"/>
        </w:rPr>
        <w:t xml:space="preserve"> dozę?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 išgėrėte dilesnę </w:t>
      </w:r>
      <w:proofErr w:type="spellStart"/>
      <w:r>
        <w:rPr>
          <w:sz w:val="22"/>
          <w:szCs w:val="22"/>
          <w:lang w:val="lt-LT" w:eastAsia="en-US"/>
        </w:rPr>
        <w:t>Bilobil</w:t>
      </w:r>
      <w:proofErr w:type="spellEnd"/>
      <w:r>
        <w:rPr>
          <w:sz w:val="22"/>
          <w:szCs w:val="22"/>
          <w:lang w:val="lt-LT" w:eastAsia="en-US"/>
        </w:rPr>
        <w:t xml:space="preserve"> dozę nei turėjote išgerti, kreipkitės į gydytoją. </w:t>
      </w:r>
      <w:r>
        <w:rPr>
          <w:sz w:val="22"/>
          <w:szCs w:val="22"/>
        </w:rPr>
        <w:t>Iki šiol apsinuodijimo ginkmedžio</w:t>
      </w:r>
      <w:r>
        <w:rPr>
          <w:sz w:val="22"/>
          <w:szCs w:val="22"/>
          <w:lang w:val="lt-LT" w:eastAsia="en-US"/>
        </w:rPr>
        <w:t xml:space="preserve"> ekstraktu atvejų neaprašyta.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 w:eastAsia="en-US"/>
        </w:rPr>
        <w:t xml:space="preserve">Pamiršus pavartoti </w:t>
      </w: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Negalima vartoti dvigubos dozės norint kompensuoti praleistą kapsulę.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Vartokite praleistą dozę tuoj pat, kai prisiminsite</w:t>
      </w:r>
      <w:r>
        <w:rPr>
          <w:sz w:val="22"/>
          <w:szCs w:val="22"/>
        </w:rPr>
        <w:t>, nebent</w:t>
      </w:r>
      <w:r>
        <w:rPr>
          <w:sz w:val="22"/>
          <w:szCs w:val="22"/>
          <w:lang w:val="lt-LT" w:eastAsia="en-US"/>
        </w:rPr>
        <w:t xml:space="preserve"> jau būtų atėjęs kitos dozės vartojimo laikas. </w:t>
      </w:r>
      <w:r>
        <w:rPr>
          <w:sz w:val="22"/>
          <w:szCs w:val="22"/>
        </w:rPr>
        <w:t>Tokiu atveju praleiskite pamirštą dozę</w:t>
      </w:r>
      <w:r>
        <w:rPr>
          <w:sz w:val="22"/>
          <w:szCs w:val="22"/>
          <w:lang w:val="lt-LT" w:eastAsia="en-US"/>
        </w:rPr>
        <w:t>.</w:t>
      </w:r>
    </w:p>
    <w:p w:rsidR="00F33D14" w:rsidRDefault="00F33D14" w:rsidP="00F33D14">
      <w:pPr>
        <w:widowControl w:val="0"/>
        <w:rPr>
          <w:sz w:val="22"/>
          <w:szCs w:val="22"/>
          <w:u w:val="single"/>
        </w:rPr>
      </w:pPr>
    </w:p>
    <w:p w:rsidR="00F33D14" w:rsidRDefault="00F33D14" w:rsidP="00F33D14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Nustojus vartoti Bilobil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</w:rPr>
        <w:t>Nustojus vartoti šį produktą, pasitarkite su gydytoju arba vaistininku.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Jeigu kiltų daugiau klausimų dėl šio vaisto vartojimo, kreipkitės į gydytoją arba vaistininką.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tabs>
          <w:tab w:val="left" w:pos="567"/>
        </w:tabs>
        <w:outlineLvl w:val="1"/>
        <w:rPr>
          <w:b/>
          <w:sz w:val="22"/>
          <w:szCs w:val="22"/>
          <w:lang w:val="lt-LT" w:eastAsia="en-US"/>
        </w:rPr>
      </w:pPr>
      <w:bookmarkStart w:id="6" w:name="_Toc129243267"/>
      <w:bookmarkStart w:id="7" w:name="_Toc129243142"/>
      <w:r>
        <w:rPr>
          <w:b/>
          <w:sz w:val="22"/>
          <w:szCs w:val="22"/>
          <w:lang w:val="lt-LT" w:eastAsia="en-US"/>
        </w:rPr>
        <w:t>4.</w:t>
      </w:r>
      <w:r>
        <w:rPr>
          <w:b/>
          <w:sz w:val="22"/>
          <w:szCs w:val="22"/>
          <w:lang w:val="lt-LT" w:eastAsia="en-US"/>
        </w:rPr>
        <w:tab/>
        <w:t>G</w:t>
      </w:r>
      <w:bookmarkEnd w:id="6"/>
      <w:bookmarkEnd w:id="7"/>
      <w:r>
        <w:rPr>
          <w:b/>
          <w:sz w:val="22"/>
          <w:szCs w:val="22"/>
          <w:lang w:val="lt-LT" w:eastAsia="en-US"/>
        </w:rPr>
        <w:t>alimas šalutinis poveikis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Šis vaistas, kaip ir visi kiti, gali sukelti šalutinį poveikį, nors jis pasireiškia ne visiems žmonėms.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Labai </w:t>
      </w:r>
      <w:r>
        <w:rPr>
          <w:i/>
          <w:sz w:val="22"/>
          <w:szCs w:val="22"/>
        </w:rPr>
        <w:t>dažnas šalutinis poveikis</w:t>
      </w:r>
      <w:r>
        <w:rPr>
          <w:sz w:val="22"/>
          <w:szCs w:val="22"/>
          <w:lang w:val="lt-LT" w:eastAsia="en-US"/>
        </w:rPr>
        <w:t xml:space="preserve"> (gali pasireikšti </w:t>
      </w:r>
      <w:r>
        <w:rPr>
          <w:i/>
          <w:sz w:val="22"/>
          <w:szCs w:val="22"/>
        </w:rPr>
        <w:t>daugiau kaip</w:t>
      </w:r>
      <w:r>
        <w:rPr>
          <w:sz w:val="22"/>
          <w:szCs w:val="22"/>
          <w:lang w:val="lt-LT" w:eastAsia="en-US"/>
        </w:rPr>
        <w:t xml:space="preserve"> 1 iš 10 žmonių)</w:t>
      </w:r>
    </w:p>
    <w:p w:rsidR="00F33D14" w:rsidRDefault="00F33D14" w:rsidP="00F33D14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Galvos skausmas.</w:t>
      </w:r>
    </w:p>
    <w:p w:rsidR="00F33D14" w:rsidRDefault="00F33D14" w:rsidP="00F33D14">
      <w:pPr>
        <w:widowControl w:val="0"/>
        <w:tabs>
          <w:tab w:val="left" w:pos="567"/>
        </w:tabs>
        <w:rPr>
          <w:sz w:val="22"/>
          <w:szCs w:val="22"/>
        </w:rPr>
      </w:pPr>
    </w:p>
    <w:p w:rsidR="00F33D14" w:rsidRDefault="00F33D14" w:rsidP="00F33D14">
      <w:pPr>
        <w:widowControl w:val="0"/>
        <w:tabs>
          <w:tab w:val="left" w:pos="56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Dažnas šalutinis poveikis (gali pasireikšti mažiau kaip 1 iš 10 žmonių)</w:t>
      </w:r>
    </w:p>
    <w:p w:rsidR="00F33D14" w:rsidRDefault="00F33D14" w:rsidP="00F33D14">
      <w:pPr>
        <w:pStyle w:val="Sraopastraipa"/>
        <w:widowControl w:val="0"/>
        <w:numPr>
          <w:ilvl w:val="0"/>
          <w:numId w:val="3"/>
        </w:numPr>
        <w:ind w:left="567" w:hanging="567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Galvos svaigimas.</w:t>
      </w:r>
    </w:p>
    <w:p w:rsidR="00F33D14" w:rsidRDefault="00F33D14" w:rsidP="00F33D14">
      <w:pPr>
        <w:pStyle w:val="Sraopastraipa"/>
        <w:widowControl w:val="0"/>
        <w:numPr>
          <w:ilvl w:val="0"/>
          <w:numId w:val="3"/>
        </w:numPr>
        <w:ind w:left="567" w:hanging="567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Virškinimo trakto negalavimai (viduriavimas, pilvo skausmas, pykinimas, vėmimas).</w:t>
      </w:r>
    </w:p>
    <w:p w:rsidR="00F33D14" w:rsidRDefault="00F33D14" w:rsidP="00F33D14">
      <w:pPr>
        <w:widowControl w:val="0"/>
        <w:tabs>
          <w:tab w:val="left" w:pos="567"/>
        </w:tabs>
        <w:rPr>
          <w:rFonts w:eastAsia="Calibri"/>
          <w:color w:val="000000"/>
          <w:sz w:val="22"/>
          <w:szCs w:val="22"/>
        </w:rPr>
      </w:pPr>
    </w:p>
    <w:p w:rsidR="00F33D14" w:rsidRDefault="00F33D14" w:rsidP="00F33D14">
      <w:pPr>
        <w:widowControl w:val="0"/>
        <w:tabs>
          <w:tab w:val="left" w:pos="567"/>
        </w:tabs>
        <w:rPr>
          <w:i/>
          <w:color w:val="000000"/>
          <w:sz w:val="22"/>
          <w:szCs w:val="22"/>
        </w:rPr>
      </w:pPr>
      <w:r>
        <w:rPr>
          <w:i/>
          <w:sz w:val="22"/>
          <w:szCs w:val="22"/>
        </w:rPr>
        <w:t>Dažnis nežinomas (negali būti įvertintas pagal turimus duomenis)</w:t>
      </w:r>
    </w:p>
    <w:p w:rsidR="00F33D14" w:rsidRDefault="00F33D14" w:rsidP="00F33D14">
      <w:pPr>
        <w:pStyle w:val="Sraopastraipa"/>
        <w:widowControl w:val="0"/>
        <w:numPr>
          <w:ilvl w:val="0"/>
          <w:numId w:val="4"/>
        </w:numPr>
        <w:ind w:left="567" w:hanging="567"/>
        <w:contextualSpacing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Alerginės odos reakcijos (paraudimas, patinimas, niežulys, išbėrimas).</w:t>
      </w:r>
    </w:p>
    <w:p w:rsidR="00F33D14" w:rsidRDefault="00F33D14" w:rsidP="00F33D14">
      <w:pPr>
        <w:widowControl w:val="0"/>
        <w:numPr>
          <w:ilvl w:val="0"/>
          <w:numId w:val="4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Padidėjusio jautrumo reakcijos</w:t>
      </w:r>
      <w:r>
        <w:rPr>
          <w:rFonts w:eastAsia="Calibri"/>
          <w:color w:val="000000"/>
          <w:sz w:val="22"/>
          <w:szCs w:val="22"/>
        </w:rPr>
        <w:t xml:space="preserve"> (alerginis šokas).</w:t>
      </w:r>
    </w:p>
    <w:p w:rsidR="00F33D14" w:rsidRDefault="00F33D14" w:rsidP="00F33D14">
      <w:pPr>
        <w:widowControl w:val="0"/>
        <w:numPr>
          <w:ilvl w:val="0"/>
          <w:numId w:val="4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Kraujavimas iš </w:t>
      </w:r>
      <w:r>
        <w:rPr>
          <w:noProof/>
          <w:sz w:val="22"/>
          <w:szCs w:val="22"/>
        </w:rPr>
        <w:t xml:space="preserve">atskirų organų (akies, nosies, smegenų, </w:t>
      </w:r>
      <w:r>
        <w:rPr>
          <w:sz w:val="22"/>
          <w:szCs w:val="22"/>
          <w:lang w:val="lt-LT" w:eastAsia="en-US"/>
        </w:rPr>
        <w:t>virškinimo trakto</w:t>
      </w:r>
      <w:r>
        <w:rPr>
          <w:color w:val="000000"/>
          <w:sz w:val="22"/>
          <w:szCs w:val="22"/>
        </w:rPr>
        <w:t>).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b/>
          <w:sz w:val="22"/>
          <w:szCs w:val="22"/>
          <w:lang w:val="lt-LT"/>
        </w:rPr>
        <w:t>Pranešimas apie šalutinį poveikį</w:t>
      </w:r>
    </w:p>
    <w:p w:rsidR="00F33D14" w:rsidRDefault="00F33D14" w:rsidP="00F33D14">
      <w:pPr>
        <w:widowControl w:val="0"/>
        <w:ind w:right="-449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Jeigu pasireiškė šalutinis poveikis, įskaitant šiame lapelyje nenurodytą, pasakykite gydytojui arba vaistininkui.</w:t>
      </w:r>
      <w:r>
        <w:rPr>
          <w:sz w:val="22"/>
          <w:szCs w:val="22"/>
          <w:lang w:val="lt-LT"/>
        </w:rPr>
        <w:t xml:space="preserve"> Apie šalutinį poveikį taip pat galite pranešti Valstybinei vaistų kontrolės tarnybai prie Lietuvos Respublikos sveikatos apsaugos ministerijos nemokamu t</w:t>
      </w:r>
      <w:r>
        <w:rPr>
          <w:sz w:val="22"/>
          <w:szCs w:val="22"/>
          <w:lang w:val="lt-LT" w:eastAsia="zh-CN"/>
        </w:rPr>
        <w:t>elefonu 8 800 73568</w:t>
      </w:r>
      <w:r>
        <w:rPr>
          <w:sz w:val="22"/>
          <w:szCs w:val="22"/>
          <w:lang w:val="lt-LT"/>
        </w:rPr>
        <w:t xml:space="preserve"> arba užpildyti interneto svetainėje </w:t>
      </w:r>
      <w:hyperlink r:id="rId5" w:history="1">
        <w:r>
          <w:rPr>
            <w:rStyle w:val="Hipersaitas"/>
            <w:rFonts w:eastAsia="SimSun"/>
            <w:sz w:val="22"/>
            <w:szCs w:val="22"/>
            <w:lang w:val="lt-LT"/>
          </w:rPr>
          <w:t>www.vvkt.lt</w:t>
        </w:r>
      </w:hyperlink>
      <w:r>
        <w:rPr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sz w:val="22"/>
          <w:szCs w:val="22"/>
          <w:lang w:val="lt-LT" w:eastAsia="zh-CN"/>
        </w:rPr>
        <w:t xml:space="preserve">nemokamu </w:t>
      </w:r>
      <w:r>
        <w:rPr>
          <w:sz w:val="22"/>
          <w:szCs w:val="22"/>
          <w:lang w:val="lt-LT"/>
        </w:rPr>
        <w:t>fakso numeriu 8 800 20131</w:t>
      </w:r>
      <w:r>
        <w:rPr>
          <w:sz w:val="22"/>
          <w:szCs w:val="22"/>
          <w:lang w:val="lt-LT" w:eastAsia="zh-CN"/>
        </w:rPr>
        <w:t>,</w:t>
      </w:r>
      <w:r>
        <w:rPr>
          <w:sz w:val="22"/>
          <w:szCs w:val="22"/>
          <w:lang w:val="lt-LT"/>
        </w:rPr>
        <w:t xml:space="preserve"> el. paštu </w:t>
      </w:r>
      <w:hyperlink r:id="rId6" w:history="1">
        <w:r>
          <w:rPr>
            <w:rStyle w:val="Hipersaitas"/>
            <w:rFonts w:eastAsia="SimSun"/>
            <w:sz w:val="22"/>
            <w:szCs w:val="22"/>
            <w:lang w:val="lt-LT"/>
          </w:rPr>
          <w:t>NepageidaujamaR@vvkt.lt</w:t>
        </w:r>
      </w:hyperlink>
      <w:r>
        <w:rPr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>
          <w:rPr>
            <w:rStyle w:val="Hipersaitas"/>
            <w:rFonts w:eastAsia="SimSun"/>
            <w:sz w:val="22"/>
            <w:szCs w:val="22"/>
            <w:lang w:val="lt-LT"/>
          </w:rPr>
          <w:t>http://www.vvkt.lt</w:t>
        </w:r>
      </w:hyperlink>
      <w:r>
        <w:rPr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ind w:left="567" w:hanging="567"/>
        <w:outlineLvl w:val="1"/>
        <w:rPr>
          <w:b/>
          <w:sz w:val="22"/>
          <w:szCs w:val="22"/>
          <w:lang w:val="lt-LT" w:eastAsia="en-US"/>
        </w:rPr>
      </w:pPr>
      <w:bookmarkStart w:id="8" w:name="_Toc129243268"/>
      <w:bookmarkStart w:id="9" w:name="_Toc129243143"/>
      <w:r>
        <w:rPr>
          <w:b/>
          <w:sz w:val="22"/>
          <w:szCs w:val="22"/>
          <w:lang w:val="lt-LT" w:eastAsia="en-US"/>
        </w:rPr>
        <w:t>5.</w:t>
      </w:r>
      <w:r>
        <w:rPr>
          <w:b/>
          <w:sz w:val="22"/>
          <w:szCs w:val="22"/>
          <w:lang w:val="lt-LT" w:eastAsia="en-US"/>
        </w:rPr>
        <w:tab/>
        <w:t>K</w:t>
      </w:r>
      <w:bookmarkEnd w:id="8"/>
      <w:bookmarkEnd w:id="9"/>
      <w:r>
        <w:rPr>
          <w:b/>
          <w:sz w:val="22"/>
          <w:szCs w:val="22"/>
          <w:lang w:val="lt-LT" w:eastAsia="en-US"/>
        </w:rPr>
        <w:t xml:space="preserve">aip laikyti </w:t>
      </w:r>
      <w:proofErr w:type="spellStart"/>
      <w:r>
        <w:rPr>
          <w:b/>
          <w:sz w:val="22"/>
          <w:szCs w:val="22"/>
          <w:lang w:val="lt-LT" w:eastAsia="en-US"/>
        </w:rPr>
        <w:t>Bilobil</w:t>
      </w:r>
      <w:proofErr w:type="spellEnd"/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Šį vaistą laikykite vaikams nepastebimoje ir nepasiekiamoje vietoje.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Ant dėžutės ir lizdinės plokštelės po </w:t>
      </w:r>
      <w:r>
        <w:rPr>
          <w:sz w:val="22"/>
          <w:szCs w:val="22"/>
          <w:highlight w:val="lightGray"/>
          <w:lang w:val="lt-LT" w:eastAsia="en-US"/>
        </w:rPr>
        <w:t>„Tinka iki“</w:t>
      </w:r>
      <w:r>
        <w:rPr>
          <w:sz w:val="22"/>
          <w:szCs w:val="22"/>
          <w:lang w:val="lt-LT" w:eastAsia="en-US"/>
        </w:rPr>
        <w:t xml:space="preserve"> „EXP“ nurodytam tinkamumo laikui pasibaigus, šio vaisto vartoti negalima. Vaistas tinkamas vartoti iki paskutinės nurodyto mėnesio dienos.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Laikyti ne aukštesnėje kaip 25 </w:t>
      </w:r>
      <w:r>
        <w:rPr>
          <w:sz w:val="22"/>
          <w:szCs w:val="22"/>
          <w:lang w:val="lt-LT" w:eastAsia="en-US"/>
        </w:rPr>
        <w:sym w:font="Symbol" w:char="F0B0"/>
      </w:r>
      <w:r>
        <w:rPr>
          <w:sz w:val="22"/>
          <w:szCs w:val="22"/>
          <w:lang w:val="lt-LT" w:eastAsia="en-US"/>
        </w:rPr>
        <w:t>C temperatūroje.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Laikyti gamintojo pakuotėje, kad vaistas būtų apsaugotas nuo drėgmės.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tabs>
          <w:tab w:val="left" w:pos="567"/>
        </w:tabs>
        <w:outlineLvl w:val="1"/>
        <w:rPr>
          <w:b/>
          <w:sz w:val="22"/>
          <w:szCs w:val="22"/>
          <w:lang w:val="lt-LT" w:eastAsia="en-US"/>
        </w:rPr>
      </w:pPr>
      <w:bookmarkStart w:id="10" w:name="_Toc129243269"/>
      <w:bookmarkStart w:id="11" w:name="_Toc129243144"/>
      <w:r>
        <w:rPr>
          <w:b/>
          <w:sz w:val="22"/>
          <w:szCs w:val="22"/>
          <w:lang w:val="lt-LT" w:eastAsia="en-US"/>
        </w:rPr>
        <w:lastRenderedPageBreak/>
        <w:t>6.</w:t>
      </w:r>
      <w:r>
        <w:rPr>
          <w:b/>
          <w:sz w:val="22"/>
          <w:szCs w:val="22"/>
          <w:lang w:val="lt-LT" w:eastAsia="en-US"/>
        </w:rPr>
        <w:tab/>
      </w:r>
      <w:bookmarkEnd w:id="10"/>
      <w:bookmarkEnd w:id="11"/>
      <w:r>
        <w:rPr>
          <w:b/>
          <w:sz w:val="22"/>
          <w:szCs w:val="22"/>
          <w:lang w:val="lt-LT" w:eastAsia="en-US"/>
        </w:rPr>
        <w:t>Pakuotės turinys ir kita informacija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  <w:r>
        <w:rPr>
          <w:b/>
          <w:bCs/>
          <w:sz w:val="22"/>
          <w:szCs w:val="22"/>
          <w:lang w:val="lt-LT" w:eastAsia="en-US"/>
        </w:rPr>
        <w:t xml:space="preserve"> sudėtis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Veiklioji medžiaga yra rafinuotas ir kiekybiškai įvertintas </w:t>
      </w:r>
      <w:proofErr w:type="spellStart"/>
      <w:r>
        <w:rPr>
          <w:sz w:val="22"/>
          <w:szCs w:val="22"/>
          <w:lang w:val="lt-LT" w:eastAsia="en-US"/>
        </w:rPr>
        <w:t>ginkmedžių</w:t>
      </w:r>
      <w:proofErr w:type="spellEnd"/>
      <w:r>
        <w:rPr>
          <w:sz w:val="22"/>
          <w:szCs w:val="22"/>
          <w:lang w:val="lt-LT" w:eastAsia="en-US"/>
        </w:rPr>
        <w:t xml:space="preserve"> sausasis ekstraktas. Kiekvienoje kietojoje kapsulėje yra 120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lt-LT" w:eastAsia="en-US"/>
        </w:rPr>
        <w:t xml:space="preserve">mg </w:t>
      </w:r>
      <w:proofErr w:type="spellStart"/>
      <w:r>
        <w:rPr>
          <w:i/>
          <w:sz w:val="22"/>
          <w:szCs w:val="22"/>
          <w:lang w:val="lt-LT" w:eastAsia="en-US"/>
        </w:rPr>
        <w:t>Ginkgo</w:t>
      </w:r>
      <w:proofErr w:type="spellEnd"/>
      <w:r>
        <w:rPr>
          <w:i/>
          <w:sz w:val="22"/>
          <w:szCs w:val="22"/>
          <w:lang w:val="lt-LT" w:eastAsia="en-US"/>
        </w:rPr>
        <w:t xml:space="preserve"> </w:t>
      </w:r>
      <w:proofErr w:type="spellStart"/>
      <w:r>
        <w:rPr>
          <w:i/>
          <w:sz w:val="22"/>
          <w:szCs w:val="22"/>
          <w:lang w:val="lt-LT" w:eastAsia="en-US"/>
        </w:rPr>
        <w:t>biloba</w:t>
      </w:r>
      <w:proofErr w:type="spellEnd"/>
      <w:r>
        <w:rPr>
          <w:sz w:val="22"/>
          <w:szCs w:val="22"/>
          <w:lang w:val="lt-LT" w:eastAsia="en-US"/>
        </w:rPr>
        <w:t xml:space="preserve"> L., </w:t>
      </w:r>
      <w:proofErr w:type="spellStart"/>
      <w:r>
        <w:rPr>
          <w:sz w:val="22"/>
          <w:szCs w:val="22"/>
          <w:lang w:val="lt-LT" w:eastAsia="en-US"/>
        </w:rPr>
        <w:t>folium</w:t>
      </w:r>
      <w:proofErr w:type="spellEnd"/>
      <w:r>
        <w:rPr>
          <w:sz w:val="22"/>
          <w:szCs w:val="22"/>
          <w:lang w:val="lt-LT" w:eastAsia="en-US"/>
        </w:rPr>
        <w:t xml:space="preserve"> (</w:t>
      </w:r>
      <w:proofErr w:type="spellStart"/>
      <w:r>
        <w:rPr>
          <w:sz w:val="22"/>
          <w:szCs w:val="22"/>
          <w:lang w:val="lt-LT" w:eastAsia="en-US"/>
        </w:rPr>
        <w:t>ginkmedžių</w:t>
      </w:r>
      <w:proofErr w:type="spellEnd"/>
      <w:r>
        <w:rPr>
          <w:sz w:val="22"/>
          <w:szCs w:val="22"/>
          <w:lang w:val="lt-LT" w:eastAsia="en-US"/>
        </w:rPr>
        <w:t xml:space="preserve"> lapų) rafinuoto ir kiekybiškai įvertinto sausojo ekstrakto (35-67:1), atitinkančio:</w:t>
      </w:r>
    </w:p>
    <w:p w:rsidR="00F33D14" w:rsidRDefault="00F33D14" w:rsidP="00F33D14">
      <w:pPr>
        <w:widowControl w:val="0"/>
        <w:numPr>
          <w:ilvl w:val="0"/>
          <w:numId w:val="5"/>
        </w:numPr>
        <w:ind w:left="993" w:hanging="426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26,4-32,4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lt-LT" w:eastAsia="en-US"/>
        </w:rPr>
        <w:t xml:space="preserve">mg </w:t>
      </w:r>
      <w:proofErr w:type="spellStart"/>
      <w:r>
        <w:rPr>
          <w:sz w:val="22"/>
          <w:szCs w:val="22"/>
          <w:lang w:val="lt-LT" w:eastAsia="en-US"/>
        </w:rPr>
        <w:t>flavonoidų</w:t>
      </w:r>
      <w:proofErr w:type="spellEnd"/>
      <w:r>
        <w:rPr>
          <w:sz w:val="22"/>
          <w:szCs w:val="22"/>
          <w:lang w:val="lt-LT" w:eastAsia="en-US"/>
        </w:rPr>
        <w:t xml:space="preserve"> (išreikštų flavonų glikozidais);</w:t>
      </w:r>
    </w:p>
    <w:p w:rsidR="00F33D14" w:rsidRDefault="00F33D14" w:rsidP="00F33D14">
      <w:pPr>
        <w:widowControl w:val="0"/>
        <w:numPr>
          <w:ilvl w:val="0"/>
          <w:numId w:val="5"/>
        </w:numPr>
        <w:ind w:left="993" w:hanging="426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3,36-4,08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lt-LT" w:eastAsia="en-US"/>
        </w:rPr>
        <w:t xml:space="preserve">mg </w:t>
      </w:r>
      <w:proofErr w:type="spellStart"/>
      <w:r>
        <w:rPr>
          <w:sz w:val="22"/>
          <w:szCs w:val="22"/>
          <w:lang w:val="lt-LT" w:eastAsia="en-US"/>
        </w:rPr>
        <w:t>ginkgolidų</w:t>
      </w:r>
      <w:proofErr w:type="spellEnd"/>
      <w:r>
        <w:rPr>
          <w:sz w:val="22"/>
          <w:szCs w:val="22"/>
          <w:lang w:val="lt-LT" w:eastAsia="en-US"/>
        </w:rPr>
        <w:t xml:space="preserve"> A, B ir C;</w:t>
      </w:r>
    </w:p>
    <w:p w:rsidR="00F33D14" w:rsidRDefault="00F33D14" w:rsidP="00F33D14">
      <w:pPr>
        <w:widowControl w:val="0"/>
        <w:numPr>
          <w:ilvl w:val="0"/>
          <w:numId w:val="5"/>
        </w:numPr>
        <w:ind w:left="993" w:hanging="426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3,12-3,84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lt-LT" w:eastAsia="en-US"/>
        </w:rPr>
        <w:t xml:space="preserve">mg </w:t>
      </w:r>
      <w:proofErr w:type="spellStart"/>
      <w:r>
        <w:rPr>
          <w:sz w:val="22"/>
          <w:szCs w:val="22"/>
          <w:lang w:val="lt-LT" w:eastAsia="en-US"/>
        </w:rPr>
        <w:t>bilobalido</w:t>
      </w:r>
      <w:proofErr w:type="spellEnd"/>
      <w:r>
        <w:rPr>
          <w:sz w:val="22"/>
          <w:szCs w:val="22"/>
          <w:lang w:val="lt-LT" w:eastAsia="en-US"/>
        </w:rPr>
        <w:t>.</w:t>
      </w:r>
    </w:p>
    <w:p w:rsidR="00F33D14" w:rsidRDefault="00F33D14" w:rsidP="00F33D14">
      <w:pPr>
        <w:widowControl w:val="0"/>
        <w:ind w:firstLine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Pirminis ekstrakcijos tirpiklis: 60 % acetonas (m/m).</w:t>
      </w:r>
    </w:p>
    <w:p w:rsidR="00F33D14" w:rsidRDefault="00F33D14" w:rsidP="00F33D14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</w:rPr>
      </w:pPr>
      <w:r>
        <w:rPr>
          <w:sz w:val="22"/>
          <w:szCs w:val="22"/>
          <w:lang w:val="lt-LT" w:eastAsia="en-US"/>
        </w:rPr>
        <w:t xml:space="preserve">Pagalbinės medžiagos. Kapsulės turinys: laktozė </w:t>
      </w:r>
      <w:proofErr w:type="spellStart"/>
      <w:r>
        <w:rPr>
          <w:sz w:val="22"/>
          <w:szCs w:val="22"/>
          <w:lang w:val="lt-LT" w:eastAsia="en-US"/>
        </w:rPr>
        <w:t>monohidratas</w:t>
      </w:r>
      <w:proofErr w:type="spellEnd"/>
      <w:r>
        <w:rPr>
          <w:sz w:val="22"/>
          <w:szCs w:val="22"/>
          <w:lang w:val="lt-LT" w:eastAsia="en-US"/>
        </w:rPr>
        <w:t xml:space="preserve">, kukurūzų krakmolas, talkas, bevandenis koloidinis silicio dioksidas, magnio </w:t>
      </w:r>
      <w:proofErr w:type="spellStart"/>
      <w:r>
        <w:rPr>
          <w:sz w:val="22"/>
          <w:szCs w:val="22"/>
          <w:lang w:val="lt-LT" w:eastAsia="en-US"/>
        </w:rPr>
        <w:t>stearatas</w:t>
      </w:r>
      <w:proofErr w:type="spellEnd"/>
      <w:r>
        <w:rPr>
          <w:sz w:val="22"/>
          <w:szCs w:val="22"/>
          <w:lang w:val="lt-LT" w:eastAsia="en-US"/>
        </w:rPr>
        <w:t xml:space="preserve"> (E470b). Kapsulės apvalkalas: juodasis geležies oksidas (E172), raudonasis geležies oksidas (E172), geltonasis geležies oksidas (E172), titano dioksidas (E171) ir želatina.</w:t>
      </w:r>
    </w:p>
    <w:p w:rsidR="00F33D14" w:rsidRDefault="00F33D14" w:rsidP="00F33D14">
      <w:pPr>
        <w:widowControl w:val="0"/>
        <w:numPr>
          <w:ilvl w:val="0"/>
          <w:numId w:val="2"/>
        </w:numPr>
        <w:ind w:left="567" w:hanging="567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Augalinės vaistinės medžiagos pagalbinė medžiaga: skystoji gliukozė, džiovinta išpurškiant.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proofErr w:type="spellStart"/>
      <w:r>
        <w:rPr>
          <w:b/>
          <w:bCs/>
          <w:sz w:val="22"/>
          <w:szCs w:val="22"/>
          <w:lang w:val="lt-LT" w:eastAsia="en-US"/>
        </w:rPr>
        <w:t>Bilobil</w:t>
      </w:r>
      <w:proofErr w:type="spellEnd"/>
      <w:r>
        <w:rPr>
          <w:b/>
          <w:bCs/>
          <w:sz w:val="22"/>
          <w:szCs w:val="22"/>
          <w:lang w:val="lt-LT" w:eastAsia="en-US"/>
        </w:rPr>
        <w:t xml:space="preserve"> išvaizda ir kiekis pakuotėje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Rudos kapsulės, kuriose yra šviesiai bei tamsiai rudų miltelių ir matomų tamsesnių dalelių (gali būti ir nedidelių grumstelių).</w:t>
      </w: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tabs>
          <w:tab w:val="left" w:pos="520"/>
        </w:tabs>
        <w:jc w:val="both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Vaistas teikiamas 20 ir 60 kapsulių lizdinėse plokštelėse dėžutėmis. Kiekvienoje lizdinėje plokštelėje yra 10 kapsulių.</w:t>
      </w: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b/>
          <w:bCs/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/>
        </w:rPr>
        <w:t>Registruotojas</w:t>
      </w:r>
      <w:r>
        <w:rPr>
          <w:b/>
          <w:bCs/>
          <w:sz w:val="22"/>
          <w:szCs w:val="22"/>
          <w:lang w:val="lt-LT" w:eastAsia="en-US"/>
        </w:rPr>
        <w:t xml:space="preserve"> ir gamintojas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KRKA, </w:t>
      </w:r>
      <w:proofErr w:type="spellStart"/>
      <w:r>
        <w:rPr>
          <w:sz w:val="22"/>
          <w:szCs w:val="22"/>
          <w:lang w:val="lt-LT" w:eastAsia="en-US"/>
        </w:rPr>
        <w:t>d.d</w:t>
      </w:r>
      <w:proofErr w:type="spellEnd"/>
      <w:r>
        <w:rPr>
          <w:sz w:val="22"/>
          <w:szCs w:val="22"/>
          <w:lang w:val="lt-LT" w:eastAsia="en-US"/>
        </w:rPr>
        <w:t xml:space="preserve">., Novo mesto, </w:t>
      </w:r>
      <w:proofErr w:type="spellStart"/>
      <w:r>
        <w:rPr>
          <w:sz w:val="22"/>
          <w:szCs w:val="22"/>
          <w:lang w:val="lt-LT" w:eastAsia="en-US"/>
        </w:rPr>
        <w:t>Šmarješka</w:t>
      </w:r>
      <w:proofErr w:type="spellEnd"/>
      <w:r>
        <w:rPr>
          <w:sz w:val="22"/>
          <w:szCs w:val="22"/>
          <w:lang w:val="lt-LT" w:eastAsia="en-US"/>
        </w:rPr>
        <w:t xml:space="preserve"> </w:t>
      </w:r>
      <w:proofErr w:type="spellStart"/>
      <w:r>
        <w:rPr>
          <w:sz w:val="22"/>
          <w:szCs w:val="22"/>
          <w:lang w:val="lt-LT" w:eastAsia="en-US"/>
        </w:rPr>
        <w:t>cesta</w:t>
      </w:r>
      <w:proofErr w:type="spellEnd"/>
      <w:r>
        <w:rPr>
          <w:sz w:val="22"/>
          <w:szCs w:val="22"/>
          <w:lang w:val="lt-LT" w:eastAsia="en-US"/>
        </w:rPr>
        <w:t xml:space="preserve"> 6, 8501 Novo mesto, Slovėnija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Jeigu apie šį vaistą norite sužinoti daugiau, kreipkitės į vietinį </w:t>
      </w:r>
      <w:r>
        <w:rPr>
          <w:sz w:val="22"/>
          <w:szCs w:val="22"/>
          <w:lang w:val="lt-LT"/>
        </w:rPr>
        <w:t>registruotojo</w:t>
      </w:r>
      <w:r>
        <w:rPr>
          <w:sz w:val="22"/>
          <w:szCs w:val="22"/>
          <w:lang w:val="lt-LT" w:eastAsia="en-US"/>
        </w:rPr>
        <w:t xml:space="preserve"> atstovą.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F33D14" w:rsidTr="00F33D14">
        <w:tc>
          <w:tcPr>
            <w:tcW w:w="4678" w:type="dxa"/>
            <w:hideMark/>
          </w:tcPr>
          <w:p w:rsidR="00F33D14" w:rsidRDefault="00F33D14">
            <w:pPr>
              <w:widowControl w:val="0"/>
              <w:rPr>
                <w:sz w:val="22"/>
                <w:szCs w:val="22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UAB KRKA Lietuva</w:t>
            </w:r>
          </w:p>
          <w:p w:rsidR="00F33D14" w:rsidRDefault="00F33D14">
            <w:pPr>
              <w:widowControl w:val="0"/>
              <w:rPr>
                <w:sz w:val="22"/>
                <w:szCs w:val="22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Senasis Ukmergės kelias 4</w:t>
            </w:r>
          </w:p>
          <w:p w:rsidR="00F33D14" w:rsidRDefault="00F33D14">
            <w:pPr>
              <w:widowControl w:val="0"/>
              <w:rPr>
                <w:sz w:val="22"/>
                <w:szCs w:val="22"/>
                <w:lang w:val="lt-LT" w:eastAsia="en-US"/>
              </w:rPr>
            </w:pPr>
            <w:proofErr w:type="spellStart"/>
            <w:r>
              <w:rPr>
                <w:sz w:val="22"/>
                <w:szCs w:val="22"/>
                <w:lang w:val="lt-LT" w:eastAsia="en-US"/>
              </w:rPr>
              <w:t>Užubalių</w:t>
            </w:r>
            <w:proofErr w:type="spellEnd"/>
            <w:r>
              <w:rPr>
                <w:sz w:val="22"/>
                <w:szCs w:val="22"/>
                <w:lang w:val="lt-LT" w:eastAsia="en-US"/>
              </w:rPr>
              <w:t xml:space="preserve"> km., Vilniaus r.</w:t>
            </w:r>
          </w:p>
          <w:p w:rsidR="00F33D14" w:rsidRDefault="00F33D14">
            <w:pPr>
              <w:widowControl w:val="0"/>
              <w:tabs>
                <w:tab w:val="left" w:pos="1530"/>
              </w:tabs>
              <w:rPr>
                <w:sz w:val="22"/>
                <w:szCs w:val="22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LT - 14013</w:t>
            </w:r>
          </w:p>
          <w:p w:rsidR="00F33D14" w:rsidRDefault="00F33D14">
            <w:pPr>
              <w:widowControl w:val="0"/>
              <w:rPr>
                <w:sz w:val="22"/>
                <w:szCs w:val="22"/>
                <w:lang w:val="lt-LT" w:eastAsia="en-US"/>
              </w:rPr>
            </w:pPr>
            <w:r>
              <w:rPr>
                <w:sz w:val="22"/>
                <w:szCs w:val="22"/>
                <w:lang w:val="lt-LT" w:eastAsia="en-US"/>
              </w:rPr>
              <w:t>Tel. + 370 5 236 27 40</w:t>
            </w:r>
          </w:p>
        </w:tc>
      </w:tr>
    </w:tbl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u w:val="single"/>
          <w:lang w:val="lt-LT" w:eastAsia="en-US"/>
        </w:rPr>
      </w:pP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  <w:r>
        <w:rPr>
          <w:b/>
          <w:bCs/>
          <w:sz w:val="22"/>
          <w:szCs w:val="22"/>
          <w:lang w:val="lt-LT" w:eastAsia="en-US"/>
        </w:rPr>
        <w:t>Šis pakuotės lapelis</w:t>
      </w:r>
      <w:r>
        <w:rPr>
          <w:b/>
          <w:sz w:val="22"/>
          <w:szCs w:val="22"/>
          <w:lang w:val="lt-LT" w:eastAsia="en-US"/>
        </w:rPr>
        <w:t xml:space="preserve"> paskutinį kartą peržiūrėtas 2019-04-26.</w:t>
      </w:r>
    </w:p>
    <w:p w:rsidR="00F33D14" w:rsidRDefault="00F33D14" w:rsidP="00F33D14">
      <w:pPr>
        <w:widowControl w:val="0"/>
        <w:rPr>
          <w:sz w:val="22"/>
          <w:szCs w:val="22"/>
          <w:lang w:val="lt-LT" w:eastAsia="en-US"/>
        </w:rPr>
      </w:pPr>
    </w:p>
    <w:p w:rsidR="00F33D14" w:rsidRDefault="00F33D14" w:rsidP="00F33D14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>
        <w:rPr>
          <w:i/>
          <w:sz w:val="22"/>
          <w:szCs w:val="22"/>
          <w:lang w:val="lt-LT"/>
        </w:rPr>
        <w:t xml:space="preserve"> </w:t>
      </w:r>
      <w:hyperlink r:id="rId8" w:history="1">
        <w:r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>
        <w:rPr>
          <w:sz w:val="22"/>
          <w:szCs w:val="22"/>
          <w:lang w:val="lt-LT"/>
        </w:rPr>
        <w:t>.</w:t>
      </w:r>
    </w:p>
    <w:p w:rsidR="00F33D14" w:rsidRDefault="00F33D14" w:rsidP="00F33D14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F33D14" w:rsidRDefault="00F33D14" w:rsidP="00F33D14">
      <w:pPr>
        <w:widowControl w:val="0"/>
        <w:numPr>
          <w:ilvl w:val="12"/>
          <w:numId w:val="0"/>
        </w:numPr>
        <w:ind w:right="-2"/>
        <w:rPr>
          <w:sz w:val="22"/>
          <w:szCs w:val="22"/>
        </w:rPr>
      </w:pPr>
    </w:p>
    <w:p w:rsidR="00F33D14" w:rsidRDefault="00F33D14" w:rsidP="00F33D14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:rsidR="00F33D14" w:rsidRDefault="00F33D14" w:rsidP="00F33D14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lt-LT"/>
        </w:rPr>
      </w:pPr>
    </w:p>
    <w:p w:rsidR="00AA1D8D" w:rsidRDefault="00AA1D8D">
      <w:bookmarkStart w:id="12" w:name="_GoBack"/>
      <w:bookmarkEnd w:id="12"/>
    </w:p>
    <w:sectPr w:rsidR="00AA1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0B16"/>
    <w:multiLevelType w:val="hybridMultilevel"/>
    <w:tmpl w:val="6A1E985C"/>
    <w:lvl w:ilvl="0" w:tplc="8DBCC6D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76CA"/>
    <w:multiLevelType w:val="hybridMultilevel"/>
    <w:tmpl w:val="EC14645C"/>
    <w:lvl w:ilvl="0" w:tplc="4DC26A2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86E"/>
    <w:multiLevelType w:val="hybridMultilevel"/>
    <w:tmpl w:val="1EFAA22C"/>
    <w:lvl w:ilvl="0" w:tplc="9FC007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4"/>
        <w:u w:val="none"/>
        <w:effect w:val="none"/>
        <w:vertAlign w:val="baseline"/>
        <w:specVanish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81E52"/>
    <w:multiLevelType w:val="hybridMultilevel"/>
    <w:tmpl w:val="B7165DC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212C1"/>
    <w:multiLevelType w:val="hybridMultilevel"/>
    <w:tmpl w:val="77CC5B58"/>
    <w:lvl w:ilvl="0" w:tplc="794857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14"/>
    <w:rsid w:val="007D2E28"/>
    <w:rsid w:val="00AA1D8D"/>
    <w:rsid w:val="00F3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BCF90-1F80-4144-A991-49FAD4F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3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F33D14"/>
    <w:rPr>
      <w:rFonts w:ascii="Times New Roman" w:hAnsi="Times New Roman" w:cs="Times New Roman" w:hint="default"/>
      <w:color w:val="auto"/>
      <w:sz w:val="24"/>
      <w:szCs w:val="24"/>
      <w:u w:val="single"/>
      <w:lang w:val="en-US"/>
    </w:rPr>
  </w:style>
  <w:style w:type="paragraph" w:styleId="Sraopastraipa">
    <w:name w:val="List Paragraph"/>
    <w:basedOn w:val="prastasis"/>
    <w:uiPriority w:val="34"/>
    <w:qFormat/>
    <w:rsid w:val="00F33D14"/>
    <w:pPr>
      <w:ind w:left="720"/>
    </w:pPr>
    <w:rPr>
      <w:rFonts w:ascii="Calibri" w:eastAsia="Calibri" w:hAnsi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5875</Words>
  <Characters>3349</Characters>
  <Application>Microsoft Office Word</Application>
  <DocSecurity>0</DocSecurity>
  <Lines>27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Žentelienė</dc:creator>
  <cp:keywords/>
  <dc:description/>
  <cp:lastModifiedBy>Sigita Žentelienė</cp:lastModifiedBy>
  <cp:revision>1</cp:revision>
  <dcterms:created xsi:type="dcterms:W3CDTF">2019-04-29T13:03:00Z</dcterms:created>
  <dcterms:modified xsi:type="dcterms:W3CDTF">2019-04-29T13:03:00Z</dcterms:modified>
</cp:coreProperties>
</file>