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81" w:rsidRDefault="00432481" w:rsidP="00432481">
      <w:pPr>
        <w:pStyle w:val="Pavadinimas"/>
      </w:pPr>
      <w:r>
        <w:t>Pakuotės lapelis: informacija vartotojui</w:t>
      </w:r>
    </w:p>
    <w:p w:rsidR="00432481" w:rsidRDefault="00432481" w:rsidP="00432481">
      <w:pPr>
        <w:tabs>
          <w:tab w:val="left" w:pos="567"/>
        </w:tabs>
        <w:jc w:val="center"/>
        <w:rPr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jc w:val="center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Addaven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koncentratas infuziniam tirpalui</w:t>
      </w:r>
    </w:p>
    <w:p w:rsidR="00432481" w:rsidRDefault="00432481" w:rsidP="00432481">
      <w:pPr>
        <w:tabs>
          <w:tab w:val="left" w:pos="567"/>
        </w:tabs>
        <w:jc w:val="center"/>
        <w:rPr>
          <w:sz w:val="22"/>
          <w:szCs w:val="22"/>
          <w:lang w:eastAsia="lt-LT"/>
        </w:rPr>
      </w:pPr>
      <w:r>
        <w:rPr>
          <w:sz w:val="22"/>
          <w:szCs w:val="22"/>
        </w:rPr>
        <w:t xml:space="preserve">Chromo chloridas </w:t>
      </w:r>
      <w:proofErr w:type="spellStart"/>
      <w:r>
        <w:rPr>
          <w:sz w:val="22"/>
          <w:szCs w:val="22"/>
        </w:rPr>
        <w:t>heksahidratas</w:t>
      </w:r>
      <w:proofErr w:type="spellEnd"/>
      <w:r>
        <w:rPr>
          <w:sz w:val="22"/>
          <w:szCs w:val="22"/>
        </w:rPr>
        <w:t xml:space="preserve">, vario chloridas </w:t>
      </w:r>
      <w:proofErr w:type="spellStart"/>
      <w:r>
        <w:rPr>
          <w:sz w:val="22"/>
          <w:szCs w:val="22"/>
        </w:rPr>
        <w:t>dihidratas</w:t>
      </w:r>
      <w:proofErr w:type="spellEnd"/>
      <w:r>
        <w:rPr>
          <w:sz w:val="22"/>
          <w:szCs w:val="22"/>
        </w:rPr>
        <w:t xml:space="preserve">, geležies (III) chloridas </w:t>
      </w:r>
      <w:proofErr w:type="spellStart"/>
      <w:r>
        <w:rPr>
          <w:sz w:val="22"/>
          <w:szCs w:val="22"/>
        </w:rPr>
        <w:t>heksahidratas</w:t>
      </w:r>
      <w:proofErr w:type="spellEnd"/>
      <w:r>
        <w:rPr>
          <w:sz w:val="22"/>
          <w:szCs w:val="22"/>
        </w:rPr>
        <w:t xml:space="preserve">, mangano chloridas </w:t>
      </w:r>
      <w:proofErr w:type="spellStart"/>
      <w:r>
        <w:rPr>
          <w:sz w:val="22"/>
          <w:szCs w:val="22"/>
        </w:rPr>
        <w:t>tetrahidratas</w:t>
      </w:r>
      <w:proofErr w:type="spellEnd"/>
      <w:r>
        <w:rPr>
          <w:sz w:val="22"/>
          <w:szCs w:val="22"/>
        </w:rPr>
        <w:t xml:space="preserve">, kalio jodidas, natrio fluoridas, natrio </w:t>
      </w:r>
      <w:proofErr w:type="spellStart"/>
      <w:r>
        <w:rPr>
          <w:sz w:val="22"/>
          <w:szCs w:val="22"/>
        </w:rPr>
        <w:t>molibdatas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dihidratas</w:t>
      </w:r>
      <w:proofErr w:type="spellEnd"/>
      <w:r>
        <w:rPr>
          <w:sz w:val="22"/>
          <w:szCs w:val="22"/>
        </w:rPr>
        <w:t>, bevandenis natrio selenitas, cinko chloridas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432481" w:rsidRDefault="00432481" w:rsidP="00432481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Neišmeskite šio lapelio, nes vėl gali prireikti jį perskaityti.</w:t>
      </w:r>
    </w:p>
    <w:p w:rsidR="00432481" w:rsidRDefault="00432481" w:rsidP="00432481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Jeigu kiltų daugiau klausimų, kreipkitės į gydytoją, vaistininką arba slaugytoją.</w:t>
      </w:r>
    </w:p>
    <w:p w:rsidR="00432481" w:rsidRDefault="00432481" w:rsidP="00432481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Jeigu pasireiškė šalutinis poveikis (net jeigu jis šiame lapelyje nenurodytas), kreipkitės į gydytoją, vaistininką arba slaugytoją. </w:t>
      </w:r>
      <w:r>
        <w:rPr>
          <w:noProof/>
          <w:sz w:val="22"/>
          <w:szCs w:val="22"/>
        </w:rPr>
        <w:t>Žr. 4 skyrių.</w:t>
      </w:r>
    </w:p>
    <w:p w:rsidR="00432481" w:rsidRDefault="00432481" w:rsidP="00432481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Apie ką rašoma šiame lapelyje? </w:t>
      </w:r>
    </w:p>
    <w:p w:rsidR="00432481" w:rsidRDefault="00432481" w:rsidP="00432481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Addaven</w:t>
      </w:r>
      <w:proofErr w:type="spellEnd"/>
      <w:r>
        <w:rPr>
          <w:sz w:val="22"/>
          <w:szCs w:val="22"/>
        </w:rPr>
        <w:t xml:space="preserve"> ir kam jis vartojamas.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Addaven</w:t>
      </w:r>
      <w:proofErr w:type="spellEnd"/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Addaven</w:t>
      </w:r>
      <w:proofErr w:type="spellEnd"/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ab/>
        <w:t>Galimas šalutinis poveikis.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bCs/>
          <w:sz w:val="22"/>
          <w:szCs w:val="22"/>
        </w:rPr>
        <w:t>Addaven</w:t>
      </w:r>
      <w:proofErr w:type="spellEnd"/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Pakuotės turinys ir kita informacija.</w:t>
      </w:r>
    </w:p>
    <w:p w:rsidR="00432481" w:rsidRDefault="00432481" w:rsidP="00432481">
      <w:pPr>
        <w:pStyle w:val="Antrat2"/>
        <w:tabs>
          <w:tab w:val="left" w:pos="567"/>
        </w:tabs>
        <w:jc w:val="both"/>
        <w:rPr>
          <w:b w:val="0"/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pStyle w:val="Pagrindinistekstas3"/>
        <w:tabs>
          <w:tab w:val="left" w:pos="567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1.</w:t>
      </w:r>
      <w:r>
        <w:rPr>
          <w:i w:val="0"/>
          <w:sz w:val="22"/>
          <w:szCs w:val="22"/>
        </w:rPr>
        <w:tab/>
        <w:t xml:space="preserve">Kas yra </w:t>
      </w:r>
      <w:proofErr w:type="spellStart"/>
      <w:r>
        <w:rPr>
          <w:i w:val="0"/>
          <w:sz w:val="22"/>
          <w:szCs w:val="22"/>
        </w:rPr>
        <w:t>Addaven</w:t>
      </w:r>
      <w:proofErr w:type="spellEnd"/>
      <w:r>
        <w:rPr>
          <w:i w:val="0"/>
          <w:sz w:val="22"/>
          <w:szCs w:val="22"/>
        </w:rPr>
        <w:t xml:space="preserve"> ir kam jis vartojamas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  <w:proofErr w:type="spellStart"/>
      <w:r>
        <w:rPr>
          <w:b w:val="0"/>
          <w:i w:val="0"/>
          <w:sz w:val="22"/>
          <w:szCs w:val="22"/>
        </w:rPr>
        <w:t>Addaven</w:t>
      </w:r>
      <w:proofErr w:type="spellEnd"/>
      <w:r>
        <w:rPr>
          <w:b w:val="0"/>
          <w:i w:val="0"/>
          <w:sz w:val="22"/>
          <w:szCs w:val="22"/>
        </w:rPr>
        <w:t xml:space="preserve"> - tai koncentratas infuziniam tirpalui. Jame yra mikroelementų.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Vienos ampulės turinio pakanka suaugusių žmonių, kurių organizmo mikroelementų (chromui, variui, geležiai, manganui, molibdenui, selenui, cinkui ir jodui) poreikis yra šiek tiek arba vidutiniškai padidėjęs, paros poreikiui patenkinti. 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Addaven</w:t>
      </w:r>
      <w:proofErr w:type="spellEnd"/>
      <w:r>
        <w:rPr>
          <w:sz w:val="22"/>
          <w:szCs w:val="22"/>
        </w:rPr>
        <w:t xml:space="preserve"> vartojama tuo atveju, jei reikia paciento, maitinamo infuzijų į veną būdu, organizmą aprūpinti mikroelementais, kai jų poreikis yra šiek tiek ar vidutiniškai padidėjęs.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Kas žinotina prieš vartojant </w:t>
      </w:r>
      <w:proofErr w:type="spellStart"/>
      <w:r>
        <w:rPr>
          <w:b/>
          <w:sz w:val="22"/>
          <w:szCs w:val="22"/>
        </w:rPr>
        <w:t>Addaven</w:t>
      </w:r>
      <w:proofErr w:type="spellEnd"/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Addaven</w:t>
      </w:r>
      <w:proofErr w:type="spellEnd"/>
      <w:r>
        <w:rPr>
          <w:b/>
          <w:sz w:val="22"/>
          <w:szCs w:val="22"/>
        </w:rPr>
        <w:t xml:space="preserve"> vartoti negalima:</w:t>
      </w:r>
    </w:p>
    <w:p w:rsidR="00432481" w:rsidRDefault="00432481" w:rsidP="00432481">
      <w:pPr>
        <w:pStyle w:val="Pagrindinistekstas"/>
        <w:numPr>
          <w:ilvl w:val="0"/>
          <w:numId w:val="1"/>
        </w:numPr>
        <w:tabs>
          <w:tab w:val="num" w:pos="540"/>
          <w:tab w:val="left" w:pos="567"/>
        </w:tabs>
        <w:spacing w:line="240" w:lineRule="auto"/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jeigu yra alergija veikliosioms medžiagoms arba bet kuriai pagalbinei šio vaisto medžiagai (jos išvardytos 6 skyriuje). </w:t>
      </w:r>
      <w:r>
        <w:rPr>
          <w:b/>
          <w:sz w:val="22"/>
          <w:szCs w:val="22"/>
        </w:rPr>
        <w:t>Jeigu Jus išbėrė arba pasireiškė kitokia alerginė reakcija (pvz., niežulys, lūpų arba veido patinimas, dusulys), nedelsiant pasakykite gydytojui.</w:t>
      </w:r>
    </w:p>
    <w:p w:rsidR="00432481" w:rsidRDefault="00432481" w:rsidP="00432481">
      <w:pPr>
        <w:pStyle w:val="Pagrindinistekstas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jei yra visiška tulžies latakų užsikimšimas (obstrukcija);</w:t>
      </w:r>
    </w:p>
    <w:p w:rsidR="00432481" w:rsidRDefault="00432481" w:rsidP="00432481">
      <w:pPr>
        <w:pStyle w:val="Pagrindinistekstas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jei sergate Vilsono liga (genetinis sutrikimas, kai organizme kaupiasi per didelis vario kiekis). 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b/>
          <w:sz w:val="22"/>
          <w:szCs w:val="22"/>
          <w:lang w:eastAsia="lt-LT"/>
        </w:rPr>
      </w:pPr>
      <w:r>
        <w:rPr>
          <w:b/>
          <w:sz w:val="22"/>
          <w:szCs w:val="22"/>
        </w:rPr>
        <w:t xml:space="preserve">Įspėjimai ir atsargumo priemonės: 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Jeigu turite nusiskundimų dėl inkstų ir (arba) kepenų veiklos, pasakykite gydytojui.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Gydytojas gali paprašyti reguliariai atlikti kraujo tyrimus, kad galėtų įvertinti Jūsų būklę.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Pasitarkite su gydytoju, vaistininku arba slaugytoju, prieš pradėdami vartoti Addaven.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Kiti vaistai ir </w:t>
      </w:r>
      <w:proofErr w:type="spellStart"/>
      <w:r>
        <w:rPr>
          <w:b/>
          <w:sz w:val="22"/>
          <w:szCs w:val="22"/>
        </w:rPr>
        <w:t>Addaven</w:t>
      </w:r>
      <w:proofErr w:type="spellEnd"/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Jeigu vartojate arba neseniai vartojote kitų vaistų arba dėl to nesate tikri, apie tai pasakykite gydytojui arba vaistininkui.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b/>
          <w:sz w:val="22"/>
          <w:szCs w:val="22"/>
          <w:lang w:eastAsia="lt-LT"/>
        </w:rPr>
      </w:pPr>
      <w:r>
        <w:rPr>
          <w:b/>
          <w:sz w:val="22"/>
          <w:szCs w:val="22"/>
        </w:rPr>
        <w:lastRenderedPageBreak/>
        <w:t xml:space="preserve">Nėštumas ir žindymo laikotarpis </w:t>
      </w:r>
    </w:p>
    <w:p w:rsidR="00432481" w:rsidRDefault="00432481" w:rsidP="00432481">
      <w:pPr>
        <w:numPr>
          <w:ilvl w:val="12"/>
          <w:numId w:val="0"/>
        </w:numPr>
        <w:rPr>
          <w:sz w:val="22"/>
          <w:szCs w:val="22"/>
        </w:rPr>
      </w:pPr>
      <w:r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rPr>
          <w:b/>
          <w:sz w:val="22"/>
          <w:szCs w:val="22"/>
          <w:lang w:eastAsia="lt-LT"/>
        </w:rPr>
      </w:pPr>
      <w:r>
        <w:rPr>
          <w:b/>
          <w:sz w:val="22"/>
          <w:szCs w:val="22"/>
        </w:rPr>
        <w:t>Vairavimas ir mechanizmų valdymas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Poveikio gebėjimui vairuoti ir dirbti su mechanizmais nepastebėta. 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rPr>
          <w:b/>
          <w:bCs/>
          <w:sz w:val="22"/>
        </w:rPr>
      </w:pPr>
      <w:proofErr w:type="spellStart"/>
      <w:r>
        <w:rPr>
          <w:b/>
          <w:sz w:val="22"/>
          <w:szCs w:val="22"/>
        </w:rPr>
        <w:t>Addaven</w:t>
      </w:r>
      <w:proofErr w:type="spellEnd"/>
      <w:r>
        <w:rPr>
          <w:b/>
          <w:bCs/>
          <w:sz w:val="22"/>
        </w:rPr>
        <w:t xml:space="preserve"> sudėtyje yra natrio ir kalio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Šio vaisto ampulėje yra mažiau kaip 1 </w:t>
      </w:r>
      <w:proofErr w:type="spellStart"/>
      <w:r>
        <w:rPr>
          <w:sz w:val="22"/>
          <w:szCs w:val="22"/>
          <w:lang w:eastAsia="lt-LT"/>
        </w:rPr>
        <w:t>mmol</w:t>
      </w:r>
      <w:proofErr w:type="spellEnd"/>
      <w:r>
        <w:rPr>
          <w:sz w:val="22"/>
          <w:szCs w:val="22"/>
          <w:lang w:eastAsia="lt-LT"/>
        </w:rPr>
        <w:t xml:space="preserve"> (23 mg) natrio, </w:t>
      </w:r>
      <w:proofErr w:type="spellStart"/>
      <w:r>
        <w:rPr>
          <w:sz w:val="22"/>
          <w:szCs w:val="22"/>
          <w:lang w:eastAsia="lt-LT"/>
        </w:rPr>
        <w:t>t.y</w:t>
      </w:r>
      <w:proofErr w:type="spellEnd"/>
      <w:r>
        <w:rPr>
          <w:sz w:val="22"/>
          <w:szCs w:val="22"/>
          <w:lang w:eastAsia="lt-LT"/>
        </w:rPr>
        <w:t>. jis beveik neturi reikšmės.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Šio vaisto ampulėje yra mažiau kaip 1 </w:t>
      </w:r>
      <w:proofErr w:type="spellStart"/>
      <w:r>
        <w:rPr>
          <w:sz w:val="22"/>
          <w:szCs w:val="22"/>
          <w:lang w:eastAsia="lt-LT"/>
        </w:rPr>
        <w:t>mmol</w:t>
      </w:r>
      <w:proofErr w:type="spellEnd"/>
      <w:r>
        <w:rPr>
          <w:sz w:val="22"/>
          <w:szCs w:val="22"/>
          <w:lang w:eastAsia="lt-LT"/>
        </w:rPr>
        <w:t xml:space="preserve"> (39 mg) kalio, </w:t>
      </w:r>
      <w:proofErr w:type="spellStart"/>
      <w:r>
        <w:rPr>
          <w:sz w:val="22"/>
          <w:szCs w:val="22"/>
          <w:lang w:eastAsia="lt-LT"/>
        </w:rPr>
        <w:t>t.y</w:t>
      </w:r>
      <w:proofErr w:type="spellEnd"/>
      <w:r>
        <w:rPr>
          <w:sz w:val="22"/>
          <w:szCs w:val="22"/>
          <w:lang w:eastAsia="lt-LT"/>
        </w:rPr>
        <w:t>. jis beveik neturi reikšmės.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ind w:left="540" w:hanging="540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Kaip vartoti </w:t>
      </w:r>
      <w:proofErr w:type="spellStart"/>
      <w:r>
        <w:rPr>
          <w:b/>
          <w:sz w:val="22"/>
          <w:szCs w:val="22"/>
        </w:rPr>
        <w:t>Addaven</w:t>
      </w:r>
      <w:proofErr w:type="spellEnd"/>
      <w:r>
        <w:rPr>
          <w:b/>
          <w:sz w:val="22"/>
          <w:szCs w:val="22"/>
        </w:rPr>
        <w:t xml:space="preserve"> 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Šį vaistą Jums suleis sveikatos priežiūros specialistas.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Vaistas bus leidžiamas naudojant lašinę sistemą, tiesiai į veną.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Gydytojas nuspręs, kokia dozė Jums yra tinkamiausia.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Rekomenduojama dozė suaugusiesiems yra 10 ml sterilaus koncentrato per parą.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Addaven</w:t>
      </w:r>
      <w:proofErr w:type="spellEnd"/>
      <w:r>
        <w:rPr>
          <w:sz w:val="22"/>
          <w:szCs w:val="22"/>
        </w:rPr>
        <w:t xml:space="preserve"> neskiesto vartoti draudžiama. Prieš vartojimą vaistas turi būti praskiestas kitokiu tirpalu. Gydytojas arba slaugytoja užtikrins, kad </w:t>
      </w:r>
      <w:proofErr w:type="spellStart"/>
      <w:r>
        <w:rPr>
          <w:sz w:val="22"/>
          <w:szCs w:val="22"/>
        </w:rPr>
        <w:t>Addaven</w:t>
      </w:r>
      <w:proofErr w:type="spellEnd"/>
      <w:r>
        <w:rPr>
          <w:sz w:val="22"/>
          <w:szCs w:val="22"/>
        </w:rPr>
        <w:t xml:space="preserve"> yra teisingai paruoštas vartojimui.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Vartojimas vaikams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Sveriantiems daugiau kaip 15 kg vaikams rekomenduojama 0,1 ml/kg kūno svorio paros dozė.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Ką daryti, pavartojus per didelę </w:t>
      </w:r>
      <w:proofErr w:type="spellStart"/>
      <w:r>
        <w:rPr>
          <w:b/>
          <w:sz w:val="22"/>
          <w:szCs w:val="22"/>
        </w:rPr>
        <w:t>Addaven</w:t>
      </w:r>
      <w:proofErr w:type="spellEnd"/>
      <w:r>
        <w:rPr>
          <w:b/>
          <w:sz w:val="22"/>
          <w:szCs w:val="22"/>
        </w:rPr>
        <w:t xml:space="preserve"> dozę?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Didesnės dozės, nei reikalinga, pavartojimas yra visiškai neįtikėtinas, nes slaugytoja arba gydytojas visą infuzijos laikotarpį nuolat Jus stebės. Vis dėlto, jei manote, kad </w:t>
      </w:r>
      <w:proofErr w:type="spellStart"/>
      <w:r>
        <w:rPr>
          <w:sz w:val="22"/>
          <w:szCs w:val="22"/>
        </w:rPr>
        <w:t>Addaven</w:t>
      </w:r>
      <w:proofErr w:type="spellEnd"/>
      <w:r>
        <w:rPr>
          <w:sz w:val="22"/>
          <w:szCs w:val="22"/>
        </w:rPr>
        <w:t xml:space="preserve"> Jums pavartota per daug, nedelsiant pasakykite gydytojui arba slaugytojui.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Jei kiltų klausimų dėl šio vaisto vartojimo, kreipkitės į gydytoją, vaistininką arba slaugytoją.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Galimas šalutinis poveikis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Šis vaistas, kaip ir kiti, gali sukelti šalutinį poveikį, nors jis pasireiškia ne visiems žmonėms.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</w:rPr>
        <w:t xml:space="preserve">Šalutinio vaisto poveikio, susijusio su jo sudėtyje esančiais mikroelementais, nepastebėta. 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Bendrieji sutrikimai ir vartojimo vietos pažeidimai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Infuzuojant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Addaven</w:t>
      </w:r>
      <w:proofErr w:type="spellEnd"/>
      <w:r>
        <w:rPr>
          <w:sz w:val="22"/>
          <w:szCs w:val="22"/>
        </w:rPr>
        <w:t xml:space="preserve"> kartu su kitais </w:t>
      </w:r>
      <w:proofErr w:type="spellStart"/>
      <w:r>
        <w:rPr>
          <w:sz w:val="22"/>
          <w:szCs w:val="22"/>
        </w:rPr>
        <w:t>parenterinio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matinimo</w:t>
      </w:r>
      <w:proofErr w:type="spellEnd"/>
      <w:r>
        <w:rPr>
          <w:sz w:val="22"/>
          <w:szCs w:val="22"/>
        </w:rPr>
        <w:t xml:space="preserve"> vaistais, kurių sudėtyje yra gliukozės, pavieniais atvejais gali atsirasti paviršinių venų </w:t>
      </w:r>
      <w:proofErr w:type="spellStart"/>
      <w:r>
        <w:rPr>
          <w:sz w:val="22"/>
          <w:szCs w:val="22"/>
        </w:rPr>
        <w:t>tromboflebitas</w:t>
      </w:r>
      <w:proofErr w:type="spellEnd"/>
      <w:r>
        <w:rPr>
          <w:sz w:val="22"/>
          <w:szCs w:val="22"/>
        </w:rPr>
        <w:t xml:space="preserve"> (venos uždegimas), tačiau nustatyti, ar ši reakcija pasireiškia dėl mikroelementų infuzijos, neįmanoma.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Pranešimas apie šalutinį poveikį</w:t>
      </w:r>
    </w:p>
    <w:p w:rsidR="00432481" w:rsidRDefault="00432481" w:rsidP="00432481">
      <w:pPr>
        <w:ind w:right="-449"/>
        <w:rPr>
          <w:noProof/>
          <w:szCs w:val="24"/>
        </w:rPr>
      </w:pPr>
      <w:r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  <w:r>
        <w:rPr>
          <w:sz w:val="22"/>
          <w:szCs w:val="22"/>
        </w:rPr>
        <w:t>slaugytojui.</w:t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>
        <w:rPr>
          <w:sz w:val="22"/>
          <w:szCs w:val="22"/>
          <w:lang w:eastAsia="zh-CN"/>
        </w:rPr>
        <w:t>elefonu 8 800 73568</w:t>
      </w:r>
      <w:r>
        <w:rPr>
          <w:sz w:val="22"/>
          <w:szCs w:val="22"/>
        </w:rPr>
        <w:t xml:space="preserve"> arba užpildyti interneto svetainėje </w:t>
      </w:r>
      <w:hyperlink r:id="rId5" w:history="1">
        <w:r>
          <w:rPr>
            <w:rStyle w:val="Hipersaitas"/>
            <w:rFonts w:eastAsia="SimSun"/>
            <w:sz w:val="22"/>
            <w:szCs w:val="22"/>
          </w:rPr>
          <w:t>www.vvkt.lt</w:t>
        </w:r>
      </w:hyperlink>
      <w:r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z w:val="22"/>
          <w:szCs w:val="22"/>
          <w:lang w:eastAsia="zh-CN"/>
        </w:rPr>
        <w:t xml:space="preserve">nemokamu </w:t>
      </w:r>
      <w:r>
        <w:rPr>
          <w:sz w:val="22"/>
          <w:szCs w:val="22"/>
        </w:rPr>
        <w:t>fakso numeriu 8 800 20131</w:t>
      </w:r>
      <w:r>
        <w:rPr>
          <w:sz w:val="22"/>
          <w:szCs w:val="22"/>
          <w:lang w:eastAsia="zh-CN"/>
        </w:rPr>
        <w:t xml:space="preserve">, </w:t>
      </w:r>
      <w:r>
        <w:rPr>
          <w:sz w:val="22"/>
          <w:szCs w:val="22"/>
        </w:rPr>
        <w:t xml:space="preserve">el. paštu </w:t>
      </w:r>
      <w:hyperlink r:id="rId6" w:history="1">
        <w:r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  <w:sz w:val="22"/>
            <w:szCs w:val="22"/>
          </w:rPr>
          <w:t>http://www.vvkt.lt</w:t>
        </w:r>
      </w:hyperlink>
      <w:r>
        <w:rPr>
          <w:sz w:val="22"/>
          <w:szCs w:val="22"/>
        </w:rPr>
        <w:t>). Pranešdami apie šalutinį poveikį galite mums padėti gauti daugiau informacijos apie šio vaisto saugumą.</w:t>
      </w:r>
    </w:p>
    <w:p w:rsidR="00432481" w:rsidRDefault="00432481" w:rsidP="00432481">
      <w:pPr>
        <w:ind w:right="-449"/>
        <w:rPr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pStyle w:val="Antrat6"/>
        <w:tabs>
          <w:tab w:val="left" w:pos="567"/>
        </w:tabs>
        <w:spacing w:line="240" w:lineRule="auto"/>
        <w:rPr>
          <w:sz w:val="22"/>
          <w:szCs w:val="22"/>
          <w:lang w:eastAsia="lt-LT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Addaven</w:t>
      </w:r>
      <w:proofErr w:type="spellEnd"/>
      <w:r>
        <w:rPr>
          <w:sz w:val="22"/>
          <w:szCs w:val="22"/>
          <w:lang w:eastAsia="lt-LT"/>
        </w:rPr>
        <w:t xml:space="preserve"> 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</w:rPr>
        <w:t>Šį vaistą laikykite vaikams nepastebimoje ir nepasiekiamoje vietoje.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en-GB"/>
        </w:rPr>
      </w:pPr>
      <w:r>
        <w:rPr>
          <w:sz w:val="22"/>
          <w:szCs w:val="22"/>
        </w:rPr>
        <w:t xml:space="preserve">Šiam vaistui specialių laikymo sąlygų nereikia. 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</w:p>
    <w:p w:rsidR="00432481" w:rsidRDefault="00432481" w:rsidP="0043248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Ant dėžutės ir ampulės po „EXP“ nurodytam tinkamumo laikui pasibaigus, šio vaisto vartoti negalima. </w:t>
      </w:r>
      <w:r>
        <w:rPr>
          <w:noProof/>
          <w:sz w:val="22"/>
          <w:szCs w:val="22"/>
        </w:rPr>
        <w:t>Vaistas tinkamas vartoti iki paskutinės nurodyto mėnesio dienos.</w:t>
      </w: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Vaistų negalima išpilti į kanalizaciją arba išmesti su buitinėmis atliekomis. Kaip tvarkyti nereikalingus vaistus, klauskite vaistininko. Šios priemonės padės apsaugoti aplinką.</w:t>
      </w:r>
    </w:p>
    <w:p w:rsidR="00432481" w:rsidRDefault="00432481" w:rsidP="00432481">
      <w:pPr>
        <w:tabs>
          <w:tab w:val="left" w:pos="567"/>
        </w:tabs>
        <w:rPr>
          <w:b/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b/>
          <w:sz w:val="22"/>
          <w:szCs w:val="22"/>
        </w:rPr>
      </w:pPr>
    </w:p>
    <w:p w:rsidR="00432481" w:rsidRDefault="00432481" w:rsidP="00432481">
      <w:pPr>
        <w:tabs>
          <w:tab w:val="left" w:pos="540"/>
          <w:tab w:val="left" w:pos="567"/>
        </w:tabs>
        <w:rPr>
          <w:b/>
          <w:sz w:val="22"/>
          <w:szCs w:val="22"/>
          <w:lang w:eastAsia="lt-LT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Pakuotės turinys ir kita informacija</w:t>
      </w:r>
    </w:p>
    <w:p w:rsidR="00432481" w:rsidRDefault="00432481" w:rsidP="00432481">
      <w:pPr>
        <w:tabs>
          <w:tab w:val="left" w:pos="142"/>
          <w:tab w:val="left" w:pos="567"/>
        </w:tabs>
        <w:rPr>
          <w:sz w:val="22"/>
          <w:szCs w:val="22"/>
          <w:lang w:eastAsia="lt-LT"/>
        </w:rPr>
      </w:pPr>
    </w:p>
    <w:p w:rsidR="00432481" w:rsidRDefault="00432481" w:rsidP="00432481">
      <w:pPr>
        <w:pStyle w:val="Antrat2"/>
        <w:tabs>
          <w:tab w:val="left" w:pos="567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Addaven</w:t>
      </w:r>
      <w:proofErr w:type="spellEnd"/>
      <w:r>
        <w:rPr>
          <w:sz w:val="22"/>
          <w:szCs w:val="22"/>
        </w:rPr>
        <w:t xml:space="preserve"> sudėtis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-</w:t>
      </w:r>
      <w:r>
        <w:rPr>
          <w:b w:val="0"/>
          <w:i w:val="0"/>
          <w:sz w:val="22"/>
          <w:szCs w:val="22"/>
        </w:rPr>
        <w:tab/>
        <w:t>Veikliosios medžiagos: 1 ml koncentrato infuziniam tirpalui yra 5,33 </w:t>
      </w:r>
      <w:proofErr w:type="spellStart"/>
      <w:r>
        <w:rPr>
          <w:b w:val="0"/>
          <w:i w:val="0"/>
          <w:sz w:val="22"/>
          <w:szCs w:val="22"/>
        </w:rPr>
        <w:t>mikrogramo</w:t>
      </w:r>
      <w:proofErr w:type="spellEnd"/>
      <w:r>
        <w:rPr>
          <w:b w:val="0"/>
          <w:i w:val="0"/>
          <w:sz w:val="22"/>
          <w:szCs w:val="22"/>
        </w:rPr>
        <w:t xml:space="preserve"> chromo chlorido </w:t>
      </w:r>
      <w:proofErr w:type="spellStart"/>
      <w:r>
        <w:rPr>
          <w:b w:val="0"/>
          <w:i w:val="0"/>
          <w:sz w:val="22"/>
          <w:szCs w:val="22"/>
        </w:rPr>
        <w:t>heksahidrato</w:t>
      </w:r>
      <w:proofErr w:type="spellEnd"/>
      <w:r>
        <w:rPr>
          <w:b w:val="0"/>
          <w:i w:val="0"/>
          <w:sz w:val="22"/>
          <w:szCs w:val="22"/>
        </w:rPr>
        <w:t xml:space="preserve">, 0,10 mg vario chlorido </w:t>
      </w:r>
      <w:proofErr w:type="spellStart"/>
      <w:r>
        <w:rPr>
          <w:b w:val="0"/>
          <w:i w:val="0"/>
          <w:sz w:val="22"/>
          <w:szCs w:val="22"/>
        </w:rPr>
        <w:t>dihidrato</w:t>
      </w:r>
      <w:proofErr w:type="spellEnd"/>
      <w:r>
        <w:rPr>
          <w:b w:val="0"/>
          <w:i w:val="0"/>
          <w:sz w:val="22"/>
          <w:szCs w:val="22"/>
        </w:rPr>
        <w:t xml:space="preserve">, 0,54 mg geležies (III) chlorido </w:t>
      </w:r>
      <w:proofErr w:type="spellStart"/>
      <w:r>
        <w:rPr>
          <w:b w:val="0"/>
          <w:i w:val="0"/>
          <w:sz w:val="22"/>
          <w:szCs w:val="22"/>
        </w:rPr>
        <w:t>heksahidrato</w:t>
      </w:r>
      <w:proofErr w:type="spellEnd"/>
      <w:r>
        <w:rPr>
          <w:b w:val="0"/>
          <w:i w:val="0"/>
          <w:sz w:val="22"/>
          <w:szCs w:val="22"/>
        </w:rPr>
        <w:t>, 19,8 </w:t>
      </w:r>
      <w:proofErr w:type="spellStart"/>
      <w:r>
        <w:rPr>
          <w:b w:val="0"/>
          <w:i w:val="0"/>
          <w:sz w:val="22"/>
          <w:szCs w:val="22"/>
        </w:rPr>
        <w:t>mikrogramo</w:t>
      </w:r>
      <w:proofErr w:type="spellEnd"/>
      <w:r>
        <w:rPr>
          <w:b w:val="0"/>
          <w:i w:val="0"/>
          <w:sz w:val="22"/>
          <w:szCs w:val="22"/>
        </w:rPr>
        <w:t xml:space="preserve"> mangano chlorido </w:t>
      </w:r>
      <w:proofErr w:type="spellStart"/>
      <w:r>
        <w:rPr>
          <w:b w:val="0"/>
          <w:i w:val="0"/>
          <w:sz w:val="22"/>
          <w:szCs w:val="22"/>
        </w:rPr>
        <w:t>tetrahidrato</w:t>
      </w:r>
      <w:proofErr w:type="spellEnd"/>
      <w:r>
        <w:rPr>
          <w:b w:val="0"/>
          <w:i w:val="0"/>
          <w:sz w:val="22"/>
          <w:szCs w:val="22"/>
        </w:rPr>
        <w:t>, 16,6 </w:t>
      </w:r>
      <w:proofErr w:type="spellStart"/>
      <w:r>
        <w:rPr>
          <w:b w:val="0"/>
          <w:i w:val="0"/>
          <w:sz w:val="22"/>
          <w:szCs w:val="22"/>
        </w:rPr>
        <w:t>mikrogramo</w:t>
      </w:r>
      <w:proofErr w:type="spellEnd"/>
      <w:r>
        <w:rPr>
          <w:b w:val="0"/>
          <w:i w:val="0"/>
          <w:sz w:val="22"/>
          <w:szCs w:val="22"/>
        </w:rPr>
        <w:t xml:space="preserve"> kalio jodido, 0,21 mg natrio fluorido, 4,85 </w:t>
      </w:r>
      <w:proofErr w:type="spellStart"/>
      <w:r>
        <w:rPr>
          <w:b w:val="0"/>
          <w:i w:val="0"/>
          <w:sz w:val="22"/>
          <w:szCs w:val="22"/>
        </w:rPr>
        <w:t>mikrogramo</w:t>
      </w:r>
      <w:proofErr w:type="spellEnd"/>
      <w:r>
        <w:rPr>
          <w:b w:val="0"/>
          <w:i w:val="0"/>
          <w:sz w:val="22"/>
          <w:szCs w:val="22"/>
        </w:rPr>
        <w:t xml:space="preserve"> natrio </w:t>
      </w:r>
      <w:proofErr w:type="spellStart"/>
      <w:r>
        <w:rPr>
          <w:b w:val="0"/>
          <w:i w:val="0"/>
          <w:sz w:val="22"/>
          <w:szCs w:val="22"/>
        </w:rPr>
        <w:t>molibdato</w:t>
      </w:r>
      <w:proofErr w:type="spellEnd"/>
      <w:r>
        <w:rPr>
          <w:b w:val="0"/>
          <w:i w:val="0"/>
          <w:sz w:val="22"/>
          <w:szCs w:val="22"/>
        </w:rPr>
        <w:t xml:space="preserve"> </w:t>
      </w:r>
      <w:proofErr w:type="spellStart"/>
      <w:r>
        <w:rPr>
          <w:b w:val="0"/>
          <w:i w:val="0"/>
          <w:sz w:val="22"/>
          <w:szCs w:val="22"/>
        </w:rPr>
        <w:t>dihidrato</w:t>
      </w:r>
      <w:proofErr w:type="spellEnd"/>
      <w:r>
        <w:rPr>
          <w:b w:val="0"/>
          <w:i w:val="0"/>
          <w:sz w:val="22"/>
          <w:szCs w:val="22"/>
        </w:rPr>
        <w:t>, 17,3 </w:t>
      </w:r>
      <w:proofErr w:type="spellStart"/>
      <w:r>
        <w:rPr>
          <w:b w:val="0"/>
          <w:i w:val="0"/>
          <w:sz w:val="22"/>
          <w:szCs w:val="22"/>
        </w:rPr>
        <w:t>mikrogramo</w:t>
      </w:r>
      <w:proofErr w:type="spellEnd"/>
      <w:r>
        <w:rPr>
          <w:b w:val="0"/>
          <w:i w:val="0"/>
          <w:sz w:val="22"/>
          <w:szCs w:val="22"/>
        </w:rPr>
        <w:t xml:space="preserve"> bevandenio natrio selenito, 1,05 mg cinko chlorido. </w:t>
      </w:r>
    </w:p>
    <w:p w:rsidR="00432481" w:rsidRDefault="00432481" w:rsidP="00432481">
      <w:pPr>
        <w:tabs>
          <w:tab w:val="left" w:pos="54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Pagalbinės medžiagos yra </w:t>
      </w:r>
      <w:proofErr w:type="spellStart"/>
      <w:r>
        <w:rPr>
          <w:sz w:val="22"/>
          <w:szCs w:val="22"/>
        </w:rPr>
        <w:t>ksilitolis</w:t>
      </w:r>
      <w:proofErr w:type="spellEnd"/>
      <w:r>
        <w:rPr>
          <w:sz w:val="22"/>
          <w:szCs w:val="22"/>
        </w:rPr>
        <w:t>, koncentruota vandenilio chlorido rūgštis (pH koreguoti), injekcinis vanduo.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Sterilaus koncentrato </w:t>
      </w:r>
      <w:proofErr w:type="spellStart"/>
      <w:r>
        <w:rPr>
          <w:b w:val="0"/>
          <w:i w:val="0"/>
          <w:sz w:val="22"/>
          <w:szCs w:val="22"/>
        </w:rPr>
        <w:t>osmoliališkumas</w:t>
      </w:r>
      <w:proofErr w:type="spellEnd"/>
      <w:r>
        <w:rPr>
          <w:b w:val="0"/>
          <w:i w:val="0"/>
          <w:sz w:val="22"/>
          <w:szCs w:val="22"/>
        </w:rPr>
        <w:t xml:space="preserve"> yra maždaug 3100 </w:t>
      </w:r>
      <w:proofErr w:type="spellStart"/>
      <w:r>
        <w:rPr>
          <w:b w:val="0"/>
          <w:i w:val="0"/>
          <w:sz w:val="22"/>
          <w:szCs w:val="22"/>
        </w:rPr>
        <w:t>osm</w:t>
      </w:r>
      <w:proofErr w:type="spellEnd"/>
      <w:r>
        <w:rPr>
          <w:b w:val="0"/>
          <w:i w:val="0"/>
          <w:sz w:val="22"/>
          <w:szCs w:val="22"/>
        </w:rPr>
        <w:t>/kg, pH yra 2,5.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</w:p>
    <w:p w:rsidR="00432481" w:rsidRDefault="00432481" w:rsidP="00432481">
      <w:pPr>
        <w:pStyle w:val="Antrat2"/>
        <w:tabs>
          <w:tab w:val="left" w:pos="567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Addaven</w:t>
      </w:r>
      <w:proofErr w:type="spellEnd"/>
      <w:r>
        <w:rPr>
          <w:sz w:val="22"/>
          <w:szCs w:val="22"/>
        </w:rPr>
        <w:t xml:space="preserve"> išvaizda ir kiekis pakuotėje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Koncentratas infuziniam tirpalui yra skaidrus, beveik bespalvis tirpalas. Paruoštas vartojimui infuzinis tirpalas turi būti skaidrus ir be matomų dalelių.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  <w:proofErr w:type="spellStart"/>
      <w:r>
        <w:rPr>
          <w:b w:val="0"/>
          <w:i w:val="0"/>
          <w:sz w:val="22"/>
          <w:szCs w:val="22"/>
        </w:rPr>
        <w:t>Addaven</w:t>
      </w:r>
      <w:proofErr w:type="spellEnd"/>
      <w:r>
        <w:rPr>
          <w:b w:val="0"/>
          <w:i w:val="0"/>
          <w:sz w:val="22"/>
          <w:szCs w:val="22"/>
        </w:rPr>
        <w:t xml:space="preserve"> tiekiamas polipropileno ampulėse. Kartono dėžutėje yra 20 ampulių po 10 ml koncentrato infuziniam tirpalui.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</w:p>
    <w:p w:rsidR="00432481" w:rsidRDefault="00432481" w:rsidP="00432481">
      <w:pPr>
        <w:pStyle w:val="Pagrindinistekstas3"/>
        <w:tabs>
          <w:tab w:val="left" w:pos="567"/>
        </w:tabs>
        <w:rPr>
          <w:bCs/>
          <w:i w:val="0"/>
          <w:color w:val="000000"/>
          <w:sz w:val="22"/>
          <w:szCs w:val="22"/>
        </w:rPr>
      </w:pPr>
      <w:r>
        <w:rPr>
          <w:bCs/>
          <w:i w:val="0"/>
          <w:color w:val="000000"/>
          <w:sz w:val="22"/>
          <w:szCs w:val="22"/>
        </w:rPr>
        <w:t>Registruotojas ir gamintojas</w:t>
      </w:r>
    </w:p>
    <w:p w:rsidR="00432481" w:rsidRDefault="00432481" w:rsidP="00432481">
      <w:pPr>
        <w:pStyle w:val="Pagrindinistekstas3"/>
        <w:tabs>
          <w:tab w:val="left" w:pos="567"/>
        </w:tabs>
        <w:rPr>
          <w:bCs/>
          <w:i w:val="0"/>
          <w:color w:val="000000"/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Registruotojas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 AB 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SE-75174 </w:t>
      </w:r>
      <w:proofErr w:type="spellStart"/>
      <w:r>
        <w:rPr>
          <w:sz w:val="22"/>
          <w:szCs w:val="22"/>
        </w:rPr>
        <w:t>Uppsala</w:t>
      </w:r>
      <w:proofErr w:type="spellEnd"/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Švedija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bCs/>
          <w:i w:val="0"/>
          <w:color w:val="000000"/>
          <w:sz w:val="22"/>
          <w:szCs w:val="22"/>
        </w:rPr>
      </w:pP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bCs/>
          <w:color w:val="000000"/>
          <w:sz w:val="22"/>
          <w:szCs w:val="22"/>
        </w:rPr>
      </w:pPr>
      <w:r>
        <w:rPr>
          <w:b w:val="0"/>
          <w:bCs/>
          <w:color w:val="000000"/>
          <w:sz w:val="22"/>
          <w:szCs w:val="22"/>
        </w:rPr>
        <w:t>Gamintojas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color w:val="000000"/>
          <w:sz w:val="22"/>
          <w:szCs w:val="22"/>
        </w:rPr>
      </w:pPr>
      <w:r w:rsidRPr="005231D6">
        <w:rPr>
          <w:color w:val="000000"/>
          <w:sz w:val="22"/>
          <w:szCs w:val="22"/>
        </w:rPr>
        <w:t xml:space="preserve">HP </w:t>
      </w:r>
      <w:proofErr w:type="spellStart"/>
      <w:r w:rsidRPr="005231D6">
        <w:rPr>
          <w:color w:val="000000"/>
          <w:sz w:val="22"/>
          <w:szCs w:val="22"/>
        </w:rPr>
        <w:t>Halden</w:t>
      </w:r>
      <w:proofErr w:type="spellEnd"/>
      <w:r w:rsidRPr="005231D6">
        <w:rPr>
          <w:color w:val="000000"/>
          <w:sz w:val="22"/>
          <w:szCs w:val="22"/>
        </w:rPr>
        <w:t xml:space="preserve"> </w:t>
      </w:r>
      <w:proofErr w:type="spellStart"/>
      <w:r w:rsidRPr="005231D6">
        <w:rPr>
          <w:color w:val="000000"/>
          <w:sz w:val="22"/>
          <w:szCs w:val="22"/>
        </w:rPr>
        <w:t>Pharma</w:t>
      </w:r>
      <w:proofErr w:type="spellEnd"/>
      <w:r w:rsidRPr="005231D6">
        <w:rPr>
          <w:color w:val="000000"/>
          <w:sz w:val="22"/>
          <w:szCs w:val="22"/>
        </w:rPr>
        <w:t xml:space="preserve"> AS</w:t>
      </w:r>
    </w:p>
    <w:p w:rsidR="00432481" w:rsidRDefault="00432481" w:rsidP="0043248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>
        <w:rPr>
          <w:rFonts w:eastAsia="TimesNewRoman"/>
          <w:sz w:val="22"/>
          <w:szCs w:val="22"/>
        </w:rPr>
        <w:t>Svinesundsveien</w:t>
      </w:r>
      <w:proofErr w:type="spellEnd"/>
      <w:r>
        <w:rPr>
          <w:rFonts w:eastAsia="TimesNewRoman"/>
          <w:sz w:val="22"/>
          <w:szCs w:val="22"/>
        </w:rPr>
        <w:t xml:space="preserve"> 80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color w:val="000000"/>
          <w:sz w:val="22"/>
          <w:szCs w:val="22"/>
        </w:rPr>
      </w:pPr>
      <w:r>
        <w:rPr>
          <w:rFonts w:eastAsia="TimesNewRoman"/>
          <w:sz w:val="22"/>
          <w:szCs w:val="22"/>
        </w:rPr>
        <w:t>NO - 1788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Halden</w:t>
      </w:r>
      <w:proofErr w:type="spellEnd"/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Norvegija</w:t>
      </w:r>
    </w:p>
    <w:p w:rsidR="00432481" w:rsidRDefault="00432481" w:rsidP="00432481">
      <w:pPr>
        <w:pStyle w:val="Pagrindinistekstas3"/>
        <w:tabs>
          <w:tab w:val="left" w:pos="567"/>
        </w:tabs>
        <w:rPr>
          <w:b w:val="0"/>
          <w:i w:val="0"/>
          <w:sz w:val="22"/>
          <w:szCs w:val="22"/>
        </w:rPr>
      </w:pPr>
    </w:p>
    <w:p w:rsidR="00432481" w:rsidRDefault="00432481" w:rsidP="00432481">
      <w:pPr>
        <w:tabs>
          <w:tab w:val="left" w:pos="142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Jeigu apie šį vaistą norite sužinoti daugiau, kreipkitės į vietinį registruotojo atstovą.</w:t>
      </w:r>
    </w:p>
    <w:p w:rsidR="00432481" w:rsidRDefault="00432481" w:rsidP="00432481">
      <w:pPr>
        <w:pStyle w:val="Antrats"/>
        <w:tabs>
          <w:tab w:val="left" w:pos="567"/>
        </w:tabs>
        <w:rPr>
          <w:b/>
          <w:sz w:val="22"/>
          <w:szCs w:val="22"/>
        </w:rPr>
      </w:pPr>
    </w:p>
    <w:p w:rsidR="00432481" w:rsidRDefault="00432481" w:rsidP="00432481">
      <w:pPr>
        <w:pStyle w:val="Antrat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UAB „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 </w:t>
      </w:r>
      <w:proofErr w:type="spellStart"/>
      <w:r>
        <w:rPr>
          <w:sz w:val="22"/>
          <w:szCs w:val="22"/>
        </w:rPr>
        <w:t>Baltics</w:t>
      </w:r>
      <w:proofErr w:type="spellEnd"/>
      <w:r>
        <w:rPr>
          <w:sz w:val="22"/>
          <w:szCs w:val="22"/>
        </w:rPr>
        <w:t>“</w:t>
      </w:r>
    </w:p>
    <w:p w:rsidR="00432481" w:rsidRDefault="00432481" w:rsidP="00432481">
      <w:pPr>
        <w:pStyle w:val="Antrat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Tel. +370 5 252 3213</w:t>
      </w:r>
    </w:p>
    <w:p w:rsidR="00432481" w:rsidRDefault="00432481" w:rsidP="00432481">
      <w:pPr>
        <w:pStyle w:val="Antrats"/>
        <w:tabs>
          <w:tab w:val="left" w:pos="567"/>
        </w:tabs>
        <w:rPr>
          <w:sz w:val="22"/>
          <w:szCs w:val="22"/>
        </w:rPr>
      </w:pPr>
    </w:p>
    <w:p w:rsidR="00432481" w:rsidRDefault="00432481" w:rsidP="00432481">
      <w:pPr>
        <w:pStyle w:val="Antrats"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Šis pakuotės lapelis paskutinį kartą peržiūrėtas 2024-03-01.</w:t>
      </w:r>
    </w:p>
    <w:p w:rsidR="00432481" w:rsidRDefault="00432481" w:rsidP="00432481">
      <w:pPr>
        <w:pStyle w:val="Antrats"/>
        <w:tabs>
          <w:tab w:val="left" w:pos="567"/>
        </w:tabs>
        <w:rPr>
          <w:sz w:val="22"/>
          <w:szCs w:val="22"/>
        </w:rPr>
      </w:pPr>
    </w:p>
    <w:p w:rsidR="00432481" w:rsidRDefault="00432481" w:rsidP="0043248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</w:rPr>
        <w:t xml:space="preserve"> </w:t>
      </w:r>
      <w:hyperlink r:id="rId8" w:history="1">
        <w:r>
          <w:rPr>
            <w:rStyle w:val="Hipersaitas"/>
            <w:rFonts w:eastAsia="SimSun"/>
            <w:sz w:val="22"/>
            <w:szCs w:val="22"/>
          </w:rPr>
          <w:t>http://www.vvkt.lt/</w:t>
        </w:r>
      </w:hyperlink>
      <w:r>
        <w:rPr>
          <w:sz w:val="22"/>
          <w:szCs w:val="22"/>
        </w:rPr>
        <w:t>.</w:t>
      </w:r>
    </w:p>
    <w:p w:rsidR="00432481" w:rsidRDefault="00432481" w:rsidP="00432481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32481" w:rsidRDefault="00432481" w:rsidP="0043248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:rsidR="00432481" w:rsidRDefault="00432481" w:rsidP="00432481">
      <w:pPr>
        <w:numPr>
          <w:ilvl w:val="12"/>
          <w:numId w:val="0"/>
        </w:numPr>
        <w:tabs>
          <w:tab w:val="left" w:pos="2657"/>
        </w:tabs>
        <w:ind w:left="-37" w:right="-28"/>
        <w:rPr>
          <w:sz w:val="22"/>
          <w:szCs w:val="22"/>
        </w:rPr>
      </w:pPr>
    </w:p>
    <w:p w:rsidR="00432481" w:rsidRDefault="00432481" w:rsidP="00432481">
      <w:pPr>
        <w:numPr>
          <w:ilvl w:val="12"/>
          <w:numId w:val="0"/>
        </w:numPr>
        <w:tabs>
          <w:tab w:val="left" w:pos="2657"/>
        </w:tabs>
        <w:ind w:left="-37" w:right="-28"/>
        <w:rPr>
          <w:i/>
          <w:color w:val="008000"/>
          <w:sz w:val="22"/>
          <w:szCs w:val="22"/>
        </w:rPr>
      </w:pPr>
      <w:r>
        <w:rPr>
          <w:sz w:val="22"/>
          <w:szCs w:val="22"/>
        </w:rPr>
        <w:t>Toliau pateikta informacija skirta tik sveikatos priežiūros specialistams</w:t>
      </w:r>
    </w:p>
    <w:p w:rsidR="00432481" w:rsidRDefault="00432481" w:rsidP="00432481">
      <w:pPr>
        <w:pStyle w:val="Antrats"/>
        <w:tabs>
          <w:tab w:val="left" w:pos="567"/>
        </w:tabs>
        <w:rPr>
          <w:b/>
          <w:sz w:val="22"/>
          <w:szCs w:val="22"/>
        </w:rPr>
      </w:pPr>
    </w:p>
    <w:p w:rsidR="00432481" w:rsidRDefault="00432481" w:rsidP="0043248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Prieš vartojimą praskiesti.</w:t>
      </w:r>
    </w:p>
    <w:p w:rsidR="00432481" w:rsidRDefault="00432481" w:rsidP="00432481">
      <w:pPr>
        <w:pStyle w:val="Antrat4"/>
        <w:tabs>
          <w:tab w:val="left" w:pos="567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Infuzinius tirpalus reikia ruošti </w:t>
      </w:r>
      <w:proofErr w:type="spellStart"/>
      <w:r>
        <w:rPr>
          <w:i w:val="0"/>
          <w:sz w:val="22"/>
          <w:szCs w:val="22"/>
        </w:rPr>
        <w:t>aseptiniu</w:t>
      </w:r>
      <w:proofErr w:type="spellEnd"/>
      <w:r>
        <w:rPr>
          <w:i w:val="0"/>
          <w:sz w:val="22"/>
          <w:szCs w:val="22"/>
        </w:rPr>
        <w:t xml:space="preserve"> būdu. 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i/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Paruošto tirpalo tinkamumo laikas 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Paruošto infuzinio tirpalo fizinis ir cheminis stabilumas 25 °C temperatūroje išlieka 24 valandas.</w:t>
      </w:r>
    </w:p>
    <w:p w:rsidR="00432481" w:rsidRDefault="00432481" w:rsidP="0043248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</w:rPr>
        <w:t>Mikrobiologiniu požiūriu, infuzinį tirpalą reikia vartoti nedelsiant.</w:t>
      </w:r>
    </w:p>
    <w:p w:rsidR="00432481" w:rsidRDefault="00432481" w:rsidP="0043248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Jeigu paruoštas infuzinis tirpalas iš karto nevartojamas, už laikymo trukmę ir sąlygas prieš vartojimą atsako vartotojas, tačiau paruošto infuzinio tirpalo negalima laikyti ilgiau kaip 24 val. 2° C </w:t>
      </w:r>
      <w:r>
        <w:rPr>
          <w:sz w:val="22"/>
          <w:szCs w:val="22"/>
        </w:rPr>
        <w:noBreakHyphen/>
        <w:t xml:space="preserve"> 8° C temperatūroje, nebent vaistas buvo ruošiamas kontroliuojamomis ir </w:t>
      </w:r>
      <w:proofErr w:type="spellStart"/>
      <w:r>
        <w:rPr>
          <w:sz w:val="22"/>
          <w:szCs w:val="22"/>
        </w:rPr>
        <w:t>validuotomis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aseptinėmis</w:t>
      </w:r>
      <w:proofErr w:type="spellEnd"/>
      <w:r>
        <w:rPr>
          <w:sz w:val="22"/>
          <w:szCs w:val="22"/>
        </w:rPr>
        <w:t xml:space="preserve"> sąlygomis.</w:t>
      </w:r>
    </w:p>
    <w:p w:rsidR="00432481" w:rsidRDefault="00432481" w:rsidP="00432481">
      <w:pPr>
        <w:pStyle w:val="Antrat4"/>
        <w:tabs>
          <w:tab w:val="left" w:pos="567"/>
        </w:tabs>
        <w:rPr>
          <w:i w:val="0"/>
          <w:sz w:val="22"/>
          <w:szCs w:val="22"/>
        </w:rPr>
      </w:pPr>
    </w:p>
    <w:p w:rsidR="00432481" w:rsidRDefault="00432481" w:rsidP="00432481">
      <w:pPr>
        <w:pStyle w:val="Antrat4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Suderinamumas</w:t>
      </w:r>
    </w:p>
    <w:p w:rsidR="00432481" w:rsidRDefault="00432481" w:rsidP="00432481">
      <w:pPr>
        <w:pStyle w:val="Antrat4"/>
        <w:tabs>
          <w:tab w:val="left" w:pos="567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1 ampulė (10 ml) sterilaus koncentrato skiedžiama 500 ml gliukozės 50 mg/ml ar suderinamu aminorūgščių infuziniu tirpalu.</w:t>
      </w:r>
    </w:p>
    <w:p w:rsidR="00432481" w:rsidRDefault="00432481" w:rsidP="00432481">
      <w:pPr>
        <w:pStyle w:val="Antrat4"/>
        <w:tabs>
          <w:tab w:val="left" w:pos="567"/>
        </w:tabs>
        <w:rPr>
          <w:i w:val="0"/>
          <w:sz w:val="22"/>
          <w:szCs w:val="22"/>
        </w:rPr>
      </w:pP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Nesuvartoto vaisto likučius būtina išpilti, jų vartoti kitą kartą negalima. </w:t>
      </w:r>
    </w:p>
    <w:p w:rsidR="00432481" w:rsidRDefault="00432481" w:rsidP="00432481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Nesuvartotą vaistą ar atliekas reikia tvarkyti laikantis vietinių reikalavimų.</w:t>
      </w:r>
    </w:p>
    <w:p w:rsidR="00432481" w:rsidRDefault="00432481" w:rsidP="00432481">
      <w:pPr>
        <w:pStyle w:val="Antrats"/>
        <w:tabs>
          <w:tab w:val="left" w:pos="567"/>
        </w:tabs>
      </w:pPr>
    </w:p>
    <w:p w:rsidR="00432481" w:rsidRDefault="00432481" w:rsidP="00432481"/>
    <w:p w:rsidR="00BA6577" w:rsidRDefault="00BA6577">
      <w:bookmarkStart w:id="0" w:name="_GoBack"/>
      <w:bookmarkEnd w:id="0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506E"/>
    <w:multiLevelType w:val="hybridMultilevel"/>
    <w:tmpl w:val="1F181E80"/>
    <w:lvl w:ilvl="0" w:tplc="CCB262DA">
      <w:numFmt w:val="decimal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81"/>
    <w:rsid w:val="00072F85"/>
    <w:rsid w:val="00181364"/>
    <w:rsid w:val="00305C48"/>
    <w:rsid w:val="003362C6"/>
    <w:rsid w:val="00432481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AE8C3-D49D-49D1-BDE2-58C2F5A5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24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32481"/>
    <w:pPr>
      <w:keepNext/>
      <w:outlineLvl w:val="1"/>
    </w:pPr>
    <w:rPr>
      <w:b/>
      <w:sz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32481"/>
    <w:pPr>
      <w:keepNext/>
      <w:outlineLvl w:val="3"/>
    </w:pPr>
    <w:rPr>
      <w:i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432481"/>
    <w:pPr>
      <w:keepNext/>
      <w:spacing w:line="360" w:lineRule="auto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43248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rsid w:val="00432481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432481"/>
    <w:rPr>
      <w:rFonts w:ascii="Times New Roman" w:eastAsia="Times New Roman" w:hAnsi="Times New Roman" w:cs="Times New Roman"/>
      <w:b/>
      <w:sz w:val="24"/>
      <w:szCs w:val="20"/>
    </w:rPr>
  </w:style>
  <w:style w:type="character" w:styleId="Hipersaitas">
    <w:name w:val="Hyperlink"/>
    <w:uiPriority w:val="99"/>
    <w:semiHidden/>
    <w:unhideWhenUsed/>
    <w:rsid w:val="0043248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324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32481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autoRedefine/>
    <w:qFormat/>
    <w:rsid w:val="00432481"/>
    <w:pPr>
      <w:tabs>
        <w:tab w:val="left" w:pos="567"/>
        <w:tab w:val="left" w:pos="709"/>
      </w:tabs>
      <w:jc w:val="center"/>
      <w:outlineLvl w:val="0"/>
    </w:pPr>
    <w:rPr>
      <w:b/>
      <w:kern w:val="28"/>
      <w:sz w:val="22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432481"/>
    <w:rPr>
      <w:rFonts w:ascii="Times New Roman" w:eastAsia="Times New Roman" w:hAnsi="Times New Roman" w:cs="Times New Roman"/>
      <w:b/>
      <w:kern w:val="28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32481"/>
    <w:pPr>
      <w:spacing w:line="360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32481"/>
    <w:rPr>
      <w:rFonts w:ascii="Times New Roman" w:eastAsia="Times New Roman" w:hAnsi="Times New Roman" w:cs="Times New Roman"/>
      <w:sz w:val="24"/>
      <w:szCs w:val="20"/>
    </w:rPr>
  </w:style>
  <w:style w:type="paragraph" w:styleId="Pagrindinistekstas3">
    <w:name w:val="Body Text 3"/>
    <w:basedOn w:val="prastasis"/>
    <w:link w:val="Pagrindinistekstas3Diagrama"/>
    <w:semiHidden/>
    <w:unhideWhenUsed/>
    <w:rsid w:val="00432481"/>
    <w:rPr>
      <w:b/>
      <w:i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32481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5498</Words>
  <Characters>3135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Pakuotės lapelis: informacija vartotojui</vt:lpstr>
      <vt:lpstr>    </vt:lpstr>
      <vt:lpstr>    Addaven sudėtis</vt:lpstr>
      <vt:lpstr>    Addaven išvaizda ir kiekis pakuotėje</vt:lpstr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2024-05-13T07:54:00Z</dcterms:created>
  <dcterms:modified xsi:type="dcterms:W3CDTF">2024-05-13T07:54:00Z</dcterms:modified>
</cp:coreProperties>
</file>