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8F550" w14:textId="77777777" w:rsidR="00A80CF8" w:rsidRPr="00D724AC" w:rsidRDefault="00A80CF8" w:rsidP="00A80CF8">
      <w:pPr>
        <w:rPr>
          <w:snapToGrid w:val="0"/>
          <w:lang w:eastAsia="en-US"/>
        </w:rPr>
      </w:pPr>
    </w:p>
    <w:p w14:paraId="0537BEF4" w14:textId="77777777" w:rsidR="00A80CF8" w:rsidRPr="00D724AC" w:rsidRDefault="00A80CF8" w:rsidP="00A80CF8">
      <w:pPr>
        <w:widowControl w:val="0"/>
        <w:rPr>
          <w:snapToGrid w:val="0"/>
          <w:color w:val="008000"/>
          <w:szCs w:val="22"/>
          <w:lang w:eastAsia="en-US"/>
        </w:rPr>
      </w:pPr>
    </w:p>
    <w:p w14:paraId="46A555A8" w14:textId="77777777" w:rsidR="00A80CF8" w:rsidRPr="00D724AC" w:rsidRDefault="00A80CF8" w:rsidP="00A80CF8">
      <w:pPr>
        <w:widowControl w:val="0"/>
        <w:rPr>
          <w:snapToGrid w:val="0"/>
          <w:color w:val="008000"/>
          <w:szCs w:val="22"/>
          <w:lang w:eastAsia="en-US"/>
        </w:rPr>
      </w:pPr>
    </w:p>
    <w:p w14:paraId="4FD3DEA7" w14:textId="77777777" w:rsidR="00A80CF8" w:rsidRPr="00D724AC" w:rsidRDefault="00A80CF8" w:rsidP="00A80CF8">
      <w:pPr>
        <w:widowControl w:val="0"/>
        <w:rPr>
          <w:snapToGrid w:val="0"/>
          <w:color w:val="008000"/>
          <w:szCs w:val="22"/>
          <w:lang w:eastAsia="en-US"/>
        </w:rPr>
      </w:pPr>
    </w:p>
    <w:p w14:paraId="0E119798" w14:textId="77777777" w:rsidR="00A80CF8" w:rsidRPr="00D724AC" w:rsidRDefault="00A80CF8" w:rsidP="00A80CF8">
      <w:pPr>
        <w:widowControl w:val="0"/>
        <w:rPr>
          <w:snapToGrid w:val="0"/>
          <w:color w:val="008000"/>
          <w:szCs w:val="22"/>
          <w:lang w:eastAsia="en-US"/>
        </w:rPr>
      </w:pPr>
    </w:p>
    <w:p w14:paraId="53F15D69" w14:textId="77777777" w:rsidR="00A80CF8" w:rsidRPr="00D724AC" w:rsidRDefault="00A80CF8" w:rsidP="00A80CF8">
      <w:pPr>
        <w:tabs>
          <w:tab w:val="left" w:pos="567"/>
        </w:tabs>
        <w:spacing w:line="260" w:lineRule="exact"/>
        <w:outlineLvl w:val="0"/>
        <w:rPr>
          <w:b/>
          <w:snapToGrid w:val="0"/>
          <w:szCs w:val="22"/>
          <w:lang w:eastAsia="en-US"/>
        </w:rPr>
      </w:pPr>
    </w:p>
    <w:p w14:paraId="6D997203" w14:textId="77777777" w:rsidR="00A80CF8" w:rsidRPr="00D724AC" w:rsidRDefault="00A80CF8" w:rsidP="00A80CF8">
      <w:pPr>
        <w:tabs>
          <w:tab w:val="left" w:pos="567"/>
        </w:tabs>
        <w:spacing w:line="260" w:lineRule="exact"/>
        <w:outlineLvl w:val="0"/>
        <w:rPr>
          <w:b/>
          <w:snapToGrid w:val="0"/>
          <w:szCs w:val="22"/>
          <w:lang w:eastAsia="en-US"/>
        </w:rPr>
      </w:pPr>
    </w:p>
    <w:p w14:paraId="32B7DA5F" w14:textId="77777777" w:rsidR="00A80CF8" w:rsidRPr="00D724AC" w:rsidRDefault="00A80CF8" w:rsidP="00A80CF8">
      <w:pPr>
        <w:tabs>
          <w:tab w:val="left" w:pos="567"/>
        </w:tabs>
        <w:spacing w:line="260" w:lineRule="exact"/>
        <w:outlineLvl w:val="0"/>
        <w:rPr>
          <w:b/>
          <w:snapToGrid w:val="0"/>
          <w:szCs w:val="22"/>
          <w:lang w:eastAsia="en-US"/>
        </w:rPr>
      </w:pPr>
    </w:p>
    <w:p w14:paraId="52413CF6" w14:textId="77777777" w:rsidR="00A80CF8" w:rsidRPr="00D724AC" w:rsidRDefault="00A80CF8" w:rsidP="00A80CF8">
      <w:pPr>
        <w:tabs>
          <w:tab w:val="left" w:pos="567"/>
        </w:tabs>
        <w:spacing w:line="260" w:lineRule="exact"/>
        <w:outlineLvl w:val="0"/>
        <w:rPr>
          <w:b/>
          <w:snapToGrid w:val="0"/>
          <w:szCs w:val="22"/>
          <w:lang w:eastAsia="en-US"/>
        </w:rPr>
      </w:pPr>
    </w:p>
    <w:p w14:paraId="2BCC8A07" w14:textId="77777777" w:rsidR="00A80CF8" w:rsidRPr="00D724AC" w:rsidRDefault="00A80CF8" w:rsidP="00A80CF8">
      <w:pPr>
        <w:tabs>
          <w:tab w:val="left" w:pos="-1440"/>
          <w:tab w:val="left" w:pos="-720"/>
          <w:tab w:val="left" w:pos="567"/>
        </w:tabs>
        <w:spacing w:line="260" w:lineRule="exact"/>
        <w:rPr>
          <w:b/>
          <w:snapToGrid w:val="0"/>
          <w:szCs w:val="22"/>
          <w:lang w:eastAsia="en-US"/>
        </w:rPr>
      </w:pPr>
    </w:p>
    <w:p w14:paraId="60D7EE28" w14:textId="77777777" w:rsidR="00A80CF8" w:rsidRPr="00D724AC" w:rsidRDefault="00A80CF8" w:rsidP="00A80CF8">
      <w:pPr>
        <w:tabs>
          <w:tab w:val="left" w:pos="-1440"/>
          <w:tab w:val="left" w:pos="-720"/>
          <w:tab w:val="left" w:pos="567"/>
        </w:tabs>
        <w:spacing w:line="260" w:lineRule="exact"/>
        <w:rPr>
          <w:b/>
          <w:snapToGrid w:val="0"/>
          <w:szCs w:val="22"/>
          <w:lang w:eastAsia="en-US"/>
        </w:rPr>
      </w:pPr>
    </w:p>
    <w:p w14:paraId="56D85689" w14:textId="77777777" w:rsidR="00A80CF8" w:rsidRPr="00D724AC" w:rsidRDefault="00A80CF8" w:rsidP="00A80CF8">
      <w:pPr>
        <w:tabs>
          <w:tab w:val="left" w:pos="-1440"/>
          <w:tab w:val="left" w:pos="-720"/>
          <w:tab w:val="left" w:pos="567"/>
        </w:tabs>
        <w:spacing w:line="260" w:lineRule="exact"/>
        <w:rPr>
          <w:b/>
          <w:snapToGrid w:val="0"/>
          <w:szCs w:val="22"/>
          <w:lang w:eastAsia="en-US"/>
        </w:rPr>
      </w:pPr>
    </w:p>
    <w:p w14:paraId="447CB616" w14:textId="77777777" w:rsidR="00A80CF8" w:rsidRPr="00D724AC" w:rsidRDefault="00A80CF8" w:rsidP="00A80CF8">
      <w:pPr>
        <w:tabs>
          <w:tab w:val="left" w:pos="-1440"/>
          <w:tab w:val="left" w:pos="-720"/>
          <w:tab w:val="left" w:pos="567"/>
        </w:tabs>
        <w:spacing w:line="260" w:lineRule="exact"/>
        <w:rPr>
          <w:b/>
          <w:snapToGrid w:val="0"/>
          <w:szCs w:val="22"/>
          <w:lang w:eastAsia="en-US"/>
        </w:rPr>
      </w:pPr>
    </w:p>
    <w:p w14:paraId="7F624E8B" w14:textId="77777777" w:rsidR="00A80CF8" w:rsidRPr="00D724AC" w:rsidRDefault="00A80CF8" w:rsidP="00A80CF8">
      <w:pPr>
        <w:tabs>
          <w:tab w:val="left" w:pos="-1440"/>
          <w:tab w:val="left" w:pos="-720"/>
          <w:tab w:val="left" w:pos="567"/>
        </w:tabs>
        <w:spacing w:line="260" w:lineRule="exact"/>
        <w:rPr>
          <w:b/>
          <w:snapToGrid w:val="0"/>
          <w:szCs w:val="22"/>
          <w:lang w:eastAsia="en-US"/>
        </w:rPr>
      </w:pPr>
    </w:p>
    <w:p w14:paraId="796C218E" w14:textId="77777777" w:rsidR="00A80CF8" w:rsidRPr="00D724AC" w:rsidRDefault="00A80CF8" w:rsidP="00A80CF8">
      <w:pPr>
        <w:tabs>
          <w:tab w:val="left" w:pos="-1440"/>
          <w:tab w:val="left" w:pos="-720"/>
          <w:tab w:val="left" w:pos="567"/>
        </w:tabs>
        <w:spacing w:line="260" w:lineRule="exact"/>
        <w:rPr>
          <w:b/>
          <w:snapToGrid w:val="0"/>
          <w:szCs w:val="22"/>
          <w:lang w:eastAsia="en-US"/>
        </w:rPr>
      </w:pPr>
    </w:p>
    <w:p w14:paraId="4450368D" w14:textId="77777777" w:rsidR="00A80CF8" w:rsidRPr="00D724AC" w:rsidRDefault="00A80CF8" w:rsidP="00A80CF8">
      <w:pPr>
        <w:tabs>
          <w:tab w:val="left" w:pos="-1440"/>
          <w:tab w:val="left" w:pos="-720"/>
          <w:tab w:val="left" w:pos="567"/>
        </w:tabs>
        <w:spacing w:line="260" w:lineRule="exact"/>
        <w:rPr>
          <w:b/>
          <w:snapToGrid w:val="0"/>
          <w:szCs w:val="22"/>
          <w:lang w:eastAsia="en-US"/>
        </w:rPr>
      </w:pPr>
    </w:p>
    <w:p w14:paraId="5449A3B3" w14:textId="77777777" w:rsidR="00A80CF8" w:rsidRPr="00D724AC" w:rsidRDefault="00A80CF8" w:rsidP="00A80CF8">
      <w:pPr>
        <w:tabs>
          <w:tab w:val="left" w:pos="-1440"/>
          <w:tab w:val="left" w:pos="-720"/>
          <w:tab w:val="left" w:pos="567"/>
        </w:tabs>
        <w:spacing w:line="260" w:lineRule="exact"/>
        <w:rPr>
          <w:b/>
          <w:snapToGrid w:val="0"/>
          <w:szCs w:val="22"/>
          <w:lang w:eastAsia="en-US"/>
        </w:rPr>
      </w:pPr>
    </w:p>
    <w:p w14:paraId="2819FA1F" w14:textId="77777777" w:rsidR="00A80CF8" w:rsidRPr="00D724AC" w:rsidRDefault="00A80CF8" w:rsidP="00A80CF8">
      <w:pPr>
        <w:tabs>
          <w:tab w:val="left" w:pos="-1440"/>
          <w:tab w:val="left" w:pos="-720"/>
          <w:tab w:val="left" w:pos="567"/>
        </w:tabs>
        <w:spacing w:line="260" w:lineRule="exact"/>
        <w:rPr>
          <w:b/>
          <w:snapToGrid w:val="0"/>
          <w:szCs w:val="22"/>
          <w:lang w:eastAsia="en-US"/>
        </w:rPr>
      </w:pPr>
    </w:p>
    <w:p w14:paraId="079D46EA" w14:textId="77777777" w:rsidR="00A80CF8" w:rsidRPr="00D724AC" w:rsidRDefault="00A80CF8" w:rsidP="00A80CF8">
      <w:pPr>
        <w:tabs>
          <w:tab w:val="left" w:pos="-1440"/>
          <w:tab w:val="left" w:pos="-720"/>
          <w:tab w:val="left" w:pos="567"/>
        </w:tabs>
        <w:spacing w:line="260" w:lineRule="exact"/>
        <w:rPr>
          <w:b/>
          <w:snapToGrid w:val="0"/>
          <w:szCs w:val="22"/>
          <w:lang w:eastAsia="en-US"/>
        </w:rPr>
      </w:pPr>
    </w:p>
    <w:p w14:paraId="37B635B5" w14:textId="77777777" w:rsidR="00A80CF8" w:rsidRPr="00D724AC" w:rsidRDefault="00A80CF8" w:rsidP="00A80CF8">
      <w:pPr>
        <w:tabs>
          <w:tab w:val="left" w:pos="-1440"/>
          <w:tab w:val="left" w:pos="-720"/>
          <w:tab w:val="left" w:pos="567"/>
        </w:tabs>
        <w:spacing w:line="260" w:lineRule="exact"/>
        <w:rPr>
          <w:b/>
          <w:snapToGrid w:val="0"/>
          <w:szCs w:val="22"/>
          <w:lang w:eastAsia="en-US"/>
        </w:rPr>
      </w:pPr>
    </w:p>
    <w:p w14:paraId="64372B28" w14:textId="77777777" w:rsidR="00A80CF8" w:rsidRPr="00D724AC" w:rsidRDefault="00A80CF8" w:rsidP="00A80CF8">
      <w:pPr>
        <w:tabs>
          <w:tab w:val="left" w:pos="-1440"/>
          <w:tab w:val="left" w:pos="-720"/>
          <w:tab w:val="left" w:pos="567"/>
        </w:tabs>
        <w:spacing w:line="260" w:lineRule="exact"/>
        <w:rPr>
          <w:b/>
          <w:snapToGrid w:val="0"/>
          <w:szCs w:val="22"/>
          <w:lang w:eastAsia="en-US"/>
        </w:rPr>
      </w:pPr>
    </w:p>
    <w:p w14:paraId="337F8588" w14:textId="77777777" w:rsidR="00A80CF8" w:rsidRPr="00D724AC" w:rsidRDefault="00A80CF8" w:rsidP="00A80CF8">
      <w:pPr>
        <w:tabs>
          <w:tab w:val="left" w:pos="-1440"/>
          <w:tab w:val="left" w:pos="-720"/>
          <w:tab w:val="left" w:pos="567"/>
        </w:tabs>
        <w:spacing w:line="260" w:lineRule="exact"/>
        <w:rPr>
          <w:b/>
          <w:snapToGrid w:val="0"/>
          <w:szCs w:val="22"/>
          <w:lang w:eastAsia="en-US"/>
        </w:rPr>
      </w:pPr>
    </w:p>
    <w:p w14:paraId="3E3290BE" w14:textId="77777777" w:rsidR="00A80CF8" w:rsidRPr="00D724AC" w:rsidRDefault="00A80CF8" w:rsidP="00A80CF8">
      <w:pPr>
        <w:tabs>
          <w:tab w:val="left" w:pos="-1440"/>
          <w:tab w:val="left" w:pos="-720"/>
          <w:tab w:val="left" w:pos="567"/>
        </w:tabs>
        <w:spacing w:line="260" w:lineRule="exact"/>
        <w:rPr>
          <w:b/>
          <w:snapToGrid w:val="0"/>
          <w:szCs w:val="22"/>
          <w:lang w:eastAsia="en-US"/>
        </w:rPr>
      </w:pPr>
    </w:p>
    <w:p w14:paraId="34E796CD" w14:textId="77777777" w:rsidR="00A80CF8" w:rsidRPr="00D724AC" w:rsidRDefault="00A80CF8" w:rsidP="00A80CF8">
      <w:pPr>
        <w:keepNext/>
        <w:tabs>
          <w:tab w:val="left" w:pos="567"/>
        </w:tabs>
        <w:jc w:val="center"/>
        <w:outlineLvl w:val="1"/>
        <w:rPr>
          <w:b/>
          <w:snapToGrid w:val="0"/>
          <w:szCs w:val="22"/>
          <w:lang w:eastAsia="x-none"/>
        </w:rPr>
      </w:pPr>
      <w:r w:rsidRPr="00D724AC">
        <w:rPr>
          <w:b/>
          <w:bCs/>
          <w:iCs/>
          <w:snapToGrid w:val="0"/>
          <w:szCs w:val="22"/>
          <w:lang w:eastAsia="x-none"/>
        </w:rPr>
        <w:t>I PRIEDAS</w:t>
      </w:r>
    </w:p>
    <w:p w14:paraId="3390FEC8" w14:textId="77777777" w:rsidR="00A80CF8" w:rsidRPr="00D724AC" w:rsidRDefault="00A80CF8" w:rsidP="00A80CF8">
      <w:pPr>
        <w:tabs>
          <w:tab w:val="left" w:pos="567"/>
        </w:tabs>
        <w:rPr>
          <w:snapToGrid w:val="0"/>
          <w:szCs w:val="22"/>
          <w:lang w:eastAsia="en-US"/>
        </w:rPr>
      </w:pPr>
    </w:p>
    <w:p w14:paraId="5C8AFCFF" w14:textId="77777777" w:rsidR="00A80CF8" w:rsidRPr="00D724AC" w:rsidRDefault="00A80CF8" w:rsidP="00A80CF8">
      <w:pPr>
        <w:tabs>
          <w:tab w:val="left" w:pos="-1440"/>
          <w:tab w:val="left" w:pos="-720"/>
          <w:tab w:val="left" w:pos="567"/>
        </w:tabs>
        <w:spacing w:line="260" w:lineRule="exact"/>
        <w:jc w:val="center"/>
        <w:rPr>
          <w:b/>
          <w:snapToGrid w:val="0"/>
          <w:szCs w:val="22"/>
          <w:lang w:eastAsia="en-US"/>
        </w:rPr>
      </w:pPr>
      <w:r w:rsidRPr="00D724AC">
        <w:rPr>
          <w:b/>
          <w:snapToGrid w:val="0"/>
          <w:szCs w:val="22"/>
          <w:lang w:eastAsia="en-US"/>
        </w:rPr>
        <w:t>PREPARATO CHARAKTERISTIKŲ SANTRAUKA</w:t>
      </w:r>
    </w:p>
    <w:p w14:paraId="5B18A145" w14:textId="77777777" w:rsidR="00A80CF8" w:rsidRPr="00D724AC" w:rsidRDefault="00A80CF8" w:rsidP="00A80CF8">
      <w:pPr>
        <w:tabs>
          <w:tab w:val="left" w:pos="-1440"/>
          <w:tab w:val="left" w:pos="-720"/>
          <w:tab w:val="left" w:pos="567"/>
        </w:tabs>
        <w:spacing w:line="260" w:lineRule="exact"/>
        <w:jc w:val="center"/>
        <w:rPr>
          <w:snapToGrid w:val="0"/>
          <w:szCs w:val="22"/>
          <w:lang w:eastAsia="en-US"/>
        </w:rPr>
      </w:pPr>
      <w:r w:rsidRPr="00D724AC">
        <w:rPr>
          <w:snapToGrid w:val="0"/>
          <w:szCs w:val="22"/>
          <w:lang w:eastAsia="zh-CN"/>
        </w:rPr>
        <w:br w:type="page"/>
      </w:r>
    </w:p>
    <w:p w14:paraId="5AEFBDB7" w14:textId="77777777" w:rsidR="00A80CF8" w:rsidRPr="00D724AC" w:rsidRDefault="00A80CF8" w:rsidP="00A80CF8">
      <w:pPr>
        <w:keepNext/>
        <w:keepLines/>
        <w:tabs>
          <w:tab w:val="left" w:pos="567"/>
        </w:tabs>
        <w:outlineLvl w:val="2"/>
        <w:rPr>
          <w:b/>
          <w:bCs/>
          <w:snapToGrid w:val="0"/>
          <w:szCs w:val="22"/>
          <w:lang w:eastAsia="x-none"/>
        </w:rPr>
      </w:pPr>
      <w:r w:rsidRPr="00D724AC">
        <w:rPr>
          <w:b/>
          <w:bCs/>
          <w:snapToGrid w:val="0"/>
          <w:szCs w:val="22"/>
          <w:lang w:eastAsia="x-none"/>
        </w:rPr>
        <w:lastRenderedPageBreak/>
        <w:t>1.</w:t>
      </w:r>
      <w:r w:rsidRPr="00D724AC">
        <w:rPr>
          <w:b/>
          <w:bCs/>
          <w:snapToGrid w:val="0"/>
          <w:szCs w:val="22"/>
          <w:lang w:eastAsia="x-none"/>
        </w:rPr>
        <w:tab/>
        <w:t>VAISTINIO PREPARATO PAVADINIMAS</w:t>
      </w:r>
    </w:p>
    <w:p w14:paraId="3A4DF3AA" w14:textId="77777777" w:rsidR="00A80CF8" w:rsidRPr="00D724AC" w:rsidRDefault="00A80CF8" w:rsidP="00A80CF8">
      <w:pPr>
        <w:tabs>
          <w:tab w:val="left" w:pos="567"/>
        </w:tabs>
        <w:spacing w:line="260" w:lineRule="exact"/>
        <w:rPr>
          <w:snapToGrid w:val="0"/>
          <w:szCs w:val="22"/>
          <w:lang w:eastAsia="en-US"/>
        </w:rPr>
      </w:pPr>
    </w:p>
    <w:p w14:paraId="5B89A6F5" w14:textId="77777777" w:rsidR="00A80CF8" w:rsidRPr="00D724AC" w:rsidRDefault="00A80CF8" w:rsidP="00A80CF8">
      <w:pPr>
        <w:tabs>
          <w:tab w:val="left" w:pos="709"/>
        </w:tabs>
        <w:spacing w:line="260" w:lineRule="exact"/>
        <w:rPr>
          <w:snapToGrid w:val="0"/>
          <w:szCs w:val="22"/>
          <w:lang w:eastAsia="en-US"/>
        </w:rPr>
      </w:pPr>
      <w:r w:rsidRPr="00D724AC">
        <w:rPr>
          <w:snapToGrid w:val="0"/>
          <w:szCs w:val="22"/>
          <w:lang w:eastAsia="en-US"/>
        </w:rPr>
        <w:t xml:space="preserve">CONVERIDE </w:t>
      </w:r>
      <w:r w:rsidRPr="00D724AC">
        <w:rPr>
          <w:rFonts w:eastAsia="Calibri"/>
          <w:szCs w:val="22"/>
        </w:rPr>
        <w:t>150</w:t>
      </w:r>
      <w:r>
        <w:rPr>
          <w:rFonts w:eastAsia="Calibri"/>
          <w:szCs w:val="22"/>
        </w:rPr>
        <w:t> </w:t>
      </w:r>
      <w:r w:rsidRPr="00D724AC">
        <w:rPr>
          <w:rFonts w:eastAsia="Calibri"/>
          <w:szCs w:val="22"/>
        </w:rPr>
        <w:t>mg/12,5</w:t>
      </w:r>
      <w:r>
        <w:rPr>
          <w:rFonts w:eastAsia="Calibri"/>
          <w:szCs w:val="22"/>
        </w:rPr>
        <w:t> </w:t>
      </w:r>
      <w:r w:rsidRPr="00D724AC">
        <w:rPr>
          <w:rFonts w:eastAsia="Calibri"/>
          <w:szCs w:val="22"/>
        </w:rPr>
        <w:t>mg plėvele dengtos tabletės</w:t>
      </w:r>
    </w:p>
    <w:p w14:paraId="4AD6FBEA" w14:textId="77777777" w:rsidR="00A80CF8" w:rsidRPr="00D724AC" w:rsidRDefault="00A80CF8" w:rsidP="00A80CF8">
      <w:pPr>
        <w:tabs>
          <w:tab w:val="left" w:pos="709"/>
        </w:tabs>
        <w:spacing w:line="260" w:lineRule="exact"/>
        <w:rPr>
          <w:snapToGrid w:val="0"/>
          <w:szCs w:val="22"/>
          <w:lang w:eastAsia="en-US"/>
        </w:rPr>
      </w:pPr>
      <w:r w:rsidRPr="00D724AC">
        <w:rPr>
          <w:snapToGrid w:val="0"/>
          <w:szCs w:val="22"/>
          <w:lang w:eastAsia="en-US"/>
        </w:rPr>
        <w:t xml:space="preserve">CONVERIDE </w:t>
      </w:r>
      <w:r w:rsidRPr="00D724AC">
        <w:rPr>
          <w:rFonts w:eastAsia="Calibri"/>
          <w:szCs w:val="22"/>
        </w:rPr>
        <w:t>300</w:t>
      </w:r>
      <w:r>
        <w:rPr>
          <w:rFonts w:eastAsia="Calibri"/>
          <w:szCs w:val="22"/>
        </w:rPr>
        <w:t> </w:t>
      </w:r>
      <w:r w:rsidRPr="00D724AC">
        <w:rPr>
          <w:rFonts w:eastAsia="Calibri"/>
          <w:szCs w:val="22"/>
        </w:rPr>
        <w:t>mg/25</w:t>
      </w:r>
      <w:r>
        <w:rPr>
          <w:rFonts w:eastAsia="Calibri"/>
          <w:szCs w:val="22"/>
        </w:rPr>
        <w:t> </w:t>
      </w:r>
      <w:r w:rsidRPr="00D724AC">
        <w:rPr>
          <w:rFonts w:eastAsia="Calibri"/>
          <w:szCs w:val="22"/>
        </w:rPr>
        <w:t>mg plėvele dengtos tabletės</w:t>
      </w:r>
    </w:p>
    <w:p w14:paraId="348B23F7" w14:textId="77777777" w:rsidR="00A80CF8" w:rsidRPr="00D724AC" w:rsidRDefault="00A80CF8" w:rsidP="00A80CF8">
      <w:pPr>
        <w:tabs>
          <w:tab w:val="left" w:pos="567"/>
        </w:tabs>
        <w:spacing w:line="260" w:lineRule="exact"/>
        <w:rPr>
          <w:snapToGrid w:val="0"/>
          <w:szCs w:val="22"/>
          <w:lang w:eastAsia="en-US"/>
        </w:rPr>
      </w:pPr>
    </w:p>
    <w:p w14:paraId="58EF7A0B" w14:textId="77777777" w:rsidR="00A80CF8" w:rsidRPr="00D724AC" w:rsidRDefault="00A80CF8" w:rsidP="00A80CF8">
      <w:pPr>
        <w:tabs>
          <w:tab w:val="left" w:pos="567"/>
        </w:tabs>
        <w:spacing w:line="260" w:lineRule="exact"/>
        <w:rPr>
          <w:snapToGrid w:val="0"/>
          <w:szCs w:val="22"/>
          <w:lang w:eastAsia="en-US"/>
        </w:rPr>
      </w:pPr>
    </w:p>
    <w:p w14:paraId="7629E47D" w14:textId="77777777" w:rsidR="00A80CF8" w:rsidRPr="00D724AC" w:rsidRDefault="00A80CF8" w:rsidP="00A80CF8">
      <w:pPr>
        <w:keepNext/>
        <w:keepLines/>
        <w:tabs>
          <w:tab w:val="left" w:pos="567"/>
        </w:tabs>
        <w:outlineLvl w:val="2"/>
        <w:rPr>
          <w:b/>
          <w:bCs/>
          <w:snapToGrid w:val="0"/>
          <w:szCs w:val="22"/>
          <w:lang w:eastAsia="x-none"/>
        </w:rPr>
      </w:pPr>
      <w:r w:rsidRPr="00D724AC">
        <w:rPr>
          <w:b/>
          <w:bCs/>
          <w:snapToGrid w:val="0"/>
          <w:szCs w:val="22"/>
          <w:lang w:eastAsia="x-none"/>
        </w:rPr>
        <w:t>2.</w:t>
      </w:r>
      <w:r w:rsidRPr="00D724AC">
        <w:rPr>
          <w:b/>
          <w:bCs/>
          <w:snapToGrid w:val="0"/>
          <w:szCs w:val="22"/>
          <w:lang w:eastAsia="x-none"/>
        </w:rPr>
        <w:tab/>
        <w:t>KOKYBINĖ IR KIEKYBINĖ SUDĖTIS</w:t>
      </w:r>
    </w:p>
    <w:p w14:paraId="402F9036" w14:textId="77777777" w:rsidR="00A80CF8" w:rsidRPr="00D724AC" w:rsidRDefault="00A80CF8" w:rsidP="00A80CF8">
      <w:pPr>
        <w:tabs>
          <w:tab w:val="left" w:pos="567"/>
        </w:tabs>
        <w:spacing w:line="260" w:lineRule="exact"/>
        <w:rPr>
          <w:snapToGrid w:val="0"/>
          <w:szCs w:val="22"/>
          <w:lang w:eastAsia="en-US"/>
        </w:rPr>
      </w:pPr>
    </w:p>
    <w:p w14:paraId="7BBC4ABE" w14:textId="77777777" w:rsidR="00A80CF8" w:rsidRPr="00D724AC" w:rsidRDefault="00A80CF8" w:rsidP="00A80CF8">
      <w:pPr>
        <w:tabs>
          <w:tab w:val="left" w:pos="567"/>
        </w:tabs>
        <w:spacing w:line="260" w:lineRule="exact"/>
        <w:rPr>
          <w:rFonts w:eastAsia="Calibri"/>
          <w:szCs w:val="22"/>
        </w:rPr>
      </w:pPr>
      <w:r w:rsidRPr="00D724AC">
        <w:rPr>
          <w:snapToGrid w:val="0"/>
          <w:szCs w:val="22"/>
          <w:lang w:eastAsia="en-US"/>
        </w:rPr>
        <w:t xml:space="preserve">CONVERIDE </w:t>
      </w:r>
      <w:r w:rsidRPr="00D724AC">
        <w:rPr>
          <w:rFonts w:eastAsia="Calibri"/>
          <w:szCs w:val="22"/>
        </w:rPr>
        <w:t>150</w:t>
      </w:r>
      <w:r>
        <w:rPr>
          <w:rFonts w:eastAsia="Calibri"/>
          <w:szCs w:val="22"/>
        </w:rPr>
        <w:t> </w:t>
      </w:r>
      <w:r w:rsidRPr="00D724AC">
        <w:rPr>
          <w:rFonts w:eastAsia="Calibri"/>
          <w:szCs w:val="22"/>
        </w:rPr>
        <w:t>mg/12,5</w:t>
      </w:r>
      <w:r>
        <w:rPr>
          <w:rFonts w:eastAsia="Calibri"/>
          <w:szCs w:val="22"/>
        </w:rPr>
        <w:t> </w:t>
      </w:r>
      <w:r w:rsidRPr="00D724AC">
        <w:rPr>
          <w:rFonts w:eastAsia="Calibri"/>
          <w:szCs w:val="22"/>
        </w:rPr>
        <w:t>mg plėvele dengtos tabletės: kiekvienoje plėvele dengtoje tabletėje yra 150 mg irbesartano ir 12,5</w:t>
      </w:r>
      <w:r>
        <w:rPr>
          <w:rFonts w:eastAsia="Calibri"/>
          <w:szCs w:val="22"/>
        </w:rPr>
        <w:t> </w:t>
      </w:r>
      <w:r w:rsidRPr="00D724AC">
        <w:rPr>
          <w:rFonts w:eastAsia="Calibri"/>
          <w:szCs w:val="22"/>
        </w:rPr>
        <w:t>mg hidrochlorotiazido.</w:t>
      </w:r>
    </w:p>
    <w:p w14:paraId="018C6725" w14:textId="77777777" w:rsidR="00A80CF8" w:rsidRPr="00D724AC" w:rsidRDefault="00A80CF8" w:rsidP="00A80CF8">
      <w:pPr>
        <w:tabs>
          <w:tab w:val="left" w:pos="567"/>
        </w:tabs>
        <w:spacing w:line="260" w:lineRule="exact"/>
        <w:rPr>
          <w:rFonts w:eastAsia="Calibri"/>
          <w:szCs w:val="22"/>
        </w:rPr>
      </w:pPr>
    </w:p>
    <w:p w14:paraId="025D9D55" w14:textId="77777777" w:rsidR="00A80CF8" w:rsidRPr="00D724AC" w:rsidRDefault="00A80CF8" w:rsidP="00A80CF8">
      <w:pPr>
        <w:tabs>
          <w:tab w:val="left" w:pos="567"/>
        </w:tabs>
        <w:spacing w:line="260" w:lineRule="exact"/>
        <w:rPr>
          <w:rFonts w:eastAsia="Calibri"/>
          <w:szCs w:val="22"/>
        </w:rPr>
      </w:pPr>
      <w:r w:rsidRPr="00D724AC">
        <w:rPr>
          <w:snapToGrid w:val="0"/>
          <w:szCs w:val="22"/>
          <w:lang w:eastAsia="en-US"/>
        </w:rPr>
        <w:t xml:space="preserve">CONVERIDE </w:t>
      </w:r>
      <w:r w:rsidRPr="00D724AC">
        <w:rPr>
          <w:rFonts w:eastAsia="Calibri"/>
          <w:szCs w:val="22"/>
        </w:rPr>
        <w:t>300</w:t>
      </w:r>
      <w:r>
        <w:rPr>
          <w:rFonts w:eastAsia="Calibri"/>
          <w:szCs w:val="22"/>
        </w:rPr>
        <w:t> </w:t>
      </w:r>
      <w:r w:rsidRPr="00D724AC">
        <w:rPr>
          <w:rFonts w:eastAsia="Calibri"/>
          <w:szCs w:val="22"/>
        </w:rPr>
        <w:t>mg/25</w:t>
      </w:r>
      <w:r>
        <w:rPr>
          <w:rFonts w:eastAsia="Calibri"/>
          <w:szCs w:val="22"/>
        </w:rPr>
        <w:t> </w:t>
      </w:r>
      <w:r w:rsidRPr="00D724AC">
        <w:rPr>
          <w:rFonts w:eastAsia="Calibri"/>
          <w:szCs w:val="22"/>
        </w:rPr>
        <w:t>mg plėvele dengtos tabletės: kiekvienoje plėvele dengtoje tabletėje yra 300 mg irbesartano ir 25</w:t>
      </w:r>
      <w:r>
        <w:rPr>
          <w:rFonts w:eastAsia="Calibri"/>
          <w:szCs w:val="22"/>
        </w:rPr>
        <w:t> </w:t>
      </w:r>
      <w:r w:rsidRPr="00D724AC">
        <w:rPr>
          <w:rFonts w:eastAsia="Calibri"/>
          <w:szCs w:val="22"/>
        </w:rPr>
        <w:t>mg hidrochlorotiazido.</w:t>
      </w:r>
    </w:p>
    <w:p w14:paraId="5C6983C5" w14:textId="77777777" w:rsidR="00A80CF8" w:rsidRPr="00D724AC" w:rsidRDefault="00A80CF8" w:rsidP="00A80CF8">
      <w:pPr>
        <w:tabs>
          <w:tab w:val="left" w:pos="567"/>
        </w:tabs>
        <w:spacing w:line="260" w:lineRule="exact"/>
        <w:rPr>
          <w:snapToGrid w:val="0"/>
          <w:szCs w:val="22"/>
          <w:lang w:eastAsia="en-US"/>
        </w:rPr>
      </w:pPr>
    </w:p>
    <w:p w14:paraId="56F10341" w14:textId="77777777" w:rsidR="00A80CF8" w:rsidRPr="00D724AC" w:rsidRDefault="00A80CF8" w:rsidP="00A80CF8">
      <w:pPr>
        <w:autoSpaceDE w:val="0"/>
        <w:autoSpaceDN w:val="0"/>
        <w:adjustRightInd w:val="0"/>
        <w:rPr>
          <w:rFonts w:eastAsia="Calibri"/>
          <w:szCs w:val="22"/>
          <w:u w:val="single"/>
        </w:rPr>
      </w:pPr>
      <w:r w:rsidRPr="00D724AC">
        <w:rPr>
          <w:rFonts w:eastAsia="Calibri"/>
          <w:szCs w:val="22"/>
          <w:u w:val="single"/>
        </w:rPr>
        <w:t>Pagalbinė medžiaga, kurios poveikis žinomas</w:t>
      </w:r>
      <w:r w:rsidRPr="00D724AC">
        <w:rPr>
          <w:rFonts w:eastAsia="Calibri"/>
          <w:szCs w:val="22"/>
        </w:rPr>
        <w:t>: laktozė monohidratas.</w:t>
      </w:r>
    </w:p>
    <w:p w14:paraId="7716A84E" w14:textId="77777777" w:rsidR="00A80CF8" w:rsidRPr="00D724AC" w:rsidRDefault="00A80CF8" w:rsidP="00A80CF8">
      <w:pPr>
        <w:autoSpaceDE w:val="0"/>
        <w:autoSpaceDN w:val="0"/>
        <w:adjustRightInd w:val="0"/>
        <w:rPr>
          <w:rFonts w:eastAsia="Calibri"/>
          <w:szCs w:val="22"/>
          <w:u w:val="single"/>
        </w:rPr>
      </w:pPr>
    </w:p>
    <w:p w14:paraId="3B43B46B" w14:textId="77777777" w:rsidR="00A80CF8" w:rsidRPr="00D724AC" w:rsidRDefault="00A80CF8" w:rsidP="00A80CF8">
      <w:pPr>
        <w:autoSpaceDE w:val="0"/>
        <w:autoSpaceDN w:val="0"/>
        <w:adjustRightInd w:val="0"/>
        <w:rPr>
          <w:rFonts w:eastAsia="Calibri"/>
          <w:szCs w:val="22"/>
        </w:rPr>
      </w:pPr>
      <w:r w:rsidRPr="00D724AC">
        <w:rPr>
          <w:snapToGrid w:val="0"/>
          <w:szCs w:val="22"/>
          <w:lang w:eastAsia="en-US"/>
        </w:rPr>
        <w:t xml:space="preserve">CONVERIDE </w:t>
      </w:r>
      <w:r w:rsidRPr="00D724AC">
        <w:rPr>
          <w:rFonts w:eastAsia="Calibri"/>
          <w:szCs w:val="22"/>
        </w:rPr>
        <w:t>150</w:t>
      </w:r>
      <w:r>
        <w:rPr>
          <w:rFonts w:eastAsia="Calibri"/>
          <w:szCs w:val="22"/>
        </w:rPr>
        <w:t> </w:t>
      </w:r>
      <w:r w:rsidRPr="00D724AC">
        <w:rPr>
          <w:rFonts w:eastAsia="Calibri"/>
          <w:szCs w:val="22"/>
        </w:rPr>
        <w:t>mg/12,5</w:t>
      </w:r>
      <w:r>
        <w:rPr>
          <w:rFonts w:eastAsia="Calibri"/>
          <w:szCs w:val="22"/>
        </w:rPr>
        <w:t> </w:t>
      </w:r>
      <w:r w:rsidRPr="00D724AC">
        <w:rPr>
          <w:rFonts w:eastAsia="Calibri"/>
          <w:szCs w:val="22"/>
        </w:rPr>
        <w:t>mg plėvele dengtos tabletės: kiekvienoje plėvele dengtoje tabletėje yra 26,65</w:t>
      </w:r>
      <w:r>
        <w:rPr>
          <w:rFonts w:eastAsia="Calibri"/>
          <w:szCs w:val="22"/>
        </w:rPr>
        <w:t> </w:t>
      </w:r>
      <w:r w:rsidRPr="00D724AC">
        <w:rPr>
          <w:rFonts w:eastAsia="Calibri"/>
          <w:szCs w:val="22"/>
        </w:rPr>
        <w:t>mg laktozės (laktozės monohidrato pavidalu).</w:t>
      </w:r>
    </w:p>
    <w:p w14:paraId="2F6D3EEB" w14:textId="77777777" w:rsidR="00A80CF8" w:rsidRPr="00D724AC" w:rsidRDefault="00A80CF8" w:rsidP="00A80CF8">
      <w:pPr>
        <w:autoSpaceDE w:val="0"/>
        <w:autoSpaceDN w:val="0"/>
        <w:adjustRightInd w:val="0"/>
        <w:rPr>
          <w:rFonts w:eastAsia="Calibri"/>
          <w:szCs w:val="22"/>
        </w:rPr>
      </w:pPr>
    </w:p>
    <w:p w14:paraId="0D13933E" w14:textId="77777777" w:rsidR="00A80CF8" w:rsidRPr="00D724AC" w:rsidRDefault="00A80CF8" w:rsidP="00A80CF8">
      <w:pPr>
        <w:autoSpaceDE w:val="0"/>
        <w:autoSpaceDN w:val="0"/>
        <w:adjustRightInd w:val="0"/>
        <w:rPr>
          <w:rFonts w:eastAsia="Calibri"/>
          <w:szCs w:val="22"/>
        </w:rPr>
      </w:pPr>
      <w:r w:rsidRPr="00D724AC">
        <w:rPr>
          <w:snapToGrid w:val="0"/>
          <w:szCs w:val="22"/>
          <w:lang w:eastAsia="en-US"/>
        </w:rPr>
        <w:t xml:space="preserve">CONVERIDE </w:t>
      </w:r>
      <w:r w:rsidRPr="00D724AC">
        <w:rPr>
          <w:rFonts w:eastAsia="Calibri"/>
          <w:szCs w:val="22"/>
        </w:rPr>
        <w:t>300</w:t>
      </w:r>
      <w:r>
        <w:rPr>
          <w:rFonts w:eastAsia="Calibri"/>
          <w:szCs w:val="22"/>
        </w:rPr>
        <w:t> </w:t>
      </w:r>
      <w:r w:rsidRPr="00D724AC">
        <w:rPr>
          <w:rFonts w:eastAsia="Calibri"/>
          <w:szCs w:val="22"/>
        </w:rPr>
        <w:t>mg/25</w:t>
      </w:r>
      <w:r>
        <w:rPr>
          <w:rFonts w:eastAsia="Calibri"/>
          <w:szCs w:val="22"/>
        </w:rPr>
        <w:t> </w:t>
      </w:r>
      <w:r w:rsidRPr="00D724AC">
        <w:rPr>
          <w:rFonts w:eastAsia="Calibri"/>
          <w:szCs w:val="22"/>
        </w:rPr>
        <w:t>mg plėvele dengtos tabletės: kiekvienoje plėvele dengtoje tabletėje yra 53,3</w:t>
      </w:r>
      <w:r>
        <w:rPr>
          <w:rFonts w:eastAsia="Calibri"/>
          <w:szCs w:val="22"/>
        </w:rPr>
        <w:t> </w:t>
      </w:r>
      <w:r w:rsidRPr="00D724AC">
        <w:rPr>
          <w:rFonts w:eastAsia="Calibri"/>
          <w:szCs w:val="22"/>
        </w:rPr>
        <w:t>mg laktozės (laktozės monohidrato pavidalu).</w:t>
      </w:r>
    </w:p>
    <w:p w14:paraId="43046B25" w14:textId="77777777" w:rsidR="00A80CF8" w:rsidRPr="00D724AC" w:rsidRDefault="00A80CF8" w:rsidP="00A80CF8">
      <w:pPr>
        <w:tabs>
          <w:tab w:val="left" w:pos="567"/>
        </w:tabs>
        <w:spacing w:line="260" w:lineRule="exact"/>
        <w:rPr>
          <w:rFonts w:eastAsia="Calibri"/>
          <w:szCs w:val="22"/>
        </w:rPr>
      </w:pPr>
    </w:p>
    <w:p w14:paraId="1B8F3812" w14:textId="77777777" w:rsidR="00A80CF8" w:rsidRPr="00D724AC" w:rsidRDefault="00A80CF8" w:rsidP="00A80CF8">
      <w:pPr>
        <w:tabs>
          <w:tab w:val="left" w:pos="567"/>
        </w:tabs>
        <w:spacing w:line="260" w:lineRule="exact"/>
        <w:rPr>
          <w:snapToGrid w:val="0"/>
          <w:szCs w:val="22"/>
          <w:lang w:eastAsia="en-US"/>
        </w:rPr>
      </w:pPr>
      <w:r w:rsidRPr="00D724AC">
        <w:rPr>
          <w:rFonts w:eastAsia="Calibri"/>
          <w:szCs w:val="22"/>
        </w:rPr>
        <w:t>Visos pagalbinės medžiagos išvardytos 6.1 skyriuje.</w:t>
      </w:r>
    </w:p>
    <w:p w14:paraId="6066C4E8" w14:textId="77777777" w:rsidR="00A80CF8" w:rsidRPr="00D724AC" w:rsidRDefault="00A80CF8" w:rsidP="00A80CF8">
      <w:pPr>
        <w:tabs>
          <w:tab w:val="left" w:pos="567"/>
        </w:tabs>
        <w:spacing w:line="260" w:lineRule="exact"/>
        <w:rPr>
          <w:snapToGrid w:val="0"/>
          <w:szCs w:val="22"/>
          <w:lang w:eastAsia="en-US"/>
        </w:rPr>
      </w:pPr>
    </w:p>
    <w:p w14:paraId="619CE53A" w14:textId="77777777" w:rsidR="00A80CF8" w:rsidRPr="00D724AC" w:rsidRDefault="00A80CF8" w:rsidP="00A80CF8">
      <w:pPr>
        <w:tabs>
          <w:tab w:val="left" w:pos="567"/>
        </w:tabs>
        <w:spacing w:line="260" w:lineRule="exact"/>
        <w:rPr>
          <w:snapToGrid w:val="0"/>
          <w:szCs w:val="22"/>
          <w:lang w:eastAsia="en-US"/>
        </w:rPr>
      </w:pPr>
    </w:p>
    <w:p w14:paraId="5B12BFF4" w14:textId="77777777" w:rsidR="00A80CF8" w:rsidRPr="00D724AC" w:rsidRDefault="00A80CF8" w:rsidP="00A80CF8">
      <w:pPr>
        <w:keepNext/>
        <w:keepLines/>
        <w:tabs>
          <w:tab w:val="left" w:pos="567"/>
        </w:tabs>
        <w:outlineLvl w:val="2"/>
        <w:rPr>
          <w:b/>
          <w:bCs/>
          <w:snapToGrid w:val="0"/>
          <w:szCs w:val="22"/>
          <w:lang w:eastAsia="x-none"/>
        </w:rPr>
      </w:pPr>
      <w:r w:rsidRPr="00D724AC">
        <w:rPr>
          <w:b/>
          <w:bCs/>
          <w:snapToGrid w:val="0"/>
          <w:szCs w:val="22"/>
          <w:lang w:eastAsia="x-none"/>
        </w:rPr>
        <w:t>3.</w:t>
      </w:r>
      <w:r w:rsidRPr="00D724AC">
        <w:rPr>
          <w:b/>
          <w:bCs/>
          <w:snapToGrid w:val="0"/>
          <w:szCs w:val="22"/>
          <w:lang w:eastAsia="x-none"/>
        </w:rPr>
        <w:tab/>
        <w:t>FARMACINĖ FORMA</w:t>
      </w:r>
    </w:p>
    <w:p w14:paraId="795AE454" w14:textId="77777777" w:rsidR="00A80CF8" w:rsidRPr="00D724AC" w:rsidRDefault="00A80CF8" w:rsidP="00A80CF8">
      <w:pPr>
        <w:tabs>
          <w:tab w:val="left" w:pos="567"/>
        </w:tabs>
        <w:spacing w:line="260" w:lineRule="exact"/>
        <w:rPr>
          <w:snapToGrid w:val="0"/>
          <w:szCs w:val="22"/>
          <w:lang w:eastAsia="en-US"/>
        </w:rPr>
      </w:pPr>
    </w:p>
    <w:p w14:paraId="2EF671EA" w14:textId="77777777" w:rsidR="00A80CF8" w:rsidRPr="00D724AC" w:rsidRDefault="00A80CF8" w:rsidP="00A80CF8">
      <w:pPr>
        <w:tabs>
          <w:tab w:val="left" w:pos="567"/>
        </w:tabs>
        <w:spacing w:line="260" w:lineRule="exact"/>
        <w:rPr>
          <w:snapToGrid w:val="0"/>
          <w:szCs w:val="22"/>
          <w:lang w:eastAsia="en-US"/>
        </w:rPr>
      </w:pPr>
      <w:r w:rsidRPr="00D724AC">
        <w:rPr>
          <w:rFonts w:eastAsia="Calibri"/>
          <w:szCs w:val="22"/>
        </w:rPr>
        <w:t>Plėvele dengta tabletė.</w:t>
      </w:r>
    </w:p>
    <w:p w14:paraId="3F7CDA2D" w14:textId="77777777" w:rsidR="00A80CF8" w:rsidRPr="00D724AC" w:rsidRDefault="00A80CF8" w:rsidP="00A80CF8">
      <w:pPr>
        <w:tabs>
          <w:tab w:val="left" w:pos="567"/>
        </w:tabs>
        <w:spacing w:line="260" w:lineRule="exact"/>
        <w:rPr>
          <w:snapToGrid w:val="0"/>
          <w:szCs w:val="22"/>
          <w:lang w:eastAsia="en-US"/>
        </w:rPr>
      </w:pPr>
    </w:p>
    <w:p w14:paraId="33CAC4B8" w14:textId="77777777" w:rsidR="00A80CF8" w:rsidRPr="00D724AC" w:rsidRDefault="00A80CF8" w:rsidP="00A80CF8">
      <w:pPr>
        <w:tabs>
          <w:tab w:val="left" w:pos="567"/>
        </w:tabs>
        <w:spacing w:line="260" w:lineRule="exact"/>
        <w:rPr>
          <w:snapToGrid w:val="0"/>
          <w:szCs w:val="22"/>
          <w:lang w:eastAsia="en-US"/>
        </w:rPr>
      </w:pPr>
      <w:r w:rsidRPr="00D724AC">
        <w:rPr>
          <w:snapToGrid w:val="0"/>
          <w:szCs w:val="22"/>
          <w:lang w:eastAsia="en-US"/>
        </w:rPr>
        <w:t>CONVERIDE 150</w:t>
      </w:r>
      <w:r>
        <w:rPr>
          <w:snapToGrid w:val="0"/>
          <w:szCs w:val="22"/>
          <w:lang w:eastAsia="en-US"/>
        </w:rPr>
        <w:t> </w:t>
      </w:r>
      <w:r w:rsidRPr="00D724AC">
        <w:rPr>
          <w:snapToGrid w:val="0"/>
          <w:szCs w:val="22"/>
          <w:lang w:eastAsia="en-US"/>
        </w:rPr>
        <w:t>mg/12,5</w:t>
      </w:r>
      <w:r>
        <w:rPr>
          <w:snapToGrid w:val="0"/>
          <w:szCs w:val="22"/>
          <w:lang w:eastAsia="en-US"/>
        </w:rPr>
        <w:t> </w:t>
      </w:r>
      <w:r w:rsidRPr="00D724AC">
        <w:rPr>
          <w:snapToGrid w:val="0"/>
          <w:szCs w:val="22"/>
          <w:lang w:eastAsia="en-US"/>
        </w:rPr>
        <w:t>mg plėvele dengtos tabletės yra baltos, apvalios, išgaubtos, dengtos plėvele, 9,5</w:t>
      </w:r>
      <w:r>
        <w:rPr>
          <w:snapToGrid w:val="0"/>
          <w:szCs w:val="22"/>
          <w:lang w:eastAsia="en-US"/>
        </w:rPr>
        <w:t> </w:t>
      </w:r>
      <w:r w:rsidRPr="00D724AC">
        <w:rPr>
          <w:snapToGrid w:val="0"/>
          <w:szCs w:val="22"/>
          <w:lang w:eastAsia="en-US"/>
        </w:rPr>
        <w:t xml:space="preserve">mm skersmens. </w:t>
      </w:r>
    </w:p>
    <w:p w14:paraId="04E98E8E" w14:textId="77777777" w:rsidR="00A80CF8" w:rsidRPr="00D724AC" w:rsidRDefault="00A80CF8" w:rsidP="00A80CF8">
      <w:pPr>
        <w:tabs>
          <w:tab w:val="left" w:pos="567"/>
        </w:tabs>
        <w:spacing w:line="260" w:lineRule="exact"/>
        <w:rPr>
          <w:snapToGrid w:val="0"/>
          <w:szCs w:val="22"/>
          <w:lang w:eastAsia="en-US"/>
        </w:rPr>
      </w:pPr>
    </w:p>
    <w:p w14:paraId="0F0E8A8C" w14:textId="77777777" w:rsidR="00A80CF8" w:rsidRPr="00D724AC" w:rsidRDefault="00A80CF8" w:rsidP="00A80CF8">
      <w:pPr>
        <w:tabs>
          <w:tab w:val="left" w:pos="567"/>
        </w:tabs>
        <w:spacing w:line="260" w:lineRule="exact"/>
        <w:rPr>
          <w:snapToGrid w:val="0"/>
          <w:szCs w:val="22"/>
          <w:lang w:eastAsia="en-US"/>
        </w:rPr>
      </w:pPr>
      <w:r w:rsidRPr="00D724AC">
        <w:rPr>
          <w:snapToGrid w:val="0"/>
          <w:szCs w:val="22"/>
          <w:lang w:eastAsia="en-US"/>
        </w:rPr>
        <w:t>CONVERIDE 300</w:t>
      </w:r>
      <w:r>
        <w:rPr>
          <w:snapToGrid w:val="0"/>
          <w:szCs w:val="22"/>
          <w:lang w:eastAsia="en-US"/>
        </w:rPr>
        <w:t> </w:t>
      </w:r>
      <w:r w:rsidRPr="00D724AC">
        <w:rPr>
          <w:snapToGrid w:val="0"/>
          <w:szCs w:val="22"/>
          <w:lang w:eastAsia="en-US"/>
        </w:rPr>
        <w:t>mg/25</w:t>
      </w:r>
      <w:r>
        <w:rPr>
          <w:snapToGrid w:val="0"/>
          <w:szCs w:val="22"/>
          <w:lang w:eastAsia="en-US"/>
        </w:rPr>
        <w:t> </w:t>
      </w:r>
      <w:r w:rsidRPr="00D724AC">
        <w:rPr>
          <w:snapToGrid w:val="0"/>
          <w:szCs w:val="22"/>
          <w:lang w:eastAsia="en-US"/>
        </w:rPr>
        <w:t xml:space="preserve">mg plėvele dengtos tabletės yra baltos spalvos, išgaubtos, kapsulės formos plėvele dengtos tabletės, kurių vienoje pusėje yra vagelė, o kitoje įspaudas „MC“, tabletės dydis 17,5 mm x 8 mm. </w:t>
      </w:r>
    </w:p>
    <w:p w14:paraId="3BE5CFBC" w14:textId="77777777" w:rsidR="00A80CF8" w:rsidRPr="00D724AC" w:rsidRDefault="00A80CF8" w:rsidP="00A80CF8">
      <w:pPr>
        <w:autoSpaceDE w:val="0"/>
        <w:autoSpaceDN w:val="0"/>
        <w:adjustRightInd w:val="0"/>
        <w:rPr>
          <w:rFonts w:eastAsia="Calibri"/>
          <w:szCs w:val="22"/>
        </w:rPr>
      </w:pPr>
    </w:p>
    <w:p w14:paraId="7A5F45F2" w14:textId="77777777" w:rsidR="00A80CF8" w:rsidRPr="00D724AC" w:rsidRDefault="00A80CF8" w:rsidP="00A80CF8">
      <w:pPr>
        <w:tabs>
          <w:tab w:val="left" w:pos="567"/>
        </w:tabs>
        <w:spacing w:line="260" w:lineRule="exact"/>
        <w:rPr>
          <w:snapToGrid w:val="0"/>
          <w:szCs w:val="22"/>
          <w:lang w:eastAsia="en-US"/>
        </w:rPr>
      </w:pPr>
      <w:r w:rsidRPr="00D724AC">
        <w:rPr>
          <w:snapToGrid w:val="0"/>
          <w:szCs w:val="22"/>
          <w:lang w:eastAsia="en-US"/>
        </w:rPr>
        <w:t>Vagelė skirta tik tabletei perlaužti, kad būtų lengviau nuryti, bet ne jai padalyti į lygias dozes.</w:t>
      </w:r>
    </w:p>
    <w:p w14:paraId="340B4F46" w14:textId="77777777" w:rsidR="00A80CF8" w:rsidRPr="00D724AC" w:rsidRDefault="00A80CF8" w:rsidP="00A80CF8">
      <w:pPr>
        <w:tabs>
          <w:tab w:val="left" w:pos="567"/>
        </w:tabs>
        <w:spacing w:line="260" w:lineRule="exact"/>
        <w:rPr>
          <w:snapToGrid w:val="0"/>
          <w:szCs w:val="22"/>
          <w:lang w:eastAsia="en-US"/>
        </w:rPr>
      </w:pPr>
    </w:p>
    <w:p w14:paraId="30ECFBBC" w14:textId="77777777" w:rsidR="00A80CF8" w:rsidRPr="00D724AC" w:rsidRDefault="00A80CF8" w:rsidP="00A80CF8">
      <w:pPr>
        <w:tabs>
          <w:tab w:val="left" w:pos="567"/>
        </w:tabs>
        <w:spacing w:line="260" w:lineRule="exact"/>
        <w:rPr>
          <w:snapToGrid w:val="0"/>
          <w:szCs w:val="22"/>
          <w:lang w:eastAsia="en-US"/>
        </w:rPr>
      </w:pPr>
    </w:p>
    <w:p w14:paraId="0E8223D5" w14:textId="77777777" w:rsidR="00A80CF8" w:rsidRPr="00D724AC" w:rsidRDefault="00A80CF8" w:rsidP="00A80CF8">
      <w:pPr>
        <w:keepNext/>
        <w:keepLines/>
        <w:tabs>
          <w:tab w:val="left" w:pos="567"/>
        </w:tabs>
        <w:outlineLvl w:val="2"/>
        <w:rPr>
          <w:b/>
          <w:bCs/>
          <w:snapToGrid w:val="0"/>
          <w:szCs w:val="22"/>
          <w:lang w:eastAsia="x-none"/>
        </w:rPr>
      </w:pPr>
      <w:r w:rsidRPr="00D724AC">
        <w:rPr>
          <w:b/>
          <w:bCs/>
          <w:snapToGrid w:val="0"/>
          <w:szCs w:val="22"/>
          <w:lang w:eastAsia="x-none"/>
        </w:rPr>
        <w:t>4.</w:t>
      </w:r>
      <w:r w:rsidRPr="00D724AC">
        <w:rPr>
          <w:b/>
          <w:bCs/>
          <w:snapToGrid w:val="0"/>
          <w:szCs w:val="22"/>
          <w:lang w:eastAsia="x-none"/>
        </w:rPr>
        <w:tab/>
        <w:t>KLINIKINĖ INFORMACIJA</w:t>
      </w:r>
    </w:p>
    <w:p w14:paraId="31A54F43" w14:textId="77777777" w:rsidR="00A80CF8" w:rsidRPr="00D724AC" w:rsidRDefault="00A80CF8" w:rsidP="00A80CF8">
      <w:pPr>
        <w:tabs>
          <w:tab w:val="left" w:pos="567"/>
        </w:tabs>
        <w:spacing w:line="260" w:lineRule="exact"/>
        <w:rPr>
          <w:snapToGrid w:val="0"/>
          <w:szCs w:val="22"/>
          <w:lang w:eastAsia="en-US"/>
        </w:rPr>
      </w:pPr>
    </w:p>
    <w:p w14:paraId="2DDE8F9D" w14:textId="77777777" w:rsidR="00A80CF8" w:rsidRPr="00D724AC" w:rsidRDefault="00A80CF8" w:rsidP="00A80CF8">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4.1</w:t>
      </w:r>
      <w:r w:rsidRPr="00D724AC">
        <w:rPr>
          <w:b/>
          <w:bCs/>
          <w:snapToGrid w:val="0"/>
          <w:szCs w:val="22"/>
          <w:lang w:eastAsia="x-none"/>
        </w:rPr>
        <w:tab/>
        <w:t>Terapinės indikacijos</w:t>
      </w:r>
    </w:p>
    <w:p w14:paraId="4E383E72" w14:textId="77777777" w:rsidR="00A80CF8" w:rsidRPr="00D724AC" w:rsidRDefault="00A80CF8" w:rsidP="00A80CF8">
      <w:pPr>
        <w:tabs>
          <w:tab w:val="left" w:pos="567"/>
        </w:tabs>
        <w:spacing w:line="260" w:lineRule="exact"/>
        <w:rPr>
          <w:snapToGrid w:val="0"/>
          <w:szCs w:val="22"/>
          <w:lang w:eastAsia="en-US"/>
        </w:rPr>
      </w:pPr>
    </w:p>
    <w:p w14:paraId="5EC06F08" w14:textId="77777777" w:rsidR="00A80CF8" w:rsidRPr="00D724AC" w:rsidRDefault="00A80CF8" w:rsidP="00A80CF8">
      <w:pPr>
        <w:autoSpaceDE w:val="0"/>
        <w:autoSpaceDN w:val="0"/>
        <w:adjustRightInd w:val="0"/>
        <w:rPr>
          <w:rFonts w:eastAsia="Calibri"/>
          <w:szCs w:val="22"/>
        </w:rPr>
      </w:pPr>
      <w:r w:rsidRPr="00D724AC">
        <w:rPr>
          <w:rFonts w:eastAsia="Calibri"/>
          <w:szCs w:val="22"/>
        </w:rPr>
        <w:t>Pirminės arterinės hipertenzijos gydymas.</w:t>
      </w:r>
    </w:p>
    <w:p w14:paraId="17707B06" w14:textId="77777777" w:rsidR="00A80CF8" w:rsidRPr="00D724AC" w:rsidRDefault="00A80CF8" w:rsidP="00A80CF8">
      <w:pPr>
        <w:autoSpaceDE w:val="0"/>
        <w:autoSpaceDN w:val="0"/>
        <w:adjustRightInd w:val="0"/>
        <w:rPr>
          <w:snapToGrid w:val="0"/>
          <w:szCs w:val="22"/>
          <w:lang w:eastAsia="en-US"/>
        </w:rPr>
      </w:pPr>
      <w:r w:rsidRPr="00D724AC">
        <w:rPr>
          <w:rFonts w:eastAsia="Calibri"/>
          <w:szCs w:val="22"/>
        </w:rPr>
        <w:t>Šis fiksuotų dozių derinys skirtas suaugusiems pacientams, kurių kraujospūdis, gydant tik irbesartanu arba hidrochlorotiazidu, sureguliuojamas nepakankamai (žr. 5.1 skyrių).</w:t>
      </w:r>
    </w:p>
    <w:p w14:paraId="512C44FC" w14:textId="77777777" w:rsidR="00A80CF8" w:rsidRPr="00D724AC" w:rsidRDefault="00A80CF8" w:rsidP="00A80CF8">
      <w:pPr>
        <w:tabs>
          <w:tab w:val="left" w:pos="567"/>
        </w:tabs>
        <w:spacing w:line="260" w:lineRule="exact"/>
        <w:rPr>
          <w:snapToGrid w:val="0"/>
          <w:szCs w:val="22"/>
          <w:lang w:eastAsia="en-US"/>
        </w:rPr>
      </w:pPr>
    </w:p>
    <w:p w14:paraId="2A5F4D0B" w14:textId="77777777" w:rsidR="00A80CF8" w:rsidRPr="00D724AC" w:rsidRDefault="00A80CF8" w:rsidP="00A80CF8">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4.2</w:t>
      </w:r>
      <w:r w:rsidRPr="00D724AC">
        <w:rPr>
          <w:b/>
          <w:bCs/>
          <w:snapToGrid w:val="0"/>
          <w:szCs w:val="22"/>
          <w:lang w:eastAsia="x-none"/>
        </w:rPr>
        <w:tab/>
        <w:t>Dozavimas ir vartojimo metodas</w:t>
      </w:r>
    </w:p>
    <w:p w14:paraId="251B5C24" w14:textId="77777777" w:rsidR="00A80CF8" w:rsidRPr="00D724AC" w:rsidRDefault="00A80CF8" w:rsidP="00A80CF8">
      <w:pPr>
        <w:tabs>
          <w:tab w:val="left" w:pos="567"/>
        </w:tabs>
        <w:spacing w:line="260" w:lineRule="exact"/>
        <w:rPr>
          <w:snapToGrid w:val="0"/>
          <w:szCs w:val="22"/>
          <w:lang w:eastAsia="en-US"/>
        </w:rPr>
      </w:pPr>
    </w:p>
    <w:p w14:paraId="25AA8CF3" w14:textId="77777777" w:rsidR="00A80CF8" w:rsidRPr="00D724AC" w:rsidRDefault="00A80CF8" w:rsidP="00A80CF8">
      <w:pPr>
        <w:tabs>
          <w:tab w:val="left" w:pos="567"/>
        </w:tabs>
        <w:spacing w:line="260" w:lineRule="exact"/>
        <w:rPr>
          <w:snapToGrid w:val="0"/>
          <w:szCs w:val="22"/>
          <w:u w:val="single"/>
          <w:lang w:eastAsia="en-US"/>
        </w:rPr>
      </w:pPr>
      <w:r w:rsidRPr="00D724AC">
        <w:rPr>
          <w:snapToGrid w:val="0"/>
          <w:szCs w:val="22"/>
          <w:u w:val="single"/>
          <w:lang w:eastAsia="en-US"/>
        </w:rPr>
        <w:t>Dozavimas</w:t>
      </w:r>
    </w:p>
    <w:p w14:paraId="1AEDFEC7" w14:textId="77777777" w:rsidR="00A80CF8" w:rsidRPr="00D724AC" w:rsidRDefault="00A80CF8" w:rsidP="00A80CF8">
      <w:pPr>
        <w:tabs>
          <w:tab w:val="left" w:pos="567"/>
        </w:tabs>
        <w:spacing w:line="260" w:lineRule="exact"/>
        <w:rPr>
          <w:snapToGrid w:val="0"/>
          <w:szCs w:val="22"/>
          <w:lang w:eastAsia="en-US"/>
        </w:rPr>
      </w:pPr>
    </w:p>
    <w:p w14:paraId="3753CA1F" w14:textId="77777777" w:rsidR="00A80CF8" w:rsidRPr="00D724AC" w:rsidRDefault="00A80CF8" w:rsidP="00A80CF8">
      <w:pPr>
        <w:autoSpaceDE w:val="0"/>
        <w:autoSpaceDN w:val="0"/>
        <w:adjustRightInd w:val="0"/>
        <w:rPr>
          <w:rFonts w:eastAsia="Calibri"/>
          <w:szCs w:val="22"/>
        </w:rPr>
      </w:pPr>
      <w:r w:rsidRPr="00D724AC">
        <w:rPr>
          <w:rFonts w:eastAsia="Calibri"/>
          <w:szCs w:val="22"/>
        </w:rPr>
        <w:t>CONVERIDE galima vartoti kartą per parą valgio metu arba nevalgius.</w:t>
      </w:r>
    </w:p>
    <w:p w14:paraId="247DD916" w14:textId="77777777" w:rsidR="00A80CF8" w:rsidRPr="00D724AC" w:rsidRDefault="00A80CF8" w:rsidP="00A80CF8">
      <w:pPr>
        <w:autoSpaceDE w:val="0"/>
        <w:autoSpaceDN w:val="0"/>
        <w:adjustRightInd w:val="0"/>
        <w:rPr>
          <w:rFonts w:eastAsia="Calibri"/>
          <w:szCs w:val="22"/>
        </w:rPr>
      </w:pPr>
      <w:r w:rsidRPr="00D724AC">
        <w:rPr>
          <w:rFonts w:eastAsia="Calibri"/>
          <w:szCs w:val="22"/>
        </w:rPr>
        <w:t>Dozę rekomenduojama nustatyti gydant kiekviena veikliąja medžiaga (irbesartanu ir hidrochlorotiazidu) atskirai.</w:t>
      </w:r>
    </w:p>
    <w:p w14:paraId="0AFDE1F5" w14:textId="77777777" w:rsidR="00A80CF8" w:rsidRPr="00D724AC" w:rsidRDefault="00A80CF8" w:rsidP="00A80CF8">
      <w:pPr>
        <w:autoSpaceDE w:val="0"/>
        <w:autoSpaceDN w:val="0"/>
        <w:adjustRightInd w:val="0"/>
        <w:rPr>
          <w:rFonts w:eastAsia="Calibri"/>
          <w:szCs w:val="22"/>
        </w:rPr>
      </w:pPr>
    </w:p>
    <w:p w14:paraId="48D239FD" w14:textId="77777777" w:rsidR="00A80CF8" w:rsidRPr="00D724AC" w:rsidRDefault="00A80CF8" w:rsidP="00A80CF8">
      <w:pPr>
        <w:autoSpaceDE w:val="0"/>
        <w:autoSpaceDN w:val="0"/>
        <w:adjustRightInd w:val="0"/>
        <w:rPr>
          <w:rFonts w:eastAsia="Calibri"/>
          <w:szCs w:val="22"/>
        </w:rPr>
      </w:pPr>
      <w:r w:rsidRPr="00D724AC">
        <w:rPr>
          <w:rFonts w:eastAsia="Calibri"/>
          <w:szCs w:val="22"/>
        </w:rPr>
        <w:t>Jei kliniškai galima, monoterapiją galima tiesiogiai keisti gydymu fiksuotų dozių deriniu:</w:t>
      </w:r>
    </w:p>
    <w:p w14:paraId="44076B69" w14:textId="77777777" w:rsidR="00A80CF8" w:rsidRPr="00D724AC" w:rsidRDefault="00A80CF8" w:rsidP="00FD66F2">
      <w:pPr>
        <w:numPr>
          <w:ilvl w:val="0"/>
          <w:numId w:val="5"/>
        </w:numPr>
        <w:autoSpaceDE w:val="0"/>
        <w:autoSpaceDN w:val="0"/>
        <w:adjustRightInd w:val="0"/>
        <w:spacing w:line="260" w:lineRule="exact"/>
        <w:ind w:left="709"/>
        <w:rPr>
          <w:rFonts w:eastAsia="Calibri"/>
          <w:szCs w:val="22"/>
        </w:rPr>
      </w:pPr>
      <w:r w:rsidRPr="00D724AC">
        <w:rPr>
          <w:rFonts w:eastAsia="Calibri"/>
          <w:szCs w:val="22"/>
        </w:rPr>
        <w:lastRenderedPageBreak/>
        <w:t>CONVERIDE 150</w:t>
      </w:r>
      <w:r>
        <w:rPr>
          <w:rFonts w:eastAsia="Calibri"/>
          <w:szCs w:val="22"/>
        </w:rPr>
        <w:t> mg</w:t>
      </w:r>
      <w:r w:rsidRPr="00D724AC">
        <w:rPr>
          <w:rFonts w:eastAsia="Calibri"/>
          <w:szCs w:val="22"/>
        </w:rPr>
        <w:t>/12,5</w:t>
      </w:r>
      <w:r>
        <w:rPr>
          <w:rFonts w:eastAsia="Calibri"/>
          <w:szCs w:val="22"/>
        </w:rPr>
        <w:t> mg</w:t>
      </w:r>
      <w:r w:rsidRPr="00D724AC">
        <w:rPr>
          <w:rFonts w:eastAsia="Calibri"/>
          <w:szCs w:val="22"/>
        </w:rPr>
        <w:t xml:space="preserve"> galima skirti pacientams, kurių kraujospūdis, gydant tik hidrochlorotiazidu arba 150</w:t>
      </w:r>
      <w:r>
        <w:rPr>
          <w:rFonts w:eastAsia="Calibri"/>
          <w:szCs w:val="22"/>
        </w:rPr>
        <w:t> mg</w:t>
      </w:r>
      <w:r w:rsidRPr="00D724AC">
        <w:rPr>
          <w:rFonts w:eastAsia="Calibri"/>
          <w:szCs w:val="22"/>
        </w:rPr>
        <w:t xml:space="preserve"> irbesartano doze, reguliuojamas nepakankamai;</w:t>
      </w:r>
    </w:p>
    <w:p w14:paraId="6BB08671" w14:textId="77777777" w:rsidR="00A80CF8" w:rsidRPr="00D724AC" w:rsidRDefault="00A80CF8" w:rsidP="00FD66F2">
      <w:pPr>
        <w:numPr>
          <w:ilvl w:val="0"/>
          <w:numId w:val="5"/>
        </w:numPr>
        <w:autoSpaceDE w:val="0"/>
        <w:autoSpaceDN w:val="0"/>
        <w:adjustRightInd w:val="0"/>
        <w:spacing w:line="260" w:lineRule="exact"/>
        <w:ind w:left="709"/>
        <w:rPr>
          <w:rFonts w:eastAsia="Calibri"/>
          <w:szCs w:val="22"/>
        </w:rPr>
      </w:pPr>
      <w:r w:rsidRPr="00D724AC">
        <w:rPr>
          <w:rFonts w:eastAsia="Calibri"/>
          <w:szCs w:val="22"/>
        </w:rPr>
        <w:t>CONVERIDE 300</w:t>
      </w:r>
      <w:r>
        <w:rPr>
          <w:rFonts w:eastAsia="Calibri"/>
          <w:szCs w:val="22"/>
        </w:rPr>
        <w:t> mg</w:t>
      </w:r>
      <w:r w:rsidRPr="00D724AC">
        <w:rPr>
          <w:rFonts w:eastAsia="Calibri"/>
          <w:szCs w:val="22"/>
        </w:rPr>
        <w:t>/12,5</w:t>
      </w:r>
      <w:r>
        <w:rPr>
          <w:rFonts w:eastAsia="Calibri"/>
          <w:szCs w:val="22"/>
        </w:rPr>
        <w:t> mg</w:t>
      </w:r>
      <w:r w:rsidRPr="00D724AC">
        <w:rPr>
          <w:rFonts w:eastAsia="Calibri"/>
          <w:szCs w:val="22"/>
        </w:rPr>
        <w:t xml:space="preserve"> galima skirti pacientams, kurių kraujospūdis, gydant 300</w:t>
      </w:r>
      <w:r>
        <w:rPr>
          <w:rFonts w:eastAsia="Calibri"/>
          <w:szCs w:val="22"/>
        </w:rPr>
        <w:t> mg</w:t>
      </w:r>
      <w:r w:rsidRPr="00D724AC">
        <w:rPr>
          <w:rFonts w:eastAsia="Calibri"/>
          <w:szCs w:val="22"/>
        </w:rPr>
        <w:t xml:space="preserve"> irbesartano doze arba CONVERIDE 150</w:t>
      </w:r>
      <w:r>
        <w:rPr>
          <w:rFonts w:eastAsia="Calibri"/>
          <w:szCs w:val="22"/>
        </w:rPr>
        <w:t> mg</w:t>
      </w:r>
      <w:r w:rsidRPr="00D724AC">
        <w:rPr>
          <w:rFonts w:eastAsia="Calibri"/>
          <w:szCs w:val="22"/>
        </w:rPr>
        <w:t>/12,5</w:t>
      </w:r>
      <w:r>
        <w:rPr>
          <w:rFonts w:eastAsia="Calibri"/>
          <w:szCs w:val="22"/>
        </w:rPr>
        <w:t> mg</w:t>
      </w:r>
      <w:r w:rsidRPr="00D724AC">
        <w:rPr>
          <w:rFonts w:eastAsia="Calibri"/>
          <w:szCs w:val="22"/>
        </w:rPr>
        <w:t>, reguliuojamas nepakankamai.</w:t>
      </w:r>
    </w:p>
    <w:p w14:paraId="6E227B15" w14:textId="77777777" w:rsidR="00A80CF8" w:rsidRPr="00D724AC" w:rsidRDefault="00A80CF8" w:rsidP="00FD66F2">
      <w:pPr>
        <w:numPr>
          <w:ilvl w:val="0"/>
          <w:numId w:val="5"/>
        </w:numPr>
        <w:autoSpaceDE w:val="0"/>
        <w:autoSpaceDN w:val="0"/>
        <w:adjustRightInd w:val="0"/>
        <w:spacing w:line="260" w:lineRule="exact"/>
        <w:ind w:left="709"/>
        <w:rPr>
          <w:rFonts w:eastAsia="Calibri"/>
          <w:szCs w:val="22"/>
        </w:rPr>
      </w:pPr>
      <w:r w:rsidRPr="00D724AC">
        <w:rPr>
          <w:rFonts w:eastAsia="Calibri"/>
          <w:szCs w:val="22"/>
        </w:rPr>
        <w:t>CONVERIDE 300</w:t>
      </w:r>
      <w:r>
        <w:rPr>
          <w:rFonts w:eastAsia="Calibri"/>
          <w:szCs w:val="22"/>
        </w:rPr>
        <w:t> mg</w:t>
      </w:r>
      <w:r w:rsidRPr="00D724AC">
        <w:rPr>
          <w:rFonts w:eastAsia="Calibri"/>
          <w:szCs w:val="22"/>
        </w:rPr>
        <w:t>/25</w:t>
      </w:r>
      <w:r>
        <w:rPr>
          <w:rFonts w:eastAsia="Calibri"/>
          <w:szCs w:val="22"/>
        </w:rPr>
        <w:t> mg</w:t>
      </w:r>
      <w:r w:rsidRPr="00D724AC">
        <w:rPr>
          <w:rFonts w:eastAsia="Calibri"/>
          <w:szCs w:val="22"/>
        </w:rPr>
        <w:t xml:space="preserve"> galima skirti pacientams, kurių kraujospūdis, gydant CONVERIDE 300</w:t>
      </w:r>
      <w:r>
        <w:rPr>
          <w:rFonts w:eastAsia="Calibri"/>
          <w:szCs w:val="22"/>
        </w:rPr>
        <w:t> mg</w:t>
      </w:r>
      <w:r w:rsidRPr="00D724AC">
        <w:rPr>
          <w:rFonts w:eastAsia="Calibri"/>
          <w:szCs w:val="22"/>
        </w:rPr>
        <w:t>/12,5</w:t>
      </w:r>
      <w:r>
        <w:rPr>
          <w:rFonts w:eastAsia="Calibri"/>
          <w:szCs w:val="22"/>
        </w:rPr>
        <w:t> mg</w:t>
      </w:r>
      <w:r w:rsidRPr="00D724AC">
        <w:rPr>
          <w:rFonts w:eastAsia="Calibri"/>
          <w:szCs w:val="22"/>
        </w:rPr>
        <w:t>, reguliuojamas nepakankamai.</w:t>
      </w:r>
    </w:p>
    <w:p w14:paraId="3BD8D355" w14:textId="77777777" w:rsidR="00A80CF8" w:rsidRPr="00D724AC" w:rsidRDefault="00A80CF8" w:rsidP="00A80CF8">
      <w:pPr>
        <w:autoSpaceDE w:val="0"/>
        <w:autoSpaceDN w:val="0"/>
        <w:adjustRightInd w:val="0"/>
        <w:ind w:left="709"/>
        <w:rPr>
          <w:rFonts w:eastAsia="Calibri"/>
          <w:szCs w:val="22"/>
        </w:rPr>
      </w:pPr>
    </w:p>
    <w:p w14:paraId="083043B7" w14:textId="77777777" w:rsidR="00A80CF8" w:rsidRPr="00D724AC" w:rsidRDefault="00A80CF8" w:rsidP="00A80CF8">
      <w:pPr>
        <w:autoSpaceDE w:val="0"/>
        <w:autoSpaceDN w:val="0"/>
        <w:adjustRightInd w:val="0"/>
        <w:rPr>
          <w:rFonts w:eastAsia="Calibri"/>
          <w:szCs w:val="22"/>
        </w:rPr>
      </w:pPr>
      <w:r w:rsidRPr="00D724AC">
        <w:rPr>
          <w:rFonts w:eastAsia="Calibri"/>
          <w:szCs w:val="22"/>
        </w:rPr>
        <w:t>Didesnės nei 300</w:t>
      </w:r>
      <w:r>
        <w:rPr>
          <w:rFonts w:eastAsia="Calibri"/>
          <w:szCs w:val="22"/>
        </w:rPr>
        <w:t> mg</w:t>
      </w:r>
      <w:r w:rsidRPr="00D724AC">
        <w:rPr>
          <w:rFonts w:eastAsia="Calibri"/>
          <w:szCs w:val="22"/>
        </w:rPr>
        <w:t xml:space="preserve"> irbesartano ir 25</w:t>
      </w:r>
      <w:r>
        <w:rPr>
          <w:rFonts w:eastAsia="Calibri"/>
          <w:szCs w:val="22"/>
        </w:rPr>
        <w:t> mg</w:t>
      </w:r>
      <w:r w:rsidRPr="00D724AC">
        <w:rPr>
          <w:rFonts w:eastAsia="Calibri"/>
          <w:szCs w:val="22"/>
        </w:rPr>
        <w:t xml:space="preserve"> hidrochlorotiazido paros dozės vartoti nerekomenduojama. Jei reikia, CONVERIDE galima vartoti kartu su kitu antihipertenziniu vaistiniu preparatu (žr. 4.3, 4.4, 4.5 ir 5.1 skyrius).</w:t>
      </w:r>
    </w:p>
    <w:p w14:paraId="3EA2832C" w14:textId="77777777" w:rsidR="00A80CF8" w:rsidRPr="00D724AC" w:rsidRDefault="00A80CF8" w:rsidP="00A80CF8">
      <w:pPr>
        <w:autoSpaceDE w:val="0"/>
        <w:autoSpaceDN w:val="0"/>
        <w:adjustRightInd w:val="0"/>
        <w:rPr>
          <w:rFonts w:eastAsia="Calibri"/>
          <w:szCs w:val="22"/>
        </w:rPr>
      </w:pPr>
    </w:p>
    <w:p w14:paraId="7B8EF198" w14:textId="77777777" w:rsidR="00A80CF8" w:rsidRPr="00D724AC" w:rsidRDefault="00A80CF8" w:rsidP="00A80CF8">
      <w:pPr>
        <w:autoSpaceDE w:val="0"/>
        <w:autoSpaceDN w:val="0"/>
        <w:adjustRightInd w:val="0"/>
        <w:rPr>
          <w:rFonts w:eastAsia="Calibri"/>
          <w:szCs w:val="22"/>
          <w:u w:val="single"/>
        </w:rPr>
      </w:pPr>
      <w:r w:rsidRPr="00D724AC">
        <w:rPr>
          <w:rFonts w:eastAsia="Calibri"/>
          <w:szCs w:val="22"/>
          <w:u w:val="single"/>
        </w:rPr>
        <w:t>Ypatingos populiacijos</w:t>
      </w:r>
    </w:p>
    <w:p w14:paraId="35D7406B" w14:textId="77777777" w:rsidR="00A80CF8" w:rsidRPr="00D724AC" w:rsidRDefault="00A80CF8" w:rsidP="00A80CF8">
      <w:pPr>
        <w:autoSpaceDE w:val="0"/>
        <w:autoSpaceDN w:val="0"/>
        <w:adjustRightInd w:val="0"/>
        <w:rPr>
          <w:rFonts w:eastAsia="Calibri"/>
          <w:szCs w:val="22"/>
          <w:u w:val="single"/>
        </w:rPr>
      </w:pPr>
    </w:p>
    <w:p w14:paraId="1DCF0770" w14:textId="77777777" w:rsidR="00A80CF8" w:rsidRDefault="00A80CF8" w:rsidP="00A80CF8">
      <w:pPr>
        <w:autoSpaceDE w:val="0"/>
        <w:autoSpaceDN w:val="0"/>
        <w:adjustRightInd w:val="0"/>
        <w:rPr>
          <w:rFonts w:eastAsia="Calibri"/>
          <w:szCs w:val="22"/>
        </w:rPr>
      </w:pPr>
      <w:r w:rsidRPr="00D724AC">
        <w:rPr>
          <w:i/>
          <w:iCs/>
          <w:color w:val="000000"/>
          <w:szCs w:val="22"/>
        </w:rPr>
        <w:t>Pacientams, kurių inkstų funkcija sutrikusi</w:t>
      </w:r>
    </w:p>
    <w:p w14:paraId="2A5D20DE" w14:textId="77777777" w:rsidR="00A80CF8" w:rsidRPr="00D724AC" w:rsidRDefault="00A80CF8" w:rsidP="00A80CF8">
      <w:pPr>
        <w:autoSpaceDE w:val="0"/>
        <w:autoSpaceDN w:val="0"/>
        <w:adjustRightInd w:val="0"/>
        <w:rPr>
          <w:rFonts w:eastAsia="Calibri"/>
          <w:szCs w:val="22"/>
        </w:rPr>
      </w:pPr>
      <w:r w:rsidRPr="00D724AC">
        <w:rPr>
          <w:rFonts w:eastAsia="Calibri"/>
          <w:szCs w:val="22"/>
        </w:rPr>
        <w:t>Kadangi vaistiniame preparate yra hidrochlorotiazido, CONVERIDE vartoti ligoniams, kuriems yra sunkus inkstų funkcijos sutrikimas (kreatinino klirensas &lt; 30 ml/min.), nerekomenduojama. Jiems geriau tinka kilpiniai diuretikai negu tiazidiniai. Jeigu ligonių, kurių inkstų funkcija sutrikusi, kreatinino klirensas yra ≥ 30 ml/min., dozės keisti nereikia (žr. 4.3 ir 4.4 skyrius).</w:t>
      </w:r>
    </w:p>
    <w:p w14:paraId="51C29B92" w14:textId="77777777" w:rsidR="00A80CF8" w:rsidRPr="00D724AC" w:rsidRDefault="00A80CF8" w:rsidP="00A80CF8">
      <w:pPr>
        <w:tabs>
          <w:tab w:val="left" w:pos="567"/>
        </w:tabs>
        <w:spacing w:line="260" w:lineRule="exact"/>
        <w:rPr>
          <w:rFonts w:eastAsia="Calibri"/>
          <w:szCs w:val="22"/>
        </w:rPr>
      </w:pPr>
    </w:p>
    <w:p w14:paraId="31D70F59" w14:textId="77777777" w:rsidR="00A80CF8" w:rsidRDefault="00A80CF8" w:rsidP="00A80CF8">
      <w:pPr>
        <w:autoSpaceDE w:val="0"/>
        <w:autoSpaceDN w:val="0"/>
        <w:adjustRightInd w:val="0"/>
        <w:rPr>
          <w:rFonts w:eastAsia="Calibri"/>
          <w:szCs w:val="22"/>
        </w:rPr>
      </w:pPr>
      <w:r w:rsidRPr="00D724AC">
        <w:rPr>
          <w:i/>
          <w:iCs/>
          <w:color w:val="000000"/>
          <w:szCs w:val="22"/>
        </w:rPr>
        <w:t>Pacientams, kurių kepenų funkcija sutrikusi</w:t>
      </w:r>
    </w:p>
    <w:p w14:paraId="2274A4F9" w14:textId="77777777" w:rsidR="00A80CF8" w:rsidRPr="00D724AC" w:rsidRDefault="00A80CF8" w:rsidP="00A80CF8">
      <w:pPr>
        <w:autoSpaceDE w:val="0"/>
        <w:autoSpaceDN w:val="0"/>
        <w:adjustRightInd w:val="0"/>
        <w:rPr>
          <w:rFonts w:eastAsia="Calibri"/>
          <w:szCs w:val="22"/>
        </w:rPr>
      </w:pPr>
      <w:r w:rsidRPr="00D724AC">
        <w:rPr>
          <w:rFonts w:eastAsia="Calibri"/>
          <w:szCs w:val="22"/>
        </w:rPr>
        <w:t>Ligonių, kuriems yra sunkus kepenų funkcijos sutrikimas, CONVERIDE gydyti negalima. Jeigu kepenų funkcija sutrikusi, tiazidų reikia skirti atsargiai. Jei yra lengvas ar vidutinio sunkumo kepenų funkcijos sutrikimas, CONVERIDE dozės keisti nereikia (žr. 4.3 skyrių).</w:t>
      </w:r>
    </w:p>
    <w:p w14:paraId="6FE99D8D" w14:textId="77777777" w:rsidR="00A80CF8" w:rsidRPr="00D724AC" w:rsidRDefault="00A80CF8" w:rsidP="00A80CF8">
      <w:pPr>
        <w:autoSpaceDE w:val="0"/>
        <w:autoSpaceDN w:val="0"/>
        <w:adjustRightInd w:val="0"/>
        <w:rPr>
          <w:rFonts w:eastAsia="Calibri"/>
          <w:szCs w:val="22"/>
        </w:rPr>
      </w:pPr>
    </w:p>
    <w:p w14:paraId="704E13CB" w14:textId="77777777" w:rsidR="00A80CF8" w:rsidRPr="00D724AC" w:rsidRDefault="00A80CF8" w:rsidP="00A80CF8">
      <w:pPr>
        <w:autoSpaceDE w:val="0"/>
        <w:autoSpaceDN w:val="0"/>
        <w:adjustRightInd w:val="0"/>
        <w:rPr>
          <w:rFonts w:eastAsia="Calibri"/>
          <w:szCs w:val="22"/>
        </w:rPr>
      </w:pPr>
      <w:r w:rsidRPr="00D724AC">
        <w:rPr>
          <w:rFonts w:eastAsia="Calibri"/>
          <w:i/>
          <w:iCs/>
          <w:szCs w:val="22"/>
        </w:rPr>
        <w:t xml:space="preserve">Senyviems </w:t>
      </w:r>
      <w:r w:rsidRPr="00D724AC">
        <w:rPr>
          <w:i/>
          <w:iCs/>
          <w:color w:val="000000"/>
          <w:szCs w:val="22"/>
        </w:rPr>
        <w:t>pacientams</w:t>
      </w:r>
      <w:r w:rsidRPr="00D724AC">
        <w:rPr>
          <w:rFonts w:eastAsia="Calibri"/>
          <w:i/>
          <w:iCs/>
          <w:szCs w:val="22"/>
        </w:rPr>
        <w:t xml:space="preserve">. </w:t>
      </w:r>
      <w:r w:rsidRPr="00D724AC">
        <w:rPr>
          <w:rFonts w:eastAsia="Calibri"/>
          <w:szCs w:val="22"/>
        </w:rPr>
        <w:t>Senyviems žmonėms CONVERIDE dozės keisti nereikia.</w:t>
      </w:r>
    </w:p>
    <w:p w14:paraId="7E5A5066" w14:textId="77777777" w:rsidR="00A80CF8" w:rsidRPr="00D724AC" w:rsidRDefault="00A80CF8" w:rsidP="00A80CF8">
      <w:pPr>
        <w:autoSpaceDE w:val="0"/>
        <w:autoSpaceDN w:val="0"/>
        <w:adjustRightInd w:val="0"/>
        <w:rPr>
          <w:rFonts w:eastAsia="Calibri"/>
          <w:szCs w:val="22"/>
        </w:rPr>
      </w:pPr>
    </w:p>
    <w:p w14:paraId="69CB4A6B" w14:textId="77777777" w:rsidR="00A80CF8" w:rsidRDefault="00A80CF8" w:rsidP="00A80CF8">
      <w:pPr>
        <w:autoSpaceDE w:val="0"/>
        <w:autoSpaceDN w:val="0"/>
        <w:adjustRightInd w:val="0"/>
        <w:rPr>
          <w:rFonts w:eastAsia="Calibri"/>
          <w:szCs w:val="22"/>
        </w:rPr>
      </w:pPr>
      <w:r w:rsidRPr="00D724AC">
        <w:rPr>
          <w:rFonts w:eastAsia="Calibri"/>
          <w:i/>
          <w:iCs/>
          <w:szCs w:val="22"/>
        </w:rPr>
        <w:t>Vaikų populiacija</w:t>
      </w:r>
    </w:p>
    <w:p w14:paraId="36F2E455" w14:textId="77777777" w:rsidR="00A80CF8" w:rsidRPr="00D724AC" w:rsidRDefault="00A80CF8" w:rsidP="00A80CF8">
      <w:pPr>
        <w:autoSpaceDE w:val="0"/>
        <w:autoSpaceDN w:val="0"/>
        <w:adjustRightInd w:val="0"/>
        <w:rPr>
          <w:rFonts w:eastAsia="Calibri"/>
          <w:szCs w:val="22"/>
        </w:rPr>
      </w:pPr>
      <w:r w:rsidRPr="00D724AC">
        <w:rPr>
          <w:rFonts w:eastAsia="Calibri"/>
          <w:szCs w:val="22"/>
        </w:rPr>
        <w:t>CONVERIDE nerekomenduojama vartoti vaikams ir paaugliams, kadangi saugumas ir veiksmingumas neištirti. Duomenų nėra.</w:t>
      </w:r>
    </w:p>
    <w:p w14:paraId="1F2E5537" w14:textId="77777777" w:rsidR="00A80CF8" w:rsidRPr="00D724AC" w:rsidRDefault="00A80CF8" w:rsidP="00A80CF8">
      <w:pPr>
        <w:autoSpaceDE w:val="0"/>
        <w:autoSpaceDN w:val="0"/>
        <w:adjustRightInd w:val="0"/>
        <w:rPr>
          <w:rFonts w:eastAsia="Calibri"/>
          <w:szCs w:val="22"/>
        </w:rPr>
      </w:pPr>
    </w:p>
    <w:p w14:paraId="4F87EBA2" w14:textId="77777777" w:rsidR="00A80CF8" w:rsidRPr="00D724AC" w:rsidRDefault="00A80CF8" w:rsidP="00A80CF8">
      <w:pPr>
        <w:autoSpaceDE w:val="0"/>
        <w:autoSpaceDN w:val="0"/>
        <w:adjustRightInd w:val="0"/>
        <w:rPr>
          <w:rFonts w:eastAsia="Calibri"/>
          <w:szCs w:val="22"/>
          <w:u w:val="single"/>
        </w:rPr>
      </w:pPr>
      <w:r w:rsidRPr="00D724AC">
        <w:rPr>
          <w:rFonts w:eastAsia="Calibri"/>
          <w:szCs w:val="22"/>
          <w:u w:val="single"/>
        </w:rPr>
        <w:t>Vartojimo metodas</w:t>
      </w:r>
    </w:p>
    <w:p w14:paraId="2C6778B9" w14:textId="77777777" w:rsidR="00A80CF8" w:rsidRPr="00D724AC" w:rsidRDefault="00A80CF8" w:rsidP="00A80CF8">
      <w:pPr>
        <w:autoSpaceDE w:val="0"/>
        <w:autoSpaceDN w:val="0"/>
        <w:adjustRightInd w:val="0"/>
        <w:rPr>
          <w:rFonts w:eastAsia="Calibri"/>
          <w:szCs w:val="22"/>
          <w:u w:val="single"/>
        </w:rPr>
      </w:pPr>
    </w:p>
    <w:p w14:paraId="188F2701" w14:textId="77777777" w:rsidR="00A80CF8" w:rsidRPr="00D724AC" w:rsidRDefault="00A80CF8" w:rsidP="00A80CF8">
      <w:pPr>
        <w:tabs>
          <w:tab w:val="left" w:pos="567"/>
        </w:tabs>
        <w:spacing w:line="260" w:lineRule="exact"/>
        <w:rPr>
          <w:snapToGrid w:val="0"/>
          <w:szCs w:val="22"/>
          <w:lang w:eastAsia="en-US"/>
        </w:rPr>
      </w:pPr>
      <w:r w:rsidRPr="00D724AC">
        <w:rPr>
          <w:rFonts w:eastAsia="Calibri"/>
          <w:szCs w:val="22"/>
        </w:rPr>
        <w:t>Vartoti per burną.</w:t>
      </w:r>
    </w:p>
    <w:p w14:paraId="46D80404" w14:textId="77777777" w:rsidR="00A80CF8" w:rsidRPr="00D724AC" w:rsidRDefault="00A80CF8" w:rsidP="00A80CF8">
      <w:pPr>
        <w:tabs>
          <w:tab w:val="left" w:pos="567"/>
        </w:tabs>
        <w:spacing w:line="260" w:lineRule="exact"/>
        <w:rPr>
          <w:i/>
          <w:snapToGrid w:val="0"/>
          <w:szCs w:val="22"/>
          <w:lang w:eastAsia="en-US"/>
        </w:rPr>
      </w:pPr>
    </w:p>
    <w:p w14:paraId="681EDF33" w14:textId="77777777" w:rsidR="00A80CF8" w:rsidRPr="00D724AC" w:rsidRDefault="00A80CF8" w:rsidP="00A80CF8">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4.3</w:t>
      </w:r>
      <w:r w:rsidRPr="00D724AC">
        <w:rPr>
          <w:b/>
          <w:bCs/>
          <w:snapToGrid w:val="0"/>
          <w:szCs w:val="22"/>
          <w:lang w:eastAsia="x-none"/>
        </w:rPr>
        <w:tab/>
        <w:t>Kontraindikacijos</w:t>
      </w:r>
    </w:p>
    <w:p w14:paraId="036587E4" w14:textId="77777777" w:rsidR="00A80CF8" w:rsidRPr="00D724AC" w:rsidRDefault="00A80CF8" w:rsidP="00A80CF8">
      <w:pPr>
        <w:tabs>
          <w:tab w:val="left" w:pos="567"/>
        </w:tabs>
        <w:spacing w:line="260" w:lineRule="exact"/>
        <w:rPr>
          <w:snapToGrid w:val="0"/>
          <w:szCs w:val="22"/>
          <w:lang w:eastAsia="en-US"/>
        </w:rPr>
      </w:pPr>
    </w:p>
    <w:p w14:paraId="691AD991" w14:textId="77777777" w:rsidR="00A80CF8" w:rsidRPr="00D724AC" w:rsidRDefault="00A80CF8" w:rsidP="00FD66F2">
      <w:pPr>
        <w:numPr>
          <w:ilvl w:val="0"/>
          <w:numId w:val="5"/>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Padidėjęs jautrumas veikliajai arba bet kuriai 6.1 skyriuje nurodytai pagalbinei medžiagai arba kitiems sulfamidų dariniams (hidrochlorotiazidas yra sulfamidų darinys)</w:t>
      </w:r>
    </w:p>
    <w:p w14:paraId="4619822B" w14:textId="77777777" w:rsidR="00A80CF8" w:rsidRPr="00D724AC" w:rsidRDefault="00A80CF8" w:rsidP="00FD66F2">
      <w:pPr>
        <w:numPr>
          <w:ilvl w:val="0"/>
          <w:numId w:val="5"/>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Antras ir trečias nėštumo trimestrai (žr. 4.4 ir 4.6 skyrius)</w:t>
      </w:r>
    </w:p>
    <w:p w14:paraId="5BA37413" w14:textId="77777777" w:rsidR="00A80CF8" w:rsidRPr="00D724AC" w:rsidRDefault="00A80CF8" w:rsidP="00FD66F2">
      <w:pPr>
        <w:numPr>
          <w:ilvl w:val="0"/>
          <w:numId w:val="5"/>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Sunkus inkstų funkcijos sutrikimas (kai kreatinino klirensas yra &lt; 30 ml/min.)</w:t>
      </w:r>
    </w:p>
    <w:p w14:paraId="28A8EF8B" w14:textId="77777777" w:rsidR="00A80CF8" w:rsidRPr="00D724AC" w:rsidRDefault="00A80CF8" w:rsidP="00FD66F2">
      <w:pPr>
        <w:numPr>
          <w:ilvl w:val="0"/>
          <w:numId w:val="5"/>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Gydymui atspari hipokalemija ar hiperkalcemija</w:t>
      </w:r>
    </w:p>
    <w:p w14:paraId="73FA7DE3" w14:textId="77777777" w:rsidR="00A80CF8" w:rsidRPr="00D724AC" w:rsidRDefault="00A80CF8" w:rsidP="00FD66F2">
      <w:pPr>
        <w:numPr>
          <w:ilvl w:val="0"/>
          <w:numId w:val="5"/>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Sunkus kepenų funkcijos pablogėjimas, tulžinė kepenų cirozė ar cholestazė</w:t>
      </w:r>
    </w:p>
    <w:p w14:paraId="6BBC57DC" w14:textId="77777777" w:rsidR="00A80CF8" w:rsidRPr="00D724AC" w:rsidRDefault="00A80CF8" w:rsidP="00FD66F2">
      <w:pPr>
        <w:numPr>
          <w:ilvl w:val="0"/>
          <w:numId w:val="5"/>
        </w:numPr>
        <w:tabs>
          <w:tab w:val="left" w:pos="567"/>
        </w:tabs>
        <w:autoSpaceDE w:val="0"/>
        <w:autoSpaceDN w:val="0"/>
        <w:adjustRightInd w:val="0"/>
        <w:spacing w:line="260" w:lineRule="exact"/>
        <w:ind w:left="567" w:hanging="567"/>
        <w:rPr>
          <w:b/>
          <w:bCs/>
          <w:snapToGrid w:val="0"/>
          <w:szCs w:val="22"/>
          <w:lang w:eastAsia="x-none"/>
        </w:rPr>
      </w:pPr>
      <w:r w:rsidRPr="00D724AC">
        <w:rPr>
          <w:szCs w:val="22"/>
        </w:rPr>
        <w:t>CONVERIDE vartoti kartu su vaistiniais preparatais, kurių sudėtyje yra aliskireno, negalima pacientams, kurie serga cukriniu diabetu arba kurių inkstų funkcija yra sutrikusi (glomerulų filtracijos greitis</w:t>
      </w:r>
      <w:r>
        <w:rPr>
          <w:szCs w:val="22"/>
        </w:rPr>
        <w:t xml:space="preserve"> (GFG)</w:t>
      </w:r>
      <w:r w:rsidRPr="00D724AC">
        <w:rPr>
          <w:szCs w:val="22"/>
        </w:rPr>
        <w:t xml:space="preserve"> &lt;60 ml/min/1,73 m</w:t>
      </w:r>
      <w:r w:rsidRPr="00D724AC">
        <w:rPr>
          <w:szCs w:val="22"/>
          <w:vertAlign w:val="superscript"/>
        </w:rPr>
        <w:t>2</w:t>
      </w:r>
      <w:r w:rsidRPr="00D724AC">
        <w:rPr>
          <w:szCs w:val="22"/>
        </w:rPr>
        <w:t>) (žr. 4.5 ir 5.1 skyrius).</w:t>
      </w:r>
      <w:r w:rsidRPr="00D724AC" w:rsidDel="004950DC">
        <w:rPr>
          <w:rFonts w:eastAsia="Calibri"/>
          <w:szCs w:val="22"/>
        </w:rPr>
        <w:t xml:space="preserve"> </w:t>
      </w:r>
    </w:p>
    <w:p w14:paraId="3383906E" w14:textId="77777777" w:rsidR="00A80CF8" w:rsidRPr="00D724AC" w:rsidRDefault="00A80CF8" w:rsidP="00A80CF8">
      <w:pPr>
        <w:tabs>
          <w:tab w:val="left" w:pos="567"/>
        </w:tabs>
        <w:autoSpaceDE w:val="0"/>
        <w:autoSpaceDN w:val="0"/>
        <w:adjustRightInd w:val="0"/>
        <w:spacing w:line="260" w:lineRule="exact"/>
        <w:ind w:left="567"/>
        <w:rPr>
          <w:b/>
          <w:bCs/>
          <w:snapToGrid w:val="0"/>
          <w:szCs w:val="22"/>
          <w:lang w:eastAsia="x-none"/>
        </w:rPr>
      </w:pPr>
    </w:p>
    <w:p w14:paraId="59488907" w14:textId="77777777" w:rsidR="00A80CF8" w:rsidRPr="00D724AC" w:rsidRDefault="00A80CF8" w:rsidP="00A80CF8">
      <w:pPr>
        <w:tabs>
          <w:tab w:val="left" w:pos="567"/>
        </w:tabs>
        <w:autoSpaceDE w:val="0"/>
        <w:autoSpaceDN w:val="0"/>
        <w:adjustRightInd w:val="0"/>
        <w:spacing w:line="260" w:lineRule="exact"/>
        <w:rPr>
          <w:b/>
          <w:bCs/>
          <w:snapToGrid w:val="0"/>
          <w:szCs w:val="22"/>
          <w:lang w:eastAsia="x-none"/>
        </w:rPr>
      </w:pPr>
      <w:r w:rsidRPr="00D724AC">
        <w:rPr>
          <w:b/>
          <w:bCs/>
          <w:snapToGrid w:val="0"/>
          <w:szCs w:val="22"/>
          <w:lang w:eastAsia="x-none"/>
        </w:rPr>
        <w:t>4.4</w:t>
      </w:r>
      <w:r w:rsidRPr="00D724AC">
        <w:rPr>
          <w:b/>
          <w:bCs/>
          <w:snapToGrid w:val="0"/>
          <w:szCs w:val="22"/>
          <w:lang w:eastAsia="x-none"/>
        </w:rPr>
        <w:tab/>
        <w:t>Specialūs įspėjimai ir atsargumo priemonės</w:t>
      </w:r>
    </w:p>
    <w:p w14:paraId="4EBDACCE" w14:textId="77777777" w:rsidR="00A80CF8" w:rsidRPr="00D724AC" w:rsidRDefault="00A80CF8" w:rsidP="00A80CF8">
      <w:pPr>
        <w:tabs>
          <w:tab w:val="left" w:pos="567"/>
        </w:tabs>
        <w:spacing w:line="260" w:lineRule="exact"/>
        <w:rPr>
          <w:snapToGrid w:val="0"/>
          <w:szCs w:val="22"/>
          <w:lang w:eastAsia="en-US"/>
        </w:rPr>
      </w:pPr>
    </w:p>
    <w:p w14:paraId="5D9B3DD1" w14:textId="77777777" w:rsidR="00A80CF8" w:rsidRPr="00D724AC" w:rsidRDefault="00A80CF8" w:rsidP="00A80CF8">
      <w:pPr>
        <w:autoSpaceDE w:val="0"/>
        <w:autoSpaceDN w:val="0"/>
        <w:adjustRightInd w:val="0"/>
        <w:rPr>
          <w:rFonts w:eastAsia="Calibri"/>
          <w:szCs w:val="22"/>
        </w:rPr>
      </w:pPr>
      <w:r w:rsidRPr="00D724AC">
        <w:rPr>
          <w:rFonts w:eastAsia="Calibri"/>
          <w:szCs w:val="22"/>
          <w:u w:val="single"/>
        </w:rPr>
        <w:t>Hipotenzija ir skysčio kiekio organizme sumažėjimas.</w:t>
      </w:r>
      <w:r w:rsidRPr="00D724AC">
        <w:rPr>
          <w:rFonts w:eastAsia="Calibri"/>
          <w:szCs w:val="22"/>
        </w:rPr>
        <w:t xml:space="preserve"> Retais atvejais hipertenzija sergantiems ligoniams CONVERIDE gali sukelti simptominę hipotenziją nesant kitų hipotenzijos rizikos veiksnių. Simptominė hipotenzija galima ligoniams, kuriems dėl intensyvaus gydymo diuretikais, mažo natrio kiekio maiste, viduriavimo ar vėmimo yra sumažėjęs skysčių ir (ar) natrio kiekis organizme. Prieš pradedant gydyti CONVERIDE, šiuos pokyčius reikia pašalinti.</w:t>
      </w:r>
    </w:p>
    <w:p w14:paraId="279F52BE" w14:textId="77777777" w:rsidR="00A80CF8" w:rsidRPr="00D724AC" w:rsidRDefault="00A80CF8" w:rsidP="00A80CF8">
      <w:pPr>
        <w:autoSpaceDE w:val="0"/>
        <w:autoSpaceDN w:val="0"/>
        <w:adjustRightInd w:val="0"/>
        <w:rPr>
          <w:rFonts w:eastAsia="Calibri"/>
          <w:szCs w:val="22"/>
        </w:rPr>
      </w:pPr>
    </w:p>
    <w:p w14:paraId="2636185E" w14:textId="77777777" w:rsidR="00A80CF8" w:rsidRPr="00D724AC" w:rsidRDefault="00A80CF8" w:rsidP="00A80CF8">
      <w:pPr>
        <w:autoSpaceDE w:val="0"/>
        <w:autoSpaceDN w:val="0"/>
        <w:adjustRightInd w:val="0"/>
        <w:rPr>
          <w:rFonts w:eastAsia="Calibri"/>
          <w:szCs w:val="22"/>
        </w:rPr>
      </w:pPr>
      <w:r w:rsidRPr="00D724AC">
        <w:rPr>
          <w:rFonts w:eastAsia="Calibri"/>
          <w:szCs w:val="22"/>
          <w:u w:val="single"/>
        </w:rPr>
        <w:t>Inkstų arterijų stenozė ir renovaskulinė hipertenzija.</w:t>
      </w:r>
      <w:r w:rsidRPr="00D724AC">
        <w:rPr>
          <w:rFonts w:eastAsia="Calibri"/>
          <w:szCs w:val="22"/>
        </w:rPr>
        <w:t xml:space="preserve"> Ligoniams, sergantiems abiejų inkstų arterijų ar vienintelio funkcionuojančio inksto arterijos stenoze bei gydomiems angiotenziną konvertuojančio </w:t>
      </w:r>
      <w:r w:rsidRPr="00D724AC">
        <w:rPr>
          <w:rFonts w:eastAsia="Calibri"/>
          <w:szCs w:val="22"/>
        </w:rPr>
        <w:lastRenderedPageBreak/>
        <w:t>fermento inhibitoriais ar angiotenzino II receptorių blokatoriais, yra padidėjęs sunkios hipotenzijos bei inkstų nepakankamumo pasireiškimo pavojus. Nors gydant CONVERIDE tokių komplikacijų atvejų nepastebėta, tačiau tikėtina, kad jos galimos.</w:t>
      </w:r>
    </w:p>
    <w:p w14:paraId="0451A3B8" w14:textId="77777777" w:rsidR="00A80CF8" w:rsidRPr="00D724AC" w:rsidRDefault="00A80CF8" w:rsidP="00A80CF8">
      <w:pPr>
        <w:autoSpaceDE w:val="0"/>
        <w:autoSpaceDN w:val="0"/>
        <w:adjustRightInd w:val="0"/>
        <w:rPr>
          <w:rFonts w:eastAsia="Calibri"/>
          <w:szCs w:val="22"/>
        </w:rPr>
      </w:pPr>
    </w:p>
    <w:p w14:paraId="4B028DF4" w14:textId="77777777" w:rsidR="00A80CF8" w:rsidRPr="00D724AC" w:rsidRDefault="00A80CF8" w:rsidP="00A80CF8">
      <w:pPr>
        <w:autoSpaceDE w:val="0"/>
        <w:autoSpaceDN w:val="0"/>
        <w:adjustRightInd w:val="0"/>
        <w:rPr>
          <w:rFonts w:eastAsia="Calibri"/>
          <w:szCs w:val="22"/>
        </w:rPr>
      </w:pPr>
      <w:r w:rsidRPr="00D724AC">
        <w:rPr>
          <w:rFonts w:eastAsia="Calibri"/>
          <w:szCs w:val="22"/>
          <w:u w:val="single"/>
        </w:rPr>
        <w:t>Inkstų funkcijos sutrikimas, inksto persodinimas.</w:t>
      </w:r>
      <w:r w:rsidRPr="00D724AC">
        <w:rPr>
          <w:rFonts w:eastAsia="Calibri"/>
          <w:szCs w:val="22"/>
        </w:rPr>
        <w:t xml:space="preserve"> CONVERIDE gydant pacientus, kurių inkstų funkcija sutrikusi, reikia periodiškai nustatinėti kalio, kreatinino ir šlapimo rūgšties kiekį kraujo serume. Pacientai, kuriems neseniai persodintas inkstas, gydymo CONVERIDE patirties nėra. Pacientų, kuriems yra sunkus inkstų funkcijos sutrikimas (kreatinino klirensas yra &lt; 30</w:t>
      </w:r>
      <w:r>
        <w:rPr>
          <w:rFonts w:eastAsia="Calibri"/>
          <w:szCs w:val="22"/>
        </w:rPr>
        <w:t> </w:t>
      </w:r>
      <w:r w:rsidRPr="00D724AC">
        <w:rPr>
          <w:rFonts w:eastAsia="Calibri"/>
          <w:szCs w:val="22"/>
        </w:rPr>
        <w:t>ml/min.) (žr. 4.3 skyrių), CONVERIDE gydyti negalima. Jeigu inkstų funkcija sutrikusi, gali atsirasti su tiazidinių diuretikų vartojimu susijusi azotemija. Jeigu inkstų funkcija sutrikusi, tačiau kreatinino klirensas yra ≥ 30</w:t>
      </w:r>
      <w:r>
        <w:rPr>
          <w:rFonts w:eastAsia="Calibri"/>
          <w:szCs w:val="22"/>
        </w:rPr>
        <w:t> </w:t>
      </w:r>
      <w:r w:rsidRPr="00D724AC">
        <w:rPr>
          <w:rFonts w:eastAsia="Calibri"/>
          <w:szCs w:val="22"/>
        </w:rPr>
        <w:t>ml/min., dozės keisti nereikia. Vis dėlto tuos pacientams, kuriems yra lengvas ar vidutinio sunkumo inkstų funkcijos sutrikimas (kreatinino klirensas yra ≥ 30</w:t>
      </w:r>
      <w:r>
        <w:rPr>
          <w:rFonts w:eastAsia="Calibri"/>
          <w:szCs w:val="22"/>
        </w:rPr>
        <w:t> </w:t>
      </w:r>
      <w:r w:rsidRPr="00D724AC">
        <w:rPr>
          <w:rFonts w:eastAsia="Calibri"/>
          <w:szCs w:val="22"/>
        </w:rPr>
        <w:t>ml/min. bet &lt; 60</w:t>
      </w:r>
      <w:r>
        <w:rPr>
          <w:rFonts w:eastAsia="Calibri"/>
          <w:szCs w:val="22"/>
        </w:rPr>
        <w:t> </w:t>
      </w:r>
      <w:r w:rsidRPr="00D724AC">
        <w:rPr>
          <w:rFonts w:eastAsia="Calibri"/>
          <w:szCs w:val="22"/>
        </w:rPr>
        <w:t>ml/min.), šio vaistinio preparato, kuriame yra nekintanti veikliųjų medžiagų dozė, reikia skirti atsargiai.</w:t>
      </w:r>
    </w:p>
    <w:p w14:paraId="3C0CA7C0" w14:textId="77777777" w:rsidR="00A80CF8" w:rsidRDefault="00A80CF8" w:rsidP="00A80CF8">
      <w:pPr>
        <w:autoSpaceDE w:val="0"/>
        <w:autoSpaceDN w:val="0"/>
        <w:adjustRightInd w:val="0"/>
        <w:rPr>
          <w:rFonts w:eastAsia="Calibri"/>
          <w:szCs w:val="22"/>
        </w:rPr>
      </w:pPr>
    </w:p>
    <w:p w14:paraId="4C8C4FFC" w14:textId="77777777" w:rsidR="00A80CF8" w:rsidRDefault="00A80CF8" w:rsidP="00A80CF8">
      <w:pPr>
        <w:autoSpaceDE w:val="0"/>
        <w:autoSpaceDN w:val="0"/>
        <w:adjustRightInd w:val="0"/>
        <w:rPr>
          <w:rFonts w:eastAsia="Calibri"/>
          <w:szCs w:val="22"/>
        </w:rPr>
      </w:pPr>
      <w:r w:rsidRPr="00D54A37">
        <w:rPr>
          <w:rFonts w:eastAsia="Calibri"/>
          <w:szCs w:val="22"/>
          <w:u w:val="single"/>
        </w:rPr>
        <w:t>Dvigubas renino, angiotenzino ir aldosterono sistemos (RAAS) slopinimas.</w:t>
      </w:r>
      <w:r w:rsidRPr="00D54A37">
        <w:rPr>
          <w:rFonts w:eastAsia="Calibri"/>
          <w:szCs w:val="22"/>
        </w:rPr>
        <w:t xml:space="preserve"> 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 Vis dėlto, jei dvigubas nuslopinimas laikomas absoliučiai būtinu, šis gydymas turi būti atliekamas tik prižiūrint specialistams ir dažnai bei atidžiai tiriant inkstų funkciją, elektrolitų koncentracijas bei kraujospūdį. Pacientams, sergantiems diabetine nefropatija, negalima kartu vartoti AKF inhibitorių ir angiotenzino II receptorių blokatorių.</w:t>
      </w:r>
    </w:p>
    <w:p w14:paraId="3DE54B37" w14:textId="77777777" w:rsidR="00A80CF8" w:rsidRPr="00D724AC" w:rsidRDefault="00A80CF8" w:rsidP="00A80CF8">
      <w:pPr>
        <w:autoSpaceDE w:val="0"/>
        <w:autoSpaceDN w:val="0"/>
        <w:adjustRightInd w:val="0"/>
        <w:rPr>
          <w:rFonts w:eastAsia="Calibri"/>
          <w:szCs w:val="22"/>
        </w:rPr>
      </w:pPr>
    </w:p>
    <w:p w14:paraId="20836090" w14:textId="77777777" w:rsidR="00A80CF8" w:rsidRPr="00D724AC" w:rsidRDefault="00A80CF8" w:rsidP="00A80CF8">
      <w:pPr>
        <w:autoSpaceDE w:val="0"/>
        <w:autoSpaceDN w:val="0"/>
        <w:adjustRightInd w:val="0"/>
        <w:rPr>
          <w:rFonts w:eastAsia="Calibri"/>
          <w:szCs w:val="22"/>
        </w:rPr>
      </w:pPr>
      <w:r w:rsidRPr="00D724AC">
        <w:rPr>
          <w:rFonts w:eastAsia="Calibri"/>
          <w:szCs w:val="22"/>
          <w:u w:val="single"/>
        </w:rPr>
        <w:t>Kepenų funkcijos sutrikimas.</w:t>
      </w:r>
      <w:r w:rsidRPr="00D724AC">
        <w:rPr>
          <w:rFonts w:eastAsia="Calibri"/>
          <w:szCs w:val="22"/>
        </w:rPr>
        <w:t xml:space="preserve"> Pacientus, kurių kepenų funkcija sutrikusi, arba kurie serga progresuojančia kepenų liga, tiazidiniais diuretikais reikia gydyti atsargiai, kadangi ir nedideli skysčių ir elektrolitų pusiausvyros pokyčiai gali skatinti hepatinės komos pasireiškimą. Pacientai, kurių kepenų funkcija sutrikusi, CONVERIDE negydyti.</w:t>
      </w:r>
    </w:p>
    <w:p w14:paraId="6B1C3725" w14:textId="77777777" w:rsidR="00A80CF8" w:rsidRPr="00D724AC" w:rsidRDefault="00A80CF8" w:rsidP="00A80CF8">
      <w:pPr>
        <w:autoSpaceDE w:val="0"/>
        <w:autoSpaceDN w:val="0"/>
        <w:adjustRightInd w:val="0"/>
        <w:rPr>
          <w:rFonts w:eastAsia="Calibri"/>
          <w:szCs w:val="22"/>
        </w:rPr>
      </w:pPr>
    </w:p>
    <w:p w14:paraId="347C878B" w14:textId="61A9D00E" w:rsidR="00A80CF8" w:rsidRDefault="00A80CF8" w:rsidP="00A80CF8">
      <w:pPr>
        <w:autoSpaceDE w:val="0"/>
        <w:autoSpaceDN w:val="0"/>
        <w:adjustRightInd w:val="0"/>
        <w:rPr>
          <w:rFonts w:eastAsia="Calibri"/>
          <w:szCs w:val="22"/>
        </w:rPr>
      </w:pPr>
      <w:r w:rsidRPr="00D724AC">
        <w:rPr>
          <w:rFonts w:eastAsia="Calibri"/>
          <w:szCs w:val="22"/>
          <w:u w:val="single"/>
        </w:rPr>
        <w:t>Aortos ir dviburio vožtuvo stenozė, obstrukcinė hipertrofinė kardiomiopatija.</w:t>
      </w:r>
      <w:r w:rsidRPr="00D724AC">
        <w:rPr>
          <w:rFonts w:eastAsia="Calibri"/>
          <w:szCs w:val="22"/>
        </w:rPr>
        <w:t xml:space="preserve"> Jei yra aortos ar dviburio vožtuvo stenozė arba obstrukcinė hipertrofinė kardiomiopatija, gydyti šiuo vaistiniu preparatu, kaip ir kitais kraujagyslių plečiamaisiais vaistiniais preparatais, reikia itin atsargiai.</w:t>
      </w:r>
    </w:p>
    <w:p w14:paraId="4A9FA1DF" w14:textId="6911BA5B" w:rsidR="00A80CF8" w:rsidRDefault="00A80CF8" w:rsidP="00A80CF8">
      <w:pPr>
        <w:autoSpaceDE w:val="0"/>
        <w:autoSpaceDN w:val="0"/>
        <w:adjustRightInd w:val="0"/>
        <w:rPr>
          <w:rFonts w:eastAsia="Calibri"/>
          <w:szCs w:val="22"/>
        </w:rPr>
      </w:pPr>
    </w:p>
    <w:p w14:paraId="682726CC" w14:textId="7C204E37" w:rsidR="00A80CF8" w:rsidRPr="00D724AC" w:rsidRDefault="00A80CF8" w:rsidP="00A80CF8">
      <w:pPr>
        <w:autoSpaceDE w:val="0"/>
        <w:autoSpaceDN w:val="0"/>
        <w:adjustRightInd w:val="0"/>
        <w:rPr>
          <w:rFonts w:eastAsia="Calibri"/>
          <w:szCs w:val="22"/>
        </w:rPr>
      </w:pPr>
      <w:r w:rsidRPr="00A80CF8">
        <w:rPr>
          <w:rFonts w:eastAsia="Calibri"/>
          <w:szCs w:val="22"/>
          <w:u w:val="single"/>
        </w:rPr>
        <w:t>Ūminis toksinis poveikis kvėpavimo sistemai.</w:t>
      </w:r>
      <w:r w:rsidRPr="00A80CF8">
        <w:rPr>
          <w:rFonts w:eastAsia="Calibri"/>
          <w:szCs w:val="22"/>
        </w:rPr>
        <w:t xml:space="preserve"> 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w:t>
      </w:r>
      <w:r>
        <w:rPr>
          <w:rFonts w:eastAsia="Calibri"/>
          <w:szCs w:val="22"/>
        </w:rPr>
        <w:t>CONVERIDE</w:t>
      </w:r>
      <w:r w:rsidRPr="00A80CF8">
        <w:rPr>
          <w:rFonts w:eastAsia="Calibri"/>
          <w:szCs w:val="22"/>
        </w:rPr>
        <w:t xml:space="preserve"> vartojimą ir skirti atitinkamą gydymą. Hidrochlorotiazido negalima skirti pacientams, kuriems anksčiau pasireiškė ŪKSS pavartojus hidrochlorotiazido.</w:t>
      </w:r>
    </w:p>
    <w:p w14:paraId="2868B823" w14:textId="77777777" w:rsidR="00A80CF8" w:rsidRPr="00D724AC" w:rsidRDefault="00A80CF8" w:rsidP="00A80CF8">
      <w:pPr>
        <w:autoSpaceDE w:val="0"/>
        <w:autoSpaceDN w:val="0"/>
        <w:adjustRightInd w:val="0"/>
        <w:rPr>
          <w:rFonts w:eastAsia="Calibri"/>
          <w:szCs w:val="22"/>
        </w:rPr>
      </w:pPr>
    </w:p>
    <w:p w14:paraId="546CEBFB" w14:textId="77777777" w:rsidR="00A80CF8" w:rsidRPr="00D724AC" w:rsidRDefault="00A80CF8" w:rsidP="00A80CF8">
      <w:pPr>
        <w:autoSpaceDE w:val="0"/>
        <w:autoSpaceDN w:val="0"/>
        <w:adjustRightInd w:val="0"/>
        <w:rPr>
          <w:rFonts w:eastAsia="Calibri"/>
          <w:szCs w:val="22"/>
        </w:rPr>
      </w:pPr>
      <w:r w:rsidRPr="00D724AC">
        <w:rPr>
          <w:rFonts w:eastAsia="Calibri"/>
          <w:szCs w:val="22"/>
          <w:u w:val="single"/>
        </w:rPr>
        <w:t>Pirminis hiperaldosteronizmas.</w:t>
      </w:r>
      <w:r w:rsidRPr="00D724AC">
        <w:rPr>
          <w:rFonts w:eastAsia="Calibri"/>
          <w:szCs w:val="22"/>
        </w:rPr>
        <w:t xml:space="preserve"> Pacientai, kuriems yra pirminis hiperaldosteronizmas, į antihipertenzinius vaistinius preparatus, veikiančius per renino ir angiotenzino sistemą, paprastai nereaguoja, vadinasi, jų gydyti CONVERIDE nerekomenduojama.</w:t>
      </w:r>
    </w:p>
    <w:p w14:paraId="71A5F125" w14:textId="77777777" w:rsidR="00A80CF8" w:rsidRPr="00D724AC" w:rsidRDefault="00A80CF8" w:rsidP="00A80CF8">
      <w:pPr>
        <w:autoSpaceDE w:val="0"/>
        <w:autoSpaceDN w:val="0"/>
        <w:adjustRightInd w:val="0"/>
        <w:rPr>
          <w:rFonts w:eastAsia="Calibri"/>
          <w:szCs w:val="22"/>
        </w:rPr>
      </w:pPr>
    </w:p>
    <w:p w14:paraId="0621070A" w14:textId="77777777" w:rsidR="00A80CF8" w:rsidRPr="00D724AC" w:rsidRDefault="00A80CF8" w:rsidP="00A80CF8">
      <w:pPr>
        <w:autoSpaceDE w:val="0"/>
        <w:autoSpaceDN w:val="0"/>
        <w:adjustRightInd w:val="0"/>
        <w:rPr>
          <w:rFonts w:eastAsia="Calibri"/>
          <w:szCs w:val="22"/>
        </w:rPr>
      </w:pPr>
      <w:r w:rsidRPr="00D724AC">
        <w:rPr>
          <w:rFonts w:eastAsia="Calibri"/>
          <w:szCs w:val="22"/>
          <w:u w:val="single"/>
        </w:rPr>
        <w:t>Poveikis metabolizmui ir endokrininei sistemai.</w:t>
      </w:r>
      <w:r w:rsidRPr="00D724AC">
        <w:rPr>
          <w:rFonts w:eastAsia="Calibri"/>
          <w:szCs w:val="22"/>
        </w:rPr>
        <w:t xml:space="preserve"> Tiazidiniai diuretikai gali bloginti gliukozės toleravimą. Cukriniu diabetu sergantiems ligoniams gali prireikti keisti insulino ar geriamųjų preparatų nuo diabeto dozę. Vartojant tiazidinių diuretikų gali pasireikšti slaptasis diabetas.</w:t>
      </w:r>
    </w:p>
    <w:p w14:paraId="3C17C201" w14:textId="77777777" w:rsidR="00A80CF8" w:rsidRPr="00D724AC" w:rsidRDefault="00A80CF8" w:rsidP="00A80CF8">
      <w:pPr>
        <w:autoSpaceDE w:val="0"/>
        <w:autoSpaceDN w:val="0"/>
        <w:adjustRightInd w:val="0"/>
        <w:rPr>
          <w:rFonts w:eastAsia="Calibri"/>
          <w:szCs w:val="22"/>
        </w:rPr>
      </w:pPr>
    </w:p>
    <w:p w14:paraId="767A831E" w14:textId="77777777" w:rsidR="00A80CF8" w:rsidRPr="00D724AC" w:rsidRDefault="00A80CF8" w:rsidP="00A80CF8">
      <w:pPr>
        <w:autoSpaceDE w:val="0"/>
        <w:autoSpaceDN w:val="0"/>
        <w:adjustRightInd w:val="0"/>
        <w:rPr>
          <w:rFonts w:eastAsia="Calibri"/>
          <w:szCs w:val="22"/>
        </w:rPr>
      </w:pPr>
      <w:r w:rsidRPr="00D724AC">
        <w:rPr>
          <w:rFonts w:eastAsia="Calibri"/>
          <w:szCs w:val="22"/>
        </w:rPr>
        <w:t>Su tiazidinių diuretikų vartojimu siejamas cholesterolio ir trigliceridų kiekio didėjimas kraujyje, bet CONVERIDE tabletėse esanti 12,5</w:t>
      </w:r>
      <w:r>
        <w:rPr>
          <w:rFonts w:eastAsia="Calibri"/>
          <w:szCs w:val="22"/>
        </w:rPr>
        <w:t> mg</w:t>
      </w:r>
      <w:r w:rsidRPr="00D724AC">
        <w:rPr>
          <w:rFonts w:eastAsia="Calibri"/>
          <w:szCs w:val="22"/>
        </w:rPr>
        <w:t xml:space="preserve"> dozė tokį poveikį sukelia silpną arba visai jo nesukelia. Kai kuriems pacientams, vartojantiems tiazidų, gali pasireikšti hiperurikemija ar podagra.</w:t>
      </w:r>
    </w:p>
    <w:p w14:paraId="5504FF2C" w14:textId="77777777" w:rsidR="00A80CF8" w:rsidRPr="00D724AC" w:rsidRDefault="00A80CF8" w:rsidP="00A80CF8">
      <w:pPr>
        <w:autoSpaceDE w:val="0"/>
        <w:autoSpaceDN w:val="0"/>
        <w:adjustRightInd w:val="0"/>
        <w:rPr>
          <w:rFonts w:eastAsia="Calibri"/>
          <w:szCs w:val="22"/>
        </w:rPr>
      </w:pPr>
    </w:p>
    <w:p w14:paraId="3BBE1CC4" w14:textId="77777777" w:rsidR="00A80CF8" w:rsidRPr="00D724AC" w:rsidRDefault="00A80CF8" w:rsidP="00A80CF8">
      <w:pPr>
        <w:autoSpaceDE w:val="0"/>
        <w:autoSpaceDN w:val="0"/>
        <w:adjustRightInd w:val="0"/>
        <w:rPr>
          <w:rFonts w:eastAsia="Calibri"/>
          <w:szCs w:val="22"/>
        </w:rPr>
      </w:pPr>
      <w:r w:rsidRPr="00D724AC">
        <w:rPr>
          <w:rFonts w:eastAsia="Calibri"/>
          <w:szCs w:val="22"/>
          <w:u w:val="single"/>
        </w:rPr>
        <w:t>Elektrolitų pusiausvyros sutrikimas.</w:t>
      </w:r>
      <w:r w:rsidRPr="00D724AC">
        <w:rPr>
          <w:rFonts w:eastAsia="Calibri"/>
          <w:szCs w:val="22"/>
        </w:rPr>
        <w:t xml:space="preserve"> Gydant CONVERIDE, kaip ir bet kokiu kitu diuretiku, reikia reguliariai tirti elektrolitų kiekį kraujo serume. </w:t>
      </w:r>
    </w:p>
    <w:p w14:paraId="0762669F" w14:textId="77777777" w:rsidR="00A80CF8" w:rsidRPr="00D724AC" w:rsidRDefault="00A80CF8" w:rsidP="00A80CF8">
      <w:pPr>
        <w:autoSpaceDE w:val="0"/>
        <w:autoSpaceDN w:val="0"/>
        <w:adjustRightInd w:val="0"/>
        <w:rPr>
          <w:rFonts w:eastAsia="Calibri"/>
          <w:szCs w:val="22"/>
        </w:rPr>
      </w:pPr>
    </w:p>
    <w:p w14:paraId="650785F3" w14:textId="77777777" w:rsidR="00A80CF8" w:rsidRPr="00D724AC" w:rsidRDefault="00A80CF8" w:rsidP="00A80CF8">
      <w:pPr>
        <w:autoSpaceDE w:val="0"/>
        <w:autoSpaceDN w:val="0"/>
        <w:adjustRightInd w:val="0"/>
        <w:rPr>
          <w:rFonts w:eastAsia="Calibri"/>
          <w:szCs w:val="22"/>
        </w:rPr>
      </w:pPr>
      <w:r w:rsidRPr="00D724AC">
        <w:rPr>
          <w:rFonts w:eastAsia="Calibri"/>
          <w:szCs w:val="22"/>
        </w:rPr>
        <w:lastRenderedPageBreak/>
        <w:t>Tiazidiniai diuretikai, tarp jų ir hidrochlorotiazidas, gali sutrikdyti skysčių ar elektrolitų pusiausvyrą (sukelti hipokalemiją, hiponatremiją, hipochloreminę acidozę). Įspėjamieji skysčių ar elektrolitų pusiausvyros sutrikimo požymiai yra burnos džiūvimas, troškulys, silpnumas, letargija, mieguistumas, nenustygstamumas, raumenų skausmas, mėšlungis, nuovargis, hipotenzija, oligurija, tachikardija, virškinimo trakto sutrikimas, pavyzdžiui, pykinimas ar vėmimas. Tiazidiniai diuretikai gali sukelti hipokalemiją, bet kartu vartojamas irbesartanas gali ją silpninti. Hipokalemijos pasireiškimo pavojus yra didžiausias, kai yra kepenų cirozė, gausi diurezė, gaunama nepakankamai elektrolitų su maistu, kartu vartojama kortikosteroidų ar adrenokortikotropinio hormono (AKTH). Dėl CONVERIDE sudėtyje esančio irbesartano kalio organizme gali padaugėti, ypač ligoniams, kuriems yra inkstų funkcijos sutrikimas ir (arba) širdies nepakankamumas arba sergantiems cukriniu diabetu. Rizikos grupės pacientams rekomenduojama reguliariai tirti kalio kiekį serume. Kalį organizme sulaikančių diuretikų, kalio papildų ar druskų pakaitalų, kuriuose yra kalio kartu su CONVERIDE reikia vartoti labai atsargiai (žr. 4.5 skyrių).</w:t>
      </w:r>
    </w:p>
    <w:p w14:paraId="6CAAB136" w14:textId="77777777" w:rsidR="00A80CF8" w:rsidRPr="00D724AC" w:rsidRDefault="00A80CF8" w:rsidP="00A80CF8">
      <w:pPr>
        <w:autoSpaceDE w:val="0"/>
        <w:autoSpaceDN w:val="0"/>
        <w:adjustRightInd w:val="0"/>
        <w:rPr>
          <w:rFonts w:eastAsia="Calibri"/>
          <w:szCs w:val="22"/>
        </w:rPr>
      </w:pPr>
    </w:p>
    <w:p w14:paraId="6B5D6112" w14:textId="77777777" w:rsidR="00A80CF8" w:rsidRPr="00D724AC" w:rsidRDefault="00A80CF8" w:rsidP="00A80CF8">
      <w:pPr>
        <w:autoSpaceDE w:val="0"/>
        <w:autoSpaceDN w:val="0"/>
        <w:adjustRightInd w:val="0"/>
        <w:rPr>
          <w:rFonts w:eastAsia="Calibri"/>
          <w:szCs w:val="22"/>
        </w:rPr>
      </w:pPr>
      <w:r w:rsidRPr="00D724AC">
        <w:rPr>
          <w:rFonts w:eastAsia="Calibri"/>
          <w:szCs w:val="22"/>
        </w:rPr>
        <w:t xml:space="preserve">Nėra įrodymų, kad irbesartanas mažina diuretikų sukeliamos hiponatremijos pasireiškimą arba saugo nuo jos. Chlorido trūkumas paprastai būna lengvas, dėl jo paprastai gydyti nereikia. </w:t>
      </w:r>
    </w:p>
    <w:p w14:paraId="7861E480" w14:textId="77777777" w:rsidR="00A80CF8" w:rsidRPr="00D724AC" w:rsidRDefault="00A80CF8" w:rsidP="00A80CF8">
      <w:pPr>
        <w:autoSpaceDE w:val="0"/>
        <w:autoSpaceDN w:val="0"/>
        <w:adjustRightInd w:val="0"/>
        <w:rPr>
          <w:rFonts w:eastAsia="Calibri"/>
          <w:szCs w:val="22"/>
        </w:rPr>
      </w:pPr>
    </w:p>
    <w:p w14:paraId="5E87F12B" w14:textId="77777777" w:rsidR="00A80CF8" w:rsidRPr="00D724AC" w:rsidRDefault="00A80CF8" w:rsidP="00A80CF8">
      <w:pPr>
        <w:autoSpaceDE w:val="0"/>
        <w:autoSpaceDN w:val="0"/>
        <w:adjustRightInd w:val="0"/>
        <w:rPr>
          <w:rFonts w:eastAsia="Calibri"/>
          <w:szCs w:val="22"/>
        </w:rPr>
      </w:pPr>
      <w:r w:rsidRPr="00D724AC">
        <w:rPr>
          <w:rFonts w:eastAsia="Calibri"/>
          <w:szCs w:val="22"/>
        </w:rPr>
        <w:t xml:space="preserve">Tiazidiniai diuretikai gali mažinti kalcio išsiskyrimą su šlapimu ir dėl to protarpiais šiek tiek padidinti kalcio kiekį kraujo serume, nors kalcio apykaitos sutrikimo nėra. Ženkli hiperkalcemija gali rodyti slaptąjį hiperparatiroidizmą. Prieš prieskydinių liaukų funkcijos tyrimą tiazidų vartojimą reikia nutraukti. </w:t>
      </w:r>
    </w:p>
    <w:p w14:paraId="203BE367" w14:textId="77777777" w:rsidR="00A80CF8" w:rsidRPr="00D724AC" w:rsidRDefault="00A80CF8" w:rsidP="00A80CF8">
      <w:pPr>
        <w:autoSpaceDE w:val="0"/>
        <w:autoSpaceDN w:val="0"/>
        <w:adjustRightInd w:val="0"/>
        <w:rPr>
          <w:rFonts w:eastAsia="Calibri"/>
          <w:szCs w:val="22"/>
        </w:rPr>
      </w:pPr>
    </w:p>
    <w:p w14:paraId="348FA5A9" w14:textId="77777777" w:rsidR="00A80CF8" w:rsidRPr="00D724AC" w:rsidRDefault="00A80CF8" w:rsidP="00A80CF8">
      <w:pPr>
        <w:autoSpaceDE w:val="0"/>
        <w:autoSpaceDN w:val="0"/>
        <w:adjustRightInd w:val="0"/>
        <w:rPr>
          <w:rFonts w:eastAsia="Calibri"/>
          <w:szCs w:val="22"/>
        </w:rPr>
      </w:pPr>
      <w:r w:rsidRPr="00D724AC">
        <w:rPr>
          <w:rFonts w:eastAsia="Calibri"/>
          <w:szCs w:val="22"/>
        </w:rPr>
        <w:t xml:space="preserve">Tiazidiniai diuretikai gali greitinti magnio išsiskyrimą su šlapimu ir dėl to sukelti hipomagnezemiją. </w:t>
      </w:r>
    </w:p>
    <w:p w14:paraId="05D30390" w14:textId="77777777" w:rsidR="00A80CF8" w:rsidRPr="00D724AC" w:rsidRDefault="00A80CF8" w:rsidP="00A80CF8">
      <w:pPr>
        <w:autoSpaceDE w:val="0"/>
        <w:autoSpaceDN w:val="0"/>
        <w:adjustRightInd w:val="0"/>
        <w:rPr>
          <w:rFonts w:eastAsia="Calibri"/>
          <w:szCs w:val="22"/>
        </w:rPr>
      </w:pPr>
    </w:p>
    <w:p w14:paraId="0B3C6383" w14:textId="77777777" w:rsidR="00A80CF8" w:rsidRPr="00D724AC" w:rsidRDefault="00A80CF8" w:rsidP="00A80CF8">
      <w:pPr>
        <w:autoSpaceDE w:val="0"/>
        <w:autoSpaceDN w:val="0"/>
        <w:adjustRightInd w:val="0"/>
        <w:rPr>
          <w:rFonts w:eastAsia="Calibri"/>
          <w:szCs w:val="22"/>
        </w:rPr>
      </w:pPr>
      <w:r w:rsidRPr="00D724AC">
        <w:rPr>
          <w:rFonts w:eastAsia="Calibri"/>
          <w:szCs w:val="22"/>
          <w:u w:val="single"/>
        </w:rPr>
        <w:t>Litis.</w:t>
      </w:r>
      <w:r w:rsidRPr="00D724AC">
        <w:rPr>
          <w:rFonts w:eastAsia="Calibri"/>
          <w:szCs w:val="22"/>
        </w:rPr>
        <w:t xml:space="preserve"> Ličio kartu su CONVERIDE skirti nerekomenduojama (žr. 4.5 skyrių).</w:t>
      </w:r>
    </w:p>
    <w:p w14:paraId="26C254E9" w14:textId="77777777" w:rsidR="00A80CF8" w:rsidRPr="00D724AC" w:rsidRDefault="00A80CF8" w:rsidP="00A80CF8">
      <w:pPr>
        <w:autoSpaceDE w:val="0"/>
        <w:autoSpaceDN w:val="0"/>
        <w:adjustRightInd w:val="0"/>
        <w:rPr>
          <w:rFonts w:eastAsia="Calibri"/>
          <w:szCs w:val="22"/>
        </w:rPr>
      </w:pPr>
    </w:p>
    <w:p w14:paraId="08402A97" w14:textId="77777777" w:rsidR="00A80CF8" w:rsidRPr="00D724AC" w:rsidRDefault="00A80CF8" w:rsidP="00A80CF8">
      <w:pPr>
        <w:autoSpaceDE w:val="0"/>
        <w:autoSpaceDN w:val="0"/>
        <w:adjustRightInd w:val="0"/>
        <w:rPr>
          <w:rFonts w:eastAsia="Calibri"/>
          <w:szCs w:val="22"/>
        </w:rPr>
      </w:pPr>
      <w:r w:rsidRPr="00D724AC">
        <w:rPr>
          <w:rFonts w:eastAsia="Calibri"/>
          <w:szCs w:val="22"/>
          <w:u w:val="single"/>
        </w:rPr>
        <w:t>Bendrasis poveikis.</w:t>
      </w:r>
      <w:r w:rsidRPr="00D724AC">
        <w:rPr>
          <w:rFonts w:eastAsia="Calibri"/>
          <w:szCs w:val="22"/>
        </w:rPr>
        <w:t xml:space="preserve"> Ligonių, kurių kraujagyslių tonusas ir inkstų funkcija daugiausia priklauso nuo renino, angiotenzino ir aldosterono sistemos aktyvumo (pavyzdžiui, sergantys sunkiu staziniu širdies nepakankamumu ar inkstų liga, įskaitant inkstų arterijų stenozę), gydymas angiotenziną konvertuojančio fermento inhibitoriais arba šią sistemą veikiančiais angiotenzino II receptorių blokatoriais buvo susijęs su ūmine hipotenzija, azotemija, oligurija, retais atvejais su ūminiu inkstų funkcijos nepakankamumu (žr. 4.5 skyrių). Kaip ir vartojant kitokių antihipertenzinių vaistų, išemine kardiopatija ar išemine širdies liga sergančius ligonius dėl pernelyg sumažėjusio kraujospūdžio gali ištikti miokardo infarktas ar smegenų insultas.</w:t>
      </w:r>
    </w:p>
    <w:p w14:paraId="20AEA252" w14:textId="77777777" w:rsidR="00A80CF8" w:rsidRPr="00D724AC" w:rsidRDefault="00A80CF8" w:rsidP="00A80CF8">
      <w:pPr>
        <w:autoSpaceDE w:val="0"/>
        <w:autoSpaceDN w:val="0"/>
        <w:adjustRightInd w:val="0"/>
        <w:rPr>
          <w:rFonts w:eastAsia="Calibri"/>
          <w:szCs w:val="22"/>
        </w:rPr>
      </w:pPr>
    </w:p>
    <w:p w14:paraId="6695F7DB" w14:textId="77777777" w:rsidR="00A80CF8" w:rsidRPr="00D724AC" w:rsidRDefault="00A80CF8" w:rsidP="00A80CF8">
      <w:pPr>
        <w:autoSpaceDE w:val="0"/>
        <w:autoSpaceDN w:val="0"/>
        <w:adjustRightInd w:val="0"/>
        <w:rPr>
          <w:rFonts w:eastAsia="Calibri"/>
          <w:szCs w:val="22"/>
        </w:rPr>
      </w:pPr>
      <w:r w:rsidRPr="00D724AC">
        <w:rPr>
          <w:rFonts w:eastAsia="Calibri"/>
          <w:szCs w:val="22"/>
        </w:rPr>
        <w:t>Hidrochlorotiazidas padidėjusio jautrumo reakciją gali sukelti ir alergija ar bronchų astma nesirgusiems, ir sirgusiems pacientams, bet didesnis pavojus gresia pastariesiems.</w:t>
      </w:r>
    </w:p>
    <w:p w14:paraId="2252851F" w14:textId="77777777" w:rsidR="00A80CF8" w:rsidRPr="00D724AC" w:rsidRDefault="00A80CF8" w:rsidP="00A80CF8">
      <w:pPr>
        <w:autoSpaceDE w:val="0"/>
        <w:autoSpaceDN w:val="0"/>
        <w:adjustRightInd w:val="0"/>
        <w:rPr>
          <w:rFonts w:eastAsia="Calibri"/>
          <w:szCs w:val="22"/>
        </w:rPr>
      </w:pPr>
    </w:p>
    <w:p w14:paraId="52C9B3B4" w14:textId="77777777" w:rsidR="00A80CF8" w:rsidRPr="00D724AC" w:rsidRDefault="00A80CF8" w:rsidP="00A80CF8">
      <w:pPr>
        <w:autoSpaceDE w:val="0"/>
        <w:autoSpaceDN w:val="0"/>
        <w:adjustRightInd w:val="0"/>
        <w:rPr>
          <w:rFonts w:eastAsia="Calibri"/>
          <w:szCs w:val="22"/>
        </w:rPr>
      </w:pPr>
      <w:r w:rsidRPr="00D724AC">
        <w:rPr>
          <w:rFonts w:eastAsia="Calibri"/>
          <w:szCs w:val="22"/>
        </w:rPr>
        <w:t>Vartojant tiazidinių diuretikų pastebėta sisteminės raudonosios vilkligės paūmėjimo ar pasunkėjimo atvejų.</w:t>
      </w:r>
    </w:p>
    <w:p w14:paraId="1EFFD822" w14:textId="77777777" w:rsidR="00A80CF8" w:rsidRPr="00D724AC" w:rsidRDefault="00A80CF8" w:rsidP="00A80CF8">
      <w:pPr>
        <w:autoSpaceDE w:val="0"/>
        <w:autoSpaceDN w:val="0"/>
        <w:adjustRightInd w:val="0"/>
        <w:rPr>
          <w:rFonts w:eastAsia="Calibri"/>
          <w:szCs w:val="22"/>
        </w:rPr>
      </w:pPr>
    </w:p>
    <w:p w14:paraId="58135EBA" w14:textId="77777777" w:rsidR="00A80CF8" w:rsidRPr="00D724AC" w:rsidRDefault="00A80CF8" w:rsidP="00A80CF8">
      <w:pPr>
        <w:autoSpaceDE w:val="0"/>
        <w:autoSpaceDN w:val="0"/>
        <w:adjustRightInd w:val="0"/>
        <w:rPr>
          <w:rFonts w:eastAsia="Calibri"/>
          <w:szCs w:val="22"/>
        </w:rPr>
      </w:pPr>
      <w:r w:rsidRPr="00D724AC">
        <w:rPr>
          <w:rFonts w:eastAsia="Calibri"/>
          <w:szCs w:val="22"/>
        </w:rPr>
        <w:t>Vartojant tiazidinių diuretikų pastebėta padidėjusio jautrumo šviesai reakcijų atvejų (žr. 4.8 skyrių). Jei padidėjusio jautrumo šviesai reakcija pasireiškia vaisto vartojimo metu, rekomenduojama gydymą juo nutraukti. Jei manoma, kad diuretiko vartojimą būtina atnaujinti, rekomenduojama apsaugoti atviras odos vietas nuo saulės ar dirbtinių UVA spindulių.</w:t>
      </w:r>
    </w:p>
    <w:p w14:paraId="7A25DF42" w14:textId="77777777" w:rsidR="00A80CF8" w:rsidRPr="00D724AC" w:rsidRDefault="00A80CF8" w:rsidP="00A80CF8">
      <w:pPr>
        <w:tabs>
          <w:tab w:val="left" w:pos="567"/>
        </w:tabs>
        <w:spacing w:line="260" w:lineRule="exact"/>
        <w:rPr>
          <w:snapToGrid w:val="0"/>
          <w:szCs w:val="22"/>
          <w:lang w:eastAsia="en-US"/>
        </w:rPr>
      </w:pPr>
    </w:p>
    <w:p w14:paraId="19F2D114" w14:textId="77777777" w:rsidR="00A80CF8" w:rsidRPr="00D724AC" w:rsidRDefault="00A80CF8" w:rsidP="00A80CF8">
      <w:pPr>
        <w:autoSpaceDE w:val="0"/>
        <w:autoSpaceDN w:val="0"/>
        <w:adjustRightInd w:val="0"/>
        <w:rPr>
          <w:rFonts w:eastAsia="Calibri"/>
          <w:szCs w:val="22"/>
        </w:rPr>
      </w:pPr>
      <w:r w:rsidRPr="00D724AC">
        <w:rPr>
          <w:rFonts w:eastAsia="Calibri"/>
          <w:szCs w:val="22"/>
          <w:u w:val="single"/>
        </w:rPr>
        <w:t>Nėštumas.</w:t>
      </w:r>
      <w:r w:rsidRPr="00D724AC">
        <w:rPr>
          <w:rFonts w:eastAsia="Calibri"/>
          <w:szCs w:val="22"/>
        </w:rPr>
        <w:t xml:space="preserve"> Nėščių moterų pradėti gydyti angiotenzino II receptorių blokatoriais (AIIRB) negalima. Išskyrus atvejus, kai tolesnis gydymas AIIRB yra būtinas, pastoti planuojančioms moterims juos reikia keisti kitokiais antihipertenziniais vaistiniais preparatais, kurių vartojimo saugumas nėštumo metu ištirtas. Nustačius nėštumą, AIIRB vartojimą būtina nedelsiant nutraukti ir, jei reikia, skirti kitokį tinkamą gydymą (žr. 4.3 ir 4.6 skyrius).</w:t>
      </w:r>
    </w:p>
    <w:p w14:paraId="134BA789" w14:textId="77777777" w:rsidR="00A80CF8" w:rsidRPr="00D724AC" w:rsidRDefault="00A80CF8" w:rsidP="00A80CF8">
      <w:pPr>
        <w:autoSpaceDE w:val="0"/>
        <w:autoSpaceDN w:val="0"/>
        <w:adjustRightInd w:val="0"/>
        <w:rPr>
          <w:rFonts w:eastAsia="Calibri"/>
          <w:szCs w:val="22"/>
        </w:rPr>
      </w:pPr>
    </w:p>
    <w:p w14:paraId="5867003F" w14:textId="77777777" w:rsidR="00A80CF8" w:rsidRPr="00D724AC" w:rsidRDefault="00A80CF8" w:rsidP="00A80CF8">
      <w:pPr>
        <w:autoSpaceDE w:val="0"/>
        <w:autoSpaceDN w:val="0"/>
        <w:adjustRightInd w:val="0"/>
        <w:rPr>
          <w:snapToGrid w:val="0"/>
          <w:szCs w:val="22"/>
          <w:lang w:eastAsia="en-US"/>
        </w:rPr>
      </w:pPr>
      <w:r>
        <w:rPr>
          <w:rFonts w:eastAsia="Calibri"/>
          <w:szCs w:val="22"/>
          <w:u w:val="single"/>
        </w:rPr>
        <w:t>Skysčio susikaupimas tarp akies gyslainės ir skleros, ū</w:t>
      </w:r>
      <w:r w:rsidRPr="00D724AC">
        <w:rPr>
          <w:rFonts w:eastAsia="Calibri"/>
          <w:szCs w:val="22"/>
          <w:u w:val="single"/>
        </w:rPr>
        <w:t>minė miopija ir antrinė ūminė uždarojo kampo glaukoma.</w:t>
      </w:r>
      <w:r w:rsidRPr="00D724AC">
        <w:rPr>
          <w:rFonts w:eastAsia="Calibri"/>
          <w:szCs w:val="22"/>
        </w:rPr>
        <w:t xml:space="preserve"> Sulfonamidų grupės vaistiniai preparatai ar sulfonamidų dariniai gali sukelti idiosinkrazinę reakciją ir dėl to gali pasireikšti </w:t>
      </w:r>
      <w:r>
        <w:rPr>
          <w:rFonts w:eastAsia="Calibri"/>
          <w:szCs w:val="22"/>
        </w:rPr>
        <w:t xml:space="preserve">skysčio susikaupimas tarp akies gyslainės ir skleros su regėjimo lauko defektu, </w:t>
      </w:r>
      <w:r w:rsidRPr="00D724AC">
        <w:rPr>
          <w:rFonts w:eastAsia="Calibri"/>
          <w:szCs w:val="22"/>
        </w:rPr>
        <w:t xml:space="preserve">praeinanti miopija ir ūminė uždarojo kampo glaukoma. Hidrochlorotiazidas yra sulfonamidas, o iki šiol yra gauta tik pavienių pranešimų apie pasireiškusius ūminės uždarojo kampo glaukomos </w:t>
      </w:r>
      <w:r w:rsidRPr="00D724AC">
        <w:rPr>
          <w:rFonts w:eastAsia="Calibri"/>
          <w:szCs w:val="22"/>
        </w:rPr>
        <w:lastRenderedPageBreak/>
        <w:t>atvejus vartojant hidrochlorotiazido. Jos simptomai buvo staiga sumažėjęs regos aštrumas ar akies skausmas, kurie paprastai atsirasdavo po kelių valandų ar savaičių nuo vaisto vartojimo pradžios. Negydoma ūminė uždarojo kampo glaukoma gali sukelti negrįžtamą regėjimo netekimą. Tokiu atveju svarbiausia kaip galima greičiau nutraukti vaisto vartojimą. Jeigu akispūdis išlieka padidėjęs, gali reikėti svarstyti skubaus medikamentinio ar chirurginio gydymo galimybę. Ūminės uždarojo kampo glaukomos išsivystymo rizikos veiksniais gali būti anksčiau pasireiškusi alergija sulfonamidui ar penicilinui (žr. 4.8 skyrių).</w:t>
      </w:r>
    </w:p>
    <w:p w14:paraId="028143B0" w14:textId="77777777" w:rsidR="00A80CF8" w:rsidRPr="00D724AC" w:rsidRDefault="00A80CF8" w:rsidP="00A80CF8">
      <w:pPr>
        <w:tabs>
          <w:tab w:val="left" w:pos="567"/>
        </w:tabs>
        <w:spacing w:line="260" w:lineRule="exact"/>
        <w:rPr>
          <w:snapToGrid w:val="0"/>
          <w:szCs w:val="22"/>
          <w:lang w:eastAsia="en-US"/>
        </w:rPr>
      </w:pPr>
    </w:p>
    <w:p w14:paraId="340E5F66" w14:textId="77777777" w:rsidR="00A80CF8" w:rsidRPr="00D724AC" w:rsidRDefault="00A80CF8" w:rsidP="00A80CF8">
      <w:pPr>
        <w:rPr>
          <w:szCs w:val="22"/>
        </w:rPr>
      </w:pPr>
      <w:r w:rsidRPr="00D724AC">
        <w:rPr>
          <w:szCs w:val="22"/>
        </w:rPr>
        <w:t xml:space="preserve">Jeigu manoma, kad gydymas taikant dvigubą nuslopinimą yra absoliučiai  būtinas, tai turi būti atliekama tik prižiūrint specialistams ir dažnai bei atidžiai tiriant inkstų funkciją, elektrolitų koncentraciją bei kraujo spaudimą. </w:t>
      </w:r>
    </w:p>
    <w:p w14:paraId="266EA932" w14:textId="77777777" w:rsidR="00A80CF8" w:rsidRPr="00D724AC" w:rsidRDefault="00A80CF8" w:rsidP="00A80CF8">
      <w:pPr>
        <w:rPr>
          <w:szCs w:val="22"/>
        </w:rPr>
      </w:pPr>
      <w:r w:rsidRPr="00D724AC">
        <w:rPr>
          <w:szCs w:val="22"/>
        </w:rPr>
        <w:t>AKF inhibitorių negalima vartoti kartu su angiotenzino II receptorių blokatoriais pacientams, sergantiems diabetinė nefropatija.</w:t>
      </w:r>
    </w:p>
    <w:p w14:paraId="7E5DA52C" w14:textId="77777777" w:rsidR="00A80CF8" w:rsidRDefault="00A80CF8" w:rsidP="00A80CF8">
      <w:pPr>
        <w:autoSpaceDE w:val="0"/>
        <w:autoSpaceDN w:val="0"/>
        <w:adjustRightInd w:val="0"/>
        <w:rPr>
          <w:rFonts w:eastAsia="Calibri"/>
          <w:szCs w:val="22"/>
        </w:rPr>
      </w:pPr>
    </w:p>
    <w:p w14:paraId="69968A29" w14:textId="77777777" w:rsidR="00A80CF8" w:rsidRPr="00396DCB" w:rsidRDefault="00A80CF8" w:rsidP="00A80CF8">
      <w:pPr>
        <w:autoSpaceDE w:val="0"/>
        <w:autoSpaceDN w:val="0"/>
        <w:adjustRightInd w:val="0"/>
        <w:rPr>
          <w:rFonts w:eastAsia="Calibri"/>
          <w:szCs w:val="22"/>
          <w:u w:val="single"/>
        </w:rPr>
      </w:pPr>
      <w:r w:rsidRPr="00396DCB">
        <w:rPr>
          <w:rFonts w:eastAsia="Calibri"/>
          <w:szCs w:val="22"/>
          <w:u w:val="single"/>
        </w:rPr>
        <w:t>Nemelanominis odos vėžys</w:t>
      </w:r>
    </w:p>
    <w:p w14:paraId="4F3F266D" w14:textId="77777777" w:rsidR="00A80CF8" w:rsidRPr="00D724AC" w:rsidRDefault="00A80CF8" w:rsidP="00A80CF8">
      <w:pPr>
        <w:autoSpaceDE w:val="0"/>
        <w:autoSpaceDN w:val="0"/>
        <w:adjustRightInd w:val="0"/>
        <w:rPr>
          <w:rFonts w:eastAsia="Calibri"/>
          <w:szCs w:val="22"/>
        </w:rPr>
      </w:pPr>
      <w:r w:rsidRPr="00D724AC">
        <w:rPr>
          <w:rFonts w:eastAsia="Calibri"/>
          <w:szCs w:val="22"/>
        </w:rPr>
        <w:t>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w:t>
      </w:r>
    </w:p>
    <w:p w14:paraId="44B21424" w14:textId="77777777" w:rsidR="00A80CF8" w:rsidRPr="00D724AC" w:rsidRDefault="00A80CF8" w:rsidP="00A80CF8">
      <w:pPr>
        <w:autoSpaceDE w:val="0"/>
        <w:autoSpaceDN w:val="0"/>
        <w:adjustRightInd w:val="0"/>
        <w:rPr>
          <w:rFonts w:eastAsia="Calibri"/>
          <w:szCs w:val="22"/>
        </w:rPr>
      </w:pPr>
      <w:r w:rsidRPr="00D724AC">
        <w:rPr>
          <w:rFonts w:eastAsia="Calibri"/>
          <w:szCs w:val="22"/>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7EBB7C2C" w14:textId="77777777" w:rsidR="00A80CF8" w:rsidRPr="00D724AC" w:rsidRDefault="00A80CF8" w:rsidP="00A80CF8">
      <w:pPr>
        <w:autoSpaceDE w:val="0"/>
        <w:autoSpaceDN w:val="0"/>
        <w:adjustRightInd w:val="0"/>
        <w:rPr>
          <w:rFonts w:eastAsia="Calibri"/>
          <w:szCs w:val="22"/>
        </w:rPr>
      </w:pPr>
    </w:p>
    <w:p w14:paraId="79978EAE" w14:textId="77777777" w:rsidR="00A80CF8" w:rsidRDefault="00A80CF8" w:rsidP="00A80CF8">
      <w:pPr>
        <w:autoSpaceDE w:val="0"/>
        <w:autoSpaceDN w:val="0"/>
        <w:adjustRightInd w:val="0"/>
        <w:rPr>
          <w:rFonts w:eastAsia="Calibri"/>
          <w:szCs w:val="22"/>
        </w:rPr>
      </w:pPr>
      <w:r w:rsidRPr="00D724AC">
        <w:rPr>
          <w:rFonts w:eastAsia="Calibri"/>
          <w:szCs w:val="22"/>
        </w:rPr>
        <w:t>Šio vaistinio preparato sudėtyje yra laktozės</w:t>
      </w:r>
      <w:r>
        <w:rPr>
          <w:rFonts w:eastAsia="Calibri"/>
          <w:szCs w:val="22"/>
        </w:rPr>
        <w:t>.</w:t>
      </w:r>
      <w:r w:rsidRPr="00D724AC">
        <w:rPr>
          <w:rFonts w:eastAsia="Calibri"/>
          <w:szCs w:val="22"/>
        </w:rPr>
        <w:t xml:space="preserve"> </w:t>
      </w:r>
      <w:r>
        <w:rPr>
          <w:rFonts w:eastAsia="Calibri"/>
          <w:szCs w:val="22"/>
        </w:rPr>
        <w:t>Šio vaistinio preparato</w:t>
      </w:r>
      <w:r w:rsidRPr="00D724AC">
        <w:rPr>
          <w:rFonts w:eastAsia="Calibri"/>
          <w:szCs w:val="22"/>
        </w:rPr>
        <w:t xml:space="preserve"> negalima vartoti pacientams, kuriems nustatytas retas paveldimas sutrikimas - galaktozės netoleravimas, </w:t>
      </w:r>
      <w:r>
        <w:rPr>
          <w:rFonts w:eastAsia="Calibri"/>
          <w:iCs/>
          <w:szCs w:val="22"/>
        </w:rPr>
        <w:t>visiškas</w:t>
      </w:r>
      <w:r w:rsidRPr="00D724AC">
        <w:rPr>
          <w:rFonts w:eastAsia="Calibri"/>
          <w:i/>
          <w:iCs/>
          <w:szCs w:val="22"/>
        </w:rPr>
        <w:t xml:space="preserve"> </w:t>
      </w:r>
      <w:r w:rsidRPr="00D724AC">
        <w:rPr>
          <w:rFonts w:eastAsia="Calibri"/>
          <w:szCs w:val="22"/>
        </w:rPr>
        <w:t>laktazės stygius arba gliukozės ir galaktozės malabsorbcija.</w:t>
      </w:r>
    </w:p>
    <w:p w14:paraId="46499C3A" w14:textId="77777777" w:rsidR="00A80CF8" w:rsidRDefault="00A80CF8" w:rsidP="00A80CF8">
      <w:pPr>
        <w:autoSpaceDE w:val="0"/>
        <w:autoSpaceDN w:val="0"/>
        <w:adjustRightInd w:val="0"/>
        <w:rPr>
          <w:rFonts w:eastAsia="Calibri"/>
          <w:szCs w:val="22"/>
        </w:rPr>
      </w:pPr>
    </w:p>
    <w:p w14:paraId="10FB3005" w14:textId="77777777" w:rsidR="00A80CF8" w:rsidRPr="00D724AC" w:rsidRDefault="00A80CF8" w:rsidP="00A80CF8">
      <w:pPr>
        <w:autoSpaceDE w:val="0"/>
        <w:autoSpaceDN w:val="0"/>
        <w:adjustRightInd w:val="0"/>
        <w:rPr>
          <w:rFonts w:eastAsia="Calibri"/>
          <w:szCs w:val="22"/>
        </w:rPr>
      </w:pPr>
      <w:r>
        <w:rPr>
          <w:rFonts w:eastAsia="Calibri"/>
          <w:szCs w:val="22"/>
        </w:rPr>
        <w:t>Šio vaistinio preparato tabletėje yra mažiau kaip 1 mmol (23 mg) natrio, t. y. jis beveik neturi reikšmės.</w:t>
      </w:r>
    </w:p>
    <w:p w14:paraId="0F6DE638" w14:textId="77777777" w:rsidR="00A80CF8" w:rsidRPr="00D724AC" w:rsidRDefault="00A80CF8" w:rsidP="00A80CF8">
      <w:pPr>
        <w:tabs>
          <w:tab w:val="left" w:pos="567"/>
        </w:tabs>
        <w:spacing w:line="260" w:lineRule="exact"/>
        <w:rPr>
          <w:snapToGrid w:val="0"/>
          <w:szCs w:val="22"/>
          <w:lang w:eastAsia="en-US"/>
        </w:rPr>
      </w:pPr>
    </w:p>
    <w:p w14:paraId="0625A0E1" w14:textId="77777777" w:rsidR="00A80CF8" w:rsidRPr="00D724AC" w:rsidRDefault="00A80CF8" w:rsidP="00A80CF8">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4.5</w:t>
      </w:r>
      <w:r w:rsidRPr="00D724AC">
        <w:rPr>
          <w:b/>
          <w:bCs/>
          <w:snapToGrid w:val="0"/>
          <w:szCs w:val="22"/>
          <w:lang w:eastAsia="x-none"/>
        </w:rPr>
        <w:tab/>
        <w:t>Sąveika su kitais vaistiniais preparatais ir kitokia sąveika</w:t>
      </w:r>
    </w:p>
    <w:p w14:paraId="6C99837E" w14:textId="77777777" w:rsidR="00A80CF8" w:rsidRPr="00D724AC" w:rsidRDefault="00A80CF8" w:rsidP="00A80CF8">
      <w:pPr>
        <w:tabs>
          <w:tab w:val="left" w:pos="567"/>
        </w:tabs>
        <w:spacing w:line="260" w:lineRule="exact"/>
        <w:rPr>
          <w:snapToGrid w:val="0"/>
          <w:szCs w:val="22"/>
          <w:lang w:eastAsia="en-US"/>
        </w:rPr>
      </w:pPr>
    </w:p>
    <w:p w14:paraId="58567BF9" w14:textId="77777777" w:rsidR="00A80CF8" w:rsidRPr="00D724AC" w:rsidRDefault="00A80CF8" w:rsidP="00A80CF8">
      <w:pPr>
        <w:autoSpaceDE w:val="0"/>
        <w:autoSpaceDN w:val="0"/>
        <w:adjustRightInd w:val="0"/>
        <w:rPr>
          <w:rFonts w:eastAsia="Calibri"/>
          <w:szCs w:val="22"/>
        </w:rPr>
      </w:pPr>
      <w:r w:rsidRPr="00D724AC">
        <w:rPr>
          <w:rFonts w:eastAsia="Calibri"/>
          <w:szCs w:val="22"/>
          <w:u w:val="single"/>
        </w:rPr>
        <w:t>Kiti antihipertenziniai vaistiniai preparatai.</w:t>
      </w:r>
      <w:r w:rsidRPr="00D724AC">
        <w:rPr>
          <w:rFonts w:eastAsia="Calibri"/>
          <w:szCs w:val="22"/>
        </w:rPr>
        <w:t xml:space="preserve"> Kartu su kitais antihipertenziniais vaistiniais preparatais vartojamo CONVERIDE kraujospūdį mažinantis poveikis gali sustiprėti. Irbesartanas ir hidrochlorotiazidas (atitinkamai ne didesnėmis kaip 300</w:t>
      </w:r>
      <w:r>
        <w:rPr>
          <w:rFonts w:eastAsia="Calibri"/>
          <w:szCs w:val="22"/>
        </w:rPr>
        <w:t> mg</w:t>
      </w:r>
      <w:r w:rsidRPr="00D724AC">
        <w:rPr>
          <w:rFonts w:eastAsia="Calibri"/>
          <w:szCs w:val="22"/>
        </w:rPr>
        <w:t xml:space="preserve"> ir 25</w:t>
      </w:r>
      <w:r>
        <w:rPr>
          <w:rFonts w:eastAsia="Calibri"/>
          <w:szCs w:val="22"/>
        </w:rPr>
        <w:t> mg</w:t>
      </w:r>
      <w:r w:rsidRPr="00D724AC">
        <w:rPr>
          <w:rFonts w:eastAsia="Calibri"/>
          <w:szCs w:val="22"/>
        </w:rPr>
        <w:t xml:space="preserve"> dozėmis) buvo saugiai vartoti kartu su kitais antihipertenziniais vaistiniais preparatais, įskaitant kalcio kanalų ir beta adrenoreceptorių blokatorius. Pacientų, kurie prieš gydymą vartojo didelę diuretikų dozę, organizme gali būti sumažėjęs skysčių kiekis, todėl jiems pradedant gydymą irbesartanu tiek kartu su tiazidiniais diuretikais, tiek be jų, gresia didesnis hipotenzijos pavojus (žr. 4.4 skyrių), nebent prieš tai skysčių trūkumas pašalinamas.</w:t>
      </w:r>
    </w:p>
    <w:p w14:paraId="08DEDB66" w14:textId="77777777" w:rsidR="00A80CF8" w:rsidRPr="00D724AC" w:rsidRDefault="00A80CF8" w:rsidP="00A80CF8">
      <w:pPr>
        <w:autoSpaceDE w:val="0"/>
        <w:autoSpaceDN w:val="0"/>
        <w:adjustRightInd w:val="0"/>
        <w:rPr>
          <w:rFonts w:eastAsia="Calibri"/>
          <w:szCs w:val="22"/>
        </w:rPr>
      </w:pPr>
    </w:p>
    <w:p w14:paraId="689386A8" w14:textId="77777777" w:rsidR="00A80CF8" w:rsidRPr="00D724AC" w:rsidRDefault="00A80CF8" w:rsidP="00A80CF8">
      <w:pPr>
        <w:rPr>
          <w:i/>
          <w:iCs/>
          <w:szCs w:val="22"/>
          <w:u w:val="single"/>
        </w:rPr>
      </w:pPr>
      <w:r w:rsidRPr="00D724AC">
        <w:rPr>
          <w:szCs w:val="22"/>
          <w:u w:val="single"/>
        </w:rPr>
        <w:t>Vaistiniai preparatai, kurių sudėtyje yra aliskireno arba AKF inhibitoriai</w:t>
      </w:r>
      <w:r w:rsidRPr="00D724AC">
        <w:rPr>
          <w:szCs w:val="22"/>
        </w:rPr>
        <w:t>. Klinikinių tyrimų duomenys rodo, kad AKF inhibitorių, angiotenzino II receptorių blokatorių ar aliskireno vartojimo kartu sukeltas dvigubas RAAS nuslopinimas yra susijęs su nepageidaujamų reiškinių, tokių, kaip hipotenzija, hiperkalemija ir inkstų funkcijos susilpnėjimas (įskaitant ūminį inkstų nepakankamumą), dažnio padidėjimu, palyginus su vienos RAAS veikiančios medžiagos vartojimu (žr. 4.3, 4.4 ir 5.1 skyrius).</w:t>
      </w:r>
    </w:p>
    <w:p w14:paraId="7EA1DA7B" w14:textId="77777777" w:rsidR="00A80CF8" w:rsidRPr="00D724AC" w:rsidRDefault="00A80CF8" w:rsidP="00A80CF8">
      <w:pPr>
        <w:autoSpaceDE w:val="0"/>
        <w:autoSpaceDN w:val="0"/>
        <w:adjustRightInd w:val="0"/>
        <w:rPr>
          <w:rFonts w:eastAsia="Calibri"/>
          <w:szCs w:val="22"/>
        </w:rPr>
      </w:pPr>
    </w:p>
    <w:p w14:paraId="22479FC4" w14:textId="77777777" w:rsidR="00A80CF8" w:rsidRPr="00D724AC" w:rsidRDefault="00A80CF8" w:rsidP="00A80CF8">
      <w:pPr>
        <w:autoSpaceDE w:val="0"/>
        <w:autoSpaceDN w:val="0"/>
        <w:adjustRightInd w:val="0"/>
        <w:rPr>
          <w:rFonts w:eastAsia="Calibri"/>
          <w:szCs w:val="22"/>
        </w:rPr>
      </w:pPr>
      <w:r w:rsidRPr="00D724AC">
        <w:rPr>
          <w:rFonts w:eastAsia="Calibri"/>
          <w:szCs w:val="22"/>
        </w:rPr>
        <w:t>Pacientams, kurie serga cukriniu diabetu arba kuriems yra vidutinio sunkumo ar sunkus inkstų funkcijos sutrikimas (GFG &lt;60</w:t>
      </w:r>
      <w:r>
        <w:rPr>
          <w:rFonts w:eastAsia="Calibri"/>
          <w:szCs w:val="22"/>
        </w:rPr>
        <w:t> </w:t>
      </w:r>
      <w:r w:rsidRPr="00D724AC">
        <w:rPr>
          <w:rFonts w:eastAsia="Calibri"/>
          <w:szCs w:val="22"/>
        </w:rPr>
        <w:t>ml/min./1,73</w:t>
      </w:r>
      <w:r>
        <w:rPr>
          <w:rFonts w:eastAsia="Calibri"/>
          <w:szCs w:val="22"/>
        </w:rPr>
        <w:t> </w:t>
      </w:r>
      <w:r w:rsidRPr="00D724AC">
        <w:rPr>
          <w:rFonts w:eastAsia="Calibri"/>
          <w:szCs w:val="22"/>
        </w:rPr>
        <w:t>m²), CONVERIDE vartoti kartu su vaistiniais preparatais, kurių sudėtyje yra aliskireno, negalima, o kitiems pacientams – nerekomenduojama.</w:t>
      </w:r>
    </w:p>
    <w:p w14:paraId="30C8D814" w14:textId="77777777" w:rsidR="00A80CF8" w:rsidRPr="00D724AC" w:rsidRDefault="00A80CF8" w:rsidP="00A80CF8">
      <w:pPr>
        <w:autoSpaceDE w:val="0"/>
        <w:autoSpaceDN w:val="0"/>
        <w:adjustRightInd w:val="0"/>
        <w:rPr>
          <w:rFonts w:eastAsia="Calibri"/>
          <w:szCs w:val="22"/>
        </w:rPr>
      </w:pPr>
    </w:p>
    <w:p w14:paraId="241641BF" w14:textId="77777777" w:rsidR="00A80CF8" w:rsidRPr="00D724AC" w:rsidRDefault="00A80CF8" w:rsidP="00A80CF8">
      <w:pPr>
        <w:autoSpaceDE w:val="0"/>
        <w:autoSpaceDN w:val="0"/>
        <w:adjustRightInd w:val="0"/>
        <w:rPr>
          <w:rFonts w:eastAsia="Calibri"/>
          <w:szCs w:val="22"/>
        </w:rPr>
      </w:pPr>
      <w:r w:rsidRPr="00D724AC">
        <w:rPr>
          <w:rFonts w:eastAsia="Calibri"/>
          <w:szCs w:val="22"/>
          <w:u w:val="single"/>
        </w:rPr>
        <w:lastRenderedPageBreak/>
        <w:t>Litis.</w:t>
      </w:r>
      <w:r w:rsidRPr="00D724AC">
        <w:rPr>
          <w:rFonts w:eastAsia="Calibri"/>
          <w:szCs w:val="22"/>
        </w:rPr>
        <w:t xml:space="preserve"> Ličio preparatų vartojant kartu su angiotenziną konvertuojančio fermento inhibitoriais, gali laikinai padidėti ličio koncentracija kraujo serume ir dėl to sustiprėti jo toksinis poveikis. Iki šiol tik labai retais atvejais tokia sąveika pasireiškė ir su irbesartanu. Tiazidiniai diuretikai mažina ličio inkstinį klirensą, todėl vartojant CONVERIDE yra didesnė toksinio ličio poveikio tikimybė. Vadinasi, ličio preparatų kartu su CONVERIDE vartoti nerekomenduojama (žr. 4.4 skyrių). Jei tai būtina, patariama atidžiai stebėti ličio koncentraciją kraujo serume.</w:t>
      </w:r>
    </w:p>
    <w:p w14:paraId="04E504FF" w14:textId="77777777" w:rsidR="00A80CF8" w:rsidRPr="00D724AC" w:rsidRDefault="00A80CF8" w:rsidP="00A80CF8">
      <w:pPr>
        <w:autoSpaceDE w:val="0"/>
        <w:autoSpaceDN w:val="0"/>
        <w:adjustRightInd w:val="0"/>
        <w:rPr>
          <w:rFonts w:eastAsia="Calibri"/>
          <w:szCs w:val="22"/>
        </w:rPr>
      </w:pPr>
    </w:p>
    <w:p w14:paraId="60FD5E7C" w14:textId="77777777" w:rsidR="00A80CF8" w:rsidRPr="00D724AC" w:rsidRDefault="00A80CF8" w:rsidP="00A80CF8">
      <w:pPr>
        <w:autoSpaceDE w:val="0"/>
        <w:autoSpaceDN w:val="0"/>
        <w:adjustRightInd w:val="0"/>
        <w:rPr>
          <w:rFonts w:eastAsia="Calibri"/>
          <w:szCs w:val="22"/>
        </w:rPr>
      </w:pPr>
      <w:r w:rsidRPr="00D724AC">
        <w:rPr>
          <w:rFonts w:eastAsia="Calibri"/>
          <w:szCs w:val="22"/>
          <w:u w:val="single"/>
        </w:rPr>
        <w:t>Vaistiniai preparatai, keičiantys kalio kiekį organizme.</w:t>
      </w:r>
      <w:r w:rsidRPr="00D724AC">
        <w:rPr>
          <w:rFonts w:eastAsia="Calibri"/>
          <w:szCs w:val="22"/>
        </w:rPr>
        <w:t xml:space="preserve"> Hidrochlorotiazido sukeliamą kalio kiekio mažėjimą organizme kompensuoja kalį tausojantis irbesartano poveikis. Vis dėlto hidrochlorotiazido sukeliamą kalio mažėjimą organizme tikėtina skatina kiti kartu vartojami vaistiniai preparatai, didinantys kalio išskyrimą ir sukeliantys hipokalemiją (pavyzdžiui, kalio išskyrimą didinantys diuretikai, vidurių laisvinamieji vaistai, amfotericinas, karbenoksolonas, penicilino G natrio druska). Priešingai, jei kartu su renino ir angiotenzino sistemą slopinančiais vaistiniais preparatais vartojama kalį organizme sulaikančių diuretikų, kalio papildų, druskų papildų, kuriuose yra kalio, ar kitų kalio kiekį kraujo serume didinančių vaistinių preparatų (pvz., heparino natrio druskos), kalio kiekis kraujo serume gali padidėti. Rekomenduojama atitinkamai stebėti rizikos grupei priklausančių pacientų kalio koncentraciją kraujo serume (žr. 4.4 skyrių).</w:t>
      </w:r>
    </w:p>
    <w:p w14:paraId="731EAF8F" w14:textId="77777777" w:rsidR="00A80CF8" w:rsidRPr="00D724AC" w:rsidRDefault="00A80CF8" w:rsidP="00A80CF8">
      <w:pPr>
        <w:autoSpaceDE w:val="0"/>
        <w:autoSpaceDN w:val="0"/>
        <w:adjustRightInd w:val="0"/>
        <w:rPr>
          <w:rFonts w:eastAsia="Calibri"/>
          <w:szCs w:val="22"/>
        </w:rPr>
      </w:pPr>
    </w:p>
    <w:p w14:paraId="7B41EC18" w14:textId="77777777" w:rsidR="00A80CF8" w:rsidRPr="00D724AC" w:rsidRDefault="00A80CF8" w:rsidP="00A80CF8">
      <w:pPr>
        <w:autoSpaceDE w:val="0"/>
        <w:autoSpaceDN w:val="0"/>
        <w:adjustRightInd w:val="0"/>
        <w:rPr>
          <w:rFonts w:eastAsia="Calibri"/>
          <w:szCs w:val="22"/>
        </w:rPr>
      </w:pPr>
      <w:r w:rsidRPr="00D724AC">
        <w:rPr>
          <w:rFonts w:eastAsia="Calibri"/>
          <w:szCs w:val="22"/>
          <w:u w:val="single"/>
        </w:rPr>
        <w:t>Vaistiniai preparatai, kurių poveikiui turi įtakos kalio kiekio organizme pokyčiai.</w:t>
      </w:r>
      <w:r w:rsidRPr="00D724AC">
        <w:rPr>
          <w:rFonts w:eastAsia="Calibri"/>
          <w:szCs w:val="22"/>
        </w:rPr>
        <w:t xml:space="preserve"> Jei CONVERIDE vartojamas kartu su vaistiniais preparatais, kurių poveikiui turi įtakos kalio kiekio serume pokyčiai (pvz., rusmenės glikozidais, antiaritminiais vaistiniais preparatais), reikia stebėti kalio kiekį kraujo serume.</w:t>
      </w:r>
    </w:p>
    <w:p w14:paraId="2B0B4B55" w14:textId="77777777" w:rsidR="00A80CF8" w:rsidRPr="00D724AC" w:rsidRDefault="00A80CF8" w:rsidP="00A80CF8">
      <w:pPr>
        <w:autoSpaceDE w:val="0"/>
        <w:autoSpaceDN w:val="0"/>
        <w:adjustRightInd w:val="0"/>
        <w:rPr>
          <w:rFonts w:eastAsia="Calibri"/>
          <w:szCs w:val="22"/>
        </w:rPr>
      </w:pPr>
    </w:p>
    <w:p w14:paraId="6B55C408" w14:textId="77777777" w:rsidR="00A80CF8" w:rsidRPr="00D724AC" w:rsidRDefault="00A80CF8" w:rsidP="00A80CF8">
      <w:pPr>
        <w:autoSpaceDE w:val="0"/>
        <w:autoSpaceDN w:val="0"/>
        <w:adjustRightInd w:val="0"/>
        <w:rPr>
          <w:rFonts w:eastAsia="Calibri"/>
          <w:szCs w:val="22"/>
        </w:rPr>
      </w:pPr>
      <w:r w:rsidRPr="00D724AC">
        <w:rPr>
          <w:rFonts w:eastAsia="Calibri"/>
          <w:szCs w:val="22"/>
          <w:u w:val="single"/>
        </w:rPr>
        <w:t>Nesteroidiniai vaistai nuo uždegimo (NVNU).</w:t>
      </w:r>
      <w:r w:rsidRPr="00D724AC">
        <w:rPr>
          <w:rFonts w:eastAsia="Calibri"/>
          <w:szCs w:val="22"/>
        </w:rPr>
        <w:t xml:space="preserve"> Vartojant angiotenzino II blokatorius kartu su nesteroidiniais vaistais nuo uždegimo (pvz., selektyviais COX-2 inhibitoriais, acetilsalicilo rūgštimi (&gt;3 g per parą) bei neselektyviais NVNU), gali būti stebimas antihipertenzinio poveikio sumažėjimas. </w:t>
      </w:r>
    </w:p>
    <w:p w14:paraId="544E6409" w14:textId="77777777" w:rsidR="00A80CF8" w:rsidRPr="00D724AC" w:rsidRDefault="00A80CF8" w:rsidP="00A80CF8">
      <w:pPr>
        <w:autoSpaceDE w:val="0"/>
        <w:autoSpaceDN w:val="0"/>
        <w:adjustRightInd w:val="0"/>
        <w:rPr>
          <w:rFonts w:eastAsia="Calibri"/>
          <w:szCs w:val="22"/>
        </w:rPr>
      </w:pPr>
    </w:p>
    <w:p w14:paraId="5E60944B" w14:textId="77777777" w:rsidR="00A80CF8" w:rsidRPr="00D724AC" w:rsidRDefault="00A80CF8" w:rsidP="00A80CF8">
      <w:pPr>
        <w:autoSpaceDE w:val="0"/>
        <w:autoSpaceDN w:val="0"/>
        <w:adjustRightInd w:val="0"/>
        <w:rPr>
          <w:rFonts w:eastAsia="Calibri"/>
          <w:szCs w:val="22"/>
        </w:rPr>
      </w:pPr>
      <w:r w:rsidRPr="00D724AC">
        <w:rPr>
          <w:rFonts w:eastAsia="Calibri"/>
          <w:szCs w:val="22"/>
        </w:rPr>
        <w:t xml:space="preserve">Kaip ir su AKF inhibitoriais, angiotenzino II blokatorių vartojimas kartu su NVNU gali skatinti inkstų funkcijos pablogėjimą (net iki ūminio inkstų nepakankamumo) bei kalio kiekio padidėjimą kraujo serume, ypač tiems pacientams, kurių inkstų funkcija ir taip bloga. Tokį derinį reikia skirti atsargiai, ypač senyviems žmonėms. Pacientai turi gauti pakankamai skysčių, o inkstų funkciją reikia stebėti ne tik pradėjus tokį gydymą, bet ir periodiškai po to. </w:t>
      </w:r>
    </w:p>
    <w:p w14:paraId="3A25F815" w14:textId="77777777" w:rsidR="00A80CF8" w:rsidRDefault="00A80CF8" w:rsidP="00A80CF8">
      <w:pPr>
        <w:autoSpaceDE w:val="0"/>
        <w:autoSpaceDN w:val="0"/>
        <w:adjustRightInd w:val="0"/>
        <w:rPr>
          <w:rFonts w:eastAsia="Calibri"/>
          <w:szCs w:val="22"/>
        </w:rPr>
      </w:pPr>
    </w:p>
    <w:p w14:paraId="5DAB1A9D" w14:textId="77777777" w:rsidR="00A80CF8" w:rsidRDefault="00A80CF8" w:rsidP="00A80CF8">
      <w:pPr>
        <w:autoSpaceDE w:val="0"/>
        <w:autoSpaceDN w:val="0"/>
        <w:adjustRightInd w:val="0"/>
        <w:rPr>
          <w:rFonts w:eastAsia="Calibri"/>
          <w:szCs w:val="22"/>
        </w:rPr>
      </w:pPr>
      <w:r w:rsidRPr="006B4FD2">
        <w:rPr>
          <w:rFonts w:eastAsia="Calibri"/>
          <w:szCs w:val="22"/>
          <w:u w:val="single"/>
        </w:rPr>
        <w:t>Repaglinidas.</w:t>
      </w:r>
      <w:r w:rsidRPr="006B4FD2">
        <w:rPr>
          <w:rFonts w:eastAsia="Calibri"/>
          <w:szCs w:val="22"/>
        </w:rPr>
        <w:t xml:space="preserve"> Irbesartanas gali slopinti OATP1B1. Klinikinio tyrimo metu pranešta, kad irbesartanas, skirtas likus 1 valandai iki repaglinido vartojimo, didino repaglinido (OATP1B1 substrato) C</w:t>
      </w:r>
      <w:r w:rsidRPr="006B4FD2">
        <w:rPr>
          <w:rFonts w:eastAsia="Calibri"/>
          <w:szCs w:val="22"/>
          <w:vertAlign w:val="subscript"/>
        </w:rPr>
        <w:t>max</w:t>
      </w:r>
      <w:r w:rsidRPr="006B4FD2">
        <w:rPr>
          <w:rFonts w:eastAsia="Calibri"/>
          <w:szCs w:val="22"/>
        </w:rPr>
        <w:t xml:space="preserve"> ir AUC atitinkamai 1,8 karto ir 1,3 karto. Kito tyrimo metu apie reikšmingą farmakokinetinę sąveiką kartu vartojant abu vaistinius preparatus nepranešta. Dėl to gali reikėti koreguoti antidiabetinių vaistinių preparatų, tokių kaip repaglinidas, dozę (žr. 4.4 skyrių).</w:t>
      </w:r>
    </w:p>
    <w:p w14:paraId="0828E2D6" w14:textId="77777777" w:rsidR="00A80CF8" w:rsidRPr="00D724AC" w:rsidRDefault="00A80CF8" w:rsidP="00A80CF8">
      <w:pPr>
        <w:autoSpaceDE w:val="0"/>
        <w:autoSpaceDN w:val="0"/>
        <w:adjustRightInd w:val="0"/>
        <w:rPr>
          <w:rFonts w:eastAsia="Calibri"/>
          <w:szCs w:val="22"/>
        </w:rPr>
      </w:pPr>
    </w:p>
    <w:p w14:paraId="2392F181" w14:textId="77777777" w:rsidR="00A80CF8" w:rsidRPr="00D724AC" w:rsidRDefault="00A80CF8" w:rsidP="00A80CF8">
      <w:pPr>
        <w:autoSpaceDE w:val="0"/>
        <w:autoSpaceDN w:val="0"/>
        <w:adjustRightInd w:val="0"/>
        <w:rPr>
          <w:rFonts w:eastAsia="Calibri"/>
          <w:szCs w:val="22"/>
        </w:rPr>
      </w:pPr>
      <w:r w:rsidRPr="00D724AC">
        <w:rPr>
          <w:rFonts w:eastAsia="Calibri"/>
          <w:szCs w:val="22"/>
          <w:u w:val="single"/>
        </w:rPr>
        <w:t>Papildoma informacija apie irbesartano sąveiką.</w:t>
      </w:r>
      <w:r w:rsidRPr="00D724AC">
        <w:rPr>
          <w:rFonts w:eastAsia="Calibri"/>
          <w:szCs w:val="22"/>
        </w:rPr>
        <w:t xml:space="preserve"> Klinikiniais tyrimais nustatyta, kad hidrochlorotiazidas irbesartano farmakokinetikai įtakos nedaro. Didžiausia irbesartano dalis metabolizuojama CYP2C9, mažesnė - gliukuronizacijos būdu. Irbesartano vartojant kartu su varfarinu, kurį metabolizuoja CYP2C9, reikšmingos farmakokinetinės ir farmakodinaminės sąveikos nenustatyta. CYP2C9 induktorių, tokių kaip rifampicinas, įtaka irbesartano farmakokinetikai vertinta nebuvo. Kartu su irbesartanu vartojamo digoksino farmakokinetika nepakito. </w:t>
      </w:r>
    </w:p>
    <w:p w14:paraId="57479975" w14:textId="77777777" w:rsidR="00A80CF8" w:rsidRPr="00D724AC" w:rsidRDefault="00A80CF8" w:rsidP="00A80CF8">
      <w:pPr>
        <w:autoSpaceDE w:val="0"/>
        <w:autoSpaceDN w:val="0"/>
        <w:adjustRightInd w:val="0"/>
        <w:rPr>
          <w:rFonts w:eastAsia="Calibri"/>
          <w:szCs w:val="22"/>
        </w:rPr>
      </w:pPr>
    </w:p>
    <w:p w14:paraId="70D71529" w14:textId="77777777" w:rsidR="00A80CF8" w:rsidRPr="00D724AC" w:rsidRDefault="00A80CF8" w:rsidP="00A80CF8">
      <w:pPr>
        <w:autoSpaceDE w:val="0"/>
        <w:autoSpaceDN w:val="0"/>
        <w:adjustRightInd w:val="0"/>
        <w:rPr>
          <w:rFonts w:eastAsia="Calibri"/>
          <w:szCs w:val="22"/>
        </w:rPr>
      </w:pPr>
      <w:r w:rsidRPr="00D724AC">
        <w:rPr>
          <w:rFonts w:eastAsia="Calibri"/>
          <w:szCs w:val="22"/>
          <w:u w:val="single"/>
        </w:rPr>
        <w:t>Papildoma informacija apie hidrochlorotiazido sąveiką.</w:t>
      </w:r>
      <w:r w:rsidRPr="00D724AC">
        <w:rPr>
          <w:rFonts w:eastAsia="Calibri"/>
          <w:szCs w:val="22"/>
        </w:rPr>
        <w:t xml:space="preserve"> Kartu vartojant su tiazidiniais diuretikais gali sąveikauti toliau išvardyti vaistiniai preparatai.</w:t>
      </w:r>
    </w:p>
    <w:p w14:paraId="0653C92C" w14:textId="77777777" w:rsidR="00A80CF8" w:rsidRPr="00D724AC" w:rsidRDefault="00A80CF8" w:rsidP="00A80CF8">
      <w:pPr>
        <w:autoSpaceDE w:val="0"/>
        <w:autoSpaceDN w:val="0"/>
        <w:adjustRightInd w:val="0"/>
        <w:rPr>
          <w:rFonts w:eastAsia="Calibri"/>
          <w:szCs w:val="22"/>
        </w:rPr>
      </w:pPr>
    </w:p>
    <w:p w14:paraId="57595973" w14:textId="77777777" w:rsidR="00A80CF8" w:rsidRPr="00D724AC" w:rsidRDefault="00A80CF8" w:rsidP="00A80CF8">
      <w:pPr>
        <w:autoSpaceDE w:val="0"/>
        <w:autoSpaceDN w:val="0"/>
        <w:adjustRightInd w:val="0"/>
        <w:rPr>
          <w:rFonts w:eastAsia="Calibri"/>
          <w:szCs w:val="22"/>
        </w:rPr>
      </w:pPr>
      <w:r w:rsidRPr="00D724AC">
        <w:rPr>
          <w:rFonts w:eastAsia="Calibri"/>
          <w:i/>
          <w:iCs/>
          <w:szCs w:val="22"/>
        </w:rPr>
        <w:t xml:space="preserve">Alkoholis. </w:t>
      </w:r>
      <w:r w:rsidRPr="00D724AC">
        <w:rPr>
          <w:rFonts w:eastAsia="Calibri"/>
          <w:szCs w:val="22"/>
        </w:rPr>
        <w:t>Gali sustiprėti ortostatinė hipotenzija.</w:t>
      </w:r>
    </w:p>
    <w:p w14:paraId="19C98106" w14:textId="77777777" w:rsidR="00A80CF8" w:rsidRPr="00D724AC" w:rsidRDefault="00A80CF8" w:rsidP="00A80CF8">
      <w:pPr>
        <w:autoSpaceDE w:val="0"/>
        <w:autoSpaceDN w:val="0"/>
        <w:adjustRightInd w:val="0"/>
        <w:rPr>
          <w:rFonts w:eastAsia="Calibri"/>
          <w:szCs w:val="22"/>
        </w:rPr>
      </w:pPr>
    </w:p>
    <w:p w14:paraId="62677A66" w14:textId="77777777" w:rsidR="00A80CF8" w:rsidRPr="00D724AC" w:rsidRDefault="00A80CF8" w:rsidP="00A80CF8">
      <w:pPr>
        <w:autoSpaceDE w:val="0"/>
        <w:autoSpaceDN w:val="0"/>
        <w:adjustRightInd w:val="0"/>
        <w:rPr>
          <w:rFonts w:eastAsia="Calibri"/>
          <w:szCs w:val="22"/>
        </w:rPr>
      </w:pPr>
      <w:r w:rsidRPr="00D724AC">
        <w:rPr>
          <w:rFonts w:eastAsia="Calibri"/>
          <w:i/>
          <w:iCs/>
          <w:szCs w:val="22"/>
        </w:rPr>
        <w:t xml:space="preserve">Vaistiniai preparatai diabetui gydyti (geriamieji vaistiniai preparatai, insulinas). </w:t>
      </w:r>
      <w:r w:rsidRPr="00D724AC">
        <w:rPr>
          <w:rFonts w:eastAsia="Calibri"/>
          <w:szCs w:val="22"/>
        </w:rPr>
        <w:t>Gali tekti keisti vaistinių preparatų diabetui gydyti dozę (žr. 4.4 skyrių).</w:t>
      </w:r>
    </w:p>
    <w:p w14:paraId="36CF963D" w14:textId="77777777" w:rsidR="00A80CF8" w:rsidRPr="00D724AC" w:rsidRDefault="00A80CF8" w:rsidP="00A80CF8">
      <w:pPr>
        <w:autoSpaceDE w:val="0"/>
        <w:autoSpaceDN w:val="0"/>
        <w:adjustRightInd w:val="0"/>
        <w:rPr>
          <w:rFonts w:eastAsia="Calibri"/>
          <w:szCs w:val="22"/>
        </w:rPr>
      </w:pPr>
    </w:p>
    <w:p w14:paraId="54C36D50" w14:textId="77777777" w:rsidR="00A80CF8" w:rsidRPr="00D724AC" w:rsidRDefault="00A80CF8" w:rsidP="00A80CF8">
      <w:pPr>
        <w:autoSpaceDE w:val="0"/>
        <w:autoSpaceDN w:val="0"/>
        <w:adjustRightInd w:val="0"/>
        <w:rPr>
          <w:rFonts w:eastAsia="Calibri"/>
          <w:szCs w:val="22"/>
        </w:rPr>
      </w:pPr>
      <w:r w:rsidRPr="00D724AC">
        <w:rPr>
          <w:rFonts w:eastAsia="Calibri"/>
          <w:i/>
          <w:iCs/>
          <w:szCs w:val="22"/>
        </w:rPr>
        <w:t xml:space="preserve">Kolestiraminas ir kolestipolio dervos. </w:t>
      </w:r>
      <w:r w:rsidRPr="00D724AC">
        <w:rPr>
          <w:rFonts w:eastAsia="Calibri"/>
          <w:szCs w:val="22"/>
        </w:rPr>
        <w:t>Anijonų mainų dervos sutrikdo kartu vartojamo hidrochlorotiazido absorbciją iš virškinimo trakto. CONVERIDE reikia vartoti mažiausiai prieš vieną valandą arba praėjus keturioms valandoms po šių vaistų vartojimo.</w:t>
      </w:r>
    </w:p>
    <w:p w14:paraId="68457704" w14:textId="77777777" w:rsidR="00A80CF8" w:rsidRPr="00D724AC" w:rsidRDefault="00A80CF8" w:rsidP="00A80CF8">
      <w:pPr>
        <w:autoSpaceDE w:val="0"/>
        <w:autoSpaceDN w:val="0"/>
        <w:adjustRightInd w:val="0"/>
        <w:rPr>
          <w:rFonts w:eastAsia="Calibri"/>
          <w:szCs w:val="22"/>
        </w:rPr>
      </w:pPr>
    </w:p>
    <w:p w14:paraId="4BF3D64E" w14:textId="77777777" w:rsidR="00A80CF8" w:rsidRPr="00D724AC" w:rsidRDefault="00A80CF8" w:rsidP="00A80CF8">
      <w:pPr>
        <w:autoSpaceDE w:val="0"/>
        <w:autoSpaceDN w:val="0"/>
        <w:adjustRightInd w:val="0"/>
        <w:rPr>
          <w:rFonts w:eastAsia="Calibri"/>
          <w:szCs w:val="22"/>
        </w:rPr>
      </w:pPr>
      <w:r w:rsidRPr="00D724AC">
        <w:rPr>
          <w:rFonts w:eastAsia="Calibri"/>
          <w:i/>
          <w:iCs/>
          <w:szCs w:val="22"/>
        </w:rPr>
        <w:t xml:space="preserve">Kortikosteroidai, AKTH. </w:t>
      </w:r>
      <w:r w:rsidRPr="00D724AC">
        <w:rPr>
          <w:rFonts w:eastAsia="Calibri"/>
          <w:szCs w:val="22"/>
        </w:rPr>
        <w:t>Gali sumažėti elektrolitų, ypač kalio, kiekis organizme.</w:t>
      </w:r>
    </w:p>
    <w:p w14:paraId="64713FDB" w14:textId="77777777" w:rsidR="00A80CF8" w:rsidRPr="00D724AC" w:rsidRDefault="00A80CF8" w:rsidP="00A80CF8">
      <w:pPr>
        <w:autoSpaceDE w:val="0"/>
        <w:autoSpaceDN w:val="0"/>
        <w:adjustRightInd w:val="0"/>
        <w:rPr>
          <w:rFonts w:eastAsia="Calibri"/>
          <w:szCs w:val="22"/>
        </w:rPr>
      </w:pPr>
    </w:p>
    <w:p w14:paraId="67ABA65F" w14:textId="77777777" w:rsidR="00A80CF8" w:rsidRPr="00D724AC" w:rsidRDefault="00A80CF8" w:rsidP="00A80CF8">
      <w:pPr>
        <w:autoSpaceDE w:val="0"/>
        <w:autoSpaceDN w:val="0"/>
        <w:adjustRightInd w:val="0"/>
        <w:rPr>
          <w:rFonts w:eastAsia="Calibri"/>
          <w:szCs w:val="22"/>
        </w:rPr>
      </w:pPr>
      <w:r w:rsidRPr="00D724AC">
        <w:rPr>
          <w:rFonts w:eastAsia="Calibri"/>
          <w:i/>
          <w:iCs/>
          <w:szCs w:val="22"/>
        </w:rPr>
        <w:t xml:space="preserve">Rusmenės glikozidai. </w:t>
      </w:r>
      <w:r w:rsidRPr="00D724AC">
        <w:rPr>
          <w:rFonts w:eastAsia="Calibri"/>
          <w:szCs w:val="22"/>
        </w:rPr>
        <w:t>Dėl tiazidų sukeltos hipokalemijos ar hipomagnezemijos gali padidėti rusmenės preparatų sukeliamos aritmijos pasireiškimo pavojus (žr. 4.4 skyrių).</w:t>
      </w:r>
    </w:p>
    <w:p w14:paraId="3F1A8758" w14:textId="77777777" w:rsidR="00A80CF8" w:rsidRPr="00D724AC" w:rsidRDefault="00A80CF8" w:rsidP="00A80CF8">
      <w:pPr>
        <w:autoSpaceDE w:val="0"/>
        <w:autoSpaceDN w:val="0"/>
        <w:adjustRightInd w:val="0"/>
        <w:rPr>
          <w:rFonts w:eastAsia="Calibri"/>
          <w:szCs w:val="22"/>
        </w:rPr>
      </w:pPr>
    </w:p>
    <w:p w14:paraId="77C705F8" w14:textId="77777777" w:rsidR="00A80CF8" w:rsidRPr="00D724AC" w:rsidRDefault="00A80CF8" w:rsidP="00A80CF8">
      <w:pPr>
        <w:autoSpaceDE w:val="0"/>
        <w:autoSpaceDN w:val="0"/>
        <w:adjustRightInd w:val="0"/>
        <w:rPr>
          <w:rFonts w:eastAsia="Calibri"/>
          <w:szCs w:val="22"/>
        </w:rPr>
      </w:pPr>
      <w:r w:rsidRPr="00D724AC">
        <w:rPr>
          <w:rFonts w:eastAsia="Calibri"/>
          <w:i/>
          <w:iCs/>
          <w:szCs w:val="22"/>
        </w:rPr>
        <w:t xml:space="preserve">Nesteroidiniai vaistai nuo uždegimo. </w:t>
      </w:r>
      <w:r w:rsidRPr="00D724AC">
        <w:rPr>
          <w:rFonts w:eastAsia="Calibri"/>
          <w:szCs w:val="22"/>
        </w:rPr>
        <w:t>Kai kuriems ligoniams nesteroidiniai vaistai nuo uždegimo gali silpninti kartu vartojamų tiazidinių diuretikų sukeliamą diurezinį, natrio išskyrimą iš organizmo didinantį ir antihipertenzinį poveikį.</w:t>
      </w:r>
    </w:p>
    <w:p w14:paraId="293CF47B" w14:textId="77777777" w:rsidR="00A80CF8" w:rsidRPr="00D724AC" w:rsidRDefault="00A80CF8" w:rsidP="00A80CF8">
      <w:pPr>
        <w:autoSpaceDE w:val="0"/>
        <w:autoSpaceDN w:val="0"/>
        <w:adjustRightInd w:val="0"/>
        <w:rPr>
          <w:rFonts w:eastAsia="Calibri"/>
          <w:szCs w:val="22"/>
        </w:rPr>
      </w:pPr>
    </w:p>
    <w:p w14:paraId="227BD00D" w14:textId="77777777" w:rsidR="00A80CF8" w:rsidRPr="00D724AC" w:rsidRDefault="00A80CF8" w:rsidP="00A80CF8">
      <w:pPr>
        <w:autoSpaceDE w:val="0"/>
        <w:autoSpaceDN w:val="0"/>
        <w:adjustRightInd w:val="0"/>
        <w:rPr>
          <w:rFonts w:eastAsia="Calibri"/>
          <w:szCs w:val="22"/>
        </w:rPr>
      </w:pPr>
      <w:r w:rsidRPr="00D724AC">
        <w:rPr>
          <w:rFonts w:eastAsia="Calibri"/>
          <w:i/>
          <w:iCs/>
          <w:szCs w:val="22"/>
        </w:rPr>
        <w:t xml:space="preserve">Kraujagysles sutraukiantys aminai (pvz., noradrenalinas). </w:t>
      </w:r>
      <w:r w:rsidRPr="00D724AC">
        <w:rPr>
          <w:rFonts w:eastAsia="Calibri"/>
          <w:szCs w:val="22"/>
        </w:rPr>
        <w:t>Gali silpnėti kraujagysles sutraukiančių aminų poveikis, tačiau ne tiek, kad jų nebūtų galima vartoti.</w:t>
      </w:r>
    </w:p>
    <w:p w14:paraId="02E95380" w14:textId="77777777" w:rsidR="00A80CF8" w:rsidRPr="00D724AC" w:rsidRDefault="00A80CF8" w:rsidP="00A80CF8">
      <w:pPr>
        <w:autoSpaceDE w:val="0"/>
        <w:autoSpaceDN w:val="0"/>
        <w:adjustRightInd w:val="0"/>
        <w:rPr>
          <w:rFonts w:eastAsia="Calibri"/>
          <w:szCs w:val="22"/>
        </w:rPr>
      </w:pPr>
    </w:p>
    <w:p w14:paraId="4C3501A2" w14:textId="77777777" w:rsidR="00A80CF8" w:rsidRPr="00D724AC" w:rsidRDefault="00A80CF8" w:rsidP="00A80CF8">
      <w:pPr>
        <w:autoSpaceDE w:val="0"/>
        <w:autoSpaceDN w:val="0"/>
        <w:adjustRightInd w:val="0"/>
        <w:rPr>
          <w:rFonts w:eastAsia="Calibri"/>
          <w:szCs w:val="22"/>
        </w:rPr>
      </w:pPr>
      <w:r w:rsidRPr="00D724AC">
        <w:rPr>
          <w:rFonts w:eastAsia="Calibri"/>
          <w:i/>
          <w:iCs/>
          <w:szCs w:val="22"/>
        </w:rPr>
        <w:t xml:space="preserve">Nedepoliarizuojantys skeleto raumenų relaksantai (pvz., tubokurarinas). </w:t>
      </w:r>
      <w:r w:rsidRPr="00D724AC">
        <w:rPr>
          <w:rFonts w:eastAsia="Calibri"/>
          <w:szCs w:val="22"/>
        </w:rPr>
        <w:t>Hidrochlorotiazidas gali stiprinti nedepoliarizuojančio poveikio skeleto raumenų relaksantų sukeliamą poveikį.</w:t>
      </w:r>
    </w:p>
    <w:p w14:paraId="288C7D2C" w14:textId="77777777" w:rsidR="00A80CF8" w:rsidRPr="00D724AC" w:rsidRDefault="00A80CF8" w:rsidP="00A80CF8">
      <w:pPr>
        <w:autoSpaceDE w:val="0"/>
        <w:autoSpaceDN w:val="0"/>
        <w:adjustRightInd w:val="0"/>
        <w:rPr>
          <w:rFonts w:eastAsia="Calibri"/>
          <w:szCs w:val="22"/>
        </w:rPr>
      </w:pPr>
    </w:p>
    <w:p w14:paraId="30AAB8E2" w14:textId="77777777" w:rsidR="00A80CF8" w:rsidRPr="00D724AC" w:rsidRDefault="00A80CF8" w:rsidP="00A80CF8">
      <w:pPr>
        <w:autoSpaceDE w:val="0"/>
        <w:autoSpaceDN w:val="0"/>
        <w:adjustRightInd w:val="0"/>
        <w:rPr>
          <w:rFonts w:eastAsia="Calibri"/>
          <w:szCs w:val="22"/>
        </w:rPr>
      </w:pPr>
      <w:r w:rsidRPr="00D724AC">
        <w:rPr>
          <w:rFonts w:eastAsia="Calibri"/>
          <w:i/>
          <w:iCs/>
          <w:szCs w:val="22"/>
        </w:rPr>
        <w:t xml:space="preserve">Vaistiniai preparatai nuo podagros. </w:t>
      </w:r>
      <w:r w:rsidRPr="00D724AC">
        <w:rPr>
          <w:rFonts w:eastAsia="Calibri"/>
          <w:szCs w:val="22"/>
        </w:rPr>
        <w:t>Hidrochlorotiazidas gali padidinti šlapimo rūgšties kiekį kraujo serume, todėl gali reikėti keisti vaistinių preparatų nuo podagros dozę. Gali reikėti didinti probenecido ar sulfinpirazono dozę. Vartojant tiazidinių diuretikų kartu su alopurinoliu, gali dažniau pasireikšti padidėjusio jautrumo alopurinoliui reakcija.</w:t>
      </w:r>
    </w:p>
    <w:p w14:paraId="20837CE9" w14:textId="77777777" w:rsidR="00A80CF8" w:rsidRPr="00D724AC" w:rsidRDefault="00A80CF8" w:rsidP="00A80CF8">
      <w:pPr>
        <w:autoSpaceDE w:val="0"/>
        <w:autoSpaceDN w:val="0"/>
        <w:adjustRightInd w:val="0"/>
        <w:rPr>
          <w:rFonts w:eastAsia="Calibri"/>
          <w:szCs w:val="22"/>
        </w:rPr>
      </w:pPr>
    </w:p>
    <w:p w14:paraId="6F5BC312" w14:textId="77777777" w:rsidR="00A80CF8" w:rsidRPr="00D724AC" w:rsidRDefault="00A80CF8" w:rsidP="00A80CF8">
      <w:pPr>
        <w:autoSpaceDE w:val="0"/>
        <w:autoSpaceDN w:val="0"/>
        <w:adjustRightInd w:val="0"/>
        <w:rPr>
          <w:rFonts w:eastAsia="Calibri"/>
          <w:szCs w:val="22"/>
        </w:rPr>
      </w:pPr>
      <w:r w:rsidRPr="00D724AC">
        <w:rPr>
          <w:rFonts w:eastAsia="Calibri"/>
          <w:i/>
          <w:iCs/>
          <w:szCs w:val="22"/>
        </w:rPr>
        <w:t xml:space="preserve">Kalcio druskos. </w:t>
      </w:r>
      <w:r w:rsidRPr="00D724AC">
        <w:rPr>
          <w:rFonts w:eastAsia="Calibri"/>
          <w:szCs w:val="22"/>
        </w:rPr>
        <w:t>Tiazidiniai diuretikai mažina kalcio išsiskyrimą su šlapimu, todėl gali padidėti jo kiekis kraujo serume. Jei reikia vartoti kalcio papildų ar kalcį tausojančių vaistinių preparatų (pvz., vitamino D), reikia stebėti kalcio kiekį kraujo serume bei, atsižvelgiant į jį, keisti kalcio dozę.</w:t>
      </w:r>
    </w:p>
    <w:p w14:paraId="2E576DDF" w14:textId="77777777" w:rsidR="00A80CF8" w:rsidRPr="00D724AC" w:rsidRDefault="00A80CF8" w:rsidP="00A80CF8">
      <w:pPr>
        <w:autoSpaceDE w:val="0"/>
        <w:autoSpaceDN w:val="0"/>
        <w:adjustRightInd w:val="0"/>
        <w:rPr>
          <w:rFonts w:eastAsia="Calibri"/>
          <w:szCs w:val="22"/>
        </w:rPr>
      </w:pPr>
    </w:p>
    <w:p w14:paraId="6B1EBFE1" w14:textId="77777777" w:rsidR="00A80CF8" w:rsidRPr="00D724AC" w:rsidRDefault="00A80CF8" w:rsidP="00A80CF8">
      <w:pPr>
        <w:autoSpaceDE w:val="0"/>
        <w:autoSpaceDN w:val="0"/>
        <w:adjustRightInd w:val="0"/>
        <w:rPr>
          <w:rFonts w:eastAsia="Calibri"/>
          <w:szCs w:val="22"/>
        </w:rPr>
      </w:pPr>
      <w:r w:rsidRPr="00D724AC">
        <w:rPr>
          <w:rFonts w:eastAsia="Calibri"/>
          <w:i/>
          <w:iCs/>
          <w:szCs w:val="22"/>
        </w:rPr>
        <w:t xml:space="preserve">Karbamazepinas. </w:t>
      </w:r>
      <w:r w:rsidRPr="00D724AC">
        <w:rPr>
          <w:rFonts w:eastAsia="Calibri"/>
          <w:szCs w:val="22"/>
        </w:rPr>
        <w:t>Vartojant kartu karbamazepino ir hidrochlorotiazido, nustatyta padidėjusi simptominės hiponatremijos pasireiškimo rizika. Šių vaistinių preparatų vartojant kartu, reikia tirti elektrolitų koncentraciją. Jeigu įmanoma, reikėtų skirti kitos grupės diuretikų.</w:t>
      </w:r>
    </w:p>
    <w:p w14:paraId="15B3F99A" w14:textId="77777777" w:rsidR="00A80CF8" w:rsidRPr="00D724AC" w:rsidRDefault="00A80CF8" w:rsidP="00A80CF8">
      <w:pPr>
        <w:autoSpaceDE w:val="0"/>
        <w:autoSpaceDN w:val="0"/>
        <w:adjustRightInd w:val="0"/>
        <w:rPr>
          <w:rFonts w:eastAsia="Calibri"/>
          <w:szCs w:val="22"/>
        </w:rPr>
      </w:pPr>
    </w:p>
    <w:p w14:paraId="347B3AEC" w14:textId="77777777" w:rsidR="00A80CF8" w:rsidRPr="00D724AC" w:rsidRDefault="00A80CF8" w:rsidP="00A80CF8">
      <w:pPr>
        <w:autoSpaceDE w:val="0"/>
        <w:autoSpaceDN w:val="0"/>
        <w:adjustRightInd w:val="0"/>
        <w:rPr>
          <w:rFonts w:eastAsia="Calibri"/>
          <w:szCs w:val="22"/>
        </w:rPr>
      </w:pPr>
      <w:r w:rsidRPr="00D724AC">
        <w:rPr>
          <w:rFonts w:eastAsia="Calibri"/>
          <w:i/>
          <w:iCs/>
          <w:szCs w:val="22"/>
        </w:rPr>
        <w:t>Kitokia sąveika</w:t>
      </w:r>
      <w:r w:rsidRPr="00D724AC">
        <w:rPr>
          <w:rFonts w:eastAsia="Calibri"/>
          <w:szCs w:val="22"/>
        </w:rPr>
        <w:t>. Tiazidiniai diuretikai gali stiprinti kartu vartojamų beta adrenoblokatorių ar diazoksido gliukozės kiekį kraujo serume didinantį poveikį. Anticholinerginiai vaistiniai preparatai (pvz., atropinas, biperidenas), slopindami virškinimo trakto motoriką bei lėtindami skrandžio ištuštinimą, gali didinti biologinį tiazidinių diuretikų prieinamumą. Tiazidiniai diuretikai didina amantadino sukeliamo nepageidaujamo poveikio pasireiškimo pavojų. Tiazidiniai diuretikai gali mažinti citotoksinių vaistinių preparatų (pvz., ciklofosfamido, metotreksato) išsiskyrimą pro inkstus ir stiprinti jų slopinamąjį poveikį mieloidiniam audiniui.</w:t>
      </w:r>
    </w:p>
    <w:p w14:paraId="76904F7D" w14:textId="77777777" w:rsidR="00A80CF8" w:rsidRPr="00D724AC" w:rsidRDefault="00A80CF8" w:rsidP="00A80CF8">
      <w:pPr>
        <w:tabs>
          <w:tab w:val="left" w:pos="567"/>
        </w:tabs>
        <w:spacing w:line="260" w:lineRule="exact"/>
        <w:rPr>
          <w:snapToGrid w:val="0"/>
          <w:szCs w:val="22"/>
          <w:lang w:eastAsia="en-US"/>
        </w:rPr>
      </w:pPr>
    </w:p>
    <w:p w14:paraId="194673DC" w14:textId="77777777" w:rsidR="00A80CF8" w:rsidRPr="00D724AC" w:rsidRDefault="00A80CF8" w:rsidP="00A80CF8">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4.6</w:t>
      </w:r>
      <w:r w:rsidRPr="00D724AC">
        <w:rPr>
          <w:b/>
          <w:bCs/>
          <w:snapToGrid w:val="0"/>
          <w:szCs w:val="22"/>
          <w:lang w:eastAsia="x-none"/>
        </w:rPr>
        <w:tab/>
        <w:t>Vaisingumas, nėštumo ir žindymo laikotarpis</w:t>
      </w:r>
    </w:p>
    <w:p w14:paraId="3ED785BB" w14:textId="77777777" w:rsidR="00A80CF8" w:rsidRPr="00D724AC" w:rsidRDefault="00A80CF8" w:rsidP="00A80CF8">
      <w:pPr>
        <w:tabs>
          <w:tab w:val="left" w:pos="567"/>
        </w:tabs>
        <w:spacing w:line="260" w:lineRule="exact"/>
        <w:rPr>
          <w:snapToGrid w:val="0"/>
          <w:szCs w:val="22"/>
          <w:lang w:eastAsia="en-US"/>
        </w:rPr>
      </w:pPr>
    </w:p>
    <w:p w14:paraId="6D32235C" w14:textId="77777777" w:rsidR="00A80CF8" w:rsidRPr="00D724AC" w:rsidRDefault="00A80CF8" w:rsidP="00A80CF8">
      <w:pPr>
        <w:autoSpaceDE w:val="0"/>
        <w:autoSpaceDN w:val="0"/>
        <w:adjustRightInd w:val="0"/>
        <w:rPr>
          <w:rFonts w:eastAsia="Calibri"/>
          <w:szCs w:val="22"/>
          <w:u w:val="single"/>
        </w:rPr>
      </w:pPr>
      <w:r w:rsidRPr="00D724AC">
        <w:rPr>
          <w:rFonts w:eastAsia="Calibri"/>
          <w:szCs w:val="22"/>
          <w:u w:val="single"/>
        </w:rPr>
        <w:t>Nėštumas</w:t>
      </w:r>
    </w:p>
    <w:p w14:paraId="378364C0" w14:textId="77777777" w:rsidR="00A80CF8" w:rsidRPr="00D724AC" w:rsidRDefault="00A80CF8" w:rsidP="00A80CF8">
      <w:pPr>
        <w:tabs>
          <w:tab w:val="left" w:pos="567"/>
        </w:tabs>
        <w:spacing w:line="260" w:lineRule="exact"/>
        <w:rPr>
          <w:rFonts w:eastAsia="Calibri"/>
          <w:i/>
          <w:iCs/>
          <w:szCs w:val="22"/>
        </w:rPr>
      </w:pPr>
      <w:r w:rsidRPr="00D724AC">
        <w:rPr>
          <w:rFonts w:eastAsia="Calibri"/>
          <w:i/>
          <w:iCs/>
          <w:szCs w:val="22"/>
        </w:rPr>
        <w:t>Angiotenzino II receptorių blokatoriai (AIIRB)</w:t>
      </w:r>
    </w:p>
    <w:p w14:paraId="46BCFBFB" w14:textId="77777777" w:rsidR="00A80CF8" w:rsidRPr="00D724AC" w:rsidRDefault="00A80CF8" w:rsidP="00A80CF8">
      <w:pPr>
        <w:autoSpaceDE w:val="0"/>
        <w:autoSpaceDN w:val="0"/>
        <w:adjustRightInd w:val="0"/>
        <w:rPr>
          <w:rFonts w:eastAsia="Calibri"/>
          <w:szCs w:val="22"/>
        </w:rPr>
      </w:pPr>
    </w:p>
    <w:tbl>
      <w:tblPr>
        <w:tblStyle w:val="Lentelstinklelis"/>
        <w:tblW w:w="0" w:type="auto"/>
        <w:tblLook w:val="04A0" w:firstRow="1" w:lastRow="0" w:firstColumn="1" w:lastColumn="0" w:noHBand="0" w:noVBand="1"/>
      </w:tblPr>
      <w:tblGrid>
        <w:gridCol w:w="9060"/>
      </w:tblGrid>
      <w:tr w:rsidR="00A80CF8" w14:paraId="4F7D9D30" w14:textId="77777777" w:rsidTr="00AC19D2">
        <w:tc>
          <w:tcPr>
            <w:tcW w:w="9060" w:type="dxa"/>
          </w:tcPr>
          <w:p w14:paraId="5B1BAB0B" w14:textId="77777777" w:rsidR="00A80CF8" w:rsidRDefault="00A80CF8" w:rsidP="00AC19D2">
            <w:pPr>
              <w:autoSpaceDE w:val="0"/>
              <w:autoSpaceDN w:val="0"/>
              <w:adjustRightInd w:val="0"/>
              <w:rPr>
                <w:rFonts w:eastAsia="Calibri"/>
                <w:szCs w:val="22"/>
              </w:rPr>
            </w:pPr>
            <w:r w:rsidRPr="00D724AC">
              <w:rPr>
                <w:rFonts w:eastAsia="Calibri"/>
                <w:szCs w:val="22"/>
              </w:rPr>
              <w:t>Pirmuoju nėštumo trimestru AIIRB vartoti nerekomenduojama (žr. 4.4 skyrių). Antruoju ir trečiuoju nėštumo trimestrais jų vartoti draudžiama (žr. 4.3 ir 4.4 skyrius).</w:t>
            </w:r>
          </w:p>
        </w:tc>
      </w:tr>
    </w:tbl>
    <w:p w14:paraId="21040C43" w14:textId="77777777" w:rsidR="00A80CF8" w:rsidRPr="00D724AC" w:rsidRDefault="00A80CF8" w:rsidP="00A80CF8">
      <w:pPr>
        <w:autoSpaceDE w:val="0"/>
        <w:autoSpaceDN w:val="0"/>
        <w:adjustRightInd w:val="0"/>
        <w:rPr>
          <w:rFonts w:eastAsia="Calibri"/>
          <w:szCs w:val="22"/>
        </w:rPr>
      </w:pPr>
    </w:p>
    <w:p w14:paraId="3357274E" w14:textId="77777777" w:rsidR="00A80CF8" w:rsidRPr="00D724AC" w:rsidRDefault="00A80CF8" w:rsidP="00A80CF8">
      <w:pPr>
        <w:autoSpaceDE w:val="0"/>
        <w:autoSpaceDN w:val="0"/>
        <w:adjustRightInd w:val="0"/>
        <w:rPr>
          <w:rFonts w:eastAsia="Calibri"/>
          <w:iCs/>
          <w:szCs w:val="22"/>
        </w:rPr>
      </w:pPr>
      <w:r w:rsidRPr="00D724AC">
        <w:rPr>
          <w:rFonts w:eastAsia="Calibri"/>
          <w:szCs w:val="22"/>
        </w:rPr>
        <w:t>Epidemiologinių tyrimų duomenys dėl pirmuoju nėštumo trimestru vartojamų AKF inhibitorių poveikio nėra galutiniai, tačiau nedidelio rizikos padidėjimo atmesti negalima. Kadangi nėra kontrolinių epidemiologinių duomenų dėl angiotenzino II receptorių blokatorių (AIIRB) rizikos, panaši rizika gali būti ir šių vaistų klasei. Išskyrus atvejus, kai tolesnis gydymas AIIRB yra būtinas, pastoti planuojančioms moterims juos reikia keisti kitokiais antihipertenziniais vaistiniais preparatais, kurių vartojimo nėštumo metu saugumas ištirtas. Nustačius nėštumą, AIIRB vartojimą būtina nedelsiant nutraukti ir, jei reikia, skirti kitokį tinkamą gydymą.</w:t>
      </w:r>
    </w:p>
    <w:p w14:paraId="318BA152" w14:textId="77777777" w:rsidR="00A80CF8" w:rsidRPr="00D724AC" w:rsidRDefault="00A80CF8" w:rsidP="00A80CF8">
      <w:pPr>
        <w:tabs>
          <w:tab w:val="left" w:pos="567"/>
        </w:tabs>
        <w:spacing w:line="260" w:lineRule="exact"/>
        <w:rPr>
          <w:snapToGrid w:val="0"/>
          <w:szCs w:val="22"/>
          <w:lang w:eastAsia="en-US"/>
        </w:rPr>
      </w:pPr>
    </w:p>
    <w:p w14:paraId="54B8934A" w14:textId="77777777" w:rsidR="00A80CF8" w:rsidRPr="00D724AC" w:rsidRDefault="00A80CF8" w:rsidP="00A80CF8">
      <w:pPr>
        <w:autoSpaceDE w:val="0"/>
        <w:autoSpaceDN w:val="0"/>
        <w:adjustRightInd w:val="0"/>
        <w:rPr>
          <w:rFonts w:eastAsia="Calibri"/>
          <w:szCs w:val="22"/>
        </w:rPr>
      </w:pPr>
      <w:r w:rsidRPr="00D724AC">
        <w:rPr>
          <w:rFonts w:eastAsia="Calibri"/>
          <w:szCs w:val="22"/>
        </w:rPr>
        <w:t xml:space="preserve">Žinoma, kad antruoju arba trečiuoju nėštumo trimestrais vartojami AIIRB sukelia toksinį poveikį žmogaus vaisiui (inkstų funkcijos susilpnėjimą, oligohidramnioną, kaukolės kaulėjimo sulėtėjimą) ir naujagimiui (inkstų nepakankamumą, hipotenziją, hiperkalemiją) (žr. 5.3 skyrių). Jeigu moteris </w:t>
      </w:r>
      <w:r w:rsidRPr="00D724AC">
        <w:rPr>
          <w:rFonts w:eastAsia="Calibri"/>
          <w:szCs w:val="22"/>
        </w:rPr>
        <w:lastRenderedPageBreak/>
        <w:t xml:space="preserve">antruoju arba trečiuoju nėštumo trimestru vartojo AIIRB, reikia ultragarsu sekti jos vaisiaus inkstų funkciją ir kaukolę. </w:t>
      </w:r>
    </w:p>
    <w:p w14:paraId="47F7692E" w14:textId="77777777" w:rsidR="00A80CF8" w:rsidRPr="00D724AC" w:rsidRDefault="00A80CF8" w:rsidP="00A80CF8">
      <w:pPr>
        <w:autoSpaceDE w:val="0"/>
        <w:autoSpaceDN w:val="0"/>
        <w:adjustRightInd w:val="0"/>
        <w:rPr>
          <w:rFonts w:eastAsia="Calibri"/>
          <w:szCs w:val="22"/>
        </w:rPr>
      </w:pPr>
    </w:p>
    <w:p w14:paraId="798AE7BE" w14:textId="77777777" w:rsidR="00A80CF8" w:rsidRPr="00D724AC" w:rsidRDefault="00A80CF8" w:rsidP="00A80CF8">
      <w:pPr>
        <w:autoSpaceDE w:val="0"/>
        <w:autoSpaceDN w:val="0"/>
        <w:adjustRightInd w:val="0"/>
        <w:rPr>
          <w:rFonts w:eastAsia="Calibri"/>
          <w:szCs w:val="22"/>
        </w:rPr>
      </w:pPr>
      <w:r w:rsidRPr="00D724AC">
        <w:rPr>
          <w:rFonts w:eastAsia="Calibri"/>
          <w:szCs w:val="22"/>
        </w:rPr>
        <w:t>Reikia atidžiai sekti, ar naujagimiams, kurių motinos nėštumo metu vartojo AIIRB, nepasireiškia hipotenzija (žr. 4.3 ir 4.4 skyrius).</w:t>
      </w:r>
    </w:p>
    <w:p w14:paraId="60E962A7" w14:textId="77777777" w:rsidR="00A80CF8" w:rsidRPr="00D724AC" w:rsidRDefault="00A80CF8" w:rsidP="00A80CF8">
      <w:pPr>
        <w:autoSpaceDE w:val="0"/>
        <w:autoSpaceDN w:val="0"/>
        <w:adjustRightInd w:val="0"/>
        <w:rPr>
          <w:rFonts w:eastAsia="Calibri"/>
          <w:szCs w:val="22"/>
        </w:rPr>
      </w:pPr>
    </w:p>
    <w:p w14:paraId="747A799B" w14:textId="77777777" w:rsidR="00A80CF8" w:rsidRPr="00D724AC" w:rsidRDefault="00A80CF8" w:rsidP="00A80CF8">
      <w:pPr>
        <w:autoSpaceDE w:val="0"/>
        <w:autoSpaceDN w:val="0"/>
        <w:adjustRightInd w:val="0"/>
        <w:rPr>
          <w:rFonts w:eastAsia="Calibri"/>
          <w:i/>
          <w:iCs/>
          <w:szCs w:val="22"/>
        </w:rPr>
      </w:pPr>
      <w:r w:rsidRPr="00D724AC">
        <w:rPr>
          <w:rFonts w:eastAsia="Calibri"/>
          <w:i/>
          <w:iCs/>
          <w:szCs w:val="22"/>
        </w:rPr>
        <w:t>Hidrochlorotiazidas</w:t>
      </w:r>
    </w:p>
    <w:p w14:paraId="19982074" w14:textId="77777777" w:rsidR="00A80CF8" w:rsidRPr="00D724AC" w:rsidRDefault="00A80CF8" w:rsidP="00A80CF8">
      <w:pPr>
        <w:autoSpaceDE w:val="0"/>
        <w:autoSpaceDN w:val="0"/>
        <w:adjustRightInd w:val="0"/>
        <w:rPr>
          <w:rFonts w:eastAsia="Calibri"/>
          <w:szCs w:val="22"/>
        </w:rPr>
      </w:pPr>
      <w:r w:rsidRPr="00D724AC">
        <w:rPr>
          <w:rFonts w:eastAsia="Calibri"/>
          <w:szCs w:val="22"/>
        </w:rPr>
        <w:t>Hidrochlorotiazido vartojimo nėštumo laikotarpiu, ypač pirmą trimestrą, patirties yra nedaug. Su gyvūnais atliktų tyrimų duomenų nepakanka. Hidrochlorotiazido patenka per placentą. Atsižvelgiant į farmakologinį veikimo mechanizmą yra manytina, kad vartojamas antrą ir trečią nėštumo trimestrus jis gali sutrikdyti vaisiaus ir placentos kraujotaką bei paveikti vaisių ir naujagimį (sukelti geltą, elektrolitų pusiausvyros sutrikimų ir trombocitopeniją).</w:t>
      </w:r>
    </w:p>
    <w:p w14:paraId="7C21C067" w14:textId="77777777" w:rsidR="00A80CF8" w:rsidRPr="00D724AC" w:rsidRDefault="00A80CF8" w:rsidP="00A80CF8">
      <w:pPr>
        <w:autoSpaceDE w:val="0"/>
        <w:autoSpaceDN w:val="0"/>
        <w:adjustRightInd w:val="0"/>
        <w:rPr>
          <w:rFonts w:eastAsia="Calibri"/>
          <w:szCs w:val="22"/>
        </w:rPr>
      </w:pPr>
    </w:p>
    <w:p w14:paraId="35DF2D73" w14:textId="77777777" w:rsidR="00A80CF8" w:rsidRPr="00D724AC" w:rsidRDefault="00A80CF8" w:rsidP="00A80CF8">
      <w:pPr>
        <w:autoSpaceDE w:val="0"/>
        <w:autoSpaceDN w:val="0"/>
        <w:adjustRightInd w:val="0"/>
        <w:rPr>
          <w:rFonts w:eastAsia="Calibri"/>
          <w:szCs w:val="22"/>
        </w:rPr>
      </w:pPr>
      <w:r w:rsidRPr="00D724AC">
        <w:rPr>
          <w:rFonts w:eastAsia="Calibri"/>
          <w:szCs w:val="22"/>
        </w:rPr>
        <w:t>Hidrochlorotiazido negalima vartoti gestacinei edemai, gestacinei hipertenzijai ar preeklampsijai gydyti, kadangi jis gali sumažinti plazmos tūrį ir pabloginti placentos kraujotaką, nesukeldamas palankaus poveikio ligos eigai.</w:t>
      </w:r>
    </w:p>
    <w:p w14:paraId="4DDF5C55" w14:textId="77777777" w:rsidR="00A80CF8" w:rsidRPr="00D724AC" w:rsidRDefault="00A80CF8" w:rsidP="00A80CF8">
      <w:pPr>
        <w:autoSpaceDE w:val="0"/>
        <w:autoSpaceDN w:val="0"/>
        <w:adjustRightInd w:val="0"/>
        <w:rPr>
          <w:rFonts w:eastAsia="Calibri"/>
          <w:szCs w:val="22"/>
        </w:rPr>
      </w:pPr>
    </w:p>
    <w:p w14:paraId="0CE614A1" w14:textId="77777777" w:rsidR="00A80CF8" w:rsidRPr="00D724AC" w:rsidRDefault="00A80CF8" w:rsidP="00A80CF8">
      <w:pPr>
        <w:autoSpaceDE w:val="0"/>
        <w:autoSpaceDN w:val="0"/>
        <w:adjustRightInd w:val="0"/>
        <w:rPr>
          <w:rFonts w:eastAsia="Calibri"/>
          <w:szCs w:val="22"/>
        </w:rPr>
      </w:pPr>
      <w:r w:rsidRPr="00D724AC">
        <w:rPr>
          <w:rFonts w:eastAsia="Calibri"/>
          <w:szCs w:val="22"/>
        </w:rPr>
        <w:t>Be to, hidrochlorotiazido negalima vartoti nėščių moterų pirminei hipertenzijai gydyti, išskyrus retus atvejus, kai kitaip gydyti negalima.</w:t>
      </w:r>
    </w:p>
    <w:p w14:paraId="71B21F9B" w14:textId="77777777" w:rsidR="00A80CF8" w:rsidRPr="00D724AC" w:rsidRDefault="00A80CF8" w:rsidP="00A80CF8">
      <w:pPr>
        <w:autoSpaceDE w:val="0"/>
        <w:autoSpaceDN w:val="0"/>
        <w:adjustRightInd w:val="0"/>
        <w:rPr>
          <w:rFonts w:eastAsia="Calibri"/>
          <w:szCs w:val="22"/>
        </w:rPr>
      </w:pPr>
    </w:p>
    <w:p w14:paraId="59736336" w14:textId="77777777" w:rsidR="00A80CF8" w:rsidRPr="00D724AC" w:rsidRDefault="00A80CF8" w:rsidP="00A80CF8">
      <w:pPr>
        <w:autoSpaceDE w:val="0"/>
        <w:autoSpaceDN w:val="0"/>
        <w:adjustRightInd w:val="0"/>
        <w:rPr>
          <w:rFonts w:eastAsia="Calibri"/>
          <w:szCs w:val="22"/>
        </w:rPr>
      </w:pPr>
      <w:r w:rsidRPr="00D724AC">
        <w:rPr>
          <w:rFonts w:eastAsia="Calibri"/>
          <w:szCs w:val="22"/>
        </w:rPr>
        <w:t>Kadangi CONVERIDE tabletėse yra hidrochlorotiazido, pirmus tris nėštumo mėnesius jų vartoti nerekomenduojama. Planuojančioms pastoti moterims vietoj CONVERIDE reikia paskirti kitą tinkamą gydymą.</w:t>
      </w:r>
    </w:p>
    <w:p w14:paraId="3AB1E9A8" w14:textId="77777777" w:rsidR="00A80CF8" w:rsidRPr="00D724AC" w:rsidRDefault="00A80CF8" w:rsidP="00A80CF8">
      <w:pPr>
        <w:autoSpaceDE w:val="0"/>
        <w:autoSpaceDN w:val="0"/>
        <w:adjustRightInd w:val="0"/>
        <w:rPr>
          <w:rFonts w:eastAsia="Calibri"/>
          <w:szCs w:val="22"/>
        </w:rPr>
      </w:pPr>
    </w:p>
    <w:p w14:paraId="565DA01B" w14:textId="77777777" w:rsidR="00A80CF8" w:rsidRPr="00D724AC" w:rsidRDefault="00A80CF8" w:rsidP="00A80CF8">
      <w:pPr>
        <w:autoSpaceDE w:val="0"/>
        <w:autoSpaceDN w:val="0"/>
        <w:adjustRightInd w:val="0"/>
        <w:rPr>
          <w:rFonts w:eastAsia="Calibri"/>
          <w:szCs w:val="22"/>
          <w:u w:val="single"/>
        </w:rPr>
      </w:pPr>
      <w:r w:rsidRPr="00D724AC">
        <w:rPr>
          <w:rFonts w:eastAsia="Calibri"/>
          <w:szCs w:val="22"/>
          <w:u w:val="single"/>
        </w:rPr>
        <w:t>Žindymas</w:t>
      </w:r>
    </w:p>
    <w:p w14:paraId="60D40FFC" w14:textId="77777777" w:rsidR="00A80CF8" w:rsidRPr="00D724AC" w:rsidRDefault="00A80CF8" w:rsidP="00A80CF8">
      <w:pPr>
        <w:autoSpaceDE w:val="0"/>
        <w:autoSpaceDN w:val="0"/>
        <w:adjustRightInd w:val="0"/>
        <w:rPr>
          <w:rFonts w:eastAsia="Calibri"/>
          <w:i/>
          <w:iCs/>
          <w:szCs w:val="22"/>
        </w:rPr>
      </w:pPr>
      <w:r w:rsidRPr="00D724AC">
        <w:rPr>
          <w:rFonts w:eastAsia="Calibri"/>
          <w:i/>
          <w:iCs/>
          <w:szCs w:val="22"/>
        </w:rPr>
        <w:t>Angiotenzino II receptorių blokatoriai (AIIRB)</w:t>
      </w:r>
    </w:p>
    <w:p w14:paraId="42763121" w14:textId="77777777" w:rsidR="00A80CF8" w:rsidRPr="00D724AC" w:rsidRDefault="00A80CF8" w:rsidP="00A80CF8">
      <w:pPr>
        <w:autoSpaceDE w:val="0"/>
        <w:autoSpaceDN w:val="0"/>
        <w:adjustRightInd w:val="0"/>
        <w:rPr>
          <w:rFonts w:eastAsia="Calibri"/>
          <w:szCs w:val="22"/>
        </w:rPr>
      </w:pPr>
      <w:r w:rsidRPr="00D724AC">
        <w:rPr>
          <w:rFonts w:eastAsia="Calibri"/>
          <w:szCs w:val="22"/>
        </w:rPr>
        <w:t>Kadangi nėra informacijos apie CONVERIDE vartojimą žindymo metu, CONVERIDE yra nerekomenduojamas, ir alternatyvus gydymas vaistu, geriau ištirtu dėl saugumo žindymo metu, yra tinkamesnis, ypač žindant naujagimius bei prieš laiką gimusius kūdikius.</w:t>
      </w:r>
    </w:p>
    <w:p w14:paraId="4B479F1F" w14:textId="77777777" w:rsidR="00A80CF8" w:rsidRPr="00D724AC" w:rsidRDefault="00A80CF8" w:rsidP="00A80CF8">
      <w:pPr>
        <w:autoSpaceDE w:val="0"/>
        <w:autoSpaceDN w:val="0"/>
        <w:adjustRightInd w:val="0"/>
        <w:rPr>
          <w:rFonts w:eastAsia="Calibri"/>
          <w:szCs w:val="22"/>
        </w:rPr>
      </w:pPr>
    </w:p>
    <w:p w14:paraId="15B043D4" w14:textId="77777777" w:rsidR="00A80CF8" w:rsidRPr="00D724AC" w:rsidRDefault="00A80CF8" w:rsidP="00A80CF8">
      <w:pPr>
        <w:autoSpaceDE w:val="0"/>
        <w:autoSpaceDN w:val="0"/>
        <w:adjustRightInd w:val="0"/>
        <w:rPr>
          <w:rFonts w:eastAsia="Calibri"/>
          <w:szCs w:val="22"/>
        </w:rPr>
      </w:pPr>
      <w:r w:rsidRPr="00D724AC">
        <w:rPr>
          <w:rFonts w:eastAsia="Calibri"/>
          <w:szCs w:val="22"/>
        </w:rPr>
        <w:t>Nežinoma, ar irbesartano arba jo metabolitų išsiskiria į motinos pieną.</w:t>
      </w:r>
    </w:p>
    <w:p w14:paraId="2626CE25" w14:textId="77777777" w:rsidR="00A80CF8" w:rsidRPr="00D724AC" w:rsidRDefault="00A80CF8" w:rsidP="00A80CF8">
      <w:pPr>
        <w:autoSpaceDE w:val="0"/>
        <w:autoSpaceDN w:val="0"/>
        <w:adjustRightInd w:val="0"/>
        <w:rPr>
          <w:rFonts w:eastAsia="Calibri"/>
          <w:szCs w:val="22"/>
        </w:rPr>
      </w:pPr>
    </w:p>
    <w:p w14:paraId="39BF28C6" w14:textId="77777777" w:rsidR="00A80CF8" w:rsidRPr="00D724AC" w:rsidRDefault="00A80CF8" w:rsidP="00A80CF8">
      <w:pPr>
        <w:autoSpaceDE w:val="0"/>
        <w:autoSpaceDN w:val="0"/>
        <w:adjustRightInd w:val="0"/>
        <w:rPr>
          <w:rFonts w:eastAsia="Calibri"/>
          <w:szCs w:val="22"/>
        </w:rPr>
      </w:pPr>
      <w:r w:rsidRPr="00D724AC">
        <w:rPr>
          <w:rFonts w:eastAsia="Calibri"/>
          <w:szCs w:val="22"/>
        </w:rPr>
        <w:t>Esami farmakodinamikos ir toksikologinių tyrimų su žiurkėmis duomenys rodo, kad irbesartano arba jo metabolitų išsiskiria į gyvūnų pieną (smulkiau žr. 5.3 skyrių).</w:t>
      </w:r>
    </w:p>
    <w:p w14:paraId="758C0AC5" w14:textId="77777777" w:rsidR="00A80CF8" w:rsidRPr="00D724AC" w:rsidRDefault="00A80CF8" w:rsidP="00A80CF8">
      <w:pPr>
        <w:autoSpaceDE w:val="0"/>
        <w:autoSpaceDN w:val="0"/>
        <w:adjustRightInd w:val="0"/>
        <w:rPr>
          <w:rFonts w:eastAsia="Calibri"/>
          <w:szCs w:val="22"/>
        </w:rPr>
      </w:pPr>
    </w:p>
    <w:p w14:paraId="1886156A" w14:textId="77777777" w:rsidR="00A80CF8" w:rsidRPr="00D724AC" w:rsidRDefault="00A80CF8" w:rsidP="00A80CF8">
      <w:pPr>
        <w:autoSpaceDE w:val="0"/>
        <w:autoSpaceDN w:val="0"/>
        <w:adjustRightInd w:val="0"/>
        <w:rPr>
          <w:rFonts w:eastAsia="Calibri"/>
          <w:i/>
          <w:iCs/>
          <w:szCs w:val="22"/>
        </w:rPr>
      </w:pPr>
      <w:r w:rsidRPr="00D724AC">
        <w:rPr>
          <w:rFonts w:eastAsia="Calibri"/>
          <w:i/>
          <w:iCs/>
          <w:szCs w:val="22"/>
        </w:rPr>
        <w:t>Hidrochlorotiazidas</w:t>
      </w:r>
    </w:p>
    <w:p w14:paraId="6AF04212" w14:textId="77777777" w:rsidR="00A80CF8" w:rsidRPr="00D724AC" w:rsidRDefault="00A80CF8" w:rsidP="00A80CF8">
      <w:pPr>
        <w:autoSpaceDE w:val="0"/>
        <w:autoSpaceDN w:val="0"/>
        <w:adjustRightInd w:val="0"/>
        <w:rPr>
          <w:rFonts w:eastAsia="Calibri"/>
          <w:szCs w:val="22"/>
        </w:rPr>
      </w:pPr>
      <w:r w:rsidRPr="00D724AC">
        <w:rPr>
          <w:rFonts w:eastAsia="Calibri"/>
          <w:szCs w:val="22"/>
        </w:rPr>
        <w:t>Nedidelis hidrochlorotiazido kiekis išsiskiria į motinos pieną. Didelės tiazidų dozės sukelia stiprią diurezę, todėl gali slopinti pieno gaminimąsi. CONVERIDE vartoti žindymo metu nerekomenduojama. Jei žindymo metu CONVERIDE vartojama, reikia skirti kiek įmanoma mažesnę vaisto dozę.</w:t>
      </w:r>
    </w:p>
    <w:p w14:paraId="1E23A015" w14:textId="77777777" w:rsidR="00A80CF8" w:rsidRPr="00D724AC" w:rsidRDefault="00A80CF8" w:rsidP="00A80CF8">
      <w:pPr>
        <w:autoSpaceDE w:val="0"/>
        <w:autoSpaceDN w:val="0"/>
        <w:adjustRightInd w:val="0"/>
        <w:rPr>
          <w:rFonts w:eastAsia="Calibri"/>
          <w:szCs w:val="22"/>
        </w:rPr>
      </w:pPr>
    </w:p>
    <w:p w14:paraId="57C0FCB3" w14:textId="77777777" w:rsidR="00A80CF8" w:rsidRPr="00D724AC" w:rsidRDefault="00A80CF8" w:rsidP="00A80CF8">
      <w:pPr>
        <w:autoSpaceDE w:val="0"/>
        <w:autoSpaceDN w:val="0"/>
        <w:adjustRightInd w:val="0"/>
        <w:rPr>
          <w:rFonts w:eastAsia="Calibri"/>
          <w:szCs w:val="22"/>
          <w:u w:val="single"/>
        </w:rPr>
      </w:pPr>
      <w:r w:rsidRPr="00D724AC">
        <w:rPr>
          <w:rFonts w:eastAsia="Calibri"/>
          <w:szCs w:val="22"/>
          <w:u w:val="single"/>
        </w:rPr>
        <w:t>Vaisingumas</w:t>
      </w:r>
    </w:p>
    <w:p w14:paraId="21AB4C46" w14:textId="77777777" w:rsidR="00A80CF8" w:rsidRPr="00D724AC" w:rsidRDefault="00A80CF8" w:rsidP="00A80CF8">
      <w:pPr>
        <w:autoSpaceDE w:val="0"/>
        <w:autoSpaceDN w:val="0"/>
        <w:adjustRightInd w:val="0"/>
        <w:rPr>
          <w:rFonts w:eastAsia="Calibri"/>
          <w:szCs w:val="22"/>
        </w:rPr>
      </w:pPr>
      <w:r w:rsidRPr="00D724AC">
        <w:rPr>
          <w:rFonts w:eastAsia="Calibri"/>
          <w:szCs w:val="22"/>
        </w:rPr>
        <w:t>Irbesartanas neturi poveikio jo vartojusių žiurkių bei jų palikuonių vaisingumui, preparato skiriant iki tokios dozės ribos, kuri sukelia pirmuosius toksinio poveikio suaugusiems gyvūnams požymius (žr. 5.3 skyrių).</w:t>
      </w:r>
    </w:p>
    <w:p w14:paraId="4399ECD3" w14:textId="77777777" w:rsidR="00A80CF8" w:rsidRPr="00D724AC" w:rsidRDefault="00A80CF8" w:rsidP="00A80CF8">
      <w:pPr>
        <w:autoSpaceDE w:val="0"/>
        <w:autoSpaceDN w:val="0"/>
        <w:adjustRightInd w:val="0"/>
        <w:rPr>
          <w:rFonts w:eastAsia="Calibri"/>
          <w:szCs w:val="22"/>
        </w:rPr>
      </w:pPr>
    </w:p>
    <w:p w14:paraId="031F3ADD" w14:textId="77777777" w:rsidR="00A80CF8" w:rsidRPr="00D724AC" w:rsidRDefault="00A80CF8" w:rsidP="00A80CF8">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4.7</w:t>
      </w:r>
      <w:r w:rsidRPr="00D724AC">
        <w:rPr>
          <w:b/>
          <w:bCs/>
          <w:snapToGrid w:val="0"/>
          <w:szCs w:val="22"/>
          <w:lang w:eastAsia="x-none"/>
        </w:rPr>
        <w:tab/>
        <w:t>Poveikis gebėjimui vairuoti ir valdyti mechanizmus</w:t>
      </w:r>
    </w:p>
    <w:p w14:paraId="6021EC73" w14:textId="77777777" w:rsidR="00A80CF8" w:rsidRPr="00D724AC" w:rsidRDefault="00A80CF8" w:rsidP="00A80CF8">
      <w:pPr>
        <w:tabs>
          <w:tab w:val="left" w:pos="567"/>
        </w:tabs>
        <w:spacing w:line="260" w:lineRule="exact"/>
        <w:rPr>
          <w:snapToGrid w:val="0"/>
          <w:szCs w:val="22"/>
          <w:lang w:eastAsia="en-US"/>
        </w:rPr>
      </w:pPr>
    </w:p>
    <w:p w14:paraId="1078F284" w14:textId="77777777" w:rsidR="00A80CF8" w:rsidRPr="00D724AC" w:rsidRDefault="00A80CF8" w:rsidP="00A80CF8">
      <w:pPr>
        <w:autoSpaceDE w:val="0"/>
        <w:autoSpaceDN w:val="0"/>
        <w:adjustRightInd w:val="0"/>
        <w:rPr>
          <w:snapToGrid w:val="0"/>
          <w:szCs w:val="22"/>
          <w:lang w:eastAsia="en-US"/>
        </w:rPr>
      </w:pPr>
      <w:r w:rsidRPr="00CD321A">
        <w:rPr>
          <w:rFonts w:eastAsia="Calibri"/>
          <w:szCs w:val="22"/>
        </w:rPr>
        <w:t xml:space="preserve">Atsižvelgiant į farmakodinamines savybes, nesitikima, kad </w:t>
      </w:r>
      <w:r>
        <w:rPr>
          <w:rFonts w:eastAsia="Calibri"/>
          <w:szCs w:val="22"/>
        </w:rPr>
        <w:t>CONVERIDE</w:t>
      </w:r>
      <w:r w:rsidRPr="00CD321A">
        <w:rPr>
          <w:rFonts w:eastAsia="Calibri"/>
          <w:szCs w:val="22"/>
        </w:rPr>
        <w:t xml:space="preserve"> veiktų gebėjimą vairuoti ir valdyti mechanizmus. Vairuotojai ir valdantieji mechanizmus turi žinoti, kad gydant hipertenziją, retkarčiais gali atsirasti galvos svaigimas ar nuovargis.</w:t>
      </w:r>
    </w:p>
    <w:p w14:paraId="0AFC6A4E" w14:textId="77777777" w:rsidR="00A80CF8" w:rsidRPr="00D724AC" w:rsidRDefault="00A80CF8" w:rsidP="00A80CF8">
      <w:pPr>
        <w:tabs>
          <w:tab w:val="left" w:pos="567"/>
        </w:tabs>
        <w:spacing w:line="260" w:lineRule="exact"/>
        <w:rPr>
          <w:snapToGrid w:val="0"/>
          <w:szCs w:val="22"/>
          <w:lang w:eastAsia="en-US"/>
        </w:rPr>
      </w:pPr>
    </w:p>
    <w:p w14:paraId="1086D63B" w14:textId="77777777" w:rsidR="00A80CF8" w:rsidRPr="00D724AC" w:rsidRDefault="00A80CF8" w:rsidP="00A80CF8">
      <w:pPr>
        <w:tabs>
          <w:tab w:val="left" w:pos="567"/>
        </w:tabs>
        <w:outlineLvl w:val="0"/>
        <w:rPr>
          <w:snapToGrid w:val="0"/>
          <w:szCs w:val="22"/>
          <w:lang w:eastAsia="en-US"/>
        </w:rPr>
      </w:pPr>
      <w:r w:rsidRPr="00D724AC">
        <w:rPr>
          <w:b/>
          <w:snapToGrid w:val="0"/>
          <w:szCs w:val="22"/>
          <w:lang w:eastAsia="en-US"/>
        </w:rPr>
        <w:t>4.8</w:t>
      </w:r>
      <w:r w:rsidRPr="00D724AC">
        <w:rPr>
          <w:b/>
          <w:snapToGrid w:val="0"/>
          <w:szCs w:val="22"/>
          <w:lang w:eastAsia="en-US"/>
        </w:rPr>
        <w:tab/>
        <w:t>Nepageidaujamas poveikis</w:t>
      </w:r>
    </w:p>
    <w:p w14:paraId="1FD54923" w14:textId="77777777" w:rsidR="00A80CF8" w:rsidRPr="00D724AC" w:rsidRDefault="00A80CF8" w:rsidP="00A80CF8">
      <w:pPr>
        <w:tabs>
          <w:tab w:val="left" w:pos="567"/>
        </w:tabs>
        <w:spacing w:line="260" w:lineRule="exact"/>
        <w:rPr>
          <w:snapToGrid w:val="0"/>
          <w:szCs w:val="22"/>
          <w:u w:val="single"/>
          <w:lang w:eastAsia="en-US"/>
        </w:rPr>
      </w:pPr>
    </w:p>
    <w:p w14:paraId="546383ED" w14:textId="77777777" w:rsidR="00A80CF8" w:rsidRPr="00D724AC" w:rsidRDefault="00A80CF8" w:rsidP="00A80CF8">
      <w:pPr>
        <w:autoSpaceDE w:val="0"/>
        <w:autoSpaceDN w:val="0"/>
        <w:adjustRightInd w:val="0"/>
        <w:rPr>
          <w:rFonts w:eastAsia="Calibri"/>
          <w:szCs w:val="22"/>
          <w:u w:val="single"/>
        </w:rPr>
      </w:pPr>
      <w:r w:rsidRPr="00D724AC">
        <w:rPr>
          <w:rFonts w:eastAsia="Calibri"/>
          <w:szCs w:val="22"/>
          <w:u w:val="single"/>
        </w:rPr>
        <w:t>Irbesartano ir hidrochlorotiazido derinys</w:t>
      </w:r>
    </w:p>
    <w:p w14:paraId="08C90E7E" w14:textId="77777777" w:rsidR="00A80CF8" w:rsidRPr="00D724AC" w:rsidRDefault="00A80CF8" w:rsidP="00A80CF8">
      <w:pPr>
        <w:autoSpaceDE w:val="0"/>
        <w:autoSpaceDN w:val="0"/>
        <w:adjustRightInd w:val="0"/>
        <w:rPr>
          <w:rFonts w:eastAsia="Calibri"/>
          <w:szCs w:val="22"/>
          <w:u w:val="single"/>
        </w:rPr>
      </w:pPr>
    </w:p>
    <w:p w14:paraId="243DA0C3" w14:textId="77777777" w:rsidR="00A80CF8" w:rsidRPr="00D724AC" w:rsidRDefault="00A80CF8" w:rsidP="00A80CF8">
      <w:pPr>
        <w:autoSpaceDE w:val="0"/>
        <w:autoSpaceDN w:val="0"/>
        <w:adjustRightInd w:val="0"/>
        <w:rPr>
          <w:rFonts w:eastAsia="Calibri"/>
          <w:szCs w:val="22"/>
        </w:rPr>
      </w:pPr>
      <w:r w:rsidRPr="00D724AC">
        <w:rPr>
          <w:rFonts w:eastAsia="Calibri"/>
          <w:szCs w:val="22"/>
        </w:rPr>
        <w:lastRenderedPageBreak/>
        <w:t>Tarp 898 hipertenzija sergančių pacientų, dalyvavusių placebu kontroliuotuose klinikiniuose tyrimuose ir gydytų įvairiomis irbesartano ir hidrochlorotiazido dozėmis (nuo 37,5</w:t>
      </w:r>
      <w:r>
        <w:rPr>
          <w:rFonts w:eastAsia="Calibri"/>
          <w:szCs w:val="22"/>
        </w:rPr>
        <w:t> mg</w:t>
      </w:r>
      <w:r w:rsidRPr="00D724AC">
        <w:rPr>
          <w:rFonts w:eastAsia="Calibri"/>
          <w:szCs w:val="22"/>
        </w:rPr>
        <w:t xml:space="preserve"> / 6,25</w:t>
      </w:r>
      <w:r>
        <w:rPr>
          <w:rFonts w:eastAsia="Calibri"/>
          <w:szCs w:val="22"/>
        </w:rPr>
        <w:t> mg</w:t>
      </w:r>
      <w:r w:rsidRPr="00D724AC">
        <w:rPr>
          <w:rFonts w:eastAsia="Calibri"/>
          <w:szCs w:val="22"/>
        </w:rPr>
        <w:t xml:space="preserve"> iki 300</w:t>
      </w:r>
      <w:r>
        <w:rPr>
          <w:rFonts w:eastAsia="Calibri"/>
          <w:szCs w:val="22"/>
        </w:rPr>
        <w:t> mg</w:t>
      </w:r>
      <w:r w:rsidRPr="00D724AC">
        <w:rPr>
          <w:rFonts w:eastAsia="Calibri"/>
          <w:szCs w:val="22"/>
        </w:rPr>
        <w:t xml:space="preserve"> / 25</w:t>
      </w:r>
      <w:r>
        <w:rPr>
          <w:rFonts w:eastAsia="Calibri"/>
          <w:szCs w:val="22"/>
        </w:rPr>
        <w:t> mg</w:t>
      </w:r>
      <w:r w:rsidRPr="00D724AC">
        <w:rPr>
          <w:rFonts w:eastAsia="Calibri"/>
          <w:szCs w:val="22"/>
        </w:rPr>
        <w:t>), 29,5</w:t>
      </w:r>
      <w:r>
        <w:rPr>
          <w:rFonts w:eastAsia="Calibri"/>
          <w:szCs w:val="22"/>
        </w:rPr>
        <w:t> </w:t>
      </w:r>
      <w:r w:rsidRPr="00D724AC">
        <w:rPr>
          <w:rFonts w:eastAsia="Calibri"/>
          <w:szCs w:val="22"/>
        </w:rPr>
        <w:t>% pasireiškė nepageidaujamų reakcijų. Dažniausiai pastebėtos nepageidaujamos reakcijos buvo galvos svaigimas (5,6</w:t>
      </w:r>
      <w:r>
        <w:rPr>
          <w:rFonts w:eastAsia="Calibri"/>
          <w:szCs w:val="22"/>
        </w:rPr>
        <w:t> </w:t>
      </w:r>
      <w:r w:rsidRPr="00D724AC">
        <w:rPr>
          <w:rFonts w:eastAsia="Calibri"/>
          <w:szCs w:val="22"/>
        </w:rPr>
        <w:t>% atvejų), nuovargis (4,9</w:t>
      </w:r>
      <w:r>
        <w:rPr>
          <w:rFonts w:eastAsia="Calibri"/>
          <w:szCs w:val="22"/>
        </w:rPr>
        <w:t> </w:t>
      </w:r>
      <w:r w:rsidRPr="00D724AC">
        <w:rPr>
          <w:rFonts w:eastAsia="Calibri"/>
          <w:szCs w:val="22"/>
        </w:rPr>
        <w:t>%), pykinimas ar vėmimas (1,8</w:t>
      </w:r>
      <w:r>
        <w:rPr>
          <w:rFonts w:eastAsia="Calibri"/>
          <w:szCs w:val="22"/>
        </w:rPr>
        <w:t> </w:t>
      </w:r>
      <w:r w:rsidRPr="00D724AC">
        <w:rPr>
          <w:rFonts w:eastAsia="Calibri"/>
          <w:szCs w:val="22"/>
        </w:rPr>
        <w:t>%) ir sutrikęs šlapinimasis (1,4</w:t>
      </w:r>
      <w:r>
        <w:rPr>
          <w:rFonts w:eastAsia="Calibri"/>
          <w:szCs w:val="22"/>
        </w:rPr>
        <w:t> </w:t>
      </w:r>
      <w:r w:rsidRPr="00D724AC">
        <w:rPr>
          <w:rFonts w:eastAsia="Calibri"/>
          <w:szCs w:val="22"/>
        </w:rPr>
        <w:t>%). Be to, šių klinikinių tyrimų metu taip pat dažnai pasireiškė padidėję kraujyje šlapalo (2,3</w:t>
      </w:r>
      <w:r>
        <w:rPr>
          <w:rFonts w:eastAsia="Calibri"/>
          <w:szCs w:val="22"/>
        </w:rPr>
        <w:t> </w:t>
      </w:r>
      <w:r w:rsidRPr="00D724AC">
        <w:rPr>
          <w:rFonts w:eastAsia="Calibri"/>
          <w:szCs w:val="22"/>
        </w:rPr>
        <w:t>%), kreatinkinazės (1,7</w:t>
      </w:r>
      <w:r>
        <w:rPr>
          <w:rFonts w:eastAsia="Calibri"/>
          <w:szCs w:val="22"/>
        </w:rPr>
        <w:t> </w:t>
      </w:r>
      <w:r w:rsidRPr="00D724AC">
        <w:rPr>
          <w:rFonts w:eastAsia="Calibri"/>
          <w:szCs w:val="22"/>
        </w:rPr>
        <w:t>%) bei kreatinino (1,1</w:t>
      </w:r>
      <w:r>
        <w:rPr>
          <w:rFonts w:eastAsia="Calibri"/>
          <w:szCs w:val="22"/>
        </w:rPr>
        <w:t> </w:t>
      </w:r>
      <w:r w:rsidRPr="00D724AC">
        <w:rPr>
          <w:rFonts w:eastAsia="Calibri"/>
          <w:szCs w:val="22"/>
        </w:rPr>
        <w:t>%) kiekiai.</w:t>
      </w:r>
    </w:p>
    <w:p w14:paraId="6B4D1A06" w14:textId="77777777" w:rsidR="00A80CF8" w:rsidRPr="00D724AC" w:rsidRDefault="00A80CF8" w:rsidP="00A80CF8">
      <w:pPr>
        <w:autoSpaceDE w:val="0"/>
        <w:autoSpaceDN w:val="0"/>
        <w:adjustRightInd w:val="0"/>
        <w:rPr>
          <w:rFonts w:eastAsia="Calibri"/>
          <w:szCs w:val="22"/>
        </w:rPr>
      </w:pPr>
    </w:p>
    <w:p w14:paraId="07EC596F" w14:textId="77777777" w:rsidR="00A80CF8" w:rsidRPr="00D724AC" w:rsidRDefault="00A80CF8" w:rsidP="00A80CF8">
      <w:pPr>
        <w:autoSpaceDE w:val="0"/>
        <w:autoSpaceDN w:val="0"/>
        <w:adjustRightInd w:val="0"/>
        <w:rPr>
          <w:rFonts w:eastAsia="Calibri"/>
          <w:szCs w:val="22"/>
        </w:rPr>
      </w:pPr>
      <w:r w:rsidRPr="00D724AC">
        <w:rPr>
          <w:rFonts w:eastAsia="Calibri"/>
          <w:szCs w:val="22"/>
        </w:rPr>
        <w:t>1 lentelėje pateiktos spontaniniuose pranešimuose aprašytos ir placebu kontroliuotų klinikinių tyrimų metu pasireiškusios nepageidaujamos reakcijos.</w:t>
      </w:r>
    </w:p>
    <w:p w14:paraId="112FB78A" w14:textId="77777777" w:rsidR="00A80CF8" w:rsidRPr="00D724AC" w:rsidRDefault="00A80CF8" w:rsidP="00A80CF8">
      <w:pPr>
        <w:autoSpaceDE w:val="0"/>
        <w:autoSpaceDN w:val="0"/>
        <w:adjustRightInd w:val="0"/>
        <w:rPr>
          <w:rFonts w:eastAsia="Calibri"/>
          <w:szCs w:val="22"/>
        </w:rPr>
      </w:pPr>
    </w:p>
    <w:p w14:paraId="6EA0F628" w14:textId="77777777" w:rsidR="00A80CF8" w:rsidRPr="00D724AC" w:rsidRDefault="00A80CF8" w:rsidP="00A80CF8">
      <w:pPr>
        <w:autoSpaceDE w:val="0"/>
        <w:autoSpaceDN w:val="0"/>
        <w:adjustRightInd w:val="0"/>
        <w:rPr>
          <w:rFonts w:eastAsia="Calibri"/>
          <w:szCs w:val="22"/>
        </w:rPr>
      </w:pPr>
      <w:r w:rsidRPr="00D724AC">
        <w:rPr>
          <w:rFonts w:eastAsia="Calibri"/>
          <w:szCs w:val="22"/>
        </w:rPr>
        <w:t>Nepageidaujamų reakcijų dažnis vertinamas taip:</w:t>
      </w:r>
    </w:p>
    <w:p w14:paraId="3010523F" w14:textId="77777777" w:rsidR="00A80CF8" w:rsidRPr="00D724AC" w:rsidRDefault="00A80CF8" w:rsidP="00A80CF8">
      <w:pPr>
        <w:autoSpaceDE w:val="0"/>
        <w:autoSpaceDN w:val="0"/>
        <w:adjustRightInd w:val="0"/>
        <w:rPr>
          <w:rFonts w:eastAsia="Calibri"/>
          <w:szCs w:val="22"/>
        </w:rPr>
      </w:pPr>
      <w:r w:rsidRPr="00D724AC">
        <w:rPr>
          <w:rFonts w:eastAsia="Calibri"/>
          <w:szCs w:val="22"/>
        </w:rPr>
        <w:t>labai dažnos (≥ 1/10), dažnos (nuo ≥ 1/100 iki &lt; 1/10), nedažnos (nuo ≥ 1/1000 iki &lt; 1/100), retos (nuo ≥ 1/10000 iki &lt; 1/1000), labai retos (&lt; 1/10000). Kiekvienoje dažnio grupėje nepageidaujamas poveikis pateikiamas mažėjančio sunkumo tvarka.</w:t>
      </w:r>
    </w:p>
    <w:p w14:paraId="7D2FFC25" w14:textId="77777777" w:rsidR="00A80CF8" w:rsidRPr="00D724AC" w:rsidRDefault="00A80CF8" w:rsidP="00A80CF8">
      <w:pPr>
        <w:autoSpaceDE w:val="0"/>
        <w:autoSpaceDN w:val="0"/>
        <w:adjustRightInd w:val="0"/>
        <w:rPr>
          <w:rFonts w:eastAsia="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989"/>
        <w:gridCol w:w="3061"/>
      </w:tblGrid>
      <w:tr w:rsidR="00A80CF8" w:rsidRPr="00D724AC" w14:paraId="6E7078EC" w14:textId="77777777" w:rsidTr="00AC19D2">
        <w:tc>
          <w:tcPr>
            <w:tcW w:w="9854" w:type="dxa"/>
            <w:gridSpan w:val="3"/>
            <w:shd w:val="clear" w:color="auto" w:fill="auto"/>
          </w:tcPr>
          <w:p w14:paraId="34E91FA9" w14:textId="77777777" w:rsidR="00A80CF8" w:rsidRPr="00D724AC" w:rsidRDefault="00A80CF8" w:rsidP="00AC19D2">
            <w:pPr>
              <w:autoSpaceDE w:val="0"/>
              <w:autoSpaceDN w:val="0"/>
              <w:adjustRightInd w:val="0"/>
              <w:rPr>
                <w:snapToGrid w:val="0"/>
                <w:szCs w:val="22"/>
                <w:lang w:eastAsia="en-US"/>
              </w:rPr>
            </w:pPr>
            <w:r w:rsidRPr="00C03B46">
              <w:rPr>
                <w:rFonts w:eastAsia="Calibri"/>
                <w:bCs/>
                <w:szCs w:val="22"/>
              </w:rPr>
              <w:t>1 lentelė.</w:t>
            </w:r>
            <w:r w:rsidRPr="00D724AC">
              <w:rPr>
                <w:rFonts w:eastAsia="Calibri"/>
                <w:b/>
                <w:bCs/>
                <w:szCs w:val="22"/>
              </w:rPr>
              <w:t xml:space="preserve"> </w:t>
            </w:r>
            <w:r w:rsidRPr="00D724AC">
              <w:rPr>
                <w:rFonts w:eastAsia="Calibri"/>
                <w:szCs w:val="22"/>
              </w:rPr>
              <w:t>Placebu kontroliuotų klinikinių tyrimų metu pasireiškusios ir spontaniniuose pranešimuose aprašytos nepageidaujamos reakcijos</w:t>
            </w:r>
            <w:r w:rsidRPr="00C03B46">
              <w:rPr>
                <w:rFonts w:eastAsia="Calibri"/>
                <w:szCs w:val="22"/>
                <w:vertAlign w:val="superscript"/>
              </w:rPr>
              <w:t>*</w:t>
            </w:r>
          </w:p>
        </w:tc>
      </w:tr>
      <w:tr w:rsidR="00A80CF8" w:rsidRPr="00D724AC" w14:paraId="2A395E37" w14:textId="77777777" w:rsidTr="00AC19D2">
        <w:tc>
          <w:tcPr>
            <w:tcW w:w="3284" w:type="dxa"/>
            <w:vMerge w:val="restart"/>
            <w:shd w:val="clear" w:color="auto" w:fill="auto"/>
          </w:tcPr>
          <w:p w14:paraId="6BDBF077"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i/>
                <w:iCs/>
                <w:szCs w:val="22"/>
              </w:rPr>
              <w:t>Tyrimai</w:t>
            </w:r>
          </w:p>
        </w:tc>
        <w:tc>
          <w:tcPr>
            <w:tcW w:w="3285" w:type="dxa"/>
            <w:shd w:val="clear" w:color="auto" w:fill="auto"/>
          </w:tcPr>
          <w:p w14:paraId="6FA4F373"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Dažni:</w:t>
            </w:r>
          </w:p>
        </w:tc>
        <w:tc>
          <w:tcPr>
            <w:tcW w:w="3285" w:type="dxa"/>
            <w:shd w:val="clear" w:color="auto" w:fill="auto"/>
          </w:tcPr>
          <w:p w14:paraId="261C641C" w14:textId="77777777" w:rsidR="00A80CF8" w:rsidRPr="00D724AC" w:rsidRDefault="00A80CF8" w:rsidP="00AC19D2">
            <w:pPr>
              <w:autoSpaceDE w:val="0"/>
              <w:autoSpaceDN w:val="0"/>
              <w:adjustRightInd w:val="0"/>
              <w:rPr>
                <w:snapToGrid w:val="0"/>
                <w:szCs w:val="22"/>
                <w:lang w:eastAsia="en-US"/>
              </w:rPr>
            </w:pPr>
            <w:r w:rsidRPr="00D724AC">
              <w:rPr>
                <w:rFonts w:eastAsia="Calibri"/>
                <w:szCs w:val="22"/>
              </w:rPr>
              <w:t>padidėjęs šlapalo, kreatinino bei kreatinkinazės kiekis kraujyje</w:t>
            </w:r>
          </w:p>
        </w:tc>
      </w:tr>
      <w:tr w:rsidR="00A80CF8" w:rsidRPr="00D724AC" w14:paraId="599B9529" w14:textId="77777777" w:rsidTr="00AC19D2">
        <w:tc>
          <w:tcPr>
            <w:tcW w:w="3284" w:type="dxa"/>
            <w:vMerge/>
            <w:shd w:val="clear" w:color="auto" w:fill="auto"/>
          </w:tcPr>
          <w:p w14:paraId="75E027DD" w14:textId="77777777" w:rsidR="00A80CF8" w:rsidRPr="00D724AC" w:rsidRDefault="00A80CF8" w:rsidP="00AC19D2">
            <w:pPr>
              <w:tabs>
                <w:tab w:val="left" w:pos="567"/>
              </w:tabs>
              <w:contextualSpacing/>
              <w:outlineLvl w:val="0"/>
              <w:rPr>
                <w:snapToGrid w:val="0"/>
                <w:szCs w:val="22"/>
                <w:lang w:eastAsia="en-US"/>
              </w:rPr>
            </w:pPr>
          </w:p>
        </w:tc>
        <w:tc>
          <w:tcPr>
            <w:tcW w:w="3285" w:type="dxa"/>
            <w:shd w:val="clear" w:color="auto" w:fill="auto"/>
          </w:tcPr>
          <w:p w14:paraId="336638DB"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Nedažni:</w:t>
            </w:r>
          </w:p>
        </w:tc>
        <w:tc>
          <w:tcPr>
            <w:tcW w:w="3285" w:type="dxa"/>
            <w:shd w:val="clear" w:color="auto" w:fill="auto"/>
          </w:tcPr>
          <w:p w14:paraId="739FEEDD" w14:textId="77777777" w:rsidR="00A80CF8" w:rsidRPr="00D724AC" w:rsidRDefault="00A80CF8" w:rsidP="00AC19D2">
            <w:pPr>
              <w:autoSpaceDE w:val="0"/>
              <w:autoSpaceDN w:val="0"/>
              <w:adjustRightInd w:val="0"/>
              <w:rPr>
                <w:snapToGrid w:val="0"/>
                <w:szCs w:val="22"/>
                <w:lang w:eastAsia="en-US"/>
              </w:rPr>
            </w:pPr>
            <w:r w:rsidRPr="00D724AC">
              <w:rPr>
                <w:rFonts w:eastAsia="Calibri"/>
                <w:szCs w:val="22"/>
              </w:rPr>
              <w:t>sumažėjęs kalio bei natrio kiekis kraujo serume</w:t>
            </w:r>
          </w:p>
        </w:tc>
      </w:tr>
      <w:tr w:rsidR="00A80CF8" w:rsidRPr="00D724AC" w14:paraId="22DE6612" w14:textId="77777777" w:rsidTr="00AC19D2">
        <w:tc>
          <w:tcPr>
            <w:tcW w:w="3284" w:type="dxa"/>
            <w:shd w:val="clear" w:color="auto" w:fill="auto"/>
          </w:tcPr>
          <w:p w14:paraId="40B62FEB"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i/>
                <w:iCs/>
                <w:szCs w:val="22"/>
              </w:rPr>
              <w:t>Širdies sutrikimai</w:t>
            </w:r>
          </w:p>
        </w:tc>
        <w:tc>
          <w:tcPr>
            <w:tcW w:w="3285" w:type="dxa"/>
            <w:shd w:val="clear" w:color="auto" w:fill="auto"/>
          </w:tcPr>
          <w:p w14:paraId="28592509"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Nedažni:</w:t>
            </w:r>
          </w:p>
        </w:tc>
        <w:tc>
          <w:tcPr>
            <w:tcW w:w="3285" w:type="dxa"/>
            <w:shd w:val="clear" w:color="auto" w:fill="auto"/>
          </w:tcPr>
          <w:p w14:paraId="7EEE9BDD"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apalpimas, hipotenzija, tachikardija, edema</w:t>
            </w:r>
          </w:p>
        </w:tc>
      </w:tr>
      <w:tr w:rsidR="00A80CF8" w:rsidRPr="00D724AC" w14:paraId="2BE5B338" w14:textId="77777777" w:rsidTr="00AC19D2">
        <w:tc>
          <w:tcPr>
            <w:tcW w:w="3284" w:type="dxa"/>
            <w:vMerge w:val="restart"/>
            <w:shd w:val="clear" w:color="auto" w:fill="auto"/>
          </w:tcPr>
          <w:p w14:paraId="48FE92E3"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i/>
                <w:iCs/>
                <w:szCs w:val="22"/>
              </w:rPr>
              <w:t>Nervų sistemos sutrikimai</w:t>
            </w:r>
          </w:p>
        </w:tc>
        <w:tc>
          <w:tcPr>
            <w:tcW w:w="3285" w:type="dxa"/>
            <w:shd w:val="clear" w:color="auto" w:fill="auto"/>
          </w:tcPr>
          <w:p w14:paraId="6955D9D7"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Dažni:</w:t>
            </w:r>
          </w:p>
        </w:tc>
        <w:tc>
          <w:tcPr>
            <w:tcW w:w="3285" w:type="dxa"/>
            <w:shd w:val="clear" w:color="auto" w:fill="auto"/>
          </w:tcPr>
          <w:p w14:paraId="1D9302F8"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svaigulys</w:t>
            </w:r>
          </w:p>
        </w:tc>
      </w:tr>
      <w:tr w:rsidR="00A80CF8" w:rsidRPr="00D724AC" w14:paraId="4FD73A0D" w14:textId="77777777" w:rsidTr="00AC19D2">
        <w:tc>
          <w:tcPr>
            <w:tcW w:w="3284" w:type="dxa"/>
            <w:vMerge/>
            <w:shd w:val="clear" w:color="auto" w:fill="auto"/>
          </w:tcPr>
          <w:p w14:paraId="26193DFE" w14:textId="77777777" w:rsidR="00A80CF8" w:rsidRPr="00D724AC" w:rsidRDefault="00A80CF8" w:rsidP="00AC19D2">
            <w:pPr>
              <w:tabs>
                <w:tab w:val="left" w:pos="567"/>
              </w:tabs>
              <w:contextualSpacing/>
              <w:outlineLvl w:val="0"/>
              <w:rPr>
                <w:snapToGrid w:val="0"/>
                <w:szCs w:val="22"/>
                <w:lang w:eastAsia="en-US"/>
              </w:rPr>
            </w:pPr>
          </w:p>
        </w:tc>
        <w:tc>
          <w:tcPr>
            <w:tcW w:w="3285" w:type="dxa"/>
            <w:shd w:val="clear" w:color="auto" w:fill="auto"/>
          </w:tcPr>
          <w:p w14:paraId="316BFA2A"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Nedažni:</w:t>
            </w:r>
          </w:p>
        </w:tc>
        <w:tc>
          <w:tcPr>
            <w:tcW w:w="3285" w:type="dxa"/>
            <w:shd w:val="clear" w:color="auto" w:fill="auto"/>
          </w:tcPr>
          <w:p w14:paraId="1668DC46"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ortostatinis svaigulys</w:t>
            </w:r>
          </w:p>
        </w:tc>
      </w:tr>
      <w:tr w:rsidR="00A80CF8" w:rsidRPr="00D724AC" w14:paraId="3EFB82A5" w14:textId="77777777" w:rsidTr="00AC19D2">
        <w:tc>
          <w:tcPr>
            <w:tcW w:w="3284" w:type="dxa"/>
            <w:vMerge/>
            <w:shd w:val="clear" w:color="auto" w:fill="auto"/>
          </w:tcPr>
          <w:p w14:paraId="0EDAEFA6" w14:textId="77777777" w:rsidR="00A80CF8" w:rsidRPr="00D724AC" w:rsidRDefault="00A80CF8" w:rsidP="00AC19D2">
            <w:pPr>
              <w:tabs>
                <w:tab w:val="left" w:pos="567"/>
              </w:tabs>
              <w:contextualSpacing/>
              <w:outlineLvl w:val="0"/>
              <w:rPr>
                <w:snapToGrid w:val="0"/>
                <w:szCs w:val="22"/>
                <w:lang w:eastAsia="en-US"/>
              </w:rPr>
            </w:pPr>
          </w:p>
        </w:tc>
        <w:tc>
          <w:tcPr>
            <w:tcW w:w="3285" w:type="dxa"/>
            <w:shd w:val="clear" w:color="auto" w:fill="auto"/>
          </w:tcPr>
          <w:p w14:paraId="00286E81" w14:textId="77777777" w:rsidR="00A80CF8" w:rsidRPr="00D724AC" w:rsidRDefault="00A80CF8" w:rsidP="00AC19D2">
            <w:pPr>
              <w:tabs>
                <w:tab w:val="left" w:pos="567"/>
              </w:tabs>
              <w:contextualSpacing/>
              <w:outlineLvl w:val="0"/>
              <w:rPr>
                <w:snapToGrid w:val="0"/>
                <w:szCs w:val="22"/>
                <w:lang w:eastAsia="en-US"/>
              </w:rPr>
            </w:pPr>
            <w:r w:rsidRPr="00D724AC">
              <w:rPr>
                <w:snapToGrid w:val="0"/>
                <w:szCs w:val="22"/>
                <w:lang w:eastAsia="en-US"/>
              </w:rPr>
              <w:t>Dažnis nežinomas:</w:t>
            </w:r>
          </w:p>
        </w:tc>
        <w:tc>
          <w:tcPr>
            <w:tcW w:w="3285" w:type="dxa"/>
            <w:shd w:val="clear" w:color="auto" w:fill="auto"/>
          </w:tcPr>
          <w:p w14:paraId="2A23EB02"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galvos skausmas</w:t>
            </w:r>
          </w:p>
        </w:tc>
      </w:tr>
      <w:tr w:rsidR="00A80CF8" w:rsidRPr="00D724AC" w14:paraId="47C5089E" w14:textId="77777777" w:rsidTr="00AC19D2">
        <w:tc>
          <w:tcPr>
            <w:tcW w:w="3284" w:type="dxa"/>
            <w:shd w:val="clear" w:color="auto" w:fill="auto"/>
          </w:tcPr>
          <w:p w14:paraId="51CFD0C7"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i/>
                <w:iCs/>
                <w:szCs w:val="22"/>
              </w:rPr>
              <w:t>Ausų ir labirintų sutrikimai</w:t>
            </w:r>
          </w:p>
        </w:tc>
        <w:tc>
          <w:tcPr>
            <w:tcW w:w="3285" w:type="dxa"/>
            <w:shd w:val="clear" w:color="auto" w:fill="auto"/>
          </w:tcPr>
          <w:p w14:paraId="2C893E28" w14:textId="77777777" w:rsidR="00A80CF8" w:rsidRPr="00D724AC" w:rsidRDefault="00A80CF8" w:rsidP="00AC19D2">
            <w:pPr>
              <w:tabs>
                <w:tab w:val="left" w:pos="567"/>
              </w:tabs>
              <w:contextualSpacing/>
              <w:outlineLvl w:val="0"/>
              <w:rPr>
                <w:snapToGrid w:val="0"/>
                <w:szCs w:val="22"/>
                <w:lang w:eastAsia="en-US"/>
              </w:rPr>
            </w:pPr>
            <w:r w:rsidRPr="00D724AC">
              <w:rPr>
                <w:snapToGrid w:val="0"/>
                <w:szCs w:val="22"/>
                <w:lang w:eastAsia="en-US"/>
              </w:rPr>
              <w:t>Dažnis nežinomas</w:t>
            </w:r>
            <w:r w:rsidRPr="00D724AC">
              <w:rPr>
                <w:rFonts w:eastAsia="Calibri"/>
                <w:szCs w:val="22"/>
              </w:rPr>
              <w:t>:</w:t>
            </w:r>
          </w:p>
        </w:tc>
        <w:tc>
          <w:tcPr>
            <w:tcW w:w="3285" w:type="dxa"/>
            <w:shd w:val="clear" w:color="auto" w:fill="auto"/>
          </w:tcPr>
          <w:p w14:paraId="28225289"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Ūžesys</w:t>
            </w:r>
            <w:r>
              <w:rPr>
                <w:rFonts w:eastAsia="Calibri"/>
                <w:szCs w:val="22"/>
              </w:rPr>
              <w:t xml:space="preserve"> (</w:t>
            </w:r>
            <w:r w:rsidRPr="00463C82">
              <w:rPr>
                <w:rFonts w:eastAsia="Calibri"/>
                <w:i/>
                <w:szCs w:val="22"/>
              </w:rPr>
              <w:t>tinnitus</w:t>
            </w:r>
            <w:r>
              <w:rPr>
                <w:rFonts w:eastAsia="Calibri"/>
                <w:szCs w:val="22"/>
              </w:rPr>
              <w:t>)</w:t>
            </w:r>
          </w:p>
        </w:tc>
      </w:tr>
      <w:tr w:rsidR="00A80CF8" w:rsidRPr="00D724AC" w14:paraId="56F58B7A" w14:textId="77777777" w:rsidTr="00AC19D2">
        <w:tc>
          <w:tcPr>
            <w:tcW w:w="3284" w:type="dxa"/>
            <w:shd w:val="clear" w:color="auto" w:fill="auto"/>
          </w:tcPr>
          <w:p w14:paraId="6CE86DBD" w14:textId="77777777" w:rsidR="00A80CF8" w:rsidRPr="00D724AC" w:rsidRDefault="00A80CF8" w:rsidP="00AC19D2">
            <w:pPr>
              <w:autoSpaceDE w:val="0"/>
              <w:autoSpaceDN w:val="0"/>
              <w:adjustRightInd w:val="0"/>
              <w:rPr>
                <w:snapToGrid w:val="0"/>
                <w:szCs w:val="22"/>
                <w:lang w:eastAsia="en-US"/>
              </w:rPr>
            </w:pPr>
            <w:r w:rsidRPr="00D724AC">
              <w:rPr>
                <w:rFonts w:eastAsia="Calibri"/>
                <w:i/>
                <w:iCs/>
                <w:szCs w:val="22"/>
              </w:rPr>
              <w:t>Kvėpavimo sistemos, krūtinės ląstos ir tarpuplaučio sutrikimai</w:t>
            </w:r>
          </w:p>
        </w:tc>
        <w:tc>
          <w:tcPr>
            <w:tcW w:w="3285" w:type="dxa"/>
            <w:shd w:val="clear" w:color="auto" w:fill="auto"/>
          </w:tcPr>
          <w:p w14:paraId="2BC6CB6C" w14:textId="77777777" w:rsidR="00A80CF8" w:rsidRPr="00D724AC" w:rsidRDefault="00A80CF8" w:rsidP="00AC19D2">
            <w:pPr>
              <w:tabs>
                <w:tab w:val="left" w:pos="567"/>
              </w:tabs>
              <w:contextualSpacing/>
              <w:outlineLvl w:val="0"/>
              <w:rPr>
                <w:snapToGrid w:val="0"/>
                <w:szCs w:val="22"/>
                <w:lang w:eastAsia="en-US"/>
              </w:rPr>
            </w:pPr>
            <w:r w:rsidRPr="00D724AC">
              <w:rPr>
                <w:snapToGrid w:val="0"/>
                <w:szCs w:val="22"/>
                <w:lang w:eastAsia="en-US"/>
              </w:rPr>
              <w:t>Dažnis nežinomas</w:t>
            </w:r>
            <w:r w:rsidRPr="00D724AC">
              <w:rPr>
                <w:rFonts w:eastAsia="Calibri"/>
                <w:szCs w:val="22"/>
              </w:rPr>
              <w:t>:</w:t>
            </w:r>
          </w:p>
        </w:tc>
        <w:tc>
          <w:tcPr>
            <w:tcW w:w="3285" w:type="dxa"/>
            <w:shd w:val="clear" w:color="auto" w:fill="auto"/>
          </w:tcPr>
          <w:p w14:paraId="0476A71C"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kosulys</w:t>
            </w:r>
          </w:p>
        </w:tc>
      </w:tr>
      <w:tr w:rsidR="00A80CF8" w:rsidRPr="00D724AC" w14:paraId="1A6823C3" w14:textId="77777777" w:rsidTr="00AC19D2">
        <w:tc>
          <w:tcPr>
            <w:tcW w:w="3284" w:type="dxa"/>
            <w:vMerge w:val="restart"/>
            <w:shd w:val="clear" w:color="auto" w:fill="auto"/>
          </w:tcPr>
          <w:p w14:paraId="24F4AAE7"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i/>
                <w:iCs/>
                <w:szCs w:val="22"/>
              </w:rPr>
              <w:t>Virškinimo trakto sutrikimai</w:t>
            </w:r>
          </w:p>
        </w:tc>
        <w:tc>
          <w:tcPr>
            <w:tcW w:w="3285" w:type="dxa"/>
            <w:shd w:val="clear" w:color="auto" w:fill="auto"/>
          </w:tcPr>
          <w:p w14:paraId="594D22C1"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Dažni:</w:t>
            </w:r>
          </w:p>
        </w:tc>
        <w:tc>
          <w:tcPr>
            <w:tcW w:w="3285" w:type="dxa"/>
            <w:shd w:val="clear" w:color="auto" w:fill="auto"/>
          </w:tcPr>
          <w:p w14:paraId="7F3B20D9"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pykinimas ar vėmimas</w:t>
            </w:r>
          </w:p>
        </w:tc>
      </w:tr>
      <w:tr w:rsidR="00A80CF8" w:rsidRPr="00D724AC" w14:paraId="29CB7D41" w14:textId="77777777" w:rsidTr="00AC19D2">
        <w:tc>
          <w:tcPr>
            <w:tcW w:w="3284" w:type="dxa"/>
            <w:vMerge/>
            <w:shd w:val="clear" w:color="auto" w:fill="auto"/>
          </w:tcPr>
          <w:p w14:paraId="2830BE4B" w14:textId="77777777" w:rsidR="00A80CF8" w:rsidRPr="00D724AC" w:rsidRDefault="00A80CF8" w:rsidP="00AC19D2">
            <w:pPr>
              <w:tabs>
                <w:tab w:val="left" w:pos="567"/>
              </w:tabs>
              <w:contextualSpacing/>
              <w:outlineLvl w:val="0"/>
              <w:rPr>
                <w:snapToGrid w:val="0"/>
                <w:szCs w:val="22"/>
                <w:lang w:eastAsia="en-US"/>
              </w:rPr>
            </w:pPr>
          </w:p>
        </w:tc>
        <w:tc>
          <w:tcPr>
            <w:tcW w:w="3285" w:type="dxa"/>
            <w:shd w:val="clear" w:color="auto" w:fill="auto"/>
          </w:tcPr>
          <w:p w14:paraId="7100FD8A"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Nedažni:</w:t>
            </w:r>
          </w:p>
        </w:tc>
        <w:tc>
          <w:tcPr>
            <w:tcW w:w="3285" w:type="dxa"/>
            <w:shd w:val="clear" w:color="auto" w:fill="auto"/>
          </w:tcPr>
          <w:p w14:paraId="4E0B7D1C"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viduriavimas</w:t>
            </w:r>
          </w:p>
        </w:tc>
      </w:tr>
      <w:tr w:rsidR="00A80CF8" w:rsidRPr="00D724AC" w14:paraId="5E82759B" w14:textId="77777777" w:rsidTr="00AC19D2">
        <w:tc>
          <w:tcPr>
            <w:tcW w:w="3284" w:type="dxa"/>
            <w:vMerge/>
            <w:shd w:val="clear" w:color="auto" w:fill="auto"/>
          </w:tcPr>
          <w:p w14:paraId="7E90F788" w14:textId="77777777" w:rsidR="00A80CF8" w:rsidRPr="00D724AC" w:rsidRDefault="00A80CF8" w:rsidP="00AC19D2">
            <w:pPr>
              <w:tabs>
                <w:tab w:val="left" w:pos="567"/>
              </w:tabs>
              <w:contextualSpacing/>
              <w:outlineLvl w:val="0"/>
              <w:rPr>
                <w:snapToGrid w:val="0"/>
                <w:szCs w:val="22"/>
                <w:lang w:eastAsia="en-US"/>
              </w:rPr>
            </w:pPr>
          </w:p>
        </w:tc>
        <w:tc>
          <w:tcPr>
            <w:tcW w:w="3285" w:type="dxa"/>
            <w:shd w:val="clear" w:color="auto" w:fill="auto"/>
          </w:tcPr>
          <w:p w14:paraId="1A752334" w14:textId="77777777" w:rsidR="00A80CF8" w:rsidRPr="00D724AC" w:rsidRDefault="00A80CF8" w:rsidP="00AC19D2">
            <w:pPr>
              <w:tabs>
                <w:tab w:val="left" w:pos="567"/>
              </w:tabs>
              <w:contextualSpacing/>
              <w:outlineLvl w:val="0"/>
              <w:rPr>
                <w:snapToGrid w:val="0"/>
                <w:szCs w:val="22"/>
                <w:lang w:eastAsia="en-US"/>
              </w:rPr>
            </w:pPr>
            <w:r w:rsidRPr="00D724AC">
              <w:rPr>
                <w:snapToGrid w:val="0"/>
                <w:szCs w:val="22"/>
                <w:lang w:eastAsia="en-US"/>
              </w:rPr>
              <w:t>Dažnis nežinomas:</w:t>
            </w:r>
          </w:p>
        </w:tc>
        <w:tc>
          <w:tcPr>
            <w:tcW w:w="3285" w:type="dxa"/>
            <w:shd w:val="clear" w:color="auto" w:fill="auto"/>
          </w:tcPr>
          <w:p w14:paraId="1AD4530A"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dispepsija, sutrikęs skonio jutimas</w:t>
            </w:r>
          </w:p>
        </w:tc>
      </w:tr>
      <w:tr w:rsidR="00A80CF8" w:rsidRPr="00D724AC" w14:paraId="2D15E3FB" w14:textId="77777777" w:rsidTr="00AC19D2">
        <w:tc>
          <w:tcPr>
            <w:tcW w:w="3284" w:type="dxa"/>
            <w:vMerge w:val="restart"/>
            <w:shd w:val="clear" w:color="auto" w:fill="auto"/>
          </w:tcPr>
          <w:p w14:paraId="4DE6A661" w14:textId="77777777" w:rsidR="00A80CF8" w:rsidRPr="00D724AC" w:rsidRDefault="00A80CF8" w:rsidP="00AC19D2">
            <w:pPr>
              <w:autoSpaceDE w:val="0"/>
              <w:autoSpaceDN w:val="0"/>
              <w:adjustRightInd w:val="0"/>
              <w:rPr>
                <w:snapToGrid w:val="0"/>
                <w:szCs w:val="22"/>
                <w:lang w:eastAsia="en-US"/>
              </w:rPr>
            </w:pPr>
            <w:r w:rsidRPr="00D724AC">
              <w:rPr>
                <w:rFonts w:eastAsia="Calibri"/>
                <w:i/>
                <w:iCs/>
                <w:szCs w:val="22"/>
              </w:rPr>
              <w:t>Inkstų ir šlapimo takų sutrikimai</w:t>
            </w:r>
          </w:p>
        </w:tc>
        <w:tc>
          <w:tcPr>
            <w:tcW w:w="3285" w:type="dxa"/>
            <w:shd w:val="clear" w:color="auto" w:fill="auto"/>
          </w:tcPr>
          <w:p w14:paraId="2489C6BC"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Dažni:</w:t>
            </w:r>
          </w:p>
        </w:tc>
        <w:tc>
          <w:tcPr>
            <w:tcW w:w="3285" w:type="dxa"/>
            <w:shd w:val="clear" w:color="auto" w:fill="auto"/>
          </w:tcPr>
          <w:p w14:paraId="5499D890" w14:textId="77777777" w:rsidR="00A80CF8" w:rsidRPr="00D724AC" w:rsidRDefault="00A80CF8" w:rsidP="00AC19D2">
            <w:pPr>
              <w:autoSpaceDE w:val="0"/>
              <w:autoSpaceDN w:val="0"/>
              <w:adjustRightInd w:val="0"/>
              <w:rPr>
                <w:snapToGrid w:val="0"/>
                <w:szCs w:val="22"/>
                <w:lang w:eastAsia="en-US"/>
              </w:rPr>
            </w:pPr>
            <w:r w:rsidRPr="00D724AC">
              <w:rPr>
                <w:rFonts w:eastAsia="Calibri"/>
                <w:szCs w:val="22"/>
              </w:rPr>
              <w:t>sutrikęs šlapinimasis</w:t>
            </w:r>
          </w:p>
        </w:tc>
      </w:tr>
      <w:tr w:rsidR="00A80CF8" w:rsidRPr="00D724AC" w14:paraId="7EF67FD5" w14:textId="77777777" w:rsidTr="00AC19D2">
        <w:tc>
          <w:tcPr>
            <w:tcW w:w="3284" w:type="dxa"/>
            <w:vMerge/>
            <w:shd w:val="clear" w:color="auto" w:fill="auto"/>
          </w:tcPr>
          <w:p w14:paraId="3BD7DB97" w14:textId="77777777" w:rsidR="00A80CF8" w:rsidRPr="00D724AC" w:rsidRDefault="00A80CF8" w:rsidP="00AC19D2">
            <w:pPr>
              <w:tabs>
                <w:tab w:val="left" w:pos="567"/>
              </w:tabs>
              <w:contextualSpacing/>
              <w:outlineLvl w:val="0"/>
              <w:rPr>
                <w:snapToGrid w:val="0"/>
                <w:szCs w:val="22"/>
                <w:lang w:eastAsia="en-US"/>
              </w:rPr>
            </w:pPr>
          </w:p>
        </w:tc>
        <w:tc>
          <w:tcPr>
            <w:tcW w:w="3285" w:type="dxa"/>
            <w:shd w:val="clear" w:color="auto" w:fill="auto"/>
          </w:tcPr>
          <w:p w14:paraId="63100DAA" w14:textId="77777777" w:rsidR="00A80CF8" w:rsidRPr="00D724AC" w:rsidRDefault="00A80CF8" w:rsidP="00AC19D2">
            <w:pPr>
              <w:tabs>
                <w:tab w:val="left" w:pos="567"/>
              </w:tabs>
              <w:contextualSpacing/>
              <w:outlineLvl w:val="0"/>
              <w:rPr>
                <w:snapToGrid w:val="0"/>
                <w:szCs w:val="22"/>
                <w:lang w:eastAsia="en-US"/>
              </w:rPr>
            </w:pPr>
            <w:r w:rsidRPr="00D724AC">
              <w:rPr>
                <w:snapToGrid w:val="0"/>
                <w:szCs w:val="22"/>
                <w:lang w:eastAsia="en-US"/>
              </w:rPr>
              <w:t>Dažnis nežinomas</w:t>
            </w:r>
            <w:r w:rsidRPr="00D724AC">
              <w:rPr>
                <w:rFonts w:eastAsia="Calibri"/>
                <w:szCs w:val="22"/>
              </w:rPr>
              <w:t>:</w:t>
            </w:r>
          </w:p>
        </w:tc>
        <w:tc>
          <w:tcPr>
            <w:tcW w:w="3285" w:type="dxa"/>
            <w:shd w:val="clear" w:color="auto" w:fill="auto"/>
          </w:tcPr>
          <w:p w14:paraId="79E91C7A" w14:textId="77777777" w:rsidR="00A80CF8" w:rsidRPr="00D724AC" w:rsidRDefault="00A80CF8" w:rsidP="00AC19D2">
            <w:pPr>
              <w:autoSpaceDE w:val="0"/>
              <w:autoSpaceDN w:val="0"/>
              <w:adjustRightInd w:val="0"/>
              <w:rPr>
                <w:snapToGrid w:val="0"/>
                <w:szCs w:val="22"/>
                <w:lang w:eastAsia="en-US"/>
              </w:rPr>
            </w:pPr>
            <w:r w:rsidRPr="00D724AC">
              <w:rPr>
                <w:rFonts w:eastAsia="Calibri"/>
                <w:szCs w:val="22"/>
              </w:rPr>
              <w:t>inkstų funkcijos sutrikimas, įskaitant pavienius inkstų nepakankamumo atvejus rizikos grupės pacientams (žr. 4.4 skyrių)</w:t>
            </w:r>
          </w:p>
        </w:tc>
      </w:tr>
      <w:tr w:rsidR="00A80CF8" w:rsidRPr="00D724AC" w14:paraId="31E96D1D" w14:textId="77777777" w:rsidTr="00AC19D2">
        <w:tc>
          <w:tcPr>
            <w:tcW w:w="3284" w:type="dxa"/>
            <w:vMerge w:val="restart"/>
            <w:shd w:val="clear" w:color="auto" w:fill="auto"/>
          </w:tcPr>
          <w:p w14:paraId="519316F9" w14:textId="77777777" w:rsidR="00A80CF8" w:rsidRPr="00D724AC" w:rsidRDefault="00A80CF8" w:rsidP="00AC19D2">
            <w:pPr>
              <w:autoSpaceDE w:val="0"/>
              <w:autoSpaceDN w:val="0"/>
              <w:adjustRightInd w:val="0"/>
              <w:rPr>
                <w:snapToGrid w:val="0"/>
                <w:szCs w:val="22"/>
                <w:lang w:eastAsia="en-US"/>
              </w:rPr>
            </w:pPr>
            <w:r w:rsidRPr="00D724AC">
              <w:rPr>
                <w:rFonts w:eastAsia="Calibri"/>
                <w:i/>
                <w:iCs/>
                <w:szCs w:val="22"/>
              </w:rPr>
              <w:t>Skeleto, raumenų ir jungiamojo audinio sutrikimai</w:t>
            </w:r>
          </w:p>
        </w:tc>
        <w:tc>
          <w:tcPr>
            <w:tcW w:w="3285" w:type="dxa"/>
            <w:shd w:val="clear" w:color="auto" w:fill="auto"/>
          </w:tcPr>
          <w:p w14:paraId="12E52D65"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Nedažni:</w:t>
            </w:r>
          </w:p>
        </w:tc>
        <w:tc>
          <w:tcPr>
            <w:tcW w:w="3285" w:type="dxa"/>
            <w:shd w:val="clear" w:color="auto" w:fill="auto"/>
          </w:tcPr>
          <w:p w14:paraId="7D0B347C" w14:textId="77777777" w:rsidR="00A80CF8" w:rsidRPr="00D724AC" w:rsidRDefault="00A80CF8" w:rsidP="00AC19D2">
            <w:pPr>
              <w:autoSpaceDE w:val="0"/>
              <w:autoSpaceDN w:val="0"/>
              <w:adjustRightInd w:val="0"/>
              <w:rPr>
                <w:snapToGrid w:val="0"/>
                <w:szCs w:val="22"/>
                <w:lang w:eastAsia="en-US"/>
              </w:rPr>
            </w:pPr>
            <w:r w:rsidRPr="00D724AC">
              <w:rPr>
                <w:rFonts w:eastAsia="Calibri"/>
                <w:szCs w:val="22"/>
              </w:rPr>
              <w:t>galūnių patinimas</w:t>
            </w:r>
          </w:p>
        </w:tc>
      </w:tr>
      <w:tr w:rsidR="00A80CF8" w:rsidRPr="00D724AC" w14:paraId="693D125F" w14:textId="77777777" w:rsidTr="00AC19D2">
        <w:tc>
          <w:tcPr>
            <w:tcW w:w="3284" w:type="dxa"/>
            <w:vMerge/>
            <w:shd w:val="clear" w:color="auto" w:fill="auto"/>
          </w:tcPr>
          <w:p w14:paraId="630BB2F2" w14:textId="77777777" w:rsidR="00A80CF8" w:rsidRPr="00D724AC" w:rsidRDefault="00A80CF8" w:rsidP="00AC19D2">
            <w:pPr>
              <w:tabs>
                <w:tab w:val="left" w:pos="567"/>
              </w:tabs>
              <w:contextualSpacing/>
              <w:outlineLvl w:val="0"/>
              <w:rPr>
                <w:snapToGrid w:val="0"/>
                <w:szCs w:val="22"/>
                <w:lang w:eastAsia="en-US"/>
              </w:rPr>
            </w:pPr>
          </w:p>
        </w:tc>
        <w:tc>
          <w:tcPr>
            <w:tcW w:w="3285" w:type="dxa"/>
            <w:shd w:val="clear" w:color="auto" w:fill="auto"/>
          </w:tcPr>
          <w:p w14:paraId="52DCDDB5" w14:textId="77777777" w:rsidR="00A80CF8" w:rsidRPr="00D724AC" w:rsidRDefault="00A80CF8" w:rsidP="00AC19D2">
            <w:pPr>
              <w:tabs>
                <w:tab w:val="left" w:pos="567"/>
              </w:tabs>
              <w:contextualSpacing/>
              <w:outlineLvl w:val="0"/>
              <w:rPr>
                <w:snapToGrid w:val="0"/>
                <w:szCs w:val="22"/>
                <w:lang w:eastAsia="en-US"/>
              </w:rPr>
            </w:pPr>
            <w:r w:rsidRPr="00D724AC">
              <w:rPr>
                <w:snapToGrid w:val="0"/>
                <w:szCs w:val="22"/>
                <w:lang w:eastAsia="en-US"/>
              </w:rPr>
              <w:t>Dažnis nežinomas</w:t>
            </w:r>
            <w:r w:rsidRPr="00D724AC">
              <w:rPr>
                <w:rFonts w:eastAsia="Calibri"/>
                <w:szCs w:val="22"/>
              </w:rPr>
              <w:t>:</w:t>
            </w:r>
          </w:p>
        </w:tc>
        <w:tc>
          <w:tcPr>
            <w:tcW w:w="3285" w:type="dxa"/>
            <w:shd w:val="clear" w:color="auto" w:fill="auto"/>
          </w:tcPr>
          <w:p w14:paraId="7E3242E4" w14:textId="77777777" w:rsidR="00A80CF8" w:rsidRPr="00D724AC" w:rsidRDefault="00A80CF8" w:rsidP="00AC19D2">
            <w:pPr>
              <w:autoSpaceDE w:val="0"/>
              <w:autoSpaceDN w:val="0"/>
              <w:adjustRightInd w:val="0"/>
              <w:rPr>
                <w:snapToGrid w:val="0"/>
                <w:szCs w:val="22"/>
                <w:lang w:eastAsia="en-US"/>
              </w:rPr>
            </w:pPr>
            <w:r w:rsidRPr="00D724AC">
              <w:rPr>
                <w:rFonts w:eastAsia="Calibri"/>
                <w:szCs w:val="22"/>
              </w:rPr>
              <w:t>sąnarių ar raumenų skausmas</w:t>
            </w:r>
          </w:p>
        </w:tc>
      </w:tr>
      <w:tr w:rsidR="00A80CF8" w:rsidRPr="00D724AC" w14:paraId="1E4CE7C2" w14:textId="77777777" w:rsidTr="00AC19D2">
        <w:tc>
          <w:tcPr>
            <w:tcW w:w="3284" w:type="dxa"/>
            <w:shd w:val="clear" w:color="auto" w:fill="auto"/>
          </w:tcPr>
          <w:p w14:paraId="66F6B5EE" w14:textId="77777777" w:rsidR="00A80CF8" w:rsidRPr="00D724AC" w:rsidRDefault="00A80CF8" w:rsidP="00AC19D2">
            <w:pPr>
              <w:autoSpaceDE w:val="0"/>
              <w:autoSpaceDN w:val="0"/>
              <w:adjustRightInd w:val="0"/>
              <w:rPr>
                <w:snapToGrid w:val="0"/>
                <w:szCs w:val="22"/>
                <w:lang w:eastAsia="en-US"/>
              </w:rPr>
            </w:pPr>
            <w:r w:rsidRPr="00D724AC">
              <w:rPr>
                <w:rFonts w:eastAsia="Calibri"/>
                <w:i/>
                <w:iCs/>
                <w:szCs w:val="22"/>
              </w:rPr>
              <w:t>Metabolizmo ir mitybos sutrikimai</w:t>
            </w:r>
          </w:p>
        </w:tc>
        <w:tc>
          <w:tcPr>
            <w:tcW w:w="3285" w:type="dxa"/>
            <w:shd w:val="clear" w:color="auto" w:fill="auto"/>
          </w:tcPr>
          <w:p w14:paraId="21AE4920" w14:textId="77777777" w:rsidR="00A80CF8" w:rsidRPr="00D724AC" w:rsidRDefault="00A80CF8" w:rsidP="00AC19D2">
            <w:pPr>
              <w:tabs>
                <w:tab w:val="left" w:pos="567"/>
              </w:tabs>
              <w:contextualSpacing/>
              <w:outlineLvl w:val="0"/>
              <w:rPr>
                <w:snapToGrid w:val="0"/>
                <w:szCs w:val="22"/>
                <w:lang w:eastAsia="en-US"/>
              </w:rPr>
            </w:pPr>
            <w:r w:rsidRPr="00D724AC">
              <w:rPr>
                <w:snapToGrid w:val="0"/>
                <w:szCs w:val="22"/>
                <w:lang w:eastAsia="en-US"/>
              </w:rPr>
              <w:t>Dažnis nežinomas</w:t>
            </w:r>
            <w:r w:rsidRPr="00D724AC">
              <w:rPr>
                <w:rFonts w:eastAsia="Calibri"/>
                <w:szCs w:val="22"/>
              </w:rPr>
              <w:t>:</w:t>
            </w:r>
          </w:p>
        </w:tc>
        <w:tc>
          <w:tcPr>
            <w:tcW w:w="3285" w:type="dxa"/>
            <w:shd w:val="clear" w:color="auto" w:fill="auto"/>
          </w:tcPr>
          <w:p w14:paraId="3638060D"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hiperkalemija</w:t>
            </w:r>
          </w:p>
        </w:tc>
      </w:tr>
      <w:tr w:rsidR="00A80CF8" w:rsidRPr="00D724AC" w14:paraId="7049A4A4" w14:textId="77777777" w:rsidTr="00AC19D2">
        <w:tc>
          <w:tcPr>
            <w:tcW w:w="3284" w:type="dxa"/>
            <w:shd w:val="clear" w:color="auto" w:fill="auto"/>
          </w:tcPr>
          <w:p w14:paraId="0763B873" w14:textId="77777777" w:rsidR="00A80CF8" w:rsidRPr="00D724AC" w:rsidRDefault="00A80CF8" w:rsidP="00AC19D2">
            <w:pPr>
              <w:autoSpaceDE w:val="0"/>
              <w:autoSpaceDN w:val="0"/>
              <w:adjustRightInd w:val="0"/>
              <w:rPr>
                <w:snapToGrid w:val="0"/>
                <w:szCs w:val="22"/>
                <w:lang w:eastAsia="en-US"/>
              </w:rPr>
            </w:pPr>
            <w:r w:rsidRPr="00D724AC">
              <w:rPr>
                <w:rFonts w:eastAsia="Calibri"/>
                <w:i/>
                <w:iCs/>
                <w:szCs w:val="22"/>
              </w:rPr>
              <w:t>Kraujagyslių sutrikimai</w:t>
            </w:r>
          </w:p>
        </w:tc>
        <w:tc>
          <w:tcPr>
            <w:tcW w:w="3285" w:type="dxa"/>
            <w:shd w:val="clear" w:color="auto" w:fill="auto"/>
          </w:tcPr>
          <w:p w14:paraId="17A7C562"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Nedažni:</w:t>
            </w:r>
          </w:p>
        </w:tc>
        <w:tc>
          <w:tcPr>
            <w:tcW w:w="3285" w:type="dxa"/>
            <w:shd w:val="clear" w:color="auto" w:fill="auto"/>
          </w:tcPr>
          <w:p w14:paraId="1A4BFD85"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kraujo priplūdimas į kaklą ir veidą</w:t>
            </w:r>
          </w:p>
        </w:tc>
      </w:tr>
      <w:tr w:rsidR="00A80CF8" w:rsidRPr="00D724AC" w14:paraId="071EF3C7" w14:textId="77777777" w:rsidTr="00AC19D2">
        <w:tc>
          <w:tcPr>
            <w:tcW w:w="3284" w:type="dxa"/>
            <w:shd w:val="clear" w:color="auto" w:fill="auto"/>
          </w:tcPr>
          <w:p w14:paraId="543E12CD" w14:textId="77777777" w:rsidR="00A80CF8" w:rsidRPr="00D724AC" w:rsidRDefault="00A80CF8" w:rsidP="00AC19D2">
            <w:pPr>
              <w:autoSpaceDE w:val="0"/>
              <w:autoSpaceDN w:val="0"/>
              <w:adjustRightInd w:val="0"/>
              <w:rPr>
                <w:snapToGrid w:val="0"/>
                <w:szCs w:val="22"/>
                <w:lang w:eastAsia="en-US"/>
              </w:rPr>
            </w:pPr>
            <w:r w:rsidRPr="00D724AC">
              <w:rPr>
                <w:rFonts w:eastAsia="Calibri"/>
                <w:i/>
                <w:iCs/>
                <w:szCs w:val="22"/>
              </w:rPr>
              <w:t>Bendrieji sutrikimai ir vartojimo vietos pažeidimai</w:t>
            </w:r>
          </w:p>
        </w:tc>
        <w:tc>
          <w:tcPr>
            <w:tcW w:w="3285" w:type="dxa"/>
            <w:shd w:val="clear" w:color="auto" w:fill="auto"/>
          </w:tcPr>
          <w:p w14:paraId="6C64199D"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Dažni:</w:t>
            </w:r>
          </w:p>
        </w:tc>
        <w:tc>
          <w:tcPr>
            <w:tcW w:w="3285" w:type="dxa"/>
            <w:shd w:val="clear" w:color="auto" w:fill="auto"/>
          </w:tcPr>
          <w:p w14:paraId="57377F64"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nuovargis</w:t>
            </w:r>
          </w:p>
        </w:tc>
      </w:tr>
      <w:tr w:rsidR="00A80CF8" w:rsidRPr="00D724AC" w14:paraId="4C81753C" w14:textId="77777777" w:rsidTr="00AC19D2">
        <w:tc>
          <w:tcPr>
            <w:tcW w:w="3284" w:type="dxa"/>
            <w:shd w:val="clear" w:color="auto" w:fill="auto"/>
          </w:tcPr>
          <w:p w14:paraId="497AC19B" w14:textId="77777777" w:rsidR="00A80CF8" w:rsidRPr="00D724AC" w:rsidRDefault="00A80CF8" w:rsidP="00AC19D2">
            <w:pPr>
              <w:autoSpaceDE w:val="0"/>
              <w:autoSpaceDN w:val="0"/>
              <w:adjustRightInd w:val="0"/>
              <w:rPr>
                <w:snapToGrid w:val="0"/>
                <w:szCs w:val="22"/>
                <w:lang w:eastAsia="en-US"/>
              </w:rPr>
            </w:pPr>
            <w:r w:rsidRPr="00D724AC">
              <w:rPr>
                <w:rFonts w:eastAsia="Calibri"/>
                <w:i/>
                <w:iCs/>
                <w:szCs w:val="22"/>
              </w:rPr>
              <w:t>Imuninės sistemos sutrikimai</w:t>
            </w:r>
          </w:p>
        </w:tc>
        <w:tc>
          <w:tcPr>
            <w:tcW w:w="3285" w:type="dxa"/>
            <w:shd w:val="clear" w:color="auto" w:fill="auto"/>
          </w:tcPr>
          <w:p w14:paraId="05622683" w14:textId="77777777" w:rsidR="00A80CF8" w:rsidRPr="00D724AC" w:rsidRDefault="00A80CF8" w:rsidP="00AC19D2">
            <w:pPr>
              <w:tabs>
                <w:tab w:val="left" w:pos="567"/>
              </w:tabs>
              <w:contextualSpacing/>
              <w:outlineLvl w:val="0"/>
              <w:rPr>
                <w:snapToGrid w:val="0"/>
                <w:szCs w:val="22"/>
                <w:lang w:eastAsia="en-US"/>
              </w:rPr>
            </w:pPr>
            <w:r w:rsidRPr="00D724AC">
              <w:rPr>
                <w:snapToGrid w:val="0"/>
                <w:szCs w:val="22"/>
                <w:lang w:eastAsia="en-US"/>
              </w:rPr>
              <w:t>Dažnis nežinomas</w:t>
            </w:r>
            <w:r w:rsidRPr="00D724AC">
              <w:rPr>
                <w:rFonts w:eastAsia="Calibri"/>
                <w:szCs w:val="22"/>
              </w:rPr>
              <w:t>:</w:t>
            </w:r>
          </w:p>
        </w:tc>
        <w:tc>
          <w:tcPr>
            <w:tcW w:w="3285" w:type="dxa"/>
            <w:shd w:val="clear" w:color="auto" w:fill="auto"/>
          </w:tcPr>
          <w:p w14:paraId="216C22D8" w14:textId="77777777" w:rsidR="00A80CF8" w:rsidRPr="00D724AC" w:rsidRDefault="00A80CF8" w:rsidP="00AC19D2">
            <w:pPr>
              <w:autoSpaceDE w:val="0"/>
              <w:autoSpaceDN w:val="0"/>
              <w:adjustRightInd w:val="0"/>
              <w:rPr>
                <w:snapToGrid w:val="0"/>
                <w:szCs w:val="22"/>
                <w:lang w:eastAsia="en-US"/>
              </w:rPr>
            </w:pPr>
            <w:r w:rsidRPr="00D724AC">
              <w:rPr>
                <w:rFonts w:eastAsia="Calibri"/>
                <w:szCs w:val="22"/>
              </w:rPr>
              <w:t>padidėjusio jautrumo reakcija, pvz., angioneurozinė edema, bėrimas, dilgėlinė</w:t>
            </w:r>
          </w:p>
        </w:tc>
      </w:tr>
      <w:tr w:rsidR="00A80CF8" w:rsidRPr="00D724AC" w14:paraId="05941F07" w14:textId="77777777" w:rsidTr="00AC19D2">
        <w:tc>
          <w:tcPr>
            <w:tcW w:w="3284" w:type="dxa"/>
            <w:vMerge w:val="restart"/>
            <w:shd w:val="clear" w:color="auto" w:fill="auto"/>
          </w:tcPr>
          <w:p w14:paraId="1D7B648D" w14:textId="77777777" w:rsidR="00A80CF8" w:rsidRPr="00D724AC" w:rsidRDefault="00A80CF8" w:rsidP="00AC19D2">
            <w:pPr>
              <w:autoSpaceDE w:val="0"/>
              <w:autoSpaceDN w:val="0"/>
              <w:adjustRightInd w:val="0"/>
              <w:rPr>
                <w:snapToGrid w:val="0"/>
                <w:szCs w:val="22"/>
                <w:lang w:eastAsia="en-US"/>
              </w:rPr>
            </w:pPr>
            <w:r w:rsidRPr="00D724AC">
              <w:rPr>
                <w:rFonts w:eastAsia="Calibri"/>
                <w:i/>
                <w:iCs/>
                <w:szCs w:val="22"/>
              </w:rPr>
              <w:t>Kepenų, tulžies pūslės ir latakų sutrikimai</w:t>
            </w:r>
          </w:p>
        </w:tc>
        <w:tc>
          <w:tcPr>
            <w:tcW w:w="3285" w:type="dxa"/>
            <w:shd w:val="clear" w:color="auto" w:fill="auto"/>
          </w:tcPr>
          <w:p w14:paraId="21CD4253"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Nedažni:</w:t>
            </w:r>
          </w:p>
        </w:tc>
        <w:tc>
          <w:tcPr>
            <w:tcW w:w="3285" w:type="dxa"/>
            <w:shd w:val="clear" w:color="auto" w:fill="auto"/>
          </w:tcPr>
          <w:p w14:paraId="5A764078" w14:textId="77777777" w:rsidR="00A80CF8" w:rsidRPr="00D724AC" w:rsidRDefault="00A80CF8" w:rsidP="00AC19D2">
            <w:pPr>
              <w:autoSpaceDE w:val="0"/>
              <w:autoSpaceDN w:val="0"/>
              <w:adjustRightInd w:val="0"/>
              <w:rPr>
                <w:snapToGrid w:val="0"/>
                <w:szCs w:val="22"/>
                <w:lang w:eastAsia="en-US"/>
              </w:rPr>
            </w:pPr>
            <w:r w:rsidRPr="00D724AC">
              <w:rPr>
                <w:snapToGrid w:val="0"/>
                <w:szCs w:val="22"/>
                <w:lang w:eastAsia="en-US"/>
              </w:rPr>
              <w:t>gelta</w:t>
            </w:r>
          </w:p>
        </w:tc>
      </w:tr>
      <w:tr w:rsidR="00A80CF8" w:rsidRPr="00D724AC" w14:paraId="60A5268C" w14:textId="77777777" w:rsidTr="00AC19D2">
        <w:tc>
          <w:tcPr>
            <w:tcW w:w="3284" w:type="dxa"/>
            <w:vMerge/>
            <w:shd w:val="clear" w:color="auto" w:fill="auto"/>
          </w:tcPr>
          <w:p w14:paraId="1E770472" w14:textId="77777777" w:rsidR="00A80CF8" w:rsidRPr="00D724AC" w:rsidRDefault="00A80CF8" w:rsidP="00AC19D2">
            <w:pPr>
              <w:tabs>
                <w:tab w:val="left" w:pos="567"/>
              </w:tabs>
              <w:contextualSpacing/>
              <w:outlineLvl w:val="0"/>
              <w:rPr>
                <w:snapToGrid w:val="0"/>
                <w:szCs w:val="22"/>
                <w:lang w:eastAsia="en-US"/>
              </w:rPr>
            </w:pPr>
          </w:p>
        </w:tc>
        <w:tc>
          <w:tcPr>
            <w:tcW w:w="3285" w:type="dxa"/>
            <w:shd w:val="clear" w:color="auto" w:fill="auto"/>
          </w:tcPr>
          <w:p w14:paraId="56F24608" w14:textId="77777777" w:rsidR="00A80CF8" w:rsidRPr="00D724AC" w:rsidRDefault="00A80CF8" w:rsidP="00AC19D2">
            <w:pPr>
              <w:tabs>
                <w:tab w:val="left" w:pos="567"/>
              </w:tabs>
              <w:contextualSpacing/>
              <w:outlineLvl w:val="0"/>
              <w:rPr>
                <w:snapToGrid w:val="0"/>
                <w:szCs w:val="22"/>
                <w:lang w:eastAsia="en-US"/>
              </w:rPr>
            </w:pPr>
            <w:r w:rsidRPr="00D724AC">
              <w:rPr>
                <w:snapToGrid w:val="0"/>
                <w:szCs w:val="22"/>
                <w:lang w:eastAsia="en-US"/>
              </w:rPr>
              <w:t>Dažnis nežinomas</w:t>
            </w:r>
            <w:r w:rsidRPr="00D724AC">
              <w:rPr>
                <w:rFonts w:eastAsia="Calibri"/>
                <w:szCs w:val="22"/>
              </w:rPr>
              <w:t>:</w:t>
            </w:r>
          </w:p>
        </w:tc>
        <w:tc>
          <w:tcPr>
            <w:tcW w:w="3285" w:type="dxa"/>
            <w:shd w:val="clear" w:color="auto" w:fill="auto"/>
          </w:tcPr>
          <w:p w14:paraId="277578B9" w14:textId="77777777" w:rsidR="00A80CF8" w:rsidRPr="00D724AC" w:rsidRDefault="00A80CF8" w:rsidP="00AC19D2">
            <w:pPr>
              <w:autoSpaceDE w:val="0"/>
              <w:autoSpaceDN w:val="0"/>
              <w:adjustRightInd w:val="0"/>
              <w:rPr>
                <w:snapToGrid w:val="0"/>
                <w:szCs w:val="22"/>
                <w:lang w:eastAsia="en-US"/>
              </w:rPr>
            </w:pPr>
            <w:r w:rsidRPr="00D724AC">
              <w:rPr>
                <w:rFonts w:eastAsia="Calibri"/>
                <w:szCs w:val="22"/>
              </w:rPr>
              <w:t>hepatitas, kepenų funkcijos sutrikimas</w:t>
            </w:r>
          </w:p>
        </w:tc>
      </w:tr>
      <w:tr w:rsidR="00A80CF8" w:rsidRPr="00D724AC" w14:paraId="754BCD5A" w14:textId="77777777" w:rsidTr="00AC19D2">
        <w:tc>
          <w:tcPr>
            <w:tcW w:w="3284" w:type="dxa"/>
            <w:shd w:val="clear" w:color="auto" w:fill="auto"/>
          </w:tcPr>
          <w:p w14:paraId="3AC4C4CB" w14:textId="77777777" w:rsidR="00A80CF8" w:rsidRPr="00D724AC" w:rsidRDefault="00A80CF8" w:rsidP="00AC19D2">
            <w:pPr>
              <w:autoSpaceDE w:val="0"/>
              <w:autoSpaceDN w:val="0"/>
              <w:adjustRightInd w:val="0"/>
              <w:rPr>
                <w:snapToGrid w:val="0"/>
                <w:szCs w:val="22"/>
                <w:lang w:eastAsia="en-US"/>
              </w:rPr>
            </w:pPr>
            <w:r w:rsidRPr="00D724AC">
              <w:rPr>
                <w:rFonts w:eastAsia="Calibri"/>
                <w:i/>
                <w:iCs/>
                <w:szCs w:val="22"/>
              </w:rPr>
              <w:t>Lytinės sistemos ir krūties sutrikimai</w:t>
            </w:r>
          </w:p>
        </w:tc>
        <w:tc>
          <w:tcPr>
            <w:tcW w:w="3285" w:type="dxa"/>
            <w:shd w:val="clear" w:color="auto" w:fill="auto"/>
          </w:tcPr>
          <w:p w14:paraId="29BE63DC"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Nedažni:</w:t>
            </w:r>
          </w:p>
        </w:tc>
        <w:tc>
          <w:tcPr>
            <w:tcW w:w="3285" w:type="dxa"/>
            <w:shd w:val="clear" w:color="auto" w:fill="auto"/>
          </w:tcPr>
          <w:p w14:paraId="0809A6AC"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sutrikusi lytinė funkcija, pakitęs libido</w:t>
            </w:r>
          </w:p>
        </w:tc>
      </w:tr>
    </w:tbl>
    <w:p w14:paraId="7811F0B9" w14:textId="77777777" w:rsidR="00A80CF8" w:rsidRPr="00D724AC" w:rsidRDefault="00A80CF8" w:rsidP="00A80CF8">
      <w:pPr>
        <w:tabs>
          <w:tab w:val="left" w:pos="567"/>
        </w:tabs>
        <w:contextualSpacing/>
        <w:outlineLvl w:val="0"/>
        <w:rPr>
          <w:snapToGrid w:val="0"/>
          <w:szCs w:val="22"/>
          <w:lang w:eastAsia="en-US"/>
        </w:rPr>
      </w:pPr>
    </w:p>
    <w:p w14:paraId="634CF34C" w14:textId="77777777" w:rsidR="00A80CF8" w:rsidRPr="00D724AC" w:rsidRDefault="00A80CF8" w:rsidP="00A80CF8">
      <w:pPr>
        <w:autoSpaceDE w:val="0"/>
        <w:autoSpaceDN w:val="0"/>
        <w:adjustRightInd w:val="0"/>
        <w:rPr>
          <w:snapToGrid w:val="0"/>
          <w:szCs w:val="22"/>
          <w:lang w:eastAsia="en-US"/>
        </w:rPr>
      </w:pPr>
      <w:r w:rsidRPr="00D724AC">
        <w:rPr>
          <w:rFonts w:eastAsia="Calibri"/>
          <w:szCs w:val="22"/>
          <w:u w:val="single"/>
        </w:rPr>
        <w:t>Papildoma informacija apie sudedamąsias vaistinio preparato dalis.</w:t>
      </w:r>
      <w:r w:rsidRPr="00D724AC">
        <w:rPr>
          <w:rFonts w:eastAsia="Calibri"/>
          <w:szCs w:val="22"/>
        </w:rPr>
        <w:t xml:space="preserve"> Be aukščiau išvardytų nepageidaujamų reakcijų, pasireiškusių vartojant sudėtinį vaistinį preparatą, gydant irbesartanu / hidrochlorotiazidu gali atsirasti ir kuriai nors vienai veikliajai medžiagai būdingų nepageidaujamų reakcijų. Toliau 2 ir 3 lentelėse pateikiamos nepageidaujamos reakcijos, pasireiškusios vartojant atskiras irbesartano / hidrochlorotiazido sudėtyje esančias veikliąsias medžiagas.</w:t>
      </w:r>
    </w:p>
    <w:p w14:paraId="1A1EA1D3" w14:textId="77777777" w:rsidR="00A80CF8" w:rsidRPr="00D724AC" w:rsidRDefault="00A80CF8" w:rsidP="00A80CF8">
      <w:pPr>
        <w:tabs>
          <w:tab w:val="left" w:pos="567"/>
        </w:tabs>
        <w:autoSpaceDE w:val="0"/>
        <w:autoSpaceDN w:val="0"/>
        <w:adjustRightInd w:val="0"/>
        <w:spacing w:line="260" w:lineRule="exact"/>
        <w:jc w:val="both"/>
        <w:rPr>
          <w:snapToGrid w:val="0"/>
          <w:szCs w:val="22"/>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2999"/>
        <w:gridCol w:w="3068"/>
      </w:tblGrid>
      <w:tr w:rsidR="00A80CF8" w:rsidRPr="00D724AC" w14:paraId="4C32974E" w14:textId="77777777" w:rsidTr="00AC19D2">
        <w:tc>
          <w:tcPr>
            <w:tcW w:w="9060" w:type="dxa"/>
            <w:gridSpan w:val="3"/>
            <w:shd w:val="clear" w:color="auto" w:fill="auto"/>
          </w:tcPr>
          <w:p w14:paraId="2432CEC1" w14:textId="77777777" w:rsidR="00A80CF8" w:rsidRPr="00D724AC" w:rsidRDefault="00A80CF8" w:rsidP="00AC19D2">
            <w:pPr>
              <w:autoSpaceDE w:val="0"/>
              <w:autoSpaceDN w:val="0"/>
              <w:adjustRightInd w:val="0"/>
              <w:rPr>
                <w:snapToGrid w:val="0"/>
                <w:szCs w:val="22"/>
                <w:lang w:eastAsia="en-US"/>
              </w:rPr>
            </w:pPr>
            <w:r w:rsidRPr="00C03B46">
              <w:rPr>
                <w:rFonts w:eastAsia="Calibri"/>
                <w:bCs/>
                <w:szCs w:val="22"/>
              </w:rPr>
              <w:t>2 lentelė.</w:t>
            </w:r>
            <w:r w:rsidRPr="00D724AC">
              <w:rPr>
                <w:rFonts w:eastAsia="Calibri"/>
                <w:b/>
                <w:bCs/>
                <w:szCs w:val="22"/>
              </w:rPr>
              <w:t xml:space="preserve"> </w:t>
            </w:r>
            <w:r w:rsidRPr="00D724AC">
              <w:rPr>
                <w:rFonts w:eastAsia="Calibri"/>
                <w:szCs w:val="22"/>
              </w:rPr>
              <w:t xml:space="preserve">Nepageidaujamos reakcijos, pastebėtos vartojant tik </w:t>
            </w:r>
            <w:r w:rsidRPr="00C03B46">
              <w:rPr>
                <w:rFonts w:eastAsia="Calibri"/>
                <w:bCs/>
                <w:szCs w:val="22"/>
              </w:rPr>
              <w:t>irbesartaną</w:t>
            </w:r>
          </w:p>
        </w:tc>
      </w:tr>
      <w:tr w:rsidR="00A80CF8" w:rsidRPr="00D724AC" w14:paraId="6FF0A42C" w14:textId="77777777" w:rsidTr="00AC19D2">
        <w:tc>
          <w:tcPr>
            <w:tcW w:w="2993" w:type="dxa"/>
            <w:shd w:val="clear" w:color="auto" w:fill="auto"/>
          </w:tcPr>
          <w:p w14:paraId="4BE37955" w14:textId="77777777" w:rsidR="00A80CF8" w:rsidRPr="00D724AC" w:rsidRDefault="00A80CF8" w:rsidP="00AC19D2">
            <w:pPr>
              <w:autoSpaceDE w:val="0"/>
              <w:autoSpaceDN w:val="0"/>
              <w:adjustRightInd w:val="0"/>
              <w:rPr>
                <w:rFonts w:eastAsia="Calibri"/>
                <w:i/>
                <w:iCs/>
                <w:szCs w:val="22"/>
              </w:rPr>
            </w:pPr>
            <w:r w:rsidRPr="00D724AC">
              <w:rPr>
                <w:rFonts w:eastAsia="Calibri"/>
                <w:i/>
                <w:iCs/>
                <w:szCs w:val="22"/>
              </w:rPr>
              <w:t>Kraujo ir limfinės sistemos sutrikimai</w:t>
            </w:r>
          </w:p>
        </w:tc>
        <w:tc>
          <w:tcPr>
            <w:tcW w:w="2999" w:type="dxa"/>
            <w:shd w:val="clear" w:color="auto" w:fill="auto"/>
          </w:tcPr>
          <w:p w14:paraId="70B27E3A" w14:textId="77777777" w:rsidR="00A80CF8" w:rsidRPr="00D724AC" w:rsidRDefault="00A80CF8" w:rsidP="00AC19D2">
            <w:pPr>
              <w:tabs>
                <w:tab w:val="left" w:pos="567"/>
              </w:tabs>
              <w:contextualSpacing/>
              <w:outlineLvl w:val="0"/>
              <w:rPr>
                <w:rFonts w:eastAsia="Calibri"/>
                <w:szCs w:val="22"/>
              </w:rPr>
            </w:pPr>
            <w:r w:rsidRPr="00D724AC">
              <w:rPr>
                <w:rFonts w:eastAsia="Calibri"/>
                <w:szCs w:val="22"/>
              </w:rPr>
              <w:t>Dažnis nežinomas:</w:t>
            </w:r>
          </w:p>
        </w:tc>
        <w:tc>
          <w:tcPr>
            <w:tcW w:w="3068" w:type="dxa"/>
            <w:shd w:val="clear" w:color="auto" w:fill="auto"/>
          </w:tcPr>
          <w:p w14:paraId="0AA17ACC" w14:textId="77777777" w:rsidR="00A80CF8" w:rsidRPr="00D724AC" w:rsidRDefault="00A80CF8" w:rsidP="00AC19D2">
            <w:pPr>
              <w:tabs>
                <w:tab w:val="left" w:pos="567"/>
              </w:tabs>
              <w:contextualSpacing/>
              <w:outlineLvl w:val="0"/>
              <w:rPr>
                <w:rFonts w:eastAsia="Calibri"/>
                <w:szCs w:val="22"/>
              </w:rPr>
            </w:pPr>
            <w:r>
              <w:rPr>
                <w:rFonts w:eastAsia="Calibri"/>
                <w:szCs w:val="22"/>
              </w:rPr>
              <w:t xml:space="preserve">anemija, </w:t>
            </w:r>
            <w:r w:rsidRPr="00D724AC">
              <w:rPr>
                <w:rFonts w:eastAsia="Calibri"/>
                <w:szCs w:val="22"/>
              </w:rPr>
              <w:t>trombocitopenija</w:t>
            </w:r>
          </w:p>
        </w:tc>
      </w:tr>
      <w:tr w:rsidR="00A80CF8" w:rsidRPr="00D724AC" w14:paraId="549A73CD" w14:textId="77777777" w:rsidTr="00AC19D2">
        <w:tc>
          <w:tcPr>
            <w:tcW w:w="2993" w:type="dxa"/>
            <w:shd w:val="clear" w:color="auto" w:fill="auto"/>
          </w:tcPr>
          <w:p w14:paraId="7DD7116F" w14:textId="77777777" w:rsidR="00A80CF8" w:rsidRPr="00D724AC" w:rsidRDefault="00A80CF8" w:rsidP="00AC19D2">
            <w:pPr>
              <w:autoSpaceDE w:val="0"/>
              <w:autoSpaceDN w:val="0"/>
              <w:adjustRightInd w:val="0"/>
              <w:rPr>
                <w:snapToGrid w:val="0"/>
                <w:szCs w:val="22"/>
                <w:lang w:eastAsia="en-US"/>
              </w:rPr>
            </w:pPr>
            <w:r w:rsidRPr="00D724AC">
              <w:rPr>
                <w:rFonts w:eastAsia="Calibri"/>
                <w:i/>
                <w:iCs/>
                <w:szCs w:val="22"/>
              </w:rPr>
              <w:t>Bendrieji sutrikimai ir vartojimo vietos pažeidimai</w:t>
            </w:r>
          </w:p>
        </w:tc>
        <w:tc>
          <w:tcPr>
            <w:tcW w:w="2999" w:type="dxa"/>
            <w:shd w:val="clear" w:color="auto" w:fill="auto"/>
          </w:tcPr>
          <w:p w14:paraId="3EC4CD6E" w14:textId="7E1D98F0"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Nedažni:</w:t>
            </w:r>
          </w:p>
        </w:tc>
        <w:tc>
          <w:tcPr>
            <w:tcW w:w="3068" w:type="dxa"/>
            <w:shd w:val="clear" w:color="auto" w:fill="auto"/>
          </w:tcPr>
          <w:p w14:paraId="1F09C36A"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krūtinės skausmas</w:t>
            </w:r>
          </w:p>
        </w:tc>
      </w:tr>
      <w:tr w:rsidR="00A80CF8" w:rsidRPr="00D724AC" w14:paraId="6CED3B02" w14:textId="77777777" w:rsidTr="00AC19D2">
        <w:tc>
          <w:tcPr>
            <w:tcW w:w="2993" w:type="dxa"/>
            <w:shd w:val="clear" w:color="auto" w:fill="auto"/>
          </w:tcPr>
          <w:p w14:paraId="44596573" w14:textId="77777777" w:rsidR="00A80CF8" w:rsidRPr="00D724AC" w:rsidRDefault="00A80CF8" w:rsidP="00AC19D2">
            <w:pPr>
              <w:autoSpaceDE w:val="0"/>
              <w:autoSpaceDN w:val="0"/>
              <w:adjustRightInd w:val="0"/>
              <w:rPr>
                <w:rFonts w:eastAsia="Calibri"/>
                <w:i/>
                <w:iCs/>
                <w:szCs w:val="22"/>
              </w:rPr>
            </w:pPr>
            <w:r>
              <w:rPr>
                <w:rFonts w:eastAsia="Calibri"/>
                <w:i/>
                <w:iCs/>
                <w:szCs w:val="22"/>
              </w:rPr>
              <w:t>Imuninės sistemos sutrikimai</w:t>
            </w:r>
          </w:p>
        </w:tc>
        <w:tc>
          <w:tcPr>
            <w:tcW w:w="2999" w:type="dxa"/>
            <w:shd w:val="clear" w:color="auto" w:fill="auto"/>
          </w:tcPr>
          <w:p w14:paraId="3495CEC9" w14:textId="77777777" w:rsidR="00A80CF8" w:rsidRPr="00D724AC" w:rsidRDefault="00A80CF8" w:rsidP="00AC19D2">
            <w:pPr>
              <w:tabs>
                <w:tab w:val="left" w:pos="567"/>
              </w:tabs>
              <w:contextualSpacing/>
              <w:outlineLvl w:val="0"/>
              <w:rPr>
                <w:rFonts w:eastAsia="Calibri"/>
                <w:szCs w:val="22"/>
              </w:rPr>
            </w:pPr>
            <w:r>
              <w:rPr>
                <w:rFonts w:eastAsia="Calibri"/>
                <w:szCs w:val="22"/>
              </w:rPr>
              <w:t>Dažnis nežinomas:</w:t>
            </w:r>
          </w:p>
        </w:tc>
        <w:tc>
          <w:tcPr>
            <w:tcW w:w="3068" w:type="dxa"/>
            <w:shd w:val="clear" w:color="auto" w:fill="auto"/>
          </w:tcPr>
          <w:p w14:paraId="722ABEF9" w14:textId="77777777" w:rsidR="00A80CF8" w:rsidRPr="00D724AC" w:rsidRDefault="00A80CF8" w:rsidP="00AC19D2">
            <w:pPr>
              <w:tabs>
                <w:tab w:val="left" w:pos="567"/>
              </w:tabs>
              <w:contextualSpacing/>
              <w:outlineLvl w:val="0"/>
              <w:rPr>
                <w:rFonts w:eastAsia="Calibri"/>
                <w:szCs w:val="22"/>
              </w:rPr>
            </w:pPr>
            <w:r>
              <w:rPr>
                <w:rFonts w:eastAsia="Calibri"/>
                <w:szCs w:val="22"/>
              </w:rPr>
              <w:t>anafilaksinė reakcija, įskaitant anafilaksinį šoką</w:t>
            </w:r>
          </w:p>
        </w:tc>
      </w:tr>
      <w:tr w:rsidR="00A80CF8" w:rsidRPr="00AA023A" w14:paraId="749EA8CE" w14:textId="77777777" w:rsidTr="00AC19D2">
        <w:tc>
          <w:tcPr>
            <w:tcW w:w="2993" w:type="dxa"/>
            <w:tcBorders>
              <w:top w:val="single" w:sz="4" w:space="0" w:color="auto"/>
              <w:left w:val="single" w:sz="4" w:space="0" w:color="auto"/>
              <w:bottom w:val="single" w:sz="4" w:space="0" w:color="auto"/>
              <w:right w:val="single" w:sz="4" w:space="0" w:color="auto"/>
            </w:tcBorders>
            <w:shd w:val="clear" w:color="auto" w:fill="auto"/>
          </w:tcPr>
          <w:p w14:paraId="63FDB2F0" w14:textId="77777777" w:rsidR="00A80CF8" w:rsidRPr="00AA023A" w:rsidRDefault="00A80CF8" w:rsidP="00AC19D2">
            <w:pPr>
              <w:autoSpaceDE w:val="0"/>
              <w:autoSpaceDN w:val="0"/>
              <w:adjustRightInd w:val="0"/>
              <w:rPr>
                <w:rFonts w:eastAsia="Calibri"/>
                <w:i/>
                <w:iCs/>
                <w:szCs w:val="22"/>
              </w:rPr>
            </w:pPr>
            <w:r>
              <w:rPr>
                <w:rFonts w:eastAsia="Calibri"/>
                <w:i/>
                <w:iCs/>
                <w:szCs w:val="22"/>
              </w:rPr>
              <w:t>Metabolizmo ir mitybos sutrikimai</w:t>
            </w:r>
          </w:p>
        </w:tc>
        <w:tc>
          <w:tcPr>
            <w:tcW w:w="2999" w:type="dxa"/>
            <w:tcBorders>
              <w:top w:val="single" w:sz="4" w:space="0" w:color="auto"/>
              <w:left w:val="single" w:sz="4" w:space="0" w:color="auto"/>
              <w:bottom w:val="single" w:sz="4" w:space="0" w:color="auto"/>
              <w:right w:val="single" w:sz="4" w:space="0" w:color="auto"/>
            </w:tcBorders>
            <w:shd w:val="clear" w:color="auto" w:fill="auto"/>
          </w:tcPr>
          <w:p w14:paraId="16C67ABB" w14:textId="77777777" w:rsidR="00A80CF8" w:rsidRPr="00AA023A" w:rsidRDefault="00A80CF8" w:rsidP="00AC19D2">
            <w:pPr>
              <w:tabs>
                <w:tab w:val="left" w:pos="567"/>
              </w:tabs>
              <w:contextualSpacing/>
              <w:outlineLvl w:val="0"/>
              <w:rPr>
                <w:rFonts w:eastAsia="Calibri"/>
                <w:szCs w:val="22"/>
              </w:rPr>
            </w:pPr>
            <w:r>
              <w:rPr>
                <w:rFonts w:eastAsia="Calibri"/>
                <w:szCs w:val="22"/>
              </w:rPr>
              <w:t>Dažnis nežinomas:</w:t>
            </w:r>
          </w:p>
        </w:tc>
        <w:tc>
          <w:tcPr>
            <w:tcW w:w="3068" w:type="dxa"/>
            <w:tcBorders>
              <w:top w:val="single" w:sz="4" w:space="0" w:color="auto"/>
              <w:left w:val="single" w:sz="4" w:space="0" w:color="auto"/>
              <w:bottom w:val="single" w:sz="4" w:space="0" w:color="auto"/>
              <w:right w:val="single" w:sz="4" w:space="0" w:color="auto"/>
            </w:tcBorders>
            <w:shd w:val="clear" w:color="auto" w:fill="auto"/>
          </w:tcPr>
          <w:p w14:paraId="575F0DBB" w14:textId="77777777" w:rsidR="00A80CF8" w:rsidRPr="00AA023A" w:rsidRDefault="00A80CF8" w:rsidP="00AC19D2">
            <w:pPr>
              <w:tabs>
                <w:tab w:val="left" w:pos="567"/>
              </w:tabs>
              <w:contextualSpacing/>
              <w:outlineLvl w:val="0"/>
              <w:rPr>
                <w:rFonts w:eastAsia="Calibri"/>
                <w:szCs w:val="22"/>
              </w:rPr>
            </w:pPr>
            <w:r>
              <w:rPr>
                <w:rFonts w:eastAsia="Calibri"/>
                <w:szCs w:val="22"/>
              </w:rPr>
              <w:t>hipoglikemija</w:t>
            </w:r>
          </w:p>
        </w:tc>
      </w:tr>
    </w:tbl>
    <w:p w14:paraId="05BED9EE" w14:textId="77777777" w:rsidR="00A80CF8" w:rsidRPr="00D724AC" w:rsidRDefault="00A80CF8" w:rsidP="00A80CF8">
      <w:pPr>
        <w:tabs>
          <w:tab w:val="left" w:pos="567"/>
        </w:tabs>
        <w:autoSpaceDE w:val="0"/>
        <w:autoSpaceDN w:val="0"/>
        <w:adjustRightInd w:val="0"/>
        <w:spacing w:line="260" w:lineRule="exact"/>
        <w:jc w:val="both"/>
        <w:rPr>
          <w:snapToGrid w:val="0"/>
          <w:szCs w:val="22"/>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2980"/>
        <w:gridCol w:w="3079"/>
      </w:tblGrid>
      <w:tr w:rsidR="00A80CF8" w:rsidRPr="00D724AC" w14:paraId="799DF2DB" w14:textId="77777777" w:rsidTr="00996CA4">
        <w:tc>
          <w:tcPr>
            <w:tcW w:w="9060" w:type="dxa"/>
            <w:gridSpan w:val="3"/>
            <w:shd w:val="clear" w:color="auto" w:fill="auto"/>
          </w:tcPr>
          <w:p w14:paraId="05BB32F1" w14:textId="77777777" w:rsidR="00A80CF8" w:rsidRPr="00D724AC" w:rsidRDefault="00A80CF8" w:rsidP="00AC19D2">
            <w:pPr>
              <w:autoSpaceDE w:val="0"/>
              <w:autoSpaceDN w:val="0"/>
              <w:adjustRightInd w:val="0"/>
              <w:rPr>
                <w:snapToGrid w:val="0"/>
                <w:szCs w:val="22"/>
                <w:lang w:eastAsia="en-US"/>
              </w:rPr>
            </w:pPr>
            <w:r w:rsidRPr="00C03B46">
              <w:rPr>
                <w:rFonts w:eastAsia="Calibri"/>
                <w:bCs/>
                <w:szCs w:val="22"/>
              </w:rPr>
              <w:t>3 lentelė.</w:t>
            </w:r>
            <w:r w:rsidRPr="00D724AC">
              <w:rPr>
                <w:rFonts w:eastAsia="Calibri"/>
                <w:b/>
                <w:bCs/>
                <w:szCs w:val="22"/>
              </w:rPr>
              <w:t xml:space="preserve"> </w:t>
            </w:r>
            <w:r w:rsidRPr="00D724AC">
              <w:rPr>
                <w:rFonts w:eastAsia="Calibri"/>
                <w:szCs w:val="22"/>
              </w:rPr>
              <w:t xml:space="preserve">Vartojant tik </w:t>
            </w:r>
            <w:r w:rsidRPr="00C03B46">
              <w:rPr>
                <w:rFonts w:eastAsia="Calibri"/>
                <w:bCs/>
                <w:szCs w:val="22"/>
              </w:rPr>
              <w:t xml:space="preserve">hidrochlorotiazidą </w:t>
            </w:r>
            <w:r w:rsidRPr="00D724AC">
              <w:rPr>
                <w:rFonts w:eastAsia="Calibri"/>
                <w:szCs w:val="22"/>
              </w:rPr>
              <w:t>pasireiškusios nepageidaujamos reakcijos</w:t>
            </w:r>
          </w:p>
        </w:tc>
      </w:tr>
      <w:tr w:rsidR="00A80CF8" w:rsidRPr="00D724AC" w14:paraId="2278C716" w14:textId="77777777" w:rsidTr="00996CA4">
        <w:tc>
          <w:tcPr>
            <w:tcW w:w="3001" w:type="dxa"/>
            <w:shd w:val="clear" w:color="auto" w:fill="auto"/>
          </w:tcPr>
          <w:p w14:paraId="3B7ABB50" w14:textId="77777777" w:rsidR="00A80CF8" w:rsidRPr="00D724AC" w:rsidRDefault="00A80CF8" w:rsidP="00AC19D2">
            <w:pPr>
              <w:autoSpaceDE w:val="0"/>
              <w:autoSpaceDN w:val="0"/>
              <w:adjustRightInd w:val="0"/>
              <w:rPr>
                <w:snapToGrid w:val="0"/>
                <w:szCs w:val="22"/>
                <w:lang w:eastAsia="en-US"/>
              </w:rPr>
            </w:pPr>
            <w:r w:rsidRPr="00D724AC">
              <w:rPr>
                <w:rFonts w:eastAsia="Calibri"/>
                <w:i/>
                <w:iCs/>
                <w:szCs w:val="22"/>
              </w:rPr>
              <w:t>Tyrimai</w:t>
            </w:r>
          </w:p>
        </w:tc>
        <w:tc>
          <w:tcPr>
            <w:tcW w:w="2980" w:type="dxa"/>
            <w:shd w:val="clear" w:color="auto" w:fill="auto"/>
          </w:tcPr>
          <w:p w14:paraId="6E70BA5C"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Dažnis nežinomas:</w:t>
            </w:r>
          </w:p>
        </w:tc>
        <w:tc>
          <w:tcPr>
            <w:tcW w:w="3079" w:type="dxa"/>
            <w:shd w:val="clear" w:color="auto" w:fill="auto"/>
          </w:tcPr>
          <w:p w14:paraId="75AA5481" w14:textId="77777777" w:rsidR="00A80CF8" w:rsidRPr="00D724AC" w:rsidRDefault="00A80CF8" w:rsidP="00AC19D2">
            <w:pPr>
              <w:autoSpaceDE w:val="0"/>
              <w:autoSpaceDN w:val="0"/>
              <w:adjustRightInd w:val="0"/>
              <w:rPr>
                <w:snapToGrid w:val="0"/>
                <w:szCs w:val="22"/>
                <w:lang w:eastAsia="en-US"/>
              </w:rPr>
            </w:pPr>
            <w:r w:rsidRPr="00D724AC">
              <w:rPr>
                <w:rFonts w:eastAsia="Calibri"/>
                <w:szCs w:val="22"/>
              </w:rPr>
              <w:t>elektrolitų pusiausvyros sutrikimas (įskaitant hipokalemiją ir hiponatremiją, žr. 4.4 skyrių), hiperurikemija, glikozurija, hiperglikemija, padidėjusi cholesterolio ir trigliceridų koncentracija kraujyje</w:t>
            </w:r>
          </w:p>
        </w:tc>
      </w:tr>
      <w:tr w:rsidR="00A80CF8" w:rsidRPr="00D724AC" w14:paraId="7375C438" w14:textId="77777777" w:rsidTr="00996CA4">
        <w:tc>
          <w:tcPr>
            <w:tcW w:w="3001" w:type="dxa"/>
            <w:shd w:val="clear" w:color="auto" w:fill="auto"/>
          </w:tcPr>
          <w:p w14:paraId="0E7A51F7"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i/>
                <w:iCs/>
                <w:szCs w:val="22"/>
              </w:rPr>
              <w:t>Širdies sutrikimai</w:t>
            </w:r>
          </w:p>
        </w:tc>
        <w:tc>
          <w:tcPr>
            <w:tcW w:w="2980" w:type="dxa"/>
            <w:shd w:val="clear" w:color="auto" w:fill="auto"/>
          </w:tcPr>
          <w:p w14:paraId="05A72256"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Dažnis nežinomas:</w:t>
            </w:r>
          </w:p>
        </w:tc>
        <w:tc>
          <w:tcPr>
            <w:tcW w:w="3079" w:type="dxa"/>
            <w:shd w:val="clear" w:color="auto" w:fill="auto"/>
          </w:tcPr>
          <w:p w14:paraId="77DCFA28"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širdies aritmija</w:t>
            </w:r>
          </w:p>
        </w:tc>
      </w:tr>
      <w:tr w:rsidR="00A80CF8" w:rsidRPr="00D724AC" w14:paraId="7B594799" w14:textId="77777777" w:rsidTr="00996CA4">
        <w:tc>
          <w:tcPr>
            <w:tcW w:w="3001" w:type="dxa"/>
            <w:shd w:val="clear" w:color="auto" w:fill="auto"/>
          </w:tcPr>
          <w:p w14:paraId="07F58392" w14:textId="77777777" w:rsidR="00A80CF8" w:rsidRPr="00D724AC" w:rsidRDefault="00A80CF8" w:rsidP="00AC19D2">
            <w:pPr>
              <w:autoSpaceDE w:val="0"/>
              <w:autoSpaceDN w:val="0"/>
              <w:adjustRightInd w:val="0"/>
              <w:rPr>
                <w:snapToGrid w:val="0"/>
                <w:szCs w:val="22"/>
                <w:lang w:eastAsia="en-US"/>
              </w:rPr>
            </w:pPr>
            <w:r w:rsidRPr="00D724AC">
              <w:rPr>
                <w:rFonts w:eastAsia="Calibri"/>
                <w:i/>
                <w:iCs/>
                <w:szCs w:val="22"/>
              </w:rPr>
              <w:t>Kraujo ir limfinės sistemos sutrikimai</w:t>
            </w:r>
          </w:p>
        </w:tc>
        <w:tc>
          <w:tcPr>
            <w:tcW w:w="2980" w:type="dxa"/>
            <w:shd w:val="clear" w:color="auto" w:fill="auto"/>
          </w:tcPr>
          <w:p w14:paraId="70C528D1"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Dažnis nežinomas:</w:t>
            </w:r>
          </w:p>
        </w:tc>
        <w:tc>
          <w:tcPr>
            <w:tcW w:w="3079" w:type="dxa"/>
            <w:shd w:val="clear" w:color="auto" w:fill="auto"/>
          </w:tcPr>
          <w:p w14:paraId="56BBBD48" w14:textId="77777777" w:rsidR="00A80CF8" w:rsidRPr="00D724AC" w:rsidRDefault="00A80CF8" w:rsidP="00AC19D2">
            <w:pPr>
              <w:autoSpaceDE w:val="0"/>
              <w:autoSpaceDN w:val="0"/>
              <w:adjustRightInd w:val="0"/>
              <w:rPr>
                <w:snapToGrid w:val="0"/>
                <w:szCs w:val="22"/>
                <w:lang w:eastAsia="en-US"/>
              </w:rPr>
            </w:pPr>
            <w:r w:rsidRPr="00D724AC">
              <w:rPr>
                <w:rFonts w:eastAsia="Calibri"/>
                <w:szCs w:val="22"/>
              </w:rPr>
              <w:t>aplazinė anemija, kaulų čiulpų funkcijos slopinimas, neutropenija, agranulocitozė, hemolizinė anemija, leukopenija, trombocitopenija</w:t>
            </w:r>
          </w:p>
        </w:tc>
      </w:tr>
      <w:tr w:rsidR="00A80CF8" w:rsidRPr="00D724AC" w14:paraId="48E70518" w14:textId="77777777" w:rsidTr="00996CA4">
        <w:tc>
          <w:tcPr>
            <w:tcW w:w="3001" w:type="dxa"/>
            <w:shd w:val="clear" w:color="auto" w:fill="auto"/>
          </w:tcPr>
          <w:p w14:paraId="2B1CAD9F" w14:textId="77777777" w:rsidR="00A80CF8" w:rsidRPr="00D724AC" w:rsidRDefault="00A80CF8" w:rsidP="00AC19D2">
            <w:pPr>
              <w:autoSpaceDE w:val="0"/>
              <w:autoSpaceDN w:val="0"/>
              <w:adjustRightInd w:val="0"/>
              <w:rPr>
                <w:snapToGrid w:val="0"/>
                <w:szCs w:val="22"/>
                <w:lang w:eastAsia="en-US"/>
              </w:rPr>
            </w:pPr>
            <w:r w:rsidRPr="00D724AC">
              <w:rPr>
                <w:rFonts w:eastAsia="Calibri"/>
                <w:i/>
                <w:iCs/>
                <w:szCs w:val="22"/>
              </w:rPr>
              <w:t>Nervų sistemos sutrikimai</w:t>
            </w:r>
          </w:p>
        </w:tc>
        <w:tc>
          <w:tcPr>
            <w:tcW w:w="2980" w:type="dxa"/>
            <w:shd w:val="clear" w:color="auto" w:fill="auto"/>
          </w:tcPr>
          <w:p w14:paraId="063D7C1D"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Dažnis nežinomas:</w:t>
            </w:r>
          </w:p>
        </w:tc>
        <w:tc>
          <w:tcPr>
            <w:tcW w:w="3079" w:type="dxa"/>
            <w:shd w:val="clear" w:color="auto" w:fill="auto"/>
          </w:tcPr>
          <w:p w14:paraId="7FCF25B8" w14:textId="77777777" w:rsidR="00A80CF8" w:rsidRPr="00D724AC" w:rsidRDefault="00A80CF8" w:rsidP="00AC19D2">
            <w:pPr>
              <w:autoSpaceDE w:val="0"/>
              <w:autoSpaceDN w:val="0"/>
              <w:adjustRightInd w:val="0"/>
              <w:rPr>
                <w:snapToGrid w:val="0"/>
                <w:szCs w:val="22"/>
                <w:lang w:eastAsia="en-US"/>
              </w:rPr>
            </w:pPr>
            <w:r w:rsidRPr="00D724AC">
              <w:rPr>
                <w:rFonts w:eastAsia="Calibri"/>
                <w:szCs w:val="22"/>
              </w:rPr>
              <w:t>svaigimas (</w:t>
            </w:r>
            <w:r w:rsidRPr="00D724AC">
              <w:rPr>
                <w:rFonts w:eastAsia="Calibri"/>
                <w:i/>
                <w:szCs w:val="22"/>
              </w:rPr>
              <w:t>vertigo</w:t>
            </w:r>
            <w:r w:rsidRPr="00D724AC">
              <w:rPr>
                <w:rFonts w:eastAsia="Calibri"/>
                <w:szCs w:val="22"/>
              </w:rPr>
              <w:t>), parestezija, galvos sukimasis, nenustygstamumas</w:t>
            </w:r>
          </w:p>
        </w:tc>
      </w:tr>
      <w:tr w:rsidR="00A80CF8" w:rsidRPr="00D724AC" w14:paraId="1F2787DE" w14:textId="77777777" w:rsidTr="00996CA4">
        <w:tc>
          <w:tcPr>
            <w:tcW w:w="3001" w:type="dxa"/>
            <w:shd w:val="clear" w:color="auto" w:fill="auto"/>
          </w:tcPr>
          <w:p w14:paraId="61BB504B" w14:textId="77777777" w:rsidR="00A80CF8" w:rsidRPr="00D724AC" w:rsidRDefault="00A80CF8" w:rsidP="00AC19D2">
            <w:pPr>
              <w:autoSpaceDE w:val="0"/>
              <w:autoSpaceDN w:val="0"/>
              <w:adjustRightInd w:val="0"/>
              <w:rPr>
                <w:snapToGrid w:val="0"/>
                <w:szCs w:val="22"/>
                <w:lang w:eastAsia="en-US"/>
              </w:rPr>
            </w:pPr>
            <w:r w:rsidRPr="00D724AC">
              <w:rPr>
                <w:rFonts w:eastAsia="Calibri"/>
                <w:i/>
                <w:iCs/>
                <w:szCs w:val="22"/>
              </w:rPr>
              <w:t>Akių sutrikimai</w:t>
            </w:r>
          </w:p>
        </w:tc>
        <w:tc>
          <w:tcPr>
            <w:tcW w:w="2980" w:type="dxa"/>
            <w:shd w:val="clear" w:color="auto" w:fill="auto"/>
          </w:tcPr>
          <w:p w14:paraId="6A0440A2"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Dažnis nežinomas:</w:t>
            </w:r>
          </w:p>
        </w:tc>
        <w:tc>
          <w:tcPr>
            <w:tcW w:w="3079" w:type="dxa"/>
            <w:shd w:val="clear" w:color="auto" w:fill="auto"/>
          </w:tcPr>
          <w:p w14:paraId="40307C90" w14:textId="77777777" w:rsidR="00A80CF8" w:rsidRPr="00D724AC" w:rsidRDefault="00A80CF8" w:rsidP="00AC19D2">
            <w:pPr>
              <w:autoSpaceDE w:val="0"/>
              <w:autoSpaceDN w:val="0"/>
              <w:adjustRightInd w:val="0"/>
              <w:rPr>
                <w:snapToGrid w:val="0"/>
                <w:szCs w:val="22"/>
                <w:lang w:eastAsia="en-US"/>
              </w:rPr>
            </w:pPr>
            <w:r w:rsidRPr="00C03B46">
              <w:rPr>
                <w:rFonts w:eastAsia="Calibri"/>
                <w:szCs w:val="22"/>
              </w:rPr>
              <w:t>skysčio susikaupimas tarp akies gyslainės ir skleros,</w:t>
            </w:r>
            <w:r>
              <w:rPr>
                <w:rFonts w:eastAsia="Calibri"/>
                <w:szCs w:val="22"/>
                <w:u w:val="single"/>
              </w:rPr>
              <w:t xml:space="preserve"> </w:t>
            </w:r>
            <w:r w:rsidRPr="00D724AC">
              <w:rPr>
                <w:rFonts w:eastAsia="Calibri"/>
                <w:szCs w:val="22"/>
              </w:rPr>
              <w:t>praeinantis neryškus matymas, ksantopsija, ūminė miopija ir antrinė ūminė uždarojo kampo glaukoma</w:t>
            </w:r>
            <w:r>
              <w:rPr>
                <w:rFonts w:eastAsia="Calibri"/>
                <w:szCs w:val="22"/>
              </w:rPr>
              <w:t>, chorioidinė efuzija</w:t>
            </w:r>
          </w:p>
        </w:tc>
      </w:tr>
      <w:tr w:rsidR="00996CA4" w:rsidRPr="00D724AC" w14:paraId="6A0EC07A" w14:textId="77777777" w:rsidTr="00996CA4">
        <w:tc>
          <w:tcPr>
            <w:tcW w:w="3001" w:type="dxa"/>
            <w:vMerge w:val="restart"/>
            <w:shd w:val="clear" w:color="auto" w:fill="auto"/>
          </w:tcPr>
          <w:p w14:paraId="29FCE4C7" w14:textId="5B3F502E" w:rsidR="00996CA4" w:rsidRPr="00D724AC" w:rsidRDefault="00996CA4" w:rsidP="00AC19D2">
            <w:pPr>
              <w:autoSpaceDE w:val="0"/>
              <w:autoSpaceDN w:val="0"/>
              <w:adjustRightInd w:val="0"/>
              <w:rPr>
                <w:rFonts w:eastAsia="Calibri"/>
                <w:i/>
                <w:iCs/>
                <w:szCs w:val="22"/>
              </w:rPr>
            </w:pPr>
            <w:r w:rsidRPr="00D724AC">
              <w:rPr>
                <w:rFonts w:eastAsia="Calibri"/>
                <w:i/>
                <w:iCs/>
                <w:szCs w:val="22"/>
              </w:rPr>
              <w:t>Kvėpavimo sistemos, krūtinės ląstos ir tarpuplaučio sutrikimai</w:t>
            </w:r>
          </w:p>
        </w:tc>
        <w:tc>
          <w:tcPr>
            <w:tcW w:w="2980" w:type="dxa"/>
            <w:shd w:val="clear" w:color="auto" w:fill="auto"/>
          </w:tcPr>
          <w:p w14:paraId="65E16994" w14:textId="08BE8D2A" w:rsidR="00996CA4" w:rsidRPr="00D724AC" w:rsidRDefault="00996CA4" w:rsidP="00AC19D2">
            <w:pPr>
              <w:tabs>
                <w:tab w:val="left" w:pos="567"/>
              </w:tabs>
              <w:contextualSpacing/>
              <w:outlineLvl w:val="0"/>
              <w:rPr>
                <w:rFonts w:eastAsia="Calibri"/>
                <w:szCs w:val="22"/>
              </w:rPr>
            </w:pPr>
            <w:r>
              <w:rPr>
                <w:rFonts w:eastAsia="Calibri"/>
                <w:szCs w:val="22"/>
              </w:rPr>
              <w:t>Labai ret</w:t>
            </w:r>
            <w:r w:rsidR="00FD66F2">
              <w:rPr>
                <w:rFonts w:eastAsia="Calibri"/>
                <w:szCs w:val="22"/>
              </w:rPr>
              <w:t>i</w:t>
            </w:r>
            <w:r>
              <w:rPr>
                <w:rFonts w:eastAsia="Calibri"/>
                <w:szCs w:val="22"/>
              </w:rPr>
              <w:t>:</w:t>
            </w:r>
          </w:p>
        </w:tc>
        <w:tc>
          <w:tcPr>
            <w:tcW w:w="3079" w:type="dxa"/>
            <w:shd w:val="clear" w:color="auto" w:fill="auto"/>
          </w:tcPr>
          <w:p w14:paraId="139C30F4" w14:textId="5C5DA9A3" w:rsidR="00996CA4" w:rsidRPr="00D724AC" w:rsidRDefault="00996CA4" w:rsidP="00AC19D2">
            <w:pPr>
              <w:autoSpaceDE w:val="0"/>
              <w:autoSpaceDN w:val="0"/>
              <w:adjustRightInd w:val="0"/>
              <w:rPr>
                <w:rFonts w:eastAsia="Calibri"/>
                <w:szCs w:val="22"/>
              </w:rPr>
            </w:pPr>
            <w:r>
              <w:rPr>
                <w:rFonts w:eastAsia="Calibri"/>
                <w:szCs w:val="22"/>
              </w:rPr>
              <w:t>ū</w:t>
            </w:r>
            <w:r w:rsidRPr="0078077E">
              <w:rPr>
                <w:rFonts w:eastAsia="Calibri"/>
                <w:szCs w:val="22"/>
              </w:rPr>
              <w:t>minis kvėpavimo sutrikimo</w:t>
            </w:r>
            <w:r>
              <w:rPr>
                <w:rFonts w:eastAsia="Calibri"/>
                <w:szCs w:val="22"/>
              </w:rPr>
              <w:t xml:space="preserve"> </w:t>
            </w:r>
            <w:r w:rsidRPr="0078077E">
              <w:rPr>
                <w:rFonts w:eastAsia="Calibri"/>
                <w:szCs w:val="22"/>
              </w:rPr>
              <w:t>sindromas (ŪKSS) (žr. 4.4</w:t>
            </w:r>
            <w:r>
              <w:rPr>
                <w:rFonts w:eastAsia="Calibri"/>
                <w:szCs w:val="22"/>
              </w:rPr>
              <w:t xml:space="preserve"> </w:t>
            </w:r>
            <w:r w:rsidRPr="0078077E">
              <w:rPr>
                <w:rFonts w:eastAsia="Calibri"/>
                <w:szCs w:val="22"/>
              </w:rPr>
              <w:t>skyrių)</w:t>
            </w:r>
          </w:p>
        </w:tc>
      </w:tr>
      <w:tr w:rsidR="00996CA4" w:rsidRPr="00D724AC" w14:paraId="2F0EAE11" w14:textId="77777777" w:rsidTr="00996CA4">
        <w:tc>
          <w:tcPr>
            <w:tcW w:w="3001" w:type="dxa"/>
            <w:vMerge/>
            <w:shd w:val="clear" w:color="auto" w:fill="auto"/>
          </w:tcPr>
          <w:p w14:paraId="4A94042C" w14:textId="48BB79E0" w:rsidR="00996CA4" w:rsidRPr="00D724AC" w:rsidRDefault="00996CA4" w:rsidP="00AC19D2">
            <w:pPr>
              <w:autoSpaceDE w:val="0"/>
              <w:autoSpaceDN w:val="0"/>
              <w:adjustRightInd w:val="0"/>
              <w:rPr>
                <w:snapToGrid w:val="0"/>
                <w:szCs w:val="22"/>
                <w:lang w:eastAsia="en-US"/>
              </w:rPr>
            </w:pPr>
          </w:p>
        </w:tc>
        <w:tc>
          <w:tcPr>
            <w:tcW w:w="2980" w:type="dxa"/>
            <w:shd w:val="clear" w:color="auto" w:fill="auto"/>
          </w:tcPr>
          <w:p w14:paraId="2B70F27D" w14:textId="77777777" w:rsidR="00996CA4" w:rsidRPr="00D724AC" w:rsidRDefault="00996CA4" w:rsidP="00AC19D2">
            <w:pPr>
              <w:tabs>
                <w:tab w:val="left" w:pos="567"/>
              </w:tabs>
              <w:contextualSpacing/>
              <w:outlineLvl w:val="0"/>
              <w:rPr>
                <w:snapToGrid w:val="0"/>
                <w:szCs w:val="22"/>
                <w:lang w:eastAsia="en-US"/>
              </w:rPr>
            </w:pPr>
            <w:r w:rsidRPr="00D724AC">
              <w:rPr>
                <w:rFonts w:eastAsia="Calibri"/>
                <w:szCs w:val="22"/>
              </w:rPr>
              <w:t>Dažnis nežinomas:</w:t>
            </w:r>
          </w:p>
        </w:tc>
        <w:tc>
          <w:tcPr>
            <w:tcW w:w="3079" w:type="dxa"/>
            <w:shd w:val="clear" w:color="auto" w:fill="auto"/>
          </w:tcPr>
          <w:p w14:paraId="27136B78" w14:textId="77777777" w:rsidR="00996CA4" w:rsidRPr="00D724AC" w:rsidRDefault="00996CA4" w:rsidP="00AC19D2">
            <w:pPr>
              <w:autoSpaceDE w:val="0"/>
              <w:autoSpaceDN w:val="0"/>
              <w:adjustRightInd w:val="0"/>
              <w:rPr>
                <w:snapToGrid w:val="0"/>
                <w:szCs w:val="22"/>
                <w:lang w:eastAsia="en-US"/>
              </w:rPr>
            </w:pPr>
            <w:r w:rsidRPr="00D724AC">
              <w:rPr>
                <w:rFonts w:eastAsia="Calibri"/>
                <w:szCs w:val="22"/>
              </w:rPr>
              <w:t>kvėpavimo sutrikimas (distresas) (įskaitant pneumonitą ir plaučių edemą)</w:t>
            </w:r>
          </w:p>
        </w:tc>
      </w:tr>
      <w:tr w:rsidR="00A80CF8" w:rsidRPr="00D724AC" w14:paraId="6FE6C3F4" w14:textId="77777777" w:rsidTr="00996CA4">
        <w:tc>
          <w:tcPr>
            <w:tcW w:w="3001" w:type="dxa"/>
            <w:shd w:val="clear" w:color="auto" w:fill="auto"/>
          </w:tcPr>
          <w:p w14:paraId="613882FD" w14:textId="77777777" w:rsidR="00A80CF8" w:rsidRPr="00D724AC" w:rsidRDefault="00A80CF8" w:rsidP="00AC19D2">
            <w:pPr>
              <w:autoSpaceDE w:val="0"/>
              <w:autoSpaceDN w:val="0"/>
              <w:adjustRightInd w:val="0"/>
              <w:rPr>
                <w:snapToGrid w:val="0"/>
                <w:szCs w:val="22"/>
                <w:lang w:eastAsia="en-US"/>
              </w:rPr>
            </w:pPr>
            <w:r w:rsidRPr="00D724AC">
              <w:rPr>
                <w:rFonts w:eastAsia="Calibri"/>
                <w:i/>
                <w:iCs/>
                <w:szCs w:val="22"/>
              </w:rPr>
              <w:t>Virškinimo trakto sutrikimai</w:t>
            </w:r>
          </w:p>
        </w:tc>
        <w:tc>
          <w:tcPr>
            <w:tcW w:w="2980" w:type="dxa"/>
            <w:shd w:val="clear" w:color="auto" w:fill="auto"/>
          </w:tcPr>
          <w:p w14:paraId="50060252"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Dažnis nežinomas:</w:t>
            </w:r>
          </w:p>
        </w:tc>
        <w:tc>
          <w:tcPr>
            <w:tcW w:w="3079" w:type="dxa"/>
            <w:shd w:val="clear" w:color="auto" w:fill="auto"/>
          </w:tcPr>
          <w:p w14:paraId="1193D889" w14:textId="77777777" w:rsidR="00A80CF8" w:rsidRPr="00D724AC" w:rsidRDefault="00A80CF8" w:rsidP="00AC19D2">
            <w:pPr>
              <w:autoSpaceDE w:val="0"/>
              <w:autoSpaceDN w:val="0"/>
              <w:adjustRightInd w:val="0"/>
              <w:rPr>
                <w:snapToGrid w:val="0"/>
                <w:szCs w:val="22"/>
                <w:lang w:eastAsia="en-US"/>
              </w:rPr>
            </w:pPr>
            <w:r w:rsidRPr="00D724AC">
              <w:rPr>
                <w:rFonts w:eastAsia="Calibri"/>
                <w:szCs w:val="22"/>
              </w:rPr>
              <w:t>pankreatitas, anoreksija, viduriavimas, vidurių užkietėjimas, skrandžio dirginimas, seilių liaukų uždegimas, apetito stoka</w:t>
            </w:r>
          </w:p>
        </w:tc>
      </w:tr>
      <w:tr w:rsidR="00A80CF8" w:rsidRPr="00D724AC" w14:paraId="718D1A4D" w14:textId="77777777" w:rsidTr="00996CA4">
        <w:tc>
          <w:tcPr>
            <w:tcW w:w="3001" w:type="dxa"/>
            <w:shd w:val="clear" w:color="auto" w:fill="auto"/>
          </w:tcPr>
          <w:p w14:paraId="02F84CB9" w14:textId="77777777" w:rsidR="00A80CF8" w:rsidRPr="00D724AC" w:rsidRDefault="00A80CF8" w:rsidP="00AC19D2">
            <w:pPr>
              <w:autoSpaceDE w:val="0"/>
              <w:autoSpaceDN w:val="0"/>
              <w:adjustRightInd w:val="0"/>
              <w:rPr>
                <w:snapToGrid w:val="0"/>
                <w:szCs w:val="22"/>
                <w:lang w:eastAsia="en-US"/>
              </w:rPr>
            </w:pPr>
            <w:r w:rsidRPr="00D724AC">
              <w:rPr>
                <w:rFonts w:eastAsia="Calibri"/>
                <w:i/>
                <w:iCs/>
                <w:szCs w:val="22"/>
              </w:rPr>
              <w:t>Inkstų ir šlapimo takų sutrikimai</w:t>
            </w:r>
          </w:p>
        </w:tc>
        <w:tc>
          <w:tcPr>
            <w:tcW w:w="2980" w:type="dxa"/>
            <w:shd w:val="clear" w:color="auto" w:fill="auto"/>
          </w:tcPr>
          <w:p w14:paraId="0AA40A09"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Dažnis nežinomas:</w:t>
            </w:r>
          </w:p>
        </w:tc>
        <w:tc>
          <w:tcPr>
            <w:tcW w:w="3079" w:type="dxa"/>
            <w:shd w:val="clear" w:color="auto" w:fill="auto"/>
          </w:tcPr>
          <w:p w14:paraId="5221B0EB" w14:textId="77777777" w:rsidR="00A80CF8" w:rsidRPr="00D724AC" w:rsidRDefault="00A80CF8" w:rsidP="00AC19D2">
            <w:pPr>
              <w:autoSpaceDE w:val="0"/>
              <w:autoSpaceDN w:val="0"/>
              <w:adjustRightInd w:val="0"/>
              <w:rPr>
                <w:snapToGrid w:val="0"/>
                <w:szCs w:val="22"/>
                <w:lang w:eastAsia="en-US"/>
              </w:rPr>
            </w:pPr>
            <w:r w:rsidRPr="00D724AC">
              <w:rPr>
                <w:rFonts w:eastAsia="Calibri"/>
                <w:szCs w:val="22"/>
              </w:rPr>
              <w:t>intersticinis nefritas, inkstų funkcijos sutrikimas</w:t>
            </w:r>
          </w:p>
        </w:tc>
      </w:tr>
      <w:tr w:rsidR="00A80CF8" w:rsidRPr="00D724AC" w14:paraId="2A5E8B4B" w14:textId="77777777" w:rsidTr="00996CA4">
        <w:tc>
          <w:tcPr>
            <w:tcW w:w="3001" w:type="dxa"/>
            <w:shd w:val="clear" w:color="auto" w:fill="auto"/>
          </w:tcPr>
          <w:p w14:paraId="4D36DEF4" w14:textId="77777777" w:rsidR="00A80CF8" w:rsidRPr="00D724AC" w:rsidRDefault="00A80CF8" w:rsidP="00AC19D2">
            <w:pPr>
              <w:autoSpaceDE w:val="0"/>
              <w:autoSpaceDN w:val="0"/>
              <w:adjustRightInd w:val="0"/>
              <w:rPr>
                <w:snapToGrid w:val="0"/>
                <w:szCs w:val="22"/>
                <w:lang w:eastAsia="en-US"/>
              </w:rPr>
            </w:pPr>
            <w:r w:rsidRPr="00D724AC">
              <w:rPr>
                <w:rFonts w:eastAsia="Calibri"/>
                <w:i/>
                <w:iCs/>
                <w:szCs w:val="22"/>
              </w:rPr>
              <w:t>Odos ir poodinio audinio sutrikimai</w:t>
            </w:r>
          </w:p>
        </w:tc>
        <w:tc>
          <w:tcPr>
            <w:tcW w:w="2980" w:type="dxa"/>
            <w:shd w:val="clear" w:color="auto" w:fill="auto"/>
          </w:tcPr>
          <w:p w14:paraId="4D140E88"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Dažnis nežinomas:</w:t>
            </w:r>
          </w:p>
        </w:tc>
        <w:tc>
          <w:tcPr>
            <w:tcW w:w="3079" w:type="dxa"/>
            <w:shd w:val="clear" w:color="auto" w:fill="auto"/>
          </w:tcPr>
          <w:p w14:paraId="157E53B9" w14:textId="77777777" w:rsidR="00A80CF8" w:rsidRPr="00D724AC" w:rsidRDefault="00A80CF8" w:rsidP="00AC19D2">
            <w:pPr>
              <w:autoSpaceDE w:val="0"/>
              <w:autoSpaceDN w:val="0"/>
              <w:adjustRightInd w:val="0"/>
              <w:rPr>
                <w:snapToGrid w:val="0"/>
                <w:szCs w:val="22"/>
                <w:lang w:eastAsia="en-US"/>
              </w:rPr>
            </w:pPr>
            <w:r w:rsidRPr="00D724AC">
              <w:rPr>
                <w:rFonts w:eastAsia="Calibri"/>
                <w:szCs w:val="22"/>
              </w:rPr>
              <w:t xml:space="preserve">anafilaksinė reakcija, toksinė epidermolizė, nekrozinis angitas </w:t>
            </w:r>
            <w:r w:rsidRPr="00D724AC">
              <w:rPr>
                <w:rFonts w:eastAsia="Calibri"/>
                <w:szCs w:val="22"/>
              </w:rPr>
              <w:lastRenderedPageBreak/>
              <w:t>(vaskulitas, odos vaskulitas), į odos raudonąją vilkligę panaši reakcija, odos raudonosios vilkligės suaktyvėjimas, padidėjusio jautrumo šviesai reakcija, išbėrimas, dilgėlinė</w:t>
            </w:r>
          </w:p>
        </w:tc>
      </w:tr>
      <w:tr w:rsidR="00A80CF8" w:rsidRPr="00D724AC" w14:paraId="13F8103F" w14:textId="77777777" w:rsidTr="00996CA4">
        <w:tc>
          <w:tcPr>
            <w:tcW w:w="3001" w:type="dxa"/>
            <w:shd w:val="clear" w:color="auto" w:fill="auto"/>
          </w:tcPr>
          <w:p w14:paraId="081280BC" w14:textId="77777777" w:rsidR="00A80CF8" w:rsidRPr="00D724AC" w:rsidRDefault="00A80CF8" w:rsidP="00AC19D2">
            <w:pPr>
              <w:autoSpaceDE w:val="0"/>
              <w:autoSpaceDN w:val="0"/>
              <w:adjustRightInd w:val="0"/>
              <w:rPr>
                <w:snapToGrid w:val="0"/>
                <w:szCs w:val="22"/>
                <w:lang w:eastAsia="en-US"/>
              </w:rPr>
            </w:pPr>
            <w:r w:rsidRPr="00D724AC">
              <w:rPr>
                <w:rFonts w:eastAsia="Calibri"/>
                <w:i/>
                <w:iCs/>
                <w:szCs w:val="22"/>
              </w:rPr>
              <w:lastRenderedPageBreak/>
              <w:t>Skeleto, raumenų ir jungiamojo audinio sutrikimai</w:t>
            </w:r>
          </w:p>
        </w:tc>
        <w:tc>
          <w:tcPr>
            <w:tcW w:w="2980" w:type="dxa"/>
            <w:shd w:val="clear" w:color="auto" w:fill="auto"/>
          </w:tcPr>
          <w:p w14:paraId="48E16086"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Dažnis nežinomas:</w:t>
            </w:r>
          </w:p>
        </w:tc>
        <w:tc>
          <w:tcPr>
            <w:tcW w:w="3079" w:type="dxa"/>
            <w:shd w:val="clear" w:color="auto" w:fill="auto"/>
          </w:tcPr>
          <w:p w14:paraId="0940BF50" w14:textId="77777777" w:rsidR="00A80CF8" w:rsidRPr="00D724AC" w:rsidRDefault="00A80CF8" w:rsidP="00AC19D2">
            <w:pPr>
              <w:autoSpaceDE w:val="0"/>
              <w:autoSpaceDN w:val="0"/>
              <w:adjustRightInd w:val="0"/>
              <w:rPr>
                <w:snapToGrid w:val="0"/>
                <w:szCs w:val="22"/>
                <w:lang w:eastAsia="en-US"/>
              </w:rPr>
            </w:pPr>
            <w:r w:rsidRPr="00D724AC">
              <w:rPr>
                <w:rFonts w:eastAsia="Calibri"/>
                <w:szCs w:val="22"/>
              </w:rPr>
              <w:t>silpnumas, raumenų spazmai</w:t>
            </w:r>
          </w:p>
        </w:tc>
      </w:tr>
      <w:tr w:rsidR="00A80CF8" w:rsidRPr="00D724AC" w14:paraId="4053C420" w14:textId="77777777" w:rsidTr="00996CA4">
        <w:tc>
          <w:tcPr>
            <w:tcW w:w="3001" w:type="dxa"/>
            <w:shd w:val="clear" w:color="auto" w:fill="auto"/>
          </w:tcPr>
          <w:p w14:paraId="2E93EC7F" w14:textId="77777777" w:rsidR="00A80CF8" w:rsidRPr="00D724AC" w:rsidRDefault="00A80CF8" w:rsidP="00AC19D2">
            <w:pPr>
              <w:autoSpaceDE w:val="0"/>
              <w:autoSpaceDN w:val="0"/>
              <w:adjustRightInd w:val="0"/>
              <w:rPr>
                <w:snapToGrid w:val="0"/>
                <w:szCs w:val="22"/>
                <w:lang w:eastAsia="en-US"/>
              </w:rPr>
            </w:pPr>
            <w:r w:rsidRPr="00D724AC">
              <w:rPr>
                <w:rFonts w:eastAsia="Calibri"/>
                <w:i/>
                <w:iCs/>
                <w:szCs w:val="22"/>
              </w:rPr>
              <w:t>Kraujagyslių sutrikimai</w:t>
            </w:r>
          </w:p>
        </w:tc>
        <w:tc>
          <w:tcPr>
            <w:tcW w:w="2980" w:type="dxa"/>
            <w:shd w:val="clear" w:color="auto" w:fill="auto"/>
          </w:tcPr>
          <w:p w14:paraId="7BE49308"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Dažnis nežinomas:</w:t>
            </w:r>
          </w:p>
        </w:tc>
        <w:tc>
          <w:tcPr>
            <w:tcW w:w="3079" w:type="dxa"/>
            <w:shd w:val="clear" w:color="auto" w:fill="auto"/>
          </w:tcPr>
          <w:p w14:paraId="0AE9A461" w14:textId="77777777" w:rsidR="00A80CF8" w:rsidRPr="00D724AC" w:rsidRDefault="00A80CF8" w:rsidP="00AC19D2">
            <w:pPr>
              <w:autoSpaceDE w:val="0"/>
              <w:autoSpaceDN w:val="0"/>
              <w:adjustRightInd w:val="0"/>
              <w:rPr>
                <w:snapToGrid w:val="0"/>
                <w:szCs w:val="22"/>
                <w:lang w:eastAsia="en-US"/>
              </w:rPr>
            </w:pPr>
            <w:r w:rsidRPr="00D724AC">
              <w:rPr>
                <w:rFonts w:eastAsia="Calibri"/>
                <w:szCs w:val="22"/>
              </w:rPr>
              <w:t>ortostatinė hipotenzija</w:t>
            </w:r>
          </w:p>
        </w:tc>
      </w:tr>
      <w:tr w:rsidR="00A80CF8" w:rsidRPr="00D724AC" w14:paraId="1E8DFF1C" w14:textId="77777777" w:rsidTr="00996CA4">
        <w:tc>
          <w:tcPr>
            <w:tcW w:w="3001" w:type="dxa"/>
            <w:shd w:val="clear" w:color="auto" w:fill="auto"/>
          </w:tcPr>
          <w:p w14:paraId="6897E3E0" w14:textId="77777777" w:rsidR="00A80CF8" w:rsidRPr="00D724AC" w:rsidRDefault="00A80CF8" w:rsidP="00AC19D2">
            <w:pPr>
              <w:autoSpaceDE w:val="0"/>
              <w:autoSpaceDN w:val="0"/>
              <w:adjustRightInd w:val="0"/>
              <w:rPr>
                <w:snapToGrid w:val="0"/>
                <w:szCs w:val="22"/>
                <w:lang w:eastAsia="en-US"/>
              </w:rPr>
            </w:pPr>
            <w:r w:rsidRPr="00D724AC">
              <w:rPr>
                <w:rFonts w:eastAsia="Calibri"/>
                <w:i/>
                <w:iCs/>
                <w:szCs w:val="22"/>
              </w:rPr>
              <w:t>Bendrieji sutrikimai ir vartojimo vietos pažeidimai</w:t>
            </w:r>
          </w:p>
        </w:tc>
        <w:tc>
          <w:tcPr>
            <w:tcW w:w="2980" w:type="dxa"/>
            <w:shd w:val="clear" w:color="auto" w:fill="auto"/>
          </w:tcPr>
          <w:p w14:paraId="260E09EE"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Dažnis nežinomas:</w:t>
            </w:r>
          </w:p>
        </w:tc>
        <w:tc>
          <w:tcPr>
            <w:tcW w:w="3079" w:type="dxa"/>
            <w:shd w:val="clear" w:color="auto" w:fill="auto"/>
          </w:tcPr>
          <w:p w14:paraId="039FA51D" w14:textId="77777777" w:rsidR="00A80CF8" w:rsidRPr="00D724AC" w:rsidRDefault="00A80CF8" w:rsidP="00AC19D2">
            <w:pPr>
              <w:autoSpaceDE w:val="0"/>
              <w:autoSpaceDN w:val="0"/>
              <w:adjustRightInd w:val="0"/>
              <w:rPr>
                <w:snapToGrid w:val="0"/>
                <w:szCs w:val="22"/>
                <w:lang w:eastAsia="en-US"/>
              </w:rPr>
            </w:pPr>
            <w:r w:rsidRPr="00D724AC">
              <w:rPr>
                <w:rFonts w:eastAsia="Calibri"/>
                <w:szCs w:val="22"/>
              </w:rPr>
              <w:t>karščiavimas</w:t>
            </w:r>
          </w:p>
        </w:tc>
      </w:tr>
      <w:tr w:rsidR="00A80CF8" w:rsidRPr="00D724AC" w14:paraId="12D6B62A" w14:textId="77777777" w:rsidTr="00996CA4">
        <w:tc>
          <w:tcPr>
            <w:tcW w:w="3001" w:type="dxa"/>
            <w:shd w:val="clear" w:color="auto" w:fill="auto"/>
          </w:tcPr>
          <w:p w14:paraId="4880AA24" w14:textId="77777777" w:rsidR="00A80CF8" w:rsidRPr="00D724AC" w:rsidRDefault="00A80CF8" w:rsidP="00AC19D2">
            <w:pPr>
              <w:autoSpaceDE w:val="0"/>
              <w:autoSpaceDN w:val="0"/>
              <w:adjustRightInd w:val="0"/>
              <w:rPr>
                <w:rFonts w:eastAsia="Calibri"/>
                <w:i/>
                <w:iCs/>
                <w:szCs w:val="22"/>
              </w:rPr>
            </w:pPr>
            <w:r w:rsidRPr="00D724AC">
              <w:rPr>
                <w:rFonts w:eastAsia="Calibri"/>
                <w:i/>
                <w:iCs/>
                <w:szCs w:val="22"/>
              </w:rPr>
              <w:t>Kepenų, tulžies pūslės ir</w:t>
            </w:r>
          </w:p>
          <w:p w14:paraId="0B0C002C" w14:textId="77777777" w:rsidR="00A80CF8" w:rsidRPr="00D724AC" w:rsidRDefault="00A80CF8" w:rsidP="00AC19D2">
            <w:pPr>
              <w:autoSpaceDE w:val="0"/>
              <w:autoSpaceDN w:val="0"/>
              <w:adjustRightInd w:val="0"/>
              <w:rPr>
                <w:snapToGrid w:val="0"/>
                <w:szCs w:val="22"/>
                <w:lang w:eastAsia="en-US"/>
              </w:rPr>
            </w:pPr>
            <w:r w:rsidRPr="00D724AC">
              <w:rPr>
                <w:rFonts w:eastAsia="Calibri"/>
                <w:i/>
                <w:iCs/>
                <w:szCs w:val="22"/>
              </w:rPr>
              <w:t>latakų sutrikimai</w:t>
            </w:r>
          </w:p>
        </w:tc>
        <w:tc>
          <w:tcPr>
            <w:tcW w:w="2980" w:type="dxa"/>
            <w:shd w:val="clear" w:color="auto" w:fill="auto"/>
          </w:tcPr>
          <w:p w14:paraId="666F4A56"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Dažnis nežinomas:</w:t>
            </w:r>
          </w:p>
        </w:tc>
        <w:tc>
          <w:tcPr>
            <w:tcW w:w="3079" w:type="dxa"/>
            <w:shd w:val="clear" w:color="auto" w:fill="auto"/>
          </w:tcPr>
          <w:p w14:paraId="5683A17A" w14:textId="77777777" w:rsidR="00A80CF8" w:rsidRPr="00D724AC" w:rsidRDefault="00A80CF8" w:rsidP="00AC19D2">
            <w:pPr>
              <w:autoSpaceDE w:val="0"/>
              <w:autoSpaceDN w:val="0"/>
              <w:adjustRightInd w:val="0"/>
              <w:rPr>
                <w:snapToGrid w:val="0"/>
                <w:szCs w:val="22"/>
                <w:lang w:eastAsia="en-US"/>
              </w:rPr>
            </w:pPr>
            <w:r w:rsidRPr="00D724AC">
              <w:rPr>
                <w:rFonts w:eastAsia="Calibri"/>
                <w:szCs w:val="22"/>
              </w:rPr>
              <w:t>gelta (intrahepatinė cholestazinė gelta)</w:t>
            </w:r>
          </w:p>
        </w:tc>
      </w:tr>
      <w:tr w:rsidR="00A80CF8" w:rsidRPr="00D724AC" w14:paraId="20180474" w14:textId="77777777" w:rsidTr="00996CA4">
        <w:tc>
          <w:tcPr>
            <w:tcW w:w="3001" w:type="dxa"/>
            <w:shd w:val="clear" w:color="auto" w:fill="auto"/>
          </w:tcPr>
          <w:p w14:paraId="521731DD" w14:textId="77777777" w:rsidR="00A80CF8" w:rsidRPr="00D724AC" w:rsidRDefault="00A80CF8" w:rsidP="00AC19D2">
            <w:pPr>
              <w:autoSpaceDE w:val="0"/>
              <w:autoSpaceDN w:val="0"/>
              <w:adjustRightInd w:val="0"/>
              <w:rPr>
                <w:snapToGrid w:val="0"/>
                <w:szCs w:val="22"/>
                <w:lang w:eastAsia="en-US"/>
              </w:rPr>
            </w:pPr>
            <w:r w:rsidRPr="00D724AC">
              <w:rPr>
                <w:rFonts w:eastAsia="Calibri"/>
                <w:i/>
                <w:iCs/>
                <w:szCs w:val="22"/>
              </w:rPr>
              <w:t>Psichikos sutrikimai</w:t>
            </w:r>
          </w:p>
        </w:tc>
        <w:tc>
          <w:tcPr>
            <w:tcW w:w="2980" w:type="dxa"/>
            <w:shd w:val="clear" w:color="auto" w:fill="auto"/>
          </w:tcPr>
          <w:p w14:paraId="5EE0C57F" w14:textId="77777777" w:rsidR="00A80CF8" w:rsidRPr="00D724AC" w:rsidRDefault="00A80CF8" w:rsidP="00AC19D2">
            <w:pPr>
              <w:tabs>
                <w:tab w:val="left" w:pos="567"/>
              </w:tabs>
              <w:contextualSpacing/>
              <w:outlineLvl w:val="0"/>
              <w:rPr>
                <w:snapToGrid w:val="0"/>
                <w:szCs w:val="22"/>
                <w:lang w:eastAsia="en-US"/>
              </w:rPr>
            </w:pPr>
            <w:r w:rsidRPr="00D724AC">
              <w:rPr>
                <w:rFonts w:eastAsia="Calibri"/>
                <w:szCs w:val="22"/>
              </w:rPr>
              <w:t>Dažnis nežinomas:</w:t>
            </w:r>
          </w:p>
        </w:tc>
        <w:tc>
          <w:tcPr>
            <w:tcW w:w="3079" w:type="dxa"/>
            <w:shd w:val="clear" w:color="auto" w:fill="auto"/>
          </w:tcPr>
          <w:p w14:paraId="70058DA6" w14:textId="77777777" w:rsidR="00A80CF8" w:rsidRPr="00D724AC" w:rsidRDefault="00A80CF8" w:rsidP="00AC19D2">
            <w:pPr>
              <w:autoSpaceDE w:val="0"/>
              <w:autoSpaceDN w:val="0"/>
              <w:adjustRightInd w:val="0"/>
              <w:rPr>
                <w:snapToGrid w:val="0"/>
                <w:szCs w:val="22"/>
                <w:lang w:eastAsia="en-US"/>
              </w:rPr>
            </w:pPr>
            <w:r w:rsidRPr="00D724AC">
              <w:rPr>
                <w:rFonts w:eastAsia="Calibri"/>
                <w:szCs w:val="22"/>
              </w:rPr>
              <w:t>depresija, miego sutrikimas</w:t>
            </w:r>
          </w:p>
        </w:tc>
      </w:tr>
      <w:tr w:rsidR="00A80CF8" w:rsidRPr="00D724AC" w14:paraId="6790A98C" w14:textId="77777777" w:rsidTr="00996CA4">
        <w:tc>
          <w:tcPr>
            <w:tcW w:w="3001" w:type="dxa"/>
            <w:shd w:val="clear" w:color="auto" w:fill="auto"/>
          </w:tcPr>
          <w:p w14:paraId="546FA663" w14:textId="77777777" w:rsidR="00A80CF8" w:rsidRPr="00D724AC" w:rsidRDefault="00A80CF8" w:rsidP="00AC19D2">
            <w:pPr>
              <w:autoSpaceDE w:val="0"/>
              <w:autoSpaceDN w:val="0"/>
              <w:adjustRightInd w:val="0"/>
              <w:rPr>
                <w:rFonts w:eastAsia="Calibri"/>
                <w:i/>
                <w:iCs/>
                <w:szCs w:val="22"/>
              </w:rPr>
            </w:pPr>
            <w:r w:rsidRPr="00396DCB">
              <w:rPr>
                <w:rFonts w:eastAsia="Calibri"/>
                <w:i/>
                <w:szCs w:val="22"/>
              </w:rPr>
              <w:t>Gerybiniai, piktybiniai ir nepatikslinti navikai (tarp jų cistos ir polipai)</w:t>
            </w:r>
          </w:p>
        </w:tc>
        <w:tc>
          <w:tcPr>
            <w:tcW w:w="2980" w:type="dxa"/>
            <w:shd w:val="clear" w:color="auto" w:fill="auto"/>
          </w:tcPr>
          <w:p w14:paraId="5A4F1268" w14:textId="77777777" w:rsidR="00A80CF8" w:rsidRPr="00D724AC" w:rsidRDefault="00A80CF8" w:rsidP="00AC19D2">
            <w:pPr>
              <w:tabs>
                <w:tab w:val="left" w:pos="567"/>
              </w:tabs>
              <w:contextualSpacing/>
              <w:outlineLvl w:val="0"/>
              <w:rPr>
                <w:rFonts w:eastAsia="Calibri"/>
                <w:szCs w:val="22"/>
              </w:rPr>
            </w:pPr>
          </w:p>
        </w:tc>
        <w:tc>
          <w:tcPr>
            <w:tcW w:w="3079" w:type="dxa"/>
            <w:shd w:val="clear" w:color="auto" w:fill="auto"/>
          </w:tcPr>
          <w:p w14:paraId="268215F2" w14:textId="77777777" w:rsidR="00A80CF8" w:rsidRPr="00D724AC" w:rsidRDefault="00A80CF8" w:rsidP="00AC19D2">
            <w:pPr>
              <w:autoSpaceDE w:val="0"/>
              <w:autoSpaceDN w:val="0"/>
              <w:adjustRightInd w:val="0"/>
              <w:rPr>
                <w:rFonts w:eastAsia="Calibri"/>
                <w:szCs w:val="22"/>
              </w:rPr>
            </w:pPr>
            <w:r w:rsidRPr="00D724AC">
              <w:rPr>
                <w:rFonts w:eastAsia="Calibri"/>
                <w:szCs w:val="22"/>
              </w:rPr>
              <w:t>nemelanominis odos vėžys (bazalinių ląstelių karcinoma ir plokščiųjų ląstelių karcinoma).</w:t>
            </w:r>
          </w:p>
        </w:tc>
      </w:tr>
    </w:tbl>
    <w:p w14:paraId="33C54863" w14:textId="77777777" w:rsidR="00A80CF8" w:rsidRPr="00D724AC" w:rsidRDefault="00A80CF8" w:rsidP="00A80CF8">
      <w:pPr>
        <w:tabs>
          <w:tab w:val="left" w:pos="567"/>
        </w:tabs>
        <w:autoSpaceDE w:val="0"/>
        <w:autoSpaceDN w:val="0"/>
        <w:adjustRightInd w:val="0"/>
        <w:spacing w:line="260" w:lineRule="exact"/>
        <w:jc w:val="both"/>
        <w:rPr>
          <w:snapToGrid w:val="0"/>
          <w:szCs w:val="22"/>
          <w:u w:val="single"/>
          <w:lang w:eastAsia="en-US"/>
        </w:rPr>
      </w:pPr>
    </w:p>
    <w:p w14:paraId="3276C05A" w14:textId="77777777" w:rsidR="00A80CF8" w:rsidRPr="00D724AC" w:rsidRDefault="00A80CF8" w:rsidP="00A80CF8">
      <w:pPr>
        <w:autoSpaceDE w:val="0"/>
        <w:autoSpaceDN w:val="0"/>
        <w:adjustRightInd w:val="0"/>
        <w:rPr>
          <w:rFonts w:eastAsia="Calibri"/>
          <w:szCs w:val="22"/>
        </w:rPr>
      </w:pPr>
      <w:r w:rsidRPr="00D724AC">
        <w:rPr>
          <w:rFonts w:eastAsia="Calibri"/>
          <w:szCs w:val="22"/>
        </w:rPr>
        <w:t>Didinant hidrochlorotiazido dozę, gali dažniau pasireikšti nuo dozės priklausančių nepageidaujamų reiškinių (ypač elektrolitų pusiausvyros sutrikimų).</w:t>
      </w:r>
    </w:p>
    <w:p w14:paraId="10BE13FD" w14:textId="77777777" w:rsidR="00A80CF8" w:rsidRDefault="00A80CF8" w:rsidP="00A80CF8">
      <w:pPr>
        <w:tabs>
          <w:tab w:val="left" w:pos="567"/>
        </w:tabs>
        <w:autoSpaceDE w:val="0"/>
        <w:autoSpaceDN w:val="0"/>
        <w:adjustRightInd w:val="0"/>
        <w:spacing w:line="260" w:lineRule="exact"/>
        <w:rPr>
          <w:snapToGrid w:val="0"/>
          <w:szCs w:val="22"/>
          <w:u w:val="single"/>
          <w:lang w:eastAsia="en-US"/>
        </w:rPr>
      </w:pPr>
    </w:p>
    <w:p w14:paraId="67119BD6" w14:textId="77777777" w:rsidR="00A80CF8" w:rsidRPr="00396DCB" w:rsidRDefault="00A80CF8" w:rsidP="00A80CF8">
      <w:pPr>
        <w:tabs>
          <w:tab w:val="left" w:pos="567"/>
        </w:tabs>
        <w:autoSpaceDE w:val="0"/>
        <w:autoSpaceDN w:val="0"/>
        <w:adjustRightInd w:val="0"/>
        <w:spacing w:line="260" w:lineRule="exact"/>
        <w:rPr>
          <w:i/>
          <w:snapToGrid w:val="0"/>
          <w:szCs w:val="22"/>
          <w:lang w:eastAsia="en-US"/>
        </w:rPr>
      </w:pPr>
      <w:r w:rsidRPr="00396DCB">
        <w:rPr>
          <w:i/>
          <w:snapToGrid w:val="0"/>
          <w:szCs w:val="22"/>
          <w:lang w:eastAsia="en-US"/>
        </w:rPr>
        <w:t>Atrinktų nepageidaujamų reakcijų apibūdinimas</w:t>
      </w:r>
    </w:p>
    <w:p w14:paraId="29945329" w14:textId="77777777" w:rsidR="00A80CF8" w:rsidRPr="00396DCB" w:rsidRDefault="00A80CF8" w:rsidP="00A80CF8">
      <w:pPr>
        <w:tabs>
          <w:tab w:val="left" w:pos="567"/>
        </w:tabs>
        <w:autoSpaceDE w:val="0"/>
        <w:autoSpaceDN w:val="0"/>
        <w:adjustRightInd w:val="0"/>
        <w:spacing w:line="260" w:lineRule="exact"/>
        <w:rPr>
          <w:snapToGrid w:val="0"/>
          <w:szCs w:val="22"/>
          <w:lang w:eastAsia="en-US"/>
        </w:rPr>
      </w:pPr>
      <w:r w:rsidRPr="00396DCB">
        <w:rPr>
          <w:snapToGrid w:val="0"/>
          <w:szCs w:val="22"/>
          <w:lang w:eastAsia="en-US"/>
        </w:rPr>
        <w:t>Nemelanominis odos vėžys. Remiantis turimais epidemiologinių tyrimų duomenimis buvo nustatyta nuo kumuliacinės dozės priklausoma HCTZ sąsaja su NOV (taip pat žr. 4.4 ir 5.1 skyrius).</w:t>
      </w:r>
    </w:p>
    <w:p w14:paraId="3A470D62" w14:textId="77777777" w:rsidR="00A80CF8" w:rsidRPr="00D724AC" w:rsidRDefault="00A80CF8" w:rsidP="00A80CF8">
      <w:pPr>
        <w:tabs>
          <w:tab w:val="left" w:pos="567"/>
        </w:tabs>
        <w:autoSpaceDE w:val="0"/>
        <w:autoSpaceDN w:val="0"/>
        <w:adjustRightInd w:val="0"/>
        <w:spacing w:line="260" w:lineRule="exact"/>
        <w:rPr>
          <w:snapToGrid w:val="0"/>
          <w:szCs w:val="22"/>
          <w:u w:val="single"/>
          <w:lang w:eastAsia="en-US"/>
        </w:rPr>
      </w:pPr>
    </w:p>
    <w:p w14:paraId="52D93900" w14:textId="77777777" w:rsidR="00A80CF8" w:rsidRPr="00D724AC" w:rsidRDefault="00A80CF8" w:rsidP="00A80CF8">
      <w:pPr>
        <w:tabs>
          <w:tab w:val="left" w:pos="567"/>
        </w:tabs>
        <w:autoSpaceDE w:val="0"/>
        <w:autoSpaceDN w:val="0"/>
        <w:adjustRightInd w:val="0"/>
        <w:spacing w:line="260" w:lineRule="exact"/>
        <w:rPr>
          <w:snapToGrid w:val="0"/>
          <w:szCs w:val="22"/>
          <w:u w:val="single"/>
          <w:lang w:eastAsia="en-US"/>
        </w:rPr>
      </w:pPr>
      <w:r w:rsidRPr="00D724AC">
        <w:rPr>
          <w:snapToGrid w:val="0"/>
          <w:szCs w:val="22"/>
          <w:u w:val="single"/>
          <w:lang w:eastAsia="en-US"/>
        </w:rPr>
        <w:t>Pranešimas apie įtariamas nepageidaujamas reakcijas</w:t>
      </w:r>
    </w:p>
    <w:p w14:paraId="726C8B04" w14:textId="1E064209" w:rsidR="00A80CF8" w:rsidRPr="00B24AC8" w:rsidRDefault="00A80CF8" w:rsidP="00A80CF8">
      <w:pPr>
        <w:tabs>
          <w:tab w:val="left" w:pos="567"/>
        </w:tabs>
        <w:autoSpaceDE w:val="0"/>
        <w:autoSpaceDN w:val="0"/>
        <w:adjustRightInd w:val="0"/>
        <w:spacing w:line="260" w:lineRule="exact"/>
        <w:jc w:val="both"/>
        <w:rPr>
          <w:noProof/>
          <w:snapToGrid w:val="0"/>
          <w:szCs w:val="24"/>
          <w:lang w:eastAsia="en-US"/>
        </w:rPr>
      </w:pPr>
      <w:r w:rsidRPr="00B24AC8">
        <w:rPr>
          <w:noProof/>
          <w:snapToGrid w:val="0"/>
          <w:szCs w:val="24"/>
          <w:lang w:eastAsia="en-US"/>
        </w:rPr>
        <w:t>Svarbu pranešti apie įtariamas nepageidaujamas reakcijas, pastebėtas po vaistinio preparato registracijos, nes tai leidžia nuolat stebėti vaistinio preparato naudos ir rizikos santykį.</w:t>
      </w:r>
      <w:r w:rsidRPr="00B24AC8">
        <w:rPr>
          <w:snapToGrid w:val="0"/>
          <w:szCs w:val="24"/>
          <w:lang w:eastAsia="en-US"/>
        </w:rPr>
        <w:t xml:space="preserve"> </w:t>
      </w:r>
      <w:r w:rsidRPr="00B24AC8">
        <w:rPr>
          <w:noProof/>
          <w:snapToGrid w:val="0"/>
          <w:szCs w:val="24"/>
          <w:lang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B24AC8">
          <w:rPr>
            <w:noProof/>
            <w:snapToGrid w:val="0"/>
            <w:color w:val="0000FF"/>
            <w:szCs w:val="24"/>
            <w:u w:val="single"/>
            <w:lang w:eastAsia="en-US"/>
          </w:rPr>
          <w:t>https://vapris.vvkt.lt/vvkt-web/public/nrvSpecialist</w:t>
        </w:r>
      </w:hyperlink>
      <w:r w:rsidRPr="00B24AC8">
        <w:rPr>
          <w:noProof/>
          <w:snapToGrid w:val="0"/>
          <w:szCs w:val="24"/>
          <w:lang w:eastAsia="en-US"/>
        </w:rPr>
        <w:t xml:space="preserve"> arba užpildę Sveikatos priežiūros ar farmacijos specialisto pranešimo apie įtariamą nepageidaujamą reakciją (ĮNR) formą, kuri skelbiama </w:t>
      </w:r>
      <w:hyperlink r:id="rId8" w:history="1">
        <w:r w:rsidRPr="00B24AC8">
          <w:rPr>
            <w:noProof/>
            <w:snapToGrid w:val="0"/>
            <w:color w:val="0000FF"/>
            <w:szCs w:val="24"/>
            <w:u w:val="single"/>
            <w:lang w:eastAsia="en-US"/>
          </w:rPr>
          <w:t>https://www.vvkt.lt/index.php?1399030386</w:t>
        </w:r>
      </w:hyperlink>
      <w:r w:rsidRPr="00B24AC8">
        <w:rPr>
          <w:noProof/>
          <w:snapToGrid w:val="0"/>
          <w:szCs w:val="24"/>
          <w:lang w:eastAsia="en-US"/>
        </w:rPr>
        <w:t>, ir atsiųsti elektroniniu paštu (adresu NepageidaujamaR@vvkt.lt).</w:t>
      </w:r>
    </w:p>
    <w:p w14:paraId="491E065F" w14:textId="77777777" w:rsidR="00A80CF8" w:rsidRPr="00D724AC" w:rsidRDefault="00A80CF8" w:rsidP="00A80CF8">
      <w:pPr>
        <w:tabs>
          <w:tab w:val="left" w:pos="567"/>
        </w:tabs>
        <w:spacing w:line="260" w:lineRule="exact"/>
        <w:rPr>
          <w:snapToGrid w:val="0"/>
          <w:szCs w:val="22"/>
          <w:lang w:eastAsia="en-US"/>
        </w:rPr>
      </w:pPr>
    </w:p>
    <w:p w14:paraId="1FE75656" w14:textId="77777777" w:rsidR="00A80CF8" w:rsidRPr="00D724AC" w:rsidRDefault="00A80CF8" w:rsidP="00A80CF8">
      <w:pPr>
        <w:keepNext/>
        <w:tabs>
          <w:tab w:val="left" w:pos="567"/>
        </w:tabs>
        <w:spacing w:line="260" w:lineRule="exact"/>
        <w:outlineLvl w:val="3"/>
        <w:rPr>
          <w:b/>
          <w:bCs/>
          <w:snapToGrid w:val="0"/>
          <w:szCs w:val="22"/>
          <w:lang w:eastAsia="x-none"/>
        </w:rPr>
      </w:pPr>
      <w:r w:rsidRPr="00D724AC">
        <w:rPr>
          <w:b/>
          <w:bCs/>
          <w:snapToGrid w:val="0"/>
          <w:szCs w:val="22"/>
          <w:lang w:eastAsia="x-none"/>
        </w:rPr>
        <w:t>4.9</w:t>
      </w:r>
      <w:r w:rsidRPr="00D724AC">
        <w:rPr>
          <w:b/>
          <w:bCs/>
          <w:snapToGrid w:val="0"/>
          <w:szCs w:val="22"/>
          <w:lang w:eastAsia="x-none"/>
        </w:rPr>
        <w:tab/>
        <w:t>Perdozavimas</w:t>
      </w:r>
    </w:p>
    <w:p w14:paraId="08E7E355" w14:textId="77777777" w:rsidR="00A80CF8" w:rsidRPr="00D724AC" w:rsidRDefault="00A80CF8" w:rsidP="00A80CF8">
      <w:pPr>
        <w:tabs>
          <w:tab w:val="left" w:pos="567"/>
        </w:tabs>
        <w:spacing w:line="260" w:lineRule="exact"/>
        <w:rPr>
          <w:snapToGrid w:val="0"/>
          <w:szCs w:val="22"/>
          <w:lang w:eastAsia="en-US"/>
        </w:rPr>
      </w:pPr>
    </w:p>
    <w:p w14:paraId="4308EF4C" w14:textId="77777777" w:rsidR="00A80CF8" w:rsidRPr="00D724AC" w:rsidRDefault="00A80CF8" w:rsidP="00A80CF8">
      <w:pPr>
        <w:autoSpaceDE w:val="0"/>
        <w:autoSpaceDN w:val="0"/>
        <w:adjustRightInd w:val="0"/>
        <w:rPr>
          <w:rFonts w:eastAsia="Calibri"/>
          <w:szCs w:val="22"/>
        </w:rPr>
      </w:pPr>
      <w:r w:rsidRPr="00D724AC">
        <w:rPr>
          <w:rFonts w:eastAsia="Calibri"/>
          <w:szCs w:val="22"/>
        </w:rPr>
        <w:t xml:space="preserve">Specifinės informacijos apie asmenų, perdozavusių CONVERIDE, gydymą nėra. Pacientą reikia atidžiai stebėti, taikyti palaikomąjį ir simptominį gydymą. Gydymas priklauso nuo laiko, praėjusio po perdozavimo, bei simptomų sunkumo. Siūloma sukelti vėmimą ir (arba) išplauti skrandį. Gali būti naudinga duoti gerti aktyvintosios anglies. Dažnai reikia nustatinėti elektrolitų ir kreatinino kiekį kraujo serume. Pasireiškus hipotenzijai, pacientą reikia paguldyti ant nugaros ir kiek galima greičiau suleisti druskų ir skysčių preparatų. </w:t>
      </w:r>
    </w:p>
    <w:p w14:paraId="48D11206" w14:textId="77777777" w:rsidR="00A80CF8" w:rsidRPr="00D724AC" w:rsidRDefault="00A80CF8" w:rsidP="00A80CF8">
      <w:pPr>
        <w:autoSpaceDE w:val="0"/>
        <w:autoSpaceDN w:val="0"/>
        <w:adjustRightInd w:val="0"/>
        <w:rPr>
          <w:rFonts w:eastAsia="Calibri"/>
          <w:szCs w:val="22"/>
        </w:rPr>
      </w:pPr>
    </w:p>
    <w:p w14:paraId="17AD3ABC" w14:textId="77777777" w:rsidR="00A80CF8" w:rsidRPr="00D724AC" w:rsidRDefault="00A80CF8" w:rsidP="00A80CF8">
      <w:pPr>
        <w:autoSpaceDE w:val="0"/>
        <w:autoSpaceDN w:val="0"/>
        <w:adjustRightInd w:val="0"/>
        <w:rPr>
          <w:rFonts w:eastAsia="Calibri"/>
          <w:szCs w:val="22"/>
        </w:rPr>
      </w:pPr>
      <w:r w:rsidRPr="00D724AC">
        <w:rPr>
          <w:rFonts w:eastAsia="Calibri"/>
          <w:szCs w:val="22"/>
        </w:rPr>
        <w:t>Labiausiai tikėtini irbesartano perdozavimo simptomai yra hipotenzija ir tachikardija, taip pat galima bradikardija.</w:t>
      </w:r>
    </w:p>
    <w:p w14:paraId="6BB30DDE" w14:textId="77777777" w:rsidR="00A80CF8" w:rsidRPr="00D724AC" w:rsidRDefault="00A80CF8" w:rsidP="00A80CF8">
      <w:pPr>
        <w:autoSpaceDE w:val="0"/>
        <w:autoSpaceDN w:val="0"/>
        <w:adjustRightInd w:val="0"/>
        <w:rPr>
          <w:rFonts w:eastAsia="Calibri"/>
          <w:szCs w:val="22"/>
        </w:rPr>
      </w:pPr>
    </w:p>
    <w:p w14:paraId="4F27FA1B" w14:textId="77777777" w:rsidR="00A80CF8" w:rsidRPr="00D724AC" w:rsidRDefault="00A80CF8" w:rsidP="00A80CF8">
      <w:pPr>
        <w:autoSpaceDE w:val="0"/>
        <w:autoSpaceDN w:val="0"/>
        <w:adjustRightInd w:val="0"/>
        <w:rPr>
          <w:rFonts w:eastAsia="Calibri"/>
          <w:szCs w:val="22"/>
        </w:rPr>
      </w:pPr>
      <w:r w:rsidRPr="00D724AC">
        <w:rPr>
          <w:rFonts w:eastAsia="Calibri"/>
          <w:szCs w:val="22"/>
        </w:rPr>
        <w:t>Perdozavus hidrochlorotiazido, sumažėja elektrolitų kiekis kraujo serume (atsiranda hipokalemija, hipochloremija, hiponatremija), dėl gausios diurezės pasireiškia dehidracija. Dažniausi perdozavimo požymiai yra pykinimas ir somnolencija. Dėl hipokalemijos gali atsirasti raumenų spazmų ir (arba) paryškėti širdies aritmija, susijusi su kartu vartojamų rusmenės glikozidų ar kai kurių antiaritminių vaistinių preparatų poveikiu.</w:t>
      </w:r>
    </w:p>
    <w:p w14:paraId="4BB2AC68" w14:textId="77777777" w:rsidR="00A80CF8" w:rsidRPr="00D724AC" w:rsidRDefault="00A80CF8" w:rsidP="00A80CF8">
      <w:pPr>
        <w:autoSpaceDE w:val="0"/>
        <w:autoSpaceDN w:val="0"/>
        <w:adjustRightInd w:val="0"/>
        <w:rPr>
          <w:rFonts w:eastAsia="Calibri"/>
          <w:szCs w:val="22"/>
        </w:rPr>
      </w:pPr>
    </w:p>
    <w:p w14:paraId="208D0061" w14:textId="77777777" w:rsidR="00A80CF8" w:rsidRPr="00D724AC" w:rsidRDefault="00A80CF8" w:rsidP="00A80CF8">
      <w:pPr>
        <w:autoSpaceDE w:val="0"/>
        <w:autoSpaceDN w:val="0"/>
        <w:adjustRightInd w:val="0"/>
        <w:rPr>
          <w:snapToGrid w:val="0"/>
          <w:szCs w:val="22"/>
          <w:lang w:eastAsia="en-US"/>
        </w:rPr>
      </w:pPr>
      <w:r w:rsidRPr="00D724AC">
        <w:rPr>
          <w:rFonts w:eastAsia="Calibri"/>
          <w:szCs w:val="22"/>
        </w:rPr>
        <w:t>Hemodialize irbesartano iš organizmo pašalinti neįmanoma. Kiek hemodialize galima pašalinti hidrochlorotiazido, nenustatyta.</w:t>
      </w:r>
    </w:p>
    <w:p w14:paraId="5C54409C" w14:textId="77777777" w:rsidR="00A80CF8" w:rsidRPr="00D724AC" w:rsidRDefault="00A80CF8" w:rsidP="00A80CF8">
      <w:pPr>
        <w:tabs>
          <w:tab w:val="left" w:pos="567"/>
        </w:tabs>
        <w:spacing w:line="260" w:lineRule="exact"/>
        <w:rPr>
          <w:snapToGrid w:val="0"/>
          <w:szCs w:val="22"/>
          <w:lang w:eastAsia="en-US"/>
        </w:rPr>
      </w:pPr>
    </w:p>
    <w:p w14:paraId="273F836E" w14:textId="77777777" w:rsidR="00A80CF8" w:rsidRPr="00D724AC" w:rsidRDefault="00A80CF8" w:rsidP="00A80CF8">
      <w:pPr>
        <w:tabs>
          <w:tab w:val="left" w:pos="567"/>
        </w:tabs>
        <w:spacing w:line="260" w:lineRule="exact"/>
        <w:rPr>
          <w:snapToGrid w:val="0"/>
          <w:szCs w:val="22"/>
          <w:lang w:eastAsia="en-US"/>
        </w:rPr>
      </w:pPr>
    </w:p>
    <w:p w14:paraId="4AA1D5DF" w14:textId="77777777" w:rsidR="00A80CF8" w:rsidRPr="00D724AC" w:rsidRDefault="00A80CF8" w:rsidP="00A80CF8">
      <w:pPr>
        <w:keepNext/>
        <w:keepLines/>
        <w:tabs>
          <w:tab w:val="left" w:pos="567"/>
        </w:tabs>
        <w:outlineLvl w:val="2"/>
        <w:rPr>
          <w:b/>
          <w:bCs/>
          <w:snapToGrid w:val="0"/>
          <w:szCs w:val="22"/>
          <w:lang w:eastAsia="x-none"/>
        </w:rPr>
      </w:pPr>
      <w:r w:rsidRPr="00D724AC">
        <w:rPr>
          <w:b/>
          <w:bCs/>
          <w:snapToGrid w:val="0"/>
          <w:szCs w:val="22"/>
          <w:lang w:eastAsia="x-none"/>
        </w:rPr>
        <w:t>5.</w:t>
      </w:r>
      <w:r w:rsidRPr="00D724AC">
        <w:rPr>
          <w:b/>
          <w:bCs/>
          <w:snapToGrid w:val="0"/>
          <w:szCs w:val="22"/>
          <w:lang w:eastAsia="x-none"/>
        </w:rPr>
        <w:tab/>
        <w:t>FARMAKOLOGINĖS SAVYBĖS</w:t>
      </w:r>
    </w:p>
    <w:p w14:paraId="3D96ADB8" w14:textId="77777777" w:rsidR="00A80CF8" w:rsidRPr="00D724AC" w:rsidRDefault="00A80CF8" w:rsidP="00A80CF8">
      <w:pPr>
        <w:tabs>
          <w:tab w:val="left" w:pos="567"/>
        </w:tabs>
        <w:spacing w:line="260" w:lineRule="exact"/>
        <w:rPr>
          <w:snapToGrid w:val="0"/>
          <w:szCs w:val="22"/>
          <w:lang w:eastAsia="en-US"/>
        </w:rPr>
      </w:pPr>
    </w:p>
    <w:p w14:paraId="58934049" w14:textId="77777777" w:rsidR="00A80CF8" w:rsidRPr="00D724AC" w:rsidRDefault="00A80CF8" w:rsidP="00A80CF8">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5.1</w:t>
      </w:r>
      <w:r w:rsidRPr="00D724AC">
        <w:rPr>
          <w:b/>
          <w:snapToGrid w:val="0"/>
          <w:szCs w:val="22"/>
          <w:lang w:eastAsia="x-none"/>
        </w:rPr>
        <w:t xml:space="preserve"> </w:t>
      </w:r>
      <w:r w:rsidRPr="00D724AC">
        <w:rPr>
          <w:b/>
          <w:bCs/>
          <w:snapToGrid w:val="0"/>
          <w:szCs w:val="22"/>
          <w:lang w:eastAsia="x-none"/>
        </w:rPr>
        <w:tab/>
        <w:t>Farmakodinaminės savybės</w:t>
      </w:r>
    </w:p>
    <w:p w14:paraId="2416258F" w14:textId="77777777" w:rsidR="00A80CF8" w:rsidRPr="00D724AC" w:rsidRDefault="00A80CF8" w:rsidP="00A80CF8">
      <w:pPr>
        <w:tabs>
          <w:tab w:val="left" w:pos="567"/>
        </w:tabs>
        <w:spacing w:line="260" w:lineRule="exact"/>
        <w:rPr>
          <w:snapToGrid w:val="0"/>
          <w:szCs w:val="22"/>
          <w:lang w:eastAsia="en-US"/>
        </w:rPr>
      </w:pPr>
    </w:p>
    <w:p w14:paraId="00ABAE27" w14:textId="77777777" w:rsidR="00A80CF8" w:rsidRDefault="00A80CF8" w:rsidP="00A80CF8">
      <w:pPr>
        <w:tabs>
          <w:tab w:val="left" w:pos="567"/>
        </w:tabs>
        <w:spacing w:line="260" w:lineRule="exact"/>
        <w:rPr>
          <w:rFonts w:eastAsia="Calibri"/>
          <w:szCs w:val="22"/>
        </w:rPr>
      </w:pPr>
      <w:r w:rsidRPr="00D724AC">
        <w:rPr>
          <w:rFonts w:eastAsia="Calibri"/>
          <w:szCs w:val="22"/>
        </w:rPr>
        <w:t>Farmakoterapinė grupė – angiotenzino II blokatoriai, deriniai. ATC kodas – C09DA04.</w:t>
      </w:r>
    </w:p>
    <w:p w14:paraId="5544C16B" w14:textId="77777777" w:rsidR="00A80CF8" w:rsidRPr="00D724AC" w:rsidRDefault="00A80CF8" w:rsidP="00A80CF8">
      <w:pPr>
        <w:tabs>
          <w:tab w:val="left" w:pos="567"/>
        </w:tabs>
        <w:spacing w:line="260" w:lineRule="exact"/>
        <w:rPr>
          <w:rFonts w:eastAsia="Calibri"/>
          <w:szCs w:val="22"/>
        </w:rPr>
      </w:pPr>
    </w:p>
    <w:p w14:paraId="49BD0901" w14:textId="77777777" w:rsidR="00A80CF8" w:rsidRPr="00AB214D" w:rsidRDefault="00A80CF8" w:rsidP="00A80CF8">
      <w:pPr>
        <w:tabs>
          <w:tab w:val="left" w:pos="567"/>
        </w:tabs>
        <w:spacing w:line="260" w:lineRule="exact"/>
        <w:rPr>
          <w:snapToGrid w:val="0"/>
          <w:szCs w:val="22"/>
          <w:lang w:eastAsia="en-US"/>
        </w:rPr>
      </w:pPr>
      <w:r>
        <w:rPr>
          <w:snapToGrid w:val="0"/>
          <w:szCs w:val="22"/>
          <w:u w:val="single"/>
          <w:lang w:eastAsia="en-US"/>
        </w:rPr>
        <w:t>Veikimo mechanizmas</w:t>
      </w:r>
    </w:p>
    <w:p w14:paraId="740F3637" w14:textId="77777777" w:rsidR="00A80CF8" w:rsidRPr="00D724AC" w:rsidRDefault="00A80CF8" w:rsidP="00A80CF8">
      <w:pPr>
        <w:autoSpaceDE w:val="0"/>
        <w:autoSpaceDN w:val="0"/>
        <w:adjustRightInd w:val="0"/>
        <w:rPr>
          <w:snapToGrid w:val="0"/>
          <w:szCs w:val="22"/>
          <w:lang w:eastAsia="en-US"/>
        </w:rPr>
      </w:pPr>
      <w:r w:rsidRPr="00D724AC">
        <w:rPr>
          <w:rFonts w:eastAsia="Calibri"/>
          <w:szCs w:val="22"/>
        </w:rPr>
        <w:t>CONVERIDE yra angiotenzino II receptorių blokatoriaus irbesartano ir tiazidų grupės diuretiko hidrochlorotiazido sudėtinis vaistinis preparatas. Kartu vartojamos šios sudedamosios dalys turi adityvų antihipertenzinį poveikį, todėl kraujospūdis mažėja daugiau, negu gydant kuria nors viena veikliąja medžiaga.</w:t>
      </w:r>
    </w:p>
    <w:p w14:paraId="069FC76E" w14:textId="77777777" w:rsidR="00A80CF8" w:rsidRPr="00D724AC" w:rsidRDefault="00A80CF8" w:rsidP="00A80CF8">
      <w:pPr>
        <w:tabs>
          <w:tab w:val="left" w:pos="567"/>
        </w:tabs>
        <w:spacing w:line="260" w:lineRule="exact"/>
        <w:rPr>
          <w:snapToGrid w:val="0"/>
          <w:szCs w:val="22"/>
          <w:lang w:eastAsia="en-US"/>
        </w:rPr>
      </w:pPr>
    </w:p>
    <w:p w14:paraId="3AB28CB8" w14:textId="77777777" w:rsidR="00A80CF8" w:rsidRPr="00D724AC" w:rsidRDefault="00A80CF8" w:rsidP="00A80CF8">
      <w:pPr>
        <w:autoSpaceDE w:val="0"/>
        <w:autoSpaceDN w:val="0"/>
        <w:adjustRightInd w:val="0"/>
        <w:rPr>
          <w:snapToGrid w:val="0"/>
          <w:szCs w:val="22"/>
          <w:lang w:eastAsia="en-US"/>
        </w:rPr>
      </w:pPr>
      <w:r w:rsidRPr="00D724AC">
        <w:rPr>
          <w:rFonts w:eastAsia="Calibri"/>
          <w:szCs w:val="22"/>
        </w:rPr>
        <w:t>Irbesartanas yra stiprus, per burną vartojamas, selektyvus angiotenzino II receptorių (AT1 tipo) blokatorius. Manoma, kad jis slopina visus pokyčius, kurie atsiranda angiotenzinui II veikiant AT1 receptorius, nepriklausomai nuo angiotenzino II sintezės šaltinio ir būdo. Dėl selektyvaus antagonistinio poveikio angiotenzino II receptoriams (AT1) kraujo plazmoje didėja renino ir angiotenzino II kiekis, mažėja aldosterono koncentracija. Vartojant vien rekomenduojamą irbesartano dozę, asmenims, kuriems negresia elektrolitų pusiausvyros sutrikimo pavojus, kalio kiekis kraujo serume smarkiai nesikeičia (žr. 4.4 ir 4.5 skyrius). Irbesartanas neslopina AKF (kininazės II) - fermento, kuris dalyvauja susidarant angiotenzinui II bei skaldo bradikininą į neveiklius metabolitus. Kad irbesartanas veiktų, metabolinis aktyvinimas nereikalingas.</w:t>
      </w:r>
    </w:p>
    <w:p w14:paraId="6ECD4CCD" w14:textId="77777777" w:rsidR="00A80CF8" w:rsidRPr="00D724AC" w:rsidRDefault="00A80CF8" w:rsidP="00A80CF8">
      <w:pPr>
        <w:tabs>
          <w:tab w:val="left" w:pos="567"/>
        </w:tabs>
        <w:spacing w:line="260" w:lineRule="exact"/>
        <w:rPr>
          <w:snapToGrid w:val="0"/>
          <w:szCs w:val="22"/>
          <w:lang w:eastAsia="en-US"/>
        </w:rPr>
      </w:pPr>
    </w:p>
    <w:p w14:paraId="55084C22" w14:textId="77777777" w:rsidR="00A80CF8" w:rsidRPr="00D724AC" w:rsidRDefault="00A80CF8" w:rsidP="00A80CF8">
      <w:pPr>
        <w:autoSpaceDE w:val="0"/>
        <w:autoSpaceDN w:val="0"/>
        <w:adjustRightInd w:val="0"/>
        <w:rPr>
          <w:rFonts w:eastAsia="Calibri"/>
          <w:szCs w:val="22"/>
        </w:rPr>
      </w:pPr>
      <w:r w:rsidRPr="00D724AC">
        <w:rPr>
          <w:rFonts w:eastAsia="Calibri"/>
          <w:szCs w:val="22"/>
        </w:rPr>
        <w:t>Hidrochlorotiazidas yra tiazidinis diuretikas. Koks tiazidinių diuretikų antihipertenzinio poveikio būdas, gerai nežinoma. Tiazidai, tiesiogiai veikdami elektrolitų reabsorbciją inkstų kanalėliuose, tiesiogiai ir maždaug vienodai didina natrio ir chlorido išsiskyrimą. Dėl diurezinio hidrochlorotiazido poveikio mažėja kraujo plazmos tūris, didėja renino aktyvumas kraujo plazmoje ir aldosterono sekrecija, todėl su šlapimu daugiau išskiriama kalio ir bikarbonatų, mažėja kalio kiekis kraujo serume. Dėl renino angiotenzino ir aldosterono sistemos slopinimo kartu vartojamas irbesartanas mažina kalio netekimą, kurį skatina diuretikai. Pavartojus hidrochlorotiazido, diurezinis poveikis pasireiškia po 2 valandų, stipriausias būna maždaug po 4 valandų, poveikis trunka 6-12 valandų.</w:t>
      </w:r>
    </w:p>
    <w:p w14:paraId="3A5D9157" w14:textId="77777777" w:rsidR="00A80CF8" w:rsidRPr="00D724AC" w:rsidRDefault="00A80CF8" w:rsidP="00A80CF8">
      <w:pPr>
        <w:autoSpaceDE w:val="0"/>
        <w:autoSpaceDN w:val="0"/>
        <w:adjustRightInd w:val="0"/>
        <w:rPr>
          <w:rFonts w:eastAsia="Calibri"/>
          <w:szCs w:val="22"/>
        </w:rPr>
      </w:pPr>
    </w:p>
    <w:p w14:paraId="329D7A0B" w14:textId="77777777" w:rsidR="00A80CF8" w:rsidRPr="00D724AC" w:rsidRDefault="00A80CF8" w:rsidP="00A80CF8">
      <w:pPr>
        <w:autoSpaceDE w:val="0"/>
        <w:autoSpaceDN w:val="0"/>
        <w:adjustRightInd w:val="0"/>
        <w:rPr>
          <w:rFonts w:eastAsia="Calibri"/>
          <w:szCs w:val="22"/>
        </w:rPr>
      </w:pPr>
      <w:r w:rsidRPr="00D724AC">
        <w:rPr>
          <w:rFonts w:eastAsia="Calibri"/>
          <w:szCs w:val="22"/>
        </w:rPr>
        <w:t>Kartu vartojamos terapinės hidrochlorotiazido ir irbesartano dozės turi adityvų nuo dozės priklausomą antihipertenzinį poveikį. Ligoniams, kuriems 300</w:t>
      </w:r>
      <w:r>
        <w:rPr>
          <w:rFonts w:eastAsia="Calibri"/>
          <w:szCs w:val="22"/>
        </w:rPr>
        <w:t> mg</w:t>
      </w:r>
      <w:r w:rsidRPr="00D724AC">
        <w:rPr>
          <w:rFonts w:eastAsia="Calibri"/>
          <w:szCs w:val="22"/>
        </w:rPr>
        <w:t xml:space="preserve"> irbesartano paros dozė kraujospūdžio tinkamai nesureguliavo, pridėjus 12,5</w:t>
      </w:r>
      <w:r>
        <w:rPr>
          <w:rFonts w:eastAsia="Calibri"/>
          <w:szCs w:val="22"/>
        </w:rPr>
        <w:t> mg</w:t>
      </w:r>
      <w:r w:rsidRPr="00D724AC">
        <w:rPr>
          <w:rFonts w:eastAsia="Calibri"/>
          <w:szCs w:val="22"/>
        </w:rPr>
        <w:t xml:space="preserve"> hidrochlorotiazido, diastolinis kraujospūdis dozės veikimo pabaigoje (praėjus 24 valandoms po pavartojimo) buvo sumažėjęs 6,1</w:t>
      </w:r>
      <w:r>
        <w:rPr>
          <w:rFonts w:eastAsia="Calibri"/>
          <w:szCs w:val="22"/>
        </w:rPr>
        <w:t> mm Hg</w:t>
      </w:r>
      <w:r w:rsidRPr="00D724AC">
        <w:rPr>
          <w:rFonts w:eastAsia="Calibri"/>
          <w:szCs w:val="22"/>
        </w:rPr>
        <w:t xml:space="preserve"> daugiau, negu vartojusiems placebo. Sudėtinis vaistinis preparatas, kuriame yra 300</w:t>
      </w:r>
      <w:r>
        <w:rPr>
          <w:rFonts w:eastAsia="Calibri"/>
          <w:szCs w:val="22"/>
        </w:rPr>
        <w:t> mg</w:t>
      </w:r>
      <w:r w:rsidRPr="00D724AC">
        <w:rPr>
          <w:rFonts w:eastAsia="Calibri"/>
          <w:szCs w:val="22"/>
        </w:rPr>
        <w:t xml:space="preserve"> irbesartano ir 12,5</w:t>
      </w:r>
      <w:r>
        <w:rPr>
          <w:rFonts w:eastAsia="Calibri"/>
          <w:szCs w:val="22"/>
        </w:rPr>
        <w:t> mg</w:t>
      </w:r>
      <w:r w:rsidRPr="00D724AC">
        <w:rPr>
          <w:rFonts w:eastAsia="Calibri"/>
          <w:szCs w:val="22"/>
        </w:rPr>
        <w:t xml:space="preserve"> hidrochlorotiazido, sistolinį ir diastolinį kraujospūdį sumažino daugiau nei placebas, atitinkamai 13,6</w:t>
      </w:r>
      <w:r>
        <w:rPr>
          <w:rFonts w:eastAsia="Calibri"/>
          <w:szCs w:val="22"/>
        </w:rPr>
        <w:t> mm Hg</w:t>
      </w:r>
      <w:r w:rsidRPr="00D724AC">
        <w:rPr>
          <w:rFonts w:eastAsia="Calibri"/>
          <w:szCs w:val="22"/>
        </w:rPr>
        <w:t xml:space="preserve"> ir 11,5</w:t>
      </w:r>
      <w:r>
        <w:rPr>
          <w:rFonts w:eastAsia="Calibri"/>
          <w:szCs w:val="22"/>
        </w:rPr>
        <w:t> mm Hg</w:t>
      </w:r>
      <w:r w:rsidRPr="00D724AC">
        <w:rPr>
          <w:rFonts w:eastAsia="Calibri"/>
          <w:szCs w:val="22"/>
        </w:rPr>
        <w:t>.</w:t>
      </w:r>
    </w:p>
    <w:p w14:paraId="5E5FBDC1" w14:textId="77777777" w:rsidR="00A80CF8" w:rsidRPr="00D724AC" w:rsidRDefault="00A80CF8" w:rsidP="00A80CF8">
      <w:pPr>
        <w:autoSpaceDE w:val="0"/>
        <w:autoSpaceDN w:val="0"/>
        <w:adjustRightInd w:val="0"/>
        <w:rPr>
          <w:rFonts w:eastAsia="Calibri"/>
          <w:szCs w:val="22"/>
        </w:rPr>
      </w:pPr>
    </w:p>
    <w:p w14:paraId="19FF7313" w14:textId="77777777" w:rsidR="00A80CF8" w:rsidRPr="00D724AC" w:rsidRDefault="00A80CF8" w:rsidP="00A80CF8">
      <w:pPr>
        <w:autoSpaceDE w:val="0"/>
        <w:autoSpaceDN w:val="0"/>
        <w:adjustRightInd w:val="0"/>
        <w:rPr>
          <w:rFonts w:eastAsia="Calibri"/>
          <w:szCs w:val="22"/>
        </w:rPr>
      </w:pPr>
      <w:r w:rsidRPr="00D724AC">
        <w:rPr>
          <w:rFonts w:eastAsia="Calibri"/>
          <w:szCs w:val="22"/>
        </w:rPr>
        <w:t>Nedaug klinikinių duomenų (7 iš 22 ligonių) leidžia manyti, kad pacientams, kuriems 300</w:t>
      </w:r>
      <w:r>
        <w:rPr>
          <w:rFonts w:eastAsia="Calibri"/>
          <w:szCs w:val="22"/>
        </w:rPr>
        <w:t> mg</w:t>
      </w:r>
      <w:r w:rsidRPr="00D724AC">
        <w:rPr>
          <w:rFonts w:eastAsia="Calibri"/>
          <w:szCs w:val="22"/>
        </w:rPr>
        <w:t xml:space="preserve"> / 12,5</w:t>
      </w:r>
      <w:r>
        <w:rPr>
          <w:rFonts w:eastAsia="Calibri"/>
          <w:szCs w:val="22"/>
        </w:rPr>
        <w:t> mg</w:t>
      </w:r>
      <w:r w:rsidRPr="00D724AC">
        <w:rPr>
          <w:rFonts w:eastAsia="Calibri"/>
          <w:szCs w:val="22"/>
        </w:rPr>
        <w:t xml:space="preserve"> dozė kraujospūdžio nesureguliuoja, jį sureguliuoti galima padidinus dozę iki 300</w:t>
      </w:r>
      <w:r>
        <w:rPr>
          <w:rFonts w:eastAsia="Calibri"/>
          <w:szCs w:val="22"/>
        </w:rPr>
        <w:t> mg</w:t>
      </w:r>
      <w:r w:rsidRPr="00D724AC">
        <w:rPr>
          <w:rFonts w:eastAsia="Calibri"/>
          <w:szCs w:val="22"/>
        </w:rPr>
        <w:t xml:space="preserve"> / 25</w:t>
      </w:r>
      <w:r>
        <w:rPr>
          <w:rFonts w:eastAsia="Calibri"/>
          <w:szCs w:val="22"/>
        </w:rPr>
        <w:t> mg</w:t>
      </w:r>
      <w:r w:rsidRPr="00D724AC">
        <w:rPr>
          <w:rFonts w:eastAsia="Calibri"/>
          <w:szCs w:val="22"/>
        </w:rPr>
        <w:t>. Šiems pacientams vartojant pastarąją dozę, nustatytas labiau (atitinkamai 13,3</w:t>
      </w:r>
      <w:r>
        <w:rPr>
          <w:rFonts w:eastAsia="Calibri"/>
          <w:szCs w:val="22"/>
        </w:rPr>
        <w:t> mm Hg</w:t>
      </w:r>
      <w:r w:rsidRPr="00D724AC">
        <w:rPr>
          <w:rFonts w:eastAsia="Calibri"/>
          <w:szCs w:val="22"/>
        </w:rPr>
        <w:t xml:space="preserve"> ir 8,3</w:t>
      </w:r>
      <w:r>
        <w:rPr>
          <w:rFonts w:eastAsia="Calibri"/>
          <w:szCs w:val="22"/>
        </w:rPr>
        <w:t> mm Hg</w:t>
      </w:r>
      <w:r w:rsidRPr="00D724AC">
        <w:rPr>
          <w:rFonts w:eastAsia="Calibri"/>
          <w:szCs w:val="22"/>
        </w:rPr>
        <w:t>) sumažėjęs sistolinis kraujospūdis (SKS) ir diastolinis kraujospūdis (DKS).</w:t>
      </w:r>
    </w:p>
    <w:p w14:paraId="77EE7132" w14:textId="77777777" w:rsidR="00A80CF8" w:rsidRPr="00D724AC" w:rsidRDefault="00A80CF8" w:rsidP="00A80CF8">
      <w:pPr>
        <w:autoSpaceDE w:val="0"/>
        <w:autoSpaceDN w:val="0"/>
        <w:adjustRightInd w:val="0"/>
        <w:rPr>
          <w:rFonts w:eastAsia="Calibri"/>
          <w:szCs w:val="22"/>
        </w:rPr>
      </w:pPr>
    </w:p>
    <w:p w14:paraId="11798E71" w14:textId="77777777" w:rsidR="00A80CF8" w:rsidRPr="00D724AC" w:rsidRDefault="00A80CF8" w:rsidP="00A80CF8">
      <w:pPr>
        <w:autoSpaceDE w:val="0"/>
        <w:autoSpaceDN w:val="0"/>
        <w:adjustRightInd w:val="0"/>
        <w:rPr>
          <w:rFonts w:eastAsia="Calibri"/>
          <w:szCs w:val="22"/>
        </w:rPr>
      </w:pPr>
      <w:r w:rsidRPr="00D724AC">
        <w:rPr>
          <w:rFonts w:eastAsia="Calibri"/>
          <w:szCs w:val="22"/>
        </w:rPr>
        <w:t>Ligonių, sergančių lengva ar vidutinio sunkumo hipertenzija ir vartojančių po 150</w:t>
      </w:r>
      <w:r>
        <w:rPr>
          <w:rFonts w:eastAsia="Calibri"/>
          <w:szCs w:val="22"/>
        </w:rPr>
        <w:t> mg</w:t>
      </w:r>
      <w:r w:rsidRPr="00D724AC">
        <w:rPr>
          <w:rFonts w:eastAsia="Calibri"/>
          <w:szCs w:val="22"/>
        </w:rPr>
        <w:t xml:space="preserve"> irbesartano ir 12,5</w:t>
      </w:r>
      <w:r>
        <w:rPr>
          <w:rFonts w:eastAsia="Calibri"/>
          <w:szCs w:val="22"/>
        </w:rPr>
        <w:t> mg</w:t>
      </w:r>
      <w:r w:rsidRPr="00D724AC">
        <w:rPr>
          <w:rFonts w:eastAsia="Calibri"/>
          <w:szCs w:val="22"/>
        </w:rPr>
        <w:t xml:space="preserve"> hidrochlorotiazido vieną kartą per parą, sistolinis ir diastolinis kraujospūdis dozės veikimo pabaigoje (praėjus 24 valandoms po pavartojimo) sumažėjo daugiau negu vartojusiems placebo, t. y. atitinkamai 12,9</w:t>
      </w:r>
      <w:r>
        <w:rPr>
          <w:rFonts w:eastAsia="Calibri"/>
          <w:szCs w:val="22"/>
        </w:rPr>
        <w:t> mm Hg</w:t>
      </w:r>
      <w:r w:rsidRPr="00D724AC">
        <w:rPr>
          <w:rFonts w:eastAsia="Calibri"/>
          <w:szCs w:val="22"/>
        </w:rPr>
        <w:t xml:space="preserve"> ir 6,9</w:t>
      </w:r>
      <w:r>
        <w:rPr>
          <w:rFonts w:eastAsia="Calibri"/>
          <w:szCs w:val="22"/>
        </w:rPr>
        <w:t> mm Hg</w:t>
      </w:r>
      <w:r w:rsidRPr="00D724AC">
        <w:rPr>
          <w:rFonts w:eastAsia="Calibri"/>
          <w:szCs w:val="22"/>
        </w:rPr>
        <w:t>. Stipriausias poveikis pasireiškė po 3 - 6 valandų. Stebint kraujospūdį ambulatorijoje nustatyta, kad ligoniams, vartojantiems 150</w:t>
      </w:r>
      <w:r>
        <w:rPr>
          <w:rFonts w:eastAsia="Calibri"/>
          <w:szCs w:val="22"/>
        </w:rPr>
        <w:t> mg</w:t>
      </w:r>
      <w:r w:rsidRPr="00D724AC">
        <w:rPr>
          <w:rFonts w:eastAsia="Calibri"/>
          <w:szCs w:val="22"/>
        </w:rPr>
        <w:t xml:space="preserve"> irbesartano ir 12,5</w:t>
      </w:r>
      <w:r>
        <w:rPr>
          <w:rFonts w:eastAsia="Calibri"/>
          <w:szCs w:val="22"/>
        </w:rPr>
        <w:t> mg</w:t>
      </w:r>
      <w:r w:rsidRPr="00D724AC">
        <w:rPr>
          <w:rFonts w:eastAsia="Calibri"/>
          <w:szCs w:val="22"/>
        </w:rPr>
        <w:t xml:space="preserve"> hidrochlorotiazido vieną kartą per parą, lyginant su vartojančiais placebą, sistolinio ir diastolinio kraujospūdžio sumažėjimas ilgiau negu 24 valandas buvo didesnis, t. y. atitinkamai 15,8</w:t>
      </w:r>
      <w:r>
        <w:rPr>
          <w:rFonts w:eastAsia="Calibri"/>
          <w:szCs w:val="22"/>
        </w:rPr>
        <w:t> mm Hg</w:t>
      </w:r>
      <w:r w:rsidRPr="00D724AC">
        <w:rPr>
          <w:rFonts w:eastAsia="Calibri"/>
          <w:szCs w:val="22"/>
        </w:rPr>
        <w:t xml:space="preserve"> ir 10</w:t>
      </w:r>
      <w:r>
        <w:rPr>
          <w:rFonts w:eastAsia="Calibri"/>
          <w:szCs w:val="22"/>
        </w:rPr>
        <w:t> mm Hg</w:t>
      </w:r>
      <w:r w:rsidRPr="00D724AC">
        <w:rPr>
          <w:rFonts w:eastAsia="Calibri"/>
          <w:szCs w:val="22"/>
        </w:rPr>
        <w:t>. Stebint arterinį kraujospūdį ambulatorijoje nustatyta, kad dozės veikimo pabaigoje kraujospūdžio sumažėjimas atitiko 100</w:t>
      </w:r>
      <w:r>
        <w:rPr>
          <w:rFonts w:eastAsia="Calibri"/>
          <w:szCs w:val="22"/>
        </w:rPr>
        <w:t> </w:t>
      </w:r>
      <w:r w:rsidRPr="00D724AC">
        <w:rPr>
          <w:rFonts w:eastAsia="Calibri"/>
          <w:szCs w:val="22"/>
        </w:rPr>
        <w:t>% irbesartano / hidrochlorotiazido 150</w:t>
      </w:r>
      <w:r>
        <w:rPr>
          <w:rFonts w:eastAsia="Calibri"/>
          <w:szCs w:val="22"/>
        </w:rPr>
        <w:t> mg</w:t>
      </w:r>
      <w:r w:rsidRPr="00D724AC">
        <w:rPr>
          <w:rFonts w:eastAsia="Calibri"/>
          <w:szCs w:val="22"/>
        </w:rPr>
        <w:t xml:space="preserve"> / 12,5</w:t>
      </w:r>
      <w:r>
        <w:rPr>
          <w:rFonts w:eastAsia="Calibri"/>
          <w:szCs w:val="22"/>
        </w:rPr>
        <w:t> mg</w:t>
      </w:r>
      <w:r w:rsidRPr="00D724AC">
        <w:rPr>
          <w:rFonts w:eastAsia="Calibri"/>
          <w:szCs w:val="22"/>
        </w:rPr>
        <w:t xml:space="preserve"> dozės sukelto stipriausio sumažėjimo. Kraujospūdį manžete matuojant apsilankymų pas gydytoją metu, jo sumažėjimas dozės veikimo pabaigoje atitiko 68</w:t>
      </w:r>
      <w:r>
        <w:rPr>
          <w:rFonts w:eastAsia="Calibri"/>
          <w:szCs w:val="22"/>
        </w:rPr>
        <w:t> </w:t>
      </w:r>
      <w:r w:rsidRPr="00D724AC">
        <w:rPr>
          <w:rFonts w:eastAsia="Calibri"/>
          <w:szCs w:val="22"/>
        </w:rPr>
        <w:t>% irbesartano / hidrochlorotiazido 150</w:t>
      </w:r>
      <w:r>
        <w:rPr>
          <w:rFonts w:eastAsia="Calibri"/>
          <w:szCs w:val="22"/>
        </w:rPr>
        <w:t> mg</w:t>
      </w:r>
      <w:r w:rsidRPr="00D724AC">
        <w:rPr>
          <w:rFonts w:eastAsia="Calibri"/>
          <w:szCs w:val="22"/>
        </w:rPr>
        <w:t xml:space="preserve"> / 12,5</w:t>
      </w:r>
      <w:r>
        <w:rPr>
          <w:rFonts w:eastAsia="Calibri"/>
          <w:szCs w:val="22"/>
        </w:rPr>
        <w:t> mg</w:t>
      </w:r>
      <w:r w:rsidRPr="00D724AC">
        <w:rPr>
          <w:rFonts w:eastAsia="Calibri"/>
          <w:szCs w:val="22"/>
        </w:rPr>
        <w:t xml:space="preserve"> ir 76</w:t>
      </w:r>
      <w:r>
        <w:rPr>
          <w:rFonts w:eastAsia="Calibri"/>
          <w:szCs w:val="22"/>
        </w:rPr>
        <w:t> </w:t>
      </w:r>
      <w:r w:rsidRPr="00D724AC">
        <w:rPr>
          <w:rFonts w:eastAsia="Calibri"/>
          <w:szCs w:val="22"/>
        </w:rPr>
        <w:t>% irbesartano / hidrochlorotiazido 300</w:t>
      </w:r>
      <w:r>
        <w:rPr>
          <w:rFonts w:eastAsia="Calibri"/>
          <w:szCs w:val="22"/>
        </w:rPr>
        <w:t> mg</w:t>
      </w:r>
      <w:r w:rsidRPr="00D724AC">
        <w:rPr>
          <w:rFonts w:eastAsia="Calibri"/>
          <w:szCs w:val="22"/>
        </w:rPr>
        <w:t xml:space="preserve"> / 12,5</w:t>
      </w:r>
      <w:r>
        <w:rPr>
          <w:rFonts w:eastAsia="Calibri"/>
          <w:szCs w:val="22"/>
        </w:rPr>
        <w:t> mg</w:t>
      </w:r>
      <w:r w:rsidRPr="00D724AC">
        <w:rPr>
          <w:rFonts w:eastAsia="Calibri"/>
          <w:szCs w:val="22"/>
        </w:rPr>
        <w:t xml:space="preserve"> sukelto didžiausio sumažėjimo. Poveikis </w:t>
      </w:r>
      <w:r w:rsidRPr="00D724AC">
        <w:rPr>
          <w:rFonts w:eastAsia="Calibri"/>
          <w:szCs w:val="22"/>
        </w:rPr>
        <w:lastRenderedPageBreak/>
        <w:t>truko 24 valandas, o tuo metu, kai koncentracija buvo didžiausia, per daug kraujospūdis nesumažėjo. Vartojimas vieną kartą per parą kraujospūdį nuolat mažino saugiai ir veiksmingai.</w:t>
      </w:r>
    </w:p>
    <w:p w14:paraId="7F5A4184" w14:textId="77777777" w:rsidR="00A80CF8" w:rsidRPr="00D724AC" w:rsidRDefault="00A80CF8" w:rsidP="00A80CF8">
      <w:pPr>
        <w:autoSpaceDE w:val="0"/>
        <w:autoSpaceDN w:val="0"/>
        <w:adjustRightInd w:val="0"/>
        <w:rPr>
          <w:rFonts w:eastAsia="Calibri"/>
          <w:szCs w:val="22"/>
        </w:rPr>
      </w:pPr>
    </w:p>
    <w:p w14:paraId="44905532" w14:textId="77777777" w:rsidR="00A80CF8" w:rsidRPr="00D724AC" w:rsidRDefault="00A80CF8" w:rsidP="00A80CF8">
      <w:pPr>
        <w:autoSpaceDE w:val="0"/>
        <w:autoSpaceDN w:val="0"/>
        <w:adjustRightInd w:val="0"/>
        <w:rPr>
          <w:rFonts w:eastAsia="Calibri"/>
          <w:szCs w:val="22"/>
        </w:rPr>
      </w:pPr>
      <w:r w:rsidRPr="00D724AC">
        <w:rPr>
          <w:rFonts w:eastAsia="Calibri"/>
          <w:szCs w:val="22"/>
        </w:rPr>
        <w:t>Pacientams, kurių kraujospūdžio 25</w:t>
      </w:r>
      <w:r>
        <w:rPr>
          <w:rFonts w:eastAsia="Calibri"/>
          <w:szCs w:val="22"/>
        </w:rPr>
        <w:t> mg</w:t>
      </w:r>
      <w:r w:rsidRPr="00D724AC">
        <w:rPr>
          <w:rFonts w:eastAsia="Calibri"/>
          <w:szCs w:val="22"/>
        </w:rPr>
        <w:t xml:space="preserve"> hidrochlorotiazido paros dozė tinkamai nesureguliavo, pridėjus irbesartano sistolinis ir diastolinis kraujospūdis sumažėjo daugiau, t. y. Atitinkamai 11,1</w:t>
      </w:r>
      <w:r>
        <w:rPr>
          <w:rFonts w:eastAsia="Calibri"/>
          <w:szCs w:val="22"/>
        </w:rPr>
        <w:t> mm Hg</w:t>
      </w:r>
      <w:r w:rsidRPr="00D724AC">
        <w:rPr>
          <w:rFonts w:eastAsia="Calibri"/>
          <w:szCs w:val="22"/>
        </w:rPr>
        <w:t xml:space="preserve"> ir 7,2</w:t>
      </w:r>
      <w:r>
        <w:rPr>
          <w:rFonts w:eastAsia="Calibri"/>
          <w:szCs w:val="22"/>
        </w:rPr>
        <w:t> mm Hg</w:t>
      </w:r>
      <w:r w:rsidRPr="00D724AC">
        <w:rPr>
          <w:rFonts w:eastAsia="Calibri"/>
          <w:szCs w:val="22"/>
        </w:rPr>
        <w:t>, lyginant su placebu.</w:t>
      </w:r>
    </w:p>
    <w:p w14:paraId="70213CE6" w14:textId="77777777" w:rsidR="00A80CF8" w:rsidRPr="00D724AC" w:rsidRDefault="00A80CF8" w:rsidP="00A80CF8">
      <w:pPr>
        <w:autoSpaceDE w:val="0"/>
        <w:autoSpaceDN w:val="0"/>
        <w:adjustRightInd w:val="0"/>
        <w:rPr>
          <w:rFonts w:eastAsia="Calibri"/>
          <w:szCs w:val="22"/>
        </w:rPr>
      </w:pPr>
    </w:p>
    <w:p w14:paraId="462A264F" w14:textId="77777777" w:rsidR="00A80CF8" w:rsidRPr="00D724AC" w:rsidRDefault="00A80CF8" w:rsidP="00A80CF8">
      <w:pPr>
        <w:autoSpaceDE w:val="0"/>
        <w:autoSpaceDN w:val="0"/>
        <w:adjustRightInd w:val="0"/>
        <w:rPr>
          <w:rFonts w:eastAsia="Calibri"/>
          <w:szCs w:val="22"/>
        </w:rPr>
      </w:pPr>
      <w:r w:rsidRPr="00D724AC">
        <w:rPr>
          <w:rFonts w:eastAsia="Calibri"/>
          <w:szCs w:val="22"/>
        </w:rPr>
        <w:t>Kraujospūdį mažinantis irbesartano ir hidrochlorotiazido poveikis tampa pastebimas jau po pirmosios dozės pavartojimo, stipresnis pasireiškia per 1 - 2 savaites, stipriausiai būna po 6 - 8 savaičių. Ilgalaikių stebimųjų klinikinių tyrimų metu sudėtinio irbesartano ir hidrochlorotiazido preparato veiksmingumas išliko ilgiau nei metus. Nors tai netirta specialiai su irbesartano ir hidrochlorotiazido deriniu, tačiau atoveiksmio hipertenzijos nei vartojant irbesartaną, nei vartojant hidrochlorotiazidą nepastebėta.</w:t>
      </w:r>
    </w:p>
    <w:p w14:paraId="5A0C8E1F" w14:textId="77777777" w:rsidR="00A80CF8" w:rsidRPr="00D724AC" w:rsidRDefault="00A80CF8" w:rsidP="00A80CF8">
      <w:pPr>
        <w:autoSpaceDE w:val="0"/>
        <w:autoSpaceDN w:val="0"/>
        <w:adjustRightInd w:val="0"/>
        <w:rPr>
          <w:rFonts w:eastAsia="Calibri"/>
          <w:szCs w:val="22"/>
        </w:rPr>
      </w:pPr>
    </w:p>
    <w:p w14:paraId="2EB52AE8" w14:textId="77777777" w:rsidR="00A80CF8" w:rsidRPr="00D724AC" w:rsidRDefault="00A80CF8" w:rsidP="00A80CF8">
      <w:pPr>
        <w:autoSpaceDE w:val="0"/>
        <w:autoSpaceDN w:val="0"/>
        <w:adjustRightInd w:val="0"/>
        <w:rPr>
          <w:rFonts w:eastAsia="Calibri"/>
          <w:szCs w:val="22"/>
        </w:rPr>
      </w:pPr>
      <w:r w:rsidRPr="00D724AC">
        <w:rPr>
          <w:rFonts w:eastAsia="Calibri"/>
          <w:szCs w:val="22"/>
        </w:rPr>
        <w:t>Irbesartano ir hidrochlorotiazido derinio poveikis ligotumui ir mirštamumui netirtas. Epidemiologiniai tyrimai rodo, kad ilgalaikis gydymas hidrochlorotiazidu mažina ligotumą ir mirštamumą dėl širdies ir kraujagyslių sistemos komplikacijų.</w:t>
      </w:r>
    </w:p>
    <w:p w14:paraId="773BD27B" w14:textId="77777777" w:rsidR="00A80CF8" w:rsidRPr="00D724AC" w:rsidRDefault="00A80CF8" w:rsidP="00A80CF8">
      <w:pPr>
        <w:autoSpaceDE w:val="0"/>
        <w:autoSpaceDN w:val="0"/>
        <w:adjustRightInd w:val="0"/>
        <w:rPr>
          <w:snapToGrid w:val="0"/>
          <w:szCs w:val="22"/>
          <w:lang w:eastAsia="en-US"/>
        </w:rPr>
      </w:pPr>
    </w:p>
    <w:p w14:paraId="4D06AE78" w14:textId="77777777" w:rsidR="00A80CF8" w:rsidRPr="00D724AC" w:rsidRDefault="00A80CF8" w:rsidP="00A80CF8">
      <w:pPr>
        <w:autoSpaceDE w:val="0"/>
        <w:autoSpaceDN w:val="0"/>
        <w:adjustRightInd w:val="0"/>
        <w:rPr>
          <w:rFonts w:eastAsia="Calibri"/>
          <w:szCs w:val="22"/>
        </w:rPr>
      </w:pPr>
      <w:r w:rsidRPr="00D724AC">
        <w:rPr>
          <w:rFonts w:eastAsia="Calibri"/>
          <w:szCs w:val="22"/>
        </w:rPr>
        <w:t>Amžius ir lytis įtakos CONVERIDE poveikiui neturi. Irbesartano monoterapija, kaip ir kiti renino bei angiotenzino sistemą veikiantys vaistiniai preparatai, žymiai silpniau veikia juodaodžius hipertenzija sergančius pacientus. Jei irbesartanas vartojamas kartu su maža hidrochlorotiazido doze (pvz., 12,5</w:t>
      </w:r>
      <w:r>
        <w:rPr>
          <w:rFonts w:eastAsia="Calibri"/>
          <w:szCs w:val="22"/>
        </w:rPr>
        <w:t> mg</w:t>
      </w:r>
      <w:r w:rsidRPr="00D724AC">
        <w:rPr>
          <w:rFonts w:eastAsia="Calibri"/>
          <w:szCs w:val="22"/>
        </w:rPr>
        <w:t xml:space="preserve"> per parą), antihipertenzinis poveikis ir juodaodžiams, ir kitų rasių ligoniams yra panašus.</w:t>
      </w:r>
    </w:p>
    <w:p w14:paraId="1460201E" w14:textId="77777777" w:rsidR="00A80CF8" w:rsidRDefault="00A80CF8" w:rsidP="00A80CF8">
      <w:pPr>
        <w:autoSpaceDE w:val="0"/>
        <w:autoSpaceDN w:val="0"/>
        <w:adjustRightInd w:val="0"/>
        <w:rPr>
          <w:rFonts w:eastAsia="Calibri"/>
          <w:szCs w:val="22"/>
        </w:rPr>
      </w:pPr>
    </w:p>
    <w:p w14:paraId="46BCCF4D" w14:textId="77777777" w:rsidR="00A80CF8" w:rsidRPr="00BB6160" w:rsidRDefault="00A80CF8" w:rsidP="00A80CF8">
      <w:pPr>
        <w:autoSpaceDE w:val="0"/>
        <w:autoSpaceDN w:val="0"/>
        <w:adjustRightInd w:val="0"/>
        <w:rPr>
          <w:rFonts w:eastAsia="Calibri"/>
          <w:szCs w:val="22"/>
        </w:rPr>
      </w:pPr>
      <w:r>
        <w:rPr>
          <w:rFonts w:eastAsia="Calibri"/>
          <w:szCs w:val="22"/>
          <w:u w:val="single"/>
        </w:rPr>
        <w:t>Klinikinis veiksmingumas ir saugumas</w:t>
      </w:r>
    </w:p>
    <w:p w14:paraId="5469A3D9" w14:textId="77777777" w:rsidR="00A80CF8" w:rsidRPr="00D724AC" w:rsidRDefault="00A80CF8" w:rsidP="00A80CF8">
      <w:pPr>
        <w:autoSpaceDE w:val="0"/>
        <w:autoSpaceDN w:val="0"/>
        <w:adjustRightInd w:val="0"/>
        <w:rPr>
          <w:rFonts w:eastAsia="Calibri"/>
          <w:szCs w:val="22"/>
        </w:rPr>
      </w:pPr>
      <w:r w:rsidRPr="00D724AC">
        <w:rPr>
          <w:rFonts w:eastAsia="Calibri"/>
          <w:szCs w:val="22"/>
        </w:rPr>
        <w:t>Buvo atliktas daugiacentris, atsitiktinių imčių, dvigubai aklas, palyginamuoju vaistu kontroliuotas, paralelinių grupių, 8 savaičių trukmės klinikinis tyrimas, kuriame vertintas sunkia hipertenzija (kuri apibrėžiama, kai diastolinis kraujospūdis sėdint (sDKS) yra ≥ 110 mmHg) sergančių pacientų pradinio gydymo irbesartano ir hidrochlorotiazido derinio veiksmingumas ir saugumas. Iš viso 697 pacientai atsitiktine tvarka buvo suskirstyti santykiu 2:1 į irbesartano/hidrochlorotiazido 150</w:t>
      </w:r>
      <w:r>
        <w:rPr>
          <w:rFonts w:eastAsia="Calibri"/>
          <w:szCs w:val="22"/>
        </w:rPr>
        <w:t> mg</w:t>
      </w:r>
      <w:r w:rsidRPr="00D724AC">
        <w:rPr>
          <w:rFonts w:eastAsia="Calibri"/>
          <w:szCs w:val="22"/>
        </w:rPr>
        <w:t xml:space="preserve"> / 12,5</w:t>
      </w:r>
      <w:r>
        <w:rPr>
          <w:rFonts w:eastAsia="Calibri"/>
          <w:szCs w:val="22"/>
        </w:rPr>
        <w:t> mg</w:t>
      </w:r>
      <w:r w:rsidRPr="00D724AC">
        <w:rPr>
          <w:rFonts w:eastAsia="Calibri"/>
          <w:szCs w:val="22"/>
        </w:rPr>
        <w:t xml:space="preserve"> arba irbesartano 150</w:t>
      </w:r>
      <w:r>
        <w:rPr>
          <w:rFonts w:eastAsia="Calibri"/>
          <w:szCs w:val="22"/>
        </w:rPr>
        <w:t> mg</w:t>
      </w:r>
      <w:r w:rsidRPr="00D724AC">
        <w:rPr>
          <w:rFonts w:eastAsia="Calibri"/>
          <w:szCs w:val="22"/>
        </w:rPr>
        <w:t xml:space="preserve"> grupes. Po vienos savaitės vaisto dozė buvo sistemingai titruojama (prieš įvertinant mažesnės dozės poveikį) iki atitinkamai irbesartano/hidrochlorotiazido 300</w:t>
      </w:r>
      <w:r>
        <w:rPr>
          <w:rFonts w:eastAsia="Calibri"/>
          <w:szCs w:val="22"/>
        </w:rPr>
        <w:t> mg</w:t>
      </w:r>
      <w:r w:rsidRPr="00D724AC">
        <w:rPr>
          <w:rFonts w:eastAsia="Calibri"/>
          <w:szCs w:val="22"/>
        </w:rPr>
        <w:t xml:space="preserve"> / 25</w:t>
      </w:r>
      <w:r>
        <w:rPr>
          <w:rFonts w:eastAsia="Calibri"/>
          <w:szCs w:val="22"/>
        </w:rPr>
        <w:t> mg</w:t>
      </w:r>
      <w:r w:rsidRPr="00D724AC">
        <w:rPr>
          <w:rFonts w:eastAsia="Calibri"/>
          <w:szCs w:val="22"/>
        </w:rPr>
        <w:t xml:space="preserve"> arba irbesartano 300</w:t>
      </w:r>
      <w:r>
        <w:rPr>
          <w:rFonts w:eastAsia="Calibri"/>
          <w:szCs w:val="22"/>
        </w:rPr>
        <w:t> mg</w:t>
      </w:r>
      <w:r w:rsidRPr="00D724AC">
        <w:rPr>
          <w:rFonts w:eastAsia="Calibri"/>
          <w:szCs w:val="22"/>
        </w:rPr>
        <w:t xml:space="preserve"> dozės. 58</w:t>
      </w:r>
      <w:r>
        <w:rPr>
          <w:rFonts w:eastAsia="Calibri"/>
          <w:szCs w:val="22"/>
        </w:rPr>
        <w:t> </w:t>
      </w:r>
      <w:r w:rsidRPr="00D724AC">
        <w:rPr>
          <w:rFonts w:eastAsia="Calibri"/>
          <w:szCs w:val="22"/>
        </w:rPr>
        <w:t>% į klinikinį tyrimą įtrauktų pacientų buvo vyrai. Pacientų vidutinis amžius buvo 52,5 metų, 13</w:t>
      </w:r>
      <w:r>
        <w:rPr>
          <w:rFonts w:eastAsia="Calibri"/>
          <w:szCs w:val="22"/>
        </w:rPr>
        <w:t> </w:t>
      </w:r>
      <w:r w:rsidRPr="00D724AC">
        <w:rPr>
          <w:rFonts w:eastAsia="Calibri"/>
          <w:szCs w:val="22"/>
        </w:rPr>
        <w:t>% iš jų buvo ≥ 65 metų ir tik 2</w:t>
      </w:r>
      <w:r>
        <w:rPr>
          <w:rFonts w:eastAsia="Calibri"/>
          <w:szCs w:val="22"/>
        </w:rPr>
        <w:t> </w:t>
      </w:r>
      <w:r w:rsidRPr="00D724AC">
        <w:rPr>
          <w:rFonts w:eastAsia="Calibri"/>
          <w:szCs w:val="22"/>
        </w:rPr>
        <w:t>% - ≥ 75 metų amžiaus. Dvylika procentų (12</w:t>
      </w:r>
      <w:r>
        <w:rPr>
          <w:rFonts w:eastAsia="Calibri"/>
          <w:szCs w:val="22"/>
        </w:rPr>
        <w:t> </w:t>
      </w:r>
      <w:r w:rsidRPr="00D724AC">
        <w:rPr>
          <w:rFonts w:eastAsia="Calibri"/>
          <w:szCs w:val="22"/>
        </w:rPr>
        <w:t>%) pacientų sirgo diabetu, 34</w:t>
      </w:r>
      <w:r>
        <w:rPr>
          <w:rFonts w:eastAsia="Calibri"/>
          <w:szCs w:val="22"/>
        </w:rPr>
        <w:t> </w:t>
      </w:r>
      <w:r w:rsidRPr="00D724AC">
        <w:rPr>
          <w:rFonts w:eastAsia="Calibri"/>
          <w:szCs w:val="22"/>
        </w:rPr>
        <w:t>% pacientų buvo nustatyta hiperlipidemija, o 3,5</w:t>
      </w:r>
      <w:r>
        <w:rPr>
          <w:rFonts w:eastAsia="Calibri"/>
          <w:szCs w:val="22"/>
        </w:rPr>
        <w:t> </w:t>
      </w:r>
      <w:r w:rsidRPr="00D724AC">
        <w:rPr>
          <w:rFonts w:eastAsia="Calibri"/>
          <w:szCs w:val="22"/>
        </w:rPr>
        <w:t>% - stabili krūtinės angina (ji buvo dažniausiai diagnozuota širdies ir kraujagyslių sistemos liga).</w:t>
      </w:r>
    </w:p>
    <w:p w14:paraId="73BFA4BB" w14:textId="77777777" w:rsidR="00A80CF8" w:rsidRPr="00D724AC" w:rsidRDefault="00A80CF8" w:rsidP="00A80CF8">
      <w:pPr>
        <w:autoSpaceDE w:val="0"/>
        <w:autoSpaceDN w:val="0"/>
        <w:adjustRightInd w:val="0"/>
        <w:rPr>
          <w:rFonts w:eastAsia="Calibri"/>
          <w:szCs w:val="22"/>
        </w:rPr>
      </w:pPr>
    </w:p>
    <w:p w14:paraId="1A1F7F2A" w14:textId="77777777" w:rsidR="00A80CF8" w:rsidRPr="00D724AC" w:rsidRDefault="00A80CF8" w:rsidP="00A80CF8">
      <w:pPr>
        <w:autoSpaceDE w:val="0"/>
        <w:autoSpaceDN w:val="0"/>
        <w:adjustRightInd w:val="0"/>
        <w:rPr>
          <w:rFonts w:eastAsia="Calibri"/>
          <w:szCs w:val="22"/>
        </w:rPr>
      </w:pPr>
      <w:r w:rsidRPr="00D724AC">
        <w:rPr>
          <w:rFonts w:eastAsia="Calibri"/>
          <w:szCs w:val="22"/>
        </w:rPr>
        <w:t>Pagrindinis šio klinikinio tyrimo tikslas buvo palyginti pacientų, kurių sDKS po 5 gydymo savaičių tapo kontroliuojamas (t.y. sDKS tapo &lt; 90</w:t>
      </w:r>
      <w:r>
        <w:rPr>
          <w:rFonts w:eastAsia="Calibri"/>
          <w:szCs w:val="22"/>
        </w:rPr>
        <w:t> </w:t>
      </w:r>
      <w:r w:rsidRPr="00D724AC">
        <w:rPr>
          <w:rFonts w:eastAsia="Calibri"/>
          <w:szCs w:val="22"/>
        </w:rPr>
        <w:t>mmHg), dalį abejose gydymo grupėse. sDKS tapo &lt;</w:t>
      </w:r>
      <w:r>
        <w:rPr>
          <w:rFonts w:eastAsia="Calibri"/>
          <w:szCs w:val="22"/>
        </w:rPr>
        <w:t> </w:t>
      </w:r>
      <w:r w:rsidRPr="00D724AC">
        <w:rPr>
          <w:rFonts w:eastAsia="Calibri"/>
          <w:szCs w:val="22"/>
        </w:rPr>
        <w:t>90</w:t>
      </w:r>
      <w:r>
        <w:rPr>
          <w:rFonts w:eastAsia="Calibri"/>
          <w:szCs w:val="22"/>
        </w:rPr>
        <w:t> </w:t>
      </w:r>
      <w:r w:rsidRPr="00D724AC">
        <w:rPr>
          <w:rFonts w:eastAsia="Calibri"/>
          <w:szCs w:val="22"/>
        </w:rPr>
        <w:t>mmHg 47,2</w:t>
      </w:r>
      <w:r>
        <w:rPr>
          <w:rFonts w:eastAsia="Calibri"/>
          <w:szCs w:val="22"/>
        </w:rPr>
        <w:t> </w:t>
      </w:r>
      <w:r w:rsidRPr="00D724AC">
        <w:rPr>
          <w:rFonts w:eastAsia="Calibri"/>
          <w:szCs w:val="22"/>
        </w:rPr>
        <w:t>% pacientų, vartojusių sudėtinį vaistinį preparatą, lyginant su 33,2 % irbesartano grupės pacientų (p = 0,0005). Pacientų vidutinis kraujospūdis tyrimo pradžioje abiejose gydymo grupėse buvo apytiksliai 172/113</w:t>
      </w:r>
      <w:r>
        <w:rPr>
          <w:rFonts w:eastAsia="Calibri"/>
          <w:szCs w:val="22"/>
        </w:rPr>
        <w:t> </w:t>
      </w:r>
      <w:r w:rsidRPr="00D724AC">
        <w:rPr>
          <w:rFonts w:eastAsia="Calibri"/>
          <w:szCs w:val="22"/>
        </w:rPr>
        <w:t>mmHg. Po 5 gydymo savaičių sSKS/sDKS irbesartano/hidrochlorotiazido ir irbesartano grupėse sumažėjo atitinkamai 30,8/24,0</w:t>
      </w:r>
      <w:r>
        <w:rPr>
          <w:rFonts w:eastAsia="Calibri"/>
          <w:szCs w:val="22"/>
        </w:rPr>
        <w:t> </w:t>
      </w:r>
      <w:r w:rsidRPr="00D724AC">
        <w:rPr>
          <w:rFonts w:eastAsia="Calibri"/>
          <w:szCs w:val="22"/>
        </w:rPr>
        <w:t>mmHg ir 21,1/19,3</w:t>
      </w:r>
      <w:r>
        <w:rPr>
          <w:rFonts w:eastAsia="Calibri"/>
          <w:szCs w:val="22"/>
        </w:rPr>
        <w:t> </w:t>
      </w:r>
      <w:r w:rsidRPr="00D724AC">
        <w:rPr>
          <w:rFonts w:eastAsia="Calibri"/>
          <w:szCs w:val="22"/>
        </w:rPr>
        <w:t>mmHg (p &lt; 0,0001).</w:t>
      </w:r>
    </w:p>
    <w:p w14:paraId="455E3105" w14:textId="77777777" w:rsidR="00A80CF8" w:rsidRPr="00D724AC" w:rsidRDefault="00A80CF8" w:rsidP="00A80CF8">
      <w:pPr>
        <w:autoSpaceDE w:val="0"/>
        <w:autoSpaceDN w:val="0"/>
        <w:adjustRightInd w:val="0"/>
        <w:rPr>
          <w:rFonts w:eastAsia="Calibri"/>
          <w:szCs w:val="22"/>
        </w:rPr>
      </w:pPr>
    </w:p>
    <w:p w14:paraId="498B6096" w14:textId="77777777" w:rsidR="00A80CF8" w:rsidRPr="00D724AC" w:rsidRDefault="00A80CF8" w:rsidP="00A80CF8">
      <w:pPr>
        <w:autoSpaceDE w:val="0"/>
        <w:autoSpaceDN w:val="0"/>
        <w:adjustRightInd w:val="0"/>
        <w:rPr>
          <w:rFonts w:eastAsia="Calibri"/>
          <w:szCs w:val="22"/>
        </w:rPr>
      </w:pPr>
      <w:r w:rsidRPr="00D724AC">
        <w:rPr>
          <w:rFonts w:eastAsia="Calibri"/>
          <w:szCs w:val="22"/>
        </w:rPr>
        <w:t>Sudėtinį vaistinį preparatą vartojusiems pacientams nepageidaujamų reiškinių pobūdis ir dažnis buvo panašus kaip ir vienu irbesartanu gydytiems pacientams. Per 8 gydymo savaites nebuvo gauta pranešimų apie pasireiškusias sinkopes abejų grupių pacientams. Derinio ir irbesartano grupėse atitinkamai 0,6</w:t>
      </w:r>
      <w:r>
        <w:rPr>
          <w:rFonts w:eastAsia="Calibri"/>
          <w:szCs w:val="22"/>
        </w:rPr>
        <w:t> </w:t>
      </w:r>
      <w:r w:rsidRPr="00D724AC">
        <w:rPr>
          <w:rFonts w:eastAsia="Calibri"/>
          <w:szCs w:val="22"/>
        </w:rPr>
        <w:t>% ir 0</w:t>
      </w:r>
      <w:r>
        <w:rPr>
          <w:rFonts w:eastAsia="Calibri"/>
          <w:szCs w:val="22"/>
        </w:rPr>
        <w:t> </w:t>
      </w:r>
      <w:r w:rsidRPr="00D724AC">
        <w:rPr>
          <w:rFonts w:eastAsia="Calibri"/>
          <w:szCs w:val="22"/>
        </w:rPr>
        <w:t>% pacientų pasireiškė hipotenzija, o 2,8</w:t>
      </w:r>
      <w:r>
        <w:rPr>
          <w:rFonts w:eastAsia="Calibri"/>
          <w:szCs w:val="22"/>
        </w:rPr>
        <w:t> </w:t>
      </w:r>
      <w:r w:rsidRPr="00D724AC">
        <w:rPr>
          <w:rFonts w:eastAsia="Calibri"/>
          <w:szCs w:val="22"/>
        </w:rPr>
        <w:t>% ir 3,1</w:t>
      </w:r>
      <w:r>
        <w:rPr>
          <w:rFonts w:eastAsia="Calibri"/>
          <w:szCs w:val="22"/>
        </w:rPr>
        <w:t> </w:t>
      </w:r>
      <w:r w:rsidRPr="00D724AC">
        <w:rPr>
          <w:rFonts w:eastAsia="Calibri"/>
          <w:szCs w:val="22"/>
        </w:rPr>
        <w:t>% pacientų - galvos svaigimas.</w:t>
      </w:r>
    </w:p>
    <w:p w14:paraId="0305372F" w14:textId="77777777" w:rsidR="00A80CF8" w:rsidRPr="00D724AC" w:rsidRDefault="00A80CF8" w:rsidP="00A80CF8">
      <w:pPr>
        <w:autoSpaceDE w:val="0"/>
        <w:autoSpaceDN w:val="0"/>
        <w:adjustRightInd w:val="0"/>
        <w:rPr>
          <w:rFonts w:eastAsia="Calibri"/>
          <w:szCs w:val="22"/>
        </w:rPr>
      </w:pPr>
    </w:p>
    <w:p w14:paraId="7A22ADA2" w14:textId="77777777" w:rsidR="00A80CF8" w:rsidRPr="00D724AC" w:rsidRDefault="00A80CF8" w:rsidP="00A80CF8">
      <w:pPr>
        <w:autoSpaceDE w:val="0"/>
        <w:autoSpaceDN w:val="0"/>
        <w:adjustRightInd w:val="0"/>
        <w:rPr>
          <w:szCs w:val="22"/>
          <w:u w:val="single"/>
        </w:rPr>
      </w:pPr>
      <w:r w:rsidRPr="00D724AC">
        <w:rPr>
          <w:szCs w:val="22"/>
          <w:u w:val="single"/>
        </w:rPr>
        <w:t>Dvigubas renino, angiotenzino ir aldosterono sistemos (RAAS) slopinimas</w:t>
      </w:r>
    </w:p>
    <w:p w14:paraId="1F6C1C76" w14:textId="77777777" w:rsidR="00A80CF8" w:rsidRPr="00D724AC" w:rsidRDefault="00A80CF8" w:rsidP="00A80CF8">
      <w:pPr>
        <w:autoSpaceDE w:val="0"/>
        <w:autoSpaceDN w:val="0"/>
        <w:adjustRightInd w:val="0"/>
        <w:rPr>
          <w:szCs w:val="22"/>
          <w:lang w:eastAsia="en-US"/>
        </w:rPr>
      </w:pPr>
      <w:r w:rsidRPr="00D724AC">
        <w:rPr>
          <w:szCs w:val="22"/>
          <w:lang w:eastAsia="en-US"/>
        </w:rPr>
        <w:t>Dviejų didelių, atliktų atsitiktinių imčių būdu, kontroliuojamų tyrimų (ONTARGET (angl. „</w:t>
      </w:r>
      <w:r w:rsidRPr="0026684A">
        <w:rPr>
          <w:i/>
          <w:iCs/>
          <w:szCs w:val="22"/>
          <w:lang w:eastAsia="en-US"/>
        </w:rPr>
        <w:t>Ongoing Telmisartan Alone and in Combination with Ramipril Global Endpoint Trial</w:t>
      </w:r>
      <w:r w:rsidRPr="00D724AC">
        <w:rPr>
          <w:szCs w:val="22"/>
          <w:lang w:eastAsia="en-US"/>
        </w:rPr>
        <w:t>“) ir VA NEPHRON-D (angl. „</w:t>
      </w:r>
      <w:r w:rsidRPr="0026684A">
        <w:rPr>
          <w:i/>
          <w:iCs/>
          <w:szCs w:val="22"/>
          <w:lang w:eastAsia="zh-CN"/>
        </w:rPr>
        <w:t>The Veterans Affairs Nephropathy in Diabetes</w:t>
      </w:r>
      <w:r w:rsidRPr="00D724AC">
        <w:rPr>
          <w:szCs w:val="22"/>
          <w:lang w:eastAsia="zh-CN"/>
        </w:rPr>
        <w:t xml:space="preserve">“) </w:t>
      </w:r>
      <w:r w:rsidRPr="00D724AC">
        <w:rPr>
          <w:szCs w:val="22"/>
          <w:lang w:eastAsia="en-US"/>
        </w:rPr>
        <w:t>metu buvo tirtas AKF inhibitoriaus ir angiotenzino II receptorių blokatoriaus derinio vartojimas.</w:t>
      </w:r>
    </w:p>
    <w:p w14:paraId="118CA7F9" w14:textId="77777777" w:rsidR="00A80CF8" w:rsidRPr="00D724AC" w:rsidRDefault="00A80CF8" w:rsidP="00A80CF8">
      <w:pPr>
        <w:autoSpaceDE w:val="0"/>
        <w:autoSpaceDN w:val="0"/>
        <w:adjustRightInd w:val="0"/>
        <w:rPr>
          <w:szCs w:val="22"/>
          <w:lang w:eastAsia="en-US"/>
        </w:rPr>
      </w:pPr>
    </w:p>
    <w:p w14:paraId="5C14AB69" w14:textId="77777777" w:rsidR="00A80CF8" w:rsidRPr="00D724AC" w:rsidRDefault="00A80CF8" w:rsidP="00A80CF8">
      <w:pPr>
        <w:autoSpaceDE w:val="0"/>
        <w:autoSpaceDN w:val="0"/>
        <w:adjustRightInd w:val="0"/>
        <w:rPr>
          <w:szCs w:val="22"/>
          <w:lang w:eastAsia="en-US"/>
        </w:rPr>
      </w:pPr>
      <w:r w:rsidRPr="00D724AC">
        <w:rPr>
          <w:szCs w:val="22"/>
          <w:lang w:eastAsia="en-US"/>
        </w:rPr>
        <w:t xml:space="preserve">ONTARGET tyrime dalyvavo pacientai, kurių anamnezėje buvo širdies ir kraujagyslių sistemos ar smegenų kraujagyslių liga arba 2 tipo cukrinis diabetas, susijęs su organų-taikinių pažaidos įrodymu. </w:t>
      </w:r>
      <w:r w:rsidRPr="00D724AC">
        <w:rPr>
          <w:szCs w:val="22"/>
          <w:lang w:eastAsia="en-US"/>
        </w:rPr>
        <w:lastRenderedPageBreak/>
        <w:t>VA NEPHRON-D tyrime dalyvavo pacientai, kuriems yra 2 tipo cukrinis diabetas ir diabetinė nefropatija.</w:t>
      </w:r>
    </w:p>
    <w:p w14:paraId="2000BE94" w14:textId="77777777" w:rsidR="00A80CF8" w:rsidRPr="00D724AC" w:rsidRDefault="00A80CF8" w:rsidP="00A80CF8">
      <w:pPr>
        <w:autoSpaceDE w:val="0"/>
        <w:autoSpaceDN w:val="0"/>
        <w:adjustRightInd w:val="0"/>
        <w:rPr>
          <w:szCs w:val="22"/>
          <w:lang w:eastAsia="en-US"/>
        </w:rPr>
      </w:pPr>
    </w:p>
    <w:p w14:paraId="579BE8AA" w14:textId="77777777" w:rsidR="00A80CF8" w:rsidRPr="00D724AC" w:rsidRDefault="00A80CF8" w:rsidP="00A80CF8">
      <w:pPr>
        <w:autoSpaceDE w:val="0"/>
        <w:autoSpaceDN w:val="0"/>
        <w:adjustRightInd w:val="0"/>
        <w:rPr>
          <w:color w:val="000000"/>
          <w:szCs w:val="22"/>
        </w:rPr>
      </w:pPr>
      <w:r w:rsidRPr="00D724AC">
        <w:rPr>
          <w:iCs/>
          <w:color w:val="000000"/>
          <w:szCs w:val="22"/>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14:paraId="1339A4BE" w14:textId="77777777" w:rsidR="00A80CF8" w:rsidRPr="00D724AC" w:rsidRDefault="00A80CF8" w:rsidP="00A80CF8">
      <w:pPr>
        <w:autoSpaceDE w:val="0"/>
        <w:autoSpaceDN w:val="0"/>
        <w:adjustRightInd w:val="0"/>
        <w:rPr>
          <w:color w:val="000000"/>
          <w:szCs w:val="22"/>
        </w:rPr>
      </w:pPr>
      <w:r w:rsidRPr="00D724AC">
        <w:rPr>
          <w:iCs/>
          <w:color w:val="000000"/>
          <w:szCs w:val="22"/>
        </w:rPr>
        <w:t xml:space="preserve">Todėl pacientams, sergantiems diabetine nefropatija, negalima kartu vartoti AKF inhibitorių ir angiotenzino II receptorių blokatorių. </w:t>
      </w:r>
    </w:p>
    <w:p w14:paraId="2571BE7A" w14:textId="77777777" w:rsidR="00A80CF8" w:rsidRPr="004D1D4B" w:rsidRDefault="00A80CF8" w:rsidP="00A80CF8">
      <w:pPr>
        <w:rPr>
          <w:color w:val="000000"/>
        </w:rPr>
      </w:pPr>
      <w:r w:rsidRPr="00D724AC">
        <w:rPr>
          <w:iCs/>
          <w:color w:val="000000"/>
          <w:szCs w:val="22"/>
        </w:rPr>
        <w:t>ALTITUDE (angl. „</w:t>
      </w:r>
      <w:r w:rsidRPr="0026684A">
        <w:rPr>
          <w:i/>
          <w:color w:val="000000"/>
          <w:szCs w:val="22"/>
        </w:rPr>
        <w:t>Aliskiren Trial in Type 2 Diabetes Using Cardiovascular and Renal Disease Endpoints</w:t>
      </w:r>
      <w:r w:rsidRPr="00D724AC">
        <w:rPr>
          <w:iCs/>
          <w:color w:val="000000"/>
          <w:szCs w:val="22"/>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17A523AB" w14:textId="77777777" w:rsidR="00A80CF8" w:rsidRPr="004D1D4B" w:rsidRDefault="00A80CF8" w:rsidP="00A80CF8">
      <w:pPr>
        <w:rPr>
          <w:color w:val="000000"/>
        </w:rPr>
      </w:pPr>
    </w:p>
    <w:p w14:paraId="35560654" w14:textId="77777777" w:rsidR="00A80CF8" w:rsidRPr="00396DCB" w:rsidRDefault="00A80CF8" w:rsidP="00A80CF8">
      <w:pPr>
        <w:rPr>
          <w:iCs/>
          <w:color w:val="000000"/>
          <w:szCs w:val="22"/>
          <w:u w:val="single"/>
        </w:rPr>
      </w:pPr>
      <w:r w:rsidRPr="00396DCB">
        <w:rPr>
          <w:iCs/>
          <w:color w:val="000000"/>
          <w:szCs w:val="22"/>
          <w:u w:val="single"/>
        </w:rPr>
        <w:t xml:space="preserve">Nemelanominis odos vėžys </w:t>
      </w:r>
    </w:p>
    <w:p w14:paraId="403D88A0" w14:textId="77777777" w:rsidR="00A80CF8" w:rsidRDefault="00A80CF8" w:rsidP="00A80CF8">
      <w:pPr>
        <w:rPr>
          <w:iCs/>
          <w:color w:val="000000"/>
          <w:szCs w:val="22"/>
        </w:rPr>
      </w:pPr>
      <w:r w:rsidRPr="007060D6">
        <w:rPr>
          <w:iCs/>
          <w:color w:val="000000"/>
          <w:szCs w:val="22"/>
        </w:rPr>
        <w:t>Remiantis turimais epidemiologinių tyrimų duomenimis buvo nustatyta nuo kumuliacinės dozės priklausoma HCTZ sąsaja su NOV. Atliekant vieną tyrimą, buvo tiriama populiacija, sudaryta iš 71533 BLK ir 8629 PLK sergančių pacientų, kurie buvo lyginami su atitinkamai 1430833 ir 172462 kontroliniais pacientais. Vartojant dideles HCTZ dozes (kumuliacinė dozė – ≥50000</w:t>
      </w:r>
      <w:r>
        <w:rPr>
          <w:iCs/>
          <w:color w:val="000000"/>
          <w:szCs w:val="22"/>
        </w:rPr>
        <w:t> mg</w:t>
      </w:r>
      <w:r w:rsidRPr="007060D6">
        <w:rPr>
          <w:iCs/>
          <w:color w:val="000000"/>
          <w:szCs w:val="22"/>
        </w:rPr>
        <w:t>) koreguotas BLK rizikos santykis (RS) buvo 1,29 (95</w:t>
      </w:r>
      <w:r>
        <w:rPr>
          <w:rFonts w:eastAsia="Calibri"/>
          <w:szCs w:val="22"/>
        </w:rPr>
        <w:t> </w:t>
      </w:r>
      <w:r w:rsidRPr="007060D6">
        <w:rPr>
          <w:iCs/>
          <w:color w:val="000000"/>
          <w:szCs w:val="22"/>
        </w:rPr>
        <w:t xml:space="preserve">proc. PI: 1,23–1,35) ir PLK </w:t>
      </w:r>
      <w:r w:rsidRPr="0035647D">
        <w:rPr>
          <w:iCs/>
          <w:color w:val="000000"/>
          <w:szCs w:val="22"/>
        </w:rPr>
        <w:t>RS –3,</w:t>
      </w:r>
      <w:r w:rsidRPr="0035647D">
        <w:rPr>
          <w:color w:val="000000"/>
        </w:rPr>
        <w:t>98</w:t>
      </w:r>
      <w:r w:rsidRPr="0035647D">
        <w:rPr>
          <w:iCs/>
          <w:color w:val="000000"/>
          <w:szCs w:val="22"/>
        </w:rPr>
        <w:t xml:space="preserve"> (95</w:t>
      </w:r>
      <w:r w:rsidRPr="007060D6">
        <w:rPr>
          <w:iCs/>
          <w:color w:val="000000"/>
          <w:szCs w:val="22"/>
        </w:rPr>
        <w:t xml:space="preserve">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63067 kontroliniais pacientais. Kumuliacinės dozės ir organizmo atsako ryšys buvo įrodytas nustačius koreguotą RS, kuris buvo 2,1 (95</w:t>
      </w:r>
      <w:r>
        <w:rPr>
          <w:rFonts w:eastAsia="Calibri"/>
          <w:szCs w:val="22"/>
        </w:rPr>
        <w:t> </w:t>
      </w:r>
      <w:r w:rsidRPr="007060D6">
        <w:rPr>
          <w:iCs/>
          <w:color w:val="000000"/>
          <w:szCs w:val="22"/>
        </w:rPr>
        <w:t>proc. PI: 1,7–2,6), RS padidėjo iki 3,9 (3,0-4,9) vartojant dideles vaistinio preparato dozes (~25000</w:t>
      </w:r>
      <w:r>
        <w:rPr>
          <w:iCs/>
          <w:color w:val="000000"/>
          <w:szCs w:val="22"/>
        </w:rPr>
        <w:t> mg</w:t>
      </w:r>
      <w:r w:rsidRPr="007060D6">
        <w:rPr>
          <w:iCs/>
          <w:color w:val="000000"/>
          <w:szCs w:val="22"/>
        </w:rPr>
        <w:t>) ir iki 7,7 (5,7–10,5) esant didžiausiai kumuliacinei dozei (~100000</w:t>
      </w:r>
      <w:r>
        <w:rPr>
          <w:iCs/>
          <w:color w:val="000000"/>
          <w:szCs w:val="22"/>
        </w:rPr>
        <w:t> mg</w:t>
      </w:r>
      <w:r w:rsidRPr="007060D6">
        <w:rPr>
          <w:iCs/>
          <w:color w:val="000000"/>
          <w:szCs w:val="22"/>
        </w:rPr>
        <w:t>) (taip pat žr. 4.4 skyrių).</w:t>
      </w:r>
    </w:p>
    <w:p w14:paraId="13AF403D" w14:textId="77777777" w:rsidR="00A80CF8" w:rsidRPr="00D724AC" w:rsidRDefault="00A80CF8" w:rsidP="00A80CF8">
      <w:pPr>
        <w:rPr>
          <w:snapToGrid w:val="0"/>
          <w:szCs w:val="22"/>
          <w:lang w:eastAsia="en-US"/>
        </w:rPr>
      </w:pPr>
    </w:p>
    <w:p w14:paraId="45401D08" w14:textId="77777777" w:rsidR="00A80CF8" w:rsidRPr="00D724AC" w:rsidRDefault="00A80CF8" w:rsidP="00A80CF8">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5.2</w:t>
      </w:r>
      <w:r w:rsidRPr="00D724AC">
        <w:rPr>
          <w:b/>
          <w:bCs/>
          <w:snapToGrid w:val="0"/>
          <w:szCs w:val="22"/>
          <w:lang w:eastAsia="x-none"/>
        </w:rPr>
        <w:tab/>
        <w:t>Farmakokinetinės savybės</w:t>
      </w:r>
    </w:p>
    <w:p w14:paraId="47A69093" w14:textId="77777777" w:rsidR="00A80CF8" w:rsidRPr="00D724AC" w:rsidRDefault="00A80CF8" w:rsidP="00A80CF8">
      <w:pPr>
        <w:rPr>
          <w:snapToGrid w:val="0"/>
          <w:szCs w:val="22"/>
          <w:lang w:eastAsia="en-US"/>
        </w:rPr>
      </w:pPr>
    </w:p>
    <w:p w14:paraId="5C053AFB" w14:textId="77777777" w:rsidR="00A80CF8" w:rsidRPr="00D724AC" w:rsidRDefault="00A80CF8" w:rsidP="00A80CF8">
      <w:pPr>
        <w:autoSpaceDE w:val="0"/>
        <w:autoSpaceDN w:val="0"/>
        <w:adjustRightInd w:val="0"/>
        <w:rPr>
          <w:rFonts w:eastAsia="Calibri"/>
          <w:szCs w:val="22"/>
        </w:rPr>
      </w:pPr>
      <w:r w:rsidRPr="00D724AC">
        <w:rPr>
          <w:rFonts w:eastAsia="Calibri"/>
          <w:szCs w:val="22"/>
        </w:rPr>
        <w:t>Kartu vartojami hidrochlorotiazidas ir irbesartanas vienas kito farmakokinetikai įtakos nedaro.</w:t>
      </w:r>
    </w:p>
    <w:p w14:paraId="4FB49862" w14:textId="77777777" w:rsidR="00A80CF8" w:rsidRDefault="00A80CF8" w:rsidP="00A80CF8">
      <w:pPr>
        <w:autoSpaceDE w:val="0"/>
        <w:autoSpaceDN w:val="0"/>
        <w:adjustRightInd w:val="0"/>
        <w:rPr>
          <w:rFonts w:eastAsia="Calibri"/>
          <w:szCs w:val="22"/>
        </w:rPr>
      </w:pPr>
    </w:p>
    <w:p w14:paraId="5E46C257" w14:textId="77777777" w:rsidR="00A80CF8" w:rsidRPr="00BB6160" w:rsidRDefault="00A80CF8" w:rsidP="00A80CF8">
      <w:pPr>
        <w:autoSpaceDE w:val="0"/>
        <w:autoSpaceDN w:val="0"/>
        <w:adjustRightInd w:val="0"/>
        <w:rPr>
          <w:rFonts w:eastAsia="Calibri"/>
          <w:szCs w:val="22"/>
        </w:rPr>
      </w:pPr>
      <w:r>
        <w:rPr>
          <w:rFonts w:eastAsia="Calibri"/>
          <w:szCs w:val="22"/>
          <w:u w:val="single"/>
        </w:rPr>
        <w:t>Absorbcija</w:t>
      </w:r>
    </w:p>
    <w:p w14:paraId="5B9A5C2B" w14:textId="77777777" w:rsidR="00A80CF8" w:rsidRPr="00D724AC" w:rsidRDefault="00A80CF8" w:rsidP="00A80CF8">
      <w:pPr>
        <w:autoSpaceDE w:val="0"/>
        <w:autoSpaceDN w:val="0"/>
        <w:adjustRightInd w:val="0"/>
        <w:rPr>
          <w:snapToGrid w:val="0"/>
          <w:szCs w:val="22"/>
          <w:lang w:eastAsia="en-US"/>
        </w:rPr>
      </w:pPr>
      <w:r w:rsidRPr="00D724AC">
        <w:rPr>
          <w:rFonts w:eastAsia="Calibri"/>
          <w:szCs w:val="22"/>
        </w:rPr>
        <w:t>Išgerti irbesartanas ir hidrochlorotiazidas yra aktyvūs. Jie yra veiklūs be biotransformacijos. Išgėrus irbesartano / hidrochlorotiazido, absoliutusis biologinis irbesartano prieinamumas yra 60 - 80</w:t>
      </w:r>
      <w:r>
        <w:rPr>
          <w:rFonts w:eastAsia="Calibri"/>
          <w:szCs w:val="22"/>
        </w:rPr>
        <w:t> </w:t>
      </w:r>
      <w:r w:rsidRPr="00D724AC">
        <w:rPr>
          <w:rFonts w:eastAsia="Calibri"/>
          <w:szCs w:val="22"/>
        </w:rPr>
        <w:t>%, hidrochlorotiazido 50 - 80</w:t>
      </w:r>
      <w:r>
        <w:rPr>
          <w:rFonts w:eastAsia="Calibri"/>
          <w:szCs w:val="22"/>
        </w:rPr>
        <w:t> </w:t>
      </w:r>
      <w:r w:rsidRPr="00D724AC">
        <w:rPr>
          <w:rFonts w:eastAsia="Calibri"/>
          <w:szCs w:val="22"/>
        </w:rPr>
        <w:t>%. Maistas nekeičia biologinio irbesartano / hidrochlorotiazido prieinamumo. Išgėrus preparato, didžiausia irbesartano koncentracija kraujo plazmoje atsiranda po 1,5 - 2 valandų, hidrochlorotiazido – po 1 - 2,5 valandų.</w:t>
      </w:r>
    </w:p>
    <w:p w14:paraId="4BCED249" w14:textId="77777777" w:rsidR="00A80CF8" w:rsidRDefault="00A80CF8" w:rsidP="00A80CF8">
      <w:pPr>
        <w:tabs>
          <w:tab w:val="left" w:pos="567"/>
        </w:tabs>
        <w:spacing w:line="260" w:lineRule="exact"/>
        <w:ind w:right="-142"/>
        <w:rPr>
          <w:snapToGrid w:val="0"/>
          <w:szCs w:val="22"/>
          <w:lang w:eastAsia="en-US"/>
        </w:rPr>
      </w:pPr>
    </w:p>
    <w:p w14:paraId="58660D3D" w14:textId="77777777" w:rsidR="00A80CF8" w:rsidRPr="00BB6160" w:rsidRDefault="00A80CF8" w:rsidP="00A80CF8">
      <w:pPr>
        <w:tabs>
          <w:tab w:val="left" w:pos="567"/>
        </w:tabs>
        <w:spacing w:line="260" w:lineRule="exact"/>
        <w:ind w:right="-142"/>
        <w:rPr>
          <w:snapToGrid w:val="0"/>
          <w:szCs w:val="22"/>
          <w:lang w:eastAsia="en-US"/>
        </w:rPr>
      </w:pPr>
      <w:r>
        <w:rPr>
          <w:snapToGrid w:val="0"/>
          <w:szCs w:val="22"/>
          <w:u w:val="single"/>
          <w:lang w:eastAsia="en-US"/>
        </w:rPr>
        <w:t>Pasiskirstymas</w:t>
      </w:r>
    </w:p>
    <w:p w14:paraId="5E16CB61" w14:textId="77777777" w:rsidR="00A80CF8" w:rsidRPr="00D724AC" w:rsidRDefault="00A80CF8" w:rsidP="00A80CF8">
      <w:pPr>
        <w:autoSpaceDE w:val="0"/>
        <w:autoSpaceDN w:val="0"/>
        <w:adjustRightInd w:val="0"/>
        <w:rPr>
          <w:rFonts w:eastAsia="Calibri"/>
          <w:szCs w:val="22"/>
        </w:rPr>
      </w:pPr>
      <w:r w:rsidRPr="00D724AC">
        <w:rPr>
          <w:rFonts w:eastAsia="Calibri"/>
          <w:szCs w:val="22"/>
        </w:rPr>
        <w:t>Apie 96</w:t>
      </w:r>
      <w:r>
        <w:rPr>
          <w:rFonts w:eastAsia="Calibri"/>
          <w:szCs w:val="22"/>
        </w:rPr>
        <w:t> </w:t>
      </w:r>
      <w:r w:rsidRPr="00D724AC">
        <w:rPr>
          <w:rFonts w:eastAsia="Calibri"/>
          <w:szCs w:val="22"/>
        </w:rPr>
        <w:t>% irbesartano jungiasi prie kraujo plazmos baltymų, šiek tiek prie kraujo ląstelių. Irbesartano pasiskirstymo tūris yra 53 - 93 litrai. Prie kraujo plazmos baltymų jungiasi 68</w:t>
      </w:r>
      <w:r>
        <w:rPr>
          <w:rFonts w:eastAsia="Calibri"/>
          <w:szCs w:val="22"/>
        </w:rPr>
        <w:t> </w:t>
      </w:r>
      <w:r w:rsidRPr="00D724AC">
        <w:rPr>
          <w:rFonts w:eastAsia="Calibri"/>
          <w:szCs w:val="22"/>
        </w:rPr>
        <w:t>% hidrochlorotiazido, jo tariamasis pasiskirstymo tūris yra 0,83 - 1,14</w:t>
      </w:r>
      <w:r>
        <w:rPr>
          <w:rFonts w:eastAsia="Calibri"/>
          <w:szCs w:val="22"/>
        </w:rPr>
        <w:t> </w:t>
      </w:r>
      <w:r w:rsidRPr="00D724AC">
        <w:rPr>
          <w:rFonts w:eastAsia="Calibri"/>
          <w:szCs w:val="22"/>
        </w:rPr>
        <w:t>l/kg.</w:t>
      </w:r>
    </w:p>
    <w:p w14:paraId="2B85297F" w14:textId="77777777" w:rsidR="00A80CF8" w:rsidRDefault="00A80CF8" w:rsidP="00A80CF8">
      <w:pPr>
        <w:autoSpaceDE w:val="0"/>
        <w:autoSpaceDN w:val="0"/>
        <w:adjustRightInd w:val="0"/>
        <w:rPr>
          <w:rFonts w:eastAsia="Calibri"/>
          <w:szCs w:val="22"/>
        </w:rPr>
      </w:pPr>
    </w:p>
    <w:p w14:paraId="2E95BE23" w14:textId="77777777" w:rsidR="00A80CF8" w:rsidRPr="00BB6160" w:rsidRDefault="00A80CF8" w:rsidP="00A80CF8">
      <w:pPr>
        <w:autoSpaceDE w:val="0"/>
        <w:autoSpaceDN w:val="0"/>
        <w:adjustRightInd w:val="0"/>
        <w:rPr>
          <w:rFonts w:eastAsia="Calibri"/>
          <w:szCs w:val="22"/>
        </w:rPr>
      </w:pPr>
      <w:r>
        <w:rPr>
          <w:rFonts w:eastAsia="Calibri"/>
          <w:szCs w:val="22"/>
          <w:u w:val="single"/>
        </w:rPr>
        <w:t>Tiesinis / netisinis pobūdis</w:t>
      </w:r>
    </w:p>
    <w:p w14:paraId="41AC05C1" w14:textId="77777777" w:rsidR="00A80CF8" w:rsidRPr="00D724AC" w:rsidRDefault="00A80CF8" w:rsidP="00A80CF8">
      <w:pPr>
        <w:autoSpaceDE w:val="0"/>
        <w:autoSpaceDN w:val="0"/>
        <w:adjustRightInd w:val="0"/>
        <w:rPr>
          <w:rFonts w:eastAsia="Calibri"/>
          <w:szCs w:val="22"/>
        </w:rPr>
      </w:pPr>
      <w:r w:rsidRPr="00D724AC">
        <w:rPr>
          <w:rFonts w:eastAsia="Calibri"/>
          <w:szCs w:val="22"/>
        </w:rPr>
        <w:t>10 - 600</w:t>
      </w:r>
      <w:r>
        <w:rPr>
          <w:rFonts w:eastAsia="Calibri"/>
          <w:szCs w:val="22"/>
        </w:rPr>
        <w:t> mg</w:t>
      </w:r>
      <w:r w:rsidRPr="00D724AC">
        <w:rPr>
          <w:rFonts w:eastAsia="Calibri"/>
          <w:szCs w:val="22"/>
        </w:rPr>
        <w:t xml:space="preserve"> irbesartano dozių farmakokinetika yra linijinė ir proporcinga dozės dydžiui. Išgertų didesnių nei 600</w:t>
      </w:r>
      <w:r>
        <w:rPr>
          <w:rFonts w:eastAsia="Calibri"/>
          <w:szCs w:val="22"/>
        </w:rPr>
        <w:t> mg</w:t>
      </w:r>
      <w:r w:rsidRPr="00D724AC">
        <w:rPr>
          <w:rFonts w:eastAsia="Calibri"/>
          <w:szCs w:val="22"/>
        </w:rPr>
        <w:t xml:space="preserve"> dozių absorbcija didėja mažiau negu proporcingai dozės dydžiui. To priežastis nežinoma. Bendrasis klirensas yra 157 - 176 ml/min., inkstų - 3 - 3,5 ml/min. Irbesartano pusinės eliminacijos laikas yra 11 - 15 valandų. Vaistinio preparato vartojant kartą per parą, pusiausvyrinė koncentracija kraujo plazmoje nusistovi per 3 paras nuo vartojimo pradžios. Kartą per parą geriant kartotines dozes, šiek tiek irbesartano (&lt; 20</w:t>
      </w:r>
      <w:r>
        <w:rPr>
          <w:rFonts w:eastAsia="Calibri"/>
          <w:szCs w:val="22"/>
        </w:rPr>
        <w:t> </w:t>
      </w:r>
      <w:r w:rsidRPr="00D724AC">
        <w:rPr>
          <w:rFonts w:eastAsia="Calibri"/>
          <w:szCs w:val="22"/>
        </w:rPr>
        <w:t xml:space="preserve">%) susikaupia kraujo plazmoje. Tyrimų duomenimis, hipertenzija sergančių moterų kraujo plazmoje irbesartano koncentracija būna šiek tiek didesnė, tačiau pusinės jo eliminacijos laikas ir kaupimasis organizme nesiskiria. Moterims dozės keisti nereikia. </w:t>
      </w:r>
      <w:r w:rsidRPr="00D724AC">
        <w:rPr>
          <w:rFonts w:eastAsia="Calibri"/>
          <w:szCs w:val="22"/>
        </w:rPr>
        <w:lastRenderedPageBreak/>
        <w:t>Senyvų žmonių (≥ 65 metų) organizme irbesartano plotas po koncentracijos kreive (AUC) ir C</w:t>
      </w:r>
      <w:r w:rsidRPr="0035647D">
        <w:rPr>
          <w:rFonts w:eastAsia="Calibri"/>
          <w:vertAlign w:val="subscript"/>
        </w:rPr>
        <w:t>max</w:t>
      </w:r>
      <w:r w:rsidRPr="00D724AC">
        <w:rPr>
          <w:rFonts w:eastAsia="Calibri"/>
          <w:szCs w:val="22"/>
        </w:rPr>
        <w:t xml:space="preserve"> buvo kiek didesni nei jaunesnių (18 </w:t>
      </w:r>
      <w:r>
        <w:rPr>
          <w:rFonts w:eastAsia="Calibri"/>
          <w:szCs w:val="22"/>
        </w:rPr>
        <w:t>–</w:t>
      </w:r>
      <w:r w:rsidRPr="00D724AC">
        <w:rPr>
          <w:rFonts w:eastAsia="Calibri"/>
          <w:szCs w:val="22"/>
        </w:rPr>
        <w:t xml:space="preserve"> 40 metų), tačiau galutinis pusinės eliminacijos laikas reikšmingai nepakito. Senyviems žmonėms dozės keisti nereikia. Hidrochlorotiazido pusinės eliminacijos laikas kraujo plazmoje yra 5 - 15 valandų.</w:t>
      </w:r>
    </w:p>
    <w:p w14:paraId="7F658A10" w14:textId="77777777" w:rsidR="00A80CF8" w:rsidRDefault="00A80CF8" w:rsidP="00A80CF8">
      <w:pPr>
        <w:autoSpaceDE w:val="0"/>
        <w:autoSpaceDN w:val="0"/>
        <w:adjustRightInd w:val="0"/>
        <w:rPr>
          <w:rFonts w:eastAsia="Calibri"/>
          <w:szCs w:val="22"/>
        </w:rPr>
      </w:pPr>
    </w:p>
    <w:p w14:paraId="756E768E" w14:textId="77777777" w:rsidR="00A80CF8" w:rsidRPr="00BB6160" w:rsidRDefault="00A80CF8" w:rsidP="00A80CF8">
      <w:pPr>
        <w:autoSpaceDE w:val="0"/>
        <w:autoSpaceDN w:val="0"/>
        <w:adjustRightInd w:val="0"/>
        <w:rPr>
          <w:rFonts w:eastAsia="Calibri"/>
          <w:szCs w:val="22"/>
        </w:rPr>
      </w:pPr>
      <w:r w:rsidRPr="00BB6160">
        <w:rPr>
          <w:rFonts w:eastAsia="Calibri"/>
          <w:szCs w:val="22"/>
          <w:u w:val="single"/>
        </w:rPr>
        <w:t>Biotransformacija</w:t>
      </w:r>
      <w:r>
        <w:rPr>
          <w:rFonts w:eastAsia="Calibri"/>
          <w:szCs w:val="22"/>
        </w:rPr>
        <w:t xml:space="preserve"> </w:t>
      </w:r>
    </w:p>
    <w:p w14:paraId="29C71169" w14:textId="77777777" w:rsidR="00A80CF8" w:rsidRDefault="00A80CF8" w:rsidP="00A80CF8">
      <w:pPr>
        <w:autoSpaceDE w:val="0"/>
        <w:autoSpaceDN w:val="0"/>
        <w:adjustRightInd w:val="0"/>
        <w:rPr>
          <w:rFonts w:eastAsia="Calibri"/>
          <w:szCs w:val="22"/>
        </w:rPr>
      </w:pPr>
      <w:r w:rsidRPr="00D724AC">
        <w:rPr>
          <w:rFonts w:eastAsia="Calibri"/>
          <w:szCs w:val="22"/>
        </w:rPr>
        <w:t xml:space="preserve">Išgėrus ar sušvirkštus į veną </w:t>
      </w:r>
      <w:r w:rsidRPr="00D724AC">
        <w:rPr>
          <w:rFonts w:eastAsia="Calibri"/>
          <w:szCs w:val="22"/>
          <w:vertAlign w:val="superscript"/>
        </w:rPr>
        <w:t>14</w:t>
      </w:r>
      <w:r w:rsidRPr="00D724AC">
        <w:rPr>
          <w:rFonts w:eastAsia="Calibri"/>
          <w:szCs w:val="22"/>
        </w:rPr>
        <w:t xml:space="preserve">C irbesartano, 80 </w:t>
      </w:r>
      <w:r>
        <w:rPr>
          <w:rFonts w:eastAsia="Calibri"/>
          <w:szCs w:val="22"/>
        </w:rPr>
        <w:t>–</w:t>
      </w:r>
      <w:r w:rsidRPr="00D724AC">
        <w:rPr>
          <w:rFonts w:eastAsia="Calibri"/>
          <w:szCs w:val="22"/>
        </w:rPr>
        <w:t xml:space="preserve"> 85</w:t>
      </w:r>
      <w:r>
        <w:rPr>
          <w:rFonts w:eastAsia="Calibri"/>
          <w:szCs w:val="22"/>
        </w:rPr>
        <w:t> </w:t>
      </w:r>
      <w:r w:rsidRPr="00D724AC">
        <w:rPr>
          <w:rFonts w:eastAsia="Calibri"/>
          <w:szCs w:val="22"/>
        </w:rPr>
        <w:t>% kraujo plazmoje esančios radioaktyviosios dozės būna susijusi su nepakitusiu irbesartanu. Irbesartanas metabolizuojamas kepenyse, vykstant konjugacijai su gliukuronidu ir oksidacijai. Pagrindinis metabolitas, kurio būna kraujyje, yra irbesartano gliukuronidas (apie 6</w:t>
      </w:r>
      <w:r>
        <w:rPr>
          <w:rFonts w:eastAsia="Calibri"/>
          <w:szCs w:val="22"/>
        </w:rPr>
        <w:t> </w:t>
      </w:r>
      <w:r w:rsidRPr="00D724AC">
        <w:rPr>
          <w:rFonts w:eastAsia="Calibri"/>
          <w:szCs w:val="22"/>
        </w:rPr>
        <w:t xml:space="preserve">%). </w:t>
      </w:r>
      <w:r w:rsidRPr="00D724AC">
        <w:rPr>
          <w:rFonts w:eastAsia="Calibri"/>
          <w:i/>
          <w:iCs/>
          <w:szCs w:val="22"/>
        </w:rPr>
        <w:t xml:space="preserve">In vitro </w:t>
      </w:r>
      <w:r w:rsidRPr="00D724AC">
        <w:rPr>
          <w:rFonts w:eastAsia="Calibri"/>
          <w:szCs w:val="22"/>
        </w:rPr>
        <w:t xml:space="preserve">tyrimų metu nustatyta, kad irbesartanas pirmiausia oksiduojamas citochromo P 450 izofermento CYP2C9. Izofermento CYP3A4 įtaka yra silpna. </w:t>
      </w:r>
    </w:p>
    <w:p w14:paraId="54F3AB4E" w14:textId="77777777" w:rsidR="00A80CF8" w:rsidRDefault="00A80CF8" w:rsidP="00A80CF8">
      <w:pPr>
        <w:autoSpaceDE w:val="0"/>
        <w:autoSpaceDN w:val="0"/>
        <w:adjustRightInd w:val="0"/>
        <w:rPr>
          <w:rFonts w:eastAsia="Calibri"/>
          <w:szCs w:val="22"/>
        </w:rPr>
      </w:pPr>
    </w:p>
    <w:p w14:paraId="22FFB816" w14:textId="77777777" w:rsidR="00A80CF8" w:rsidRPr="00BB6160" w:rsidRDefault="00A80CF8" w:rsidP="00A80CF8">
      <w:pPr>
        <w:autoSpaceDE w:val="0"/>
        <w:autoSpaceDN w:val="0"/>
        <w:adjustRightInd w:val="0"/>
        <w:rPr>
          <w:rFonts w:eastAsia="Calibri"/>
          <w:szCs w:val="22"/>
        </w:rPr>
      </w:pPr>
      <w:r>
        <w:rPr>
          <w:rFonts w:eastAsia="Calibri"/>
          <w:szCs w:val="22"/>
          <w:u w:val="single"/>
        </w:rPr>
        <w:t>Eliminacija</w:t>
      </w:r>
    </w:p>
    <w:p w14:paraId="4745FB49" w14:textId="77777777" w:rsidR="00A80CF8" w:rsidRPr="00D724AC" w:rsidRDefault="00A80CF8" w:rsidP="00A80CF8">
      <w:pPr>
        <w:autoSpaceDE w:val="0"/>
        <w:autoSpaceDN w:val="0"/>
        <w:adjustRightInd w:val="0"/>
        <w:rPr>
          <w:rFonts w:eastAsia="Calibri"/>
          <w:szCs w:val="22"/>
        </w:rPr>
      </w:pPr>
      <w:r w:rsidRPr="00D724AC">
        <w:rPr>
          <w:rFonts w:eastAsia="Calibri"/>
          <w:szCs w:val="22"/>
        </w:rPr>
        <w:t xml:space="preserve">Irbesartanas ir jo metabolitai eliminuojami su tulžimi ir pro inkstus. Išgėrus ar sušvirkštus į veną </w:t>
      </w:r>
      <w:r w:rsidRPr="00D724AC">
        <w:rPr>
          <w:rFonts w:eastAsia="Calibri"/>
          <w:szCs w:val="22"/>
          <w:vertAlign w:val="superscript"/>
        </w:rPr>
        <w:t>14</w:t>
      </w:r>
      <w:r w:rsidRPr="00D724AC">
        <w:rPr>
          <w:rFonts w:eastAsia="Calibri"/>
          <w:szCs w:val="22"/>
        </w:rPr>
        <w:t>C irbesartano, apie 20</w:t>
      </w:r>
      <w:r>
        <w:rPr>
          <w:rFonts w:eastAsia="Calibri"/>
          <w:szCs w:val="22"/>
        </w:rPr>
        <w:t> </w:t>
      </w:r>
      <w:r w:rsidRPr="00D724AC">
        <w:rPr>
          <w:rFonts w:eastAsia="Calibri"/>
          <w:szCs w:val="22"/>
        </w:rPr>
        <w:t>% radioaktyviosios dozės išsiskyrė su šlapimu, likusi dalis - su išmatomis. Mažiau nei 2</w:t>
      </w:r>
      <w:r>
        <w:rPr>
          <w:rFonts w:eastAsia="Calibri"/>
          <w:szCs w:val="22"/>
        </w:rPr>
        <w:t> </w:t>
      </w:r>
      <w:r w:rsidRPr="00D724AC">
        <w:rPr>
          <w:rFonts w:eastAsia="Calibri"/>
          <w:szCs w:val="22"/>
        </w:rPr>
        <w:t xml:space="preserve">% dozės su šlapimu išsiskyrė nepakitusio irbesartano pavidalu. </w:t>
      </w:r>
    </w:p>
    <w:p w14:paraId="62C5EA72" w14:textId="77777777" w:rsidR="00A80CF8" w:rsidRPr="00D724AC" w:rsidRDefault="00A80CF8" w:rsidP="00A80CF8">
      <w:pPr>
        <w:autoSpaceDE w:val="0"/>
        <w:autoSpaceDN w:val="0"/>
        <w:adjustRightInd w:val="0"/>
        <w:rPr>
          <w:rFonts w:eastAsia="Calibri"/>
          <w:szCs w:val="22"/>
        </w:rPr>
      </w:pPr>
      <w:r w:rsidRPr="00D724AC">
        <w:rPr>
          <w:rFonts w:eastAsia="Calibri"/>
          <w:szCs w:val="22"/>
        </w:rPr>
        <w:t>Hidrochlorotiazidas organizme nemetabolizuojamas, iš organizmo jis greitai eliminuojamas pro inkstus. Mažiausiai 61</w:t>
      </w:r>
      <w:r>
        <w:rPr>
          <w:rFonts w:eastAsia="Calibri"/>
          <w:szCs w:val="22"/>
        </w:rPr>
        <w:t> </w:t>
      </w:r>
      <w:r w:rsidRPr="00D724AC">
        <w:rPr>
          <w:rFonts w:eastAsia="Calibri"/>
          <w:szCs w:val="22"/>
        </w:rPr>
        <w:t>% išgertos dozės išsiskiria nepakitusio preparato pavidalu per 24 valandas. Hidrochlorotiazidas prasiskverbia per placentos barjerą, bet ne per kraujo ir smegenų barjerą, patenka į motinos pieną.</w:t>
      </w:r>
    </w:p>
    <w:p w14:paraId="5DC009D4" w14:textId="77777777" w:rsidR="00A80CF8" w:rsidRPr="00D724AC" w:rsidRDefault="00A80CF8" w:rsidP="00A80CF8">
      <w:pPr>
        <w:autoSpaceDE w:val="0"/>
        <w:autoSpaceDN w:val="0"/>
        <w:adjustRightInd w:val="0"/>
        <w:rPr>
          <w:snapToGrid w:val="0"/>
          <w:szCs w:val="22"/>
          <w:lang w:eastAsia="en-US"/>
        </w:rPr>
      </w:pPr>
    </w:p>
    <w:p w14:paraId="2B45F1DE" w14:textId="77777777" w:rsidR="00A80CF8" w:rsidRPr="00D724AC" w:rsidRDefault="00A80CF8" w:rsidP="00A80CF8">
      <w:pPr>
        <w:autoSpaceDE w:val="0"/>
        <w:autoSpaceDN w:val="0"/>
        <w:adjustRightInd w:val="0"/>
        <w:rPr>
          <w:rFonts w:eastAsia="Calibri"/>
          <w:szCs w:val="22"/>
        </w:rPr>
      </w:pPr>
      <w:r>
        <w:rPr>
          <w:rFonts w:eastAsia="Calibri"/>
          <w:szCs w:val="22"/>
          <w:u w:val="single"/>
        </w:rPr>
        <w:t>Sutrikusi inkstų funkcija</w:t>
      </w:r>
      <w:r w:rsidRPr="00D724AC">
        <w:rPr>
          <w:rFonts w:eastAsia="Calibri"/>
          <w:szCs w:val="22"/>
          <w:u w:val="single"/>
        </w:rPr>
        <w:t>.</w:t>
      </w:r>
      <w:r w:rsidRPr="00D724AC">
        <w:rPr>
          <w:rFonts w:eastAsia="Calibri"/>
          <w:szCs w:val="22"/>
        </w:rPr>
        <w:t xml:space="preserve"> Pacientų, kurių inkstų funkcija sutrikusi arba kurie gydomi hemodialize, organizme irbesartano farmakokinetikos parametrai labai nepakinta. Hemodialize irbesartano iš organizmo pašalinti neįmanoma. Pacientų, kurių kreatinino klirensas yra &lt; 20</w:t>
      </w:r>
      <w:r>
        <w:rPr>
          <w:rFonts w:eastAsia="Calibri"/>
          <w:szCs w:val="22"/>
        </w:rPr>
        <w:t> </w:t>
      </w:r>
      <w:r w:rsidRPr="00D724AC">
        <w:rPr>
          <w:rFonts w:eastAsia="Calibri"/>
          <w:szCs w:val="22"/>
        </w:rPr>
        <w:t>ml/min., organizme hidrochlorotiazido pusinės eliminacijos laikas pailgėja ir būna 21 valanda.</w:t>
      </w:r>
    </w:p>
    <w:p w14:paraId="355CA20C" w14:textId="77777777" w:rsidR="00A80CF8" w:rsidRPr="00D724AC" w:rsidRDefault="00A80CF8" w:rsidP="00A80CF8">
      <w:pPr>
        <w:autoSpaceDE w:val="0"/>
        <w:autoSpaceDN w:val="0"/>
        <w:adjustRightInd w:val="0"/>
        <w:rPr>
          <w:rFonts w:eastAsia="Calibri"/>
          <w:szCs w:val="22"/>
        </w:rPr>
      </w:pPr>
    </w:p>
    <w:p w14:paraId="3DC17C61" w14:textId="77777777" w:rsidR="00A80CF8" w:rsidRPr="00D724AC" w:rsidRDefault="00A80CF8" w:rsidP="00A80CF8">
      <w:pPr>
        <w:autoSpaceDE w:val="0"/>
        <w:autoSpaceDN w:val="0"/>
        <w:adjustRightInd w:val="0"/>
        <w:rPr>
          <w:rFonts w:eastAsia="Calibri"/>
          <w:szCs w:val="22"/>
        </w:rPr>
      </w:pPr>
      <w:r>
        <w:rPr>
          <w:rFonts w:eastAsia="Calibri"/>
          <w:szCs w:val="22"/>
          <w:u w:val="single"/>
        </w:rPr>
        <w:t>Sutrikusi kepenų funkcija</w:t>
      </w:r>
      <w:r w:rsidRPr="00D724AC">
        <w:rPr>
          <w:rFonts w:eastAsia="Calibri"/>
          <w:szCs w:val="22"/>
          <w:u w:val="single"/>
        </w:rPr>
        <w:t>.</w:t>
      </w:r>
      <w:r w:rsidRPr="00D724AC">
        <w:rPr>
          <w:rFonts w:eastAsia="Calibri"/>
          <w:szCs w:val="22"/>
        </w:rPr>
        <w:t xml:space="preserve"> Pacientų, sergančių lengva ar vidutinio sunkumo kepenų ciroze, organizme irbesartano farmakokinetika labai nepakinta. Ligonių, kuriems yra sunkus kepenų funkcijos sutrikimas, organizme kinetika netirta.</w:t>
      </w:r>
    </w:p>
    <w:p w14:paraId="42CD5CCC" w14:textId="77777777" w:rsidR="00A80CF8" w:rsidRPr="00D724AC" w:rsidRDefault="00A80CF8" w:rsidP="00A80CF8">
      <w:pPr>
        <w:tabs>
          <w:tab w:val="left" w:pos="567"/>
        </w:tabs>
        <w:spacing w:line="260" w:lineRule="exact"/>
        <w:rPr>
          <w:snapToGrid w:val="0"/>
          <w:szCs w:val="22"/>
          <w:lang w:eastAsia="en-US"/>
        </w:rPr>
      </w:pPr>
    </w:p>
    <w:p w14:paraId="5B6DC37E" w14:textId="77777777" w:rsidR="00A80CF8" w:rsidRPr="00D724AC" w:rsidRDefault="00A80CF8" w:rsidP="00A80CF8">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5.3</w:t>
      </w:r>
      <w:r w:rsidRPr="00D724AC">
        <w:rPr>
          <w:b/>
          <w:bCs/>
          <w:snapToGrid w:val="0"/>
          <w:szCs w:val="22"/>
          <w:lang w:eastAsia="x-none"/>
        </w:rPr>
        <w:tab/>
        <w:t>Ikiklinikinių saugumo tyrimų duomenys</w:t>
      </w:r>
    </w:p>
    <w:p w14:paraId="1CF19A42" w14:textId="77777777" w:rsidR="00A80CF8" w:rsidRPr="00D724AC" w:rsidRDefault="00A80CF8" w:rsidP="00A80CF8">
      <w:pPr>
        <w:rPr>
          <w:snapToGrid w:val="0"/>
          <w:szCs w:val="22"/>
          <w:lang w:eastAsia="en-US"/>
        </w:rPr>
      </w:pPr>
    </w:p>
    <w:p w14:paraId="7BB79583" w14:textId="77777777" w:rsidR="00A80CF8" w:rsidRPr="00D724AC" w:rsidRDefault="00A80CF8" w:rsidP="00A80CF8">
      <w:pPr>
        <w:autoSpaceDE w:val="0"/>
        <w:autoSpaceDN w:val="0"/>
        <w:adjustRightInd w:val="0"/>
        <w:rPr>
          <w:rFonts w:eastAsia="Calibri"/>
          <w:szCs w:val="22"/>
        </w:rPr>
      </w:pPr>
      <w:r w:rsidRPr="00D724AC">
        <w:rPr>
          <w:rFonts w:eastAsia="Calibri"/>
          <w:szCs w:val="22"/>
          <w:u w:val="single"/>
        </w:rPr>
        <w:t>Irbesartanas / hidrochlorotiazidas.</w:t>
      </w:r>
      <w:r w:rsidRPr="00D724AC">
        <w:rPr>
          <w:rFonts w:eastAsia="Calibri"/>
          <w:szCs w:val="22"/>
        </w:rPr>
        <w:t xml:space="preserve"> Galimas išgerto sudėtinio irbesartano ir hidrochlorotiazido preparato toksinis poveikis tirtas 6 mėnesių trukmės tyrimais su žiurkėmis ir makakomis. Toksinio poveikio, kuris būtų reikšmingas terapinę dozę vartojančiam žmogui, nepastebėta. Pokyčiai, kurių atsirado žiurkėms ir makakoms, per parą vartojusioms 10/10</w:t>
      </w:r>
      <w:r>
        <w:rPr>
          <w:rFonts w:eastAsia="Calibri"/>
          <w:szCs w:val="22"/>
        </w:rPr>
        <w:t> mg</w:t>
      </w:r>
      <w:r w:rsidRPr="00D724AC">
        <w:rPr>
          <w:rFonts w:eastAsia="Calibri"/>
          <w:szCs w:val="22"/>
        </w:rPr>
        <w:t>/kg arba 90/90</w:t>
      </w:r>
      <w:r>
        <w:rPr>
          <w:rFonts w:eastAsia="Calibri"/>
          <w:szCs w:val="22"/>
        </w:rPr>
        <w:t> mg</w:t>
      </w:r>
      <w:r w:rsidRPr="00D724AC">
        <w:rPr>
          <w:rFonts w:eastAsia="Calibri"/>
          <w:szCs w:val="22"/>
        </w:rPr>
        <w:t>/kg kūno svorio irbesartano ir hidrochlorotiazido derinio, ir kurie buvo pasireiškę gydant tik viena arba kita minėta veikliąja medžiaga arba dėl kraujospūdžio kritimo, yra:</w:t>
      </w:r>
    </w:p>
    <w:p w14:paraId="4CEFC3FE" w14:textId="77777777" w:rsidR="00A80CF8" w:rsidRPr="00D724AC" w:rsidRDefault="00A80CF8" w:rsidP="00A80CF8">
      <w:pPr>
        <w:autoSpaceDE w:val="0"/>
        <w:autoSpaceDN w:val="0"/>
        <w:adjustRightInd w:val="0"/>
        <w:rPr>
          <w:rFonts w:eastAsia="Calibri"/>
          <w:szCs w:val="22"/>
        </w:rPr>
      </w:pPr>
    </w:p>
    <w:p w14:paraId="253EB56D" w14:textId="77777777" w:rsidR="00A80CF8" w:rsidRPr="00D724AC" w:rsidRDefault="00A80CF8" w:rsidP="00FD66F2">
      <w:pPr>
        <w:numPr>
          <w:ilvl w:val="0"/>
          <w:numId w:val="6"/>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inkstų funkcijos pokyčiai (pavyzdžiui, menkas karbamido ir kreatinino kiekio padidėjimas kraujo serume bei jukstaglomerulinio aparato hiperplazija ar hipertrofija, atsiradusi dėl tiesioginio irbesartano poveikio renino ir angiotenzino sistemai;</w:t>
      </w:r>
    </w:p>
    <w:p w14:paraId="71C2DB61" w14:textId="77777777" w:rsidR="00A80CF8" w:rsidRPr="00D724AC" w:rsidRDefault="00A80CF8" w:rsidP="00FD66F2">
      <w:pPr>
        <w:numPr>
          <w:ilvl w:val="0"/>
          <w:numId w:val="6"/>
        </w:numPr>
        <w:tabs>
          <w:tab w:val="left" w:pos="567"/>
        </w:tabs>
        <w:autoSpaceDE w:val="0"/>
        <w:autoSpaceDN w:val="0"/>
        <w:adjustRightInd w:val="0"/>
        <w:spacing w:line="260" w:lineRule="exact"/>
        <w:ind w:hanging="720"/>
        <w:rPr>
          <w:rFonts w:eastAsia="Calibri"/>
          <w:szCs w:val="22"/>
        </w:rPr>
      </w:pPr>
      <w:r w:rsidRPr="00D724AC">
        <w:rPr>
          <w:rFonts w:eastAsia="Calibri"/>
          <w:szCs w:val="22"/>
        </w:rPr>
        <w:t>menkas eritrocitų parametrų (eritrocitų kiekio, hemoglobino, hematokrito) sumažėjimas;</w:t>
      </w:r>
    </w:p>
    <w:p w14:paraId="5B670EB3" w14:textId="77777777" w:rsidR="00A80CF8" w:rsidRPr="00D724AC" w:rsidRDefault="00A80CF8" w:rsidP="00FD66F2">
      <w:pPr>
        <w:numPr>
          <w:ilvl w:val="0"/>
          <w:numId w:val="6"/>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6 mėnesių trukmės toksinio poveikio tyrimų metu kai kurioms žiurkėms, vartojusioms 90</w:t>
      </w:r>
      <w:r>
        <w:rPr>
          <w:rFonts w:eastAsia="Calibri"/>
          <w:szCs w:val="22"/>
        </w:rPr>
        <w:t> mg</w:t>
      </w:r>
      <w:r w:rsidRPr="00D724AC">
        <w:rPr>
          <w:rFonts w:eastAsia="Calibri"/>
          <w:szCs w:val="22"/>
        </w:rPr>
        <w:t>/kg kūno svorio irbesartano paros dozę, 90</w:t>
      </w:r>
      <w:r>
        <w:rPr>
          <w:rFonts w:eastAsia="Calibri"/>
          <w:szCs w:val="22"/>
        </w:rPr>
        <w:t> mg</w:t>
      </w:r>
      <w:r w:rsidRPr="00D724AC">
        <w:rPr>
          <w:rFonts w:eastAsia="Calibri"/>
          <w:szCs w:val="22"/>
        </w:rPr>
        <w:t>/kg kūno svorio hidrochlorotiazido paros dozę arba 10/10</w:t>
      </w:r>
      <w:r>
        <w:rPr>
          <w:rFonts w:eastAsia="Calibri"/>
          <w:szCs w:val="22"/>
        </w:rPr>
        <w:t> mg</w:t>
      </w:r>
      <w:r w:rsidRPr="00D724AC">
        <w:rPr>
          <w:rFonts w:eastAsia="Calibri"/>
          <w:szCs w:val="22"/>
        </w:rPr>
        <w:t>/kg kūno svorio irbesartano ir hidrochlorotiazido paros dozes, pakito skrandžio spalva, atsirado opų ir židininė skrandžio gleivinės nekrozė. Makakoms toks poveikis nepasireiškė;</w:t>
      </w:r>
    </w:p>
    <w:p w14:paraId="1BABC99D" w14:textId="77777777" w:rsidR="00A80CF8" w:rsidRPr="00D724AC" w:rsidRDefault="00A80CF8" w:rsidP="00FD66F2">
      <w:pPr>
        <w:numPr>
          <w:ilvl w:val="0"/>
          <w:numId w:val="6"/>
        </w:numPr>
        <w:tabs>
          <w:tab w:val="left" w:pos="567"/>
        </w:tabs>
        <w:autoSpaceDE w:val="0"/>
        <w:autoSpaceDN w:val="0"/>
        <w:adjustRightInd w:val="0"/>
        <w:spacing w:line="260" w:lineRule="exact"/>
        <w:ind w:left="567" w:hanging="567"/>
        <w:rPr>
          <w:snapToGrid w:val="0"/>
          <w:szCs w:val="22"/>
          <w:lang w:eastAsia="en-US"/>
        </w:rPr>
      </w:pPr>
      <w:r w:rsidRPr="00D724AC">
        <w:rPr>
          <w:rFonts w:eastAsia="Calibri"/>
          <w:szCs w:val="22"/>
        </w:rPr>
        <w:t>hidrochlorotiazido sukeltas kalio kiekio sumažėjimas kraujo serume, kurį iš dalies šalino kartu vartojamas irbesartanas.</w:t>
      </w:r>
    </w:p>
    <w:p w14:paraId="286244AF" w14:textId="77777777" w:rsidR="00A80CF8" w:rsidRPr="00D724AC" w:rsidRDefault="00A80CF8" w:rsidP="00A80CF8">
      <w:pPr>
        <w:tabs>
          <w:tab w:val="left" w:pos="567"/>
        </w:tabs>
        <w:autoSpaceDE w:val="0"/>
        <w:autoSpaceDN w:val="0"/>
        <w:adjustRightInd w:val="0"/>
        <w:rPr>
          <w:rFonts w:eastAsia="Calibri"/>
          <w:szCs w:val="22"/>
        </w:rPr>
      </w:pPr>
    </w:p>
    <w:p w14:paraId="5CF1AD56" w14:textId="77777777" w:rsidR="00A80CF8" w:rsidRPr="00D724AC" w:rsidRDefault="00A80CF8" w:rsidP="00A80CF8">
      <w:pPr>
        <w:autoSpaceDE w:val="0"/>
        <w:autoSpaceDN w:val="0"/>
        <w:adjustRightInd w:val="0"/>
        <w:rPr>
          <w:rFonts w:eastAsia="Calibri"/>
          <w:szCs w:val="22"/>
        </w:rPr>
      </w:pPr>
      <w:r w:rsidRPr="00D724AC">
        <w:rPr>
          <w:rFonts w:eastAsia="Calibri"/>
          <w:szCs w:val="22"/>
        </w:rPr>
        <w:t xml:space="preserve">Daugelis išvardytų pokyčių atsirado dėl farmakologinio irbesartano poveikio (angiotenzino II sukeliamo renino išsiskyrimo slopinimo blokados bei reniną gaminančių ląstelių stimuliavimo). Tokie pokyčiai būdingi ir angiotenziną konvertuojančio fermento inhibitoriams. Gauti rezultatai žmogui, vartojančiam gydomąją irbesartano ir hidrochlorotiazido dozę, nereikšmingi. Toksinį poveikį vaikingoms patelėms dariusios irbesartano ir hidrochlorotiazido derinio dozės teratogeninio poveikio nesukėlė. </w:t>
      </w:r>
    </w:p>
    <w:p w14:paraId="3E93AC2F" w14:textId="77777777" w:rsidR="00A80CF8" w:rsidRPr="00D724AC" w:rsidRDefault="00A80CF8" w:rsidP="00A80CF8">
      <w:pPr>
        <w:autoSpaceDE w:val="0"/>
        <w:autoSpaceDN w:val="0"/>
        <w:adjustRightInd w:val="0"/>
        <w:rPr>
          <w:rFonts w:eastAsia="Calibri"/>
          <w:szCs w:val="22"/>
        </w:rPr>
      </w:pPr>
    </w:p>
    <w:p w14:paraId="42416F26" w14:textId="77777777" w:rsidR="00A80CF8" w:rsidRPr="00D724AC" w:rsidRDefault="00A80CF8" w:rsidP="00A80CF8">
      <w:pPr>
        <w:autoSpaceDE w:val="0"/>
        <w:autoSpaceDN w:val="0"/>
        <w:adjustRightInd w:val="0"/>
        <w:rPr>
          <w:rFonts w:eastAsia="Calibri"/>
          <w:szCs w:val="22"/>
        </w:rPr>
      </w:pPr>
      <w:r w:rsidRPr="00D724AC">
        <w:rPr>
          <w:rFonts w:eastAsia="Calibri"/>
          <w:szCs w:val="22"/>
        </w:rPr>
        <w:lastRenderedPageBreak/>
        <w:t xml:space="preserve">Irbesartano ir hidrochlorotiazido derinio poveikis gyvūnų vaisingumui netirtas, kadangi atskirai vartojami irbesartanas ar hidrochlorotiazidas gyvūnų ir žmogaus vaisingumo netrikdo. Vis dėlto kitas angiotenzino II blokatorius darė įtaką gyvūnų vaisingumo parametrams. Toks pat poveikis pasireiškė ir mažesnę minėto kito angiotenzino II blokatoriaus dozę skiriant kartu su hidrochlorotiazidu. </w:t>
      </w:r>
    </w:p>
    <w:p w14:paraId="6351EA1B" w14:textId="77777777" w:rsidR="00A80CF8" w:rsidRPr="00D724AC" w:rsidRDefault="00A80CF8" w:rsidP="00A80CF8">
      <w:pPr>
        <w:autoSpaceDE w:val="0"/>
        <w:autoSpaceDN w:val="0"/>
        <w:adjustRightInd w:val="0"/>
        <w:rPr>
          <w:rFonts w:eastAsia="Calibri"/>
          <w:szCs w:val="22"/>
        </w:rPr>
      </w:pPr>
    </w:p>
    <w:p w14:paraId="588EFDD3" w14:textId="77777777" w:rsidR="00A80CF8" w:rsidRPr="00D724AC" w:rsidRDefault="00A80CF8" w:rsidP="00A80CF8">
      <w:pPr>
        <w:autoSpaceDE w:val="0"/>
        <w:autoSpaceDN w:val="0"/>
        <w:adjustRightInd w:val="0"/>
        <w:rPr>
          <w:rFonts w:eastAsia="Calibri"/>
          <w:szCs w:val="22"/>
        </w:rPr>
      </w:pPr>
      <w:r w:rsidRPr="00D724AC">
        <w:rPr>
          <w:rFonts w:eastAsia="Calibri"/>
          <w:szCs w:val="22"/>
        </w:rPr>
        <w:t>Duomenų apie irbesartano ir hidrochlorotiazido derinio mutageninį bei klastogeninį poveikį nėra. Kancerogeninis poveikis gyvūnams netirtas.</w:t>
      </w:r>
    </w:p>
    <w:p w14:paraId="00AC76B3" w14:textId="77777777" w:rsidR="00A80CF8" w:rsidRPr="00D724AC" w:rsidRDefault="00A80CF8" w:rsidP="00A80CF8">
      <w:pPr>
        <w:autoSpaceDE w:val="0"/>
        <w:autoSpaceDN w:val="0"/>
        <w:adjustRightInd w:val="0"/>
        <w:rPr>
          <w:rFonts w:eastAsia="Calibri"/>
          <w:szCs w:val="22"/>
        </w:rPr>
      </w:pPr>
    </w:p>
    <w:p w14:paraId="73526BD8" w14:textId="77777777" w:rsidR="00A80CF8" w:rsidRPr="00D724AC" w:rsidRDefault="00A80CF8" w:rsidP="00A80CF8">
      <w:pPr>
        <w:autoSpaceDE w:val="0"/>
        <w:autoSpaceDN w:val="0"/>
        <w:adjustRightInd w:val="0"/>
        <w:rPr>
          <w:rFonts w:eastAsia="Calibri"/>
          <w:szCs w:val="22"/>
        </w:rPr>
      </w:pPr>
      <w:r w:rsidRPr="00D724AC">
        <w:rPr>
          <w:rFonts w:eastAsia="Calibri"/>
          <w:szCs w:val="22"/>
          <w:u w:val="single"/>
        </w:rPr>
        <w:t>Irbesartanas.</w:t>
      </w:r>
      <w:r w:rsidRPr="00D724AC">
        <w:rPr>
          <w:rFonts w:eastAsia="Calibri"/>
          <w:szCs w:val="22"/>
        </w:rPr>
        <w:t xml:space="preserve"> Duomenų apie klinikai reikšmingų dozių nenormalų sisteminį ar toksinį poveikį organams taikiniams nėra. Ikiklinikinių saugumo tyrimų duomenimis, didelės irbesartano dozės (≥ 250</w:t>
      </w:r>
      <w:r>
        <w:rPr>
          <w:rFonts w:eastAsia="Calibri"/>
          <w:szCs w:val="22"/>
        </w:rPr>
        <w:t> mg</w:t>
      </w:r>
      <w:r w:rsidRPr="00D724AC">
        <w:rPr>
          <w:rFonts w:eastAsia="Calibri"/>
          <w:szCs w:val="22"/>
        </w:rPr>
        <w:t>/kg kūno svorio per parą žiurkėms ir ≥ 100</w:t>
      </w:r>
      <w:r>
        <w:rPr>
          <w:rFonts w:eastAsia="Calibri"/>
          <w:szCs w:val="22"/>
        </w:rPr>
        <w:t> mg</w:t>
      </w:r>
      <w:r w:rsidRPr="00D724AC">
        <w:rPr>
          <w:rFonts w:eastAsia="Calibri"/>
          <w:szCs w:val="22"/>
        </w:rPr>
        <w:t>/kg kūno svorio per parą makakoms) sumažino eritrocitų parametrus (eritrocitų skaičių, hemoglobino kiekį, hematokritą). Labai didelės irbesartano dozės (≥ 500</w:t>
      </w:r>
      <w:r>
        <w:rPr>
          <w:rFonts w:eastAsia="Calibri"/>
          <w:szCs w:val="22"/>
        </w:rPr>
        <w:t> mg</w:t>
      </w:r>
      <w:r w:rsidRPr="00D724AC">
        <w:rPr>
          <w:rFonts w:eastAsia="Calibri"/>
          <w:szCs w:val="22"/>
        </w:rPr>
        <w:t>/kg kūno svorio per dieną) žiurkėms ir makakoms sukėlė degeneracinius inkstų pokyčius (intersticinį nefritą, kanalėlių išsiplėtimą, bazofilinių kanalėlių atsiradimą, šlapalo ir kreatinino kiekio kraujo plazmoje padidėjimą). Šie pokyčiai laikyti antriniais, t. y. atsirandančiais dėl hipotenzijos sumažėjus inkstų perfuzijai. Be to, irbesartanas sukėlė jukstaglomerulinių ląstelių hiperplaziją ar hipertrofiją (žiurkėms ≥ 90</w:t>
      </w:r>
      <w:r>
        <w:rPr>
          <w:rFonts w:eastAsia="Calibri"/>
          <w:szCs w:val="22"/>
        </w:rPr>
        <w:t> mg</w:t>
      </w:r>
      <w:r w:rsidRPr="00D724AC">
        <w:rPr>
          <w:rFonts w:eastAsia="Calibri"/>
          <w:szCs w:val="22"/>
        </w:rPr>
        <w:t>/kg kūno svorio paros dozė, makakoms ≥ 10</w:t>
      </w:r>
      <w:r>
        <w:rPr>
          <w:rFonts w:eastAsia="Calibri"/>
          <w:szCs w:val="22"/>
        </w:rPr>
        <w:t> mg</w:t>
      </w:r>
      <w:r w:rsidRPr="00D724AC">
        <w:rPr>
          <w:rFonts w:eastAsia="Calibri"/>
          <w:szCs w:val="22"/>
        </w:rPr>
        <w:t>/kg kūno svorio paros dozė). Manoma, kad tai įvyksta dėl tiesioginio farmakologinio irbesartano poveikio. Atrodo, jog žmogui, vartojančiam gydomąją dozę, duomenys apie jukstaglomerulinių ląstelių hiperplaziją ar hipertrofiją nėra reikšmingi. Duomenų apie mutageninį, klastogeninį bei kancerogeninį poveikį nėra.</w:t>
      </w:r>
    </w:p>
    <w:p w14:paraId="3C002DDD" w14:textId="77777777" w:rsidR="00A80CF8" w:rsidRPr="00D724AC" w:rsidRDefault="00A80CF8" w:rsidP="00A80CF8">
      <w:pPr>
        <w:autoSpaceDE w:val="0"/>
        <w:autoSpaceDN w:val="0"/>
        <w:adjustRightInd w:val="0"/>
        <w:rPr>
          <w:rFonts w:eastAsia="Calibri"/>
          <w:szCs w:val="22"/>
        </w:rPr>
      </w:pPr>
    </w:p>
    <w:p w14:paraId="6DEC47FB" w14:textId="77777777" w:rsidR="00A80CF8" w:rsidRPr="00D724AC" w:rsidRDefault="00A80CF8" w:rsidP="00A80CF8">
      <w:pPr>
        <w:autoSpaceDE w:val="0"/>
        <w:autoSpaceDN w:val="0"/>
        <w:adjustRightInd w:val="0"/>
        <w:rPr>
          <w:rFonts w:eastAsia="Calibri"/>
          <w:szCs w:val="22"/>
        </w:rPr>
      </w:pPr>
      <w:r w:rsidRPr="00D724AC">
        <w:rPr>
          <w:rFonts w:eastAsia="Calibri"/>
          <w:szCs w:val="22"/>
        </w:rPr>
        <w:t>Tyrimų su žiurkių patinais ir patelėmis metu nustatyta, kad preparatas nepakenkė vaisingumui ir reprodukcinei elgsenai, net skiriant tokias geriamojo irbesartano dozes, kurios suaugusiems gyvūnams sukėlė nedidelį toksinį poveikį (50 – 650</w:t>
      </w:r>
      <w:r>
        <w:rPr>
          <w:rFonts w:eastAsia="Calibri"/>
          <w:szCs w:val="22"/>
        </w:rPr>
        <w:t> mg</w:t>
      </w:r>
      <w:r w:rsidRPr="00D724AC">
        <w:rPr>
          <w:rFonts w:eastAsia="Calibri"/>
          <w:szCs w:val="22"/>
        </w:rPr>
        <w:t>/kg kūno svorio per parą), įskaitant ir letalinį poveikį nuo didžiausios dozės. Nenustatyta reikšmingo preparato poveikio geltonkūnių, implantuotų embrionų ir gyvybingų vaisių skaičiui. Irbesartanas neveikė palikuonių išgyvenamumo, vystymosi ir reprodukcinės funkcijos. Su gyvūnais atlikti tyrimai rodo, kad radioaktyviaisiais izotopais žymėto irbesartano nustatoma žiurkių ir triušių vaisių audiniuose. Irbesartano išsiskiria į žindančių žiurkių pieną.</w:t>
      </w:r>
    </w:p>
    <w:p w14:paraId="1C925A14" w14:textId="77777777" w:rsidR="00A80CF8" w:rsidRPr="00D724AC" w:rsidRDefault="00A80CF8" w:rsidP="00A80CF8">
      <w:pPr>
        <w:autoSpaceDE w:val="0"/>
        <w:autoSpaceDN w:val="0"/>
        <w:adjustRightInd w:val="0"/>
        <w:rPr>
          <w:rFonts w:eastAsia="Calibri"/>
          <w:szCs w:val="22"/>
        </w:rPr>
      </w:pPr>
    </w:p>
    <w:p w14:paraId="35966857" w14:textId="77777777" w:rsidR="00A80CF8" w:rsidRPr="00D724AC" w:rsidRDefault="00A80CF8" w:rsidP="00A80CF8">
      <w:pPr>
        <w:autoSpaceDE w:val="0"/>
        <w:autoSpaceDN w:val="0"/>
        <w:adjustRightInd w:val="0"/>
        <w:rPr>
          <w:rFonts w:eastAsia="Calibri"/>
          <w:szCs w:val="22"/>
        </w:rPr>
      </w:pPr>
      <w:r w:rsidRPr="00D724AC">
        <w:rPr>
          <w:rFonts w:eastAsia="Calibri"/>
          <w:szCs w:val="22"/>
        </w:rPr>
        <w:t>Tyrimų su gyvūnais duomenimis, laikini toksinio poveikio sukelti žiurkės vaisiaus pažeidimai (išsiplečia inkstų geldelės, atsiranda šlapimtakio vandenė ar poodinė edema) praeina po atsivedimo. Vaikingoms triušių patelėms sušėrus toksinį poveikį, net mirtiną, sukeliančias dozes, jos persileido arba įvyko ankstyva jų vaisiaus rezorbcija. Teratogeninio poveikio žiurkėms ir triušiams nepastebėta.</w:t>
      </w:r>
    </w:p>
    <w:p w14:paraId="662D987C" w14:textId="77777777" w:rsidR="00A80CF8" w:rsidRPr="00D724AC" w:rsidRDefault="00A80CF8" w:rsidP="00A80CF8">
      <w:pPr>
        <w:autoSpaceDE w:val="0"/>
        <w:autoSpaceDN w:val="0"/>
        <w:adjustRightInd w:val="0"/>
        <w:rPr>
          <w:rFonts w:eastAsia="Calibri"/>
          <w:szCs w:val="22"/>
        </w:rPr>
      </w:pPr>
    </w:p>
    <w:p w14:paraId="7E3FC6CD" w14:textId="77777777" w:rsidR="00A80CF8" w:rsidRPr="00D724AC" w:rsidRDefault="00A80CF8" w:rsidP="00A80CF8">
      <w:pPr>
        <w:autoSpaceDE w:val="0"/>
        <w:autoSpaceDN w:val="0"/>
        <w:adjustRightInd w:val="0"/>
        <w:rPr>
          <w:rFonts w:eastAsia="Calibri"/>
          <w:szCs w:val="22"/>
        </w:rPr>
      </w:pPr>
      <w:r w:rsidRPr="00D724AC">
        <w:rPr>
          <w:rFonts w:eastAsia="Calibri"/>
          <w:szCs w:val="22"/>
          <w:u w:val="single"/>
        </w:rPr>
        <w:t>Hidrochlorotiazidas.</w:t>
      </w:r>
      <w:r w:rsidRPr="00D724AC">
        <w:rPr>
          <w:rFonts w:eastAsia="Calibri"/>
          <w:szCs w:val="22"/>
        </w:rPr>
        <w:t xml:space="preserve"> Nors kai kurių genotoksinio ir kancerogeninio poveikio tyrimų rezultatai buvo įtartini, bet didelė žmonių gydymo hidrochlorotiazidu patirtis ryšio tarp hidrochlorotiazido vartojimo ir navikų atsiradimo nerodo.</w:t>
      </w:r>
    </w:p>
    <w:p w14:paraId="6FBAAD0B" w14:textId="77777777" w:rsidR="00A80CF8" w:rsidRPr="00D724AC" w:rsidRDefault="00A80CF8" w:rsidP="00A80CF8">
      <w:pPr>
        <w:autoSpaceDE w:val="0"/>
        <w:autoSpaceDN w:val="0"/>
        <w:adjustRightInd w:val="0"/>
        <w:rPr>
          <w:rFonts w:eastAsia="Calibri"/>
          <w:szCs w:val="22"/>
        </w:rPr>
      </w:pPr>
    </w:p>
    <w:p w14:paraId="678D6186" w14:textId="77777777" w:rsidR="00A80CF8" w:rsidRPr="00D724AC" w:rsidRDefault="00A80CF8" w:rsidP="00A80CF8">
      <w:pPr>
        <w:tabs>
          <w:tab w:val="left" w:pos="567"/>
        </w:tabs>
        <w:autoSpaceDE w:val="0"/>
        <w:autoSpaceDN w:val="0"/>
        <w:adjustRightInd w:val="0"/>
        <w:rPr>
          <w:snapToGrid w:val="0"/>
          <w:szCs w:val="22"/>
          <w:lang w:eastAsia="en-US"/>
        </w:rPr>
      </w:pPr>
    </w:p>
    <w:p w14:paraId="35E34C7D" w14:textId="77777777" w:rsidR="00A80CF8" w:rsidRPr="00D724AC" w:rsidRDefault="00A80CF8" w:rsidP="00A80CF8">
      <w:pPr>
        <w:keepNext/>
        <w:keepLines/>
        <w:tabs>
          <w:tab w:val="left" w:pos="567"/>
        </w:tabs>
        <w:outlineLvl w:val="2"/>
        <w:rPr>
          <w:b/>
          <w:bCs/>
          <w:snapToGrid w:val="0"/>
          <w:szCs w:val="22"/>
          <w:lang w:eastAsia="x-none"/>
        </w:rPr>
      </w:pPr>
      <w:r w:rsidRPr="00D724AC">
        <w:rPr>
          <w:b/>
          <w:bCs/>
          <w:snapToGrid w:val="0"/>
          <w:szCs w:val="22"/>
          <w:lang w:eastAsia="x-none"/>
        </w:rPr>
        <w:t>6.</w:t>
      </w:r>
      <w:r w:rsidRPr="00D724AC">
        <w:rPr>
          <w:b/>
          <w:bCs/>
          <w:snapToGrid w:val="0"/>
          <w:szCs w:val="22"/>
          <w:lang w:eastAsia="x-none"/>
        </w:rPr>
        <w:tab/>
        <w:t>FARMACINĖ INFORMACIJA</w:t>
      </w:r>
    </w:p>
    <w:p w14:paraId="6BFA2615" w14:textId="77777777" w:rsidR="00A80CF8" w:rsidRPr="00D724AC" w:rsidRDefault="00A80CF8" w:rsidP="00A80CF8">
      <w:pPr>
        <w:rPr>
          <w:snapToGrid w:val="0"/>
          <w:szCs w:val="22"/>
          <w:lang w:eastAsia="en-US"/>
        </w:rPr>
      </w:pPr>
    </w:p>
    <w:p w14:paraId="7693E930" w14:textId="77777777" w:rsidR="00A80CF8" w:rsidRPr="00D724AC" w:rsidRDefault="00A80CF8" w:rsidP="00A80CF8">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6.1</w:t>
      </w:r>
      <w:r w:rsidRPr="00D724AC">
        <w:rPr>
          <w:b/>
          <w:bCs/>
          <w:snapToGrid w:val="0"/>
          <w:szCs w:val="22"/>
          <w:lang w:eastAsia="x-none"/>
        </w:rPr>
        <w:tab/>
        <w:t>Pagalbinių medžiagų sąrašas</w:t>
      </w:r>
    </w:p>
    <w:p w14:paraId="2365D67E" w14:textId="77777777" w:rsidR="00A80CF8" w:rsidRPr="00D724AC" w:rsidRDefault="00A80CF8" w:rsidP="00A80CF8">
      <w:pPr>
        <w:rPr>
          <w:snapToGrid w:val="0"/>
          <w:szCs w:val="22"/>
          <w:lang w:eastAsia="en-US"/>
        </w:rPr>
      </w:pPr>
    </w:p>
    <w:p w14:paraId="14E26396" w14:textId="77777777" w:rsidR="00A80CF8" w:rsidRPr="00D724AC" w:rsidRDefault="00A80CF8" w:rsidP="00A80CF8">
      <w:pPr>
        <w:autoSpaceDE w:val="0"/>
        <w:autoSpaceDN w:val="0"/>
        <w:adjustRightInd w:val="0"/>
        <w:rPr>
          <w:rFonts w:eastAsia="Calibri"/>
          <w:szCs w:val="22"/>
          <w:u w:val="single"/>
        </w:rPr>
      </w:pPr>
      <w:r w:rsidRPr="00D724AC">
        <w:rPr>
          <w:rFonts w:eastAsia="Calibri"/>
          <w:szCs w:val="22"/>
          <w:u w:val="single"/>
        </w:rPr>
        <w:t>Tabletės šerdis</w:t>
      </w:r>
    </w:p>
    <w:p w14:paraId="4C1333BA" w14:textId="77777777" w:rsidR="00A80CF8" w:rsidRPr="00D724AC" w:rsidRDefault="00A80CF8" w:rsidP="00A80CF8">
      <w:pPr>
        <w:autoSpaceDE w:val="0"/>
        <w:autoSpaceDN w:val="0"/>
        <w:adjustRightInd w:val="0"/>
        <w:rPr>
          <w:rFonts w:eastAsia="Calibri"/>
          <w:szCs w:val="22"/>
        </w:rPr>
      </w:pPr>
      <w:r w:rsidRPr="00D724AC">
        <w:rPr>
          <w:rFonts w:eastAsia="Calibri"/>
          <w:szCs w:val="22"/>
        </w:rPr>
        <w:t>Laktozė monohidratas</w:t>
      </w:r>
    </w:p>
    <w:p w14:paraId="17B4564B" w14:textId="77777777" w:rsidR="00A80CF8" w:rsidRPr="00D724AC" w:rsidRDefault="00A80CF8" w:rsidP="00A80CF8">
      <w:pPr>
        <w:autoSpaceDE w:val="0"/>
        <w:autoSpaceDN w:val="0"/>
        <w:adjustRightInd w:val="0"/>
        <w:rPr>
          <w:rFonts w:eastAsia="Calibri"/>
          <w:szCs w:val="22"/>
        </w:rPr>
      </w:pPr>
      <w:r w:rsidRPr="00D724AC">
        <w:rPr>
          <w:rFonts w:eastAsia="Calibri"/>
          <w:szCs w:val="22"/>
        </w:rPr>
        <w:t>Pregelifikuotas krakmolas</w:t>
      </w:r>
    </w:p>
    <w:p w14:paraId="7C5F280D" w14:textId="77777777" w:rsidR="00A80CF8" w:rsidRPr="00D724AC" w:rsidRDefault="00A80CF8" w:rsidP="00A80CF8">
      <w:pPr>
        <w:autoSpaceDE w:val="0"/>
        <w:autoSpaceDN w:val="0"/>
        <w:adjustRightInd w:val="0"/>
        <w:rPr>
          <w:rFonts w:eastAsia="Calibri"/>
          <w:szCs w:val="22"/>
        </w:rPr>
      </w:pPr>
      <w:r w:rsidRPr="00D724AC">
        <w:rPr>
          <w:rFonts w:eastAsia="Calibri"/>
          <w:szCs w:val="22"/>
        </w:rPr>
        <w:t>Koloidinis bevandenis silicio dioksidas</w:t>
      </w:r>
    </w:p>
    <w:p w14:paraId="69906C63" w14:textId="77777777" w:rsidR="00A80CF8" w:rsidRPr="00D724AC" w:rsidRDefault="00A80CF8" w:rsidP="00A80CF8">
      <w:pPr>
        <w:autoSpaceDE w:val="0"/>
        <w:autoSpaceDN w:val="0"/>
        <w:adjustRightInd w:val="0"/>
        <w:rPr>
          <w:rFonts w:eastAsia="Calibri"/>
          <w:szCs w:val="22"/>
        </w:rPr>
      </w:pPr>
      <w:r w:rsidRPr="00D724AC">
        <w:rPr>
          <w:rFonts w:eastAsia="Calibri"/>
          <w:szCs w:val="22"/>
        </w:rPr>
        <w:t>Kroskarmeliozės natrio druska (E468)</w:t>
      </w:r>
    </w:p>
    <w:p w14:paraId="649B00EF" w14:textId="77777777" w:rsidR="00A80CF8" w:rsidRPr="00D724AC" w:rsidRDefault="00A80CF8" w:rsidP="00A80CF8">
      <w:pPr>
        <w:autoSpaceDE w:val="0"/>
        <w:autoSpaceDN w:val="0"/>
        <w:adjustRightInd w:val="0"/>
        <w:rPr>
          <w:rFonts w:eastAsia="Calibri"/>
          <w:szCs w:val="22"/>
        </w:rPr>
      </w:pPr>
      <w:r w:rsidRPr="00D724AC">
        <w:rPr>
          <w:rFonts w:eastAsia="Calibri"/>
          <w:szCs w:val="22"/>
        </w:rPr>
        <w:t>Mikrokristalinė celiuliozė PH-102 (E460)</w:t>
      </w:r>
    </w:p>
    <w:p w14:paraId="297FAB0A" w14:textId="77777777" w:rsidR="00A80CF8" w:rsidRPr="00D724AC" w:rsidRDefault="00A80CF8" w:rsidP="00A80CF8">
      <w:pPr>
        <w:rPr>
          <w:rFonts w:eastAsia="Calibri"/>
          <w:szCs w:val="22"/>
        </w:rPr>
      </w:pPr>
      <w:r w:rsidRPr="00D724AC">
        <w:rPr>
          <w:rFonts w:eastAsia="Calibri"/>
          <w:szCs w:val="22"/>
        </w:rPr>
        <w:t>Magnio stearatas (E572)</w:t>
      </w:r>
    </w:p>
    <w:p w14:paraId="21D16CC9" w14:textId="77777777" w:rsidR="00A80CF8" w:rsidRPr="00D724AC" w:rsidRDefault="00A80CF8" w:rsidP="00A80CF8">
      <w:pPr>
        <w:rPr>
          <w:rFonts w:eastAsia="Calibri"/>
          <w:szCs w:val="22"/>
        </w:rPr>
      </w:pPr>
    </w:p>
    <w:p w14:paraId="7A471FCD" w14:textId="77777777" w:rsidR="00A80CF8" w:rsidRPr="00D724AC" w:rsidRDefault="00A80CF8" w:rsidP="00A80CF8">
      <w:pPr>
        <w:autoSpaceDE w:val="0"/>
        <w:autoSpaceDN w:val="0"/>
        <w:adjustRightInd w:val="0"/>
        <w:rPr>
          <w:rFonts w:eastAsia="Calibri"/>
          <w:szCs w:val="22"/>
          <w:u w:val="single"/>
        </w:rPr>
      </w:pPr>
      <w:r w:rsidRPr="00D724AC">
        <w:rPr>
          <w:rFonts w:eastAsia="Calibri"/>
          <w:szCs w:val="22"/>
          <w:u w:val="single"/>
        </w:rPr>
        <w:t>Tabletės plėvelė</w:t>
      </w:r>
    </w:p>
    <w:p w14:paraId="159BF1F0" w14:textId="77777777" w:rsidR="00A80CF8" w:rsidRPr="00D724AC" w:rsidRDefault="00A80CF8" w:rsidP="00A80CF8">
      <w:pPr>
        <w:autoSpaceDE w:val="0"/>
        <w:autoSpaceDN w:val="0"/>
        <w:adjustRightInd w:val="0"/>
        <w:rPr>
          <w:rFonts w:eastAsia="Calibri"/>
          <w:szCs w:val="22"/>
        </w:rPr>
      </w:pPr>
      <w:r w:rsidRPr="00D724AC">
        <w:rPr>
          <w:rFonts w:eastAsia="Calibri"/>
          <w:szCs w:val="22"/>
        </w:rPr>
        <w:t>Hipromeliozė (E464)</w:t>
      </w:r>
    </w:p>
    <w:p w14:paraId="1A9D3E69" w14:textId="77777777" w:rsidR="00A80CF8" w:rsidRPr="00D724AC" w:rsidRDefault="00A80CF8" w:rsidP="00A80CF8">
      <w:pPr>
        <w:autoSpaceDE w:val="0"/>
        <w:autoSpaceDN w:val="0"/>
        <w:adjustRightInd w:val="0"/>
        <w:rPr>
          <w:rFonts w:eastAsia="Calibri"/>
          <w:szCs w:val="22"/>
        </w:rPr>
      </w:pPr>
      <w:r w:rsidRPr="00D724AC">
        <w:rPr>
          <w:rFonts w:eastAsia="Calibri"/>
          <w:szCs w:val="22"/>
        </w:rPr>
        <w:t>Laktozė monohidratas</w:t>
      </w:r>
    </w:p>
    <w:p w14:paraId="1D6FFACB" w14:textId="77777777" w:rsidR="00A80CF8" w:rsidRPr="00D724AC" w:rsidRDefault="00A80CF8" w:rsidP="00A80CF8">
      <w:pPr>
        <w:autoSpaceDE w:val="0"/>
        <w:autoSpaceDN w:val="0"/>
        <w:adjustRightInd w:val="0"/>
        <w:rPr>
          <w:rFonts w:eastAsia="Calibri"/>
          <w:szCs w:val="22"/>
        </w:rPr>
      </w:pPr>
      <w:r w:rsidRPr="00D724AC">
        <w:rPr>
          <w:rFonts w:eastAsia="Calibri"/>
          <w:szCs w:val="22"/>
        </w:rPr>
        <w:t>Makrogolis 6000</w:t>
      </w:r>
    </w:p>
    <w:p w14:paraId="6BF4FD82" w14:textId="77777777" w:rsidR="00A80CF8" w:rsidRPr="00D724AC" w:rsidRDefault="00A80CF8" w:rsidP="00A80CF8">
      <w:pPr>
        <w:autoSpaceDE w:val="0"/>
        <w:autoSpaceDN w:val="0"/>
        <w:adjustRightInd w:val="0"/>
        <w:rPr>
          <w:rFonts w:eastAsia="Calibri"/>
          <w:szCs w:val="22"/>
        </w:rPr>
      </w:pPr>
      <w:r w:rsidRPr="00D724AC">
        <w:rPr>
          <w:rFonts w:eastAsia="Calibri"/>
          <w:szCs w:val="22"/>
        </w:rPr>
        <w:lastRenderedPageBreak/>
        <w:t>Titano dioksidas (E171)</w:t>
      </w:r>
    </w:p>
    <w:p w14:paraId="30AE542C" w14:textId="77777777" w:rsidR="00A80CF8" w:rsidRPr="00D724AC" w:rsidRDefault="00A80CF8" w:rsidP="00A80CF8">
      <w:pPr>
        <w:rPr>
          <w:snapToGrid w:val="0"/>
          <w:szCs w:val="22"/>
          <w:lang w:eastAsia="en-US"/>
        </w:rPr>
      </w:pPr>
    </w:p>
    <w:p w14:paraId="2ADFDDD9" w14:textId="77777777" w:rsidR="00A80CF8" w:rsidRPr="00D724AC" w:rsidRDefault="00A80CF8" w:rsidP="00A80CF8">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6.2</w:t>
      </w:r>
      <w:r w:rsidRPr="00D724AC">
        <w:rPr>
          <w:b/>
          <w:bCs/>
          <w:snapToGrid w:val="0"/>
          <w:szCs w:val="22"/>
          <w:lang w:eastAsia="x-none"/>
        </w:rPr>
        <w:tab/>
        <w:t>Nesuderinamumas</w:t>
      </w:r>
    </w:p>
    <w:p w14:paraId="694E9AB5" w14:textId="77777777" w:rsidR="00A80CF8" w:rsidRPr="00D724AC" w:rsidRDefault="00A80CF8" w:rsidP="00A80CF8">
      <w:pPr>
        <w:rPr>
          <w:snapToGrid w:val="0"/>
          <w:szCs w:val="22"/>
          <w:lang w:eastAsia="en-US"/>
        </w:rPr>
      </w:pPr>
    </w:p>
    <w:p w14:paraId="0791F989" w14:textId="77777777" w:rsidR="00A80CF8" w:rsidRPr="00D724AC" w:rsidRDefault="00A80CF8" w:rsidP="00A80CF8">
      <w:pPr>
        <w:rPr>
          <w:snapToGrid w:val="0"/>
          <w:szCs w:val="22"/>
          <w:lang w:eastAsia="en-US"/>
        </w:rPr>
      </w:pPr>
      <w:r w:rsidRPr="00D724AC">
        <w:rPr>
          <w:snapToGrid w:val="0"/>
          <w:szCs w:val="22"/>
          <w:lang w:eastAsia="en-US"/>
        </w:rPr>
        <w:t>Duomenys nebūtini.</w:t>
      </w:r>
    </w:p>
    <w:p w14:paraId="061E9FD7" w14:textId="77777777" w:rsidR="00A80CF8" w:rsidRPr="00D724AC" w:rsidRDefault="00A80CF8" w:rsidP="00A80CF8">
      <w:pPr>
        <w:rPr>
          <w:snapToGrid w:val="0"/>
          <w:szCs w:val="22"/>
          <w:lang w:eastAsia="en-US"/>
        </w:rPr>
      </w:pPr>
    </w:p>
    <w:p w14:paraId="5FE6AEE1" w14:textId="77777777" w:rsidR="00A80CF8" w:rsidRPr="00D724AC" w:rsidRDefault="00A80CF8" w:rsidP="00A80CF8">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6.3</w:t>
      </w:r>
      <w:r w:rsidRPr="00D724AC">
        <w:rPr>
          <w:b/>
          <w:bCs/>
          <w:snapToGrid w:val="0"/>
          <w:szCs w:val="22"/>
          <w:lang w:eastAsia="x-none"/>
        </w:rPr>
        <w:tab/>
        <w:t>Tinkamumo laikas</w:t>
      </w:r>
    </w:p>
    <w:p w14:paraId="2FCFDB49" w14:textId="77777777" w:rsidR="00A80CF8" w:rsidRPr="00D724AC" w:rsidRDefault="00A80CF8" w:rsidP="00A80CF8">
      <w:pPr>
        <w:rPr>
          <w:snapToGrid w:val="0"/>
          <w:szCs w:val="22"/>
          <w:lang w:eastAsia="en-US"/>
        </w:rPr>
      </w:pPr>
    </w:p>
    <w:p w14:paraId="541C486D" w14:textId="77777777" w:rsidR="00A80CF8" w:rsidRPr="00D724AC" w:rsidRDefault="00A80CF8" w:rsidP="00A80CF8">
      <w:pPr>
        <w:rPr>
          <w:snapToGrid w:val="0"/>
          <w:szCs w:val="22"/>
          <w:lang w:eastAsia="en-US"/>
        </w:rPr>
      </w:pPr>
      <w:r w:rsidRPr="00D724AC">
        <w:rPr>
          <w:snapToGrid w:val="0"/>
          <w:szCs w:val="22"/>
          <w:lang w:eastAsia="en-US"/>
        </w:rPr>
        <w:t>30 mėnesių</w:t>
      </w:r>
    </w:p>
    <w:p w14:paraId="5C134D52" w14:textId="77777777" w:rsidR="00A80CF8" w:rsidRPr="00D724AC" w:rsidRDefault="00A80CF8" w:rsidP="00A80CF8">
      <w:pPr>
        <w:rPr>
          <w:snapToGrid w:val="0"/>
          <w:szCs w:val="22"/>
          <w:lang w:eastAsia="en-US"/>
        </w:rPr>
      </w:pPr>
    </w:p>
    <w:p w14:paraId="6B8A26D1" w14:textId="77777777" w:rsidR="00A80CF8" w:rsidRPr="00D724AC" w:rsidRDefault="00A80CF8" w:rsidP="00A80CF8">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6.4</w:t>
      </w:r>
      <w:r w:rsidRPr="00D724AC">
        <w:rPr>
          <w:b/>
          <w:bCs/>
          <w:snapToGrid w:val="0"/>
          <w:szCs w:val="22"/>
          <w:lang w:eastAsia="x-none"/>
        </w:rPr>
        <w:tab/>
        <w:t>Specialios laikymo sąlygos</w:t>
      </w:r>
    </w:p>
    <w:p w14:paraId="2E000C93" w14:textId="77777777" w:rsidR="00A80CF8" w:rsidRPr="00D724AC" w:rsidRDefault="00A80CF8" w:rsidP="00A80CF8">
      <w:pPr>
        <w:rPr>
          <w:snapToGrid w:val="0"/>
          <w:szCs w:val="22"/>
          <w:lang w:eastAsia="en-US"/>
        </w:rPr>
      </w:pPr>
    </w:p>
    <w:p w14:paraId="52EF2590" w14:textId="77777777" w:rsidR="00A80CF8" w:rsidRPr="00D724AC" w:rsidRDefault="00A80CF8" w:rsidP="00A80CF8">
      <w:pPr>
        <w:rPr>
          <w:snapToGrid w:val="0"/>
          <w:szCs w:val="22"/>
          <w:lang w:eastAsia="en-US"/>
        </w:rPr>
      </w:pPr>
      <w:r w:rsidRPr="00D724AC">
        <w:rPr>
          <w:snapToGrid w:val="0"/>
          <w:szCs w:val="22"/>
          <w:lang w:eastAsia="en-US"/>
        </w:rPr>
        <w:t xml:space="preserve">Nepermatomos PVC/PVDC-aliuminio lizdinės plokštelės: šio vaistinio preparato laikymui specialių temperatūros sąlygų nereikalaujama. </w:t>
      </w:r>
      <w:r w:rsidRPr="00D724AC">
        <w:rPr>
          <w:rFonts w:eastAsia="Calibri"/>
          <w:szCs w:val="22"/>
        </w:rPr>
        <w:t xml:space="preserve">Laikyti gamintojo pakuotėje, kad </w:t>
      </w:r>
      <w:r>
        <w:rPr>
          <w:rFonts w:eastAsia="Calibri"/>
          <w:szCs w:val="22"/>
        </w:rPr>
        <w:t xml:space="preserve">vaistinis </w:t>
      </w:r>
      <w:r w:rsidRPr="00D724AC">
        <w:rPr>
          <w:rFonts w:eastAsia="Calibri"/>
          <w:szCs w:val="22"/>
        </w:rPr>
        <w:t>preparatas būtų apsaugotas nuo drėgmės.</w:t>
      </w:r>
    </w:p>
    <w:p w14:paraId="3B80EE10" w14:textId="77777777" w:rsidR="00A80CF8" w:rsidRPr="00D724AC" w:rsidRDefault="00A80CF8" w:rsidP="00A80CF8">
      <w:pPr>
        <w:rPr>
          <w:snapToGrid w:val="0"/>
          <w:szCs w:val="22"/>
          <w:lang w:eastAsia="en-US"/>
        </w:rPr>
      </w:pPr>
    </w:p>
    <w:p w14:paraId="5C39B31A" w14:textId="77777777" w:rsidR="00A80CF8" w:rsidRPr="00D724AC" w:rsidRDefault="00A80CF8" w:rsidP="00A80CF8">
      <w:pPr>
        <w:rPr>
          <w:snapToGrid w:val="0"/>
          <w:szCs w:val="22"/>
          <w:lang w:eastAsia="en-US"/>
        </w:rPr>
      </w:pPr>
      <w:r w:rsidRPr="00D724AC">
        <w:rPr>
          <w:snapToGrid w:val="0"/>
          <w:szCs w:val="22"/>
          <w:lang w:eastAsia="en-US"/>
        </w:rPr>
        <w:t xml:space="preserve">Permatomos PVC/PE/PVDC-aliuminio lizdinės plokštelės: šio vaistinio preparato laikymui specialių temperatūros sąlygų nereikalaujama. </w:t>
      </w:r>
      <w:r w:rsidRPr="00D724AC">
        <w:rPr>
          <w:rFonts w:eastAsia="Calibri"/>
          <w:szCs w:val="22"/>
        </w:rPr>
        <w:t xml:space="preserve">Laikyti gamintojo pakuotėje, kad </w:t>
      </w:r>
      <w:r>
        <w:rPr>
          <w:rFonts w:eastAsia="Calibri"/>
          <w:szCs w:val="22"/>
        </w:rPr>
        <w:t xml:space="preserve">vaistinis </w:t>
      </w:r>
      <w:r w:rsidRPr="00D724AC">
        <w:rPr>
          <w:rFonts w:eastAsia="Calibri"/>
          <w:szCs w:val="22"/>
        </w:rPr>
        <w:t>preparatas būtų apsaugotas nuo drėgmės ir šviesos.</w:t>
      </w:r>
    </w:p>
    <w:p w14:paraId="2C98DDBD" w14:textId="77777777" w:rsidR="00A80CF8" w:rsidRPr="00D724AC" w:rsidRDefault="00A80CF8" w:rsidP="00A80CF8">
      <w:pPr>
        <w:rPr>
          <w:snapToGrid w:val="0"/>
          <w:szCs w:val="22"/>
          <w:lang w:eastAsia="en-US"/>
        </w:rPr>
      </w:pPr>
    </w:p>
    <w:p w14:paraId="7F7F67B5" w14:textId="77777777" w:rsidR="00A80CF8" w:rsidRPr="00D724AC" w:rsidRDefault="00A80CF8" w:rsidP="00A80CF8">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6.5</w:t>
      </w:r>
      <w:r w:rsidRPr="00D724AC">
        <w:rPr>
          <w:b/>
          <w:bCs/>
          <w:snapToGrid w:val="0"/>
          <w:szCs w:val="22"/>
          <w:lang w:eastAsia="x-none"/>
        </w:rPr>
        <w:tab/>
        <w:t>Talpyklės pobūdis ir jos turinys</w:t>
      </w:r>
      <w:r w:rsidRPr="00D724AC">
        <w:rPr>
          <w:b/>
          <w:snapToGrid w:val="0"/>
          <w:szCs w:val="22"/>
          <w:lang w:eastAsia="x-none"/>
        </w:rPr>
        <w:t xml:space="preserve"> </w:t>
      </w:r>
    </w:p>
    <w:p w14:paraId="55BA98F8" w14:textId="77777777" w:rsidR="00A80CF8" w:rsidRPr="00D724AC" w:rsidRDefault="00A80CF8" w:rsidP="00A80CF8">
      <w:pPr>
        <w:rPr>
          <w:snapToGrid w:val="0"/>
          <w:szCs w:val="22"/>
          <w:lang w:eastAsia="en-US"/>
        </w:rPr>
      </w:pPr>
    </w:p>
    <w:p w14:paraId="728B32A4" w14:textId="77777777" w:rsidR="00A80CF8" w:rsidRPr="00D724AC" w:rsidRDefault="00A80CF8" w:rsidP="00A80CF8">
      <w:pPr>
        <w:rPr>
          <w:snapToGrid w:val="0"/>
          <w:szCs w:val="22"/>
          <w:lang w:eastAsia="en-US"/>
        </w:rPr>
      </w:pPr>
      <w:r w:rsidRPr="00D724AC">
        <w:rPr>
          <w:snapToGrid w:val="0"/>
          <w:szCs w:val="22"/>
          <w:lang w:eastAsia="en-US"/>
        </w:rPr>
        <w:t>Plėvele dengtos tabletės yra supakuotos į permatomas PVC/PE/PVDC-aliuminio lizdines plokšteles arba nepermatomas PVC/PVDC-aliuminio lizdin</w:t>
      </w:r>
      <w:r>
        <w:rPr>
          <w:snapToGrid w:val="0"/>
          <w:szCs w:val="22"/>
          <w:lang w:eastAsia="en-US"/>
        </w:rPr>
        <w:t>e</w:t>
      </w:r>
      <w:r w:rsidRPr="00D724AC">
        <w:rPr>
          <w:snapToGrid w:val="0"/>
          <w:szCs w:val="22"/>
          <w:lang w:eastAsia="en-US"/>
        </w:rPr>
        <w:t>s plokšteles.</w:t>
      </w:r>
    </w:p>
    <w:p w14:paraId="6122A188" w14:textId="77777777" w:rsidR="00A80CF8" w:rsidRPr="00D724AC" w:rsidRDefault="00A80CF8" w:rsidP="00A80CF8">
      <w:pPr>
        <w:rPr>
          <w:snapToGrid w:val="0"/>
          <w:szCs w:val="22"/>
          <w:lang w:eastAsia="en-US"/>
        </w:rPr>
      </w:pPr>
    </w:p>
    <w:p w14:paraId="089BC43D" w14:textId="77777777" w:rsidR="00A80CF8" w:rsidRPr="00D724AC" w:rsidRDefault="00A80CF8" w:rsidP="00A80CF8">
      <w:pPr>
        <w:rPr>
          <w:snapToGrid w:val="0"/>
          <w:szCs w:val="22"/>
          <w:lang w:eastAsia="en-US"/>
        </w:rPr>
      </w:pPr>
      <w:r w:rsidRPr="00D724AC">
        <w:rPr>
          <w:snapToGrid w:val="0"/>
          <w:szCs w:val="22"/>
          <w:lang w:eastAsia="en-US"/>
        </w:rPr>
        <w:t>Pakuočių dydžiai: 14, 28, 30, 56, 60, 84, 90, 98 ir 100 plėvele dengtų tablečių.</w:t>
      </w:r>
    </w:p>
    <w:p w14:paraId="5AC405DD" w14:textId="77777777" w:rsidR="00A80CF8" w:rsidRPr="00D724AC" w:rsidRDefault="00A80CF8" w:rsidP="00A80CF8">
      <w:pPr>
        <w:rPr>
          <w:snapToGrid w:val="0"/>
          <w:szCs w:val="22"/>
          <w:lang w:eastAsia="en-US"/>
        </w:rPr>
      </w:pPr>
    </w:p>
    <w:p w14:paraId="2D21E7D9" w14:textId="77777777" w:rsidR="00A80CF8" w:rsidRPr="00D724AC" w:rsidRDefault="00A80CF8" w:rsidP="00A80CF8">
      <w:pPr>
        <w:rPr>
          <w:snapToGrid w:val="0"/>
          <w:szCs w:val="22"/>
          <w:lang w:eastAsia="en-US"/>
        </w:rPr>
      </w:pPr>
      <w:r w:rsidRPr="00D724AC">
        <w:rPr>
          <w:rFonts w:eastAsia="Calibri"/>
          <w:szCs w:val="22"/>
        </w:rPr>
        <w:t>Gali būti tiekiamos ne visų dydžių pakuotės.</w:t>
      </w:r>
    </w:p>
    <w:p w14:paraId="08C82D47" w14:textId="77777777" w:rsidR="00A80CF8" w:rsidRPr="00D724AC" w:rsidRDefault="00A80CF8" w:rsidP="00A80CF8">
      <w:pPr>
        <w:rPr>
          <w:snapToGrid w:val="0"/>
          <w:szCs w:val="22"/>
          <w:lang w:eastAsia="en-US"/>
        </w:rPr>
      </w:pPr>
    </w:p>
    <w:p w14:paraId="027DAE2D" w14:textId="77777777" w:rsidR="00A80CF8" w:rsidRPr="00D724AC" w:rsidRDefault="00A80CF8" w:rsidP="00A80CF8">
      <w:pPr>
        <w:keepNext/>
        <w:tabs>
          <w:tab w:val="left" w:pos="567"/>
        </w:tabs>
        <w:spacing w:line="260" w:lineRule="exact"/>
        <w:jc w:val="both"/>
        <w:outlineLvl w:val="3"/>
        <w:rPr>
          <w:b/>
          <w:bCs/>
          <w:snapToGrid w:val="0"/>
          <w:szCs w:val="22"/>
          <w:lang w:eastAsia="x-none"/>
        </w:rPr>
      </w:pPr>
      <w:bookmarkStart w:id="0" w:name="OLE_LINK1"/>
      <w:r w:rsidRPr="00D724AC">
        <w:rPr>
          <w:b/>
          <w:bCs/>
          <w:snapToGrid w:val="0"/>
          <w:szCs w:val="22"/>
          <w:lang w:eastAsia="x-none"/>
        </w:rPr>
        <w:t>6.6</w:t>
      </w:r>
      <w:r w:rsidRPr="00D724AC">
        <w:rPr>
          <w:b/>
          <w:bCs/>
          <w:snapToGrid w:val="0"/>
          <w:szCs w:val="22"/>
          <w:lang w:eastAsia="x-none"/>
        </w:rPr>
        <w:tab/>
        <w:t>Specialūs reikalavimai atliekoms tvarkyti</w:t>
      </w:r>
    </w:p>
    <w:bookmarkEnd w:id="0"/>
    <w:p w14:paraId="2A8F9C5C" w14:textId="77777777" w:rsidR="00A80CF8" w:rsidRPr="00D724AC" w:rsidRDefault="00A80CF8" w:rsidP="00A80CF8">
      <w:pPr>
        <w:rPr>
          <w:snapToGrid w:val="0"/>
          <w:szCs w:val="22"/>
          <w:lang w:eastAsia="en-US"/>
        </w:rPr>
      </w:pPr>
    </w:p>
    <w:p w14:paraId="626E4F1D" w14:textId="77777777" w:rsidR="00A80CF8" w:rsidRPr="00D724AC" w:rsidRDefault="00A80CF8" w:rsidP="00A80CF8">
      <w:pPr>
        <w:rPr>
          <w:snapToGrid w:val="0"/>
          <w:szCs w:val="22"/>
          <w:lang w:eastAsia="en-US"/>
        </w:rPr>
      </w:pPr>
      <w:r w:rsidRPr="00D724AC">
        <w:rPr>
          <w:snapToGrid w:val="0"/>
          <w:szCs w:val="22"/>
          <w:lang w:eastAsia="en-US"/>
        </w:rPr>
        <w:t>Specialių reikalavimų nėra.</w:t>
      </w:r>
    </w:p>
    <w:p w14:paraId="3CDDE646" w14:textId="77777777" w:rsidR="00A80CF8" w:rsidRPr="00D724AC" w:rsidRDefault="00A80CF8" w:rsidP="00A80CF8">
      <w:pPr>
        <w:rPr>
          <w:snapToGrid w:val="0"/>
          <w:szCs w:val="22"/>
          <w:lang w:eastAsia="en-US"/>
        </w:rPr>
      </w:pPr>
    </w:p>
    <w:p w14:paraId="27D7E3FF" w14:textId="77777777" w:rsidR="00A80CF8" w:rsidRPr="00D724AC" w:rsidRDefault="00A80CF8" w:rsidP="00A80CF8">
      <w:pPr>
        <w:rPr>
          <w:snapToGrid w:val="0"/>
          <w:szCs w:val="22"/>
          <w:lang w:eastAsia="en-US"/>
        </w:rPr>
      </w:pPr>
    </w:p>
    <w:p w14:paraId="20527BF0" w14:textId="77777777" w:rsidR="00A80CF8" w:rsidRPr="00D724AC" w:rsidRDefault="00A80CF8" w:rsidP="00A80CF8">
      <w:pPr>
        <w:keepNext/>
        <w:keepLines/>
        <w:tabs>
          <w:tab w:val="left" w:pos="567"/>
        </w:tabs>
        <w:outlineLvl w:val="2"/>
        <w:rPr>
          <w:b/>
          <w:bCs/>
          <w:snapToGrid w:val="0"/>
          <w:szCs w:val="22"/>
          <w:lang w:eastAsia="x-none"/>
        </w:rPr>
      </w:pPr>
      <w:r w:rsidRPr="00D724AC">
        <w:rPr>
          <w:b/>
          <w:bCs/>
          <w:snapToGrid w:val="0"/>
          <w:szCs w:val="22"/>
          <w:lang w:eastAsia="x-none"/>
        </w:rPr>
        <w:t>7.</w:t>
      </w:r>
      <w:r w:rsidRPr="00D724AC">
        <w:rPr>
          <w:b/>
          <w:bCs/>
          <w:snapToGrid w:val="0"/>
          <w:szCs w:val="22"/>
          <w:lang w:eastAsia="x-none"/>
        </w:rPr>
        <w:tab/>
        <w:t>REGISTRUOTOJAS</w:t>
      </w:r>
    </w:p>
    <w:p w14:paraId="176978E9" w14:textId="77777777" w:rsidR="00A80CF8" w:rsidRPr="00D724AC" w:rsidRDefault="00A80CF8" w:rsidP="00A80CF8">
      <w:pPr>
        <w:rPr>
          <w:snapToGrid w:val="0"/>
          <w:szCs w:val="22"/>
          <w:lang w:eastAsia="en-US"/>
        </w:rPr>
      </w:pPr>
    </w:p>
    <w:p w14:paraId="44504A80" w14:textId="77777777" w:rsidR="00A80CF8" w:rsidRPr="00D724AC" w:rsidRDefault="00A80CF8" w:rsidP="00A80CF8">
      <w:pPr>
        <w:rPr>
          <w:snapToGrid w:val="0"/>
          <w:szCs w:val="22"/>
          <w:lang w:eastAsia="en-US"/>
        </w:rPr>
      </w:pPr>
      <w:r w:rsidRPr="00D724AC">
        <w:rPr>
          <w:snapToGrid w:val="0"/>
          <w:szCs w:val="22"/>
          <w:lang w:eastAsia="en-US"/>
        </w:rPr>
        <w:t>Medochemie Ltd.</w:t>
      </w:r>
    </w:p>
    <w:p w14:paraId="5746F1C1" w14:textId="77777777" w:rsidR="00A80CF8" w:rsidRPr="00D724AC" w:rsidRDefault="00A80CF8" w:rsidP="00A80CF8">
      <w:pPr>
        <w:rPr>
          <w:snapToGrid w:val="0"/>
          <w:szCs w:val="22"/>
          <w:lang w:eastAsia="en-US"/>
        </w:rPr>
      </w:pPr>
      <w:r w:rsidRPr="00D724AC">
        <w:rPr>
          <w:snapToGrid w:val="0"/>
          <w:szCs w:val="22"/>
          <w:lang w:eastAsia="en-US"/>
        </w:rPr>
        <w:t xml:space="preserve">1-10 Constantinoupoleos </w:t>
      </w:r>
      <w:r>
        <w:rPr>
          <w:snapToGrid w:val="0"/>
          <w:szCs w:val="22"/>
          <w:lang w:eastAsia="en-US"/>
        </w:rPr>
        <w:t>S</w:t>
      </w:r>
      <w:r w:rsidRPr="00D724AC">
        <w:rPr>
          <w:snapToGrid w:val="0"/>
          <w:szCs w:val="22"/>
          <w:lang w:eastAsia="en-US"/>
        </w:rPr>
        <w:t>treet</w:t>
      </w:r>
    </w:p>
    <w:p w14:paraId="57B57079" w14:textId="77777777" w:rsidR="00A80CF8" w:rsidRPr="00D724AC" w:rsidRDefault="00A80CF8" w:rsidP="00A80CF8">
      <w:pPr>
        <w:rPr>
          <w:snapToGrid w:val="0"/>
          <w:szCs w:val="22"/>
          <w:lang w:eastAsia="en-US"/>
        </w:rPr>
      </w:pPr>
      <w:r w:rsidRPr="00D724AC">
        <w:rPr>
          <w:snapToGrid w:val="0"/>
          <w:szCs w:val="22"/>
          <w:lang w:eastAsia="en-US"/>
        </w:rPr>
        <w:t>3011 Limassol</w:t>
      </w:r>
    </w:p>
    <w:p w14:paraId="66A8B95B" w14:textId="77777777" w:rsidR="00A80CF8" w:rsidRPr="00D724AC" w:rsidRDefault="00A80CF8" w:rsidP="00A80CF8">
      <w:pPr>
        <w:rPr>
          <w:snapToGrid w:val="0"/>
          <w:szCs w:val="22"/>
          <w:lang w:eastAsia="en-US"/>
        </w:rPr>
      </w:pPr>
      <w:r w:rsidRPr="00D724AC">
        <w:rPr>
          <w:snapToGrid w:val="0"/>
          <w:szCs w:val="22"/>
          <w:lang w:eastAsia="en-US"/>
        </w:rPr>
        <w:t>Kipras</w:t>
      </w:r>
    </w:p>
    <w:p w14:paraId="71DBCB5F" w14:textId="77777777" w:rsidR="00A80CF8" w:rsidRPr="00D724AC" w:rsidRDefault="00A80CF8" w:rsidP="00A80CF8">
      <w:pPr>
        <w:rPr>
          <w:snapToGrid w:val="0"/>
          <w:szCs w:val="22"/>
          <w:lang w:eastAsia="en-US"/>
        </w:rPr>
      </w:pPr>
    </w:p>
    <w:p w14:paraId="1815EA42" w14:textId="77777777" w:rsidR="00A80CF8" w:rsidRPr="00D724AC" w:rsidRDefault="00A80CF8" w:rsidP="00A80CF8">
      <w:pPr>
        <w:rPr>
          <w:snapToGrid w:val="0"/>
          <w:szCs w:val="22"/>
          <w:lang w:eastAsia="en-US"/>
        </w:rPr>
      </w:pPr>
    </w:p>
    <w:p w14:paraId="1BC8AB70" w14:textId="77777777" w:rsidR="00A80CF8" w:rsidRPr="00D724AC" w:rsidRDefault="00A80CF8" w:rsidP="00A80CF8">
      <w:pPr>
        <w:keepNext/>
        <w:keepLines/>
        <w:tabs>
          <w:tab w:val="left" w:pos="567"/>
        </w:tabs>
        <w:outlineLvl w:val="2"/>
        <w:rPr>
          <w:b/>
          <w:bCs/>
          <w:snapToGrid w:val="0"/>
          <w:szCs w:val="22"/>
          <w:lang w:eastAsia="x-none"/>
        </w:rPr>
      </w:pPr>
      <w:r w:rsidRPr="00D724AC">
        <w:rPr>
          <w:b/>
          <w:bCs/>
          <w:snapToGrid w:val="0"/>
          <w:szCs w:val="22"/>
          <w:lang w:eastAsia="x-none"/>
        </w:rPr>
        <w:t>8.</w:t>
      </w:r>
      <w:r w:rsidRPr="00D724AC">
        <w:rPr>
          <w:b/>
          <w:bCs/>
          <w:snapToGrid w:val="0"/>
          <w:szCs w:val="22"/>
          <w:lang w:eastAsia="x-none"/>
        </w:rPr>
        <w:tab/>
        <w:t xml:space="preserve">REGISTRACIJOS PAŽYMĖJIMO NUMERIS (-IAI) </w:t>
      </w:r>
    </w:p>
    <w:p w14:paraId="7C65A9C5" w14:textId="77777777" w:rsidR="00A80CF8" w:rsidRPr="00D724AC" w:rsidRDefault="00A80CF8" w:rsidP="00A80CF8">
      <w:pPr>
        <w:rPr>
          <w:snapToGrid w:val="0"/>
          <w:szCs w:val="22"/>
          <w:lang w:eastAsia="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A80CF8" w:rsidRPr="00E626A6" w14:paraId="28857ABD" w14:textId="77777777" w:rsidTr="00AC19D2">
        <w:tc>
          <w:tcPr>
            <w:tcW w:w="4530" w:type="dxa"/>
          </w:tcPr>
          <w:p w14:paraId="632EF2B6" w14:textId="77777777" w:rsidR="00A80CF8" w:rsidRPr="00E626A6" w:rsidRDefault="00A80CF8" w:rsidP="00AC19D2">
            <w:pPr>
              <w:tabs>
                <w:tab w:val="left" w:pos="709"/>
              </w:tabs>
              <w:spacing w:line="260" w:lineRule="exact"/>
              <w:rPr>
                <w:rFonts w:eastAsia="Calibri"/>
                <w:sz w:val="22"/>
                <w:szCs w:val="22"/>
              </w:rPr>
            </w:pPr>
            <w:r w:rsidRPr="00E626A6">
              <w:rPr>
                <w:rFonts w:eastAsia="Calibri"/>
                <w:sz w:val="22"/>
                <w:szCs w:val="22"/>
              </w:rPr>
              <w:t xml:space="preserve">        150 mg/12,5 mg</w:t>
            </w:r>
          </w:p>
          <w:p w14:paraId="1B220B9B" w14:textId="77777777" w:rsidR="00A80CF8" w:rsidRPr="00E626A6" w:rsidRDefault="00A80CF8" w:rsidP="00AC19D2">
            <w:pPr>
              <w:tabs>
                <w:tab w:val="left" w:pos="709"/>
              </w:tabs>
              <w:spacing w:line="260" w:lineRule="exact"/>
              <w:rPr>
                <w:snapToGrid w:val="0"/>
                <w:sz w:val="22"/>
                <w:szCs w:val="22"/>
                <w:lang w:eastAsia="en-US"/>
              </w:rPr>
            </w:pPr>
            <w:r w:rsidRPr="00E626A6">
              <w:rPr>
                <w:snapToGrid w:val="0"/>
                <w:sz w:val="22"/>
                <w:szCs w:val="22"/>
                <w:lang w:eastAsia="en-US"/>
              </w:rPr>
              <w:t>LT/1/14/3585/001 – N14</w:t>
            </w:r>
          </w:p>
          <w:p w14:paraId="04240AD6" w14:textId="77777777" w:rsidR="00A80CF8" w:rsidRPr="00E626A6" w:rsidRDefault="00A80CF8" w:rsidP="00AC19D2">
            <w:pPr>
              <w:tabs>
                <w:tab w:val="left" w:pos="709"/>
              </w:tabs>
              <w:spacing w:line="260" w:lineRule="exact"/>
              <w:rPr>
                <w:snapToGrid w:val="0"/>
                <w:sz w:val="22"/>
                <w:szCs w:val="22"/>
                <w:lang w:eastAsia="en-US"/>
              </w:rPr>
            </w:pPr>
            <w:r w:rsidRPr="00E626A6">
              <w:rPr>
                <w:snapToGrid w:val="0"/>
                <w:sz w:val="22"/>
                <w:szCs w:val="22"/>
                <w:lang w:eastAsia="en-US"/>
              </w:rPr>
              <w:t>LT/1/14/3585/002 – N28</w:t>
            </w:r>
          </w:p>
          <w:p w14:paraId="75C058D4" w14:textId="77777777" w:rsidR="00A80CF8" w:rsidRPr="00E626A6" w:rsidRDefault="00A80CF8" w:rsidP="00AC19D2">
            <w:pPr>
              <w:tabs>
                <w:tab w:val="left" w:pos="709"/>
              </w:tabs>
              <w:spacing w:line="260" w:lineRule="exact"/>
              <w:rPr>
                <w:snapToGrid w:val="0"/>
                <w:sz w:val="22"/>
                <w:szCs w:val="22"/>
                <w:lang w:eastAsia="en-US"/>
              </w:rPr>
            </w:pPr>
            <w:r w:rsidRPr="00E626A6">
              <w:rPr>
                <w:snapToGrid w:val="0"/>
                <w:sz w:val="22"/>
                <w:szCs w:val="22"/>
                <w:lang w:eastAsia="en-US"/>
              </w:rPr>
              <w:t>LT/1/14/3585/003 – N30</w:t>
            </w:r>
          </w:p>
          <w:p w14:paraId="6F1CB9D8" w14:textId="77777777" w:rsidR="00A80CF8" w:rsidRPr="00E626A6" w:rsidRDefault="00A80CF8" w:rsidP="00AC19D2">
            <w:pPr>
              <w:tabs>
                <w:tab w:val="left" w:pos="709"/>
              </w:tabs>
              <w:spacing w:line="260" w:lineRule="exact"/>
              <w:rPr>
                <w:snapToGrid w:val="0"/>
                <w:sz w:val="22"/>
                <w:szCs w:val="22"/>
                <w:lang w:eastAsia="en-US"/>
              </w:rPr>
            </w:pPr>
            <w:r w:rsidRPr="00E626A6">
              <w:rPr>
                <w:snapToGrid w:val="0"/>
                <w:sz w:val="22"/>
                <w:szCs w:val="22"/>
                <w:lang w:eastAsia="en-US"/>
              </w:rPr>
              <w:t>LT/1/14/3585/004 – N56</w:t>
            </w:r>
          </w:p>
          <w:p w14:paraId="3C1284FC" w14:textId="77777777" w:rsidR="00A80CF8" w:rsidRPr="00E626A6" w:rsidRDefault="00A80CF8" w:rsidP="00AC19D2">
            <w:pPr>
              <w:tabs>
                <w:tab w:val="left" w:pos="709"/>
              </w:tabs>
              <w:spacing w:line="260" w:lineRule="exact"/>
              <w:rPr>
                <w:snapToGrid w:val="0"/>
                <w:sz w:val="22"/>
                <w:szCs w:val="22"/>
                <w:lang w:eastAsia="en-US"/>
              </w:rPr>
            </w:pPr>
            <w:r w:rsidRPr="00E626A6">
              <w:rPr>
                <w:snapToGrid w:val="0"/>
                <w:sz w:val="22"/>
                <w:szCs w:val="22"/>
                <w:lang w:eastAsia="en-US"/>
              </w:rPr>
              <w:t>LT/1/14/3585/005 – N60</w:t>
            </w:r>
          </w:p>
          <w:p w14:paraId="2D849895" w14:textId="77777777" w:rsidR="00A80CF8" w:rsidRPr="00E626A6" w:rsidRDefault="00A80CF8" w:rsidP="00AC19D2">
            <w:pPr>
              <w:tabs>
                <w:tab w:val="left" w:pos="709"/>
              </w:tabs>
              <w:spacing w:line="260" w:lineRule="exact"/>
              <w:rPr>
                <w:snapToGrid w:val="0"/>
                <w:sz w:val="22"/>
                <w:szCs w:val="22"/>
                <w:lang w:eastAsia="en-US"/>
              </w:rPr>
            </w:pPr>
            <w:r w:rsidRPr="00E626A6">
              <w:rPr>
                <w:snapToGrid w:val="0"/>
                <w:sz w:val="22"/>
                <w:szCs w:val="22"/>
                <w:lang w:eastAsia="en-US"/>
              </w:rPr>
              <w:t>LT/1/14/3585/006 – N84</w:t>
            </w:r>
          </w:p>
          <w:p w14:paraId="52DE4838" w14:textId="77777777" w:rsidR="00A80CF8" w:rsidRPr="00E626A6" w:rsidRDefault="00A80CF8" w:rsidP="00AC19D2">
            <w:pPr>
              <w:tabs>
                <w:tab w:val="left" w:pos="709"/>
              </w:tabs>
              <w:spacing w:line="260" w:lineRule="exact"/>
              <w:rPr>
                <w:snapToGrid w:val="0"/>
                <w:sz w:val="22"/>
                <w:szCs w:val="22"/>
                <w:lang w:eastAsia="en-US"/>
              </w:rPr>
            </w:pPr>
            <w:r w:rsidRPr="00E626A6">
              <w:rPr>
                <w:snapToGrid w:val="0"/>
                <w:sz w:val="22"/>
                <w:szCs w:val="22"/>
                <w:lang w:eastAsia="en-US"/>
              </w:rPr>
              <w:t>LT/1/14/3585/007 – N90</w:t>
            </w:r>
          </w:p>
          <w:p w14:paraId="3485801C" w14:textId="77777777" w:rsidR="00A80CF8" w:rsidRPr="00E626A6" w:rsidRDefault="00A80CF8" w:rsidP="00AC19D2">
            <w:pPr>
              <w:tabs>
                <w:tab w:val="left" w:pos="709"/>
              </w:tabs>
              <w:spacing w:line="260" w:lineRule="exact"/>
              <w:rPr>
                <w:snapToGrid w:val="0"/>
                <w:sz w:val="22"/>
                <w:szCs w:val="22"/>
                <w:lang w:eastAsia="en-US"/>
              </w:rPr>
            </w:pPr>
            <w:r w:rsidRPr="00E626A6">
              <w:rPr>
                <w:snapToGrid w:val="0"/>
                <w:sz w:val="22"/>
                <w:szCs w:val="22"/>
                <w:lang w:eastAsia="en-US"/>
              </w:rPr>
              <w:t>LT/1/14/3585/008 – N98</w:t>
            </w:r>
          </w:p>
          <w:p w14:paraId="00907E01" w14:textId="77777777" w:rsidR="00A80CF8" w:rsidRPr="00E626A6" w:rsidRDefault="00A80CF8" w:rsidP="00AC19D2">
            <w:pPr>
              <w:tabs>
                <w:tab w:val="left" w:pos="709"/>
              </w:tabs>
              <w:spacing w:line="260" w:lineRule="exact"/>
              <w:rPr>
                <w:snapToGrid w:val="0"/>
                <w:sz w:val="22"/>
                <w:szCs w:val="22"/>
                <w:lang w:eastAsia="en-US"/>
              </w:rPr>
            </w:pPr>
            <w:r w:rsidRPr="00E626A6">
              <w:rPr>
                <w:snapToGrid w:val="0"/>
                <w:sz w:val="22"/>
                <w:szCs w:val="22"/>
                <w:lang w:eastAsia="en-US"/>
              </w:rPr>
              <w:t>LT/1/14/3585/009 – N100</w:t>
            </w:r>
          </w:p>
        </w:tc>
        <w:tc>
          <w:tcPr>
            <w:tcW w:w="4530" w:type="dxa"/>
          </w:tcPr>
          <w:p w14:paraId="423E98F2" w14:textId="77777777" w:rsidR="00A80CF8" w:rsidRPr="00E626A6" w:rsidRDefault="00A80CF8" w:rsidP="00AC19D2">
            <w:pPr>
              <w:tabs>
                <w:tab w:val="left" w:pos="709"/>
              </w:tabs>
              <w:spacing w:line="260" w:lineRule="exact"/>
              <w:rPr>
                <w:rFonts w:eastAsia="Calibri"/>
                <w:sz w:val="22"/>
                <w:szCs w:val="22"/>
              </w:rPr>
            </w:pPr>
            <w:r w:rsidRPr="00E626A6">
              <w:rPr>
                <w:rFonts w:eastAsia="Calibri"/>
                <w:sz w:val="22"/>
                <w:szCs w:val="22"/>
              </w:rPr>
              <w:t xml:space="preserve">       300 mg/25 mg</w:t>
            </w:r>
          </w:p>
          <w:p w14:paraId="767E58AC" w14:textId="77777777" w:rsidR="00A80CF8" w:rsidRPr="00E626A6" w:rsidRDefault="00A80CF8" w:rsidP="00AC19D2">
            <w:pPr>
              <w:rPr>
                <w:bCs/>
                <w:sz w:val="22"/>
                <w:szCs w:val="22"/>
              </w:rPr>
            </w:pPr>
            <w:r w:rsidRPr="00E626A6">
              <w:rPr>
                <w:bCs/>
                <w:sz w:val="22"/>
                <w:szCs w:val="22"/>
              </w:rPr>
              <w:t>LT/1/14/3585/010 – N14</w:t>
            </w:r>
          </w:p>
          <w:p w14:paraId="681CC534" w14:textId="77777777" w:rsidR="00A80CF8" w:rsidRPr="00E626A6" w:rsidRDefault="00A80CF8" w:rsidP="00AC19D2">
            <w:pPr>
              <w:rPr>
                <w:bCs/>
                <w:sz w:val="22"/>
                <w:szCs w:val="22"/>
              </w:rPr>
            </w:pPr>
            <w:r w:rsidRPr="00E626A6">
              <w:rPr>
                <w:bCs/>
                <w:sz w:val="22"/>
                <w:szCs w:val="22"/>
              </w:rPr>
              <w:t>LT/1/14/3585/011 – N28</w:t>
            </w:r>
          </w:p>
          <w:p w14:paraId="32C64C82" w14:textId="77777777" w:rsidR="00A80CF8" w:rsidRPr="00E626A6" w:rsidRDefault="00A80CF8" w:rsidP="00AC19D2">
            <w:pPr>
              <w:rPr>
                <w:bCs/>
                <w:sz w:val="22"/>
                <w:szCs w:val="22"/>
              </w:rPr>
            </w:pPr>
            <w:r w:rsidRPr="00E626A6">
              <w:rPr>
                <w:bCs/>
                <w:sz w:val="22"/>
                <w:szCs w:val="22"/>
              </w:rPr>
              <w:t>LT/1/14/3585/012 – N30</w:t>
            </w:r>
          </w:p>
          <w:p w14:paraId="7C71F149" w14:textId="77777777" w:rsidR="00A80CF8" w:rsidRPr="00E626A6" w:rsidRDefault="00A80CF8" w:rsidP="00AC19D2">
            <w:pPr>
              <w:rPr>
                <w:bCs/>
                <w:sz w:val="22"/>
                <w:szCs w:val="22"/>
              </w:rPr>
            </w:pPr>
            <w:r w:rsidRPr="00E626A6">
              <w:rPr>
                <w:bCs/>
                <w:sz w:val="22"/>
                <w:szCs w:val="22"/>
              </w:rPr>
              <w:t>LT/1/14/3585/013 – N56</w:t>
            </w:r>
          </w:p>
          <w:p w14:paraId="3A428A76" w14:textId="77777777" w:rsidR="00A80CF8" w:rsidRPr="00E626A6" w:rsidRDefault="00A80CF8" w:rsidP="00AC19D2">
            <w:pPr>
              <w:rPr>
                <w:bCs/>
                <w:sz w:val="22"/>
                <w:szCs w:val="22"/>
              </w:rPr>
            </w:pPr>
            <w:r w:rsidRPr="00E626A6">
              <w:rPr>
                <w:bCs/>
                <w:sz w:val="22"/>
                <w:szCs w:val="22"/>
              </w:rPr>
              <w:t>LT/1/14/3585/014 – N60</w:t>
            </w:r>
          </w:p>
          <w:p w14:paraId="25C69DF8" w14:textId="77777777" w:rsidR="00A80CF8" w:rsidRPr="00E626A6" w:rsidRDefault="00A80CF8" w:rsidP="00AC19D2">
            <w:pPr>
              <w:rPr>
                <w:bCs/>
                <w:sz w:val="22"/>
                <w:szCs w:val="22"/>
              </w:rPr>
            </w:pPr>
            <w:r w:rsidRPr="00E626A6">
              <w:rPr>
                <w:bCs/>
                <w:sz w:val="22"/>
                <w:szCs w:val="22"/>
              </w:rPr>
              <w:t>LT/1/14/3585/015 – N84</w:t>
            </w:r>
          </w:p>
          <w:p w14:paraId="4FA70969" w14:textId="77777777" w:rsidR="00A80CF8" w:rsidRPr="00E626A6" w:rsidRDefault="00A80CF8" w:rsidP="00AC19D2">
            <w:pPr>
              <w:rPr>
                <w:bCs/>
                <w:sz w:val="22"/>
                <w:szCs w:val="22"/>
              </w:rPr>
            </w:pPr>
            <w:r w:rsidRPr="00E626A6">
              <w:rPr>
                <w:bCs/>
                <w:sz w:val="22"/>
                <w:szCs w:val="22"/>
              </w:rPr>
              <w:t>LT/1/14/3585/016 – N90</w:t>
            </w:r>
          </w:p>
          <w:p w14:paraId="5620E493" w14:textId="77777777" w:rsidR="00A80CF8" w:rsidRPr="00E626A6" w:rsidRDefault="00A80CF8" w:rsidP="00AC19D2">
            <w:pPr>
              <w:rPr>
                <w:bCs/>
                <w:sz w:val="22"/>
                <w:szCs w:val="22"/>
              </w:rPr>
            </w:pPr>
            <w:r w:rsidRPr="00E626A6">
              <w:rPr>
                <w:bCs/>
                <w:sz w:val="22"/>
                <w:szCs w:val="22"/>
              </w:rPr>
              <w:t>LT/1/14/3585/017 – N98</w:t>
            </w:r>
          </w:p>
          <w:p w14:paraId="46EDB6AA" w14:textId="77777777" w:rsidR="00A80CF8" w:rsidRPr="00E626A6" w:rsidRDefault="00A80CF8" w:rsidP="00AC19D2">
            <w:pPr>
              <w:tabs>
                <w:tab w:val="left" w:pos="709"/>
              </w:tabs>
              <w:spacing w:line="260" w:lineRule="exact"/>
              <w:rPr>
                <w:snapToGrid w:val="0"/>
                <w:sz w:val="22"/>
                <w:szCs w:val="22"/>
                <w:lang w:eastAsia="en-US"/>
              </w:rPr>
            </w:pPr>
            <w:r w:rsidRPr="00E626A6">
              <w:rPr>
                <w:bCs/>
                <w:sz w:val="22"/>
                <w:szCs w:val="22"/>
              </w:rPr>
              <w:t>LT/1/14/3585/018 – N100</w:t>
            </w:r>
          </w:p>
        </w:tc>
      </w:tr>
    </w:tbl>
    <w:p w14:paraId="23C27C7A" w14:textId="77777777" w:rsidR="00A80CF8" w:rsidRDefault="00A80CF8" w:rsidP="00A80CF8">
      <w:pPr>
        <w:tabs>
          <w:tab w:val="left" w:pos="709"/>
        </w:tabs>
        <w:spacing w:line="260" w:lineRule="exact"/>
        <w:rPr>
          <w:snapToGrid w:val="0"/>
          <w:szCs w:val="22"/>
          <w:lang w:eastAsia="en-US"/>
        </w:rPr>
      </w:pPr>
    </w:p>
    <w:p w14:paraId="772E29A9" w14:textId="77777777" w:rsidR="00A80CF8" w:rsidRPr="00D724AC" w:rsidRDefault="00A80CF8" w:rsidP="00A80CF8">
      <w:pPr>
        <w:rPr>
          <w:snapToGrid w:val="0"/>
          <w:szCs w:val="22"/>
          <w:lang w:eastAsia="en-US"/>
        </w:rPr>
      </w:pPr>
    </w:p>
    <w:p w14:paraId="41013454" w14:textId="77777777" w:rsidR="00A80CF8" w:rsidRPr="00D724AC" w:rsidRDefault="00A80CF8" w:rsidP="00A80CF8">
      <w:pPr>
        <w:keepNext/>
        <w:keepLines/>
        <w:tabs>
          <w:tab w:val="left" w:pos="567"/>
        </w:tabs>
        <w:outlineLvl w:val="2"/>
        <w:rPr>
          <w:b/>
          <w:bCs/>
          <w:snapToGrid w:val="0"/>
          <w:szCs w:val="22"/>
          <w:lang w:eastAsia="x-none"/>
        </w:rPr>
      </w:pPr>
      <w:r w:rsidRPr="00D724AC">
        <w:rPr>
          <w:b/>
          <w:bCs/>
          <w:snapToGrid w:val="0"/>
          <w:szCs w:val="22"/>
          <w:lang w:eastAsia="x-none"/>
        </w:rPr>
        <w:lastRenderedPageBreak/>
        <w:t>9.</w:t>
      </w:r>
      <w:r w:rsidRPr="00D724AC">
        <w:rPr>
          <w:b/>
          <w:bCs/>
          <w:snapToGrid w:val="0"/>
          <w:szCs w:val="22"/>
          <w:lang w:eastAsia="x-none"/>
        </w:rPr>
        <w:tab/>
        <w:t>REGISTRAVIMO / PERREGISTRAVIMO DATA</w:t>
      </w:r>
    </w:p>
    <w:p w14:paraId="66413EC6" w14:textId="77777777" w:rsidR="00A80CF8" w:rsidRPr="00D724AC" w:rsidRDefault="00A80CF8" w:rsidP="00A80CF8">
      <w:pPr>
        <w:rPr>
          <w:snapToGrid w:val="0"/>
          <w:szCs w:val="22"/>
          <w:lang w:eastAsia="en-US"/>
        </w:rPr>
      </w:pPr>
    </w:p>
    <w:p w14:paraId="70121DF9" w14:textId="77777777" w:rsidR="00A80CF8" w:rsidRPr="00D724AC" w:rsidRDefault="00A80CF8" w:rsidP="00A80CF8">
      <w:pPr>
        <w:suppressLineNumbers/>
        <w:tabs>
          <w:tab w:val="left" w:pos="567"/>
        </w:tabs>
        <w:rPr>
          <w:snapToGrid w:val="0"/>
          <w:szCs w:val="22"/>
        </w:rPr>
      </w:pPr>
      <w:r w:rsidRPr="00D724AC">
        <w:rPr>
          <w:snapToGrid w:val="0"/>
          <w:szCs w:val="22"/>
        </w:rPr>
        <w:t>Registravimo data 2014 m. liepos 1 d.</w:t>
      </w:r>
    </w:p>
    <w:p w14:paraId="0214D6D1" w14:textId="77777777" w:rsidR="00A80CF8" w:rsidRDefault="00A80CF8" w:rsidP="00A80CF8">
      <w:pPr>
        <w:rPr>
          <w:snapToGrid w:val="0"/>
          <w:szCs w:val="22"/>
          <w:lang w:eastAsia="en-US"/>
        </w:rPr>
      </w:pPr>
      <w:r>
        <w:rPr>
          <w:snapToGrid w:val="0"/>
          <w:szCs w:val="22"/>
          <w:lang w:eastAsia="en-US"/>
        </w:rPr>
        <w:t>Paskutinio perregistravimo data 2019 m. gruodžio 23 d.</w:t>
      </w:r>
    </w:p>
    <w:p w14:paraId="7481BF0E" w14:textId="77777777" w:rsidR="00A80CF8" w:rsidRPr="00D724AC" w:rsidRDefault="00A80CF8" w:rsidP="00A80CF8">
      <w:pPr>
        <w:rPr>
          <w:snapToGrid w:val="0"/>
          <w:szCs w:val="22"/>
          <w:lang w:eastAsia="en-US"/>
        </w:rPr>
      </w:pPr>
    </w:p>
    <w:p w14:paraId="308B5F98" w14:textId="77777777" w:rsidR="00A80CF8" w:rsidRPr="00D724AC" w:rsidRDefault="00A80CF8" w:rsidP="00A80CF8">
      <w:pPr>
        <w:rPr>
          <w:snapToGrid w:val="0"/>
          <w:szCs w:val="22"/>
          <w:lang w:eastAsia="en-US"/>
        </w:rPr>
      </w:pPr>
    </w:p>
    <w:p w14:paraId="6DDF1D29" w14:textId="77777777" w:rsidR="00A80CF8" w:rsidRPr="00D724AC" w:rsidRDefault="00A80CF8" w:rsidP="00A80CF8">
      <w:pPr>
        <w:keepNext/>
        <w:keepLines/>
        <w:tabs>
          <w:tab w:val="left" w:pos="567"/>
        </w:tabs>
        <w:outlineLvl w:val="2"/>
        <w:rPr>
          <w:b/>
          <w:bCs/>
          <w:snapToGrid w:val="0"/>
          <w:szCs w:val="22"/>
          <w:lang w:eastAsia="x-none"/>
        </w:rPr>
      </w:pPr>
      <w:r w:rsidRPr="00D724AC">
        <w:rPr>
          <w:b/>
          <w:bCs/>
          <w:snapToGrid w:val="0"/>
          <w:szCs w:val="22"/>
          <w:lang w:eastAsia="x-none"/>
        </w:rPr>
        <w:t>10.</w:t>
      </w:r>
      <w:r w:rsidRPr="00D724AC">
        <w:rPr>
          <w:b/>
          <w:bCs/>
          <w:snapToGrid w:val="0"/>
          <w:szCs w:val="22"/>
          <w:lang w:eastAsia="x-none"/>
        </w:rPr>
        <w:tab/>
        <w:t>TEKSTO PERŽIŪROS DATA</w:t>
      </w:r>
    </w:p>
    <w:p w14:paraId="236EB105" w14:textId="77777777" w:rsidR="00A80CF8" w:rsidRPr="00D724AC" w:rsidRDefault="00A80CF8" w:rsidP="00A80CF8">
      <w:pPr>
        <w:rPr>
          <w:snapToGrid w:val="0"/>
          <w:szCs w:val="22"/>
          <w:lang w:eastAsia="en-US"/>
        </w:rPr>
      </w:pPr>
    </w:p>
    <w:p w14:paraId="6889E1DC" w14:textId="1B8C0048" w:rsidR="00A80CF8" w:rsidRDefault="00996CA4" w:rsidP="00A80CF8">
      <w:pPr>
        <w:rPr>
          <w:snapToGrid w:val="0"/>
          <w:szCs w:val="22"/>
          <w:lang w:eastAsia="en-US"/>
        </w:rPr>
      </w:pPr>
      <w:r>
        <w:rPr>
          <w:snapToGrid w:val="0"/>
          <w:szCs w:val="22"/>
          <w:lang w:eastAsia="en-US"/>
        </w:rPr>
        <w:t>2022 m.</w:t>
      </w:r>
      <w:r w:rsidR="004479C1">
        <w:rPr>
          <w:snapToGrid w:val="0"/>
          <w:szCs w:val="22"/>
          <w:lang w:eastAsia="en-US"/>
        </w:rPr>
        <w:t xml:space="preserve"> </w:t>
      </w:r>
      <w:r w:rsidR="002334FA">
        <w:rPr>
          <w:snapToGrid w:val="0"/>
          <w:szCs w:val="22"/>
          <w:lang w:eastAsia="en-US"/>
        </w:rPr>
        <w:t>kovo 24</w:t>
      </w:r>
      <w:r w:rsidR="004479C1">
        <w:rPr>
          <w:snapToGrid w:val="0"/>
          <w:szCs w:val="22"/>
          <w:lang w:eastAsia="en-US"/>
        </w:rPr>
        <w:t xml:space="preserve"> d.</w:t>
      </w:r>
    </w:p>
    <w:p w14:paraId="0CAA94FC" w14:textId="77777777" w:rsidR="00A80CF8" w:rsidRDefault="00A80CF8" w:rsidP="00A80CF8">
      <w:pPr>
        <w:rPr>
          <w:snapToGrid w:val="0"/>
          <w:szCs w:val="22"/>
          <w:lang w:eastAsia="en-US"/>
        </w:rPr>
      </w:pPr>
    </w:p>
    <w:p w14:paraId="072235C8" w14:textId="77777777" w:rsidR="00A80CF8" w:rsidRPr="00D724AC" w:rsidRDefault="00A80CF8" w:rsidP="00A80CF8">
      <w:pPr>
        <w:rPr>
          <w:snapToGrid w:val="0"/>
          <w:szCs w:val="22"/>
          <w:lang w:eastAsia="en-US"/>
        </w:rPr>
      </w:pPr>
    </w:p>
    <w:p w14:paraId="4675EFE7" w14:textId="77777777" w:rsidR="00A80CF8" w:rsidRPr="00D724AC" w:rsidRDefault="00A80CF8" w:rsidP="00A80CF8">
      <w:pPr>
        <w:tabs>
          <w:tab w:val="left" w:pos="5954"/>
          <w:tab w:val="left" w:pos="6237"/>
          <w:tab w:val="left" w:pos="6663"/>
          <w:tab w:val="left" w:pos="6946"/>
        </w:tabs>
        <w:rPr>
          <w:rFonts w:eastAsia="SimSun"/>
          <w:szCs w:val="22"/>
          <w:lang w:eastAsia="en-US"/>
        </w:rPr>
      </w:pPr>
      <w:r w:rsidRPr="00D724AC">
        <w:rPr>
          <w:rFonts w:eastAsia="SimSun"/>
          <w:szCs w:val="22"/>
          <w:lang w:eastAsia="en-US"/>
        </w:rPr>
        <w:t>Išsami informacija apie šį vaistinį preparatą pateikiama Valstybinės vaistų kontrolės tarnybos prie Lietuvos Respubl</w:t>
      </w:r>
      <w:bookmarkStart w:id="1" w:name="_GoBack"/>
      <w:bookmarkEnd w:id="1"/>
      <w:r w:rsidRPr="00D724AC">
        <w:rPr>
          <w:rFonts w:eastAsia="SimSun"/>
          <w:szCs w:val="22"/>
          <w:lang w:eastAsia="en-US"/>
        </w:rPr>
        <w:t>ikos sveikatos apsaugos ministerijos tinklalapyje</w:t>
      </w:r>
      <w:r w:rsidRPr="00D724AC">
        <w:rPr>
          <w:rFonts w:eastAsia="SimSun"/>
          <w:i/>
          <w:szCs w:val="22"/>
          <w:lang w:eastAsia="en-US"/>
        </w:rPr>
        <w:t xml:space="preserve"> </w:t>
      </w:r>
      <w:hyperlink r:id="rId9" w:history="1">
        <w:r w:rsidRPr="00D724AC">
          <w:rPr>
            <w:rFonts w:eastAsia="SimSun"/>
            <w:color w:val="0000FF"/>
            <w:szCs w:val="22"/>
            <w:u w:val="single"/>
            <w:lang w:eastAsia="en-US"/>
          </w:rPr>
          <w:t>http://www.vvkt.lt</w:t>
        </w:r>
      </w:hyperlink>
      <w:r w:rsidRPr="00D724AC">
        <w:rPr>
          <w:rFonts w:eastAsia="SimSun"/>
          <w:szCs w:val="22"/>
          <w:lang w:eastAsia="en-US"/>
        </w:rPr>
        <w:br w:type="page"/>
      </w:r>
    </w:p>
    <w:p w14:paraId="35815E3D" w14:textId="77777777" w:rsidR="00A80CF8" w:rsidRPr="00D724AC" w:rsidRDefault="00A80CF8" w:rsidP="00A80CF8">
      <w:pPr>
        <w:tabs>
          <w:tab w:val="left" w:pos="567"/>
        </w:tabs>
        <w:spacing w:line="260" w:lineRule="exact"/>
        <w:rPr>
          <w:snapToGrid w:val="0"/>
          <w:szCs w:val="22"/>
          <w:lang w:eastAsia="en-US"/>
        </w:rPr>
      </w:pPr>
    </w:p>
    <w:p w14:paraId="3F092486" w14:textId="77777777" w:rsidR="00A80CF8" w:rsidRPr="00D724AC" w:rsidRDefault="00A80CF8" w:rsidP="00A80CF8">
      <w:pPr>
        <w:tabs>
          <w:tab w:val="left" w:pos="567"/>
        </w:tabs>
        <w:spacing w:line="260" w:lineRule="exact"/>
        <w:rPr>
          <w:snapToGrid w:val="0"/>
          <w:szCs w:val="22"/>
          <w:lang w:eastAsia="en-US"/>
        </w:rPr>
      </w:pPr>
    </w:p>
    <w:p w14:paraId="5CCB04C4" w14:textId="77777777" w:rsidR="00A80CF8" w:rsidRPr="00D724AC" w:rsidRDefault="00A80CF8" w:rsidP="00A80CF8">
      <w:pPr>
        <w:tabs>
          <w:tab w:val="left" w:pos="567"/>
        </w:tabs>
        <w:spacing w:line="260" w:lineRule="exact"/>
        <w:rPr>
          <w:snapToGrid w:val="0"/>
          <w:szCs w:val="22"/>
          <w:lang w:eastAsia="en-US"/>
        </w:rPr>
      </w:pPr>
    </w:p>
    <w:p w14:paraId="7382B61B" w14:textId="77777777" w:rsidR="00A80CF8" w:rsidRPr="00D724AC" w:rsidRDefault="00A80CF8" w:rsidP="00A80CF8">
      <w:pPr>
        <w:tabs>
          <w:tab w:val="left" w:pos="567"/>
        </w:tabs>
        <w:spacing w:line="260" w:lineRule="exact"/>
        <w:rPr>
          <w:snapToGrid w:val="0"/>
          <w:szCs w:val="22"/>
          <w:lang w:eastAsia="en-US"/>
        </w:rPr>
      </w:pPr>
    </w:p>
    <w:p w14:paraId="78912104" w14:textId="77777777" w:rsidR="00A80CF8" w:rsidRPr="00D724AC" w:rsidRDefault="00A80CF8" w:rsidP="00A80CF8">
      <w:pPr>
        <w:tabs>
          <w:tab w:val="left" w:pos="567"/>
        </w:tabs>
        <w:spacing w:line="260" w:lineRule="exact"/>
        <w:rPr>
          <w:snapToGrid w:val="0"/>
          <w:szCs w:val="22"/>
          <w:lang w:eastAsia="en-US"/>
        </w:rPr>
      </w:pPr>
    </w:p>
    <w:p w14:paraId="72AC965A" w14:textId="77777777" w:rsidR="00A80CF8" w:rsidRPr="00D724AC" w:rsidRDefault="00A80CF8" w:rsidP="00A80CF8">
      <w:pPr>
        <w:tabs>
          <w:tab w:val="left" w:pos="567"/>
        </w:tabs>
        <w:spacing w:line="260" w:lineRule="exact"/>
        <w:rPr>
          <w:snapToGrid w:val="0"/>
          <w:szCs w:val="22"/>
          <w:lang w:eastAsia="en-US"/>
        </w:rPr>
      </w:pPr>
    </w:p>
    <w:p w14:paraId="6210FD4B" w14:textId="77777777" w:rsidR="00A80CF8" w:rsidRPr="00D724AC" w:rsidRDefault="00A80CF8" w:rsidP="00A80CF8">
      <w:pPr>
        <w:tabs>
          <w:tab w:val="left" w:pos="567"/>
        </w:tabs>
        <w:spacing w:line="260" w:lineRule="exact"/>
        <w:rPr>
          <w:snapToGrid w:val="0"/>
          <w:szCs w:val="22"/>
          <w:lang w:eastAsia="en-US"/>
        </w:rPr>
      </w:pPr>
    </w:p>
    <w:p w14:paraId="40D2172A" w14:textId="77777777" w:rsidR="00A80CF8" w:rsidRPr="00D724AC" w:rsidRDefault="00A80CF8" w:rsidP="00A80CF8">
      <w:pPr>
        <w:tabs>
          <w:tab w:val="left" w:pos="567"/>
        </w:tabs>
        <w:spacing w:line="260" w:lineRule="exact"/>
        <w:rPr>
          <w:snapToGrid w:val="0"/>
          <w:szCs w:val="22"/>
          <w:lang w:eastAsia="en-US"/>
        </w:rPr>
      </w:pPr>
    </w:p>
    <w:p w14:paraId="56CF75D5" w14:textId="77777777" w:rsidR="00A80CF8" w:rsidRPr="00D724AC" w:rsidRDefault="00A80CF8" w:rsidP="00A80CF8">
      <w:pPr>
        <w:tabs>
          <w:tab w:val="left" w:pos="567"/>
        </w:tabs>
        <w:spacing w:line="260" w:lineRule="exact"/>
        <w:rPr>
          <w:snapToGrid w:val="0"/>
          <w:szCs w:val="22"/>
          <w:lang w:eastAsia="en-US"/>
        </w:rPr>
      </w:pPr>
    </w:p>
    <w:p w14:paraId="6FE84278" w14:textId="77777777" w:rsidR="00A80CF8" w:rsidRPr="00D724AC" w:rsidRDefault="00A80CF8" w:rsidP="00A80CF8">
      <w:pPr>
        <w:tabs>
          <w:tab w:val="left" w:pos="567"/>
        </w:tabs>
        <w:spacing w:line="260" w:lineRule="exact"/>
        <w:rPr>
          <w:snapToGrid w:val="0"/>
          <w:szCs w:val="22"/>
          <w:lang w:eastAsia="en-US"/>
        </w:rPr>
      </w:pPr>
    </w:p>
    <w:p w14:paraId="3C4AEA7C" w14:textId="77777777" w:rsidR="00A80CF8" w:rsidRPr="00D724AC" w:rsidRDefault="00A80CF8" w:rsidP="00A80CF8">
      <w:pPr>
        <w:tabs>
          <w:tab w:val="left" w:pos="567"/>
        </w:tabs>
        <w:spacing w:line="260" w:lineRule="exact"/>
        <w:rPr>
          <w:snapToGrid w:val="0"/>
          <w:szCs w:val="22"/>
          <w:lang w:eastAsia="en-US"/>
        </w:rPr>
      </w:pPr>
    </w:p>
    <w:p w14:paraId="21125850" w14:textId="77777777" w:rsidR="00A80CF8" w:rsidRPr="00D724AC" w:rsidRDefault="00A80CF8" w:rsidP="00A80CF8">
      <w:pPr>
        <w:tabs>
          <w:tab w:val="left" w:pos="567"/>
        </w:tabs>
        <w:spacing w:line="260" w:lineRule="exact"/>
        <w:rPr>
          <w:snapToGrid w:val="0"/>
          <w:szCs w:val="22"/>
          <w:lang w:eastAsia="en-US"/>
        </w:rPr>
      </w:pPr>
    </w:p>
    <w:p w14:paraId="57D2B08E" w14:textId="77777777" w:rsidR="00A80CF8" w:rsidRPr="00D724AC" w:rsidRDefault="00A80CF8" w:rsidP="00A80CF8">
      <w:pPr>
        <w:tabs>
          <w:tab w:val="left" w:pos="567"/>
        </w:tabs>
        <w:spacing w:line="260" w:lineRule="exact"/>
        <w:rPr>
          <w:snapToGrid w:val="0"/>
          <w:szCs w:val="22"/>
          <w:lang w:eastAsia="en-US"/>
        </w:rPr>
      </w:pPr>
    </w:p>
    <w:p w14:paraId="48CC19F7" w14:textId="77777777" w:rsidR="00A80CF8" w:rsidRPr="00D724AC" w:rsidRDefault="00A80CF8" w:rsidP="00A80CF8">
      <w:pPr>
        <w:tabs>
          <w:tab w:val="left" w:pos="567"/>
        </w:tabs>
        <w:spacing w:line="260" w:lineRule="exact"/>
        <w:rPr>
          <w:snapToGrid w:val="0"/>
          <w:szCs w:val="22"/>
          <w:lang w:eastAsia="en-US"/>
        </w:rPr>
      </w:pPr>
    </w:p>
    <w:p w14:paraId="590D0586" w14:textId="77777777" w:rsidR="00A80CF8" w:rsidRPr="00D724AC" w:rsidRDefault="00A80CF8" w:rsidP="00A80CF8">
      <w:pPr>
        <w:tabs>
          <w:tab w:val="left" w:pos="567"/>
        </w:tabs>
        <w:spacing w:line="260" w:lineRule="exact"/>
        <w:rPr>
          <w:snapToGrid w:val="0"/>
          <w:szCs w:val="22"/>
          <w:lang w:eastAsia="en-US"/>
        </w:rPr>
      </w:pPr>
    </w:p>
    <w:p w14:paraId="6399DBFD" w14:textId="77777777" w:rsidR="00A80CF8" w:rsidRPr="00D724AC" w:rsidRDefault="00A80CF8" w:rsidP="00A80CF8">
      <w:pPr>
        <w:tabs>
          <w:tab w:val="left" w:pos="567"/>
        </w:tabs>
        <w:spacing w:line="260" w:lineRule="exact"/>
        <w:jc w:val="center"/>
        <w:rPr>
          <w:b/>
          <w:snapToGrid w:val="0"/>
          <w:szCs w:val="22"/>
          <w:lang w:eastAsia="en-US"/>
        </w:rPr>
      </w:pPr>
    </w:p>
    <w:p w14:paraId="209971D9" w14:textId="77777777" w:rsidR="00A80CF8" w:rsidRPr="00D724AC" w:rsidRDefault="00A80CF8" w:rsidP="00A80CF8">
      <w:pPr>
        <w:tabs>
          <w:tab w:val="left" w:pos="567"/>
        </w:tabs>
        <w:spacing w:line="260" w:lineRule="exact"/>
        <w:jc w:val="center"/>
        <w:rPr>
          <w:b/>
          <w:snapToGrid w:val="0"/>
          <w:szCs w:val="22"/>
          <w:lang w:eastAsia="en-US"/>
        </w:rPr>
      </w:pPr>
    </w:p>
    <w:p w14:paraId="39B14BC1" w14:textId="77777777" w:rsidR="00A80CF8" w:rsidRPr="00D724AC" w:rsidRDefault="00A80CF8" w:rsidP="00A80CF8">
      <w:pPr>
        <w:tabs>
          <w:tab w:val="left" w:pos="567"/>
        </w:tabs>
        <w:spacing w:line="260" w:lineRule="exact"/>
        <w:jc w:val="center"/>
        <w:rPr>
          <w:b/>
          <w:snapToGrid w:val="0"/>
          <w:szCs w:val="22"/>
          <w:lang w:eastAsia="en-US"/>
        </w:rPr>
      </w:pPr>
    </w:p>
    <w:p w14:paraId="61B3EE3F" w14:textId="77777777" w:rsidR="00A80CF8" w:rsidRPr="00D724AC" w:rsidRDefault="00A80CF8" w:rsidP="00A80CF8">
      <w:pPr>
        <w:tabs>
          <w:tab w:val="left" w:pos="567"/>
        </w:tabs>
        <w:spacing w:line="260" w:lineRule="exact"/>
        <w:jc w:val="center"/>
        <w:rPr>
          <w:b/>
          <w:snapToGrid w:val="0"/>
          <w:szCs w:val="22"/>
          <w:lang w:eastAsia="en-US"/>
        </w:rPr>
      </w:pPr>
    </w:p>
    <w:p w14:paraId="4EC7DD7F" w14:textId="77777777" w:rsidR="00A80CF8" w:rsidRPr="00D724AC" w:rsidRDefault="00A80CF8" w:rsidP="00A80CF8">
      <w:pPr>
        <w:tabs>
          <w:tab w:val="left" w:pos="567"/>
        </w:tabs>
        <w:spacing w:line="260" w:lineRule="exact"/>
        <w:jc w:val="center"/>
        <w:rPr>
          <w:b/>
          <w:snapToGrid w:val="0"/>
          <w:szCs w:val="22"/>
          <w:lang w:eastAsia="en-US"/>
        </w:rPr>
      </w:pPr>
    </w:p>
    <w:p w14:paraId="64893F94" w14:textId="77777777" w:rsidR="00A80CF8" w:rsidRPr="00D724AC" w:rsidRDefault="00A80CF8" w:rsidP="00A80CF8">
      <w:pPr>
        <w:tabs>
          <w:tab w:val="left" w:pos="567"/>
        </w:tabs>
        <w:spacing w:line="260" w:lineRule="exact"/>
        <w:jc w:val="center"/>
        <w:rPr>
          <w:b/>
          <w:snapToGrid w:val="0"/>
          <w:szCs w:val="22"/>
          <w:lang w:eastAsia="en-US"/>
        </w:rPr>
      </w:pPr>
    </w:p>
    <w:p w14:paraId="005906EF" w14:textId="77777777" w:rsidR="00A80CF8" w:rsidRPr="00D724AC" w:rsidRDefault="00A80CF8" w:rsidP="00A80CF8">
      <w:pPr>
        <w:tabs>
          <w:tab w:val="left" w:pos="567"/>
        </w:tabs>
        <w:spacing w:line="260" w:lineRule="exact"/>
        <w:jc w:val="center"/>
        <w:rPr>
          <w:b/>
          <w:snapToGrid w:val="0"/>
          <w:szCs w:val="22"/>
          <w:lang w:eastAsia="en-US"/>
        </w:rPr>
      </w:pPr>
    </w:p>
    <w:p w14:paraId="726B9D18" w14:textId="77777777" w:rsidR="00A80CF8" w:rsidRPr="00D724AC" w:rsidRDefault="00A80CF8" w:rsidP="00A80CF8">
      <w:pPr>
        <w:tabs>
          <w:tab w:val="left" w:pos="567"/>
        </w:tabs>
        <w:spacing w:line="260" w:lineRule="exact"/>
        <w:jc w:val="center"/>
        <w:rPr>
          <w:b/>
          <w:snapToGrid w:val="0"/>
          <w:szCs w:val="22"/>
          <w:lang w:eastAsia="en-US"/>
        </w:rPr>
      </w:pPr>
    </w:p>
    <w:p w14:paraId="25768A3F" w14:textId="77777777" w:rsidR="00A80CF8" w:rsidRPr="00D724AC" w:rsidRDefault="00A80CF8" w:rsidP="00A80CF8">
      <w:pPr>
        <w:tabs>
          <w:tab w:val="left" w:pos="567"/>
        </w:tabs>
        <w:spacing w:line="260" w:lineRule="exact"/>
        <w:jc w:val="center"/>
        <w:rPr>
          <w:b/>
          <w:snapToGrid w:val="0"/>
          <w:szCs w:val="22"/>
          <w:lang w:eastAsia="en-US"/>
        </w:rPr>
      </w:pPr>
      <w:r w:rsidRPr="00D724AC">
        <w:rPr>
          <w:b/>
          <w:snapToGrid w:val="0"/>
          <w:szCs w:val="22"/>
          <w:lang w:eastAsia="en-US"/>
        </w:rPr>
        <w:t>II PRIEDAS</w:t>
      </w:r>
    </w:p>
    <w:p w14:paraId="4FA263BC" w14:textId="77777777" w:rsidR="00A80CF8" w:rsidRPr="00D724AC" w:rsidRDefault="00A80CF8" w:rsidP="00A80CF8">
      <w:pPr>
        <w:tabs>
          <w:tab w:val="left" w:pos="567"/>
        </w:tabs>
        <w:spacing w:line="260" w:lineRule="exact"/>
        <w:ind w:left="1701" w:right="1416" w:hanging="567"/>
        <w:rPr>
          <w:snapToGrid w:val="0"/>
          <w:szCs w:val="22"/>
          <w:lang w:eastAsia="en-US"/>
        </w:rPr>
      </w:pPr>
    </w:p>
    <w:p w14:paraId="23D8FCC3" w14:textId="77777777" w:rsidR="00A80CF8" w:rsidRPr="00D724AC" w:rsidRDefault="00A80CF8" w:rsidP="00A80CF8">
      <w:pPr>
        <w:tabs>
          <w:tab w:val="left" w:pos="567"/>
        </w:tabs>
        <w:spacing w:line="260" w:lineRule="exact"/>
        <w:jc w:val="center"/>
        <w:rPr>
          <w:i/>
          <w:snapToGrid w:val="0"/>
          <w:szCs w:val="22"/>
          <w:lang w:eastAsia="en-US"/>
        </w:rPr>
      </w:pPr>
      <w:r w:rsidRPr="00D724AC">
        <w:rPr>
          <w:b/>
          <w:snapToGrid w:val="0"/>
          <w:szCs w:val="22"/>
          <w:lang w:eastAsia="en-US"/>
        </w:rPr>
        <w:t>REGISTRACIJOS SĄLYGOS</w:t>
      </w:r>
    </w:p>
    <w:p w14:paraId="56659A08" w14:textId="77777777" w:rsidR="00A80CF8" w:rsidRPr="00D724AC" w:rsidRDefault="00A80CF8" w:rsidP="00A80CF8">
      <w:pPr>
        <w:tabs>
          <w:tab w:val="left" w:pos="567"/>
        </w:tabs>
        <w:spacing w:line="260" w:lineRule="exact"/>
        <w:rPr>
          <w:snapToGrid w:val="0"/>
          <w:szCs w:val="22"/>
          <w:lang w:eastAsia="en-US"/>
        </w:rPr>
      </w:pPr>
    </w:p>
    <w:p w14:paraId="12D312E7" w14:textId="77777777" w:rsidR="00A80CF8" w:rsidRPr="00D724AC" w:rsidRDefault="00A80CF8" w:rsidP="00A80CF8">
      <w:pPr>
        <w:tabs>
          <w:tab w:val="left" w:pos="1701"/>
        </w:tabs>
        <w:spacing w:line="260" w:lineRule="exact"/>
        <w:ind w:left="1701" w:right="567" w:hanging="567"/>
        <w:rPr>
          <w:b/>
          <w:snapToGrid w:val="0"/>
          <w:szCs w:val="22"/>
          <w:lang w:eastAsia="en-US"/>
        </w:rPr>
      </w:pPr>
      <w:r w:rsidRPr="00D724AC">
        <w:rPr>
          <w:b/>
          <w:snapToGrid w:val="0"/>
          <w:szCs w:val="22"/>
          <w:lang w:eastAsia="en-US"/>
        </w:rPr>
        <w:t>A.</w:t>
      </w:r>
      <w:r w:rsidRPr="00D724AC">
        <w:rPr>
          <w:b/>
          <w:snapToGrid w:val="0"/>
          <w:szCs w:val="22"/>
          <w:lang w:eastAsia="en-US"/>
        </w:rPr>
        <w:tab/>
        <w:t>GAMINTOJAS (-AI), ATSAKINGAS (-I) UŽ SERIJŲ IŠLEIDIMĄ</w:t>
      </w:r>
    </w:p>
    <w:p w14:paraId="4688F445" w14:textId="77777777" w:rsidR="00A80CF8" w:rsidRPr="00D724AC" w:rsidRDefault="00A80CF8" w:rsidP="00A80CF8">
      <w:pPr>
        <w:tabs>
          <w:tab w:val="left" w:pos="1701"/>
        </w:tabs>
        <w:spacing w:line="260" w:lineRule="exact"/>
        <w:ind w:left="567" w:right="567" w:hanging="567"/>
        <w:rPr>
          <w:snapToGrid w:val="0"/>
          <w:szCs w:val="22"/>
          <w:lang w:eastAsia="en-US"/>
        </w:rPr>
      </w:pPr>
    </w:p>
    <w:p w14:paraId="0F0FD86E" w14:textId="77777777" w:rsidR="00A80CF8" w:rsidRPr="00D724AC" w:rsidRDefault="00A80CF8" w:rsidP="00A80CF8">
      <w:pPr>
        <w:tabs>
          <w:tab w:val="left" w:pos="1701"/>
        </w:tabs>
        <w:spacing w:line="260" w:lineRule="exact"/>
        <w:ind w:left="1701" w:right="567" w:hanging="567"/>
        <w:rPr>
          <w:b/>
          <w:snapToGrid w:val="0"/>
          <w:szCs w:val="22"/>
          <w:lang w:eastAsia="en-US"/>
        </w:rPr>
      </w:pPr>
      <w:r w:rsidRPr="00D724AC">
        <w:rPr>
          <w:b/>
          <w:snapToGrid w:val="0"/>
          <w:szCs w:val="22"/>
          <w:lang w:eastAsia="en-US"/>
        </w:rPr>
        <w:t>B.</w:t>
      </w:r>
      <w:r w:rsidRPr="00D724AC">
        <w:rPr>
          <w:b/>
          <w:snapToGrid w:val="0"/>
          <w:szCs w:val="22"/>
          <w:lang w:eastAsia="en-US"/>
        </w:rPr>
        <w:tab/>
        <w:t>TIEKIMO IR VARTOJIMO SĄLYGOS AR APRIBOJIMAI</w:t>
      </w:r>
    </w:p>
    <w:p w14:paraId="6DEEB3DF" w14:textId="77777777" w:rsidR="00A80CF8" w:rsidRPr="00D724AC" w:rsidRDefault="00A80CF8" w:rsidP="00A80CF8">
      <w:pPr>
        <w:tabs>
          <w:tab w:val="left" w:pos="1701"/>
        </w:tabs>
        <w:spacing w:line="260" w:lineRule="exact"/>
        <w:ind w:left="567" w:right="567" w:hanging="567"/>
        <w:rPr>
          <w:snapToGrid w:val="0"/>
          <w:szCs w:val="22"/>
          <w:lang w:eastAsia="en-US"/>
        </w:rPr>
      </w:pPr>
    </w:p>
    <w:p w14:paraId="79776FE3" w14:textId="77777777" w:rsidR="00A80CF8" w:rsidRPr="00D724AC" w:rsidRDefault="00A80CF8" w:rsidP="00A80CF8">
      <w:pPr>
        <w:tabs>
          <w:tab w:val="left" w:pos="1701"/>
        </w:tabs>
        <w:spacing w:line="260" w:lineRule="exact"/>
        <w:ind w:left="1701" w:right="567" w:hanging="567"/>
        <w:rPr>
          <w:b/>
          <w:snapToGrid w:val="0"/>
          <w:szCs w:val="22"/>
          <w:lang w:eastAsia="en-US"/>
        </w:rPr>
      </w:pPr>
    </w:p>
    <w:p w14:paraId="760C5DA9" w14:textId="77777777" w:rsidR="00A80CF8" w:rsidRPr="00D724AC" w:rsidRDefault="00A80CF8" w:rsidP="00A80CF8">
      <w:pPr>
        <w:tabs>
          <w:tab w:val="left" w:pos="567"/>
        </w:tabs>
        <w:spacing w:line="260" w:lineRule="exact"/>
        <w:ind w:left="567" w:hanging="567"/>
        <w:rPr>
          <w:b/>
          <w:snapToGrid w:val="0"/>
          <w:szCs w:val="22"/>
          <w:lang w:eastAsia="en-US"/>
        </w:rPr>
      </w:pPr>
      <w:r w:rsidRPr="00D724AC">
        <w:rPr>
          <w:snapToGrid w:val="0"/>
          <w:szCs w:val="22"/>
          <w:lang w:eastAsia="en-US"/>
        </w:rPr>
        <w:br w:type="page"/>
      </w:r>
      <w:r w:rsidRPr="00D724AC">
        <w:rPr>
          <w:b/>
          <w:snapToGrid w:val="0"/>
          <w:szCs w:val="22"/>
          <w:lang w:eastAsia="en-US"/>
        </w:rPr>
        <w:lastRenderedPageBreak/>
        <w:t>A.</w:t>
      </w:r>
      <w:r w:rsidRPr="00D724AC">
        <w:rPr>
          <w:b/>
          <w:snapToGrid w:val="0"/>
          <w:szCs w:val="22"/>
          <w:lang w:eastAsia="en-US"/>
        </w:rPr>
        <w:tab/>
        <w:t>GAMINTOJAS (-AI), ATSAKINGAS (-I) UŽ SERIJŲ IŠLEIDIMĄ</w:t>
      </w:r>
    </w:p>
    <w:p w14:paraId="53720285" w14:textId="77777777" w:rsidR="00A80CF8" w:rsidRPr="00D724AC" w:rsidRDefault="00A80CF8" w:rsidP="00A80CF8">
      <w:pPr>
        <w:tabs>
          <w:tab w:val="left" w:pos="567"/>
        </w:tabs>
        <w:spacing w:line="260" w:lineRule="exact"/>
        <w:rPr>
          <w:snapToGrid w:val="0"/>
          <w:szCs w:val="22"/>
          <w:lang w:eastAsia="en-US"/>
        </w:rPr>
      </w:pPr>
    </w:p>
    <w:p w14:paraId="57D79855" w14:textId="77777777" w:rsidR="00A80CF8" w:rsidRPr="00D724AC" w:rsidRDefault="00A80CF8" w:rsidP="00A80CF8">
      <w:pPr>
        <w:tabs>
          <w:tab w:val="left" w:pos="567"/>
        </w:tabs>
        <w:jc w:val="both"/>
        <w:rPr>
          <w:snapToGrid w:val="0"/>
          <w:szCs w:val="22"/>
          <w:lang w:eastAsia="en-US"/>
        </w:rPr>
      </w:pPr>
      <w:r w:rsidRPr="00D724AC">
        <w:rPr>
          <w:snapToGrid w:val="0"/>
          <w:szCs w:val="22"/>
          <w:u w:val="single"/>
          <w:lang w:eastAsia="en-US"/>
        </w:rPr>
        <w:t>Gamintojo (-ų), atsakingo (-ų) už serijų išleidimą, pavadinimas (-ai) ir adresas (-ai)</w:t>
      </w:r>
    </w:p>
    <w:p w14:paraId="04FBE3ED" w14:textId="77777777" w:rsidR="00A80CF8" w:rsidRPr="00D724AC" w:rsidRDefault="00A80CF8" w:rsidP="00A80CF8">
      <w:pPr>
        <w:tabs>
          <w:tab w:val="left" w:pos="567"/>
        </w:tabs>
        <w:spacing w:line="260" w:lineRule="exact"/>
        <w:rPr>
          <w:snapToGrid w:val="0"/>
          <w:szCs w:val="22"/>
          <w:lang w:eastAsia="en-US"/>
        </w:rPr>
      </w:pPr>
    </w:p>
    <w:p w14:paraId="4E63B5EA" w14:textId="77777777" w:rsidR="00A80CF8" w:rsidRPr="00D724AC" w:rsidRDefault="00A80CF8" w:rsidP="00A80CF8">
      <w:pPr>
        <w:tabs>
          <w:tab w:val="left" w:pos="567"/>
        </w:tabs>
        <w:spacing w:line="260" w:lineRule="exact"/>
        <w:rPr>
          <w:snapToGrid w:val="0"/>
          <w:szCs w:val="22"/>
          <w:lang w:eastAsia="en-US"/>
        </w:rPr>
      </w:pPr>
      <w:r w:rsidRPr="00D724AC">
        <w:rPr>
          <w:snapToGrid w:val="0"/>
          <w:szCs w:val="22"/>
          <w:lang w:eastAsia="en-US"/>
        </w:rPr>
        <w:t>Medochemie Ltd – Central Factory</w:t>
      </w:r>
    </w:p>
    <w:p w14:paraId="6246C266" w14:textId="77777777" w:rsidR="00A80CF8" w:rsidRPr="00D724AC" w:rsidRDefault="00A80CF8" w:rsidP="00A80CF8">
      <w:pPr>
        <w:rPr>
          <w:snapToGrid w:val="0"/>
          <w:szCs w:val="22"/>
          <w:lang w:eastAsia="en-US"/>
        </w:rPr>
      </w:pPr>
      <w:r w:rsidRPr="00D724AC">
        <w:rPr>
          <w:snapToGrid w:val="0"/>
          <w:szCs w:val="22"/>
          <w:lang w:eastAsia="en-US"/>
        </w:rPr>
        <w:t>1-10 Constantinoupoleos street</w:t>
      </w:r>
    </w:p>
    <w:p w14:paraId="4F9CAE93" w14:textId="77777777" w:rsidR="00A80CF8" w:rsidRPr="00D724AC" w:rsidRDefault="00A80CF8" w:rsidP="00A80CF8">
      <w:pPr>
        <w:rPr>
          <w:snapToGrid w:val="0"/>
          <w:szCs w:val="22"/>
          <w:lang w:eastAsia="en-US"/>
        </w:rPr>
      </w:pPr>
      <w:r w:rsidRPr="00D724AC">
        <w:rPr>
          <w:snapToGrid w:val="0"/>
          <w:szCs w:val="22"/>
          <w:lang w:eastAsia="en-US"/>
        </w:rPr>
        <w:t>3011 Limassol</w:t>
      </w:r>
    </w:p>
    <w:p w14:paraId="48E23058" w14:textId="77777777" w:rsidR="00A80CF8" w:rsidRPr="00D724AC" w:rsidRDefault="00A80CF8" w:rsidP="00A80CF8">
      <w:pPr>
        <w:rPr>
          <w:snapToGrid w:val="0"/>
          <w:szCs w:val="22"/>
          <w:lang w:eastAsia="en-US"/>
        </w:rPr>
      </w:pPr>
      <w:r w:rsidRPr="00D724AC">
        <w:rPr>
          <w:snapToGrid w:val="0"/>
          <w:szCs w:val="22"/>
          <w:lang w:eastAsia="en-US"/>
        </w:rPr>
        <w:t>Kipras</w:t>
      </w:r>
    </w:p>
    <w:p w14:paraId="28656BDF" w14:textId="77777777" w:rsidR="00A80CF8" w:rsidRPr="00D724AC" w:rsidRDefault="00A80CF8" w:rsidP="00A80CF8">
      <w:pPr>
        <w:tabs>
          <w:tab w:val="left" w:pos="567"/>
        </w:tabs>
        <w:spacing w:line="260" w:lineRule="exact"/>
        <w:rPr>
          <w:snapToGrid w:val="0"/>
          <w:szCs w:val="22"/>
          <w:lang w:eastAsia="en-US"/>
        </w:rPr>
      </w:pPr>
    </w:p>
    <w:p w14:paraId="55E823ED" w14:textId="77777777" w:rsidR="00A80CF8" w:rsidRPr="00690950" w:rsidRDefault="00A80CF8" w:rsidP="00A80CF8">
      <w:pPr>
        <w:tabs>
          <w:tab w:val="left" w:pos="567"/>
        </w:tabs>
        <w:spacing w:line="260" w:lineRule="exact"/>
        <w:rPr>
          <w:snapToGrid w:val="0"/>
          <w:szCs w:val="22"/>
          <w:lang w:eastAsia="en-US"/>
        </w:rPr>
      </w:pPr>
      <w:r w:rsidRPr="00690950">
        <w:rPr>
          <w:snapToGrid w:val="0"/>
          <w:szCs w:val="22"/>
          <w:lang w:eastAsia="en-US"/>
        </w:rPr>
        <w:t>arba</w:t>
      </w:r>
    </w:p>
    <w:p w14:paraId="45B713BD" w14:textId="77777777" w:rsidR="00A80CF8" w:rsidRPr="00690950" w:rsidRDefault="00A80CF8" w:rsidP="00A80CF8">
      <w:pPr>
        <w:tabs>
          <w:tab w:val="left" w:pos="567"/>
        </w:tabs>
        <w:spacing w:line="260" w:lineRule="exact"/>
        <w:rPr>
          <w:snapToGrid w:val="0"/>
          <w:szCs w:val="22"/>
          <w:lang w:eastAsia="en-US"/>
        </w:rPr>
      </w:pPr>
    </w:p>
    <w:p w14:paraId="1B7D0EEE" w14:textId="77777777" w:rsidR="00A80CF8" w:rsidRPr="00690950" w:rsidRDefault="00A80CF8" w:rsidP="00A80CF8">
      <w:pPr>
        <w:tabs>
          <w:tab w:val="left" w:pos="567"/>
        </w:tabs>
        <w:spacing w:line="260" w:lineRule="exact"/>
        <w:rPr>
          <w:snapToGrid w:val="0"/>
          <w:szCs w:val="22"/>
          <w:lang w:val="en-GB" w:eastAsia="en-US"/>
        </w:rPr>
      </w:pPr>
      <w:r w:rsidRPr="00690950">
        <w:rPr>
          <w:snapToGrid w:val="0"/>
          <w:szCs w:val="22"/>
          <w:lang w:val="en-GB" w:eastAsia="en-US"/>
        </w:rPr>
        <w:t>Medochemie Ltd (Factory AZ)</w:t>
      </w:r>
    </w:p>
    <w:p w14:paraId="27B28F10" w14:textId="77777777" w:rsidR="00A80CF8" w:rsidRPr="00690950" w:rsidRDefault="00A80CF8" w:rsidP="00A80CF8">
      <w:pPr>
        <w:tabs>
          <w:tab w:val="left" w:pos="567"/>
        </w:tabs>
        <w:spacing w:line="260" w:lineRule="exact"/>
        <w:rPr>
          <w:snapToGrid w:val="0"/>
          <w:szCs w:val="22"/>
          <w:lang w:val="en-GB" w:eastAsia="en-US"/>
        </w:rPr>
      </w:pPr>
      <w:r w:rsidRPr="00690950">
        <w:rPr>
          <w:snapToGrid w:val="0"/>
          <w:szCs w:val="22"/>
          <w:lang w:val="en-GB" w:eastAsia="en-US"/>
        </w:rPr>
        <w:t>2 Michael Erakleous Street, Agios Athanassios</w:t>
      </w:r>
    </w:p>
    <w:p w14:paraId="0827210C" w14:textId="77777777" w:rsidR="00A80CF8" w:rsidRPr="00690950" w:rsidRDefault="00A80CF8" w:rsidP="00A80CF8">
      <w:pPr>
        <w:tabs>
          <w:tab w:val="left" w:pos="567"/>
        </w:tabs>
        <w:spacing w:line="260" w:lineRule="exact"/>
        <w:rPr>
          <w:snapToGrid w:val="0"/>
          <w:szCs w:val="22"/>
          <w:lang w:val="en-GB" w:eastAsia="en-US"/>
        </w:rPr>
      </w:pPr>
      <w:r w:rsidRPr="00690950">
        <w:rPr>
          <w:snapToGrid w:val="0"/>
          <w:szCs w:val="22"/>
          <w:lang w:val="en-GB" w:eastAsia="en-US"/>
        </w:rPr>
        <w:t>Industrial Area, 4101, Agios Athanassios, Limassol</w:t>
      </w:r>
    </w:p>
    <w:p w14:paraId="602B80BB" w14:textId="77777777" w:rsidR="00A80CF8" w:rsidRPr="00690950" w:rsidRDefault="00A80CF8" w:rsidP="00A80CF8">
      <w:pPr>
        <w:tabs>
          <w:tab w:val="left" w:pos="567"/>
        </w:tabs>
        <w:spacing w:line="260" w:lineRule="exact"/>
        <w:rPr>
          <w:snapToGrid w:val="0"/>
          <w:szCs w:val="22"/>
          <w:lang w:eastAsia="en-US"/>
        </w:rPr>
      </w:pPr>
      <w:r w:rsidRPr="00690950">
        <w:rPr>
          <w:snapToGrid w:val="0"/>
          <w:szCs w:val="22"/>
          <w:lang w:eastAsia="en-US"/>
        </w:rPr>
        <w:t>Kipras</w:t>
      </w:r>
    </w:p>
    <w:p w14:paraId="7FF668AF" w14:textId="77777777" w:rsidR="00A80CF8" w:rsidRPr="00690950" w:rsidRDefault="00A80CF8" w:rsidP="00A80CF8">
      <w:pPr>
        <w:tabs>
          <w:tab w:val="left" w:pos="567"/>
        </w:tabs>
        <w:spacing w:line="260" w:lineRule="exact"/>
        <w:rPr>
          <w:snapToGrid w:val="0"/>
          <w:szCs w:val="22"/>
          <w:lang w:eastAsia="en-US"/>
        </w:rPr>
      </w:pPr>
    </w:p>
    <w:p w14:paraId="2B1B1137" w14:textId="77777777" w:rsidR="00A80CF8" w:rsidRPr="00690950" w:rsidRDefault="00A80CF8" w:rsidP="00A80CF8">
      <w:pPr>
        <w:tabs>
          <w:tab w:val="left" w:pos="567"/>
        </w:tabs>
        <w:spacing w:line="260" w:lineRule="exact"/>
        <w:rPr>
          <w:snapToGrid w:val="0"/>
          <w:szCs w:val="22"/>
          <w:lang w:eastAsia="en-US"/>
        </w:rPr>
      </w:pPr>
      <w:r w:rsidRPr="00690950">
        <w:rPr>
          <w:snapToGrid w:val="0"/>
          <w:szCs w:val="22"/>
          <w:lang w:eastAsia="en-US"/>
        </w:rPr>
        <w:t>Su pakuote pateikiamame lapelyje nurodomas gamintojo, atsakingo už konkrečios serijos išleidimą, pavadinimas ir adresas.</w:t>
      </w:r>
    </w:p>
    <w:p w14:paraId="48702666" w14:textId="77777777" w:rsidR="00A80CF8" w:rsidRDefault="00A80CF8" w:rsidP="00A80CF8">
      <w:pPr>
        <w:tabs>
          <w:tab w:val="left" w:pos="567"/>
        </w:tabs>
        <w:spacing w:line="260" w:lineRule="exact"/>
        <w:rPr>
          <w:snapToGrid w:val="0"/>
          <w:szCs w:val="22"/>
          <w:lang w:eastAsia="en-US"/>
        </w:rPr>
      </w:pPr>
    </w:p>
    <w:p w14:paraId="117DF278" w14:textId="77777777" w:rsidR="00A80CF8" w:rsidRPr="00D724AC" w:rsidRDefault="00A80CF8" w:rsidP="00A80CF8">
      <w:pPr>
        <w:tabs>
          <w:tab w:val="left" w:pos="567"/>
        </w:tabs>
        <w:spacing w:line="260" w:lineRule="exact"/>
        <w:rPr>
          <w:snapToGrid w:val="0"/>
          <w:szCs w:val="22"/>
          <w:lang w:eastAsia="en-US"/>
        </w:rPr>
      </w:pPr>
    </w:p>
    <w:p w14:paraId="27CBB026" w14:textId="77777777" w:rsidR="00A80CF8" w:rsidRPr="00D724AC" w:rsidRDefault="00A80CF8" w:rsidP="00A80CF8">
      <w:pPr>
        <w:tabs>
          <w:tab w:val="left" w:pos="567"/>
        </w:tabs>
        <w:ind w:left="567" w:hanging="567"/>
        <w:rPr>
          <w:snapToGrid w:val="0"/>
          <w:szCs w:val="22"/>
          <w:lang w:eastAsia="en-US"/>
        </w:rPr>
      </w:pPr>
      <w:r w:rsidRPr="00D724AC">
        <w:rPr>
          <w:b/>
          <w:snapToGrid w:val="0"/>
          <w:szCs w:val="22"/>
          <w:lang w:eastAsia="en-US"/>
        </w:rPr>
        <w:t>B.</w:t>
      </w:r>
      <w:r w:rsidRPr="00D724AC">
        <w:rPr>
          <w:b/>
          <w:snapToGrid w:val="0"/>
          <w:szCs w:val="22"/>
          <w:lang w:eastAsia="en-US"/>
        </w:rPr>
        <w:tab/>
        <w:t>TIEKIMO IR VARTOJIMO SĄLYGOS AR APRIBOJIMAI</w:t>
      </w:r>
    </w:p>
    <w:p w14:paraId="4C317161" w14:textId="77777777" w:rsidR="00A80CF8" w:rsidRPr="00D724AC" w:rsidRDefault="00A80CF8" w:rsidP="00A80CF8">
      <w:pPr>
        <w:tabs>
          <w:tab w:val="left" w:pos="567"/>
        </w:tabs>
        <w:spacing w:line="260" w:lineRule="exact"/>
        <w:rPr>
          <w:snapToGrid w:val="0"/>
          <w:szCs w:val="22"/>
          <w:lang w:eastAsia="en-US"/>
        </w:rPr>
      </w:pPr>
    </w:p>
    <w:p w14:paraId="1FD76C55" w14:textId="77777777" w:rsidR="00A80CF8" w:rsidRPr="00D724AC" w:rsidRDefault="00A80CF8" w:rsidP="00A80CF8">
      <w:pPr>
        <w:tabs>
          <w:tab w:val="left" w:pos="567"/>
        </w:tabs>
        <w:spacing w:line="260" w:lineRule="exact"/>
        <w:rPr>
          <w:snapToGrid w:val="0"/>
          <w:szCs w:val="22"/>
          <w:lang w:eastAsia="en-US"/>
        </w:rPr>
      </w:pPr>
      <w:r w:rsidRPr="00D724AC">
        <w:rPr>
          <w:snapToGrid w:val="0"/>
          <w:szCs w:val="22"/>
          <w:lang w:eastAsia="en-US"/>
        </w:rPr>
        <w:t>Receptinis vaistinis preparatas.</w:t>
      </w:r>
    </w:p>
    <w:p w14:paraId="2663C768" w14:textId="77777777" w:rsidR="00A80CF8" w:rsidRPr="00D724AC" w:rsidRDefault="00A80CF8" w:rsidP="00A80CF8">
      <w:pPr>
        <w:tabs>
          <w:tab w:val="left" w:pos="567"/>
        </w:tabs>
        <w:spacing w:line="260" w:lineRule="exact"/>
        <w:rPr>
          <w:snapToGrid w:val="0"/>
          <w:szCs w:val="22"/>
          <w:lang w:eastAsia="en-US"/>
        </w:rPr>
      </w:pPr>
    </w:p>
    <w:p w14:paraId="5CE5A20B" w14:textId="77777777" w:rsidR="00A80CF8" w:rsidRPr="00D724AC" w:rsidRDefault="00A80CF8" w:rsidP="00A80CF8">
      <w:pPr>
        <w:tabs>
          <w:tab w:val="left" w:pos="0"/>
          <w:tab w:val="left" w:pos="567"/>
        </w:tabs>
        <w:spacing w:line="260" w:lineRule="exact"/>
        <w:rPr>
          <w:i/>
          <w:snapToGrid w:val="0"/>
          <w:szCs w:val="22"/>
          <w:lang w:eastAsia="en-US"/>
        </w:rPr>
      </w:pPr>
    </w:p>
    <w:p w14:paraId="708661DA" w14:textId="77777777" w:rsidR="00A80CF8" w:rsidRPr="00D724AC" w:rsidRDefault="00A80CF8" w:rsidP="00A80CF8">
      <w:pPr>
        <w:tabs>
          <w:tab w:val="left" w:pos="5954"/>
          <w:tab w:val="left" w:pos="6237"/>
          <w:tab w:val="left" w:pos="6663"/>
          <w:tab w:val="left" w:pos="6946"/>
        </w:tabs>
        <w:jc w:val="center"/>
        <w:rPr>
          <w:rFonts w:eastAsia="SimSun"/>
          <w:color w:val="000000"/>
          <w:szCs w:val="22"/>
          <w:lang w:eastAsia="en-US"/>
        </w:rPr>
      </w:pPr>
      <w:r w:rsidRPr="00D724AC">
        <w:rPr>
          <w:rFonts w:eastAsia="SimSun"/>
          <w:b/>
          <w:szCs w:val="22"/>
          <w:lang w:eastAsia="en-US"/>
        </w:rPr>
        <w:br w:type="page"/>
      </w:r>
    </w:p>
    <w:p w14:paraId="6E64CA93" w14:textId="77777777" w:rsidR="00A80CF8" w:rsidRPr="00D724AC" w:rsidRDefault="00A80CF8" w:rsidP="00A80CF8">
      <w:pPr>
        <w:tabs>
          <w:tab w:val="left" w:pos="567"/>
        </w:tabs>
        <w:spacing w:line="260" w:lineRule="exact"/>
        <w:ind w:right="566"/>
        <w:rPr>
          <w:snapToGrid w:val="0"/>
          <w:szCs w:val="22"/>
          <w:lang w:eastAsia="en-US"/>
        </w:rPr>
      </w:pPr>
    </w:p>
    <w:p w14:paraId="2BBC5646" w14:textId="77777777" w:rsidR="00A80CF8" w:rsidRPr="00D724AC" w:rsidRDefault="00A80CF8" w:rsidP="00A80CF8">
      <w:pPr>
        <w:tabs>
          <w:tab w:val="left" w:pos="567"/>
        </w:tabs>
        <w:spacing w:line="260" w:lineRule="exact"/>
        <w:rPr>
          <w:snapToGrid w:val="0"/>
          <w:szCs w:val="22"/>
          <w:lang w:eastAsia="en-US"/>
        </w:rPr>
      </w:pPr>
    </w:p>
    <w:p w14:paraId="7346926B" w14:textId="77777777" w:rsidR="00A80CF8" w:rsidRPr="00D724AC" w:rsidRDefault="00A80CF8" w:rsidP="00A80CF8">
      <w:pPr>
        <w:tabs>
          <w:tab w:val="left" w:pos="567"/>
        </w:tabs>
        <w:spacing w:line="260" w:lineRule="exact"/>
        <w:rPr>
          <w:snapToGrid w:val="0"/>
          <w:szCs w:val="22"/>
          <w:lang w:eastAsia="en-US"/>
        </w:rPr>
      </w:pPr>
    </w:p>
    <w:p w14:paraId="756C0EA6" w14:textId="77777777" w:rsidR="00A80CF8" w:rsidRPr="00D724AC" w:rsidRDefault="00A80CF8" w:rsidP="00A80CF8">
      <w:pPr>
        <w:tabs>
          <w:tab w:val="left" w:pos="567"/>
        </w:tabs>
        <w:spacing w:line="260" w:lineRule="exact"/>
        <w:rPr>
          <w:snapToGrid w:val="0"/>
          <w:szCs w:val="22"/>
          <w:lang w:eastAsia="en-US"/>
        </w:rPr>
      </w:pPr>
    </w:p>
    <w:p w14:paraId="4D7AF934" w14:textId="77777777" w:rsidR="00A80CF8" w:rsidRPr="00D724AC" w:rsidRDefault="00A80CF8" w:rsidP="00A80CF8">
      <w:pPr>
        <w:tabs>
          <w:tab w:val="left" w:pos="567"/>
        </w:tabs>
        <w:spacing w:line="260" w:lineRule="exact"/>
        <w:rPr>
          <w:snapToGrid w:val="0"/>
          <w:szCs w:val="22"/>
          <w:lang w:eastAsia="en-US"/>
        </w:rPr>
      </w:pPr>
    </w:p>
    <w:p w14:paraId="01B72652" w14:textId="77777777" w:rsidR="00A80CF8" w:rsidRPr="00D724AC" w:rsidRDefault="00A80CF8" w:rsidP="00A80CF8">
      <w:pPr>
        <w:tabs>
          <w:tab w:val="left" w:pos="567"/>
        </w:tabs>
        <w:spacing w:line="260" w:lineRule="exact"/>
        <w:rPr>
          <w:snapToGrid w:val="0"/>
          <w:szCs w:val="22"/>
          <w:lang w:eastAsia="en-US"/>
        </w:rPr>
      </w:pPr>
    </w:p>
    <w:p w14:paraId="6A45D6E0" w14:textId="77777777" w:rsidR="00A80CF8" w:rsidRPr="00D724AC" w:rsidRDefault="00A80CF8" w:rsidP="00A80CF8">
      <w:pPr>
        <w:tabs>
          <w:tab w:val="left" w:pos="567"/>
        </w:tabs>
        <w:spacing w:line="260" w:lineRule="exact"/>
        <w:rPr>
          <w:snapToGrid w:val="0"/>
          <w:szCs w:val="22"/>
          <w:lang w:eastAsia="en-US"/>
        </w:rPr>
      </w:pPr>
    </w:p>
    <w:p w14:paraId="14514D56" w14:textId="77777777" w:rsidR="00A80CF8" w:rsidRPr="00D724AC" w:rsidRDefault="00A80CF8" w:rsidP="00A80CF8">
      <w:pPr>
        <w:tabs>
          <w:tab w:val="left" w:pos="567"/>
        </w:tabs>
        <w:spacing w:line="260" w:lineRule="exact"/>
        <w:rPr>
          <w:snapToGrid w:val="0"/>
          <w:szCs w:val="22"/>
          <w:lang w:eastAsia="en-US"/>
        </w:rPr>
      </w:pPr>
    </w:p>
    <w:p w14:paraId="0E108D53" w14:textId="77777777" w:rsidR="00A80CF8" w:rsidRPr="00D724AC" w:rsidRDefault="00A80CF8" w:rsidP="00A80CF8">
      <w:pPr>
        <w:tabs>
          <w:tab w:val="left" w:pos="567"/>
        </w:tabs>
        <w:spacing w:line="260" w:lineRule="exact"/>
        <w:rPr>
          <w:snapToGrid w:val="0"/>
          <w:szCs w:val="22"/>
          <w:lang w:eastAsia="en-US"/>
        </w:rPr>
      </w:pPr>
    </w:p>
    <w:p w14:paraId="2C0A5BA8" w14:textId="77777777" w:rsidR="00A80CF8" w:rsidRPr="00D724AC" w:rsidRDefault="00A80CF8" w:rsidP="00A80CF8">
      <w:pPr>
        <w:tabs>
          <w:tab w:val="left" w:pos="567"/>
        </w:tabs>
        <w:spacing w:line="260" w:lineRule="exact"/>
        <w:rPr>
          <w:snapToGrid w:val="0"/>
          <w:szCs w:val="22"/>
          <w:lang w:eastAsia="en-US"/>
        </w:rPr>
      </w:pPr>
    </w:p>
    <w:p w14:paraId="246AFFD8" w14:textId="77777777" w:rsidR="00A80CF8" w:rsidRPr="00D724AC" w:rsidRDefault="00A80CF8" w:rsidP="00A80CF8">
      <w:pPr>
        <w:tabs>
          <w:tab w:val="left" w:pos="567"/>
        </w:tabs>
        <w:spacing w:line="260" w:lineRule="exact"/>
        <w:rPr>
          <w:snapToGrid w:val="0"/>
          <w:szCs w:val="22"/>
          <w:lang w:eastAsia="en-US"/>
        </w:rPr>
      </w:pPr>
    </w:p>
    <w:p w14:paraId="37E5C3B5" w14:textId="77777777" w:rsidR="00A80CF8" w:rsidRPr="00D724AC" w:rsidRDefault="00A80CF8" w:rsidP="00A80CF8">
      <w:pPr>
        <w:tabs>
          <w:tab w:val="left" w:pos="567"/>
        </w:tabs>
        <w:spacing w:line="260" w:lineRule="exact"/>
        <w:rPr>
          <w:snapToGrid w:val="0"/>
          <w:szCs w:val="22"/>
          <w:lang w:eastAsia="en-US"/>
        </w:rPr>
      </w:pPr>
    </w:p>
    <w:p w14:paraId="0491C01D" w14:textId="77777777" w:rsidR="00A80CF8" w:rsidRPr="00D724AC" w:rsidRDefault="00A80CF8" w:rsidP="00A80CF8">
      <w:pPr>
        <w:tabs>
          <w:tab w:val="left" w:pos="567"/>
        </w:tabs>
        <w:spacing w:line="260" w:lineRule="exact"/>
        <w:rPr>
          <w:snapToGrid w:val="0"/>
          <w:szCs w:val="22"/>
          <w:lang w:eastAsia="en-US"/>
        </w:rPr>
      </w:pPr>
    </w:p>
    <w:p w14:paraId="6683C557" w14:textId="77777777" w:rsidR="00A80CF8" w:rsidRPr="00D724AC" w:rsidRDefault="00A80CF8" w:rsidP="00A80CF8">
      <w:pPr>
        <w:tabs>
          <w:tab w:val="left" w:pos="567"/>
        </w:tabs>
        <w:spacing w:line="260" w:lineRule="exact"/>
        <w:rPr>
          <w:snapToGrid w:val="0"/>
          <w:szCs w:val="22"/>
          <w:lang w:eastAsia="en-US"/>
        </w:rPr>
      </w:pPr>
    </w:p>
    <w:p w14:paraId="68368C45" w14:textId="77777777" w:rsidR="00A80CF8" w:rsidRPr="00D724AC" w:rsidRDefault="00A80CF8" w:rsidP="00A80CF8">
      <w:pPr>
        <w:tabs>
          <w:tab w:val="left" w:pos="567"/>
        </w:tabs>
        <w:spacing w:line="260" w:lineRule="exact"/>
        <w:rPr>
          <w:snapToGrid w:val="0"/>
          <w:szCs w:val="22"/>
          <w:lang w:eastAsia="en-US"/>
        </w:rPr>
      </w:pPr>
    </w:p>
    <w:p w14:paraId="0FB021F7" w14:textId="77777777" w:rsidR="00A80CF8" w:rsidRPr="00D724AC" w:rsidRDefault="00A80CF8" w:rsidP="00A80CF8">
      <w:pPr>
        <w:tabs>
          <w:tab w:val="left" w:pos="567"/>
        </w:tabs>
        <w:spacing w:line="260" w:lineRule="exact"/>
        <w:rPr>
          <w:snapToGrid w:val="0"/>
          <w:szCs w:val="22"/>
          <w:lang w:eastAsia="en-US"/>
        </w:rPr>
      </w:pPr>
    </w:p>
    <w:p w14:paraId="7313AD9C" w14:textId="77777777" w:rsidR="00A80CF8" w:rsidRPr="00D724AC" w:rsidRDefault="00A80CF8" w:rsidP="00A80CF8">
      <w:pPr>
        <w:tabs>
          <w:tab w:val="left" w:pos="567"/>
        </w:tabs>
        <w:spacing w:line="260" w:lineRule="exact"/>
        <w:rPr>
          <w:snapToGrid w:val="0"/>
          <w:szCs w:val="22"/>
          <w:lang w:eastAsia="en-US"/>
        </w:rPr>
      </w:pPr>
    </w:p>
    <w:p w14:paraId="54F8324E" w14:textId="77777777" w:rsidR="00A80CF8" w:rsidRPr="00D724AC" w:rsidRDefault="00A80CF8" w:rsidP="00A80CF8">
      <w:pPr>
        <w:tabs>
          <w:tab w:val="left" w:pos="567"/>
        </w:tabs>
        <w:spacing w:line="260" w:lineRule="exact"/>
        <w:outlineLvl w:val="0"/>
        <w:rPr>
          <w:b/>
          <w:snapToGrid w:val="0"/>
          <w:szCs w:val="22"/>
          <w:lang w:eastAsia="en-US"/>
        </w:rPr>
      </w:pPr>
    </w:p>
    <w:p w14:paraId="50AEC542" w14:textId="77777777" w:rsidR="00A80CF8" w:rsidRPr="00D724AC" w:rsidRDefault="00A80CF8" w:rsidP="00A80CF8">
      <w:pPr>
        <w:tabs>
          <w:tab w:val="left" w:pos="567"/>
        </w:tabs>
        <w:spacing w:line="260" w:lineRule="exact"/>
        <w:outlineLvl w:val="0"/>
        <w:rPr>
          <w:b/>
          <w:snapToGrid w:val="0"/>
          <w:szCs w:val="22"/>
          <w:lang w:eastAsia="en-US"/>
        </w:rPr>
      </w:pPr>
    </w:p>
    <w:p w14:paraId="5BD25688" w14:textId="77777777" w:rsidR="00A80CF8" w:rsidRPr="00D724AC" w:rsidRDefault="00A80CF8" w:rsidP="00A80CF8">
      <w:pPr>
        <w:tabs>
          <w:tab w:val="left" w:pos="567"/>
        </w:tabs>
        <w:spacing w:line="260" w:lineRule="exact"/>
        <w:outlineLvl w:val="0"/>
        <w:rPr>
          <w:b/>
          <w:snapToGrid w:val="0"/>
          <w:szCs w:val="22"/>
          <w:lang w:eastAsia="en-US"/>
        </w:rPr>
      </w:pPr>
    </w:p>
    <w:p w14:paraId="2F4E8C47" w14:textId="77777777" w:rsidR="00A80CF8" w:rsidRPr="00D724AC" w:rsidRDefault="00A80CF8" w:rsidP="00A80CF8">
      <w:pPr>
        <w:tabs>
          <w:tab w:val="left" w:pos="567"/>
        </w:tabs>
        <w:spacing w:line="260" w:lineRule="exact"/>
        <w:outlineLvl w:val="0"/>
        <w:rPr>
          <w:b/>
          <w:snapToGrid w:val="0"/>
          <w:szCs w:val="22"/>
          <w:lang w:eastAsia="en-US"/>
        </w:rPr>
      </w:pPr>
    </w:p>
    <w:p w14:paraId="736856B5" w14:textId="77777777" w:rsidR="00A80CF8" w:rsidRPr="00D724AC" w:rsidRDefault="00A80CF8" w:rsidP="00A80CF8">
      <w:pPr>
        <w:tabs>
          <w:tab w:val="left" w:pos="567"/>
        </w:tabs>
        <w:spacing w:line="260" w:lineRule="exact"/>
        <w:outlineLvl w:val="0"/>
        <w:rPr>
          <w:b/>
          <w:snapToGrid w:val="0"/>
          <w:szCs w:val="22"/>
          <w:lang w:eastAsia="en-US"/>
        </w:rPr>
      </w:pPr>
    </w:p>
    <w:p w14:paraId="04D35292" w14:textId="77777777" w:rsidR="00A80CF8" w:rsidRPr="00D724AC" w:rsidRDefault="00A80CF8" w:rsidP="00A80CF8">
      <w:pPr>
        <w:tabs>
          <w:tab w:val="left" w:pos="567"/>
        </w:tabs>
        <w:spacing w:line="260" w:lineRule="exact"/>
        <w:outlineLvl w:val="0"/>
        <w:rPr>
          <w:b/>
          <w:snapToGrid w:val="0"/>
          <w:szCs w:val="22"/>
          <w:lang w:eastAsia="en-US"/>
        </w:rPr>
      </w:pPr>
    </w:p>
    <w:p w14:paraId="3A136569" w14:textId="77777777" w:rsidR="00A80CF8" w:rsidRPr="00D724AC" w:rsidRDefault="00A80CF8" w:rsidP="00A80CF8">
      <w:pPr>
        <w:keepNext/>
        <w:tabs>
          <w:tab w:val="left" w:pos="567"/>
        </w:tabs>
        <w:jc w:val="center"/>
        <w:outlineLvl w:val="1"/>
        <w:rPr>
          <w:b/>
          <w:snapToGrid w:val="0"/>
          <w:szCs w:val="22"/>
          <w:lang w:eastAsia="x-none"/>
        </w:rPr>
      </w:pPr>
      <w:r w:rsidRPr="00D724AC">
        <w:rPr>
          <w:b/>
          <w:bCs/>
          <w:iCs/>
          <w:snapToGrid w:val="0"/>
          <w:szCs w:val="22"/>
          <w:lang w:eastAsia="x-none"/>
        </w:rPr>
        <w:t>III PRIEDAS</w:t>
      </w:r>
    </w:p>
    <w:p w14:paraId="152633BB" w14:textId="77777777" w:rsidR="00A80CF8" w:rsidRPr="00D724AC" w:rsidRDefault="00A80CF8" w:rsidP="00A80CF8">
      <w:pPr>
        <w:tabs>
          <w:tab w:val="left" w:pos="567"/>
        </w:tabs>
        <w:spacing w:line="260" w:lineRule="exact"/>
        <w:rPr>
          <w:snapToGrid w:val="0"/>
          <w:szCs w:val="22"/>
          <w:lang w:eastAsia="en-US"/>
        </w:rPr>
      </w:pPr>
    </w:p>
    <w:p w14:paraId="759B4474" w14:textId="77777777" w:rsidR="00A80CF8" w:rsidRPr="00D724AC" w:rsidRDefault="00A80CF8" w:rsidP="00A80CF8">
      <w:pPr>
        <w:keepNext/>
        <w:tabs>
          <w:tab w:val="left" w:pos="567"/>
        </w:tabs>
        <w:jc w:val="center"/>
        <w:outlineLvl w:val="1"/>
        <w:rPr>
          <w:b/>
          <w:snapToGrid w:val="0"/>
          <w:szCs w:val="22"/>
          <w:lang w:eastAsia="x-none"/>
        </w:rPr>
      </w:pPr>
      <w:r w:rsidRPr="00D724AC">
        <w:rPr>
          <w:b/>
          <w:bCs/>
          <w:iCs/>
          <w:snapToGrid w:val="0"/>
          <w:szCs w:val="22"/>
          <w:lang w:eastAsia="x-none"/>
        </w:rPr>
        <w:t>ŽENKLINIMAS IR PAKUOTĖS LAPELIS</w:t>
      </w:r>
    </w:p>
    <w:p w14:paraId="609E06D5" w14:textId="77777777" w:rsidR="00A80CF8" w:rsidRPr="00D724AC" w:rsidRDefault="00A80CF8" w:rsidP="00A80CF8">
      <w:pPr>
        <w:tabs>
          <w:tab w:val="left" w:pos="567"/>
        </w:tabs>
        <w:spacing w:line="260" w:lineRule="exact"/>
        <w:rPr>
          <w:snapToGrid w:val="0"/>
          <w:szCs w:val="22"/>
          <w:lang w:eastAsia="en-US"/>
        </w:rPr>
      </w:pPr>
      <w:r w:rsidRPr="00D724AC">
        <w:rPr>
          <w:snapToGrid w:val="0"/>
          <w:szCs w:val="22"/>
          <w:lang w:eastAsia="en-US"/>
        </w:rPr>
        <w:br w:type="page"/>
      </w:r>
    </w:p>
    <w:p w14:paraId="2978FA6A" w14:textId="77777777" w:rsidR="00A80CF8" w:rsidRPr="00D724AC" w:rsidRDefault="00A80CF8" w:rsidP="00A80CF8">
      <w:pPr>
        <w:tabs>
          <w:tab w:val="left" w:pos="567"/>
        </w:tabs>
        <w:spacing w:line="260" w:lineRule="exact"/>
        <w:rPr>
          <w:snapToGrid w:val="0"/>
          <w:szCs w:val="22"/>
          <w:lang w:eastAsia="en-US"/>
        </w:rPr>
      </w:pPr>
    </w:p>
    <w:p w14:paraId="212B709A" w14:textId="77777777" w:rsidR="00A80CF8" w:rsidRPr="00D724AC" w:rsidRDefault="00A80CF8" w:rsidP="00A80CF8">
      <w:pPr>
        <w:tabs>
          <w:tab w:val="left" w:pos="567"/>
        </w:tabs>
        <w:spacing w:line="260" w:lineRule="exact"/>
        <w:rPr>
          <w:snapToGrid w:val="0"/>
          <w:szCs w:val="22"/>
          <w:lang w:eastAsia="en-US"/>
        </w:rPr>
      </w:pPr>
    </w:p>
    <w:p w14:paraId="1A8B9159" w14:textId="77777777" w:rsidR="00A80CF8" w:rsidRPr="00D724AC" w:rsidRDefault="00A80CF8" w:rsidP="00A80CF8">
      <w:pPr>
        <w:tabs>
          <w:tab w:val="left" w:pos="567"/>
        </w:tabs>
        <w:spacing w:line="260" w:lineRule="exact"/>
        <w:rPr>
          <w:snapToGrid w:val="0"/>
          <w:szCs w:val="22"/>
          <w:lang w:eastAsia="en-US"/>
        </w:rPr>
      </w:pPr>
    </w:p>
    <w:p w14:paraId="7753CF28" w14:textId="77777777" w:rsidR="00A80CF8" w:rsidRPr="00D724AC" w:rsidRDefault="00A80CF8" w:rsidP="00A80CF8">
      <w:pPr>
        <w:tabs>
          <w:tab w:val="left" w:pos="567"/>
        </w:tabs>
        <w:spacing w:line="260" w:lineRule="exact"/>
        <w:rPr>
          <w:snapToGrid w:val="0"/>
          <w:szCs w:val="22"/>
          <w:lang w:eastAsia="en-US"/>
        </w:rPr>
      </w:pPr>
    </w:p>
    <w:p w14:paraId="653F2AD7" w14:textId="77777777" w:rsidR="00A80CF8" w:rsidRPr="00D724AC" w:rsidRDefault="00A80CF8" w:rsidP="00A80CF8">
      <w:pPr>
        <w:tabs>
          <w:tab w:val="left" w:pos="567"/>
        </w:tabs>
        <w:spacing w:line="260" w:lineRule="exact"/>
        <w:rPr>
          <w:snapToGrid w:val="0"/>
          <w:szCs w:val="22"/>
          <w:lang w:eastAsia="en-US"/>
        </w:rPr>
      </w:pPr>
    </w:p>
    <w:p w14:paraId="435B56F1" w14:textId="77777777" w:rsidR="00A80CF8" w:rsidRPr="00D724AC" w:rsidRDefault="00A80CF8" w:rsidP="00A80CF8">
      <w:pPr>
        <w:tabs>
          <w:tab w:val="left" w:pos="567"/>
        </w:tabs>
        <w:spacing w:line="260" w:lineRule="exact"/>
        <w:rPr>
          <w:snapToGrid w:val="0"/>
          <w:szCs w:val="22"/>
          <w:lang w:eastAsia="en-US"/>
        </w:rPr>
      </w:pPr>
    </w:p>
    <w:p w14:paraId="2223376A" w14:textId="77777777" w:rsidR="00A80CF8" w:rsidRPr="00D724AC" w:rsidRDefault="00A80CF8" w:rsidP="00A80CF8">
      <w:pPr>
        <w:tabs>
          <w:tab w:val="left" w:pos="567"/>
        </w:tabs>
        <w:spacing w:line="260" w:lineRule="exact"/>
        <w:rPr>
          <w:snapToGrid w:val="0"/>
          <w:szCs w:val="22"/>
          <w:lang w:eastAsia="en-US"/>
        </w:rPr>
      </w:pPr>
    </w:p>
    <w:p w14:paraId="3C11AB82" w14:textId="77777777" w:rsidR="00A80CF8" w:rsidRPr="00D724AC" w:rsidRDefault="00A80CF8" w:rsidP="00A80CF8">
      <w:pPr>
        <w:tabs>
          <w:tab w:val="left" w:pos="567"/>
        </w:tabs>
        <w:spacing w:line="260" w:lineRule="exact"/>
        <w:rPr>
          <w:snapToGrid w:val="0"/>
          <w:szCs w:val="22"/>
          <w:lang w:eastAsia="en-US"/>
        </w:rPr>
      </w:pPr>
    </w:p>
    <w:p w14:paraId="0CED7771" w14:textId="77777777" w:rsidR="00A80CF8" w:rsidRPr="00D724AC" w:rsidRDefault="00A80CF8" w:rsidP="00A80CF8">
      <w:pPr>
        <w:tabs>
          <w:tab w:val="left" w:pos="567"/>
        </w:tabs>
        <w:spacing w:line="260" w:lineRule="exact"/>
        <w:rPr>
          <w:snapToGrid w:val="0"/>
          <w:szCs w:val="22"/>
          <w:lang w:eastAsia="en-US"/>
        </w:rPr>
      </w:pPr>
    </w:p>
    <w:p w14:paraId="0D0BDC08" w14:textId="77777777" w:rsidR="00A80CF8" w:rsidRPr="00D724AC" w:rsidRDefault="00A80CF8" w:rsidP="00A80CF8">
      <w:pPr>
        <w:tabs>
          <w:tab w:val="left" w:pos="567"/>
        </w:tabs>
        <w:spacing w:line="260" w:lineRule="exact"/>
        <w:rPr>
          <w:snapToGrid w:val="0"/>
          <w:szCs w:val="22"/>
          <w:lang w:eastAsia="en-US"/>
        </w:rPr>
      </w:pPr>
    </w:p>
    <w:p w14:paraId="1B04D84E" w14:textId="77777777" w:rsidR="00A80CF8" w:rsidRPr="00D724AC" w:rsidRDefault="00A80CF8" w:rsidP="00A80CF8">
      <w:pPr>
        <w:tabs>
          <w:tab w:val="left" w:pos="567"/>
        </w:tabs>
        <w:spacing w:line="260" w:lineRule="exact"/>
        <w:rPr>
          <w:snapToGrid w:val="0"/>
          <w:szCs w:val="22"/>
          <w:lang w:eastAsia="en-US"/>
        </w:rPr>
      </w:pPr>
    </w:p>
    <w:p w14:paraId="23EAE10F" w14:textId="77777777" w:rsidR="00A80CF8" w:rsidRPr="00D724AC" w:rsidRDefault="00A80CF8" w:rsidP="00A80CF8">
      <w:pPr>
        <w:tabs>
          <w:tab w:val="left" w:pos="567"/>
        </w:tabs>
        <w:spacing w:line="260" w:lineRule="exact"/>
        <w:rPr>
          <w:snapToGrid w:val="0"/>
          <w:szCs w:val="22"/>
          <w:lang w:eastAsia="en-US"/>
        </w:rPr>
      </w:pPr>
    </w:p>
    <w:p w14:paraId="04C8C32F" w14:textId="77777777" w:rsidR="00A80CF8" w:rsidRPr="00D724AC" w:rsidRDefault="00A80CF8" w:rsidP="00A80CF8">
      <w:pPr>
        <w:tabs>
          <w:tab w:val="left" w:pos="567"/>
        </w:tabs>
        <w:spacing w:line="260" w:lineRule="exact"/>
        <w:rPr>
          <w:snapToGrid w:val="0"/>
          <w:szCs w:val="22"/>
          <w:lang w:eastAsia="en-US"/>
        </w:rPr>
      </w:pPr>
    </w:p>
    <w:p w14:paraId="24F4A789" w14:textId="77777777" w:rsidR="00A80CF8" w:rsidRPr="00D724AC" w:rsidRDefault="00A80CF8" w:rsidP="00A80CF8">
      <w:pPr>
        <w:tabs>
          <w:tab w:val="left" w:pos="567"/>
        </w:tabs>
        <w:spacing w:line="260" w:lineRule="exact"/>
        <w:rPr>
          <w:snapToGrid w:val="0"/>
          <w:szCs w:val="22"/>
          <w:lang w:eastAsia="en-US"/>
        </w:rPr>
      </w:pPr>
    </w:p>
    <w:p w14:paraId="58CBF4DB" w14:textId="77777777" w:rsidR="00A80CF8" w:rsidRPr="00D724AC" w:rsidRDefault="00A80CF8" w:rsidP="00A80CF8">
      <w:pPr>
        <w:tabs>
          <w:tab w:val="left" w:pos="567"/>
        </w:tabs>
        <w:spacing w:line="260" w:lineRule="exact"/>
        <w:rPr>
          <w:snapToGrid w:val="0"/>
          <w:szCs w:val="22"/>
          <w:lang w:eastAsia="en-US"/>
        </w:rPr>
      </w:pPr>
    </w:p>
    <w:p w14:paraId="237D5758" w14:textId="77777777" w:rsidR="00A80CF8" w:rsidRPr="00D724AC" w:rsidRDefault="00A80CF8" w:rsidP="00A80CF8">
      <w:pPr>
        <w:tabs>
          <w:tab w:val="left" w:pos="567"/>
        </w:tabs>
        <w:spacing w:line="260" w:lineRule="exact"/>
        <w:rPr>
          <w:snapToGrid w:val="0"/>
          <w:szCs w:val="22"/>
          <w:lang w:eastAsia="en-US"/>
        </w:rPr>
      </w:pPr>
    </w:p>
    <w:p w14:paraId="1A8C8005" w14:textId="77777777" w:rsidR="00A80CF8" w:rsidRPr="00D724AC" w:rsidRDefault="00A80CF8" w:rsidP="00A80CF8">
      <w:pPr>
        <w:tabs>
          <w:tab w:val="left" w:pos="567"/>
        </w:tabs>
        <w:spacing w:line="260" w:lineRule="exact"/>
        <w:rPr>
          <w:snapToGrid w:val="0"/>
          <w:szCs w:val="22"/>
          <w:lang w:eastAsia="en-US"/>
        </w:rPr>
      </w:pPr>
    </w:p>
    <w:p w14:paraId="1B180A5F" w14:textId="77777777" w:rsidR="00A80CF8" w:rsidRPr="00D724AC" w:rsidRDefault="00A80CF8" w:rsidP="00A80CF8">
      <w:pPr>
        <w:tabs>
          <w:tab w:val="left" w:pos="567"/>
        </w:tabs>
        <w:spacing w:line="260" w:lineRule="exact"/>
        <w:rPr>
          <w:snapToGrid w:val="0"/>
          <w:szCs w:val="22"/>
          <w:lang w:eastAsia="en-US"/>
        </w:rPr>
      </w:pPr>
    </w:p>
    <w:p w14:paraId="0452AE17" w14:textId="77777777" w:rsidR="00A80CF8" w:rsidRPr="00D724AC" w:rsidRDefault="00A80CF8" w:rsidP="00A80CF8">
      <w:pPr>
        <w:tabs>
          <w:tab w:val="left" w:pos="567"/>
        </w:tabs>
        <w:spacing w:line="260" w:lineRule="exact"/>
        <w:rPr>
          <w:snapToGrid w:val="0"/>
          <w:szCs w:val="22"/>
          <w:lang w:eastAsia="en-US"/>
        </w:rPr>
      </w:pPr>
    </w:p>
    <w:p w14:paraId="72ED5815" w14:textId="77777777" w:rsidR="00A80CF8" w:rsidRPr="00D724AC" w:rsidRDefault="00A80CF8" w:rsidP="00A80CF8">
      <w:pPr>
        <w:tabs>
          <w:tab w:val="left" w:pos="567"/>
        </w:tabs>
        <w:spacing w:line="260" w:lineRule="exact"/>
        <w:rPr>
          <w:snapToGrid w:val="0"/>
          <w:szCs w:val="22"/>
          <w:lang w:eastAsia="en-US"/>
        </w:rPr>
      </w:pPr>
    </w:p>
    <w:p w14:paraId="16591285" w14:textId="77777777" w:rsidR="00A80CF8" w:rsidRPr="00D724AC" w:rsidRDefault="00A80CF8" w:rsidP="00A80CF8">
      <w:pPr>
        <w:tabs>
          <w:tab w:val="left" w:pos="567"/>
        </w:tabs>
        <w:spacing w:line="260" w:lineRule="exact"/>
        <w:rPr>
          <w:snapToGrid w:val="0"/>
          <w:szCs w:val="22"/>
          <w:lang w:eastAsia="en-US"/>
        </w:rPr>
      </w:pPr>
    </w:p>
    <w:p w14:paraId="72283994" w14:textId="77777777" w:rsidR="00A80CF8" w:rsidRPr="00D724AC" w:rsidRDefault="00A80CF8" w:rsidP="00A80CF8">
      <w:pPr>
        <w:tabs>
          <w:tab w:val="left" w:pos="567"/>
        </w:tabs>
        <w:spacing w:line="260" w:lineRule="exact"/>
        <w:rPr>
          <w:snapToGrid w:val="0"/>
          <w:szCs w:val="22"/>
          <w:lang w:eastAsia="en-US"/>
        </w:rPr>
      </w:pPr>
    </w:p>
    <w:p w14:paraId="0C35C4A0" w14:textId="77777777" w:rsidR="00A80CF8" w:rsidRPr="00D724AC" w:rsidRDefault="00A80CF8" w:rsidP="00A80CF8">
      <w:pPr>
        <w:tabs>
          <w:tab w:val="left" w:pos="567"/>
        </w:tabs>
        <w:spacing w:line="260" w:lineRule="exact"/>
        <w:rPr>
          <w:snapToGrid w:val="0"/>
          <w:szCs w:val="22"/>
          <w:lang w:eastAsia="en-US"/>
        </w:rPr>
      </w:pPr>
    </w:p>
    <w:p w14:paraId="05C4EA4C" w14:textId="77777777" w:rsidR="00A80CF8" w:rsidRPr="00D724AC" w:rsidRDefault="00A80CF8" w:rsidP="00A80CF8">
      <w:pPr>
        <w:keepNext/>
        <w:tabs>
          <w:tab w:val="left" w:pos="567"/>
        </w:tabs>
        <w:jc w:val="center"/>
        <w:outlineLvl w:val="1"/>
        <w:rPr>
          <w:b/>
          <w:snapToGrid w:val="0"/>
          <w:szCs w:val="22"/>
          <w:lang w:eastAsia="x-none"/>
        </w:rPr>
      </w:pPr>
      <w:r w:rsidRPr="00D724AC">
        <w:rPr>
          <w:b/>
          <w:bCs/>
          <w:iCs/>
          <w:snapToGrid w:val="0"/>
          <w:szCs w:val="22"/>
          <w:lang w:eastAsia="x-none"/>
        </w:rPr>
        <w:t>A. ŽENKLINIMAS</w:t>
      </w:r>
    </w:p>
    <w:p w14:paraId="6E5D139D" w14:textId="77777777" w:rsidR="00A80CF8" w:rsidRPr="00D724AC" w:rsidRDefault="00A80CF8" w:rsidP="00A80CF8">
      <w:pPr>
        <w:tabs>
          <w:tab w:val="left" w:pos="567"/>
        </w:tabs>
        <w:spacing w:line="260" w:lineRule="exact"/>
        <w:rPr>
          <w:snapToGrid w:val="0"/>
          <w:szCs w:val="22"/>
          <w:lang w:eastAsia="en-US"/>
        </w:rPr>
      </w:pPr>
      <w:r w:rsidRPr="00D724AC">
        <w:rPr>
          <w:snapToGrid w:val="0"/>
          <w:szCs w:val="22"/>
          <w:lang w:eastAsia="en-US"/>
        </w:rPr>
        <w:br w:type="page"/>
      </w:r>
    </w:p>
    <w:p w14:paraId="03C65C1C"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rPr>
          <w:b/>
          <w:snapToGrid w:val="0"/>
          <w:szCs w:val="22"/>
          <w:lang w:eastAsia="en-US"/>
        </w:rPr>
      </w:pPr>
      <w:r w:rsidRPr="00D724AC">
        <w:rPr>
          <w:b/>
          <w:snapToGrid w:val="0"/>
          <w:szCs w:val="22"/>
          <w:lang w:eastAsia="en-US"/>
        </w:rPr>
        <w:lastRenderedPageBreak/>
        <w:t>INFORMACIJA ANT IŠORINĖS PAKUOTĖS</w:t>
      </w:r>
    </w:p>
    <w:p w14:paraId="6BC84B34"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ind w:left="567" w:hanging="567"/>
        <w:rPr>
          <w:b/>
          <w:snapToGrid w:val="0"/>
          <w:szCs w:val="22"/>
          <w:lang w:eastAsia="en-US"/>
        </w:rPr>
      </w:pPr>
    </w:p>
    <w:p w14:paraId="7DF9EA18"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rPr>
          <w:b/>
          <w:snapToGrid w:val="0"/>
          <w:szCs w:val="22"/>
          <w:lang w:eastAsia="en-US"/>
        </w:rPr>
      </w:pPr>
      <w:r w:rsidRPr="00D724AC">
        <w:rPr>
          <w:b/>
          <w:snapToGrid w:val="0"/>
          <w:szCs w:val="22"/>
          <w:lang w:eastAsia="en-US"/>
        </w:rPr>
        <w:t>KARTONINĖ DĖŽUTĖ NEPERMATOMOMS PVC/PVDC-ALIUMINIO LIZDINĖMS PLOKŠTELĖMS</w:t>
      </w:r>
    </w:p>
    <w:p w14:paraId="7796A39C" w14:textId="77777777" w:rsidR="00A80CF8" w:rsidRPr="00D724AC" w:rsidRDefault="00A80CF8" w:rsidP="00A80CF8">
      <w:pPr>
        <w:tabs>
          <w:tab w:val="left" w:pos="567"/>
        </w:tabs>
        <w:spacing w:line="260" w:lineRule="exact"/>
        <w:rPr>
          <w:b/>
          <w:snapToGrid w:val="0"/>
          <w:szCs w:val="22"/>
          <w:lang w:eastAsia="en-US"/>
        </w:rPr>
      </w:pPr>
    </w:p>
    <w:p w14:paraId="690F927A" w14:textId="77777777" w:rsidR="00A80CF8" w:rsidRPr="00D724AC" w:rsidRDefault="00A80CF8" w:rsidP="00A80CF8">
      <w:pPr>
        <w:tabs>
          <w:tab w:val="left" w:pos="567"/>
        </w:tabs>
        <w:spacing w:line="260" w:lineRule="exact"/>
        <w:rPr>
          <w:snapToGrid w:val="0"/>
          <w:szCs w:val="22"/>
          <w:lang w:eastAsia="en-US"/>
        </w:rPr>
      </w:pPr>
    </w:p>
    <w:p w14:paraId="15734770"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D724AC">
        <w:rPr>
          <w:b/>
          <w:snapToGrid w:val="0"/>
          <w:szCs w:val="22"/>
          <w:lang w:eastAsia="en-US"/>
        </w:rPr>
        <w:t>1.</w:t>
      </w:r>
      <w:r w:rsidRPr="00D724AC">
        <w:rPr>
          <w:b/>
          <w:snapToGrid w:val="0"/>
          <w:szCs w:val="22"/>
          <w:lang w:eastAsia="en-US"/>
        </w:rPr>
        <w:tab/>
      </w:r>
      <w:r w:rsidRPr="00D724AC">
        <w:rPr>
          <w:b/>
          <w:caps/>
          <w:snapToGrid w:val="0"/>
          <w:szCs w:val="22"/>
          <w:lang w:eastAsia="en-US"/>
        </w:rPr>
        <w:t>VAISTINIO</w:t>
      </w:r>
      <w:r w:rsidRPr="00D724AC">
        <w:rPr>
          <w:b/>
          <w:snapToGrid w:val="0"/>
          <w:szCs w:val="22"/>
          <w:lang w:eastAsia="en-US"/>
        </w:rPr>
        <w:t xml:space="preserve"> PREPARATO PAVADINIMAS</w:t>
      </w:r>
    </w:p>
    <w:p w14:paraId="0288437F" w14:textId="77777777" w:rsidR="00A80CF8" w:rsidRPr="00D724AC" w:rsidRDefault="00A80CF8" w:rsidP="00A80CF8">
      <w:pPr>
        <w:tabs>
          <w:tab w:val="left" w:pos="567"/>
        </w:tabs>
        <w:spacing w:line="260" w:lineRule="exact"/>
        <w:rPr>
          <w:snapToGrid w:val="0"/>
          <w:szCs w:val="22"/>
          <w:lang w:eastAsia="en-US"/>
        </w:rPr>
      </w:pPr>
    </w:p>
    <w:p w14:paraId="40920E44" w14:textId="77777777" w:rsidR="00A80CF8" w:rsidRPr="00D724AC" w:rsidRDefault="00A80CF8" w:rsidP="00A80CF8">
      <w:pPr>
        <w:autoSpaceDE w:val="0"/>
        <w:autoSpaceDN w:val="0"/>
        <w:adjustRightInd w:val="0"/>
        <w:rPr>
          <w:rFonts w:eastAsia="Calibri"/>
          <w:szCs w:val="22"/>
        </w:rPr>
      </w:pPr>
      <w:r w:rsidRPr="00D724AC">
        <w:rPr>
          <w:rFonts w:eastAsia="Calibri"/>
          <w:szCs w:val="22"/>
        </w:rPr>
        <w:t>CONVERIDE 150</w:t>
      </w:r>
      <w:r>
        <w:rPr>
          <w:rFonts w:eastAsia="Calibri"/>
          <w:szCs w:val="22"/>
        </w:rPr>
        <w:t> </w:t>
      </w:r>
      <w:r w:rsidRPr="00D724AC">
        <w:rPr>
          <w:rFonts w:eastAsia="Calibri"/>
          <w:szCs w:val="22"/>
        </w:rPr>
        <w:t>mg/12,5</w:t>
      </w:r>
      <w:r>
        <w:rPr>
          <w:rFonts w:eastAsia="Calibri"/>
          <w:szCs w:val="22"/>
        </w:rPr>
        <w:t> </w:t>
      </w:r>
      <w:r w:rsidRPr="00D724AC">
        <w:rPr>
          <w:rFonts w:eastAsia="Calibri"/>
          <w:szCs w:val="22"/>
        </w:rPr>
        <w:t>mg plėvele dengtos tabletės</w:t>
      </w:r>
    </w:p>
    <w:p w14:paraId="3E3A2A36" w14:textId="77777777" w:rsidR="00A80CF8" w:rsidRPr="00D724AC" w:rsidRDefault="00A80CF8" w:rsidP="00A80CF8">
      <w:pPr>
        <w:autoSpaceDE w:val="0"/>
        <w:autoSpaceDN w:val="0"/>
        <w:adjustRightInd w:val="0"/>
        <w:rPr>
          <w:rFonts w:eastAsia="Calibri"/>
          <w:szCs w:val="22"/>
        </w:rPr>
      </w:pPr>
      <w:r w:rsidRPr="00396DCB">
        <w:rPr>
          <w:rFonts w:eastAsia="Calibri"/>
          <w:highlight w:val="lightGray"/>
        </w:rPr>
        <w:t>CONVERIDE 300</w:t>
      </w:r>
      <w:r>
        <w:rPr>
          <w:rFonts w:eastAsia="Calibri"/>
          <w:highlight w:val="lightGray"/>
        </w:rPr>
        <w:t> </w:t>
      </w:r>
      <w:r w:rsidRPr="00396DCB">
        <w:rPr>
          <w:rFonts w:eastAsia="Calibri"/>
          <w:highlight w:val="lightGray"/>
        </w:rPr>
        <w:t>mg/25</w:t>
      </w:r>
      <w:r>
        <w:rPr>
          <w:rFonts w:eastAsia="Calibri"/>
          <w:highlight w:val="lightGray"/>
        </w:rPr>
        <w:t> </w:t>
      </w:r>
      <w:r w:rsidRPr="00396DCB">
        <w:rPr>
          <w:rFonts w:eastAsia="Calibri"/>
          <w:highlight w:val="lightGray"/>
        </w:rPr>
        <w:t>mg plėvele dengtos tabletės</w:t>
      </w:r>
    </w:p>
    <w:p w14:paraId="58722C7D" w14:textId="77777777" w:rsidR="00A80CF8" w:rsidRPr="00D724AC" w:rsidRDefault="00A80CF8" w:rsidP="00A80CF8">
      <w:pPr>
        <w:tabs>
          <w:tab w:val="left" w:pos="567"/>
        </w:tabs>
        <w:spacing w:line="260" w:lineRule="exact"/>
        <w:rPr>
          <w:snapToGrid w:val="0"/>
          <w:szCs w:val="22"/>
          <w:lang w:eastAsia="en-US"/>
        </w:rPr>
      </w:pPr>
      <w:r>
        <w:rPr>
          <w:rFonts w:eastAsia="Calibri"/>
          <w:szCs w:val="22"/>
        </w:rPr>
        <w:t>i</w:t>
      </w:r>
      <w:r w:rsidRPr="00D724AC">
        <w:rPr>
          <w:rFonts w:eastAsia="Calibri"/>
          <w:szCs w:val="22"/>
        </w:rPr>
        <w:t>rbesartanas/</w:t>
      </w:r>
      <w:r>
        <w:rPr>
          <w:rFonts w:eastAsia="Calibri"/>
          <w:szCs w:val="22"/>
        </w:rPr>
        <w:t>h</w:t>
      </w:r>
      <w:r w:rsidRPr="00D724AC">
        <w:rPr>
          <w:rFonts w:eastAsia="Calibri"/>
          <w:szCs w:val="22"/>
        </w:rPr>
        <w:t>idrochlorotiazidas</w:t>
      </w:r>
    </w:p>
    <w:p w14:paraId="2F218D34" w14:textId="77777777" w:rsidR="00A80CF8" w:rsidRPr="00D724AC" w:rsidRDefault="00A80CF8" w:rsidP="00A80CF8">
      <w:pPr>
        <w:tabs>
          <w:tab w:val="left" w:pos="567"/>
        </w:tabs>
        <w:spacing w:line="260" w:lineRule="exact"/>
        <w:rPr>
          <w:snapToGrid w:val="0"/>
          <w:szCs w:val="22"/>
          <w:lang w:eastAsia="en-US"/>
        </w:rPr>
      </w:pPr>
    </w:p>
    <w:p w14:paraId="3532DCE8" w14:textId="77777777" w:rsidR="00A80CF8" w:rsidRPr="00D724AC" w:rsidRDefault="00A80CF8" w:rsidP="00A80CF8">
      <w:pPr>
        <w:tabs>
          <w:tab w:val="left" w:pos="567"/>
        </w:tabs>
        <w:spacing w:line="260" w:lineRule="exact"/>
        <w:rPr>
          <w:snapToGrid w:val="0"/>
          <w:szCs w:val="22"/>
          <w:lang w:eastAsia="en-US"/>
        </w:rPr>
      </w:pPr>
    </w:p>
    <w:p w14:paraId="7B518206"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Cs w:val="22"/>
          <w:lang w:eastAsia="en-US"/>
        </w:rPr>
      </w:pPr>
      <w:r w:rsidRPr="00D724AC">
        <w:rPr>
          <w:b/>
          <w:snapToGrid w:val="0"/>
          <w:szCs w:val="22"/>
          <w:lang w:eastAsia="en-US"/>
        </w:rPr>
        <w:t>2.</w:t>
      </w:r>
      <w:r w:rsidRPr="00D724AC">
        <w:rPr>
          <w:b/>
          <w:snapToGrid w:val="0"/>
          <w:szCs w:val="22"/>
          <w:lang w:eastAsia="en-US"/>
        </w:rPr>
        <w:tab/>
        <w:t>VEIKLIOJI (-IOS) MEDŽIAGA (-OS) IR JOS (-Ų) KIEKIS (-IAI)</w:t>
      </w:r>
    </w:p>
    <w:p w14:paraId="00F626E8" w14:textId="77777777" w:rsidR="00A80CF8" w:rsidRPr="00D724AC" w:rsidRDefault="00A80CF8" w:rsidP="00A80CF8">
      <w:pPr>
        <w:tabs>
          <w:tab w:val="left" w:pos="567"/>
        </w:tabs>
        <w:spacing w:line="260" w:lineRule="exact"/>
        <w:rPr>
          <w:snapToGrid w:val="0"/>
          <w:szCs w:val="22"/>
          <w:lang w:eastAsia="en-US"/>
        </w:rPr>
      </w:pPr>
    </w:p>
    <w:p w14:paraId="7E3F362B" w14:textId="77777777" w:rsidR="00A80CF8" w:rsidRPr="00D724AC" w:rsidRDefault="00A80CF8" w:rsidP="00A80CF8">
      <w:pPr>
        <w:tabs>
          <w:tab w:val="left" w:pos="567"/>
        </w:tabs>
        <w:spacing w:line="260" w:lineRule="exact"/>
        <w:rPr>
          <w:rFonts w:eastAsia="Calibri"/>
          <w:szCs w:val="22"/>
        </w:rPr>
      </w:pPr>
      <w:r w:rsidRPr="00D724AC">
        <w:rPr>
          <w:rFonts w:eastAsia="Calibri"/>
          <w:szCs w:val="22"/>
        </w:rPr>
        <w:t>Kiekvienoje tabletėje yra 150</w:t>
      </w:r>
      <w:r>
        <w:rPr>
          <w:rFonts w:eastAsia="Calibri"/>
          <w:szCs w:val="22"/>
        </w:rPr>
        <w:t> </w:t>
      </w:r>
      <w:r w:rsidRPr="00D724AC">
        <w:rPr>
          <w:rFonts w:eastAsia="Calibri"/>
          <w:szCs w:val="22"/>
        </w:rPr>
        <w:t>mg irbesartano ir 12,5</w:t>
      </w:r>
      <w:r>
        <w:rPr>
          <w:rFonts w:eastAsia="Calibri"/>
          <w:szCs w:val="22"/>
        </w:rPr>
        <w:t> </w:t>
      </w:r>
      <w:r w:rsidRPr="00D724AC">
        <w:rPr>
          <w:rFonts w:eastAsia="Calibri"/>
          <w:szCs w:val="22"/>
        </w:rPr>
        <w:t>mg hidrochlorotiazido.</w:t>
      </w:r>
    </w:p>
    <w:p w14:paraId="5A0E100C" w14:textId="77777777" w:rsidR="00A80CF8" w:rsidRPr="00D724AC" w:rsidRDefault="00A80CF8" w:rsidP="00A80CF8">
      <w:pPr>
        <w:tabs>
          <w:tab w:val="left" w:pos="567"/>
        </w:tabs>
        <w:spacing w:line="260" w:lineRule="exact"/>
        <w:rPr>
          <w:snapToGrid w:val="0"/>
          <w:szCs w:val="22"/>
          <w:lang w:eastAsia="en-US"/>
        </w:rPr>
      </w:pPr>
      <w:r w:rsidRPr="00396DCB">
        <w:rPr>
          <w:rFonts w:eastAsia="Calibri"/>
          <w:highlight w:val="lightGray"/>
        </w:rPr>
        <w:t>Kiekvienoje tabletėje yra 300</w:t>
      </w:r>
      <w:r>
        <w:rPr>
          <w:rFonts w:eastAsia="Calibri"/>
          <w:highlight w:val="lightGray"/>
        </w:rPr>
        <w:t> </w:t>
      </w:r>
      <w:r w:rsidRPr="00396DCB">
        <w:rPr>
          <w:rFonts w:eastAsia="Calibri"/>
          <w:highlight w:val="lightGray"/>
        </w:rPr>
        <w:t>mg irbesartano ir 25</w:t>
      </w:r>
      <w:r>
        <w:rPr>
          <w:rFonts w:eastAsia="Calibri"/>
          <w:highlight w:val="lightGray"/>
        </w:rPr>
        <w:t> </w:t>
      </w:r>
      <w:r w:rsidRPr="00396DCB">
        <w:rPr>
          <w:rFonts w:eastAsia="Calibri"/>
          <w:highlight w:val="lightGray"/>
        </w:rPr>
        <w:t>mg hidrochlorotiazido.</w:t>
      </w:r>
    </w:p>
    <w:p w14:paraId="688A8E79" w14:textId="77777777" w:rsidR="00A80CF8" w:rsidRPr="00D724AC" w:rsidRDefault="00A80CF8" w:rsidP="00A80CF8">
      <w:pPr>
        <w:tabs>
          <w:tab w:val="left" w:pos="567"/>
        </w:tabs>
        <w:spacing w:line="260" w:lineRule="exact"/>
        <w:rPr>
          <w:snapToGrid w:val="0"/>
          <w:szCs w:val="22"/>
          <w:lang w:eastAsia="en-US"/>
        </w:rPr>
      </w:pPr>
    </w:p>
    <w:p w14:paraId="2688AA4D" w14:textId="77777777" w:rsidR="00A80CF8" w:rsidRPr="00D724AC" w:rsidRDefault="00A80CF8" w:rsidP="00A80CF8">
      <w:pPr>
        <w:tabs>
          <w:tab w:val="left" w:pos="567"/>
        </w:tabs>
        <w:spacing w:line="260" w:lineRule="exact"/>
        <w:rPr>
          <w:snapToGrid w:val="0"/>
          <w:szCs w:val="22"/>
          <w:lang w:eastAsia="en-US"/>
        </w:rPr>
      </w:pPr>
    </w:p>
    <w:p w14:paraId="63FA067D"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D724AC">
        <w:rPr>
          <w:b/>
          <w:snapToGrid w:val="0"/>
          <w:szCs w:val="22"/>
          <w:lang w:eastAsia="en-US"/>
        </w:rPr>
        <w:t>3.</w:t>
      </w:r>
      <w:r w:rsidRPr="00D724AC">
        <w:rPr>
          <w:b/>
          <w:snapToGrid w:val="0"/>
          <w:szCs w:val="22"/>
          <w:lang w:eastAsia="en-US"/>
        </w:rPr>
        <w:tab/>
        <w:t>PAGALBINIŲ MEDŽIAGŲ SĄRAŠAS</w:t>
      </w:r>
    </w:p>
    <w:p w14:paraId="09D7E44C" w14:textId="77777777" w:rsidR="00A80CF8" w:rsidRPr="00D724AC" w:rsidRDefault="00A80CF8" w:rsidP="00A80CF8">
      <w:pPr>
        <w:tabs>
          <w:tab w:val="left" w:pos="567"/>
        </w:tabs>
        <w:spacing w:line="260" w:lineRule="exact"/>
        <w:rPr>
          <w:snapToGrid w:val="0"/>
          <w:szCs w:val="22"/>
          <w:lang w:eastAsia="en-US"/>
        </w:rPr>
      </w:pPr>
    </w:p>
    <w:p w14:paraId="3A5DE6E4" w14:textId="77777777" w:rsidR="00A80CF8" w:rsidRPr="00D724AC" w:rsidRDefault="00A80CF8" w:rsidP="00A80CF8">
      <w:pPr>
        <w:tabs>
          <w:tab w:val="left" w:pos="567"/>
        </w:tabs>
        <w:spacing w:line="260" w:lineRule="exact"/>
        <w:rPr>
          <w:rFonts w:eastAsia="Calibri"/>
          <w:szCs w:val="22"/>
        </w:rPr>
      </w:pPr>
      <w:r w:rsidRPr="00D724AC">
        <w:rPr>
          <w:rFonts w:eastAsia="Calibri"/>
          <w:szCs w:val="22"/>
        </w:rPr>
        <w:t>Sudėtyje yra laktozės monohidrato.</w:t>
      </w:r>
    </w:p>
    <w:p w14:paraId="3F6F83E8" w14:textId="77777777" w:rsidR="00A80CF8" w:rsidRPr="00D724AC" w:rsidRDefault="00A80CF8" w:rsidP="00A80CF8">
      <w:pPr>
        <w:tabs>
          <w:tab w:val="left" w:pos="567"/>
        </w:tabs>
        <w:spacing w:line="260" w:lineRule="exact"/>
        <w:rPr>
          <w:rFonts w:eastAsia="Calibri"/>
          <w:szCs w:val="22"/>
        </w:rPr>
      </w:pPr>
      <w:r w:rsidRPr="00D724AC">
        <w:rPr>
          <w:rFonts w:eastAsia="Calibri"/>
          <w:szCs w:val="22"/>
        </w:rPr>
        <w:t>Daugiau informacijos pateikta pakuotės lapelyje.</w:t>
      </w:r>
    </w:p>
    <w:p w14:paraId="34243545" w14:textId="77777777" w:rsidR="00A80CF8" w:rsidRPr="00D724AC" w:rsidRDefault="00A80CF8" w:rsidP="00A80CF8">
      <w:pPr>
        <w:tabs>
          <w:tab w:val="left" w:pos="567"/>
        </w:tabs>
        <w:spacing w:line="260" w:lineRule="exact"/>
        <w:rPr>
          <w:snapToGrid w:val="0"/>
          <w:szCs w:val="22"/>
          <w:lang w:eastAsia="en-US"/>
        </w:rPr>
      </w:pPr>
    </w:p>
    <w:p w14:paraId="6C1C77AC" w14:textId="77777777" w:rsidR="00A80CF8" w:rsidRPr="00D724AC" w:rsidRDefault="00A80CF8" w:rsidP="00A80CF8">
      <w:pPr>
        <w:tabs>
          <w:tab w:val="left" w:pos="567"/>
        </w:tabs>
        <w:spacing w:line="260" w:lineRule="exact"/>
        <w:rPr>
          <w:snapToGrid w:val="0"/>
          <w:szCs w:val="22"/>
          <w:lang w:eastAsia="en-US"/>
        </w:rPr>
      </w:pPr>
    </w:p>
    <w:p w14:paraId="1B27F8FF"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D724AC">
        <w:rPr>
          <w:b/>
          <w:snapToGrid w:val="0"/>
          <w:szCs w:val="22"/>
          <w:lang w:eastAsia="en-US"/>
        </w:rPr>
        <w:t>4.</w:t>
      </w:r>
      <w:r w:rsidRPr="00D724AC">
        <w:rPr>
          <w:b/>
          <w:snapToGrid w:val="0"/>
          <w:szCs w:val="22"/>
          <w:lang w:eastAsia="en-US"/>
        </w:rPr>
        <w:tab/>
        <w:t>FARMACINĖ FORMA IR KIEKIS PAKUOTĖJE</w:t>
      </w:r>
    </w:p>
    <w:p w14:paraId="67881DAF" w14:textId="77777777" w:rsidR="00A80CF8" w:rsidRPr="00D724AC" w:rsidRDefault="00A80CF8" w:rsidP="00A80CF8">
      <w:pPr>
        <w:tabs>
          <w:tab w:val="left" w:pos="567"/>
        </w:tabs>
        <w:spacing w:line="260" w:lineRule="exact"/>
        <w:rPr>
          <w:snapToGrid w:val="0"/>
          <w:szCs w:val="22"/>
          <w:lang w:eastAsia="en-US"/>
        </w:rPr>
      </w:pPr>
    </w:p>
    <w:p w14:paraId="6BE7B49D" w14:textId="77777777" w:rsidR="00A80CF8" w:rsidRPr="00D724AC" w:rsidRDefault="00A80CF8" w:rsidP="00A80CF8">
      <w:pPr>
        <w:autoSpaceDE w:val="0"/>
        <w:autoSpaceDN w:val="0"/>
        <w:adjustRightInd w:val="0"/>
        <w:rPr>
          <w:rFonts w:eastAsia="Calibri"/>
          <w:color w:val="000000"/>
          <w:szCs w:val="22"/>
        </w:rPr>
      </w:pPr>
      <w:r w:rsidRPr="0035647D">
        <w:rPr>
          <w:rFonts w:eastAsia="Calibri"/>
          <w:color w:val="000000"/>
          <w:highlight w:val="lightGray"/>
        </w:rPr>
        <w:t>Plėvele dengtos tabletės</w:t>
      </w:r>
      <w:r w:rsidRPr="00D724AC">
        <w:rPr>
          <w:rFonts w:eastAsia="Calibri"/>
          <w:color w:val="000000"/>
          <w:szCs w:val="22"/>
        </w:rPr>
        <w:t xml:space="preserve"> </w:t>
      </w:r>
    </w:p>
    <w:p w14:paraId="3308D669" w14:textId="77777777" w:rsidR="00A80CF8" w:rsidRPr="00D724AC" w:rsidRDefault="00A80CF8" w:rsidP="00A80CF8">
      <w:pPr>
        <w:autoSpaceDE w:val="0"/>
        <w:autoSpaceDN w:val="0"/>
        <w:adjustRightInd w:val="0"/>
        <w:rPr>
          <w:rFonts w:eastAsia="Calibri"/>
          <w:color w:val="000000"/>
          <w:szCs w:val="22"/>
        </w:rPr>
      </w:pPr>
    </w:p>
    <w:p w14:paraId="751638DB" w14:textId="77777777" w:rsidR="00A80CF8" w:rsidRPr="00D724AC" w:rsidRDefault="00A80CF8" w:rsidP="00A80CF8">
      <w:pPr>
        <w:autoSpaceDE w:val="0"/>
        <w:autoSpaceDN w:val="0"/>
        <w:adjustRightInd w:val="0"/>
        <w:rPr>
          <w:rFonts w:eastAsia="Calibri"/>
          <w:color w:val="000000"/>
          <w:szCs w:val="22"/>
        </w:rPr>
      </w:pPr>
      <w:r w:rsidRPr="00D724AC">
        <w:rPr>
          <w:rFonts w:eastAsia="Calibri"/>
          <w:color w:val="000000"/>
          <w:szCs w:val="22"/>
        </w:rPr>
        <w:t xml:space="preserve">14 </w:t>
      </w:r>
      <w:r w:rsidRPr="00C03B46">
        <w:rPr>
          <w:rFonts w:eastAsia="Calibri"/>
          <w:color w:val="000000"/>
          <w:szCs w:val="22"/>
          <w:highlight w:val="lightGray"/>
        </w:rPr>
        <w:t>plėvele dengtų</w:t>
      </w:r>
      <w:r w:rsidRPr="00D724AC">
        <w:rPr>
          <w:rFonts w:eastAsia="Calibri"/>
          <w:color w:val="000000"/>
          <w:szCs w:val="22"/>
        </w:rPr>
        <w:t xml:space="preserve"> tablečių </w:t>
      </w:r>
    </w:p>
    <w:p w14:paraId="70902B08" w14:textId="77777777" w:rsidR="00A80CF8" w:rsidRPr="00396DCB" w:rsidRDefault="00A80CF8" w:rsidP="00A80CF8">
      <w:pPr>
        <w:autoSpaceDE w:val="0"/>
        <w:autoSpaceDN w:val="0"/>
        <w:adjustRightInd w:val="0"/>
        <w:rPr>
          <w:rFonts w:eastAsia="Calibri"/>
          <w:color w:val="000000"/>
          <w:highlight w:val="lightGray"/>
        </w:rPr>
      </w:pPr>
      <w:r w:rsidRPr="00396DCB">
        <w:rPr>
          <w:rFonts w:eastAsia="Calibri"/>
          <w:color w:val="000000"/>
          <w:highlight w:val="lightGray"/>
        </w:rPr>
        <w:t xml:space="preserve">28 plėvele dengtos tabletės </w:t>
      </w:r>
    </w:p>
    <w:p w14:paraId="65CFCD50" w14:textId="77777777" w:rsidR="00A80CF8" w:rsidRPr="00182AB3" w:rsidRDefault="00A80CF8" w:rsidP="00A80CF8">
      <w:pPr>
        <w:autoSpaceDE w:val="0"/>
        <w:autoSpaceDN w:val="0"/>
        <w:adjustRightInd w:val="0"/>
        <w:rPr>
          <w:rFonts w:eastAsia="Calibri"/>
          <w:color w:val="000000"/>
          <w:highlight w:val="lightGray"/>
        </w:rPr>
      </w:pPr>
      <w:r w:rsidRPr="00182AB3">
        <w:rPr>
          <w:rFonts w:eastAsia="Calibri"/>
          <w:color w:val="000000"/>
          <w:highlight w:val="lightGray"/>
        </w:rPr>
        <w:t xml:space="preserve">30 plėvele dengtų tablečių </w:t>
      </w:r>
    </w:p>
    <w:p w14:paraId="70045631" w14:textId="77777777" w:rsidR="00A80CF8" w:rsidRPr="004D1D4B" w:rsidRDefault="00A80CF8" w:rsidP="00A80CF8">
      <w:pPr>
        <w:autoSpaceDE w:val="0"/>
        <w:autoSpaceDN w:val="0"/>
        <w:adjustRightInd w:val="0"/>
        <w:rPr>
          <w:rFonts w:eastAsia="Calibri"/>
          <w:color w:val="000000"/>
          <w:highlight w:val="lightGray"/>
        </w:rPr>
      </w:pPr>
      <w:r w:rsidRPr="004D1D4B">
        <w:rPr>
          <w:rFonts w:eastAsia="Calibri"/>
          <w:color w:val="000000"/>
          <w:highlight w:val="lightGray"/>
        </w:rPr>
        <w:t xml:space="preserve">56 plėvele dengtos tabletės </w:t>
      </w:r>
    </w:p>
    <w:p w14:paraId="716B97B9" w14:textId="77777777" w:rsidR="00A80CF8" w:rsidRPr="004D1D4B" w:rsidRDefault="00A80CF8" w:rsidP="00A80CF8">
      <w:pPr>
        <w:autoSpaceDE w:val="0"/>
        <w:autoSpaceDN w:val="0"/>
        <w:adjustRightInd w:val="0"/>
        <w:rPr>
          <w:rFonts w:eastAsia="Calibri"/>
          <w:color w:val="000000"/>
          <w:highlight w:val="lightGray"/>
        </w:rPr>
      </w:pPr>
      <w:r w:rsidRPr="004D1D4B">
        <w:rPr>
          <w:rFonts w:eastAsia="Calibri"/>
          <w:color w:val="000000"/>
          <w:highlight w:val="lightGray"/>
        </w:rPr>
        <w:t xml:space="preserve">60 plėvele dengtų tablečių </w:t>
      </w:r>
    </w:p>
    <w:p w14:paraId="47A89336" w14:textId="77777777" w:rsidR="00A80CF8" w:rsidRPr="004D1D4B" w:rsidRDefault="00A80CF8" w:rsidP="00A80CF8">
      <w:pPr>
        <w:autoSpaceDE w:val="0"/>
        <w:autoSpaceDN w:val="0"/>
        <w:adjustRightInd w:val="0"/>
        <w:rPr>
          <w:rFonts w:eastAsia="Calibri"/>
          <w:color w:val="000000"/>
          <w:highlight w:val="lightGray"/>
        </w:rPr>
      </w:pPr>
      <w:r w:rsidRPr="004D1D4B">
        <w:rPr>
          <w:rFonts w:eastAsia="Calibri"/>
          <w:color w:val="000000"/>
          <w:highlight w:val="lightGray"/>
        </w:rPr>
        <w:t xml:space="preserve">84 plėvele dengtos tabletės </w:t>
      </w:r>
    </w:p>
    <w:p w14:paraId="292453F6" w14:textId="77777777" w:rsidR="00A80CF8" w:rsidRPr="004D1D4B" w:rsidRDefault="00A80CF8" w:rsidP="00A80CF8">
      <w:pPr>
        <w:autoSpaceDE w:val="0"/>
        <w:autoSpaceDN w:val="0"/>
        <w:adjustRightInd w:val="0"/>
        <w:rPr>
          <w:rFonts w:eastAsia="Calibri"/>
          <w:color w:val="000000"/>
          <w:highlight w:val="lightGray"/>
        </w:rPr>
      </w:pPr>
      <w:r w:rsidRPr="004D1D4B">
        <w:rPr>
          <w:rFonts w:eastAsia="Calibri"/>
          <w:color w:val="000000"/>
          <w:highlight w:val="lightGray"/>
        </w:rPr>
        <w:t xml:space="preserve">90 plėvele dengtų tablečių </w:t>
      </w:r>
    </w:p>
    <w:p w14:paraId="71B5D9EF" w14:textId="77777777" w:rsidR="00A80CF8" w:rsidRPr="004D1D4B" w:rsidRDefault="00A80CF8" w:rsidP="00A80CF8">
      <w:pPr>
        <w:autoSpaceDE w:val="0"/>
        <w:autoSpaceDN w:val="0"/>
        <w:adjustRightInd w:val="0"/>
        <w:rPr>
          <w:rFonts w:eastAsia="Calibri"/>
          <w:color w:val="000000"/>
          <w:highlight w:val="lightGray"/>
        </w:rPr>
      </w:pPr>
      <w:r w:rsidRPr="004D1D4B">
        <w:rPr>
          <w:rFonts w:eastAsia="Calibri"/>
          <w:color w:val="000000"/>
          <w:highlight w:val="lightGray"/>
        </w:rPr>
        <w:t xml:space="preserve">98 plėvele dengtos tabletės </w:t>
      </w:r>
    </w:p>
    <w:p w14:paraId="6876904C" w14:textId="77777777" w:rsidR="00A80CF8" w:rsidRPr="004D1D4B" w:rsidRDefault="00A80CF8" w:rsidP="00A80CF8">
      <w:pPr>
        <w:autoSpaceDE w:val="0"/>
        <w:autoSpaceDN w:val="0"/>
        <w:adjustRightInd w:val="0"/>
        <w:rPr>
          <w:rFonts w:eastAsia="Calibri"/>
          <w:color w:val="000000"/>
          <w:highlight w:val="lightGray"/>
        </w:rPr>
      </w:pPr>
      <w:r w:rsidRPr="004D1D4B">
        <w:rPr>
          <w:rFonts w:eastAsia="Calibri"/>
          <w:color w:val="000000"/>
          <w:highlight w:val="lightGray"/>
        </w:rPr>
        <w:t xml:space="preserve">100 plėvele dengtų tablečių </w:t>
      </w:r>
    </w:p>
    <w:p w14:paraId="278A91CC" w14:textId="77777777" w:rsidR="00A80CF8" w:rsidRPr="00D724AC" w:rsidRDefault="00A80CF8" w:rsidP="00A80CF8">
      <w:pPr>
        <w:tabs>
          <w:tab w:val="left" w:pos="567"/>
        </w:tabs>
        <w:spacing w:line="260" w:lineRule="exact"/>
        <w:rPr>
          <w:snapToGrid w:val="0"/>
          <w:szCs w:val="22"/>
          <w:lang w:eastAsia="en-US"/>
        </w:rPr>
      </w:pPr>
    </w:p>
    <w:p w14:paraId="0A07FEF4" w14:textId="77777777" w:rsidR="00A80CF8" w:rsidRPr="00D724AC" w:rsidRDefault="00A80CF8" w:rsidP="00A80CF8">
      <w:pPr>
        <w:tabs>
          <w:tab w:val="left" w:pos="567"/>
        </w:tabs>
        <w:spacing w:line="260" w:lineRule="exact"/>
        <w:rPr>
          <w:snapToGrid w:val="0"/>
          <w:szCs w:val="22"/>
          <w:lang w:eastAsia="en-US"/>
        </w:rPr>
      </w:pPr>
    </w:p>
    <w:p w14:paraId="6FCC80D3"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D724AC">
        <w:rPr>
          <w:b/>
          <w:snapToGrid w:val="0"/>
          <w:szCs w:val="22"/>
          <w:lang w:eastAsia="en-US"/>
        </w:rPr>
        <w:t>5.</w:t>
      </w:r>
      <w:r w:rsidRPr="00D724AC">
        <w:rPr>
          <w:b/>
          <w:snapToGrid w:val="0"/>
          <w:szCs w:val="22"/>
          <w:lang w:eastAsia="en-US"/>
        </w:rPr>
        <w:tab/>
        <w:t>VARTOJIMO METODAS IR BŪDAS (-AI)</w:t>
      </w:r>
    </w:p>
    <w:p w14:paraId="1377029C" w14:textId="77777777" w:rsidR="00A80CF8" w:rsidRPr="00D724AC" w:rsidRDefault="00A80CF8" w:rsidP="00A80CF8">
      <w:pPr>
        <w:tabs>
          <w:tab w:val="left" w:pos="567"/>
        </w:tabs>
        <w:spacing w:line="260" w:lineRule="exact"/>
        <w:rPr>
          <w:snapToGrid w:val="0"/>
          <w:szCs w:val="22"/>
          <w:lang w:eastAsia="en-US"/>
        </w:rPr>
      </w:pPr>
    </w:p>
    <w:p w14:paraId="57ABDA23" w14:textId="77777777" w:rsidR="00A80CF8" w:rsidRPr="00D724AC" w:rsidRDefault="00A80CF8" w:rsidP="00A80CF8">
      <w:pPr>
        <w:tabs>
          <w:tab w:val="left" w:pos="567"/>
        </w:tabs>
        <w:spacing w:line="260" w:lineRule="exact"/>
        <w:rPr>
          <w:snapToGrid w:val="0"/>
          <w:szCs w:val="22"/>
          <w:lang w:eastAsia="en-US"/>
        </w:rPr>
      </w:pPr>
      <w:r w:rsidRPr="00D724AC">
        <w:rPr>
          <w:snapToGrid w:val="0"/>
          <w:szCs w:val="22"/>
          <w:lang w:eastAsia="en-US"/>
        </w:rPr>
        <w:t>Vartoti per burną.</w:t>
      </w:r>
    </w:p>
    <w:p w14:paraId="76DC44C8" w14:textId="77777777" w:rsidR="00A80CF8" w:rsidRPr="00D724AC" w:rsidRDefault="00A80CF8" w:rsidP="00A80CF8">
      <w:pPr>
        <w:tabs>
          <w:tab w:val="left" w:pos="567"/>
        </w:tabs>
        <w:spacing w:line="260" w:lineRule="exact"/>
        <w:rPr>
          <w:snapToGrid w:val="0"/>
          <w:szCs w:val="22"/>
          <w:lang w:eastAsia="en-US"/>
        </w:rPr>
      </w:pPr>
      <w:r w:rsidRPr="00D724AC">
        <w:rPr>
          <w:snapToGrid w:val="0"/>
          <w:szCs w:val="22"/>
          <w:lang w:eastAsia="en-US"/>
        </w:rPr>
        <w:t>Prieš vartojimą perskaitykite pakuotės lapelį.</w:t>
      </w:r>
    </w:p>
    <w:p w14:paraId="7B47A536" w14:textId="77777777" w:rsidR="00A80CF8" w:rsidRPr="00D724AC" w:rsidRDefault="00A80CF8" w:rsidP="00A80CF8">
      <w:pPr>
        <w:tabs>
          <w:tab w:val="left" w:pos="567"/>
        </w:tabs>
        <w:spacing w:line="260" w:lineRule="exact"/>
        <w:rPr>
          <w:snapToGrid w:val="0"/>
          <w:szCs w:val="22"/>
          <w:lang w:eastAsia="en-US"/>
        </w:rPr>
      </w:pPr>
    </w:p>
    <w:p w14:paraId="069A12DD" w14:textId="77777777" w:rsidR="00A80CF8" w:rsidRPr="00D724AC" w:rsidRDefault="00A80CF8" w:rsidP="00A80CF8">
      <w:pPr>
        <w:tabs>
          <w:tab w:val="left" w:pos="567"/>
        </w:tabs>
        <w:spacing w:line="260" w:lineRule="exact"/>
        <w:rPr>
          <w:snapToGrid w:val="0"/>
          <w:szCs w:val="22"/>
          <w:lang w:eastAsia="en-US"/>
        </w:rPr>
      </w:pPr>
    </w:p>
    <w:p w14:paraId="5FD260B4"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D724AC">
        <w:rPr>
          <w:b/>
          <w:snapToGrid w:val="0"/>
          <w:szCs w:val="22"/>
          <w:lang w:eastAsia="en-US"/>
        </w:rPr>
        <w:t>6.</w:t>
      </w:r>
      <w:r w:rsidRPr="00D724AC">
        <w:rPr>
          <w:b/>
          <w:snapToGrid w:val="0"/>
          <w:szCs w:val="22"/>
          <w:lang w:eastAsia="en-US"/>
        </w:rPr>
        <w:tab/>
        <w:t>SPECIALUS ĮSPĖJIMAS, KAD VAISTINĮ PREPARATĄ BŪTINA LAIKYTI VAIKAMS NEPASTEBIMOJE IR  NEPASIEKIAMOJE VIETOJE</w:t>
      </w:r>
    </w:p>
    <w:p w14:paraId="24D4D0FA" w14:textId="77777777" w:rsidR="00A80CF8" w:rsidRPr="00D724AC" w:rsidRDefault="00A80CF8" w:rsidP="00A80CF8">
      <w:pPr>
        <w:tabs>
          <w:tab w:val="left" w:pos="567"/>
        </w:tabs>
        <w:spacing w:line="260" w:lineRule="exact"/>
        <w:rPr>
          <w:snapToGrid w:val="0"/>
          <w:szCs w:val="22"/>
          <w:lang w:eastAsia="en-US"/>
        </w:rPr>
      </w:pPr>
    </w:p>
    <w:p w14:paraId="1361DCC4" w14:textId="77777777" w:rsidR="00A80CF8" w:rsidRPr="00D724AC" w:rsidRDefault="00A80CF8" w:rsidP="00A80CF8">
      <w:pPr>
        <w:tabs>
          <w:tab w:val="left" w:pos="567"/>
        </w:tabs>
        <w:spacing w:line="260" w:lineRule="exact"/>
        <w:rPr>
          <w:snapToGrid w:val="0"/>
          <w:szCs w:val="22"/>
          <w:lang w:eastAsia="en-US"/>
        </w:rPr>
      </w:pPr>
      <w:r w:rsidRPr="00D724AC">
        <w:rPr>
          <w:snapToGrid w:val="0"/>
          <w:szCs w:val="22"/>
          <w:lang w:eastAsia="en-US"/>
        </w:rPr>
        <w:t>Laikyti vaikams nepastebimoje ir nepasiekiamoje vietoje.</w:t>
      </w:r>
    </w:p>
    <w:p w14:paraId="2C5F0BCB" w14:textId="77777777" w:rsidR="00A80CF8" w:rsidRPr="00D724AC" w:rsidRDefault="00A80CF8" w:rsidP="00A80CF8">
      <w:pPr>
        <w:tabs>
          <w:tab w:val="left" w:pos="567"/>
        </w:tabs>
        <w:spacing w:line="260" w:lineRule="exact"/>
        <w:rPr>
          <w:snapToGrid w:val="0"/>
          <w:szCs w:val="22"/>
          <w:lang w:eastAsia="en-US"/>
        </w:rPr>
      </w:pPr>
    </w:p>
    <w:p w14:paraId="55543440" w14:textId="77777777" w:rsidR="00A80CF8" w:rsidRPr="00D724AC" w:rsidRDefault="00A80CF8" w:rsidP="00A80CF8">
      <w:pPr>
        <w:tabs>
          <w:tab w:val="left" w:pos="567"/>
        </w:tabs>
        <w:spacing w:line="260" w:lineRule="exact"/>
        <w:rPr>
          <w:snapToGrid w:val="0"/>
          <w:szCs w:val="22"/>
          <w:lang w:eastAsia="en-US"/>
        </w:rPr>
      </w:pPr>
    </w:p>
    <w:p w14:paraId="1A655C5C"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D724AC">
        <w:rPr>
          <w:b/>
          <w:snapToGrid w:val="0"/>
          <w:szCs w:val="22"/>
          <w:lang w:eastAsia="en-US"/>
        </w:rPr>
        <w:t>7.</w:t>
      </w:r>
      <w:r w:rsidRPr="00D724AC">
        <w:rPr>
          <w:b/>
          <w:snapToGrid w:val="0"/>
          <w:szCs w:val="22"/>
          <w:lang w:eastAsia="en-US"/>
        </w:rPr>
        <w:tab/>
        <w:t>KITAS (-I) SPECIALUS (-ŪS) ĮSPĖJIMAS (-AI) (JEI REIKIA)</w:t>
      </w:r>
    </w:p>
    <w:p w14:paraId="3D94F87C" w14:textId="77777777" w:rsidR="00A80CF8" w:rsidRPr="00D724AC" w:rsidRDefault="00A80CF8" w:rsidP="00A80CF8">
      <w:pPr>
        <w:tabs>
          <w:tab w:val="left" w:pos="567"/>
        </w:tabs>
        <w:spacing w:line="260" w:lineRule="exact"/>
        <w:rPr>
          <w:snapToGrid w:val="0"/>
          <w:szCs w:val="22"/>
          <w:lang w:eastAsia="en-US"/>
        </w:rPr>
      </w:pPr>
    </w:p>
    <w:p w14:paraId="170D7654" w14:textId="77777777" w:rsidR="00A80CF8" w:rsidRPr="00D724AC" w:rsidRDefault="00A80CF8" w:rsidP="00A80CF8">
      <w:pPr>
        <w:tabs>
          <w:tab w:val="left" w:pos="567"/>
        </w:tabs>
        <w:spacing w:line="260" w:lineRule="exact"/>
        <w:rPr>
          <w:snapToGrid w:val="0"/>
          <w:szCs w:val="22"/>
          <w:lang w:eastAsia="en-US"/>
        </w:rPr>
      </w:pPr>
    </w:p>
    <w:p w14:paraId="7A8140B7"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D724AC">
        <w:rPr>
          <w:b/>
          <w:snapToGrid w:val="0"/>
          <w:szCs w:val="22"/>
          <w:lang w:eastAsia="en-US"/>
        </w:rPr>
        <w:t>8.</w:t>
      </w:r>
      <w:r w:rsidRPr="00D724AC">
        <w:rPr>
          <w:b/>
          <w:snapToGrid w:val="0"/>
          <w:szCs w:val="22"/>
          <w:lang w:eastAsia="en-US"/>
        </w:rPr>
        <w:tab/>
        <w:t>TINKAMUMO LAIKAS</w:t>
      </w:r>
    </w:p>
    <w:p w14:paraId="4B9CA244" w14:textId="77777777" w:rsidR="00A80CF8" w:rsidRPr="00D724AC" w:rsidRDefault="00A80CF8" w:rsidP="00A80CF8">
      <w:pPr>
        <w:tabs>
          <w:tab w:val="left" w:pos="567"/>
        </w:tabs>
        <w:spacing w:line="260" w:lineRule="exact"/>
        <w:rPr>
          <w:snapToGrid w:val="0"/>
          <w:szCs w:val="22"/>
          <w:lang w:eastAsia="en-US"/>
        </w:rPr>
      </w:pPr>
    </w:p>
    <w:p w14:paraId="5309F939" w14:textId="77777777" w:rsidR="00A80CF8" w:rsidRPr="00D724AC" w:rsidRDefault="00A80CF8" w:rsidP="00A80CF8">
      <w:pPr>
        <w:tabs>
          <w:tab w:val="left" w:pos="567"/>
        </w:tabs>
        <w:spacing w:line="260" w:lineRule="exact"/>
        <w:rPr>
          <w:snapToGrid w:val="0"/>
          <w:szCs w:val="22"/>
          <w:lang w:eastAsia="en-US"/>
        </w:rPr>
      </w:pPr>
      <w:r w:rsidRPr="0035647D">
        <w:t>EXP</w:t>
      </w:r>
      <w:r>
        <w:t xml:space="preserve">: </w:t>
      </w:r>
      <w:r w:rsidRPr="00D724AC">
        <w:rPr>
          <w:snapToGrid w:val="0"/>
          <w:szCs w:val="22"/>
          <w:lang w:eastAsia="en-US"/>
        </w:rPr>
        <w:t>{mm</w:t>
      </w:r>
      <w:r>
        <w:rPr>
          <w:snapToGrid w:val="0"/>
          <w:szCs w:val="22"/>
          <w:lang w:eastAsia="en-US"/>
        </w:rPr>
        <w:t>-</w:t>
      </w:r>
      <w:r w:rsidRPr="00D724AC">
        <w:rPr>
          <w:snapToGrid w:val="0"/>
          <w:szCs w:val="22"/>
          <w:lang w:eastAsia="en-US"/>
        </w:rPr>
        <w:t>MMMM}</w:t>
      </w:r>
    </w:p>
    <w:p w14:paraId="40AAD679" w14:textId="77777777" w:rsidR="00A80CF8" w:rsidRPr="00D724AC" w:rsidRDefault="00A80CF8" w:rsidP="00A80CF8">
      <w:pPr>
        <w:tabs>
          <w:tab w:val="left" w:pos="567"/>
        </w:tabs>
        <w:spacing w:line="260" w:lineRule="exact"/>
        <w:rPr>
          <w:snapToGrid w:val="0"/>
          <w:szCs w:val="22"/>
          <w:lang w:eastAsia="en-US"/>
        </w:rPr>
      </w:pPr>
    </w:p>
    <w:p w14:paraId="74F2C6D5" w14:textId="77777777" w:rsidR="00A80CF8" w:rsidRPr="00D724AC" w:rsidRDefault="00A80CF8" w:rsidP="00A80CF8">
      <w:pPr>
        <w:tabs>
          <w:tab w:val="left" w:pos="567"/>
        </w:tabs>
        <w:spacing w:line="260" w:lineRule="exact"/>
        <w:rPr>
          <w:snapToGrid w:val="0"/>
          <w:szCs w:val="22"/>
          <w:lang w:eastAsia="en-US"/>
        </w:rPr>
      </w:pPr>
    </w:p>
    <w:p w14:paraId="20C2C248" w14:textId="77777777" w:rsidR="00A80CF8" w:rsidRPr="00D724AC" w:rsidRDefault="00A80CF8" w:rsidP="00A80CF8">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D724AC">
        <w:rPr>
          <w:b/>
          <w:snapToGrid w:val="0"/>
          <w:szCs w:val="22"/>
          <w:lang w:eastAsia="en-US"/>
        </w:rPr>
        <w:t>9.</w:t>
      </w:r>
      <w:r w:rsidRPr="00D724AC">
        <w:rPr>
          <w:b/>
          <w:snapToGrid w:val="0"/>
          <w:szCs w:val="22"/>
          <w:lang w:eastAsia="en-US"/>
        </w:rPr>
        <w:tab/>
        <w:t>SPECIALIOS LAIKYMO SĄLYGOS</w:t>
      </w:r>
    </w:p>
    <w:p w14:paraId="6AA40305" w14:textId="77777777" w:rsidR="00A80CF8" w:rsidRPr="00D724AC" w:rsidRDefault="00A80CF8" w:rsidP="00A80CF8">
      <w:pPr>
        <w:tabs>
          <w:tab w:val="left" w:pos="567"/>
        </w:tabs>
        <w:spacing w:line="260" w:lineRule="exact"/>
        <w:rPr>
          <w:snapToGrid w:val="0"/>
          <w:szCs w:val="22"/>
          <w:lang w:eastAsia="en-US"/>
        </w:rPr>
      </w:pPr>
    </w:p>
    <w:p w14:paraId="3114BFDE" w14:textId="77777777" w:rsidR="00A80CF8" w:rsidRPr="00D724AC" w:rsidRDefault="00A80CF8" w:rsidP="00A80CF8">
      <w:pPr>
        <w:tabs>
          <w:tab w:val="left" w:pos="567"/>
        </w:tabs>
        <w:spacing w:line="260" w:lineRule="exact"/>
        <w:rPr>
          <w:rFonts w:eastAsia="Calibri"/>
          <w:szCs w:val="22"/>
        </w:rPr>
      </w:pPr>
      <w:r w:rsidRPr="00D724AC">
        <w:rPr>
          <w:rFonts w:eastAsia="Calibri"/>
          <w:szCs w:val="22"/>
        </w:rPr>
        <w:t xml:space="preserve">Laikyti gamintojo pakuotėje, kad </w:t>
      </w:r>
      <w:r>
        <w:rPr>
          <w:rFonts w:eastAsia="Calibri"/>
          <w:szCs w:val="22"/>
        </w:rPr>
        <w:t>vaistas</w:t>
      </w:r>
      <w:r w:rsidRPr="00D724AC">
        <w:rPr>
          <w:rFonts w:eastAsia="Calibri"/>
          <w:szCs w:val="22"/>
        </w:rPr>
        <w:t xml:space="preserve"> būtų apsaugotas nuo drėgmės.</w:t>
      </w:r>
    </w:p>
    <w:p w14:paraId="04117474" w14:textId="77777777" w:rsidR="00A80CF8" w:rsidRPr="00D724AC" w:rsidRDefault="00A80CF8" w:rsidP="00A80CF8">
      <w:pPr>
        <w:tabs>
          <w:tab w:val="left" w:pos="567"/>
        </w:tabs>
        <w:spacing w:line="260" w:lineRule="exact"/>
        <w:rPr>
          <w:rFonts w:eastAsia="Calibri"/>
          <w:szCs w:val="22"/>
        </w:rPr>
      </w:pPr>
    </w:p>
    <w:p w14:paraId="2CAD4096" w14:textId="77777777" w:rsidR="00A80CF8" w:rsidRPr="00D724AC" w:rsidRDefault="00A80CF8" w:rsidP="00A80CF8">
      <w:pPr>
        <w:tabs>
          <w:tab w:val="left" w:pos="567"/>
        </w:tabs>
        <w:spacing w:line="260" w:lineRule="exact"/>
        <w:rPr>
          <w:snapToGrid w:val="0"/>
          <w:szCs w:val="22"/>
          <w:lang w:eastAsia="en-US"/>
        </w:rPr>
      </w:pPr>
    </w:p>
    <w:p w14:paraId="0D93880C"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outlineLvl w:val="0"/>
        <w:rPr>
          <w:b/>
          <w:snapToGrid w:val="0"/>
          <w:szCs w:val="22"/>
          <w:lang w:eastAsia="en-US"/>
        </w:rPr>
      </w:pPr>
      <w:r w:rsidRPr="00D724AC">
        <w:rPr>
          <w:b/>
          <w:snapToGrid w:val="0"/>
          <w:szCs w:val="22"/>
          <w:lang w:eastAsia="en-US"/>
        </w:rPr>
        <w:t>10.</w:t>
      </w:r>
      <w:r w:rsidRPr="00D724AC">
        <w:rPr>
          <w:b/>
          <w:snapToGrid w:val="0"/>
          <w:szCs w:val="22"/>
          <w:lang w:eastAsia="en-US"/>
        </w:rPr>
        <w:tab/>
        <w:t>SPECIALIOS ATSARGUMO PRIEMONĖS DĖL NESUVARTOTO VAISTINIO PREPARATO AR JO ATLIEKŲ TVARKYMO (JEI REIKIA)</w:t>
      </w:r>
    </w:p>
    <w:p w14:paraId="6FD6E7C2" w14:textId="77777777" w:rsidR="00A80CF8" w:rsidRPr="00D724AC" w:rsidRDefault="00A80CF8" w:rsidP="00A80CF8">
      <w:pPr>
        <w:tabs>
          <w:tab w:val="left" w:pos="567"/>
        </w:tabs>
        <w:spacing w:line="260" w:lineRule="exact"/>
        <w:rPr>
          <w:snapToGrid w:val="0"/>
          <w:szCs w:val="22"/>
          <w:lang w:eastAsia="en-US"/>
        </w:rPr>
      </w:pPr>
    </w:p>
    <w:p w14:paraId="2285EE8C" w14:textId="77777777" w:rsidR="00A80CF8" w:rsidRPr="00D724AC" w:rsidRDefault="00A80CF8" w:rsidP="00A80CF8">
      <w:pPr>
        <w:tabs>
          <w:tab w:val="left" w:pos="567"/>
        </w:tabs>
        <w:spacing w:line="260" w:lineRule="exact"/>
        <w:rPr>
          <w:snapToGrid w:val="0"/>
          <w:szCs w:val="22"/>
          <w:lang w:eastAsia="en-US"/>
        </w:rPr>
      </w:pPr>
    </w:p>
    <w:p w14:paraId="071D2816"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Cs w:val="22"/>
          <w:lang w:eastAsia="en-US"/>
        </w:rPr>
      </w:pPr>
      <w:r w:rsidRPr="00D724AC">
        <w:rPr>
          <w:b/>
          <w:snapToGrid w:val="0"/>
          <w:szCs w:val="22"/>
          <w:lang w:eastAsia="en-US"/>
        </w:rPr>
        <w:t>11.</w:t>
      </w:r>
      <w:r w:rsidRPr="00D724AC">
        <w:rPr>
          <w:b/>
          <w:snapToGrid w:val="0"/>
          <w:szCs w:val="22"/>
          <w:lang w:eastAsia="en-US"/>
        </w:rPr>
        <w:tab/>
      </w:r>
      <w:r w:rsidRPr="00D724AC">
        <w:rPr>
          <w:b/>
          <w:caps/>
          <w:snapToGrid w:val="0"/>
          <w:szCs w:val="22"/>
          <w:lang w:eastAsia="en-US"/>
        </w:rPr>
        <w:t>REGISTRUOTOJO</w:t>
      </w:r>
      <w:r w:rsidRPr="00D724AC" w:rsidDel="00880D52">
        <w:rPr>
          <w:b/>
          <w:caps/>
          <w:snapToGrid w:val="0"/>
          <w:szCs w:val="22"/>
          <w:lang w:eastAsia="en-US"/>
        </w:rPr>
        <w:t xml:space="preserve"> </w:t>
      </w:r>
      <w:r w:rsidRPr="00D724AC">
        <w:rPr>
          <w:b/>
          <w:caps/>
          <w:snapToGrid w:val="0"/>
          <w:szCs w:val="22"/>
          <w:lang w:eastAsia="en-US"/>
        </w:rPr>
        <w:t>PAVADINIMAS IR ADRESAS</w:t>
      </w:r>
    </w:p>
    <w:p w14:paraId="04978274" w14:textId="77777777" w:rsidR="00A80CF8" w:rsidRPr="00D724AC" w:rsidRDefault="00A80CF8" w:rsidP="00A80CF8">
      <w:pPr>
        <w:tabs>
          <w:tab w:val="left" w:pos="567"/>
        </w:tabs>
        <w:spacing w:line="260" w:lineRule="exact"/>
        <w:rPr>
          <w:snapToGrid w:val="0"/>
          <w:szCs w:val="22"/>
          <w:lang w:eastAsia="en-US"/>
        </w:rPr>
      </w:pPr>
    </w:p>
    <w:p w14:paraId="437440EE" w14:textId="77777777" w:rsidR="00A80CF8" w:rsidRPr="00D724AC" w:rsidRDefault="00A80CF8" w:rsidP="00A80CF8">
      <w:pPr>
        <w:rPr>
          <w:snapToGrid w:val="0"/>
          <w:szCs w:val="22"/>
          <w:lang w:eastAsia="en-US"/>
        </w:rPr>
      </w:pPr>
      <w:r w:rsidRPr="00D724AC">
        <w:rPr>
          <w:snapToGrid w:val="0"/>
          <w:szCs w:val="22"/>
          <w:lang w:eastAsia="en-US"/>
        </w:rPr>
        <w:t>Medochemie Ltd.</w:t>
      </w:r>
      <w:r>
        <w:rPr>
          <w:snapToGrid w:val="0"/>
          <w:szCs w:val="22"/>
          <w:lang w:eastAsia="en-US"/>
        </w:rPr>
        <w:t xml:space="preserve">, </w:t>
      </w:r>
      <w:r w:rsidRPr="00D724AC">
        <w:rPr>
          <w:snapToGrid w:val="0"/>
          <w:szCs w:val="22"/>
          <w:lang w:eastAsia="en-US"/>
        </w:rPr>
        <w:t xml:space="preserve">1-10 Constantinoupoleos </w:t>
      </w:r>
      <w:r>
        <w:rPr>
          <w:snapToGrid w:val="0"/>
          <w:szCs w:val="22"/>
          <w:lang w:eastAsia="en-US"/>
        </w:rPr>
        <w:t>S</w:t>
      </w:r>
      <w:r w:rsidRPr="00D724AC">
        <w:rPr>
          <w:snapToGrid w:val="0"/>
          <w:szCs w:val="22"/>
          <w:lang w:eastAsia="en-US"/>
        </w:rPr>
        <w:t>treet</w:t>
      </w:r>
      <w:r>
        <w:rPr>
          <w:snapToGrid w:val="0"/>
          <w:szCs w:val="22"/>
          <w:lang w:eastAsia="en-US"/>
        </w:rPr>
        <w:t xml:space="preserve">, </w:t>
      </w:r>
      <w:r w:rsidRPr="00D724AC">
        <w:rPr>
          <w:snapToGrid w:val="0"/>
          <w:szCs w:val="22"/>
          <w:lang w:eastAsia="en-US"/>
        </w:rPr>
        <w:t>3011 Limassol</w:t>
      </w:r>
      <w:r>
        <w:rPr>
          <w:snapToGrid w:val="0"/>
          <w:szCs w:val="22"/>
          <w:lang w:eastAsia="en-US"/>
        </w:rPr>
        <w:t xml:space="preserve">, </w:t>
      </w:r>
      <w:r w:rsidRPr="00D724AC">
        <w:rPr>
          <w:snapToGrid w:val="0"/>
          <w:szCs w:val="22"/>
          <w:lang w:eastAsia="en-US"/>
        </w:rPr>
        <w:t>Kipras</w:t>
      </w:r>
    </w:p>
    <w:p w14:paraId="5DEBCB6B" w14:textId="77777777" w:rsidR="00A80CF8" w:rsidRPr="00D724AC" w:rsidRDefault="00A80CF8" w:rsidP="00A80CF8">
      <w:pPr>
        <w:tabs>
          <w:tab w:val="left" w:pos="567"/>
        </w:tabs>
        <w:spacing w:line="260" w:lineRule="exact"/>
        <w:rPr>
          <w:snapToGrid w:val="0"/>
          <w:szCs w:val="22"/>
          <w:lang w:eastAsia="en-US"/>
        </w:rPr>
      </w:pPr>
    </w:p>
    <w:p w14:paraId="39E7A35C" w14:textId="77777777" w:rsidR="00A80CF8" w:rsidRPr="00D724AC" w:rsidRDefault="00A80CF8" w:rsidP="00A80CF8">
      <w:pPr>
        <w:tabs>
          <w:tab w:val="left" w:pos="567"/>
        </w:tabs>
        <w:spacing w:line="260" w:lineRule="exact"/>
        <w:rPr>
          <w:snapToGrid w:val="0"/>
          <w:szCs w:val="22"/>
          <w:lang w:eastAsia="en-US"/>
        </w:rPr>
      </w:pPr>
    </w:p>
    <w:p w14:paraId="0672D1F3"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outlineLvl w:val="0"/>
        <w:rPr>
          <w:snapToGrid w:val="0"/>
          <w:szCs w:val="22"/>
          <w:lang w:eastAsia="en-US"/>
        </w:rPr>
      </w:pPr>
      <w:r w:rsidRPr="00D724AC">
        <w:rPr>
          <w:b/>
          <w:snapToGrid w:val="0"/>
          <w:szCs w:val="22"/>
          <w:lang w:eastAsia="en-US"/>
        </w:rPr>
        <w:t>12.</w:t>
      </w:r>
      <w:r w:rsidRPr="00D724AC">
        <w:rPr>
          <w:b/>
          <w:snapToGrid w:val="0"/>
          <w:szCs w:val="22"/>
          <w:lang w:eastAsia="en-US"/>
        </w:rPr>
        <w:tab/>
        <w:t xml:space="preserve">REGISTRACIJOS PAŽYMĖJIMO NUMERIS (-IAI) </w:t>
      </w:r>
    </w:p>
    <w:p w14:paraId="7DECFC5D" w14:textId="77777777" w:rsidR="00A80CF8" w:rsidRPr="00D724AC" w:rsidRDefault="00A80CF8" w:rsidP="00A80CF8">
      <w:pPr>
        <w:tabs>
          <w:tab w:val="left" w:pos="567"/>
        </w:tabs>
        <w:spacing w:line="260" w:lineRule="exact"/>
        <w:rPr>
          <w:snapToGrid w:val="0"/>
          <w:szCs w:val="22"/>
          <w:lang w:eastAsia="en-US"/>
        </w:rPr>
      </w:pPr>
    </w:p>
    <w:p w14:paraId="079A789F"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150 mg/12,5 mg</w:t>
      </w:r>
    </w:p>
    <w:p w14:paraId="4C12108D" w14:textId="77777777" w:rsidR="00A80CF8" w:rsidRPr="002E32D4" w:rsidRDefault="00A80CF8" w:rsidP="00A80CF8">
      <w:pPr>
        <w:tabs>
          <w:tab w:val="left" w:pos="709"/>
        </w:tabs>
        <w:spacing w:line="260" w:lineRule="exact"/>
        <w:rPr>
          <w:rFonts w:eastAsia="Calibri"/>
          <w:highlight w:val="lightGray"/>
        </w:rPr>
      </w:pPr>
      <w:r>
        <w:t xml:space="preserve">LT/1/14/3585/001 </w:t>
      </w:r>
      <w:r w:rsidRPr="002E32D4">
        <w:rPr>
          <w:rFonts w:eastAsia="Calibri"/>
          <w:highlight w:val="lightGray"/>
        </w:rPr>
        <w:t>– N14</w:t>
      </w:r>
    </w:p>
    <w:p w14:paraId="6C11D22D"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LT/1/14/3585/002 – N28</w:t>
      </w:r>
    </w:p>
    <w:p w14:paraId="02B90A34"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LT/1/14/3585/003 – N30</w:t>
      </w:r>
    </w:p>
    <w:p w14:paraId="0FC91821"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LT/1/14/3585/004 – N56</w:t>
      </w:r>
    </w:p>
    <w:p w14:paraId="30AF560D"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LT/1/14/3585/005 – N60</w:t>
      </w:r>
    </w:p>
    <w:p w14:paraId="5184F3B5"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LT/1/14/3585/006 – N84</w:t>
      </w:r>
    </w:p>
    <w:p w14:paraId="74864F6D"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LT/1/14/3585/007 – N90</w:t>
      </w:r>
    </w:p>
    <w:p w14:paraId="5FA1FF48"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LT/1/14/3585/008 – N98</w:t>
      </w:r>
    </w:p>
    <w:p w14:paraId="64CB6291"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 xml:space="preserve">LT/1/14/3585/009 – N100      </w:t>
      </w:r>
    </w:p>
    <w:p w14:paraId="699146B7"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300 mg/25 mg</w:t>
      </w:r>
    </w:p>
    <w:p w14:paraId="0552C5DB" w14:textId="77777777" w:rsidR="00A80CF8" w:rsidRPr="002E32D4" w:rsidRDefault="00A80CF8" w:rsidP="00A80CF8">
      <w:pPr>
        <w:tabs>
          <w:tab w:val="left" w:pos="709"/>
        </w:tabs>
        <w:spacing w:line="260" w:lineRule="exact"/>
        <w:rPr>
          <w:rFonts w:eastAsia="Calibri"/>
          <w:highlight w:val="lightGray"/>
        </w:rPr>
      </w:pPr>
      <w:r w:rsidRPr="00863992">
        <w:rPr>
          <w:rFonts w:eastAsia="Calibri"/>
          <w:highlight w:val="lightGray"/>
        </w:rPr>
        <w:t>LT/1/14/3585/010</w:t>
      </w:r>
      <w:r>
        <w:t xml:space="preserve"> </w:t>
      </w:r>
      <w:r w:rsidRPr="002E32D4">
        <w:rPr>
          <w:rFonts w:eastAsia="Calibri"/>
          <w:highlight w:val="lightGray"/>
        </w:rPr>
        <w:t>– N14</w:t>
      </w:r>
    </w:p>
    <w:p w14:paraId="537D2133"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LT/1/14/3585/011 – N28</w:t>
      </w:r>
    </w:p>
    <w:p w14:paraId="026F75AD"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LT/1/14/3585/012 – N30</w:t>
      </w:r>
    </w:p>
    <w:p w14:paraId="090220A7"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LT/1/14/3585/013 – N56</w:t>
      </w:r>
    </w:p>
    <w:p w14:paraId="31AB5FFE"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LT/1/14/3585/014 – N60</w:t>
      </w:r>
    </w:p>
    <w:p w14:paraId="168E5C06"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LT/1/14/3585/015 – N84</w:t>
      </w:r>
    </w:p>
    <w:p w14:paraId="6E6D04B7"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LT/1/14/3585/016 – N90</w:t>
      </w:r>
    </w:p>
    <w:p w14:paraId="675AE151"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LT/1/14/3585/017 – N98</w:t>
      </w:r>
    </w:p>
    <w:p w14:paraId="2482DA30"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LT/1/14/3585/018 – N100</w:t>
      </w:r>
    </w:p>
    <w:p w14:paraId="4AF91D48" w14:textId="77777777" w:rsidR="00A80CF8" w:rsidRDefault="00A80CF8" w:rsidP="00A80CF8">
      <w:pPr>
        <w:tabs>
          <w:tab w:val="left" w:pos="709"/>
        </w:tabs>
        <w:spacing w:line="260" w:lineRule="exact"/>
      </w:pPr>
    </w:p>
    <w:p w14:paraId="51E535B0" w14:textId="77777777" w:rsidR="00A80CF8" w:rsidRPr="00D724AC" w:rsidRDefault="00A80CF8" w:rsidP="00A80CF8">
      <w:pPr>
        <w:tabs>
          <w:tab w:val="left" w:pos="567"/>
        </w:tabs>
        <w:spacing w:line="260" w:lineRule="exact"/>
        <w:rPr>
          <w:snapToGrid w:val="0"/>
          <w:szCs w:val="22"/>
          <w:lang w:eastAsia="en-US"/>
        </w:rPr>
      </w:pPr>
    </w:p>
    <w:p w14:paraId="6149754E"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outlineLvl w:val="0"/>
        <w:rPr>
          <w:snapToGrid w:val="0"/>
          <w:szCs w:val="22"/>
          <w:lang w:eastAsia="en-US"/>
        </w:rPr>
      </w:pPr>
      <w:r w:rsidRPr="00D724AC">
        <w:rPr>
          <w:b/>
          <w:snapToGrid w:val="0"/>
          <w:szCs w:val="22"/>
          <w:lang w:eastAsia="en-US"/>
        </w:rPr>
        <w:t>13.</w:t>
      </w:r>
      <w:r w:rsidRPr="00D724AC">
        <w:rPr>
          <w:b/>
          <w:snapToGrid w:val="0"/>
          <w:szCs w:val="22"/>
          <w:lang w:eastAsia="en-US"/>
        </w:rPr>
        <w:tab/>
        <w:t xml:space="preserve">SERIJOS NUMERIS </w:t>
      </w:r>
    </w:p>
    <w:p w14:paraId="5A261F68" w14:textId="77777777" w:rsidR="00A80CF8" w:rsidRPr="00D724AC" w:rsidRDefault="00A80CF8" w:rsidP="00A80CF8">
      <w:pPr>
        <w:tabs>
          <w:tab w:val="left" w:pos="567"/>
        </w:tabs>
        <w:spacing w:line="260" w:lineRule="exact"/>
        <w:rPr>
          <w:snapToGrid w:val="0"/>
          <w:szCs w:val="22"/>
          <w:lang w:eastAsia="en-US"/>
        </w:rPr>
      </w:pPr>
    </w:p>
    <w:p w14:paraId="038FAC1B" w14:textId="77777777" w:rsidR="00A80CF8" w:rsidRPr="00D724AC" w:rsidRDefault="00A80CF8" w:rsidP="00A80CF8">
      <w:pPr>
        <w:tabs>
          <w:tab w:val="left" w:pos="567"/>
        </w:tabs>
        <w:spacing w:line="260" w:lineRule="exact"/>
        <w:rPr>
          <w:snapToGrid w:val="0"/>
          <w:szCs w:val="22"/>
          <w:lang w:eastAsia="en-US"/>
        </w:rPr>
      </w:pPr>
      <w:r w:rsidRPr="00D724AC">
        <w:rPr>
          <w:snapToGrid w:val="0"/>
          <w:szCs w:val="22"/>
          <w:lang w:eastAsia="en-US"/>
        </w:rPr>
        <w:t>Lot</w:t>
      </w:r>
      <w:r>
        <w:rPr>
          <w:snapToGrid w:val="0"/>
          <w:szCs w:val="22"/>
          <w:lang w:eastAsia="en-US"/>
        </w:rPr>
        <w:t>: {numeris}</w:t>
      </w:r>
    </w:p>
    <w:p w14:paraId="39CA3AB0" w14:textId="77777777" w:rsidR="00A80CF8" w:rsidRDefault="00A80CF8" w:rsidP="00A80CF8">
      <w:pPr>
        <w:tabs>
          <w:tab w:val="left" w:pos="567"/>
        </w:tabs>
        <w:spacing w:line="260" w:lineRule="exact"/>
        <w:rPr>
          <w:snapToGrid w:val="0"/>
          <w:szCs w:val="22"/>
          <w:lang w:eastAsia="en-US"/>
        </w:rPr>
      </w:pPr>
    </w:p>
    <w:p w14:paraId="1E3A323A" w14:textId="77777777" w:rsidR="00A80CF8" w:rsidRPr="00D724AC" w:rsidRDefault="00A80CF8" w:rsidP="00A80CF8">
      <w:pPr>
        <w:keepNext/>
        <w:tabs>
          <w:tab w:val="left" w:pos="567"/>
        </w:tabs>
        <w:spacing w:line="260" w:lineRule="exact"/>
        <w:rPr>
          <w:snapToGrid w:val="0"/>
          <w:szCs w:val="22"/>
          <w:lang w:eastAsia="en-US"/>
        </w:rPr>
      </w:pPr>
    </w:p>
    <w:p w14:paraId="39A5AF11" w14:textId="77777777" w:rsidR="00A80CF8" w:rsidRPr="00D724AC" w:rsidRDefault="00A80CF8" w:rsidP="00A80CF8">
      <w:pPr>
        <w:keepNext/>
        <w:pBdr>
          <w:top w:val="single" w:sz="4" w:space="1" w:color="auto"/>
          <w:left w:val="single" w:sz="4" w:space="4" w:color="auto"/>
          <w:bottom w:val="single" w:sz="4" w:space="1" w:color="auto"/>
          <w:right w:val="single" w:sz="4" w:space="4" w:color="auto"/>
        </w:pBdr>
        <w:tabs>
          <w:tab w:val="left" w:pos="567"/>
        </w:tabs>
        <w:outlineLvl w:val="0"/>
        <w:rPr>
          <w:snapToGrid w:val="0"/>
          <w:szCs w:val="22"/>
          <w:lang w:eastAsia="en-US"/>
        </w:rPr>
      </w:pPr>
      <w:r w:rsidRPr="00D724AC">
        <w:rPr>
          <w:b/>
          <w:snapToGrid w:val="0"/>
          <w:szCs w:val="22"/>
          <w:lang w:eastAsia="en-US"/>
        </w:rPr>
        <w:t>14.</w:t>
      </w:r>
      <w:r w:rsidRPr="00D724AC">
        <w:rPr>
          <w:b/>
          <w:snapToGrid w:val="0"/>
          <w:szCs w:val="22"/>
          <w:lang w:eastAsia="en-US"/>
        </w:rPr>
        <w:tab/>
        <w:t>PARDAVIMO (IŠDAVIMO) TVARKA</w:t>
      </w:r>
    </w:p>
    <w:p w14:paraId="2439EA68" w14:textId="77777777" w:rsidR="00A80CF8" w:rsidRPr="00D724AC" w:rsidRDefault="00A80CF8" w:rsidP="00A80CF8">
      <w:pPr>
        <w:keepNext/>
        <w:tabs>
          <w:tab w:val="left" w:pos="567"/>
        </w:tabs>
        <w:spacing w:line="260" w:lineRule="exact"/>
        <w:rPr>
          <w:snapToGrid w:val="0"/>
          <w:szCs w:val="22"/>
          <w:lang w:eastAsia="en-US"/>
        </w:rPr>
      </w:pPr>
    </w:p>
    <w:p w14:paraId="5CE25958" w14:textId="77777777" w:rsidR="00A80CF8" w:rsidRPr="00D724AC" w:rsidRDefault="00A80CF8" w:rsidP="00A80CF8">
      <w:pPr>
        <w:tabs>
          <w:tab w:val="left" w:pos="567"/>
        </w:tabs>
        <w:spacing w:line="260" w:lineRule="exact"/>
        <w:rPr>
          <w:snapToGrid w:val="0"/>
          <w:szCs w:val="22"/>
          <w:lang w:eastAsia="en-US"/>
        </w:rPr>
      </w:pPr>
      <w:r w:rsidRPr="00D724AC">
        <w:rPr>
          <w:snapToGrid w:val="0"/>
          <w:szCs w:val="22"/>
          <w:lang w:eastAsia="en-US"/>
        </w:rPr>
        <w:t>Receptinis vaistas.</w:t>
      </w:r>
    </w:p>
    <w:p w14:paraId="728A5C55" w14:textId="77777777" w:rsidR="00A80CF8" w:rsidRPr="00D724AC" w:rsidRDefault="00A80CF8" w:rsidP="00A80CF8">
      <w:pPr>
        <w:tabs>
          <w:tab w:val="left" w:pos="567"/>
        </w:tabs>
        <w:spacing w:line="260" w:lineRule="exact"/>
        <w:rPr>
          <w:snapToGrid w:val="0"/>
          <w:szCs w:val="22"/>
          <w:lang w:eastAsia="en-US"/>
        </w:rPr>
      </w:pPr>
    </w:p>
    <w:p w14:paraId="41052124" w14:textId="77777777" w:rsidR="00A80CF8" w:rsidRPr="00D724AC" w:rsidRDefault="00A80CF8" w:rsidP="00A80CF8">
      <w:pPr>
        <w:tabs>
          <w:tab w:val="left" w:pos="567"/>
        </w:tabs>
        <w:spacing w:line="260" w:lineRule="exact"/>
        <w:rPr>
          <w:snapToGrid w:val="0"/>
          <w:szCs w:val="22"/>
          <w:lang w:eastAsia="en-US"/>
        </w:rPr>
      </w:pPr>
    </w:p>
    <w:p w14:paraId="7CD52A15" w14:textId="77777777" w:rsidR="00A80CF8" w:rsidRPr="00D724AC" w:rsidRDefault="00A80CF8" w:rsidP="00A80CF8">
      <w:pPr>
        <w:pBdr>
          <w:top w:val="single" w:sz="4" w:space="2" w:color="auto"/>
          <w:left w:val="single" w:sz="4" w:space="4" w:color="auto"/>
          <w:bottom w:val="single" w:sz="4" w:space="1" w:color="auto"/>
          <w:right w:val="single" w:sz="4" w:space="4" w:color="auto"/>
        </w:pBdr>
        <w:tabs>
          <w:tab w:val="left" w:pos="567"/>
        </w:tabs>
        <w:outlineLvl w:val="0"/>
        <w:rPr>
          <w:snapToGrid w:val="0"/>
          <w:szCs w:val="22"/>
          <w:lang w:eastAsia="en-US"/>
        </w:rPr>
      </w:pPr>
      <w:r w:rsidRPr="00D724AC">
        <w:rPr>
          <w:b/>
          <w:snapToGrid w:val="0"/>
          <w:szCs w:val="22"/>
          <w:lang w:eastAsia="en-US"/>
        </w:rPr>
        <w:lastRenderedPageBreak/>
        <w:t>15.</w:t>
      </w:r>
      <w:r w:rsidRPr="00D724AC">
        <w:rPr>
          <w:b/>
          <w:snapToGrid w:val="0"/>
          <w:szCs w:val="22"/>
          <w:lang w:eastAsia="en-US"/>
        </w:rPr>
        <w:tab/>
        <w:t>VARTOJIMO INSTRUKCIJA</w:t>
      </w:r>
    </w:p>
    <w:p w14:paraId="18BC56D3" w14:textId="77777777" w:rsidR="00A80CF8" w:rsidRPr="00D724AC" w:rsidRDefault="00A80CF8" w:rsidP="00A80CF8">
      <w:pPr>
        <w:tabs>
          <w:tab w:val="left" w:pos="567"/>
        </w:tabs>
        <w:spacing w:line="260" w:lineRule="exact"/>
        <w:rPr>
          <w:snapToGrid w:val="0"/>
          <w:szCs w:val="22"/>
          <w:lang w:eastAsia="en-US"/>
        </w:rPr>
      </w:pPr>
    </w:p>
    <w:p w14:paraId="0C5BA569" w14:textId="77777777" w:rsidR="00A80CF8" w:rsidRPr="00D724AC" w:rsidRDefault="00A80CF8" w:rsidP="00A80CF8">
      <w:pPr>
        <w:tabs>
          <w:tab w:val="left" w:pos="567"/>
        </w:tabs>
        <w:spacing w:line="260" w:lineRule="exact"/>
        <w:rPr>
          <w:snapToGrid w:val="0"/>
          <w:szCs w:val="22"/>
          <w:lang w:eastAsia="en-US"/>
        </w:rPr>
      </w:pPr>
    </w:p>
    <w:p w14:paraId="32E56EEF" w14:textId="77777777" w:rsidR="00A80CF8" w:rsidRPr="0035647D" w:rsidRDefault="00A80CF8" w:rsidP="00A80CF8">
      <w:pPr>
        <w:pBdr>
          <w:top w:val="single" w:sz="4" w:space="1" w:color="auto"/>
          <w:left w:val="single" w:sz="4" w:space="4" w:color="auto"/>
          <w:bottom w:val="single" w:sz="4" w:space="0" w:color="auto"/>
          <w:right w:val="single" w:sz="4" w:space="4" w:color="auto"/>
        </w:pBdr>
        <w:tabs>
          <w:tab w:val="left" w:pos="567"/>
        </w:tabs>
        <w:rPr>
          <w:snapToGrid w:val="0"/>
          <w:szCs w:val="22"/>
          <w:lang w:eastAsia="en-US"/>
        </w:rPr>
      </w:pPr>
      <w:r w:rsidRPr="00B22903">
        <w:rPr>
          <w:b/>
          <w:snapToGrid w:val="0"/>
          <w:szCs w:val="22"/>
          <w:lang w:eastAsia="en-US"/>
        </w:rPr>
        <w:t>16.</w:t>
      </w:r>
      <w:r w:rsidRPr="00B22903">
        <w:rPr>
          <w:b/>
          <w:snapToGrid w:val="0"/>
          <w:szCs w:val="22"/>
          <w:lang w:eastAsia="en-US"/>
        </w:rPr>
        <w:tab/>
        <w:t>INFORMACIJA BRAILIO RAŠTU</w:t>
      </w:r>
    </w:p>
    <w:p w14:paraId="26DD8CBC" w14:textId="77777777" w:rsidR="00A80CF8" w:rsidRPr="00D724AC" w:rsidRDefault="00A80CF8" w:rsidP="00A80CF8">
      <w:pPr>
        <w:tabs>
          <w:tab w:val="left" w:pos="567"/>
        </w:tabs>
        <w:spacing w:line="260" w:lineRule="exact"/>
        <w:rPr>
          <w:snapToGrid w:val="0"/>
          <w:szCs w:val="22"/>
          <w:lang w:eastAsia="en-US"/>
        </w:rPr>
      </w:pPr>
    </w:p>
    <w:p w14:paraId="1C6CCDD5" w14:textId="77777777" w:rsidR="00A80CF8" w:rsidRPr="00D724AC" w:rsidRDefault="00A80CF8" w:rsidP="00A80CF8">
      <w:pPr>
        <w:autoSpaceDE w:val="0"/>
        <w:autoSpaceDN w:val="0"/>
        <w:adjustRightInd w:val="0"/>
        <w:rPr>
          <w:rFonts w:eastAsia="Calibri"/>
          <w:szCs w:val="22"/>
        </w:rPr>
      </w:pPr>
      <w:r>
        <w:rPr>
          <w:rFonts w:eastAsia="Calibri"/>
          <w:szCs w:val="22"/>
        </w:rPr>
        <w:t>converide</w:t>
      </w:r>
      <w:r w:rsidRPr="00D724AC">
        <w:rPr>
          <w:rFonts w:eastAsia="Calibri"/>
          <w:szCs w:val="22"/>
        </w:rPr>
        <w:t xml:space="preserve"> 150</w:t>
      </w:r>
      <w:r>
        <w:rPr>
          <w:rFonts w:eastAsia="Calibri"/>
          <w:szCs w:val="22"/>
        </w:rPr>
        <w:t> </w:t>
      </w:r>
      <w:r w:rsidRPr="00D724AC">
        <w:rPr>
          <w:rFonts w:eastAsia="Calibri"/>
          <w:szCs w:val="22"/>
        </w:rPr>
        <w:t>mg/12,5</w:t>
      </w:r>
      <w:r>
        <w:rPr>
          <w:rFonts w:eastAsia="Calibri"/>
          <w:szCs w:val="22"/>
        </w:rPr>
        <w:t> </w:t>
      </w:r>
      <w:r w:rsidRPr="00D724AC">
        <w:rPr>
          <w:rFonts w:eastAsia="Calibri"/>
          <w:szCs w:val="22"/>
        </w:rPr>
        <w:t xml:space="preserve">mg </w:t>
      </w:r>
    </w:p>
    <w:p w14:paraId="15212D70" w14:textId="77777777" w:rsidR="00A80CF8" w:rsidRPr="00D724AC" w:rsidRDefault="00A80CF8" w:rsidP="00A80CF8">
      <w:pPr>
        <w:autoSpaceDE w:val="0"/>
        <w:autoSpaceDN w:val="0"/>
        <w:adjustRightInd w:val="0"/>
        <w:rPr>
          <w:rFonts w:eastAsia="Calibri"/>
          <w:szCs w:val="22"/>
        </w:rPr>
      </w:pPr>
      <w:r>
        <w:rPr>
          <w:rFonts w:eastAsia="Calibri"/>
          <w:szCs w:val="22"/>
          <w:highlight w:val="lightGray"/>
        </w:rPr>
        <w:t>converide</w:t>
      </w:r>
      <w:r w:rsidRPr="00396DCB">
        <w:rPr>
          <w:rFonts w:eastAsia="Calibri"/>
          <w:highlight w:val="lightGray"/>
        </w:rPr>
        <w:t xml:space="preserve"> 300</w:t>
      </w:r>
      <w:r>
        <w:rPr>
          <w:rFonts w:eastAsia="Calibri"/>
          <w:highlight w:val="lightGray"/>
        </w:rPr>
        <w:t> </w:t>
      </w:r>
      <w:r w:rsidRPr="00396DCB">
        <w:rPr>
          <w:rFonts w:eastAsia="Calibri"/>
          <w:highlight w:val="lightGray"/>
        </w:rPr>
        <w:t>mg/25</w:t>
      </w:r>
      <w:r>
        <w:rPr>
          <w:rFonts w:eastAsia="Calibri"/>
          <w:highlight w:val="lightGray"/>
        </w:rPr>
        <w:t> </w:t>
      </w:r>
      <w:r w:rsidRPr="00396DCB">
        <w:rPr>
          <w:rFonts w:eastAsia="Calibri"/>
          <w:highlight w:val="lightGray"/>
        </w:rPr>
        <w:t xml:space="preserve">mg </w:t>
      </w:r>
    </w:p>
    <w:p w14:paraId="34D8D8FC" w14:textId="77777777" w:rsidR="00A80CF8" w:rsidRPr="00D724AC" w:rsidRDefault="00A80CF8" w:rsidP="00A80CF8">
      <w:pPr>
        <w:autoSpaceDE w:val="0"/>
        <w:autoSpaceDN w:val="0"/>
        <w:adjustRightInd w:val="0"/>
        <w:rPr>
          <w:rFonts w:eastAsia="Calibri"/>
          <w:szCs w:val="22"/>
        </w:rPr>
      </w:pPr>
    </w:p>
    <w:p w14:paraId="7E091755" w14:textId="77777777" w:rsidR="00A80CF8" w:rsidRPr="00D724AC" w:rsidRDefault="00A80CF8" w:rsidP="00A80CF8">
      <w:pPr>
        <w:autoSpaceDE w:val="0"/>
        <w:autoSpaceDN w:val="0"/>
        <w:adjustRightInd w:val="0"/>
        <w:rPr>
          <w:rFonts w:eastAsia="Calibri"/>
          <w:szCs w:val="22"/>
        </w:rPr>
      </w:pPr>
    </w:p>
    <w:p w14:paraId="3DD10546" w14:textId="77777777" w:rsidR="00A80CF8" w:rsidRPr="00C03B46" w:rsidRDefault="00A80CF8" w:rsidP="00A80CF8">
      <w:pPr>
        <w:pBdr>
          <w:top w:val="single" w:sz="4" w:space="1" w:color="auto"/>
          <w:left w:val="single" w:sz="4" w:space="4" w:color="auto"/>
          <w:bottom w:val="single" w:sz="4" w:space="1" w:color="auto"/>
          <w:right w:val="single" w:sz="4" w:space="4" w:color="auto"/>
        </w:pBdr>
        <w:rPr>
          <w:b/>
          <w:i/>
          <w:noProof/>
          <w:snapToGrid w:val="0"/>
          <w:szCs w:val="24"/>
          <w:lang w:eastAsia="en-US"/>
        </w:rPr>
      </w:pPr>
      <w:r w:rsidRPr="00C03B46">
        <w:rPr>
          <w:b/>
          <w:noProof/>
          <w:snapToGrid w:val="0"/>
          <w:lang w:eastAsia="en-US"/>
        </w:rPr>
        <w:t>17.</w:t>
      </w:r>
      <w:r w:rsidRPr="00C03B46">
        <w:rPr>
          <w:b/>
          <w:noProof/>
          <w:snapToGrid w:val="0"/>
          <w:lang w:eastAsia="en-US"/>
        </w:rPr>
        <w:tab/>
        <w:t>UNIKALUS IDENTIFIKATORIUS – 2D BRŪKŠNINIS KODAS</w:t>
      </w:r>
    </w:p>
    <w:p w14:paraId="16C42FC4" w14:textId="77777777" w:rsidR="00A80CF8" w:rsidRPr="00C03B46" w:rsidRDefault="00A80CF8" w:rsidP="00A80CF8">
      <w:pPr>
        <w:tabs>
          <w:tab w:val="left" w:pos="567"/>
        </w:tabs>
        <w:spacing w:line="260" w:lineRule="exact"/>
        <w:rPr>
          <w:noProof/>
          <w:snapToGrid w:val="0"/>
          <w:lang w:eastAsia="en-US"/>
        </w:rPr>
      </w:pPr>
    </w:p>
    <w:p w14:paraId="7F6923CD" w14:textId="77777777" w:rsidR="00A80CF8" w:rsidRPr="00C03B46" w:rsidRDefault="00A80CF8" w:rsidP="00A80CF8">
      <w:pPr>
        <w:tabs>
          <w:tab w:val="left" w:pos="567"/>
        </w:tabs>
        <w:spacing w:line="260" w:lineRule="exact"/>
        <w:rPr>
          <w:noProof/>
          <w:snapToGrid w:val="0"/>
          <w:szCs w:val="22"/>
          <w:shd w:val="clear" w:color="auto" w:fill="CCCCCC"/>
          <w:lang w:val="nn-NO" w:eastAsia="en-US"/>
        </w:rPr>
      </w:pPr>
      <w:r w:rsidRPr="00C03B46">
        <w:rPr>
          <w:highlight w:val="lightGray"/>
          <w:lang w:val="nn-NO"/>
        </w:rPr>
        <w:t>2D brūkšninis kodas su nurodytu unikaliu identifikatoriumi.</w:t>
      </w:r>
    </w:p>
    <w:p w14:paraId="7F8F791D" w14:textId="77777777" w:rsidR="00A80CF8" w:rsidRPr="00C03B46" w:rsidRDefault="00A80CF8" w:rsidP="00A80CF8">
      <w:pPr>
        <w:tabs>
          <w:tab w:val="left" w:pos="567"/>
        </w:tabs>
        <w:spacing w:line="260" w:lineRule="exact"/>
        <w:rPr>
          <w:highlight w:val="lightGray"/>
          <w:lang w:val="nn-NO"/>
        </w:rPr>
      </w:pPr>
    </w:p>
    <w:p w14:paraId="3E26414D" w14:textId="77777777" w:rsidR="00A80CF8" w:rsidRPr="00C03B46" w:rsidRDefault="00A80CF8" w:rsidP="00A80CF8">
      <w:pPr>
        <w:tabs>
          <w:tab w:val="left" w:pos="567"/>
        </w:tabs>
        <w:spacing w:line="260" w:lineRule="exact"/>
        <w:rPr>
          <w:noProof/>
          <w:snapToGrid w:val="0"/>
          <w:lang w:val="nn-NO" w:eastAsia="en-US"/>
        </w:rPr>
      </w:pPr>
    </w:p>
    <w:p w14:paraId="5CA3F2E0" w14:textId="77777777" w:rsidR="00A80CF8" w:rsidRPr="00D724AC" w:rsidRDefault="00A80CF8" w:rsidP="00A80CF8">
      <w:pPr>
        <w:pBdr>
          <w:top w:val="single" w:sz="4" w:space="1" w:color="auto"/>
          <w:left w:val="single" w:sz="4" w:space="4" w:color="auto"/>
          <w:bottom w:val="single" w:sz="4" w:space="1" w:color="auto"/>
          <w:right w:val="single" w:sz="4" w:space="4" w:color="auto"/>
        </w:pBdr>
        <w:rPr>
          <w:b/>
          <w:i/>
          <w:noProof/>
          <w:snapToGrid w:val="0"/>
          <w:lang w:val="en-GB" w:eastAsia="en-US"/>
        </w:rPr>
      </w:pPr>
      <w:r w:rsidRPr="00D724AC">
        <w:rPr>
          <w:b/>
          <w:noProof/>
          <w:snapToGrid w:val="0"/>
          <w:lang w:val="en-GB" w:eastAsia="en-US"/>
        </w:rPr>
        <w:t>18.</w:t>
      </w:r>
      <w:r w:rsidRPr="00D724AC">
        <w:rPr>
          <w:b/>
          <w:noProof/>
          <w:snapToGrid w:val="0"/>
          <w:lang w:val="en-GB" w:eastAsia="en-US"/>
        </w:rPr>
        <w:tab/>
        <w:t>UNIKALUS IDENTIFIKATORIUS – ŽMONĖMS SUPRANTAMI DUOMENYS</w:t>
      </w:r>
    </w:p>
    <w:p w14:paraId="18A9554B" w14:textId="77777777" w:rsidR="00A80CF8" w:rsidRPr="00D724AC" w:rsidRDefault="00A80CF8" w:rsidP="00A80CF8">
      <w:pPr>
        <w:tabs>
          <w:tab w:val="left" w:pos="567"/>
        </w:tabs>
        <w:spacing w:line="260" w:lineRule="exact"/>
        <w:rPr>
          <w:noProof/>
          <w:snapToGrid w:val="0"/>
          <w:lang w:val="en-GB" w:eastAsia="en-US"/>
        </w:rPr>
      </w:pPr>
    </w:p>
    <w:p w14:paraId="3339D086" w14:textId="77777777" w:rsidR="00A80CF8" w:rsidRPr="00C03B46" w:rsidRDefault="00A80CF8" w:rsidP="00A80CF8">
      <w:pPr>
        <w:tabs>
          <w:tab w:val="left" w:pos="567"/>
        </w:tabs>
        <w:spacing w:line="260" w:lineRule="exact"/>
        <w:rPr>
          <w:snapToGrid w:val="0"/>
          <w:szCs w:val="22"/>
          <w:lang w:eastAsia="en-US"/>
        </w:rPr>
      </w:pPr>
      <w:r w:rsidRPr="00C03B46">
        <w:rPr>
          <w:snapToGrid w:val="0"/>
          <w:lang w:eastAsia="en-US"/>
        </w:rPr>
        <w:t>PC: {numeris}</w:t>
      </w:r>
    </w:p>
    <w:p w14:paraId="4C0179F3" w14:textId="77777777" w:rsidR="00A80CF8" w:rsidRPr="00C03B46" w:rsidRDefault="00A80CF8" w:rsidP="00A80CF8">
      <w:pPr>
        <w:tabs>
          <w:tab w:val="left" w:pos="567"/>
        </w:tabs>
        <w:spacing w:line="260" w:lineRule="exact"/>
        <w:rPr>
          <w:snapToGrid w:val="0"/>
          <w:szCs w:val="22"/>
          <w:lang w:eastAsia="en-US"/>
        </w:rPr>
      </w:pPr>
      <w:r w:rsidRPr="00C03B46">
        <w:rPr>
          <w:snapToGrid w:val="0"/>
          <w:lang w:eastAsia="en-US"/>
        </w:rPr>
        <w:t>SN: {numeris}</w:t>
      </w:r>
    </w:p>
    <w:p w14:paraId="6FB02DE0" w14:textId="77777777" w:rsidR="00A80CF8" w:rsidRPr="00C03B46" w:rsidRDefault="00A80CF8" w:rsidP="00A80CF8">
      <w:pPr>
        <w:tabs>
          <w:tab w:val="left" w:pos="567"/>
        </w:tabs>
        <w:spacing w:line="260" w:lineRule="exact"/>
        <w:rPr>
          <w:snapToGrid w:val="0"/>
          <w:szCs w:val="22"/>
          <w:lang w:eastAsia="en-US"/>
        </w:rPr>
      </w:pPr>
      <w:r w:rsidRPr="00C03B46">
        <w:rPr>
          <w:snapToGrid w:val="0"/>
          <w:highlight w:val="lightGray"/>
          <w:lang w:eastAsia="en-US"/>
        </w:rPr>
        <w:t>NN: {numeris}</w:t>
      </w:r>
    </w:p>
    <w:p w14:paraId="54DCD8F8" w14:textId="77777777" w:rsidR="00A80CF8" w:rsidRPr="00D724AC" w:rsidRDefault="00A80CF8" w:rsidP="00A80CF8">
      <w:pPr>
        <w:autoSpaceDE w:val="0"/>
        <w:autoSpaceDN w:val="0"/>
        <w:adjustRightInd w:val="0"/>
        <w:rPr>
          <w:rFonts w:eastAsia="Calibri"/>
          <w:szCs w:val="22"/>
        </w:rPr>
      </w:pPr>
    </w:p>
    <w:p w14:paraId="377C7FD4" w14:textId="77777777" w:rsidR="00A80CF8" w:rsidRPr="00D724AC" w:rsidRDefault="00A80CF8" w:rsidP="00A80CF8">
      <w:pPr>
        <w:tabs>
          <w:tab w:val="left" w:pos="567"/>
        </w:tabs>
        <w:spacing w:line="260" w:lineRule="exact"/>
        <w:rPr>
          <w:snapToGrid w:val="0"/>
          <w:szCs w:val="22"/>
          <w:lang w:eastAsia="en-US"/>
        </w:rPr>
      </w:pPr>
      <w:r w:rsidRPr="00D724AC">
        <w:rPr>
          <w:snapToGrid w:val="0"/>
          <w:szCs w:val="22"/>
          <w:lang w:eastAsia="en-US"/>
        </w:rPr>
        <w:br w:type="page"/>
      </w:r>
    </w:p>
    <w:p w14:paraId="3E40CAC6"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rPr>
          <w:b/>
          <w:snapToGrid w:val="0"/>
          <w:szCs w:val="22"/>
          <w:lang w:eastAsia="en-US"/>
        </w:rPr>
      </w:pPr>
      <w:r w:rsidRPr="00D724AC">
        <w:rPr>
          <w:b/>
          <w:snapToGrid w:val="0"/>
          <w:szCs w:val="22"/>
          <w:lang w:eastAsia="en-US"/>
        </w:rPr>
        <w:lastRenderedPageBreak/>
        <w:t>INFORMACIJA ANT IŠORINĖS PAKUOTĖS</w:t>
      </w:r>
    </w:p>
    <w:p w14:paraId="56AFD0D7"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ind w:left="567" w:hanging="567"/>
        <w:rPr>
          <w:b/>
          <w:snapToGrid w:val="0"/>
          <w:szCs w:val="22"/>
          <w:lang w:eastAsia="en-US"/>
        </w:rPr>
      </w:pPr>
    </w:p>
    <w:p w14:paraId="31EBA9D0"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rPr>
          <w:b/>
          <w:snapToGrid w:val="0"/>
          <w:szCs w:val="22"/>
          <w:lang w:eastAsia="en-US"/>
        </w:rPr>
      </w:pPr>
      <w:r w:rsidRPr="00D724AC">
        <w:rPr>
          <w:b/>
          <w:snapToGrid w:val="0"/>
          <w:szCs w:val="22"/>
          <w:lang w:eastAsia="en-US"/>
        </w:rPr>
        <w:t>KARTONINĖ DĖŽUTĖ PERMATOMOMS PVC/PE/PVDC-ALIUMINIO LIZDINĖMS PLOKŠTELĖMS</w:t>
      </w:r>
    </w:p>
    <w:p w14:paraId="38DE6502" w14:textId="77777777" w:rsidR="00A80CF8" w:rsidRPr="00D724AC" w:rsidRDefault="00A80CF8" w:rsidP="00A80CF8">
      <w:pPr>
        <w:tabs>
          <w:tab w:val="left" w:pos="567"/>
        </w:tabs>
        <w:spacing w:line="260" w:lineRule="exact"/>
        <w:rPr>
          <w:b/>
          <w:snapToGrid w:val="0"/>
          <w:szCs w:val="22"/>
          <w:lang w:eastAsia="en-US"/>
        </w:rPr>
      </w:pPr>
    </w:p>
    <w:p w14:paraId="46D5CC67" w14:textId="77777777" w:rsidR="00A80CF8" w:rsidRPr="00D724AC" w:rsidRDefault="00A80CF8" w:rsidP="00A80CF8">
      <w:pPr>
        <w:tabs>
          <w:tab w:val="left" w:pos="567"/>
        </w:tabs>
        <w:spacing w:line="260" w:lineRule="exact"/>
        <w:rPr>
          <w:snapToGrid w:val="0"/>
          <w:szCs w:val="22"/>
          <w:lang w:eastAsia="en-US"/>
        </w:rPr>
      </w:pPr>
    </w:p>
    <w:p w14:paraId="130F5A9F"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D724AC">
        <w:rPr>
          <w:b/>
          <w:snapToGrid w:val="0"/>
          <w:szCs w:val="22"/>
          <w:lang w:eastAsia="en-US"/>
        </w:rPr>
        <w:t>1.</w:t>
      </w:r>
      <w:r w:rsidRPr="00D724AC">
        <w:rPr>
          <w:b/>
          <w:snapToGrid w:val="0"/>
          <w:szCs w:val="22"/>
          <w:lang w:eastAsia="en-US"/>
        </w:rPr>
        <w:tab/>
      </w:r>
      <w:r w:rsidRPr="00D724AC">
        <w:rPr>
          <w:b/>
          <w:caps/>
          <w:snapToGrid w:val="0"/>
          <w:szCs w:val="22"/>
          <w:lang w:eastAsia="en-US"/>
        </w:rPr>
        <w:t>VAISTINIO</w:t>
      </w:r>
      <w:r w:rsidRPr="00D724AC">
        <w:rPr>
          <w:b/>
          <w:snapToGrid w:val="0"/>
          <w:szCs w:val="22"/>
          <w:lang w:eastAsia="en-US"/>
        </w:rPr>
        <w:t xml:space="preserve"> PREPARATO PAVADINIMAS</w:t>
      </w:r>
    </w:p>
    <w:p w14:paraId="4F143903" w14:textId="77777777" w:rsidR="00A80CF8" w:rsidRPr="00D724AC" w:rsidRDefault="00A80CF8" w:rsidP="00A80CF8">
      <w:pPr>
        <w:tabs>
          <w:tab w:val="left" w:pos="567"/>
        </w:tabs>
        <w:spacing w:line="260" w:lineRule="exact"/>
        <w:rPr>
          <w:snapToGrid w:val="0"/>
          <w:szCs w:val="22"/>
          <w:lang w:eastAsia="en-US"/>
        </w:rPr>
      </w:pPr>
    </w:p>
    <w:p w14:paraId="55DC0B38" w14:textId="77777777" w:rsidR="00A80CF8" w:rsidRPr="00D724AC" w:rsidRDefault="00A80CF8" w:rsidP="00A80CF8">
      <w:pPr>
        <w:autoSpaceDE w:val="0"/>
        <w:autoSpaceDN w:val="0"/>
        <w:adjustRightInd w:val="0"/>
        <w:rPr>
          <w:rFonts w:eastAsia="Calibri"/>
          <w:szCs w:val="22"/>
        </w:rPr>
      </w:pPr>
      <w:r w:rsidRPr="00D724AC">
        <w:rPr>
          <w:rFonts w:eastAsia="Calibri"/>
          <w:szCs w:val="22"/>
        </w:rPr>
        <w:t>CONVERIDE 150</w:t>
      </w:r>
      <w:r>
        <w:rPr>
          <w:rFonts w:eastAsia="Calibri"/>
          <w:szCs w:val="22"/>
        </w:rPr>
        <w:t> </w:t>
      </w:r>
      <w:r w:rsidRPr="00D724AC">
        <w:rPr>
          <w:rFonts w:eastAsia="Calibri"/>
          <w:szCs w:val="22"/>
        </w:rPr>
        <w:t>mg/12,5</w:t>
      </w:r>
      <w:r>
        <w:rPr>
          <w:rFonts w:eastAsia="Calibri"/>
          <w:szCs w:val="22"/>
        </w:rPr>
        <w:t> </w:t>
      </w:r>
      <w:r w:rsidRPr="00D724AC">
        <w:rPr>
          <w:rFonts w:eastAsia="Calibri"/>
          <w:szCs w:val="22"/>
        </w:rPr>
        <w:t>mg plėvele dengtos tabletės</w:t>
      </w:r>
    </w:p>
    <w:p w14:paraId="75A74918" w14:textId="77777777" w:rsidR="00A80CF8" w:rsidRPr="00D724AC" w:rsidRDefault="00A80CF8" w:rsidP="00A80CF8">
      <w:pPr>
        <w:autoSpaceDE w:val="0"/>
        <w:autoSpaceDN w:val="0"/>
        <w:adjustRightInd w:val="0"/>
        <w:rPr>
          <w:rFonts w:eastAsia="Calibri"/>
          <w:szCs w:val="22"/>
        </w:rPr>
      </w:pPr>
      <w:r w:rsidRPr="00396DCB">
        <w:rPr>
          <w:rFonts w:eastAsia="Calibri"/>
          <w:highlight w:val="lightGray"/>
        </w:rPr>
        <w:t>CONVERIDE 300</w:t>
      </w:r>
      <w:r>
        <w:rPr>
          <w:rFonts w:eastAsia="Calibri"/>
          <w:highlight w:val="lightGray"/>
        </w:rPr>
        <w:t> </w:t>
      </w:r>
      <w:r w:rsidRPr="00396DCB">
        <w:rPr>
          <w:rFonts w:eastAsia="Calibri"/>
          <w:highlight w:val="lightGray"/>
        </w:rPr>
        <w:t>mg/25</w:t>
      </w:r>
      <w:r>
        <w:rPr>
          <w:rFonts w:eastAsia="Calibri"/>
          <w:highlight w:val="lightGray"/>
        </w:rPr>
        <w:t> </w:t>
      </w:r>
      <w:r w:rsidRPr="00396DCB">
        <w:rPr>
          <w:rFonts w:eastAsia="Calibri"/>
          <w:highlight w:val="lightGray"/>
        </w:rPr>
        <w:t>mg plėvele dengtos tabletės</w:t>
      </w:r>
    </w:p>
    <w:p w14:paraId="2DAC112F" w14:textId="77777777" w:rsidR="00A80CF8" w:rsidRPr="00D724AC" w:rsidRDefault="00A80CF8" w:rsidP="00A80CF8">
      <w:pPr>
        <w:tabs>
          <w:tab w:val="left" w:pos="567"/>
        </w:tabs>
        <w:spacing w:line="260" w:lineRule="exact"/>
        <w:rPr>
          <w:snapToGrid w:val="0"/>
          <w:szCs w:val="22"/>
          <w:lang w:eastAsia="en-US"/>
        </w:rPr>
      </w:pPr>
      <w:r>
        <w:rPr>
          <w:rFonts w:eastAsia="Calibri"/>
          <w:szCs w:val="22"/>
        </w:rPr>
        <w:t>i</w:t>
      </w:r>
      <w:r w:rsidRPr="00D724AC">
        <w:rPr>
          <w:rFonts w:eastAsia="Calibri"/>
          <w:szCs w:val="22"/>
        </w:rPr>
        <w:t>rbesartanas/</w:t>
      </w:r>
      <w:r>
        <w:rPr>
          <w:rFonts w:eastAsia="Calibri"/>
          <w:szCs w:val="22"/>
        </w:rPr>
        <w:t>h</w:t>
      </w:r>
      <w:r w:rsidRPr="00D724AC">
        <w:rPr>
          <w:rFonts w:eastAsia="Calibri"/>
          <w:szCs w:val="22"/>
        </w:rPr>
        <w:t>idrochlorotiazidas</w:t>
      </w:r>
    </w:p>
    <w:p w14:paraId="3D1C0E78" w14:textId="77777777" w:rsidR="00A80CF8" w:rsidRPr="00D724AC" w:rsidRDefault="00A80CF8" w:rsidP="00A80CF8">
      <w:pPr>
        <w:tabs>
          <w:tab w:val="left" w:pos="567"/>
        </w:tabs>
        <w:spacing w:line="260" w:lineRule="exact"/>
        <w:rPr>
          <w:snapToGrid w:val="0"/>
          <w:szCs w:val="22"/>
          <w:lang w:eastAsia="en-US"/>
        </w:rPr>
      </w:pPr>
    </w:p>
    <w:p w14:paraId="7863D5A0" w14:textId="77777777" w:rsidR="00A80CF8" w:rsidRPr="00D724AC" w:rsidRDefault="00A80CF8" w:rsidP="00A80CF8">
      <w:pPr>
        <w:tabs>
          <w:tab w:val="left" w:pos="567"/>
        </w:tabs>
        <w:spacing w:line="260" w:lineRule="exact"/>
        <w:rPr>
          <w:snapToGrid w:val="0"/>
          <w:szCs w:val="22"/>
          <w:lang w:eastAsia="en-US"/>
        </w:rPr>
      </w:pPr>
    </w:p>
    <w:p w14:paraId="290758A2"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Cs w:val="22"/>
          <w:lang w:eastAsia="en-US"/>
        </w:rPr>
      </w:pPr>
      <w:r w:rsidRPr="00D724AC">
        <w:rPr>
          <w:b/>
          <w:snapToGrid w:val="0"/>
          <w:szCs w:val="22"/>
          <w:lang w:eastAsia="en-US"/>
        </w:rPr>
        <w:t>2.</w:t>
      </w:r>
      <w:r w:rsidRPr="00D724AC">
        <w:rPr>
          <w:b/>
          <w:snapToGrid w:val="0"/>
          <w:szCs w:val="22"/>
          <w:lang w:eastAsia="en-US"/>
        </w:rPr>
        <w:tab/>
        <w:t>VEIKLIOJI (-IOS) MEDŽIAGA (-OS) IR JOS (-Ų) KIEKIS (-IAI)</w:t>
      </w:r>
    </w:p>
    <w:p w14:paraId="19DFFBEC" w14:textId="77777777" w:rsidR="00A80CF8" w:rsidRPr="00D724AC" w:rsidRDefault="00A80CF8" w:rsidP="00A80CF8">
      <w:pPr>
        <w:tabs>
          <w:tab w:val="left" w:pos="567"/>
        </w:tabs>
        <w:spacing w:line="260" w:lineRule="exact"/>
        <w:rPr>
          <w:snapToGrid w:val="0"/>
          <w:szCs w:val="22"/>
          <w:lang w:eastAsia="en-US"/>
        </w:rPr>
      </w:pPr>
    </w:p>
    <w:p w14:paraId="40D041A2" w14:textId="77777777" w:rsidR="00A80CF8" w:rsidRPr="00D724AC" w:rsidRDefault="00A80CF8" w:rsidP="00A80CF8">
      <w:pPr>
        <w:tabs>
          <w:tab w:val="left" w:pos="567"/>
        </w:tabs>
        <w:spacing w:line="260" w:lineRule="exact"/>
        <w:rPr>
          <w:rFonts w:eastAsia="Calibri"/>
          <w:szCs w:val="22"/>
        </w:rPr>
      </w:pPr>
      <w:r w:rsidRPr="00D724AC">
        <w:rPr>
          <w:rFonts w:eastAsia="Calibri"/>
          <w:szCs w:val="22"/>
        </w:rPr>
        <w:t>Kiekvienoje tabletėje yra 150</w:t>
      </w:r>
      <w:r>
        <w:rPr>
          <w:rFonts w:eastAsia="Calibri"/>
          <w:szCs w:val="22"/>
        </w:rPr>
        <w:t> </w:t>
      </w:r>
      <w:r w:rsidRPr="00D724AC">
        <w:rPr>
          <w:rFonts w:eastAsia="Calibri"/>
          <w:szCs w:val="22"/>
        </w:rPr>
        <w:t>mg irbesartano ir 12,5</w:t>
      </w:r>
      <w:r>
        <w:rPr>
          <w:rFonts w:eastAsia="Calibri"/>
          <w:szCs w:val="22"/>
        </w:rPr>
        <w:t> </w:t>
      </w:r>
      <w:r w:rsidRPr="00D724AC">
        <w:rPr>
          <w:rFonts w:eastAsia="Calibri"/>
          <w:szCs w:val="22"/>
        </w:rPr>
        <w:t>mg hidrochlorotiazido.</w:t>
      </w:r>
    </w:p>
    <w:p w14:paraId="1072C6D6" w14:textId="77777777" w:rsidR="00A80CF8" w:rsidRPr="00D724AC" w:rsidRDefault="00A80CF8" w:rsidP="00A80CF8">
      <w:pPr>
        <w:tabs>
          <w:tab w:val="left" w:pos="567"/>
        </w:tabs>
        <w:spacing w:line="260" w:lineRule="exact"/>
        <w:rPr>
          <w:snapToGrid w:val="0"/>
          <w:szCs w:val="22"/>
          <w:lang w:eastAsia="en-US"/>
        </w:rPr>
      </w:pPr>
      <w:r w:rsidRPr="00396DCB">
        <w:rPr>
          <w:rFonts w:eastAsia="Calibri"/>
          <w:highlight w:val="lightGray"/>
        </w:rPr>
        <w:t>Kiekvienoje tabletėje yra 300</w:t>
      </w:r>
      <w:r>
        <w:rPr>
          <w:rFonts w:eastAsia="Calibri"/>
          <w:highlight w:val="lightGray"/>
        </w:rPr>
        <w:t> </w:t>
      </w:r>
      <w:r w:rsidRPr="00396DCB">
        <w:rPr>
          <w:rFonts w:eastAsia="Calibri"/>
          <w:highlight w:val="lightGray"/>
        </w:rPr>
        <w:t>mg irbesartano ir 25</w:t>
      </w:r>
      <w:r>
        <w:rPr>
          <w:rFonts w:eastAsia="Calibri"/>
          <w:highlight w:val="lightGray"/>
        </w:rPr>
        <w:t> </w:t>
      </w:r>
      <w:r w:rsidRPr="00396DCB">
        <w:rPr>
          <w:rFonts w:eastAsia="Calibri"/>
          <w:highlight w:val="lightGray"/>
        </w:rPr>
        <w:t>mg hidrochlorotiazido.</w:t>
      </w:r>
    </w:p>
    <w:p w14:paraId="1E42B132" w14:textId="77777777" w:rsidR="00A80CF8" w:rsidRPr="00D724AC" w:rsidRDefault="00A80CF8" w:rsidP="00A80CF8">
      <w:pPr>
        <w:tabs>
          <w:tab w:val="left" w:pos="567"/>
        </w:tabs>
        <w:spacing w:line="260" w:lineRule="exact"/>
        <w:rPr>
          <w:snapToGrid w:val="0"/>
          <w:szCs w:val="22"/>
          <w:lang w:eastAsia="en-US"/>
        </w:rPr>
      </w:pPr>
    </w:p>
    <w:p w14:paraId="7F94A081" w14:textId="77777777" w:rsidR="00A80CF8" w:rsidRPr="00D724AC" w:rsidRDefault="00A80CF8" w:rsidP="00A80CF8">
      <w:pPr>
        <w:tabs>
          <w:tab w:val="left" w:pos="567"/>
        </w:tabs>
        <w:spacing w:line="260" w:lineRule="exact"/>
        <w:rPr>
          <w:snapToGrid w:val="0"/>
          <w:szCs w:val="22"/>
          <w:lang w:eastAsia="en-US"/>
        </w:rPr>
      </w:pPr>
    </w:p>
    <w:p w14:paraId="03DE70CC"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D724AC">
        <w:rPr>
          <w:b/>
          <w:snapToGrid w:val="0"/>
          <w:szCs w:val="22"/>
          <w:lang w:eastAsia="en-US"/>
        </w:rPr>
        <w:t>3.</w:t>
      </w:r>
      <w:r w:rsidRPr="00D724AC">
        <w:rPr>
          <w:b/>
          <w:snapToGrid w:val="0"/>
          <w:szCs w:val="22"/>
          <w:lang w:eastAsia="en-US"/>
        </w:rPr>
        <w:tab/>
        <w:t>PAGALBINIŲ MEDŽIAGŲ SĄRAŠAS</w:t>
      </w:r>
    </w:p>
    <w:p w14:paraId="079A065F" w14:textId="77777777" w:rsidR="00A80CF8" w:rsidRPr="00D724AC" w:rsidRDefault="00A80CF8" w:rsidP="00A80CF8">
      <w:pPr>
        <w:tabs>
          <w:tab w:val="left" w:pos="567"/>
        </w:tabs>
        <w:spacing w:line="260" w:lineRule="exact"/>
        <w:rPr>
          <w:snapToGrid w:val="0"/>
          <w:szCs w:val="22"/>
          <w:lang w:eastAsia="en-US"/>
        </w:rPr>
      </w:pPr>
    </w:p>
    <w:p w14:paraId="3AF33032" w14:textId="77777777" w:rsidR="00A80CF8" w:rsidRPr="00D724AC" w:rsidRDefault="00A80CF8" w:rsidP="00A80CF8">
      <w:pPr>
        <w:tabs>
          <w:tab w:val="left" w:pos="567"/>
        </w:tabs>
        <w:spacing w:line="260" w:lineRule="exact"/>
        <w:rPr>
          <w:rFonts w:eastAsia="Calibri"/>
          <w:szCs w:val="22"/>
        </w:rPr>
      </w:pPr>
      <w:r w:rsidRPr="00D724AC">
        <w:rPr>
          <w:rFonts w:eastAsia="Calibri"/>
          <w:szCs w:val="22"/>
        </w:rPr>
        <w:t>Sudėtyje yra laktozės monohidrato.</w:t>
      </w:r>
    </w:p>
    <w:p w14:paraId="1E8CC528" w14:textId="77777777" w:rsidR="00A80CF8" w:rsidRPr="00D724AC" w:rsidRDefault="00A80CF8" w:rsidP="00A80CF8">
      <w:pPr>
        <w:tabs>
          <w:tab w:val="left" w:pos="567"/>
        </w:tabs>
        <w:spacing w:line="260" w:lineRule="exact"/>
        <w:rPr>
          <w:rFonts w:eastAsia="Calibri"/>
          <w:szCs w:val="22"/>
        </w:rPr>
      </w:pPr>
      <w:r w:rsidRPr="00D724AC">
        <w:rPr>
          <w:rFonts w:eastAsia="Calibri"/>
          <w:szCs w:val="22"/>
        </w:rPr>
        <w:t>Daugiau informacijos pateikta pakuotės lapelyje.</w:t>
      </w:r>
    </w:p>
    <w:p w14:paraId="197464F4" w14:textId="77777777" w:rsidR="00A80CF8" w:rsidRPr="00D724AC" w:rsidRDefault="00A80CF8" w:rsidP="00A80CF8">
      <w:pPr>
        <w:tabs>
          <w:tab w:val="left" w:pos="567"/>
        </w:tabs>
        <w:spacing w:line="260" w:lineRule="exact"/>
        <w:rPr>
          <w:snapToGrid w:val="0"/>
          <w:szCs w:val="22"/>
          <w:lang w:eastAsia="en-US"/>
        </w:rPr>
      </w:pPr>
    </w:p>
    <w:p w14:paraId="21519AD1" w14:textId="77777777" w:rsidR="00A80CF8" w:rsidRPr="00D724AC" w:rsidRDefault="00A80CF8" w:rsidP="00A80CF8">
      <w:pPr>
        <w:tabs>
          <w:tab w:val="left" w:pos="567"/>
        </w:tabs>
        <w:spacing w:line="260" w:lineRule="exact"/>
        <w:rPr>
          <w:snapToGrid w:val="0"/>
          <w:szCs w:val="22"/>
          <w:lang w:eastAsia="en-US"/>
        </w:rPr>
      </w:pPr>
    </w:p>
    <w:p w14:paraId="52AD03EA"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D724AC">
        <w:rPr>
          <w:b/>
          <w:snapToGrid w:val="0"/>
          <w:szCs w:val="22"/>
          <w:lang w:eastAsia="en-US"/>
        </w:rPr>
        <w:t>4.</w:t>
      </w:r>
      <w:r w:rsidRPr="00D724AC">
        <w:rPr>
          <w:b/>
          <w:snapToGrid w:val="0"/>
          <w:szCs w:val="22"/>
          <w:lang w:eastAsia="en-US"/>
        </w:rPr>
        <w:tab/>
        <w:t>FARMACINĖ FORMA IR KIEKIS PAKUOTĖJE</w:t>
      </w:r>
    </w:p>
    <w:p w14:paraId="527C067E" w14:textId="77777777" w:rsidR="00A80CF8" w:rsidRPr="00D724AC" w:rsidRDefault="00A80CF8" w:rsidP="00A80CF8">
      <w:pPr>
        <w:tabs>
          <w:tab w:val="left" w:pos="567"/>
        </w:tabs>
        <w:spacing w:line="260" w:lineRule="exact"/>
        <w:rPr>
          <w:snapToGrid w:val="0"/>
          <w:szCs w:val="22"/>
          <w:lang w:eastAsia="en-US"/>
        </w:rPr>
      </w:pPr>
    </w:p>
    <w:p w14:paraId="7B11EB7B" w14:textId="77777777" w:rsidR="00A80CF8" w:rsidRPr="00D724AC" w:rsidRDefault="00A80CF8" w:rsidP="00A80CF8">
      <w:pPr>
        <w:autoSpaceDE w:val="0"/>
        <w:autoSpaceDN w:val="0"/>
        <w:adjustRightInd w:val="0"/>
        <w:rPr>
          <w:rFonts w:eastAsia="Calibri"/>
          <w:color w:val="000000"/>
          <w:szCs w:val="22"/>
        </w:rPr>
      </w:pPr>
      <w:r w:rsidRPr="0035647D">
        <w:rPr>
          <w:rFonts w:eastAsia="Calibri"/>
          <w:color w:val="000000"/>
          <w:highlight w:val="lightGray"/>
        </w:rPr>
        <w:t>Plėvele dengtos tabletės</w:t>
      </w:r>
      <w:r w:rsidRPr="00D724AC">
        <w:rPr>
          <w:rFonts w:eastAsia="Calibri"/>
          <w:color w:val="000000"/>
          <w:szCs w:val="22"/>
        </w:rPr>
        <w:t xml:space="preserve"> </w:t>
      </w:r>
    </w:p>
    <w:p w14:paraId="7983DA78" w14:textId="77777777" w:rsidR="00A80CF8" w:rsidRPr="00D724AC" w:rsidRDefault="00A80CF8" w:rsidP="00A80CF8">
      <w:pPr>
        <w:autoSpaceDE w:val="0"/>
        <w:autoSpaceDN w:val="0"/>
        <w:adjustRightInd w:val="0"/>
        <w:rPr>
          <w:rFonts w:eastAsia="Calibri"/>
          <w:color w:val="000000"/>
          <w:szCs w:val="22"/>
        </w:rPr>
      </w:pPr>
    </w:p>
    <w:p w14:paraId="5261397C" w14:textId="77777777" w:rsidR="00A80CF8" w:rsidRPr="00D724AC" w:rsidRDefault="00A80CF8" w:rsidP="00A80CF8">
      <w:pPr>
        <w:autoSpaceDE w:val="0"/>
        <w:autoSpaceDN w:val="0"/>
        <w:adjustRightInd w:val="0"/>
        <w:rPr>
          <w:rFonts w:eastAsia="Calibri"/>
          <w:color w:val="000000"/>
          <w:szCs w:val="22"/>
        </w:rPr>
      </w:pPr>
      <w:r w:rsidRPr="00D724AC">
        <w:rPr>
          <w:rFonts w:eastAsia="Calibri"/>
          <w:color w:val="000000"/>
          <w:szCs w:val="22"/>
        </w:rPr>
        <w:t xml:space="preserve">14 </w:t>
      </w:r>
      <w:r w:rsidRPr="00C03B46">
        <w:rPr>
          <w:rFonts w:eastAsia="Calibri"/>
          <w:color w:val="000000"/>
          <w:szCs w:val="22"/>
          <w:highlight w:val="lightGray"/>
        </w:rPr>
        <w:t>plėvele dengtų</w:t>
      </w:r>
      <w:r w:rsidRPr="00D724AC">
        <w:rPr>
          <w:rFonts w:eastAsia="Calibri"/>
          <w:color w:val="000000"/>
          <w:szCs w:val="22"/>
        </w:rPr>
        <w:t xml:space="preserve"> tablečių </w:t>
      </w:r>
    </w:p>
    <w:p w14:paraId="76E728AE" w14:textId="77777777" w:rsidR="00A80CF8" w:rsidRPr="00396DCB" w:rsidRDefault="00A80CF8" w:rsidP="00A80CF8">
      <w:pPr>
        <w:autoSpaceDE w:val="0"/>
        <w:autoSpaceDN w:val="0"/>
        <w:adjustRightInd w:val="0"/>
        <w:rPr>
          <w:rFonts w:eastAsia="Calibri"/>
          <w:color w:val="000000"/>
          <w:highlight w:val="lightGray"/>
        </w:rPr>
      </w:pPr>
      <w:r w:rsidRPr="00396DCB">
        <w:rPr>
          <w:rFonts w:eastAsia="Calibri"/>
          <w:color w:val="000000"/>
          <w:highlight w:val="lightGray"/>
        </w:rPr>
        <w:t xml:space="preserve">28 plėvele dengtos tabletės </w:t>
      </w:r>
    </w:p>
    <w:p w14:paraId="1D1084DD" w14:textId="77777777" w:rsidR="00A80CF8" w:rsidRPr="00182AB3" w:rsidRDefault="00A80CF8" w:rsidP="00A80CF8">
      <w:pPr>
        <w:autoSpaceDE w:val="0"/>
        <w:autoSpaceDN w:val="0"/>
        <w:adjustRightInd w:val="0"/>
        <w:rPr>
          <w:rFonts w:eastAsia="Calibri"/>
          <w:color w:val="000000"/>
          <w:highlight w:val="lightGray"/>
        </w:rPr>
      </w:pPr>
      <w:r w:rsidRPr="00182AB3">
        <w:rPr>
          <w:rFonts w:eastAsia="Calibri"/>
          <w:color w:val="000000"/>
          <w:highlight w:val="lightGray"/>
        </w:rPr>
        <w:t xml:space="preserve">30 plėvele dengtų tablečių </w:t>
      </w:r>
    </w:p>
    <w:p w14:paraId="1DC5CA42" w14:textId="77777777" w:rsidR="00A80CF8" w:rsidRPr="004D1D4B" w:rsidRDefault="00A80CF8" w:rsidP="00A80CF8">
      <w:pPr>
        <w:autoSpaceDE w:val="0"/>
        <w:autoSpaceDN w:val="0"/>
        <w:adjustRightInd w:val="0"/>
        <w:rPr>
          <w:rFonts w:eastAsia="Calibri"/>
          <w:color w:val="000000"/>
          <w:highlight w:val="lightGray"/>
        </w:rPr>
      </w:pPr>
      <w:r w:rsidRPr="004D1D4B">
        <w:rPr>
          <w:rFonts w:eastAsia="Calibri"/>
          <w:color w:val="000000"/>
          <w:highlight w:val="lightGray"/>
        </w:rPr>
        <w:t xml:space="preserve">56 plėvele dengtos tabletės </w:t>
      </w:r>
    </w:p>
    <w:p w14:paraId="47ED13C1" w14:textId="77777777" w:rsidR="00A80CF8" w:rsidRPr="004D1D4B" w:rsidRDefault="00A80CF8" w:rsidP="00A80CF8">
      <w:pPr>
        <w:autoSpaceDE w:val="0"/>
        <w:autoSpaceDN w:val="0"/>
        <w:adjustRightInd w:val="0"/>
        <w:rPr>
          <w:rFonts w:eastAsia="Calibri"/>
          <w:color w:val="000000"/>
          <w:highlight w:val="lightGray"/>
        </w:rPr>
      </w:pPr>
      <w:r w:rsidRPr="004D1D4B">
        <w:rPr>
          <w:rFonts w:eastAsia="Calibri"/>
          <w:color w:val="000000"/>
          <w:highlight w:val="lightGray"/>
        </w:rPr>
        <w:t xml:space="preserve">60 plėvele dengtų tablečių </w:t>
      </w:r>
    </w:p>
    <w:p w14:paraId="6D1B9B6B" w14:textId="77777777" w:rsidR="00A80CF8" w:rsidRPr="004D1D4B" w:rsidRDefault="00A80CF8" w:rsidP="00A80CF8">
      <w:pPr>
        <w:autoSpaceDE w:val="0"/>
        <w:autoSpaceDN w:val="0"/>
        <w:adjustRightInd w:val="0"/>
        <w:rPr>
          <w:rFonts w:eastAsia="Calibri"/>
          <w:color w:val="000000"/>
          <w:highlight w:val="lightGray"/>
        </w:rPr>
      </w:pPr>
      <w:r w:rsidRPr="004D1D4B">
        <w:rPr>
          <w:rFonts w:eastAsia="Calibri"/>
          <w:color w:val="000000"/>
          <w:highlight w:val="lightGray"/>
        </w:rPr>
        <w:t xml:space="preserve">84 plėvele dengtos tabletės </w:t>
      </w:r>
    </w:p>
    <w:p w14:paraId="57263C93" w14:textId="77777777" w:rsidR="00A80CF8" w:rsidRPr="004D1D4B" w:rsidRDefault="00A80CF8" w:rsidP="00A80CF8">
      <w:pPr>
        <w:autoSpaceDE w:val="0"/>
        <w:autoSpaceDN w:val="0"/>
        <w:adjustRightInd w:val="0"/>
        <w:rPr>
          <w:rFonts w:eastAsia="Calibri"/>
          <w:color w:val="000000"/>
          <w:highlight w:val="lightGray"/>
        </w:rPr>
      </w:pPr>
      <w:r w:rsidRPr="004D1D4B">
        <w:rPr>
          <w:rFonts w:eastAsia="Calibri"/>
          <w:color w:val="000000"/>
          <w:highlight w:val="lightGray"/>
        </w:rPr>
        <w:t xml:space="preserve">90 plėvele dengtų tablečių </w:t>
      </w:r>
    </w:p>
    <w:p w14:paraId="70EEB209" w14:textId="77777777" w:rsidR="00A80CF8" w:rsidRPr="004D1D4B" w:rsidRDefault="00A80CF8" w:rsidP="00A80CF8">
      <w:pPr>
        <w:autoSpaceDE w:val="0"/>
        <w:autoSpaceDN w:val="0"/>
        <w:adjustRightInd w:val="0"/>
        <w:rPr>
          <w:rFonts w:eastAsia="Calibri"/>
          <w:color w:val="000000"/>
          <w:highlight w:val="lightGray"/>
        </w:rPr>
      </w:pPr>
      <w:r w:rsidRPr="004D1D4B">
        <w:rPr>
          <w:rFonts w:eastAsia="Calibri"/>
          <w:color w:val="000000"/>
          <w:highlight w:val="lightGray"/>
        </w:rPr>
        <w:t xml:space="preserve">98 plėvele dengtos tabletės </w:t>
      </w:r>
    </w:p>
    <w:p w14:paraId="1030ECEC" w14:textId="77777777" w:rsidR="00A80CF8" w:rsidRPr="004D1D4B" w:rsidRDefault="00A80CF8" w:rsidP="00A80CF8">
      <w:pPr>
        <w:autoSpaceDE w:val="0"/>
        <w:autoSpaceDN w:val="0"/>
        <w:adjustRightInd w:val="0"/>
        <w:rPr>
          <w:rFonts w:eastAsia="Calibri"/>
          <w:color w:val="000000"/>
          <w:highlight w:val="lightGray"/>
        </w:rPr>
      </w:pPr>
      <w:r w:rsidRPr="004D1D4B">
        <w:rPr>
          <w:rFonts w:eastAsia="Calibri"/>
          <w:color w:val="000000"/>
          <w:highlight w:val="lightGray"/>
        </w:rPr>
        <w:t xml:space="preserve">100 plėvele dengtų tablečių </w:t>
      </w:r>
    </w:p>
    <w:p w14:paraId="3FFDD1B5" w14:textId="77777777" w:rsidR="00A80CF8" w:rsidRPr="00D724AC" w:rsidRDefault="00A80CF8" w:rsidP="00A80CF8">
      <w:pPr>
        <w:tabs>
          <w:tab w:val="left" w:pos="567"/>
        </w:tabs>
        <w:spacing w:line="260" w:lineRule="exact"/>
        <w:rPr>
          <w:snapToGrid w:val="0"/>
          <w:szCs w:val="22"/>
          <w:lang w:eastAsia="en-US"/>
        </w:rPr>
      </w:pPr>
    </w:p>
    <w:p w14:paraId="0762DA89" w14:textId="77777777" w:rsidR="00A80CF8" w:rsidRPr="00D724AC" w:rsidRDefault="00A80CF8" w:rsidP="00A80CF8">
      <w:pPr>
        <w:tabs>
          <w:tab w:val="left" w:pos="567"/>
        </w:tabs>
        <w:spacing w:line="260" w:lineRule="exact"/>
        <w:rPr>
          <w:snapToGrid w:val="0"/>
          <w:szCs w:val="22"/>
          <w:lang w:eastAsia="en-US"/>
        </w:rPr>
      </w:pPr>
    </w:p>
    <w:p w14:paraId="76665BB6"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D724AC">
        <w:rPr>
          <w:b/>
          <w:snapToGrid w:val="0"/>
          <w:szCs w:val="22"/>
          <w:lang w:eastAsia="en-US"/>
        </w:rPr>
        <w:t>5.</w:t>
      </w:r>
      <w:r w:rsidRPr="00D724AC">
        <w:rPr>
          <w:b/>
          <w:snapToGrid w:val="0"/>
          <w:szCs w:val="22"/>
          <w:lang w:eastAsia="en-US"/>
        </w:rPr>
        <w:tab/>
        <w:t>VARTOJIMO METODAS IR BŪDAS (-AI)</w:t>
      </w:r>
    </w:p>
    <w:p w14:paraId="4FD939D2" w14:textId="77777777" w:rsidR="00A80CF8" w:rsidRPr="00D724AC" w:rsidRDefault="00A80CF8" w:rsidP="00A80CF8">
      <w:pPr>
        <w:tabs>
          <w:tab w:val="left" w:pos="567"/>
        </w:tabs>
        <w:spacing w:line="260" w:lineRule="exact"/>
        <w:rPr>
          <w:snapToGrid w:val="0"/>
          <w:szCs w:val="22"/>
          <w:lang w:eastAsia="en-US"/>
        </w:rPr>
      </w:pPr>
    </w:p>
    <w:p w14:paraId="5B8C0BEC" w14:textId="77777777" w:rsidR="00A80CF8" w:rsidRPr="00D724AC" w:rsidRDefault="00A80CF8" w:rsidP="00A80CF8">
      <w:pPr>
        <w:tabs>
          <w:tab w:val="left" w:pos="567"/>
        </w:tabs>
        <w:spacing w:line="260" w:lineRule="exact"/>
        <w:rPr>
          <w:snapToGrid w:val="0"/>
          <w:szCs w:val="22"/>
          <w:lang w:eastAsia="en-US"/>
        </w:rPr>
      </w:pPr>
      <w:r w:rsidRPr="00D724AC">
        <w:rPr>
          <w:snapToGrid w:val="0"/>
          <w:szCs w:val="22"/>
          <w:lang w:eastAsia="en-US"/>
        </w:rPr>
        <w:t>Vartoti per burną.</w:t>
      </w:r>
    </w:p>
    <w:p w14:paraId="26B24663" w14:textId="77777777" w:rsidR="00A80CF8" w:rsidRPr="00D724AC" w:rsidRDefault="00A80CF8" w:rsidP="00A80CF8">
      <w:pPr>
        <w:tabs>
          <w:tab w:val="left" w:pos="567"/>
        </w:tabs>
        <w:spacing w:line="260" w:lineRule="exact"/>
        <w:rPr>
          <w:snapToGrid w:val="0"/>
          <w:szCs w:val="22"/>
          <w:lang w:eastAsia="en-US"/>
        </w:rPr>
      </w:pPr>
      <w:r w:rsidRPr="00D724AC">
        <w:rPr>
          <w:snapToGrid w:val="0"/>
          <w:szCs w:val="22"/>
          <w:lang w:eastAsia="en-US"/>
        </w:rPr>
        <w:t>Prieš vartojimą perskaitykite pakuotės lapelį.</w:t>
      </w:r>
    </w:p>
    <w:p w14:paraId="2042FBCA" w14:textId="77777777" w:rsidR="00A80CF8" w:rsidRPr="00D724AC" w:rsidRDefault="00A80CF8" w:rsidP="00A80CF8">
      <w:pPr>
        <w:tabs>
          <w:tab w:val="left" w:pos="567"/>
        </w:tabs>
        <w:spacing w:line="260" w:lineRule="exact"/>
        <w:rPr>
          <w:snapToGrid w:val="0"/>
          <w:szCs w:val="22"/>
          <w:lang w:eastAsia="en-US"/>
        </w:rPr>
      </w:pPr>
    </w:p>
    <w:p w14:paraId="44C23439" w14:textId="77777777" w:rsidR="00A80CF8" w:rsidRPr="00D724AC" w:rsidRDefault="00A80CF8" w:rsidP="00A80CF8">
      <w:pPr>
        <w:tabs>
          <w:tab w:val="left" w:pos="567"/>
        </w:tabs>
        <w:spacing w:line="260" w:lineRule="exact"/>
        <w:rPr>
          <w:snapToGrid w:val="0"/>
          <w:szCs w:val="22"/>
          <w:lang w:eastAsia="en-US"/>
        </w:rPr>
      </w:pPr>
    </w:p>
    <w:p w14:paraId="695A3F41"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D724AC">
        <w:rPr>
          <w:b/>
          <w:snapToGrid w:val="0"/>
          <w:szCs w:val="22"/>
          <w:lang w:eastAsia="en-US"/>
        </w:rPr>
        <w:t>6.</w:t>
      </w:r>
      <w:r w:rsidRPr="00D724AC">
        <w:rPr>
          <w:b/>
          <w:snapToGrid w:val="0"/>
          <w:szCs w:val="22"/>
          <w:lang w:eastAsia="en-US"/>
        </w:rPr>
        <w:tab/>
        <w:t>SPECIALUS ĮSPĖJIMAS, KAD VAISTINĮ PREPARATĄ BŪTINA LAIKYTI VAIKAMS NEPASTEBIMOJE IR  NEPASIEKIAMOJE VIETOJE</w:t>
      </w:r>
    </w:p>
    <w:p w14:paraId="46398491" w14:textId="77777777" w:rsidR="00A80CF8" w:rsidRPr="00D724AC" w:rsidRDefault="00A80CF8" w:rsidP="00A80CF8">
      <w:pPr>
        <w:tabs>
          <w:tab w:val="left" w:pos="567"/>
        </w:tabs>
        <w:spacing w:line="260" w:lineRule="exact"/>
        <w:rPr>
          <w:snapToGrid w:val="0"/>
          <w:szCs w:val="22"/>
          <w:lang w:eastAsia="en-US"/>
        </w:rPr>
      </w:pPr>
    </w:p>
    <w:p w14:paraId="279F945B" w14:textId="77777777" w:rsidR="00A80CF8" w:rsidRPr="00D724AC" w:rsidRDefault="00A80CF8" w:rsidP="00A80CF8">
      <w:pPr>
        <w:tabs>
          <w:tab w:val="left" w:pos="567"/>
        </w:tabs>
        <w:spacing w:line="260" w:lineRule="exact"/>
        <w:rPr>
          <w:snapToGrid w:val="0"/>
          <w:szCs w:val="22"/>
          <w:lang w:eastAsia="en-US"/>
        </w:rPr>
      </w:pPr>
      <w:r w:rsidRPr="00D724AC">
        <w:rPr>
          <w:snapToGrid w:val="0"/>
          <w:szCs w:val="22"/>
          <w:lang w:eastAsia="en-US"/>
        </w:rPr>
        <w:t>Laikyti vaikams nepastebimoje ir nepasiekiamoje vietoje.</w:t>
      </w:r>
    </w:p>
    <w:p w14:paraId="300B2D31" w14:textId="77777777" w:rsidR="00A80CF8" w:rsidRPr="00D724AC" w:rsidRDefault="00A80CF8" w:rsidP="00A80CF8">
      <w:pPr>
        <w:tabs>
          <w:tab w:val="left" w:pos="567"/>
        </w:tabs>
        <w:spacing w:line="260" w:lineRule="exact"/>
        <w:rPr>
          <w:snapToGrid w:val="0"/>
          <w:szCs w:val="22"/>
          <w:lang w:eastAsia="en-US"/>
        </w:rPr>
      </w:pPr>
    </w:p>
    <w:p w14:paraId="37D18B3D" w14:textId="77777777" w:rsidR="00A80CF8" w:rsidRPr="00D724AC" w:rsidRDefault="00A80CF8" w:rsidP="00A80CF8">
      <w:pPr>
        <w:tabs>
          <w:tab w:val="left" w:pos="567"/>
        </w:tabs>
        <w:spacing w:line="260" w:lineRule="exact"/>
        <w:rPr>
          <w:snapToGrid w:val="0"/>
          <w:szCs w:val="22"/>
          <w:lang w:eastAsia="en-US"/>
        </w:rPr>
      </w:pPr>
    </w:p>
    <w:p w14:paraId="7CD78636"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D724AC">
        <w:rPr>
          <w:b/>
          <w:snapToGrid w:val="0"/>
          <w:szCs w:val="22"/>
          <w:lang w:eastAsia="en-US"/>
        </w:rPr>
        <w:t>7.</w:t>
      </w:r>
      <w:r w:rsidRPr="00D724AC">
        <w:rPr>
          <w:b/>
          <w:snapToGrid w:val="0"/>
          <w:szCs w:val="22"/>
          <w:lang w:eastAsia="en-US"/>
        </w:rPr>
        <w:tab/>
        <w:t>KITAS (-I) SPECIALUS (-ŪS) ĮSPĖJIMAS (-AI) (JEI REIKIA)</w:t>
      </w:r>
    </w:p>
    <w:p w14:paraId="7344CAC3" w14:textId="77777777" w:rsidR="00A80CF8" w:rsidRPr="00D724AC" w:rsidRDefault="00A80CF8" w:rsidP="00A80CF8">
      <w:pPr>
        <w:tabs>
          <w:tab w:val="left" w:pos="567"/>
        </w:tabs>
        <w:spacing w:line="260" w:lineRule="exact"/>
        <w:rPr>
          <w:snapToGrid w:val="0"/>
          <w:szCs w:val="22"/>
          <w:lang w:eastAsia="en-US"/>
        </w:rPr>
      </w:pPr>
    </w:p>
    <w:p w14:paraId="31239280" w14:textId="77777777" w:rsidR="00A80CF8" w:rsidRPr="00D724AC" w:rsidRDefault="00A80CF8" w:rsidP="00A80CF8">
      <w:pPr>
        <w:tabs>
          <w:tab w:val="left" w:pos="567"/>
        </w:tabs>
        <w:spacing w:line="260" w:lineRule="exact"/>
        <w:rPr>
          <w:snapToGrid w:val="0"/>
          <w:szCs w:val="22"/>
          <w:lang w:eastAsia="en-US"/>
        </w:rPr>
      </w:pPr>
    </w:p>
    <w:p w14:paraId="3CB8157D"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D724AC">
        <w:rPr>
          <w:b/>
          <w:snapToGrid w:val="0"/>
          <w:szCs w:val="22"/>
          <w:lang w:eastAsia="en-US"/>
        </w:rPr>
        <w:t>8.</w:t>
      </w:r>
      <w:r w:rsidRPr="00D724AC">
        <w:rPr>
          <w:b/>
          <w:snapToGrid w:val="0"/>
          <w:szCs w:val="22"/>
          <w:lang w:eastAsia="en-US"/>
        </w:rPr>
        <w:tab/>
        <w:t>TINKAMUMO LAIKAS</w:t>
      </w:r>
    </w:p>
    <w:p w14:paraId="7D1D1FD8" w14:textId="77777777" w:rsidR="00A80CF8" w:rsidRPr="00D724AC" w:rsidRDefault="00A80CF8" w:rsidP="00A80CF8">
      <w:pPr>
        <w:tabs>
          <w:tab w:val="left" w:pos="567"/>
        </w:tabs>
        <w:spacing w:line="260" w:lineRule="exact"/>
        <w:rPr>
          <w:snapToGrid w:val="0"/>
          <w:szCs w:val="22"/>
          <w:lang w:eastAsia="en-US"/>
        </w:rPr>
      </w:pPr>
    </w:p>
    <w:p w14:paraId="615B8D97" w14:textId="77777777" w:rsidR="00A80CF8" w:rsidRPr="00D724AC" w:rsidRDefault="00A80CF8" w:rsidP="00A80CF8">
      <w:pPr>
        <w:tabs>
          <w:tab w:val="left" w:pos="567"/>
        </w:tabs>
        <w:spacing w:line="260" w:lineRule="exact"/>
        <w:rPr>
          <w:snapToGrid w:val="0"/>
          <w:szCs w:val="22"/>
          <w:lang w:eastAsia="en-US"/>
        </w:rPr>
      </w:pPr>
      <w:r w:rsidRPr="0026684A">
        <w:rPr>
          <w:snapToGrid w:val="0"/>
          <w:szCs w:val="22"/>
          <w:lang w:eastAsia="en-US"/>
        </w:rPr>
        <w:t>EXP</w:t>
      </w:r>
      <w:r w:rsidRPr="000B2A25">
        <w:rPr>
          <w:snapToGrid w:val="0"/>
          <w:szCs w:val="22"/>
          <w:lang w:eastAsia="en-US"/>
        </w:rPr>
        <w:t>:</w:t>
      </w:r>
      <w:r>
        <w:rPr>
          <w:snapToGrid w:val="0"/>
          <w:szCs w:val="22"/>
          <w:lang w:eastAsia="en-US"/>
        </w:rPr>
        <w:t xml:space="preserve"> </w:t>
      </w:r>
      <w:r w:rsidRPr="00D724AC">
        <w:rPr>
          <w:snapToGrid w:val="0"/>
          <w:szCs w:val="22"/>
          <w:lang w:eastAsia="en-US"/>
        </w:rPr>
        <w:t>{mm</w:t>
      </w:r>
      <w:r>
        <w:rPr>
          <w:snapToGrid w:val="0"/>
          <w:szCs w:val="22"/>
          <w:lang w:eastAsia="en-US"/>
        </w:rPr>
        <w:t>-</w:t>
      </w:r>
      <w:r w:rsidRPr="00D724AC">
        <w:rPr>
          <w:snapToGrid w:val="0"/>
          <w:szCs w:val="22"/>
          <w:lang w:eastAsia="en-US"/>
        </w:rPr>
        <w:t>MMMM}</w:t>
      </w:r>
    </w:p>
    <w:p w14:paraId="1053B7E5" w14:textId="77777777" w:rsidR="00A80CF8" w:rsidRPr="00D724AC" w:rsidRDefault="00A80CF8" w:rsidP="00A80CF8">
      <w:pPr>
        <w:tabs>
          <w:tab w:val="left" w:pos="567"/>
        </w:tabs>
        <w:spacing w:line="260" w:lineRule="exact"/>
        <w:rPr>
          <w:snapToGrid w:val="0"/>
          <w:szCs w:val="22"/>
          <w:lang w:eastAsia="en-US"/>
        </w:rPr>
      </w:pPr>
    </w:p>
    <w:p w14:paraId="76C27E17" w14:textId="77777777" w:rsidR="00A80CF8" w:rsidRPr="00D724AC" w:rsidRDefault="00A80CF8" w:rsidP="00A80CF8">
      <w:pPr>
        <w:tabs>
          <w:tab w:val="left" w:pos="567"/>
        </w:tabs>
        <w:spacing w:line="260" w:lineRule="exact"/>
        <w:rPr>
          <w:snapToGrid w:val="0"/>
          <w:szCs w:val="22"/>
          <w:lang w:eastAsia="en-US"/>
        </w:rPr>
      </w:pPr>
    </w:p>
    <w:p w14:paraId="1E6C3783" w14:textId="77777777" w:rsidR="00A80CF8" w:rsidRPr="00D724AC" w:rsidRDefault="00A80CF8" w:rsidP="00A80CF8">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D724AC">
        <w:rPr>
          <w:b/>
          <w:snapToGrid w:val="0"/>
          <w:szCs w:val="22"/>
          <w:lang w:eastAsia="en-US"/>
        </w:rPr>
        <w:t>9.</w:t>
      </w:r>
      <w:r w:rsidRPr="00D724AC">
        <w:rPr>
          <w:b/>
          <w:snapToGrid w:val="0"/>
          <w:szCs w:val="22"/>
          <w:lang w:eastAsia="en-US"/>
        </w:rPr>
        <w:tab/>
        <w:t>SPECIALIOS LAIKYMO SĄLYGOS</w:t>
      </w:r>
    </w:p>
    <w:p w14:paraId="389A5982" w14:textId="77777777" w:rsidR="00A80CF8" w:rsidRPr="00D724AC" w:rsidRDefault="00A80CF8" w:rsidP="00A80CF8">
      <w:pPr>
        <w:tabs>
          <w:tab w:val="left" w:pos="567"/>
        </w:tabs>
        <w:spacing w:line="260" w:lineRule="exact"/>
        <w:rPr>
          <w:snapToGrid w:val="0"/>
          <w:szCs w:val="22"/>
          <w:lang w:eastAsia="en-US"/>
        </w:rPr>
      </w:pPr>
    </w:p>
    <w:p w14:paraId="14689D8E" w14:textId="77777777" w:rsidR="00A80CF8" w:rsidRPr="00D724AC" w:rsidRDefault="00A80CF8" w:rsidP="00A80CF8">
      <w:pPr>
        <w:tabs>
          <w:tab w:val="left" w:pos="567"/>
        </w:tabs>
        <w:spacing w:line="260" w:lineRule="exact"/>
        <w:rPr>
          <w:rFonts w:eastAsia="Calibri"/>
          <w:szCs w:val="22"/>
        </w:rPr>
      </w:pPr>
      <w:r w:rsidRPr="00D724AC">
        <w:rPr>
          <w:rFonts w:eastAsia="Calibri"/>
          <w:szCs w:val="22"/>
        </w:rPr>
        <w:t xml:space="preserve">Laikyti gamintojo pakuotėje, kad </w:t>
      </w:r>
      <w:r>
        <w:rPr>
          <w:rFonts w:eastAsia="Calibri"/>
          <w:szCs w:val="22"/>
        </w:rPr>
        <w:t>vaistas</w:t>
      </w:r>
      <w:r w:rsidRPr="00D724AC">
        <w:rPr>
          <w:rFonts w:eastAsia="Calibri"/>
          <w:szCs w:val="22"/>
        </w:rPr>
        <w:t xml:space="preserve"> būtų apsaugotas nuo drėgmės ir šviesos.</w:t>
      </w:r>
    </w:p>
    <w:p w14:paraId="0C711573" w14:textId="77777777" w:rsidR="00A80CF8" w:rsidRPr="00D724AC" w:rsidRDefault="00A80CF8" w:rsidP="00A80CF8">
      <w:pPr>
        <w:tabs>
          <w:tab w:val="left" w:pos="567"/>
        </w:tabs>
        <w:spacing w:line="260" w:lineRule="exact"/>
        <w:rPr>
          <w:rFonts w:eastAsia="Calibri"/>
          <w:szCs w:val="22"/>
        </w:rPr>
      </w:pPr>
    </w:p>
    <w:p w14:paraId="69508D7B" w14:textId="77777777" w:rsidR="00A80CF8" w:rsidRPr="00D724AC" w:rsidRDefault="00A80CF8" w:rsidP="00A80CF8">
      <w:pPr>
        <w:tabs>
          <w:tab w:val="left" w:pos="567"/>
        </w:tabs>
        <w:spacing w:line="260" w:lineRule="exact"/>
        <w:rPr>
          <w:snapToGrid w:val="0"/>
          <w:szCs w:val="22"/>
          <w:lang w:eastAsia="en-US"/>
        </w:rPr>
      </w:pPr>
    </w:p>
    <w:p w14:paraId="52508412"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outlineLvl w:val="0"/>
        <w:rPr>
          <w:b/>
          <w:snapToGrid w:val="0"/>
          <w:szCs w:val="22"/>
          <w:lang w:eastAsia="en-US"/>
        </w:rPr>
      </w:pPr>
      <w:r w:rsidRPr="00D724AC">
        <w:rPr>
          <w:b/>
          <w:snapToGrid w:val="0"/>
          <w:szCs w:val="22"/>
          <w:lang w:eastAsia="en-US"/>
        </w:rPr>
        <w:t>10.</w:t>
      </w:r>
      <w:r w:rsidRPr="00D724AC">
        <w:rPr>
          <w:b/>
          <w:snapToGrid w:val="0"/>
          <w:szCs w:val="22"/>
          <w:lang w:eastAsia="en-US"/>
        </w:rPr>
        <w:tab/>
        <w:t>SPECIALIOS ATSARGUMO PRIEMONĖS DĖL NESUVARTOTO VAISTINIO PREPARATO AR JO ATLIEKŲ TVARKYMO (JEI REIKIA)</w:t>
      </w:r>
    </w:p>
    <w:p w14:paraId="75E77EF4" w14:textId="77777777" w:rsidR="00A80CF8" w:rsidRPr="00D724AC" w:rsidRDefault="00A80CF8" w:rsidP="00A80CF8">
      <w:pPr>
        <w:tabs>
          <w:tab w:val="left" w:pos="567"/>
        </w:tabs>
        <w:spacing w:line="260" w:lineRule="exact"/>
        <w:rPr>
          <w:snapToGrid w:val="0"/>
          <w:szCs w:val="22"/>
          <w:lang w:eastAsia="en-US"/>
        </w:rPr>
      </w:pPr>
    </w:p>
    <w:p w14:paraId="4CFE3D5E" w14:textId="77777777" w:rsidR="00A80CF8" w:rsidRPr="00D724AC" w:rsidRDefault="00A80CF8" w:rsidP="00A80CF8">
      <w:pPr>
        <w:tabs>
          <w:tab w:val="left" w:pos="567"/>
        </w:tabs>
        <w:spacing w:line="260" w:lineRule="exact"/>
        <w:rPr>
          <w:snapToGrid w:val="0"/>
          <w:szCs w:val="22"/>
          <w:lang w:eastAsia="en-US"/>
        </w:rPr>
      </w:pPr>
    </w:p>
    <w:p w14:paraId="50851A30"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outlineLvl w:val="0"/>
        <w:rPr>
          <w:b/>
          <w:snapToGrid w:val="0"/>
          <w:szCs w:val="22"/>
          <w:lang w:eastAsia="en-US"/>
        </w:rPr>
      </w:pPr>
      <w:r w:rsidRPr="00D724AC">
        <w:rPr>
          <w:b/>
          <w:snapToGrid w:val="0"/>
          <w:szCs w:val="22"/>
          <w:lang w:eastAsia="en-US"/>
        </w:rPr>
        <w:t>11.</w:t>
      </w:r>
      <w:r w:rsidRPr="00D724AC">
        <w:rPr>
          <w:b/>
          <w:snapToGrid w:val="0"/>
          <w:szCs w:val="22"/>
          <w:lang w:eastAsia="en-US"/>
        </w:rPr>
        <w:tab/>
      </w:r>
      <w:r w:rsidRPr="00D724AC">
        <w:rPr>
          <w:b/>
          <w:caps/>
          <w:snapToGrid w:val="0"/>
          <w:szCs w:val="22"/>
          <w:lang w:eastAsia="en-US"/>
        </w:rPr>
        <w:t>registruotojo PAVADINIMAS IR ADRESAS</w:t>
      </w:r>
    </w:p>
    <w:p w14:paraId="1D4A7184" w14:textId="77777777" w:rsidR="00A80CF8" w:rsidRPr="00D724AC" w:rsidRDefault="00A80CF8" w:rsidP="00A80CF8">
      <w:pPr>
        <w:tabs>
          <w:tab w:val="left" w:pos="567"/>
        </w:tabs>
        <w:spacing w:line="260" w:lineRule="exact"/>
        <w:rPr>
          <w:snapToGrid w:val="0"/>
          <w:szCs w:val="22"/>
          <w:lang w:eastAsia="en-US"/>
        </w:rPr>
      </w:pPr>
    </w:p>
    <w:p w14:paraId="4BF192C5" w14:textId="77777777" w:rsidR="00A80CF8" w:rsidRPr="00D724AC" w:rsidRDefault="00A80CF8" w:rsidP="00A80CF8">
      <w:pPr>
        <w:rPr>
          <w:snapToGrid w:val="0"/>
          <w:szCs w:val="22"/>
          <w:lang w:eastAsia="en-US"/>
        </w:rPr>
      </w:pPr>
      <w:r w:rsidRPr="00D724AC">
        <w:rPr>
          <w:snapToGrid w:val="0"/>
          <w:szCs w:val="22"/>
          <w:lang w:eastAsia="en-US"/>
        </w:rPr>
        <w:t>Medochemie Ltd.</w:t>
      </w:r>
      <w:r>
        <w:rPr>
          <w:snapToGrid w:val="0"/>
          <w:szCs w:val="22"/>
          <w:lang w:eastAsia="en-US"/>
        </w:rPr>
        <w:t xml:space="preserve">, </w:t>
      </w:r>
      <w:r w:rsidRPr="00D724AC">
        <w:rPr>
          <w:snapToGrid w:val="0"/>
          <w:szCs w:val="22"/>
          <w:lang w:eastAsia="en-US"/>
        </w:rPr>
        <w:t xml:space="preserve">1-10 Constantinoupoleos </w:t>
      </w:r>
      <w:r>
        <w:rPr>
          <w:snapToGrid w:val="0"/>
          <w:szCs w:val="22"/>
          <w:lang w:eastAsia="en-US"/>
        </w:rPr>
        <w:t>S</w:t>
      </w:r>
      <w:r w:rsidRPr="00D724AC">
        <w:rPr>
          <w:snapToGrid w:val="0"/>
          <w:szCs w:val="22"/>
          <w:lang w:eastAsia="en-US"/>
        </w:rPr>
        <w:t>treet</w:t>
      </w:r>
      <w:r>
        <w:rPr>
          <w:snapToGrid w:val="0"/>
          <w:szCs w:val="22"/>
          <w:lang w:eastAsia="en-US"/>
        </w:rPr>
        <w:t xml:space="preserve">, </w:t>
      </w:r>
      <w:r w:rsidRPr="00D724AC">
        <w:rPr>
          <w:snapToGrid w:val="0"/>
          <w:szCs w:val="22"/>
          <w:lang w:eastAsia="en-US"/>
        </w:rPr>
        <w:t>3011 Limassol</w:t>
      </w:r>
      <w:r>
        <w:rPr>
          <w:snapToGrid w:val="0"/>
          <w:szCs w:val="22"/>
          <w:lang w:eastAsia="en-US"/>
        </w:rPr>
        <w:t xml:space="preserve">, </w:t>
      </w:r>
      <w:r w:rsidRPr="00D724AC">
        <w:rPr>
          <w:snapToGrid w:val="0"/>
          <w:szCs w:val="22"/>
          <w:lang w:eastAsia="en-US"/>
        </w:rPr>
        <w:t>Kipras</w:t>
      </w:r>
    </w:p>
    <w:p w14:paraId="0D9863CA" w14:textId="77777777" w:rsidR="00A80CF8" w:rsidRPr="00D724AC" w:rsidRDefault="00A80CF8" w:rsidP="00A80CF8">
      <w:pPr>
        <w:tabs>
          <w:tab w:val="left" w:pos="567"/>
        </w:tabs>
        <w:spacing w:line="260" w:lineRule="exact"/>
        <w:rPr>
          <w:snapToGrid w:val="0"/>
          <w:szCs w:val="22"/>
          <w:lang w:eastAsia="en-US"/>
        </w:rPr>
      </w:pPr>
    </w:p>
    <w:p w14:paraId="2A38F627" w14:textId="77777777" w:rsidR="00A80CF8" w:rsidRPr="00D724AC" w:rsidRDefault="00A80CF8" w:rsidP="00A80CF8">
      <w:pPr>
        <w:tabs>
          <w:tab w:val="left" w:pos="567"/>
        </w:tabs>
        <w:spacing w:line="260" w:lineRule="exact"/>
        <w:rPr>
          <w:snapToGrid w:val="0"/>
          <w:szCs w:val="22"/>
          <w:lang w:eastAsia="en-US"/>
        </w:rPr>
      </w:pPr>
    </w:p>
    <w:p w14:paraId="664811BA"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outlineLvl w:val="0"/>
        <w:rPr>
          <w:snapToGrid w:val="0"/>
          <w:szCs w:val="22"/>
          <w:lang w:eastAsia="en-US"/>
        </w:rPr>
      </w:pPr>
      <w:r w:rsidRPr="00D724AC">
        <w:rPr>
          <w:b/>
          <w:snapToGrid w:val="0"/>
          <w:szCs w:val="22"/>
          <w:lang w:eastAsia="en-US"/>
        </w:rPr>
        <w:t>12.</w:t>
      </w:r>
      <w:r w:rsidRPr="00D724AC">
        <w:rPr>
          <w:b/>
          <w:snapToGrid w:val="0"/>
          <w:szCs w:val="22"/>
          <w:lang w:eastAsia="en-US"/>
        </w:rPr>
        <w:tab/>
        <w:t xml:space="preserve">REGISTRACIJOS PAŽYMĖJIMO NUMERIS (-IAI) </w:t>
      </w:r>
    </w:p>
    <w:p w14:paraId="75DD0B6C" w14:textId="77777777" w:rsidR="00A80CF8" w:rsidRPr="00D724AC" w:rsidRDefault="00A80CF8" w:rsidP="00A80CF8">
      <w:pPr>
        <w:tabs>
          <w:tab w:val="left" w:pos="567"/>
        </w:tabs>
        <w:spacing w:line="260" w:lineRule="exact"/>
        <w:rPr>
          <w:snapToGrid w:val="0"/>
          <w:szCs w:val="22"/>
          <w:lang w:eastAsia="en-US"/>
        </w:rPr>
      </w:pPr>
    </w:p>
    <w:p w14:paraId="3C0C1BEE"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150 mg/12,5 mg</w:t>
      </w:r>
    </w:p>
    <w:p w14:paraId="3798504E" w14:textId="77777777" w:rsidR="00A80CF8" w:rsidRPr="002E32D4" w:rsidRDefault="00A80CF8" w:rsidP="00A80CF8">
      <w:pPr>
        <w:tabs>
          <w:tab w:val="left" w:pos="709"/>
        </w:tabs>
        <w:spacing w:line="260" w:lineRule="exact"/>
        <w:rPr>
          <w:rFonts w:eastAsia="Calibri"/>
          <w:highlight w:val="lightGray"/>
        </w:rPr>
      </w:pPr>
      <w:r>
        <w:t xml:space="preserve">LT/1/14/3585/001 </w:t>
      </w:r>
      <w:r w:rsidRPr="002E32D4">
        <w:rPr>
          <w:rFonts w:eastAsia="Calibri"/>
          <w:highlight w:val="lightGray"/>
        </w:rPr>
        <w:t>– N14</w:t>
      </w:r>
    </w:p>
    <w:p w14:paraId="694D87D1"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LT/1/14/3585/002 – N28</w:t>
      </w:r>
    </w:p>
    <w:p w14:paraId="5E6041B4"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LT/1/14/3585/003 – N30</w:t>
      </w:r>
    </w:p>
    <w:p w14:paraId="2DC57BFF"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LT/1/14/3585/004 – N56</w:t>
      </w:r>
    </w:p>
    <w:p w14:paraId="0C32A4CE"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LT/1/14/3585/005 – N60</w:t>
      </w:r>
    </w:p>
    <w:p w14:paraId="0DE92B09"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LT/1/14/3585/006 – N84</w:t>
      </w:r>
    </w:p>
    <w:p w14:paraId="4524B496"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LT/1/14/3585/007 – N90</w:t>
      </w:r>
    </w:p>
    <w:p w14:paraId="2C30C0CD"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LT/1/14/3585/008 – N98</w:t>
      </w:r>
    </w:p>
    <w:p w14:paraId="656137EF"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 xml:space="preserve">LT/1/14/3585/009 – N100      </w:t>
      </w:r>
    </w:p>
    <w:p w14:paraId="5DABC641"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300 mg/25 mg</w:t>
      </w:r>
    </w:p>
    <w:p w14:paraId="21E1A42D" w14:textId="77777777" w:rsidR="00A80CF8" w:rsidRPr="002E32D4" w:rsidRDefault="00A80CF8" w:rsidP="00A80CF8">
      <w:pPr>
        <w:tabs>
          <w:tab w:val="left" w:pos="709"/>
        </w:tabs>
        <w:spacing w:line="260" w:lineRule="exact"/>
        <w:rPr>
          <w:rFonts w:eastAsia="Calibri"/>
          <w:highlight w:val="lightGray"/>
        </w:rPr>
      </w:pPr>
      <w:r w:rsidRPr="00863992">
        <w:rPr>
          <w:rFonts w:eastAsia="Calibri"/>
          <w:highlight w:val="lightGray"/>
        </w:rPr>
        <w:t>LT/1/14/3585/010</w:t>
      </w:r>
      <w:r>
        <w:t xml:space="preserve"> </w:t>
      </w:r>
      <w:r w:rsidRPr="002E32D4">
        <w:rPr>
          <w:rFonts w:eastAsia="Calibri"/>
          <w:highlight w:val="lightGray"/>
        </w:rPr>
        <w:t>– N14</w:t>
      </w:r>
    </w:p>
    <w:p w14:paraId="68640FC9"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LT/1/14/3585/011 – N28</w:t>
      </w:r>
    </w:p>
    <w:p w14:paraId="61BE901F"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LT/1/14/3585/012 – N30</w:t>
      </w:r>
    </w:p>
    <w:p w14:paraId="66ABE9FF"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LT/1/14/3585/013 – N56</w:t>
      </w:r>
    </w:p>
    <w:p w14:paraId="6C3CDBB0"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LT/1/14/3585/014 – N60</w:t>
      </w:r>
    </w:p>
    <w:p w14:paraId="75C4D908"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LT/1/14/3585/015 – N84</w:t>
      </w:r>
    </w:p>
    <w:p w14:paraId="1BC70FE7"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LT/1/14/3585/016 – N90</w:t>
      </w:r>
    </w:p>
    <w:p w14:paraId="3EB9DE78" w14:textId="77777777" w:rsidR="00A80CF8" w:rsidRPr="002E32D4" w:rsidRDefault="00A80CF8" w:rsidP="00A80CF8">
      <w:pPr>
        <w:tabs>
          <w:tab w:val="left" w:pos="709"/>
        </w:tabs>
        <w:spacing w:line="260" w:lineRule="exact"/>
        <w:rPr>
          <w:rFonts w:eastAsia="Calibri"/>
          <w:highlight w:val="lightGray"/>
        </w:rPr>
      </w:pPr>
      <w:r w:rsidRPr="002E32D4">
        <w:rPr>
          <w:rFonts w:eastAsia="Calibri"/>
          <w:highlight w:val="lightGray"/>
        </w:rPr>
        <w:t>LT/1/14/3585/017 – N98</w:t>
      </w:r>
    </w:p>
    <w:p w14:paraId="7B987B5B" w14:textId="77777777" w:rsidR="00A80CF8" w:rsidRDefault="00A80CF8" w:rsidP="00A80CF8">
      <w:pPr>
        <w:tabs>
          <w:tab w:val="left" w:pos="567"/>
        </w:tabs>
        <w:spacing w:line="260" w:lineRule="exact"/>
        <w:rPr>
          <w:rFonts w:eastAsia="Calibri"/>
        </w:rPr>
      </w:pPr>
      <w:r w:rsidRPr="002E32D4">
        <w:rPr>
          <w:rFonts w:eastAsia="Calibri"/>
          <w:highlight w:val="lightGray"/>
        </w:rPr>
        <w:t>LT/1/14/3585/018 – N100</w:t>
      </w:r>
    </w:p>
    <w:p w14:paraId="23C14321" w14:textId="77777777" w:rsidR="00A80CF8" w:rsidRPr="00D724AC" w:rsidRDefault="00A80CF8" w:rsidP="00A80CF8">
      <w:pPr>
        <w:tabs>
          <w:tab w:val="left" w:pos="567"/>
        </w:tabs>
        <w:spacing w:line="260" w:lineRule="exact"/>
        <w:rPr>
          <w:snapToGrid w:val="0"/>
          <w:szCs w:val="22"/>
          <w:lang w:eastAsia="en-US"/>
        </w:rPr>
      </w:pPr>
    </w:p>
    <w:p w14:paraId="48390036" w14:textId="77777777" w:rsidR="00A80CF8" w:rsidRPr="00D724AC" w:rsidRDefault="00A80CF8" w:rsidP="00A80CF8">
      <w:pPr>
        <w:tabs>
          <w:tab w:val="left" w:pos="567"/>
        </w:tabs>
        <w:spacing w:line="260" w:lineRule="exact"/>
        <w:rPr>
          <w:snapToGrid w:val="0"/>
          <w:szCs w:val="22"/>
          <w:lang w:eastAsia="en-US"/>
        </w:rPr>
      </w:pPr>
    </w:p>
    <w:p w14:paraId="4DC9EC6F"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outlineLvl w:val="0"/>
        <w:rPr>
          <w:snapToGrid w:val="0"/>
          <w:szCs w:val="22"/>
          <w:lang w:eastAsia="en-US"/>
        </w:rPr>
      </w:pPr>
      <w:r w:rsidRPr="00D724AC">
        <w:rPr>
          <w:b/>
          <w:snapToGrid w:val="0"/>
          <w:szCs w:val="22"/>
          <w:lang w:eastAsia="en-US"/>
        </w:rPr>
        <w:t>13.</w:t>
      </w:r>
      <w:r w:rsidRPr="00D724AC">
        <w:rPr>
          <w:b/>
          <w:snapToGrid w:val="0"/>
          <w:szCs w:val="22"/>
          <w:lang w:eastAsia="en-US"/>
        </w:rPr>
        <w:tab/>
        <w:t xml:space="preserve">SERIJOS NUMERIS </w:t>
      </w:r>
    </w:p>
    <w:p w14:paraId="56804FD7" w14:textId="77777777" w:rsidR="00A80CF8" w:rsidRPr="00D724AC" w:rsidRDefault="00A80CF8" w:rsidP="00A80CF8">
      <w:pPr>
        <w:tabs>
          <w:tab w:val="left" w:pos="567"/>
        </w:tabs>
        <w:spacing w:line="260" w:lineRule="exact"/>
        <w:rPr>
          <w:snapToGrid w:val="0"/>
          <w:szCs w:val="22"/>
          <w:lang w:eastAsia="en-US"/>
        </w:rPr>
      </w:pPr>
    </w:p>
    <w:p w14:paraId="1383CC11" w14:textId="77777777" w:rsidR="00A80CF8" w:rsidRPr="00D724AC" w:rsidRDefault="00A80CF8" w:rsidP="00A80CF8">
      <w:pPr>
        <w:tabs>
          <w:tab w:val="left" w:pos="567"/>
        </w:tabs>
        <w:spacing w:line="260" w:lineRule="exact"/>
        <w:rPr>
          <w:snapToGrid w:val="0"/>
          <w:szCs w:val="22"/>
          <w:lang w:eastAsia="en-US"/>
        </w:rPr>
      </w:pPr>
      <w:r w:rsidRPr="00D724AC">
        <w:rPr>
          <w:snapToGrid w:val="0"/>
          <w:szCs w:val="22"/>
          <w:lang w:eastAsia="en-US"/>
        </w:rPr>
        <w:t>Lot</w:t>
      </w:r>
      <w:r>
        <w:rPr>
          <w:snapToGrid w:val="0"/>
          <w:szCs w:val="22"/>
          <w:lang w:eastAsia="en-US"/>
        </w:rPr>
        <w:t>: {numeris}</w:t>
      </w:r>
    </w:p>
    <w:p w14:paraId="42385D4D" w14:textId="77777777" w:rsidR="00A80CF8" w:rsidRDefault="00A80CF8" w:rsidP="00A80CF8">
      <w:pPr>
        <w:tabs>
          <w:tab w:val="left" w:pos="567"/>
        </w:tabs>
        <w:spacing w:line="260" w:lineRule="exact"/>
        <w:rPr>
          <w:snapToGrid w:val="0"/>
          <w:szCs w:val="22"/>
          <w:lang w:eastAsia="en-US"/>
        </w:rPr>
      </w:pPr>
    </w:p>
    <w:p w14:paraId="07602480" w14:textId="77777777" w:rsidR="00A80CF8" w:rsidRPr="00D724AC" w:rsidRDefault="00A80CF8" w:rsidP="00A80CF8">
      <w:pPr>
        <w:keepNext/>
        <w:tabs>
          <w:tab w:val="left" w:pos="567"/>
        </w:tabs>
        <w:spacing w:line="260" w:lineRule="exact"/>
        <w:rPr>
          <w:snapToGrid w:val="0"/>
          <w:szCs w:val="22"/>
          <w:lang w:eastAsia="en-US"/>
        </w:rPr>
      </w:pPr>
    </w:p>
    <w:p w14:paraId="0E64E798" w14:textId="77777777" w:rsidR="00A80CF8" w:rsidRPr="00D724AC" w:rsidRDefault="00A80CF8" w:rsidP="00A80CF8">
      <w:pPr>
        <w:keepNext/>
        <w:pBdr>
          <w:top w:val="single" w:sz="4" w:space="1" w:color="auto"/>
          <w:left w:val="single" w:sz="4" w:space="4" w:color="auto"/>
          <w:bottom w:val="single" w:sz="4" w:space="1" w:color="auto"/>
          <w:right w:val="single" w:sz="4" w:space="4" w:color="auto"/>
        </w:pBdr>
        <w:tabs>
          <w:tab w:val="left" w:pos="567"/>
        </w:tabs>
        <w:outlineLvl w:val="0"/>
        <w:rPr>
          <w:snapToGrid w:val="0"/>
          <w:szCs w:val="22"/>
          <w:lang w:eastAsia="en-US"/>
        </w:rPr>
      </w:pPr>
      <w:r w:rsidRPr="00D724AC">
        <w:rPr>
          <w:b/>
          <w:snapToGrid w:val="0"/>
          <w:szCs w:val="22"/>
          <w:lang w:eastAsia="en-US"/>
        </w:rPr>
        <w:t>14.</w:t>
      </w:r>
      <w:r w:rsidRPr="00D724AC">
        <w:rPr>
          <w:b/>
          <w:snapToGrid w:val="0"/>
          <w:szCs w:val="22"/>
          <w:lang w:eastAsia="en-US"/>
        </w:rPr>
        <w:tab/>
        <w:t>PARDAVIMO (IŠDAVIMO) TVARKA</w:t>
      </w:r>
    </w:p>
    <w:p w14:paraId="50156252" w14:textId="77777777" w:rsidR="00A80CF8" w:rsidRPr="00D724AC" w:rsidRDefault="00A80CF8" w:rsidP="00A80CF8">
      <w:pPr>
        <w:keepNext/>
        <w:tabs>
          <w:tab w:val="left" w:pos="567"/>
        </w:tabs>
        <w:spacing w:line="260" w:lineRule="exact"/>
        <w:rPr>
          <w:snapToGrid w:val="0"/>
          <w:szCs w:val="22"/>
          <w:lang w:eastAsia="en-US"/>
        </w:rPr>
      </w:pPr>
    </w:p>
    <w:p w14:paraId="5F69D527" w14:textId="77777777" w:rsidR="00A80CF8" w:rsidRPr="00D724AC" w:rsidRDefault="00A80CF8" w:rsidP="00A80CF8">
      <w:pPr>
        <w:tabs>
          <w:tab w:val="left" w:pos="567"/>
        </w:tabs>
        <w:spacing w:line="260" w:lineRule="exact"/>
        <w:rPr>
          <w:snapToGrid w:val="0"/>
          <w:szCs w:val="22"/>
          <w:lang w:eastAsia="en-US"/>
        </w:rPr>
      </w:pPr>
      <w:r w:rsidRPr="00D724AC">
        <w:rPr>
          <w:snapToGrid w:val="0"/>
          <w:szCs w:val="22"/>
          <w:lang w:eastAsia="en-US"/>
        </w:rPr>
        <w:t>Receptinis vaistas.</w:t>
      </w:r>
    </w:p>
    <w:p w14:paraId="7A23328C" w14:textId="77777777" w:rsidR="00A80CF8" w:rsidRPr="00D724AC" w:rsidRDefault="00A80CF8" w:rsidP="00A80CF8">
      <w:pPr>
        <w:tabs>
          <w:tab w:val="left" w:pos="567"/>
        </w:tabs>
        <w:spacing w:line="260" w:lineRule="exact"/>
        <w:rPr>
          <w:snapToGrid w:val="0"/>
          <w:szCs w:val="22"/>
          <w:lang w:eastAsia="en-US"/>
        </w:rPr>
      </w:pPr>
    </w:p>
    <w:p w14:paraId="33572EF4" w14:textId="77777777" w:rsidR="00A80CF8" w:rsidRPr="00D724AC" w:rsidRDefault="00A80CF8" w:rsidP="00A80CF8">
      <w:pPr>
        <w:tabs>
          <w:tab w:val="left" w:pos="567"/>
        </w:tabs>
        <w:spacing w:line="260" w:lineRule="exact"/>
        <w:rPr>
          <w:snapToGrid w:val="0"/>
          <w:szCs w:val="22"/>
          <w:lang w:eastAsia="en-US"/>
        </w:rPr>
      </w:pPr>
    </w:p>
    <w:p w14:paraId="32B1177D" w14:textId="77777777" w:rsidR="00A80CF8" w:rsidRPr="00D724AC" w:rsidRDefault="00A80CF8" w:rsidP="00A80CF8">
      <w:pPr>
        <w:pBdr>
          <w:top w:val="single" w:sz="4" w:space="2" w:color="auto"/>
          <w:left w:val="single" w:sz="4" w:space="4" w:color="auto"/>
          <w:bottom w:val="single" w:sz="4" w:space="1" w:color="auto"/>
          <w:right w:val="single" w:sz="4" w:space="4" w:color="auto"/>
        </w:pBdr>
        <w:tabs>
          <w:tab w:val="left" w:pos="567"/>
        </w:tabs>
        <w:outlineLvl w:val="0"/>
        <w:rPr>
          <w:snapToGrid w:val="0"/>
          <w:szCs w:val="22"/>
          <w:lang w:eastAsia="en-US"/>
        </w:rPr>
      </w:pPr>
      <w:r w:rsidRPr="00D724AC">
        <w:rPr>
          <w:b/>
          <w:snapToGrid w:val="0"/>
          <w:szCs w:val="22"/>
          <w:lang w:eastAsia="en-US"/>
        </w:rPr>
        <w:lastRenderedPageBreak/>
        <w:t>15.</w:t>
      </w:r>
      <w:r w:rsidRPr="00D724AC">
        <w:rPr>
          <w:b/>
          <w:snapToGrid w:val="0"/>
          <w:szCs w:val="22"/>
          <w:lang w:eastAsia="en-US"/>
        </w:rPr>
        <w:tab/>
        <w:t>VARTOJIMO INSTRUKCIJA</w:t>
      </w:r>
    </w:p>
    <w:p w14:paraId="4EDEEFE0" w14:textId="77777777" w:rsidR="00A80CF8" w:rsidRPr="00D724AC" w:rsidRDefault="00A80CF8" w:rsidP="00A80CF8">
      <w:pPr>
        <w:tabs>
          <w:tab w:val="left" w:pos="567"/>
        </w:tabs>
        <w:spacing w:line="260" w:lineRule="exact"/>
        <w:rPr>
          <w:snapToGrid w:val="0"/>
          <w:szCs w:val="22"/>
          <w:lang w:eastAsia="en-US"/>
        </w:rPr>
      </w:pPr>
    </w:p>
    <w:p w14:paraId="59A53991" w14:textId="77777777" w:rsidR="00A80CF8" w:rsidRPr="00D724AC" w:rsidRDefault="00A80CF8" w:rsidP="00A80CF8">
      <w:pPr>
        <w:tabs>
          <w:tab w:val="left" w:pos="567"/>
        </w:tabs>
        <w:spacing w:line="260" w:lineRule="exact"/>
        <w:rPr>
          <w:snapToGrid w:val="0"/>
          <w:szCs w:val="22"/>
          <w:lang w:eastAsia="en-US"/>
        </w:rPr>
      </w:pPr>
    </w:p>
    <w:p w14:paraId="329E5DAC" w14:textId="77777777" w:rsidR="00A80CF8" w:rsidRPr="0035647D" w:rsidRDefault="00A80CF8" w:rsidP="00A80CF8">
      <w:pPr>
        <w:pBdr>
          <w:top w:val="single" w:sz="4" w:space="1" w:color="auto"/>
          <w:left w:val="single" w:sz="4" w:space="4" w:color="auto"/>
          <w:bottom w:val="single" w:sz="4" w:space="0" w:color="auto"/>
          <w:right w:val="single" w:sz="4" w:space="4" w:color="auto"/>
        </w:pBdr>
        <w:tabs>
          <w:tab w:val="left" w:pos="567"/>
        </w:tabs>
        <w:rPr>
          <w:snapToGrid w:val="0"/>
          <w:szCs w:val="22"/>
          <w:lang w:eastAsia="en-US"/>
        </w:rPr>
      </w:pPr>
      <w:r w:rsidRPr="00EC12A2">
        <w:rPr>
          <w:b/>
          <w:snapToGrid w:val="0"/>
          <w:szCs w:val="22"/>
          <w:lang w:eastAsia="en-US"/>
        </w:rPr>
        <w:t>16.</w:t>
      </w:r>
      <w:r w:rsidRPr="00EC12A2">
        <w:rPr>
          <w:b/>
          <w:snapToGrid w:val="0"/>
          <w:szCs w:val="22"/>
          <w:lang w:eastAsia="en-US"/>
        </w:rPr>
        <w:tab/>
        <w:t>INFORMACIJA BRAILIO RAŠTU</w:t>
      </w:r>
    </w:p>
    <w:p w14:paraId="007C5BD7" w14:textId="77777777" w:rsidR="00A80CF8" w:rsidRPr="00D724AC" w:rsidRDefault="00A80CF8" w:rsidP="00A80CF8">
      <w:pPr>
        <w:tabs>
          <w:tab w:val="left" w:pos="567"/>
        </w:tabs>
        <w:spacing w:line="260" w:lineRule="exact"/>
        <w:rPr>
          <w:snapToGrid w:val="0"/>
          <w:szCs w:val="22"/>
          <w:lang w:eastAsia="en-US"/>
        </w:rPr>
      </w:pPr>
    </w:p>
    <w:p w14:paraId="3DDBFE1A" w14:textId="77777777" w:rsidR="00A80CF8" w:rsidRPr="00D724AC" w:rsidRDefault="00A80CF8" w:rsidP="00A80CF8">
      <w:pPr>
        <w:autoSpaceDE w:val="0"/>
        <w:autoSpaceDN w:val="0"/>
        <w:adjustRightInd w:val="0"/>
        <w:rPr>
          <w:rFonts w:eastAsia="Calibri"/>
          <w:szCs w:val="22"/>
        </w:rPr>
      </w:pPr>
      <w:r>
        <w:rPr>
          <w:rFonts w:eastAsia="Calibri"/>
          <w:szCs w:val="22"/>
        </w:rPr>
        <w:t>converide</w:t>
      </w:r>
      <w:r w:rsidRPr="00D724AC">
        <w:rPr>
          <w:rFonts w:eastAsia="Calibri"/>
          <w:szCs w:val="22"/>
        </w:rPr>
        <w:t xml:space="preserve"> 150</w:t>
      </w:r>
      <w:r>
        <w:rPr>
          <w:rFonts w:eastAsia="Calibri"/>
          <w:szCs w:val="22"/>
        </w:rPr>
        <w:t> </w:t>
      </w:r>
      <w:r w:rsidRPr="00D724AC">
        <w:rPr>
          <w:rFonts w:eastAsia="Calibri"/>
          <w:szCs w:val="22"/>
        </w:rPr>
        <w:t>mg/12,5</w:t>
      </w:r>
      <w:r>
        <w:rPr>
          <w:rFonts w:eastAsia="Calibri"/>
          <w:szCs w:val="22"/>
        </w:rPr>
        <w:t> </w:t>
      </w:r>
      <w:r w:rsidRPr="00D724AC">
        <w:rPr>
          <w:rFonts w:eastAsia="Calibri"/>
          <w:szCs w:val="22"/>
        </w:rPr>
        <w:t xml:space="preserve">mg </w:t>
      </w:r>
    </w:p>
    <w:p w14:paraId="3BB011B9" w14:textId="77777777" w:rsidR="00A80CF8" w:rsidRPr="00D724AC" w:rsidRDefault="00A80CF8" w:rsidP="00A80CF8">
      <w:pPr>
        <w:autoSpaceDE w:val="0"/>
        <w:autoSpaceDN w:val="0"/>
        <w:adjustRightInd w:val="0"/>
        <w:rPr>
          <w:rFonts w:eastAsia="Calibri"/>
          <w:szCs w:val="22"/>
        </w:rPr>
      </w:pPr>
      <w:r>
        <w:rPr>
          <w:rFonts w:eastAsia="Calibri"/>
          <w:szCs w:val="22"/>
          <w:highlight w:val="lightGray"/>
        </w:rPr>
        <w:t>converide</w:t>
      </w:r>
      <w:r w:rsidRPr="00396DCB">
        <w:rPr>
          <w:rFonts w:eastAsia="Calibri"/>
          <w:highlight w:val="lightGray"/>
        </w:rPr>
        <w:t xml:space="preserve"> 300</w:t>
      </w:r>
      <w:r>
        <w:rPr>
          <w:rFonts w:eastAsia="Calibri"/>
          <w:highlight w:val="lightGray"/>
        </w:rPr>
        <w:t> </w:t>
      </w:r>
      <w:r w:rsidRPr="00396DCB">
        <w:rPr>
          <w:rFonts w:eastAsia="Calibri"/>
          <w:highlight w:val="lightGray"/>
        </w:rPr>
        <w:t>mg/25</w:t>
      </w:r>
      <w:r>
        <w:rPr>
          <w:rFonts w:eastAsia="Calibri"/>
          <w:highlight w:val="lightGray"/>
        </w:rPr>
        <w:t> </w:t>
      </w:r>
      <w:r w:rsidRPr="00396DCB">
        <w:rPr>
          <w:rFonts w:eastAsia="Calibri"/>
          <w:highlight w:val="lightGray"/>
        </w:rPr>
        <w:t xml:space="preserve">mg </w:t>
      </w:r>
    </w:p>
    <w:p w14:paraId="6CA4C92F" w14:textId="77777777" w:rsidR="00A80CF8" w:rsidRPr="00D724AC" w:rsidRDefault="00A80CF8" w:rsidP="00A80CF8">
      <w:pPr>
        <w:autoSpaceDE w:val="0"/>
        <w:autoSpaceDN w:val="0"/>
        <w:adjustRightInd w:val="0"/>
        <w:rPr>
          <w:rFonts w:eastAsia="Calibri"/>
          <w:szCs w:val="22"/>
        </w:rPr>
      </w:pPr>
    </w:p>
    <w:p w14:paraId="08C70E42" w14:textId="77777777" w:rsidR="00A80CF8" w:rsidRPr="00D724AC" w:rsidRDefault="00A80CF8" w:rsidP="00A80CF8">
      <w:pPr>
        <w:autoSpaceDE w:val="0"/>
        <w:autoSpaceDN w:val="0"/>
        <w:adjustRightInd w:val="0"/>
        <w:rPr>
          <w:rFonts w:eastAsia="Calibri"/>
          <w:szCs w:val="22"/>
        </w:rPr>
      </w:pPr>
    </w:p>
    <w:p w14:paraId="577AA8F5" w14:textId="77777777" w:rsidR="00A80CF8" w:rsidRPr="00C03B46" w:rsidRDefault="00A80CF8" w:rsidP="00A80CF8">
      <w:pPr>
        <w:pBdr>
          <w:top w:val="single" w:sz="4" w:space="1" w:color="auto"/>
          <w:left w:val="single" w:sz="4" w:space="4" w:color="auto"/>
          <w:bottom w:val="single" w:sz="4" w:space="1" w:color="auto"/>
          <w:right w:val="single" w:sz="4" w:space="4" w:color="auto"/>
        </w:pBdr>
        <w:rPr>
          <w:b/>
          <w:i/>
          <w:noProof/>
          <w:snapToGrid w:val="0"/>
          <w:szCs w:val="24"/>
          <w:lang w:eastAsia="en-US"/>
        </w:rPr>
      </w:pPr>
      <w:r w:rsidRPr="00C03B46">
        <w:rPr>
          <w:b/>
          <w:noProof/>
          <w:snapToGrid w:val="0"/>
          <w:lang w:eastAsia="en-US"/>
        </w:rPr>
        <w:t>17.</w:t>
      </w:r>
      <w:r w:rsidRPr="00C03B46">
        <w:rPr>
          <w:b/>
          <w:noProof/>
          <w:snapToGrid w:val="0"/>
          <w:lang w:eastAsia="en-US"/>
        </w:rPr>
        <w:tab/>
        <w:t>UNIKALUS IDENTIFIKATORIUS – 2D BRŪKŠNINIS KODAS</w:t>
      </w:r>
    </w:p>
    <w:p w14:paraId="17B09493" w14:textId="77777777" w:rsidR="00A80CF8" w:rsidRPr="00C03B46" w:rsidRDefault="00A80CF8" w:rsidP="00A80CF8">
      <w:pPr>
        <w:tabs>
          <w:tab w:val="left" w:pos="567"/>
        </w:tabs>
        <w:spacing w:line="260" w:lineRule="exact"/>
        <w:rPr>
          <w:noProof/>
          <w:snapToGrid w:val="0"/>
          <w:lang w:eastAsia="en-US"/>
        </w:rPr>
      </w:pPr>
    </w:p>
    <w:p w14:paraId="6C408F83" w14:textId="77777777" w:rsidR="00A80CF8" w:rsidRPr="0035647D" w:rsidRDefault="00A80CF8" w:rsidP="00A80CF8">
      <w:pPr>
        <w:tabs>
          <w:tab w:val="left" w:pos="567"/>
        </w:tabs>
        <w:spacing w:line="260" w:lineRule="exact"/>
        <w:rPr>
          <w:shd w:val="clear" w:color="auto" w:fill="CCCCCC"/>
        </w:rPr>
      </w:pPr>
      <w:r w:rsidRPr="0035647D">
        <w:rPr>
          <w:highlight w:val="lightGray"/>
        </w:rPr>
        <w:t>2D brūkšninis kodas su nurodytu unikaliu identifikatoriumi.</w:t>
      </w:r>
    </w:p>
    <w:p w14:paraId="03CE72B4" w14:textId="77777777" w:rsidR="00A80CF8" w:rsidRPr="00C03B46" w:rsidRDefault="00A80CF8" w:rsidP="00A80CF8">
      <w:pPr>
        <w:tabs>
          <w:tab w:val="left" w:pos="567"/>
        </w:tabs>
        <w:spacing w:line="260" w:lineRule="exact"/>
        <w:rPr>
          <w:highlight w:val="lightGray"/>
          <w:lang w:val="nn-NO"/>
        </w:rPr>
      </w:pPr>
    </w:p>
    <w:p w14:paraId="22131C43" w14:textId="77777777" w:rsidR="00A80CF8" w:rsidRPr="00C03B46" w:rsidRDefault="00A80CF8" w:rsidP="00A80CF8">
      <w:pPr>
        <w:tabs>
          <w:tab w:val="left" w:pos="567"/>
        </w:tabs>
        <w:spacing w:line="260" w:lineRule="exact"/>
        <w:rPr>
          <w:noProof/>
          <w:snapToGrid w:val="0"/>
          <w:lang w:val="nn-NO" w:eastAsia="en-US"/>
        </w:rPr>
      </w:pPr>
    </w:p>
    <w:p w14:paraId="52300B02" w14:textId="77777777" w:rsidR="00A80CF8" w:rsidRPr="00D724AC" w:rsidRDefault="00A80CF8" w:rsidP="00A80CF8">
      <w:pPr>
        <w:pBdr>
          <w:top w:val="single" w:sz="4" w:space="1" w:color="auto"/>
          <w:left w:val="single" w:sz="4" w:space="4" w:color="auto"/>
          <w:bottom w:val="single" w:sz="4" w:space="1" w:color="auto"/>
          <w:right w:val="single" w:sz="4" w:space="4" w:color="auto"/>
        </w:pBdr>
        <w:rPr>
          <w:b/>
          <w:i/>
          <w:noProof/>
          <w:snapToGrid w:val="0"/>
          <w:lang w:val="en-GB" w:eastAsia="en-US"/>
        </w:rPr>
      </w:pPr>
      <w:r w:rsidRPr="00D724AC">
        <w:rPr>
          <w:b/>
          <w:noProof/>
          <w:snapToGrid w:val="0"/>
          <w:lang w:val="en-GB" w:eastAsia="en-US"/>
        </w:rPr>
        <w:t>18.</w:t>
      </w:r>
      <w:r w:rsidRPr="00D724AC">
        <w:rPr>
          <w:b/>
          <w:noProof/>
          <w:snapToGrid w:val="0"/>
          <w:lang w:val="en-GB" w:eastAsia="en-US"/>
        </w:rPr>
        <w:tab/>
        <w:t>UNIKALUS IDENTIFIKATORIUS – ŽMONĖMS SUPRANTAMI DUOMENYS</w:t>
      </w:r>
    </w:p>
    <w:p w14:paraId="18232F4F" w14:textId="77777777" w:rsidR="00A80CF8" w:rsidRPr="00D724AC" w:rsidRDefault="00A80CF8" w:rsidP="00A80CF8">
      <w:pPr>
        <w:tabs>
          <w:tab w:val="left" w:pos="567"/>
        </w:tabs>
        <w:spacing w:line="260" w:lineRule="exact"/>
        <w:rPr>
          <w:noProof/>
          <w:snapToGrid w:val="0"/>
          <w:lang w:val="en-GB" w:eastAsia="en-US"/>
        </w:rPr>
      </w:pPr>
    </w:p>
    <w:p w14:paraId="18DAAC8A" w14:textId="77777777" w:rsidR="00A80CF8" w:rsidRPr="00C03B46" w:rsidRDefault="00A80CF8" w:rsidP="00A80CF8">
      <w:pPr>
        <w:tabs>
          <w:tab w:val="left" w:pos="567"/>
        </w:tabs>
        <w:spacing w:line="260" w:lineRule="exact"/>
        <w:rPr>
          <w:snapToGrid w:val="0"/>
          <w:szCs w:val="22"/>
          <w:lang w:eastAsia="en-US"/>
        </w:rPr>
      </w:pPr>
      <w:r w:rsidRPr="00C03B46">
        <w:rPr>
          <w:snapToGrid w:val="0"/>
          <w:lang w:eastAsia="en-US"/>
        </w:rPr>
        <w:t>PC: {numeris}</w:t>
      </w:r>
    </w:p>
    <w:p w14:paraId="1819DE83" w14:textId="77777777" w:rsidR="00A80CF8" w:rsidRPr="00C03B46" w:rsidRDefault="00A80CF8" w:rsidP="00A80CF8">
      <w:pPr>
        <w:tabs>
          <w:tab w:val="left" w:pos="567"/>
        </w:tabs>
        <w:spacing w:line="260" w:lineRule="exact"/>
        <w:rPr>
          <w:snapToGrid w:val="0"/>
          <w:szCs w:val="22"/>
          <w:lang w:eastAsia="en-US"/>
        </w:rPr>
      </w:pPr>
      <w:r w:rsidRPr="00C03B46">
        <w:rPr>
          <w:snapToGrid w:val="0"/>
          <w:lang w:eastAsia="en-US"/>
        </w:rPr>
        <w:t>SN: {numeris}</w:t>
      </w:r>
    </w:p>
    <w:p w14:paraId="3379F9CB" w14:textId="77777777" w:rsidR="00A80CF8" w:rsidRPr="00C03B46" w:rsidRDefault="00A80CF8" w:rsidP="00A80CF8">
      <w:pPr>
        <w:tabs>
          <w:tab w:val="left" w:pos="567"/>
        </w:tabs>
        <w:spacing w:line="260" w:lineRule="exact"/>
        <w:rPr>
          <w:snapToGrid w:val="0"/>
          <w:szCs w:val="22"/>
          <w:lang w:eastAsia="en-US"/>
        </w:rPr>
      </w:pPr>
      <w:r w:rsidRPr="00C03B46">
        <w:rPr>
          <w:snapToGrid w:val="0"/>
          <w:highlight w:val="lightGray"/>
          <w:lang w:eastAsia="en-US"/>
        </w:rPr>
        <w:t>NN: {numeris}</w:t>
      </w:r>
    </w:p>
    <w:p w14:paraId="6970AF0B" w14:textId="77777777" w:rsidR="00A80CF8" w:rsidRPr="00D724AC" w:rsidRDefault="00A80CF8" w:rsidP="00A80CF8">
      <w:pPr>
        <w:tabs>
          <w:tab w:val="left" w:pos="567"/>
        </w:tabs>
        <w:spacing w:line="260" w:lineRule="exact"/>
        <w:rPr>
          <w:snapToGrid w:val="0"/>
          <w:szCs w:val="22"/>
          <w:lang w:eastAsia="en-US"/>
        </w:rPr>
      </w:pPr>
    </w:p>
    <w:p w14:paraId="22F83215" w14:textId="77777777" w:rsidR="00A80CF8" w:rsidRPr="00D724AC" w:rsidRDefault="00A80CF8" w:rsidP="00A80CF8">
      <w:pPr>
        <w:tabs>
          <w:tab w:val="left" w:pos="567"/>
        </w:tabs>
        <w:spacing w:line="260" w:lineRule="exact"/>
        <w:rPr>
          <w:snapToGrid w:val="0"/>
          <w:szCs w:val="22"/>
          <w:lang w:eastAsia="en-US"/>
        </w:rPr>
      </w:pPr>
      <w:r w:rsidRPr="00D724AC">
        <w:rPr>
          <w:snapToGrid w:val="0"/>
          <w:szCs w:val="22"/>
          <w:lang w:eastAsia="en-US"/>
        </w:rPr>
        <w:br w:type="page"/>
      </w:r>
    </w:p>
    <w:p w14:paraId="26A6177D"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0"/>
        </w:tabs>
        <w:spacing w:line="260" w:lineRule="exact"/>
        <w:rPr>
          <w:b/>
          <w:snapToGrid w:val="0"/>
          <w:szCs w:val="22"/>
          <w:lang w:eastAsia="en-US"/>
        </w:rPr>
      </w:pPr>
      <w:r w:rsidRPr="00D724AC">
        <w:rPr>
          <w:b/>
          <w:snapToGrid w:val="0"/>
          <w:szCs w:val="22"/>
          <w:lang w:eastAsia="en-US"/>
        </w:rPr>
        <w:lastRenderedPageBreak/>
        <w:t>MINIMALI INFORMACIJA ANT LIZDINIŲ PLOKŠTELIŲ ARBA DVISLUOKSNIŲ JUOSTELIŲ</w:t>
      </w:r>
    </w:p>
    <w:p w14:paraId="4CDFD14E"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Cs w:val="22"/>
          <w:lang w:eastAsia="en-US"/>
        </w:rPr>
      </w:pPr>
    </w:p>
    <w:p w14:paraId="416D6E55"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Cs w:val="22"/>
          <w:lang w:eastAsia="en-US"/>
        </w:rPr>
      </w:pPr>
      <w:r w:rsidRPr="00D724AC">
        <w:rPr>
          <w:b/>
          <w:snapToGrid w:val="0"/>
          <w:szCs w:val="22"/>
          <w:lang w:eastAsia="en-US"/>
        </w:rPr>
        <w:t>LIZDINĖ PLOKŠTELĖ</w:t>
      </w:r>
    </w:p>
    <w:p w14:paraId="1E2E9A48" w14:textId="77777777" w:rsidR="00A80CF8" w:rsidRPr="00D724AC" w:rsidRDefault="00A80CF8" w:rsidP="00A80CF8">
      <w:pPr>
        <w:tabs>
          <w:tab w:val="left" w:pos="567"/>
        </w:tabs>
        <w:spacing w:line="260" w:lineRule="exact"/>
        <w:rPr>
          <w:snapToGrid w:val="0"/>
          <w:szCs w:val="22"/>
          <w:lang w:eastAsia="en-US"/>
        </w:rPr>
      </w:pPr>
    </w:p>
    <w:p w14:paraId="7CE1891B" w14:textId="77777777" w:rsidR="00A80CF8" w:rsidRPr="00D724AC" w:rsidRDefault="00A80CF8" w:rsidP="00A80CF8">
      <w:pPr>
        <w:tabs>
          <w:tab w:val="left" w:pos="567"/>
        </w:tabs>
        <w:spacing w:line="260" w:lineRule="exact"/>
        <w:rPr>
          <w:snapToGrid w:val="0"/>
          <w:szCs w:val="22"/>
          <w:lang w:eastAsia="en-US"/>
        </w:rPr>
      </w:pPr>
    </w:p>
    <w:p w14:paraId="7355BF8D"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outlineLvl w:val="0"/>
        <w:rPr>
          <w:b/>
          <w:snapToGrid w:val="0"/>
          <w:szCs w:val="22"/>
          <w:lang w:eastAsia="en-US"/>
        </w:rPr>
      </w:pPr>
      <w:r w:rsidRPr="00D724AC">
        <w:rPr>
          <w:b/>
          <w:snapToGrid w:val="0"/>
          <w:szCs w:val="22"/>
          <w:lang w:eastAsia="en-US"/>
        </w:rPr>
        <w:t>1.</w:t>
      </w:r>
      <w:r w:rsidRPr="00D724AC">
        <w:rPr>
          <w:b/>
          <w:snapToGrid w:val="0"/>
          <w:szCs w:val="22"/>
          <w:lang w:eastAsia="en-US"/>
        </w:rPr>
        <w:tab/>
      </w:r>
      <w:r w:rsidRPr="00D724AC">
        <w:rPr>
          <w:b/>
          <w:caps/>
          <w:snapToGrid w:val="0"/>
          <w:szCs w:val="22"/>
          <w:lang w:eastAsia="en-US"/>
        </w:rPr>
        <w:t>VAISTINIO</w:t>
      </w:r>
      <w:r w:rsidRPr="00D724AC">
        <w:rPr>
          <w:b/>
          <w:snapToGrid w:val="0"/>
          <w:szCs w:val="22"/>
          <w:lang w:eastAsia="en-US"/>
        </w:rPr>
        <w:t xml:space="preserve"> PREPARATO PAVADINIMAS</w:t>
      </w:r>
    </w:p>
    <w:p w14:paraId="3BA2700C" w14:textId="77777777" w:rsidR="00A80CF8" w:rsidRPr="00D724AC" w:rsidRDefault="00A80CF8" w:rsidP="00A80CF8">
      <w:pPr>
        <w:tabs>
          <w:tab w:val="left" w:pos="567"/>
        </w:tabs>
        <w:spacing w:line="260" w:lineRule="exact"/>
        <w:rPr>
          <w:snapToGrid w:val="0"/>
          <w:szCs w:val="22"/>
          <w:lang w:eastAsia="en-US"/>
        </w:rPr>
      </w:pPr>
    </w:p>
    <w:p w14:paraId="61B13E85" w14:textId="77777777" w:rsidR="00A80CF8" w:rsidRPr="00D724AC" w:rsidRDefault="00A80CF8" w:rsidP="00A80CF8">
      <w:pPr>
        <w:autoSpaceDE w:val="0"/>
        <w:autoSpaceDN w:val="0"/>
        <w:adjustRightInd w:val="0"/>
        <w:rPr>
          <w:rFonts w:eastAsia="Calibri"/>
          <w:szCs w:val="22"/>
        </w:rPr>
      </w:pPr>
      <w:r w:rsidRPr="00D724AC">
        <w:rPr>
          <w:rFonts w:eastAsia="Calibri"/>
          <w:szCs w:val="22"/>
        </w:rPr>
        <w:t>CONVERIDE 150</w:t>
      </w:r>
      <w:r>
        <w:rPr>
          <w:rFonts w:eastAsia="Calibri"/>
          <w:szCs w:val="22"/>
        </w:rPr>
        <w:t> </w:t>
      </w:r>
      <w:r w:rsidRPr="00D724AC">
        <w:rPr>
          <w:rFonts w:eastAsia="Calibri"/>
          <w:szCs w:val="22"/>
        </w:rPr>
        <w:t>mg/12,5</w:t>
      </w:r>
      <w:r>
        <w:rPr>
          <w:rFonts w:eastAsia="Calibri"/>
          <w:szCs w:val="22"/>
        </w:rPr>
        <w:t> </w:t>
      </w:r>
      <w:r w:rsidRPr="00D724AC">
        <w:rPr>
          <w:rFonts w:eastAsia="Calibri"/>
          <w:szCs w:val="22"/>
        </w:rPr>
        <w:t>mg plėvele dengtos tabletės</w:t>
      </w:r>
    </w:p>
    <w:p w14:paraId="67B85D10" w14:textId="77777777" w:rsidR="00A80CF8" w:rsidRPr="00D724AC" w:rsidRDefault="00A80CF8" w:rsidP="00A80CF8">
      <w:pPr>
        <w:autoSpaceDE w:val="0"/>
        <w:autoSpaceDN w:val="0"/>
        <w:adjustRightInd w:val="0"/>
        <w:rPr>
          <w:rFonts w:eastAsia="Calibri"/>
          <w:szCs w:val="22"/>
        </w:rPr>
      </w:pPr>
      <w:r w:rsidRPr="00396DCB">
        <w:rPr>
          <w:rFonts w:eastAsia="Calibri"/>
          <w:highlight w:val="lightGray"/>
        </w:rPr>
        <w:t>CONVERIDE 300</w:t>
      </w:r>
      <w:r>
        <w:rPr>
          <w:rFonts w:eastAsia="Calibri"/>
          <w:highlight w:val="lightGray"/>
        </w:rPr>
        <w:t> </w:t>
      </w:r>
      <w:r w:rsidRPr="00396DCB">
        <w:rPr>
          <w:rFonts w:eastAsia="Calibri"/>
          <w:highlight w:val="lightGray"/>
        </w:rPr>
        <w:t>mg/25</w:t>
      </w:r>
      <w:r>
        <w:rPr>
          <w:rFonts w:eastAsia="Calibri"/>
          <w:highlight w:val="lightGray"/>
        </w:rPr>
        <w:t> </w:t>
      </w:r>
      <w:r w:rsidRPr="00396DCB">
        <w:rPr>
          <w:rFonts w:eastAsia="Calibri"/>
          <w:highlight w:val="lightGray"/>
        </w:rPr>
        <w:t>mg plėvele dengtos tabletės</w:t>
      </w:r>
    </w:p>
    <w:p w14:paraId="26D72C78" w14:textId="77777777" w:rsidR="00A80CF8" w:rsidRPr="00D724AC" w:rsidRDefault="00A80CF8" w:rsidP="00A80CF8">
      <w:pPr>
        <w:tabs>
          <w:tab w:val="left" w:pos="567"/>
        </w:tabs>
        <w:spacing w:line="260" w:lineRule="exact"/>
        <w:rPr>
          <w:snapToGrid w:val="0"/>
          <w:szCs w:val="22"/>
          <w:lang w:eastAsia="en-US"/>
        </w:rPr>
      </w:pPr>
      <w:r>
        <w:rPr>
          <w:rFonts w:eastAsia="Calibri"/>
          <w:szCs w:val="22"/>
        </w:rPr>
        <w:t>i</w:t>
      </w:r>
      <w:r w:rsidRPr="00D724AC">
        <w:rPr>
          <w:rFonts w:eastAsia="Calibri"/>
          <w:szCs w:val="22"/>
        </w:rPr>
        <w:t>rbesartanas/</w:t>
      </w:r>
      <w:r>
        <w:rPr>
          <w:rFonts w:eastAsia="Calibri"/>
          <w:szCs w:val="22"/>
        </w:rPr>
        <w:t>h</w:t>
      </w:r>
      <w:r w:rsidRPr="00D724AC">
        <w:rPr>
          <w:rFonts w:eastAsia="Calibri"/>
          <w:szCs w:val="22"/>
        </w:rPr>
        <w:t>idrochlorotiazidas</w:t>
      </w:r>
    </w:p>
    <w:p w14:paraId="27D1C286" w14:textId="77777777" w:rsidR="00A80CF8" w:rsidRPr="00D724AC" w:rsidRDefault="00A80CF8" w:rsidP="00A80CF8">
      <w:pPr>
        <w:tabs>
          <w:tab w:val="left" w:pos="567"/>
        </w:tabs>
        <w:spacing w:line="260" w:lineRule="exact"/>
        <w:rPr>
          <w:snapToGrid w:val="0"/>
          <w:szCs w:val="22"/>
          <w:lang w:eastAsia="en-US"/>
        </w:rPr>
      </w:pPr>
    </w:p>
    <w:p w14:paraId="35205ABC" w14:textId="77777777" w:rsidR="00A80CF8" w:rsidRPr="00D724AC" w:rsidRDefault="00A80CF8" w:rsidP="00A80CF8">
      <w:pPr>
        <w:tabs>
          <w:tab w:val="left" w:pos="567"/>
        </w:tabs>
        <w:spacing w:line="260" w:lineRule="exact"/>
        <w:rPr>
          <w:snapToGrid w:val="0"/>
          <w:szCs w:val="22"/>
          <w:lang w:eastAsia="en-US"/>
        </w:rPr>
      </w:pPr>
    </w:p>
    <w:p w14:paraId="35459FC9"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outlineLvl w:val="0"/>
        <w:rPr>
          <w:b/>
          <w:snapToGrid w:val="0"/>
          <w:szCs w:val="22"/>
          <w:lang w:eastAsia="en-US"/>
        </w:rPr>
      </w:pPr>
      <w:r w:rsidRPr="00D724AC">
        <w:rPr>
          <w:b/>
          <w:snapToGrid w:val="0"/>
          <w:szCs w:val="22"/>
          <w:lang w:eastAsia="en-US"/>
        </w:rPr>
        <w:t>2.</w:t>
      </w:r>
      <w:r w:rsidRPr="00D724AC">
        <w:rPr>
          <w:b/>
          <w:snapToGrid w:val="0"/>
          <w:szCs w:val="22"/>
          <w:lang w:eastAsia="en-US"/>
        </w:rPr>
        <w:tab/>
      </w:r>
      <w:r w:rsidRPr="00D724AC">
        <w:rPr>
          <w:b/>
          <w:caps/>
          <w:snapToGrid w:val="0"/>
          <w:szCs w:val="22"/>
          <w:lang w:eastAsia="en-US"/>
        </w:rPr>
        <w:t>rEGISTRUOTOJO pavadinimas</w:t>
      </w:r>
    </w:p>
    <w:p w14:paraId="4B0FB26B" w14:textId="77777777" w:rsidR="00A80CF8" w:rsidRPr="00D724AC" w:rsidRDefault="00A80CF8" w:rsidP="00A80CF8">
      <w:pPr>
        <w:tabs>
          <w:tab w:val="left" w:pos="567"/>
        </w:tabs>
        <w:spacing w:line="260" w:lineRule="exact"/>
        <w:rPr>
          <w:snapToGrid w:val="0"/>
          <w:szCs w:val="22"/>
          <w:lang w:eastAsia="en-US"/>
        </w:rPr>
      </w:pPr>
    </w:p>
    <w:p w14:paraId="343C88E4" w14:textId="77777777" w:rsidR="00A80CF8" w:rsidRPr="00D724AC" w:rsidRDefault="00A80CF8" w:rsidP="00A80CF8">
      <w:pPr>
        <w:tabs>
          <w:tab w:val="left" w:pos="567"/>
        </w:tabs>
        <w:spacing w:line="260" w:lineRule="exact"/>
        <w:rPr>
          <w:snapToGrid w:val="0"/>
          <w:szCs w:val="22"/>
          <w:lang w:eastAsia="en-US"/>
        </w:rPr>
      </w:pPr>
      <w:r w:rsidRPr="00D724AC">
        <w:rPr>
          <w:snapToGrid w:val="0"/>
          <w:szCs w:val="22"/>
          <w:lang w:eastAsia="en-US"/>
        </w:rPr>
        <w:t>Medochemie Ltd</w:t>
      </w:r>
      <w:r>
        <w:rPr>
          <w:snapToGrid w:val="0"/>
          <w:szCs w:val="22"/>
          <w:lang w:eastAsia="en-US"/>
        </w:rPr>
        <w:t xml:space="preserve"> {logotipas}</w:t>
      </w:r>
    </w:p>
    <w:p w14:paraId="115C5A63" w14:textId="77777777" w:rsidR="00A80CF8" w:rsidRPr="00D724AC" w:rsidRDefault="00A80CF8" w:rsidP="00A80CF8">
      <w:pPr>
        <w:tabs>
          <w:tab w:val="left" w:pos="567"/>
        </w:tabs>
        <w:spacing w:line="260" w:lineRule="exact"/>
        <w:rPr>
          <w:snapToGrid w:val="0"/>
          <w:szCs w:val="22"/>
          <w:lang w:eastAsia="en-US"/>
        </w:rPr>
      </w:pPr>
      <w:r w:rsidRPr="00D724AC">
        <w:rPr>
          <w:snapToGrid w:val="0"/>
          <w:szCs w:val="22"/>
          <w:lang w:eastAsia="en-US"/>
        </w:rPr>
        <w:t xml:space="preserve"> </w:t>
      </w:r>
    </w:p>
    <w:p w14:paraId="1F044D5A" w14:textId="77777777" w:rsidR="00A80CF8" w:rsidRPr="00D724AC" w:rsidRDefault="00A80CF8" w:rsidP="00A80CF8">
      <w:pPr>
        <w:tabs>
          <w:tab w:val="left" w:pos="567"/>
        </w:tabs>
        <w:spacing w:line="260" w:lineRule="exact"/>
        <w:rPr>
          <w:snapToGrid w:val="0"/>
          <w:szCs w:val="22"/>
          <w:lang w:eastAsia="en-US"/>
        </w:rPr>
      </w:pPr>
    </w:p>
    <w:p w14:paraId="031830D1" w14:textId="77777777" w:rsidR="00A80CF8" w:rsidRPr="00D724AC" w:rsidRDefault="00A80CF8" w:rsidP="00A80CF8">
      <w:pPr>
        <w:pBdr>
          <w:top w:val="single" w:sz="4" w:space="1" w:color="auto"/>
          <w:left w:val="single" w:sz="4" w:space="4" w:color="auto"/>
          <w:bottom w:val="single" w:sz="4" w:space="2" w:color="auto"/>
          <w:right w:val="single" w:sz="4" w:space="4" w:color="auto"/>
        </w:pBdr>
        <w:tabs>
          <w:tab w:val="left" w:pos="567"/>
        </w:tabs>
        <w:outlineLvl w:val="0"/>
        <w:rPr>
          <w:b/>
          <w:snapToGrid w:val="0"/>
          <w:szCs w:val="22"/>
          <w:lang w:eastAsia="en-US"/>
        </w:rPr>
      </w:pPr>
      <w:r w:rsidRPr="00D724AC">
        <w:rPr>
          <w:b/>
          <w:snapToGrid w:val="0"/>
          <w:szCs w:val="22"/>
          <w:lang w:eastAsia="en-US"/>
        </w:rPr>
        <w:t>3.</w:t>
      </w:r>
      <w:r w:rsidRPr="00D724AC">
        <w:rPr>
          <w:b/>
          <w:snapToGrid w:val="0"/>
          <w:szCs w:val="22"/>
          <w:lang w:eastAsia="en-US"/>
        </w:rPr>
        <w:tab/>
        <w:t>TINKAMUMO LAIKAS</w:t>
      </w:r>
    </w:p>
    <w:p w14:paraId="52158177" w14:textId="77777777" w:rsidR="00A80CF8" w:rsidRPr="00D724AC" w:rsidRDefault="00A80CF8" w:rsidP="00A80CF8">
      <w:pPr>
        <w:tabs>
          <w:tab w:val="left" w:pos="567"/>
        </w:tabs>
        <w:spacing w:line="260" w:lineRule="exact"/>
        <w:rPr>
          <w:snapToGrid w:val="0"/>
          <w:szCs w:val="22"/>
          <w:lang w:eastAsia="en-US"/>
        </w:rPr>
      </w:pPr>
    </w:p>
    <w:p w14:paraId="1E148D46" w14:textId="77777777" w:rsidR="00A80CF8" w:rsidRPr="00D724AC" w:rsidRDefault="00A80CF8" w:rsidP="00A80CF8">
      <w:pPr>
        <w:tabs>
          <w:tab w:val="left" w:pos="567"/>
        </w:tabs>
        <w:spacing w:line="260" w:lineRule="exact"/>
        <w:ind w:left="567" w:hanging="567"/>
        <w:outlineLvl w:val="0"/>
        <w:rPr>
          <w:snapToGrid w:val="0"/>
          <w:szCs w:val="22"/>
          <w:lang w:eastAsia="en-US"/>
        </w:rPr>
      </w:pPr>
      <w:r w:rsidRPr="00396DCB">
        <w:rPr>
          <w:highlight w:val="lightGray"/>
        </w:rPr>
        <w:t>EXP</w:t>
      </w:r>
      <w:r w:rsidRPr="00182AB3">
        <w:rPr>
          <w:highlight w:val="lightGray"/>
        </w:rPr>
        <w:t xml:space="preserve"> </w:t>
      </w:r>
      <w:r w:rsidRPr="00D724AC">
        <w:rPr>
          <w:snapToGrid w:val="0"/>
          <w:szCs w:val="22"/>
          <w:lang w:eastAsia="en-US"/>
        </w:rPr>
        <w:t>{mm</w:t>
      </w:r>
      <w:r>
        <w:rPr>
          <w:snapToGrid w:val="0"/>
          <w:szCs w:val="22"/>
          <w:lang w:eastAsia="en-US"/>
        </w:rPr>
        <w:t>-</w:t>
      </w:r>
      <w:r w:rsidRPr="00D724AC">
        <w:rPr>
          <w:snapToGrid w:val="0"/>
          <w:szCs w:val="22"/>
          <w:lang w:eastAsia="en-US"/>
        </w:rPr>
        <w:t>MMMM}</w:t>
      </w:r>
    </w:p>
    <w:p w14:paraId="157C7526" w14:textId="77777777" w:rsidR="00A80CF8" w:rsidRPr="00D724AC" w:rsidRDefault="00A80CF8" w:rsidP="00A80CF8">
      <w:pPr>
        <w:tabs>
          <w:tab w:val="left" w:pos="567"/>
        </w:tabs>
        <w:spacing w:line="260" w:lineRule="exact"/>
        <w:rPr>
          <w:snapToGrid w:val="0"/>
          <w:szCs w:val="22"/>
          <w:lang w:eastAsia="en-US"/>
        </w:rPr>
      </w:pPr>
    </w:p>
    <w:p w14:paraId="62A6E78D" w14:textId="77777777" w:rsidR="00A80CF8" w:rsidRPr="00D724AC" w:rsidRDefault="00A80CF8" w:rsidP="00A80CF8">
      <w:pPr>
        <w:tabs>
          <w:tab w:val="left" w:pos="567"/>
        </w:tabs>
        <w:spacing w:line="260" w:lineRule="exact"/>
        <w:rPr>
          <w:snapToGrid w:val="0"/>
          <w:szCs w:val="22"/>
          <w:lang w:eastAsia="en-US"/>
        </w:rPr>
      </w:pPr>
    </w:p>
    <w:p w14:paraId="380E07A1" w14:textId="77777777" w:rsidR="00A80CF8" w:rsidRPr="00D724AC" w:rsidRDefault="00A80CF8" w:rsidP="00A80CF8">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Cs w:val="22"/>
          <w:lang w:eastAsia="en-US"/>
        </w:rPr>
      </w:pPr>
      <w:r w:rsidRPr="00D724AC">
        <w:rPr>
          <w:b/>
          <w:snapToGrid w:val="0"/>
          <w:szCs w:val="22"/>
          <w:lang w:eastAsia="en-US"/>
        </w:rPr>
        <w:t>4.</w:t>
      </w:r>
      <w:r w:rsidRPr="00D724AC">
        <w:rPr>
          <w:b/>
          <w:snapToGrid w:val="0"/>
          <w:szCs w:val="22"/>
          <w:lang w:eastAsia="en-US"/>
        </w:rPr>
        <w:tab/>
        <w:t>SERIJOS NUMERIS</w:t>
      </w:r>
    </w:p>
    <w:p w14:paraId="0D478B8D" w14:textId="77777777" w:rsidR="00A80CF8" w:rsidRPr="00D724AC" w:rsidRDefault="00A80CF8" w:rsidP="00A80CF8">
      <w:pPr>
        <w:tabs>
          <w:tab w:val="left" w:pos="567"/>
        </w:tabs>
        <w:spacing w:line="260" w:lineRule="exact"/>
        <w:rPr>
          <w:snapToGrid w:val="0"/>
          <w:szCs w:val="22"/>
          <w:lang w:eastAsia="en-US"/>
        </w:rPr>
      </w:pPr>
    </w:p>
    <w:p w14:paraId="0CC14E75" w14:textId="77777777" w:rsidR="00A80CF8" w:rsidRPr="00D724AC" w:rsidRDefault="00A80CF8" w:rsidP="00A80CF8">
      <w:pPr>
        <w:tabs>
          <w:tab w:val="left" w:pos="567"/>
        </w:tabs>
        <w:spacing w:line="260" w:lineRule="exact"/>
        <w:ind w:left="567" w:hanging="567"/>
        <w:rPr>
          <w:snapToGrid w:val="0"/>
          <w:szCs w:val="22"/>
          <w:lang w:eastAsia="en-US"/>
        </w:rPr>
      </w:pPr>
      <w:r w:rsidRPr="00396DCB">
        <w:rPr>
          <w:highlight w:val="lightGray"/>
        </w:rPr>
        <w:t>Lot</w:t>
      </w:r>
      <w:r>
        <w:t xml:space="preserve"> </w:t>
      </w:r>
      <w:r w:rsidRPr="00D724AC">
        <w:rPr>
          <w:snapToGrid w:val="0"/>
          <w:szCs w:val="22"/>
          <w:lang w:eastAsia="en-US"/>
        </w:rPr>
        <w:t>{</w:t>
      </w:r>
      <w:r w:rsidRPr="00EC12A2">
        <w:rPr>
          <w:snapToGrid w:val="0"/>
          <w:szCs w:val="22"/>
          <w:lang w:eastAsia="en-US"/>
        </w:rPr>
        <w:t>numeris</w:t>
      </w:r>
      <w:r w:rsidRPr="0035647D">
        <w:t>}</w:t>
      </w:r>
    </w:p>
    <w:p w14:paraId="6EEB94C0" w14:textId="77777777" w:rsidR="00A80CF8" w:rsidRPr="00D724AC" w:rsidRDefault="00A80CF8" w:rsidP="00A80CF8">
      <w:pPr>
        <w:tabs>
          <w:tab w:val="left" w:pos="567"/>
        </w:tabs>
        <w:spacing w:line="260" w:lineRule="exact"/>
        <w:rPr>
          <w:snapToGrid w:val="0"/>
          <w:szCs w:val="22"/>
          <w:lang w:eastAsia="en-US"/>
        </w:rPr>
      </w:pPr>
    </w:p>
    <w:p w14:paraId="5EB67712" w14:textId="77777777" w:rsidR="00A80CF8" w:rsidRPr="00D724AC" w:rsidRDefault="00A80CF8" w:rsidP="00A80CF8">
      <w:pPr>
        <w:tabs>
          <w:tab w:val="left" w:pos="567"/>
        </w:tabs>
        <w:spacing w:line="260" w:lineRule="exact"/>
        <w:rPr>
          <w:snapToGrid w:val="0"/>
          <w:szCs w:val="22"/>
          <w:lang w:eastAsia="en-US"/>
        </w:rPr>
      </w:pPr>
    </w:p>
    <w:p w14:paraId="1902C7FB" w14:textId="77777777" w:rsidR="00A80CF8" w:rsidRPr="00D724AC" w:rsidRDefault="00A80CF8" w:rsidP="00A80CF8">
      <w:pPr>
        <w:pBdr>
          <w:top w:val="single" w:sz="4" w:space="1" w:color="auto"/>
          <w:left w:val="single" w:sz="4" w:space="4" w:color="auto"/>
          <w:bottom w:val="single" w:sz="4" w:space="1" w:color="auto"/>
          <w:right w:val="single" w:sz="4" w:space="4" w:color="auto"/>
        </w:pBdr>
        <w:tabs>
          <w:tab w:val="left" w:pos="567"/>
        </w:tabs>
        <w:outlineLvl w:val="0"/>
        <w:rPr>
          <w:b/>
          <w:snapToGrid w:val="0"/>
          <w:szCs w:val="22"/>
          <w:lang w:eastAsia="en-US"/>
        </w:rPr>
      </w:pPr>
      <w:r w:rsidRPr="00D724AC">
        <w:rPr>
          <w:b/>
          <w:snapToGrid w:val="0"/>
          <w:szCs w:val="22"/>
          <w:lang w:eastAsia="en-US"/>
        </w:rPr>
        <w:t>5.</w:t>
      </w:r>
      <w:r w:rsidRPr="00D724AC">
        <w:rPr>
          <w:b/>
          <w:snapToGrid w:val="0"/>
          <w:szCs w:val="22"/>
          <w:lang w:eastAsia="en-US"/>
        </w:rPr>
        <w:tab/>
        <w:t>KITA</w:t>
      </w:r>
    </w:p>
    <w:p w14:paraId="1ABEA4E1" w14:textId="77777777" w:rsidR="00A80CF8" w:rsidRPr="00D724AC" w:rsidRDefault="00A80CF8" w:rsidP="00A80CF8">
      <w:pPr>
        <w:tabs>
          <w:tab w:val="left" w:pos="567"/>
        </w:tabs>
        <w:spacing w:line="260" w:lineRule="exact"/>
        <w:rPr>
          <w:snapToGrid w:val="0"/>
          <w:szCs w:val="22"/>
          <w:lang w:eastAsia="en-US"/>
        </w:rPr>
      </w:pPr>
      <w:r w:rsidRPr="00D724AC">
        <w:rPr>
          <w:snapToGrid w:val="0"/>
          <w:szCs w:val="22"/>
          <w:lang w:eastAsia="en-US"/>
        </w:rPr>
        <w:br w:type="page"/>
      </w:r>
    </w:p>
    <w:p w14:paraId="1EC80429" w14:textId="77777777" w:rsidR="00A80CF8" w:rsidRPr="00D724AC" w:rsidRDefault="00A80CF8" w:rsidP="00A80CF8">
      <w:pPr>
        <w:tabs>
          <w:tab w:val="left" w:pos="567"/>
        </w:tabs>
        <w:spacing w:line="260" w:lineRule="exact"/>
        <w:rPr>
          <w:snapToGrid w:val="0"/>
          <w:szCs w:val="22"/>
          <w:lang w:eastAsia="en-US"/>
        </w:rPr>
      </w:pPr>
    </w:p>
    <w:p w14:paraId="7A546A1D" w14:textId="77777777" w:rsidR="00A80CF8" w:rsidRPr="00D724AC" w:rsidRDefault="00A80CF8" w:rsidP="00A80CF8">
      <w:pPr>
        <w:tabs>
          <w:tab w:val="left" w:pos="567"/>
        </w:tabs>
        <w:spacing w:line="260" w:lineRule="exact"/>
        <w:outlineLvl w:val="0"/>
        <w:rPr>
          <w:snapToGrid w:val="0"/>
          <w:szCs w:val="22"/>
          <w:lang w:eastAsia="en-US"/>
        </w:rPr>
      </w:pPr>
    </w:p>
    <w:p w14:paraId="1377D6D8" w14:textId="77777777" w:rsidR="00A80CF8" w:rsidRPr="00D724AC" w:rsidRDefault="00A80CF8" w:rsidP="00A80CF8">
      <w:pPr>
        <w:tabs>
          <w:tab w:val="left" w:pos="567"/>
        </w:tabs>
        <w:spacing w:line="260" w:lineRule="exact"/>
        <w:outlineLvl w:val="0"/>
        <w:rPr>
          <w:snapToGrid w:val="0"/>
          <w:szCs w:val="22"/>
          <w:lang w:eastAsia="en-US"/>
        </w:rPr>
      </w:pPr>
    </w:p>
    <w:p w14:paraId="7779DD21" w14:textId="77777777" w:rsidR="00A80CF8" w:rsidRPr="00D724AC" w:rsidRDefault="00A80CF8" w:rsidP="00A80CF8">
      <w:pPr>
        <w:tabs>
          <w:tab w:val="left" w:pos="567"/>
        </w:tabs>
        <w:spacing w:line="260" w:lineRule="exact"/>
        <w:outlineLvl w:val="0"/>
        <w:rPr>
          <w:snapToGrid w:val="0"/>
          <w:szCs w:val="22"/>
          <w:lang w:eastAsia="en-US"/>
        </w:rPr>
      </w:pPr>
    </w:p>
    <w:p w14:paraId="192531D4" w14:textId="77777777" w:rsidR="00A80CF8" w:rsidRPr="00D724AC" w:rsidRDefault="00A80CF8" w:rsidP="00A80CF8">
      <w:pPr>
        <w:tabs>
          <w:tab w:val="left" w:pos="567"/>
        </w:tabs>
        <w:spacing w:line="260" w:lineRule="exact"/>
        <w:outlineLvl w:val="0"/>
        <w:rPr>
          <w:snapToGrid w:val="0"/>
          <w:szCs w:val="22"/>
          <w:lang w:eastAsia="en-US"/>
        </w:rPr>
      </w:pPr>
    </w:p>
    <w:p w14:paraId="42F548CA" w14:textId="77777777" w:rsidR="00A80CF8" w:rsidRPr="00D724AC" w:rsidRDefault="00A80CF8" w:rsidP="00A80CF8">
      <w:pPr>
        <w:tabs>
          <w:tab w:val="left" w:pos="567"/>
        </w:tabs>
        <w:spacing w:line="260" w:lineRule="exact"/>
        <w:outlineLvl w:val="0"/>
        <w:rPr>
          <w:snapToGrid w:val="0"/>
          <w:szCs w:val="22"/>
          <w:lang w:eastAsia="en-US"/>
        </w:rPr>
      </w:pPr>
    </w:p>
    <w:p w14:paraId="56F63EC1" w14:textId="77777777" w:rsidR="00A80CF8" w:rsidRPr="00D724AC" w:rsidRDefault="00A80CF8" w:rsidP="00A80CF8">
      <w:pPr>
        <w:tabs>
          <w:tab w:val="left" w:pos="567"/>
        </w:tabs>
        <w:spacing w:line="260" w:lineRule="exact"/>
        <w:outlineLvl w:val="0"/>
        <w:rPr>
          <w:snapToGrid w:val="0"/>
          <w:szCs w:val="22"/>
          <w:lang w:eastAsia="en-US"/>
        </w:rPr>
      </w:pPr>
    </w:p>
    <w:p w14:paraId="3FD255FE" w14:textId="77777777" w:rsidR="00A80CF8" w:rsidRPr="00D724AC" w:rsidRDefault="00A80CF8" w:rsidP="00A80CF8">
      <w:pPr>
        <w:tabs>
          <w:tab w:val="left" w:pos="567"/>
        </w:tabs>
        <w:spacing w:line="260" w:lineRule="exact"/>
        <w:outlineLvl w:val="0"/>
        <w:rPr>
          <w:snapToGrid w:val="0"/>
          <w:szCs w:val="22"/>
          <w:lang w:eastAsia="en-US"/>
        </w:rPr>
      </w:pPr>
    </w:p>
    <w:p w14:paraId="0339CFFD" w14:textId="77777777" w:rsidR="00A80CF8" w:rsidRPr="00D724AC" w:rsidRDefault="00A80CF8" w:rsidP="00A80CF8">
      <w:pPr>
        <w:tabs>
          <w:tab w:val="left" w:pos="567"/>
        </w:tabs>
        <w:spacing w:line="260" w:lineRule="exact"/>
        <w:outlineLvl w:val="0"/>
        <w:rPr>
          <w:snapToGrid w:val="0"/>
          <w:szCs w:val="22"/>
          <w:lang w:eastAsia="en-US"/>
        </w:rPr>
      </w:pPr>
    </w:p>
    <w:p w14:paraId="5BECC0CD" w14:textId="77777777" w:rsidR="00A80CF8" w:rsidRPr="00D724AC" w:rsidRDefault="00A80CF8" w:rsidP="00A80CF8">
      <w:pPr>
        <w:tabs>
          <w:tab w:val="left" w:pos="567"/>
        </w:tabs>
        <w:spacing w:line="260" w:lineRule="exact"/>
        <w:outlineLvl w:val="0"/>
        <w:rPr>
          <w:snapToGrid w:val="0"/>
          <w:szCs w:val="22"/>
          <w:lang w:eastAsia="en-US"/>
        </w:rPr>
      </w:pPr>
    </w:p>
    <w:p w14:paraId="24AD528A" w14:textId="77777777" w:rsidR="00A80CF8" w:rsidRPr="00D724AC" w:rsidRDefault="00A80CF8" w:rsidP="00A80CF8">
      <w:pPr>
        <w:tabs>
          <w:tab w:val="left" w:pos="567"/>
        </w:tabs>
        <w:spacing w:line="260" w:lineRule="exact"/>
        <w:outlineLvl w:val="0"/>
        <w:rPr>
          <w:snapToGrid w:val="0"/>
          <w:szCs w:val="22"/>
          <w:lang w:eastAsia="en-US"/>
        </w:rPr>
      </w:pPr>
    </w:p>
    <w:p w14:paraId="28444F5A" w14:textId="77777777" w:rsidR="00A80CF8" w:rsidRPr="00D724AC" w:rsidRDefault="00A80CF8" w:rsidP="00A80CF8">
      <w:pPr>
        <w:tabs>
          <w:tab w:val="left" w:pos="567"/>
        </w:tabs>
        <w:spacing w:line="260" w:lineRule="exact"/>
        <w:outlineLvl w:val="0"/>
        <w:rPr>
          <w:snapToGrid w:val="0"/>
          <w:szCs w:val="22"/>
          <w:lang w:eastAsia="en-US"/>
        </w:rPr>
      </w:pPr>
    </w:p>
    <w:p w14:paraId="5FA4F3A7" w14:textId="77777777" w:rsidR="00A80CF8" w:rsidRPr="00D724AC" w:rsidRDefault="00A80CF8" w:rsidP="00A80CF8">
      <w:pPr>
        <w:tabs>
          <w:tab w:val="left" w:pos="567"/>
        </w:tabs>
        <w:spacing w:line="260" w:lineRule="exact"/>
        <w:outlineLvl w:val="0"/>
        <w:rPr>
          <w:snapToGrid w:val="0"/>
          <w:szCs w:val="22"/>
          <w:lang w:eastAsia="en-US"/>
        </w:rPr>
      </w:pPr>
    </w:p>
    <w:p w14:paraId="56244434" w14:textId="77777777" w:rsidR="00A80CF8" w:rsidRPr="00D724AC" w:rsidRDefault="00A80CF8" w:rsidP="00A80CF8">
      <w:pPr>
        <w:tabs>
          <w:tab w:val="left" w:pos="567"/>
        </w:tabs>
        <w:spacing w:line="260" w:lineRule="exact"/>
        <w:outlineLvl w:val="0"/>
        <w:rPr>
          <w:snapToGrid w:val="0"/>
          <w:szCs w:val="22"/>
          <w:lang w:eastAsia="en-US"/>
        </w:rPr>
      </w:pPr>
    </w:p>
    <w:p w14:paraId="4859665E" w14:textId="77777777" w:rsidR="00A80CF8" w:rsidRPr="00D724AC" w:rsidRDefault="00A80CF8" w:rsidP="00A80CF8">
      <w:pPr>
        <w:tabs>
          <w:tab w:val="left" w:pos="567"/>
        </w:tabs>
        <w:spacing w:line="260" w:lineRule="exact"/>
        <w:outlineLvl w:val="0"/>
        <w:rPr>
          <w:snapToGrid w:val="0"/>
          <w:szCs w:val="22"/>
          <w:lang w:eastAsia="en-US"/>
        </w:rPr>
      </w:pPr>
    </w:p>
    <w:p w14:paraId="28B8F812" w14:textId="77777777" w:rsidR="00A80CF8" w:rsidRPr="00D724AC" w:rsidRDefault="00A80CF8" w:rsidP="00A80CF8">
      <w:pPr>
        <w:tabs>
          <w:tab w:val="left" w:pos="567"/>
        </w:tabs>
        <w:spacing w:line="260" w:lineRule="exact"/>
        <w:outlineLvl w:val="0"/>
        <w:rPr>
          <w:snapToGrid w:val="0"/>
          <w:szCs w:val="22"/>
          <w:lang w:eastAsia="en-US"/>
        </w:rPr>
      </w:pPr>
    </w:p>
    <w:p w14:paraId="5B118ECC" w14:textId="77777777" w:rsidR="00A80CF8" w:rsidRPr="00D724AC" w:rsidRDefault="00A80CF8" w:rsidP="00A80CF8">
      <w:pPr>
        <w:tabs>
          <w:tab w:val="left" w:pos="567"/>
        </w:tabs>
        <w:spacing w:line="260" w:lineRule="exact"/>
        <w:outlineLvl w:val="0"/>
        <w:rPr>
          <w:snapToGrid w:val="0"/>
          <w:szCs w:val="22"/>
          <w:lang w:eastAsia="en-US"/>
        </w:rPr>
      </w:pPr>
    </w:p>
    <w:p w14:paraId="4BA01428" w14:textId="77777777" w:rsidR="00A80CF8" w:rsidRPr="00D724AC" w:rsidRDefault="00A80CF8" w:rsidP="00A80CF8">
      <w:pPr>
        <w:tabs>
          <w:tab w:val="left" w:pos="567"/>
        </w:tabs>
        <w:spacing w:line="260" w:lineRule="exact"/>
        <w:outlineLvl w:val="0"/>
        <w:rPr>
          <w:snapToGrid w:val="0"/>
          <w:szCs w:val="22"/>
          <w:lang w:eastAsia="en-US"/>
        </w:rPr>
      </w:pPr>
    </w:p>
    <w:p w14:paraId="57321986" w14:textId="77777777" w:rsidR="00A80CF8" w:rsidRPr="00D724AC" w:rsidRDefault="00A80CF8" w:rsidP="00A80CF8">
      <w:pPr>
        <w:tabs>
          <w:tab w:val="left" w:pos="567"/>
        </w:tabs>
        <w:spacing w:line="260" w:lineRule="exact"/>
        <w:outlineLvl w:val="0"/>
        <w:rPr>
          <w:snapToGrid w:val="0"/>
          <w:szCs w:val="22"/>
          <w:lang w:eastAsia="en-US"/>
        </w:rPr>
      </w:pPr>
    </w:p>
    <w:p w14:paraId="3809FF19" w14:textId="77777777" w:rsidR="00A80CF8" w:rsidRPr="00D724AC" w:rsidRDefault="00A80CF8" w:rsidP="00A80CF8">
      <w:pPr>
        <w:tabs>
          <w:tab w:val="left" w:pos="567"/>
        </w:tabs>
        <w:spacing w:line="260" w:lineRule="exact"/>
        <w:outlineLvl w:val="0"/>
        <w:rPr>
          <w:snapToGrid w:val="0"/>
          <w:szCs w:val="22"/>
          <w:lang w:eastAsia="en-US"/>
        </w:rPr>
      </w:pPr>
    </w:p>
    <w:p w14:paraId="728C3E9E" w14:textId="77777777" w:rsidR="00A80CF8" w:rsidRPr="00D724AC" w:rsidRDefault="00A80CF8" w:rsidP="00A80CF8">
      <w:pPr>
        <w:tabs>
          <w:tab w:val="left" w:pos="567"/>
        </w:tabs>
        <w:spacing w:line="260" w:lineRule="exact"/>
        <w:outlineLvl w:val="0"/>
        <w:rPr>
          <w:snapToGrid w:val="0"/>
          <w:szCs w:val="22"/>
          <w:lang w:eastAsia="en-US"/>
        </w:rPr>
      </w:pPr>
    </w:p>
    <w:p w14:paraId="094B19C1" w14:textId="77777777" w:rsidR="00A80CF8" w:rsidRPr="00D724AC" w:rsidRDefault="00A80CF8" w:rsidP="00A80CF8">
      <w:pPr>
        <w:tabs>
          <w:tab w:val="left" w:pos="567"/>
        </w:tabs>
        <w:spacing w:line="260" w:lineRule="exact"/>
        <w:outlineLvl w:val="0"/>
        <w:rPr>
          <w:snapToGrid w:val="0"/>
          <w:szCs w:val="22"/>
          <w:lang w:eastAsia="en-US"/>
        </w:rPr>
      </w:pPr>
    </w:p>
    <w:p w14:paraId="2127B963" w14:textId="77777777" w:rsidR="00A80CF8" w:rsidRPr="00D724AC" w:rsidRDefault="00A80CF8" w:rsidP="00A80CF8">
      <w:pPr>
        <w:tabs>
          <w:tab w:val="left" w:pos="567"/>
        </w:tabs>
        <w:spacing w:line="260" w:lineRule="exact"/>
        <w:outlineLvl w:val="0"/>
        <w:rPr>
          <w:snapToGrid w:val="0"/>
          <w:szCs w:val="22"/>
          <w:lang w:eastAsia="en-US"/>
        </w:rPr>
      </w:pPr>
    </w:p>
    <w:p w14:paraId="0BFFCE41" w14:textId="77777777" w:rsidR="00A80CF8" w:rsidRPr="00D724AC" w:rsidRDefault="00A80CF8" w:rsidP="00A80CF8">
      <w:pPr>
        <w:tabs>
          <w:tab w:val="left" w:pos="567"/>
        </w:tabs>
        <w:spacing w:line="260" w:lineRule="exact"/>
        <w:jc w:val="center"/>
        <w:outlineLvl w:val="0"/>
        <w:rPr>
          <w:b/>
          <w:snapToGrid w:val="0"/>
          <w:szCs w:val="22"/>
          <w:lang w:eastAsia="en-US"/>
        </w:rPr>
      </w:pPr>
      <w:r w:rsidRPr="00D724AC">
        <w:rPr>
          <w:b/>
          <w:snapToGrid w:val="0"/>
          <w:szCs w:val="22"/>
          <w:lang w:eastAsia="en-US"/>
        </w:rPr>
        <w:t>B. PAKUOTĖS LAPELIS</w:t>
      </w:r>
    </w:p>
    <w:p w14:paraId="6F984B6F" w14:textId="77777777" w:rsidR="00A80CF8" w:rsidRPr="00D724AC" w:rsidRDefault="00A80CF8" w:rsidP="00A80CF8">
      <w:pPr>
        <w:keepNext/>
        <w:tabs>
          <w:tab w:val="left" w:pos="567"/>
        </w:tabs>
        <w:jc w:val="center"/>
        <w:outlineLvl w:val="1"/>
        <w:rPr>
          <w:b/>
          <w:snapToGrid w:val="0"/>
          <w:szCs w:val="22"/>
          <w:lang w:eastAsia="x-none"/>
        </w:rPr>
      </w:pPr>
      <w:r w:rsidRPr="00D724AC">
        <w:rPr>
          <w:b/>
          <w:bCs/>
          <w:iCs/>
          <w:snapToGrid w:val="0"/>
          <w:szCs w:val="22"/>
          <w:lang w:eastAsia="x-none"/>
        </w:rPr>
        <w:br w:type="page"/>
      </w:r>
      <w:r w:rsidRPr="00D724AC">
        <w:rPr>
          <w:b/>
          <w:bCs/>
          <w:iCs/>
          <w:snapToGrid w:val="0"/>
          <w:szCs w:val="22"/>
          <w:lang w:eastAsia="x-none"/>
        </w:rPr>
        <w:lastRenderedPageBreak/>
        <w:t>Pakuotės lapelis:</w:t>
      </w:r>
      <w:r w:rsidRPr="00D724AC">
        <w:rPr>
          <w:b/>
          <w:snapToGrid w:val="0"/>
          <w:szCs w:val="22"/>
          <w:lang w:eastAsia="x-none"/>
        </w:rPr>
        <w:t xml:space="preserve"> </w:t>
      </w:r>
      <w:r w:rsidRPr="00D724AC">
        <w:rPr>
          <w:b/>
          <w:bCs/>
          <w:iCs/>
          <w:snapToGrid w:val="0"/>
          <w:szCs w:val="22"/>
          <w:lang w:eastAsia="x-none"/>
        </w:rPr>
        <w:t xml:space="preserve">informacija pacientui </w:t>
      </w:r>
    </w:p>
    <w:p w14:paraId="4092C787" w14:textId="77777777" w:rsidR="00A80CF8" w:rsidRPr="00D724AC" w:rsidRDefault="00A80CF8" w:rsidP="00A80CF8">
      <w:pPr>
        <w:numPr>
          <w:ilvl w:val="12"/>
          <w:numId w:val="0"/>
        </w:numPr>
        <w:shd w:val="clear" w:color="auto" w:fill="FFFFFF"/>
        <w:jc w:val="center"/>
        <w:rPr>
          <w:snapToGrid w:val="0"/>
          <w:szCs w:val="22"/>
          <w:lang w:eastAsia="en-US"/>
        </w:rPr>
      </w:pPr>
    </w:p>
    <w:p w14:paraId="59FD5697" w14:textId="77777777" w:rsidR="00A80CF8" w:rsidRPr="00D724AC" w:rsidRDefault="00A80CF8" w:rsidP="00A80CF8">
      <w:pPr>
        <w:tabs>
          <w:tab w:val="left" w:pos="567"/>
        </w:tabs>
        <w:spacing w:line="260" w:lineRule="exact"/>
        <w:jc w:val="center"/>
        <w:rPr>
          <w:b/>
          <w:snapToGrid w:val="0"/>
          <w:szCs w:val="22"/>
          <w:lang w:eastAsia="en-US"/>
        </w:rPr>
      </w:pPr>
      <w:r w:rsidRPr="00D724AC">
        <w:rPr>
          <w:b/>
          <w:snapToGrid w:val="0"/>
          <w:szCs w:val="22"/>
          <w:lang w:eastAsia="en-US"/>
        </w:rPr>
        <w:t xml:space="preserve">CONVERIDE </w:t>
      </w:r>
      <w:r w:rsidRPr="00D724AC">
        <w:rPr>
          <w:rFonts w:eastAsia="Calibri"/>
          <w:b/>
          <w:szCs w:val="22"/>
        </w:rPr>
        <w:t>150</w:t>
      </w:r>
      <w:r>
        <w:rPr>
          <w:rFonts w:eastAsia="Calibri"/>
          <w:b/>
          <w:szCs w:val="22"/>
        </w:rPr>
        <w:t> </w:t>
      </w:r>
      <w:r w:rsidRPr="00D724AC">
        <w:rPr>
          <w:rFonts w:eastAsia="Calibri"/>
          <w:b/>
          <w:szCs w:val="22"/>
        </w:rPr>
        <w:t>mg/12,5</w:t>
      </w:r>
      <w:r>
        <w:rPr>
          <w:rFonts w:eastAsia="Calibri"/>
          <w:b/>
          <w:szCs w:val="22"/>
        </w:rPr>
        <w:t> </w:t>
      </w:r>
      <w:r w:rsidRPr="00D724AC">
        <w:rPr>
          <w:rFonts w:eastAsia="Calibri"/>
          <w:b/>
          <w:szCs w:val="22"/>
        </w:rPr>
        <w:t>mg plėvele dengtos tabletės</w:t>
      </w:r>
    </w:p>
    <w:p w14:paraId="66EFC2CF" w14:textId="77777777" w:rsidR="00A80CF8" w:rsidRPr="00D724AC" w:rsidRDefault="00A80CF8" w:rsidP="00A80CF8">
      <w:pPr>
        <w:tabs>
          <w:tab w:val="left" w:pos="567"/>
        </w:tabs>
        <w:spacing w:line="260" w:lineRule="exact"/>
        <w:jc w:val="center"/>
        <w:rPr>
          <w:b/>
          <w:snapToGrid w:val="0"/>
          <w:szCs w:val="22"/>
          <w:lang w:eastAsia="en-US"/>
        </w:rPr>
      </w:pPr>
      <w:r w:rsidRPr="00D724AC">
        <w:rPr>
          <w:b/>
          <w:snapToGrid w:val="0"/>
          <w:szCs w:val="22"/>
          <w:lang w:eastAsia="en-US"/>
        </w:rPr>
        <w:t>CONVERIDE</w:t>
      </w:r>
      <w:r w:rsidRPr="00D724AC">
        <w:rPr>
          <w:rFonts w:eastAsia="Calibri"/>
          <w:b/>
          <w:szCs w:val="22"/>
        </w:rPr>
        <w:t xml:space="preserve"> 300</w:t>
      </w:r>
      <w:r>
        <w:rPr>
          <w:rFonts w:eastAsia="Calibri"/>
          <w:b/>
          <w:szCs w:val="22"/>
        </w:rPr>
        <w:t> </w:t>
      </w:r>
      <w:r w:rsidRPr="00D724AC">
        <w:rPr>
          <w:rFonts w:eastAsia="Calibri"/>
          <w:b/>
          <w:szCs w:val="22"/>
        </w:rPr>
        <w:t>mg/25</w:t>
      </w:r>
      <w:r>
        <w:rPr>
          <w:rFonts w:eastAsia="Calibri"/>
          <w:b/>
          <w:szCs w:val="22"/>
        </w:rPr>
        <w:t> </w:t>
      </w:r>
      <w:r w:rsidRPr="00D724AC">
        <w:rPr>
          <w:rFonts w:eastAsia="Calibri"/>
          <w:b/>
          <w:szCs w:val="22"/>
        </w:rPr>
        <w:t>mg plėvele dengtos tabletės</w:t>
      </w:r>
    </w:p>
    <w:p w14:paraId="171164E1" w14:textId="77777777" w:rsidR="00A80CF8" w:rsidRPr="00D724AC" w:rsidRDefault="00A80CF8" w:rsidP="00A80CF8">
      <w:pPr>
        <w:jc w:val="center"/>
        <w:rPr>
          <w:rFonts w:eastAsia="Calibri"/>
          <w:szCs w:val="22"/>
        </w:rPr>
      </w:pPr>
      <w:r>
        <w:rPr>
          <w:rFonts w:eastAsia="Calibri"/>
          <w:szCs w:val="22"/>
        </w:rPr>
        <w:t>i</w:t>
      </w:r>
      <w:r w:rsidRPr="00D724AC">
        <w:rPr>
          <w:rFonts w:eastAsia="Calibri"/>
          <w:szCs w:val="22"/>
        </w:rPr>
        <w:t>rbesartanas/</w:t>
      </w:r>
      <w:r>
        <w:rPr>
          <w:rFonts w:eastAsia="Calibri"/>
          <w:szCs w:val="22"/>
        </w:rPr>
        <w:t>h</w:t>
      </w:r>
      <w:r w:rsidRPr="00D724AC">
        <w:rPr>
          <w:rFonts w:eastAsia="Calibri"/>
          <w:szCs w:val="22"/>
        </w:rPr>
        <w:t>idrochlorotiazidas</w:t>
      </w:r>
    </w:p>
    <w:p w14:paraId="1157D1E0" w14:textId="77777777" w:rsidR="00A80CF8" w:rsidRPr="0035647D" w:rsidRDefault="00A80CF8" w:rsidP="00A80CF8">
      <w:pPr>
        <w:jc w:val="center"/>
        <w:rPr>
          <w:snapToGrid w:val="0"/>
          <w:szCs w:val="22"/>
          <w:lang w:eastAsia="en-US"/>
        </w:rPr>
      </w:pPr>
    </w:p>
    <w:p w14:paraId="711B3273" w14:textId="77777777" w:rsidR="00A80CF8" w:rsidRPr="00D724AC" w:rsidRDefault="00A80CF8" w:rsidP="00A80CF8">
      <w:pPr>
        <w:suppressAutoHyphens/>
        <w:ind w:left="142" w:hanging="142"/>
        <w:rPr>
          <w:snapToGrid w:val="0"/>
          <w:szCs w:val="22"/>
          <w:lang w:eastAsia="en-US"/>
        </w:rPr>
      </w:pPr>
      <w:r w:rsidRPr="00D724AC">
        <w:rPr>
          <w:b/>
          <w:snapToGrid w:val="0"/>
          <w:szCs w:val="22"/>
          <w:lang w:eastAsia="en-US"/>
        </w:rPr>
        <w:t>Atidžiai perskaitykite visą šį lapelį, prieš pradėdami vartoti vaistą, nes jame pateikiama Jums svarbi informacija.</w:t>
      </w:r>
    </w:p>
    <w:p w14:paraId="3B6B48D5" w14:textId="77777777" w:rsidR="00A80CF8" w:rsidRPr="00D724AC" w:rsidRDefault="00A80CF8" w:rsidP="00FD66F2">
      <w:pPr>
        <w:numPr>
          <w:ilvl w:val="0"/>
          <w:numId w:val="4"/>
        </w:numPr>
        <w:spacing w:line="260" w:lineRule="exact"/>
        <w:ind w:left="567" w:right="-2" w:hanging="567"/>
        <w:rPr>
          <w:snapToGrid w:val="0"/>
          <w:szCs w:val="22"/>
          <w:lang w:eastAsia="en-US"/>
        </w:rPr>
      </w:pPr>
      <w:r w:rsidRPr="00D724AC">
        <w:rPr>
          <w:snapToGrid w:val="0"/>
          <w:szCs w:val="22"/>
          <w:lang w:eastAsia="en-US"/>
        </w:rPr>
        <w:t xml:space="preserve">Neišmeskite šio lapelio, nes vėl gali prireikti jį perskaityti. </w:t>
      </w:r>
    </w:p>
    <w:p w14:paraId="1DD5F251" w14:textId="77777777" w:rsidR="00A80CF8" w:rsidRPr="00D724AC" w:rsidRDefault="00A80CF8" w:rsidP="00FD66F2">
      <w:pPr>
        <w:numPr>
          <w:ilvl w:val="0"/>
          <w:numId w:val="4"/>
        </w:numPr>
        <w:spacing w:line="260" w:lineRule="exact"/>
        <w:ind w:left="567" w:right="-2" w:hanging="567"/>
        <w:rPr>
          <w:snapToGrid w:val="0"/>
          <w:szCs w:val="22"/>
          <w:lang w:eastAsia="en-US"/>
        </w:rPr>
      </w:pPr>
      <w:r w:rsidRPr="00D724AC">
        <w:rPr>
          <w:snapToGrid w:val="0"/>
          <w:szCs w:val="22"/>
          <w:lang w:eastAsia="en-US"/>
        </w:rPr>
        <w:t>Jeigu kiltų daugiau klausimų, kreipkitės į gydytoją arba vaistininką.</w:t>
      </w:r>
    </w:p>
    <w:p w14:paraId="33BDC639" w14:textId="77777777" w:rsidR="00A80CF8" w:rsidRPr="00D724AC" w:rsidRDefault="00A80CF8" w:rsidP="00A80CF8">
      <w:pPr>
        <w:tabs>
          <w:tab w:val="left" w:pos="567"/>
        </w:tabs>
        <w:ind w:left="567" w:right="-2" w:hanging="567"/>
        <w:rPr>
          <w:snapToGrid w:val="0"/>
          <w:szCs w:val="22"/>
          <w:lang w:eastAsia="en-US"/>
        </w:rPr>
      </w:pPr>
      <w:r w:rsidRPr="00D724AC">
        <w:rPr>
          <w:snapToGrid w:val="0"/>
          <w:szCs w:val="22"/>
          <w:lang w:eastAsia="en-US"/>
        </w:rPr>
        <w:t>-</w:t>
      </w:r>
      <w:r w:rsidRPr="00D724AC">
        <w:rPr>
          <w:snapToGrid w:val="0"/>
          <w:szCs w:val="22"/>
          <w:lang w:eastAsia="en-US"/>
        </w:rPr>
        <w:tab/>
        <w:t>Šis vaistas skirtas tik Jums, todėl kitiems žmonėms jo duoti negalima. Vaistas gali jiems pakenkti (net tiems, kurių ligos požymiai yra tokie patys kaip Jūsų).</w:t>
      </w:r>
      <w:r w:rsidRPr="00D724AC">
        <w:rPr>
          <w:snapToGrid w:val="0"/>
          <w:color w:val="008000"/>
          <w:szCs w:val="22"/>
          <w:lang w:eastAsia="en-US"/>
        </w:rPr>
        <w:t xml:space="preserve"> </w:t>
      </w:r>
    </w:p>
    <w:p w14:paraId="126A4669" w14:textId="77777777" w:rsidR="00A80CF8" w:rsidRPr="00D724AC" w:rsidRDefault="00A80CF8" w:rsidP="00FD66F2">
      <w:pPr>
        <w:numPr>
          <w:ilvl w:val="0"/>
          <w:numId w:val="4"/>
        </w:numPr>
        <w:tabs>
          <w:tab w:val="left" w:pos="567"/>
        </w:tabs>
        <w:spacing w:line="260" w:lineRule="exact"/>
        <w:ind w:left="567" w:hanging="567"/>
        <w:rPr>
          <w:snapToGrid w:val="0"/>
          <w:szCs w:val="22"/>
          <w:lang w:eastAsia="en-US"/>
        </w:rPr>
      </w:pPr>
      <w:r w:rsidRPr="00D724AC">
        <w:rPr>
          <w:snapToGrid w:val="0"/>
          <w:szCs w:val="22"/>
          <w:lang w:eastAsia="en-US"/>
        </w:rPr>
        <w:t>Jeigu pasireiškė šalutinis poveikis (net jeigu jis šiame lapelyje nenurodytas), kreipkitės į gydytoją arba vaistininką. Žr. 4 skyrių.</w:t>
      </w:r>
    </w:p>
    <w:p w14:paraId="121BEB7C" w14:textId="77777777" w:rsidR="00A80CF8" w:rsidRPr="00D724AC" w:rsidRDefault="00A80CF8" w:rsidP="00A80CF8">
      <w:pPr>
        <w:ind w:right="-2"/>
        <w:rPr>
          <w:snapToGrid w:val="0"/>
          <w:szCs w:val="22"/>
          <w:lang w:eastAsia="en-US"/>
        </w:rPr>
      </w:pPr>
    </w:p>
    <w:p w14:paraId="5425B682" w14:textId="77777777" w:rsidR="00A80CF8" w:rsidRPr="00D724AC" w:rsidRDefault="00A80CF8" w:rsidP="00A80CF8">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Apie ką rašoma šiame lapelyje?</w:t>
      </w:r>
    </w:p>
    <w:p w14:paraId="45D7777C" w14:textId="77777777" w:rsidR="00A80CF8" w:rsidRPr="00D724AC" w:rsidRDefault="00A80CF8" w:rsidP="00A80CF8">
      <w:pPr>
        <w:numPr>
          <w:ilvl w:val="12"/>
          <w:numId w:val="0"/>
        </w:numPr>
        <w:ind w:left="284" w:right="-2"/>
        <w:rPr>
          <w:snapToGrid w:val="0"/>
          <w:szCs w:val="22"/>
          <w:lang w:eastAsia="en-US"/>
        </w:rPr>
      </w:pPr>
    </w:p>
    <w:p w14:paraId="760FBD37" w14:textId="77777777" w:rsidR="00A80CF8" w:rsidRPr="00D724AC" w:rsidRDefault="00A80CF8" w:rsidP="00A80CF8">
      <w:pPr>
        <w:numPr>
          <w:ilvl w:val="12"/>
          <w:numId w:val="0"/>
        </w:numPr>
        <w:tabs>
          <w:tab w:val="left" w:pos="567"/>
        </w:tabs>
        <w:rPr>
          <w:snapToGrid w:val="0"/>
          <w:szCs w:val="22"/>
          <w:lang w:eastAsia="en-US"/>
        </w:rPr>
      </w:pPr>
      <w:r w:rsidRPr="00D724AC">
        <w:rPr>
          <w:snapToGrid w:val="0"/>
          <w:szCs w:val="22"/>
          <w:lang w:eastAsia="en-US"/>
        </w:rPr>
        <w:t>1.</w:t>
      </w:r>
      <w:r w:rsidRPr="00D724AC">
        <w:rPr>
          <w:snapToGrid w:val="0"/>
          <w:szCs w:val="22"/>
          <w:lang w:eastAsia="en-US"/>
        </w:rPr>
        <w:tab/>
        <w:t xml:space="preserve">Kas yra </w:t>
      </w:r>
      <w:r w:rsidRPr="00D724AC">
        <w:rPr>
          <w:rFonts w:eastAsia="Calibri"/>
          <w:szCs w:val="22"/>
        </w:rPr>
        <w:t>CONVERIDE</w:t>
      </w:r>
      <w:r w:rsidRPr="00D724AC">
        <w:rPr>
          <w:snapToGrid w:val="0"/>
          <w:szCs w:val="22"/>
          <w:lang w:eastAsia="en-US"/>
        </w:rPr>
        <w:t xml:space="preserve"> ir kam jis vartojamas </w:t>
      </w:r>
    </w:p>
    <w:p w14:paraId="54DAD9C5" w14:textId="77777777" w:rsidR="00A80CF8" w:rsidRPr="00D724AC" w:rsidRDefault="00A80CF8" w:rsidP="00A80CF8">
      <w:pPr>
        <w:numPr>
          <w:ilvl w:val="12"/>
          <w:numId w:val="0"/>
        </w:numPr>
        <w:tabs>
          <w:tab w:val="left" w:pos="567"/>
        </w:tabs>
        <w:rPr>
          <w:snapToGrid w:val="0"/>
          <w:szCs w:val="22"/>
          <w:lang w:eastAsia="en-US"/>
        </w:rPr>
      </w:pPr>
      <w:r w:rsidRPr="00D724AC">
        <w:rPr>
          <w:snapToGrid w:val="0"/>
          <w:szCs w:val="22"/>
          <w:lang w:eastAsia="en-US"/>
        </w:rPr>
        <w:t>2.</w:t>
      </w:r>
      <w:r w:rsidRPr="00D724AC">
        <w:rPr>
          <w:snapToGrid w:val="0"/>
          <w:szCs w:val="22"/>
          <w:lang w:eastAsia="en-US"/>
        </w:rPr>
        <w:tab/>
        <w:t xml:space="preserve">Kas žinotina prieš vartojant </w:t>
      </w:r>
      <w:r w:rsidRPr="00D724AC">
        <w:rPr>
          <w:rFonts w:eastAsia="Calibri"/>
          <w:szCs w:val="22"/>
        </w:rPr>
        <w:t>CONVERIDE</w:t>
      </w:r>
      <w:r w:rsidRPr="00D724AC">
        <w:rPr>
          <w:snapToGrid w:val="0"/>
          <w:szCs w:val="22"/>
          <w:lang w:eastAsia="en-US"/>
        </w:rPr>
        <w:t xml:space="preserve"> </w:t>
      </w:r>
    </w:p>
    <w:p w14:paraId="6AE13EE5" w14:textId="77777777" w:rsidR="00A80CF8" w:rsidRPr="00D724AC" w:rsidRDefault="00A80CF8" w:rsidP="00A80CF8">
      <w:pPr>
        <w:numPr>
          <w:ilvl w:val="12"/>
          <w:numId w:val="0"/>
        </w:numPr>
        <w:tabs>
          <w:tab w:val="left" w:pos="567"/>
        </w:tabs>
        <w:rPr>
          <w:snapToGrid w:val="0"/>
          <w:szCs w:val="22"/>
          <w:lang w:eastAsia="en-US"/>
        </w:rPr>
      </w:pPr>
      <w:r w:rsidRPr="00D724AC">
        <w:rPr>
          <w:snapToGrid w:val="0"/>
          <w:szCs w:val="22"/>
          <w:lang w:eastAsia="en-US"/>
        </w:rPr>
        <w:t>3.</w:t>
      </w:r>
      <w:r w:rsidRPr="00D724AC">
        <w:rPr>
          <w:snapToGrid w:val="0"/>
          <w:szCs w:val="22"/>
          <w:lang w:eastAsia="en-US"/>
        </w:rPr>
        <w:tab/>
        <w:t xml:space="preserve">Kaip vartoti </w:t>
      </w:r>
      <w:r w:rsidRPr="00D724AC">
        <w:rPr>
          <w:rFonts w:eastAsia="Calibri"/>
          <w:szCs w:val="22"/>
        </w:rPr>
        <w:t>CONVERIDE</w:t>
      </w:r>
      <w:r w:rsidRPr="00D724AC">
        <w:rPr>
          <w:snapToGrid w:val="0"/>
          <w:szCs w:val="22"/>
          <w:lang w:eastAsia="en-US"/>
        </w:rPr>
        <w:t xml:space="preserve"> </w:t>
      </w:r>
    </w:p>
    <w:p w14:paraId="5E36B959" w14:textId="77777777" w:rsidR="00A80CF8" w:rsidRPr="00D724AC" w:rsidRDefault="00A80CF8" w:rsidP="00A80CF8">
      <w:pPr>
        <w:numPr>
          <w:ilvl w:val="12"/>
          <w:numId w:val="0"/>
        </w:numPr>
        <w:tabs>
          <w:tab w:val="left" w:pos="567"/>
        </w:tabs>
        <w:rPr>
          <w:snapToGrid w:val="0"/>
          <w:szCs w:val="22"/>
          <w:lang w:eastAsia="en-US"/>
        </w:rPr>
      </w:pPr>
      <w:r w:rsidRPr="00D724AC">
        <w:rPr>
          <w:snapToGrid w:val="0"/>
          <w:szCs w:val="22"/>
          <w:lang w:eastAsia="en-US"/>
        </w:rPr>
        <w:t>4.</w:t>
      </w:r>
      <w:r w:rsidRPr="00D724AC">
        <w:rPr>
          <w:snapToGrid w:val="0"/>
          <w:szCs w:val="22"/>
          <w:lang w:eastAsia="en-US"/>
        </w:rPr>
        <w:tab/>
        <w:t xml:space="preserve">Galimas šalutinis poveikis </w:t>
      </w:r>
    </w:p>
    <w:p w14:paraId="7471635F" w14:textId="77777777" w:rsidR="00A80CF8" w:rsidRPr="00D724AC" w:rsidRDefault="00A80CF8" w:rsidP="00A80CF8">
      <w:pPr>
        <w:numPr>
          <w:ilvl w:val="12"/>
          <w:numId w:val="0"/>
        </w:numPr>
        <w:tabs>
          <w:tab w:val="left" w:pos="567"/>
          <w:tab w:val="left" w:pos="1276"/>
        </w:tabs>
        <w:rPr>
          <w:snapToGrid w:val="0"/>
          <w:szCs w:val="22"/>
          <w:lang w:eastAsia="en-US"/>
        </w:rPr>
      </w:pPr>
      <w:r w:rsidRPr="00D724AC">
        <w:rPr>
          <w:snapToGrid w:val="0"/>
          <w:szCs w:val="22"/>
          <w:lang w:eastAsia="en-US"/>
        </w:rPr>
        <w:t>5.</w:t>
      </w:r>
      <w:r w:rsidRPr="00D724AC">
        <w:rPr>
          <w:snapToGrid w:val="0"/>
          <w:szCs w:val="22"/>
          <w:lang w:eastAsia="en-US"/>
        </w:rPr>
        <w:tab/>
        <w:t xml:space="preserve">Kaip laikyti </w:t>
      </w:r>
      <w:r w:rsidRPr="00D724AC">
        <w:rPr>
          <w:rFonts w:eastAsia="Calibri"/>
          <w:szCs w:val="22"/>
        </w:rPr>
        <w:t>CONVERIDE</w:t>
      </w:r>
      <w:r w:rsidRPr="00D724AC">
        <w:rPr>
          <w:snapToGrid w:val="0"/>
          <w:szCs w:val="22"/>
          <w:lang w:eastAsia="en-US"/>
        </w:rPr>
        <w:t xml:space="preserve"> </w:t>
      </w:r>
    </w:p>
    <w:p w14:paraId="3CFE1DC3" w14:textId="77777777" w:rsidR="00A80CF8" w:rsidRPr="00D724AC" w:rsidRDefault="00A80CF8" w:rsidP="00A80CF8">
      <w:pPr>
        <w:numPr>
          <w:ilvl w:val="12"/>
          <w:numId w:val="0"/>
        </w:numPr>
        <w:tabs>
          <w:tab w:val="left" w:pos="567"/>
        </w:tabs>
        <w:rPr>
          <w:snapToGrid w:val="0"/>
          <w:szCs w:val="22"/>
          <w:lang w:eastAsia="en-US"/>
        </w:rPr>
      </w:pPr>
      <w:r w:rsidRPr="00D724AC">
        <w:rPr>
          <w:snapToGrid w:val="0"/>
          <w:szCs w:val="22"/>
          <w:lang w:eastAsia="en-US"/>
        </w:rPr>
        <w:t>6.</w:t>
      </w:r>
      <w:r w:rsidRPr="00D724AC">
        <w:rPr>
          <w:snapToGrid w:val="0"/>
          <w:szCs w:val="22"/>
          <w:lang w:eastAsia="en-US"/>
        </w:rPr>
        <w:tab/>
        <w:t>Pakuotės turinys ir kita informacija</w:t>
      </w:r>
    </w:p>
    <w:p w14:paraId="7BC88B31" w14:textId="77777777" w:rsidR="00A80CF8" w:rsidRPr="00D724AC" w:rsidRDefault="00A80CF8" w:rsidP="00A80CF8">
      <w:pPr>
        <w:numPr>
          <w:ilvl w:val="12"/>
          <w:numId w:val="0"/>
        </w:numPr>
        <w:ind w:right="-2"/>
        <w:rPr>
          <w:snapToGrid w:val="0"/>
          <w:szCs w:val="22"/>
          <w:lang w:eastAsia="en-US"/>
        </w:rPr>
      </w:pPr>
    </w:p>
    <w:p w14:paraId="5790D055" w14:textId="77777777" w:rsidR="00A80CF8" w:rsidRPr="00D724AC" w:rsidRDefault="00A80CF8" w:rsidP="00A80CF8">
      <w:pPr>
        <w:numPr>
          <w:ilvl w:val="12"/>
          <w:numId w:val="0"/>
        </w:numPr>
        <w:ind w:right="-2"/>
        <w:rPr>
          <w:snapToGrid w:val="0"/>
          <w:szCs w:val="22"/>
          <w:lang w:eastAsia="en-US"/>
        </w:rPr>
      </w:pPr>
    </w:p>
    <w:p w14:paraId="69953EB1" w14:textId="77777777" w:rsidR="00A80CF8" w:rsidRPr="00D724AC" w:rsidRDefault="00A80CF8" w:rsidP="00A80CF8">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1.</w:t>
      </w:r>
      <w:r w:rsidRPr="00D724AC">
        <w:rPr>
          <w:b/>
          <w:bCs/>
          <w:snapToGrid w:val="0"/>
          <w:szCs w:val="22"/>
          <w:lang w:eastAsia="x-none"/>
        </w:rPr>
        <w:tab/>
        <w:t>Kas yra CONVERIDE ir kam jis vartojamas</w:t>
      </w:r>
    </w:p>
    <w:p w14:paraId="1D930922" w14:textId="77777777" w:rsidR="00A80CF8" w:rsidRPr="00D724AC" w:rsidRDefault="00A80CF8" w:rsidP="00A80CF8">
      <w:pPr>
        <w:numPr>
          <w:ilvl w:val="12"/>
          <w:numId w:val="0"/>
        </w:numPr>
        <w:ind w:right="-2"/>
        <w:rPr>
          <w:snapToGrid w:val="0"/>
          <w:szCs w:val="22"/>
          <w:lang w:eastAsia="en-US"/>
        </w:rPr>
      </w:pPr>
    </w:p>
    <w:p w14:paraId="2CD2285B" w14:textId="77777777" w:rsidR="00A80CF8" w:rsidRPr="00D724AC" w:rsidRDefault="00A80CF8" w:rsidP="00A80CF8">
      <w:pPr>
        <w:autoSpaceDE w:val="0"/>
        <w:autoSpaceDN w:val="0"/>
        <w:adjustRightInd w:val="0"/>
        <w:rPr>
          <w:rFonts w:eastAsia="Calibri"/>
          <w:szCs w:val="22"/>
        </w:rPr>
      </w:pPr>
      <w:r w:rsidRPr="00D724AC">
        <w:rPr>
          <w:rFonts w:eastAsia="Calibri"/>
          <w:szCs w:val="22"/>
        </w:rPr>
        <w:t>CONVERIDE yra sudėtinis vaistas, kuriame yra dvi veikliosios medžiagos - irbesartanas ir hidrochlorotiazidas. Irbesartanas priklauso vaistų, vadinamų angiotenzino II receptorių blokatoriais, grupei. Angiotenzinas II yra žmogaus organizme gaminama medžiaga, kuri, prisijungusi prie kraujagyslių receptorių, jas susiaurina. Dėl to kyla kraujospūdis. Irbesartanas neleidžia angiotenzinui II jungtis prie šių receptorių, todėl kraujagyslės atsipalaiduoja ir kraujospūdis sumažėja. Hidrochlorotiazidas priklauso tiazidinių diuretikų grupei, kurie didina šlapimo išsiskyrimą ir taip mažina kraujospūdį. Kartu vartojamos šios dvi veikliosios CONVERIDE</w:t>
      </w:r>
      <w:r w:rsidRPr="00D724AC">
        <w:rPr>
          <w:snapToGrid w:val="0"/>
          <w:szCs w:val="22"/>
          <w:lang w:eastAsia="en-US"/>
        </w:rPr>
        <w:t xml:space="preserve"> </w:t>
      </w:r>
      <w:r w:rsidRPr="00D724AC">
        <w:rPr>
          <w:rFonts w:eastAsia="Calibri"/>
          <w:szCs w:val="22"/>
        </w:rPr>
        <w:t>medžiagos kraujospūdį sumažina labiau, nei vartojamos atskirai.</w:t>
      </w:r>
    </w:p>
    <w:p w14:paraId="1562FE15" w14:textId="77777777" w:rsidR="00A80CF8" w:rsidRPr="00D724AC" w:rsidRDefault="00A80CF8" w:rsidP="00A80CF8">
      <w:pPr>
        <w:autoSpaceDE w:val="0"/>
        <w:autoSpaceDN w:val="0"/>
        <w:adjustRightInd w:val="0"/>
        <w:rPr>
          <w:rFonts w:eastAsia="Calibri"/>
          <w:szCs w:val="22"/>
        </w:rPr>
      </w:pPr>
    </w:p>
    <w:p w14:paraId="11BA2900" w14:textId="77777777" w:rsidR="00A80CF8" w:rsidRPr="00D724AC" w:rsidRDefault="00A80CF8" w:rsidP="00A80CF8">
      <w:pPr>
        <w:autoSpaceDE w:val="0"/>
        <w:autoSpaceDN w:val="0"/>
        <w:adjustRightInd w:val="0"/>
        <w:rPr>
          <w:snapToGrid w:val="0"/>
          <w:szCs w:val="22"/>
          <w:lang w:eastAsia="en-US"/>
        </w:rPr>
      </w:pPr>
      <w:r w:rsidRPr="00D724AC">
        <w:rPr>
          <w:rFonts w:eastAsia="Calibri"/>
          <w:b/>
          <w:szCs w:val="22"/>
        </w:rPr>
        <w:t>CONVERIDE</w:t>
      </w:r>
      <w:r w:rsidRPr="00D724AC">
        <w:rPr>
          <w:rFonts w:eastAsia="Calibri"/>
          <w:b/>
          <w:bCs/>
          <w:szCs w:val="22"/>
        </w:rPr>
        <w:t xml:space="preserve"> gydoma aukšto kraujospūdžio liga </w:t>
      </w:r>
      <w:r w:rsidRPr="00D724AC">
        <w:rPr>
          <w:rFonts w:eastAsia="Calibri"/>
          <w:szCs w:val="22"/>
        </w:rPr>
        <w:t>tuo atveju, kai gydant vien tik irbesartanu ar hidrochlorotiazidu kraujospūdis sureguliuojamas nepakankamai.</w:t>
      </w:r>
    </w:p>
    <w:p w14:paraId="2DC38F69" w14:textId="77777777" w:rsidR="00A80CF8" w:rsidRPr="00D724AC" w:rsidRDefault="00A80CF8" w:rsidP="00A80CF8">
      <w:pPr>
        <w:numPr>
          <w:ilvl w:val="12"/>
          <w:numId w:val="0"/>
        </w:numPr>
        <w:ind w:right="-2"/>
        <w:rPr>
          <w:snapToGrid w:val="0"/>
          <w:szCs w:val="22"/>
          <w:lang w:eastAsia="en-US"/>
        </w:rPr>
      </w:pPr>
    </w:p>
    <w:p w14:paraId="426181A4" w14:textId="77777777" w:rsidR="00A80CF8" w:rsidRPr="00D724AC" w:rsidRDefault="00A80CF8" w:rsidP="00A80CF8">
      <w:pPr>
        <w:numPr>
          <w:ilvl w:val="12"/>
          <w:numId w:val="0"/>
        </w:numPr>
        <w:ind w:right="-2"/>
        <w:rPr>
          <w:snapToGrid w:val="0"/>
          <w:szCs w:val="22"/>
          <w:lang w:eastAsia="en-US"/>
        </w:rPr>
      </w:pPr>
    </w:p>
    <w:p w14:paraId="31B749E5" w14:textId="77777777" w:rsidR="00A80CF8" w:rsidRPr="00D724AC" w:rsidRDefault="00A80CF8" w:rsidP="00A80CF8">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2.</w:t>
      </w:r>
      <w:r w:rsidRPr="00D724AC">
        <w:rPr>
          <w:b/>
          <w:bCs/>
          <w:snapToGrid w:val="0"/>
          <w:szCs w:val="22"/>
          <w:lang w:eastAsia="x-none"/>
        </w:rPr>
        <w:tab/>
        <w:t xml:space="preserve">Kas žinotina prieš vartojant </w:t>
      </w:r>
      <w:r w:rsidRPr="00D724AC">
        <w:rPr>
          <w:rFonts w:eastAsia="Calibri"/>
          <w:b/>
          <w:bCs/>
          <w:szCs w:val="22"/>
        </w:rPr>
        <w:t>CONVERIDE</w:t>
      </w:r>
      <w:r w:rsidRPr="00D724AC">
        <w:rPr>
          <w:b/>
          <w:bCs/>
          <w:snapToGrid w:val="0"/>
          <w:szCs w:val="22"/>
          <w:lang w:eastAsia="x-none"/>
        </w:rPr>
        <w:t xml:space="preserve"> </w:t>
      </w:r>
      <w:r w:rsidRPr="00D724AC">
        <w:rPr>
          <w:b/>
          <w:snapToGrid w:val="0"/>
          <w:szCs w:val="22"/>
          <w:lang w:eastAsia="x-none"/>
        </w:rPr>
        <w:t xml:space="preserve"> </w:t>
      </w:r>
    </w:p>
    <w:p w14:paraId="5F9A9D72" w14:textId="77777777" w:rsidR="00A80CF8" w:rsidRPr="00D724AC" w:rsidRDefault="00A80CF8" w:rsidP="00A80CF8">
      <w:pPr>
        <w:numPr>
          <w:ilvl w:val="12"/>
          <w:numId w:val="0"/>
        </w:numPr>
        <w:ind w:right="-2"/>
        <w:rPr>
          <w:snapToGrid w:val="0"/>
          <w:szCs w:val="22"/>
          <w:lang w:eastAsia="en-US"/>
        </w:rPr>
      </w:pPr>
    </w:p>
    <w:p w14:paraId="499714A7" w14:textId="77777777" w:rsidR="00A80CF8" w:rsidRPr="00D724AC" w:rsidRDefault="00A80CF8" w:rsidP="00A80CF8">
      <w:pPr>
        <w:keepNext/>
        <w:tabs>
          <w:tab w:val="left" w:pos="567"/>
        </w:tabs>
        <w:spacing w:line="260" w:lineRule="exact"/>
        <w:jc w:val="both"/>
        <w:outlineLvl w:val="3"/>
        <w:rPr>
          <w:b/>
          <w:bCs/>
          <w:snapToGrid w:val="0"/>
          <w:szCs w:val="22"/>
          <w:lang w:eastAsia="x-none"/>
        </w:rPr>
      </w:pPr>
      <w:r w:rsidRPr="00D724AC">
        <w:rPr>
          <w:rFonts w:eastAsia="Calibri"/>
          <w:b/>
          <w:bCs/>
          <w:szCs w:val="22"/>
        </w:rPr>
        <w:t>CONVERIDE</w:t>
      </w:r>
      <w:r w:rsidRPr="00D724AC">
        <w:rPr>
          <w:b/>
          <w:bCs/>
          <w:snapToGrid w:val="0"/>
          <w:szCs w:val="22"/>
          <w:lang w:eastAsia="x-none"/>
        </w:rPr>
        <w:t xml:space="preserve"> vartoti </w:t>
      </w:r>
      <w:r>
        <w:rPr>
          <w:b/>
          <w:bCs/>
          <w:snapToGrid w:val="0"/>
          <w:szCs w:val="22"/>
          <w:lang w:eastAsia="x-none"/>
        </w:rPr>
        <w:t>draudžiama:</w:t>
      </w:r>
    </w:p>
    <w:p w14:paraId="44001645" w14:textId="77777777" w:rsidR="00A80CF8" w:rsidRPr="00D724AC" w:rsidRDefault="00A80CF8" w:rsidP="00FD66F2">
      <w:pPr>
        <w:numPr>
          <w:ilvl w:val="0"/>
          <w:numId w:val="7"/>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yra </w:t>
      </w:r>
      <w:r w:rsidRPr="00D724AC">
        <w:rPr>
          <w:rFonts w:eastAsia="Calibri"/>
          <w:b/>
          <w:bCs/>
          <w:szCs w:val="22"/>
        </w:rPr>
        <w:t xml:space="preserve">alergija </w:t>
      </w:r>
      <w:r w:rsidRPr="00D724AC">
        <w:rPr>
          <w:rFonts w:eastAsia="Calibri"/>
          <w:szCs w:val="22"/>
        </w:rPr>
        <w:t>irbesartanui arba bet kuriai pagalbinei šio vaisto medžiagai (jos išvardytos 6 skyriuje);</w:t>
      </w:r>
    </w:p>
    <w:p w14:paraId="52633978" w14:textId="77777777" w:rsidR="00A80CF8" w:rsidRPr="00D724AC" w:rsidRDefault="00A80CF8" w:rsidP="00FD66F2">
      <w:pPr>
        <w:numPr>
          <w:ilvl w:val="0"/>
          <w:numId w:val="7"/>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yra </w:t>
      </w:r>
      <w:r w:rsidRPr="00D724AC">
        <w:rPr>
          <w:rFonts w:eastAsia="Calibri"/>
          <w:b/>
          <w:bCs/>
          <w:szCs w:val="22"/>
        </w:rPr>
        <w:t xml:space="preserve">alergija </w:t>
      </w:r>
      <w:r w:rsidRPr="00D724AC">
        <w:rPr>
          <w:rFonts w:eastAsia="Calibri"/>
          <w:szCs w:val="22"/>
        </w:rPr>
        <w:t>hidrochlorotiazidui arba bet kuriems į sulfamidus panašiems vaistams;</w:t>
      </w:r>
    </w:p>
    <w:p w14:paraId="43A099B8" w14:textId="77777777" w:rsidR="00A80CF8" w:rsidRPr="00D724AC" w:rsidRDefault="00A80CF8" w:rsidP="00FD66F2">
      <w:pPr>
        <w:numPr>
          <w:ilvl w:val="0"/>
          <w:numId w:val="7"/>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esate </w:t>
      </w:r>
      <w:r w:rsidRPr="00D724AC">
        <w:rPr>
          <w:rFonts w:eastAsia="Calibri"/>
          <w:b/>
          <w:bCs/>
          <w:szCs w:val="22"/>
        </w:rPr>
        <w:t>daugiau nei 3 mėnesius nėščia</w:t>
      </w:r>
      <w:r w:rsidRPr="00D724AC">
        <w:rPr>
          <w:rFonts w:eastAsia="Calibri"/>
          <w:szCs w:val="22"/>
        </w:rPr>
        <w:t>. Taip pat yra geriau vengti CONVERIDE vartoti ankstyvojo nėštumo metu (žr. skyrių „Nėštumas“);</w:t>
      </w:r>
    </w:p>
    <w:p w14:paraId="0335FB9E" w14:textId="77777777" w:rsidR="00A80CF8" w:rsidRPr="00D724AC" w:rsidRDefault="00A80CF8" w:rsidP="00FD66F2">
      <w:pPr>
        <w:numPr>
          <w:ilvl w:val="0"/>
          <w:numId w:val="7"/>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yra </w:t>
      </w:r>
      <w:r w:rsidRPr="00D724AC">
        <w:rPr>
          <w:rFonts w:eastAsia="Calibri"/>
          <w:b/>
          <w:bCs/>
          <w:szCs w:val="22"/>
        </w:rPr>
        <w:t xml:space="preserve">sunkus kepenų </w:t>
      </w:r>
      <w:r w:rsidRPr="00D724AC">
        <w:rPr>
          <w:rFonts w:eastAsia="Calibri"/>
          <w:szCs w:val="22"/>
        </w:rPr>
        <w:t xml:space="preserve">ar </w:t>
      </w:r>
      <w:r w:rsidRPr="00D724AC">
        <w:rPr>
          <w:rFonts w:eastAsia="Calibri"/>
          <w:b/>
          <w:bCs/>
          <w:szCs w:val="22"/>
        </w:rPr>
        <w:t>inkstų veiklos sutrikimas</w:t>
      </w:r>
      <w:r w:rsidRPr="00D724AC">
        <w:rPr>
          <w:rFonts w:eastAsia="Calibri"/>
          <w:szCs w:val="22"/>
        </w:rPr>
        <w:t>;</w:t>
      </w:r>
    </w:p>
    <w:p w14:paraId="490292B9" w14:textId="77777777" w:rsidR="00A80CF8" w:rsidRPr="00D724AC" w:rsidRDefault="00A80CF8" w:rsidP="00FD66F2">
      <w:pPr>
        <w:numPr>
          <w:ilvl w:val="0"/>
          <w:numId w:val="7"/>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w:t>
      </w:r>
      <w:r w:rsidRPr="00D724AC">
        <w:rPr>
          <w:rFonts w:eastAsia="Calibri"/>
          <w:b/>
          <w:bCs/>
          <w:szCs w:val="22"/>
        </w:rPr>
        <w:t>sutrikęs šlapinimasis</w:t>
      </w:r>
      <w:r w:rsidRPr="00D724AC">
        <w:rPr>
          <w:rFonts w:eastAsia="Calibri"/>
          <w:szCs w:val="22"/>
        </w:rPr>
        <w:t>;</w:t>
      </w:r>
    </w:p>
    <w:p w14:paraId="02C39124" w14:textId="77777777" w:rsidR="00A80CF8" w:rsidRPr="00D724AC" w:rsidRDefault="00A80CF8" w:rsidP="00FD66F2">
      <w:pPr>
        <w:numPr>
          <w:ilvl w:val="0"/>
          <w:numId w:val="7"/>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gydytojas nustato, kad Jums </w:t>
      </w:r>
      <w:r w:rsidRPr="00D724AC">
        <w:rPr>
          <w:rFonts w:eastAsia="Calibri"/>
          <w:b/>
          <w:bCs/>
          <w:szCs w:val="22"/>
        </w:rPr>
        <w:t>nuolat padidėjęs kalcio ar sumažėjęs kalio kiekis kraujyje</w:t>
      </w:r>
      <w:r w:rsidRPr="00D724AC">
        <w:rPr>
          <w:rFonts w:eastAsia="Calibri"/>
          <w:szCs w:val="22"/>
        </w:rPr>
        <w:t>;</w:t>
      </w:r>
    </w:p>
    <w:p w14:paraId="23A3B299" w14:textId="77777777" w:rsidR="00A80CF8" w:rsidRPr="00D724AC" w:rsidRDefault="00A80CF8" w:rsidP="00FD66F2">
      <w:pPr>
        <w:numPr>
          <w:ilvl w:val="0"/>
          <w:numId w:val="7"/>
        </w:numPr>
        <w:tabs>
          <w:tab w:val="left" w:pos="567"/>
        </w:tabs>
        <w:autoSpaceDE w:val="0"/>
        <w:autoSpaceDN w:val="0"/>
        <w:adjustRightInd w:val="0"/>
        <w:spacing w:line="260" w:lineRule="exact"/>
        <w:ind w:left="567" w:hanging="567"/>
        <w:rPr>
          <w:rFonts w:eastAsia="Calibri"/>
          <w:szCs w:val="22"/>
        </w:rPr>
      </w:pPr>
      <w:r w:rsidRPr="00D724AC">
        <w:rPr>
          <w:rFonts w:eastAsia="Calibri"/>
          <w:bCs/>
          <w:szCs w:val="22"/>
        </w:rPr>
        <w:t>jeigu Jūs sergate cukriniu diabetu arba Jūsų inkstų funkcija sutrikusi</w:t>
      </w:r>
      <w:r w:rsidRPr="00D724AC">
        <w:rPr>
          <w:rFonts w:eastAsia="Calibri"/>
          <w:b/>
          <w:bCs/>
          <w:szCs w:val="22"/>
        </w:rPr>
        <w:t xml:space="preserve"> </w:t>
      </w:r>
      <w:r w:rsidRPr="00D724AC">
        <w:rPr>
          <w:rFonts w:eastAsia="Calibri"/>
          <w:szCs w:val="22"/>
        </w:rPr>
        <w:t>ir Jūs esate gydomas kraujo spaudimą mažinančiu vaistu, kurio sudėtyje yra aliskireno.</w:t>
      </w:r>
    </w:p>
    <w:p w14:paraId="5A076AFA" w14:textId="77777777" w:rsidR="00A80CF8" w:rsidRPr="00D724AC" w:rsidRDefault="00A80CF8" w:rsidP="00A80CF8">
      <w:pPr>
        <w:autoSpaceDE w:val="0"/>
        <w:autoSpaceDN w:val="0"/>
        <w:adjustRightInd w:val="0"/>
        <w:ind w:left="567" w:hanging="567"/>
        <w:rPr>
          <w:rFonts w:eastAsia="Calibri"/>
          <w:szCs w:val="22"/>
        </w:rPr>
      </w:pPr>
    </w:p>
    <w:p w14:paraId="699FF007" w14:textId="77777777" w:rsidR="00A80CF8" w:rsidRPr="00D724AC" w:rsidRDefault="00A80CF8" w:rsidP="00A80CF8">
      <w:pPr>
        <w:autoSpaceDE w:val="0"/>
        <w:autoSpaceDN w:val="0"/>
        <w:adjustRightInd w:val="0"/>
        <w:ind w:left="567" w:hanging="567"/>
        <w:rPr>
          <w:rFonts w:eastAsia="Calibri"/>
          <w:b/>
          <w:bCs/>
          <w:szCs w:val="22"/>
        </w:rPr>
      </w:pPr>
      <w:r w:rsidRPr="00D724AC">
        <w:rPr>
          <w:rFonts w:eastAsia="Calibri"/>
          <w:b/>
          <w:bCs/>
          <w:szCs w:val="22"/>
        </w:rPr>
        <w:t>Įspėjimai ir atsargumo priemonės</w:t>
      </w:r>
    </w:p>
    <w:p w14:paraId="37C83C5F" w14:textId="77777777" w:rsidR="00A80CF8" w:rsidRPr="00D724AC" w:rsidRDefault="00A80CF8" w:rsidP="00A80CF8">
      <w:pPr>
        <w:autoSpaceDE w:val="0"/>
        <w:autoSpaceDN w:val="0"/>
        <w:adjustRightInd w:val="0"/>
        <w:rPr>
          <w:rFonts w:eastAsia="Calibri"/>
          <w:szCs w:val="22"/>
        </w:rPr>
      </w:pPr>
      <w:r w:rsidRPr="00D724AC">
        <w:rPr>
          <w:rFonts w:eastAsia="Calibri"/>
          <w:b/>
          <w:szCs w:val="22"/>
        </w:rPr>
        <w:lastRenderedPageBreak/>
        <w:t>Pasitarkite su gydytoju</w:t>
      </w:r>
      <w:r w:rsidRPr="00D724AC">
        <w:rPr>
          <w:rFonts w:eastAsia="Calibri"/>
          <w:szCs w:val="22"/>
        </w:rPr>
        <w:t xml:space="preserve">, </w:t>
      </w:r>
      <w:r w:rsidRPr="00D724AC">
        <w:rPr>
          <w:rFonts w:eastAsia="Calibri"/>
          <w:bCs/>
          <w:szCs w:val="22"/>
        </w:rPr>
        <w:t xml:space="preserve">prieš pradėdami vartoti </w:t>
      </w:r>
      <w:r w:rsidRPr="00D724AC">
        <w:rPr>
          <w:rFonts w:eastAsia="Calibri"/>
          <w:szCs w:val="22"/>
        </w:rPr>
        <w:t>CONVERIDE</w:t>
      </w:r>
      <w:r w:rsidRPr="00D724AC">
        <w:rPr>
          <w:snapToGrid w:val="0"/>
          <w:szCs w:val="22"/>
          <w:lang w:eastAsia="en-US"/>
        </w:rPr>
        <w:t xml:space="preserve"> </w:t>
      </w:r>
      <w:r w:rsidRPr="00D724AC">
        <w:rPr>
          <w:rFonts w:eastAsia="Calibri"/>
          <w:szCs w:val="22"/>
        </w:rPr>
        <w:t>ir jeigu Jums tinka bet kuri iš toliau nurodytų būklių:</w:t>
      </w:r>
    </w:p>
    <w:p w14:paraId="17C0DDB5" w14:textId="77777777" w:rsidR="00A80CF8" w:rsidRPr="00D724AC" w:rsidRDefault="00A80CF8" w:rsidP="00FD66F2">
      <w:pPr>
        <w:numPr>
          <w:ilvl w:val="0"/>
          <w:numId w:val="8"/>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pradėjote </w:t>
      </w:r>
      <w:r w:rsidRPr="00D724AC">
        <w:rPr>
          <w:rFonts w:eastAsia="Calibri"/>
          <w:b/>
          <w:bCs/>
          <w:szCs w:val="22"/>
        </w:rPr>
        <w:t>smarkiai vemti ar viduriuoti</w:t>
      </w:r>
      <w:r w:rsidRPr="00D724AC">
        <w:rPr>
          <w:rFonts w:eastAsia="Calibri"/>
          <w:szCs w:val="22"/>
        </w:rPr>
        <w:t>;</w:t>
      </w:r>
    </w:p>
    <w:p w14:paraId="5D063062" w14:textId="77777777" w:rsidR="00A80CF8" w:rsidRPr="00D724AC" w:rsidRDefault="00A80CF8" w:rsidP="00FD66F2">
      <w:pPr>
        <w:numPr>
          <w:ilvl w:val="0"/>
          <w:numId w:val="8"/>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sergate </w:t>
      </w:r>
      <w:r w:rsidRPr="00D724AC">
        <w:rPr>
          <w:rFonts w:eastAsia="Calibri"/>
          <w:b/>
          <w:bCs/>
          <w:szCs w:val="22"/>
        </w:rPr>
        <w:t xml:space="preserve">inkstų liga </w:t>
      </w:r>
      <w:r w:rsidRPr="00D724AC">
        <w:rPr>
          <w:rFonts w:eastAsia="Calibri"/>
          <w:szCs w:val="22"/>
        </w:rPr>
        <w:t xml:space="preserve">arba Jums yra </w:t>
      </w:r>
      <w:r w:rsidRPr="00D724AC">
        <w:rPr>
          <w:rFonts w:eastAsia="Calibri"/>
          <w:b/>
          <w:bCs/>
          <w:szCs w:val="22"/>
        </w:rPr>
        <w:t>persodintas inkstas</w:t>
      </w:r>
      <w:r w:rsidRPr="00D724AC">
        <w:rPr>
          <w:rFonts w:eastAsia="Calibri"/>
          <w:szCs w:val="22"/>
        </w:rPr>
        <w:t>;</w:t>
      </w:r>
    </w:p>
    <w:p w14:paraId="517B1251" w14:textId="77777777" w:rsidR="00A80CF8" w:rsidRPr="00D724AC" w:rsidRDefault="00A80CF8" w:rsidP="00FD66F2">
      <w:pPr>
        <w:numPr>
          <w:ilvl w:val="0"/>
          <w:numId w:val="8"/>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sergate </w:t>
      </w:r>
      <w:r w:rsidRPr="00D724AC">
        <w:rPr>
          <w:rFonts w:eastAsia="Calibri"/>
          <w:b/>
          <w:bCs/>
          <w:szCs w:val="22"/>
        </w:rPr>
        <w:t>širdies liga</w:t>
      </w:r>
      <w:r w:rsidRPr="00D724AC">
        <w:rPr>
          <w:rFonts w:eastAsia="Calibri"/>
          <w:szCs w:val="22"/>
        </w:rPr>
        <w:t>;</w:t>
      </w:r>
    </w:p>
    <w:p w14:paraId="797A8AC9" w14:textId="77777777" w:rsidR="00A80CF8" w:rsidRPr="00D724AC" w:rsidRDefault="00A80CF8" w:rsidP="00FD66F2">
      <w:pPr>
        <w:numPr>
          <w:ilvl w:val="0"/>
          <w:numId w:val="8"/>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sergate </w:t>
      </w:r>
      <w:r w:rsidRPr="00D724AC">
        <w:rPr>
          <w:rFonts w:eastAsia="Calibri"/>
          <w:b/>
          <w:bCs/>
          <w:szCs w:val="22"/>
        </w:rPr>
        <w:t>kepenų liga</w:t>
      </w:r>
      <w:r w:rsidRPr="00D724AC">
        <w:rPr>
          <w:rFonts w:eastAsia="Calibri"/>
          <w:szCs w:val="22"/>
        </w:rPr>
        <w:t>;</w:t>
      </w:r>
    </w:p>
    <w:p w14:paraId="6D2B274B" w14:textId="77777777" w:rsidR="00A80CF8" w:rsidRDefault="00A80CF8" w:rsidP="00FD66F2">
      <w:pPr>
        <w:numPr>
          <w:ilvl w:val="0"/>
          <w:numId w:val="8"/>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sergate </w:t>
      </w:r>
      <w:r w:rsidRPr="00D724AC">
        <w:rPr>
          <w:rFonts w:eastAsia="Calibri"/>
          <w:b/>
          <w:bCs/>
          <w:szCs w:val="22"/>
        </w:rPr>
        <w:t>diabetu</w:t>
      </w:r>
      <w:r w:rsidRPr="00D724AC">
        <w:rPr>
          <w:rFonts w:eastAsia="Calibri"/>
          <w:szCs w:val="22"/>
        </w:rPr>
        <w:t>;</w:t>
      </w:r>
    </w:p>
    <w:p w14:paraId="2B8F6634" w14:textId="77777777" w:rsidR="00A80CF8" w:rsidRPr="000B2A25" w:rsidRDefault="00A80CF8" w:rsidP="00FD66F2">
      <w:pPr>
        <w:pStyle w:val="Sraopastraipa"/>
        <w:numPr>
          <w:ilvl w:val="0"/>
          <w:numId w:val="8"/>
        </w:numPr>
        <w:tabs>
          <w:tab w:val="left" w:pos="567"/>
        </w:tabs>
        <w:autoSpaceDE w:val="0"/>
        <w:autoSpaceDN w:val="0"/>
        <w:adjustRightInd w:val="0"/>
        <w:spacing w:line="260" w:lineRule="exact"/>
        <w:ind w:left="567" w:hanging="567"/>
        <w:rPr>
          <w:rFonts w:eastAsia="Calibri"/>
          <w:szCs w:val="22"/>
        </w:rPr>
      </w:pPr>
      <w:r w:rsidRPr="000B2A25">
        <w:rPr>
          <w:rFonts w:eastAsia="Calibri"/>
          <w:szCs w:val="22"/>
        </w:rPr>
        <w:t xml:space="preserve">jeigu </w:t>
      </w:r>
      <w:r w:rsidRPr="000B2A25">
        <w:rPr>
          <w:rFonts w:eastAsia="Calibri"/>
          <w:b/>
          <w:bCs/>
          <w:szCs w:val="22"/>
        </w:rPr>
        <w:t>cukraus kiekis kraujyje</w:t>
      </w:r>
      <w:r w:rsidRPr="000B2A25">
        <w:rPr>
          <w:rFonts w:eastAsia="Calibri"/>
          <w:szCs w:val="22"/>
        </w:rPr>
        <w:t xml:space="preserve"> tampa </w:t>
      </w:r>
      <w:r w:rsidRPr="000B2A25">
        <w:rPr>
          <w:rFonts w:eastAsia="Calibri"/>
          <w:b/>
          <w:bCs/>
          <w:szCs w:val="22"/>
        </w:rPr>
        <w:t>mažas</w:t>
      </w:r>
      <w:r w:rsidRPr="000B2A25">
        <w:rPr>
          <w:rFonts w:eastAsia="Calibri"/>
          <w:szCs w:val="22"/>
        </w:rPr>
        <w:t>, (galimi simptomai yra prakaitavimas, silpnumas, alkis, svaigulys, drebulys, galvos skausmas, paraudimas ar pablyškimas, tirpimas ir dažnas bei stiprus širdies plakimas), ypač jeigu esate gydomi nuo cukrinio diabeto;</w:t>
      </w:r>
    </w:p>
    <w:p w14:paraId="37509968" w14:textId="77777777" w:rsidR="00A80CF8" w:rsidRPr="00D724AC" w:rsidRDefault="00A80CF8" w:rsidP="00FD66F2">
      <w:pPr>
        <w:numPr>
          <w:ilvl w:val="0"/>
          <w:numId w:val="8"/>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sergate </w:t>
      </w:r>
      <w:r w:rsidRPr="00D724AC">
        <w:rPr>
          <w:rFonts w:eastAsia="Calibri"/>
          <w:b/>
          <w:bCs/>
          <w:szCs w:val="22"/>
        </w:rPr>
        <w:t xml:space="preserve">sistemine raudonąja vilklige </w:t>
      </w:r>
      <w:r w:rsidRPr="00D724AC">
        <w:rPr>
          <w:rFonts w:eastAsia="Calibri"/>
          <w:szCs w:val="22"/>
        </w:rPr>
        <w:t>(dar vadinama vilklige arba SRV);</w:t>
      </w:r>
    </w:p>
    <w:p w14:paraId="2A19ED52" w14:textId="77777777" w:rsidR="00A80CF8" w:rsidRPr="00D724AC" w:rsidRDefault="00A80CF8" w:rsidP="00FD66F2">
      <w:pPr>
        <w:numPr>
          <w:ilvl w:val="0"/>
          <w:numId w:val="8"/>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sergate </w:t>
      </w:r>
      <w:r w:rsidRPr="00D724AC">
        <w:rPr>
          <w:rFonts w:eastAsia="Calibri"/>
          <w:b/>
          <w:bCs/>
          <w:szCs w:val="22"/>
        </w:rPr>
        <w:t xml:space="preserve">pirminiu hiperaldosteronizmu </w:t>
      </w:r>
      <w:r w:rsidRPr="00D724AC">
        <w:rPr>
          <w:rFonts w:eastAsia="Calibri"/>
          <w:szCs w:val="22"/>
        </w:rPr>
        <w:t>(būkle, kuri atsiranda dėl padidėjusios hormono aldosterono gamybos, dėl ko organizme susilaiko natris ir padidėja kraujospūdis);</w:t>
      </w:r>
    </w:p>
    <w:p w14:paraId="3FB221A7" w14:textId="77777777" w:rsidR="00A80CF8" w:rsidRPr="00D724AC" w:rsidRDefault="00A80CF8" w:rsidP="00FD66F2">
      <w:pPr>
        <w:numPr>
          <w:ilvl w:val="0"/>
          <w:numId w:val="8"/>
        </w:numPr>
        <w:tabs>
          <w:tab w:val="left" w:pos="567"/>
        </w:tabs>
        <w:autoSpaceDE w:val="0"/>
        <w:autoSpaceDN w:val="0"/>
        <w:adjustRightInd w:val="0"/>
        <w:spacing w:line="260" w:lineRule="exact"/>
        <w:ind w:left="567" w:hanging="567"/>
        <w:rPr>
          <w:rFonts w:eastAsia="Calibri"/>
          <w:szCs w:val="22"/>
        </w:rPr>
      </w:pPr>
      <w:r w:rsidRPr="00D724AC">
        <w:rPr>
          <w:szCs w:val="22"/>
        </w:rPr>
        <w:t>jeigu vartojate</w:t>
      </w:r>
      <w:r w:rsidRPr="00D724AC">
        <w:rPr>
          <w:rFonts w:eastAsia="Calibri"/>
          <w:szCs w:val="22"/>
        </w:rPr>
        <w:t xml:space="preserve"> </w:t>
      </w:r>
      <w:r w:rsidRPr="00D724AC">
        <w:rPr>
          <w:iCs/>
          <w:color w:val="000000"/>
          <w:szCs w:val="22"/>
        </w:rPr>
        <w:t xml:space="preserve">kurį nors iš šių vaistų padidėjusiam kraujospūdžiui gydyti: </w:t>
      </w:r>
    </w:p>
    <w:p w14:paraId="2FC1ECB8" w14:textId="77777777" w:rsidR="00A80CF8" w:rsidRPr="00D724AC" w:rsidRDefault="00A80CF8" w:rsidP="00A80CF8">
      <w:pPr>
        <w:autoSpaceDE w:val="0"/>
        <w:autoSpaceDN w:val="0"/>
        <w:adjustRightInd w:val="0"/>
        <w:ind w:left="720"/>
        <w:rPr>
          <w:color w:val="000000"/>
          <w:szCs w:val="22"/>
        </w:rPr>
      </w:pPr>
      <w:r w:rsidRPr="00D724AC">
        <w:rPr>
          <w:iCs/>
          <w:color w:val="000000"/>
          <w:szCs w:val="22"/>
        </w:rPr>
        <w:t>- AKF inhibitorių (pavyzdžiui, enalaprilį, lizinoprilį, ramiprilį), ypač jei turite su diabetu susijusių inkstų sutrikimų</w:t>
      </w:r>
      <w:r>
        <w:rPr>
          <w:iCs/>
          <w:color w:val="000000"/>
          <w:szCs w:val="22"/>
        </w:rPr>
        <w:t>;</w:t>
      </w:r>
      <w:r w:rsidRPr="00D724AC">
        <w:rPr>
          <w:iCs/>
          <w:color w:val="000000"/>
          <w:szCs w:val="22"/>
        </w:rPr>
        <w:t xml:space="preserve"> </w:t>
      </w:r>
    </w:p>
    <w:p w14:paraId="3DA31BA5" w14:textId="77777777" w:rsidR="00A80CF8" w:rsidRPr="00D724AC" w:rsidRDefault="00A80CF8" w:rsidP="00A80CF8">
      <w:pPr>
        <w:ind w:left="709"/>
        <w:jc w:val="both"/>
        <w:rPr>
          <w:szCs w:val="22"/>
        </w:rPr>
      </w:pPr>
      <w:r w:rsidRPr="00D724AC">
        <w:rPr>
          <w:iCs/>
          <w:color w:val="000000"/>
          <w:szCs w:val="22"/>
        </w:rPr>
        <w:t>- aliskireną.</w:t>
      </w:r>
    </w:p>
    <w:p w14:paraId="356869C0" w14:textId="5BFDBEBF" w:rsidR="00A80CF8" w:rsidRDefault="00A80CF8" w:rsidP="00FD66F2">
      <w:pPr>
        <w:numPr>
          <w:ilvl w:val="0"/>
          <w:numId w:val="9"/>
        </w:numPr>
        <w:tabs>
          <w:tab w:val="left" w:pos="0"/>
        </w:tabs>
        <w:autoSpaceDE w:val="0"/>
        <w:autoSpaceDN w:val="0"/>
        <w:adjustRightInd w:val="0"/>
        <w:ind w:left="567" w:hanging="567"/>
        <w:rPr>
          <w:rFonts w:eastAsia="Calibri"/>
          <w:szCs w:val="22"/>
        </w:rPr>
      </w:pPr>
      <w:r w:rsidRPr="007060D6">
        <w:rPr>
          <w:rFonts w:eastAsia="Calibri"/>
          <w:szCs w:val="22"/>
        </w:rPr>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CONVERIDE, saugokite savo odą nuo saulės ir ultravioletinių spindulių</w:t>
      </w:r>
      <w:r w:rsidR="00996CA4">
        <w:rPr>
          <w:rFonts w:eastAsia="Calibri"/>
          <w:szCs w:val="22"/>
        </w:rPr>
        <w:t>;</w:t>
      </w:r>
    </w:p>
    <w:p w14:paraId="2A58C225" w14:textId="2A1CD23F" w:rsidR="00996CA4" w:rsidRDefault="00996CA4" w:rsidP="00FD66F2">
      <w:pPr>
        <w:numPr>
          <w:ilvl w:val="0"/>
          <w:numId w:val="9"/>
        </w:numPr>
        <w:tabs>
          <w:tab w:val="left" w:pos="0"/>
        </w:tabs>
        <w:autoSpaceDE w:val="0"/>
        <w:autoSpaceDN w:val="0"/>
        <w:adjustRightInd w:val="0"/>
        <w:ind w:left="567" w:hanging="567"/>
        <w:rPr>
          <w:rFonts w:eastAsia="Calibri"/>
          <w:szCs w:val="22"/>
        </w:rPr>
      </w:pPr>
      <w:r w:rsidRPr="00996CA4">
        <w:rPr>
          <w:rFonts w:eastAsia="Calibri"/>
          <w:szCs w:val="22"/>
        </w:rPr>
        <w:t>Jeigu praeityje pavartojus hidrochlorotiazido, Jums pasireiškė kvėpavimo ar plaučių veiklos sutrikimų (įskaitant plaučių uždegimą ar skysčio susidarymą juose). Jeigu pavartojus CONVERIDE Jums pasireikštų stiprus dusulys arba kvėpavimo sunkumų, nedelsdami kreipkitės medicininės pagalbos.</w:t>
      </w:r>
    </w:p>
    <w:p w14:paraId="01ADB84E" w14:textId="77777777" w:rsidR="00A80CF8" w:rsidRDefault="00A80CF8" w:rsidP="00A80CF8">
      <w:pPr>
        <w:tabs>
          <w:tab w:val="left" w:pos="567"/>
        </w:tabs>
        <w:autoSpaceDE w:val="0"/>
        <w:autoSpaceDN w:val="0"/>
        <w:adjustRightInd w:val="0"/>
        <w:ind w:left="360" w:hanging="360"/>
        <w:rPr>
          <w:rFonts w:eastAsia="Calibri"/>
          <w:szCs w:val="22"/>
        </w:rPr>
      </w:pPr>
    </w:p>
    <w:p w14:paraId="00843BBE" w14:textId="77777777" w:rsidR="00A80CF8" w:rsidRDefault="00A80CF8" w:rsidP="00A80CF8">
      <w:pPr>
        <w:tabs>
          <w:tab w:val="left" w:pos="0"/>
        </w:tabs>
        <w:autoSpaceDE w:val="0"/>
        <w:autoSpaceDN w:val="0"/>
        <w:adjustRightInd w:val="0"/>
        <w:rPr>
          <w:rFonts w:eastAsia="Calibri"/>
          <w:szCs w:val="22"/>
        </w:rPr>
      </w:pPr>
      <w:r>
        <w:rPr>
          <w:rFonts w:eastAsia="Calibri"/>
          <w:szCs w:val="22"/>
        </w:rPr>
        <w:t>Jūsų gydytojas gali reguliariai ištirti Jūsų inkstų funkciją, kraujospūdį ir elektrolitų kiekį (pvz., kalio) kraujyje.</w:t>
      </w:r>
    </w:p>
    <w:p w14:paraId="6BF48C5D" w14:textId="77777777" w:rsidR="00A80CF8" w:rsidRDefault="00A80CF8" w:rsidP="00A80CF8">
      <w:pPr>
        <w:tabs>
          <w:tab w:val="left" w:pos="0"/>
        </w:tabs>
        <w:autoSpaceDE w:val="0"/>
        <w:autoSpaceDN w:val="0"/>
        <w:adjustRightInd w:val="0"/>
        <w:rPr>
          <w:rFonts w:eastAsia="Calibri"/>
          <w:szCs w:val="22"/>
        </w:rPr>
      </w:pPr>
    </w:p>
    <w:p w14:paraId="1FB9C04C" w14:textId="77777777" w:rsidR="00A80CF8" w:rsidRDefault="00A80CF8" w:rsidP="00A80CF8">
      <w:pPr>
        <w:tabs>
          <w:tab w:val="left" w:pos="0"/>
        </w:tabs>
        <w:autoSpaceDE w:val="0"/>
        <w:autoSpaceDN w:val="0"/>
        <w:adjustRightInd w:val="0"/>
        <w:rPr>
          <w:rFonts w:eastAsia="Calibri"/>
          <w:szCs w:val="22"/>
        </w:rPr>
      </w:pPr>
      <w:r>
        <w:rPr>
          <w:rFonts w:eastAsia="Calibri"/>
          <w:szCs w:val="22"/>
        </w:rPr>
        <w:t>Taip pat žiūrėkite informaciją, pateiktą poskyryje „CONVERIDE vartoti negalima“.</w:t>
      </w:r>
    </w:p>
    <w:p w14:paraId="3412D54A" w14:textId="77777777" w:rsidR="00A80CF8" w:rsidRPr="00D724AC" w:rsidRDefault="00A80CF8" w:rsidP="00A80CF8">
      <w:pPr>
        <w:tabs>
          <w:tab w:val="left" w:pos="0"/>
        </w:tabs>
        <w:autoSpaceDE w:val="0"/>
        <w:autoSpaceDN w:val="0"/>
        <w:adjustRightInd w:val="0"/>
        <w:rPr>
          <w:rFonts w:eastAsia="Calibri"/>
          <w:szCs w:val="22"/>
        </w:rPr>
      </w:pPr>
    </w:p>
    <w:p w14:paraId="518D3BC4" w14:textId="77777777" w:rsidR="00A80CF8" w:rsidRPr="00D724AC" w:rsidRDefault="00A80CF8" w:rsidP="00A80CF8">
      <w:pPr>
        <w:tabs>
          <w:tab w:val="left" w:pos="0"/>
        </w:tabs>
        <w:autoSpaceDE w:val="0"/>
        <w:autoSpaceDN w:val="0"/>
        <w:adjustRightInd w:val="0"/>
        <w:spacing w:line="260" w:lineRule="exact"/>
        <w:rPr>
          <w:snapToGrid w:val="0"/>
          <w:szCs w:val="22"/>
          <w:lang w:eastAsia="en-US"/>
        </w:rPr>
      </w:pPr>
      <w:r w:rsidRPr="00D724AC">
        <w:rPr>
          <w:rFonts w:eastAsia="Calibri"/>
          <w:szCs w:val="22"/>
        </w:rPr>
        <w:t>Jeigu manote, kad esate (</w:t>
      </w:r>
      <w:r w:rsidRPr="00D724AC">
        <w:rPr>
          <w:rFonts w:eastAsia="Calibri"/>
          <w:szCs w:val="22"/>
          <w:u w:val="single"/>
        </w:rPr>
        <w:t>arba galite tapti</w:t>
      </w:r>
      <w:r w:rsidRPr="00D724AC">
        <w:rPr>
          <w:rFonts w:eastAsia="Calibri"/>
          <w:szCs w:val="22"/>
        </w:rPr>
        <w:t>) nėščia, turite apie tai pasakyti savo gydytojui. Ankstyvuoju nėštumo laikotarpiu CONVERIDE vartoti nerekomenduojama. Vartojamas po trečio nėštumo mėnesio šis vaistas gali padaryti didžiulės žalos Jūsų kūdikiui, žr. skyrių „Nėštumas ir žindymo laikotarpis“.</w:t>
      </w:r>
    </w:p>
    <w:p w14:paraId="323ABDC6" w14:textId="77777777" w:rsidR="00A80CF8" w:rsidRPr="00D724AC" w:rsidRDefault="00A80CF8" w:rsidP="00A80CF8">
      <w:pPr>
        <w:autoSpaceDE w:val="0"/>
        <w:autoSpaceDN w:val="0"/>
        <w:adjustRightInd w:val="0"/>
        <w:rPr>
          <w:snapToGrid w:val="0"/>
          <w:szCs w:val="22"/>
          <w:lang w:eastAsia="en-US"/>
        </w:rPr>
      </w:pPr>
    </w:p>
    <w:p w14:paraId="128F1A2B" w14:textId="77777777" w:rsidR="00A80CF8" w:rsidRPr="00D724AC" w:rsidRDefault="00A80CF8" w:rsidP="00A80CF8">
      <w:pPr>
        <w:autoSpaceDE w:val="0"/>
        <w:autoSpaceDN w:val="0"/>
        <w:adjustRightInd w:val="0"/>
        <w:rPr>
          <w:rFonts w:eastAsia="Calibri"/>
          <w:b/>
          <w:bCs/>
          <w:szCs w:val="22"/>
        </w:rPr>
      </w:pPr>
      <w:r w:rsidRPr="00D724AC">
        <w:rPr>
          <w:rFonts w:eastAsia="Calibri"/>
          <w:b/>
          <w:bCs/>
          <w:szCs w:val="22"/>
        </w:rPr>
        <w:t>Informuokite gydytoją:</w:t>
      </w:r>
    </w:p>
    <w:p w14:paraId="16EB90CE" w14:textId="77777777" w:rsidR="00A80CF8" w:rsidRPr="00D724AC" w:rsidRDefault="00A80CF8" w:rsidP="00FD66F2">
      <w:pPr>
        <w:numPr>
          <w:ilvl w:val="0"/>
          <w:numId w:val="8"/>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laikotės dietos, kurioje yra </w:t>
      </w:r>
      <w:r w:rsidRPr="00D724AC">
        <w:rPr>
          <w:rFonts w:eastAsia="Calibri"/>
          <w:b/>
          <w:bCs/>
          <w:szCs w:val="22"/>
        </w:rPr>
        <w:t>mažesnis druskos kiekis</w:t>
      </w:r>
      <w:r w:rsidRPr="00D724AC">
        <w:rPr>
          <w:rFonts w:eastAsia="Calibri"/>
          <w:szCs w:val="22"/>
        </w:rPr>
        <w:t>;</w:t>
      </w:r>
    </w:p>
    <w:p w14:paraId="661EF69E" w14:textId="77777777" w:rsidR="00A80CF8" w:rsidRPr="00D724AC" w:rsidRDefault="00A80CF8" w:rsidP="00FD66F2">
      <w:pPr>
        <w:numPr>
          <w:ilvl w:val="0"/>
          <w:numId w:val="8"/>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atsiranda </w:t>
      </w:r>
      <w:r w:rsidRPr="00D724AC">
        <w:rPr>
          <w:rFonts w:eastAsia="Calibri"/>
          <w:b/>
          <w:bCs/>
          <w:szCs w:val="22"/>
        </w:rPr>
        <w:t xml:space="preserve">didelis troškulys, burnos džiūvimas, silpnumas, mieguistumas, raumenų skausmas ar mėšlungis, pykinimas, vėmimas </w:t>
      </w:r>
      <w:r w:rsidRPr="00D724AC">
        <w:rPr>
          <w:rFonts w:eastAsia="Calibri"/>
          <w:szCs w:val="22"/>
        </w:rPr>
        <w:t xml:space="preserve">ar </w:t>
      </w:r>
      <w:r w:rsidRPr="00D724AC">
        <w:rPr>
          <w:rFonts w:eastAsia="Calibri"/>
          <w:b/>
          <w:bCs/>
          <w:szCs w:val="22"/>
        </w:rPr>
        <w:t>per dažnai pradeda plakti širdis</w:t>
      </w:r>
      <w:r w:rsidRPr="00D724AC">
        <w:rPr>
          <w:rFonts w:eastAsia="Calibri"/>
          <w:szCs w:val="22"/>
        </w:rPr>
        <w:t>, kadangi tokie pokyčiai gali būti per stipraus hidrochlorotiazido (esančio CONVERIDE sudėtyje) poveikio požymis;</w:t>
      </w:r>
    </w:p>
    <w:p w14:paraId="4CE7E5B0" w14:textId="77777777" w:rsidR="00A80CF8" w:rsidRPr="00D724AC" w:rsidRDefault="00A80CF8" w:rsidP="00FD66F2">
      <w:pPr>
        <w:numPr>
          <w:ilvl w:val="0"/>
          <w:numId w:val="8"/>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jeigu Jums pasireiškia padidėjusio </w:t>
      </w:r>
      <w:r w:rsidRPr="00D724AC">
        <w:rPr>
          <w:rFonts w:eastAsia="Calibri"/>
          <w:b/>
          <w:bCs/>
          <w:szCs w:val="22"/>
        </w:rPr>
        <w:t xml:space="preserve">odos jautrumo saulei </w:t>
      </w:r>
      <w:r w:rsidRPr="00D724AC">
        <w:rPr>
          <w:rFonts w:eastAsia="Calibri"/>
          <w:szCs w:val="22"/>
        </w:rPr>
        <w:t>reakcija su greičiau nei įprastai atsirandančiais nudegimo nuo saulės požymiais (pavyzdžiui, paraudimu, niežuliu, patinimu, pūslių susidarymu);</w:t>
      </w:r>
    </w:p>
    <w:p w14:paraId="7763660E" w14:textId="77777777" w:rsidR="00A80CF8" w:rsidRDefault="00A80CF8" w:rsidP="00FD66F2">
      <w:pPr>
        <w:numPr>
          <w:ilvl w:val="0"/>
          <w:numId w:val="8"/>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 xml:space="preserve">jei Jums </w:t>
      </w:r>
      <w:r w:rsidRPr="00D724AC">
        <w:rPr>
          <w:rFonts w:eastAsia="Calibri"/>
          <w:b/>
          <w:bCs/>
          <w:szCs w:val="22"/>
        </w:rPr>
        <w:t xml:space="preserve">planuojama atlikti operaciją </w:t>
      </w:r>
      <w:r w:rsidRPr="00D724AC">
        <w:rPr>
          <w:rFonts w:eastAsia="Calibri"/>
          <w:szCs w:val="22"/>
        </w:rPr>
        <w:t xml:space="preserve">arba </w:t>
      </w:r>
      <w:r w:rsidRPr="00D724AC">
        <w:rPr>
          <w:rFonts w:eastAsia="Calibri"/>
          <w:b/>
          <w:bCs/>
          <w:szCs w:val="22"/>
        </w:rPr>
        <w:t>skirti anestetikų</w:t>
      </w:r>
      <w:r w:rsidRPr="00D724AC">
        <w:rPr>
          <w:rFonts w:eastAsia="Calibri"/>
          <w:szCs w:val="22"/>
        </w:rPr>
        <w:t>;</w:t>
      </w:r>
    </w:p>
    <w:p w14:paraId="3B4F0E1D" w14:textId="77777777" w:rsidR="00A80CF8" w:rsidRPr="00D724AC" w:rsidRDefault="00A80CF8" w:rsidP="00FD66F2">
      <w:pPr>
        <w:numPr>
          <w:ilvl w:val="0"/>
          <w:numId w:val="8"/>
        </w:numPr>
        <w:tabs>
          <w:tab w:val="left" w:pos="567"/>
        </w:tabs>
        <w:autoSpaceDE w:val="0"/>
        <w:autoSpaceDN w:val="0"/>
        <w:adjustRightInd w:val="0"/>
        <w:spacing w:line="260" w:lineRule="exact"/>
        <w:ind w:left="567" w:hanging="567"/>
        <w:rPr>
          <w:rFonts w:eastAsia="Calibri"/>
          <w:szCs w:val="22"/>
        </w:rPr>
      </w:pPr>
      <w:r w:rsidRPr="000B2A25">
        <w:rPr>
          <w:rFonts w:eastAsia="Calibri"/>
          <w:szCs w:val="22"/>
        </w:rPr>
        <w:t xml:space="preserve">jeigu Jums CONVERIDE vartojimo metu </w:t>
      </w:r>
      <w:r w:rsidRPr="000B2A25">
        <w:rPr>
          <w:rFonts w:eastAsia="Calibri"/>
          <w:b/>
          <w:bCs/>
          <w:szCs w:val="22"/>
        </w:rPr>
        <w:t>susilpnėja regėjimas arba atsiranda vienos ar abiejų akių skausmas</w:t>
      </w:r>
      <w:r w:rsidRPr="000B2A25">
        <w:rPr>
          <w:rFonts w:eastAsia="Calibri"/>
          <w:szCs w:val="22"/>
        </w:rPr>
        <w:t>. Šie simptomai gali būti skysčio susikaupimo akies kraujagysliniame dangale (tarp gyslainės ir odenos) arba padidėjusio akispūdžio (glaukomos) požymiai ir gali atsirasti po kelių valandų ar net po savaitės nuo CONVERIDE vartojimo pradžios. Negydoma tokia būklė gali sukelti negrįžtamą apakimą. Jei Jums anksčiau buvo pasireiškusi alergija penicilinui ar sulfonamidams, minėto poveikio atsiradimo rizika yra didesnė. Jūs turite nutraukti CONVERIDE vartojimą ir ieškoti skubios medicininės pagalbos</w:t>
      </w:r>
    </w:p>
    <w:p w14:paraId="62DD3F15" w14:textId="77777777" w:rsidR="00A80CF8" w:rsidRPr="00D724AC" w:rsidRDefault="00A80CF8" w:rsidP="00A80CF8">
      <w:pPr>
        <w:autoSpaceDE w:val="0"/>
        <w:autoSpaceDN w:val="0"/>
        <w:adjustRightInd w:val="0"/>
        <w:rPr>
          <w:snapToGrid w:val="0"/>
          <w:szCs w:val="22"/>
          <w:lang w:eastAsia="en-US"/>
        </w:rPr>
      </w:pPr>
    </w:p>
    <w:p w14:paraId="5CC9EC95" w14:textId="77777777" w:rsidR="00A80CF8" w:rsidRPr="00D724AC" w:rsidRDefault="00A80CF8" w:rsidP="00A80CF8">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Vaikams ir paaugliams</w:t>
      </w:r>
    </w:p>
    <w:p w14:paraId="4985F5CE" w14:textId="77777777" w:rsidR="00A80CF8" w:rsidRPr="00D724AC" w:rsidRDefault="00A80CF8" w:rsidP="00A80CF8">
      <w:pPr>
        <w:tabs>
          <w:tab w:val="left" w:pos="567"/>
        </w:tabs>
        <w:spacing w:line="260" w:lineRule="exact"/>
        <w:rPr>
          <w:snapToGrid w:val="0"/>
          <w:szCs w:val="22"/>
          <w:lang w:eastAsia="x-none"/>
        </w:rPr>
      </w:pPr>
      <w:r w:rsidRPr="00D724AC">
        <w:rPr>
          <w:rFonts w:eastAsia="Calibri"/>
          <w:szCs w:val="22"/>
        </w:rPr>
        <w:t>CONVERIDE draudžiama vartoti vaikams ir paaugliams (jaunesniems kaip 18 metų).</w:t>
      </w:r>
    </w:p>
    <w:p w14:paraId="3333CC55" w14:textId="77777777" w:rsidR="00A80CF8" w:rsidRPr="00D724AC" w:rsidRDefault="00A80CF8" w:rsidP="00A80CF8">
      <w:pPr>
        <w:numPr>
          <w:ilvl w:val="12"/>
          <w:numId w:val="0"/>
        </w:numPr>
        <w:rPr>
          <w:b/>
          <w:snapToGrid w:val="0"/>
          <w:szCs w:val="22"/>
          <w:lang w:eastAsia="en-US"/>
        </w:rPr>
      </w:pPr>
    </w:p>
    <w:p w14:paraId="6532B351" w14:textId="77777777" w:rsidR="00A80CF8" w:rsidRPr="00D724AC" w:rsidRDefault="00A80CF8" w:rsidP="00A80CF8">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Kiti vaistai ir CONVERIDE</w:t>
      </w:r>
    </w:p>
    <w:p w14:paraId="65160D7B" w14:textId="77777777" w:rsidR="00A80CF8" w:rsidRPr="00D724AC" w:rsidRDefault="00A80CF8" w:rsidP="00A80CF8">
      <w:pPr>
        <w:autoSpaceDE w:val="0"/>
        <w:autoSpaceDN w:val="0"/>
        <w:adjustRightInd w:val="0"/>
        <w:rPr>
          <w:rFonts w:eastAsia="Calibri"/>
          <w:szCs w:val="22"/>
        </w:rPr>
      </w:pPr>
      <w:r w:rsidRPr="00D724AC">
        <w:rPr>
          <w:rFonts w:eastAsia="Calibri"/>
          <w:szCs w:val="22"/>
        </w:rPr>
        <w:t>Jeigu vartojate ar neseniai vartojote kitų vaistų arba dėl to nesate tikri, apie tai pasakykite gydytojui arba vaistininkui.</w:t>
      </w:r>
    </w:p>
    <w:p w14:paraId="1A100678" w14:textId="77777777" w:rsidR="00A80CF8" w:rsidRPr="00D724AC" w:rsidRDefault="00A80CF8" w:rsidP="00A80CF8">
      <w:pPr>
        <w:numPr>
          <w:ilvl w:val="12"/>
          <w:numId w:val="0"/>
        </w:numPr>
        <w:ind w:right="-2"/>
        <w:rPr>
          <w:rFonts w:eastAsia="Calibri"/>
          <w:szCs w:val="22"/>
        </w:rPr>
      </w:pPr>
    </w:p>
    <w:p w14:paraId="73D4FAD0" w14:textId="77777777" w:rsidR="00A80CF8" w:rsidRPr="00D724AC" w:rsidRDefault="00A80CF8" w:rsidP="00A80CF8">
      <w:pPr>
        <w:autoSpaceDE w:val="0"/>
        <w:autoSpaceDN w:val="0"/>
        <w:adjustRightInd w:val="0"/>
        <w:rPr>
          <w:rFonts w:eastAsia="Calibri"/>
          <w:szCs w:val="22"/>
        </w:rPr>
      </w:pPr>
      <w:r w:rsidRPr="00D724AC">
        <w:rPr>
          <w:rFonts w:eastAsia="Calibri"/>
          <w:szCs w:val="22"/>
        </w:rPr>
        <w:t>Diuretikai, įskaitant ir CONVERIDE sudėtyje esantį hidrochlorotiazidą, gali daryti įtaką kitų vaistų poveikiui. Jeigu nėra atidžios gydytojo priežiūros, kartu su CONVERIDE negalima vartoti vaistų, kurių sudėtyje yra ličio.</w:t>
      </w:r>
    </w:p>
    <w:p w14:paraId="4CA6F9DE" w14:textId="77777777" w:rsidR="00A80CF8" w:rsidRPr="00D724AC" w:rsidRDefault="00A80CF8" w:rsidP="00A80CF8">
      <w:pPr>
        <w:autoSpaceDE w:val="0"/>
        <w:autoSpaceDN w:val="0"/>
        <w:adjustRightInd w:val="0"/>
        <w:rPr>
          <w:rFonts w:eastAsia="Calibri"/>
          <w:szCs w:val="22"/>
        </w:rPr>
      </w:pPr>
    </w:p>
    <w:p w14:paraId="3CCCA0AD" w14:textId="77777777" w:rsidR="00A80CF8" w:rsidRPr="00D724AC" w:rsidRDefault="00A80CF8" w:rsidP="00A80CF8">
      <w:pPr>
        <w:autoSpaceDE w:val="0"/>
        <w:autoSpaceDN w:val="0"/>
        <w:adjustRightInd w:val="0"/>
        <w:rPr>
          <w:rFonts w:eastAsia="Calibri"/>
          <w:szCs w:val="22"/>
        </w:rPr>
      </w:pPr>
      <w:r w:rsidRPr="00D724AC">
        <w:rPr>
          <w:rFonts w:eastAsia="Calibri"/>
          <w:szCs w:val="22"/>
        </w:rPr>
        <w:t>Jūsų gydytojui gali prireikti keisti vaisto dozę ir (arba) imtis kitų atsargumo priemonių:</w:t>
      </w:r>
    </w:p>
    <w:p w14:paraId="113CDD53" w14:textId="77777777" w:rsidR="00A80CF8" w:rsidRPr="00D724AC" w:rsidRDefault="00A80CF8" w:rsidP="00FD66F2">
      <w:pPr>
        <w:numPr>
          <w:ilvl w:val="0"/>
          <w:numId w:val="3"/>
        </w:numPr>
        <w:ind w:left="284" w:hanging="284"/>
        <w:rPr>
          <w:szCs w:val="22"/>
        </w:rPr>
      </w:pPr>
      <w:r w:rsidRPr="00D724AC">
        <w:rPr>
          <w:szCs w:val="22"/>
        </w:rPr>
        <w:t xml:space="preserve">jeigu </w:t>
      </w:r>
      <w:r w:rsidRPr="00D724AC">
        <w:rPr>
          <w:iCs/>
          <w:szCs w:val="22"/>
        </w:rPr>
        <w:t xml:space="preserve">vartojate AKF inhibitorių arba aliskireną </w:t>
      </w:r>
      <w:r w:rsidRPr="00D724AC">
        <w:rPr>
          <w:szCs w:val="22"/>
        </w:rPr>
        <w:t>(taip pat žiūrėkite informaciją, pateiktą poskyriuose „</w:t>
      </w:r>
      <w:r w:rsidRPr="00D724AC">
        <w:rPr>
          <w:rFonts w:eastAsia="Calibri"/>
          <w:szCs w:val="22"/>
        </w:rPr>
        <w:t>CONVERIDE</w:t>
      </w:r>
      <w:r w:rsidRPr="00D724AC">
        <w:rPr>
          <w:szCs w:val="22"/>
        </w:rPr>
        <w:t xml:space="preserve"> vartoti negalima“ ir „Įspėjimai ir atsargumo priemonės“).</w:t>
      </w:r>
    </w:p>
    <w:p w14:paraId="67036FC6" w14:textId="77777777" w:rsidR="00A80CF8" w:rsidRPr="00D724AC" w:rsidRDefault="00A80CF8" w:rsidP="00A80CF8">
      <w:pPr>
        <w:autoSpaceDE w:val="0"/>
        <w:autoSpaceDN w:val="0"/>
        <w:adjustRightInd w:val="0"/>
        <w:rPr>
          <w:rFonts w:eastAsia="Calibri"/>
          <w:szCs w:val="22"/>
        </w:rPr>
      </w:pPr>
    </w:p>
    <w:p w14:paraId="09E3E8BB" w14:textId="77777777" w:rsidR="00A80CF8" w:rsidRPr="00D724AC" w:rsidRDefault="00A80CF8" w:rsidP="00A80CF8">
      <w:pPr>
        <w:autoSpaceDE w:val="0"/>
        <w:autoSpaceDN w:val="0"/>
        <w:adjustRightInd w:val="0"/>
        <w:rPr>
          <w:rFonts w:eastAsia="Calibri"/>
          <w:b/>
          <w:bCs/>
          <w:szCs w:val="22"/>
        </w:rPr>
      </w:pPr>
      <w:r w:rsidRPr="00D724AC">
        <w:rPr>
          <w:rFonts w:eastAsia="Calibri"/>
          <w:b/>
          <w:bCs/>
          <w:szCs w:val="22"/>
        </w:rPr>
        <w:t>Jums gali reikėti atlikti kraujo tyrimus, jeigu vartojate:</w:t>
      </w:r>
    </w:p>
    <w:p w14:paraId="076413B2" w14:textId="77777777" w:rsidR="00A80CF8" w:rsidRPr="00D724AC" w:rsidRDefault="00A80CF8" w:rsidP="00FD66F2">
      <w:pPr>
        <w:numPr>
          <w:ilvl w:val="0"/>
          <w:numId w:val="10"/>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kalio turinčių maisto papildų;</w:t>
      </w:r>
    </w:p>
    <w:p w14:paraId="25544B43" w14:textId="77777777" w:rsidR="00A80CF8" w:rsidRPr="00D724AC" w:rsidRDefault="00A80CF8" w:rsidP="00FD66F2">
      <w:pPr>
        <w:numPr>
          <w:ilvl w:val="0"/>
          <w:numId w:val="10"/>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druskų papildų, kuriuose yra kalio;</w:t>
      </w:r>
    </w:p>
    <w:p w14:paraId="2DD81AA3" w14:textId="77777777" w:rsidR="00A80CF8" w:rsidRPr="00D724AC" w:rsidRDefault="00A80CF8" w:rsidP="00FD66F2">
      <w:pPr>
        <w:numPr>
          <w:ilvl w:val="0"/>
          <w:numId w:val="10"/>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kalį organizme sulaikančių vaistų ar kitokių diuretikų (šlapimą varančių vaistų);</w:t>
      </w:r>
    </w:p>
    <w:p w14:paraId="5682BC20" w14:textId="77777777" w:rsidR="00A80CF8" w:rsidRPr="00D724AC" w:rsidRDefault="00A80CF8" w:rsidP="00FD66F2">
      <w:pPr>
        <w:numPr>
          <w:ilvl w:val="0"/>
          <w:numId w:val="10"/>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kai kurių vidurių laisvinamųjų vaistų;</w:t>
      </w:r>
    </w:p>
    <w:p w14:paraId="7077FA74" w14:textId="77777777" w:rsidR="00A80CF8" w:rsidRPr="00D724AC" w:rsidRDefault="00A80CF8" w:rsidP="00FD66F2">
      <w:pPr>
        <w:numPr>
          <w:ilvl w:val="0"/>
          <w:numId w:val="10"/>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vaistų nuo podagros;</w:t>
      </w:r>
    </w:p>
    <w:p w14:paraId="45D02462" w14:textId="77777777" w:rsidR="00A80CF8" w:rsidRPr="00D724AC" w:rsidRDefault="00A80CF8" w:rsidP="00FD66F2">
      <w:pPr>
        <w:numPr>
          <w:ilvl w:val="0"/>
          <w:numId w:val="10"/>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gydomojo poveikio vitamino D papildų;</w:t>
      </w:r>
    </w:p>
    <w:p w14:paraId="5D10A156" w14:textId="77777777" w:rsidR="00A80CF8" w:rsidRPr="00D724AC" w:rsidRDefault="00A80CF8" w:rsidP="00FD66F2">
      <w:pPr>
        <w:numPr>
          <w:ilvl w:val="0"/>
          <w:numId w:val="10"/>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širdies ritmą reguliuojančių vaistų;</w:t>
      </w:r>
    </w:p>
    <w:p w14:paraId="620A42FF" w14:textId="77777777" w:rsidR="00A80CF8" w:rsidRPr="00D724AC" w:rsidRDefault="00A80CF8" w:rsidP="00FD66F2">
      <w:pPr>
        <w:numPr>
          <w:ilvl w:val="0"/>
          <w:numId w:val="10"/>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vaistų nuo diabeto (geriamųjų</w:t>
      </w:r>
      <w:r>
        <w:rPr>
          <w:rFonts w:eastAsia="Calibri"/>
          <w:szCs w:val="22"/>
        </w:rPr>
        <w:t>, tokių kaip repaglinidas,</w:t>
      </w:r>
      <w:r w:rsidRPr="00D724AC">
        <w:rPr>
          <w:rFonts w:eastAsia="Calibri"/>
          <w:szCs w:val="22"/>
        </w:rPr>
        <w:t xml:space="preserve"> ar insulino);</w:t>
      </w:r>
    </w:p>
    <w:p w14:paraId="3EB919E9" w14:textId="77777777" w:rsidR="00A80CF8" w:rsidRPr="00D724AC" w:rsidRDefault="00A80CF8" w:rsidP="00FD66F2">
      <w:pPr>
        <w:numPr>
          <w:ilvl w:val="0"/>
          <w:numId w:val="10"/>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karbamazepino (epilepsijai gydyti vartojamo vaisto).</w:t>
      </w:r>
    </w:p>
    <w:p w14:paraId="5E23E159" w14:textId="77777777" w:rsidR="00A80CF8" w:rsidRPr="00D724AC" w:rsidRDefault="00A80CF8" w:rsidP="00A80CF8">
      <w:pPr>
        <w:autoSpaceDE w:val="0"/>
        <w:autoSpaceDN w:val="0"/>
        <w:adjustRightInd w:val="0"/>
        <w:rPr>
          <w:rFonts w:eastAsia="Calibri"/>
          <w:szCs w:val="22"/>
        </w:rPr>
      </w:pPr>
    </w:p>
    <w:p w14:paraId="21890E24" w14:textId="77777777" w:rsidR="00A80CF8" w:rsidRPr="00D724AC" w:rsidRDefault="00A80CF8" w:rsidP="00A80CF8">
      <w:pPr>
        <w:autoSpaceDE w:val="0"/>
        <w:autoSpaceDN w:val="0"/>
        <w:adjustRightInd w:val="0"/>
        <w:rPr>
          <w:rFonts w:eastAsia="Calibri"/>
          <w:szCs w:val="22"/>
        </w:rPr>
      </w:pPr>
      <w:r w:rsidRPr="00D724AC">
        <w:rPr>
          <w:rFonts w:eastAsia="Calibri"/>
          <w:szCs w:val="22"/>
        </w:rPr>
        <w:t>Taip pat svarbu pasakyti savo gydytojui, jeigu vartojate kitokių kraujospūdį mažinančių</w:t>
      </w:r>
    </w:p>
    <w:p w14:paraId="21F049C1" w14:textId="77777777" w:rsidR="00A80CF8" w:rsidRPr="00D724AC" w:rsidRDefault="00A80CF8" w:rsidP="00A80CF8">
      <w:pPr>
        <w:autoSpaceDE w:val="0"/>
        <w:autoSpaceDN w:val="0"/>
        <w:adjustRightInd w:val="0"/>
        <w:rPr>
          <w:rFonts w:eastAsia="Calibri"/>
          <w:szCs w:val="22"/>
        </w:rPr>
      </w:pPr>
      <w:r w:rsidRPr="00D724AC">
        <w:rPr>
          <w:rFonts w:eastAsia="Calibri"/>
          <w:szCs w:val="22"/>
        </w:rPr>
        <w:t>preparatų, steroidų, vaistų nuo vėžio, skausmo, artrito, arba kolestiramino bei kolestipolio dervų</w:t>
      </w:r>
    </w:p>
    <w:p w14:paraId="1A4A4051" w14:textId="77777777" w:rsidR="00A80CF8" w:rsidRPr="00D724AC" w:rsidRDefault="00A80CF8" w:rsidP="00A80CF8">
      <w:pPr>
        <w:autoSpaceDE w:val="0"/>
        <w:autoSpaceDN w:val="0"/>
        <w:adjustRightInd w:val="0"/>
        <w:rPr>
          <w:rFonts w:eastAsia="Calibri"/>
          <w:szCs w:val="22"/>
        </w:rPr>
      </w:pPr>
      <w:r w:rsidRPr="00D724AC">
        <w:rPr>
          <w:rFonts w:eastAsia="Calibri"/>
          <w:szCs w:val="22"/>
        </w:rPr>
        <w:t>cholesterolio kiekiui kraujyje mažinti.</w:t>
      </w:r>
    </w:p>
    <w:p w14:paraId="2D9216AE" w14:textId="77777777" w:rsidR="00A80CF8" w:rsidRPr="00D724AC" w:rsidRDefault="00A80CF8" w:rsidP="00A80CF8">
      <w:pPr>
        <w:numPr>
          <w:ilvl w:val="12"/>
          <w:numId w:val="0"/>
        </w:numPr>
        <w:ind w:right="-2"/>
        <w:rPr>
          <w:snapToGrid w:val="0"/>
          <w:szCs w:val="22"/>
          <w:lang w:eastAsia="en-US"/>
        </w:rPr>
      </w:pPr>
    </w:p>
    <w:p w14:paraId="587CCDFA" w14:textId="77777777" w:rsidR="00A80CF8" w:rsidRDefault="00A80CF8" w:rsidP="00A80CF8">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CONVERIDE vartojimas su maistu ir alkoholiu</w:t>
      </w:r>
    </w:p>
    <w:p w14:paraId="46F6D593" w14:textId="77777777" w:rsidR="00A80CF8" w:rsidRPr="00BB4267" w:rsidRDefault="00A80CF8" w:rsidP="00A80CF8">
      <w:pPr>
        <w:keepNext/>
        <w:tabs>
          <w:tab w:val="left" w:pos="567"/>
        </w:tabs>
        <w:spacing w:line="260" w:lineRule="exact"/>
        <w:jc w:val="both"/>
        <w:outlineLvl w:val="3"/>
        <w:rPr>
          <w:bCs/>
          <w:snapToGrid w:val="0"/>
          <w:szCs w:val="22"/>
          <w:lang w:eastAsia="x-none"/>
        </w:rPr>
      </w:pPr>
      <w:r w:rsidRPr="00BB4267">
        <w:rPr>
          <w:bCs/>
          <w:snapToGrid w:val="0"/>
          <w:szCs w:val="22"/>
          <w:lang w:eastAsia="x-none"/>
        </w:rPr>
        <w:t xml:space="preserve">CONVERIDE galima vartoti valgio metu arba nevalgius. </w:t>
      </w:r>
    </w:p>
    <w:p w14:paraId="066C3582" w14:textId="77777777" w:rsidR="00A80CF8" w:rsidRPr="00D724AC" w:rsidRDefault="00A80CF8" w:rsidP="00A80CF8">
      <w:pPr>
        <w:autoSpaceDE w:val="0"/>
        <w:autoSpaceDN w:val="0"/>
        <w:adjustRightInd w:val="0"/>
        <w:rPr>
          <w:rFonts w:eastAsia="Calibri"/>
          <w:szCs w:val="22"/>
        </w:rPr>
      </w:pPr>
      <w:r w:rsidRPr="00D724AC">
        <w:rPr>
          <w:rFonts w:eastAsia="Calibri"/>
          <w:szCs w:val="22"/>
        </w:rPr>
        <w:t>Jei gydydamiesi šiuo vaistu kartu vartojate alkoholio, dėl CONVERIDE sudėtyje esančio hidrochlorotiazido poveikio gali sustiprėti galvos svaigimo pojūtis stovint, ypač stojantis iš sėdimos padėties.</w:t>
      </w:r>
    </w:p>
    <w:p w14:paraId="004D6C2F" w14:textId="77777777" w:rsidR="00A80CF8" w:rsidRPr="00D724AC" w:rsidRDefault="00A80CF8" w:rsidP="00A80CF8">
      <w:pPr>
        <w:numPr>
          <w:ilvl w:val="12"/>
          <w:numId w:val="0"/>
        </w:numPr>
        <w:rPr>
          <w:snapToGrid w:val="0"/>
          <w:szCs w:val="22"/>
          <w:lang w:eastAsia="en-US"/>
        </w:rPr>
      </w:pPr>
    </w:p>
    <w:p w14:paraId="353C0424" w14:textId="77777777" w:rsidR="00A80CF8" w:rsidRPr="00D724AC" w:rsidRDefault="00A80CF8" w:rsidP="00A80CF8">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Nėštumas ir žindymo laikotarpis</w:t>
      </w:r>
    </w:p>
    <w:p w14:paraId="5A77B457" w14:textId="77777777" w:rsidR="00A80CF8" w:rsidRPr="00D724AC" w:rsidRDefault="00A80CF8" w:rsidP="00A80CF8">
      <w:pPr>
        <w:numPr>
          <w:ilvl w:val="12"/>
          <w:numId w:val="0"/>
        </w:numPr>
        <w:rPr>
          <w:snapToGrid w:val="0"/>
          <w:szCs w:val="22"/>
          <w:lang w:eastAsia="en-US"/>
        </w:rPr>
      </w:pPr>
      <w:r w:rsidRPr="00D724AC">
        <w:rPr>
          <w:snapToGrid w:val="0"/>
          <w:szCs w:val="22"/>
          <w:lang w:eastAsia="en-US"/>
        </w:rPr>
        <w:t xml:space="preserve">Jeigu esate nėščia, žindote kūdikį, manote, kad galbūt esate nėščia, </w:t>
      </w:r>
      <w:r w:rsidRPr="00D724AC">
        <w:rPr>
          <w:snapToGrid w:val="0"/>
          <w:szCs w:val="22"/>
          <w:u w:val="single"/>
          <w:lang w:eastAsia="en-US"/>
        </w:rPr>
        <w:t>arba planuojate pastoti</w:t>
      </w:r>
      <w:r w:rsidRPr="00D724AC">
        <w:rPr>
          <w:snapToGrid w:val="0"/>
          <w:szCs w:val="22"/>
          <w:lang w:eastAsia="en-US"/>
        </w:rPr>
        <w:t>, tai prieš vartodama šį vaistą, pasitarkite su gydytoju arba vaistininku.</w:t>
      </w:r>
    </w:p>
    <w:p w14:paraId="3D4E5EF9" w14:textId="77777777" w:rsidR="00A80CF8" w:rsidRPr="00D724AC" w:rsidRDefault="00A80CF8" w:rsidP="00A80CF8">
      <w:pPr>
        <w:numPr>
          <w:ilvl w:val="12"/>
          <w:numId w:val="0"/>
        </w:numPr>
        <w:rPr>
          <w:snapToGrid w:val="0"/>
          <w:szCs w:val="22"/>
          <w:lang w:eastAsia="en-US"/>
        </w:rPr>
      </w:pPr>
    </w:p>
    <w:p w14:paraId="029E497B" w14:textId="77777777" w:rsidR="00A80CF8" w:rsidRPr="00D724AC" w:rsidRDefault="00A80CF8" w:rsidP="00A80CF8">
      <w:pPr>
        <w:numPr>
          <w:ilvl w:val="12"/>
          <w:numId w:val="0"/>
        </w:numPr>
        <w:rPr>
          <w:b/>
          <w:snapToGrid w:val="0"/>
          <w:szCs w:val="22"/>
          <w:lang w:eastAsia="en-US"/>
        </w:rPr>
      </w:pPr>
      <w:r w:rsidRPr="00D724AC">
        <w:rPr>
          <w:b/>
          <w:snapToGrid w:val="0"/>
          <w:szCs w:val="22"/>
          <w:lang w:eastAsia="en-US"/>
        </w:rPr>
        <w:t>Nėštumas</w:t>
      </w:r>
    </w:p>
    <w:p w14:paraId="0D75B10E" w14:textId="77777777" w:rsidR="00A80CF8" w:rsidRDefault="00A80CF8" w:rsidP="00A80CF8">
      <w:pPr>
        <w:autoSpaceDE w:val="0"/>
        <w:autoSpaceDN w:val="0"/>
        <w:adjustRightInd w:val="0"/>
        <w:rPr>
          <w:szCs w:val="22"/>
        </w:rPr>
      </w:pPr>
      <w:r>
        <w:rPr>
          <w:szCs w:val="22"/>
        </w:rPr>
        <w:t>Jeigu esate nėščia (</w:t>
      </w:r>
      <w:r w:rsidRPr="00C33B82">
        <w:rPr>
          <w:szCs w:val="22"/>
          <w:u w:val="single"/>
        </w:rPr>
        <w:t>manote, kad galbūt esate nėščia</w:t>
      </w:r>
      <w:r>
        <w:rPr>
          <w:szCs w:val="22"/>
        </w:rPr>
        <w:t xml:space="preserve">), pasakykite gydytojui. </w:t>
      </w:r>
    </w:p>
    <w:p w14:paraId="7716107F" w14:textId="77777777" w:rsidR="00A80CF8" w:rsidRPr="00D724AC" w:rsidRDefault="00A80CF8" w:rsidP="00A80CF8">
      <w:pPr>
        <w:autoSpaceDE w:val="0"/>
        <w:autoSpaceDN w:val="0"/>
        <w:adjustRightInd w:val="0"/>
        <w:rPr>
          <w:rFonts w:eastAsia="Calibri"/>
          <w:szCs w:val="22"/>
        </w:rPr>
      </w:pPr>
      <w:r w:rsidRPr="00D724AC">
        <w:rPr>
          <w:rFonts w:eastAsia="Calibri"/>
          <w:szCs w:val="22"/>
        </w:rPr>
        <w:t>Jūsų gydytojas lieps Jums nebevartoti vaisto prieš planuojant pastojimą arba iš karto sužinojus apie nėštumą, ir paskirs kitą vaistinį preparatą vietoje CONVERIDE. CONVERIDE yra nerekomenduojamas nėštumo laikotarpiu ir negali būti vartojamas, jei esate daugiau kaip tris mėnesius nėščia, nes tuomet jis gali labai pakenkti Jūsų kūdikiui.</w:t>
      </w:r>
    </w:p>
    <w:p w14:paraId="2483C1A3" w14:textId="77777777" w:rsidR="00A80CF8" w:rsidRPr="00D724AC" w:rsidRDefault="00A80CF8" w:rsidP="00A80CF8">
      <w:pPr>
        <w:autoSpaceDE w:val="0"/>
        <w:autoSpaceDN w:val="0"/>
        <w:adjustRightInd w:val="0"/>
        <w:rPr>
          <w:rFonts w:eastAsia="Calibri"/>
          <w:szCs w:val="22"/>
        </w:rPr>
      </w:pPr>
    </w:p>
    <w:p w14:paraId="6DA85A76" w14:textId="77777777" w:rsidR="00A80CF8" w:rsidRPr="00D724AC" w:rsidRDefault="00A80CF8" w:rsidP="00A80CF8">
      <w:pPr>
        <w:autoSpaceDE w:val="0"/>
        <w:autoSpaceDN w:val="0"/>
        <w:adjustRightInd w:val="0"/>
        <w:rPr>
          <w:b/>
          <w:snapToGrid w:val="0"/>
          <w:szCs w:val="22"/>
          <w:lang w:eastAsia="en-US"/>
        </w:rPr>
      </w:pPr>
      <w:r w:rsidRPr="00D724AC">
        <w:rPr>
          <w:b/>
          <w:snapToGrid w:val="0"/>
          <w:szCs w:val="22"/>
          <w:lang w:eastAsia="en-US"/>
        </w:rPr>
        <w:t>Žindymo laikotarpis</w:t>
      </w:r>
    </w:p>
    <w:p w14:paraId="6EA34F4F" w14:textId="77777777" w:rsidR="00A80CF8" w:rsidRPr="00D724AC" w:rsidRDefault="00A80CF8" w:rsidP="00A80CF8">
      <w:pPr>
        <w:autoSpaceDE w:val="0"/>
        <w:autoSpaceDN w:val="0"/>
        <w:adjustRightInd w:val="0"/>
        <w:rPr>
          <w:snapToGrid w:val="0"/>
          <w:szCs w:val="22"/>
          <w:lang w:eastAsia="en-US"/>
        </w:rPr>
      </w:pPr>
      <w:r w:rsidRPr="00DD102C">
        <w:rPr>
          <w:rFonts w:eastAsia="Calibri"/>
          <w:szCs w:val="22"/>
        </w:rPr>
        <w:t>Pasakykite savo gydytojui, jei maitinate krūtimi ar ruošiatės pradėti tai daryti.</w:t>
      </w:r>
      <w:r>
        <w:rPr>
          <w:rFonts w:eastAsia="Calibri"/>
          <w:szCs w:val="22"/>
        </w:rPr>
        <w:t xml:space="preserve"> </w:t>
      </w:r>
      <w:r w:rsidRPr="00D724AC">
        <w:rPr>
          <w:rFonts w:eastAsia="Calibri"/>
          <w:szCs w:val="22"/>
        </w:rPr>
        <w:t>CONVERIDE nerekomenduojamas krūtimi maitinančioms motinoms; jei motina nori maitinti krūtimi, gydytojas gali paskirti kitą vaistą, ypač jei naujagimis gimė prieš laiką.</w:t>
      </w:r>
    </w:p>
    <w:p w14:paraId="0A268004" w14:textId="77777777" w:rsidR="00A80CF8" w:rsidRPr="00D724AC" w:rsidRDefault="00A80CF8" w:rsidP="00A80CF8">
      <w:pPr>
        <w:autoSpaceDE w:val="0"/>
        <w:autoSpaceDN w:val="0"/>
        <w:adjustRightInd w:val="0"/>
        <w:rPr>
          <w:snapToGrid w:val="0"/>
          <w:szCs w:val="22"/>
          <w:lang w:eastAsia="en-US"/>
        </w:rPr>
      </w:pPr>
    </w:p>
    <w:p w14:paraId="0209C5BD" w14:textId="77777777" w:rsidR="00A80CF8" w:rsidRPr="00D724AC" w:rsidRDefault="00A80CF8" w:rsidP="00A80CF8">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Vairavimas ir mechanizmų valdymas</w:t>
      </w:r>
    </w:p>
    <w:p w14:paraId="4BF3A48C" w14:textId="77777777" w:rsidR="00A80CF8" w:rsidRPr="00D724AC" w:rsidRDefault="00A80CF8" w:rsidP="00A80CF8">
      <w:pPr>
        <w:autoSpaceDE w:val="0"/>
        <w:autoSpaceDN w:val="0"/>
        <w:adjustRightInd w:val="0"/>
        <w:rPr>
          <w:rFonts w:eastAsia="Calibri"/>
          <w:szCs w:val="22"/>
        </w:rPr>
      </w:pPr>
      <w:r>
        <w:rPr>
          <w:rFonts w:eastAsia="Calibri"/>
          <w:szCs w:val="22"/>
        </w:rPr>
        <w:t>CONVERIDE</w:t>
      </w:r>
      <w:r w:rsidRPr="00DD102C">
        <w:rPr>
          <w:rFonts w:eastAsia="Calibri"/>
          <w:szCs w:val="22"/>
        </w:rPr>
        <w:t xml:space="preserve"> neturėtų trikdyti gebėjimo vairuoti ir valdyti mechanizmus. Tačiau, gydant aukšto kraujospūdžio ligą, retkarčiais galimas galvos svaigimas ar nuovargis. Jeigu toks poveikis atsiranda, prieš nuspręsdami vairuoti ar valdyti mechanizmus, pasitarkite su gydytoju.</w:t>
      </w:r>
    </w:p>
    <w:p w14:paraId="5CFC743D" w14:textId="77777777" w:rsidR="00A80CF8" w:rsidRPr="00D724AC" w:rsidRDefault="00A80CF8" w:rsidP="00A80CF8">
      <w:pPr>
        <w:autoSpaceDE w:val="0"/>
        <w:autoSpaceDN w:val="0"/>
        <w:adjustRightInd w:val="0"/>
        <w:rPr>
          <w:rFonts w:eastAsia="Calibri"/>
          <w:szCs w:val="22"/>
        </w:rPr>
      </w:pPr>
    </w:p>
    <w:p w14:paraId="5C042FC9" w14:textId="77777777" w:rsidR="00A80CF8" w:rsidRDefault="00A80CF8" w:rsidP="00A80CF8">
      <w:pPr>
        <w:autoSpaceDE w:val="0"/>
        <w:autoSpaceDN w:val="0"/>
        <w:adjustRightInd w:val="0"/>
        <w:rPr>
          <w:rFonts w:eastAsia="Calibri"/>
          <w:b/>
          <w:bCs/>
          <w:szCs w:val="22"/>
        </w:rPr>
      </w:pPr>
      <w:r w:rsidRPr="00D724AC">
        <w:rPr>
          <w:rFonts w:eastAsia="Calibri"/>
          <w:b/>
          <w:bCs/>
          <w:szCs w:val="22"/>
        </w:rPr>
        <w:t>CONVERIDE sudėtyje yra laktozės</w:t>
      </w:r>
    </w:p>
    <w:p w14:paraId="27AA13E1" w14:textId="77777777" w:rsidR="00A80CF8" w:rsidRPr="00D724AC" w:rsidRDefault="00A80CF8" w:rsidP="00A80CF8">
      <w:pPr>
        <w:autoSpaceDE w:val="0"/>
        <w:autoSpaceDN w:val="0"/>
        <w:adjustRightInd w:val="0"/>
        <w:rPr>
          <w:snapToGrid w:val="0"/>
          <w:szCs w:val="22"/>
          <w:lang w:eastAsia="en-US"/>
        </w:rPr>
      </w:pPr>
      <w:r w:rsidRPr="00D724AC">
        <w:rPr>
          <w:rFonts w:eastAsia="Calibri"/>
          <w:szCs w:val="22"/>
        </w:rPr>
        <w:lastRenderedPageBreak/>
        <w:t xml:space="preserve">Jei gydytojas Jums yra sakęs, kad netoleruojate </w:t>
      </w:r>
      <w:r>
        <w:rPr>
          <w:rFonts w:eastAsia="Calibri"/>
          <w:szCs w:val="22"/>
        </w:rPr>
        <w:t>kokių nors</w:t>
      </w:r>
      <w:r w:rsidRPr="00D724AC">
        <w:rPr>
          <w:rFonts w:eastAsia="Calibri"/>
          <w:szCs w:val="22"/>
        </w:rPr>
        <w:t xml:space="preserve"> angliavandenių (pvz., laktozės), </w:t>
      </w:r>
      <w:r>
        <w:rPr>
          <w:rFonts w:eastAsia="Calibri"/>
          <w:szCs w:val="22"/>
        </w:rPr>
        <w:t xml:space="preserve">kreipkitės į jį </w:t>
      </w:r>
      <w:r w:rsidRPr="00D724AC">
        <w:rPr>
          <w:rFonts w:eastAsia="Calibri"/>
          <w:szCs w:val="22"/>
        </w:rPr>
        <w:t>prieš pradėdami vartoti šį vaistą.</w:t>
      </w:r>
    </w:p>
    <w:p w14:paraId="42C95AC2" w14:textId="77777777" w:rsidR="00A80CF8" w:rsidRDefault="00A80CF8" w:rsidP="00A80CF8">
      <w:pPr>
        <w:numPr>
          <w:ilvl w:val="12"/>
          <w:numId w:val="0"/>
        </w:numPr>
        <w:ind w:right="-2"/>
        <w:rPr>
          <w:snapToGrid w:val="0"/>
          <w:szCs w:val="22"/>
          <w:lang w:eastAsia="en-US"/>
        </w:rPr>
      </w:pPr>
    </w:p>
    <w:p w14:paraId="41AB8AE9" w14:textId="77777777" w:rsidR="00A80CF8" w:rsidRPr="00AA023A" w:rsidRDefault="00A80CF8" w:rsidP="00A80CF8">
      <w:pPr>
        <w:autoSpaceDE w:val="0"/>
        <w:autoSpaceDN w:val="0"/>
        <w:adjustRightInd w:val="0"/>
        <w:rPr>
          <w:snapToGrid w:val="0"/>
          <w:szCs w:val="22"/>
          <w:lang w:eastAsia="en-US"/>
        </w:rPr>
      </w:pPr>
      <w:r>
        <w:rPr>
          <w:rFonts w:eastAsia="Calibri"/>
          <w:szCs w:val="22"/>
        </w:rPr>
        <w:t>Šio vaisto tabletėje yra mažiau kaip 1 mmol (23 mg) natrio, t. y. jis beveik neturi reikšmės.</w:t>
      </w:r>
    </w:p>
    <w:p w14:paraId="6CFCDC97" w14:textId="77777777" w:rsidR="00A80CF8" w:rsidRPr="00D724AC" w:rsidRDefault="00A80CF8" w:rsidP="00A80CF8">
      <w:pPr>
        <w:numPr>
          <w:ilvl w:val="12"/>
          <w:numId w:val="0"/>
        </w:numPr>
        <w:ind w:right="-2"/>
        <w:rPr>
          <w:snapToGrid w:val="0"/>
          <w:szCs w:val="22"/>
          <w:lang w:eastAsia="en-US"/>
        </w:rPr>
      </w:pPr>
    </w:p>
    <w:p w14:paraId="3BA785CA" w14:textId="77777777" w:rsidR="00A80CF8" w:rsidRPr="00D724AC" w:rsidRDefault="00A80CF8" w:rsidP="00A80CF8">
      <w:pPr>
        <w:numPr>
          <w:ilvl w:val="12"/>
          <w:numId w:val="0"/>
        </w:numPr>
        <w:ind w:right="-2"/>
        <w:rPr>
          <w:snapToGrid w:val="0"/>
          <w:szCs w:val="22"/>
          <w:lang w:eastAsia="en-US"/>
        </w:rPr>
      </w:pPr>
    </w:p>
    <w:p w14:paraId="24C476D1" w14:textId="77777777" w:rsidR="00A80CF8" w:rsidRPr="00D724AC" w:rsidRDefault="00A80CF8" w:rsidP="00A80CF8">
      <w:pPr>
        <w:keepNext/>
        <w:keepLines/>
        <w:tabs>
          <w:tab w:val="left" w:pos="567"/>
        </w:tabs>
        <w:outlineLvl w:val="2"/>
        <w:rPr>
          <w:b/>
          <w:bCs/>
          <w:snapToGrid w:val="0"/>
          <w:szCs w:val="22"/>
          <w:lang w:eastAsia="x-none"/>
        </w:rPr>
      </w:pPr>
      <w:r w:rsidRPr="00D724AC">
        <w:rPr>
          <w:b/>
          <w:bCs/>
          <w:snapToGrid w:val="0"/>
          <w:szCs w:val="22"/>
          <w:lang w:eastAsia="x-none"/>
        </w:rPr>
        <w:t>3.</w:t>
      </w:r>
      <w:r w:rsidRPr="00D724AC">
        <w:rPr>
          <w:b/>
          <w:bCs/>
          <w:snapToGrid w:val="0"/>
          <w:szCs w:val="22"/>
          <w:lang w:eastAsia="x-none"/>
        </w:rPr>
        <w:tab/>
        <w:t>Kaip vartoti CONVERIDE</w:t>
      </w:r>
    </w:p>
    <w:p w14:paraId="200F0100" w14:textId="77777777" w:rsidR="00A80CF8" w:rsidRPr="00D724AC" w:rsidRDefault="00A80CF8" w:rsidP="00A80CF8">
      <w:pPr>
        <w:numPr>
          <w:ilvl w:val="12"/>
          <w:numId w:val="0"/>
        </w:numPr>
        <w:ind w:right="-2"/>
        <w:rPr>
          <w:snapToGrid w:val="0"/>
          <w:szCs w:val="22"/>
          <w:lang w:eastAsia="en-US"/>
        </w:rPr>
      </w:pPr>
    </w:p>
    <w:p w14:paraId="7AA62501" w14:textId="77777777" w:rsidR="00A80CF8" w:rsidRPr="00D724AC" w:rsidRDefault="00A80CF8" w:rsidP="00A80CF8">
      <w:pPr>
        <w:autoSpaceDE w:val="0"/>
        <w:autoSpaceDN w:val="0"/>
        <w:adjustRightInd w:val="0"/>
        <w:rPr>
          <w:rFonts w:eastAsia="Calibri"/>
          <w:szCs w:val="22"/>
        </w:rPr>
      </w:pPr>
      <w:r w:rsidRPr="00D724AC">
        <w:rPr>
          <w:rFonts w:eastAsia="Calibri"/>
          <w:szCs w:val="22"/>
        </w:rPr>
        <w:t>Visada vartokite šį vaistą tiksliai kaip nurodė gydytojas. Jeigu abejojate, kreipkitės į gydytoją arba vaistininką.</w:t>
      </w:r>
    </w:p>
    <w:p w14:paraId="52E6868E" w14:textId="77777777" w:rsidR="00A80CF8" w:rsidRPr="00D724AC" w:rsidRDefault="00A80CF8" w:rsidP="00A80CF8">
      <w:pPr>
        <w:autoSpaceDE w:val="0"/>
        <w:autoSpaceDN w:val="0"/>
        <w:adjustRightInd w:val="0"/>
        <w:rPr>
          <w:rFonts w:eastAsia="Calibri"/>
          <w:szCs w:val="22"/>
        </w:rPr>
      </w:pPr>
    </w:p>
    <w:p w14:paraId="70C4E4B4" w14:textId="77777777" w:rsidR="00A80CF8" w:rsidRPr="00D724AC" w:rsidRDefault="00A80CF8" w:rsidP="00A80CF8">
      <w:pPr>
        <w:autoSpaceDE w:val="0"/>
        <w:autoSpaceDN w:val="0"/>
        <w:adjustRightInd w:val="0"/>
        <w:rPr>
          <w:rFonts w:eastAsia="Calibri"/>
          <w:b/>
          <w:bCs/>
          <w:szCs w:val="22"/>
        </w:rPr>
      </w:pPr>
      <w:r w:rsidRPr="00D724AC">
        <w:rPr>
          <w:rFonts w:eastAsia="Calibri"/>
          <w:b/>
          <w:bCs/>
          <w:szCs w:val="22"/>
        </w:rPr>
        <w:t>Dozavimas</w:t>
      </w:r>
    </w:p>
    <w:p w14:paraId="4C86B58A" w14:textId="77777777" w:rsidR="00A80CF8" w:rsidRPr="00D724AC" w:rsidRDefault="00A80CF8" w:rsidP="00A80CF8">
      <w:pPr>
        <w:autoSpaceDE w:val="0"/>
        <w:autoSpaceDN w:val="0"/>
        <w:adjustRightInd w:val="0"/>
        <w:rPr>
          <w:snapToGrid w:val="0"/>
          <w:szCs w:val="22"/>
          <w:lang w:eastAsia="en-US"/>
        </w:rPr>
      </w:pPr>
      <w:r w:rsidRPr="00D724AC">
        <w:rPr>
          <w:rFonts w:eastAsia="Calibri"/>
          <w:szCs w:val="22"/>
        </w:rPr>
        <w:t>Rekomenduojama CONVERIDE paros dozė yra 1 arba 2 tabletės. CONVERIDE gydytojas paprastai skiria tada, kai prieš tai vartoti vaistai reikiamai nesumažino Jūsų kraujospūdžio. Gydytojas pasakys, kaip vietoj vartojamų vaistų pradėti gydytis CONVERIDE.</w:t>
      </w:r>
    </w:p>
    <w:p w14:paraId="66EF5B8D" w14:textId="77777777" w:rsidR="00A80CF8" w:rsidRDefault="00A80CF8" w:rsidP="00A80CF8">
      <w:pPr>
        <w:numPr>
          <w:ilvl w:val="12"/>
          <w:numId w:val="0"/>
        </w:numPr>
        <w:ind w:right="-2"/>
        <w:rPr>
          <w:snapToGrid w:val="0"/>
          <w:szCs w:val="22"/>
          <w:lang w:eastAsia="en-US"/>
        </w:rPr>
      </w:pPr>
    </w:p>
    <w:p w14:paraId="07982A0F" w14:textId="77777777" w:rsidR="00A80CF8" w:rsidRPr="00DD102C" w:rsidRDefault="00A80CF8" w:rsidP="00A80CF8">
      <w:pPr>
        <w:autoSpaceDE w:val="0"/>
        <w:autoSpaceDN w:val="0"/>
        <w:adjustRightInd w:val="0"/>
        <w:rPr>
          <w:b/>
          <w:bCs/>
          <w:snapToGrid w:val="0"/>
          <w:szCs w:val="22"/>
          <w:lang w:eastAsia="en-US"/>
        </w:rPr>
      </w:pPr>
      <w:r w:rsidRPr="00DD102C">
        <w:rPr>
          <w:b/>
          <w:bCs/>
          <w:snapToGrid w:val="0"/>
          <w:szCs w:val="22"/>
          <w:lang w:eastAsia="en-US"/>
        </w:rPr>
        <w:t>Vartojimo metodas</w:t>
      </w:r>
    </w:p>
    <w:p w14:paraId="73924242" w14:textId="77777777" w:rsidR="00A80CF8" w:rsidRDefault="00A80CF8" w:rsidP="00A80CF8">
      <w:pPr>
        <w:autoSpaceDE w:val="0"/>
        <w:autoSpaceDN w:val="0"/>
        <w:adjustRightInd w:val="0"/>
        <w:rPr>
          <w:snapToGrid w:val="0"/>
          <w:szCs w:val="22"/>
          <w:lang w:eastAsia="en-US"/>
        </w:rPr>
      </w:pPr>
      <w:r>
        <w:rPr>
          <w:snapToGrid w:val="0"/>
          <w:szCs w:val="22"/>
          <w:lang w:eastAsia="en-US"/>
        </w:rPr>
        <w:t>CONVERIDE</w:t>
      </w:r>
      <w:r w:rsidRPr="00DD102C">
        <w:rPr>
          <w:snapToGrid w:val="0"/>
          <w:szCs w:val="22"/>
          <w:lang w:eastAsia="en-US"/>
        </w:rPr>
        <w:t xml:space="preserve"> yra </w:t>
      </w:r>
      <w:r w:rsidRPr="00DD102C">
        <w:rPr>
          <w:b/>
          <w:bCs/>
          <w:snapToGrid w:val="0"/>
          <w:szCs w:val="22"/>
          <w:lang w:eastAsia="en-US"/>
        </w:rPr>
        <w:t>geriamasis vaistas</w:t>
      </w:r>
      <w:r w:rsidRPr="00DD102C">
        <w:rPr>
          <w:snapToGrid w:val="0"/>
          <w:szCs w:val="22"/>
          <w:lang w:eastAsia="en-US"/>
        </w:rPr>
        <w:t xml:space="preserve">. Tabletes nurykite užgerdami pakankamu skysčio kiekiu (pvz., stikline vandens). </w:t>
      </w:r>
      <w:r>
        <w:rPr>
          <w:snapToGrid w:val="0"/>
          <w:szCs w:val="22"/>
          <w:lang w:eastAsia="en-US"/>
        </w:rPr>
        <w:t>CONVERIDE</w:t>
      </w:r>
      <w:r w:rsidRPr="00DD102C">
        <w:rPr>
          <w:snapToGrid w:val="0"/>
          <w:szCs w:val="22"/>
          <w:lang w:eastAsia="en-US"/>
        </w:rPr>
        <w:t xml:space="preserve"> galima vartoti valgio metu arba nevalgius. Stenkitės paros dozę išgerti kasdien maždaug tuo pačiu metu. Svarbu, kad be gydytojo leidimo nenutrauktumėte </w:t>
      </w:r>
      <w:r>
        <w:rPr>
          <w:snapToGrid w:val="0"/>
          <w:szCs w:val="22"/>
          <w:lang w:eastAsia="en-US"/>
        </w:rPr>
        <w:t xml:space="preserve">CONVERIDE </w:t>
      </w:r>
      <w:r w:rsidRPr="00DD102C">
        <w:rPr>
          <w:snapToGrid w:val="0"/>
          <w:szCs w:val="22"/>
          <w:lang w:eastAsia="en-US"/>
        </w:rPr>
        <w:t>vartojimo.</w:t>
      </w:r>
    </w:p>
    <w:p w14:paraId="4D04E2C0" w14:textId="77777777" w:rsidR="00A80CF8" w:rsidRPr="00DD102C" w:rsidRDefault="00A80CF8" w:rsidP="00A80CF8">
      <w:pPr>
        <w:autoSpaceDE w:val="0"/>
        <w:autoSpaceDN w:val="0"/>
        <w:adjustRightInd w:val="0"/>
        <w:rPr>
          <w:snapToGrid w:val="0"/>
          <w:szCs w:val="22"/>
          <w:lang w:eastAsia="en-US"/>
        </w:rPr>
      </w:pPr>
    </w:p>
    <w:p w14:paraId="4F7BB47E" w14:textId="77777777" w:rsidR="00A80CF8" w:rsidRDefault="00A80CF8" w:rsidP="00A80CF8">
      <w:pPr>
        <w:autoSpaceDE w:val="0"/>
        <w:autoSpaceDN w:val="0"/>
        <w:adjustRightInd w:val="0"/>
        <w:rPr>
          <w:snapToGrid w:val="0"/>
          <w:szCs w:val="22"/>
          <w:lang w:eastAsia="en-US"/>
        </w:rPr>
      </w:pPr>
      <w:r w:rsidRPr="00DD102C">
        <w:rPr>
          <w:snapToGrid w:val="0"/>
          <w:szCs w:val="22"/>
          <w:lang w:eastAsia="en-US"/>
        </w:rPr>
        <w:t>Didžiausias kraujospūdį mažinantis poveikis pasireiškia po 6 - 8 gydymo savaičių.</w:t>
      </w:r>
    </w:p>
    <w:p w14:paraId="57C83052" w14:textId="77777777" w:rsidR="00A80CF8" w:rsidRDefault="00A80CF8" w:rsidP="00A80CF8">
      <w:pPr>
        <w:autoSpaceDE w:val="0"/>
        <w:autoSpaceDN w:val="0"/>
        <w:adjustRightInd w:val="0"/>
        <w:rPr>
          <w:snapToGrid w:val="0"/>
          <w:szCs w:val="22"/>
          <w:lang w:eastAsia="en-US"/>
        </w:rPr>
      </w:pPr>
    </w:p>
    <w:p w14:paraId="35F29EDE" w14:textId="77777777" w:rsidR="00A80CF8" w:rsidRPr="00AA023A" w:rsidRDefault="00A80CF8" w:rsidP="00A80CF8">
      <w:pPr>
        <w:autoSpaceDE w:val="0"/>
        <w:autoSpaceDN w:val="0"/>
        <w:adjustRightInd w:val="0"/>
        <w:rPr>
          <w:snapToGrid w:val="0"/>
          <w:szCs w:val="22"/>
          <w:lang w:eastAsia="en-US"/>
        </w:rPr>
      </w:pPr>
      <w:r w:rsidRPr="00F21FE2">
        <w:t>Vagelė skirta tik tabletei perlaužti, jeigu ją visą būtų sunku nuryti.</w:t>
      </w:r>
    </w:p>
    <w:p w14:paraId="37C585C3" w14:textId="77777777" w:rsidR="00A80CF8" w:rsidRPr="00D724AC" w:rsidRDefault="00A80CF8" w:rsidP="00A80CF8">
      <w:pPr>
        <w:numPr>
          <w:ilvl w:val="12"/>
          <w:numId w:val="0"/>
        </w:numPr>
        <w:ind w:right="-2"/>
        <w:rPr>
          <w:snapToGrid w:val="0"/>
          <w:szCs w:val="22"/>
          <w:lang w:eastAsia="en-US"/>
        </w:rPr>
      </w:pPr>
    </w:p>
    <w:p w14:paraId="2FA95EE3" w14:textId="77777777" w:rsidR="00A80CF8" w:rsidRPr="00D724AC" w:rsidRDefault="00A80CF8" w:rsidP="00A80CF8">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Vartojimas vaikams ir paaugliams</w:t>
      </w:r>
    </w:p>
    <w:p w14:paraId="0FA9E42A" w14:textId="77777777" w:rsidR="00A80CF8" w:rsidRPr="00D724AC" w:rsidRDefault="00A80CF8" w:rsidP="00A80CF8">
      <w:pPr>
        <w:autoSpaceDE w:val="0"/>
        <w:autoSpaceDN w:val="0"/>
        <w:adjustRightInd w:val="0"/>
        <w:rPr>
          <w:rFonts w:eastAsia="Calibri"/>
          <w:b/>
          <w:bCs/>
          <w:szCs w:val="22"/>
        </w:rPr>
      </w:pPr>
      <w:r w:rsidRPr="00D724AC">
        <w:rPr>
          <w:rFonts w:eastAsia="Calibri"/>
          <w:b/>
          <w:bCs/>
          <w:szCs w:val="22"/>
        </w:rPr>
        <w:t>Vaikams CONVERIDE vartoti negalima</w:t>
      </w:r>
    </w:p>
    <w:p w14:paraId="03A2CD7E" w14:textId="77777777" w:rsidR="00A80CF8" w:rsidRPr="00D724AC" w:rsidRDefault="00A80CF8" w:rsidP="00A80CF8">
      <w:pPr>
        <w:autoSpaceDE w:val="0"/>
        <w:autoSpaceDN w:val="0"/>
        <w:adjustRightInd w:val="0"/>
        <w:rPr>
          <w:rFonts w:eastAsia="Calibri"/>
          <w:szCs w:val="22"/>
        </w:rPr>
      </w:pPr>
      <w:r w:rsidRPr="00D724AC">
        <w:rPr>
          <w:rFonts w:eastAsia="Calibri"/>
          <w:szCs w:val="22"/>
        </w:rPr>
        <w:t>CONVERIDE negalima vartoti jaunesniems kaip 18 metų vaikams. Jeigu vaikas išgėrė tablečių, nedelsdami kreipkitės į gydytoją.</w:t>
      </w:r>
    </w:p>
    <w:p w14:paraId="17B21106" w14:textId="77777777" w:rsidR="00A80CF8" w:rsidRPr="00D724AC" w:rsidRDefault="00A80CF8" w:rsidP="00A80CF8">
      <w:pPr>
        <w:autoSpaceDE w:val="0"/>
        <w:autoSpaceDN w:val="0"/>
        <w:adjustRightInd w:val="0"/>
        <w:rPr>
          <w:rFonts w:eastAsia="Calibri"/>
          <w:szCs w:val="22"/>
        </w:rPr>
      </w:pPr>
    </w:p>
    <w:p w14:paraId="2543DA24" w14:textId="77777777" w:rsidR="00A80CF8" w:rsidRPr="00D724AC" w:rsidRDefault="00A80CF8" w:rsidP="00A80CF8">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Ką daryti pavartojus per didelę CONVERIDE dozę</w:t>
      </w:r>
    </w:p>
    <w:p w14:paraId="37144B14" w14:textId="77777777" w:rsidR="00A80CF8" w:rsidRPr="00D724AC" w:rsidRDefault="00A80CF8" w:rsidP="00A80CF8">
      <w:pPr>
        <w:widowControl w:val="0"/>
        <w:tabs>
          <w:tab w:val="left" w:pos="567"/>
        </w:tabs>
        <w:autoSpaceDE w:val="0"/>
        <w:autoSpaceDN w:val="0"/>
        <w:adjustRightInd w:val="0"/>
        <w:spacing w:line="260" w:lineRule="exact"/>
        <w:jc w:val="both"/>
        <w:rPr>
          <w:snapToGrid w:val="0"/>
          <w:color w:val="000000"/>
          <w:szCs w:val="22"/>
          <w:lang w:eastAsia="en-US"/>
        </w:rPr>
      </w:pPr>
      <w:r w:rsidRPr="00D724AC">
        <w:rPr>
          <w:rFonts w:eastAsia="Calibri"/>
          <w:szCs w:val="22"/>
        </w:rPr>
        <w:t>Jeigu Jūs apsirikę išgersite per daug tablečių, nedelsdami kreipkitės į gydytoją</w:t>
      </w:r>
      <w:r w:rsidRPr="00D724AC">
        <w:rPr>
          <w:snapToGrid w:val="0"/>
          <w:szCs w:val="22"/>
          <w:lang w:eastAsia="en-US"/>
        </w:rPr>
        <w:t xml:space="preserve">. </w:t>
      </w:r>
    </w:p>
    <w:p w14:paraId="20911A5B" w14:textId="77777777" w:rsidR="00A80CF8" w:rsidRPr="00D724AC" w:rsidRDefault="00A80CF8" w:rsidP="00A80CF8">
      <w:pPr>
        <w:numPr>
          <w:ilvl w:val="12"/>
          <w:numId w:val="0"/>
        </w:numPr>
        <w:ind w:right="-2"/>
        <w:rPr>
          <w:snapToGrid w:val="0"/>
          <w:szCs w:val="22"/>
          <w:lang w:eastAsia="en-US"/>
        </w:rPr>
      </w:pPr>
    </w:p>
    <w:p w14:paraId="79ACD199" w14:textId="77777777" w:rsidR="00A80CF8" w:rsidRPr="00D724AC" w:rsidRDefault="00A80CF8" w:rsidP="00A80CF8">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Pamiršus pavartoti CONVERIDE</w:t>
      </w:r>
    </w:p>
    <w:p w14:paraId="75F1D1CA" w14:textId="77777777" w:rsidR="00A80CF8" w:rsidRPr="00D724AC" w:rsidRDefault="00A80CF8" w:rsidP="00A80CF8">
      <w:pPr>
        <w:autoSpaceDE w:val="0"/>
        <w:autoSpaceDN w:val="0"/>
        <w:adjustRightInd w:val="0"/>
        <w:rPr>
          <w:snapToGrid w:val="0"/>
          <w:szCs w:val="22"/>
          <w:lang w:eastAsia="en-US"/>
        </w:rPr>
      </w:pPr>
      <w:r w:rsidRPr="00D724AC">
        <w:rPr>
          <w:rFonts w:eastAsia="Calibri"/>
          <w:szCs w:val="22"/>
        </w:rPr>
        <w:t>Jeigu netyčia praleidote paros dozę, kitą gerkite įprastu laiku. Negalima vartoti dvigubos dozės norint kompensuoti praleistą dozę.</w:t>
      </w:r>
    </w:p>
    <w:p w14:paraId="590A3249" w14:textId="77777777" w:rsidR="00A80CF8" w:rsidRPr="00D724AC" w:rsidRDefault="00A80CF8" w:rsidP="00A80CF8">
      <w:pPr>
        <w:numPr>
          <w:ilvl w:val="12"/>
          <w:numId w:val="0"/>
        </w:numPr>
        <w:ind w:right="-2"/>
        <w:rPr>
          <w:snapToGrid w:val="0"/>
          <w:szCs w:val="22"/>
          <w:lang w:eastAsia="en-US"/>
        </w:rPr>
      </w:pPr>
    </w:p>
    <w:p w14:paraId="7737F6C1" w14:textId="77777777" w:rsidR="00A80CF8" w:rsidRPr="00D724AC" w:rsidRDefault="00A80CF8" w:rsidP="00A80CF8">
      <w:pPr>
        <w:numPr>
          <w:ilvl w:val="12"/>
          <w:numId w:val="0"/>
        </w:numPr>
        <w:ind w:right="-29"/>
        <w:rPr>
          <w:snapToGrid w:val="0"/>
          <w:szCs w:val="22"/>
          <w:lang w:eastAsia="en-US"/>
        </w:rPr>
      </w:pPr>
      <w:r w:rsidRPr="00D724AC">
        <w:rPr>
          <w:snapToGrid w:val="0"/>
          <w:szCs w:val="22"/>
          <w:lang w:eastAsia="en-US"/>
        </w:rPr>
        <w:t>Jeigu kiltų daugiau klausimų dėl šio vaisto vartojimo, kreipkitės į gydytoją arba vaistininką.</w:t>
      </w:r>
    </w:p>
    <w:p w14:paraId="39023AF5" w14:textId="77777777" w:rsidR="00A80CF8" w:rsidRPr="00D724AC" w:rsidRDefault="00A80CF8" w:rsidP="00A80CF8">
      <w:pPr>
        <w:numPr>
          <w:ilvl w:val="12"/>
          <w:numId w:val="0"/>
        </w:numPr>
        <w:rPr>
          <w:snapToGrid w:val="0"/>
          <w:szCs w:val="22"/>
          <w:lang w:eastAsia="en-US"/>
        </w:rPr>
      </w:pPr>
    </w:p>
    <w:p w14:paraId="259C91C3" w14:textId="77777777" w:rsidR="00A80CF8" w:rsidRPr="00D724AC" w:rsidRDefault="00A80CF8" w:rsidP="00A80CF8">
      <w:pPr>
        <w:numPr>
          <w:ilvl w:val="12"/>
          <w:numId w:val="0"/>
        </w:numPr>
        <w:rPr>
          <w:snapToGrid w:val="0"/>
          <w:szCs w:val="22"/>
          <w:lang w:eastAsia="en-US"/>
        </w:rPr>
      </w:pPr>
    </w:p>
    <w:p w14:paraId="0290A7A2" w14:textId="77777777" w:rsidR="00A80CF8" w:rsidRPr="00D724AC" w:rsidRDefault="00A80CF8" w:rsidP="00A80CF8">
      <w:pPr>
        <w:keepNext/>
        <w:keepLines/>
        <w:tabs>
          <w:tab w:val="left" w:pos="567"/>
        </w:tabs>
        <w:outlineLvl w:val="2"/>
        <w:rPr>
          <w:b/>
          <w:bCs/>
          <w:snapToGrid w:val="0"/>
          <w:szCs w:val="22"/>
          <w:lang w:eastAsia="x-none"/>
        </w:rPr>
      </w:pPr>
      <w:r w:rsidRPr="00D724AC">
        <w:rPr>
          <w:b/>
          <w:bCs/>
          <w:snapToGrid w:val="0"/>
          <w:szCs w:val="22"/>
          <w:lang w:eastAsia="x-none"/>
        </w:rPr>
        <w:t>4.</w:t>
      </w:r>
      <w:r w:rsidRPr="00D724AC">
        <w:rPr>
          <w:b/>
          <w:bCs/>
          <w:snapToGrid w:val="0"/>
          <w:szCs w:val="22"/>
          <w:lang w:eastAsia="x-none"/>
        </w:rPr>
        <w:tab/>
        <w:t>Galimas šalutinis poveikis</w:t>
      </w:r>
    </w:p>
    <w:p w14:paraId="027B9167" w14:textId="77777777" w:rsidR="00A80CF8" w:rsidRPr="00D724AC" w:rsidRDefault="00A80CF8" w:rsidP="00A80CF8">
      <w:pPr>
        <w:numPr>
          <w:ilvl w:val="12"/>
          <w:numId w:val="0"/>
        </w:numPr>
        <w:rPr>
          <w:snapToGrid w:val="0"/>
          <w:szCs w:val="22"/>
          <w:lang w:eastAsia="en-US"/>
        </w:rPr>
      </w:pPr>
    </w:p>
    <w:p w14:paraId="5985BB97" w14:textId="77777777" w:rsidR="00A80CF8" w:rsidRPr="00D724AC" w:rsidRDefault="00A80CF8" w:rsidP="00A80CF8">
      <w:pPr>
        <w:numPr>
          <w:ilvl w:val="12"/>
          <w:numId w:val="0"/>
        </w:numPr>
        <w:ind w:right="-29"/>
        <w:rPr>
          <w:rFonts w:eastAsia="Calibri"/>
          <w:szCs w:val="22"/>
        </w:rPr>
      </w:pPr>
      <w:r w:rsidRPr="00D724AC">
        <w:rPr>
          <w:snapToGrid w:val="0"/>
          <w:szCs w:val="22"/>
          <w:lang w:eastAsia="en-US"/>
        </w:rPr>
        <w:t xml:space="preserve">Šis vaistas, kaip ir visi kiti, gali sukelti šalutinį poveikį, nors jis pasireiškia ne visiems žmonėms. </w:t>
      </w:r>
      <w:r w:rsidRPr="00D724AC">
        <w:rPr>
          <w:rFonts w:eastAsia="Calibri"/>
          <w:szCs w:val="22"/>
        </w:rPr>
        <w:t>Kai kurie šalutiniai reiškiniai gali būti sunkūs, todėl gali prireikti gydytojo priežiūros.</w:t>
      </w:r>
    </w:p>
    <w:p w14:paraId="7A7A6FE8" w14:textId="77777777" w:rsidR="00A80CF8" w:rsidRPr="00D724AC" w:rsidRDefault="00A80CF8" w:rsidP="00A80CF8">
      <w:pPr>
        <w:numPr>
          <w:ilvl w:val="12"/>
          <w:numId w:val="0"/>
        </w:numPr>
        <w:ind w:right="-29"/>
        <w:rPr>
          <w:rFonts w:eastAsia="Calibri"/>
          <w:szCs w:val="22"/>
        </w:rPr>
      </w:pPr>
    </w:p>
    <w:p w14:paraId="46240A99" w14:textId="77777777" w:rsidR="00A80CF8" w:rsidRPr="00D724AC" w:rsidRDefault="00A80CF8" w:rsidP="00A80CF8">
      <w:pPr>
        <w:autoSpaceDE w:val="0"/>
        <w:autoSpaceDN w:val="0"/>
        <w:adjustRightInd w:val="0"/>
        <w:rPr>
          <w:rFonts w:eastAsia="Calibri"/>
          <w:szCs w:val="22"/>
        </w:rPr>
      </w:pPr>
      <w:r w:rsidRPr="00D724AC">
        <w:rPr>
          <w:rFonts w:eastAsia="Calibri"/>
          <w:szCs w:val="22"/>
        </w:rPr>
        <w:t xml:space="preserve">Irbesartano vartojantiems pacientams retais atvejais pasireiškė alerginių odos reakcijų (išbėrimas, dilgėlinė) bei lokalus veido, lūpų ir (arba) liežuvio patinimas. </w:t>
      </w:r>
      <w:r w:rsidRPr="00D724AC">
        <w:rPr>
          <w:rFonts w:eastAsia="Calibri"/>
          <w:b/>
          <w:bCs/>
          <w:szCs w:val="22"/>
        </w:rPr>
        <w:t xml:space="preserve">Jeigu Jums pasireiškė bet kuris iš anksčiau minėtų požymių arba atsirado dusulys, </w:t>
      </w:r>
      <w:r w:rsidRPr="00D724AC">
        <w:rPr>
          <w:rFonts w:eastAsia="Calibri"/>
          <w:szCs w:val="22"/>
        </w:rPr>
        <w:t>CONVERIDE vartojimą nutraukite ir nedelsdami kreipkitės į gydytoją.</w:t>
      </w:r>
    </w:p>
    <w:p w14:paraId="6FB75809" w14:textId="77777777" w:rsidR="00A80CF8" w:rsidRPr="00D724AC" w:rsidRDefault="00A80CF8" w:rsidP="00A80CF8">
      <w:pPr>
        <w:autoSpaceDE w:val="0"/>
        <w:autoSpaceDN w:val="0"/>
        <w:adjustRightInd w:val="0"/>
        <w:rPr>
          <w:rFonts w:eastAsia="Calibri"/>
          <w:szCs w:val="22"/>
        </w:rPr>
      </w:pPr>
    </w:p>
    <w:p w14:paraId="67B943E8" w14:textId="77777777" w:rsidR="00A80CF8" w:rsidRPr="00D724AC" w:rsidRDefault="00A80CF8" w:rsidP="00A80CF8">
      <w:pPr>
        <w:autoSpaceDE w:val="0"/>
        <w:autoSpaceDN w:val="0"/>
        <w:adjustRightInd w:val="0"/>
        <w:rPr>
          <w:rFonts w:eastAsia="Calibri"/>
          <w:szCs w:val="22"/>
        </w:rPr>
      </w:pPr>
      <w:r w:rsidRPr="00D724AC">
        <w:rPr>
          <w:rFonts w:eastAsia="Calibri"/>
          <w:szCs w:val="22"/>
        </w:rPr>
        <w:t>Klinikinių tyrimų metu pacientams, gydytiems irbesartano ir hidrochlorotiazido deriniu, pasireiškė toliau išvardytas šalutinis poveikis:</w:t>
      </w:r>
    </w:p>
    <w:p w14:paraId="496F1830" w14:textId="77777777" w:rsidR="00A80CF8" w:rsidRPr="00D724AC" w:rsidRDefault="00A80CF8" w:rsidP="00A80CF8">
      <w:pPr>
        <w:numPr>
          <w:ilvl w:val="12"/>
          <w:numId w:val="0"/>
        </w:numPr>
        <w:ind w:right="-29"/>
        <w:rPr>
          <w:rFonts w:eastAsia="Calibri"/>
          <w:szCs w:val="22"/>
        </w:rPr>
      </w:pPr>
    </w:p>
    <w:p w14:paraId="45FFBB69" w14:textId="77777777" w:rsidR="00A80CF8" w:rsidRPr="00D724AC" w:rsidRDefault="00A80CF8" w:rsidP="00A80CF8">
      <w:pPr>
        <w:autoSpaceDE w:val="0"/>
        <w:autoSpaceDN w:val="0"/>
        <w:adjustRightInd w:val="0"/>
        <w:rPr>
          <w:rFonts w:eastAsia="Calibri"/>
          <w:szCs w:val="22"/>
        </w:rPr>
      </w:pPr>
      <w:r w:rsidRPr="005D554B">
        <w:rPr>
          <w:b/>
          <w:bCs/>
          <w:noProof/>
          <w:snapToGrid w:val="0"/>
          <w:szCs w:val="22"/>
        </w:rPr>
        <w:t>Dažni šalutinio poveikio reiškiniai (gali pasireikšti rečiau kaip 1 iš 10 asmenų)</w:t>
      </w:r>
      <w:r>
        <w:rPr>
          <w:b/>
          <w:bCs/>
          <w:noProof/>
          <w:snapToGrid w:val="0"/>
          <w:szCs w:val="22"/>
        </w:rPr>
        <w:t>:</w:t>
      </w:r>
    </w:p>
    <w:p w14:paraId="7EC57A0A" w14:textId="77777777" w:rsidR="00A80CF8" w:rsidRPr="00D724AC" w:rsidRDefault="00A80CF8" w:rsidP="00FD66F2">
      <w:pPr>
        <w:numPr>
          <w:ilvl w:val="0"/>
          <w:numId w:val="11"/>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pykinimas, vėmimas,</w:t>
      </w:r>
    </w:p>
    <w:p w14:paraId="78E7DC19" w14:textId="77777777" w:rsidR="00A80CF8" w:rsidRPr="00D724AC" w:rsidRDefault="00A80CF8" w:rsidP="00FD66F2">
      <w:pPr>
        <w:numPr>
          <w:ilvl w:val="0"/>
          <w:numId w:val="11"/>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sutrikęs šlapinimasis,</w:t>
      </w:r>
    </w:p>
    <w:p w14:paraId="71F39EB2" w14:textId="77777777" w:rsidR="00A80CF8" w:rsidRPr="00D724AC" w:rsidRDefault="00A80CF8" w:rsidP="00FD66F2">
      <w:pPr>
        <w:numPr>
          <w:ilvl w:val="0"/>
          <w:numId w:val="11"/>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lastRenderedPageBreak/>
        <w:t>nuovargis,</w:t>
      </w:r>
    </w:p>
    <w:p w14:paraId="2A1BF6FF" w14:textId="77777777" w:rsidR="00A80CF8" w:rsidRPr="00D724AC" w:rsidRDefault="00A80CF8" w:rsidP="00FD66F2">
      <w:pPr>
        <w:numPr>
          <w:ilvl w:val="0"/>
          <w:numId w:val="11"/>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svaigulys (įskaitant atsistojus iš gulimos ar sėdimos padėties),</w:t>
      </w:r>
    </w:p>
    <w:p w14:paraId="0DDF5082" w14:textId="77777777" w:rsidR="00A80CF8" w:rsidRPr="00D724AC" w:rsidRDefault="00A80CF8" w:rsidP="00FD66F2">
      <w:pPr>
        <w:numPr>
          <w:ilvl w:val="0"/>
          <w:numId w:val="11"/>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kraujo tyrimuose gali būti nustatomas padidėjęs raumenų ir širdies veiklą atspindinčio fermento (kreatino kinazės) kiekis bei padidėjęs inkstų veiklą atspindinčios medžiagos (kraujo karbamido azoto, kreatinino) kiekis.</w:t>
      </w:r>
    </w:p>
    <w:p w14:paraId="4B2043B9" w14:textId="77777777" w:rsidR="00A80CF8" w:rsidRPr="00D724AC" w:rsidRDefault="00A80CF8" w:rsidP="00A80CF8">
      <w:pPr>
        <w:autoSpaceDE w:val="0"/>
        <w:autoSpaceDN w:val="0"/>
        <w:adjustRightInd w:val="0"/>
        <w:rPr>
          <w:rFonts w:eastAsia="Calibri"/>
          <w:szCs w:val="22"/>
        </w:rPr>
      </w:pPr>
      <w:r w:rsidRPr="00D724AC">
        <w:rPr>
          <w:rFonts w:eastAsia="Calibri"/>
          <w:b/>
          <w:bCs/>
          <w:szCs w:val="22"/>
        </w:rPr>
        <w:t>Jei bet kuris iš minėtų šalutinio poveikio atvejų Jus vargina</w:t>
      </w:r>
      <w:r w:rsidRPr="00D724AC">
        <w:rPr>
          <w:rFonts w:eastAsia="Calibri"/>
          <w:szCs w:val="22"/>
        </w:rPr>
        <w:t>, pasakykite savo gydytojui.</w:t>
      </w:r>
    </w:p>
    <w:p w14:paraId="2FD2E866" w14:textId="77777777" w:rsidR="00A80CF8" w:rsidRPr="00D724AC" w:rsidRDefault="00A80CF8" w:rsidP="00A80CF8">
      <w:pPr>
        <w:autoSpaceDE w:val="0"/>
        <w:autoSpaceDN w:val="0"/>
        <w:adjustRightInd w:val="0"/>
        <w:rPr>
          <w:rFonts w:eastAsia="Calibri"/>
          <w:szCs w:val="22"/>
        </w:rPr>
      </w:pPr>
    </w:p>
    <w:p w14:paraId="492A62E0" w14:textId="77777777" w:rsidR="00A80CF8" w:rsidRPr="00D724AC" w:rsidRDefault="00A80CF8" w:rsidP="00A80CF8">
      <w:pPr>
        <w:autoSpaceDE w:val="0"/>
        <w:autoSpaceDN w:val="0"/>
        <w:adjustRightInd w:val="0"/>
        <w:rPr>
          <w:rFonts w:eastAsia="Calibri"/>
          <w:szCs w:val="22"/>
        </w:rPr>
      </w:pPr>
      <w:r w:rsidRPr="005D554B">
        <w:rPr>
          <w:b/>
          <w:bCs/>
          <w:noProof/>
          <w:snapToGrid w:val="0"/>
          <w:szCs w:val="22"/>
        </w:rPr>
        <w:t>Nedažni šalutinio poveikio reiškiniai (gali pasireikšti rečiau kaip 1 iš 100 asmenų)</w:t>
      </w:r>
      <w:r w:rsidRPr="0026684A">
        <w:rPr>
          <w:rFonts w:eastAsia="Calibri"/>
          <w:b/>
          <w:bCs/>
          <w:szCs w:val="22"/>
        </w:rPr>
        <w:t>:</w:t>
      </w:r>
    </w:p>
    <w:p w14:paraId="7A2012B3" w14:textId="77777777" w:rsidR="00A80CF8" w:rsidRPr="00D724AC" w:rsidRDefault="00A80CF8" w:rsidP="00FD66F2">
      <w:pPr>
        <w:numPr>
          <w:ilvl w:val="0"/>
          <w:numId w:val="12"/>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viduriavimas,</w:t>
      </w:r>
    </w:p>
    <w:p w14:paraId="3B7A4960" w14:textId="77777777" w:rsidR="00A80CF8" w:rsidRPr="00D724AC" w:rsidRDefault="00A80CF8" w:rsidP="00FD66F2">
      <w:pPr>
        <w:numPr>
          <w:ilvl w:val="0"/>
          <w:numId w:val="12"/>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sumažėjęs kraujospūdis,</w:t>
      </w:r>
    </w:p>
    <w:p w14:paraId="5D5DB486" w14:textId="77777777" w:rsidR="00A80CF8" w:rsidRPr="00D724AC" w:rsidRDefault="00A80CF8" w:rsidP="00FD66F2">
      <w:pPr>
        <w:numPr>
          <w:ilvl w:val="0"/>
          <w:numId w:val="12"/>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apalpimas,</w:t>
      </w:r>
    </w:p>
    <w:p w14:paraId="6EE371E9" w14:textId="77777777" w:rsidR="00A80CF8" w:rsidRPr="00D724AC" w:rsidRDefault="00A80CF8" w:rsidP="00FD66F2">
      <w:pPr>
        <w:numPr>
          <w:ilvl w:val="0"/>
          <w:numId w:val="12"/>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padažnėję širdies susitraukimai,</w:t>
      </w:r>
    </w:p>
    <w:p w14:paraId="2695F3CD" w14:textId="77777777" w:rsidR="00A80CF8" w:rsidRPr="00D724AC" w:rsidRDefault="00A80CF8" w:rsidP="00FD66F2">
      <w:pPr>
        <w:numPr>
          <w:ilvl w:val="0"/>
          <w:numId w:val="12"/>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paraudimas,</w:t>
      </w:r>
    </w:p>
    <w:p w14:paraId="61B6D890" w14:textId="77777777" w:rsidR="00A80CF8" w:rsidRPr="00D724AC" w:rsidRDefault="00A80CF8" w:rsidP="00FD66F2">
      <w:pPr>
        <w:numPr>
          <w:ilvl w:val="0"/>
          <w:numId w:val="12"/>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patinimas,</w:t>
      </w:r>
    </w:p>
    <w:p w14:paraId="3E9EE507" w14:textId="77777777" w:rsidR="00A80CF8" w:rsidRPr="00D724AC" w:rsidRDefault="00A80CF8" w:rsidP="00FD66F2">
      <w:pPr>
        <w:numPr>
          <w:ilvl w:val="0"/>
          <w:numId w:val="12"/>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sutrikusi seksualinė funkcija,</w:t>
      </w:r>
    </w:p>
    <w:p w14:paraId="70C519C7" w14:textId="77777777" w:rsidR="00A80CF8" w:rsidRPr="00D724AC" w:rsidRDefault="00A80CF8" w:rsidP="00FD66F2">
      <w:pPr>
        <w:numPr>
          <w:ilvl w:val="0"/>
          <w:numId w:val="12"/>
        </w:numPr>
        <w:tabs>
          <w:tab w:val="left" w:pos="567"/>
        </w:tabs>
        <w:autoSpaceDE w:val="0"/>
        <w:autoSpaceDN w:val="0"/>
        <w:adjustRightInd w:val="0"/>
        <w:spacing w:line="260" w:lineRule="exact"/>
        <w:ind w:left="567" w:hanging="567"/>
        <w:rPr>
          <w:rFonts w:eastAsia="Calibri"/>
          <w:szCs w:val="22"/>
        </w:rPr>
      </w:pPr>
      <w:r w:rsidRPr="00D724AC">
        <w:rPr>
          <w:rFonts w:eastAsia="Calibri"/>
          <w:szCs w:val="22"/>
        </w:rPr>
        <w:t>kraujo tyrimuose gali būti nustatomas sumažėjęs kalio ir natrio kiekis kraujyje.</w:t>
      </w:r>
    </w:p>
    <w:p w14:paraId="547AD822" w14:textId="77777777" w:rsidR="00A80CF8" w:rsidRPr="00D724AC" w:rsidRDefault="00A80CF8" w:rsidP="00A80CF8">
      <w:pPr>
        <w:numPr>
          <w:ilvl w:val="12"/>
          <w:numId w:val="0"/>
        </w:numPr>
        <w:ind w:right="-29"/>
        <w:rPr>
          <w:rFonts w:eastAsia="Calibri"/>
          <w:szCs w:val="22"/>
        </w:rPr>
      </w:pPr>
      <w:r w:rsidRPr="00D724AC">
        <w:rPr>
          <w:rFonts w:eastAsia="Calibri"/>
          <w:b/>
          <w:bCs/>
          <w:szCs w:val="22"/>
        </w:rPr>
        <w:t>Jei bet kuris iš minėto šalutinio poveikio atvejų Jus vargina</w:t>
      </w:r>
      <w:r w:rsidRPr="00D724AC">
        <w:rPr>
          <w:rFonts w:eastAsia="Calibri"/>
          <w:szCs w:val="22"/>
        </w:rPr>
        <w:t>, pasakykite savo gydytojui.</w:t>
      </w:r>
    </w:p>
    <w:p w14:paraId="07C27F79" w14:textId="77777777" w:rsidR="00A80CF8" w:rsidRPr="00D724AC" w:rsidRDefault="00A80CF8" w:rsidP="00A80CF8">
      <w:pPr>
        <w:numPr>
          <w:ilvl w:val="12"/>
          <w:numId w:val="0"/>
        </w:numPr>
        <w:ind w:right="-29"/>
        <w:rPr>
          <w:snapToGrid w:val="0"/>
          <w:szCs w:val="22"/>
          <w:lang w:eastAsia="en-US"/>
        </w:rPr>
      </w:pPr>
    </w:p>
    <w:p w14:paraId="4BA106BE" w14:textId="77777777" w:rsidR="00A80CF8" w:rsidRPr="00D724AC" w:rsidRDefault="00A80CF8" w:rsidP="00A80CF8">
      <w:pPr>
        <w:autoSpaceDE w:val="0"/>
        <w:autoSpaceDN w:val="0"/>
        <w:adjustRightInd w:val="0"/>
        <w:rPr>
          <w:rFonts w:eastAsia="Calibri"/>
          <w:b/>
          <w:bCs/>
          <w:szCs w:val="22"/>
        </w:rPr>
      </w:pPr>
      <w:r w:rsidRPr="00D724AC">
        <w:rPr>
          <w:rFonts w:eastAsia="Calibri"/>
          <w:b/>
          <w:bCs/>
          <w:szCs w:val="22"/>
        </w:rPr>
        <w:t>Šalutinis poveikis, apie kurį gauta pranešimų po irbesartano ir hidrochlorotiazido derinio patekimo į rinką</w:t>
      </w:r>
    </w:p>
    <w:p w14:paraId="7B8C934B" w14:textId="77777777" w:rsidR="00A80CF8" w:rsidRPr="00D724AC" w:rsidRDefault="00A80CF8" w:rsidP="00A80CF8">
      <w:pPr>
        <w:autoSpaceDE w:val="0"/>
        <w:autoSpaceDN w:val="0"/>
        <w:adjustRightInd w:val="0"/>
        <w:rPr>
          <w:snapToGrid w:val="0"/>
          <w:szCs w:val="22"/>
          <w:lang w:eastAsia="en-US"/>
        </w:rPr>
      </w:pPr>
      <w:r w:rsidRPr="00D724AC">
        <w:rPr>
          <w:rFonts w:eastAsia="Calibri"/>
          <w:szCs w:val="22"/>
        </w:rPr>
        <w:t>Po to, kai irbesartano ir hidrochlorotiazido derinys pateko į rinką, pastebėta ir kitų šalutinio poveikio atvejų. Šalutinio poveikio atvejai, kurių pasireiškimo dažnis nežinomas</w:t>
      </w:r>
      <w:r w:rsidRPr="00D724AC">
        <w:rPr>
          <w:snapToGrid w:val="0"/>
          <w:szCs w:val="22"/>
          <w:lang w:eastAsia="en-US"/>
        </w:rPr>
        <w:t xml:space="preserve"> yra šie</w:t>
      </w:r>
      <w:r w:rsidRPr="00D724AC">
        <w:rPr>
          <w:rFonts w:eastAsia="Calibri"/>
          <w:szCs w:val="22"/>
        </w:rPr>
        <w:t>: galvos skausmas, spengimas ausyse, kosulys, sutrikęs skonio pojūtis, nevirškinimas, sąnarių ir raumenų skausmas, sutrikusios kepenų ir inkstų funkcijos, padidėjęs kalio kiekis kraujyje bei alerginės reakcijos, pavyzdžiui, paraudimas, dilgėlinė, veido, lūpų, burnos, liežuvio arba gerklų patinimas. Nedažnai taip pat gauta pranešimų nedažnus: geltos (odos ir [arba] akių pageltimo) atvejus.</w:t>
      </w:r>
    </w:p>
    <w:p w14:paraId="5AFB9024" w14:textId="77777777" w:rsidR="00A80CF8" w:rsidRPr="00D724AC" w:rsidRDefault="00A80CF8" w:rsidP="00A80CF8">
      <w:pPr>
        <w:numPr>
          <w:ilvl w:val="12"/>
          <w:numId w:val="0"/>
        </w:numPr>
        <w:ind w:right="-29"/>
        <w:rPr>
          <w:snapToGrid w:val="0"/>
          <w:szCs w:val="22"/>
          <w:lang w:eastAsia="en-US"/>
        </w:rPr>
      </w:pPr>
    </w:p>
    <w:p w14:paraId="7FD5A47E" w14:textId="77777777" w:rsidR="00A80CF8" w:rsidRPr="00D724AC" w:rsidRDefault="00A80CF8" w:rsidP="00A80CF8">
      <w:pPr>
        <w:autoSpaceDE w:val="0"/>
        <w:autoSpaceDN w:val="0"/>
        <w:adjustRightInd w:val="0"/>
        <w:rPr>
          <w:rFonts w:eastAsia="Calibri"/>
          <w:szCs w:val="22"/>
        </w:rPr>
      </w:pPr>
      <w:r w:rsidRPr="00D724AC">
        <w:rPr>
          <w:rFonts w:eastAsia="Calibri"/>
          <w:szCs w:val="22"/>
        </w:rPr>
        <w:t>Kaip ir vartojant bet kurį kitą sudėtinį vaistą, gali pasireikšti ir kiekvienai veikliajai medžiagai būdingas šalutinis poveikis.</w:t>
      </w:r>
    </w:p>
    <w:p w14:paraId="421479CC" w14:textId="77777777" w:rsidR="00A80CF8" w:rsidRPr="00D724AC" w:rsidRDefault="00A80CF8" w:rsidP="00A80CF8">
      <w:pPr>
        <w:autoSpaceDE w:val="0"/>
        <w:autoSpaceDN w:val="0"/>
        <w:adjustRightInd w:val="0"/>
        <w:rPr>
          <w:snapToGrid w:val="0"/>
          <w:szCs w:val="22"/>
          <w:lang w:eastAsia="en-US"/>
        </w:rPr>
      </w:pPr>
    </w:p>
    <w:p w14:paraId="2691630C" w14:textId="77777777" w:rsidR="00A80CF8" w:rsidRPr="00D724AC" w:rsidRDefault="00A80CF8" w:rsidP="00A80CF8">
      <w:pPr>
        <w:autoSpaceDE w:val="0"/>
        <w:autoSpaceDN w:val="0"/>
        <w:adjustRightInd w:val="0"/>
        <w:rPr>
          <w:rFonts w:eastAsia="Calibri"/>
          <w:b/>
          <w:bCs/>
          <w:szCs w:val="22"/>
        </w:rPr>
      </w:pPr>
      <w:r w:rsidRPr="00D724AC">
        <w:rPr>
          <w:rFonts w:eastAsia="Calibri"/>
          <w:b/>
          <w:bCs/>
          <w:szCs w:val="22"/>
        </w:rPr>
        <w:t>Šalutinis poveikis, susijęs tik su irbesartano vartojimu</w:t>
      </w:r>
    </w:p>
    <w:p w14:paraId="32919854" w14:textId="77777777" w:rsidR="00A80CF8" w:rsidRPr="00D724AC" w:rsidRDefault="00A80CF8" w:rsidP="00A80CF8">
      <w:pPr>
        <w:numPr>
          <w:ilvl w:val="12"/>
          <w:numId w:val="0"/>
        </w:numPr>
        <w:ind w:right="-29"/>
        <w:rPr>
          <w:rFonts w:eastAsia="Calibri"/>
          <w:szCs w:val="22"/>
        </w:rPr>
      </w:pPr>
      <w:r w:rsidRPr="00C03B46">
        <w:rPr>
          <w:rFonts w:eastAsia="Calibri"/>
          <w:bCs/>
          <w:szCs w:val="22"/>
        </w:rPr>
        <w:t>B</w:t>
      </w:r>
      <w:r w:rsidRPr="00D724AC">
        <w:rPr>
          <w:rFonts w:eastAsia="Calibri"/>
          <w:szCs w:val="22"/>
        </w:rPr>
        <w:t>e anksčiau minėto šalutinio poveikio, galimas krūtinės skausmas</w:t>
      </w:r>
      <w:r>
        <w:rPr>
          <w:rFonts w:eastAsia="Calibri"/>
          <w:szCs w:val="22"/>
        </w:rPr>
        <w:t xml:space="preserve">, sunkios alerginės reakcijos (anafilaksinis šokas), </w:t>
      </w:r>
      <w:r w:rsidRPr="0018097C">
        <w:rPr>
          <w:rFonts w:eastAsia="Calibri"/>
          <w:szCs w:val="22"/>
        </w:rPr>
        <w:t>sumažėjęs raudonųjų kraujo kūnelių skaičius (mažakraujystė – simptomai gali būti nuovargis, galvos skausmas, dusulys mankštinantis, svaigulys ir veido pablyškimas),</w:t>
      </w:r>
      <w:r>
        <w:rPr>
          <w:rFonts w:eastAsia="Calibri"/>
          <w:szCs w:val="22"/>
        </w:rPr>
        <w:t xml:space="preserve"> </w:t>
      </w:r>
      <w:r w:rsidRPr="00227C28">
        <w:rPr>
          <w:rFonts w:eastAsia="Calibri"/>
          <w:szCs w:val="22"/>
        </w:rPr>
        <w:t>trombocitų (kraujo krešėjimui būtinų kraujo ląstelių) kiekio sumažėjimas ir mažas cukraus kiekis kraujyje</w:t>
      </w:r>
      <w:r w:rsidRPr="00D724AC">
        <w:rPr>
          <w:rFonts w:eastAsia="Calibri"/>
          <w:szCs w:val="22"/>
        </w:rPr>
        <w:t>.</w:t>
      </w:r>
    </w:p>
    <w:p w14:paraId="168DA79C" w14:textId="77777777" w:rsidR="00A80CF8" w:rsidRPr="00D724AC" w:rsidRDefault="00A80CF8" w:rsidP="00A80CF8">
      <w:pPr>
        <w:numPr>
          <w:ilvl w:val="12"/>
          <w:numId w:val="0"/>
        </w:numPr>
        <w:ind w:right="-29"/>
        <w:rPr>
          <w:snapToGrid w:val="0"/>
          <w:szCs w:val="22"/>
          <w:lang w:eastAsia="en-US"/>
        </w:rPr>
      </w:pPr>
    </w:p>
    <w:p w14:paraId="5363BE06" w14:textId="77777777" w:rsidR="00A80CF8" w:rsidRPr="00D724AC" w:rsidRDefault="00A80CF8" w:rsidP="00A80CF8">
      <w:pPr>
        <w:autoSpaceDE w:val="0"/>
        <w:autoSpaceDN w:val="0"/>
        <w:adjustRightInd w:val="0"/>
        <w:rPr>
          <w:rFonts w:eastAsia="Calibri"/>
          <w:b/>
          <w:bCs/>
          <w:szCs w:val="22"/>
        </w:rPr>
      </w:pPr>
      <w:r w:rsidRPr="00D724AC">
        <w:rPr>
          <w:rFonts w:eastAsia="Calibri"/>
          <w:b/>
          <w:bCs/>
          <w:szCs w:val="22"/>
        </w:rPr>
        <w:t>Šalutinis poveikis, susijęs tik su hidrochlorotiazido vartojimu</w:t>
      </w:r>
    </w:p>
    <w:p w14:paraId="347DC86B" w14:textId="4CD28C14" w:rsidR="00A80CF8" w:rsidRDefault="00A80CF8" w:rsidP="00A80CF8">
      <w:pPr>
        <w:rPr>
          <w:rFonts w:eastAsia="Calibri"/>
          <w:szCs w:val="22"/>
        </w:rPr>
      </w:pPr>
      <w:r w:rsidRPr="00D724AC">
        <w:rPr>
          <w:snapToGrid w:val="0"/>
          <w:szCs w:val="22"/>
          <w:lang w:eastAsia="en-US"/>
        </w:rPr>
        <w:t>A</w:t>
      </w:r>
      <w:r w:rsidRPr="00D724AC">
        <w:rPr>
          <w:rFonts w:eastAsia="Calibri"/>
          <w:szCs w:val="22"/>
        </w:rPr>
        <w:t>petito stoka; skrandžio dirginimas; pilvo diegliai; vidurių užkietėjimas; gelta (odos ir (arba) akių obuolių pageltimas); kasos uždegimas, kuriam būdingas stiprus viršutinės pilvo dalies skausmas, dažnai lydimas pykinimo ir vėmimo; sutrikęs miegas; depresija; neryškus matymas; baltųjų kraujo ląstelių stoka, kuri pasireiškia dažnomis infekcijomis ir karščiavimu; sumažėjęs trombocitų (kraujui krešėti būtinų kraujo ląstelių) skaičius; sumažėjęs raudonųjų kraujo ląstelių skaičius (mažakraujystė), kuriai būdingas nuovargis, galvos skausmas, dusulys fizinio krūvio metu, galvos svaigimas ir blyškumas; inkstų liga; plaučių sutrikimai, įskaitant plaučių uždegimą ar skysčio sankaupą plaučiuose; padidėjusio odos jautrumo saulei reakcija; kraujagyslių uždegimas; odos liga, kuriai būdingas viso kūno odos lupimasis; odos raudonoji vilkligė, kuriai būdingas ant veido, kaklo ir plaukuotosios galvos odos galintis atsirasti bėrimas; alerginės reakcijos; silpnumas ir raumenų spazmai; sutrikęs širdies ritmas; pakeitus kūno padėtį sumažėjęs kraujospūdis; seilių liaukų patinimas; padidėjęs cukraus kiekis kraujyje; šlapime nustatomas cukrus; padidėjęs kai kurių kraujo riebalų kiekis; padidėjęs šlapimo rūgšties kiekis kraujyje, dėl ko gali pasireikšti podagra.</w:t>
      </w:r>
    </w:p>
    <w:p w14:paraId="4454CBF5" w14:textId="77777777" w:rsidR="00996CA4" w:rsidRDefault="00996CA4" w:rsidP="00A80CF8">
      <w:pPr>
        <w:rPr>
          <w:rFonts w:eastAsia="Calibri"/>
          <w:szCs w:val="22"/>
        </w:rPr>
      </w:pPr>
    </w:p>
    <w:p w14:paraId="5E8E2DB1" w14:textId="77777777" w:rsidR="00996CA4" w:rsidRPr="00996CA4" w:rsidRDefault="00996CA4" w:rsidP="00996CA4">
      <w:pPr>
        <w:rPr>
          <w:rFonts w:eastAsia="Calibri"/>
          <w:szCs w:val="22"/>
        </w:rPr>
      </w:pPr>
      <w:r w:rsidRPr="00996CA4">
        <w:rPr>
          <w:rFonts w:eastAsia="Calibri"/>
          <w:b/>
          <w:bCs/>
          <w:szCs w:val="22"/>
        </w:rPr>
        <w:t>Labai reti šalutinio poveikio reiškiniai (gali pasireikšti rečiau kaip 1 iš 10 000 asmenų):</w:t>
      </w:r>
      <w:r w:rsidRPr="00996CA4">
        <w:rPr>
          <w:rFonts w:eastAsia="Calibri"/>
          <w:szCs w:val="22"/>
        </w:rPr>
        <w:t xml:space="preserve"> ūminis kvėpavimo sutrikimas (pasireiškia stipriu dusuliu, karščiavimu, silpnumu ir sumišimu).</w:t>
      </w:r>
    </w:p>
    <w:p w14:paraId="765CBB66" w14:textId="77777777" w:rsidR="00996CA4" w:rsidRDefault="00996CA4" w:rsidP="00A80CF8"/>
    <w:p w14:paraId="587E7B59" w14:textId="77777777" w:rsidR="00A80CF8" w:rsidRDefault="00A80CF8" w:rsidP="00A80CF8">
      <w:pPr>
        <w:rPr>
          <w:rFonts w:eastAsia="Calibri"/>
          <w:szCs w:val="22"/>
        </w:rPr>
      </w:pPr>
      <w:r w:rsidRPr="005D554B">
        <w:rPr>
          <w:b/>
          <w:bCs/>
          <w:noProof/>
          <w:snapToGrid w:val="0"/>
          <w:szCs w:val="22"/>
        </w:rPr>
        <w:t>Šalutinio poveikio reiškiniai, kurių dažnis nežinomas (negali būti apskaičiuotas pagal turimus duomenis):</w:t>
      </w:r>
      <w:r>
        <w:rPr>
          <w:b/>
        </w:rPr>
        <w:t xml:space="preserve"> </w:t>
      </w:r>
      <w:r>
        <w:rPr>
          <w:rFonts w:eastAsia="Calibri"/>
          <w:szCs w:val="22"/>
        </w:rPr>
        <w:t>o</w:t>
      </w:r>
      <w:r w:rsidRPr="007060D6">
        <w:rPr>
          <w:rFonts w:eastAsia="Calibri"/>
          <w:szCs w:val="22"/>
        </w:rPr>
        <w:t>dos ir lūpos vėžys (nemelanominis odos vėžys).</w:t>
      </w:r>
      <w:r>
        <w:rPr>
          <w:rFonts w:eastAsia="Calibri"/>
          <w:szCs w:val="22"/>
        </w:rPr>
        <w:t xml:space="preserve"> </w:t>
      </w:r>
      <w:r w:rsidRPr="00BB5C59">
        <w:rPr>
          <w:rFonts w:eastAsia="Calibri"/>
          <w:szCs w:val="22"/>
        </w:rPr>
        <w:t xml:space="preserve">Susilpnėjęs regėjimas ar akių skausmas </w:t>
      </w:r>
      <w:r w:rsidRPr="00BB5C59">
        <w:rPr>
          <w:rFonts w:eastAsia="Calibri"/>
          <w:szCs w:val="22"/>
        </w:rPr>
        <w:lastRenderedPageBreak/>
        <w:t>dėl padidėjusio akispūdžio (galimi skysčio susikaupimo akies kraujagysliniame dangale (tarp gyslainės ir skleros) arba ūminės uždarojo kampo glaukomos požymiai)</w:t>
      </w:r>
      <w:r>
        <w:rPr>
          <w:rFonts w:eastAsia="Calibri"/>
          <w:szCs w:val="22"/>
        </w:rPr>
        <w:t>.</w:t>
      </w:r>
    </w:p>
    <w:p w14:paraId="074EF44E" w14:textId="77777777" w:rsidR="00A80CF8" w:rsidRPr="00D724AC" w:rsidRDefault="00A80CF8" w:rsidP="00A80CF8">
      <w:pPr>
        <w:rPr>
          <w:rFonts w:eastAsia="Calibri"/>
          <w:szCs w:val="22"/>
        </w:rPr>
      </w:pPr>
    </w:p>
    <w:p w14:paraId="7AFF082F" w14:textId="77777777" w:rsidR="00A80CF8" w:rsidRPr="00D724AC" w:rsidRDefault="00A80CF8" w:rsidP="00A80CF8">
      <w:pPr>
        <w:tabs>
          <w:tab w:val="left" w:pos="567"/>
        </w:tabs>
        <w:rPr>
          <w:b/>
          <w:snapToGrid w:val="0"/>
          <w:szCs w:val="22"/>
          <w:lang w:eastAsia="en-US"/>
        </w:rPr>
      </w:pPr>
      <w:r w:rsidRPr="00D724AC">
        <w:rPr>
          <w:rFonts w:eastAsia="Calibri"/>
          <w:szCs w:val="22"/>
        </w:rPr>
        <w:t>Yra žinoma, kad hidrochlorotiazido šalutinis poveikis gali stiprėti didinant jo dozę.</w:t>
      </w:r>
    </w:p>
    <w:p w14:paraId="24E9E797" w14:textId="77777777" w:rsidR="00A80CF8" w:rsidRPr="00D724AC" w:rsidRDefault="00A80CF8" w:rsidP="00A80CF8">
      <w:pPr>
        <w:tabs>
          <w:tab w:val="left" w:pos="567"/>
        </w:tabs>
        <w:rPr>
          <w:b/>
          <w:snapToGrid w:val="0"/>
          <w:szCs w:val="22"/>
          <w:lang w:eastAsia="en-US"/>
        </w:rPr>
      </w:pPr>
    </w:p>
    <w:p w14:paraId="3C6650B7" w14:textId="77777777" w:rsidR="00A80CF8" w:rsidRPr="00D724AC" w:rsidRDefault="00A80CF8" w:rsidP="00A80CF8">
      <w:pPr>
        <w:tabs>
          <w:tab w:val="left" w:pos="567"/>
        </w:tabs>
        <w:rPr>
          <w:b/>
          <w:snapToGrid w:val="0"/>
          <w:szCs w:val="22"/>
          <w:lang w:eastAsia="en-US"/>
        </w:rPr>
      </w:pPr>
      <w:r w:rsidRPr="00D724AC">
        <w:rPr>
          <w:b/>
          <w:snapToGrid w:val="0"/>
          <w:szCs w:val="22"/>
          <w:lang w:eastAsia="en-US"/>
        </w:rPr>
        <w:t>Pranešimas apie šalutinį poveikį</w:t>
      </w:r>
    </w:p>
    <w:p w14:paraId="3C33538C" w14:textId="77777777" w:rsidR="00A80CF8" w:rsidRPr="002C2EC4" w:rsidRDefault="00A80CF8" w:rsidP="00A80CF8">
      <w:pPr>
        <w:tabs>
          <w:tab w:val="left" w:pos="567"/>
        </w:tabs>
        <w:spacing w:line="260" w:lineRule="exact"/>
        <w:ind w:right="-1"/>
        <w:rPr>
          <w:snapToGrid w:val="0"/>
          <w:lang w:eastAsia="en-US"/>
        </w:rPr>
      </w:pPr>
      <w:r w:rsidRPr="002C2EC4">
        <w:rPr>
          <w:snapToGrid w:val="0"/>
          <w:lang w:eastAsia="en-US"/>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2C2EC4">
          <w:rPr>
            <w:snapToGrid w:val="0"/>
            <w:color w:val="0000FF"/>
            <w:u w:val="single"/>
            <w:lang w:eastAsia="en-US"/>
          </w:rPr>
          <w:t>https://vapris.vvkt.lt/vvkt-web/public/nrv</w:t>
        </w:r>
      </w:hyperlink>
      <w:r w:rsidRPr="002C2EC4">
        <w:rPr>
          <w:snapToGrid w:val="0"/>
          <w:lang w:eastAsia="en-US"/>
        </w:rPr>
        <w:t xml:space="preserve"> arba užpildant Paciento pranešimo apie įtariamą nepageidaujamą reakciją (ĮNR) formą, kuri skelbiama </w:t>
      </w:r>
      <w:hyperlink r:id="rId11" w:history="1">
        <w:r w:rsidRPr="002C2EC4">
          <w:rPr>
            <w:snapToGrid w:val="0"/>
            <w:color w:val="0000FF"/>
            <w:u w:val="single"/>
            <w:lang w:eastAsia="en-US"/>
          </w:rPr>
          <w:t>https://www.vvkt.lt/index.php?4004286486</w:t>
        </w:r>
      </w:hyperlink>
      <w:r w:rsidRPr="002C2EC4">
        <w:rPr>
          <w:snapToGrid w:val="0"/>
          <w:lang w:eastAsia="en-US"/>
        </w:rPr>
        <w:t xml:space="preserve">, ir atsiunčiant elektroniniu paštu (adresu </w:t>
      </w:r>
      <w:hyperlink r:id="rId12" w:history="1">
        <w:r w:rsidRPr="002C2EC4">
          <w:rPr>
            <w:snapToGrid w:val="0"/>
            <w:color w:val="0000FF"/>
            <w:u w:val="single"/>
            <w:lang w:eastAsia="en-US"/>
          </w:rPr>
          <w:t>NepageidaujamaR@vvkt.lt</w:t>
        </w:r>
      </w:hyperlink>
      <w:r w:rsidRPr="002C2EC4">
        <w:rPr>
          <w:snapToGrid w:val="0"/>
          <w:lang w:eastAsia="en-US"/>
        </w:rPr>
        <w:t>) arba nemokamu telefonu 8 800 73 568. Pranešdami apie šalutinį poveikį galite mums padėti gauti daugiau informacijos apie šio vaisto saugumą.</w:t>
      </w:r>
    </w:p>
    <w:p w14:paraId="1818FE40" w14:textId="77777777" w:rsidR="00A80CF8" w:rsidRDefault="00A80CF8" w:rsidP="00A80CF8">
      <w:pPr>
        <w:tabs>
          <w:tab w:val="left" w:pos="567"/>
        </w:tabs>
        <w:spacing w:line="260" w:lineRule="exact"/>
        <w:ind w:right="-449"/>
        <w:rPr>
          <w:snapToGrid w:val="0"/>
          <w:szCs w:val="22"/>
          <w:lang w:eastAsia="en-US"/>
        </w:rPr>
      </w:pPr>
    </w:p>
    <w:p w14:paraId="11DE8F4E" w14:textId="77777777" w:rsidR="00A80CF8" w:rsidRPr="00D724AC" w:rsidRDefault="00A80CF8" w:rsidP="00A80CF8">
      <w:pPr>
        <w:tabs>
          <w:tab w:val="left" w:pos="567"/>
        </w:tabs>
        <w:spacing w:line="260" w:lineRule="exact"/>
        <w:ind w:right="-449"/>
        <w:rPr>
          <w:snapToGrid w:val="0"/>
          <w:szCs w:val="22"/>
          <w:lang w:eastAsia="en-US"/>
        </w:rPr>
      </w:pPr>
    </w:p>
    <w:p w14:paraId="222C63B4" w14:textId="77777777" w:rsidR="00A80CF8" w:rsidRPr="00D724AC" w:rsidRDefault="00A80CF8" w:rsidP="00A80CF8">
      <w:pPr>
        <w:keepNext/>
        <w:keepLines/>
        <w:tabs>
          <w:tab w:val="left" w:pos="567"/>
        </w:tabs>
        <w:outlineLvl w:val="2"/>
        <w:rPr>
          <w:b/>
          <w:bCs/>
          <w:snapToGrid w:val="0"/>
          <w:szCs w:val="22"/>
          <w:lang w:eastAsia="x-none"/>
        </w:rPr>
      </w:pPr>
      <w:r w:rsidRPr="00D724AC">
        <w:rPr>
          <w:b/>
          <w:bCs/>
          <w:snapToGrid w:val="0"/>
          <w:szCs w:val="22"/>
          <w:lang w:eastAsia="x-none"/>
        </w:rPr>
        <w:t>5.</w:t>
      </w:r>
      <w:r w:rsidRPr="00D724AC">
        <w:rPr>
          <w:b/>
          <w:bCs/>
          <w:snapToGrid w:val="0"/>
          <w:szCs w:val="22"/>
          <w:lang w:eastAsia="x-none"/>
        </w:rPr>
        <w:tab/>
        <w:t>Kaip laikyti CONVERIDE</w:t>
      </w:r>
    </w:p>
    <w:p w14:paraId="1BF9A4FE" w14:textId="77777777" w:rsidR="00A80CF8" w:rsidRPr="00D724AC" w:rsidRDefault="00A80CF8" w:rsidP="00A80CF8">
      <w:pPr>
        <w:numPr>
          <w:ilvl w:val="12"/>
          <w:numId w:val="0"/>
        </w:numPr>
        <w:ind w:right="-2"/>
        <w:rPr>
          <w:snapToGrid w:val="0"/>
          <w:szCs w:val="22"/>
          <w:lang w:eastAsia="en-US"/>
        </w:rPr>
      </w:pPr>
    </w:p>
    <w:p w14:paraId="533B6B61" w14:textId="77777777" w:rsidR="00A80CF8" w:rsidRPr="00D724AC" w:rsidRDefault="00A80CF8" w:rsidP="00A80CF8">
      <w:pPr>
        <w:numPr>
          <w:ilvl w:val="12"/>
          <w:numId w:val="0"/>
        </w:numPr>
        <w:ind w:right="-2"/>
        <w:rPr>
          <w:snapToGrid w:val="0"/>
          <w:szCs w:val="22"/>
          <w:lang w:eastAsia="en-US"/>
        </w:rPr>
      </w:pPr>
      <w:r w:rsidRPr="00D724AC">
        <w:rPr>
          <w:snapToGrid w:val="0"/>
          <w:szCs w:val="22"/>
          <w:lang w:eastAsia="en-US"/>
        </w:rPr>
        <w:t>Šį vaistą laikykite vaikams nepastebimoje ir nepasiekiamoje vietoje.</w:t>
      </w:r>
    </w:p>
    <w:p w14:paraId="2993508A" w14:textId="77777777" w:rsidR="00A80CF8" w:rsidRPr="00D724AC" w:rsidRDefault="00A80CF8" w:rsidP="00A80CF8">
      <w:pPr>
        <w:numPr>
          <w:ilvl w:val="12"/>
          <w:numId w:val="0"/>
        </w:numPr>
        <w:ind w:right="-2"/>
        <w:rPr>
          <w:snapToGrid w:val="0"/>
          <w:szCs w:val="22"/>
          <w:lang w:eastAsia="en-US"/>
        </w:rPr>
      </w:pPr>
    </w:p>
    <w:p w14:paraId="138591FB" w14:textId="77777777" w:rsidR="00A80CF8" w:rsidRPr="00D724AC" w:rsidRDefault="00A80CF8" w:rsidP="00A80CF8">
      <w:pPr>
        <w:rPr>
          <w:snapToGrid w:val="0"/>
          <w:szCs w:val="22"/>
          <w:lang w:eastAsia="en-US"/>
        </w:rPr>
      </w:pPr>
      <w:r w:rsidRPr="00D724AC">
        <w:rPr>
          <w:snapToGrid w:val="0"/>
          <w:szCs w:val="22"/>
          <w:lang w:eastAsia="en-US"/>
        </w:rPr>
        <w:t xml:space="preserve">Nepermatomos PVC/PVDC-aliuminio lizdinės plokštelės: šio vaisto laikymui specialių temperatūros sąlygų nereikalaujama. </w:t>
      </w:r>
      <w:r w:rsidRPr="00D724AC">
        <w:rPr>
          <w:rFonts w:eastAsia="Calibri"/>
          <w:szCs w:val="22"/>
        </w:rPr>
        <w:t xml:space="preserve">Laikyti gamintojo pakuotėje, kad </w:t>
      </w:r>
      <w:r>
        <w:rPr>
          <w:rFonts w:eastAsia="Calibri"/>
          <w:szCs w:val="22"/>
        </w:rPr>
        <w:t>vaistas</w:t>
      </w:r>
      <w:r w:rsidRPr="00D724AC">
        <w:rPr>
          <w:rFonts w:eastAsia="Calibri"/>
          <w:szCs w:val="22"/>
        </w:rPr>
        <w:t xml:space="preserve"> būtų apsaugotas nuo drėgmės.</w:t>
      </w:r>
    </w:p>
    <w:p w14:paraId="063E077B" w14:textId="77777777" w:rsidR="00A80CF8" w:rsidRPr="00D724AC" w:rsidRDefault="00A80CF8" w:rsidP="00A80CF8">
      <w:pPr>
        <w:rPr>
          <w:snapToGrid w:val="0"/>
          <w:szCs w:val="22"/>
          <w:lang w:eastAsia="en-US"/>
        </w:rPr>
      </w:pPr>
    </w:p>
    <w:p w14:paraId="14B19D21" w14:textId="77777777" w:rsidR="00A80CF8" w:rsidRPr="00D724AC" w:rsidRDefault="00A80CF8" w:rsidP="00A80CF8">
      <w:pPr>
        <w:rPr>
          <w:snapToGrid w:val="0"/>
          <w:szCs w:val="22"/>
          <w:lang w:eastAsia="en-US"/>
        </w:rPr>
      </w:pPr>
      <w:r w:rsidRPr="00D724AC">
        <w:rPr>
          <w:snapToGrid w:val="0"/>
          <w:szCs w:val="22"/>
          <w:lang w:eastAsia="en-US"/>
        </w:rPr>
        <w:t xml:space="preserve">Permatomos PVC/PE/PVDC-aliuminio lizdinės plokštelės: šio vaisto laikymui specialių temperatūros sąlygų nereikalaujama. </w:t>
      </w:r>
      <w:r w:rsidRPr="00D724AC">
        <w:rPr>
          <w:rFonts w:eastAsia="Calibri"/>
          <w:szCs w:val="22"/>
        </w:rPr>
        <w:t xml:space="preserve">Laikyti gamintojo pakuotėje, kad </w:t>
      </w:r>
      <w:r>
        <w:rPr>
          <w:rFonts w:eastAsia="Calibri"/>
          <w:szCs w:val="22"/>
        </w:rPr>
        <w:t>vaistas</w:t>
      </w:r>
      <w:r w:rsidRPr="00D724AC">
        <w:rPr>
          <w:rFonts w:eastAsia="Calibri"/>
          <w:szCs w:val="22"/>
        </w:rPr>
        <w:t xml:space="preserve"> būtų apsaugotas nuo drėgmės ir šviesos.</w:t>
      </w:r>
    </w:p>
    <w:p w14:paraId="7CE5AB3D" w14:textId="77777777" w:rsidR="00A80CF8" w:rsidRPr="00D724AC" w:rsidRDefault="00A80CF8" w:rsidP="00A80CF8">
      <w:pPr>
        <w:numPr>
          <w:ilvl w:val="12"/>
          <w:numId w:val="0"/>
        </w:numPr>
        <w:ind w:right="-2"/>
        <w:rPr>
          <w:snapToGrid w:val="0"/>
          <w:szCs w:val="22"/>
          <w:lang w:eastAsia="en-US"/>
        </w:rPr>
      </w:pPr>
    </w:p>
    <w:p w14:paraId="11E74277" w14:textId="77777777" w:rsidR="00A80CF8" w:rsidRPr="00D724AC" w:rsidRDefault="00A80CF8" w:rsidP="00A80CF8">
      <w:pPr>
        <w:autoSpaceDE w:val="0"/>
        <w:autoSpaceDN w:val="0"/>
        <w:adjustRightInd w:val="0"/>
        <w:rPr>
          <w:snapToGrid w:val="0"/>
          <w:szCs w:val="22"/>
          <w:lang w:eastAsia="en-US"/>
        </w:rPr>
      </w:pPr>
      <w:r w:rsidRPr="00D724AC">
        <w:rPr>
          <w:rFonts w:eastAsia="Calibri"/>
          <w:szCs w:val="22"/>
        </w:rPr>
        <w:t>Ant dėžutės po „</w:t>
      </w:r>
      <w:r>
        <w:rPr>
          <w:rFonts w:eastAsia="Calibri"/>
          <w:szCs w:val="22"/>
        </w:rPr>
        <w:t>EXP</w:t>
      </w:r>
      <w:r w:rsidRPr="00D724AC">
        <w:rPr>
          <w:rFonts w:eastAsia="Calibri"/>
          <w:szCs w:val="22"/>
        </w:rPr>
        <w:t>“ ar lizdinės plokštelės nurodytam tinkamumo laikui pasibaigus, šio vaisto vartoti negalima. Vaistas tinkamas vartoti iki paskutinės nurodyto mėnesio dienos.</w:t>
      </w:r>
    </w:p>
    <w:p w14:paraId="6FED9A15" w14:textId="77777777" w:rsidR="00A80CF8" w:rsidRPr="00D724AC" w:rsidRDefault="00A80CF8" w:rsidP="00A80CF8">
      <w:pPr>
        <w:numPr>
          <w:ilvl w:val="12"/>
          <w:numId w:val="0"/>
        </w:numPr>
        <w:ind w:right="-2"/>
        <w:rPr>
          <w:snapToGrid w:val="0"/>
          <w:szCs w:val="22"/>
          <w:lang w:eastAsia="en-US"/>
        </w:rPr>
      </w:pPr>
    </w:p>
    <w:p w14:paraId="093D0314" w14:textId="77777777" w:rsidR="00A80CF8" w:rsidRPr="00D724AC" w:rsidRDefault="00A80CF8" w:rsidP="00A80CF8">
      <w:pPr>
        <w:numPr>
          <w:ilvl w:val="12"/>
          <w:numId w:val="0"/>
        </w:numPr>
        <w:ind w:right="-2"/>
        <w:rPr>
          <w:i/>
          <w:snapToGrid w:val="0"/>
          <w:szCs w:val="22"/>
          <w:lang w:eastAsia="en-US"/>
        </w:rPr>
      </w:pPr>
      <w:r w:rsidRPr="00D724AC">
        <w:rPr>
          <w:snapToGrid w:val="0"/>
          <w:szCs w:val="22"/>
          <w:lang w:eastAsia="en-US"/>
        </w:rPr>
        <w:t>Vaistų negalima išmesti į kanalizaciją arba su buitinėmis atliekomis. Kaip išmesti nereikalingus vaistus, klauskite vaistininko. Šios priemonės padės apsaugoti aplinką.</w:t>
      </w:r>
    </w:p>
    <w:p w14:paraId="04ABDC07" w14:textId="77777777" w:rsidR="00A80CF8" w:rsidRPr="00D724AC" w:rsidRDefault="00A80CF8" w:rsidP="00A80CF8">
      <w:pPr>
        <w:numPr>
          <w:ilvl w:val="12"/>
          <w:numId w:val="0"/>
        </w:numPr>
        <w:ind w:right="-2"/>
        <w:rPr>
          <w:snapToGrid w:val="0"/>
          <w:szCs w:val="22"/>
          <w:lang w:eastAsia="en-US"/>
        </w:rPr>
      </w:pPr>
    </w:p>
    <w:p w14:paraId="5024B024" w14:textId="77777777" w:rsidR="00A80CF8" w:rsidRPr="00D724AC" w:rsidRDefault="00A80CF8" w:rsidP="00A80CF8">
      <w:pPr>
        <w:numPr>
          <w:ilvl w:val="12"/>
          <w:numId w:val="0"/>
        </w:numPr>
        <w:ind w:right="-2"/>
        <w:rPr>
          <w:snapToGrid w:val="0"/>
          <w:szCs w:val="22"/>
          <w:lang w:eastAsia="en-US"/>
        </w:rPr>
      </w:pPr>
    </w:p>
    <w:p w14:paraId="2A862661" w14:textId="77777777" w:rsidR="00A80CF8" w:rsidRPr="00D724AC" w:rsidRDefault="00A80CF8" w:rsidP="00A80CF8">
      <w:pPr>
        <w:keepNext/>
        <w:keepLines/>
        <w:tabs>
          <w:tab w:val="left" w:pos="567"/>
        </w:tabs>
        <w:outlineLvl w:val="2"/>
        <w:rPr>
          <w:b/>
          <w:bCs/>
          <w:snapToGrid w:val="0"/>
          <w:szCs w:val="22"/>
          <w:lang w:eastAsia="x-none"/>
        </w:rPr>
      </w:pPr>
      <w:r w:rsidRPr="00D724AC">
        <w:rPr>
          <w:b/>
          <w:bCs/>
          <w:snapToGrid w:val="0"/>
          <w:szCs w:val="22"/>
          <w:lang w:eastAsia="x-none"/>
        </w:rPr>
        <w:t>6.</w:t>
      </w:r>
      <w:r w:rsidRPr="00D724AC">
        <w:rPr>
          <w:bCs/>
          <w:snapToGrid w:val="0"/>
          <w:szCs w:val="22"/>
          <w:lang w:eastAsia="x-none"/>
        </w:rPr>
        <w:tab/>
      </w:r>
      <w:r w:rsidRPr="00D724AC">
        <w:rPr>
          <w:b/>
          <w:bCs/>
          <w:snapToGrid w:val="0"/>
          <w:szCs w:val="22"/>
          <w:lang w:eastAsia="x-none"/>
        </w:rPr>
        <w:t>Pakuotės turinys ir kita informacija</w:t>
      </w:r>
    </w:p>
    <w:p w14:paraId="777B0DC8" w14:textId="77777777" w:rsidR="00A80CF8" w:rsidRPr="00D724AC" w:rsidRDefault="00A80CF8" w:rsidP="00A80CF8">
      <w:pPr>
        <w:numPr>
          <w:ilvl w:val="12"/>
          <w:numId w:val="0"/>
        </w:numPr>
        <w:rPr>
          <w:snapToGrid w:val="0"/>
          <w:szCs w:val="22"/>
          <w:lang w:eastAsia="en-US"/>
        </w:rPr>
      </w:pPr>
    </w:p>
    <w:p w14:paraId="46CCBADA" w14:textId="77777777" w:rsidR="00A80CF8" w:rsidRPr="00D724AC" w:rsidRDefault="00A80CF8" w:rsidP="00A80CF8">
      <w:pPr>
        <w:keepNext/>
        <w:tabs>
          <w:tab w:val="left" w:pos="567"/>
        </w:tabs>
        <w:spacing w:line="260" w:lineRule="exact"/>
        <w:jc w:val="both"/>
        <w:outlineLvl w:val="3"/>
        <w:rPr>
          <w:b/>
          <w:bCs/>
          <w:snapToGrid w:val="0"/>
          <w:szCs w:val="22"/>
          <w:lang w:eastAsia="x-none"/>
        </w:rPr>
      </w:pPr>
      <w:r w:rsidRPr="00D724AC">
        <w:rPr>
          <w:b/>
          <w:bCs/>
          <w:snapToGrid w:val="0"/>
          <w:szCs w:val="22"/>
          <w:lang w:eastAsia="x-none"/>
        </w:rPr>
        <w:t xml:space="preserve">CONVERIDE sudėtis </w:t>
      </w:r>
    </w:p>
    <w:p w14:paraId="37290727" w14:textId="77777777" w:rsidR="00A80CF8" w:rsidRPr="00D724AC" w:rsidRDefault="00A80CF8" w:rsidP="00FD66F2">
      <w:pPr>
        <w:numPr>
          <w:ilvl w:val="0"/>
          <w:numId w:val="4"/>
        </w:numPr>
        <w:spacing w:line="260" w:lineRule="exact"/>
        <w:ind w:left="567" w:right="-2" w:hanging="567"/>
        <w:rPr>
          <w:snapToGrid w:val="0"/>
          <w:szCs w:val="22"/>
          <w:lang w:eastAsia="en-US"/>
        </w:rPr>
      </w:pPr>
      <w:r w:rsidRPr="00D724AC">
        <w:rPr>
          <w:snapToGrid w:val="0"/>
          <w:szCs w:val="22"/>
          <w:lang w:eastAsia="en-US"/>
        </w:rPr>
        <w:t>Veikliosios medžiagos yra irbesartanas ir hidrochlorotiazidas.</w:t>
      </w:r>
    </w:p>
    <w:p w14:paraId="3C04215C" w14:textId="77777777" w:rsidR="00A80CF8" w:rsidRDefault="00A80CF8" w:rsidP="00A80CF8">
      <w:pPr>
        <w:ind w:left="567" w:right="-2"/>
        <w:rPr>
          <w:rFonts w:eastAsia="Calibri"/>
          <w:szCs w:val="22"/>
        </w:rPr>
      </w:pPr>
      <w:r w:rsidRPr="00D724AC">
        <w:rPr>
          <w:snapToGrid w:val="0"/>
          <w:szCs w:val="22"/>
          <w:lang w:eastAsia="en-US"/>
        </w:rPr>
        <w:t xml:space="preserve">Kiekvienoje CONVERIDE </w:t>
      </w:r>
      <w:r w:rsidRPr="00D724AC">
        <w:rPr>
          <w:rFonts w:eastAsia="Calibri"/>
          <w:szCs w:val="22"/>
        </w:rPr>
        <w:t>150</w:t>
      </w:r>
      <w:r>
        <w:rPr>
          <w:rFonts w:eastAsia="Calibri"/>
          <w:szCs w:val="22"/>
        </w:rPr>
        <w:t> </w:t>
      </w:r>
      <w:r w:rsidRPr="00D724AC">
        <w:rPr>
          <w:rFonts w:eastAsia="Calibri"/>
          <w:szCs w:val="22"/>
        </w:rPr>
        <w:t>mg/12,5</w:t>
      </w:r>
      <w:r>
        <w:rPr>
          <w:rFonts w:eastAsia="Calibri"/>
          <w:szCs w:val="22"/>
        </w:rPr>
        <w:t> </w:t>
      </w:r>
      <w:r w:rsidRPr="00D724AC">
        <w:rPr>
          <w:rFonts w:eastAsia="Calibri"/>
          <w:szCs w:val="22"/>
        </w:rPr>
        <w:t>mg plėvele dengtoje tabletėje yra 150</w:t>
      </w:r>
      <w:r>
        <w:rPr>
          <w:rFonts w:eastAsia="Calibri"/>
          <w:szCs w:val="22"/>
        </w:rPr>
        <w:t> </w:t>
      </w:r>
      <w:r w:rsidRPr="00D724AC">
        <w:rPr>
          <w:rFonts w:eastAsia="Calibri"/>
          <w:szCs w:val="22"/>
        </w:rPr>
        <w:t>mg irbesartano</w:t>
      </w:r>
    </w:p>
    <w:p w14:paraId="05809720" w14:textId="77777777" w:rsidR="00A80CF8" w:rsidRPr="00D724AC" w:rsidRDefault="00A80CF8" w:rsidP="00A80CF8">
      <w:pPr>
        <w:ind w:left="567" w:right="-2"/>
        <w:rPr>
          <w:rFonts w:eastAsia="Calibri"/>
          <w:szCs w:val="22"/>
        </w:rPr>
      </w:pPr>
      <w:r w:rsidRPr="00D724AC">
        <w:rPr>
          <w:rFonts w:eastAsia="Calibri"/>
          <w:szCs w:val="22"/>
        </w:rPr>
        <w:t>ir 12,5</w:t>
      </w:r>
      <w:r>
        <w:rPr>
          <w:rFonts w:eastAsia="Calibri"/>
          <w:szCs w:val="22"/>
        </w:rPr>
        <w:t> </w:t>
      </w:r>
      <w:r w:rsidRPr="00D724AC">
        <w:rPr>
          <w:rFonts w:eastAsia="Calibri"/>
          <w:szCs w:val="22"/>
        </w:rPr>
        <w:t>mg hidrochlorotiazido.</w:t>
      </w:r>
    </w:p>
    <w:p w14:paraId="31324BCA" w14:textId="77777777" w:rsidR="00A80CF8" w:rsidRPr="00D724AC" w:rsidRDefault="00A80CF8" w:rsidP="00A80CF8">
      <w:pPr>
        <w:ind w:left="567" w:right="-2"/>
        <w:rPr>
          <w:snapToGrid w:val="0"/>
          <w:szCs w:val="22"/>
          <w:lang w:eastAsia="en-US"/>
        </w:rPr>
      </w:pPr>
      <w:r w:rsidRPr="00D724AC">
        <w:rPr>
          <w:snapToGrid w:val="0"/>
          <w:szCs w:val="22"/>
          <w:lang w:eastAsia="en-US"/>
        </w:rPr>
        <w:t xml:space="preserve">Kiekvienoje CONVERIDE </w:t>
      </w:r>
      <w:r w:rsidRPr="00D724AC">
        <w:rPr>
          <w:rFonts w:eastAsia="Calibri"/>
          <w:szCs w:val="22"/>
        </w:rPr>
        <w:t>300</w:t>
      </w:r>
      <w:r>
        <w:rPr>
          <w:rFonts w:eastAsia="Calibri"/>
          <w:szCs w:val="22"/>
        </w:rPr>
        <w:t> </w:t>
      </w:r>
      <w:r w:rsidRPr="00D724AC">
        <w:rPr>
          <w:rFonts w:eastAsia="Calibri"/>
          <w:szCs w:val="22"/>
        </w:rPr>
        <w:t>mg/25</w:t>
      </w:r>
      <w:r>
        <w:rPr>
          <w:rFonts w:eastAsia="Calibri"/>
          <w:szCs w:val="22"/>
        </w:rPr>
        <w:t> </w:t>
      </w:r>
      <w:r w:rsidRPr="00D724AC">
        <w:rPr>
          <w:rFonts w:eastAsia="Calibri"/>
          <w:szCs w:val="22"/>
        </w:rPr>
        <w:t>mg plėvele dengtoje tabletėje yra 300</w:t>
      </w:r>
      <w:r>
        <w:rPr>
          <w:rFonts w:eastAsia="Calibri"/>
          <w:szCs w:val="22"/>
        </w:rPr>
        <w:t> </w:t>
      </w:r>
      <w:r w:rsidRPr="00D724AC">
        <w:rPr>
          <w:rFonts w:eastAsia="Calibri"/>
          <w:szCs w:val="22"/>
        </w:rPr>
        <w:t>mg irbesartano ir 25</w:t>
      </w:r>
      <w:r>
        <w:rPr>
          <w:rFonts w:eastAsia="Calibri"/>
          <w:szCs w:val="22"/>
        </w:rPr>
        <w:t> </w:t>
      </w:r>
      <w:r w:rsidRPr="00D724AC">
        <w:rPr>
          <w:rFonts w:eastAsia="Calibri"/>
          <w:szCs w:val="22"/>
        </w:rPr>
        <w:t>mg hidrochlorotiazido.</w:t>
      </w:r>
    </w:p>
    <w:p w14:paraId="719261D1" w14:textId="77777777" w:rsidR="00A80CF8" w:rsidRPr="00D724AC" w:rsidRDefault="00A80CF8" w:rsidP="00FD66F2">
      <w:pPr>
        <w:numPr>
          <w:ilvl w:val="0"/>
          <w:numId w:val="4"/>
        </w:numPr>
        <w:spacing w:line="260" w:lineRule="exact"/>
        <w:ind w:left="567" w:right="-2" w:hanging="567"/>
        <w:rPr>
          <w:snapToGrid w:val="0"/>
          <w:szCs w:val="22"/>
          <w:lang w:eastAsia="en-US"/>
        </w:rPr>
      </w:pPr>
      <w:r w:rsidRPr="00D724AC">
        <w:rPr>
          <w:snapToGrid w:val="0"/>
          <w:szCs w:val="22"/>
          <w:lang w:eastAsia="en-US"/>
        </w:rPr>
        <w:t>Pagalbinės medžiagos yra laktozė monohidratas, pregelifikuotas krakmolas, koloidinis bevandenis silicio dioksidas, kroskarmeliozės natrio druska (E468), mikrokristalinė celiuliozė</w:t>
      </w:r>
      <w:r w:rsidRPr="00D724AC">
        <w:rPr>
          <w:rFonts w:eastAsia="Calibri"/>
          <w:szCs w:val="22"/>
        </w:rPr>
        <w:t xml:space="preserve"> PH-102 (E460), magnio stearatas (E572), hipromeliozė (E464), makrogolis 6000, titano dioksidas (E171).</w:t>
      </w:r>
    </w:p>
    <w:p w14:paraId="17BF7C2D" w14:textId="77777777" w:rsidR="00A80CF8" w:rsidRPr="00D724AC" w:rsidRDefault="00A80CF8" w:rsidP="00A80CF8">
      <w:pPr>
        <w:numPr>
          <w:ilvl w:val="12"/>
          <w:numId w:val="0"/>
        </w:numPr>
        <w:ind w:right="-2"/>
        <w:rPr>
          <w:snapToGrid w:val="0"/>
          <w:szCs w:val="22"/>
          <w:lang w:eastAsia="en-US"/>
        </w:rPr>
      </w:pPr>
    </w:p>
    <w:p w14:paraId="280B7788" w14:textId="77777777" w:rsidR="00A80CF8" w:rsidRPr="00D724AC" w:rsidRDefault="00A80CF8" w:rsidP="00A80CF8">
      <w:pPr>
        <w:keepNext/>
        <w:tabs>
          <w:tab w:val="left" w:pos="567"/>
        </w:tabs>
        <w:spacing w:line="260" w:lineRule="exact"/>
        <w:outlineLvl w:val="3"/>
        <w:rPr>
          <w:b/>
          <w:bCs/>
          <w:snapToGrid w:val="0"/>
          <w:szCs w:val="22"/>
          <w:lang w:eastAsia="x-none"/>
        </w:rPr>
      </w:pPr>
      <w:r w:rsidRPr="00D724AC">
        <w:rPr>
          <w:b/>
          <w:bCs/>
          <w:snapToGrid w:val="0"/>
          <w:szCs w:val="22"/>
          <w:lang w:eastAsia="x-none"/>
        </w:rPr>
        <w:t>CONVERIDE išvaizda ir kiekis pakuotėje</w:t>
      </w:r>
    </w:p>
    <w:p w14:paraId="5AF56430" w14:textId="77777777" w:rsidR="00A80CF8" w:rsidRPr="00D724AC" w:rsidRDefault="00A80CF8" w:rsidP="00A80CF8">
      <w:pPr>
        <w:tabs>
          <w:tab w:val="left" w:pos="567"/>
        </w:tabs>
        <w:spacing w:line="260" w:lineRule="exact"/>
        <w:rPr>
          <w:snapToGrid w:val="0"/>
          <w:szCs w:val="22"/>
          <w:lang w:eastAsia="en-US"/>
        </w:rPr>
      </w:pPr>
      <w:r w:rsidRPr="00D724AC">
        <w:rPr>
          <w:snapToGrid w:val="0"/>
          <w:szCs w:val="22"/>
          <w:lang w:eastAsia="en-US"/>
        </w:rPr>
        <w:t>CONVERIDE 150</w:t>
      </w:r>
      <w:r>
        <w:rPr>
          <w:snapToGrid w:val="0"/>
          <w:szCs w:val="22"/>
          <w:lang w:eastAsia="en-US"/>
        </w:rPr>
        <w:t> </w:t>
      </w:r>
      <w:r w:rsidRPr="00D724AC">
        <w:rPr>
          <w:snapToGrid w:val="0"/>
          <w:szCs w:val="22"/>
          <w:lang w:eastAsia="en-US"/>
        </w:rPr>
        <w:t>mg/12,5</w:t>
      </w:r>
      <w:r>
        <w:rPr>
          <w:snapToGrid w:val="0"/>
          <w:szCs w:val="22"/>
          <w:lang w:eastAsia="en-US"/>
        </w:rPr>
        <w:t> </w:t>
      </w:r>
      <w:r w:rsidRPr="00D724AC">
        <w:rPr>
          <w:snapToGrid w:val="0"/>
          <w:szCs w:val="22"/>
          <w:lang w:eastAsia="en-US"/>
        </w:rPr>
        <w:t>mg plėvele dengtos tabletės yra baltos, apvalios, išgaubtos, dengtos plėvele, 9,5</w:t>
      </w:r>
      <w:r>
        <w:rPr>
          <w:snapToGrid w:val="0"/>
          <w:szCs w:val="22"/>
          <w:lang w:eastAsia="en-US"/>
        </w:rPr>
        <w:t> </w:t>
      </w:r>
      <w:r w:rsidRPr="00D724AC">
        <w:rPr>
          <w:snapToGrid w:val="0"/>
          <w:szCs w:val="22"/>
          <w:lang w:eastAsia="en-US"/>
        </w:rPr>
        <w:t xml:space="preserve">mm skersmens. </w:t>
      </w:r>
    </w:p>
    <w:p w14:paraId="13115FBB" w14:textId="77777777" w:rsidR="00A80CF8" w:rsidRPr="00D724AC" w:rsidRDefault="00A80CF8" w:rsidP="00A80CF8">
      <w:pPr>
        <w:tabs>
          <w:tab w:val="left" w:pos="567"/>
        </w:tabs>
        <w:spacing w:line="260" w:lineRule="exact"/>
        <w:rPr>
          <w:snapToGrid w:val="0"/>
          <w:szCs w:val="22"/>
          <w:lang w:eastAsia="en-US"/>
        </w:rPr>
      </w:pPr>
    </w:p>
    <w:p w14:paraId="1C9237B1" w14:textId="77777777" w:rsidR="00A80CF8" w:rsidRPr="00D724AC" w:rsidRDefault="00A80CF8" w:rsidP="00A80CF8">
      <w:pPr>
        <w:tabs>
          <w:tab w:val="left" w:pos="567"/>
        </w:tabs>
        <w:spacing w:line="260" w:lineRule="exact"/>
        <w:rPr>
          <w:snapToGrid w:val="0"/>
          <w:szCs w:val="22"/>
          <w:lang w:eastAsia="en-US"/>
        </w:rPr>
      </w:pPr>
      <w:r w:rsidRPr="00D724AC">
        <w:rPr>
          <w:snapToGrid w:val="0"/>
          <w:szCs w:val="22"/>
          <w:lang w:eastAsia="en-US"/>
        </w:rPr>
        <w:t>CONVERIDE 300</w:t>
      </w:r>
      <w:r>
        <w:rPr>
          <w:snapToGrid w:val="0"/>
          <w:szCs w:val="22"/>
          <w:lang w:eastAsia="en-US"/>
        </w:rPr>
        <w:t> </w:t>
      </w:r>
      <w:r w:rsidRPr="00D724AC">
        <w:rPr>
          <w:snapToGrid w:val="0"/>
          <w:szCs w:val="22"/>
          <w:lang w:eastAsia="en-US"/>
        </w:rPr>
        <w:t>mg/25</w:t>
      </w:r>
      <w:r>
        <w:rPr>
          <w:snapToGrid w:val="0"/>
          <w:szCs w:val="22"/>
          <w:lang w:eastAsia="en-US"/>
        </w:rPr>
        <w:t> </w:t>
      </w:r>
      <w:r w:rsidRPr="00D724AC">
        <w:rPr>
          <w:snapToGrid w:val="0"/>
          <w:szCs w:val="22"/>
          <w:lang w:eastAsia="en-US"/>
        </w:rPr>
        <w:t xml:space="preserve">mg plėvele dengtos tabletės yra baltos spalvos, išgaubtos, kapsulės formos plėvele dengtos tabletės, kurių vienoje pusėje yra vagelė, o kitoje įspaudas „MC“, tabletės dydis 17,5 mm x 8 mm. </w:t>
      </w:r>
    </w:p>
    <w:p w14:paraId="306F41F7" w14:textId="77777777" w:rsidR="00A80CF8" w:rsidRPr="00D724AC" w:rsidRDefault="00A80CF8" w:rsidP="00A80CF8">
      <w:pPr>
        <w:tabs>
          <w:tab w:val="left" w:pos="567"/>
        </w:tabs>
        <w:spacing w:line="260" w:lineRule="exact"/>
        <w:rPr>
          <w:snapToGrid w:val="0"/>
          <w:szCs w:val="22"/>
          <w:lang w:eastAsia="en-US"/>
        </w:rPr>
      </w:pPr>
    </w:p>
    <w:p w14:paraId="37427134" w14:textId="77777777" w:rsidR="00A80CF8" w:rsidRPr="00D724AC" w:rsidRDefault="00A80CF8" w:rsidP="00A80CF8">
      <w:pPr>
        <w:widowControl w:val="0"/>
        <w:tabs>
          <w:tab w:val="left" w:pos="567"/>
        </w:tabs>
        <w:autoSpaceDE w:val="0"/>
        <w:autoSpaceDN w:val="0"/>
        <w:adjustRightInd w:val="0"/>
        <w:spacing w:line="260" w:lineRule="exact"/>
        <w:ind w:right="252"/>
        <w:rPr>
          <w:snapToGrid w:val="0"/>
          <w:szCs w:val="22"/>
          <w:lang w:eastAsia="en-US"/>
        </w:rPr>
      </w:pPr>
      <w:r w:rsidRPr="00D724AC">
        <w:rPr>
          <w:snapToGrid w:val="0"/>
          <w:szCs w:val="22"/>
          <w:lang w:eastAsia="en-US"/>
        </w:rPr>
        <w:t xml:space="preserve">CONVERIDE plėvele dengtos tabletės yra tiekiamos supakuotos į lizdines plokšteles. Vienoje </w:t>
      </w:r>
      <w:r w:rsidRPr="00D724AC">
        <w:rPr>
          <w:snapToGrid w:val="0"/>
          <w:szCs w:val="22"/>
          <w:lang w:eastAsia="en-US"/>
        </w:rPr>
        <w:lastRenderedPageBreak/>
        <w:t xml:space="preserve">pakuotėje yra </w:t>
      </w:r>
      <w:r w:rsidRPr="00D724AC">
        <w:rPr>
          <w:snapToGrid w:val="0"/>
          <w:spacing w:val="-2"/>
          <w:szCs w:val="22"/>
          <w:lang w:eastAsia="en-US"/>
        </w:rPr>
        <w:t xml:space="preserve">14, 28, 30, 56, 60, 84, 90, 98 arba 100 plėvele dengtų tablečių. </w:t>
      </w:r>
    </w:p>
    <w:p w14:paraId="0AFDB4E1" w14:textId="77777777" w:rsidR="00A80CF8" w:rsidRPr="00D724AC" w:rsidRDefault="00A80CF8" w:rsidP="00A80CF8">
      <w:pPr>
        <w:widowControl w:val="0"/>
        <w:tabs>
          <w:tab w:val="left" w:pos="567"/>
        </w:tabs>
        <w:autoSpaceDE w:val="0"/>
        <w:autoSpaceDN w:val="0"/>
        <w:adjustRightInd w:val="0"/>
        <w:spacing w:line="260" w:lineRule="exact"/>
        <w:ind w:right="252"/>
        <w:rPr>
          <w:snapToGrid w:val="0"/>
          <w:szCs w:val="22"/>
          <w:highlight w:val="yellow"/>
          <w:lang w:eastAsia="en-US"/>
        </w:rPr>
      </w:pPr>
    </w:p>
    <w:p w14:paraId="4210DF2D" w14:textId="77777777" w:rsidR="00A80CF8" w:rsidRPr="00D724AC" w:rsidRDefault="00A80CF8" w:rsidP="00A80CF8">
      <w:pPr>
        <w:rPr>
          <w:snapToGrid w:val="0"/>
          <w:szCs w:val="22"/>
          <w:lang w:eastAsia="en-US"/>
        </w:rPr>
      </w:pPr>
      <w:r w:rsidRPr="00D724AC">
        <w:rPr>
          <w:rFonts w:eastAsia="Calibri"/>
          <w:szCs w:val="22"/>
        </w:rPr>
        <w:t>Gali būti tiekiamos ne visų dydžių pakuotės.</w:t>
      </w:r>
    </w:p>
    <w:p w14:paraId="1C4E871C" w14:textId="77777777" w:rsidR="00A80CF8" w:rsidRPr="00D724AC" w:rsidRDefault="00A80CF8" w:rsidP="00A80CF8">
      <w:pPr>
        <w:numPr>
          <w:ilvl w:val="12"/>
          <w:numId w:val="0"/>
        </w:numPr>
        <w:ind w:right="-2"/>
        <w:rPr>
          <w:snapToGrid w:val="0"/>
          <w:szCs w:val="22"/>
          <w:lang w:eastAsia="en-US"/>
        </w:rPr>
      </w:pPr>
    </w:p>
    <w:p w14:paraId="0BA1F4C6" w14:textId="77777777" w:rsidR="00A80CF8" w:rsidRPr="00D724AC" w:rsidRDefault="00A80CF8" w:rsidP="00A80CF8">
      <w:pPr>
        <w:keepNext/>
        <w:tabs>
          <w:tab w:val="left" w:pos="567"/>
        </w:tabs>
        <w:spacing w:line="260" w:lineRule="exact"/>
        <w:outlineLvl w:val="3"/>
        <w:rPr>
          <w:b/>
          <w:bCs/>
          <w:snapToGrid w:val="0"/>
          <w:szCs w:val="22"/>
          <w:lang w:eastAsia="x-none"/>
        </w:rPr>
      </w:pPr>
      <w:r w:rsidRPr="00D724AC">
        <w:rPr>
          <w:b/>
          <w:bCs/>
          <w:snapToGrid w:val="0"/>
          <w:szCs w:val="22"/>
          <w:lang w:eastAsia="x-none"/>
        </w:rPr>
        <w:t>Registruotojas ir gamintojas</w:t>
      </w:r>
    </w:p>
    <w:p w14:paraId="5F37FADD" w14:textId="77777777" w:rsidR="00A80CF8" w:rsidRPr="00D724AC" w:rsidRDefault="00A80CF8" w:rsidP="00A80CF8">
      <w:pPr>
        <w:numPr>
          <w:ilvl w:val="12"/>
          <w:numId w:val="0"/>
        </w:numPr>
        <w:ind w:right="-2"/>
        <w:rPr>
          <w:i/>
          <w:snapToGrid w:val="0"/>
          <w:szCs w:val="22"/>
          <w:lang w:eastAsia="en-US"/>
        </w:rPr>
      </w:pPr>
      <w:r w:rsidRPr="00D724AC">
        <w:rPr>
          <w:i/>
          <w:snapToGrid w:val="0"/>
          <w:szCs w:val="22"/>
          <w:lang w:eastAsia="en-US"/>
        </w:rPr>
        <w:t>Registruotojas</w:t>
      </w:r>
    </w:p>
    <w:p w14:paraId="019FCD33" w14:textId="77777777" w:rsidR="00A80CF8" w:rsidRPr="00D724AC" w:rsidRDefault="00A80CF8" w:rsidP="00A80CF8">
      <w:pPr>
        <w:rPr>
          <w:snapToGrid w:val="0"/>
          <w:szCs w:val="22"/>
          <w:lang w:eastAsia="en-US"/>
        </w:rPr>
      </w:pPr>
      <w:r w:rsidRPr="00D724AC">
        <w:rPr>
          <w:snapToGrid w:val="0"/>
          <w:szCs w:val="22"/>
          <w:lang w:eastAsia="en-US"/>
        </w:rPr>
        <w:t>Medochemie Ltd.</w:t>
      </w:r>
    </w:p>
    <w:p w14:paraId="6A8FD9FE" w14:textId="77777777" w:rsidR="00A80CF8" w:rsidRPr="00D724AC" w:rsidRDefault="00A80CF8" w:rsidP="00A80CF8">
      <w:pPr>
        <w:rPr>
          <w:snapToGrid w:val="0"/>
          <w:szCs w:val="22"/>
          <w:lang w:eastAsia="en-US"/>
        </w:rPr>
      </w:pPr>
      <w:r w:rsidRPr="00D724AC">
        <w:rPr>
          <w:snapToGrid w:val="0"/>
          <w:szCs w:val="22"/>
          <w:lang w:eastAsia="en-US"/>
        </w:rPr>
        <w:t xml:space="preserve">1-10 Constantinoupoleos </w:t>
      </w:r>
      <w:r>
        <w:rPr>
          <w:snapToGrid w:val="0"/>
          <w:szCs w:val="22"/>
          <w:lang w:eastAsia="en-US"/>
        </w:rPr>
        <w:t>S</w:t>
      </w:r>
      <w:r w:rsidRPr="00D724AC">
        <w:rPr>
          <w:snapToGrid w:val="0"/>
          <w:szCs w:val="22"/>
          <w:lang w:eastAsia="en-US"/>
        </w:rPr>
        <w:t>treet</w:t>
      </w:r>
    </w:p>
    <w:p w14:paraId="2BAAD585" w14:textId="77777777" w:rsidR="00A80CF8" w:rsidRPr="00D724AC" w:rsidRDefault="00A80CF8" w:rsidP="00A80CF8">
      <w:pPr>
        <w:rPr>
          <w:snapToGrid w:val="0"/>
          <w:szCs w:val="22"/>
          <w:lang w:eastAsia="en-US"/>
        </w:rPr>
      </w:pPr>
      <w:r w:rsidRPr="00D724AC">
        <w:rPr>
          <w:snapToGrid w:val="0"/>
          <w:szCs w:val="22"/>
          <w:lang w:eastAsia="en-US"/>
        </w:rPr>
        <w:t>3011 Limassol</w:t>
      </w:r>
    </w:p>
    <w:p w14:paraId="53CE1200" w14:textId="77777777" w:rsidR="00A80CF8" w:rsidRPr="00D724AC" w:rsidRDefault="00A80CF8" w:rsidP="00A80CF8">
      <w:pPr>
        <w:rPr>
          <w:snapToGrid w:val="0"/>
          <w:szCs w:val="22"/>
          <w:lang w:eastAsia="en-US"/>
        </w:rPr>
      </w:pPr>
      <w:r w:rsidRPr="00D724AC">
        <w:rPr>
          <w:snapToGrid w:val="0"/>
          <w:szCs w:val="22"/>
          <w:lang w:eastAsia="en-US"/>
        </w:rPr>
        <w:t>Kipras</w:t>
      </w:r>
    </w:p>
    <w:p w14:paraId="23957D2B" w14:textId="77777777" w:rsidR="00A80CF8" w:rsidRPr="00D724AC" w:rsidRDefault="00A80CF8" w:rsidP="00A80CF8">
      <w:pPr>
        <w:rPr>
          <w:snapToGrid w:val="0"/>
          <w:szCs w:val="22"/>
          <w:lang w:eastAsia="en-US"/>
        </w:rPr>
      </w:pPr>
    </w:p>
    <w:p w14:paraId="38EF9511" w14:textId="77777777" w:rsidR="00A80CF8" w:rsidRPr="00D724AC" w:rsidRDefault="00A80CF8" w:rsidP="00A80CF8">
      <w:pPr>
        <w:rPr>
          <w:i/>
          <w:snapToGrid w:val="0"/>
          <w:szCs w:val="22"/>
          <w:lang w:eastAsia="en-US"/>
        </w:rPr>
      </w:pPr>
      <w:r w:rsidRPr="00D724AC">
        <w:rPr>
          <w:i/>
          <w:snapToGrid w:val="0"/>
          <w:szCs w:val="22"/>
          <w:lang w:eastAsia="en-US"/>
        </w:rPr>
        <w:t xml:space="preserve">Gamintojas </w:t>
      </w:r>
    </w:p>
    <w:p w14:paraId="5A367ABA" w14:textId="77777777" w:rsidR="00A80CF8" w:rsidRPr="00D724AC" w:rsidRDefault="00A80CF8" w:rsidP="00A80CF8">
      <w:pPr>
        <w:rPr>
          <w:snapToGrid w:val="0"/>
          <w:szCs w:val="22"/>
          <w:lang w:eastAsia="en-US"/>
        </w:rPr>
      </w:pPr>
      <w:r w:rsidRPr="00D724AC">
        <w:rPr>
          <w:snapToGrid w:val="0"/>
          <w:szCs w:val="22"/>
          <w:lang w:eastAsia="en-US"/>
        </w:rPr>
        <w:t>Medochemie Ltd. – Central Factory</w:t>
      </w:r>
    </w:p>
    <w:p w14:paraId="770F0B55" w14:textId="77777777" w:rsidR="00A80CF8" w:rsidRPr="00D724AC" w:rsidRDefault="00A80CF8" w:rsidP="00A80CF8">
      <w:pPr>
        <w:rPr>
          <w:snapToGrid w:val="0"/>
          <w:szCs w:val="22"/>
          <w:lang w:eastAsia="en-US"/>
        </w:rPr>
      </w:pPr>
      <w:r w:rsidRPr="00D724AC">
        <w:rPr>
          <w:snapToGrid w:val="0"/>
          <w:szCs w:val="22"/>
          <w:lang w:eastAsia="en-US"/>
        </w:rPr>
        <w:t>1-10 Constantinoupoleos street</w:t>
      </w:r>
    </w:p>
    <w:p w14:paraId="1732ACF3" w14:textId="77777777" w:rsidR="00A80CF8" w:rsidRPr="00D724AC" w:rsidRDefault="00A80CF8" w:rsidP="00A80CF8">
      <w:pPr>
        <w:rPr>
          <w:snapToGrid w:val="0"/>
          <w:szCs w:val="22"/>
          <w:lang w:eastAsia="en-US"/>
        </w:rPr>
      </w:pPr>
      <w:r w:rsidRPr="00D724AC">
        <w:rPr>
          <w:snapToGrid w:val="0"/>
          <w:szCs w:val="22"/>
          <w:lang w:eastAsia="en-US"/>
        </w:rPr>
        <w:t>3011 Limassol</w:t>
      </w:r>
    </w:p>
    <w:p w14:paraId="0E219D81" w14:textId="77777777" w:rsidR="00A80CF8" w:rsidRPr="00D724AC" w:rsidRDefault="00A80CF8" w:rsidP="00A80CF8">
      <w:pPr>
        <w:rPr>
          <w:snapToGrid w:val="0"/>
          <w:szCs w:val="22"/>
          <w:lang w:eastAsia="en-US"/>
        </w:rPr>
      </w:pPr>
      <w:r w:rsidRPr="00D724AC">
        <w:rPr>
          <w:snapToGrid w:val="0"/>
          <w:szCs w:val="22"/>
          <w:lang w:eastAsia="en-US"/>
        </w:rPr>
        <w:t>Kipras</w:t>
      </w:r>
    </w:p>
    <w:p w14:paraId="3AA40C52" w14:textId="77777777" w:rsidR="00A80CF8" w:rsidRDefault="00A80CF8" w:rsidP="00A80CF8">
      <w:pPr>
        <w:numPr>
          <w:ilvl w:val="12"/>
          <w:numId w:val="0"/>
        </w:numPr>
        <w:ind w:right="-2"/>
        <w:rPr>
          <w:snapToGrid w:val="0"/>
          <w:szCs w:val="22"/>
          <w:lang w:eastAsia="en-US"/>
        </w:rPr>
      </w:pPr>
    </w:p>
    <w:p w14:paraId="427970F1" w14:textId="77777777" w:rsidR="00A80CF8" w:rsidRDefault="00A80CF8" w:rsidP="00A80CF8">
      <w:pPr>
        <w:numPr>
          <w:ilvl w:val="12"/>
          <w:numId w:val="0"/>
        </w:numPr>
        <w:ind w:right="-2"/>
        <w:rPr>
          <w:snapToGrid w:val="0"/>
          <w:szCs w:val="22"/>
          <w:lang w:eastAsia="en-US"/>
        </w:rPr>
      </w:pPr>
      <w:r>
        <w:rPr>
          <w:snapToGrid w:val="0"/>
          <w:szCs w:val="22"/>
          <w:lang w:eastAsia="en-US"/>
        </w:rPr>
        <w:t>arba</w:t>
      </w:r>
    </w:p>
    <w:p w14:paraId="47EEAE82" w14:textId="77777777" w:rsidR="00A80CF8" w:rsidRDefault="00A80CF8" w:rsidP="00A80CF8">
      <w:pPr>
        <w:numPr>
          <w:ilvl w:val="12"/>
          <w:numId w:val="0"/>
        </w:numPr>
        <w:ind w:right="-2"/>
        <w:rPr>
          <w:snapToGrid w:val="0"/>
          <w:szCs w:val="22"/>
          <w:lang w:eastAsia="en-US"/>
        </w:rPr>
      </w:pPr>
    </w:p>
    <w:p w14:paraId="2AA98CB7" w14:textId="77777777" w:rsidR="00A80CF8" w:rsidRPr="00690950" w:rsidRDefault="00A80CF8" w:rsidP="00A80CF8">
      <w:pPr>
        <w:numPr>
          <w:ilvl w:val="12"/>
          <w:numId w:val="0"/>
        </w:numPr>
        <w:ind w:right="-2"/>
        <w:rPr>
          <w:snapToGrid w:val="0"/>
          <w:szCs w:val="22"/>
          <w:lang w:eastAsia="en-US"/>
        </w:rPr>
      </w:pPr>
      <w:r w:rsidRPr="00690950">
        <w:rPr>
          <w:snapToGrid w:val="0"/>
          <w:szCs w:val="22"/>
          <w:lang w:eastAsia="en-US"/>
        </w:rPr>
        <w:t>Medochemie Ltd (Factory AZ)</w:t>
      </w:r>
    </w:p>
    <w:p w14:paraId="45881A01" w14:textId="77777777" w:rsidR="00A80CF8" w:rsidRPr="00690950" w:rsidRDefault="00A80CF8" w:rsidP="00A80CF8">
      <w:pPr>
        <w:numPr>
          <w:ilvl w:val="12"/>
          <w:numId w:val="0"/>
        </w:numPr>
        <w:ind w:right="-2"/>
        <w:rPr>
          <w:snapToGrid w:val="0"/>
          <w:szCs w:val="22"/>
          <w:lang w:eastAsia="en-US"/>
        </w:rPr>
      </w:pPr>
      <w:r w:rsidRPr="00690950">
        <w:rPr>
          <w:snapToGrid w:val="0"/>
          <w:szCs w:val="22"/>
          <w:lang w:eastAsia="en-US"/>
        </w:rPr>
        <w:t>2 Michael Erakleous Street, Agios Athanassios</w:t>
      </w:r>
    </w:p>
    <w:p w14:paraId="115A63D2" w14:textId="77777777" w:rsidR="00A80CF8" w:rsidRPr="00690950" w:rsidRDefault="00A80CF8" w:rsidP="00A80CF8">
      <w:pPr>
        <w:numPr>
          <w:ilvl w:val="12"/>
          <w:numId w:val="0"/>
        </w:numPr>
        <w:ind w:right="-2"/>
        <w:rPr>
          <w:snapToGrid w:val="0"/>
          <w:szCs w:val="22"/>
          <w:lang w:eastAsia="en-US"/>
        </w:rPr>
      </w:pPr>
      <w:r w:rsidRPr="00690950">
        <w:rPr>
          <w:snapToGrid w:val="0"/>
          <w:szCs w:val="22"/>
          <w:lang w:eastAsia="en-US"/>
        </w:rPr>
        <w:t>Industrial Area, 4101, Agios Athanassios, Limassol</w:t>
      </w:r>
    </w:p>
    <w:p w14:paraId="53B41F64" w14:textId="77777777" w:rsidR="00A80CF8" w:rsidRDefault="00A80CF8" w:rsidP="00A80CF8">
      <w:pPr>
        <w:numPr>
          <w:ilvl w:val="12"/>
          <w:numId w:val="0"/>
        </w:numPr>
        <w:ind w:right="-2"/>
        <w:rPr>
          <w:snapToGrid w:val="0"/>
          <w:szCs w:val="22"/>
          <w:lang w:eastAsia="en-US"/>
        </w:rPr>
      </w:pPr>
      <w:r w:rsidRPr="00690950">
        <w:rPr>
          <w:snapToGrid w:val="0"/>
          <w:szCs w:val="22"/>
          <w:lang w:eastAsia="en-US"/>
        </w:rPr>
        <w:t>Kipras</w:t>
      </w:r>
    </w:p>
    <w:p w14:paraId="402530B2" w14:textId="77777777" w:rsidR="00A80CF8" w:rsidRPr="00690950" w:rsidRDefault="00A80CF8" w:rsidP="00A80CF8">
      <w:pPr>
        <w:numPr>
          <w:ilvl w:val="12"/>
          <w:numId w:val="0"/>
        </w:numPr>
        <w:ind w:right="-2"/>
        <w:rPr>
          <w:snapToGrid w:val="0"/>
          <w:szCs w:val="22"/>
          <w:lang w:eastAsia="en-US"/>
        </w:rPr>
      </w:pPr>
    </w:p>
    <w:p w14:paraId="6DC9EFAF" w14:textId="77777777" w:rsidR="00A80CF8" w:rsidRPr="00690950" w:rsidRDefault="00A80CF8" w:rsidP="00A80CF8">
      <w:pPr>
        <w:numPr>
          <w:ilvl w:val="12"/>
          <w:numId w:val="0"/>
        </w:numPr>
        <w:ind w:right="-2"/>
        <w:rPr>
          <w:snapToGrid w:val="0"/>
          <w:szCs w:val="22"/>
          <w:lang w:eastAsia="en-US"/>
        </w:rPr>
      </w:pPr>
    </w:p>
    <w:p w14:paraId="76FCF04D" w14:textId="77777777" w:rsidR="00A80CF8" w:rsidRPr="00D724AC" w:rsidRDefault="00A80CF8" w:rsidP="00A80CF8">
      <w:pPr>
        <w:numPr>
          <w:ilvl w:val="12"/>
          <w:numId w:val="0"/>
        </w:numPr>
        <w:tabs>
          <w:tab w:val="left" w:pos="567"/>
        </w:tabs>
        <w:ind w:right="-2"/>
        <w:rPr>
          <w:snapToGrid w:val="0"/>
          <w:szCs w:val="22"/>
          <w:lang w:eastAsia="en-US"/>
        </w:rPr>
      </w:pPr>
      <w:r w:rsidRPr="00D724AC">
        <w:rPr>
          <w:snapToGrid w:val="0"/>
          <w:szCs w:val="22"/>
          <w:lang w:eastAsia="en-US"/>
        </w:rPr>
        <w:t>Jeigu apie šį vaistą norite sužinoti daugiau, kreipkitės į vietinį registruotojo atstovą:</w:t>
      </w:r>
    </w:p>
    <w:p w14:paraId="609BB12F" w14:textId="77777777" w:rsidR="00A80CF8" w:rsidRPr="00D724AC" w:rsidRDefault="00A80CF8" w:rsidP="00A80CF8">
      <w:pPr>
        <w:tabs>
          <w:tab w:val="left" w:pos="567"/>
        </w:tabs>
        <w:rPr>
          <w:snapToGrid w:val="0"/>
          <w:szCs w:val="22"/>
          <w:lang w:eastAsia="en-US"/>
        </w:rPr>
      </w:pPr>
    </w:p>
    <w:p w14:paraId="4FE9319D" w14:textId="77777777" w:rsidR="00A80CF8" w:rsidRPr="00D724AC" w:rsidRDefault="00A80CF8" w:rsidP="00A80CF8">
      <w:r w:rsidRPr="00D724AC">
        <w:t>UAB „Medochemie Lithuania“</w:t>
      </w:r>
    </w:p>
    <w:p w14:paraId="40213033" w14:textId="77777777" w:rsidR="00A80CF8" w:rsidRPr="00D724AC" w:rsidRDefault="00A80CF8" w:rsidP="00A80CF8">
      <w:pPr>
        <w:tabs>
          <w:tab w:val="left" w:pos="567"/>
        </w:tabs>
        <w:spacing w:line="260" w:lineRule="exact"/>
        <w:rPr>
          <w:snapToGrid w:val="0"/>
          <w:szCs w:val="22"/>
          <w:lang w:eastAsia="en-US"/>
        </w:rPr>
      </w:pPr>
      <w:r w:rsidRPr="00D724AC">
        <w:rPr>
          <w:snapToGrid w:val="0"/>
          <w:szCs w:val="22"/>
          <w:lang w:eastAsia="en-US"/>
        </w:rPr>
        <w:t>Gintaro 9-36</w:t>
      </w:r>
    </w:p>
    <w:p w14:paraId="5442D809" w14:textId="77777777" w:rsidR="00A80CF8" w:rsidRPr="00D724AC" w:rsidRDefault="00A80CF8" w:rsidP="00A80CF8">
      <w:pPr>
        <w:tabs>
          <w:tab w:val="left" w:pos="567"/>
        </w:tabs>
        <w:spacing w:line="260" w:lineRule="exact"/>
        <w:rPr>
          <w:snapToGrid w:val="0"/>
          <w:szCs w:val="22"/>
          <w:lang w:eastAsia="en-US"/>
        </w:rPr>
      </w:pPr>
      <w:r w:rsidRPr="00D724AC">
        <w:rPr>
          <w:snapToGrid w:val="0"/>
          <w:szCs w:val="22"/>
          <w:lang w:eastAsia="en-US"/>
        </w:rPr>
        <w:t>LT-47198 Kaunas</w:t>
      </w:r>
    </w:p>
    <w:p w14:paraId="2366C45D" w14:textId="77777777" w:rsidR="00A80CF8" w:rsidRPr="00D724AC" w:rsidRDefault="00A80CF8" w:rsidP="00A80CF8">
      <w:pPr>
        <w:tabs>
          <w:tab w:val="left" w:pos="567"/>
        </w:tabs>
        <w:spacing w:line="260" w:lineRule="exact"/>
        <w:rPr>
          <w:snapToGrid w:val="0"/>
          <w:szCs w:val="22"/>
          <w:lang w:eastAsia="en-US"/>
        </w:rPr>
      </w:pPr>
      <w:r w:rsidRPr="00D724AC">
        <w:rPr>
          <w:snapToGrid w:val="0"/>
          <w:szCs w:val="22"/>
          <w:lang w:eastAsia="en-US"/>
        </w:rPr>
        <w:t>Tel. +370 37 338358</w:t>
      </w:r>
    </w:p>
    <w:p w14:paraId="3887D743" w14:textId="77777777" w:rsidR="00A80CF8" w:rsidRPr="00D724AC" w:rsidRDefault="00A80CF8" w:rsidP="00A80CF8">
      <w:pPr>
        <w:numPr>
          <w:ilvl w:val="12"/>
          <w:numId w:val="0"/>
        </w:numPr>
        <w:tabs>
          <w:tab w:val="left" w:pos="567"/>
        </w:tabs>
        <w:spacing w:line="260" w:lineRule="exact"/>
        <w:ind w:right="-2"/>
        <w:rPr>
          <w:rFonts w:eastAsia="SimSun"/>
          <w:snapToGrid w:val="0"/>
          <w:color w:val="0000FF"/>
          <w:szCs w:val="22"/>
          <w:u w:val="single"/>
          <w:lang w:eastAsia="en-US"/>
        </w:rPr>
      </w:pPr>
      <w:r w:rsidRPr="00D724AC">
        <w:rPr>
          <w:snapToGrid w:val="0"/>
          <w:szCs w:val="22"/>
          <w:lang w:eastAsia="en-US"/>
        </w:rPr>
        <w:t xml:space="preserve">El. paštas: </w:t>
      </w:r>
      <w:hyperlink r:id="rId13" w:history="1">
        <w:r w:rsidRPr="00D724AC">
          <w:rPr>
            <w:rFonts w:eastAsia="SimSun"/>
            <w:snapToGrid w:val="0"/>
            <w:color w:val="0000FF"/>
            <w:szCs w:val="22"/>
            <w:u w:val="single"/>
            <w:lang w:eastAsia="en-US"/>
          </w:rPr>
          <w:t>lithuania@medochemie.</w:t>
        </w:r>
      </w:hyperlink>
      <w:r w:rsidRPr="00D724AC">
        <w:rPr>
          <w:rFonts w:eastAsia="SimSun"/>
          <w:snapToGrid w:val="0"/>
          <w:color w:val="0000FF"/>
          <w:szCs w:val="22"/>
          <w:u w:val="single"/>
          <w:lang w:eastAsia="en-US"/>
        </w:rPr>
        <w:t>com</w:t>
      </w:r>
    </w:p>
    <w:p w14:paraId="4E59F703" w14:textId="77777777" w:rsidR="00A80CF8" w:rsidRPr="00D724AC" w:rsidRDefault="00A80CF8" w:rsidP="00A80CF8">
      <w:pPr>
        <w:numPr>
          <w:ilvl w:val="12"/>
          <w:numId w:val="0"/>
        </w:numPr>
        <w:tabs>
          <w:tab w:val="left" w:pos="567"/>
        </w:tabs>
        <w:spacing w:line="260" w:lineRule="exact"/>
        <w:ind w:right="-2"/>
        <w:rPr>
          <w:snapToGrid w:val="0"/>
          <w:szCs w:val="22"/>
          <w:lang w:eastAsia="en-US"/>
        </w:rPr>
      </w:pPr>
    </w:p>
    <w:p w14:paraId="6C66077A" w14:textId="77777777" w:rsidR="00A80CF8" w:rsidRPr="00D724AC" w:rsidRDefault="00A80CF8" w:rsidP="00A80CF8">
      <w:pPr>
        <w:numPr>
          <w:ilvl w:val="12"/>
          <w:numId w:val="0"/>
        </w:numPr>
        <w:tabs>
          <w:tab w:val="left" w:pos="567"/>
        </w:tabs>
        <w:spacing w:line="260" w:lineRule="exact"/>
        <w:ind w:right="-2"/>
        <w:rPr>
          <w:snapToGrid w:val="0"/>
          <w:szCs w:val="22"/>
          <w:lang w:eastAsia="en-US"/>
        </w:rPr>
      </w:pPr>
      <w:r w:rsidRPr="00D724AC">
        <w:rPr>
          <w:b/>
          <w:snapToGrid w:val="0"/>
          <w:szCs w:val="22"/>
          <w:lang w:eastAsia="en-US"/>
        </w:rPr>
        <w:t xml:space="preserve">Šis vaistas </w:t>
      </w:r>
      <w:r w:rsidRPr="00690950">
        <w:rPr>
          <w:b/>
          <w:snapToGrid w:val="0"/>
          <w:szCs w:val="22"/>
          <w:lang w:eastAsia="en-US"/>
        </w:rPr>
        <w:t>Europos ekonominės erdvės</w:t>
      </w:r>
      <w:r w:rsidRPr="00D724AC">
        <w:rPr>
          <w:b/>
          <w:snapToGrid w:val="0"/>
          <w:szCs w:val="22"/>
          <w:lang w:eastAsia="en-US"/>
        </w:rPr>
        <w:t xml:space="preserve"> valstybėse narėse registruotas tokiais pavadinimais</w:t>
      </w:r>
      <w:r w:rsidRPr="00D724AC">
        <w:rPr>
          <w:snapToGrid w:val="0"/>
          <w:szCs w:val="22"/>
          <w:lang w:eastAsia="en-US"/>
        </w:rPr>
        <w:t>:</w:t>
      </w:r>
    </w:p>
    <w:p w14:paraId="2139C7E9" w14:textId="77777777" w:rsidR="00A80CF8" w:rsidRDefault="00A80CF8" w:rsidP="00A80CF8">
      <w:pPr>
        <w:tabs>
          <w:tab w:val="left" w:pos="567"/>
        </w:tabs>
        <w:spacing w:line="260" w:lineRule="exact"/>
        <w:ind w:left="567" w:hanging="567"/>
        <w:rPr>
          <w:snapToGrid w:val="0"/>
          <w:szCs w:val="22"/>
          <w:lang w:eastAsia="en-US"/>
        </w:rPr>
      </w:pPr>
    </w:p>
    <w:p w14:paraId="40B70166" w14:textId="77777777" w:rsidR="00A80CF8" w:rsidRPr="00D724AC" w:rsidRDefault="00A80CF8" w:rsidP="00A80CF8">
      <w:pPr>
        <w:tabs>
          <w:tab w:val="left" w:pos="0"/>
        </w:tabs>
        <w:spacing w:line="260" w:lineRule="exact"/>
        <w:rPr>
          <w:snapToGrid w:val="0"/>
          <w:szCs w:val="22"/>
          <w:lang w:eastAsia="en-US"/>
        </w:rPr>
      </w:pPr>
      <w:r>
        <w:rPr>
          <w:snapToGrid w:val="0"/>
          <w:szCs w:val="22"/>
          <w:lang w:eastAsia="en-US"/>
        </w:rPr>
        <w:t>Nyderlandai: Converide; Bulgarija, Kipras, Čekija, Graikija, Slovakija, Lietuva, Rumunija, Malta, Portugalija, Ispanija: CONVERIDE.</w:t>
      </w:r>
    </w:p>
    <w:p w14:paraId="47BD7208" w14:textId="77777777" w:rsidR="00A80CF8" w:rsidRPr="00D724AC" w:rsidRDefault="00A80CF8" w:rsidP="00A80CF8">
      <w:pPr>
        <w:tabs>
          <w:tab w:val="left" w:pos="567"/>
        </w:tabs>
        <w:spacing w:line="260" w:lineRule="exact"/>
        <w:ind w:left="567" w:hanging="567"/>
        <w:rPr>
          <w:snapToGrid w:val="0"/>
          <w:szCs w:val="22"/>
          <w:lang w:eastAsia="en-US"/>
        </w:rPr>
      </w:pPr>
    </w:p>
    <w:p w14:paraId="49CC7DCA" w14:textId="004A7F29" w:rsidR="00A80CF8" w:rsidRPr="00D724AC" w:rsidRDefault="00A80CF8" w:rsidP="00A80CF8">
      <w:pPr>
        <w:numPr>
          <w:ilvl w:val="12"/>
          <w:numId w:val="0"/>
        </w:numPr>
        <w:ind w:right="-2"/>
        <w:rPr>
          <w:b/>
          <w:snapToGrid w:val="0"/>
          <w:szCs w:val="22"/>
          <w:lang w:eastAsia="en-US"/>
        </w:rPr>
      </w:pPr>
      <w:r w:rsidRPr="00D724AC">
        <w:rPr>
          <w:b/>
          <w:snapToGrid w:val="0"/>
          <w:szCs w:val="22"/>
          <w:lang w:eastAsia="en-US"/>
        </w:rPr>
        <w:t>Šis pakuotės lapelis paskutinį kartą peržiūrėtas</w:t>
      </w:r>
      <w:r>
        <w:rPr>
          <w:b/>
          <w:snapToGrid w:val="0"/>
          <w:szCs w:val="22"/>
          <w:lang w:eastAsia="en-US"/>
        </w:rPr>
        <w:t xml:space="preserve"> </w:t>
      </w:r>
      <w:r w:rsidR="004479C1">
        <w:rPr>
          <w:b/>
          <w:snapToGrid w:val="0"/>
          <w:szCs w:val="22"/>
          <w:lang w:eastAsia="en-US"/>
        </w:rPr>
        <w:t>2022-0</w:t>
      </w:r>
      <w:r w:rsidR="002334FA">
        <w:rPr>
          <w:b/>
          <w:snapToGrid w:val="0"/>
          <w:szCs w:val="22"/>
          <w:lang w:eastAsia="en-US"/>
        </w:rPr>
        <w:t>3</w:t>
      </w:r>
      <w:r w:rsidR="004479C1">
        <w:rPr>
          <w:b/>
          <w:snapToGrid w:val="0"/>
          <w:szCs w:val="22"/>
          <w:lang w:eastAsia="en-US"/>
        </w:rPr>
        <w:t>-</w:t>
      </w:r>
      <w:r w:rsidR="002334FA">
        <w:rPr>
          <w:b/>
          <w:snapToGrid w:val="0"/>
          <w:szCs w:val="22"/>
          <w:lang w:eastAsia="en-US"/>
        </w:rPr>
        <w:t>24</w:t>
      </w:r>
      <w:r w:rsidR="004479C1">
        <w:rPr>
          <w:b/>
          <w:snapToGrid w:val="0"/>
          <w:szCs w:val="22"/>
          <w:lang w:eastAsia="en-US"/>
        </w:rPr>
        <w:t>.</w:t>
      </w:r>
    </w:p>
    <w:p w14:paraId="450282E7" w14:textId="77777777" w:rsidR="00A80CF8" w:rsidRPr="00D724AC" w:rsidRDefault="00A80CF8" w:rsidP="00A80CF8">
      <w:pPr>
        <w:numPr>
          <w:ilvl w:val="12"/>
          <w:numId w:val="0"/>
        </w:numPr>
        <w:ind w:right="-2"/>
        <w:rPr>
          <w:b/>
          <w:snapToGrid w:val="0"/>
          <w:szCs w:val="22"/>
          <w:lang w:eastAsia="en-US"/>
        </w:rPr>
      </w:pPr>
    </w:p>
    <w:p w14:paraId="0C64AD91" w14:textId="77777777" w:rsidR="00A80CF8" w:rsidRPr="00D724AC" w:rsidRDefault="00A80CF8" w:rsidP="00A80CF8">
      <w:pPr>
        <w:numPr>
          <w:ilvl w:val="12"/>
          <w:numId w:val="0"/>
        </w:numPr>
        <w:ind w:right="-2"/>
        <w:rPr>
          <w:b/>
          <w:snapToGrid w:val="0"/>
          <w:szCs w:val="22"/>
          <w:lang w:eastAsia="en-US"/>
        </w:rPr>
      </w:pPr>
    </w:p>
    <w:p w14:paraId="0D633865" w14:textId="77777777" w:rsidR="00A80CF8" w:rsidRPr="00D724AC" w:rsidRDefault="00A80CF8" w:rsidP="00A80CF8">
      <w:pPr>
        <w:numPr>
          <w:ilvl w:val="12"/>
          <w:numId w:val="0"/>
        </w:numPr>
        <w:tabs>
          <w:tab w:val="left" w:pos="567"/>
        </w:tabs>
        <w:ind w:right="-2"/>
        <w:rPr>
          <w:snapToGrid w:val="0"/>
          <w:szCs w:val="22"/>
          <w:lang w:eastAsia="en-US"/>
        </w:rPr>
      </w:pPr>
      <w:r w:rsidRPr="00D724AC">
        <w:rPr>
          <w:snapToGrid w:val="0"/>
          <w:szCs w:val="22"/>
          <w:lang w:eastAsia="en-US"/>
        </w:rPr>
        <w:t>Išsami informacija apie šį vaistą pateikiama Valstybinės vaistų kontrolės tarnybos prie Lietuvos Respublikos sveikatos apsaugos ministerijos tinklalapyje</w:t>
      </w:r>
      <w:r w:rsidRPr="00D724AC">
        <w:rPr>
          <w:i/>
          <w:snapToGrid w:val="0"/>
          <w:szCs w:val="22"/>
          <w:lang w:eastAsia="en-US"/>
        </w:rPr>
        <w:t xml:space="preserve"> </w:t>
      </w:r>
      <w:hyperlink r:id="rId14" w:history="1">
        <w:r w:rsidRPr="00D724AC">
          <w:rPr>
            <w:rFonts w:eastAsia="SimSun"/>
            <w:snapToGrid w:val="0"/>
            <w:color w:val="0000FF"/>
            <w:szCs w:val="22"/>
            <w:u w:val="single"/>
            <w:lang w:eastAsia="en-US"/>
          </w:rPr>
          <w:t>http://www.vvkt.lt/</w:t>
        </w:r>
      </w:hyperlink>
      <w:r w:rsidRPr="00D724AC">
        <w:rPr>
          <w:snapToGrid w:val="0"/>
          <w:szCs w:val="22"/>
          <w:lang w:eastAsia="en-US"/>
        </w:rPr>
        <w:t>.</w:t>
      </w:r>
    </w:p>
    <w:p w14:paraId="32772E51" w14:textId="77777777" w:rsidR="00A80CF8" w:rsidRPr="00D724AC" w:rsidRDefault="00A80CF8" w:rsidP="00A80CF8">
      <w:pPr>
        <w:rPr>
          <w:szCs w:val="22"/>
        </w:rPr>
      </w:pPr>
    </w:p>
    <w:p w14:paraId="2138B909" w14:textId="77777777" w:rsidR="00A80CF8" w:rsidRPr="00D724AC" w:rsidRDefault="00A80CF8" w:rsidP="00A80CF8"/>
    <w:p w14:paraId="181F5F6B" w14:textId="77777777" w:rsidR="00A80CF8" w:rsidRPr="00D724AC" w:rsidRDefault="00A80CF8" w:rsidP="00A80CF8"/>
    <w:p w14:paraId="069C5AD9" w14:textId="77777777" w:rsidR="00A80CF8" w:rsidRDefault="00A80CF8" w:rsidP="00A80CF8"/>
    <w:p w14:paraId="3755FB8B" w14:textId="77777777" w:rsidR="00A80CF8" w:rsidRDefault="00A80CF8" w:rsidP="00A80CF8"/>
    <w:p w14:paraId="711BCFFF" w14:textId="77777777" w:rsidR="00627DA1" w:rsidRDefault="00627DA1"/>
    <w:sectPr w:rsidR="00627DA1" w:rsidSect="0026684A">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E557A" w14:textId="77777777" w:rsidR="00BE28BF" w:rsidRDefault="004479C1">
      <w:r>
        <w:separator/>
      </w:r>
    </w:p>
  </w:endnote>
  <w:endnote w:type="continuationSeparator" w:id="0">
    <w:p w14:paraId="68B8503B" w14:textId="77777777" w:rsidR="00BE28BF" w:rsidRDefault="0044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Bold">
    <w:altName w:val="Times New Roman"/>
    <w:panose1 w:val="00000000000000000000"/>
    <w:charset w:val="80"/>
    <w:family w:val="auto"/>
    <w:notTrueType/>
    <w:pitch w:val="default"/>
    <w:sig w:usb0="00000000" w:usb1="08070000" w:usb2="00000010" w:usb3="00000000" w:csb0="00020002"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FCC9F" w14:textId="77777777" w:rsidR="00BB4267" w:rsidRDefault="00FD66F2" w:rsidP="00C21CD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w:t>
    </w:r>
    <w:r>
      <w:rPr>
        <w:rStyle w:val="Puslapionumeris"/>
      </w:rPr>
      <w:fldChar w:fldCharType="end"/>
    </w:r>
  </w:p>
  <w:p w14:paraId="2579FAC1" w14:textId="77777777" w:rsidR="00BB4267" w:rsidRDefault="000A744B" w:rsidP="00C21CD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2C0EF" w14:textId="7038FC11" w:rsidR="00BB4267" w:rsidRDefault="00FD66F2" w:rsidP="00C21CD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744B">
      <w:rPr>
        <w:rStyle w:val="Puslapionumeris"/>
        <w:noProof/>
      </w:rPr>
      <w:t>19</w:t>
    </w:r>
    <w:r>
      <w:rPr>
        <w:rStyle w:val="Puslapionumeris"/>
      </w:rPr>
      <w:fldChar w:fldCharType="end"/>
    </w:r>
  </w:p>
  <w:p w14:paraId="7AD06A83" w14:textId="77777777" w:rsidR="00BB4267" w:rsidRDefault="000A744B" w:rsidP="00C21CD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83573" w14:textId="77777777" w:rsidR="00BE28BF" w:rsidRDefault="004479C1">
      <w:r>
        <w:separator/>
      </w:r>
    </w:p>
  </w:footnote>
  <w:footnote w:type="continuationSeparator" w:id="0">
    <w:p w14:paraId="6D0074E8" w14:textId="77777777" w:rsidR="00BE28BF" w:rsidRDefault="00447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391561"/>
    <w:multiLevelType w:val="hybridMultilevel"/>
    <w:tmpl w:val="982EB34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5D070D"/>
    <w:multiLevelType w:val="hybridMultilevel"/>
    <w:tmpl w:val="9A543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407681C"/>
    <w:multiLevelType w:val="hybridMultilevel"/>
    <w:tmpl w:val="0A301D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70E44D5"/>
    <w:multiLevelType w:val="hybridMultilevel"/>
    <w:tmpl w:val="5D12E3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AAB7DDD"/>
    <w:multiLevelType w:val="hybridMultilevel"/>
    <w:tmpl w:val="D9BCA836"/>
    <w:lvl w:ilvl="0" w:tplc="3FCAA52C">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AEC2A04"/>
    <w:multiLevelType w:val="hybridMultilevel"/>
    <w:tmpl w:val="1988E83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D273F24"/>
    <w:multiLevelType w:val="hybridMultilevel"/>
    <w:tmpl w:val="819A63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59918D9"/>
    <w:multiLevelType w:val="hybridMultilevel"/>
    <w:tmpl w:val="DB1A201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C481146"/>
    <w:multiLevelType w:val="hybridMultilevel"/>
    <w:tmpl w:val="B7BE67FA"/>
    <w:lvl w:ilvl="0" w:tplc="FFFFFFFF">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C61BC"/>
    <w:multiLevelType w:val="hybridMultilevel"/>
    <w:tmpl w:val="8472B27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6"/>
  </w:num>
  <w:num w:numId="4">
    <w:abstractNumId w:val="0"/>
    <w:lvlOverride w:ilvl="0">
      <w:lvl w:ilvl="0">
        <w:start w:val="1"/>
        <w:numFmt w:val="bullet"/>
        <w:lvlText w:val="-"/>
        <w:lvlJc w:val="left"/>
        <w:pPr>
          <w:ind w:left="360" w:hanging="360"/>
        </w:pPr>
      </w:lvl>
    </w:lvlOverride>
  </w:num>
  <w:num w:numId="5">
    <w:abstractNumId w:val="5"/>
  </w:num>
  <w:num w:numId="6">
    <w:abstractNumId w:val="3"/>
  </w:num>
  <w:num w:numId="7">
    <w:abstractNumId w:val="4"/>
  </w:num>
  <w:num w:numId="8">
    <w:abstractNumId w:val="8"/>
  </w:num>
  <w:num w:numId="9">
    <w:abstractNumId w:val="11"/>
  </w:num>
  <w:num w:numId="10">
    <w:abstractNumId w:val="7"/>
  </w:num>
  <w:num w:numId="11">
    <w:abstractNumId w:val="9"/>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F8"/>
    <w:rsid w:val="00044570"/>
    <w:rsid w:val="000A744B"/>
    <w:rsid w:val="002334FA"/>
    <w:rsid w:val="004479C1"/>
    <w:rsid w:val="0059585C"/>
    <w:rsid w:val="00605DA1"/>
    <w:rsid w:val="00627DA1"/>
    <w:rsid w:val="00996CA4"/>
    <w:rsid w:val="00A80CF8"/>
    <w:rsid w:val="00AF3AEF"/>
    <w:rsid w:val="00BE28BF"/>
    <w:rsid w:val="00FD6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79B94"/>
  <w15:chartTrackingRefBased/>
  <w15:docId w15:val="{D917FE02-5477-409D-87EC-A951FCBA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0CF8"/>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uiPriority w:val="99"/>
    <w:qFormat/>
    <w:rsid w:val="00A80CF8"/>
    <w:pPr>
      <w:keepNext/>
      <w:jc w:val="center"/>
      <w:outlineLvl w:val="0"/>
    </w:pPr>
    <w:rPr>
      <w:b/>
      <w:caps/>
      <w:szCs w:val="22"/>
    </w:rPr>
  </w:style>
  <w:style w:type="paragraph" w:styleId="Antrat2">
    <w:name w:val="heading 2"/>
    <w:basedOn w:val="prastasis"/>
    <w:next w:val="prastasis"/>
    <w:link w:val="Antrat2Diagrama"/>
    <w:autoRedefine/>
    <w:uiPriority w:val="99"/>
    <w:qFormat/>
    <w:rsid w:val="00A80CF8"/>
    <w:pPr>
      <w:keepNext/>
      <w:outlineLvl w:val="1"/>
    </w:pPr>
    <w:rPr>
      <w:b/>
    </w:rPr>
  </w:style>
  <w:style w:type="paragraph" w:styleId="Antrat3">
    <w:name w:val="heading 3"/>
    <w:basedOn w:val="prastasis"/>
    <w:next w:val="prastasis"/>
    <w:link w:val="Antrat3Diagrama"/>
    <w:autoRedefine/>
    <w:uiPriority w:val="99"/>
    <w:qFormat/>
    <w:rsid w:val="00A80CF8"/>
    <w:pPr>
      <w:keepNext/>
      <w:ind w:left="567" w:hanging="567"/>
      <w:outlineLvl w:val="2"/>
    </w:pPr>
    <w:rPr>
      <w:b/>
    </w:rPr>
  </w:style>
  <w:style w:type="paragraph" w:styleId="Antrat4">
    <w:name w:val="heading 4"/>
    <w:basedOn w:val="prastasis"/>
    <w:next w:val="prastasis"/>
    <w:link w:val="Antrat4Diagrama"/>
    <w:uiPriority w:val="99"/>
    <w:qFormat/>
    <w:rsid w:val="00A80CF8"/>
    <w:pPr>
      <w:keepNext/>
      <w:jc w:val="both"/>
      <w:outlineLvl w:val="3"/>
    </w:pPr>
    <w:rPr>
      <w:u w:val="single"/>
    </w:rPr>
  </w:style>
  <w:style w:type="paragraph" w:styleId="Antrat5">
    <w:name w:val="heading 5"/>
    <w:basedOn w:val="prastasis"/>
    <w:next w:val="prastasis"/>
    <w:link w:val="Antrat5Diagrama"/>
    <w:uiPriority w:val="99"/>
    <w:qFormat/>
    <w:rsid w:val="00A80CF8"/>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A80CF8"/>
    <w:pPr>
      <w:spacing w:before="240" w:after="60"/>
      <w:outlineLvl w:val="5"/>
    </w:pPr>
    <w:rPr>
      <w:b/>
      <w:bCs/>
      <w:szCs w:val="22"/>
    </w:rPr>
  </w:style>
  <w:style w:type="paragraph" w:styleId="Antrat7">
    <w:name w:val="heading 7"/>
    <w:basedOn w:val="prastasis"/>
    <w:next w:val="prastasis"/>
    <w:link w:val="Antrat7Diagrama"/>
    <w:uiPriority w:val="99"/>
    <w:qFormat/>
    <w:rsid w:val="00A80CF8"/>
    <w:pPr>
      <w:keepNext/>
      <w:tabs>
        <w:tab w:val="left" w:pos="-720"/>
        <w:tab w:val="left" w:pos="567"/>
        <w:tab w:val="left" w:pos="4536"/>
      </w:tabs>
      <w:suppressAutoHyphens/>
      <w:spacing w:line="260" w:lineRule="exact"/>
      <w:jc w:val="both"/>
      <w:outlineLvl w:val="6"/>
    </w:pPr>
    <w:rPr>
      <w:i/>
      <w:lang w:val="cs-CZ" w:eastAsia="en-US"/>
    </w:rPr>
  </w:style>
  <w:style w:type="paragraph" w:styleId="Antrat8">
    <w:name w:val="heading 8"/>
    <w:basedOn w:val="prastasis"/>
    <w:next w:val="prastasis"/>
    <w:link w:val="Antrat8Diagrama"/>
    <w:uiPriority w:val="99"/>
    <w:qFormat/>
    <w:rsid w:val="00A80CF8"/>
    <w:pPr>
      <w:spacing w:before="240" w:after="60"/>
      <w:outlineLvl w:val="7"/>
    </w:pPr>
    <w:rPr>
      <w:i/>
      <w:iCs/>
      <w:sz w:val="24"/>
      <w:szCs w:val="24"/>
      <w:lang w:eastAsia="en-US"/>
    </w:rPr>
  </w:style>
  <w:style w:type="paragraph" w:styleId="Antrat9">
    <w:name w:val="heading 9"/>
    <w:basedOn w:val="prastasis"/>
    <w:next w:val="prastasis"/>
    <w:link w:val="Antrat9Diagrama"/>
    <w:uiPriority w:val="99"/>
    <w:qFormat/>
    <w:rsid w:val="00A80CF8"/>
    <w:pPr>
      <w:keepNext/>
      <w:tabs>
        <w:tab w:val="left" w:pos="567"/>
      </w:tabs>
      <w:spacing w:line="260" w:lineRule="exact"/>
      <w:jc w:val="both"/>
      <w:outlineLvl w:val="8"/>
    </w:pPr>
    <w:rPr>
      <w:b/>
      <w:i/>
      <w:lang w:val="cs-C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80CF8"/>
    <w:rPr>
      <w:rFonts w:ascii="Times New Roman" w:eastAsia="Times New Roman" w:hAnsi="Times New Roman" w:cs="Times New Roman"/>
      <w:b/>
      <w:caps/>
      <w:lang w:val="lt-LT" w:eastAsia="lt-LT"/>
    </w:rPr>
  </w:style>
  <w:style w:type="character" w:customStyle="1" w:styleId="Antrat2Diagrama">
    <w:name w:val="Antraštė 2 Diagrama"/>
    <w:basedOn w:val="Numatytasispastraiposriftas"/>
    <w:link w:val="Antrat2"/>
    <w:uiPriority w:val="99"/>
    <w:rsid w:val="00A80CF8"/>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uiPriority w:val="99"/>
    <w:rsid w:val="00A80CF8"/>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uiPriority w:val="99"/>
    <w:rsid w:val="00A80CF8"/>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uiPriority w:val="99"/>
    <w:rsid w:val="00A80CF8"/>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uiPriority w:val="99"/>
    <w:rsid w:val="00A80CF8"/>
    <w:rPr>
      <w:rFonts w:ascii="Times New Roman" w:eastAsia="Times New Roman" w:hAnsi="Times New Roman" w:cs="Times New Roman"/>
      <w:b/>
      <w:bCs/>
      <w:lang w:val="lt-LT" w:eastAsia="lt-LT"/>
    </w:rPr>
  </w:style>
  <w:style w:type="character" w:customStyle="1" w:styleId="Antrat7Diagrama">
    <w:name w:val="Antraštė 7 Diagrama"/>
    <w:basedOn w:val="Numatytasispastraiposriftas"/>
    <w:link w:val="Antrat7"/>
    <w:uiPriority w:val="99"/>
    <w:rsid w:val="00A80CF8"/>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sid w:val="00A80CF8"/>
    <w:rPr>
      <w:rFonts w:ascii="Times New Roman" w:eastAsia="Times New Roman" w:hAnsi="Times New Roman" w:cs="Times New Roman"/>
      <w:i/>
      <w:iCs/>
      <w:sz w:val="24"/>
      <w:szCs w:val="24"/>
      <w:lang w:val="lt-LT"/>
    </w:rPr>
  </w:style>
  <w:style w:type="character" w:customStyle="1" w:styleId="Antrat9Diagrama">
    <w:name w:val="Antraštė 9 Diagrama"/>
    <w:basedOn w:val="Numatytasispastraiposriftas"/>
    <w:link w:val="Antrat9"/>
    <w:uiPriority w:val="99"/>
    <w:rsid w:val="00A80CF8"/>
    <w:rPr>
      <w:rFonts w:ascii="Times New Roman" w:eastAsia="Times New Roman" w:hAnsi="Times New Roman" w:cs="Times New Roman"/>
      <w:b/>
      <w:i/>
      <w:szCs w:val="20"/>
      <w:lang w:val="cs-CZ"/>
    </w:rPr>
  </w:style>
  <w:style w:type="paragraph" w:styleId="Pagrindinistekstas">
    <w:name w:val="Body Text"/>
    <w:basedOn w:val="prastasis"/>
    <w:link w:val="PagrindinistekstasDiagrama"/>
    <w:uiPriority w:val="99"/>
    <w:rsid w:val="00A80CF8"/>
    <w:pPr>
      <w:spacing w:after="120"/>
    </w:pPr>
  </w:style>
  <w:style w:type="character" w:customStyle="1" w:styleId="PagrindinistekstasDiagrama">
    <w:name w:val="Pagrindinis tekstas Diagrama"/>
    <w:basedOn w:val="Numatytasispastraiposriftas"/>
    <w:link w:val="Pagrindinistekstas"/>
    <w:uiPriority w:val="99"/>
    <w:rsid w:val="00A80CF8"/>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A80CF8"/>
    <w:pPr>
      <w:tabs>
        <w:tab w:val="center" w:pos="4153"/>
        <w:tab w:val="right" w:pos="8306"/>
      </w:tabs>
    </w:pPr>
  </w:style>
  <w:style w:type="character" w:customStyle="1" w:styleId="PoratDiagrama">
    <w:name w:val="Poraštė Diagrama"/>
    <w:basedOn w:val="Numatytasispastraiposriftas"/>
    <w:link w:val="Porat"/>
    <w:uiPriority w:val="99"/>
    <w:rsid w:val="00A80CF8"/>
    <w:rPr>
      <w:rFonts w:ascii="Times New Roman" w:eastAsia="Times New Roman" w:hAnsi="Times New Roman" w:cs="Times New Roman"/>
      <w:szCs w:val="20"/>
      <w:lang w:val="lt-LT" w:eastAsia="lt-LT"/>
    </w:rPr>
  </w:style>
  <w:style w:type="character" w:styleId="Puslapionumeris">
    <w:name w:val="page number"/>
    <w:basedOn w:val="Numatytasispastraiposriftas"/>
    <w:uiPriority w:val="99"/>
    <w:rsid w:val="00A80CF8"/>
  </w:style>
  <w:style w:type="paragraph" w:styleId="Pavadinimas">
    <w:name w:val="Title"/>
    <w:basedOn w:val="prastasis"/>
    <w:link w:val="PavadinimasDiagrama"/>
    <w:autoRedefine/>
    <w:uiPriority w:val="99"/>
    <w:qFormat/>
    <w:rsid w:val="00A80CF8"/>
    <w:pPr>
      <w:jc w:val="center"/>
      <w:outlineLvl w:val="0"/>
    </w:pPr>
    <w:rPr>
      <w:b/>
      <w:kern w:val="28"/>
    </w:rPr>
  </w:style>
  <w:style w:type="character" w:customStyle="1" w:styleId="PavadinimasDiagrama">
    <w:name w:val="Pavadinimas Diagrama"/>
    <w:basedOn w:val="Numatytasispastraiposriftas"/>
    <w:link w:val="Pavadinimas"/>
    <w:uiPriority w:val="99"/>
    <w:rsid w:val="00A80CF8"/>
    <w:rPr>
      <w:rFonts w:ascii="Times New Roman" w:eastAsia="Times New Roman" w:hAnsi="Times New Roman" w:cs="Times New Roman"/>
      <w:b/>
      <w:kern w:val="28"/>
      <w:szCs w:val="20"/>
      <w:lang w:val="lt-LT" w:eastAsia="lt-LT"/>
    </w:rPr>
  </w:style>
  <w:style w:type="character" w:styleId="Hipersaitas">
    <w:name w:val="Hyperlink"/>
    <w:rsid w:val="00A80CF8"/>
    <w:rPr>
      <w:color w:val="0000FF"/>
      <w:u w:val="single"/>
    </w:rPr>
  </w:style>
  <w:style w:type="paragraph" w:styleId="Paantrat">
    <w:name w:val="Subtitle"/>
    <w:basedOn w:val="prastasis"/>
    <w:link w:val="PaantratDiagrama"/>
    <w:uiPriority w:val="99"/>
    <w:qFormat/>
    <w:rsid w:val="00A80CF8"/>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uiPriority w:val="99"/>
    <w:rsid w:val="00A80CF8"/>
    <w:rPr>
      <w:rFonts w:ascii="TimesNewRoman,Bold" w:eastAsia="Times New Roman" w:hAnsi="TimesNewRoman,Bold" w:cs="Times New Roman"/>
      <w:b/>
      <w:color w:val="000000"/>
      <w:szCs w:val="20"/>
      <w:lang w:eastAsia="lt-LT"/>
    </w:rPr>
  </w:style>
  <w:style w:type="character" w:styleId="Perirtashipersaitas">
    <w:name w:val="FollowedHyperlink"/>
    <w:uiPriority w:val="99"/>
    <w:rsid w:val="00A80CF8"/>
    <w:rPr>
      <w:color w:val="800080"/>
      <w:u w:val="single"/>
    </w:rPr>
  </w:style>
  <w:style w:type="paragraph" w:styleId="Antrats">
    <w:name w:val="header"/>
    <w:basedOn w:val="prastasis"/>
    <w:link w:val="AntratsDiagrama"/>
    <w:uiPriority w:val="99"/>
    <w:rsid w:val="00A80CF8"/>
    <w:pPr>
      <w:tabs>
        <w:tab w:val="center" w:pos="4153"/>
        <w:tab w:val="right" w:pos="8306"/>
      </w:tabs>
    </w:pPr>
    <w:rPr>
      <w:sz w:val="24"/>
      <w:szCs w:val="24"/>
      <w:lang w:eastAsia="en-US"/>
    </w:rPr>
  </w:style>
  <w:style w:type="character" w:customStyle="1" w:styleId="AntratsDiagrama">
    <w:name w:val="Antraštės Diagrama"/>
    <w:basedOn w:val="Numatytasispastraiposriftas"/>
    <w:link w:val="Antrats"/>
    <w:uiPriority w:val="99"/>
    <w:rsid w:val="00A80CF8"/>
    <w:rPr>
      <w:rFonts w:ascii="Times New Roman" w:eastAsia="Times New Roman" w:hAnsi="Times New Roman" w:cs="Times New Roman"/>
      <w:sz w:val="24"/>
      <w:szCs w:val="24"/>
      <w:lang w:val="lt-LT"/>
    </w:rPr>
  </w:style>
  <w:style w:type="paragraph" w:customStyle="1" w:styleId="BT-EMEASMCA">
    <w:name w:val="BT- EMEA_SMCA"/>
    <w:basedOn w:val="prastasis"/>
    <w:uiPriority w:val="99"/>
    <w:rsid w:val="00A80CF8"/>
    <w:pPr>
      <w:numPr>
        <w:numId w:val="1"/>
      </w:numPr>
    </w:pPr>
  </w:style>
  <w:style w:type="paragraph" w:customStyle="1" w:styleId="PI-3EMEASMCA">
    <w:name w:val="PI-3 EMEA_SMCA"/>
    <w:basedOn w:val="prastasis"/>
    <w:autoRedefine/>
    <w:uiPriority w:val="99"/>
    <w:rsid w:val="00A80CF8"/>
    <w:pPr>
      <w:spacing w:line="220" w:lineRule="exact"/>
    </w:pPr>
    <w:rPr>
      <w:b/>
      <w:bCs/>
      <w:szCs w:val="22"/>
      <w:lang w:eastAsia="en-US"/>
    </w:rPr>
  </w:style>
  <w:style w:type="paragraph" w:customStyle="1" w:styleId="PI-1EMEASMCA">
    <w:name w:val="PI-1 EMEA_SMCA"/>
    <w:basedOn w:val="Antrat2"/>
    <w:link w:val="PI-1EMEASMCAChar"/>
    <w:autoRedefine/>
    <w:uiPriority w:val="99"/>
    <w:rsid w:val="00A80CF8"/>
    <w:pPr>
      <w:tabs>
        <w:tab w:val="left" w:pos="567"/>
      </w:tabs>
    </w:pPr>
    <w:rPr>
      <w:szCs w:val="22"/>
      <w:lang w:eastAsia="en-US"/>
    </w:rPr>
  </w:style>
  <w:style w:type="paragraph" w:customStyle="1" w:styleId="PI-2EMEASMCA">
    <w:name w:val="PI-2 EMEA_SMCA"/>
    <w:basedOn w:val="Antrat3"/>
    <w:autoRedefine/>
    <w:uiPriority w:val="99"/>
    <w:rsid w:val="00A80CF8"/>
    <w:pPr>
      <w:keepLines/>
      <w:tabs>
        <w:tab w:val="left" w:pos="567"/>
      </w:tabs>
    </w:pPr>
    <w:rPr>
      <w:kern w:val="28"/>
      <w:szCs w:val="22"/>
      <w:lang w:eastAsia="en-US"/>
    </w:rPr>
  </w:style>
  <w:style w:type="paragraph" w:customStyle="1" w:styleId="BTEMEASMCA">
    <w:name w:val="BT EMEA_SMCA"/>
    <w:basedOn w:val="prastasis"/>
    <w:link w:val="BTEMEASMCAChar"/>
    <w:autoRedefine/>
    <w:uiPriority w:val="99"/>
    <w:rsid w:val="00A80CF8"/>
    <w:rPr>
      <w:noProof/>
      <w:szCs w:val="22"/>
      <w:lang w:eastAsia="en-US"/>
    </w:rPr>
  </w:style>
  <w:style w:type="character" w:customStyle="1" w:styleId="BTEMEASMCAChar">
    <w:name w:val="BT EMEA_SMCA Char"/>
    <w:link w:val="BTEMEASMCA"/>
    <w:uiPriority w:val="99"/>
    <w:rsid w:val="00A80CF8"/>
    <w:rPr>
      <w:rFonts w:ascii="Times New Roman" w:eastAsia="Times New Roman" w:hAnsi="Times New Roman" w:cs="Times New Roman"/>
      <w:noProof/>
      <w:lang w:val="lt-LT"/>
    </w:rPr>
  </w:style>
  <w:style w:type="paragraph" w:customStyle="1" w:styleId="TTEMEASMCA">
    <w:name w:val="TT EMEA_SMCA"/>
    <w:basedOn w:val="Antrat1"/>
    <w:link w:val="TTEMEASMCAChar"/>
    <w:autoRedefine/>
    <w:uiPriority w:val="99"/>
    <w:rsid w:val="00A80CF8"/>
    <w:pPr>
      <w:keepNext w:val="0"/>
      <w:tabs>
        <w:tab w:val="left" w:pos="567"/>
      </w:tabs>
      <w:ind w:left="567" w:hanging="567"/>
    </w:pPr>
    <w:rPr>
      <w:lang w:val="en-US" w:eastAsia="en-US"/>
    </w:rPr>
  </w:style>
  <w:style w:type="character" w:customStyle="1" w:styleId="TTEMEASMCAChar">
    <w:name w:val="TT EMEA_SMCA Char"/>
    <w:link w:val="TTEMEASMCA"/>
    <w:uiPriority w:val="99"/>
    <w:rsid w:val="00A80CF8"/>
    <w:rPr>
      <w:rFonts w:ascii="Times New Roman" w:eastAsia="Times New Roman" w:hAnsi="Times New Roman" w:cs="Times New Roman"/>
      <w:b/>
      <w:caps/>
    </w:rPr>
  </w:style>
  <w:style w:type="paragraph" w:customStyle="1" w:styleId="BTAnIIEMEASMCA">
    <w:name w:val="BT(AnII) EMEA_SMCA"/>
    <w:basedOn w:val="Debesliotekstas"/>
    <w:autoRedefine/>
    <w:uiPriority w:val="99"/>
    <w:rsid w:val="00A80CF8"/>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rsid w:val="00A80CF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A80CF8"/>
    <w:rPr>
      <w:rFonts w:ascii="Tahoma" w:eastAsia="Times New Roman" w:hAnsi="Tahoma" w:cs="Tahoma"/>
      <w:sz w:val="16"/>
      <w:szCs w:val="16"/>
      <w:lang w:val="lt-LT" w:eastAsia="lt-LT"/>
    </w:rPr>
  </w:style>
  <w:style w:type="paragraph" w:customStyle="1" w:styleId="BTgEMEASMCA">
    <w:name w:val="BT(g) EMEA_SMCA"/>
    <w:basedOn w:val="BTEMEASMCA"/>
    <w:link w:val="BTgEMEASMCAChar"/>
    <w:autoRedefine/>
    <w:uiPriority w:val="99"/>
    <w:rsid w:val="00A80CF8"/>
    <w:rPr>
      <w:i/>
      <w:color w:val="008000"/>
    </w:rPr>
  </w:style>
  <w:style w:type="character" w:customStyle="1" w:styleId="BTgEMEASMCAChar">
    <w:name w:val="BT(g) EMEA_SMCA Char"/>
    <w:link w:val="BTgEMEASMCA"/>
    <w:uiPriority w:val="99"/>
    <w:rsid w:val="00A80CF8"/>
    <w:rPr>
      <w:rFonts w:ascii="Times New Roman" w:eastAsia="Times New Roman" w:hAnsi="Times New Roman" w:cs="Times New Roman"/>
      <w:i/>
      <w:noProof/>
      <w:color w:val="008000"/>
      <w:lang w:val="lt-LT"/>
    </w:rPr>
  </w:style>
  <w:style w:type="paragraph" w:customStyle="1" w:styleId="BTuEMEASMCA">
    <w:name w:val="BT(u) EMEA_SMCA"/>
    <w:basedOn w:val="BTEMEASMCA"/>
    <w:autoRedefine/>
    <w:uiPriority w:val="99"/>
    <w:rsid w:val="00A80CF8"/>
    <w:rPr>
      <w:u w:val="single"/>
    </w:rPr>
  </w:style>
  <w:style w:type="table" w:styleId="Lentelstinklelis">
    <w:name w:val="Table Grid"/>
    <w:basedOn w:val="prastojilentel"/>
    <w:uiPriority w:val="99"/>
    <w:rsid w:val="00A80CF8"/>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uiPriority w:val="99"/>
    <w:rsid w:val="00A80CF8"/>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A80CF8"/>
    <w:rPr>
      <w:rFonts w:ascii="Times New Roman" w:eastAsia="Times New Roman" w:hAnsi="Times New Roman" w:cs="Times New Roman"/>
      <w:b/>
      <w:noProof/>
      <w:lang w:val="lt-LT"/>
    </w:rPr>
  </w:style>
  <w:style w:type="paragraph" w:styleId="prastasiniatinklio">
    <w:name w:val="Normal (Web)"/>
    <w:basedOn w:val="prastasis"/>
    <w:uiPriority w:val="99"/>
    <w:rsid w:val="00A80CF8"/>
    <w:pPr>
      <w:spacing w:before="100" w:after="100"/>
    </w:pPr>
    <w:rPr>
      <w:lang w:val="en-US"/>
    </w:rPr>
  </w:style>
  <w:style w:type="paragraph" w:styleId="Pagrindinistekstas2">
    <w:name w:val="Body Text 2"/>
    <w:basedOn w:val="prastasis"/>
    <w:link w:val="Pagrindinistekstas2Diagrama"/>
    <w:uiPriority w:val="99"/>
    <w:rsid w:val="00A80CF8"/>
    <w:pPr>
      <w:spacing w:after="120" w:line="480" w:lineRule="auto"/>
    </w:pPr>
  </w:style>
  <w:style w:type="character" w:customStyle="1" w:styleId="Pagrindinistekstas2Diagrama">
    <w:name w:val="Pagrindinis tekstas 2 Diagrama"/>
    <w:basedOn w:val="Numatytasispastraiposriftas"/>
    <w:link w:val="Pagrindinistekstas2"/>
    <w:uiPriority w:val="99"/>
    <w:rsid w:val="00A80CF8"/>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iPriority w:val="99"/>
    <w:rsid w:val="00A80CF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A80CF8"/>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uiPriority w:val="99"/>
    <w:rsid w:val="00A80CF8"/>
    <w:pPr>
      <w:spacing w:after="120"/>
    </w:pPr>
    <w:rPr>
      <w:sz w:val="16"/>
      <w:szCs w:val="16"/>
      <w:lang w:eastAsia="en-US"/>
    </w:rPr>
  </w:style>
  <w:style w:type="character" w:customStyle="1" w:styleId="Pagrindinistekstas3Diagrama">
    <w:name w:val="Pagrindinis tekstas 3 Diagrama"/>
    <w:basedOn w:val="Numatytasispastraiposriftas"/>
    <w:link w:val="Pagrindinistekstas3"/>
    <w:uiPriority w:val="99"/>
    <w:rsid w:val="00A80CF8"/>
    <w:rPr>
      <w:rFonts w:ascii="Times New Roman" w:eastAsia="Times New Roman" w:hAnsi="Times New Roman" w:cs="Times New Roman"/>
      <w:sz w:val="16"/>
      <w:szCs w:val="16"/>
      <w:lang w:val="lt-LT"/>
    </w:rPr>
  </w:style>
  <w:style w:type="paragraph" w:customStyle="1" w:styleId="BTbEMEASMCA">
    <w:name w:val="BT(b) EMEA_SMCA"/>
    <w:basedOn w:val="prastasis"/>
    <w:autoRedefine/>
    <w:uiPriority w:val="99"/>
    <w:rsid w:val="00A80CF8"/>
    <w:rPr>
      <w:b/>
      <w:noProof/>
      <w:szCs w:val="22"/>
      <w:lang w:eastAsia="en-US"/>
    </w:rPr>
  </w:style>
  <w:style w:type="paragraph" w:customStyle="1" w:styleId="TableText">
    <w:name w:val="Table Text"/>
    <w:basedOn w:val="prastasis"/>
    <w:uiPriority w:val="99"/>
    <w:rsid w:val="00A80CF8"/>
    <w:rPr>
      <w:rFonts w:ascii="CG Times (W1)" w:hAnsi="CG Times (W1)"/>
      <w:sz w:val="20"/>
      <w:lang w:val="en-GB" w:eastAsia="en-US"/>
    </w:rPr>
  </w:style>
  <w:style w:type="paragraph" w:customStyle="1" w:styleId="Normal11pt">
    <w:name w:val="Normal + 11pt"/>
    <w:basedOn w:val="prastasis"/>
    <w:link w:val="Normal11ptCar"/>
    <w:uiPriority w:val="99"/>
    <w:rsid w:val="00A80CF8"/>
    <w:rPr>
      <w:szCs w:val="22"/>
      <w:lang w:val="en-GB" w:eastAsia="en-US"/>
    </w:rPr>
  </w:style>
  <w:style w:type="character" w:customStyle="1" w:styleId="Normal11ptCar">
    <w:name w:val="Normal + 11pt Car"/>
    <w:link w:val="Normal11pt"/>
    <w:uiPriority w:val="99"/>
    <w:rsid w:val="00A80CF8"/>
    <w:rPr>
      <w:rFonts w:ascii="Times New Roman" w:eastAsia="Times New Roman" w:hAnsi="Times New Roman" w:cs="Times New Roman"/>
      <w:lang w:val="en-GB"/>
    </w:rPr>
  </w:style>
  <w:style w:type="paragraph" w:customStyle="1" w:styleId="NormaLT">
    <w:name w:val="NormaLT"/>
    <w:basedOn w:val="prastasis"/>
    <w:uiPriority w:val="99"/>
    <w:rsid w:val="00A80CF8"/>
    <w:pPr>
      <w:tabs>
        <w:tab w:val="left" w:pos="425"/>
      </w:tabs>
      <w:jc w:val="both"/>
    </w:pPr>
    <w:rPr>
      <w:rFonts w:ascii="Arial" w:hAnsi="Arial"/>
      <w:sz w:val="24"/>
      <w:lang w:eastAsia="en-US"/>
    </w:rPr>
  </w:style>
  <w:style w:type="paragraph" w:customStyle="1" w:styleId="EMEAEnBodyText">
    <w:name w:val="EMEA En Body Text"/>
    <w:basedOn w:val="prastasis"/>
    <w:uiPriority w:val="99"/>
    <w:rsid w:val="00A80CF8"/>
    <w:pPr>
      <w:spacing w:before="120" w:after="120"/>
      <w:jc w:val="both"/>
    </w:pPr>
    <w:rPr>
      <w:lang w:val="en-US" w:eastAsia="en-US"/>
    </w:rPr>
  </w:style>
  <w:style w:type="paragraph" w:customStyle="1" w:styleId="AHeader1">
    <w:name w:val="AHeader 1"/>
    <w:basedOn w:val="prastasis"/>
    <w:uiPriority w:val="99"/>
    <w:rsid w:val="00A80CF8"/>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uiPriority w:val="99"/>
    <w:rsid w:val="00A80CF8"/>
    <w:pPr>
      <w:numPr>
        <w:ilvl w:val="1"/>
      </w:numPr>
      <w:tabs>
        <w:tab w:val="num" w:pos="360"/>
        <w:tab w:val="num" w:pos="720"/>
      </w:tabs>
      <w:ind w:left="360" w:hanging="360"/>
    </w:pPr>
    <w:rPr>
      <w:sz w:val="22"/>
    </w:rPr>
  </w:style>
  <w:style w:type="paragraph" w:customStyle="1" w:styleId="AHeader3">
    <w:name w:val="AHeader 3"/>
    <w:basedOn w:val="AHeader2"/>
    <w:uiPriority w:val="99"/>
    <w:rsid w:val="00A80CF8"/>
    <w:pPr>
      <w:numPr>
        <w:ilvl w:val="2"/>
      </w:numPr>
      <w:tabs>
        <w:tab w:val="num" w:pos="360"/>
      </w:tabs>
      <w:ind w:left="360" w:hanging="360"/>
    </w:pPr>
  </w:style>
  <w:style w:type="paragraph" w:customStyle="1" w:styleId="AHeader2abc">
    <w:name w:val="AHeader 2 abc"/>
    <w:basedOn w:val="AHeader3"/>
    <w:uiPriority w:val="99"/>
    <w:rsid w:val="00A80CF8"/>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A80CF8"/>
    <w:pPr>
      <w:numPr>
        <w:ilvl w:val="4"/>
      </w:numPr>
      <w:tabs>
        <w:tab w:val="num" w:pos="360"/>
      </w:tabs>
      <w:ind w:left="360" w:hanging="360"/>
    </w:pPr>
  </w:style>
  <w:style w:type="character" w:styleId="Grietas">
    <w:name w:val="Strong"/>
    <w:uiPriority w:val="99"/>
    <w:qFormat/>
    <w:rsid w:val="00A80CF8"/>
    <w:rPr>
      <w:b/>
      <w:bCs/>
    </w:rPr>
  </w:style>
  <w:style w:type="character" w:styleId="Komentaronuoroda">
    <w:name w:val="annotation reference"/>
    <w:uiPriority w:val="99"/>
    <w:rsid w:val="00A80CF8"/>
    <w:rPr>
      <w:rFonts w:cs="Times New Roman"/>
      <w:sz w:val="16"/>
      <w:szCs w:val="16"/>
    </w:rPr>
  </w:style>
  <w:style w:type="paragraph" w:styleId="Komentarotekstas">
    <w:name w:val="annotation text"/>
    <w:basedOn w:val="prastasis"/>
    <w:link w:val="KomentarotekstasDiagrama"/>
    <w:uiPriority w:val="99"/>
    <w:rsid w:val="00A80CF8"/>
    <w:rPr>
      <w:sz w:val="20"/>
    </w:rPr>
  </w:style>
  <w:style w:type="character" w:customStyle="1" w:styleId="KomentarotekstasDiagrama">
    <w:name w:val="Komentaro tekstas Diagrama"/>
    <w:basedOn w:val="Numatytasispastraiposriftas"/>
    <w:link w:val="Komentarotekstas"/>
    <w:uiPriority w:val="99"/>
    <w:rsid w:val="00A80CF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rsid w:val="00A80CF8"/>
    <w:rPr>
      <w:b/>
      <w:bCs/>
    </w:rPr>
  </w:style>
  <w:style w:type="character" w:customStyle="1" w:styleId="KomentarotemaDiagrama">
    <w:name w:val="Komentaro tema Diagrama"/>
    <w:basedOn w:val="KomentarotekstasDiagrama"/>
    <w:link w:val="Komentarotema"/>
    <w:uiPriority w:val="99"/>
    <w:rsid w:val="00A80CF8"/>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A80CF8"/>
    <w:pPr>
      <w:spacing w:after="0" w:line="240" w:lineRule="auto"/>
    </w:pPr>
    <w:rPr>
      <w:rFonts w:ascii="Times New Roman" w:eastAsia="Times New Roman" w:hAnsi="Times New Roman" w:cs="Times New Roman"/>
      <w:szCs w:val="20"/>
      <w:lang w:val="lt-LT" w:eastAsia="lt-LT"/>
    </w:rPr>
  </w:style>
  <w:style w:type="paragraph" w:customStyle="1" w:styleId="Default">
    <w:name w:val="Default"/>
    <w:rsid w:val="00A80CF8"/>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PI-1EMEASMCAChar">
    <w:name w:val="PI-1 EMEA_SMCA Char"/>
    <w:link w:val="PI-1EMEASMCA"/>
    <w:uiPriority w:val="99"/>
    <w:rsid w:val="00A80CF8"/>
    <w:rPr>
      <w:rFonts w:ascii="Times New Roman" w:eastAsia="Times New Roman" w:hAnsi="Times New Roman" w:cs="Times New Roman"/>
      <w:b/>
      <w:lang w:val="lt-LT"/>
    </w:rPr>
  </w:style>
  <w:style w:type="paragraph" w:styleId="Puslapioinaostekstas">
    <w:name w:val="footnote text"/>
    <w:basedOn w:val="prastasis"/>
    <w:next w:val="prastasis"/>
    <w:link w:val="PuslapioinaostekstasDiagrama"/>
    <w:uiPriority w:val="99"/>
    <w:rsid w:val="00A80CF8"/>
    <w:rPr>
      <w:rFonts w:ascii="TimesLT" w:hAnsi="TimesLT"/>
      <w:sz w:val="20"/>
      <w:lang w:val="en-GB"/>
    </w:rPr>
  </w:style>
  <w:style w:type="character" w:customStyle="1" w:styleId="PuslapioinaostekstasDiagrama">
    <w:name w:val="Puslapio išnašos tekstas Diagrama"/>
    <w:basedOn w:val="Numatytasispastraiposriftas"/>
    <w:link w:val="Puslapioinaostekstas"/>
    <w:uiPriority w:val="99"/>
    <w:rsid w:val="00A80CF8"/>
    <w:rPr>
      <w:rFonts w:ascii="TimesLT" w:eastAsia="Times New Roman" w:hAnsi="TimesLT" w:cs="Times New Roman"/>
      <w:sz w:val="20"/>
      <w:szCs w:val="20"/>
      <w:lang w:val="en-GB" w:eastAsia="lt-LT"/>
    </w:rPr>
  </w:style>
  <w:style w:type="character" w:customStyle="1" w:styleId="TTEMEASMCADiagrama">
    <w:name w:val="TT EMEA_SMCA Diagrama"/>
    <w:uiPriority w:val="99"/>
    <w:rsid w:val="00A80CF8"/>
    <w:rPr>
      <w:b/>
      <w:caps/>
      <w:sz w:val="22"/>
      <w:szCs w:val="22"/>
      <w:lang w:val="en-US" w:eastAsia="en-US" w:bidi="ar-SA"/>
    </w:rPr>
  </w:style>
  <w:style w:type="paragraph" w:customStyle="1" w:styleId="EMEABodyText">
    <w:name w:val="EMEA Body Text"/>
    <w:basedOn w:val="prastasis"/>
    <w:link w:val="EMEABodyTextChar"/>
    <w:uiPriority w:val="99"/>
    <w:rsid w:val="00A80CF8"/>
    <w:rPr>
      <w:lang w:val="en-GB" w:eastAsia="en-US"/>
    </w:rPr>
  </w:style>
  <w:style w:type="character" w:customStyle="1" w:styleId="EMEABodyTextChar">
    <w:name w:val="EMEA Body Text Char"/>
    <w:link w:val="EMEABodyText"/>
    <w:uiPriority w:val="99"/>
    <w:rsid w:val="00A80CF8"/>
    <w:rPr>
      <w:rFonts w:ascii="Times New Roman" w:eastAsia="Times New Roman" w:hAnsi="Times New Roman" w:cs="Times New Roman"/>
      <w:szCs w:val="20"/>
      <w:lang w:val="en-GB"/>
    </w:rPr>
  </w:style>
  <w:style w:type="paragraph" w:customStyle="1" w:styleId="NormalLatinArial">
    <w:name w:val="Normal + (Latin) Arial"/>
    <w:aliases w:val="(Complex) Arial,9 pt"/>
    <w:basedOn w:val="Default"/>
    <w:next w:val="Default"/>
    <w:uiPriority w:val="99"/>
    <w:rsid w:val="00A80CF8"/>
    <w:pPr>
      <w:numPr>
        <w:numId w:val="2"/>
      </w:numPr>
      <w:tabs>
        <w:tab w:val="clear" w:pos="567"/>
      </w:tabs>
      <w:ind w:left="0" w:firstLine="0"/>
    </w:pPr>
    <w:rPr>
      <w:color w:val="auto"/>
      <w:lang w:val="en-US" w:eastAsia="en-US"/>
    </w:rPr>
  </w:style>
  <w:style w:type="paragraph" w:customStyle="1" w:styleId="Text">
    <w:name w:val="Text"/>
    <w:basedOn w:val="prastasis"/>
    <w:uiPriority w:val="99"/>
    <w:rsid w:val="00A80CF8"/>
    <w:pPr>
      <w:spacing w:before="120"/>
      <w:jc w:val="both"/>
    </w:pPr>
    <w:rPr>
      <w:sz w:val="24"/>
      <w:lang w:val="en-US" w:eastAsia="en-US"/>
    </w:rPr>
  </w:style>
  <w:style w:type="paragraph" w:customStyle="1" w:styleId="Listlevel1">
    <w:name w:val="List level 1"/>
    <w:basedOn w:val="prastasis"/>
    <w:uiPriority w:val="99"/>
    <w:rsid w:val="00A80CF8"/>
    <w:pPr>
      <w:spacing w:before="40" w:after="20"/>
      <w:ind w:left="425" w:hanging="425"/>
    </w:pPr>
    <w:rPr>
      <w:sz w:val="24"/>
      <w:lang w:val="en-US" w:eastAsia="en-US"/>
    </w:rPr>
  </w:style>
  <w:style w:type="paragraph" w:customStyle="1" w:styleId="ZchnZchnCharZchnZchnChar">
    <w:name w:val="Zchn Zchn Char Zchn Zchn Char"/>
    <w:basedOn w:val="prastasis"/>
    <w:uiPriority w:val="99"/>
    <w:rsid w:val="00A80CF8"/>
    <w:pPr>
      <w:widowControl w:val="0"/>
      <w:adjustRightInd w:val="0"/>
      <w:spacing w:after="160" w:line="240" w:lineRule="exact"/>
      <w:jc w:val="both"/>
      <w:textAlignment w:val="baseline"/>
    </w:pPr>
    <w:rPr>
      <w:rFonts w:ascii="Tahoma" w:hAnsi="Tahoma"/>
      <w:sz w:val="20"/>
      <w:lang w:val="en-US" w:eastAsia="en-US"/>
    </w:rPr>
  </w:style>
  <w:style w:type="paragraph" w:customStyle="1" w:styleId="BTeEMEASMCA">
    <w:name w:val="BT(e) EMEA_SMCA"/>
    <w:basedOn w:val="BTEMEASMCA"/>
    <w:autoRedefine/>
    <w:uiPriority w:val="99"/>
    <w:rsid w:val="00A80CF8"/>
    <w:pPr>
      <w:jc w:val="center"/>
    </w:pPr>
    <w:rPr>
      <w:szCs w:val="20"/>
    </w:rPr>
  </w:style>
  <w:style w:type="numbering" w:customStyle="1" w:styleId="NoList1">
    <w:name w:val="No List1"/>
    <w:next w:val="Sraonra"/>
    <w:uiPriority w:val="99"/>
    <w:semiHidden/>
    <w:unhideWhenUsed/>
    <w:rsid w:val="00A80CF8"/>
  </w:style>
  <w:style w:type="paragraph" w:customStyle="1" w:styleId="BodytextAgency">
    <w:name w:val="Body text (Agency)"/>
    <w:basedOn w:val="prastasis"/>
    <w:link w:val="BodytextAgencyChar"/>
    <w:uiPriority w:val="99"/>
    <w:rsid w:val="00A80CF8"/>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A80CF8"/>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A80CF8"/>
    <w:pPr>
      <w:spacing w:line="280" w:lineRule="exact"/>
    </w:pPr>
    <w:rPr>
      <w:rFonts w:ascii="Verdana" w:hAnsi="Verdana"/>
      <w:snapToGrid w:val="0"/>
      <w:sz w:val="18"/>
      <w:lang w:val="en-GB" w:eastAsia="en-US"/>
    </w:rPr>
  </w:style>
  <w:style w:type="character" w:customStyle="1" w:styleId="tw4winError">
    <w:name w:val="tw4winError"/>
    <w:uiPriority w:val="99"/>
    <w:rsid w:val="00A80CF8"/>
    <w:rPr>
      <w:rFonts w:ascii="Courier New" w:hAnsi="Courier New"/>
      <w:color w:val="00FF00"/>
      <w:sz w:val="40"/>
    </w:rPr>
  </w:style>
  <w:style w:type="character" w:customStyle="1" w:styleId="tw4winTerm">
    <w:name w:val="tw4winTerm"/>
    <w:uiPriority w:val="99"/>
    <w:rsid w:val="00A80CF8"/>
    <w:rPr>
      <w:color w:val="0000FF"/>
    </w:rPr>
  </w:style>
  <w:style w:type="character" w:customStyle="1" w:styleId="tw4winPopup">
    <w:name w:val="tw4winPopup"/>
    <w:uiPriority w:val="99"/>
    <w:rsid w:val="00A80CF8"/>
    <w:rPr>
      <w:rFonts w:ascii="Courier New" w:hAnsi="Courier New"/>
      <w:noProof/>
      <w:color w:val="008000"/>
    </w:rPr>
  </w:style>
  <w:style w:type="character" w:customStyle="1" w:styleId="tw4winJump">
    <w:name w:val="tw4winJump"/>
    <w:uiPriority w:val="99"/>
    <w:rsid w:val="00A80CF8"/>
    <w:rPr>
      <w:rFonts w:ascii="Courier New" w:hAnsi="Courier New"/>
      <w:noProof/>
      <w:color w:val="008080"/>
    </w:rPr>
  </w:style>
  <w:style w:type="character" w:customStyle="1" w:styleId="tw4winExternal">
    <w:name w:val="tw4winExternal"/>
    <w:uiPriority w:val="99"/>
    <w:rsid w:val="00A80CF8"/>
    <w:rPr>
      <w:rFonts w:ascii="Courier New" w:hAnsi="Courier New"/>
      <w:noProof/>
      <w:color w:val="808080"/>
    </w:rPr>
  </w:style>
  <w:style w:type="character" w:customStyle="1" w:styleId="tw4winInternal">
    <w:name w:val="tw4winInternal"/>
    <w:uiPriority w:val="99"/>
    <w:rsid w:val="00A80CF8"/>
    <w:rPr>
      <w:rFonts w:ascii="Courier New" w:hAnsi="Courier New"/>
      <w:noProof/>
      <w:color w:val="FF0000"/>
    </w:rPr>
  </w:style>
  <w:style w:type="character" w:customStyle="1" w:styleId="DONOTTRANSLATE">
    <w:name w:val="DO_NOT_TRANSLATE"/>
    <w:uiPriority w:val="99"/>
    <w:rsid w:val="00A80CF8"/>
    <w:rPr>
      <w:rFonts w:ascii="Courier New" w:hAnsi="Courier New"/>
      <w:noProof/>
      <w:color w:val="800000"/>
    </w:rPr>
  </w:style>
  <w:style w:type="paragraph" w:customStyle="1" w:styleId="Spalvotasspalvinimas1parykinimas1">
    <w:name w:val="Spalvotas spalvinimas – 1 paryškinimas1"/>
    <w:hidden/>
    <w:uiPriority w:val="99"/>
    <w:semiHidden/>
    <w:rsid w:val="00A80CF8"/>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A80CF8"/>
    <w:rPr>
      <w:rFonts w:ascii="Courier New" w:hAnsi="Courier New"/>
      <w:vanish/>
      <w:color w:val="800080"/>
      <w:sz w:val="24"/>
      <w:vertAlign w:val="subscript"/>
    </w:rPr>
  </w:style>
  <w:style w:type="character" w:customStyle="1" w:styleId="HeaderChar1">
    <w:name w:val="Header Char1"/>
    <w:uiPriority w:val="99"/>
    <w:rsid w:val="00A80CF8"/>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A80CF8"/>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A80CF8"/>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A80CF8"/>
    <w:pPr>
      <w:autoSpaceDE w:val="0"/>
      <w:autoSpaceDN w:val="0"/>
      <w:adjustRightInd w:val="0"/>
      <w:ind w:left="720"/>
      <w:jc w:val="both"/>
    </w:pPr>
    <w:rPr>
      <w:rFonts w:eastAsia="SimSun"/>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A80CF8"/>
    <w:rPr>
      <w:rFonts w:ascii="Times New Roman" w:eastAsia="SimSun" w:hAnsi="Times New Roman" w:cs="Times New Roman"/>
      <w:lang w:val="en-GB" w:eastAsia="en-GB"/>
    </w:rPr>
  </w:style>
  <w:style w:type="paragraph" w:styleId="Pagrindiniotekstotrauka3">
    <w:name w:val="Body Text Indent 3"/>
    <w:basedOn w:val="prastasis"/>
    <w:link w:val="Pagrindiniotekstotrauka3Diagrama"/>
    <w:uiPriority w:val="99"/>
    <w:rsid w:val="00A80CF8"/>
    <w:pPr>
      <w:tabs>
        <w:tab w:val="left" w:pos="567"/>
        <w:tab w:val="left" w:pos="1134"/>
      </w:tabs>
      <w:autoSpaceDE w:val="0"/>
      <w:autoSpaceDN w:val="0"/>
      <w:adjustRightInd w:val="0"/>
      <w:spacing w:line="260" w:lineRule="exact"/>
      <w:ind w:left="633"/>
      <w:jc w:val="both"/>
    </w:pPr>
    <w:rPr>
      <w:rFonts w:eastAsia="SimSun"/>
      <w:szCs w:val="21"/>
      <w:lang w:val="en-GB" w:eastAsia="en-US"/>
    </w:rPr>
  </w:style>
  <w:style w:type="character" w:customStyle="1" w:styleId="Pagrindiniotekstotrauka3Diagrama">
    <w:name w:val="Pagrindinio teksto įtrauka 3 Diagrama"/>
    <w:basedOn w:val="Numatytasispastraiposriftas"/>
    <w:link w:val="Pagrindiniotekstotrauka3"/>
    <w:uiPriority w:val="99"/>
    <w:rsid w:val="00A80CF8"/>
    <w:rPr>
      <w:rFonts w:ascii="Times New Roman" w:eastAsia="SimSun" w:hAnsi="Times New Roman" w:cs="Times New Roman"/>
      <w:szCs w:val="21"/>
      <w:lang w:val="en-GB"/>
    </w:rPr>
  </w:style>
  <w:style w:type="character" w:customStyle="1" w:styleId="BodytextAgencyChar">
    <w:name w:val="Body text (Agency) Char"/>
    <w:link w:val="BodytextAgency"/>
    <w:uiPriority w:val="99"/>
    <w:locked/>
    <w:rsid w:val="00A80CF8"/>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A80CF8"/>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A80CF8"/>
    <w:pPr>
      <w:keepNext/>
    </w:pPr>
    <w:rPr>
      <w:rFonts w:eastAsia="SimSun" w:cs="Verdana"/>
      <w:b/>
      <w:snapToGrid/>
      <w:szCs w:val="18"/>
      <w:lang w:eastAsia="en-GB"/>
    </w:rPr>
  </w:style>
  <w:style w:type="character" w:customStyle="1" w:styleId="NormalAgencyChar">
    <w:name w:val="Normal (Agency) Char"/>
    <w:link w:val="NormalAgency"/>
    <w:uiPriority w:val="99"/>
    <w:locked/>
    <w:rsid w:val="00A80CF8"/>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A80CF8"/>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A80CF8"/>
    <w:rPr>
      <w:rFonts w:ascii="Courier New" w:eastAsia="SimSun" w:hAnsi="Courier New" w:cs="Times New Roman"/>
      <w:sz w:val="20"/>
      <w:szCs w:val="20"/>
    </w:rPr>
  </w:style>
  <w:style w:type="paragraph" w:styleId="Dokumentoinaostekstas">
    <w:name w:val="endnote text"/>
    <w:basedOn w:val="prastasis"/>
    <w:link w:val="DokumentoinaostekstasDiagrama"/>
    <w:uiPriority w:val="99"/>
    <w:rsid w:val="00A80CF8"/>
    <w:pPr>
      <w:tabs>
        <w:tab w:val="left" w:pos="567"/>
      </w:tabs>
    </w:pPr>
    <w:rPr>
      <w:rFonts w:eastAsia="SimSun"/>
      <w:lang w:val="en-GB" w:eastAsia="en-US"/>
    </w:rPr>
  </w:style>
  <w:style w:type="character" w:customStyle="1" w:styleId="DokumentoinaostekstasDiagrama">
    <w:name w:val="Dokumento išnašos tekstas Diagrama"/>
    <w:basedOn w:val="Numatytasispastraiposriftas"/>
    <w:link w:val="Dokumentoinaostekstas"/>
    <w:uiPriority w:val="99"/>
    <w:rsid w:val="00A80CF8"/>
    <w:rPr>
      <w:rFonts w:ascii="Times New Roman" w:eastAsia="SimSun" w:hAnsi="Times New Roman" w:cs="Times New Roman"/>
      <w:szCs w:val="20"/>
      <w:lang w:val="en-GB"/>
    </w:rPr>
  </w:style>
  <w:style w:type="character" w:customStyle="1" w:styleId="CharChar12">
    <w:name w:val="Char Char12"/>
    <w:locked/>
    <w:rsid w:val="00A80CF8"/>
    <w:rPr>
      <w:snapToGrid w:val="0"/>
      <w:lang w:val="en-GB" w:eastAsia="en-US" w:bidi="ar-SA"/>
    </w:rPr>
  </w:style>
  <w:style w:type="table" w:customStyle="1" w:styleId="TableGrid1">
    <w:name w:val="Table Grid1"/>
    <w:basedOn w:val="prastojilentel"/>
    <w:next w:val="Lentelstinklelis"/>
    <w:uiPriority w:val="59"/>
    <w:rsid w:val="00A80CF8"/>
    <w:pPr>
      <w:spacing w:after="0" w:line="240" w:lineRule="auto"/>
    </w:pPr>
    <w:rPr>
      <w:rFonts w:ascii="Calibri" w:eastAsia="Calibri" w:hAnsi="Calibri"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80CF8"/>
  </w:style>
  <w:style w:type="paragraph" w:customStyle="1" w:styleId="Antrinispavadinimas1">
    <w:name w:val="Antrinis pavadinimas1"/>
    <w:basedOn w:val="prastasis"/>
    <w:link w:val="AntrinispavadinimasDiagrama"/>
    <w:uiPriority w:val="99"/>
    <w:qFormat/>
    <w:rsid w:val="00A80CF8"/>
    <w:pPr>
      <w:autoSpaceDE w:val="0"/>
      <w:autoSpaceDN w:val="0"/>
      <w:adjustRightInd w:val="0"/>
      <w:jc w:val="center"/>
    </w:pPr>
    <w:rPr>
      <w:rFonts w:ascii="TimesNewRoman,Bold" w:hAnsi="TimesNewRoman,Bold"/>
      <w:b/>
      <w:color w:val="000000"/>
      <w:lang w:val="en-US"/>
    </w:rPr>
  </w:style>
  <w:style w:type="paragraph" w:customStyle="1" w:styleId="prastasistinklapis1">
    <w:name w:val="Įprastasis (tinklapis)1"/>
    <w:basedOn w:val="prastasis"/>
    <w:uiPriority w:val="99"/>
    <w:rsid w:val="00A80CF8"/>
    <w:pPr>
      <w:spacing w:before="100" w:after="100"/>
    </w:pPr>
    <w:rPr>
      <w:lang w:val="en-US"/>
    </w:rPr>
  </w:style>
  <w:style w:type="character" w:customStyle="1" w:styleId="AntrinispavadinimasDiagrama">
    <w:name w:val="Antrinis pavadinimas Diagrama"/>
    <w:link w:val="Antrinispavadinimas1"/>
    <w:uiPriority w:val="99"/>
    <w:locked/>
    <w:rsid w:val="00A80CF8"/>
    <w:rPr>
      <w:rFonts w:ascii="TimesNewRoman,Bold" w:eastAsia="Times New Roman" w:hAnsi="TimesNewRoman,Bold" w:cs="Times New Roman"/>
      <w:b/>
      <w:color w:val="000000"/>
      <w:szCs w:val="20"/>
      <w:lang w:eastAsia="lt-LT"/>
    </w:rPr>
  </w:style>
  <w:style w:type="paragraph" w:customStyle="1" w:styleId="Antrinispavadinimas">
    <w:name w:val="Antrinis pavadinimas"/>
    <w:basedOn w:val="prastasis"/>
    <w:uiPriority w:val="99"/>
    <w:qFormat/>
    <w:rsid w:val="00A80CF8"/>
    <w:pPr>
      <w:autoSpaceDE w:val="0"/>
      <w:autoSpaceDN w:val="0"/>
      <w:adjustRightInd w:val="0"/>
      <w:jc w:val="center"/>
    </w:pPr>
    <w:rPr>
      <w:rFonts w:ascii="TimesNewRoman,Bold" w:hAnsi="TimesNewRoman,Bold"/>
      <w:b/>
      <w:color w:val="000000"/>
      <w:lang w:val="en-US"/>
    </w:rPr>
  </w:style>
  <w:style w:type="paragraph" w:customStyle="1" w:styleId="prastasistinklapis">
    <w:name w:val="Įprastasis (tinklapis)"/>
    <w:basedOn w:val="prastasis"/>
    <w:uiPriority w:val="99"/>
    <w:rsid w:val="00A80CF8"/>
    <w:pPr>
      <w:spacing w:before="100" w:after="100"/>
    </w:pPr>
    <w:rPr>
      <w:lang w:val="en-US"/>
    </w:rPr>
  </w:style>
  <w:style w:type="paragraph" w:styleId="Sraopastraipa">
    <w:name w:val="List Paragraph"/>
    <w:basedOn w:val="prastasis"/>
    <w:uiPriority w:val="34"/>
    <w:qFormat/>
    <w:rsid w:val="00A80CF8"/>
    <w:pPr>
      <w:ind w:left="720"/>
      <w:contextualSpacing/>
    </w:pPr>
  </w:style>
  <w:style w:type="character" w:customStyle="1" w:styleId="UnresolvedMention">
    <w:name w:val="Unresolved Mention"/>
    <w:basedOn w:val="Numatytasispastraiposriftas"/>
    <w:uiPriority w:val="99"/>
    <w:semiHidden/>
    <w:unhideWhenUsed/>
    <w:rsid w:val="00996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lithuania@medochemi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53887</Words>
  <Characters>30717</Characters>
  <Application>Microsoft Office Word</Application>
  <DocSecurity>4</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2022-04-25T08:22:00Z</dcterms:created>
  <dcterms:modified xsi:type="dcterms:W3CDTF">2022-04-25T08:22:00Z</dcterms:modified>
</cp:coreProperties>
</file>